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9364" w:type="dxa"/>
        <w:tblInd w:w="0" w:type="dxa"/>
        <w:tblLayout w:type="autofit"/>
        <w:tblCellMar>
          <w:top w:w="0" w:type="dxa"/>
          <w:left w:w="0" w:type="dxa"/>
          <w:bottom w:w="0" w:type="dxa"/>
          <w:right w:w="0" w:type="dxa"/>
        </w:tblCellMar>
      </w:tblPr>
      <w:tblGrid>
        <w:gridCol w:w="509"/>
        <w:gridCol w:w="8855"/>
      </w:tblGrid>
      <w:tr w14:paraId="2ED85459">
        <w:tblPrEx>
          <w:tblCellMar>
            <w:top w:w="0" w:type="dxa"/>
            <w:left w:w="0" w:type="dxa"/>
            <w:bottom w:w="0" w:type="dxa"/>
            <w:right w:w="0" w:type="dxa"/>
          </w:tblCellMar>
        </w:tblPrEx>
        <w:tc>
          <w:tcPr>
            <w:tcW w:w="509" w:type="dxa"/>
          </w:tcPr>
          <w:p w14:paraId="73A0FA8D">
            <w:pPr>
              <w:widowControl w:val="0"/>
              <w:snapToGrid w:val="0"/>
              <w:jc w:val="left"/>
              <w:rPr>
                <w:rFonts w:hint="eastAsia" w:ascii="黑体" w:hAnsi="黑体" w:eastAsia="黑体" w:cs="Times New Roman"/>
                <w:sz w:val="21"/>
                <w:szCs w:val="21"/>
              </w:rPr>
            </w:pPr>
            <w:r>
              <w:rPr>
                <w:rFonts w:ascii="Times New Roman" w:hAnsi="Times New Roman" w:eastAsia="黑体" w:cs="Times New Roman"/>
                <w:sz w:val="21"/>
                <w:szCs w:val="21"/>
              </w:rPr>
              <w:t>ICS</w:t>
            </w:r>
            <w:r>
              <w:rPr>
                <w:rFonts w:ascii="黑体" w:hAnsi="黑体" w:eastAsia="黑体" w:cs="Times New Roman"/>
                <w:sz w:val="21"/>
                <w:szCs w:val="21"/>
              </w:rPr>
              <w:t xml:space="preserve">  </w:t>
            </w:r>
          </w:p>
        </w:tc>
        <w:tc>
          <w:tcPr>
            <w:tcW w:w="8855" w:type="dxa"/>
          </w:tcPr>
          <w:p w14:paraId="01B8EFE8">
            <w:pPr>
              <w:widowControl w:val="0"/>
              <w:snapToGrid w:val="0"/>
              <w:rPr>
                <w:rFonts w:hint="eastAsia" w:ascii="黑体" w:hAnsi="黑体" w:eastAsia="黑体" w:cs="Times New Roman"/>
                <w:sz w:val="21"/>
                <w:szCs w:val="21"/>
              </w:rPr>
            </w:pPr>
            <w:r>
              <w:rPr>
                <w:rFonts w:ascii="黑体" w:hAnsi="黑体" w:eastAsia="黑体" w:cs="Times New Roman"/>
                <w:sz w:val="21"/>
                <w:szCs w:val="21"/>
              </w:rPr>
              <w:fldChar w:fldCharType="begin">
                <w:ffData>
                  <w:name w:val="ICS"/>
                  <w:enabled/>
                  <w:calcOnExit w:val="0"/>
                  <w:textInput>
                    <w:default w:val="点击此处添加ICS号"/>
                  </w:textInput>
                </w:ffData>
              </w:fldChar>
            </w:r>
            <w:bookmarkStart w:id="0" w:name="ICS"/>
            <w:r>
              <w:rPr>
                <w:rFonts w:ascii="黑体" w:hAnsi="黑体" w:eastAsia="黑体" w:cs="Times New Roman"/>
                <w:sz w:val="21"/>
                <w:szCs w:val="21"/>
              </w:rPr>
              <w:instrText xml:space="preserve"> FORMTEXT </w:instrText>
            </w:r>
            <w:r>
              <w:rPr>
                <w:rFonts w:ascii="黑体" w:hAnsi="黑体" w:eastAsia="黑体" w:cs="Times New Roman"/>
                <w:sz w:val="21"/>
                <w:szCs w:val="21"/>
              </w:rPr>
              <w:fldChar w:fldCharType="separate"/>
            </w:r>
            <w:r>
              <w:rPr>
                <w:rFonts w:ascii="黑体" w:hAnsi="黑体" w:eastAsia="黑体" w:cs="Times New Roman"/>
                <w:sz w:val="21"/>
                <w:szCs w:val="21"/>
              </w:rPr>
              <w:t>13.200     </w:t>
            </w:r>
            <w:r>
              <w:rPr>
                <w:rFonts w:ascii="黑体" w:hAnsi="黑体" w:eastAsia="黑体" w:cs="Times New Roman"/>
                <w:sz w:val="21"/>
                <w:szCs w:val="21"/>
              </w:rPr>
              <w:fldChar w:fldCharType="end"/>
            </w:r>
            <w:bookmarkEnd w:id="0"/>
          </w:p>
        </w:tc>
      </w:tr>
      <w:tr w14:paraId="1A4ED3A5">
        <w:tblPrEx>
          <w:tblCellMar>
            <w:top w:w="0" w:type="dxa"/>
            <w:left w:w="0" w:type="dxa"/>
            <w:bottom w:w="0" w:type="dxa"/>
            <w:right w:w="0" w:type="dxa"/>
          </w:tblCellMar>
        </w:tblPrEx>
        <w:tc>
          <w:tcPr>
            <w:tcW w:w="509" w:type="dxa"/>
          </w:tcPr>
          <w:p w14:paraId="3C28B599">
            <w:pPr>
              <w:widowControl w:val="0"/>
              <w:snapToGrid w:val="0"/>
              <w:spacing w:before="40"/>
              <w:jc w:val="left"/>
              <w:rPr>
                <w:rFonts w:hint="eastAsia" w:ascii="黑体" w:hAnsi="黑体" w:eastAsia="黑体" w:cs="Times New Roman"/>
                <w:sz w:val="21"/>
                <w:szCs w:val="21"/>
              </w:rPr>
            </w:pPr>
            <w:r>
              <w:rPr>
                <w:rFonts w:ascii="Times New Roman" w:hAnsi="Times New Roman" w:eastAsia="黑体" w:cs="Times New Roman"/>
                <w:sz w:val="21"/>
                <w:szCs w:val="21"/>
              </w:rPr>
              <w:t xml:space="preserve">CCS </w:t>
            </w:r>
            <w:r>
              <w:rPr>
                <w:rFonts w:ascii="黑体" w:hAnsi="黑体" w:eastAsia="黑体" w:cs="Times New Roman"/>
                <w:sz w:val="21"/>
                <w:szCs w:val="21"/>
              </w:rPr>
              <w:t xml:space="preserve"> </w:t>
            </w:r>
          </w:p>
        </w:tc>
        <w:tc>
          <w:tcPr>
            <w:tcW w:w="8855" w:type="dxa"/>
          </w:tcPr>
          <w:p w14:paraId="00CB8235">
            <w:pPr>
              <w:widowControl w:val="0"/>
              <w:snapToGrid w:val="0"/>
              <w:spacing w:before="40"/>
              <w:jc w:val="left"/>
              <w:rPr>
                <w:rFonts w:hint="eastAsia" w:ascii="黑体" w:hAnsi="黑体" w:eastAsia="黑体" w:cs="Times New Roman"/>
                <w:sz w:val="21"/>
                <w:szCs w:val="21"/>
              </w:rPr>
            </w:pPr>
            <w:r>
              <w:rPr>
                <w:rFonts w:hint="eastAsia" w:ascii="黑体" w:hAnsi="黑体" w:eastAsia="黑体" w:cs="Times New Roman"/>
                <w:sz w:val="21"/>
                <w:szCs w:val="21"/>
              </w:rPr>
              <w:t>72</w:t>
            </w:r>
          </w:p>
        </w:tc>
      </w:tr>
    </w:tbl>
    <w:p w14:paraId="69758B6D">
      <w:pPr>
        <w:framePr w:w="9639" w:h="6976" w:hRule="exact" w:wrap="around" w:vAnchor="page" w:hAnchor="page" w:xAlign="center" w:y="6408" w:anchorLock="1"/>
        <w:widowControl w:val="0"/>
        <w:kinsoku w:val="0"/>
        <w:overflowPunct w:val="0"/>
        <w:autoSpaceDE w:val="0"/>
        <w:autoSpaceDN w:val="0"/>
        <w:spacing w:line="0" w:lineRule="atLeast"/>
        <w:jc w:val="center"/>
        <w:rPr>
          <w:rFonts w:hint="eastAsia" w:ascii="黑体" w:hAnsi="黑体" w:eastAsia="黑体" w:cs="Times New Roman"/>
          <w:kern w:val="0"/>
          <w:sz w:val="52"/>
          <w:szCs w:val="20"/>
        </w:rPr>
      </w:pPr>
      <w:r>
        <w:rPr>
          <w:rFonts w:ascii="Times New Roman" w:hAnsi="Times New Roman" w:eastAsia="宋体" w:cs="Times New Roman"/>
          <w:sz w:val="32"/>
          <w:szCs w:val="32"/>
        </w:rPr>
        <w:drawing>
          <wp:inline distT="0" distB="0" distL="0" distR="0">
            <wp:extent cx="708660" cy="350520"/>
            <wp:effectExtent l="0" t="0" r="15240"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708660" cy="350520"/>
                    </a:xfrm>
                    <a:prstGeom prst="rect">
                      <a:avLst/>
                    </a:prstGeom>
                    <a:noFill/>
                    <a:ln>
                      <a:noFill/>
                    </a:ln>
                  </pic:spPr>
                </pic:pic>
              </a:graphicData>
            </a:graphic>
          </wp:inline>
        </w:drawing>
      </w:r>
      <w:bookmarkStart w:id="1" w:name="_Hlk129858389"/>
      <w:r>
        <w:rPr>
          <w:rFonts w:hint="eastAsia" w:ascii="黑体" w:hAnsi="黑体" w:eastAsia="黑体" w:cs="Times New Roman"/>
          <w:kern w:val="0"/>
          <w:sz w:val="52"/>
          <w:szCs w:val="20"/>
        </w:rPr>
        <w:t xml:space="preserve">                     </w:t>
      </w:r>
      <w:r>
        <w:rPr>
          <w:rFonts w:hint="eastAsia" w:ascii="黑体" w:hAnsi="黑体" w:eastAsia="黑体" w:cs="Times New Roman"/>
          <w:kern w:val="0"/>
          <w:sz w:val="32"/>
          <w:szCs w:val="32"/>
        </w:rPr>
        <w:t>DB﹒34/T﹒XXXX-XXXX</w:t>
      </w:r>
    </w:p>
    <w:bookmarkEnd w:id="1"/>
    <w:p w14:paraId="5D72CDE8">
      <w:pPr>
        <w:framePr w:w="9639" w:h="6974" w:hRule="exact" w:wrap="around" w:vAnchor="page" w:hAnchor="page" w:x="1291" w:y="6586" w:anchorLock="1"/>
        <w:spacing w:line="700" w:lineRule="exact"/>
        <w:jc w:val="both"/>
        <w:rPr>
          <w:rFonts w:hint="eastAsia" w:ascii="黑体" w:hAnsi="黑体" w:eastAsia="黑体" w:cs="Times New Roman"/>
          <w:bCs/>
          <w:kern w:val="0"/>
          <w:sz w:val="52"/>
          <w:szCs w:val="20"/>
        </w:rPr>
      </w:pPr>
    </w:p>
    <w:p w14:paraId="18521A0C">
      <w:pPr>
        <w:framePr w:w="9639" w:h="6974" w:hRule="exact" w:wrap="around" w:vAnchor="page" w:hAnchor="page" w:x="1291" w:y="6586" w:anchorLock="1"/>
        <w:spacing w:line="700" w:lineRule="exact"/>
        <w:jc w:val="center"/>
        <w:rPr>
          <w:rFonts w:hint="eastAsia" w:ascii="黑体" w:hAnsi="黑体" w:eastAsia="黑体" w:cs="Times New Roman"/>
          <w:bCs/>
          <w:kern w:val="0"/>
          <w:sz w:val="52"/>
          <w:szCs w:val="20"/>
        </w:rPr>
      </w:pPr>
      <w:r>
        <w:rPr>
          <w:rFonts w:hint="eastAsia" w:ascii="黑体" w:hAnsi="黑体" w:eastAsia="黑体" w:cs="Times New Roman"/>
          <w:bCs/>
          <w:kern w:val="0"/>
          <w:sz w:val="52"/>
          <w:szCs w:val="20"/>
        </w:rPr>
        <w:t>餐饮用醇基液体燃料使用安全规程</w:t>
      </w:r>
    </w:p>
    <w:p w14:paraId="20BDECE4">
      <w:pPr>
        <w:framePr w:w="9639" w:h="6974" w:hRule="exact" w:wrap="around" w:vAnchor="page" w:hAnchor="page" w:x="1291" w:y="6586" w:anchorLock="1"/>
        <w:widowControl w:val="0"/>
        <w:ind w:left="-1418"/>
        <w:rPr>
          <w:rFonts w:ascii="Times New Roman" w:hAnsi="Times New Roman" w:eastAsia="宋体" w:cs="Times New Roman"/>
          <w:sz w:val="21"/>
          <w:szCs w:val="24"/>
        </w:rPr>
      </w:pPr>
    </w:p>
    <w:p w14:paraId="3135B8F3">
      <w:pPr>
        <w:framePr w:w="9639" w:h="6974" w:hRule="exact" w:wrap="around" w:vAnchor="page" w:hAnchor="page" w:x="1291" w:y="6586" w:anchorLock="1"/>
        <w:widowControl w:val="0"/>
        <w:spacing w:line="360" w:lineRule="exact"/>
        <w:jc w:val="center"/>
        <w:textAlignment w:val="bottom"/>
        <w:rPr>
          <w:rFonts w:ascii="Times New Roman" w:hAnsi="Times New Roman" w:eastAsia="黑体" w:cs="Times New Roman"/>
          <w:kern w:val="0"/>
          <w:szCs w:val="28"/>
          <w:shd w:val="pct15" w:color="auto" w:fill="FFFFFF"/>
        </w:rPr>
      </w:pPr>
    </w:p>
    <w:p w14:paraId="75051F1C">
      <w:pPr>
        <w:framePr w:w="9639" w:h="6974" w:hRule="exact" w:wrap="around" w:vAnchor="page" w:hAnchor="page" w:x="1291" w:y="6586" w:anchorLock="1"/>
        <w:widowControl w:val="0"/>
        <w:spacing w:line="360" w:lineRule="exact"/>
        <w:jc w:val="center"/>
        <w:textAlignment w:val="bottom"/>
        <w:rPr>
          <w:rFonts w:ascii="Times New Roman" w:hAnsi="Times New Roman" w:eastAsia="黑体" w:cs="Times New Roman"/>
          <w:kern w:val="0"/>
          <w:szCs w:val="28"/>
          <w:shd w:val="pct15" w:color="auto" w:fill="FFFFFF"/>
        </w:rPr>
      </w:pPr>
      <w:r>
        <w:rPr>
          <w:rFonts w:ascii="Times New Roman" w:hAnsi="Times New Roman" w:eastAsia="黑体" w:cs="Times New Roman"/>
          <w:kern w:val="0"/>
          <w:szCs w:val="28"/>
          <w:shd w:val="pct15" w:color="auto" w:fill="FFFFFF"/>
        </w:rPr>
        <w:t>Safety regulations for the use of alcohol based liquid fuels in catering</w:t>
      </w:r>
    </w:p>
    <w:p w14:paraId="60877765">
      <w:pPr>
        <w:framePr w:w="9639" w:h="6974" w:hRule="exact" w:wrap="around" w:vAnchor="page" w:hAnchor="page" w:x="1291" w:y="6586" w:anchorLock="1"/>
        <w:widowControl w:val="0"/>
        <w:spacing w:line="360" w:lineRule="exact"/>
        <w:jc w:val="center"/>
        <w:textAlignment w:val="bottom"/>
        <w:rPr>
          <w:rFonts w:ascii="Times New Roman" w:hAnsi="Times New Roman" w:eastAsia="黑体" w:cs="Times New Roman"/>
          <w:kern w:val="0"/>
          <w:szCs w:val="28"/>
          <w:shd w:val="pct15" w:color="auto" w:fill="FFFFFF"/>
        </w:rPr>
      </w:pPr>
    </w:p>
    <w:p w14:paraId="47FC5234">
      <w:pPr>
        <w:framePr w:w="9639" w:h="6974" w:hRule="exact" w:wrap="around" w:vAnchor="page" w:hAnchor="page" w:x="1291" w:y="6586" w:anchorLock="1"/>
        <w:widowControl w:val="0"/>
        <w:spacing w:line="760" w:lineRule="exact"/>
        <w:ind w:left="-1418"/>
        <w:rPr>
          <w:rFonts w:ascii="Times New Roman" w:hAnsi="Times New Roman" w:eastAsia="宋体" w:cs="Times New Roman"/>
          <w:sz w:val="21"/>
          <w:szCs w:val="24"/>
          <w:shd w:val="pct15" w:color="auto" w:fill="FFFFFF"/>
        </w:rPr>
      </w:pPr>
    </w:p>
    <w:p w14:paraId="35EA800A">
      <w:pPr>
        <w:framePr w:w="9639" w:h="6974" w:hRule="exact" w:wrap="around" w:vAnchor="page" w:hAnchor="page" w:x="1291" w:y="6586" w:anchorLock="1"/>
        <w:widowControl w:val="0"/>
        <w:spacing w:line="360" w:lineRule="exact"/>
        <w:jc w:val="center"/>
        <w:textAlignment w:val="bottom"/>
        <w:rPr>
          <w:rFonts w:ascii="Times New Roman" w:hAnsi="Times New Roman" w:eastAsia="黑体" w:cs="Times New Roman"/>
          <w:kern w:val="0"/>
          <w:szCs w:val="28"/>
          <w:shd w:val="pct15" w:color="auto" w:fill="FFFFFF"/>
        </w:rPr>
      </w:pPr>
    </w:p>
    <w:p w14:paraId="003ECFBC">
      <w:pPr>
        <w:framePr w:w="9639" w:h="6974" w:hRule="exact" w:wrap="around" w:vAnchor="page" w:hAnchor="page" w:x="1291" w:y="6586" w:anchorLock="1"/>
        <w:widowControl w:val="0"/>
        <w:spacing w:before="440" w:after="160" w:line="360" w:lineRule="exact"/>
        <w:jc w:val="center"/>
        <w:textAlignment w:val="bottom"/>
        <w:rPr>
          <w:rFonts w:ascii="Times New Roman" w:hAnsi="Times New Roman" w:eastAsia="宋体" w:cs="Times New Roman"/>
          <w:kern w:val="0"/>
          <w:sz w:val="24"/>
          <w:szCs w:val="28"/>
          <w:shd w:val="pct15" w:color="auto" w:fill="FFFFFF"/>
        </w:rPr>
      </w:pPr>
      <w:r>
        <w:rPr>
          <w:rFonts w:ascii="Times New Roman" w:hAnsi="Times New Roman" w:eastAsia="宋体" w:cs="Times New Roman"/>
          <w:kern w:val="0"/>
          <w:sz w:val="24"/>
          <w:szCs w:val="28"/>
          <w:shd w:val="pct15" w:color="auto" w:fill="FFFFFF"/>
        </w:rPr>
        <w:fldChar w:fldCharType="begin">
          <w:ffData>
            <w:name w:val="下拉1"/>
            <w:enabled/>
            <w:calcOnExit w:val="0"/>
            <w:ddList>
              <w:listEntry w:val="（征求意见稿）"/>
              <w:listEntry w:val="草案版次选择"/>
              <w:listEntry w:val="（工作组讨论稿）"/>
              <w:listEntry w:val="（送审讨论稿）"/>
              <w:listEntry w:val="（送审稿）"/>
              <w:listEntry w:val="（报批稿）"/>
            </w:ddList>
          </w:ffData>
        </w:fldChar>
      </w:r>
      <w:bookmarkStart w:id="2" w:name="下拉1"/>
      <w:r>
        <w:rPr>
          <w:rFonts w:ascii="Times New Roman" w:hAnsi="Times New Roman" w:eastAsia="宋体" w:cs="Times New Roman"/>
          <w:kern w:val="0"/>
          <w:sz w:val="24"/>
          <w:szCs w:val="28"/>
          <w:shd w:val="pct15" w:color="auto" w:fill="FFFFFF"/>
        </w:rPr>
        <w:instrText xml:space="preserve"> FORMDROPDOWN </w:instrText>
      </w:r>
      <w:r>
        <w:rPr>
          <w:rFonts w:ascii="Times New Roman" w:hAnsi="Times New Roman" w:eastAsia="宋体" w:cs="Times New Roman"/>
          <w:kern w:val="0"/>
          <w:sz w:val="24"/>
          <w:szCs w:val="28"/>
          <w:shd w:val="pct15" w:color="auto" w:fill="FFFFFF"/>
        </w:rPr>
        <w:fldChar w:fldCharType="separate"/>
      </w:r>
      <w:r>
        <w:rPr>
          <w:rFonts w:ascii="Times New Roman" w:hAnsi="Times New Roman" w:eastAsia="宋体" w:cs="Times New Roman"/>
          <w:kern w:val="0"/>
          <w:sz w:val="24"/>
          <w:szCs w:val="28"/>
          <w:shd w:val="pct15" w:color="auto" w:fill="FFFFFF"/>
        </w:rPr>
        <w:fldChar w:fldCharType="end"/>
      </w:r>
      <w:bookmarkEnd w:id="2"/>
    </w:p>
    <w:p w14:paraId="04B41972">
      <w:pPr>
        <w:framePr w:w="9639" w:h="6974" w:hRule="exact" w:wrap="around" w:vAnchor="page" w:hAnchor="page" w:x="1291" w:y="6586" w:anchorLock="1"/>
        <w:widowControl w:val="0"/>
        <w:spacing w:before="180" w:line="240" w:lineRule="atLeast"/>
        <w:jc w:val="center"/>
        <w:textAlignment w:val="bottom"/>
        <w:rPr>
          <w:rFonts w:ascii="Times New Roman" w:hAnsi="Times New Roman" w:eastAsia="宋体" w:cs="Times New Roman"/>
          <w:kern w:val="0"/>
          <w:sz w:val="21"/>
          <w:szCs w:val="28"/>
          <w:shd w:val="pct15" w:color="auto" w:fill="FFFFFF"/>
        </w:rPr>
      </w:pPr>
      <w:r>
        <w:rPr>
          <w:rFonts w:ascii="Times New Roman" w:hAnsi="Times New Roman" w:eastAsia="宋体" w:cs="Times New Roman"/>
          <w:kern w:val="0"/>
          <w:sz w:val="21"/>
          <w:szCs w:val="28"/>
          <w:shd w:val="pct15" w:color="auto" w:fill="FFFFFF"/>
        </w:rPr>
        <w:fldChar w:fldCharType="begin">
          <w:ffData>
            <w:name w:val="CMPLSH_DATE"/>
            <w:enabled/>
            <w:calcOnExit w:val="0"/>
            <w:textInput/>
          </w:ffData>
        </w:fldChar>
      </w:r>
      <w:bookmarkStart w:id="3" w:name="CMPLSH_DATE"/>
      <w:r>
        <w:rPr>
          <w:rFonts w:ascii="Times New Roman" w:hAnsi="Times New Roman" w:eastAsia="宋体" w:cs="Times New Roman"/>
          <w:kern w:val="0"/>
          <w:sz w:val="21"/>
          <w:szCs w:val="28"/>
          <w:shd w:val="pct15" w:color="auto" w:fill="FFFFFF"/>
        </w:rPr>
        <w:instrText xml:space="preserve"> FORMTEXT </w:instrText>
      </w:r>
      <w:r>
        <w:rPr>
          <w:rFonts w:ascii="Times New Roman" w:hAnsi="Times New Roman" w:eastAsia="宋体" w:cs="Times New Roman"/>
          <w:kern w:val="0"/>
          <w:sz w:val="21"/>
          <w:szCs w:val="28"/>
          <w:shd w:val="pct15" w:color="auto" w:fill="FFFFFF"/>
        </w:rPr>
        <w:fldChar w:fldCharType="separate"/>
      </w:r>
      <w:r>
        <w:rPr>
          <w:rFonts w:ascii="Times New Roman" w:hAnsi="Times New Roman" w:eastAsia="宋体" w:cs="Times New Roman"/>
          <w:kern w:val="0"/>
          <w:sz w:val="21"/>
          <w:szCs w:val="28"/>
          <w:shd w:val="pct15" w:color="auto" w:fill="FFFFFF"/>
        </w:rPr>
        <w:t>     </w:t>
      </w:r>
      <w:r>
        <w:rPr>
          <w:rFonts w:ascii="Times New Roman" w:hAnsi="Times New Roman" w:eastAsia="宋体" w:cs="Times New Roman"/>
          <w:kern w:val="0"/>
          <w:sz w:val="21"/>
          <w:szCs w:val="28"/>
          <w:shd w:val="pct15" w:color="auto" w:fill="FFFFFF"/>
        </w:rPr>
        <w:fldChar w:fldCharType="end"/>
      </w:r>
      <w:bookmarkEnd w:id="3"/>
    </w:p>
    <w:p w14:paraId="0C40DC19">
      <w:pPr>
        <w:framePr w:w="9639" w:h="6974" w:hRule="exact" w:wrap="around" w:vAnchor="page" w:hAnchor="page" w:x="1291" w:y="6586" w:anchorLock="1"/>
        <w:widowControl w:val="0"/>
        <w:spacing w:before="936" w:beforeLines="300" w:after="93" w:afterLines="30" w:line="360" w:lineRule="exact"/>
        <w:jc w:val="center"/>
        <w:textAlignment w:val="bottom"/>
        <w:rPr>
          <w:rFonts w:ascii="Times New Roman" w:hAnsi="Times New Roman" w:eastAsia="宋体" w:cs="Times New Roman"/>
          <w:b/>
          <w:kern w:val="0"/>
          <w:sz w:val="21"/>
          <w:szCs w:val="28"/>
          <w:shd w:val="pct15" w:color="auto" w:fill="FFFFFF"/>
        </w:rPr>
      </w:pPr>
      <w:r>
        <w:rPr>
          <w:rFonts w:ascii="Times New Roman" w:hAnsi="Times New Roman" w:eastAsia="宋体" w:cs="Times New Roman"/>
          <w:b/>
          <w:kern w:val="0"/>
          <w:sz w:val="21"/>
          <w:szCs w:val="28"/>
          <w:shd w:val="pct15" w:color="auto" w:fill="FFFFFF"/>
        </w:rPr>
        <w:fldChar w:fldCharType="begin">
          <w:ffData>
            <w:name w:val="下拉2"/>
            <w:enabled/>
            <w:calcOnExit w:val="0"/>
            <w:ddList>
              <w:listEntry w:val=" "/>
              <w:listEntry w:val="在提交反馈意见时，请将您知道的相关专利连同支持性文件一并附上。"/>
            </w:ddList>
          </w:ffData>
        </w:fldChar>
      </w:r>
      <w:bookmarkStart w:id="4" w:name="下拉2"/>
      <w:r>
        <w:rPr>
          <w:rFonts w:ascii="Times New Roman" w:hAnsi="Times New Roman" w:eastAsia="宋体" w:cs="Times New Roman"/>
          <w:b/>
          <w:kern w:val="0"/>
          <w:sz w:val="21"/>
          <w:szCs w:val="28"/>
          <w:shd w:val="pct15" w:color="auto" w:fill="FFFFFF"/>
        </w:rPr>
        <w:instrText xml:space="preserve"> FORMDROPDOWN </w:instrText>
      </w:r>
      <w:r>
        <w:rPr>
          <w:rFonts w:ascii="Times New Roman" w:hAnsi="Times New Roman" w:eastAsia="宋体" w:cs="Times New Roman"/>
          <w:b/>
          <w:kern w:val="0"/>
          <w:sz w:val="21"/>
          <w:szCs w:val="28"/>
          <w:shd w:val="pct15" w:color="auto" w:fill="FFFFFF"/>
        </w:rPr>
        <w:fldChar w:fldCharType="separate"/>
      </w:r>
      <w:r>
        <w:rPr>
          <w:rFonts w:ascii="Times New Roman" w:hAnsi="Times New Roman" w:eastAsia="宋体" w:cs="Times New Roman"/>
          <w:b/>
          <w:kern w:val="0"/>
          <w:sz w:val="21"/>
          <w:szCs w:val="28"/>
          <w:shd w:val="pct15" w:color="auto" w:fill="FFFFFF"/>
        </w:rPr>
        <w:fldChar w:fldCharType="end"/>
      </w:r>
      <w:bookmarkEnd w:id="4"/>
    </w:p>
    <w:p w14:paraId="2F4856FA">
      <w:pPr>
        <w:framePr w:w="3997" w:h="471" w:hRule="exact" w:vSpace="181" w:wrap="around" w:vAnchor="page" w:hAnchor="page" w:x="1456" w:y="13366" w:anchorLock="1"/>
        <w:jc w:val="left"/>
        <w:rPr>
          <w:rFonts w:ascii="Times New Roman" w:hAnsi="Times New Roman" w:eastAsia="黑体" w:cs="Times New Roman"/>
          <w:kern w:val="0"/>
          <w:szCs w:val="20"/>
          <w:shd w:val="pct15" w:color="auto" w:fill="FFFFFF"/>
        </w:rPr>
      </w:pPr>
      <w:r>
        <w:rPr>
          <w:rFonts w:ascii="黑体" w:hAnsi="Times New Roman" w:eastAsia="黑体" w:cs="Times New Roman"/>
          <w:kern w:val="0"/>
          <w:szCs w:val="20"/>
          <w:shd w:val="pct15" w:color="auto" w:fill="FFFFFF"/>
        </w:rPr>
        <w:fldChar w:fldCharType="begin">
          <w:ffData>
            <w:name w:val="PLSH_DATE_Y"/>
            <w:enabled/>
            <w:calcOnExit w:val="0"/>
            <w:textInput>
              <w:default w:val="XXXX"/>
              <w:maxLength w:val="4"/>
            </w:textInput>
          </w:ffData>
        </w:fldChar>
      </w:r>
      <w:bookmarkStart w:id="5" w:name="PLSH_DATE_Y"/>
      <w:r>
        <w:rPr>
          <w:rFonts w:ascii="黑体" w:hAnsi="Times New Roman" w:eastAsia="黑体" w:cs="Times New Roman"/>
          <w:kern w:val="0"/>
          <w:szCs w:val="20"/>
          <w:shd w:val="pct15" w:color="auto" w:fill="FFFFFF"/>
        </w:rPr>
        <w:instrText xml:space="preserve"> FORMTEXT </w:instrText>
      </w:r>
      <w:r>
        <w:rPr>
          <w:rFonts w:ascii="黑体" w:hAnsi="Times New Roman" w:eastAsia="黑体" w:cs="Times New Roman"/>
          <w:kern w:val="0"/>
          <w:szCs w:val="20"/>
          <w:shd w:val="pct15" w:color="auto" w:fill="FFFFFF"/>
        </w:rPr>
        <w:fldChar w:fldCharType="separate"/>
      </w:r>
      <w:r>
        <w:rPr>
          <w:rFonts w:ascii="黑体" w:hAnsi="Times New Roman" w:eastAsia="黑体" w:cs="Times New Roman"/>
          <w:kern w:val="0"/>
          <w:szCs w:val="20"/>
          <w:shd w:val="pct15" w:color="auto" w:fill="FFFFFF"/>
        </w:rPr>
        <w:t>XXXX</w:t>
      </w:r>
      <w:r>
        <w:rPr>
          <w:rFonts w:ascii="黑体" w:hAnsi="Times New Roman" w:eastAsia="黑体" w:cs="Times New Roman"/>
          <w:kern w:val="0"/>
          <w:szCs w:val="20"/>
          <w:shd w:val="pct15" w:color="auto" w:fill="FFFFFF"/>
        </w:rPr>
        <w:fldChar w:fldCharType="end"/>
      </w:r>
      <w:bookmarkEnd w:id="5"/>
      <w:r>
        <w:rPr>
          <w:rFonts w:ascii="Times New Roman" w:hAnsi="Times New Roman" w:eastAsia="黑体" w:cs="Times New Roman"/>
          <w:kern w:val="0"/>
          <w:szCs w:val="20"/>
          <w:shd w:val="pct15" w:color="auto" w:fill="FFFFFF"/>
        </w:rPr>
        <w:t xml:space="preserve"> </w:t>
      </w:r>
      <w:r>
        <w:rPr>
          <w:rFonts w:ascii="黑体" w:hAnsi="Times New Roman" w:eastAsia="黑体" w:cs="Times New Roman"/>
          <w:kern w:val="0"/>
          <w:szCs w:val="20"/>
          <w:shd w:val="pct15" w:color="auto" w:fill="FFFFFF"/>
        </w:rPr>
        <w:t>-</w:t>
      </w:r>
      <w:r>
        <w:rPr>
          <w:rFonts w:ascii="Times New Roman" w:hAnsi="Times New Roman" w:eastAsia="黑体" w:cs="Times New Roman"/>
          <w:kern w:val="0"/>
          <w:szCs w:val="20"/>
          <w:shd w:val="pct15" w:color="auto" w:fill="FFFFFF"/>
        </w:rPr>
        <w:t xml:space="preserve"> </w:t>
      </w:r>
      <w:r>
        <w:rPr>
          <w:rFonts w:ascii="黑体" w:hAnsi="Times New Roman" w:eastAsia="黑体" w:cs="Times New Roman"/>
          <w:kern w:val="0"/>
          <w:szCs w:val="20"/>
          <w:shd w:val="pct15" w:color="auto" w:fill="FFFFFF"/>
        </w:rPr>
        <w:fldChar w:fldCharType="begin">
          <w:ffData>
            <w:name w:val="PLSH_DATE_M"/>
            <w:enabled/>
            <w:calcOnExit w:val="0"/>
            <w:textInput>
              <w:default w:val="XX"/>
              <w:maxLength w:val="2"/>
            </w:textInput>
          </w:ffData>
        </w:fldChar>
      </w:r>
      <w:bookmarkStart w:id="6" w:name="PLSH_DATE_M"/>
      <w:r>
        <w:rPr>
          <w:rFonts w:ascii="黑体" w:hAnsi="Times New Roman" w:eastAsia="黑体" w:cs="Times New Roman"/>
          <w:kern w:val="0"/>
          <w:szCs w:val="20"/>
          <w:shd w:val="pct15" w:color="auto" w:fill="FFFFFF"/>
        </w:rPr>
        <w:instrText xml:space="preserve"> FORMTEXT </w:instrText>
      </w:r>
      <w:r>
        <w:rPr>
          <w:rFonts w:ascii="黑体" w:hAnsi="Times New Roman" w:eastAsia="黑体" w:cs="Times New Roman"/>
          <w:kern w:val="0"/>
          <w:szCs w:val="20"/>
          <w:shd w:val="pct15" w:color="auto" w:fill="FFFFFF"/>
        </w:rPr>
        <w:fldChar w:fldCharType="separate"/>
      </w:r>
      <w:r>
        <w:rPr>
          <w:rFonts w:ascii="黑体" w:hAnsi="Times New Roman" w:eastAsia="黑体" w:cs="Times New Roman"/>
          <w:kern w:val="0"/>
          <w:szCs w:val="20"/>
          <w:shd w:val="pct15" w:color="auto" w:fill="FFFFFF"/>
        </w:rPr>
        <w:t>XX</w:t>
      </w:r>
      <w:r>
        <w:rPr>
          <w:rFonts w:ascii="黑体" w:hAnsi="Times New Roman" w:eastAsia="黑体" w:cs="Times New Roman"/>
          <w:kern w:val="0"/>
          <w:szCs w:val="20"/>
          <w:shd w:val="pct15" w:color="auto" w:fill="FFFFFF"/>
        </w:rPr>
        <w:fldChar w:fldCharType="end"/>
      </w:r>
      <w:bookmarkEnd w:id="6"/>
      <w:r>
        <w:rPr>
          <w:rFonts w:ascii="Times New Roman" w:hAnsi="Times New Roman" w:eastAsia="黑体" w:cs="Times New Roman"/>
          <w:kern w:val="0"/>
          <w:szCs w:val="20"/>
          <w:shd w:val="pct15" w:color="auto" w:fill="FFFFFF"/>
        </w:rPr>
        <w:t xml:space="preserve"> </w:t>
      </w:r>
      <w:r>
        <w:rPr>
          <w:rFonts w:ascii="黑体" w:hAnsi="Times New Roman" w:eastAsia="黑体" w:cs="Times New Roman"/>
          <w:kern w:val="0"/>
          <w:szCs w:val="20"/>
          <w:shd w:val="pct15" w:color="auto" w:fill="FFFFFF"/>
        </w:rPr>
        <w:t>-</w:t>
      </w:r>
      <w:r>
        <w:rPr>
          <w:rFonts w:ascii="Times New Roman" w:hAnsi="Times New Roman" w:eastAsia="黑体" w:cs="Times New Roman"/>
          <w:kern w:val="0"/>
          <w:szCs w:val="20"/>
          <w:shd w:val="pct15" w:color="auto" w:fill="FFFFFF"/>
        </w:rPr>
        <w:t xml:space="preserve"> </w:t>
      </w:r>
      <w:r>
        <w:rPr>
          <w:rFonts w:ascii="黑体" w:hAnsi="Times New Roman" w:eastAsia="黑体" w:cs="Times New Roman"/>
          <w:kern w:val="0"/>
          <w:szCs w:val="20"/>
          <w:shd w:val="pct15" w:color="auto" w:fill="FFFFFF"/>
        </w:rPr>
        <w:fldChar w:fldCharType="begin">
          <w:ffData>
            <w:name w:val="PLSH_DATE_D"/>
            <w:enabled/>
            <w:calcOnExit w:val="0"/>
            <w:textInput>
              <w:default w:val="XX"/>
              <w:maxLength w:val="2"/>
            </w:textInput>
          </w:ffData>
        </w:fldChar>
      </w:r>
      <w:bookmarkStart w:id="7" w:name="PLSH_DATE_D"/>
      <w:r>
        <w:rPr>
          <w:rFonts w:ascii="黑体" w:hAnsi="Times New Roman" w:eastAsia="黑体" w:cs="Times New Roman"/>
          <w:kern w:val="0"/>
          <w:szCs w:val="20"/>
          <w:shd w:val="pct15" w:color="auto" w:fill="FFFFFF"/>
        </w:rPr>
        <w:instrText xml:space="preserve"> FORMTEXT </w:instrText>
      </w:r>
      <w:r>
        <w:rPr>
          <w:rFonts w:ascii="黑体" w:hAnsi="Times New Roman" w:eastAsia="黑体" w:cs="Times New Roman"/>
          <w:kern w:val="0"/>
          <w:szCs w:val="20"/>
          <w:shd w:val="pct15" w:color="auto" w:fill="FFFFFF"/>
        </w:rPr>
        <w:fldChar w:fldCharType="separate"/>
      </w:r>
      <w:r>
        <w:rPr>
          <w:rFonts w:ascii="黑体" w:hAnsi="Times New Roman" w:eastAsia="黑体" w:cs="Times New Roman"/>
          <w:kern w:val="0"/>
          <w:szCs w:val="20"/>
          <w:shd w:val="pct15" w:color="auto" w:fill="FFFFFF"/>
        </w:rPr>
        <w:t>XX</w:t>
      </w:r>
      <w:r>
        <w:rPr>
          <w:rFonts w:ascii="黑体" w:hAnsi="Times New Roman" w:eastAsia="黑体" w:cs="Times New Roman"/>
          <w:kern w:val="0"/>
          <w:szCs w:val="20"/>
          <w:shd w:val="pct15" w:color="auto" w:fill="FFFFFF"/>
        </w:rPr>
        <w:fldChar w:fldCharType="end"/>
      </w:r>
      <w:bookmarkEnd w:id="7"/>
      <w:r>
        <w:rPr>
          <w:rFonts w:hint="eastAsia" w:ascii="Times New Roman" w:hAnsi="Times New Roman" w:eastAsia="黑体" w:cs="Times New Roman"/>
          <w:kern w:val="0"/>
          <w:szCs w:val="20"/>
          <w:shd w:val="pct15" w:color="auto" w:fill="FFFFFF"/>
        </w:rPr>
        <w:t>发布</w:t>
      </w:r>
    </w:p>
    <w:p w14:paraId="053D88B5">
      <w:pPr>
        <w:framePr w:w="3997" w:h="471" w:hRule="exact" w:vSpace="181" w:wrap="around" w:vAnchor="page" w:hAnchor="page" w:x="6901" w:y="13321" w:anchorLock="1"/>
        <w:jc w:val="right"/>
        <w:rPr>
          <w:rFonts w:ascii="Times New Roman" w:hAnsi="Times New Roman" w:eastAsia="黑体" w:cs="Times New Roman"/>
          <w:kern w:val="0"/>
          <w:szCs w:val="20"/>
          <w:shd w:val="pct15" w:color="auto" w:fill="FFFFFF"/>
        </w:rPr>
      </w:pPr>
      <w:r>
        <w:rPr>
          <w:rFonts w:ascii="黑体" w:hAnsi="Times New Roman" w:eastAsia="黑体" w:cs="Times New Roman"/>
          <w:kern w:val="0"/>
          <w:szCs w:val="20"/>
          <w:shd w:val="pct15" w:color="auto" w:fill="FFFFFF"/>
        </w:rPr>
        <w:fldChar w:fldCharType="begin">
          <w:ffData>
            <w:name w:val="CROT_DATE_Y"/>
            <w:enabled/>
            <w:calcOnExit w:val="0"/>
            <w:textInput>
              <w:default w:val="XXXX"/>
              <w:maxLength w:val="4"/>
            </w:textInput>
          </w:ffData>
        </w:fldChar>
      </w:r>
      <w:bookmarkStart w:id="8" w:name="CROT_DATE_Y"/>
      <w:r>
        <w:rPr>
          <w:rFonts w:ascii="黑体" w:hAnsi="Times New Roman" w:eastAsia="黑体" w:cs="Times New Roman"/>
          <w:kern w:val="0"/>
          <w:szCs w:val="20"/>
          <w:shd w:val="pct15" w:color="auto" w:fill="FFFFFF"/>
        </w:rPr>
        <w:instrText xml:space="preserve"> FORMTEXT </w:instrText>
      </w:r>
      <w:r>
        <w:rPr>
          <w:rFonts w:ascii="黑体" w:hAnsi="Times New Roman" w:eastAsia="黑体" w:cs="Times New Roman"/>
          <w:kern w:val="0"/>
          <w:szCs w:val="20"/>
          <w:shd w:val="pct15" w:color="auto" w:fill="FFFFFF"/>
        </w:rPr>
        <w:fldChar w:fldCharType="separate"/>
      </w:r>
      <w:r>
        <w:rPr>
          <w:rFonts w:ascii="黑体" w:hAnsi="Times New Roman" w:eastAsia="黑体" w:cs="Times New Roman"/>
          <w:kern w:val="0"/>
          <w:szCs w:val="20"/>
          <w:shd w:val="pct15" w:color="auto" w:fill="FFFFFF"/>
        </w:rPr>
        <w:t>XXXX</w:t>
      </w:r>
      <w:r>
        <w:rPr>
          <w:rFonts w:ascii="黑体" w:hAnsi="Times New Roman" w:eastAsia="黑体" w:cs="Times New Roman"/>
          <w:kern w:val="0"/>
          <w:szCs w:val="20"/>
          <w:shd w:val="pct15" w:color="auto" w:fill="FFFFFF"/>
        </w:rPr>
        <w:fldChar w:fldCharType="end"/>
      </w:r>
      <w:bookmarkEnd w:id="8"/>
      <w:r>
        <w:rPr>
          <w:rFonts w:ascii="Times New Roman" w:hAnsi="Times New Roman" w:eastAsia="黑体" w:cs="Times New Roman"/>
          <w:kern w:val="0"/>
          <w:szCs w:val="20"/>
          <w:shd w:val="pct15" w:color="auto" w:fill="FFFFFF"/>
        </w:rPr>
        <w:t xml:space="preserve"> </w:t>
      </w:r>
      <w:r>
        <w:rPr>
          <w:rFonts w:ascii="黑体" w:hAnsi="Times New Roman" w:eastAsia="黑体" w:cs="Times New Roman"/>
          <w:kern w:val="0"/>
          <w:szCs w:val="20"/>
          <w:shd w:val="pct15" w:color="auto" w:fill="FFFFFF"/>
        </w:rPr>
        <w:t>-</w:t>
      </w:r>
      <w:r>
        <w:rPr>
          <w:rFonts w:ascii="Times New Roman" w:hAnsi="Times New Roman" w:eastAsia="黑体" w:cs="Times New Roman"/>
          <w:kern w:val="0"/>
          <w:szCs w:val="20"/>
          <w:shd w:val="pct15" w:color="auto" w:fill="FFFFFF"/>
        </w:rPr>
        <w:t xml:space="preserve"> </w:t>
      </w:r>
      <w:r>
        <w:rPr>
          <w:rFonts w:ascii="黑体" w:hAnsi="Times New Roman" w:eastAsia="黑体" w:cs="Times New Roman"/>
          <w:kern w:val="0"/>
          <w:szCs w:val="20"/>
          <w:shd w:val="pct15" w:color="auto" w:fill="FFFFFF"/>
        </w:rPr>
        <w:fldChar w:fldCharType="begin">
          <w:ffData>
            <w:name w:val="CROT_DATE_M"/>
            <w:enabled/>
            <w:calcOnExit w:val="0"/>
            <w:textInput>
              <w:default w:val="XX"/>
              <w:maxLength w:val="2"/>
            </w:textInput>
          </w:ffData>
        </w:fldChar>
      </w:r>
      <w:bookmarkStart w:id="9" w:name="CROT_DATE_M"/>
      <w:r>
        <w:rPr>
          <w:rFonts w:ascii="黑体" w:hAnsi="Times New Roman" w:eastAsia="黑体" w:cs="Times New Roman"/>
          <w:kern w:val="0"/>
          <w:szCs w:val="20"/>
          <w:shd w:val="pct15" w:color="auto" w:fill="FFFFFF"/>
        </w:rPr>
        <w:instrText xml:space="preserve"> FORMTEXT </w:instrText>
      </w:r>
      <w:r>
        <w:rPr>
          <w:rFonts w:ascii="黑体" w:hAnsi="Times New Roman" w:eastAsia="黑体" w:cs="Times New Roman"/>
          <w:kern w:val="0"/>
          <w:szCs w:val="20"/>
          <w:shd w:val="pct15" w:color="auto" w:fill="FFFFFF"/>
        </w:rPr>
        <w:fldChar w:fldCharType="separate"/>
      </w:r>
      <w:r>
        <w:rPr>
          <w:rFonts w:ascii="黑体" w:hAnsi="Times New Roman" w:eastAsia="黑体" w:cs="Times New Roman"/>
          <w:kern w:val="0"/>
          <w:szCs w:val="20"/>
          <w:shd w:val="pct15" w:color="auto" w:fill="FFFFFF"/>
        </w:rPr>
        <w:t>XX</w:t>
      </w:r>
      <w:r>
        <w:rPr>
          <w:rFonts w:ascii="黑体" w:hAnsi="Times New Roman" w:eastAsia="黑体" w:cs="Times New Roman"/>
          <w:kern w:val="0"/>
          <w:szCs w:val="20"/>
          <w:shd w:val="pct15" w:color="auto" w:fill="FFFFFF"/>
        </w:rPr>
        <w:fldChar w:fldCharType="end"/>
      </w:r>
      <w:bookmarkEnd w:id="9"/>
      <w:r>
        <w:rPr>
          <w:rFonts w:ascii="Times New Roman" w:hAnsi="Times New Roman" w:eastAsia="黑体" w:cs="Times New Roman"/>
          <w:kern w:val="0"/>
          <w:szCs w:val="20"/>
          <w:shd w:val="pct15" w:color="auto" w:fill="FFFFFF"/>
        </w:rPr>
        <w:t xml:space="preserve"> </w:t>
      </w:r>
      <w:r>
        <w:rPr>
          <w:rFonts w:ascii="黑体" w:hAnsi="Times New Roman" w:eastAsia="黑体" w:cs="Times New Roman"/>
          <w:kern w:val="0"/>
          <w:szCs w:val="20"/>
          <w:shd w:val="pct15" w:color="auto" w:fill="FFFFFF"/>
        </w:rPr>
        <w:t>-</w:t>
      </w:r>
      <w:r>
        <w:rPr>
          <w:rFonts w:ascii="Times New Roman" w:hAnsi="Times New Roman" w:eastAsia="黑体" w:cs="Times New Roman"/>
          <w:kern w:val="0"/>
          <w:szCs w:val="20"/>
          <w:shd w:val="pct15" w:color="auto" w:fill="FFFFFF"/>
        </w:rPr>
        <w:t xml:space="preserve"> </w:t>
      </w:r>
      <w:r>
        <w:rPr>
          <w:rFonts w:ascii="黑体" w:hAnsi="Times New Roman" w:eastAsia="黑体" w:cs="Times New Roman"/>
          <w:kern w:val="0"/>
          <w:szCs w:val="20"/>
          <w:shd w:val="pct15" w:color="auto" w:fill="FFFFFF"/>
        </w:rPr>
        <w:fldChar w:fldCharType="begin">
          <w:ffData>
            <w:name w:val="CROT_DATE_D"/>
            <w:enabled/>
            <w:calcOnExit w:val="0"/>
            <w:textInput>
              <w:default w:val="XX"/>
              <w:maxLength w:val="2"/>
            </w:textInput>
          </w:ffData>
        </w:fldChar>
      </w:r>
      <w:bookmarkStart w:id="10" w:name="CROT_DATE_D"/>
      <w:r>
        <w:rPr>
          <w:rFonts w:ascii="黑体" w:hAnsi="Times New Roman" w:eastAsia="黑体" w:cs="Times New Roman"/>
          <w:kern w:val="0"/>
          <w:szCs w:val="20"/>
          <w:shd w:val="pct15" w:color="auto" w:fill="FFFFFF"/>
        </w:rPr>
        <w:instrText xml:space="preserve"> FORMTEXT </w:instrText>
      </w:r>
      <w:r>
        <w:rPr>
          <w:rFonts w:ascii="黑体" w:hAnsi="Times New Roman" w:eastAsia="黑体" w:cs="Times New Roman"/>
          <w:kern w:val="0"/>
          <w:szCs w:val="20"/>
          <w:shd w:val="pct15" w:color="auto" w:fill="FFFFFF"/>
        </w:rPr>
        <w:fldChar w:fldCharType="separate"/>
      </w:r>
      <w:r>
        <w:rPr>
          <w:rFonts w:ascii="黑体" w:hAnsi="Times New Roman" w:eastAsia="黑体" w:cs="Times New Roman"/>
          <w:kern w:val="0"/>
          <w:szCs w:val="20"/>
          <w:shd w:val="pct15" w:color="auto" w:fill="FFFFFF"/>
        </w:rPr>
        <w:t>XX</w:t>
      </w:r>
      <w:r>
        <w:rPr>
          <w:rFonts w:ascii="黑体" w:hAnsi="Times New Roman" w:eastAsia="黑体" w:cs="Times New Roman"/>
          <w:kern w:val="0"/>
          <w:szCs w:val="20"/>
          <w:shd w:val="pct15" w:color="auto" w:fill="FFFFFF"/>
        </w:rPr>
        <w:fldChar w:fldCharType="end"/>
      </w:r>
      <w:bookmarkEnd w:id="10"/>
      <w:r>
        <w:rPr>
          <w:rFonts w:hint="eastAsia" w:ascii="Times New Roman" w:hAnsi="Times New Roman" w:eastAsia="黑体" w:cs="Times New Roman"/>
          <w:kern w:val="0"/>
          <w:szCs w:val="20"/>
          <w:shd w:val="pct15" w:color="auto" w:fill="FFFFFF"/>
        </w:rPr>
        <w:t>实施</w:t>
      </w:r>
    </w:p>
    <w:p w14:paraId="24B2355A">
      <w:pPr>
        <w:framePr w:w="7433" w:h="584" w:hRule="exact" w:hSpace="181" w:vSpace="181" w:wrap="around" w:vAnchor="page" w:hAnchor="page" w:x="2370" w:y="14146" w:anchorLock="1"/>
        <w:spacing w:line="0" w:lineRule="atLeast"/>
        <w:jc w:val="center"/>
        <w:rPr>
          <w:rFonts w:hint="eastAsia" w:ascii="黑体" w:hAnsi="黑体" w:eastAsia="黑体" w:cs="Times New Roman"/>
          <w:w w:val="135"/>
          <w:kern w:val="0"/>
          <w:sz w:val="36"/>
          <w:szCs w:val="20"/>
          <w:shd w:val="pct15" w:color="auto" w:fill="FFFFFF"/>
        </w:rPr>
      </w:pPr>
      <w:r>
        <w:rPr>
          <w:rFonts w:ascii="黑体" w:hAnsi="黑体" w:eastAsia="黑体" w:cs="Times New Roman"/>
          <w:kern w:val="0"/>
          <w:szCs w:val="20"/>
          <w:shd w:val="pct15" w:color="auto" w:fill="FFFFFF"/>
        </w:rPr>
        <w:fldChar w:fldCharType="begin">
          <w:ffData>
            <w:name w:val="fm"/>
            <w:enabled/>
            <w:calcOnExit w:val="0"/>
            <w:textInput/>
          </w:ffData>
        </w:fldChar>
      </w:r>
      <w:bookmarkStart w:id="11" w:name="fm"/>
      <w:r>
        <w:rPr>
          <w:rFonts w:ascii="黑体" w:hAnsi="黑体" w:eastAsia="黑体" w:cs="Times New Roman"/>
          <w:kern w:val="0"/>
          <w:szCs w:val="20"/>
          <w:shd w:val="pct15" w:color="auto" w:fill="FFFFFF"/>
        </w:rPr>
        <w:instrText xml:space="preserve"> FORMTEXT </w:instrText>
      </w:r>
      <w:r>
        <w:rPr>
          <w:rFonts w:ascii="黑体" w:hAnsi="黑体" w:eastAsia="黑体" w:cs="Times New Roman"/>
          <w:kern w:val="0"/>
          <w:szCs w:val="20"/>
          <w:shd w:val="pct15" w:color="auto" w:fill="FFFFFF"/>
        </w:rPr>
        <w:fldChar w:fldCharType="separate"/>
      </w:r>
      <w:r>
        <w:rPr>
          <w:rFonts w:hint="eastAsia" w:ascii="黑体" w:hAnsi="黑体" w:eastAsia="黑体" w:cs="Times New Roman"/>
          <w:kern w:val="0"/>
          <w:szCs w:val="20"/>
          <w:shd w:val="pct15" w:color="auto" w:fill="FFFFFF"/>
        </w:rPr>
        <w:t>安徽省</w:t>
      </w:r>
      <w:r>
        <w:rPr>
          <w:rFonts w:ascii="黑体" w:hAnsi="黑体" w:eastAsia="黑体" w:cs="Times New Roman"/>
          <w:kern w:val="0"/>
          <w:szCs w:val="20"/>
          <w:shd w:val="pct15" w:color="auto" w:fill="FFFFFF"/>
        </w:rPr>
        <w:t>市场监督管理局</w:t>
      </w:r>
      <w:r>
        <w:rPr>
          <w:rFonts w:ascii="黑体" w:hAnsi="黑体" w:eastAsia="黑体" w:cs="Times New Roman"/>
          <w:kern w:val="0"/>
          <w:szCs w:val="20"/>
          <w:shd w:val="pct15" w:color="auto" w:fill="FFFFFF"/>
        </w:rPr>
        <w:fldChar w:fldCharType="end"/>
      </w:r>
      <w:bookmarkEnd w:id="11"/>
      <w:r>
        <w:rPr>
          <w:rFonts w:ascii="Times New Roman" w:hAnsi="Times New Roman" w:eastAsia="黑体" w:cs="Times New Roman"/>
          <w:kern w:val="0"/>
          <w:szCs w:val="20"/>
          <w:shd w:val="pct15" w:color="auto" w:fill="FFFFFF"/>
        </w:rPr>
        <w:t>  </w:t>
      </w:r>
      <w:r>
        <w:rPr>
          <w:rFonts w:hint="eastAsia" w:ascii="黑体" w:hAnsi="黑体" w:eastAsia="黑体" w:cs="Times New Roman"/>
          <w:spacing w:val="85"/>
          <w:kern w:val="0"/>
          <w:position w:val="3"/>
          <w:szCs w:val="28"/>
          <w:shd w:val="pct15" w:color="auto" w:fill="FFFFFF"/>
        </w:rPr>
        <w:t>发布</w:t>
      </w:r>
    </w:p>
    <w:p w14:paraId="63B57241">
      <w:pPr>
        <w:widowControl w:val="0"/>
        <w:jc w:val="center"/>
        <w:rPr>
          <w:rFonts w:hint="eastAsia" w:ascii="黑体" w:hAnsi="黑体" w:eastAsia="黑体" w:cs="Times New Roman"/>
          <w:b/>
          <w:sz w:val="52"/>
          <w:szCs w:val="52"/>
          <w:shd w:val="pct15" w:color="auto" w:fill="FFFFFF"/>
        </w:rPr>
      </w:pPr>
      <w:r>
        <w:rPr>
          <w:rFonts w:hint="eastAsia" w:ascii="黑体" w:hAnsi="黑体" w:eastAsia="黑体" w:cs="Times New Roman"/>
          <w:b/>
          <w:sz w:val="52"/>
          <w:szCs w:val="52"/>
          <w:shd w:val="pct15" w:color="auto" w:fill="FFFFFF"/>
        </w:rPr>
        <w:t xml:space="preserve">安   徽  </w:t>
      </w:r>
      <w:bookmarkStart w:id="66" w:name="_GoBack"/>
      <w:bookmarkEnd w:id="66"/>
      <w:r>
        <w:rPr>
          <w:rFonts w:hint="eastAsia" w:ascii="黑体" w:hAnsi="黑体" w:eastAsia="黑体" w:cs="Times New Roman"/>
          <w:b/>
          <w:sz w:val="52"/>
          <w:szCs w:val="52"/>
          <w:shd w:val="pct15" w:color="auto" w:fill="FFFFFF"/>
        </w:rPr>
        <w:t xml:space="preserve"> 省   地   方   标   准</w:t>
      </w:r>
    </w:p>
    <w:p w14:paraId="42ED24C8">
      <w:pPr>
        <w:widowControl w:val="0"/>
        <w:spacing w:line="360" w:lineRule="auto"/>
        <w:jc w:val="center"/>
        <w:rPr>
          <w:rFonts w:hint="eastAsia" w:ascii="宋体" w:hAnsi="宋体" w:eastAsia="宋体" w:cs="Times New Roman"/>
          <w:b/>
          <w:sz w:val="52"/>
          <w:szCs w:val="52"/>
          <w:shd w:val="pct15" w:color="auto" w:fill="FFFFFF"/>
        </w:rPr>
        <w:sectPr>
          <w:headerReference r:id="rId4" w:type="first"/>
          <w:footerReference r:id="rId6" w:type="first"/>
          <w:headerReference r:id="rId3" w:type="default"/>
          <w:footerReference r:id="rId5" w:type="even"/>
          <w:pgSz w:w="11906" w:h="16838"/>
          <w:pgMar w:top="1440" w:right="1701" w:bottom="1440" w:left="1701" w:header="851" w:footer="992" w:gutter="0"/>
          <w:pgNumType w:fmt="numberInDash"/>
          <w:cols w:space="720" w:num="1"/>
          <w:docGrid w:type="lines" w:linePitch="312" w:charSpace="0"/>
        </w:sectPr>
      </w:pPr>
    </w:p>
    <w:p w14:paraId="1EA8E3E0">
      <w:pPr>
        <w:widowControl w:val="0"/>
        <w:adjustRightInd w:val="0"/>
        <w:spacing w:after="468" w:afterLines="150"/>
        <w:jc w:val="center"/>
        <w:rPr>
          <w:rFonts w:ascii="方正小标宋简体" w:hAnsi="Calibri" w:eastAsia="方正小标宋简体" w:cs="Times New Roman"/>
          <w:sz w:val="36"/>
          <w:szCs w:val="36"/>
        </w:rPr>
      </w:pPr>
      <w:bookmarkStart w:id="12" w:name="BookMark1"/>
      <w:bookmarkStart w:id="13" w:name="_Toc93587139"/>
      <w:bookmarkStart w:id="14" w:name="_Toc67496481"/>
      <w:bookmarkStart w:id="15" w:name="_Toc67496419"/>
      <w:bookmarkStart w:id="16" w:name="_Toc67496454"/>
      <w:bookmarkStart w:id="17" w:name="_Toc67498191"/>
      <w:bookmarkStart w:id="18" w:name="_Toc67496621"/>
      <w:r>
        <w:rPr>
          <w:rFonts w:hint="eastAsia" w:ascii="方正小标宋简体" w:hAnsi="Calibri" w:eastAsia="方正小标宋简体" w:cs="Times New Roman"/>
          <w:spacing w:val="320"/>
          <w:sz w:val="36"/>
          <w:szCs w:val="36"/>
        </w:rPr>
        <w:t>目</w:t>
      </w:r>
      <w:r>
        <w:rPr>
          <w:rFonts w:hint="eastAsia" w:ascii="方正小标宋简体" w:hAnsi="Calibri" w:eastAsia="方正小标宋简体" w:cs="Times New Roman"/>
          <w:sz w:val="36"/>
          <w:szCs w:val="36"/>
        </w:rPr>
        <w:t>次</w:t>
      </w:r>
    </w:p>
    <w:p w14:paraId="113AC45D">
      <w:pPr>
        <w:pStyle w:val="8"/>
        <w:tabs>
          <w:tab w:val="right" w:leader="dot" w:pos="9344"/>
        </w:tabs>
        <w:rPr>
          <w:rFonts w:cstheme="minorBidi"/>
          <w:kern w:val="2"/>
          <w:szCs w:val="24"/>
          <w14:ligatures w14:val="standardContextual"/>
        </w:rPr>
      </w:pPr>
      <w:r>
        <w:rPr>
          <w:rFonts w:ascii="宋体" w:hAnsi="Calibri" w:eastAsia="宋体"/>
          <w:color w:val="4874CB" w:themeColor="accent1"/>
          <w:sz w:val="21"/>
          <w:szCs w:val="21"/>
          <w14:textFill>
            <w14:solidFill>
              <w14:schemeClr w14:val="accent1"/>
            </w14:solidFill>
          </w14:textFill>
        </w:rPr>
        <w:fldChar w:fldCharType="begin"/>
      </w:r>
      <w:r>
        <w:rPr>
          <w:rFonts w:ascii="宋体" w:hAnsi="Calibri" w:eastAsia="宋体"/>
          <w:color w:val="4874CB" w:themeColor="accent1"/>
          <w:sz w:val="21"/>
          <w:szCs w:val="21"/>
          <w14:textFill>
            <w14:solidFill>
              <w14:schemeClr w14:val="accent1"/>
            </w14:solidFill>
          </w14:textFill>
        </w:rPr>
        <w:instrText xml:space="preserve"> TOC \o "1-3" \h \z \u </w:instrText>
      </w:r>
      <w:r>
        <w:rPr>
          <w:rFonts w:ascii="宋体" w:hAnsi="Calibri" w:eastAsia="宋体"/>
          <w:color w:val="4874CB" w:themeColor="accent1"/>
          <w:sz w:val="21"/>
          <w:szCs w:val="21"/>
          <w14:textFill>
            <w14:solidFill>
              <w14:schemeClr w14:val="accent1"/>
            </w14:solidFill>
          </w14:textFill>
        </w:rPr>
        <w:fldChar w:fldCharType="separate"/>
      </w:r>
      <w:r>
        <w:fldChar w:fldCharType="begin"/>
      </w:r>
      <w:r>
        <w:instrText xml:space="preserve"> HYPERLINK \l "_Toc210663250" </w:instrText>
      </w:r>
      <w:r>
        <w:fldChar w:fldCharType="separate"/>
      </w:r>
      <w:r>
        <w:rPr>
          <w:rStyle w:val="12"/>
          <w:rFonts w:hint="eastAsia" w:ascii="黑体" w:hAnsi="Times New Roman" w:eastAsia="黑体"/>
          <w:spacing w:val="320"/>
        </w:rPr>
        <w:t>前</w:t>
      </w:r>
      <w:r>
        <w:rPr>
          <w:rStyle w:val="12"/>
          <w:rFonts w:hint="eastAsia" w:ascii="黑体" w:hAnsi="Times New Roman" w:eastAsia="黑体"/>
        </w:rPr>
        <w:t>言</w:t>
      </w:r>
      <w:r>
        <w:rPr>
          <w:rFonts w:hint="eastAsia"/>
        </w:rPr>
        <w:tab/>
      </w:r>
      <w:r>
        <w:rPr>
          <w:rFonts w:hint="eastAsia"/>
        </w:rPr>
        <w:fldChar w:fldCharType="begin"/>
      </w:r>
      <w:r>
        <w:rPr>
          <w:rFonts w:hint="eastAsia"/>
        </w:rPr>
        <w:instrText xml:space="preserve"> </w:instrText>
      </w:r>
      <w:r>
        <w:instrText xml:space="preserve">PAGEREF _Toc210663250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168BF157">
      <w:pPr>
        <w:pStyle w:val="8"/>
        <w:tabs>
          <w:tab w:val="right" w:leader="dot" w:pos="9344"/>
        </w:tabs>
        <w:rPr>
          <w:rFonts w:cstheme="minorBidi"/>
          <w:kern w:val="2"/>
          <w:szCs w:val="24"/>
          <w14:ligatures w14:val="standardContextual"/>
        </w:rPr>
      </w:pPr>
      <w:r>
        <w:fldChar w:fldCharType="begin"/>
      </w:r>
      <w:r>
        <w:instrText xml:space="preserve"> HYPERLINK \l "_Toc210663251" </w:instrText>
      </w:r>
      <w:r>
        <w:fldChar w:fldCharType="separate"/>
      </w:r>
      <w:r>
        <w:rPr>
          <w:rStyle w:val="12"/>
          <w:rFonts w:hint="eastAsia" w:ascii="黑体" w:hAnsi="Times New Roman" w:eastAsia="黑体"/>
        </w:rPr>
        <w:t>1 范围</w:t>
      </w:r>
      <w:r>
        <w:rPr>
          <w:rFonts w:hint="eastAsia"/>
        </w:rPr>
        <w:tab/>
      </w:r>
      <w:r>
        <w:rPr>
          <w:rFonts w:hint="eastAsia"/>
        </w:rPr>
        <w:fldChar w:fldCharType="begin"/>
      </w:r>
      <w:r>
        <w:rPr>
          <w:rFonts w:hint="eastAsia"/>
        </w:rPr>
        <w:instrText xml:space="preserve"> </w:instrText>
      </w:r>
      <w:r>
        <w:instrText xml:space="preserve">PAGEREF _Toc210663251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1B64A02">
      <w:pPr>
        <w:pStyle w:val="8"/>
        <w:tabs>
          <w:tab w:val="right" w:leader="dot" w:pos="9344"/>
        </w:tabs>
        <w:rPr>
          <w:rFonts w:cstheme="minorBidi"/>
          <w:kern w:val="2"/>
          <w:szCs w:val="24"/>
          <w14:ligatures w14:val="standardContextual"/>
        </w:rPr>
      </w:pPr>
      <w:r>
        <w:fldChar w:fldCharType="begin"/>
      </w:r>
      <w:r>
        <w:instrText xml:space="preserve"> HYPERLINK \l "_Toc210663252" </w:instrText>
      </w:r>
      <w:r>
        <w:fldChar w:fldCharType="separate"/>
      </w:r>
      <w:r>
        <w:rPr>
          <w:rStyle w:val="12"/>
          <w:rFonts w:hint="eastAsia" w:ascii="黑体" w:hAnsi="Times New Roman" w:eastAsia="黑体"/>
        </w:rPr>
        <w:t>2 规范性引用文件</w:t>
      </w:r>
      <w:r>
        <w:rPr>
          <w:rFonts w:hint="eastAsia"/>
        </w:rPr>
        <w:tab/>
      </w:r>
      <w:r>
        <w:rPr>
          <w:rFonts w:hint="eastAsia"/>
        </w:rPr>
        <w:fldChar w:fldCharType="begin"/>
      </w:r>
      <w:r>
        <w:rPr>
          <w:rFonts w:hint="eastAsia"/>
        </w:rPr>
        <w:instrText xml:space="preserve"> </w:instrText>
      </w:r>
      <w:r>
        <w:instrText xml:space="preserve">PAGEREF _Toc210663252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941F96F">
      <w:pPr>
        <w:pStyle w:val="8"/>
        <w:tabs>
          <w:tab w:val="right" w:leader="dot" w:pos="9344"/>
        </w:tabs>
        <w:rPr>
          <w:rFonts w:cstheme="minorBidi"/>
          <w:kern w:val="2"/>
          <w:szCs w:val="24"/>
          <w14:ligatures w14:val="standardContextual"/>
        </w:rPr>
      </w:pPr>
      <w:r>
        <w:fldChar w:fldCharType="begin"/>
      </w:r>
      <w:r>
        <w:instrText xml:space="preserve"> HYPERLINK \l "_Toc210663253" </w:instrText>
      </w:r>
      <w:r>
        <w:fldChar w:fldCharType="separate"/>
      </w:r>
      <w:r>
        <w:rPr>
          <w:rStyle w:val="12"/>
          <w:rFonts w:hint="eastAsia" w:ascii="黑体" w:hAnsi="黑体" w:eastAsia="黑体"/>
        </w:rPr>
        <w:t>3 术语和定义</w:t>
      </w:r>
      <w:r>
        <w:rPr>
          <w:rFonts w:hint="eastAsia"/>
        </w:rPr>
        <w:tab/>
      </w:r>
      <w:r>
        <w:rPr>
          <w:rFonts w:hint="eastAsia"/>
        </w:rPr>
        <w:fldChar w:fldCharType="begin"/>
      </w:r>
      <w:r>
        <w:rPr>
          <w:rFonts w:hint="eastAsia"/>
        </w:rPr>
        <w:instrText xml:space="preserve"> </w:instrText>
      </w:r>
      <w:r>
        <w:instrText xml:space="preserve">PAGEREF _Toc210663253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30ACE79">
      <w:pPr>
        <w:pStyle w:val="8"/>
        <w:tabs>
          <w:tab w:val="right" w:leader="dot" w:pos="9344"/>
        </w:tabs>
        <w:rPr>
          <w:rFonts w:cstheme="minorBidi"/>
          <w:kern w:val="2"/>
          <w:szCs w:val="24"/>
          <w14:ligatures w14:val="standardContextual"/>
        </w:rPr>
      </w:pPr>
      <w:r>
        <w:fldChar w:fldCharType="begin"/>
      </w:r>
      <w:r>
        <w:instrText xml:space="preserve"> HYPERLINK \l "_Toc210663254" </w:instrText>
      </w:r>
      <w:r>
        <w:fldChar w:fldCharType="separate"/>
      </w:r>
      <w:r>
        <w:rPr>
          <w:rStyle w:val="12"/>
          <w:rFonts w:hint="eastAsia" w:ascii="黑体" w:hAnsi="黑体" w:eastAsia="黑体"/>
        </w:rPr>
        <w:t>4 基本要求</w:t>
      </w:r>
      <w:r>
        <w:rPr>
          <w:rFonts w:hint="eastAsia"/>
        </w:rPr>
        <w:tab/>
      </w:r>
      <w:r>
        <w:rPr>
          <w:rFonts w:hint="eastAsia"/>
        </w:rPr>
        <w:fldChar w:fldCharType="begin"/>
      </w:r>
      <w:r>
        <w:rPr>
          <w:rFonts w:hint="eastAsia"/>
        </w:rPr>
        <w:instrText xml:space="preserve"> </w:instrText>
      </w:r>
      <w:r>
        <w:instrText xml:space="preserve">PAGEREF _Toc210663254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09FC5CF">
      <w:pPr>
        <w:pStyle w:val="8"/>
        <w:tabs>
          <w:tab w:val="right" w:leader="dot" w:pos="9344"/>
        </w:tabs>
        <w:rPr>
          <w:rFonts w:cstheme="minorBidi"/>
          <w:kern w:val="2"/>
          <w:szCs w:val="24"/>
          <w14:ligatures w14:val="standardContextual"/>
        </w:rPr>
      </w:pPr>
      <w:r>
        <w:fldChar w:fldCharType="begin"/>
      </w:r>
      <w:r>
        <w:instrText xml:space="preserve"> HYPERLINK \l "_Toc210663255" </w:instrText>
      </w:r>
      <w:r>
        <w:fldChar w:fldCharType="separate"/>
      </w:r>
      <w:r>
        <w:rPr>
          <w:rStyle w:val="12"/>
          <w:rFonts w:hint="eastAsia" w:ascii="黑体" w:hAnsi="Times New Roman" w:eastAsia="黑体"/>
        </w:rPr>
        <w:t>5 安全要求</w:t>
      </w:r>
      <w:r>
        <w:rPr>
          <w:rFonts w:hint="eastAsia"/>
        </w:rPr>
        <w:tab/>
      </w:r>
      <w:r>
        <w:rPr>
          <w:rFonts w:hint="eastAsia"/>
        </w:rPr>
        <w:fldChar w:fldCharType="begin"/>
      </w:r>
      <w:r>
        <w:rPr>
          <w:rFonts w:hint="eastAsia"/>
        </w:rPr>
        <w:instrText xml:space="preserve"> </w:instrText>
      </w:r>
      <w:r>
        <w:instrText xml:space="preserve">PAGEREF _Toc210663255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C74657A">
      <w:pPr>
        <w:pStyle w:val="8"/>
        <w:tabs>
          <w:tab w:val="right" w:leader="dot" w:pos="9344"/>
        </w:tabs>
        <w:ind w:firstLine="424" w:firstLineChars="193"/>
        <w:rPr>
          <w:rStyle w:val="12"/>
          <w:rFonts w:ascii="黑体" w:hAnsi="Times New Roman" w:eastAsia="黑体"/>
        </w:rPr>
      </w:pPr>
      <w:r>
        <w:fldChar w:fldCharType="begin"/>
      </w:r>
      <w:r>
        <w:instrText xml:space="preserve"> HYPERLINK \l "_Toc210663256" </w:instrText>
      </w:r>
      <w:r>
        <w:fldChar w:fldCharType="separate"/>
      </w:r>
      <w:r>
        <w:rPr>
          <w:rStyle w:val="12"/>
          <w:rFonts w:hint="eastAsia" w:ascii="黑体" w:hAnsi="Times New Roman" w:eastAsia="黑体"/>
        </w:rPr>
        <w:t>5.1 布置要求</w:t>
      </w:r>
      <w:r>
        <w:rPr>
          <w:rStyle w:val="12"/>
          <w:rFonts w:hint="eastAsia" w:ascii="黑体" w:hAnsi="Times New Roman" w:eastAsia="黑体"/>
        </w:rPr>
        <w:tab/>
      </w:r>
      <w:r>
        <w:rPr>
          <w:rStyle w:val="12"/>
          <w:rFonts w:hint="eastAsia" w:ascii="黑体" w:hAnsi="Times New Roman" w:eastAsia="黑体"/>
        </w:rPr>
        <w:fldChar w:fldCharType="begin"/>
      </w:r>
      <w:r>
        <w:rPr>
          <w:rStyle w:val="12"/>
          <w:rFonts w:hint="eastAsia" w:ascii="黑体" w:hAnsi="Times New Roman" w:eastAsia="黑体"/>
        </w:rPr>
        <w:instrText xml:space="preserve"> </w:instrText>
      </w:r>
      <w:r>
        <w:rPr>
          <w:rStyle w:val="12"/>
          <w:rFonts w:ascii="黑体" w:hAnsi="Times New Roman" w:eastAsia="黑体"/>
        </w:rPr>
        <w:instrText xml:space="preserve">PAGEREF _Toc210663256 \h</w:instrText>
      </w:r>
      <w:r>
        <w:rPr>
          <w:rStyle w:val="12"/>
          <w:rFonts w:hint="eastAsia" w:ascii="黑体" w:hAnsi="Times New Roman" w:eastAsia="黑体"/>
        </w:rPr>
        <w:instrText xml:space="preserve"> </w:instrText>
      </w:r>
      <w:r>
        <w:rPr>
          <w:rStyle w:val="12"/>
          <w:rFonts w:hint="eastAsia" w:ascii="黑体" w:hAnsi="Times New Roman" w:eastAsia="黑体"/>
        </w:rPr>
        <w:fldChar w:fldCharType="separate"/>
      </w:r>
      <w:r>
        <w:rPr>
          <w:rStyle w:val="12"/>
          <w:rFonts w:ascii="黑体" w:hAnsi="Times New Roman" w:eastAsia="黑体"/>
        </w:rPr>
        <w:t>5</w:t>
      </w:r>
      <w:r>
        <w:rPr>
          <w:rStyle w:val="12"/>
          <w:rFonts w:hint="eastAsia" w:ascii="黑体" w:hAnsi="Times New Roman" w:eastAsia="黑体"/>
        </w:rPr>
        <w:fldChar w:fldCharType="end"/>
      </w:r>
      <w:r>
        <w:rPr>
          <w:rStyle w:val="12"/>
          <w:rFonts w:hint="eastAsia" w:ascii="黑体" w:hAnsi="Times New Roman" w:eastAsia="黑体"/>
        </w:rPr>
        <w:fldChar w:fldCharType="end"/>
      </w:r>
    </w:p>
    <w:p w14:paraId="0865B38B">
      <w:pPr>
        <w:pStyle w:val="8"/>
        <w:tabs>
          <w:tab w:val="right" w:leader="dot" w:pos="9344"/>
        </w:tabs>
        <w:ind w:firstLine="424" w:firstLineChars="193"/>
        <w:rPr>
          <w:rStyle w:val="12"/>
          <w:rFonts w:ascii="黑体" w:hAnsi="Times New Roman" w:eastAsia="黑体"/>
        </w:rPr>
      </w:pPr>
      <w:r>
        <w:fldChar w:fldCharType="begin"/>
      </w:r>
      <w:r>
        <w:instrText xml:space="preserve"> HYPERLINK \l "_Toc210663257" </w:instrText>
      </w:r>
      <w:r>
        <w:fldChar w:fldCharType="separate"/>
      </w:r>
      <w:r>
        <w:rPr>
          <w:rStyle w:val="12"/>
          <w:rFonts w:hint="eastAsia" w:ascii="黑体" w:hAnsi="Times New Roman" w:eastAsia="黑体"/>
        </w:rPr>
        <w:t>5.2 储存安全要求</w:t>
      </w:r>
      <w:r>
        <w:rPr>
          <w:rStyle w:val="12"/>
          <w:rFonts w:hint="eastAsia" w:ascii="黑体" w:hAnsi="Times New Roman" w:eastAsia="黑体"/>
        </w:rPr>
        <w:tab/>
      </w:r>
      <w:r>
        <w:rPr>
          <w:rStyle w:val="12"/>
          <w:rFonts w:hint="eastAsia" w:ascii="黑体" w:hAnsi="Times New Roman" w:eastAsia="黑体"/>
        </w:rPr>
        <w:fldChar w:fldCharType="begin"/>
      </w:r>
      <w:r>
        <w:rPr>
          <w:rStyle w:val="12"/>
          <w:rFonts w:hint="eastAsia" w:ascii="黑体" w:hAnsi="Times New Roman" w:eastAsia="黑体"/>
        </w:rPr>
        <w:instrText xml:space="preserve"> </w:instrText>
      </w:r>
      <w:r>
        <w:rPr>
          <w:rStyle w:val="12"/>
          <w:rFonts w:ascii="黑体" w:hAnsi="Times New Roman" w:eastAsia="黑体"/>
        </w:rPr>
        <w:instrText xml:space="preserve">PAGEREF _Toc210663257 \h</w:instrText>
      </w:r>
      <w:r>
        <w:rPr>
          <w:rStyle w:val="12"/>
          <w:rFonts w:hint="eastAsia" w:ascii="黑体" w:hAnsi="Times New Roman" w:eastAsia="黑体"/>
        </w:rPr>
        <w:instrText xml:space="preserve"> </w:instrText>
      </w:r>
      <w:r>
        <w:rPr>
          <w:rStyle w:val="12"/>
          <w:rFonts w:hint="eastAsia" w:ascii="黑体" w:hAnsi="Times New Roman" w:eastAsia="黑体"/>
        </w:rPr>
        <w:fldChar w:fldCharType="separate"/>
      </w:r>
      <w:r>
        <w:rPr>
          <w:rStyle w:val="12"/>
          <w:rFonts w:ascii="黑体" w:hAnsi="Times New Roman" w:eastAsia="黑体"/>
        </w:rPr>
        <w:t>5</w:t>
      </w:r>
      <w:r>
        <w:rPr>
          <w:rStyle w:val="12"/>
          <w:rFonts w:hint="eastAsia" w:ascii="黑体" w:hAnsi="Times New Roman" w:eastAsia="黑体"/>
        </w:rPr>
        <w:fldChar w:fldCharType="end"/>
      </w:r>
      <w:r>
        <w:rPr>
          <w:rStyle w:val="12"/>
          <w:rFonts w:hint="eastAsia" w:ascii="黑体" w:hAnsi="Times New Roman" w:eastAsia="黑体"/>
        </w:rPr>
        <w:fldChar w:fldCharType="end"/>
      </w:r>
    </w:p>
    <w:p w14:paraId="40A59424">
      <w:pPr>
        <w:pStyle w:val="8"/>
        <w:tabs>
          <w:tab w:val="right" w:leader="dot" w:pos="9344"/>
        </w:tabs>
        <w:ind w:firstLine="424" w:firstLineChars="193"/>
        <w:rPr>
          <w:rStyle w:val="12"/>
          <w:rFonts w:ascii="黑体" w:hAnsi="Times New Roman" w:eastAsia="黑体"/>
        </w:rPr>
      </w:pPr>
      <w:r>
        <w:fldChar w:fldCharType="begin"/>
      </w:r>
      <w:r>
        <w:instrText xml:space="preserve"> HYPERLINK \l "_Toc210663258" </w:instrText>
      </w:r>
      <w:r>
        <w:fldChar w:fldCharType="separate"/>
      </w:r>
      <w:r>
        <w:rPr>
          <w:rStyle w:val="12"/>
          <w:rFonts w:hint="eastAsia" w:ascii="黑体" w:hAnsi="Times New Roman" w:eastAsia="黑体"/>
        </w:rPr>
        <w:t>5.3 卸车安全要求</w:t>
      </w:r>
      <w:r>
        <w:rPr>
          <w:rStyle w:val="12"/>
          <w:rFonts w:hint="eastAsia" w:ascii="黑体" w:hAnsi="Times New Roman" w:eastAsia="黑体"/>
        </w:rPr>
        <w:tab/>
      </w:r>
      <w:r>
        <w:rPr>
          <w:rStyle w:val="12"/>
          <w:rFonts w:hint="eastAsia" w:ascii="黑体" w:hAnsi="Times New Roman" w:eastAsia="黑体"/>
        </w:rPr>
        <w:fldChar w:fldCharType="begin"/>
      </w:r>
      <w:r>
        <w:rPr>
          <w:rStyle w:val="12"/>
          <w:rFonts w:hint="eastAsia" w:ascii="黑体" w:hAnsi="Times New Roman" w:eastAsia="黑体"/>
        </w:rPr>
        <w:instrText xml:space="preserve"> </w:instrText>
      </w:r>
      <w:r>
        <w:rPr>
          <w:rStyle w:val="12"/>
          <w:rFonts w:ascii="黑体" w:hAnsi="Times New Roman" w:eastAsia="黑体"/>
        </w:rPr>
        <w:instrText xml:space="preserve">PAGEREF _Toc210663258 \h</w:instrText>
      </w:r>
      <w:r>
        <w:rPr>
          <w:rStyle w:val="12"/>
          <w:rFonts w:hint="eastAsia" w:ascii="黑体" w:hAnsi="Times New Roman" w:eastAsia="黑体"/>
        </w:rPr>
        <w:instrText xml:space="preserve"> </w:instrText>
      </w:r>
      <w:r>
        <w:rPr>
          <w:rStyle w:val="12"/>
          <w:rFonts w:hint="eastAsia" w:ascii="黑体" w:hAnsi="Times New Roman" w:eastAsia="黑体"/>
        </w:rPr>
        <w:fldChar w:fldCharType="separate"/>
      </w:r>
      <w:r>
        <w:rPr>
          <w:rStyle w:val="12"/>
          <w:rFonts w:ascii="黑体" w:hAnsi="Times New Roman" w:eastAsia="黑体"/>
        </w:rPr>
        <w:t>5</w:t>
      </w:r>
      <w:r>
        <w:rPr>
          <w:rStyle w:val="12"/>
          <w:rFonts w:hint="eastAsia" w:ascii="黑体" w:hAnsi="Times New Roman" w:eastAsia="黑体"/>
        </w:rPr>
        <w:fldChar w:fldCharType="end"/>
      </w:r>
      <w:r>
        <w:rPr>
          <w:rStyle w:val="12"/>
          <w:rFonts w:hint="eastAsia" w:ascii="黑体" w:hAnsi="Times New Roman" w:eastAsia="黑体"/>
        </w:rPr>
        <w:fldChar w:fldCharType="end"/>
      </w:r>
    </w:p>
    <w:p w14:paraId="2B310F35">
      <w:pPr>
        <w:pStyle w:val="8"/>
        <w:tabs>
          <w:tab w:val="right" w:leader="dot" w:pos="9344"/>
        </w:tabs>
        <w:ind w:firstLine="424" w:firstLineChars="193"/>
        <w:rPr>
          <w:rStyle w:val="12"/>
          <w:rFonts w:ascii="黑体" w:hAnsi="Times New Roman" w:eastAsia="黑体"/>
        </w:rPr>
      </w:pPr>
      <w:r>
        <w:fldChar w:fldCharType="begin"/>
      </w:r>
      <w:r>
        <w:instrText xml:space="preserve"> HYPERLINK \l "_Toc210663259" </w:instrText>
      </w:r>
      <w:r>
        <w:fldChar w:fldCharType="separate"/>
      </w:r>
      <w:r>
        <w:rPr>
          <w:rStyle w:val="12"/>
          <w:rFonts w:hint="eastAsia" w:ascii="黑体" w:hAnsi="Times New Roman" w:eastAsia="黑体"/>
        </w:rPr>
        <w:t>5.4 燃具安全要求</w:t>
      </w:r>
      <w:r>
        <w:rPr>
          <w:rStyle w:val="12"/>
          <w:rFonts w:hint="eastAsia" w:ascii="黑体" w:hAnsi="Times New Roman" w:eastAsia="黑体"/>
        </w:rPr>
        <w:tab/>
      </w:r>
      <w:r>
        <w:rPr>
          <w:rStyle w:val="12"/>
          <w:rFonts w:hint="eastAsia" w:ascii="黑体" w:hAnsi="Times New Roman" w:eastAsia="黑体"/>
        </w:rPr>
        <w:fldChar w:fldCharType="begin"/>
      </w:r>
      <w:r>
        <w:rPr>
          <w:rStyle w:val="12"/>
          <w:rFonts w:hint="eastAsia" w:ascii="黑体" w:hAnsi="Times New Roman" w:eastAsia="黑体"/>
        </w:rPr>
        <w:instrText xml:space="preserve"> </w:instrText>
      </w:r>
      <w:r>
        <w:rPr>
          <w:rStyle w:val="12"/>
          <w:rFonts w:ascii="黑体" w:hAnsi="Times New Roman" w:eastAsia="黑体"/>
        </w:rPr>
        <w:instrText xml:space="preserve">PAGEREF _Toc210663259 \h</w:instrText>
      </w:r>
      <w:r>
        <w:rPr>
          <w:rStyle w:val="12"/>
          <w:rFonts w:hint="eastAsia" w:ascii="黑体" w:hAnsi="Times New Roman" w:eastAsia="黑体"/>
        </w:rPr>
        <w:instrText xml:space="preserve"> </w:instrText>
      </w:r>
      <w:r>
        <w:rPr>
          <w:rStyle w:val="12"/>
          <w:rFonts w:hint="eastAsia" w:ascii="黑体" w:hAnsi="Times New Roman" w:eastAsia="黑体"/>
        </w:rPr>
        <w:fldChar w:fldCharType="separate"/>
      </w:r>
      <w:r>
        <w:rPr>
          <w:rStyle w:val="12"/>
          <w:rFonts w:ascii="黑体" w:hAnsi="Times New Roman" w:eastAsia="黑体"/>
        </w:rPr>
        <w:t>6</w:t>
      </w:r>
      <w:r>
        <w:rPr>
          <w:rStyle w:val="12"/>
          <w:rFonts w:hint="eastAsia" w:ascii="黑体" w:hAnsi="Times New Roman" w:eastAsia="黑体"/>
        </w:rPr>
        <w:fldChar w:fldCharType="end"/>
      </w:r>
      <w:r>
        <w:rPr>
          <w:rStyle w:val="12"/>
          <w:rFonts w:hint="eastAsia" w:ascii="黑体" w:hAnsi="Times New Roman" w:eastAsia="黑体"/>
        </w:rPr>
        <w:fldChar w:fldCharType="end"/>
      </w:r>
    </w:p>
    <w:p w14:paraId="14212DD6">
      <w:pPr>
        <w:pStyle w:val="8"/>
        <w:tabs>
          <w:tab w:val="right" w:leader="dot" w:pos="9344"/>
        </w:tabs>
        <w:ind w:firstLine="424" w:firstLineChars="193"/>
        <w:rPr>
          <w:rStyle w:val="12"/>
          <w:rFonts w:ascii="黑体" w:hAnsi="Times New Roman" w:eastAsia="黑体"/>
        </w:rPr>
      </w:pPr>
      <w:r>
        <w:fldChar w:fldCharType="begin"/>
      </w:r>
      <w:r>
        <w:instrText xml:space="preserve"> HYPERLINK \l "_Toc210663260" </w:instrText>
      </w:r>
      <w:r>
        <w:fldChar w:fldCharType="separate"/>
      </w:r>
      <w:r>
        <w:rPr>
          <w:rStyle w:val="12"/>
          <w:rFonts w:hint="eastAsia" w:ascii="黑体" w:hAnsi="Times New Roman" w:eastAsia="黑体"/>
        </w:rPr>
        <w:t>5.5 燃料管道安全要求</w:t>
      </w:r>
      <w:r>
        <w:rPr>
          <w:rStyle w:val="12"/>
          <w:rFonts w:hint="eastAsia" w:ascii="黑体" w:hAnsi="Times New Roman" w:eastAsia="黑体"/>
        </w:rPr>
        <w:tab/>
      </w:r>
      <w:r>
        <w:rPr>
          <w:rStyle w:val="12"/>
          <w:rFonts w:hint="eastAsia" w:ascii="黑体" w:hAnsi="Times New Roman" w:eastAsia="黑体"/>
        </w:rPr>
        <w:fldChar w:fldCharType="begin"/>
      </w:r>
      <w:r>
        <w:rPr>
          <w:rStyle w:val="12"/>
          <w:rFonts w:hint="eastAsia" w:ascii="黑体" w:hAnsi="Times New Roman" w:eastAsia="黑体"/>
        </w:rPr>
        <w:instrText xml:space="preserve"> </w:instrText>
      </w:r>
      <w:r>
        <w:rPr>
          <w:rStyle w:val="12"/>
          <w:rFonts w:ascii="黑体" w:hAnsi="Times New Roman" w:eastAsia="黑体"/>
        </w:rPr>
        <w:instrText xml:space="preserve">PAGEREF _Toc210663260 \h</w:instrText>
      </w:r>
      <w:r>
        <w:rPr>
          <w:rStyle w:val="12"/>
          <w:rFonts w:hint="eastAsia" w:ascii="黑体" w:hAnsi="Times New Roman" w:eastAsia="黑体"/>
        </w:rPr>
        <w:instrText xml:space="preserve"> </w:instrText>
      </w:r>
      <w:r>
        <w:rPr>
          <w:rStyle w:val="12"/>
          <w:rFonts w:hint="eastAsia" w:ascii="黑体" w:hAnsi="Times New Roman" w:eastAsia="黑体"/>
        </w:rPr>
        <w:fldChar w:fldCharType="separate"/>
      </w:r>
      <w:r>
        <w:rPr>
          <w:rStyle w:val="12"/>
          <w:rFonts w:ascii="黑体" w:hAnsi="Times New Roman" w:eastAsia="黑体"/>
        </w:rPr>
        <w:t>6</w:t>
      </w:r>
      <w:r>
        <w:rPr>
          <w:rStyle w:val="12"/>
          <w:rFonts w:hint="eastAsia" w:ascii="黑体" w:hAnsi="Times New Roman" w:eastAsia="黑体"/>
        </w:rPr>
        <w:fldChar w:fldCharType="end"/>
      </w:r>
      <w:r>
        <w:rPr>
          <w:rStyle w:val="12"/>
          <w:rFonts w:hint="eastAsia" w:ascii="黑体" w:hAnsi="Times New Roman" w:eastAsia="黑体"/>
        </w:rPr>
        <w:fldChar w:fldCharType="end"/>
      </w:r>
    </w:p>
    <w:p w14:paraId="57E82C74">
      <w:pPr>
        <w:pStyle w:val="8"/>
        <w:tabs>
          <w:tab w:val="right" w:leader="dot" w:pos="9344"/>
        </w:tabs>
        <w:ind w:firstLine="424" w:firstLineChars="193"/>
        <w:rPr>
          <w:rStyle w:val="12"/>
          <w:rFonts w:ascii="黑体" w:hAnsi="Times New Roman" w:eastAsia="黑体"/>
        </w:rPr>
      </w:pPr>
      <w:r>
        <w:fldChar w:fldCharType="begin"/>
      </w:r>
      <w:r>
        <w:instrText xml:space="preserve"> HYPERLINK \l "_Toc210663261" </w:instrText>
      </w:r>
      <w:r>
        <w:fldChar w:fldCharType="separate"/>
      </w:r>
      <w:r>
        <w:rPr>
          <w:rStyle w:val="12"/>
          <w:rFonts w:hint="eastAsia" w:ascii="黑体" w:hAnsi="Times New Roman" w:eastAsia="黑体"/>
        </w:rPr>
        <w:t>5.6 使用安全要求</w:t>
      </w:r>
      <w:r>
        <w:rPr>
          <w:rStyle w:val="12"/>
          <w:rFonts w:hint="eastAsia" w:ascii="黑体" w:hAnsi="Times New Roman" w:eastAsia="黑体"/>
        </w:rPr>
        <w:tab/>
      </w:r>
      <w:r>
        <w:rPr>
          <w:rStyle w:val="12"/>
          <w:rFonts w:hint="eastAsia" w:ascii="黑体" w:hAnsi="Times New Roman" w:eastAsia="黑体"/>
        </w:rPr>
        <w:fldChar w:fldCharType="begin"/>
      </w:r>
      <w:r>
        <w:rPr>
          <w:rStyle w:val="12"/>
          <w:rFonts w:hint="eastAsia" w:ascii="黑体" w:hAnsi="Times New Roman" w:eastAsia="黑体"/>
        </w:rPr>
        <w:instrText xml:space="preserve"> </w:instrText>
      </w:r>
      <w:r>
        <w:rPr>
          <w:rStyle w:val="12"/>
          <w:rFonts w:ascii="黑体" w:hAnsi="Times New Roman" w:eastAsia="黑体"/>
        </w:rPr>
        <w:instrText xml:space="preserve">PAGEREF _Toc210663261 \h</w:instrText>
      </w:r>
      <w:r>
        <w:rPr>
          <w:rStyle w:val="12"/>
          <w:rFonts w:hint="eastAsia" w:ascii="黑体" w:hAnsi="Times New Roman" w:eastAsia="黑体"/>
        </w:rPr>
        <w:instrText xml:space="preserve"> </w:instrText>
      </w:r>
      <w:r>
        <w:rPr>
          <w:rStyle w:val="12"/>
          <w:rFonts w:hint="eastAsia" w:ascii="黑体" w:hAnsi="Times New Roman" w:eastAsia="黑体"/>
        </w:rPr>
        <w:fldChar w:fldCharType="separate"/>
      </w:r>
      <w:r>
        <w:rPr>
          <w:rStyle w:val="12"/>
          <w:rFonts w:ascii="黑体" w:hAnsi="Times New Roman" w:eastAsia="黑体"/>
        </w:rPr>
        <w:t>6</w:t>
      </w:r>
      <w:r>
        <w:rPr>
          <w:rStyle w:val="12"/>
          <w:rFonts w:hint="eastAsia" w:ascii="黑体" w:hAnsi="Times New Roman" w:eastAsia="黑体"/>
        </w:rPr>
        <w:fldChar w:fldCharType="end"/>
      </w:r>
      <w:r>
        <w:rPr>
          <w:rStyle w:val="12"/>
          <w:rFonts w:hint="eastAsia" w:ascii="黑体" w:hAnsi="Times New Roman" w:eastAsia="黑体"/>
        </w:rPr>
        <w:fldChar w:fldCharType="end"/>
      </w:r>
    </w:p>
    <w:p w14:paraId="00FE4373">
      <w:pPr>
        <w:pStyle w:val="8"/>
        <w:tabs>
          <w:tab w:val="right" w:leader="dot" w:pos="9344"/>
        </w:tabs>
        <w:rPr>
          <w:rFonts w:cstheme="minorBidi"/>
          <w:kern w:val="2"/>
          <w:szCs w:val="24"/>
          <w14:ligatures w14:val="standardContextual"/>
        </w:rPr>
      </w:pPr>
      <w:r>
        <w:fldChar w:fldCharType="begin"/>
      </w:r>
      <w:r>
        <w:instrText xml:space="preserve"> HYPERLINK \l "_Toc210663262" </w:instrText>
      </w:r>
      <w:r>
        <w:fldChar w:fldCharType="separate"/>
      </w:r>
      <w:r>
        <w:rPr>
          <w:rStyle w:val="12"/>
          <w:rFonts w:hint="eastAsia" w:ascii="黑体" w:hAnsi="Times New Roman" w:eastAsia="黑体"/>
        </w:rPr>
        <w:t>6 应急管理</w:t>
      </w:r>
      <w:r>
        <w:rPr>
          <w:rFonts w:hint="eastAsia"/>
        </w:rPr>
        <w:tab/>
      </w:r>
      <w:r>
        <w:rPr>
          <w:rFonts w:hint="eastAsia"/>
        </w:rPr>
        <w:fldChar w:fldCharType="begin"/>
      </w:r>
      <w:r>
        <w:rPr>
          <w:rFonts w:hint="eastAsia"/>
        </w:rPr>
        <w:instrText xml:space="preserve"> </w:instrText>
      </w:r>
      <w:r>
        <w:instrText xml:space="preserve">PAGEREF _Toc210663262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6DD34EE3">
      <w:pPr>
        <w:widowControl w:val="0"/>
        <w:adjustRightInd w:val="0"/>
        <w:spacing w:after="468" w:afterLines="150"/>
        <w:jc w:val="center"/>
        <w:rPr>
          <w:rFonts w:ascii="黑体" w:hAnsi="Calibri" w:eastAsia="黑体" w:cs="Times New Roman"/>
          <w:color w:val="4874CB" w:themeColor="accent1"/>
          <w:sz w:val="32"/>
          <w:szCs w:val="21"/>
          <w14:textFill>
            <w14:solidFill>
              <w14:schemeClr w14:val="accent1"/>
            </w14:solidFill>
          </w14:textFill>
        </w:rPr>
        <w:sectPr>
          <w:headerReference r:id="rId7" w:type="default"/>
          <w:footerReference r:id="rId9" w:type="default"/>
          <w:headerReference r:id="rId8" w:type="even"/>
          <w:footerReference r:id="rId10" w:type="even"/>
          <w:pgSz w:w="11906" w:h="16838"/>
          <w:pgMar w:top="567" w:right="1134" w:bottom="1134" w:left="1134" w:header="1418" w:footer="1134" w:gutter="284"/>
          <w:pgNumType w:fmt="upperRoman" w:start="1"/>
          <w:cols w:space="720" w:num="1"/>
          <w:formProt w:val="0"/>
          <w:docGrid w:type="lines" w:linePitch="312" w:charSpace="0"/>
        </w:sectPr>
      </w:pPr>
      <w:r>
        <w:rPr>
          <w:rFonts w:ascii="宋体" w:hAnsi="Calibri" w:eastAsia="宋体" w:cs="Times New Roman"/>
          <w:color w:val="4874CB" w:themeColor="accent1"/>
          <w:szCs w:val="21"/>
          <w14:textFill>
            <w14:solidFill>
              <w14:schemeClr w14:val="accent1"/>
            </w14:solidFill>
          </w14:textFill>
        </w:rPr>
        <w:fldChar w:fldCharType="end"/>
      </w:r>
    </w:p>
    <w:bookmarkEnd w:id="12"/>
    <w:p w14:paraId="5E8656B2">
      <w:pPr>
        <w:widowControl w:val="0"/>
        <w:numPr>
          <w:ilvl w:val="0"/>
          <w:numId w:val="1"/>
        </w:numPr>
        <w:shd w:val="clear" w:color="FFFFFF" w:fill="FFFFFF"/>
        <w:spacing w:after="468" w:afterLines="150"/>
        <w:jc w:val="center"/>
        <w:outlineLvl w:val="0"/>
        <w:rPr>
          <w:rFonts w:ascii="黑体" w:hAnsi="Times New Roman" w:eastAsia="黑体" w:cs="Times New Roman"/>
          <w:kern w:val="0"/>
          <w:sz w:val="32"/>
          <w:szCs w:val="20"/>
        </w:rPr>
      </w:pPr>
      <w:bookmarkStart w:id="19" w:name="_Toc210663250"/>
      <w:bookmarkStart w:id="20" w:name="BookMark2"/>
      <w:r>
        <w:rPr>
          <w:rFonts w:ascii="黑体" w:hAnsi="Times New Roman" w:eastAsia="黑体" w:cs="Times New Roman"/>
          <w:spacing w:val="320"/>
          <w:kern w:val="0"/>
          <w:sz w:val="32"/>
          <w:szCs w:val="20"/>
        </w:rPr>
        <w:t>前</w:t>
      </w:r>
      <w:r>
        <w:rPr>
          <w:rFonts w:ascii="黑体" w:hAnsi="Times New Roman" w:eastAsia="黑体" w:cs="Times New Roman"/>
          <w:kern w:val="0"/>
          <w:sz w:val="32"/>
          <w:szCs w:val="20"/>
        </w:rPr>
        <w:t>言</w:t>
      </w:r>
      <w:bookmarkEnd w:id="13"/>
      <w:bookmarkEnd w:id="14"/>
      <w:bookmarkEnd w:id="15"/>
      <w:bookmarkEnd w:id="16"/>
      <w:bookmarkEnd w:id="17"/>
      <w:bookmarkEnd w:id="18"/>
      <w:bookmarkEnd w:id="19"/>
    </w:p>
    <w:p w14:paraId="62B8CACC">
      <w:pPr>
        <w:autoSpaceDE w:val="0"/>
        <w:autoSpaceDN w:val="0"/>
        <w:ind w:firstLine="420" w:firstLineChars="200"/>
        <w:rPr>
          <w:rFonts w:ascii="宋体" w:hAnsi="Times New Roman" w:eastAsia="宋体" w:cs="Times New Roman"/>
          <w:kern w:val="0"/>
          <w:sz w:val="21"/>
          <w:szCs w:val="20"/>
        </w:rPr>
      </w:pPr>
      <w:r>
        <w:rPr>
          <w:rFonts w:hint="eastAsia" w:ascii="宋体" w:hAnsi="Times New Roman" w:eastAsia="宋体" w:cs="Times New Roman"/>
          <w:kern w:val="0"/>
          <w:sz w:val="21"/>
          <w:szCs w:val="20"/>
        </w:rPr>
        <w:t>本文件按照GB/T 1.1—2020《标准化工作导则  第1部分：标准化文件的结构和起草规则》的规定起草。</w:t>
      </w:r>
    </w:p>
    <w:p w14:paraId="2EC39D99">
      <w:pPr>
        <w:autoSpaceDE w:val="0"/>
        <w:autoSpaceDN w:val="0"/>
        <w:ind w:firstLine="420" w:firstLineChars="200"/>
        <w:rPr>
          <w:rFonts w:ascii="宋体" w:hAnsi="Times New Roman" w:eastAsia="宋体" w:cs="Times New Roman"/>
          <w:kern w:val="0"/>
          <w:sz w:val="21"/>
          <w:szCs w:val="20"/>
        </w:rPr>
      </w:pPr>
      <w:r>
        <w:rPr>
          <w:rFonts w:hint="eastAsia" w:ascii="宋体" w:hAnsi="Times New Roman" w:eastAsia="宋体" w:cs="Times New Roman"/>
          <w:kern w:val="0"/>
          <w:sz w:val="21"/>
          <w:szCs w:val="20"/>
        </w:rPr>
        <w:t>请注意本文件的某些内容可能涉及专利。本文件的发布机构不承担识别专利的责任。</w:t>
      </w:r>
    </w:p>
    <w:p w14:paraId="6648CFAB">
      <w:pPr>
        <w:autoSpaceDE w:val="0"/>
        <w:autoSpaceDN w:val="0"/>
        <w:ind w:firstLine="420" w:firstLineChars="200"/>
        <w:rPr>
          <w:rFonts w:ascii="宋体" w:hAnsi="Times New Roman" w:eastAsia="宋体" w:cs="Times New Roman"/>
          <w:kern w:val="0"/>
          <w:sz w:val="21"/>
          <w:szCs w:val="20"/>
        </w:rPr>
      </w:pPr>
      <w:r>
        <w:rPr>
          <w:rFonts w:hint="eastAsia" w:ascii="宋体" w:hAnsi="Times New Roman" w:eastAsia="宋体" w:cs="Times New Roman"/>
          <w:kern w:val="0"/>
          <w:sz w:val="21"/>
          <w:szCs w:val="20"/>
        </w:rPr>
        <w:t>本文件由安徽省应急管理厅提出。</w:t>
      </w:r>
    </w:p>
    <w:p w14:paraId="1253D1FA">
      <w:pPr>
        <w:autoSpaceDE w:val="0"/>
        <w:autoSpaceDN w:val="0"/>
        <w:ind w:firstLine="420" w:firstLineChars="200"/>
        <w:rPr>
          <w:rFonts w:ascii="宋体" w:hAnsi="Times New Roman" w:eastAsia="宋体" w:cs="Times New Roman"/>
          <w:kern w:val="0"/>
          <w:sz w:val="21"/>
          <w:szCs w:val="20"/>
        </w:rPr>
      </w:pPr>
      <w:r>
        <w:rPr>
          <w:rFonts w:hint="eastAsia" w:ascii="宋体" w:hAnsi="Times New Roman" w:eastAsia="宋体" w:cs="Times New Roman"/>
          <w:kern w:val="0"/>
          <w:sz w:val="21"/>
          <w:szCs w:val="20"/>
        </w:rPr>
        <w:t>本文件由安徽省应急管理厅归口。</w:t>
      </w:r>
    </w:p>
    <w:p w14:paraId="34AB2B27">
      <w:pPr>
        <w:autoSpaceDE w:val="0"/>
        <w:autoSpaceDN w:val="0"/>
        <w:ind w:firstLine="420" w:firstLineChars="200"/>
        <w:rPr>
          <w:rFonts w:ascii="宋体" w:hAnsi="Times New Roman" w:eastAsia="宋体" w:cs="Times New Roman"/>
          <w:kern w:val="0"/>
          <w:sz w:val="21"/>
          <w:szCs w:val="20"/>
        </w:rPr>
      </w:pPr>
      <w:r>
        <w:rPr>
          <w:rFonts w:hint="eastAsia" w:ascii="宋体" w:hAnsi="Times New Roman" w:eastAsia="宋体" w:cs="Times New Roman"/>
          <w:kern w:val="0"/>
          <w:sz w:val="21"/>
          <w:szCs w:val="20"/>
        </w:rPr>
        <w:t>本文件起草单位：安徽省应急管理科学研究院、安徽省安全生产协会。</w:t>
      </w:r>
    </w:p>
    <w:p w14:paraId="25A34E03">
      <w:pPr>
        <w:autoSpaceDE w:val="0"/>
        <w:autoSpaceDN w:val="0"/>
        <w:ind w:firstLine="420" w:firstLineChars="200"/>
        <w:rPr>
          <w:rFonts w:ascii="宋体" w:hAnsi="Times New Roman" w:eastAsia="宋体" w:cs="Times New Roman"/>
          <w:kern w:val="0"/>
          <w:sz w:val="21"/>
          <w:szCs w:val="20"/>
        </w:rPr>
      </w:pPr>
      <w:r>
        <w:rPr>
          <w:rFonts w:hint="eastAsia" w:ascii="宋体" w:hAnsi="Times New Roman" w:eastAsia="宋体" w:cs="Times New Roman"/>
          <w:kern w:val="0"/>
          <w:sz w:val="21"/>
          <w:szCs w:val="20"/>
        </w:rPr>
        <w:t>本文件主要起草人：</w:t>
      </w:r>
    </w:p>
    <w:p w14:paraId="04F49093">
      <w:pPr>
        <w:autoSpaceDE w:val="0"/>
        <w:autoSpaceDN w:val="0"/>
        <w:ind w:firstLine="420" w:firstLineChars="200"/>
        <w:rPr>
          <w:rFonts w:ascii="宋体" w:hAnsi="Times New Roman" w:eastAsia="宋体" w:cs="Times New Roman"/>
          <w:kern w:val="0"/>
          <w:sz w:val="21"/>
          <w:szCs w:val="20"/>
        </w:rPr>
      </w:pPr>
    </w:p>
    <w:p w14:paraId="355B15D2">
      <w:pPr>
        <w:autoSpaceDE w:val="0"/>
        <w:autoSpaceDN w:val="0"/>
        <w:ind w:firstLine="420" w:firstLineChars="200"/>
        <w:rPr>
          <w:rFonts w:ascii="宋体" w:hAnsi="Times New Roman" w:eastAsia="宋体" w:cs="Times New Roman"/>
          <w:color w:val="4874CB" w:themeColor="accent1"/>
          <w:kern w:val="0"/>
          <w:sz w:val="21"/>
          <w:szCs w:val="20"/>
          <w14:textFill>
            <w14:solidFill>
              <w14:schemeClr w14:val="accent1"/>
            </w14:solidFill>
          </w14:textFill>
        </w:rPr>
        <w:sectPr>
          <w:headerReference r:id="rId11" w:type="default"/>
          <w:footerReference r:id="rId13" w:type="default"/>
          <w:headerReference r:id="rId12" w:type="even"/>
          <w:footerReference r:id="rId14" w:type="even"/>
          <w:pgSz w:w="11906" w:h="16838"/>
          <w:pgMar w:top="567" w:right="1134" w:bottom="1134" w:left="1134" w:header="1418" w:footer="1134" w:gutter="284"/>
          <w:pgNumType w:fmt="upperRoman"/>
          <w:cols w:space="720" w:num="1"/>
          <w:formProt w:val="0"/>
          <w:docGrid w:type="lines" w:linePitch="312" w:charSpace="0"/>
        </w:sectPr>
      </w:pPr>
    </w:p>
    <w:bookmarkEnd w:id="20"/>
    <w:p w14:paraId="0260D888">
      <w:pPr>
        <w:widowControl w:val="0"/>
        <w:spacing w:line="20" w:lineRule="exact"/>
        <w:jc w:val="center"/>
        <w:rPr>
          <w:rFonts w:hint="eastAsia" w:ascii="黑体" w:hAnsi="黑体" w:eastAsia="黑体" w:cs="Times New Roman"/>
          <w:color w:val="4874CB" w:themeColor="accent1"/>
          <w:sz w:val="32"/>
          <w:szCs w:val="32"/>
          <w14:textFill>
            <w14:solidFill>
              <w14:schemeClr w14:val="accent1"/>
            </w14:solidFill>
          </w14:textFill>
        </w:rPr>
      </w:pPr>
    </w:p>
    <w:p w14:paraId="585F9892">
      <w:pPr>
        <w:widowControl w:val="0"/>
        <w:spacing w:line="20" w:lineRule="exact"/>
        <w:jc w:val="center"/>
        <w:rPr>
          <w:rFonts w:hint="eastAsia" w:ascii="黑体" w:hAnsi="黑体" w:eastAsia="黑体" w:cs="Times New Roman"/>
          <w:color w:val="4874CB" w:themeColor="accent1"/>
          <w:sz w:val="32"/>
          <w:szCs w:val="32"/>
          <w14:textFill>
            <w14:solidFill>
              <w14:schemeClr w14:val="accent1"/>
            </w14:solidFill>
          </w14:textFill>
        </w:rPr>
      </w:pPr>
    </w:p>
    <w:p w14:paraId="666CF799">
      <w:pPr>
        <w:spacing w:before="120" w:beforeLines="50" w:after="120" w:afterLines="50" w:line="400" w:lineRule="exact"/>
        <w:jc w:val="center"/>
        <w:rPr>
          <w:rFonts w:hint="eastAsia" w:ascii="黑体" w:hAnsi="黑体" w:eastAsia="黑体" w:cs="Times New Roman"/>
          <w:sz w:val="32"/>
          <w:szCs w:val="32"/>
        </w:rPr>
      </w:pPr>
      <w:bookmarkStart w:id="21" w:name="NEW_STAND_NAME"/>
      <w:r>
        <w:rPr>
          <w:rFonts w:hint="eastAsia" w:ascii="黑体" w:hAnsi="黑体" w:eastAsia="黑体" w:cs="Times New Roman"/>
          <w:sz w:val="32"/>
          <w:szCs w:val="32"/>
        </w:rPr>
        <w:t>餐饮用醇基液体燃料使用安全规程</w:t>
      </w:r>
      <w:bookmarkEnd w:id="21"/>
    </w:p>
    <w:p w14:paraId="7D63A243">
      <w:pPr>
        <w:spacing w:before="240" w:beforeLines="100" w:after="240" w:afterLines="100" w:line="278" w:lineRule="auto"/>
        <w:outlineLvl w:val="0"/>
        <w:rPr>
          <w:rFonts w:ascii="黑体" w:hAnsi="黑体" w:eastAsia="黑体" w:cs="Times New Roman"/>
          <w:kern w:val="0"/>
          <w:sz w:val="21"/>
          <w:szCs w:val="20"/>
        </w:rPr>
      </w:pPr>
      <w:bookmarkStart w:id="22" w:name="_Toc67496420"/>
      <w:bookmarkStart w:id="23" w:name="_Toc24884218"/>
      <w:bookmarkStart w:id="24" w:name="_Toc67496455"/>
      <w:bookmarkStart w:id="25" w:name="_Toc67498192"/>
      <w:bookmarkStart w:id="26" w:name="_Toc17233333"/>
      <w:bookmarkStart w:id="27" w:name="_Toc17233325"/>
      <w:bookmarkStart w:id="28" w:name="_Toc24884211"/>
      <w:bookmarkStart w:id="29" w:name="_Toc26648465"/>
      <w:bookmarkStart w:id="30" w:name="_Toc26986771"/>
      <w:bookmarkStart w:id="31" w:name="_Toc26986530"/>
      <w:bookmarkStart w:id="32" w:name="_Toc210663251"/>
      <w:bookmarkStart w:id="33" w:name="_Toc67496482"/>
      <w:bookmarkStart w:id="34" w:name="_Toc67496622"/>
      <w:bookmarkStart w:id="35" w:name="_Toc26718930"/>
      <w:bookmarkStart w:id="36" w:name="_Toc67494693"/>
      <w:bookmarkStart w:id="37" w:name="_Toc93587140"/>
      <w:r>
        <w:rPr>
          <w:rFonts w:hint="eastAsia" w:ascii="黑体" w:hAnsi="黑体" w:eastAsia="黑体" w:cs="Times New Roman"/>
          <w:kern w:val="0"/>
          <w:sz w:val="21"/>
          <w:szCs w:val="20"/>
        </w:rPr>
        <w:t>1 范围</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CDB94F9">
      <w:pPr>
        <w:autoSpaceDE w:val="0"/>
        <w:autoSpaceDN w:val="0"/>
        <w:ind w:firstLine="420" w:firstLineChars="200"/>
        <w:rPr>
          <w:rFonts w:ascii="宋体" w:hAnsi="Times New Roman" w:eastAsia="宋体" w:cs="Times New Roman"/>
          <w:kern w:val="0"/>
          <w:sz w:val="21"/>
          <w:szCs w:val="20"/>
        </w:rPr>
      </w:pPr>
      <w:bookmarkStart w:id="38" w:name="_Toc17233326"/>
      <w:bookmarkStart w:id="39" w:name="_Toc24884219"/>
      <w:bookmarkStart w:id="40" w:name="_Toc24884212"/>
      <w:bookmarkStart w:id="41" w:name="_Toc26648466"/>
      <w:bookmarkStart w:id="42" w:name="_Toc17233334"/>
      <w:r>
        <w:rPr>
          <w:rFonts w:hint="eastAsia" w:ascii="宋体" w:hAnsi="Times New Roman" w:eastAsia="宋体" w:cs="Times New Roman"/>
          <w:kern w:val="0"/>
          <w:sz w:val="21"/>
          <w:szCs w:val="20"/>
        </w:rPr>
        <w:t>本文件规定了餐饮用醇基液体燃料使用的基本要求、安全要求和应急管理要求。</w:t>
      </w:r>
    </w:p>
    <w:p w14:paraId="3EEF0C58">
      <w:pPr>
        <w:autoSpaceDE w:val="0"/>
        <w:autoSpaceDN w:val="0"/>
        <w:ind w:firstLine="420" w:firstLineChars="200"/>
        <w:rPr>
          <w:rFonts w:ascii="宋体" w:hAnsi="Times New Roman" w:eastAsia="宋体" w:cs="Times New Roman"/>
          <w:kern w:val="0"/>
          <w:sz w:val="21"/>
          <w:szCs w:val="20"/>
        </w:rPr>
      </w:pPr>
      <w:r>
        <w:rPr>
          <w:rFonts w:hint="eastAsia" w:ascii="宋体" w:hAnsi="Times New Roman" w:eastAsia="宋体" w:cs="Times New Roman"/>
          <w:kern w:val="0"/>
          <w:sz w:val="21"/>
          <w:szCs w:val="20"/>
        </w:rPr>
        <w:t>本文件适用于使用醇基液体燃料的餐饮经营单位（含单位食堂），不适用于其他如家庭、工业生产使用场景。</w:t>
      </w:r>
      <w:bookmarkStart w:id="43" w:name="_Toc26986531"/>
      <w:bookmarkStart w:id="44" w:name="_Toc67498193"/>
      <w:bookmarkStart w:id="45" w:name="_Toc67496483"/>
      <w:bookmarkStart w:id="46" w:name="_Toc67496623"/>
      <w:bookmarkStart w:id="47" w:name="_Toc67496456"/>
      <w:bookmarkStart w:id="48" w:name="_Toc67494694"/>
      <w:bookmarkStart w:id="49" w:name="_Toc67496421"/>
      <w:bookmarkStart w:id="50" w:name="_Toc26718931"/>
      <w:bookmarkStart w:id="51" w:name="_Toc93587141"/>
      <w:bookmarkStart w:id="52" w:name="_Toc26986772"/>
    </w:p>
    <w:p w14:paraId="73B9576B">
      <w:pPr>
        <w:spacing w:before="240" w:beforeLines="100" w:after="240" w:afterLines="100" w:line="278" w:lineRule="auto"/>
        <w:outlineLvl w:val="0"/>
        <w:rPr>
          <w:rFonts w:ascii="黑体" w:hAnsi="黑体" w:eastAsia="黑体" w:cs="Times New Roman"/>
          <w:kern w:val="0"/>
          <w:sz w:val="21"/>
          <w:szCs w:val="20"/>
        </w:rPr>
      </w:pPr>
      <w:bookmarkStart w:id="53" w:name="_Toc210663252"/>
      <w:r>
        <w:rPr>
          <w:rFonts w:hint="eastAsia" w:ascii="黑体" w:hAnsi="黑体" w:eastAsia="黑体" w:cs="Times New Roman"/>
          <w:kern w:val="0"/>
          <w:sz w:val="21"/>
          <w:szCs w:val="20"/>
        </w:rPr>
        <w:t>2 规范性引用文件</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hint="eastAsia" w:ascii="黑体" w:hAnsi="黑体" w:eastAsia="黑体" w:cs="Times New Roman"/>
          <w:kern w:val="0"/>
          <w:sz w:val="21"/>
          <w:szCs w:val="20"/>
        </w:rPr>
        <w:t xml:space="preserve"> </w:t>
      </w:r>
    </w:p>
    <w:p w14:paraId="285BA0B4">
      <w:pPr>
        <w:ind w:firstLine="420" w:firstLineChars="200"/>
        <w:rPr>
          <w:rFonts w:ascii="宋体" w:hAnsi="Times New Roman" w:eastAsia="宋体" w:cs="Times New Roman"/>
          <w:kern w:val="0"/>
          <w:sz w:val="21"/>
          <w:szCs w:val="20"/>
        </w:rPr>
      </w:pPr>
      <w:r>
        <w:rPr>
          <w:rFonts w:hint="eastAsia" w:ascii="宋体" w:hAnsi="Times New Roman" w:eastAsia="宋体" w:cs="Times New Roman"/>
          <w:kern w:val="0"/>
          <w:sz w:val="21"/>
          <w:szCs w:val="20"/>
        </w:rPr>
        <w:t>下列文件中的内容通过文中的规范性引用而构成本文件必不可少的条款。</w:t>
      </w:r>
      <w:r>
        <w:rPr>
          <w:rFonts w:ascii="宋体" w:hAnsi="Times New Roman" w:eastAsia="宋体" w:cs="Times New Roman"/>
          <w:kern w:val="0"/>
          <w:sz w:val="21"/>
          <w:szCs w:val="20"/>
        </w:rPr>
        <w:t>其中，注日期的引用文件，</w:t>
      </w:r>
      <w:r>
        <w:rPr>
          <w:rFonts w:hint="eastAsia" w:ascii="宋体" w:hAnsi="Times New Roman" w:eastAsia="宋体" w:cs="Times New Roman"/>
          <w:kern w:val="0"/>
          <w:sz w:val="21"/>
          <w:szCs w:val="20"/>
        </w:rPr>
        <w:t>仅该日期对应的版本适用于本文件；不注日期的引用文件，其最新版本</w:t>
      </w:r>
      <w:r>
        <w:rPr>
          <w:rFonts w:ascii="宋体" w:hAnsi="Times New Roman" w:eastAsia="宋体" w:cs="Times New Roman"/>
          <w:kern w:val="0"/>
          <w:sz w:val="21"/>
          <w:szCs w:val="20"/>
        </w:rPr>
        <w:t>(包括所有的修改单)适用于本</w:t>
      </w:r>
      <w:r>
        <w:rPr>
          <w:rFonts w:hint="eastAsia" w:ascii="宋体" w:hAnsi="Times New Roman" w:eastAsia="宋体" w:cs="Times New Roman"/>
          <w:kern w:val="0"/>
          <w:sz w:val="21"/>
          <w:szCs w:val="20"/>
        </w:rPr>
        <w:t>文件。</w:t>
      </w:r>
    </w:p>
    <w:p w14:paraId="5E30E48B">
      <w:pPr>
        <w:ind w:firstLine="420" w:firstLineChars="200"/>
        <w:rPr>
          <w:rFonts w:ascii="宋体" w:hAnsi="Times New Roman" w:eastAsia="宋体" w:cs="Times New Roman"/>
          <w:kern w:val="0"/>
          <w:sz w:val="21"/>
          <w:szCs w:val="20"/>
        </w:rPr>
      </w:pPr>
      <w:r>
        <w:rPr>
          <w:rFonts w:ascii="宋体" w:hAnsi="Times New Roman" w:eastAsia="宋体" w:cs="Times New Roman"/>
          <w:kern w:val="0"/>
          <w:sz w:val="21"/>
          <w:szCs w:val="20"/>
        </w:rPr>
        <w:t>GB 16663</w:t>
      </w:r>
      <w:r>
        <w:rPr>
          <w:rFonts w:hint="eastAsia" w:ascii="宋体" w:hAnsi="Times New Roman" w:eastAsia="宋体" w:cs="Times New Roman"/>
          <w:kern w:val="0"/>
          <w:sz w:val="21"/>
          <w:szCs w:val="20"/>
        </w:rPr>
        <w:t xml:space="preserve"> 醇基液体燃料</w:t>
      </w:r>
    </w:p>
    <w:p w14:paraId="14BC8975">
      <w:pPr>
        <w:ind w:firstLine="420" w:firstLineChars="200"/>
        <w:rPr>
          <w:rFonts w:ascii="宋体" w:hAnsi="Times New Roman" w:eastAsia="宋体" w:cs="Times New Roman"/>
          <w:kern w:val="0"/>
          <w:sz w:val="21"/>
          <w:szCs w:val="20"/>
        </w:rPr>
      </w:pPr>
      <w:r>
        <w:rPr>
          <w:rFonts w:ascii="宋体" w:hAnsi="Times New Roman" w:eastAsia="宋体" w:cs="Times New Roman"/>
          <w:kern w:val="0"/>
          <w:sz w:val="21"/>
          <w:szCs w:val="20"/>
        </w:rPr>
        <w:t>GB 30000.7 化学品分类和标签规范第 7 部分：易燃液体</w:t>
      </w:r>
    </w:p>
    <w:p w14:paraId="1FF202A1">
      <w:pPr>
        <w:ind w:firstLine="420" w:firstLineChars="200"/>
        <w:rPr>
          <w:rFonts w:ascii="宋体" w:hAnsi="Times New Roman" w:eastAsia="宋体" w:cs="Times New Roman"/>
          <w:kern w:val="0"/>
          <w:sz w:val="21"/>
          <w:szCs w:val="20"/>
        </w:rPr>
      </w:pPr>
      <w:r>
        <w:rPr>
          <w:rFonts w:ascii="宋体" w:hAnsi="Times New Roman" w:eastAsia="宋体" w:cs="Times New Roman"/>
          <w:kern w:val="0"/>
          <w:sz w:val="21"/>
          <w:szCs w:val="20"/>
        </w:rPr>
        <w:t>GB 50016</w:t>
      </w:r>
      <w:r>
        <w:rPr>
          <w:rFonts w:hint="eastAsia" w:ascii="宋体" w:hAnsi="Times New Roman" w:eastAsia="宋体" w:cs="Times New Roman"/>
          <w:kern w:val="0"/>
          <w:sz w:val="21"/>
          <w:szCs w:val="20"/>
        </w:rPr>
        <w:t xml:space="preserve"> 建筑设计防火规范</w:t>
      </w:r>
    </w:p>
    <w:p w14:paraId="225BAC03">
      <w:pPr>
        <w:ind w:firstLine="420" w:firstLineChars="200"/>
        <w:rPr>
          <w:rFonts w:ascii="宋体" w:hAnsi="Times New Roman" w:eastAsia="宋体" w:cs="Times New Roman"/>
          <w:kern w:val="0"/>
          <w:sz w:val="21"/>
          <w:szCs w:val="20"/>
        </w:rPr>
      </w:pPr>
      <w:r>
        <w:rPr>
          <w:rFonts w:hint="eastAsia" w:ascii="宋体" w:hAnsi="Times New Roman" w:eastAsia="宋体" w:cs="Times New Roman"/>
          <w:kern w:val="0"/>
          <w:sz w:val="21"/>
          <w:szCs w:val="20"/>
        </w:rPr>
        <w:t>GB</w:t>
      </w:r>
      <w:r>
        <w:rPr>
          <w:rFonts w:ascii="宋体" w:hAnsi="Times New Roman" w:eastAsia="宋体" w:cs="Times New Roman"/>
          <w:kern w:val="0"/>
          <w:sz w:val="21"/>
          <w:szCs w:val="20"/>
        </w:rPr>
        <w:t xml:space="preserve"> </w:t>
      </w:r>
      <w:r>
        <w:rPr>
          <w:rFonts w:hint="eastAsia" w:ascii="宋体" w:hAnsi="Times New Roman" w:eastAsia="宋体" w:cs="Times New Roman"/>
          <w:kern w:val="0"/>
          <w:sz w:val="21"/>
          <w:szCs w:val="20"/>
        </w:rPr>
        <w:t>50028</w:t>
      </w:r>
      <w:r>
        <w:rPr>
          <w:rFonts w:ascii="宋体" w:hAnsi="Times New Roman" w:eastAsia="宋体" w:cs="Times New Roman"/>
          <w:kern w:val="0"/>
          <w:sz w:val="21"/>
          <w:szCs w:val="20"/>
        </w:rPr>
        <w:t xml:space="preserve"> </w:t>
      </w:r>
      <w:r>
        <w:rPr>
          <w:rFonts w:hint="eastAsia" w:ascii="宋体" w:hAnsi="Times New Roman" w:eastAsia="宋体" w:cs="Times New Roman"/>
          <w:kern w:val="0"/>
          <w:sz w:val="21"/>
          <w:szCs w:val="20"/>
        </w:rPr>
        <w:t>城镇燃气设计规范</w:t>
      </w:r>
    </w:p>
    <w:p w14:paraId="31E2BA8B">
      <w:pPr>
        <w:ind w:firstLine="420" w:firstLineChars="200"/>
        <w:rPr>
          <w:rFonts w:ascii="宋体" w:hAnsi="Times New Roman" w:eastAsia="宋体" w:cs="Times New Roman"/>
          <w:kern w:val="0"/>
          <w:sz w:val="21"/>
          <w:szCs w:val="20"/>
        </w:rPr>
      </w:pPr>
      <w:r>
        <w:rPr>
          <w:rFonts w:ascii="宋体" w:hAnsi="Times New Roman" w:eastAsia="宋体" w:cs="Times New Roman"/>
          <w:kern w:val="0"/>
          <w:sz w:val="21"/>
          <w:szCs w:val="20"/>
        </w:rPr>
        <w:t xml:space="preserve">GB 55009 </w:t>
      </w:r>
      <w:r>
        <w:rPr>
          <w:rFonts w:hint="eastAsia" w:ascii="宋体" w:hAnsi="Times New Roman" w:eastAsia="宋体" w:cs="Times New Roman"/>
          <w:kern w:val="0"/>
          <w:sz w:val="21"/>
          <w:szCs w:val="20"/>
        </w:rPr>
        <w:t>燃气工程项目规范</w:t>
      </w:r>
    </w:p>
    <w:p w14:paraId="621B3CF6">
      <w:pPr>
        <w:ind w:firstLine="420" w:firstLineChars="200"/>
        <w:rPr>
          <w:rFonts w:ascii="宋体" w:hAnsi="Times New Roman" w:eastAsia="宋体" w:cs="Times New Roman"/>
          <w:kern w:val="0"/>
          <w:sz w:val="21"/>
          <w:szCs w:val="20"/>
        </w:rPr>
      </w:pPr>
      <w:r>
        <w:rPr>
          <w:rFonts w:hint="eastAsia" w:ascii="宋体" w:hAnsi="Times New Roman" w:eastAsia="宋体" w:cs="Times New Roman"/>
          <w:kern w:val="0"/>
          <w:sz w:val="21"/>
          <w:szCs w:val="20"/>
        </w:rPr>
        <w:t>GB</w:t>
      </w:r>
      <w:r>
        <w:rPr>
          <w:rFonts w:ascii="宋体" w:hAnsi="Times New Roman" w:eastAsia="宋体" w:cs="Times New Roman"/>
          <w:kern w:val="0"/>
          <w:sz w:val="21"/>
          <w:szCs w:val="20"/>
        </w:rPr>
        <w:t xml:space="preserve"> </w:t>
      </w:r>
      <w:r>
        <w:rPr>
          <w:rFonts w:hint="eastAsia" w:ascii="宋体" w:hAnsi="Times New Roman" w:eastAsia="宋体" w:cs="Times New Roman"/>
          <w:kern w:val="0"/>
          <w:sz w:val="21"/>
          <w:szCs w:val="20"/>
        </w:rPr>
        <w:t>2894</w:t>
      </w:r>
      <w:r>
        <w:rPr>
          <w:rFonts w:ascii="宋体" w:hAnsi="Times New Roman" w:eastAsia="宋体" w:cs="Times New Roman"/>
          <w:kern w:val="0"/>
          <w:sz w:val="21"/>
          <w:szCs w:val="20"/>
        </w:rPr>
        <w:t xml:space="preserve"> </w:t>
      </w:r>
      <w:r>
        <w:rPr>
          <w:rFonts w:hint="eastAsia" w:ascii="宋体" w:hAnsi="Times New Roman" w:eastAsia="宋体" w:cs="Times New Roman"/>
          <w:kern w:val="0"/>
          <w:sz w:val="21"/>
          <w:szCs w:val="20"/>
        </w:rPr>
        <w:t xml:space="preserve"> 安全色和安全标志</w:t>
      </w:r>
    </w:p>
    <w:p w14:paraId="49FE9ABC">
      <w:pPr>
        <w:ind w:firstLine="420" w:firstLineChars="200"/>
        <w:rPr>
          <w:rFonts w:ascii="宋体" w:hAnsi="Times New Roman" w:eastAsia="宋体" w:cs="Times New Roman"/>
          <w:kern w:val="0"/>
          <w:sz w:val="21"/>
          <w:szCs w:val="20"/>
        </w:rPr>
      </w:pPr>
      <w:r>
        <w:rPr>
          <w:rFonts w:hint="eastAsia" w:ascii="宋体" w:hAnsi="Times New Roman" w:eastAsia="宋体" w:cs="Times New Roman"/>
          <w:kern w:val="0"/>
          <w:sz w:val="21"/>
          <w:szCs w:val="20"/>
        </w:rPr>
        <w:t>GB 12463 危险货物运输包装通用技术条件</w:t>
      </w:r>
    </w:p>
    <w:p w14:paraId="4782F151">
      <w:pPr>
        <w:ind w:firstLine="420" w:firstLineChars="200"/>
        <w:rPr>
          <w:rFonts w:ascii="宋体" w:hAnsi="Times New Roman" w:eastAsia="宋体" w:cs="Times New Roman"/>
          <w:kern w:val="0"/>
          <w:sz w:val="21"/>
          <w:szCs w:val="20"/>
        </w:rPr>
      </w:pPr>
      <w:r>
        <w:rPr>
          <w:rFonts w:hint="eastAsia" w:ascii="宋体" w:hAnsi="Times New Roman" w:eastAsia="宋体" w:cs="Times New Roman"/>
          <w:kern w:val="0"/>
          <w:sz w:val="21"/>
          <w:szCs w:val="20"/>
        </w:rPr>
        <w:t>GB 30000.1 化学品分类和标签规范 第1部分：通则</w:t>
      </w:r>
    </w:p>
    <w:p w14:paraId="05709429">
      <w:pPr>
        <w:ind w:firstLine="420" w:firstLineChars="200"/>
        <w:rPr>
          <w:rFonts w:ascii="宋体" w:hAnsi="Times New Roman" w:eastAsia="宋体" w:cs="Times New Roman"/>
          <w:kern w:val="0"/>
          <w:sz w:val="21"/>
          <w:szCs w:val="20"/>
        </w:rPr>
      </w:pPr>
      <w:r>
        <w:rPr>
          <w:rFonts w:hint="eastAsia" w:ascii="宋体" w:hAnsi="Times New Roman" w:eastAsia="宋体" w:cs="Times New Roman"/>
          <w:kern w:val="0"/>
          <w:sz w:val="21"/>
          <w:szCs w:val="20"/>
        </w:rPr>
        <w:t>GB 30000.7 化学品分类和标签规范第7部分：易燃液体</w:t>
      </w:r>
    </w:p>
    <w:p w14:paraId="4AF0934E">
      <w:pPr>
        <w:ind w:firstLine="420" w:firstLineChars="200"/>
        <w:rPr>
          <w:rFonts w:ascii="宋体" w:hAnsi="Times New Roman" w:eastAsia="宋体" w:cs="Times New Roman"/>
          <w:kern w:val="0"/>
          <w:sz w:val="21"/>
          <w:szCs w:val="20"/>
        </w:rPr>
      </w:pPr>
      <w:r>
        <w:rPr>
          <w:rFonts w:hint="eastAsia" w:ascii="宋体" w:hAnsi="Times New Roman" w:eastAsia="宋体" w:cs="Times New Roman"/>
          <w:kern w:val="0"/>
          <w:sz w:val="21"/>
          <w:szCs w:val="20"/>
        </w:rPr>
        <w:t>GB</w:t>
      </w:r>
      <w:r>
        <w:rPr>
          <w:rFonts w:ascii="宋体" w:hAnsi="Times New Roman" w:eastAsia="宋体" w:cs="Times New Roman"/>
          <w:kern w:val="0"/>
          <w:sz w:val="21"/>
          <w:szCs w:val="20"/>
        </w:rPr>
        <w:t xml:space="preserve"> </w:t>
      </w:r>
      <w:r>
        <w:rPr>
          <w:rFonts w:hint="eastAsia" w:ascii="宋体" w:hAnsi="Times New Roman" w:eastAsia="宋体" w:cs="Times New Roman"/>
          <w:kern w:val="0"/>
          <w:sz w:val="21"/>
          <w:szCs w:val="20"/>
        </w:rPr>
        <w:t>12158 防止静电事故通用要求</w:t>
      </w:r>
    </w:p>
    <w:p w14:paraId="0A4FE9D6">
      <w:pPr>
        <w:ind w:firstLine="420" w:firstLineChars="200"/>
        <w:rPr>
          <w:rFonts w:ascii="宋体" w:hAnsi="Times New Roman" w:eastAsia="宋体" w:cs="Times New Roman"/>
          <w:kern w:val="0"/>
          <w:sz w:val="21"/>
          <w:szCs w:val="20"/>
        </w:rPr>
      </w:pPr>
      <w:r>
        <w:rPr>
          <w:rFonts w:ascii="宋体" w:hAnsi="Times New Roman" w:eastAsia="宋体" w:cs="Times New Roman"/>
          <w:kern w:val="0"/>
          <w:sz w:val="21"/>
          <w:szCs w:val="20"/>
        </w:rPr>
        <w:t>NY</w:t>
      </w:r>
      <w:r>
        <w:rPr>
          <w:rFonts w:hint="eastAsia" w:ascii="宋体" w:hAnsi="Times New Roman" w:eastAsia="宋体" w:cs="Times New Roman"/>
          <w:kern w:val="0"/>
          <w:sz w:val="21"/>
          <w:szCs w:val="20"/>
        </w:rPr>
        <w:t>/T</w:t>
      </w:r>
      <w:r>
        <w:rPr>
          <w:rFonts w:ascii="宋体" w:hAnsi="Times New Roman" w:eastAsia="宋体" w:cs="Times New Roman"/>
          <w:kern w:val="0"/>
          <w:sz w:val="21"/>
          <w:szCs w:val="20"/>
        </w:rPr>
        <w:t xml:space="preserve"> 312</w:t>
      </w:r>
      <w:r>
        <w:rPr>
          <w:rFonts w:hint="eastAsia" w:ascii="宋体" w:hAnsi="Times New Roman" w:eastAsia="宋体" w:cs="Times New Roman"/>
          <w:kern w:val="0"/>
          <w:sz w:val="21"/>
          <w:szCs w:val="20"/>
        </w:rPr>
        <w:t xml:space="preserve"> </w:t>
      </w:r>
      <w:r>
        <w:rPr>
          <w:rFonts w:ascii="宋体" w:hAnsi="Times New Roman" w:eastAsia="宋体" w:cs="Times New Roman"/>
          <w:kern w:val="0"/>
          <w:sz w:val="21"/>
          <w:szCs w:val="20"/>
        </w:rPr>
        <w:t>醇基民用燃料灶具</w:t>
      </w:r>
    </w:p>
    <w:p w14:paraId="36CA69B2">
      <w:pPr>
        <w:ind w:firstLine="420" w:firstLineChars="200"/>
        <w:rPr>
          <w:rFonts w:ascii="宋体" w:hAnsi="Times New Roman" w:eastAsia="宋体" w:cs="Times New Roman"/>
          <w:kern w:val="0"/>
          <w:sz w:val="21"/>
          <w:szCs w:val="20"/>
        </w:rPr>
      </w:pPr>
      <w:r>
        <w:rPr>
          <w:rFonts w:ascii="宋体" w:hAnsi="Times New Roman" w:eastAsia="宋体" w:cs="Times New Roman"/>
          <w:kern w:val="0"/>
          <w:sz w:val="21"/>
          <w:szCs w:val="20"/>
        </w:rPr>
        <w:t>GB 50057 建筑物防雷设计规范</w:t>
      </w:r>
    </w:p>
    <w:p w14:paraId="0E4598ED">
      <w:pPr>
        <w:ind w:firstLine="420" w:firstLineChars="200"/>
        <w:rPr>
          <w:rFonts w:ascii="宋体" w:hAnsi="Times New Roman" w:eastAsia="宋体" w:cs="Times New Roman"/>
          <w:kern w:val="0"/>
          <w:sz w:val="21"/>
          <w:szCs w:val="20"/>
        </w:rPr>
      </w:pPr>
      <w:r>
        <w:rPr>
          <w:rFonts w:ascii="宋体" w:hAnsi="Times New Roman" w:eastAsia="宋体" w:cs="Times New Roman"/>
          <w:kern w:val="0"/>
          <w:sz w:val="21"/>
          <w:szCs w:val="20"/>
        </w:rPr>
        <w:t>GB 50058 爆炸危险环境电力装置设计规范</w:t>
      </w:r>
    </w:p>
    <w:p w14:paraId="1F08659C">
      <w:pPr>
        <w:ind w:firstLine="420" w:firstLineChars="200"/>
        <w:rPr>
          <w:rFonts w:ascii="宋体" w:hAnsi="Times New Roman" w:eastAsia="宋体" w:cs="Times New Roman"/>
          <w:kern w:val="0"/>
          <w:sz w:val="21"/>
          <w:szCs w:val="20"/>
        </w:rPr>
      </w:pPr>
      <w:r>
        <w:rPr>
          <w:rFonts w:ascii="宋体" w:hAnsi="Times New Roman" w:eastAsia="宋体" w:cs="Times New Roman"/>
          <w:kern w:val="0"/>
          <w:sz w:val="21"/>
          <w:szCs w:val="20"/>
        </w:rPr>
        <w:t>GB 50140 建筑灭火器配置设计规范</w:t>
      </w:r>
    </w:p>
    <w:p w14:paraId="202EDD47">
      <w:pPr>
        <w:ind w:firstLine="420" w:firstLineChars="200"/>
        <w:rPr>
          <w:rFonts w:ascii="宋体" w:hAnsi="Times New Roman" w:eastAsia="宋体" w:cs="Times New Roman"/>
          <w:kern w:val="0"/>
          <w:sz w:val="21"/>
          <w:szCs w:val="20"/>
        </w:rPr>
      </w:pPr>
      <w:r>
        <w:rPr>
          <w:rFonts w:ascii="宋体" w:hAnsi="Times New Roman" w:eastAsia="宋体" w:cs="Times New Roman"/>
          <w:kern w:val="0"/>
          <w:sz w:val="21"/>
          <w:szCs w:val="20"/>
        </w:rPr>
        <w:t>GB 35181</w:t>
      </w:r>
      <w:r>
        <w:rPr>
          <w:rFonts w:hint="eastAsia" w:ascii="宋体" w:hAnsi="Times New Roman" w:eastAsia="宋体" w:cs="Times New Roman"/>
          <w:kern w:val="0"/>
          <w:sz w:val="21"/>
          <w:szCs w:val="20"/>
        </w:rPr>
        <w:t xml:space="preserve"> 重大火灾隐患判定规则</w:t>
      </w:r>
    </w:p>
    <w:p w14:paraId="40EBAAD5">
      <w:pPr>
        <w:ind w:firstLine="420" w:firstLineChars="200"/>
        <w:rPr>
          <w:rFonts w:ascii="宋体" w:hAnsi="Times New Roman" w:eastAsia="宋体" w:cs="Times New Roman"/>
          <w:kern w:val="0"/>
          <w:sz w:val="21"/>
          <w:szCs w:val="20"/>
        </w:rPr>
      </w:pPr>
      <w:r>
        <w:rPr>
          <w:rFonts w:hint="eastAsia" w:ascii="宋体" w:hAnsi="Times New Roman" w:eastAsia="宋体" w:cs="Times New Roman"/>
          <w:kern w:val="0"/>
          <w:sz w:val="21"/>
          <w:szCs w:val="20"/>
        </w:rPr>
        <w:t>GB/T 26002</w:t>
      </w:r>
      <w:r>
        <w:rPr>
          <w:rFonts w:ascii="宋体" w:hAnsi="Times New Roman" w:eastAsia="宋体" w:cs="Times New Roman"/>
          <w:kern w:val="0"/>
          <w:sz w:val="21"/>
          <w:szCs w:val="20"/>
        </w:rPr>
        <w:t xml:space="preserve"> </w:t>
      </w:r>
      <w:r>
        <w:rPr>
          <w:rFonts w:hint="eastAsia" w:ascii="宋体" w:hAnsi="Times New Roman" w:eastAsia="宋体" w:cs="Times New Roman"/>
          <w:kern w:val="0"/>
          <w:sz w:val="21"/>
          <w:szCs w:val="20"/>
        </w:rPr>
        <w:t>燃气输送用不锈钢波纹软管及管件</w:t>
      </w:r>
    </w:p>
    <w:p w14:paraId="2C059681">
      <w:pPr>
        <w:ind w:firstLine="420" w:firstLineChars="200"/>
        <w:rPr>
          <w:rFonts w:ascii="宋体" w:hAnsi="Times New Roman" w:eastAsia="宋体" w:cs="Times New Roman"/>
          <w:kern w:val="0"/>
          <w:sz w:val="21"/>
          <w:szCs w:val="20"/>
        </w:rPr>
      </w:pPr>
      <w:r>
        <w:rPr>
          <w:rFonts w:ascii="宋体" w:hAnsi="Times New Roman" w:eastAsia="宋体" w:cs="Times New Roman"/>
          <w:kern w:val="0"/>
          <w:sz w:val="21"/>
          <w:szCs w:val="20"/>
        </w:rPr>
        <w:t>GB</w:t>
      </w:r>
      <w:r>
        <w:rPr>
          <w:rFonts w:hint="eastAsia" w:ascii="宋体" w:hAnsi="Times New Roman" w:eastAsia="宋体" w:cs="Times New Roman"/>
          <w:kern w:val="0"/>
          <w:sz w:val="21"/>
          <w:szCs w:val="20"/>
        </w:rPr>
        <w:t>/</w:t>
      </w:r>
      <w:r>
        <w:rPr>
          <w:rFonts w:ascii="宋体" w:hAnsi="Times New Roman" w:eastAsia="宋体" w:cs="Times New Roman"/>
          <w:kern w:val="0"/>
          <w:sz w:val="21"/>
          <w:szCs w:val="20"/>
        </w:rPr>
        <w:t>T</w:t>
      </w:r>
      <w:r>
        <w:rPr>
          <w:rFonts w:hint="eastAsia" w:ascii="宋体" w:hAnsi="Times New Roman" w:eastAsia="宋体" w:cs="Times New Roman"/>
          <w:kern w:val="0"/>
          <w:sz w:val="21"/>
          <w:szCs w:val="20"/>
        </w:rPr>
        <w:t xml:space="preserve"> </w:t>
      </w:r>
      <w:r>
        <w:rPr>
          <w:rFonts w:ascii="宋体" w:hAnsi="Times New Roman" w:eastAsia="宋体" w:cs="Times New Roman"/>
          <w:kern w:val="0"/>
          <w:sz w:val="21"/>
          <w:szCs w:val="20"/>
        </w:rPr>
        <w:t>40248</w:t>
      </w:r>
      <w:r>
        <w:rPr>
          <w:rFonts w:hint="eastAsia" w:ascii="宋体" w:hAnsi="Times New Roman" w:eastAsia="宋体" w:cs="Times New Roman"/>
          <w:kern w:val="0"/>
          <w:sz w:val="21"/>
          <w:szCs w:val="20"/>
        </w:rPr>
        <w:t xml:space="preserve"> </w:t>
      </w:r>
      <w:r>
        <w:rPr>
          <w:rFonts w:ascii="宋体" w:hAnsi="Times New Roman" w:eastAsia="宋体" w:cs="Times New Roman"/>
          <w:kern w:val="0"/>
          <w:sz w:val="21"/>
          <w:szCs w:val="20"/>
        </w:rPr>
        <w:t>人员密集场所消防安全管理</w:t>
      </w:r>
    </w:p>
    <w:p w14:paraId="6D6BA6A1">
      <w:pPr>
        <w:ind w:firstLine="420" w:firstLineChars="200"/>
        <w:rPr>
          <w:rFonts w:ascii="宋体" w:hAnsi="Times New Roman" w:eastAsia="宋体" w:cs="Times New Roman"/>
          <w:kern w:val="0"/>
          <w:sz w:val="21"/>
          <w:szCs w:val="20"/>
        </w:rPr>
      </w:pPr>
      <w:r>
        <w:rPr>
          <w:rFonts w:hint="eastAsia" w:ascii="Times New Roman" w:hAnsi="宋体" w:eastAsia="宋体" w:cs="Times New Roman"/>
          <w:kern w:val="0"/>
          <w:sz w:val="21"/>
          <w:szCs w:val="20"/>
        </w:rPr>
        <w:t>GB/T 20878</w:t>
      </w:r>
      <w:r>
        <w:rPr>
          <w:rFonts w:ascii="Times New Roman" w:hAnsi="宋体" w:eastAsia="宋体" w:cs="Times New Roman"/>
          <w:kern w:val="0"/>
          <w:sz w:val="21"/>
          <w:szCs w:val="20"/>
        </w:rPr>
        <w:t xml:space="preserve"> </w:t>
      </w:r>
      <w:r>
        <w:rPr>
          <w:rFonts w:hint="eastAsia" w:ascii="宋体" w:hAnsi="Times New Roman" w:eastAsia="宋体" w:cs="Times New Roman"/>
          <w:kern w:val="0"/>
          <w:sz w:val="21"/>
          <w:szCs w:val="20"/>
        </w:rPr>
        <w:t>不锈钢 牌号及化学成分</w:t>
      </w:r>
    </w:p>
    <w:p w14:paraId="55E47189">
      <w:pPr>
        <w:ind w:firstLine="420" w:firstLineChars="200"/>
        <w:rPr>
          <w:rFonts w:ascii="宋体" w:hAnsi="Times New Roman" w:eastAsia="宋体" w:cs="Times New Roman"/>
          <w:kern w:val="0"/>
          <w:sz w:val="21"/>
          <w:szCs w:val="20"/>
        </w:rPr>
      </w:pPr>
      <w:r>
        <w:rPr>
          <w:rFonts w:hint="eastAsia" w:ascii="宋体" w:hAnsi="Times New Roman" w:eastAsia="宋体" w:cs="Times New Roman"/>
          <w:kern w:val="0"/>
          <w:sz w:val="21"/>
          <w:szCs w:val="20"/>
        </w:rPr>
        <w:t>AQ 3053 立式圆筒形钢制焊接储罐安全技术规范</w:t>
      </w:r>
    </w:p>
    <w:p w14:paraId="37E48922">
      <w:pPr>
        <w:ind w:firstLine="420" w:firstLineChars="200"/>
        <w:rPr>
          <w:rFonts w:ascii="宋体" w:hAnsi="Times New Roman" w:eastAsia="宋体" w:cs="Times New Roman"/>
          <w:kern w:val="0"/>
          <w:sz w:val="21"/>
          <w:szCs w:val="20"/>
        </w:rPr>
      </w:pPr>
      <w:r>
        <w:rPr>
          <w:rFonts w:ascii="宋体" w:hAnsi="Times New Roman" w:eastAsia="宋体" w:cs="Times New Roman"/>
          <w:kern w:val="0"/>
          <w:sz w:val="21"/>
          <w:szCs w:val="20"/>
        </w:rPr>
        <w:t>CJJ 12 家用燃气燃烧器具安装及验收规范</w:t>
      </w:r>
    </w:p>
    <w:p w14:paraId="556DBA90">
      <w:pPr>
        <w:spacing w:line="278" w:lineRule="auto"/>
        <w:ind w:firstLine="420" w:firstLineChars="200"/>
        <w:rPr>
          <w:rFonts w:ascii="宋体" w:hAnsi="Times New Roman" w:eastAsia="宋体" w:cs="Times New Roman"/>
          <w:kern w:val="0"/>
          <w:sz w:val="21"/>
          <w:szCs w:val="20"/>
        </w:rPr>
      </w:pPr>
      <w:r>
        <w:rPr>
          <w:rFonts w:ascii="宋体" w:hAnsi="Times New Roman" w:eastAsia="宋体" w:cs="Times New Roman"/>
          <w:kern w:val="0"/>
          <w:sz w:val="21"/>
          <w:szCs w:val="20"/>
        </w:rPr>
        <w:t>TSG ZB001 燃油（气）燃烧器安全技术规则</w:t>
      </w:r>
    </w:p>
    <w:p w14:paraId="6D9AFEA7">
      <w:pPr>
        <w:spacing w:before="240" w:beforeLines="100" w:after="240" w:afterLines="100" w:line="278" w:lineRule="auto"/>
        <w:outlineLvl w:val="0"/>
        <w:rPr>
          <w:rFonts w:ascii="黑体" w:hAnsi="Times New Roman" w:eastAsia="黑体" w:cs="Times New Roman"/>
          <w:kern w:val="0"/>
          <w:sz w:val="21"/>
          <w:szCs w:val="20"/>
        </w:rPr>
      </w:pPr>
      <w:bookmarkStart w:id="54" w:name="_Toc26644"/>
      <w:bookmarkStart w:id="55" w:name="_Toc27168"/>
      <w:bookmarkStart w:id="56" w:name="_Toc210663253"/>
      <w:r>
        <w:rPr>
          <w:rFonts w:ascii="黑体" w:hAnsi="黑体" w:eastAsia="黑体" w:cs="Times New Roman"/>
          <w:kern w:val="0"/>
          <w:sz w:val="21"/>
          <w:szCs w:val="20"/>
        </w:rPr>
        <w:t xml:space="preserve">3 </w:t>
      </w:r>
      <w:r>
        <w:rPr>
          <w:rFonts w:hint="eastAsia" w:ascii="黑体" w:hAnsi="黑体" w:eastAsia="黑体" w:cs="Times New Roman"/>
          <w:kern w:val="0"/>
          <w:sz w:val="21"/>
          <w:szCs w:val="20"/>
        </w:rPr>
        <w:t>术语和定义</w:t>
      </w:r>
      <w:bookmarkEnd w:id="54"/>
      <w:bookmarkEnd w:id="55"/>
      <w:bookmarkEnd w:id="56"/>
    </w:p>
    <w:p w14:paraId="6E282C6D">
      <w:pPr>
        <w:widowControl w:val="0"/>
        <w:adjustRightInd w:val="0"/>
        <w:snapToGrid w:val="0"/>
        <w:spacing w:after="160" w:line="278" w:lineRule="auto"/>
        <w:ind w:firstLine="420" w:firstLineChars="200"/>
        <w:rPr>
          <w:rFonts w:hint="eastAsia" w:ascii="Times New Roman" w:hAnsi="宋体" w:eastAsia="宋体" w:cs="Times New Roman"/>
          <w:sz w:val="21"/>
          <w:szCs w:val="24"/>
        </w:rPr>
      </w:pPr>
      <w:r>
        <w:rPr>
          <w:rFonts w:hint="eastAsia" w:ascii="Times New Roman" w:hAnsi="宋体" w:eastAsia="宋体" w:cs="Times New Roman"/>
          <w:sz w:val="21"/>
          <w:szCs w:val="24"/>
        </w:rPr>
        <w:t>下列术语和定义适用于本文件</w:t>
      </w:r>
      <w:r>
        <w:rPr>
          <w:rFonts w:ascii="Times New Roman" w:hAnsi="宋体" w:eastAsia="宋体" w:cs="Times New Roman"/>
          <w:sz w:val="21"/>
          <w:szCs w:val="24"/>
        </w:rPr>
        <w:t>。</w:t>
      </w:r>
    </w:p>
    <w:p w14:paraId="163D30D6">
      <w:pPr>
        <w:widowControl w:val="0"/>
        <w:adjustRightInd w:val="0"/>
        <w:snapToGrid w:val="0"/>
        <w:spacing w:before="120" w:beforeLines="50" w:after="120" w:afterLines="50" w:line="278" w:lineRule="auto"/>
        <w:rPr>
          <w:rFonts w:hint="eastAsia" w:ascii="黑体" w:hAnsi="黑体" w:eastAsia="黑体" w:cs="Times New Roman"/>
          <w:sz w:val="21"/>
        </w:rPr>
      </w:pPr>
      <w:r>
        <w:rPr>
          <w:rFonts w:hint="eastAsia" w:ascii="黑体" w:hAnsi="黑体" w:eastAsia="黑体" w:cs="Times New Roman"/>
          <w:sz w:val="21"/>
        </w:rPr>
        <w:t>3.1餐饮用醇基液体燃料</w:t>
      </w:r>
      <w:r>
        <w:rPr>
          <w:rFonts w:ascii="黑体" w:hAnsi="黑体" w:eastAsia="黑体" w:cs="Times New Roman"/>
          <w:sz w:val="21"/>
        </w:rPr>
        <w:t>alcohol-based liquid fuel for catering</w:t>
      </w:r>
    </w:p>
    <w:p w14:paraId="4487301F">
      <w:pPr>
        <w:widowControl w:val="0"/>
        <w:spacing w:after="160" w:line="278" w:lineRule="auto"/>
        <w:ind w:firstLine="420" w:firstLineChars="200"/>
        <w:rPr>
          <w:rFonts w:hint="eastAsia" w:ascii="Times New Roman" w:hAnsi="宋体" w:eastAsia="宋体" w:cs="Times New Roman"/>
          <w:sz w:val="21"/>
          <w:szCs w:val="21"/>
        </w:rPr>
      </w:pPr>
      <w:r>
        <w:rPr>
          <w:rFonts w:hint="eastAsia" w:ascii="Times New Roman" w:hAnsi="宋体" w:eastAsia="宋体" w:cs="Times New Roman"/>
          <w:sz w:val="21"/>
          <w:szCs w:val="21"/>
        </w:rPr>
        <w:t>餐饮经营单位（含单位食堂）用于餐饮场所的，符合GB 16663规定的醇基液体燃料。</w:t>
      </w:r>
    </w:p>
    <w:p w14:paraId="114DFFD0">
      <w:pPr>
        <w:widowControl w:val="0"/>
        <w:adjustRightInd w:val="0"/>
        <w:snapToGrid w:val="0"/>
        <w:spacing w:before="120" w:beforeLines="50" w:after="120" w:afterLines="50" w:line="278" w:lineRule="auto"/>
        <w:rPr>
          <w:rFonts w:hint="eastAsia" w:ascii="黑体" w:hAnsi="黑体" w:eastAsia="黑体" w:cs="Times New Roman"/>
          <w:sz w:val="21"/>
        </w:rPr>
      </w:pPr>
      <w:r>
        <w:rPr>
          <w:rFonts w:hint="eastAsia" w:ascii="黑体" w:hAnsi="黑体" w:eastAsia="黑体" w:cs="Times New Roman"/>
          <w:sz w:val="21"/>
        </w:rPr>
        <w:t xml:space="preserve">3.2燃具 </w:t>
      </w:r>
      <w:r>
        <w:rPr>
          <w:rFonts w:ascii="黑体" w:hAnsi="黑体" w:eastAsia="黑体" w:cs="Times New Roman"/>
          <w:sz w:val="21"/>
        </w:rPr>
        <w:t>combustion appliance</w:t>
      </w:r>
    </w:p>
    <w:p w14:paraId="785B8D46">
      <w:pPr>
        <w:widowControl w:val="0"/>
        <w:spacing w:after="160" w:line="278" w:lineRule="auto"/>
        <w:ind w:firstLine="420" w:firstLineChars="200"/>
        <w:rPr>
          <w:rFonts w:hint="eastAsia" w:ascii="Times New Roman" w:hAnsi="宋体" w:eastAsia="宋体" w:cs="Times New Roman"/>
          <w:sz w:val="21"/>
          <w:szCs w:val="21"/>
        </w:rPr>
      </w:pPr>
      <w:r>
        <w:rPr>
          <w:rFonts w:hint="eastAsia" w:ascii="Times New Roman" w:hAnsi="宋体" w:eastAsia="宋体" w:cs="Times New Roman"/>
          <w:sz w:val="21"/>
          <w:szCs w:val="21"/>
        </w:rPr>
        <w:t>以气体燃料或液体燃料为能源,利用燃烧原理产生热能，用于烹饪、取暖、热水供应等用途的器具。</w:t>
      </w:r>
    </w:p>
    <w:p w14:paraId="6B47B7E7">
      <w:pPr>
        <w:widowControl w:val="0"/>
        <w:adjustRightInd w:val="0"/>
        <w:snapToGrid w:val="0"/>
        <w:spacing w:before="120" w:beforeLines="50" w:after="120" w:afterLines="50" w:line="278" w:lineRule="auto"/>
        <w:rPr>
          <w:rFonts w:hint="eastAsia" w:ascii="黑体" w:hAnsi="黑体" w:eastAsia="黑体" w:cs="Times New Roman"/>
          <w:sz w:val="21"/>
        </w:rPr>
      </w:pPr>
      <w:r>
        <w:rPr>
          <w:rFonts w:hint="eastAsia" w:ascii="黑体" w:hAnsi="黑体" w:eastAsia="黑体" w:cs="Times New Roman"/>
          <w:sz w:val="21"/>
        </w:rPr>
        <w:t>3.3液面直燃式</w:t>
      </w:r>
      <w:r>
        <w:rPr>
          <w:rFonts w:ascii="黑体" w:hAnsi="黑体" w:eastAsia="黑体" w:cs="Times New Roman"/>
          <w:sz w:val="21"/>
        </w:rPr>
        <w:t>liquid level direct-fired</w:t>
      </w:r>
    </w:p>
    <w:p w14:paraId="39671453">
      <w:pPr>
        <w:widowControl w:val="0"/>
        <w:spacing w:after="160" w:line="278" w:lineRule="auto"/>
        <w:ind w:firstLine="420" w:firstLineChars="200"/>
        <w:rPr>
          <w:rFonts w:hint="eastAsia" w:ascii="Times New Roman" w:hAnsi="宋体" w:eastAsia="宋体" w:cs="Times New Roman"/>
          <w:sz w:val="21"/>
          <w:szCs w:val="21"/>
        </w:rPr>
      </w:pPr>
      <w:r>
        <w:rPr>
          <w:rFonts w:hint="eastAsia" w:ascii="Times New Roman" w:hAnsi="宋体" w:eastAsia="宋体" w:cs="Times New Roman"/>
          <w:sz w:val="21"/>
          <w:szCs w:val="21"/>
        </w:rPr>
        <w:t>将一定数量的醇基液体燃料直接注入炉灶的小型容器中，燃烧和气化在液面同时进行。</w:t>
      </w:r>
    </w:p>
    <w:p w14:paraId="42839449">
      <w:pPr>
        <w:widowControl w:val="0"/>
        <w:adjustRightInd w:val="0"/>
        <w:snapToGrid w:val="0"/>
        <w:spacing w:before="120" w:beforeLines="50" w:after="120" w:afterLines="50" w:line="278" w:lineRule="auto"/>
        <w:rPr>
          <w:rFonts w:hint="eastAsia" w:ascii="黑体" w:hAnsi="黑体" w:eastAsia="黑体" w:cs="Times New Roman"/>
          <w:sz w:val="21"/>
        </w:rPr>
      </w:pPr>
      <w:r>
        <w:rPr>
          <w:rFonts w:hint="eastAsia" w:ascii="黑体" w:hAnsi="黑体" w:eastAsia="黑体" w:cs="Times New Roman"/>
          <w:sz w:val="21"/>
        </w:rPr>
        <w:t>3.4自升压式</w:t>
      </w:r>
      <w:r>
        <w:rPr>
          <w:rFonts w:ascii="黑体" w:hAnsi="黑体" w:eastAsia="黑体" w:cs="Times New Roman"/>
          <w:sz w:val="21"/>
        </w:rPr>
        <w:t>self-pressurized</w:t>
      </w:r>
    </w:p>
    <w:p w14:paraId="4CDC9015">
      <w:pPr>
        <w:widowControl w:val="0"/>
        <w:spacing w:after="160" w:line="278" w:lineRule="auto"/>
        <w:ind w:firstLine="420" w:firstLineChars="200"/>
        <w:rPr>
          <w:rFonts w:hint="eastAsia" w:ascii="Times New Roman" w:hAnsi="宋体" w:eastAsia="宋体" w:cs="Times New Roman"/>
          <w:sz w:val="21"/>
          <w:szCs w:val="21"/>
        </w:rPr>
      </w:pPr>
      <w:r>
        <w:rPr>
          <w:rFonts w:hint="eastAsia" w:ascii="Times New Roman" w:hAnsi="宋体" w:eastAsia="宋体" w:cs="Times New Roman"/>
          <w:sz w:val="21"/>
          <w:szCs w:val="21"/>
        </w:rPr>
        <w:t>没有设立专门的汽化器，利用燃烧器与燃料箱形成的腔体，在燃烧时通过被加热的腔体加热燃料，燃料在燃料箱中气化产生压力，供燃烧器燃烧。</w:t>
      </w:r>
    </w:p>
    <w:p w14:paraId="44904E1F">
      <w:pPr>
        <w:widowControl w:val="0"/>
        <w:adjustRightInd w:val="0"/>
        <w:snapToGrid w:val="0"/>
        <w:spacing w:before="120" w:beforeLines="50" w:after="120" w:afterLines="50" w:line="278" w:lineRule="auto"/>
        <w:rPr>
          <w:rFonts w:hint="eastAsia" w:ascii="黑体" w:hAnsi="黑体" w:eastAsia="黑体" w:cs="Times New Roman"/>
          <w:sz w:val="21"/>
        </w:rPr>
      </w:pPr>
      <w:r>
        <w:rPr>
          <w:rFonts w:ascii="黑体" w:hAnsi="黑体" w:eastAsia="黑体" w:cs="Times New Roman"/>
          <w:sz w:val="21"/>
        </w:rPr>
        <w:t>3.</w:t>
      </w:r>
      <w:r>
        <w:rPr>
          <w:rFonts w:hint="eastAsia" w:ascii="黑体" w:hAnsi="黑体" w:eastAsia="黑体" w:cs="Times New Roman"/>
          <w:sz w:val="21"/>
        </w:rPr>
        <w:t>5充气外加压式</w:t>
      </w:r>
      <w:r>
        <w:rPr>
          <w:rFonts w:ascii="黑体" w:hAnsi="黑体" w:eastAsia="黑体" w:cs="Times New Roman"/>
          <w:sz w:val="21"/>
        </w:rPr>
        <w:t>pneumatic external pressurized</w:t>
      </w:r>
    </w:p>
    <w:p w14:paraId="6F11C297">
      <w:pPr>
        <w:widowControl w:val="0"/>
        <w:adjustRightInd w:val="0"/>
        <w:snapToGrid w:val="0"/>
        <w:spacing w:before="120" w:beforeLines="50" w:after="120" w:afterLines="50" w:line="278" w:lineRule="auto"/>
        <w:ind w:firstLine="420" w:firstLineChars="200"/>
        <w:rPr>
          <w:rFonts w:hint="eastAsia" w:ascii="Times New Roman" w:hAnsi="宋体" w:eastAsia="宋体" w:cs="Times New Roman"/>
          <w:sz w:val="21"/>
          <w:szCs w:val="21"/>
        </w:rPr>
      </w:pPr>
      <w:r>
        <w:rPr>
          <w:rFonts w:hint="eastAsia" w:ascii="Times New Roman" w:hAnsi="宋体" w:eastAsia="宋体" w:cs="Times New Roman"/>
          <w:sz w:val="21"/>
          <w:szCs w:val="21"/>
        </w:rPr>
        <w:t>向燃料箱中充入气体，以加大燃料压力。</w:t>
      </w:r>
    </w:p>
    <w:p w14:paraId="17631810">
      <w:pPr>
        <w:spacing w:before="240" w:beforeLines="100" w:after="240" w:afterLines="100" w:line="278" w:lineRule="auto"/>
        <w:outlineLvl w:val="0"/>
        <w:rPr>
          <w:rFonts w:hint="eastAsia" w:ascii="黑体" w:hAnsi="黑体" w:eastAsia="黑体" w:cs="Times New Roman"/>
          <w:kern w:val="0"/>
          <w:sz w:val="21"/>
          <w:szCs w:val="20"/>
        </w:rPr>
      </w:pPr>
      <w:bookmarkStart w:id="57" w:name="_Toc210663254"/>
      <w:r>
        <w:rPr>
          <w:rFonts w:ascii="黑体" w:hAnsi="黑体" w:eastAsia="黑体" w:cs="Times New Roman"/>
          <w:kern w:val="0"/>
          <w:sz w:val="21"/>
          <w:szCs w:val="20"/>
        </w:rPr>
        <w:t xml:space="preserve">4 </w:t>
      </w:r>
      <w:r>
        <w:rPr>
          <w:rFonts w:hint="eastAsia" w:ascii="黑体" w:hAnsi="黑体" w:eastAsia="黑体" w:cs="Times New Roman"/>
          <w:kern w:val="0"/>
          <w:sz w:val="21"/>
          <w:szCs w:val="20"/>
        </w:rPr>
        <w:t xml:space="preserve"> 基本</w:t>
      </w:r>
      <w:r>
        <w:rPr>
          <w:rFonts w:ascii="黑体" w:hAnsi="黑体" w:eastAsia="黑体" w:cs="Times New Roman"/>
          <w:kern w:val="0"/>
          <w:sz w:val="21"/>
          <w:szCs w:val="20"/>
        </w:rPr>
        <w:t>要求</w:t>
      </w:r>
      <w:bookmarkEnd w:id="57"/>
    </w:p>
    <w:p w14:paraId="4F9EE55E">
      <w:pPr>
        <w:spacing w:after="160" w:line="278" w:lineRule="auto"/>
        <w:jc w:val="left"/>
        <w:rPr>
          <w:rFonts w:hint="eastAsia" w:ascii="Times New Roman" w:hAnsi="宋体" w:eastAsia="宋体" w:cs="Times New Roman"/>
          <w:kern w:val="0"/>
          <w:sz w:val="21"/>
          <w:szCs w:val="20"/>
        </w:rPr>
      </w:pPr>
      <w:r>
        <w:rPr>
          <w:rFonts w:ascii="Times New Roman" w:hAnsi="宋体" w:eastAsia="宋体" w:cs="Times New Roman"/>
          <w:kern w:val="0"/>
          <w:sz w:val="21"/>
          <w:szCs w:val="20"/>
        </w:rPr>
        <w:t xml:space="preserve">4.1 </w:t>
      </w:r>
      <w:r>
        <w:rPr>
          <w:rFonts w:hint="eastAsia" w:ascii="Times New Roman" w:hAnsi="宋体" w:eastAsia="宋体" w:cs="Times New Roman"/>
          <w:kern w:val="0"/>
          <w:sz w:val="21"/>
          <w:szCs w:val="20"/>
        </w:rPr>
        <w:t>餐饮用</w:t>
      </w:r>
      <w:r>
        <w:rPr>
          <w:rFonts w:ascii="Times New Roman" w:hAnsi="宋体" w:eastAsia="宋体" w:cs="Times New Roman"/>
          <w:kern w:val="0"/>
          <w:sz w:val="21"/>
          <w:szCs w:val="20"/>
        </w:rPr>
        <w:t>醇基</w:t>
      </w:r>
      <w:r>
        <w:rPr>
          <w:rFonts w:hint="eastAsia" w:ascii="Times New Roman" w:hAnsi="宋体" w:eastAsia="宋体" w:cs="Times New Roman"/>
          <w:kern w:val="0"/>
          <w:sz w:val="21"/>
          <w:szCs w:val="20"/>
        </w:rPr>
        <w:t>液体</w:t>
      </w:r>
      <w:r>
        <w:rPr>
          <w:rFonts w:ascii="Times New Roman" w:hAnsi="宋体" w:eastAsia="宋体" w:cs="Times New Roman"/>
          <w:kern w:val="0"/>
          <w:sz w:val="21"/>
          <w:szCs w:val="20"/>
        </w:rPr>
        <w:t>燃料应符</w:t>
      </w:r>
      <w:r>
        <w:rPr>
          <w:rFonts w:hint="eastAsia" w:ascii="Times New Roman" w:hAnsi="宋体" w:eastAsia="宋体" w:cs="Times New Roman"/>
          <w:kern w:val="0"/>
          <w:sz w:val="21"/>
          <w:szCs w:val="20"/>
        </w:rPr>
        <w:t>合</w:t>
      </w:r>
      <w:r>
        <w:rPr>
          <w:rFonts w:ascii="Times New Roman" w:hAnsi="宋体" w:eastAsia="宋体" w:cs="Times New Roman"/>
          <w:kern w:val="0"/>
          <w:sz w:val="21"/>
          <w:szCs w:val="20"/>
        </w:rPr>
        <w:t>GB 16663</w:t>
      </w:r>
      <w:r>
        <w:rPr>
          <w:rFonts w:hint="eastAsia" w:ascii="Times New Roman" w:hAnsi="宋体" w:eastAsia="宋体" w:cs="Times New Roman"/>
          <w:kern w:val="0"/>
          <w:sz w:val="21"/>
          <w:szCs w:val="20"/>
        </w:rPr>
        <w:t>规定的民用醇基液体燃料要求。民用醇基液体燃料属于易燃液体类别2，其蒸汽与空气混合，能形成爆炸性混合物，需严格落实防泄漏、防火、防爆等安全管理要求。</w:t>
      </w:r>
    </w:p>
    <w:p w14:paraId="1DD232E6">
      <w:pPr>
        <w:spacing w:after="160" w:line="278" w:lineRule="auto"/>
        <w:jc w:val="left"/>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4</w:t>
      </w:r>
      <w:r>
        <w:rPr>
          <w:rFonts w:ascii="Times New Roman" w:hAnsi="宋体" w:eastAsia="宋体" w:cs="Times New Roman"/>
          <w:kern w:val="0"/>
          <w:sz w:val="21"/>
          <w:szCs w:val="20"/>
        </w:rPr>
        <w:t xml:space="preserve">.2 </w:t>
      </w:r>
      <w:r>
        <w:rPr>
          <w:rFonts w:hint="eastAsia" w:ascii="Times New Roman" w:hAnsi="宋体" w:eastAsia="宋体" w:cs="Times New Roman"/>
          <w:kern w:val="0"/>
          <w:sz w:val="21"/>
          <w:szCs w:val="20"/>
        </w:rPr>
        <w:t>餐饮用醇基液体燃料供货单位应具备法律法规规定的资质、资格条件，在销售时向使用单位提供营业执照、监管部门批准文件、产品质量合格证、化学品安全技术说明书和产品安全标签。</w:t>
      </w:r>
    </w:p>
    <w:p w14:paraId="23F75CAD">
      <w:pPr>
        <w:spacing w:after="160" w:line="278" w:lineRule="auto"/>
        <w:jc w:val="left"/>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4</w:t>
      </w:r>
      <w:r>
        <w:rPr>
          <w:rFonts w:ascii="Times New Roman" w:hAnsi="宋体" w:eastAsia="宋体" w:cs="Times New Roman"/>
          <w:kern w:val="0"/>
          <w:sz w:val="21"/>
          <w:szCs w:val="20"/>
        </w:rPr>
        <w:t>.</w:t>
      </w:r>
      <w:r>
        <w:rPr>
          <w:rFonts w:hint="eastAsia" w:ascii="Times New Roman" w:hAnsi="宋体" w:eastAsia="宋体" w:cs="Times New Roman"/>
          <w:kern w:val="0"/>
          <w:sz w:val="21"/>
          <w:szCs w:val="20"/>
        </w:rPr>
        <w:t>3</w:t>
      </w:r>
      <w:r>
        <w:rPr>
          <w:rFonts w:ascii="Times New Roman" w:hAnsi="宋体" w:eastAsia="宋体" w:cs="Times New Roman"/>
          <w:kern w:val="0"/>
          <w:sz w:val="21"/>
          <w:szCs w:val="20"/>
        </w:rPr>
        <w:t xml:space="preserve"> </w:t>
      </w:r>
      <w:r>
        <w:rPr>
          <w:rFonts w:hint="eastAsia" w:ascii="Times New Roman" w:hAnsi="宋体" w:eastAsia="宋体" w:cs="Times New Roman"/>
          <w:kern w:val="0"/>
          <w:sz w:val="21"/>
          <w:szCs w:val="20"/>
        </w:rPr>
        <w:t>餐饮用醇基液体燃料的储存容器、管道、阀门、燃烧器、灶具</w:t>
      </w:r>
      <w:r>
        <w:rPr>
          <w:rFonts w:ascii="Times New Roman" w:hAnsi="宋体" w:eastAsia="宋体" w:cs="Times New Roman"/>
          <w:kern w:val="0"/>
          <w:sz w:val="21"/>
          <w:szCs w:val="20"/>
        </w:rPr>
        <w:t>等设施均应符合国家</w:t>
      </w:r>
      <w:r>
        <w:rPr>
          <w:rFonts w:hint="eastAsia" w:ascii="Times New Roman" w:hAnsi="宋体" w:eastAsia="宋体" w:cs="Times New Roman"/>
          <w:kern w:val="0"/>
          <w:sz w:val="21"/>
          <w:szCs w:val="20"/>
        </w:rPr>
        <w:t>或</w:t>
      </w:r>
      <w:r>
        <w:rPr>
          <w:rFonts w:ascii="Times New Roman" w:hAnsi="宋体" w:eastAsia="宋体" w:cs="Times New Roman"/>
          <w:kern w:val="0"/>
          <w:sz w:val="21"/>
          <w:szCs w:val="20"/>
        </w:rPr>
        <w:t>行业</w:t>
      </w:r>
      <w:r>
        <w:rPr>
          <w:rFonts w:hint="eastAsia" w:ascii="Times New Roman" w:hAnsi="宋体" w:eastAsia="宋体" w:cs="Times New Roman"/>
          <w:kern w:val="0"/>
          <w:sz w:val="21"/>
          <w:szCs w:val="20"/>
        </w:rPr>
        <w:t>相关产品</w:t>
      </w:r>
      <w:r>
        <w:rPr>
          <w:rFonts w:ascii="Times New Roman" w:hAnsi="宋体" w:eastAsia="宋体" w:cs="Times New Roman"/>
          <w:kern w:val="0"/>
          <w:sz w:val="21"/>
          <w:szCs w:val="20"/>
        </w:rPr>
        <w:t>质量标准</w:t>
      </w:r>
      <w:r>
        <w:rPr>
          <w:rFonts w:hint="eastAsia" w:ascii="Times New Roman" w:hAnsi="宋体" w:eastAsia="宋体" w:cs="Times New Roman"/>
          <w:kern w:val="0"/>
          <w:sz w:val="21"/>
          <w:szCs w:val="20"/>
        </w:rPr>
        <w:t>。设施的安装、检维修、拆除应符合安全要求，宜由供货单位牵头组织相关设备厂家、专业人员实施，使用单位应保留安装、检维修过程施工、交工验收等记录。</w:t>
      </w:r>
    </w:p>
    <w:p w14:paraId="63AB1863">
      <w:pPr>
        <w:spacing w:after="160" w:line="278" w:lineRule="auto"/>
        <w:jc w:val="left"/>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4</w:t>
      </w:r>
      <w:r>
        <w:rPr>
          <w:rFonts w:ascii="Times New Roman" w:hAnsi="宋体" w:eastAsia="宋体" w:cs="Times New Roman"/>
          <w:kern w:val="0"/>
          <w:sz w:val="21"/>
          <w:szCs w:val="20"/>
        </w:rPr>
        <w:t>.</w:t>
      </w:r>
      <w:r>
        <w:rPr>
          <w:rFonts w:hint="eastAsia" w:ascii="Times New Roman" w:hAnsi="宋体" w:eastAsia="宋体" w:cs="Times New Roman"/>
          <w:kern w:val="0"/>
          <w:sz w:val="21"/>
          <w:szCs w:val="20"/>
        </w:rPr>
        <w:t>4</w:t>
      </w:r>
      <w:r>
        <w:rPr>
          <w:rFonts w:ascii="Times New Roman" w:hAnsi="宋体" w:eastAsia="宋体" w:cs="Times New Roman"/>
          <w:kern w:val="0"/>
          <w:sz w:val="21"/>
          <w:szCs w:val="20"/>
        </w:rPr>
        <w:t xml:space="preserve"> </w:t>
      </w:r>
      <w:r>
        <w:rPr>
          <w:rFonts w:hint="eastAsia" w:ascii="Times New Roman" w:hAnsi="宋体" w:eastAsia="宋体" w:cs="Times New Roman"/>
          <w:kern w:val="0"/>
          <w:sz w:val="21"/>
          <w:szCs w:val="20"/>
        </w:rPr>
        <w:t>供货单位应负责所供的醇基液体燃料的装卸作业，指导用户安全使用，应设置用户联系、咨询和抢修电话，并向社会公布，抢修电话应保持二十四小时畅通。使用单位应积极配合供货单位开展工作。</w:t>
      </w:r>
    </w:p>
    <w:p w14:paraId="35D36901">
      <w:pPr>
        <w:spacing w:after="160" w:line="278" w:lineRule="auto"/>
        <w:jc w:val="left"/>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4</w:t>
      </w:r>
      <w:r>
        <w:rPr>
          <w:rFonts w:ascii="Times New Roman" w:hAnsi="宋体" w:eastAsia="宋体" w:cs="Times New Roman"/>
          <w:kern w:val="0"/>
          <w:sz w:val="21"/>
          <w:szCs w:val="20"/>
        </w:rPr>
        <w:t>.</w:t>
      </w:r>
      <w:r>
        <w:rPr>
          <w:rFonts w:hint="eastAsia" w:ascii="Times New Roman" w:hAnsi="宋体" w:eastAsia="宋体" w:cs="Times New Roman"/>
          <w:kern w:val="0"/>
          <w:sz w:val="21"/>
          <w:szCs w:val="20"/>
        </w:rPr>
        <w:t>5</w:t>
      </w:r>
      <w:r>
        <w:rPr>
          <w:rFonts w:ascii="Times New Roman" w:hAnsi="宋体" w:eastAsia="宋体" w:cs="Times New Roman"/>
          <w:kern w:val="0"/>
          <w:sz w:val="21"/>
          <w:szCs w:val="20"/>
        </w:rPr>
        <w:t xml:space="preserve"> </w:t>
      </w:r>
      <w:r>
        <w:rPr>
          <w:rFonts w:hint="eastAsia" w:ascii="Times New Roman" w:hAnsi="宋体" w:eastAsia="宋体" w:cs="Times New Roman"/>
          <w:kern w:val="0"/>
          <w:sz w:val="21"/>
          <w:szCs w:val="20"/>
        </w:rPr>
        <w:t>供货单位不得向不具备安全条件的用户供应醇基液体燃料。供货单位应定期对用户醇基液体燃料设施进行检查，每半年至少检查一次，发现安全隐患，应及时处置；发现用户违反安全规定的，应予以劝告、制止、纠正，必要时向属地政府相关管理部门报告。</w:t>
      </w:r>
    </w:p>
    <w:p w14:paraId="0A701971">
      <w:pPr>
        <w:spacing w:after="160" w:line="278" w:lineRule="auto"/>
        <w:jc w:val="left"/>
        <w:rPr>
          <w:rFonts w:ascii="宋体" w:hAnsi="Times New Roman" w:eastAsia="宋体" w:cs="Times New Roman"/>
          <w:kern w:val="0"/>
          <w:sz w:val="21"/>
          <w:szCs w:val="20"/>
        </w:rPr>
      </w:pPr>
      <w:r>
        <w:rPr>
          <w:rFonts w:hint="eastAsia" w:ascii="Times New Roman" w:hAnsi="宋体" w:eastAsia="宋体" w:cs="Times New Roman"/>
          <w:kern w:val="0"/>
          <w:sz w:val="21"/>
          <w:szCs w:val="20"/>
        </w:rPr>
        <w:t>4</w:t>
      </w:r>
      <w:r>
        <w:rPr>
          <w:rFonts w:ascii="Times New Roman" w:hAnsi="宋体" w:eastAsia="宋体" w:cs="Times New Roman"/>
          <w:kern w:val="0"/>
          <w:sz w:val="21"/>
          <w:szCs w:val="20"/>
        </w:rPr>
        <w:t>.</w:t>
      </w:r>
      <w:r>
        <w:rPr>
          <w:rFonts w:hint="eastAsia" w:ascii="Times New Roman" w:hAnsi="宋体" w:eastAsia="宋体" w:cs="Times New Roman"/>
          <w:kern w:val="0"/>
          <w:sz w:val="21"/>
          <w:szCs w:val="20"/>
        </w:rPr>
        <w:t>6</w:t>
      </w:r>
      <w:r>
        <w:rPr>
          <w:rFonts w:ascii="Times New Roman" w:hAnsi="宋体" w:eastAsia="宋体" w:cs="Times New Roman"/>
          <w:kern w:val="0"/>
          <w:sz w:val="21"/>
          <w:szCs w:val="20"/>
        </w:rPr>
        <w:t xml:space="preserve"> </w:t>
      </w:r>
      <w:r>
        <w:rPr>
          <w:rFonts w:hint="eastAsia" w:ascii="Times New Roman" w:hAnsi="宋体" w:eastAsia="宋体" w:cs="Times New Roman"/>
          <w:kern w:val="0"/>
          <w:sz w:val="21"/>
          <w:szCs w:val="20"/>
        </w:rPr>
        <w:t>使用单位应对供货单位资质进行审查并建立供货单位档案，档案中应保存供货单位的营业执照、监管部门批准文件、化学品安全技术说明书、化学品危险性分类报告、产品合格证明等材料。</w:t>
      </w:r>
    </w:p>
    <w:p w14:paraId="098CC1DF">
      <w:pPr>
        <w:spacing w:after="160" w:line="278" w:lineRule="auto"/>
        <w:jc w:val="left"/>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4</w:t>
      </w:r>
      <w:r>
        <w:rPr>
          <w:rFonts w:ascii="Times New Roman" w:hAnsi="宋体" w:eastAsia="宋体" w:cs="Times New Roman"/>
          <w:kern w:val="0"/>
          <w:sz w:val="21"/>
          <w:szCs w:val="20"/>
        </w:rPr>
        <w:t>.</w:t>
      </w:r>
      <w:r>
        <w:rPr>
          <w:rFonts w:hint="eastAsia" w:ascii="Times New Roman" w:hAnsi="宋体" w:eastAsia="宋体" w:cs="Times New Roman"/>
          <w:kern w:val="0"/>
          <w:sz w:val="21"/>
          <w:szCs w:val="20"/>
        </w:rPr>
        <w:t>7</w:t>
      </w:r>
      <w:r>
        <w:rPr>
          <w:rFonts w:ascii="宋体" w:hAnsi="Times New Roman" w:eastAsia="宋体" w:cs="Times New Roman"/>
          <w:kern w:val="0"/>
          <w:sz w:val="21"/>
          <w:szCs w:val="20"/>
        </w:rPr>
        <w:t xml:space="preserve"> </w:t>
      </w:r>
      <w:r>
        <w:rPr>
          <w:rFonts w:hint="eastAsia" w:ascii="宋体" w:hAnsi="Times New Roman" w:eastAsia="宋体" w:cs="Times New Roman"/>
          <w:kern w:val="0"/>
          <w:sz w:val="21"/>
          <w:szCs w:val="20"/>
        </w:rPr>
        <w:t>供货单位应协助使用单位制定醇基液体燃料使用安全操作规程和应急处置措施，并将安全操作规程和现场处置措施张贴或悬挂于操作间醒目位置。</w:t>
      </w:r>
    </w:p>
    <w:p w14:paraId="77F635DD">
      <w:pPr>
        <w:spacing w:after="160" w:line="278" w:lineRule="auto"/>
        <w:jc w:val="left"/>
        <w:rPr>
          <w:rFonts w:ascii="宋体" w:hAnsi="Times New Roman" w:eastAsia="宋体" w:cs="Times New Roman"/>
          <w:kern w:val="0"/>
          <w:sz w:val="21"/>
          <w:szCs w:val="20"/>
        </w:rPr>
      </w:pPr>
      <w:r>
        <w:rPr>
          <w:rFonts w:hint="eastAsia" w:ascii="Times New Roman" w:hAnsi="宋体" w:eastAsia="宋体" w:cs="Times New Roman"/>
          <w:kern w:val="0"/>
          <w:sz w:val="21"/>
          <w:szCs w:val="20"/>
        </w:rPr>
        <w:t>4</w:t>
      </w:r>
      <w:r>
        <w:rPr>
          <w:rFonts w:ascii="Times New Roman" w:hAnsi="宋体" w:eastAsia="宋体" w:cs="Times New Roman"/>
          <w:kern w:val="0"/>
          <w:sz w:val="21"/>
          <w:szCs w:val="20"/>
        </w:rPr>
        <w:t>.</w:t>
      </w:r>
      <w:r>
        <w:rPr>
          <w:rFonts w:hint="eastAsia" w:ascii="Times New Roman" w:hAnsi="宋体" w:eastAsia="宋体" w:cs="Times New Roman"/>
          <w:kern w:val="0"/>
          <w:sz w:val="21"/>
          <w:szCs w:val="20"/>
        </w:rPr>
        <w:t>8</w:t>
      </w:r>
      <w:r>
        <w:rPr>
          <w:rFonts w:ascii="宋体" w:hAnsi="Times New Roman" w:eastAsia="宋体" w:cs="Times New Roman"/>
          <w:kern w:val="0"/>
          <w:sz w:val="21"/>
          <w:szCs w:val="20"/>
        </w:rPr>
        <w:t xml:space="preserve"> </w:t>
      </w:r>
      <w:r>
        <w:rPr>
          <w:rFonts w:ascii="Times New Roman" w:hAnsi="宋体" w:eastAsia="宋体" w:cs="Times New Roman"/>
          <w:kern w:val="0"/>
          <w:sz w:val="21"/>
          <w:szCs w:val="20"/>
        </w:rPr>
        <w:t>使用单位应每日进行安全</w:t>
      </w:r>
      <w:r>
        <w:rPr>
          <w:rFonts w:hint="eastAsia" w:ascii="Times New Roman" w:hAnsi="宋体" w:eastAsia="宋体" w:cs="Times New Roman"/>
          <w:kern w:val="0"/>
          <w:sz w:val="21"/>
          <w:szCs w:val="20"/>
        </w:rPr>
        <w:t>检</w:t>
      </w:r>
      <w:r>
        <w:rPr>
          <w:rFonts w:ascii="Times New Roman" w:hAnsi="宋体" w:eastAsia="宋体" w:cs="Times New Roman"/>
          <w:kern w:val="0"/>
          <w:sz w:val="21"/>
          <w:szCs w:val="20"/>
        </w:rPr>
        <w:t>查</w:t>
      </w:r>
      <w:r>
        <w:rPr>
          <w:rFonts w:hint="eastAsia" w:ascii="Times New Roman" w:hAnsi="宋体" w:eastAsia="宋体" w:cs="Times New Roman"/>
          <w:kern w:val="0"/>
          <w:sz w:val="21"/>
          <w:szCs w:val="20"/>
        </w:rPr>
        <w:t>，</w:t>
      </w:r>
      <w:r>
        <w:rPr>
          <w:rFonts w:hint="eastAsia" w:ascii="宋体" w:hAnsi="Times New Roman" w:eastAsia="宋体" w:cs="Times New Roman"/>
          <w:kern w:val="0"/>
          <w:sz w:val="21"/>
          <w:szCs w:val="20"/>
        </w:rPr>
        <w:t>在使用前、后，应检查燃料箱、管道、阀门及灶具，确认无泄漏、渗漏和其他异常情况。</w:t>
      </w:r>
    </w:p>
    <w:p w14:paraId="3B7D65C8">
      <w:pPr>
        <w:spacing w:after="160" w:line="278" w:lineRule="auto"/>
        <w:jc w:val="left"/>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4</w:t>
      </w:r>
      <w:r>
        <w:rPr>
          <w:rFonts w:ascii="Times New Roman" w:hAnsi="宋体" w:eastAsia="宋体" w:cs="Times New Roman"/>
          <w:kern w:val="0"/>
          <w:sz w:val="21"/>
          <w:szCs w:val="20"/>
        </w:rPr>
        <w:t>.</w:t>
      </w:r>
      <w:r>
        <w:rPr>
          <w:rFonts w:hint="eastAsia" w:ascii="Times New Roman" w:hAnsi="宋体" w:eastAsia="宋体" w:cs="Times New Roman"/>
          <w:kern w:val="0"/>
          <w:sz w:val="21"/>
          <w:szCs w:val="20"/>
        </w:rPr>
        <w:t>9</w:t>
      </w:r>
      <w:r>
        <w:rPr>
          <w:rFonts w:ascii="Times New Roman" w:hAnsi="宋体" w:eastAsia="宋体" w:cs="Times New Roman"/>
          <w:kern w:val="0"/>
          <w:sz w:val="21"/>
          <w:szCs w:val="20"/>
        </w:rPr>
        <w:t xml:space="preserve"> </w:t>
      </w:r>
      <w:r>
        <w:rPr>
          <w:rFonts w:hint="eastAsia" w:ascii="Times New Roman" w:hAnsi="宋体" w:eastAsia="宋体" w:cs="Times New Roman"/>
          <w:kern w:val="0"/>
          <w:sz w:val="21"/>
          <w:szCs w:val="20"/>
        </w:rPr>
        <w:t>营业期间不应进行设备检维修作业。进行动火作业时应严格履行审批手续，电气焊等特种作业人员应持证上岗，确保关闭火源，切断燃料管线，落实现场监护人员和安全防范措施。</w:t>
      </w:r>
    </w:p>
    <w:p w14:paraId="54B6854B">
      <w:pPr>
        <w:spacing w:after="160" w:line="278" w:lineRule="auto"/>
        <w:jc w:val="left"/>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4</w:t>
      </w:r>
      <w:r>
        <w:rPr>
          <w:rFonts w:ascii="Times New Roman" w:hAnsi="宋体" w:eastAsia="宋体" w:cs="Times New Roman"/>
          <w:kern w:val="0"/>
          <w:sz w:val="21"/>
          <w:szCs w:val="20"/>
        </w:rPr>
        <w:t>.1</w:t>
      </w:r>
      <w:r>
        <w:rPr>
          <w:rFonts w:hint="eastAsia" w:ascii="Times New Roman" w:hAnsi="宋体" w:eastAsia="宋体" w:cs="Times New Roman"/>
          <w:kern w:val="0"/>
          <w:sz w:val="21"/>
          <w:szCs w:val="20"/>
        </w:rPr>
        <w:t>0</w:t>
      </w:r>
      <w:r>
        <w:rPr>
          <w:rFonts w:ascii="Times New Roman" w:hAnsi="宋体" w:eastAsia="宋体" w:cs="Times New Roman"/>
          <w:kern w:val="0"/>
          <w:sz w:val="21"/>
          <w:szCs w:val="20"/>
        </w:rPr>
        <w:t xml:space="preserve"> </w:t>
      </w:r>
      <w:r>
        <w:rPr>
          <w:rFonts w:hint="eastAsia" w:ascii="Times New Roman" w:hAnsi="宋体" w:eastAsia="宋体" w:cs="Times New Roman"/>
          <w:kern w:val="0"/>
          <w:sz w:val="21"/>
          <w:szCs w:val="20"/>
        </w:rPr>
        <w:t>使用单位应在醇基燃料储存区域醒目位置设置“禁止烟火”“禁止吸烟”“禁止携带火种”“当心火灾”“当心爆炸”等安全标志。</w:t>
      </w:r>
    </w:p>
    <w:p w14:paraId="79246DB4">
      <w:pPr>
        <w:spacing w:after="160" w:line="278" w:lineRule="auto"/>
        <w:jc w:val="left"/>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4</w:t>
      </w:r>
      <w:r>
        <w:rPr>
          <w:rFonts w:ascii="Times New Roman" w:hAnsi="宋体" w:eastAsia="宋体" w:cs="Times New Roman"/>
          <w:kern w:val="0"/>
          <w:sz w:val="21"/>
          <w:szCs w:val="20"/>
        </w:rPr>
        <w:t>.1</w:t>
      </w:r>
      <w:r>
        <w:rPr>
          <w:rFonts w:hint="eastAsia" w:ascii="Times New Roman" w:hAnsi="宋体" w:eastAsia="宋体" w:cs="Times New Roman"/>
          <w:kern w:val="0"/>
          <w:sz w:val="21"/>
          <w:szCs w:val="20"/>
        </w:rPr>
        <w:t>1</w:t>
      </w:r>
      <w:r>
        <w:rPr>
          <w:rFonts w:ascii="Times New Roman" w:hAnsi="宋体" w:eastAsia="宋体" w:cs="Times New Roman"/>
          <w:kern w:val="0"/>
          <w:sz w:val="21"/>
          <w:szCs w:val="20"/>
        </w:rPr>
        <w:t xml:space="preserve"> </w:t>
      </w:r>
      <w:r>
        <w:rPr>
          <w:rFonts w:hint="eastAsia" w:ascii="Times New Roman" w:hAnsi="宋体" w:eastAsia="宋体" w:cs="Times New Roman"/>
          <w:kern w:val="0"/>
          <w:sz w:val="21"/>
          <w:szCs w:val="20"/>
        </w:rPr>
        <w:t>使用单位不得在醇基液体燃料使用场所使用燃气、液化气等其他燃料。</w:t>
      </w:r>
    </w:p>
    <w:p w14:paraId="05917BF8">
      <w:pPr>
        <w:spacing w:before="240" w:beforeLines="100" w:after="240" w:afterLines="100" w:line="278" w:lineRule="auto"/>
        <w:outlineLvl w:val="0"/>
        <w:rPr>
          <w:rFonts w:ascii="黑体" w:hAnsi="Times New Roman" w:eastAsia="黑体" w:cs="Times New Roman"/>
          <w:kern w:val="0"/>
          <w:sz w:val="21"/>
        </w:rPr>
      </w:pPr>
      <w:bookmarkStart w:id="58" w:name="_Toc210663255"/>
      <w:r>
        <w:rPr>
          <w:rFonts w:ascii="黑体" w:hAnsi="Times New Roman" w:eastAsia="黑体" w:cs="Times New Roman"/>
          <w:kern w:val="0"/>
          <w:sz w:val="21"/>
        </w:rPr>
        <w:t>5 安全</w:t>
      </w:r>
      <w:r>
        <w:rPr>
          <w:rFonts w:hint="eastAsia" w:ascii="黑体" w:hAnsi="Times New Roman" w:eastAsia="黑体" w:cs="Times New Roman"/>
          <w:kern w:val="0"/>
          <w:sz w:val="21"/>
        </w:rPr>
        <w:t>要求</w:t>
      </w:r>
      <w:bookmarkEnd w:id="58"/>
    </w:p>
    <w:p w14:paraId="394D8A06">
      <w:pPr>
        <w:keepNext/>
        <w:keepLines/>
        <w:spacing w:before="120" w:after="120"/>
        <w:outlineLvl w:val="1"/>
        <w:rPr>
          <w:rFonts w:hint="eastAsia" w:ascii="黑体" w:hAnsi="黑体" w:eastAsia="黑体" w:cs="Times New Roman"/>
          <w:sz w:val="21"/>
          <w:szCs w:val="32"/>
        </w:rPr>
      </w:pPr>
      <w:bookmarkStart w:id="59" w:name="_Toc210663256"/>
      <w:r>
        <w:rPr>
          <w:rFonts w:ascii="黑体" w:hAnsi="黑体" w:eastAsia="黑体" w:cs="Times New Roman"/>
          <w:sz w:val="21"/>
          <w:szCs w:val="32"/>
        </w:rPr>
        <w:t xml:space="preserve">5.1 </w:t>
      </w:r>
      <w:r>
        <w:rPr>
          <w:rFonts w:hint="eastAsia" w:ascii="黑体" w:hAnsi="黑体" w:eastAsia="黑体" w:cs="Times New Roman"/>
          <w:sz w:val="21"/>
          <w:szCs w:val="32"/>
        </w:rPr>
        <w:t>布置要求</w:t>
      </w:r>
      <w:bookmarkEnd w:id="59"/>
    </w:p>
    <w:p w14:paraId="6EB4D31B">
      <w:pPr>
        <w:widowControl w:val="0"/>
        <w:adjustRightInd w:val="0"/>
        <w:snapToGrid w:val="0"/>
        <w:spacing w:after="160" w:line="278" w:lineRule="auto"/>
        <w:rPr>
          <w:rFonts w:hint="eastAsia" w:ascii="Times New Roman" w:hAnsi="宋体" w:eastAsia="宋体" w:cs="Times New Roman"/>
          <w:kern w:val="0"/>
          <w:sz w:val="21"/>
          <w:szCs w:val="20"/>
        </w:rPr>
      </w:pPr>
      <w:r>
        <w:rPr>
          <w:rFonts w:ascii="Times New Roman" w:hAnsi="宋体" w:eastAsia="宋体" w:cs="Times New Roman"/>
          <w:kern w:val="0"/>
          <w:sz w:val="21"/>
          <w:szCs w:val="20"/>
        </w:rPr>
        <w:t>5.1</w:t>
      </w:r>
      <w:r>
        <w:rPr>
          <w:rFonts w:hint="eastAsia" w:ascii="Times New Roman" w:hAnsi="宋体" w:eastAsia="宋体" w:cs="Times New Roman"/>
          <w:kern w:val="0"/>
          <w:sz w:val="21"/>
          <w:szCs w:val="20"/>
        </w:rPr>
        <w:t>.1</w:t>
      </w:r>
      <w:r>
        <w:rPr>
          <w:rFonts w:ascii="Times New Roman" w:hAnsi="宋体" w:eastAsia="宋体" w:cs="Times New Roman"/>
          <w:kern w:val="0"/>
          <w:sz w:val="21"/>
          <w:szCs w:val="20"/>
        </w:rPr>
        <w:t xml:space="preserve"> </w:t>
      </w:r>
      <w:r>
        <w:rPr>
          <w:rFonts w:hint="eastAsia" w:ascii="Times New Roman" w:hAnsi="宋体" w:eastAsia="宋体" w:cs="Times New Roman"/>
          <w:kern w:val="0"/>
          <w:sz w:val="21"/>
          <w:szCs w:val="20"/>
        </w:rPr>
        <w:t>餐饮场所附设的醇基液体燃料储存容器布置应符合GB50016的要求，宜设置在建筑外的专用房间内；贴邻民用建筑布置时，应采用防火墙与所贴邻的建筑分隔，且不应贴邻人员密集场所；严禁醇基液体燃料储存容器附设在高层建筑、重要公共建筑、住宅建筑、木结构建筑、文物古建筑内。</w:t>
      </w:r>
    </w:p>
    <w:p w14:paraId="2A13A53A">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5.1.2室外布置的储存容器应远离火种、热源，与明火、散发火花地点水平距离不应小于 6 m，储存容器四周应设置围栏或围墙，并设置防雷、防静电、防泄漏流散、防止日晒雨淋及防冻措施。</w:t>
      </w:r>
    </w:p>
    <w:p w14:paraId="4EB663A2">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5.1.3室内布置的储存容器应设置在一、二级耐火等级建筑物一层的单独房间内，隔墙应采用相应等级耐火墙，房间门应采用甲级防火门；储存间应安装通风排气设施，并与气体检测报警装置联锁；禁止醇基液体燃料储存容器设置在公共用餐区域、楼梯间、地下室等处，且不应占用疏散通道。</w:t>
      </w:r>
    </w:p>
    <w:p w14:paraId="46191538">
      <w:pPr>
        <w:widowControl w:val="0"/>
        <w:adjustRightInd w:val="0"/>
        <w:snapToGrid w:val="0"/>
        <w:spacing w:after="160" w:line="278" w:lineRule="auto"/>
        <w:rPr>
          <w:rFonts w:hint="eastAsia" w:ascii="Times New Roman" w:hAnsi="宋体" w:eastAsia="宋体" w:cs="Times New Roman"/>
          <w:color w:val="4874CB" w:themeColor="accent1"/>
          <w:kern w:val="0"/>
          <w:sz w:val="21"/>
          <w:szCs w:val="20"/>
          <w14:textFill>
            <w14:solidFill>
              <w14:schemeClr w14:val="accent1"/>
            </w14:solidFill>
          </w14:textFill>
        </w:rPr>
      </w:pPr>
      <w:r>
        <w:rPr>
          <w:rFonts w:ascii="Times New Roman" w:hAnsi="宋体" w:eastAsia="宋体" w:cs="Times New Roman"/>
          <w:kern w:val="0"/>
          <w:sz w:val="21"/>
          <w:szCs w:val="20"/>
        </w:rPr>
        <w:t>5.</w:t>
      </w:r>
      <w:r>
        <w:rPr>
          <w:rFonts w:hint="eastAsia" w:ascii="Times New Roman" w:hAnsi="宋体" w:eastAsia="宋体" w:cs="Times New Roman"/>
          <w:kern w:val="0"/>
          <w:sz w:val="21"/>
          <w:szCs w:val="20"/>
        </w:rPr>
        <w:t>1.4</w:t>
      </w:r>
      <w:r>
        <w:rPr>
          <w:rFonts w:ascii="Times New Roman" w:hAnsi="宋体" w:eastAsia="宋体" w:cs="Times New Roman"/>
          <w:kern w:val="0"/>
          <w:sz w:val="21"/>
          <w:szCs w:val="20"/>
        </w:rPr>
        <w:t xml:space="preserve"> </w:t>
      </w:r>
      <w:r>
        <w:rPr>
          <w:rFonts w:hint="eastAsia" w:ascii="Times New Roman" w:hAnsi="宋体" w:eastAsia="宋体" w:cs="Times New Roman"/>
          <w:kern w:val="0"/>
          <w:sz w:val="21"/>
          <w:szCs w:val="20"/>
        </w:rPr>
        <w:t>醇基液体燃料</w:t>
      </w:r>
      <w:r>
        <w:rPr>
          <w:rFonts w:ascii="Times New Roman" w:hAnsi="宋体" w:eastAsia="宋体" w:cs="Times New Roman"/>
          <w:kern w:val="0"/>
          <w:sz w:val="21"/>
          <w:szCs w:val="20"/>
        </w:rPr>
        <w:t>储存、使用场所的安全出口应满足GB 50016 的要求</w:t>
      </w:r>
      <w:r>
        <w:rPr>
          <w:rFonts w:hint="eastAsia" w:ascii="Times New Roman" w:hAnsi="宋体" w:eastAsia="宋体" w:cs="Times New Roman"/>
          <w:kern w:val="0"/>
          <w:sz w:val="21"/>
          <w:szCs w:val="20"/>
        </w:rPr>
        <w:t>。</w:t>
      </w:r>
    </w:p>
    <w:p w14:paraId="4B4FD73D">
      <w:pPr>
        <w:keepNext/>
        <w:keepLines/>
        <w:spacing w:before="120" w:after="120"/>
        <w:outlineLvl w:val="1"/>
        <w:rPr>
          <w:rFonts w:hint="eastAsia" w:ascii="黑体" w:hAnsi="黑体" w:eastAsia="黑体" w:cs="Times New Roman"/>
          <w:sz w:val="21"/>
          <w:szCs w:val="32"/>
        </w:rPr>
      </w:pPr>
      <w:bookmarkStart w:id="60" w:name="_Toc210663257"/>
      <w:r>
        <w:rPr>
          <w:rFonts w:hint="eastAsia" w:ascii="黑体" w:hAnsi="黑体" w:eastAsia="黑体" w:cs="Times New Roman"/>
          <w:sz w:val="21"/>
          <w:szCs w:val="32"/>
        </w:rPr>
        <w:t>5.2 储存安全要求</w:t>
      </w:r>
      <w:bookmarkEnd w:id="60"/>
    </w:p>
    <w:p w14:paraId="51012D74">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5.2.1餐饮场所醇基液体燃料固定式容器、移动式容器应满足G</w:t>
      </w:r>
      <w:r>
        <w:rPr>
          <w:rFonts w:ascii="Times New Roman" w:hAnsi="宋体" w:eastAsia="宋体" w:cs="Times New Roman"/>
          <w:kern w:val="0"/>
          <w:sz w:val="21"/>
          <w:szCs w:val="20"/>
        </w:rPr>
        <w:t>B16663</w:t>
      </w:r>
      <w:r>
        <w:rPr>
          <w:rFonts w:hint="eastAsia" w:ascii="Times New Roman" w:hAnsi="宋体" w:eastAsia="宋体" w:cs="Times New Roman"/>
          <w:kern w:val="0"/>
          <w:sz w:val="21"/>
          <w:szCs w:val="20"/>
        </w:rPr>
        <w:t>规定要求。</w:t>
      </w:r>
    </w:p>
    <w:p w14:paraId="3539A35E">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5.2.2固定式容器应采用钢制常压容器，材质宜采用满足GB/T 20878规定的S304钢组不锈钢，同一场所醇基液体燃料储存容器总容积不应超过</w:t>
      </w:r>
      <w:r>
        <w:rPr>
          <w:rFonts w:ascii="Times New Roman" w:hAnsi="宋体" w:eastAsia="宋体" w:cs="Times New Roman"/>
          <w:kern w:val="0"/>
          <w:sz w:val="21"/>
          <w:szCs w:val="20"/>
        </w:rPr>
        <w:t>1m³</w:t>
      </w:r>
      <w:r>
        <w:rPr>
          <w:rFonts w:hint="eastAsia" w:ascii="Times New Roman" w:hAnsi="宋体" w:eastAsia="宋体" w:cs="Times New Roman"/>
          <w:kern w:val="0"/>
          <w:sz w:val="21"/>
          <w:szCs w:val="20"/>
        </w:rPr>
        <w:t>，储存系数不应超过</w:t>
      </w:r>
      <w:r>
        <w:rPr>
          <w:rFonts w:ascii="Times New Roman" w:hAnsi="宋体" w:eastAsia="宋体" w:cs="Times New Roman"/>
          <w:kern w:val="0"/>
          <w:sz w:val="21"/>
          <w:szCs w:val="20"/>
        </w:rPr>
        <w:t>0.9</w:t>
      </w:r>
      <w:r>
        <w:rPr>
          <w:rFonts w:hint="eastAsia" w:ascii="Times New Roman" w:hAnsi="宋体" w:eastAsia="宋体" w:cs="Times New Roman"/>
          <w:kern w:val="0"/>
          <w:sz w:val="21"/>
          <w:szCs w:val="20"/>
        </w:rPr>
        <w:t>，储存场所应设置可燃气体泄漏检测报警装置。</w:t>
      </w:r>
    </w:p>
    <w:p w14:paraId="7F3D1A05">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5.2.3</w:t>
      </w:r>
      <w:r>
        <w:rPr>
          <w:rFonts w:ascii="Times New Roman" w:hAnsi="宋体" w:eastAsia="宋体" w:cs="Times New Roman"/>
          <w:kern w:val="0"/>
          <w:sz w:val="21"/>
          <w:szCs w:val="20"/>
        </w:rPr>
        <w:t xml:space="preserve"> </w:t>
      </w:r>
      <w:r>
        <w:rPr>
          <w:rFonts w:hint="eastAsia" w:ascii="Times New Roman" w:hAnsi="宋体" w:eastAsia="宋体" w:cs="Times New Roman"/>
          <w:kern w:val="0"/>
          <w:sz w:val="21"/>
          <w:szCs w:val="20"/>
        </w:rPr>
        <w:t>固定式容器应设置带阻火器、直通室外的通气管和液位计、紧急切断阀、防雷、防静电等安全设施，各类安全附件的设置可参照AQ 3053要求。</w:t>
      </w:r>
    </w:p>
    <w:p w14:paraId="661C3FF4">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5</w:t>
      </w:r>
      <w:r>
        <w:rPr>
          <w:rFonts w:ascii="Times New Roman" w:hAnsi="宋体" w:eastAsia="宋体" w:cs="Times New Roman"/>
          <w:kern w:val="0"/>
          <w:sz w:val="21"/>
          <w:szCs w:val="20"/>
        </w:rPr>
        <w:t>.2.4</w:t>
      </w:r>
      <w:r>
        <w:rPr>
          <w:rFonts w:hint="eastAsia" w:ascii="Times New Roman" w:hAnsi="宋体" w:eastAsia="宋体" w:cs="Times New Roman"/>
          <w:kern w:val="0"/>
          <w:sz w:val="21"/>
          <w:szCs w:val="20"/>
        </w:rPr>
        <w:t>固定式容器宜安装干式快速接头进行加注。采用上进料时进料管应伸至容器内距底部50～100mm处，进料立管底端应为45°斜管口或T 形管口。</w:t>
      </w:r>
    </w:p>
    <w:p w14:paraId="64CE6382">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5</w:t>
      </w:r>
      <w:r>
        <w:rPr>
          <w:rFonts w:ascii="Times New Roman" w:hAnsi="宋体" w:eastAsia="宋体" w:cs="Times New Roman"/>
          <w:kern w:val="0"/>
          <w:sz w:val="21"/>
          <w:szCs w:val="20"/>
        </w:rPr>
        <w:t xml:space="preserve">.2.5 </w:t>
      </w:r>
      <w:r>
        <w:rPr>
          <w:rFonts w:hint="eastAsia" w:ascii="Times New Roman" w:hAnsi="宋体" w:eastAsia="宋体" w:cs="Times New Roman"/>
          <w:kern w:val="0"/>
          <w:sz w:val="21"/>
          <w:szCs w:val="20"/>
        </w:rPr>
        <w:t>移动式容器应符合GB 12463要求，移动式容器应在使用前检查维护，做到外表清洁、无明显划伤和变形，阀门和其他附件齐全、完好。</w:t>
      </w:r>
    </w:p>
    <w:p w14:paraId="5CCC5355">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5</w:t>
      </w:r>
      <w:r>
        <w:rPr>
          <w:rFonts w:ascii="Times New Roman" w:hAnsi="宋体" w:eastAsia="宋体" w:cs="Times New Roman"/>
          <w:kern w:val="0"/>
          <w:sz w:val="21"/>
          <w:szCs w:val="20"/>
        </w:rPr>
        <w:t xml:space="preserve">.2.6 </w:t>
      </w:r>
      <w:r>
        <w:rPr>
          <w:rFonts w:hint="eastAsia" w:ascii="Times New Roman" w:hAnsi="宋体" w:eastAsia="宋体" w:cs="Times New Roman"/>
          <w:kern w:val="0"/>
          <w:sz w:val="21"/>
          <w:szCs w:val="20"/>
        </w:rPr>
        <w:t>储存容器应按GB 30000.7要求，粘贴化学品安全标签，包含但不限于产品名称、象形图标识的危险类别、容量、应急处置措施、供应商名称、紧急电话号码等。</w:t>
      </w:r>
    </w:p>
    <w:p w14:paraId="25A5CD4E">
      <w:pPr>
        <w:keepNext/>
        <w:keepLines/>
        <w:spacing w:before="120" w:after="120"/>
        <w:outlineLvl w:val="1"/>
        <w:rPr>
          <w:rFonts w:hint="eastAsia" w:ascii="黑体" w:hAnsi="黑体" w:eastAsia="黑体" w:cs="Times New Roman"/>
          <w:sz w:val="21"/>
          <w:szCs w:val="32"/>
        </w:rPr>
      </w:pPr>
      <w:bookmarkStart w:id="61" w:name="_Toc210663258"/>
      <w:r>
        <w:rPr>
          <w:rFonts w:hint="eastAsia" w:ascii="黑体" w:hAnsi="黑体" w:eastAsia="黑体" w:cs="Times New Roman"/>
          <w:sz w:val="21"/>
          <w:szCs w:val="32"/>
        </w:rPr>
        <w:t>5.3 卸车安全要求</w:t>
      </w:r>
      <w:bookmarkEnd w:id="61"/>
    </w:p>
    <w:p w14:paraId="64C1F29D">
      <w:pPr>
        <w:widowControl w:val="0"/>
        <w:adjustRightInd w:val="0"/>
        <w:snapToGrid w:val="0"/>
        <w:spacing w:after="160" w:line="278" w:lineRule="auto"/>
        <w:rPr>
          <w:rFonts w:hint="eastAsia" w:ascii="Times New Roman" w:hAnsi="宋体" w:eastAsia="宋体" w:cs="Times New Roman"/>
          <w:kern w:val="0"/>
          <w:sz w:val="21"/>
          <w:szCs w:val="20"/>
        </w:rPr>
      </w:pPr>
      <w:r>
        <w:rPr>
          <w:rFonts w:ascii="Times New Roman" w:hAnsi="宋体" w:eastAsia="宋体" w:cs="Times New Roman"/>
          <w:kern w:val="0"/>
          <w:sz w:val="21"/>
          <w:szCs w:val="20"/>
        </w:rPr>
        <w:t>5.</w:t>
      </w:r>
      <w:r>
        <w:rPr>
          <w:rFonts w:hint="eastAsia" w:ascii="Times New Roman" w:hAnsi="宋体" w:eastAsia="宋体" w:cs="Times New Roman"/>
          <w:kern w:val="0"/>
          <w:sz w:val="21"/>
          <w:szCs w:val="20"/>
        </w:rPr>
        <w:t>3</w:t>
      </w:r>
      <w:r>
        <w:rPr>
          <w:rFonts w:ascii="Times New Roman" w:hAnsi="宋体" w:eastAsia="宋体" w:cs="Times New Roman"/>
          <w:kern w:val="0"/>
          <w:sz w:val="21"/>
          <w:szCs w:val="20"/>
        </w:rPr>
        <w:t>.1 卸车应在</w:t>
      </w:r>
      <w:r>
        <w:rPr>
          <w:rFonts w:hint="eastAsia" w:ascii="Times New Roman" w:hAnsi="宋体" w:eastAsia="宋体" w:cs="Times New Roman"/>
          <w:kern w:val="0"/>
          <w:sz w:val="21"/>
          <w:szCs w:val="20"/>
        </w:rPr>
        <w:t>使用单位</w:t>
      </w:r>
      <w:r>
        <w:rPr>
          <w:rFonts w:ascii="Times New Roman" w:hAnsi="宋体" w:eastAsia="宋体" w:cs="Times New Roman"/>
          <w:kern w:val="0"/>
          <w:sz w:val="21"/>
          <w:szCs w:val="20"/>
        </w:rPr>
        <w:t>安全管理人员的现场监护下进行</w:t>
      </w:r>
      <w:r>
        <w:rPr>
          <w:rFonts w:hint="eastAsia" w:ascii="Times New Roman" w:hAnsi="宋体" w:eastAsia="宋体" w:cs="Times New Roman"/>
          <w:kern w:val="0"/>
          <w:sz w:val="21"/>
          <w:szCs w:val="20"/>
        </w:rPr>
        <w:t>，</w:t>
      </w:r>
      <w:r>
        <w:rPr>
          <w:rFonts w:ascii="Times New Roman" w:hAnsi="宋体" w:eastAsia="宋体" w:cs="Times New Roman"/>
          <w:kern w:val="0"/>
          <w:sz w:val="21"/>
          <w:szCs w:val="20"/>
        </w:rPr>
        <w:t>卸车作业区应设置警戒区，卸车作业时，无关人员不得进入。</w:t>
      </w:r>
    </w:p>
    <w:p w14:paraId="7F856399">
      <w:pPr>
        <w:widowControl w:val="0"/>
        <w:adjustRightInd w:val="0"/>
        <w:snapToGrid w:val="0"/>
        <w:spacing w:after="160" w:line="278" w:lineRule="auto"/>
        <w:rPr>
          <w:rFonts w:hint="eastAsia" w:ascii="Times New Roman" w:hAnsi="宋体" w:eastAsia="宋体" w:cs="Times New Roman"/>
          <w:kern w:val="0"/>
          <w:sz w:val="21"/>
          <w:szCs w:val="20"/>
        </w:rPr>
      </w:pPr>
      <w:r>
        <w:rPr>
          <w:rFonts w:ascii="Times New Roman" w:hAnsi="宋体" w:eastAsia="宋体" w:cs="Times New Roman"/>
          <w:kern w:val="0"/>
          <w:sz w:val="21"/>
          <w:szCs w:val="20"/>
        </w:rPr>
        <w:t>5.3.2 进入卸车场所的车辆应佩戴阻火器，</w:t>
      </w:r>
      <w:r>
        <w:rPr>
          <w:rFonts w:hint="eastAsia" w:ascii="Times New Roman" w:hAnsi="宋体" w:eastAsia="宋体" w:cs="Times New Roman"/>
          <w:kern w:val="0"/>
          <w:sz w:val="21"/>
          <w:szCs w:val="20"/>
        </w:rPr>
        <w:t>卸车现场应配备灭火器、消防沙等消防器材，</w:t>
      </w:r>
      <w:r>
        <w:rPr>
          <w:rFonts w:ascii="Times New Roman" w:hAnsi="宋体" w:eastAsia="宋体" w:cs="Times New Roman"/>
          <w:kern w:val="0"/>
          <w:sz w:val="21"/>
          <w:szCs w:val="20"/>
        </w:rPr>
        <w:t>卸车时厨房停止</w:t>
      </w:r>
      <w:r>
        <w:rPr>
          <w:rFonts w:hint="eastAsia" w:ascii="Times New Roman" w:hAnsi="宋体" w:eastAsia="宋体" w:cs="Times New Roman"/>
          <w:kern w:val="0"/>
          <w:sz w:val="21"/>
          <w:szCs w:val="20"/>
        </w:rPr>
        <w:t>明火</w:t>
      </w:r>
      <w:r>
        <w:rPr>
          <w:rFonts w:ascii="Times New Roman" w:hAnsi="宋体" w:eastAsia="宋体" w:cs="Times New Roman"/>
          <w:kern w:val="0"/>
          <w:sz w:val="21"/>
          <w:szCs w:val="20"/>
        </w:rPr>
        <w:t>作业。</w:t>
      </w:r>
    </w:p>
    <w:p w14:paraId="3B4ADA5F">
      <w:pPr>
        <w:widowControl w:val="0"/>
        <w:adjustRightInd w:val="0"/>
        <w:snapToGrid w:val="0"/>
        <w:spacing w:after="160" w:line="278" w:lineRule="auto"/>
        <w:rPr>
          <w:rFonts w:hint="eastAsia" w:ascii="Times New Roman" w:hAnsi="宋体" w:eastAsia="宋体" w:cs="Times New Roman"/>
          <w:kern w:val="0"/>
          <w:sz w:val="21"/>
          <w:szCs w:val="20"/>
        </w:rPr>
      </w:pPr>
      <w:r>
        <w:rPr>
          <w:rFonts w:ascii="Times New Roman" w:hAnsi="宋体" w:eastAsia="宋体" w:cs="Times New Roman"/>
          <w:kern w:val="0"/>
          <w:sz w:val="21"/>
          <w:szCs w:val="20"/>
        </w:rPr>
        <w:t>5.3.3 卸车作业</w:t>
      </w:r>
      <w:r>
        <w:rPr>
          <w:rFonts w:hint="eastAsia" w:ascii="Times New Roman" w:hAnsi="宋体" w:eastAsia="宋体" w:cs="Times New Roman"/>
          <w:kern w:val="0"/>
          <w:sz w:val="21"/>
          <w:szCs w:val="20"/>
        </w:rPr>
        <w:t>区</w:t>
      </w:r>
      <w:r>
        <w:rPr>
          <w:rFonts w:ascii="Times New Roman" w:hAnsi="宋体" w:eastAsia="宋体" w:cs="Times New Roman"/>
          <w:kern w:val="0"/>
          <w:sz w:val="21"/>
          <w:szCs w:val="20"/>
        </w:rPr>
        <w:t>严禁吸烟</w:t>
      </w:r>
      <w:r>
        <w:rPr>
          <w:rFonts w:hint="eastAsia" w:ascii="Times New Roman" w:hAnsi="宋体" w:eastAsia="宋体" w:cs="Times New Roman"/>
          <w:kern w:val="0"/>
          <w:sz w:val="21"/>
          <w:szCs w:val="20"/>
        </w:rPr>
        <w:t>、明火，禁止</w:t>
      </w:r>
      <w:r>
        <w:rPr>
          <w:rFonts w:ascii="Times New Roman" w:hAnsi="宋体" w:eastAsia="宋体" w:cs="Times New Roman"/>
          <w:kern w:val="0"/>
          <w:sz w:val="21"/>
          <w:szCs w:val="20"/>
        </w:rPr>
        <w:t>使用</w:t>
      </w:r>
      <w:r>
        <w:rPr>
          <w:rFonts w:hint="eastAsia" w:ascii="Times New Roman" w:hAnsi="宋体" w:eastAsia="宋体" w:cs="Times New Roman"/>
          <w:kern w:val="0"/>
          <w:sz w:val="21"/>
          <w:szCs w:val="20"/>
        </w:rPr>
        <w:t>非防爆型</w:t>
      </w:r>
      <w:r>
        <w:rPr>
          <w:rFonts w:ascii="Times New Roman" w:hAnsi="宋体" w:eastAsia="宋体" w:cs="Times New Roman"/>
          <w:kern w:val="0"/>
          <w:sz w:val="21"/>
          <w:szCs w:val="20"/>
        </w:rPr>
        <w:t>手机等移动通讯工具和电子设备</w:t>
      </w:r>
      <w:r>
        <w:rPr>
          <w:rFonts w:hint="eastAsia" w:ascii="Times New Roman" w:hAnsi="宋体" w:eastAsia="宋体" w:cs="Times New Roman"/>
          <w:kern w:val="0"/>
          <w:sz w:val="21"/>
          <w:szCs w:val="20"/>
        </w:rPr>
        <w:t>，装卸作业的人员使用的照明灯具及其他工具应为防爆型。</w:t>
      </w:r>
    </w:p>
    <w:p w14:paraId="41A836AB">
      <w:pPr>
        <w:widowControl w:val="0"/>
        <w:adjustRightInd w:val="0"/>
        <w:snapToGrid w:val="0"/>
        <w:spacing w:after="160" w:line="278" w:lineRule="auto"/>
        <w:rPr>
          <w:rFonts w:hint="eastAsia" w:ascii="Times New Roman" w:hAnsi="宋体" w:eastAsia="宋体" w:cs="Times New Roman"/>
          <w:kern w:val="0"/>
          <w:sz w:val="21"/>
          <w:szCs w:val="20"/>
        </w:rPr>
      </w:pPr>
      <w:r>
        <w:rPr>
          <w:rFonts w:ascii="Times New Roman" w:hAnsi="宋体" w:eastAsia="宋体" w:cs="Times New Roman"/>
          <w:kern w:val="0"/>
          <w:sz w:val="21"/>
          <w:szCs w:val="20"/>
        </w:rPr>
        <w:t xml:space="preserve">5.3.4 </w:t>
      </w:r>
      <w:r>
        <w:rPr>
          <w:rFonts w:hint="eastAsia" w:ascii="Times New Roman" w:hAnsi="宋体" w:eastAsia="宋体" w:cs="Times New Roman"/>
          <w:kern w:val="0"/>
          <w:sz w:val="21"/>
          <w:szCs w:val="20"/>
        </w:rPr>
        <w:t>采用软管卸车时，应使用导电软管或内附金属丝、网的橡胶管，软管两端应使用法兰、螺纹或管箍固定，且在相接时注意静电的导通性。</w:t>
      </w:r>
    </w:p>
    <w:p w14:paraId="6D4614E3">
      <w:pPr>
        <w:widowControl w:val="0"/>
        <w:adjustRightInd w:val="0"/>
        <w:snapToGrid w:val="0"/>
        <w:spacing w:after="160" w:line="278" w:lineRule="auto"/>
        <w:rPr>
          <w:rFonts w:hint="eastAsia" w:ascii="Times New Roman" w:hAnsi="宋体" w:eastAsia="宋体" w:cs="Times New Roman"/>
          <w:color w:val="00B050"/>
          <w:kern w:val="0"/>
          <w:sz w:val="21"/>
          <w:szCs w:val="20"/>
        </w:rPr>
      </w:pPr>
      <w:r>
        <w:rPr>
          <w:rFonts w:hint="eastAsia" w:ascii="Times New Roman" w:hAnsi="宋体" w:eastAsia="宋体" w:cs="Times New Roman"/>
          <w:kern w:val="0"/>
          <w:sz w:val="21"/>
          <w:szCs w:val="20"/>
        </w:rPr>
        <w:t>5</w:t>
      </w:r>
      <w:r>
        <w:rPr>
          <w:rFonts w:ascii="Times New Roman" w:hAnsi="宋体" w:eastAsia="宋体" w:cs="Times New Roman"/>
          <w:kern w:val="0"/>
          <w:sz w:val="21"/>
          <w:szCs w:val="20"/>
        </w:rPr>
        <w:t xml:space="preserve">.3.5 </w:t>
      </w:r>
      <w:r>
        <w:rPr>
          <w:rFonts w:hint="eastAsia" w:ascii="Times New Roman" w:hAnsi="宋体" w:eastAsia="宋体" w:cs="Times New Roman"/>
          <w:kern w:val="0"/>
          <w:sz w:val="21"/>
          <w:szCs w:val="20"/>
        </w:rPr>
        <w:t>醇基液体燃料</w:t>
      </w:r>
      <w:r>
        <w:rPr>
          <w:rFonts w:ascii="Times New Roman" w:hAnsi="宋体" w:eastAsia="宋体" w:cs="Times New Roman"/>
          <w:kern w:val="0"/>
          <w:sz w:val="21"/>
          <w:szCs w:val="20"/>
        </w:rPr>
        <w:t>卸车过程中应采用专用的接地导线，夹子和接地端子将罐车与接地导线相互连</w:t>
      </w:r>
      <w:r>
        <w:rPr>
          <w:rFonts w:hint="eastAsia" w:ascii="Times New Roman" w:hAnsi="宋体" w:eastAsia="宋体" w:cs="Times New Roman"/>
          <w:kern w:val="0"/>
          <w:sz w:val="21"/>
          <w:szCs w:val="20"/>
        </w:rPr>
        <w:t>接，接地线的连接应在管道连接之前进行。卸车工作完毕后，应静置</w:t>
      </w:r>
      <w:r>
        <w:rPr>
          <w:rFonts w:ascii="Times New Roman" w:hAnsi="宋体" w:eastAsia="宋体" w:cs="Times New Roman"/>
          <w:kern w:val="0"/>
          <w:sz w:val="21"/>
          <w:szCs w:val="20"/>
        </w:rPr>
        <w:t>2分钟以上，才能拆除接地线。</w:t>
      </w:r>
    </w:p>
    <w:p w14:paraId="349C2F58">
      <w:pPr>
        <w:widowControl w:val="0"/>
        <w:adjustRightInd w:val="0"/>
        <w:snapToGrid w:val="0"/>
        <w:spacing w:after="160" w:line="278" w:lineRule="auto"/>
        <w:rPr>
          <w:rFonts w:hint="eastAsia" w:ascii="Times New Roman" w:hAnsi="宋体" w:eastAsia="宋体" w:cs="Times New Roman"/>
          <w:kern w:val="0"/>
          <w:sz w:val="21"/>
          <w:szCs w:val="20"/>
        </w:rPr>
      </w:pPr>
      <w:r>
        <w:rPr>
          <w:rFonts w:ascii="Times New Roman" w:hAnsi="宋体" w:eastAsia="宋体" w:cs="Times New Roman"/>
          <w:kern w:val="0"/>
          <w:sz w:val="21"/>
          <w:szCs w:val="20"/>
        </w:rPr>
        <w:t xml:space="preserve">5.3.6 </w:t>
      </w:r>
      <w:r>
        <w:rPr>
          <w:rFonts w:hint="eastAsia" w:ascii="Times New Roman" w:hAnsi="宋体" w:eastAsia="宋体" w:cs="Times New Roman"/>
          <w:kern w:val="0"/>
          <w:sz w:val="21"/>
          <w:szCs w:val="20"/>
        </w:rPr>
        <w:t>醇基液体燃料</w:t>
      </w:r>
      <w:r>
        <w:rPr>
          <w:rFonts w:ascii="Times New Roman" w:hAnsi="宋体" w:eastAsia="宋体" w:cs="Times New Roman"/>
          <w:kern w:val="0"/>
          <w:sz w:val="21"/>
          <w:szCs w:val="20"/>
        </w:rPr>
        <w:t>必须使用防爆泵进行卸车，严禁外接</w:t>
      </w:r>
      <w:r>
        <w:rPr>
          <w:rFonts w:hint="eastAsia" w:ascii="Times New Roman" w:hAnsi="宋体" w:eastAsia="宋体" w:cs="Times New Roman"/>
          <w:kern w:val="0"/>
          <w:sz w:val="21"/>
          <w:szCs w:val="20"/>
        </w:rPr>
        <w:t>不符合防爆要求的</w:t>
      </w:r>
      <w:r>
        <w:rPr>
          <w:rFonts w:ascii="Times New Roman" w:hAnsi="宋体" w:eastAsia="宋体" w:cs="Times New Roman"/>
          <w:kern w:val="0"/>
          <w:sz w:val="21"/>
          <w:szCs w:val="20"/>
        </w:rPr>
        <w:t>临时电源。</w:t>
      </w:r>
    </w:p>
    <w:p w14:paraId="66D10594">
      <w:pPr>
        <w:widowControl w:val="0"/>
        <w:adjustRightInd w:val="0"/>
        <w:snapToGrid w:val="0"/>
        <w:spacing w:after="160" w:line="278" w:lineRule="auto"/>
        <w:rPr>
          <w:rFonts w:hint="eastAsia" w:ascii="Times New Roman" w:hAnsi="宋体" w:eastAsia="宋体" w:cs="Times New Roman"/>
          <w:kern w:val="0"/>
          <w:sz w:val="21"/>
          <w:szCs w:val="20"/>
        </w:rPr>
      </w:pPr>
      <w:r>
        <w:rPr>
          <w:rFonts w:ascii="Times New Roman" w:hAnsi="宋体" w:eastAsia="宋体" w:cs="Times New Roman"/>
          <w:kern w:val="0"/>
          <w:sz w:val="21"/>
          <w:szCs w:val="20"/>
        </w:rPr>
        <w:t xml:space="preserve">5.3.7 </w:t>
      </w:r>
      <w:r>
        <w:rPr>
          <w:rFonts w:hint="eastAsia" w:ascii="Times New Roman" w:hAnsi="宋体" w:eastAsia="宋体" w:cs="Times New Roman"/>
          <w:kern w:val="0"/>
          <w:sz w:val="21"/>
          <w:szCs w:val="20"/>
        </w:rPr>
        <w:t>卸车灌装过程中，应采取有效措施防止液体的飞散喷溅。</w:t>
      </w:r>
      <w:r>
        <w:rPr>
          <w:rFonts w:ascii="Times New Roman" w:hAnsi="宋体" w:eastAsia="宋体" w:cs="Times New Roman"/>
          <w:kern w:val="0"/>
          <w:sz w:val="21"/>
          <w:szCs w:val="20"/>
        </w:rPr>
        <w:t>卸车过程中要</w:t>
      </w:r>
      <w:r>
        <w:rPr>
          <w:rFonts w:hint="eastAsia" w:ascii="Times New Roman" w:hAnsi="宋体" w:eastAsia="宋体" w:cs="Times New Roman"/>
          <w:kern w:val="0"/>
          <w:sz w:val="21"/>
          <w:szCs w:val="20"/>
        </w:rPr>
        <w:t>通过液位显示装置</w:t>
      </w:r>
      <w:r>
        <w:rPr>
          <w:rFonts w:ascii="Times New Roman" w:hAnsi="宋体" w:eastAsia="宋体" w:cs="Times New Roman"/>
          <w:kern w:val="0"/>
          <w:sz w:val="21"/>
          <w:szCs w:val="20"/>
        </w:rPr>
        <w:t>仔细观察</w:t>
      </w:r>
      <w:r>
        <w:rPr>
          <w:rFonts w:hint="eastAsia" w:ascii="Times New Roman" w:hAnsi="宋体" w:eastAsia="宋体" w:cs="Times New Roman"/>
          <w:kern w:val="0"/>
          <w:sz w:val="21"/>
          <w:szCs w:val="20"/>
        </w:rPr>
        <w:t>储存容器</w:t>
      </w:r>
      <w:r>
        <w:rPr>
          <w:rFonts w:ascii="Times New Roman" w:hAnsi="宋体" w:eastAsia="宋体" w:cs="Times New Roman"/>
          <w:kern w:val="0"/>
          <w:sz w:val="21"/>
          <w:szCs w:val="20"/>
        </w:rPr>
        <w:t>液位的变化情况</w:t>
      </w:r>
      <w:r>
        <w:rPr>
          <w:rFonts w:hint="eastAsia" w:ascii="Times New Roman" w:hAnsi="宋体" w:eastAsia="宋体" w:cs="Times New Roman"/>
          <w:kern w:val="0"/>
          <w:sz w:val="21"/>
          <w:szCs w:val="20"/>
        </w:rPr>
        <w:t>，</w:t>
      </w:r>
      <w:r>
        <w:rPr>
          <w:rFonts w:ascii="Times New Roman" w:hAnsi="宋体" w:eastAsia="宋体" w:cs="Times New Roman"/>
          <w:kern w:val="0"/>
          <w:sz w:val="21"/>
          <w:szCs w:val="20"/>
        </w:rPr>
        <w:t>设置液位高低报警</w:t>
      </w:r>
      <w:r>
        <w:rPr>
          <w:rFonts w:hint="eastAsia" w:ascii="Times New Roman" w:hAnsi="宋体" w:eastAsia="宋体" w:cs="Times New Roman"/>
          <w:kern w:val="0"/>
          <w:sz w:val="21"/>
          <w:szCs w:val="20"/>
        </w:rPr>
        <w:t>的容器宜有自动切断进料的联锁装置，</w:t>
      </w:r>
      <w:r>
        <w:rPr>
          <w:rFonts w:ascii="Times New Roman" w:hAnsi="宋体" w:eastAsia="宋体" w:cs="Times New Roman"/>
          <w:kern w:val="0"/>
          <w:sz w:val="21"/>
          <w:szCs w:val="20"/>
        </w:rPr>
        <w:t>如发现异常情况，应立即停泵，关闭泵出口阀，</w:t>
      </w:r>
      <w:r>
        <w:rPr>
          <w:rFonts w:hint="eastAsia" w:ascii="Times New Roman" w:hAnsi="宋体" w:eastAsia="宋体" w:cs="Times New Roman"/>
          <w:kern w:val="0"/>
          <w:sz w:val="21"/>
          <w:szCs w:val="20"/>
        </w:rPr>
        <w:t>关闭槽车的紧急切断阀，准确排除异常故障。</w:t>
      </w:r>
    </w:p>
    <w:p w14:paraId="7BCFEAF5">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5</w:t>
      </w:r>
      <w:r>
        <w:rPr>
          <w:rFonts w:ascii="Times New Roman" w:hAnsi="宋体" w:eastAsia="宋体" w:cs="Times New Roman"/>
          <w:kern w:val="0"/>
          <w:sz w:val="21"/>
          <w:szCs w:val="20"/>
        </w:rPr>
        <w:t>.3.8 卸车完成后，立即关闭泵出口阀，停泵，关闭输出阀，拆下快装接头放入接装桶，防止燃料喷洒。</w:t>
      </w:r>
    </w:p>
    <w:p w14:paraId="7275C44B">
      <w:pPr>
        <w:widowControl w:val="0"/>
        <w:adjustRightInd w:val="0"/>
        <w:snapToGrid w:val="0"/>
        <w:spacing w:after="160" w:line="278" w:lineRule="auto"/>
        <w:rPr>
          <w:rFonts w:hint="eastAsia" w:ascii="Times New Roman" w:hAnsi="宋体" w:eastAsia="宋体" w:cs="Times New Roman"/>
          <w:kern w:val="0"/>
          <w:sz w:val="21"/>
          <w:szCs w:val="20"/>
        </w:rPr>
      </w:pPr>
      <w:r>
        <w:rPr>
          <w:rFonts w:ascii="Times New Roman" w:hAnsi="宋体" w:eastAsia="宋体" w:cs="Times New Roman"/>
          <w:kern w:val="0"/>
          <w:sz w:val="21"/>
          <w:szCs w:val="20"/>
        </w:rPr>
        <w:t xml:space="preserve">5.3.9 </w:t>
      </w:r>
      <w:r>
        <w:rPr>
          <w:rFonts w:hint="eastAsia" w:ascii="Times New Roman" w:hAnsi="宋体" w:eastAsia="宋体" w:cs="Times New Roman"/>
          <w:kern w:val="0"/>
          <w:sz w:val="21"/>
          <w:szCs w:val="20"/>
        </w:rPr>
        <w:t>遇有雷暴、大风、大雾、暴雨等恶劣天气，不应进行装卸作业。</w:t>
      </w:r>
    </w:p>
    <w:p w14:paraId="2AF864DD">
      <w:pPr>
        <w:keepNext/>
        <w:keepLines/>
        <w:spacing w:before="120" w:after="120"/>
        <w:outlineLvl w:val="1"/>
        <w:rPr>
          <w:rFonts w:hint="eastAsia" w:ascii="黑体" w:hAnsi="黑体" w:eastAsia="黑体" w:cs="Times New Roman"/>
          <w:sz w:val="21"/>
          <w:szCs w:val="32"/>
        </w:rPr>
      </w:pPr>
      <w:bookmarkStart w:id="62" w:name="_Toc210663259"/>
      <w:r>
        <w:rPr>
          <w:rFonts w:ascii="黑体" w:hAnsi="黑体" w:eastAsia="黑体" w:cs="Times New Roman"/>
          <w:sz w:val="21"/>
          <w:szCs w:val="32"/>
        </w:rPr>
        <w:t>5.</w:t>
      </w:r>
      <w:r>
        <w:rPr>
          <w:rFonts w:hint="eastAsia" w:ascii="黑体" w:hAnsi="黑体" w:eastAsia="黑体" w:cs="Times New Roman"/>
          <w:sz w:val="21"/>
          <w:szCs w:val="32"/>
        </w:rPr>
        <w:t>4</w:t>
      </w:r>
      <w:r>
        <w:rPr>
          <w:rFonts w:ascii="黑体" w:hAnsi="黑体" w:eastAsia="黑体" w:cs="Times New Roman"/>
          <w:sz w:val="21"/>
          <w:szCs w:val="32"/>
        </w:rPr>
        <w:t xml:space="preserve"> </w:t>
      </w:r>
      <w:r>
        <w:rPr>
          <w:rFonts w:hint="eastAsia" w:ascii="黑体" w:hAnsi="黑体" w:eastAsia="黑体" w:cs="Times New Roman"/>
          <w:sz w:val="21"/>
          <w:szCs w:val="32"/>
        </w:rPr>
        <w:t>燃具安全要求</w:t>
      </w:r>
      <w:bookmarkEnd w:id="62"/>
    </w:p>
    <w:p w14:paraId="16423041">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5.4</w:t>
      </w:r>
      <w:r>
        <w:rPr>
          <w:rFonts w:ascii="Times New Roman" w:hAnsi="宋体" w:eastAsia="宋体" w:cs="Times New Roman"/>
          <w:kern w:val="0"/>
          <w:sz w:val="21"/>
          <w:szCs w:val="20"/>
        </w:rPr>
        <w:t xml:space="preserve">.1 </w:t>
      </w:r>
      <w:r>
        <w:rPr>
          <w:rFonts w:hint="eastAsia" w:ascii="Times New Roman" w:hAnsi="宋体" w:eastAsia="宋体" w:cs="Times New Roman"/>
          <w:kern w:val="0"/>
          <w:sz w:val="21"/>
          <w:szCs w:val="20"/>
        </w:rPr>
        <w:t>燃</w:t>
      </w:r>
      <w:r>
        <w:rPr>
          <w:rFonts w:ascii="Times New Roman" w:hAnsi="宋体" w:eastAsia="宋体" w:cs="Times New Roman"/>
          <w:kern w:val="0"/>
          <w:sz w:val="21"/>
          <w:szCs w:val="20"/>
        </w:rPr>
        <w:t>具应符合NY 312的要求，</w:t>
      </w:r>
      <w:r>
        <w:rPr>
          <w:rFonts w:hint="eastAsia" w:ascii="Times New Roman" w:hAnsi="宋体" w:eastAsia="宋体" w:cs="Times New Roman"/>
          <w:kern w:val="0"/>
          <w:sz w:val="21"/>
          <w:szCs w:val="20"/>
        </w:rPr>
        <w:t>其制造厂家应具备相关资质。应</w:t>
      </w:r>
      <w:r>
        <w:rPr>
          <w:rFonts w:ascii="Times New Roman" w:hAnsi="宋体" w:eastAsia="宋体" w:cs="Times New Roman"/>
          <w:kern w:val="0"/>
          <w:sz w:val="21"/>
          <w:szCs w:val="20"/>
        </w:rPr>
        <w:t>参照CJJ 12</w:t>
      </w:r>
      <w:r>
        <w:rPr>
          <w:rFonts w:hint="eastAsia" w:ascii="Times New Roman" w:hAnsi="宋体" w:eastAsia="宋体" w:cs="Times New Roman"/>
          <w:kern w:val="0"/>
          <w:sz w:val="21"/>
          <w:szCs w:val="20"/>
        </w:rPr>
        <w:t>的要求安装燃具，禁止擅自改装。</w:t>
      </w:r>
    </w:p>
    <w:p w14:paraId="0441E969">
      <w:pPr>
        <w:widowControl w:val="0"/>
        <w:adjustRightInd w:val="0"/>
        <w:snapToGrid w:val="0"/>
        <w:spacing w:after="160" w:line="278" w:lineRule="auto"/>
        <w:rPr>
          <w:rFonts w:hint="eastAsia" w:ascii="Times New Roman" w:hAnsi="宋体" w:eastAsia="宋体" w:cs="Times New Roman"/>
          <w:kern w:val="0"/>
          <w:sz w:val="21"/>
          <w:szCs w:val="20"/>
        </w:rPr>
      </w:pPr>
      <w:r>
        <w:rPr>
          <w:rFonts w:ascii="Times New Roman" w:hAnsi="宋体" w:eastAsia="宋体" w:cs="Times New Roman"/>
          <w:kern w:val="0"/>
          <w:sz w:val="21"/>
          <w:szCs w:val="20"/>
        </w:rPr>
        <w:t>5.</w:t>
      </w:r>
      <w:r>
        <w:rPr>
          <w:rFonts w:hint="eastAsia" w:ascii="Times New Roman" w:hAnsi="宋体" w:eastAsia="宋体" w:cs="Times New Roman"/>
          <w:kern w:val="0"/>
          <w:sz w:val="21"/>
          <w:szCs w:val="20"/>
        </w:rPr>
        <w:t>4</w:t>
      </w:r>
      <w:r>
        <w:rPr>
          <w:rFonts w:ascii="Times New Roman" w:hAnsi="宋体" w:eastAsia="宋体" w:cs="Times New Roman"/>
          <w:kern w:val="0"/>
          <w:sz w:val="21"/>
          <w:szCs w:val="20"/>
        </w:rPr>
        <w:t xml:space="preserve">.2 </w:t>
      </w:r>
      <w:r>
        <w:rPr>
          <w:rFonts w:hint="eastAsia" w:ascii="Times New Roman" w:hAnsi="宋体" w:eastAsia="宋体" w:cs="Times New Roman"/>
          <w:kern w:val="0"/>
          <w:sz w:val="21"/>
          <w:szCs w:val="20"/>
        </w:rPr>
        <w:t>燃具应设可靠的点火程序控制和熄火保护装置，禁止使用人工点火的燃具。</w:t>
      </w:r>
    </w:p>
    <w:p w14:paraId="6FA412AB">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5</w:t>
      </w:r>
      <w:r>
        <w:rPr>
          <w:rFonts w:ascii="Times New Roman" w:hAnsi="宋体" w:eastAsia="宋体" w:cs="Times New Roman"/>
          <w:kern w:val="0"/>
          <w:sz w:val="21"/>
          <w:szCs w:val="20"/>
        </w:rPr>
        <w:t xml:space="preserve">.4.3 </w:t>
      </w:r>
      <w:r>
        <w:rPr>
          <w:rFonts w:hint="eastAsia" w:ascii="Times New Roman" w:hAnsi="宋体" w:eastAsia="宋体" w:cs="Times New Roman"/>
          <w:kern w:val="0"/>
          <w:sz w:val="21"/>
          <w:szCs w:val="20"/>
        </w:rPr>
        <w:t>燃烧器应参照 TSG ZB001的要求。</w:t>
      </w:r>
    </w:p>
    <w:p w14:paraId="046D2CCD">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5</w:t>
      </w:r>
      <w:r>
        <w:rPr>
          <w:rFonts w:ascii="Times New Roman" w:hAnsi="宋体" w:eastAsia="宋体" w:cs="Times New Roman"/>
          <w:kern w:val="0"/>
          <w:sz w:val="21"/>
          <w:szCs w:val="20"/>
        </w:rPr>
        <w:t xml:space="preserve">.4.4 </w:t>
      </w:r>
      <w:r>
        <w:rPr>
          <w:rFonts w:hint="eastAsia" w:ascii="Times New Roman" w:hAnsi="宋体" w:eastAsia="宋体" w:cs="Times New Roman"/>
          <w:kern w:val="0"/>
          <w:sz w:val="21"/>
          <w:szCs w:val="20"/>
        </w:rPr>
        <w:t>禁止使用液面直燃式、自升压式、充气外加压式供料方式</w:t>
      </w:r>
      <w:r>
        <w:rPr>
          <w:rFonts w:ascii="Times New Roman" w:hAnsi="宋体" w:eastAsia="宋体" w:cs="Times New Roman"/>
          <w:kern w:val="0"/>
          <w:sz w:val="21"/>
          <w:szCs w:val="20"/>
        </w:rPr>
        <w:t>。</w:t>
      </w:r>
    </w:p>
    <w:p w14:paraId="6B5C5F8E">
      <w:pPr>
        <w:widowControl w:val="0"/>
        <w:adjustRightInd w:val="0"/>
        <w:snapToGrid w:val="0"/>
        <w:spacing w:after="160" w:line="278" w:lineRule="auto"/>
        <w:rPr>
          <w:rFonts w:hint="eastAsia" w:ascii="Times New Roman" w:hAnsi="宋体" w:eastAsia="宋体" w:cs="Times New Roman"/>
          <w:kern w:val="0"/>
          <w:sz w:val="21"/>
          <w:szCs w:val="20"/>
        </w:rPr>
      </w:pPr>
      <w:r>
        <w:rPr>
          <w:rFonts w:ascii="Times New Roman" w:hAnsi="宋体" w:eastAsia="宋体" w:cs="Times New Roman"/>
          <w:kern w:val="0"/>
          <w:sz w:val="21"/>
          <w:szCs w:val="20"/>
        </w:rPr>
        <w:t>5.</w:t>
      </w:r>
      <w:r>
        <w:rPr>
          <w:rFonts w:hint="eastAsia" w:ascii="Times New Roman" w:hAnsi="宋体" w:eastAsia="宋体" w:cs="Times New Roman"/>
          <w:kern w:val="0"/>
          <w:sz w:val="21"/>
          <w:szCs w:val="20"/>
        </w:rPr>
        <w:t>4</w:t>
      </w:r>
      <w:r>
        <w:rPr>
          <w:rFonts w:ascii="Times New Roman" w:hAnsi="宋体" w:eastAsia="宋体" w:cs="Times New Roman"/>
          <w:kern w:val="0"/>
          <w:sz w:val="21"/>
          <w:szCs w:val="20"/>
        </w:rPr>
        <w:t>.5 阀门的“开”、“关”的位置和方向要有明显的标志，并应有限位装置</w:t>
      </w:r>
      <w:r>
        <w:rPr>
          <w:rFonts w:hint="eastAsia" w:ascii="Times New Roman" w:hAnsi="宋体" w:eastAsia="宋体" w:cs="Times New Roman"/>
          <w:kern w:val="0"/>
          <w:sz w:val="21"/>
          <w:szCs w:val="20"/>
        </w:rPr>
        <w:t>。</w:t>
      </w:r>
    </w:p>
    <w:p w14:paraId="51CAB56F">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5</w:t>
      </w:r>
      <w:r>
        <w:rPr>
          <w:rFonts w:ascii="Times New Roman" w:hAnsi="宋体" w:eastAsia="宋体" w:cs="Times New Roman"/>
          <w:kern w:val="0"/>
          <w:sz w:val="21"/>
          <w:szCs w:val="20"/>
        </w:rPr>
        <w:t xml:space="preserve">.4.6 </w:t>
      </w:r>
      <w:r>
        <w:rPr>
          <w:rFonts w:hint="eastAsia" w:ascii="Times New Roman" w:hAnsi="宋体" w:eastAsia="宋体" w:cs="Times New Roman"/>
          <w:kern w:val="0"/>
          <w:sz w:val="21"/>
          <w:szCs w:val="20"/>
        </w:rPr>
        <w:t>燃具应在明显位置设置固定铭牌，清楚标明下列内容：</w:t>
      </w:r>
    </w:p>
    <w:p w14:paraId="689F3E0F">
      <w:pPr>
        <w:widowControl w:val="0"/>
        <w:adjustRightInd w:val="0"/>
        <w:snapToGrid w:val="0"/>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 xml:space="preserve"> </w:t>
      </w:r>
      <w:r>
        <w:rPr>
          <w:rFonts w:ascii="Times New Roman" w:hAnsi="宋体" w:eastAsia="宋体" w:cs="Times New Roman"/>
          <w:kern w:val="0"/>
          <w:sz w:val="21"/>
          <w:szCs w:val="20"/>
        </w:rPr>
        <w:t xml:space="preserve">    </w:t>
      </w:r>
      <w:r>
        <w:rPr>
          <w:rFonts w:hint="eastAsia" w:ascii="Times New Roman" w:hAnsi="宋体" w:eastAsia="宋体" w:cs="Times New Roman"/>
          <w:kern w:val="0"/>
          <w:sz w:val="21"/>
          <w:szCs w:val="20"/>
        </w:rPr>
        <w:t>a）燃具的名称型号；</w:t>
      </w:r>
    </w:p>
    <w:p w14:paraId="401CC461">
      <w:pPr>
        <w:widowControl w:val="0"/>
        <w:adjustRightInd w:val="0"/>
        <w:snapToGrid w:val="0"/>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 xml:space="preserve"> </w:t>
      </w:r>
      <w:r>
        <w:rPr>
          <w:rFonts w:ascii="Times New Roman" w:hAnsi="宋体" w:eastAsia="宋体" w:cs="Times New Roman"/>
          <w:kern w:val="0"/>
          <w:sz w:val="21"/>
          <w:szCs w:val="20"/>
        </w:rPr>
        <w:t xml:space="preserve">    b</w:t>
      </w:r>
      <w:r>
        <w:rPr>
          <w:rFonts w:hint="eastAsia" w:ascii="Times New Roman" w:hAnsi="宋体" w:eastAsia="宋体" w:cs="Times New Roman"/>
          <w:kern w:val="0"/>
          <w:sz w:val="21"/>
          <w:szCs w:val="20"/>
        </w:rPr>
        <w:t>）使用燃料种类；</w:t>
      </w:r>
    </w:p>
    <w:p w14:paraId="2AA68B8A">
      <w:pPr>
        <w:widowControl w:val="0"/>
        <w:adjustRightInd w:val="0"/>
        <w:snapToGrid w:val="0"/>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 xml:space="preserve"> </w:t>
      </w:r>
      <w:r>
        <w:rPr>
          <w:rFonts w:ascii="Times New Roman" w:hAnsi="宋体" w:eastAsia="宋体" w:cs="Times New Roman"/>
          <w:kern w:val="0"/>
          <w:sz w:val="21"/>
          <w:szCs w:val="20"/>
        </w:rPr>
        <w:t xml:space="preserve">    c</w:t>
      </w:r>
      <w:r>
        <w:rPr>
          <w:rFonts w:hint="eastAsia" w:ascii="Times New Roman" w:hAnsi="宋体" w:eastAsia="宋体" w:cs="Times New Roman"/>
          <w:kern w:val="0"/>
          <w:sz w:val="21"/>
          <w:szCs w:val="20"/>
        </w:rPr>
        <w:t>）额定热负荷；</w:t>
      </w:r>
    </w:p>
    <w:p w14:paraId="5243FFDA">
      <w:pPr>
        <w:widowControl w:val="0"/>
        <w:adjustRightInd w:val="0"/>
        <w:snapToGrid w:val="0"/>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 xml:space="preserve"> </w:t>
      </w:r>
      <w:r>
        <w:rPr>
          <w:rFonts w:ascii="Times New Roman" w:hAnsi="宋体" w:eastAsia="宋体" w:cs="Times New Roman"/>
          <w:kern w:val="0"/>
          <w:sz w:val="21"/>
          <w:szCs w:val="20"/>
        </w:rPr>
        <w:t xml:space="preserve">    d</w:t>
      </w:r>
      <w:r>
        <w:rPr>
          <w:rFonts w:hint="eastAsia" w:ascii="Times New Roman" w:hAnsi="宋体" w:eastAsia="宋体" w:cs="Times New Roman"/>
          <w:kern w:val="0"/>
          <w:sz w:val="21"/>
          <w:szCs w:val="20"/>
        </w:rPr>
        <w:t>）燃料箱额定压力；</w:t>
      </w:r>
    </w:p>
    <w:p w14:paraId="15BB3C6B">
      <w:pPr>
        <w:widowControl w:val="0"/>
        <w:adjustRightInd w:val="0"/>
        <w:snapToGrid w:val="0"/>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 xml:space="preserve"> </w:t>
      </w:r>
      <w:r>
        <w:rPr>
          <w:rFonts w:ascii="Times New Roman" w:hAnsi="宋体" w:eastAsia="宋体" w:cs="Times New Roman"/>
          <w:kern w:val="0"/>
          <w:sz w:val="21"/>
          <w:szCs w:val="20"/>
        </w:rPr>
        <w:t xml:space="preserve">    </w:t>
      </w:r>
      <w:r>
        <w:rPr>
          <w:rFonts w:hint="eastAsia" w:ascii="Times New Roman" w:hAnsi="宋体" w:eastAsia="宋体" w:cs="Times New Roman"/>
          <w:kern w:val="0"/>
          <w:sz w:val="21"/>
          <w:szCs w:val="20"/>
        </w:rPr>
        <w:t>e）制造厂厂名、产地。</w:t>
      </w:r>
    </w:p>
    <w:p w14:paraId="4B098FC4">
      <w:pPr>
        <w:keepNext/>
        <w:keepLines/>
        <w:spacing w:before="120" w:after="120"/>
        <w:outlineLvl w:val="1"/>
        <w:rPr>
          <w:rFonts w:hint="eastAsia" w:ascii="黑体" w:hAnsi="黑体" w:eastAsia="黑体" w:cs="Times New Roman"/>
          <w:sz w:val="21"/>
          <w:szCs w:val="32"/>
        </w:rPr>
      </w:pPr>
      <w:bookmarkStart w:id="63" w:name="_Toc210663260"/>
      <w:r>
        <w:rPr>
          <w:rFonts w:ascii="黑体" w:hAnsi="黑体" w:eastAsia="黑体" w:cs="Times New Roman"/>
          <w:sz w:val="21"/>
          <w:szCs w:val="32"/>
        </w:rPr>
        <w:t>5.</w:t>
      </w:r>
      <w:r>
        <w:rPr>
          <w:rFonts w:hint="eastAsia" w:ascii="黑体" w:hAnsi="黑体" w:eastAsia="黑体" w:cs="Times New Roman"/>
          <w:sz w:val="21"/>
          <w:szCs w:val="32"/>
        </w:rPr>
        <w:t>5</w:t>
      </w:r>
      <w:r>
        <w:rPr>
          <w:rFonts w:ascii="黑体" w:hAnsi="黑体" w:eastAsia="黑体" w:cs="Times New Roman"/>
          <w:sz w:val="21"/>
          <w:szCs w:val="32"/>
        </w:rPr>
        <w:t xml:space="preserve"> </w:t>
      </w:r>
      <w:r>
        <w:rPr>
          <w:rFonts w:hint="eastAsia" w:ascii="黑体" w:hAnsi="黑体" w:eastAsia="黑体" w:cs="Times New Roman"/>
          <w:sz w:val="21"/>
          <w:szCs w:val="32"/>
        </w:rPr>
        <w:t>燃料管道安全要求</w:t>
      </w:r>
      <w:bookmarkEnd w:id="63"/>
    </w:p>
    <w:p w14:paraId="48DD2333">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5.5.</w:t>
      </w:r>
      <w:r>
        <w:rPr>
          <w:rFonts w:ascii="Times New Roman" w:hAnsi="宋体" w:eastAsia="宋体" w:cs="Times New Roman"/>
          <w:kern w:val="0"/>
          <w:sz w:val="21"/>
          <w:szCs w:val="20"/>
        </w:rPr>
        <w:t xml:space="preserve">1 </w:t>
      </w:r>
      <w:r>
        <w:rPr>
          <w:rFonts w:hint="eastAsia" w:ascii="Times New Roman" w:hAnsi="宋体" w:eastAsia="宋体" w:cs="Times New Roman"/>
          <w:kern w:val="0"/>
          <w:sz w:val="21"/>
          <w:szCs w:val="20"/>
        </w:rPr>
        <w:t>燃料管道应采用金属材质，使用的软管应符合 GB/T26002的要求，禁止使用镀锌钢管、塑料管道和无防腐蚀、防溶胀能力的密封材料。</w:t>
      </w:r>
    </w:p>
    <w:p w14:paraId="669C42ED">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5</w:t>
      </w:r>
      <w:r>
        <w:rPr>
          <w:rFonts w:ascii="Times New Roman" w:hAnsi="宋体" w:eastAsia="宋体" w:cs="Times New Roman"/>
          <w:kern w:val="0"/>
          <w:sz w:val="21"/>
          <w:szCs w:val="20"/>
        </w:rPr>
        <w:t>.5.2 燃料管道应采用焊接或法兰连接，不得采用卡箍、丝扣等连接方式</w:t>
      </w:r>
      <w:r>
        <w:rPr>
          <w:rFonts w:hint="eastAsia" w:ascii="Times New Roman" w:hAnsi="宋体" w:eastAsia="宋体" w:cs="Times New Roman"/>
          <w:kern w:val="0"/>
          <w:sz w:val="21"/>
          <w:szCs w:val="20"/>
        </w:rPr>
        <w:t>，管道及连接件</w:t>
      </w:r>
      <w:r>
        <w:rPr>
          <w:rFonts w:ascii="Times New Roman" w:hAnsi="宋体" w:eastAsia="宋体" w:cs="Times New Roman"/>
          <w:kern w:val="0"/>
          <w:sz w:val="21"/>
          <w:szCs w:val="20"/>
        </w:rPr>
        <w:t xml:space="preserve">应确保在承压0.3 </w:t>
      </w:r>
      <w:r>
        <w:rPr>
          <w:rFonts w:hint="eastAsia" w:ascii="Times New Roman" w:hAnsi="宋体" w:eastAsia="宋体" w:cs="Times New Roman"/>
          <w:kern w:val="0"/>
          <w:sz w:val="21"/>
          <w:szCs w:val="20"/>
        </w:rPr>
        <w:t>MPa</w:t>
      </w:r>
      <w:r>
        <w:rPr>
          <w:rFonts w:ascii="Times New Roman" w:hAnsi="宋体" w:eastAsia="宋体" w:cs="Times New Roman"/>
          <w:kern w:val="0"/>
          <w:sz w:val="21"/>
          <w:szCs w:val="20"/>
        </w:rPr>
        <w:t xml:space="preserve">及150 </w:t>
      </w:r>
      <w:r>
        <w:rPr>
          <w:rFonts w:hint="eastAsia" w:ascii="Times New Roman" w:hAnsi="宋体" w:eastAsia="宋体" w:cs="Times New Roman"/>
          <w:kern w:val="0"/>
          <w:sz w:val="21"/>
          <w:szCs w:val="20"/>
        </w:rPr>
        <w:t>℃</w:t>
      </w:r>
      <w:r>
        <w:rPr>
          <w:rFonts w:ascii="Times New Roman" w:hAnsi="宋体" w:eastAsia="宋体" w:cs="Times New Roman"/>
          <w:kern w:val="0"/>
          <w:sz w:val="21"/>
          <w:szCs w:val="20"/>
        </w:rPr>
        <w:t>情况下，无液、气泄漏。</w:t>
      </w:r>
    </w:p>
    <w:p w14:paraId="13C0716A">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5</w:t>
      </w:r>
      <w:r>
        <w:rPr>
          <w:rFonts w:ascii="Times New Roman" w:hAnsi="宋体" w:eastAsia="宋体" w:cs="Times New Roman"/>
          <w:kern w:val="0"/>
          <w:sz w:val="21"/>
          <w:szCs w:val="20"/>
        </w:rPr>
        <w:t xml:space="preserve">.5.3 </w:t>
      </w:r>
      <w:r>
        <w:rPr>
          <w:rFonts w:hint="eastAsia" w:ascii="Times New Roman" w:hAnsi="宋体" w:eastAsia="宋体" w:cs="Times New Roman"/>
          <w:kern w:val="0"/>
          <w:sz w:val="21"/>
          <w:szCs w:val="20"/>
        </w:rPr>
        <w:t>燃料管道应布局合理、方便检查、维修、更换，不能隐蔽布置。燃料管道严禁通过餐厅、办公室、楼梯间、生活间等不使用醇基液体燃料的房间，应远离炉灶等高温环境。</w:t>
      </w:r>
    </w:p>
    <w:p w14:paraId="58CBB7E3">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5</w:t>
      </w:r>
      <w:r>
        <w:rPr>
          <w:rFonts w:ascii="Times New Roman" w:hAnsi="宋体" w:eastAsia="宋体" w:cs="Times New Roman"/>
          <w:kern w:val="0"/>
          <w:sz w:val="21"/>
          <w:szCs w:val="20"/>
        </w:rPr>
        <w:t xml:space="preserve">.5.4 </w:t>
      </w:r>
      <w:r>
        <w:rPr>
          <w:rFonts w:hint="eastAsia" w:ascii="Times New Roman" w:hAnsi="宋体" w:eastAsia="宋体" w:cs="Times New Roman"/>
          <w:kern w:val="0"/>
          <w:sz w:val="21"/>
          <w:szCs w:val="20"/>
        </w:rPr>
        <w:t>燃料管道穿过墙壁或楼板时，应敷设在套管内，管道和套管间应采用不燃材料封堵。</w:t>
      </w:r>
    </w:p>
    <w:p w14:paraId="1A5A6B24">
      <w:pPr>
        <w:keepNext/>
        <w:keepLines/>
        <w:spacing w:before="120" w:after="120"/>
        <w:outlineLvl w:val="1"/>
        <w:rPr>
          <w:rFonts w:hint="eastAsia" w:ascii="黑体" w:hAnsi="黑体" w:eastAsia="黑体" w:cs="Times New Roman"/>
          <w:sz w:val="21"/>
          <w:szCs w:val="32"/>
        </w:rPr>
      </w:pPr>
      <w:bookmarkStart w:id="64" w:name="_Toc210663261"/>
      <w:r>
        <w:rPr>
          <w:rFonts w:ascii="黑体" w:hAnsi="黑体" w:eastAsia="黑体" w:cs="Times New Roman"/>
          <w:sz w:val="21"/>
          <w:szCs w:val="32"/>
        </w:rPr>
        <w:t>5.</w:t>
      </w:r>
      <w:r>
        <w:rPr>
          <w:rFonts w:hint="eastAsia" w:ascii="黑体" w:hAnsi="黑体" w:eastAsia="黑体" w:cs="Times New Roman"/>
          <w:sz w:val="21"/>
          <w:szCs w:val="32"/>
        </w:rPr>
        <w:t>6</w:t>
      </w:r>
      <w:r>
        <w:rPr>
          <w:rFonts w:ascii="黑体" w:hAnsi="黑体" w:eastAsia="黑体" w:cs="Times New Roman"/>
          <w:sz w:val="21"/>
          <w:szCs w:val="32"/>
        </w:rPr>
        <w:t xml:space="preserve"> </w:t>
      </w:r>
      <w:r>
        <w:rPr>
          <w:rFonts w:hint="eastAsia" w:ascii="黑体" w:hAnsi="黑体" w:eastAsia="黑体" w:cs="Times New Roman"/>
          <w:sz w:val="21"/>
          <w:szCs w:val="32"/>
        </w:rPr>
        <w:t>使用安全要求</w:t>
      </w:r>
      <w:bookmarkEnd w:id="64"/>
    </w:p>
    <w:p w14:paraId="19CCF83B">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5.6</w:t>
      </w:r>
      <w:r>
        <w:rPr>
          <w:rFonts w:ascii="Times New Roman" w:hAnsi="宋体" w:eastAsia="宋体" w:cs="Times New Roman"/>
          <w:kern w:val="0"/>
          <w:sz w:val="21"/>
          <w:szCs w:val="20"/>
        </w:rPr>
        <w:t>.</w:t>
      </w:r>
      <w:r>
        <w:rPr>
          <w:rFonts w:hint="eastAsia" w:ascii="Times New Roman" w:hAnsi="宋体" w:eastAsia="宋体" w:cs="Times New Roman"/>
          <w:kern w:val="0"/>
          <w:sz w:val="21"/>
          <w:szCs w:val="20"/>
        </w:rPr>
        <w:t>1 醇基液体燃料用户应每天对储存容器、管道、阀门、灶具等重点部位进行检查,确认无异常之后再使用。夜间停止使用时，应关闭燃烧器开关和储存容器根部阀、燃料管线切断阀。</w:t>
      </w:r>
    </w:p>
    <w:p w14:paraId="675BB317">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5.6</w:t>
      </w:r>
      <w:r>
        <w:rPr>
          <w:rFonts w:ascii="Times New Roman" w:hAnsi="宋体" w:eastAsia="宋体" w:cs="Times New Roman"/>
          <w:kern w:val="0"/>
          <w:sz w:val="21"/>
          <w:szCs w:val="20"/>
        </w:rPr>
        <w:t>.</w:t>
      </w:r>
      <w:r>
        <w:rPr>
          <w:rFonts w:hint="eastAsia" w:ascii="Times New Roman" w:hAnsi="宋体" w:eastAsia="宋体" w:cs="Times New Roman"/>
          <w:kern w:val="0"/>
          <w:sz w:val="21"/>
          <w:szCs w:val="20"/>
        </w:rPr>
        <w:t>2</w:t>
      </w:r>
      <w:r>
        <w:rPr>
          <w:rFonts w:ascii="Times New Roman" w:hAnsi="宋体" w:eastAsia="宋体" w:cs="Times New Roman"/>
          <w:kern w:val="0"/>
          <w:sz w:val="21"/>
          <w:szCs w:val="20"/>
        </w:rPr>
        <w:t xml:space="preserve"> </w:t>
      </w:r>
      <w:r>
        <w:rPr>
          <w:rFonts w:hint="eastAsia" w:ascii="Times New Roman" w:hAnsi="宋体" w:eastAsia="宋体" w:cs="Times New Roman"/>
          <w:kern w:val="0"/>
          <w:sz w:val="21"/>
          <w:szCs w:val="20"/>
        </w:rPr>
        <w:t>保持醇基液体燃料容器外表面干净无油污，储存容器周围不应堆放杂物。</w:t>
      </w:r>
    </w:p>
    <w:p w14:paraId="43F27A62">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5.6</w:t>
      </w:r>
      <w:r>
        <w:rPr>
          <w:rFonts w:ascii="Times New Roman" w:hAnsi="宋体" w:eastAsia="宋体" w:cs="Times New Roman"/>
          <w:kern w:val="0"/>
          <w:sz w:val="21"/>
          <w:szCs w:val="20"/>
        </w:rPr>
        <w:t>.</w:t>
      </w:r>
      <w:r>
        <w:rPr>
          <w:rFonts w:hint="eastAsia" w:ascii="Times New Roman" w:hAnsi="宋体" w:eastAsia="宋体" w:cs="Times New Roman"/>
          <w:kern w:val="0"/>
          <w:sz w:val="21"/>
          <w:szCs w:val="20"/>
        </w:rPr>
        <w:t>3使用单位应加强安全教育培训，从业人员应熟知所使用的醇基液体燃料危险特性、预防火灾爆炸措施、灭火器材使用、火灾逃生方法和人员疏散要求等，并保留相应培训教育记录。</w:t>
      </w:r>
    </w:p>
    <w:p w14:paraId="484DD333">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5</w:t>
      </w:r>
      <w:r>
        <w:rPr>
          <w:rFonts w:ascii="Times New Roman" w:hAnsi="宋体" w:eastAsia="宋体" w:cs="Times New Roman"/>
          <w:kern w:val="0"/>
          <w:sz w:val="21"/>
          <w:szCs w:val="20"/>
        </w:rPr>
        <w:t xml:space="preserve">.6.4 </w:t>
      </w:r>
      <w:r>
        <w:rPr>
          <w:rFonts w:hint="eastAsia" w:ascii="Times New Roman" w:hAnsi="宋体" w:eastAsia="宋体" w:cs="Times New Roman"/>
          <w:kern w:val="0"/>
          <w:sz w:val="21"/>
          <w:szCs w:val="20"/>
        </w:rPr>
        <w:t>醇基液体燃料使用场所应设置机械排风装置、可燃气体检测报警装置。</w:t>
      </w:r>
    </w:p>
    <w:p w14:paraId="6CAC1DF2">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5</w:t>
      </w:r>
      <w:r>
        <w:rPr>
          <w:rFonts w:ascii="Times New Roman" w:hAnsi="宋体" w:eastAsia="宋体" w:cs="Times New Roman"/>
          <w:kern w:val="0"/>
          <w:sz w:val="21"/>
          <w:szCs w:val="20"/>
        </w:rPr>
        <w:t>.6.5</w:t>
      </w:r>
      <w:r>
        <w:rPr>
          <w:rFonts w:hint="eastAsia" w:ascii="Times New Roman" w:hAnsi="宋体" w:eastAsia="宋体" w:cs="Times New Roman"/>
          <w:kern w:val="0"/>
          <w:sz w:val="21"/>
          <w:szCs w:val="20"/>
        </w:rPr>
        <w:t>禁止使用单位私自改变储存容器的容积或拆除相关安全附件。</w:t>
      </w:r>
    </w:p>
    <w:p w14:paraId="2205C5A0">
      <w:pPr>
        <w:spacing w:before="240" w:beforeLines="100" w:after="240" w:afterLines="100" w:line="278" w:lineRule="auto"/>
        <w:outlineLvl w:val="0"/>
        <w:rPr>
          <w:rFonts w:ascii="黑体" w:hAnsi="Times New Roman" w:eastAsia="黑体" w:cs="Times New Roman"/>
          <w:kern w:val="0"/>
          <w:sz w:val="21"/>
        </w:rPr>
      </w:pPr>
      <w:bookmarkStart w:id="65" w:name="_Toc210663262"/>
      <w:r>
        <w:rPr>
          <w:rFonts w:hint="eastAsia" w:ascii="黑体" w:hAnsi="Times New Roman" w:eastAsia="黑体" w:cs="Times New Roman"/>
          <w:kern w:val="0"/>
          <w:sz w:val="21"/>
        </w:rPr>
        <w:t>6 应急管理</w:t>
      </w:r>
      <w:bookmarkEnd w:id="65"/>
    </w:p>
    <w:p w14:paraId="527B5694">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6</w:t>
      </w:r>
      <w:r>
        <w:rPr>
          <w:rFonts w:ascii="Times New Roman" w:hAnsi="宋体" w:eastAsia="宋体" w:cs="Times New Roman"/>
          <w:kern w:val="0"/>
          <w:sz w:val="21"/>
          <w:szCs w:val="20"/>
        </w:rPr>
        <w:t>.1 使用单位应</w:t>
      </w:r>
      <w:r>
        <w:rPr>
          <w:rFonts w:hint="eastAsia" w:ascii="Times New Roman" w:hAnsi="宋体" w:eastAsia="宋体" w:cs="Times New Roman"/>
          <w:kern w:val="0"/>
          <w:sz w:val="21"/>
          <w:szCs w:val="20"/>
        </w:rPr>
        <w:t>制定卸车专项应急处置措施，在使用醇基液体燃料场所</w:t>
      </w:r>
      <w:r>
        <w:rPr>
          <w:rFonts w:ascii="Times New Roman" w:hAnsi="宋体" w:eastAsia="宋体" w:cs="Times New Roman"/>
          <w:kern w:val="0"/>
          <w:sz w:val="21"/>
          <w:szCs w:val="20"/>
        </w:rPr>
        <w:t>配备消防、应急救援器材，并定期维护保养。</w:t>
      </w:r>
    </w:p>
    <w:p w14:paraId="60B5423B">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6</w:t>
      </w:r>
      <w:r>
        <w:rPr>
          <w:rFonts w:ascii="Times New Roman" w:hAnsi="宋体" w:eastAsia="宋体" w:cs="Times New Roman"/>
          <w:kern w:val="0"/>
          <w:sz w:val="21"/>
          <w:szCs w:val="20"/>
        </w:rPr>
        <w:t xml:space="preserve">.2 </w:t>
      </w:r>
      <w:r>
        <w:rPr>
          <w:rFonts w:hint="eastAsia" w:ascii="Times New Roman" w:hAnsi="宋体" w:eastAsia="宋体" w:cs="Times New Roman"/>
          <w:kern w:val="0"/>
          <w:sz w:val="21"/>
          <w:szCs w:val="20"/>
        </w:rPr>
        <w:t>发生醇基液体燃料泄漏时，应立即熄灭灶具、关闭储存容器阀门，同时疏散顾客和工作人员至室外上风向的空旷区域。醇基液体燃料泄漏后不应操作照明开关等任何电气设备，电话报警应在室外安全区域进行。</w:t>
      </w:r>
    </w:p>
    <w:p w14:paraId="24BAC2CD">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6</w:t>
      </w:r>
      <w:r>
        <w:rPr>
          <w:rFonts w:ascii="Times New Roman" w:hAnsi="宋体" w:eastAsia="宋体" w:cs="Times New Roman"/>
          <w:kern w:val="0"/>
          <w:sz w:val="21"/>
          <w:szCs w:val="20"/>
        </w:rPr>
        <w:t xml:space="preserve">.3 </w:t>
      </w:r>
      <w:r>
        <w:rPr>
          <w:rFonts w:hint="eastAsia" w:ascii="Times New Roman" w:hAnsi="宋体" w:eastAsia="宋体" w:cs="Times New Roman"/>
          <w:kern w:val="0"/>
          <w:sz w:val="21"/>
          <w:szCs w:val="20"/>
        </w:rPr>
        <w:t>醇基液体燃料着火时,选用干粉灭火器、二氧化碳灭火器、抗溶性泡沫灭火器、灭火毯、雾状水、干沙土或惰性吸附剂等进行扑救。</w:t>
      </w:r>
    </w:p>
    <w:p w14:paraId="2BD0057F">
      <w:pPr>
        <w:widowControl w:val="0"/>
        <w:adjustRightInd w:val="0"/>
        <w:snapToGrid w:val="0"/>
        <w:spacing w:after="160" w:line="278" w:lineRule="auto"/>
        <w:rPr>
          <w:rFonts w:hint="eastAsia" w:ascii="Times New Roman" w:hAnsi="宋体" w:eastAsia="宋体" w:cs="Times New Roman"/>
          <w:kern w:val="0"/>
          <w:sz w:val="21"/>
          <w:szCs w:val="20"/>
        </w:rPr>
      </w:pPr>
      <w:r>
        <w:rPr>
          <w:rFonts w:ascii="Times New Roman" w:hAnsi="宋体" w:eastAsia="宋体" w:cs="Times New Roman"/>
          <w:kern w:val="0"/>
          <w:sz w:val="21"/>
          <w:szCs w:val="20"/>
        </w:rPr>
        <w:t>6.4 避免醇基液体燃料与皮肤、黏膜接触。如果发生皮肤、黏膜或眼睛沾染时,须迅速用大量流动清水 冲洗至少15min,而后就医。</w:t>
      </w:r>
    </w:p>
    <w:p w14:paraId="666F9680">
      <w:pPr>
        <w:widowControl w:val="0"/>
        <w:adjustRightInd w:val="0"/>
        <w:snapToGrid w:val="0"/>
        <w:spacing w:after="160" w:line="278" w:lineRule="auto"/>
        <w:rPr>
          <w:rFonts w:hint="eastAsia" w:ascii="Times New Roman" w:hAnsi="宋体" w:eastAsia="宋体" w:cs="Times New Roman"/>
          <w:kern w:val="0"/>
          <w:sz w:val="21"/>
          <w:szCs w:val="20"/>
        </w:rPr>
      </w:pPr>
      <w:r>
        <w:rPr>
          <w:rFonts w:hint="eastAsia" w:ascii="Times New Roman" w:hAnsi="宋体" w:eastAsia="宋体" w:cs="Times New Roman"/>
          <w:kern w:val="0"/>
          <w:sz w:val="21"/>
          <w:szCs w:val="20"/>
        </w:rPr>
        <w:t>6</w:t>
      </w:r>
      <w:r>
        <w:rPr>
          <w:rFonts w:ascii="Times New Roman" w:hAnsi="宋体" w:eastAsia="宋体" w:cs="Times New Roman"/>
          <w:kern w:val="0"/>
          <w:sz w:val="21"/>
          <w:szCs w:val="20"/>
        </w:rPr>
        <w:t xml:space="preserve">.5 </w:t>
      </w:r>
      <w:r>
        <w:rPr>
          <w:rFonts w:hint="eastAsia" w:ascii="Times New Roman" w:hAnsi="宋体" w:eastAsia="宋体" w:cs="Times New Roman"/>
          <w:kern w:val="0"/>
          <w:sz w:val="21"/>
          <w:szCs w:val="20"/>
        </w:rPr>
        <w:t>使用单位应针对可能发生的醇基液体燃料泄漏、火灾事故，定期组织应急演练和培训，并保留演练记录。</w:t>
      </w:r>
    </w:p>
    <w:p w14:paraId="67E714B6">
      <w:pPr>
        <w:widowControl w:val="0"/>
        <w:adjustRightInd w:val="0"/>
        <w:snapToGrid w:val="0"/>
        <w:rPr>
          <w:rFonts w:hint="eastAsia" w:ascii="Times New Roman" w:hAnsi="宋体" w:eastAsia="宋体" w:cs="Times New Roman"/>
          <w:kern w:val="0"/>
          <w:sz w:val="21"/>
          <w:szCs w:val="20"/>
        </w:rPr>
      </w:pPr>
    </w:p>
    <w:p w14:paraId="7D830101">
      <w:pPr>
        <w:widowControl w:val="0"/>
        <w:adjustRightInd w:val="0"/>
        <w:snapToGrid w:val="0"/>
        <w:rPr>
          <w:rFonts w:hint="eastAsia" w:ascii="Times New Roman" w:hAnsi="宋体" w:eastAsia="宋体" w:cs="Times New Roman"/>
          <w:kern w:val="0"/>
          <w:sz w:val="21"/>
          <w:szCs w:val="20"/>
        </w:rPr>
      </w:pPr>
    </w:p>
    <w:sectPr>
      <w:pgSz w:w="11907" w:h="16840"/>
      <w:pgMar w:top="1474" w:right="1797" w:bottom="1440" w:left="179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0002AFF" w:usb1="C000247B" w:usb2="00000009" w:usb3="00000000" w:csb0="200001FF"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7998D">
    <w:pPr>
      <w:pStyle w:val="6"/>
      <w:spacing w:before="120" w:after="120"/>
      <w:jc w:val="center"/>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lang w:val="zh-CN"/>
      </w:rPr>
      <w:t>-</w:t>
    </w:r>
    <w:r>
      <w:rPr>
        <w:sz w:val="28"/>
        <w:szCs w:val="28"/>
      </w:rPr>
      <w:t xml:space="preserve"> 8 -</w:t>
    </w:r>
    <w:r>
      <w:rPr>
        <w:rFonts w:hint="eastAsia"/>
        <w:sz w:val="28"/>
        <w:szCs w:val="28"/>
      </w:rPr>
      <w:fldChar w:fldCharType="end"/>
    </w:r>
  </w:p>
  <w:p w14:paraId="0F4A911D">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622EE">
    <w:pPr>
      <w:pStyle w:val="6"/>
      <w:spacing w:before="120" w:after="120"/>
      <w:jc w:val="center"/>
    </w:pPr>
    <w:r>
      <w:fldChar w:fldCharType="begin"/>
    </w:r>
    <w:r>
      <w:instrText xml:space="preserve"> PAGE   \* MERGEFORMAT </w:instrText>
    </w:r>
    <w:r>
      <w:fldChar w:fldCharType="separate"/>
    </w:r>
    <w:r>
      <w:rPr>
        <w:lang w:val="zh-CN"/>
      </w:rPr>
      <w:t>1</w:t>
    </w:r>
    <w:r>
      <w:fldChar w:fldCharType="end"/>
    </w:r>
  </w:p>
  <w:p w14:paraId="37A6BC82">
    <w:pPr>
      <w:pStyle w:val="6"/>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BD719">
    <w:pPr>
      <w:pStyle w:val="16"/>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20E8A">
    <w:pPr>
      <w:pStyle w:val="17"/>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7DA42">
    <w:pPr>
      <w:pStyle w:val="16"/>
    </w:pPr>
    <w:r>
      <w:fldChar w:fldCharType="begin"/>
    </w:r>
    <w:r>
      <w:instrText xml:space="preserve">PAGE   \* MERGEFORMAT</w:instrText>
    </w:r>
    <w:r>
      <w:fldChar w:fldCharType="separate"/>
    </w:r>
    <w:r>
      <w:rPr>
        <w:lang w:val="zh-CN"/>
      </w:rPr>
      <w:t>6</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58338">
    <w:pPr>
      <w:pStyle w:val="17"/>
    </w:pPr>
    <w:r>
      <w:fldChar w:fldCharType="begin"/>
    </w:r>
    <w:r>
      <w:instrText xml:space="preserve"> PAGE   \* MERGEFORMAT \* MERGEFORMAT </w:instrText>
    </w:r>
    <w:r>
      <w:fldChar w:fldCharType="separate"/>
    </w:r>
    <w:r>
      <w:t>III</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ADCD3">
    <w:pPr>
      <w:pStyle w:val="7"/>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543E8">
    <w:pPr>
      <w:pStyle w:val="7"/>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65793">
    <w:pPr>
      <w:pStyle w:val="14"/>
      <w:ind w:right="210"/>
      <w:rPr>
        <w:rFonts w:hint="eastAsia"/>
      </w:rPr>
    </w:pPr>
    <w:r>
      <w:rPr>
        <w:rFonts w:hint="eastAsia"/>
      </w:rPr>
      <w:t>DB</w:t>
    </w:r>
    <w:r>
      <w:rPr>
        <w:rFonts w:hint="eastAsia" w:hAnsi="黑体"/>
      </w:rPr>
      <w:t>﹒</w:t>
    </w:r>
    <w:r>
      <w:rPr>
        <w:rFonts w:hint="eastAsia"/>
      </w:rPr>
      <w:t>34/T</w:t>
    </w:r>
    <w:r>
      <w:rPr>
        <w:rFonts w:hint="eastAsia" w:hAnsi="黑体"/>
      </w:rPr>
      <w:t>﹒</w:t>
    </w:r>
    <w:r>
      <w:rPr>
        <w:rFonts w:hint="eastAsia"/>
      </w:rPr>
      <w:t>XXXX-XXXX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E7AA5">
    <w:pPr>
      <w:pStyle w:val="15"/>
      <w:rPr>
        <w:rFonts w:hint="eastAsia"/>
      </w:rPr>
    </w:pPr>
    <w:r>
      <w:fldChar w:fldCharType="begin"/>
    </w:r>
    <w:r>
      <w:instrText xml:space="preserve"> STYLEREF  标准文件_文件编号 \* MERGEFORMAT </w:instrText>
    </w:r>
    <w:r>
      <w:fldChar w:fldCharType="separate"/>
    </w:r>
    <w:r>
      <w:rPr>
        <w:b/>
      </w:rPr>
      <w:t>错误！未定义样式。</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6AD4BD">
    <w:pPr>
      <w:pStyle w:val="14"/>
      <w:ind w:right="210"/>
      <w:rPr>
        <w:rFonts w:hint="eastAsia"/>
      </w:rPr>
    </w:pPr>
    <w:r>
      <w:rPr>
        <w:rFonts w:hint="eastAsia"/>
      </w:rPr>
      <w:t>DB</w:t>
    </w:r>
    <w:r>
      <w:rPr>
        <w:rFonts w:hint="eastAsia" w:hAnsi="黑体"/>
      </w:rPr>
      <w:t>﹒</w:t>
    </w:r>
    <w:r>
      <w:rPr>
        <w:rFonts w:hint="eastAsia"/>
      </w:rPr>
      <w:t>34/T</w:t>
    </w:r>
    <w:r>
      <w:rPr>
        <w:rFonts w:hint="eastAsia" w:hAnsi="黑体"/>
      </w:rPr>
      <w:t>﹒</w:t>
    </w:r>
    <w:r>
      <w:rPr>
        <w:rFonts w:hint="eastAsia"/>
      </w:rPr>
      <w:t>XXXX-XXXX</w:t>
    </w:r>
  </w:p>
  <w:p w14:paraId="7D703FC8">
    <w:pPr>
      <w:pStyle w:val="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51443">
    <w:pPr>
      <w:pStyle w:val="15"/>
      <w:rPr>
        <w:rFonts w:hint="eastAsia"/>
      </w:rPr>
    </w:pPr>
    <w:r>
      <w:fldChar w:fldCharType="begin"/>
    </w:r>
    <w:r>
      <w:instrText xml:space="preserve"> STYLEREF  标准文件_文件编号 \* MERGEFORMAT </w:instrText>
    </w:r>
    <w:r>
      <w:fldChar w:fldCharType="separate"/>
    </w:r>
    <w:r>
      <w:rPr>
        <w:b/>
      </w:rPr>
      <w:t>错误！未定义样式。</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D3FEA"/>
    <w:multiLevelType w:val="multilevel"/>
    <w:tmpl w:val="07ED3FEA"/>
    <w:lvl w:ilvl="0" w:tentative="0">
      <w:start w:val="1"/>
      <w:numFmt w:val="none"/>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hAnsi="Calibri" w:eastAsia="黑体"/>
        <w:b w:val="0"/>
        <w:i w:val="0"/>
        <w:sz w:val="21"/>
      </w:rPr>
    </w:lvl>
    <w:lvl w:ilvl="2" w:tentative="0">
      <w:start w:val="1"/>
      <w:numFmt w:val="decimal"/>
      <w:suff w:val="nothing"/>
      <w:lvlText w:val="%10.%2.%3 "/>
      <w:lvlJc w:val="left"/>
      <w:pPr>
        <w:ind w:left="0" w:firstLine="0"/>
      </w:pPr>
      <w:rPr>
        <w:rFonts w:hint="eastAsia" w:ascii="黑体" w:hAnsi="Calibri" w:eastAsia="黑体"/>
        <w:b w:val="0"/>
        <w:i w:val="0"/>
        <w:sz w:val="21"/>
      </w:rPr>
    </w:lvl>
    <w:lvl w:ilvl="3" w:tentative="0">
      <w:start w:val="1"/>
      <w:numFmt w:val="decimal"/>
      <w:suff w:val="nothing"/>
      <w:lvlText w:val="%10.%2.%3.%4 "/>
      <w:lvlJc w:val="left"/>
      <w:pPr>
        <w:ind w:left="0" w:firstLine="0"/>
      </w:pPr>
      <w:rPr>
        <w:rFonts w:hint="eastAsia" w:ascii="黑体" w:hAnsi="Calibri" w:eastAsia="黑体"/>
        <w:b w:val="0"/>
        <w:i w:val="0"/>
        <w:sz w:val="21"/>
      </w:rPr>
    </w:lvl>
    <w:lvl w:ilvl="4" w:tentative="0">
      <w:start w:val="1"/>
      <w:numFmt w:val="decimal"/>
      <w:suff w:val="nothing"/>
      <w:lvlText w:val="%10.%2.%3.%4.%5 "/>
      <w:lvlJc w:val="left"/>
      <w:pPr>
        <w:ind w:left="0" w:firstLine="0"/>
      </w:pPr>
      <w:rPr>
        <w:rFonts w:hint="eastAsia" w:ascii="黑体" w:hAnsi="Calibri" w:eastAsia="黑体"/>
        <w:b w:val="0"/>
        <w:i w:val="0"/>
        <w:sz w:val="21"/>
      </w:rPr>
    </w:lvl>
    <w:lvl w:ilvl="5" w:tentative="0">
      <w:start w:val="1"/>
      <w:numFmt w:val="decimal"/>
      <w:suff w:val="nothing"/>
      <w:lvlText w:val="%10.%2.%3.%4.%5.%6 "/>
      <w:lvlJc w:val="left"/>
      <w:pPr>
        <w:ind w:left="0" w:firstLine="0"/>
      </w:pPr>
      <w:rPr>
        <w:rFonts w:hint="eastAsia" w:ascii="黑体" w:hAnsi="Calibri"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4042E4"/>
    <w:rsid w:val="000150B3"/>
    <w:rsid w:val="0001525A"/>
    <w:rsid w:val="00016F0D"/>
    <w:rsid w:val="00022F2E"/>
    <w:rsid w:val="00022F9E"/>
    <w:rsid w:val="00032438"/>
    <w:rsid w:val="000356C8"/>
    <w:rsid w:val="00042575"/>
    <w:rsid w:val="000479F4"/>
    <w:rsid w:val="0005144F"/>
    <w:rsid w:val="0005730D"/>
    <w:rsid w:val="00074A1C"/>
    <w:rsid w:val="00076151"/>
    <w:rsid w:val="00076FBA"/>
    <w:rsid w:val="00084A4E"/>
    <w:rsid w:val="00091EAF"/>
    <w:rsid w:val="000A122A"/>
    <w:rsid w:val="000A1FB6"/>
    <w:rsid w:val="000A5913"/>
    <w:rsid w:val="000A67C2"/>
    <w:rsid w:val="000B3E73"/>
    <w:rsid w:val="000C2647"/>
    <w:rsid w:val="000C2E9E"/>
    <w:rsid w:val="000D0D21"/>
    <w:rsid w:val="000D20ED"/>
    <w:rsid w:val="000D43B8"/>
    <w:rsid w:val="000E69E2"/>
    <w:rsid w:val="000F3CE2"/>
    <w:rsid w:val="000F5F9C"/>
    <w:rsid w:val="0010024D"/>
    <w:rsid w:val="00101290"/>
    <w:rsid w:val="001028D3"/>
    <w:rsid w:val="001263BE"/>
    <w:rsid w:val="00132622"/>
    <w:rsid w:val="00134DD6"/>
    <w:rsid w:val="00173C15"/>
    <w:rsid w:val="001876A8"/>
    <w:rsid w:val="00194175"/>
    <w:rsid w:val="00197AA3"/>
    <w:rsid w:val="001A0D76"/>
    <w:rsid w:val="001A5102"/>
    <w:rsid w:val="001B3FA4"/>
    <w:rsid w:val="001C0A9D"/>
    <w:rsid w:val="001C1114"/>
    <w:rsid w:val="001C2840"/>
    <w:rsid w:val="001C7E7F"/>
    <w:rsid w:val="001D0679"/>
    <w:rsid w:val="001D6803"/>
    <w:rsid w:val="001D7928"/>
    <w:rsid w:val="001E4974"/>
    <w:rsid w:val="001F08D5"/>
    <w:rsid w:val="001F66DC"/>
    <w:rsid w:val="00205587"/>
    <w:rsid w:val="0021152F"/>
    <w:rsid w:val="002155F8"/>
    <w:rsid w:val="002158CB"/>
    <w:rsid w:val="002201DC"/>
    <w:rsid w:val="00220E3F"/>
    <w:rsid w:val="00223D3F"/>
    <w:rsid w:val="00231AC0"/>
    <w:rsid w:val="00233BF3"/>
    <w:rsid w:val="00246E3B"/>
    <w:rsid w:val="00251158"/>
    <w:rsid w:val="002525D3"/>
    <w:rsid w:val="00254584"/>
    <w:rsid w:val="00277CA1"/>
    <w:rsid w:val="00281C7B"/>
    <w:rsid w:val="002871CC"/>
    <w:rsid w:val="002909CB"/>
    <w:rsid w:val="00295706"/>
    <w:rsid w:val="002A0E53"/>
    <w:rsid w:val="002A1A96"/>
    <w:rsid w:val="002C0944"/>
    <w:rsid w:val="002D4A86"/>
    <w:rsid w:val="002D5BAB"/>
    <w:rsid w:val="002D79BB"/>
    <w:rsid w:val="002E296A"/>
    <w:rsid w:val="002F0EE4"/>
    <w:rsid w:val="002F4794"/>
    <w:rsid w:val="002F5925"/>
    <w:rsid w:val="002F5ADA"/>
    <w:rsid w:val="002F5AE5"/>
    <w:rsid w:val="00301D64"/>
    <w:rsid w:val="00307EEE"/>
    <w:rsid w:val="00320F88"/>
    <w:rsid w:val="00323823"/>
    <w:rsid w:val="00335889"/>
    <w:rsid w:val="00335DE7"/>
    <w:rsid w:val="00346C8A"/>
    <w:rsid w:val="003578EA"/>
    <w:rsid w:val="0036570A"/>
    <w:rsid w:val="00382A9A"/>
    <w:rsid w:val="003850B2"/>
    <w:rsid w:val="0038584F"/>
    <w:rsid w:val="00386615"/>
    <w:rsid w:val="003A12BE"/>
    <w:rsid w:val="003A7AD9"/>
    <w:rsid w:val="003B2180"/>
    <w:rsid w:val="003B6F0E"/>
    <w:rsid w:val="003C7172"/>
    <w:rsid w:val="003C7CDD"/>
    <w:rsid w:val="003D6D1B"/>
    <w:rsid w:val="003E781A"/>
    <w:rsid w:val="003F7CB9"/>
    <w:rsid w:val="00406F5D"/>
    <w:rsid w:val="004077B4"/>
    <w:rsid w:val="004116D7"/>
    <w:rsid w:val="004118E9"/>
    <w:rsid w:val="0041247E"/>
    <w:rsid w:val="00415416"/>
    <w:rsid w:val="004232F5"/>
    <w:rsid w:val="00424B6F"/>
    <w:rsid w:val="0043144D"/>
    <w:rsid w:val="00432ADD"/>
    <w:rsid w:val="00434125"/>
    <w:rsid w:val="004356FB"/>
    <w:rsid w:val="00451E4A"/>
    <w:rsid w:val="00456539"/>
    <w:rsid w:val="00462B7C"/>
    <w:rsid w:val="004741FA"/>
    <w:rsid w:val="00474436"/>
    <w:rsid w:val="004775C4"/>
    <w:rsid w:val="004818F3"/>
    <w:rsid w:val="00484060"/>
    <w:rsid w:val="00487059"/>
    <w:rsid w:val="0049142D"/>
    <w:rsid w:val="004A6E81"/>
    <w:rsid w:val="004C2D97"/>
    <w:rsid w:val="004C4DFA"/>
    <w:rsid w:val="004D1695"/>
    <w:rsid w:val="004D68D4"/>
    <w:rsid w:val="004F107F"/>
    <w:rsid w:val="004F1E9B"/>
    <w:rsid w:val="004F2CBE"/>
    <w:rsid w:val="004F61DE"/>
    <w:rsid w:val="0050437E"/>
    <w:rsid w:val="00512B39"/>
    <w:rsid w:val="00513849"/>
    <w:rsid w:val="00527701"/>
    <w:rsid w:val="00530483"/>
    <w:rsid w:val="005331E9"/>
    <w:rsid w:val="005358E1"/>
    <w:rsid w:val="00541072"/>
    <w:rsid w:val="00556D57"/>
    <w:rsid w:val="00563F53"/>
    <w:rsid w:val="005708BF"/>
    <w:rsid w:val="00571284"/>
    <w:rsid w:val="00572BAE"/>
    <w:rsid w:val="00574181"/>
    <w:rsid w:val="00581D89"/>
    <w:rsid w:val="005825BE"/>
    <w:rsid w:val="00590624"/>
    <w:rsid w:val="00591988"/>
    <w:rsid w:val="00591F9C"/>
    <w:rsid w:val="00597F48"/>
    <w:rsid w:val="005A3118"/>
    <w:rsid w:val="005A5AB5"/>
    <w:rsid w:val="005B7B44"/>
    <w:rsid w:val="005D64D7"/>
    <w:rsid w:val="005D6E19"/>
    <w:rsid w:val="005E4915"/>
    <w:rsid w:val="005E7C6C"/>
    <w:rsid w:val="005F79ED"/>
    <w:rsid w:val="006059A5"/>
    <w:rsid w:val="00626EA6"/>
    <w:rsid w:val="00630835"/>
    <w:rsid w:val="0063440B"/>
    <w:rsid w:val="00645B06"/>
    <w:rsid w:val="00661696"/>
    <w:rsid w:val="00665D6C"/>
    <w:rsid w:val="00680FB3"/>
    <w:rsid w:val="00684519"/>
    <w:rsid w:val="006928DD"/>
    <w:rsid w:val="00692CF8"/>
    <w:rsid w:val="006950E6"/>
    <w:rsid w:val="006A0EF6"/>
    <w:rsid w:val="006B3EE0"/>
    <w:rsid w:val="006C40DE"/>
    <w:rsid w:val="006C43EB"/>
    <w:rsid w:val="006D34E2"/>
    <w:rsid w:val="006D4A73"/>
    <w:rsid w:val="006E1C2F"/>
    <w:rsid w:val="006E1FCF"/>
    <w:rsid w:val="006F1495"/>
    <w:rsid w:val="006F1CCF"/>
    <w:rsid w:val="006F5B4C"/>
    <w:rsid w:val="006F74AE"/>
    <w:rsid w:val="0070220E"/>
    <w:rsid w:val="00712E64"/>
    <w:rsid w:val="0071428A"/>
    <w:rsid w:val="007143E2"/>
    <w:rsid w:val="0072250A"/>
    <w:rsid w:val="00730F62"/>
    <w:rsid w:val="00731333"/>
    <w:rsid w:val="00741E1E"/>
    <w:rsid w:val="007460FB"/>
    <w:rsid w:val="007568DD"/>
    <w:rsid w:val="00761FFA"/>
    <w:rsid w:val="0076581E"/>
    <w:rsid w:val="00766BB9"/>
    <w:rsid w:val="00767C63"/>
    <w:rsid w:val="007830FE"/>
    <w:rsid w:val="0079541D"/>
    <w:rsid w:val="00797714"/>
    <w:rsid w:val="007A2842"/>
    <w:rsid w:val="007A7F31"/>
    <w:rsid w:val="007D0C91"/>
    <w:rsid w:val="007D660F"/>
    <w:rsid w:val="007E273C"/>
    <w:rsid w:val="007E6F15"/>
    <w:rsid w:val="007E7773"/>
    <w:rsid w:val="007F5E58"/>
    <w:rsid w:val="008127A7"/>
    <w:rsid w:val="00820A2A"/>
    <w:rsid w:val="00820D64"/>
    <w:rsid w:val="0082324F"/>
    <w:rsid w:val="008505FB"/>
    <w:rsid w:val="00853919"/>
    <w:rsid w:val="00854000"/>
    <w:rsid w:val="00855919"/>
    <w:rsid w:val="0085642B"/>
    <w:rsid w:val="00857502"/>
    <w:rsid w:val="00862FD4"/>
    <w:rsid w:val="00865F00"/>
    <w:rsid w:val="00866EE3"/>
    <w:rsid w:val="00872170"/>
    <w:rsid w:val="0087507C"/>
    <w:rsid w:val="00876D00"/>
    <w:rsid w:val="00893CD0"/>
    <w:rsid w:val="008940ED"/>
    <w:rsid w:val="008B1872"/>
    <w:rsid w:val="008B4F5B"/>
    <w:rsid w:val="008B5820"/>
    <w:rsid w:val="008C065F"/>
    <w:rsid w:val="008C3420"/>
    <w:rsid w:val="008C44A1"/>
    <w:rsid w:val="008E14FF"/>
    <w:rsid w:val="008E195D"/>
    <w:rsid w:val="008E46B2"/>
    <w:rsid w:val="008E6578"/>
    <w:rsid w:val="008E68D4"/>
    <w:rsid w:val="008E7B9A"/>
    <w:rsid w:val="009048C2"/>
    <w:rsid w:val="00906372"/>
    <w:rsid w:val="00920F57"/>
    <w:rsid w:val="00926CC6"/>
    <w:rsid w:val="00932789"/>
    <w:rsid w:val="009426AC"/>
    <w:rsid w:val="00952077"/>
    <w:rsid w:val="0095487F"/>
    <w:rsid w:val="00975ED8"/>
    <w:rsid w:val="00982D73"/>
    <w:rsid w:val="00984C3D"/>
    <w:rsid w:val="009865B9"/>
    <w:rsid w:val="009918D6"/>
    <w:rsid w:val="00992B38"/>
    <w:rsid w:val="009934B1"/>
    <w:rsid w:val="00995511"/>
    <w:rsid w:val="009A46F1"/>
    <w:rsid w:val="009B25CC"/>
    <w:rsid w:val="009B270D"/>
    <w:rsid w:val="009B4368"/>
    <w:rsid w:val="009C0A9E"/>
    <w:rsid w:val="009E33B5"/>
    <w:rsid w:val="009E4E30"/>
    <w:rsid w:val="009F0BFB"/>
    <w:rsid w:val="00A03AF7"/>
    <w:rsid w:val="00A12345"/>
    <w:rsid w:val="00A15894"/>
    <w:rsid w:val="00A342BE"/>
    <w:rsid w:val="00A34E66"/>
    <w:rsid w:val="00A36FF0"/>
    <w:rsid w:val="00A42BC6"/>
    <w:rsid w:val="00A47470"/>
    <w:rsid w:val="00A477A0"/>
    <w:rsid w:val="00A51320"/>
    <w:rsid w:val="00AB3D7D"/>
    <w:rsid w:val="00AC294C"/>
    <w:rsid w:val="00AC3FF3"/>
    <w:rsid w:val="00AD04E1"/>
    <w:rsid w:val="00AF41FA"/>
    <w:rsid w:val="00B177AC"/>
    <w:rsid w:val="00B35FBD"/>
    <w:rsid w:val="00B3686C"/>
    <w:rsid w:val="00B7304C"/>
    <w:rsid w:val="00B772FE"/>
    <w:rsid w:val="00B83BBA"/>
    <w:rsid w:val="00B917AF"/>
    <w:rsid w:val="00BA7B6E"/>
    <w:rsid w:val="00BB2954"/>
    <w:rsid w:val="00BB53C9"/>
    <w:rsid w:val="00BC606D"/>
    <w:rsid w:val="00BD2971"/>
    <w:rsid w:val="00BE7FD5"/>
    <w:rsid w:val="00BF4374"/>
    <w:rsid w:val="00C02A44"/>
    <w:rsid w:val="00C0323B"/>
    <w:rsid w:val="00C11973"/>
    <w:rsid w:val="00C220C9"/>
    <w:rsid w:val="00C27405"/>
    <w:rsid w:val="00C340BB"/>
    <w:rsid w:val="00C40B1A"/>
    <w:rsid w:val="00C43538"/>
    <w:rsid w:val="00C43F79"/>
    <w:rsid w:val="00C66ED9"/>
    <w:rsid w:val="00C67430"/>
    <w:rsid w:val="00C70FFC"/>
    <w:rsid w:val="00C71075"/>
    <w:rsid w:val="00C74C7E"/>
    <w:rsid w:val="00C75F2A"/>
    <w:rsid w:val="00C76471"/>
    <w:rsid w:val="00C92F17"/>
    <w:rsid w:val="00C965CD"/>
    <w:rsid w:val="00C97419"/>
    <w:rsid w:val="00C97725"/>
    <w:rsid w:val="00CA320A"/>
    <w:rsid w:val="00CA5160"/>
    <w:rsid w:val="00CB5018"/>
    <w:rsid w:val="00CC213C"/>
    <w:rsid w:val="00CC5BA2"/>
    <w:rsid w:val="00CE1250"/>
    <w:rsid w:val="00CE4C3B"/>
    <w:rsid w:val="00CE5F18"/>
    <w:rsid w:val="00CF1813"/>
    <w:rsid w:val="00CF5FC4"/>
    <w:rsid w:val="00D147B3"/>
    <w:rsid w:val="00D20A45"/>
    <w:rsid w:val="00D213B8"/>
    <w:rsid w:val="00D24087"/>
    <w:rsid w:val="00D25715"/>
    <w:rsid w:val="00D277A6"/>
    <w:rsid w:val="00D305BF"/>
    <w:rsid w:val="00D30BDC"/>
    <w:rsid w:val="00D36B12"/>
    <w:rsid w:val="00D374DC"/>
    <w:rsid w:val="00D41294"/>
    <w:rsid w:val="00D43BAC"/>
    <w:rsid w:val="00D452D4"/>
    <w:rsid w:val="00D54CBF"/>
    <w:rsid w:val="00D673CE"/>
    <w:rsid w:val="00D77720"/>
    <w:rsid w:val="00D85FBB"/>
    <w:rsid w:val="00D9007C"/>
    <w:rsid w:val="00D900E3"/>
    <w:rsid w:val="00D9384C"/>
    <w:rsid w:val="00D93D00"/>
    <w:rsid w:val="00D97742"/>
    <w:rsid w:val="00DA025B"/>
    <w:rsid w:val="00DA0CA9"/>
    <w:rsid w:val="00DA48E1"/>
    <w:rsid w:val="00DA4A24"/>
    <w:rsid w:val="00DA740E"/>
    <w:rsid w:val="00DB5220"/>
    <w:rsid w:val="00DB63A6"/>
    <w:rsid w:val="00DC6D84"/>
    <w:rsid w:val="00DD327E"/>
    <w:rsid w:val="00DD3C01"/>
    <w:rsid w:val="00DE1B39"/>
    <w:rsid w:val="00DF038C"/>
    <w:rsid w:val="00DF40F7"/>
    <w:rsid w:val="00E015AD"/>
    <w:rsid w:val="00E01791"/>
    <w:rsid w:val="00E0398B"/>
    <w:rsid w:val="00E07A50"/>
    <w:rsid w:val="00E1707B"/>
    <w:rsid w:val="00E2218B"/>
    <w:rsid w:val="00E24356"/>
    <w:rsid w:val="00E31ECE"/>
    <w:rsid w:val="00E34AA7"/>
    <w:rsid w:val="00E40F13"/>
    <w:rsid w:val="00E47AB0"/>
    <w:rsid w:val="00E5527C"/>
    <w:rsid w:val="00E555FA"/>
    <w:rsid w:val="00E702BF"/>
    <w:rsid w:val="00E721B0"/>
    <w:rsid w:val="00E75DBB"/>
    <w:rsid w:val="00E8789D"/>
    <w:rsid w:val="00E906BF"/>
    <w:rsid w:val="00E97D96"/>
    <w:rsid w:val="00EA0FB1"/>
    <w:rsid w:val="00EA2264"/>
    <w:rsid w:val="00EA33E6"/>
    <w:rsid w:val="00EB09C5"/>
    <w:rsid w:val="00EC2580"/>
    <w:rsid w:val="00EC5CFA"/>
    <w:rsid w:val="00EC603B"/>
    <w:rsid w:val="00EF0C7C"/>
    <w:rsid w:val="00EF6A8C"/>
    <w:rsid w:val="00F00644"/>
    <w:rsid w:val="00F0467A"/>
    <w:rsid w:val="00F1700D"/>
    <w:rsid w:val="00F17774"/>
    <w:rsid w:val="00F2081D"/>
    <w:rsid w:val="00F36512"/>
    <w:rsid w:val="00F3651A"/>
    <w:rsid w:val="00F422B7"/>
    <w:rsid w:val="00F553BB"/>
    <w:rsid w:val="00F6791A"/>
    <w:rsid w:val="00F74BBA"/>
    <w:rsid w:val="00F75D8C"/>
    <w:rsid w:val="00F803A7"/>
    <w:rsid w:val="00F868AD"/>
    <w:rsid w:val="00F9004C"/>
    <w:rsid w:val="00F96FEF"/>
    <w:rsid w:val="00FA135C"/>
    <w:rsid w:val="00FA1949"/>
    <w:rsid w:val="00FD2BED"/>
    <w:rsid w:val="00FE79BF"/>
    <w:rsid w:val="00FF5099"/>
    <w:rsid w:val="00FF6E8C"/>
    <w:rsid w:val="012F2443"/>
    <w:rsid w:val="01B3097E"/>
    <w:rsid w:val="02DA1F3A"/>
    <w:rsid w:val="05AC4062"/>
    <w:rsid w:val="06652463"/>
    <w:rsid w:val="06DD0E15"/>
    <w:rsid w:val="081E0B1B"/>
    <w:rsid w:val="08A234FA"/>
    <w:rsid w:val="094E71DE"/>
    <w:rsid w:val="0BFC1173"/>
    <w:rsid w:val="0C0957F7"/>
    <w:rsid w:val="0C7D22B4"/>
    <w:rsid w:val="0C9B4A10"/>
    <w:rsid w:val="0CAF4438"/>
    <w:rsid w:val="0D335069"/>
    <w:rsid w:val="0D4940E8"/>
    <w:rsid w:val="0DBB2C29"/>
    <w:rsid w:val="0EC96D4B"/>
    <w:rsid w:val="0EDD528C"/>
    <w:rsid w:val="10AC760C"/>
    <w:rsid w:val="11716160"/>
    <w:rsid w:val="12E97396"/>
    <w:rsid w:val="13BB36C2"/>
    <w:rsid w:val="14BA7E1E"/>
    <w:rsid w:val="17606A5A"/>
    <w:rsid w:val="18820C52"/>
    <w:rsid w:val="19BB266E"/>
    <w:rsid w:val="19D454DE"/>
    <w:rsid w:val="19E44312"/>
    <w:rsid w:val="1A2F6BB8"/>
    <w:rsid w:val="1A606D71"/>
    <w:rsid w:val="1C821221"/>
    <w:rsid w:val="1CB03FE0"/>
    <w:rsid w:val="1E6432D4"/>
    <w:rsid w:val="1E831280"/>
    <w:rsid w:val="1FF57F5C"/>
    <w:rsid w:val="20686980"/>
    <w:rsid w:val="21025026"/>
    <w:rsid w:val="211D776A"/>
    <w:rsid w:val="217E28FF"/>
    <w:rsid w:val="22A2261D"/>
    <w:rsid w:val="22E22A19"/>
    <w:rsid w:val="232C259F"/>
    <w:rsid w:val="239006C7"/>
    <w:rsid w:val="24A87C93"/>
    <w:rsid w:val="263F63D5"/>
    <w:rsid w:val="266E00CA"/>
    <w:rsid w:val="269B556C"/>
    <w:rsid w:val="27640C62"/>
    <w:rsid w:val="27E64D5A"/>
    <w:rsid w:val="29C15A7E"/>
    <w:rsid w:val="2A53244F"/>
    <w:rsid w:val="2A8940C2"/>
    <w:rsid w:val="2B465B0F"/>
    <w:rsid w:val="2BD575BF"/>
    <w:rsid w:val="2C510E4D"/>
    <w:rsid w:val="2E13617D"/>
    <w:rsid w:val="2EBD433B"/>
    <w:rsid w:val="2F1135A2"/>
    <w:rsid w:val="2FE7539E"/>
    <w:rsid w:val="30201025"/>
    <w:rsid w:val="30D065A7"/>
    <w:rsid w:val="336E20A7"/>
    <w:rsid w:val="342F1837"/>
    <w:rsid w:val="351D3D85"/>
    <w:rsid w:val="3619454C"/>
    <w:rsid w:val="37CD3F9D"/>
    <w:rsid w:val="381C20D2"/>
    <w:rsid w:val="39551D3F"/>
    <w:rsid w:val="39FD5F33"/>
    <w:rsid w:val="3A6B7341"/>
    <w:rsid w:val="3A704957"/>
    <w:rsid w:val="3A946897"/>
    <w:rsid w:val="3B506C62"/>
    <w:rsid w:val="3F5465F5"/>
    <w:rsid w:val="3FCE45FA"/>
    <w:rsid w:val="40183AC7"/>
    <w:rsid w:val="404B3E24"/>
    <w:rsid w:val="42206C63"/>
    <w:rsid w:val="42D33CD5"/>
    <w:rsid w:val="43B6162D"/>
    <w:rsid w:val="43B8400B"/>
    <w:rsid w:val="444042E4"/>
    <w:rsid w:val="448B2AB9"/>
    <w:rsid w:val="46601D24"/>
    <w:rsid w:val="46E6047B"/>
    <w:rsid w:val="49311755"/>
    <w:rsid w:val="4B944949"/>
    <w:rsid w:val="4CEE1E37"/>
    <w:rsid w:val="4D8E53C8"/>
    <w:rsid w:val="4DF0398D"/>
    <w:rsid w:val="4E1F4272"/>
    <w:rsid w:val="4EAF55F6"/>
    <w:rsid w:val="4F561F16"/>
    <w:rsid w:val="50DB6B76"/>
    <w:rsid w:val="51656440"/>
    <w:rsid w:val="51960CEF"/>
    <w:rsid w:val="54617393"/>
    <w:rsid w:val="54D9161F"/>
    <w:rsid w:val="55C67DF5"/>
    <w:rsid w:val="568A7075"/>
    <w:rsid w:val="571B5F1F"/>
    <w:rsid w:val="572C1045"/>
    <w:rsid w:val="57FA1FD8"/>
    <w:rsid w:val="589E6E07"/>
    <w:rsid w:val="59D10B16"/>
    <w:rsid w:val="5A582FE6"/>
    <w:rsid w:val="5A7140A7"/>
    <w:rsid w:val="5B1419A0"/>
    <w:rsid w:val="5B301722"/>
    <w:rsid w:val="5BAE1FF5"/>
    <w:rsid w:val="5D086F45"/>
    <w:rsid w:val="5D131446"/>
    <w:rsid w:val="5E4775F9"/>
    <w:rsid w:val="5EAF519E"/>
    <w:rsid w:val="5F3B6A32"/>
    <w:rsid w:val="5FB40CBE"/>
    <w:rsid w:val="5FDC6467"/>
    <w:rsid w:val="5FFE018B"/>
    <w:rsid w:val="61700C15"/>
    <w:rsid w:val="645B745D"/>
    <w:rsid w:val="64C80D68"/>
    <w:rsid w:val="65801643"/>
    <w:rsid w:val="6582360D"/>
    <w:rsid w:val="65C53507"/>
    <w:rsid w:val="65F53DDF"/>
    <w:rsid w:val="6632293D"/>
    <w:rsid w:val="66882EA5"/>
    <w:rsid w:val="674E19F8"/>
    <w:rsid w:val="682269E1"/>
    <w:rsid w:val="68490412"/>
    <w:rsid w:val="69A200AE"/>
    <w:rsid w:val="6BD46244"/>
    <w:rsid w:val="6D7C6B93"/>
    <w:rsid w:val="6E46167B"/>
    <w:rsid w:val="6FBD3BBF"/>
    <w:rsid w:val="6FE70C3C"/>
    <w:rsid w:val="70B07280"/>
    <w:rsid w:val="7130216F"/>
    <w:rsid w:val="7150636D"/>
    <w:rsid w:val="725B146D"/>
    <w:rsid w:val="75355FA6"/>
    <w:rsid w:val="77894387"/>
    <w:rsid w:val="77C43611"/>
    <w:rsid w:val="77D575CC"/>
    <w:rsid w:val="7AE446EC"/>
    <w:rsid w:val="7C5A5AC4"/>
    <w:rsid w:val="7E786F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仿宋_GB2312" w:eastAsia="仿宋_GB2312" w:hAnsiTheme="minorHAnsi" w:cstheme="minorBidi"/>
      <w:kern w:val="2"/>
      <w:sz w:val="28"/>
      <w:szCs w:val="22"/>
      <w:lang w:val="en-US" w:eastAsia="zh-CN" w:bidi="ar-SA"/>
    </w:rPr>
  </w:style>
  <w:style w:type="paragraph" w:styleId="2">
    <w:name w:val="heading 2"/>
    <w:basedOn w:val="1"/>
    <w:next w:val="1"/>
    <w:link w:val="19"/>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Date"/>
    <w:basedOn w:val="1"/>
    <w:next w:val="1"/>
    <w:link w:val="20"/>
    <w:uiPriority w:val="0"/>
    <w:pPr>
      <w:ind w:left="100" w:leftChars="2500"/>
    </w:pPr>
  </w:style>
  <w:style w:type="paragraph" w:styleId="5">
    <w:name w:val="Balloon Text"/>
    <w:basedOn w:val="1"/>
    <w:link w:val="18"/>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spacing w:after="100" w:line="259" w:lineRule="auto"/>
      <w:jc w:val="left"/>
    </w:pPr>
    <w:rPr>
      <w:rFonts w:cs="Times New Roman" w:asciiTheme="minorHAnsi" w:eastAsiaTheme="minorEastAsia"/>
      <w:kern w:val="0"/>
      <w:sz w:val="22"/>
    </w:rPr>
  </w:style>
  <w:style w:type="paragraph" w:styleId="9">
    <w:name w:val="toc 2"/>
    <w:basedOn w:val="1"/>
    <w:next w:val="1"/>
    <w:autoRedefine/>
    <w:uiPriority w:val="39"/>
    <w:pPr>
      <w:ind w:left="420" w:leftChars="200"/>
    </w:pPr>
  </w:style>
  <w:style w:type="character" w:styleId="12">
    <w:name w:val="Hyperlink"/>
    <w:basedOn w:val="11"/>
    <w:unhideWhenUsed/>
    <w:qFormat/>
    <w:uiPriority w:val="99"/>
    <w:rPr>
      <w:color w:val="0026E5" w:themeColor="hyperlink"/>
      <w:u w:val="single"/>
      <w14:textFill>
        <w14:solidFill>
          <w14:schemeClr w14:val="hlink"/>
        </w14:solidFill>
      </w14:textFill>
    </w:rPr>
  </w:style>
  <w:style w:type="paragraph" w:customStyle="1" w:styleId="13">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5">
    <w:name w:val="标准文件_页眉偶数页"/>
    <w:basedOn w:val="14"/>
    <w:next w:val="1"/>
    <w:qFormat/>
    <w:uiPriority w:val="0"/>
    <w:pPr>
      <w:jc w:val="left"/>
    </w:pPr>
  </w:style>
  <w:style w:type="paragraph" w:customStyle="1" w:styleId="1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17">
    <w:name w:val="标准文件_页脚偶数页"/>
    <w:qFormat/>
    <w:uiPriority w:val="0"/>
    <w:pPr>
      <w:ind w:left="198"/>
    </w:pPr>
    <w:rPr>
      <w:rFonts w:ascii="宋体" w:hAnsi="Times New Roman" w:eastAsia="宋体" w:cs="Times New Roman"/>
      <w:sz w:val="18"/>
      <w:lang w:val="en-US" w:eastAsia="zh-CN" w:bidi="ar-SA"/>
    </w:rPr>
  </w:style>
  <w:style w:type="character" w:customStyle="1" w:styleId="18">
    <w:name w:val="批注框文本 字符"/>
    <w:basedOn w:val="11"/>
    <w:link w:val="5"/>
    <w:uiPriority w:val="0"/>
    <w:rPr>
      <w:rFonts w:ascii="仿宋_GB2312" w:eastAsia="仿宋_GB2312"/>
      <w:kern w:val="2"/>
      <w:sz w:val="18"/>
      <w:szCs w:val="18"/>
    </w:rPr>
  </w:style>
  <w:style w:type="character" w:customStyle="1" w:styleId="19">
    <w:name w:val="标题 2 字符"/>
    <w:basedOn w:val="11"/>
    <w:link w:val="2"/>
    <w:semiHidden/>
    <w:uiPriority w:val="0"/>
    <w:rPr>
      <w:rFonts w:asciiTheme="majorHAnsi" w:hAnsiTheme="majorHAnsi" w:eastAsiaTheme="majorEastAsia" w:cstheme="majorBidi"/>
      <w:b/>
      <w:bCs/>
      <w:kern w:val="2"/>
      <w:sz w:val="32"/>
      <w:szCs w:val="32"/>
    </w:rPr>
  </w:style>
  <w:style w:type="character" w:customStyle="1" w:styleId="20">
    <w:name w:val="日期 字符"/>
    <w:basedOn w:val="11"/>
    <w:link w:val="4"/>
    <w:uiPriority w:val="0"/>
    <w:rPr>
      <w:rFonts w:ascii="仿宋_GB2312" w:eastAsia="仿宋_GB2312" w:hAnsiTheme="minorHAnsi" w:cstheme="minorBidi"/>
      <w:kern w:val="2"/>
      <w:sz w:val="28"/>
      <w:szCs w:val="22"/>
    </w:rPr>
  </w:style>
  <w:style w:type="paragraph" w:customStyle="1" w:styleId="21">
    <w:name w:val="Revision"/>
    <w:hidden/>
    <w:unhideWhenUsed/>
    <w:uiPriority w:val="99"/>
    <w:rPr>
      <w:rFonts w:ascii="仿宋_GB2312" w:eastAsia="仿宋_GB2312" w:hAnsiTheme="minorHAnsi" w:cstheme="minorBidi"/>
      <w:kern w:val="2"/>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4279</Words>
  <Characters>4900</Characters>
  <Lines>44</Lines>
  <Paragraphs>12</Paragraphs>
  <TotalTime>2755</TotalTime>
  <ScaleCrop>false</ScaleCrop>
  <LinksUpToDate>false</LinksUpToDate>
  <CharactersWithSpaces>5147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2025-07-25T07:33:00Z</dcterms:created>
  <dc:creator>Alex</dc:creator>
  <cp:lastModifiedBy>忐忑</cp:lastModifiedBy>
  <dcterms:modified xsi:type="dcterms:W3CDTF">2025-10-21T07:19:23Z</dcterms:modified>
  <cp:revision>311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B7C973B24C43414B8318FE54E9177D25_13</vt:lpwstr>
  </property>
  <property fmtid="{D5CDD505-2E9C-101B-9397-08002B2CF9AE}" pid="4" name="KSOTemplateDocerSaveRecord">
    <vt:lpwstr>eyJoZGlkIjoiMjE1MGZmOTRhZjllMGExZDlkZTMzYmYzNTljMTkwODUiLCJ1c2VySWQiOiI0MzYwMTU0NjQifQ==</vt:lpwstr>
  </property>
</Properties>
</file>