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rPr>
                <w:sz w:val="21"/>
                <w:szCs w:val="21"/>
              </w:rPr>
              <w:t xml:space="preserve"> </w:t>
            </w:r>
            <w:bookmarkStart w:id="3" w:name="c1"/>
            <w:r>
              <w:rPr>
                <w:sz w:val="96"/>
                <w:szCs w:val="20"/>
              </w:rPr>
              <w:fldChar w:fldCharType="begin">
                <w:ffData>
                  <w:name w:val="c1"/>
                  <w:enabled/>
                  <w:calcOnExit w:val="0"/>
                  <w:textInput>
                    <w:default w:val="DB11"/>
                    <w:maxLength w:val="8"/>
                  </w:textInput>
                </w:ffData>
              </w:fldChar>
            </w:r>
            <w:r>
              <w:rPr>
                <w:sz w:val="96"/>
                <w:szCs w:val="20"/>
              </w:rPr>
              <w:instrText xml:space="preserve">FORMTEXT</w:instrText>
            </w:r>
            <w:r>
              <w:rPr>
                <w:sz w:val="96"/>
                <w:szCs w:val="20"/>
              </w:rPr>
              <w:fldChar w:fldCharType="separate"/>
            </w:r>
            <w:r>
              <w:rPr>
                <w:sz w:val="96"/>
                <w:szCs w:val="20"/>
              </w:rPr>
              <w:t>DB11</w:t>
            </w:r>
            <w:r>
              <w:rPr>
                <w:sz w:val="96"/>
                <w:szCs w:val="20"/>
              </w:rP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rFonts w:hint="eastAsia"/>
          <w:lang w:val="en-US" w:eastAsia="zh-CN"/>
        </w:rPr>
        <w:t>11</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J4NJltgAAAAMAQAADwAAAAAAAAABACAAAAA4AAAAZHJzL2Rvd25yZXYu&#10;eG1sUEsBAhQAFAAAAAgAh07iQLvgymblAQAArAMAAA4AAAAAAAAAAQAgAAAAPQEAAGRycy9lMm9E&#10;b2MueG1sUEsFBgAAAAAGAAYAWQEAAJQFA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粮食仓储设施设备升级改造规范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ascii="黑体" w:hAnsi="黑体" w:eastAsia="黑体"/>
          <w:szCs w:val="28"/>
        </w:rPr>
      </w:pPr>
      <w:bookmarkStart w:id="10" w:name="ESTD_NAME"/>
      <w:r>
        <w:rPr>
          <w:rFonts w:hint="eastAsia" w:ascii="黑体" w:hAnsi="黑体" w:eastAsia="黑体"/>
          <w:szCs w:val="28"/>
        </w:rPr>
        <w:fldChar w:fldCharType="begin">
          <w:ffData>
            <w:name w:val="ESTD_NAME"/>
            <w:enabled/>
            <w:calcOnExit w:val="0"/>
            <w:textInput>
              <w:default w:val="Upgrade and renovation specifications for grain storage facilities and equipment"/>
            </w:textInput>
          </w:ffData>
        </w:fldChar>
      </w:r>
      <w:r>
        <w:rPr>
          <w:rFonts w:hint="eastAsia" w:ascii="黑体" w:hAnsi="黑体" w:eastAsia="黑体"/>
          <w:szCs w:val="28"/>
        </w:rPr>
        <w:instrText xml:space="preserve">FORMTEXT</w:instrText>
      </w:r>
      <w:r>
        <w:rPr>
          <w:rFonts w:hint="eastAsia" w:ascii="黑体" w:hAnsi="黑体" w:eastAsia="黑体"/>
          <w:szCs w:val="28"/>
        </w:rPr>
        <w:fldChar w:fldCharType="separate"/>
      </w:r>
      <w:r>
        <w:rPr>
          <w:rFonts w:hint="eastAsia" w:ascii="黑体" w:hAnsi="黑体" w:eastAsia="黑体"/>
          <w:szCs w:val="28"/>
        </w:rPr>
        <w:t>Upgrade and renovation specifications for grain storage facilities and equipment</w:t>
      </w:r>
      <w:r>
        <w:rPr>
          <w:rFonts w:hint="eastAsia"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1"/>
          <w:szCs w:val="28"/>
        </w:rPr>
      </w:pPr>
      <w:r>
        <w:rPr>
          <w:rFonts w:hint="eastAsia"/>
          <w:sz w:val="24"/>
          <w:szCs w:val="28"/>
          <w:lang w:eastAsia="zh-CN"/>
        </w:rPr>
        <w:t>征求意见稿</w:t>
      </w:r>
    </w:p>
    <w:p>
      <w:pPr>
        <w:pStyle w:val="125"/>
        <w:framePr w:w="9639" w:h="6974" w:hRule="exact" w:wrap="around" w:vAnchor="page" w:hAnchor="page" w:x="1419" w:y="6408" w:anchorLock="1"/>
        <w:spacing w:before="720" w:beforeLines="300" w:after="72" w:afterLines="30" w:line="240" w:lineRule="auto"/>
        <w:textAlignment w:val="bottom"/>
        <w:rPr>
          <w:b/>
          <w:sz w:val="21"/>
          <w:szCs w:val="28"/>
        </w:rPr>
      </w:pPr>
    </w:p>
    <w:p>
      <w:pPr>
        <w:pStyle w:val="193"/>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17"/>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qzMc+9cAAAAOAQAADwAAAAAAAAABACAAAAA4AAAAZHJzL2Rvd25yZXYueG1s&#10;UEsBAhQAFAAAAAgAh07iQFkuJZjjAQAAqgMAAA4AAAAAAAAAAQAgAAAAPAEAAGRycy9lMm9Eb2Mu&#10;eG1sUEsFBgAAAAAGAAYAWQEAAJEFAAAAAA==&#10;">
                <v:fill on="f" focussize="0,0"/>
                <v:stroke color="#000000" joinstyle="round"/>
                <v:imagedata o:title=""/>
                <o:lock v:ext="edit" aspectratio="f"/>
                <w10:anchorlock/>
              </v:line>
            </w:pict>
          </mc:Fallback>
        </mc:AlternateContent>
      </w:r>
    </w:p>
    <w:p>
      <w:pPr>
        <w:pStyle w:val="91"/>
        <w:spacing w:after="468"/>
      </w:pPr>
      <w:bookmarkStart w:id="18" w:name="_Toc179459479"/>
      <w:bookmarkStart w:id="19" w:name="_Toc179459440"/>
      <w:bookmarkStart w:id="20" w:name="BookMark1"/>
      <w:bookmarkStart w:id="21" w:name="_Toc179463373"/>
      <w:r>
        <w:rPr>
          <w:rFonts w:hint="eastAsia"/>
          <w:spacing w:val="320"/>
        </w:rPr>
        <w:t>目</w:t>
      </w:r>
      <w:r>
        <w:rPr>
          <w:rFonts w:hint="eastAsia"/>
        </w:rPr>
        <w:t>次</w:t>
      </w:r>
    </w:p>
    <w:p>
      <w:pPr>
        <w:pStyle w:val="19"/>
        <w:tabs>
          <w:tab w:val="right" w:leader="dot" w:pos="9354"/>
        </w:tabs>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_Toc8509 </w:instrText>
      </w:r>
      <w:r>
        <w:fldChar w:fldCharType="separate"/>
      </w:r>
      <w:r>
        <w:rPr>
          <w:rFonts w:hint="default"/>
          <w:spacing w:val="317"/>
          <w:lang w:val="en-US" w:eastAsia="zh-CN"/>
        </w:rPr>
        <w:t>前</w:t>
      </w:r>
      <w:r>
        <w:rPr>
          <w:rFonts w:hint="default"/>
          <w:spacing w:val="320"/>
          <w:lang w:val="en-US" w:eastAsia="zh-CN"/>
        </w:rPr>
        <w:t>言</w:t>
      </w:r>
      <w:r>
        <w:tab/>
      </w:r>
      <w:r>
        <w:fldChar w:fldCharType="begin"/>
      </w:r>
      <w:r>
        <w:instrText xml:space="preserve"> PAGEREF _Toc8509 \h </w:instrText>
      </w:r>
      <w:r>
        <w:fldChar w:fldCharType="separate"/>
      </w:r>
      <w:r>
        <w:t>III</w:t>
      </w:r>
      <w:r>
        <w:fldChar w:fldCharType="end"/>
      </w:r>
      <w:r>
        <w:fldChar w:fldCharType="end"/>
      </w:r>
    </w:p>
    <w:p>
      <w:pPr>
        <w:pStyle w:val="19"/>
        <w:tabs>
          <w:tab w:val="right" w:leader="dot" w:pos="9354"/>
        </w:tabs>
      </w:pPr>
      <w:r>
        <w:fldChar w:fldCharType="begin"/>
      </w:r>
      <w:r>
        <w:instrText xml:space="preserve"> HYPERLINK \l _Toc21883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_Toc21883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_Toc10979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_Toc10979 \h </w:instrText>
      </w:r>
      <w:r>
        <w:fldChar w:fldCharType="separate"/>
      </w:r>
      <w:r>
        <w:t>1</w:t>
      </w:r>
      <w:r>
        <w:fldChar w:fldCharType="end"/>
      </w:r>
      <w:r>
        <w:fldChar w:fldCharType="end"/>
      </w:r>
    </w:p>
    <w:p>
      <w:pPr>
        <w:pStyle w:val="19"/>
        <w:tabs>
          <w:tab w:val="right" w:leader="dot" w:pos="9354"/>
        </w:tabs>
      </w:pPr>
      <w:r>
        <w:fldChar w:fldCharType="begin"/>
      </w:r>
      <w:r>
        <w:instrText xml:space="preserve"> HYPERLINK \l _Toc24307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_Toc24307 \h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_Toc17884 </w:instrText>
      </w:r>
      <w:r>
        <w:fldChar w:fldCharType="separate"/>
      </w:r>
      <w:r>
        <w:rPr>
          <w:rFonts w:hint="eastAsia" w:ascii="黑体" w:eastAsia="黑体"/>
          <w:i w:val="0"/>
        </w:rPr>
        <w:t xml:space="preserve">4 </w:t>
      </w:r>
      <w:r>
        <w:rPr>
          <w:rFonts w:hint="eastAsia"/>
        </w:rPr>
        <w:t>总则</w:t>
      </w:r>
      <w:r>
        <w:tab/>
      </w:r>
      <w:r>
        <w:fldChar w:fldCharType="begin"/>
      </w:r>
      <w:r>
        <w:instrText xml:space="preserve"> PAGEREF _Toc17884 \h </w:instrText>
      </w:r>
      <w:r>
        <w:fldChar w:fldCharType="separate"/>
      </w:r>
      <w:r>
        <w:t>2</w:t>
      </w:r>
      <w:r>
        <w:fldChar w:fldCharType="end"/>
      </w:r>
      <w:r>
        <w:fldChar w:fldCharType="end"/>
      </w:r>
    </w:p>
    <w:p>
      <w:pPr>
        <w:pStyle w:val="19"/>
        <w:tabs>
          <w:tab w:val="right" w:leader="dot" w:pos="9354"/>
        </w:tabs>
      </w:pPr>
      <w:r>
        <w:fldChar w:fldCharType="begin"/>
      </w:r>
      <w:r>
        <w:instrText xml:space="preserve"> HYPERLINK \l _Toc26627 </w:instrText>
      </w:r>
      <w:r>
        <w:fldChar w:fldCharType="separate"/>
      </w:r>
      <w:r>
        <w:rPr>
          <w:rFonts w:hint="eastAsia" w:ascii="黑体" w:eastAsia="黑体"/>
          <w:i w:val="0"/>
        </w:rPr>
        <w:t xml:space="preserve">5 </w:t>
      </w:r>
      <w:r>
        <w:rPr>
          <w:rFonts w:hint="eastAsia"/>
        </w:rPr>
        <w:t>仓房气密隔热</w:t>
      </w:r>
      <w:r>
        <w:tab/>
      </w:r>
      <w:r>
        <w:fldChar w:fldCharType="begin"/>
      </w:r>
      <w:r>
        <w:instrText xml:space="preserve"> PAGEREF _Toc26627 \h </w:instrText>
      </w:r>
      <w:r>
        <w:fldChar w:fldCharType="separate"/>
      </w:r>
      <w:r>
        <w:t>2</w:t>
      </w:r>
      <w:r>
        <w:fldChar w:fldCharType="end"/>
      </w:r>
      <w:r>
        <w:fldChar w:fldCharType="end"/>
      </w:r>
    </w:p>
    <w:p>
      <w:pPr>
        <w:pStyle w:val="24"/>
        <w:tabs>
          <w:tab w:val="right" w:leader="dot" w:pos="9354"/>
          <w:tab w:val="clear" w:pos="9344"/>
        </w:tabs>
      </w:pPr>
      <w:r>
        <w:fldChar w:fldCharType="begin"/>
      </w:r>
      <w:r>
        <w:instrText xml:space="preserve"> HYPERLINK \l _Toc7258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5.1 </w:t>
      </w:r>
      <w:r>
        <w:rPr>
          <w:rFonts w:hint="eastAsia"/>
        </w:rPr>
        <w:t>一般要求</w:t>
      </w:r>
      <w:r>
        <w:tab/>
      </w:r>
      <w:r>
        <w:fldChar w:fldCharType="begin"/>
      </w:r>
      <w:r>
        <w:instrText xml:space="preserve"> PAGEREF _Toc7258 \h </w:instrText>
      </w:r>
      <w:r>
        <w:fldChar w:fldCharType="separate"/>
      </w:r>
      <w:r>
        <w:t>2</w:t>
      </w:r>
      <w:r>
        <w:fldChar w:fldCharType="end"/>
      </w:r>
      <w:r>
        <w:fldChar w:fldCharType="end"/>
      </w:r>
    </w:p>
    <w:p>
      <w:pPr>
        <w:pStyle w:val="24"/>
        <w:tabs>
          <w:tab w:val="right" w:leader="dot" w:pos="9354"/>
          <w:tab w:val="clear" w:pos="9344"/>
        </w:tabs>
      </w:pPr>
      <w:r>
        <w:fldChar w:fldCharType="begin"/>
      </w:r>
      <w:r>
        <w:instrText xml:space="preserve"> HYPERLINK \l _Toc4254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5.2 </w:t>
      </w:r>
      <w:r>
        <w:rPr>
          <w:rFonts w:hint="eastAsia"/>
        </w:rPr>
        <w:t>仓盖</w:t>
      </w:r>
      <w:r>
        <w:tab/>
      </w:r>
      <w:r>
        <w:fldChar w:fldCharType="begin"/>
      </w:r>
      <w:r>
        <w:instrText xml:space="preserve"> PAGEREF _Toc4254 \h </w:instrText>
      </w:r>
      <w:r>
        <w:fldChar w:fldCharType="separate"/>
      </w:r>
      <w:r>
        <w:t>3</w:t>
      </w:r>
      <w:r>
        <w:fldChar w:fldCharType="end"/>
      </w:r>
      <w:r>
        <w:fldChar w:fldCharType="end"/>
      </w:r>
    </w:p>
    <w:p>
      <w:pPr>
        <w:pStyle w:val="24"/>
        <w:tabs>
          <w:tab w:val="right" w:leader="dot" w:pos="9354"/>
          <w:tab w:val="clear" w:pos="9344"/>
        </w:tabs>
      </w:pPr>
      <w:r>
        <w:fldChar w:fldCharType="begin"/>
      </w:r>
      <w:r>
        <w:instrText xml:space="preserve"> HYPERLINK \l _Toc21363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5.3 </w:t>
      </w:r>
      <w:r>
        <w:rPr>
          <w:rFonts w:hint="eastAsia"/>
          <w:highlight w:val="none"/>
        </w:rPr>
        <w:t>仓房墙体</w:t>
      </w:r>
      <w:r>
        <w:tab/>
      </w:r>
      <w:r>
        <w:fldChar w:fldCharType="begin"/>
      </w:r>
      <w:r>
        <w:instrText xml:space="preserve"> PAGEREF _Toc21363 \h </w:instrText>
      </w:r>
      <w:r>
        <w:fldChar w:fldCharType="separate"/>
      </w:r>
      <w:r>
        <w:t>4</w:t>
      </w:r>
      <w:r>
        <w:fldChar w:fldCharType="end"/>
      </w:r>
      <w:r>
        <w:fldChar w:fldCharType="end"/>
      </w:r>
    </w:p>
    <w:p>
      <w:pPr>
        <w:pStyle w:val="24"/>
        <w:tabs>
          <w:tab w:val="right" w:leader="dot" w:pos="9354"/>
          <w:tab w:val="clear" w:pos="9344"/>
        </w:tabs>
      </w:pPr>
      <w:r>
        <w:fldChar w:fldCharType="begin"/>
      </w:r>
      <w:r>
        <w:instrText xml:space="preserve"> HYPERLINK \l _Toc19192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5.4 </w:t>
      </w:r>
      <w:r>
        <w:rPr>
          <w:rFonts w:hint="eastAsia"/>
        </w:rPr>
        <w:t>仓房门窗</w:t>
      </w:r>
      <w:r>
        <w:tab/>
      </w:r>
      <w:r>
        <w:fldChar w:fldCharType="begin"/>
      </w:r>
      <w:r>
        <w:instrText xml:space="preserve"> PAGEREF _Toc19192 \h </w:instrText>
      </w:r>
      <w:r>
        <w:fldChar w:fldCharType="separate"/>
      </w:r>
      <w:r>
        <w:t>4</w:t>
      </w:r>
      <w:r>
        <w:fldChar w:fldCharType="end"/>
      </w:r>
      <w:r>
        <w:fldChar w:fldCharType="end"/>
      </w:r>
    </w:p>
    <w:p>
      <w:pPr>
        <w:pStyle w:val="19"/>
        <w:tabs>
          <w:tab w:val="right" w:leader="dot" w:pos="9354"/>
        </w:tabs>
      </w:pPr>
      <w:r>
        <w:fldChar w:fldCharType="begin"/>
      </w:r>
      <w:r>
        <w:instrText xml:space="preserve"> HYPERLINK \l _Toc3336 </w:instrText>
      </w:r>
      <w:r>
        <w:fldChar w:fldCharType="separate"/>
      </w:r>
      <w:r>
        <w:rPr>
          <w:rFonts w:hint="eastAsia" w:ascii="黑体" w:eastAsia="黑体"/>
          <w:i w:val="0"/>
        </w:rPr>
        <w:t xml:space="preserve">6 </w:t>
      </w:r>
      <w:r>
        <w:rPr>
          <w:rFonts w:hint="eastAsia"/>
        </w:rPr>
        <w:t>储粮工艺设施</w:t>
      </w:r>
      <w:r>
        <w:tab/>
      </w:r>
      <w:r>
        <w:fldChar w:fldCharType="begin"/>
      </w:r>
      <w:r>
        <w:instrText xml:space="preserve"> PAGEREF _Toc3336 \h </w:instrText>
      </w:r>
      <w:r>
        <w:fldChar w:fldCharType="separate"/>
      </w:r>
      <w:r>
        <w:t>5</w:t>
      </w:r>
      <w:r>
        <w:fldChar w:fldCharType="end"/>
      </w:r>
      <w:r>
        <w:fldChar w:fldCharType="end"/>
      </w:r>
    </w:p>
    <w:p>
      <w:pPr>
        <w:pStyle w:val="24"/>
        <w:tabs>
          <w:tab w:val="right" w:leader="dot" w:pos="9354"/>
          <w:tab w:val="clear" w:pos="9344"/>
        </w:tabs>
      </w:pPr>
      <w:r>
        <w:fldChar w:fldCharType="begin"/>
      </w:r>
      <w:r>
        <w:instrText xml:space="preserve"> HYPERLINK \l _Toc14955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6.1 </w:t>
      </w:r>
      <w:r>
        <w:rPr>
          <w:rFonts w:hint="eastAsia"/>
        </w:rPr>
        <w:t>一般要求</w:t>
      </w:r>
      <w:r>
        <w:tab/>
      </w:r>
      <w:r>
        <w:fldChar w:fldCharType="begin"/>
      </w:r>
      <w:r>
        <w:instrText xml:space="preserve"> PAGEREF _Toc14955 \h </w:instrText>
      </w:r>
      <w:r>
        <w:fldChar w:fldCharType="separate"/>
      </w:r>
      <w:r>
        <w:t>5</w:t>
      </w:r>
      <w:r>
        <w:fldChar w:fldCharType="end"/>
      </w:r>
      <w:r>
        <w:fldChar w:fldCharType="end"/>
      </w:r>
    </w:p>
    <w:p>
      <w:pPr>
        <w:pStyle w:val="24"/>
        <w:tabs>
          <w:tab w:val="right" w:leader="dot" w:pos="9354"/>
          <w:tab w:val="clear" w:pos="9344"/>
        </w:tabs>
      </w:pPr>
      <w:r>
        <w:fldChar w:fldCharType="begin"/>
      </w:r>
      <w:r>
        <w:instrText xml:space="preserve"> HYPERLINK \l _Toc21231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6.2 </w:t>
      </w:r>
      <w:r>
        <w:rPr>
          <w:rFonts w:hint="eastAsia"/>
        </w:rPr>
        <w:t>储粮环流熏蒸系统</w:t>
      </w:r>
      <w:r>
        <w:tab/>
      </w:r>
      <w:r>
        <w:fldChar w:fldCharType="begin"/>
      </w:r>
      <w:r>
        <w:instrText xml:space="preserve"> PAGEREF _Toc21231 \h </w:instrText>
      </w:r>
      <w:r>
        <w:fldChar w:fldCharType="separate"/>
      </w:r>
      <w:r>
        <w:t>5</w:t>
      </w:r>
      <w:r>
        <w:fldChar w:fldCharType="end"/>
      </w:r>
      <w:r>
        <w:fldChar w:fldCharType="end"/>
      </w:r>
    </w:p>
    <w:p>
      <w:pPr>
        <w:pStyle w:val="24"/>
        <w:tabs>
          <w:tab w:val="right" w:leader="dot" w:pos="9354"/>
          <w:tab w:val="clear" w:pos="9344"/>
        </w:tabs>
      </w:pPr>
      <w:r>
        <w:fldChar w:fldCharType="begin"/>
      </w:r>
      <w:r>
        <w:instrText xml:space="preserve"> HYPERLINK \l _Toc13006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6.3 </w:t>
      </w:r>
      <w:r>
        <w:rPr>
          <w:rFonts w:hint="eastAsia"/>
        </w:rPr>
        <w:t>内环流控温系统</w:t>
      </w:r>
      <w:r>
        <w:tab/>
      </w:r>
      <w:r>
        <w:fldChar w:fldCharType="begin"/>
      </w:r>
      <w:r>
        <w:instrText xml:space="preserve"> PAGEREF _Toc13006 \h </w:instrText>
      </w:r>
      <w:r>
        <w:fldChar w:fldCharType="separate"/>
      </w:r>
      <w:r>
        <w:t>5</w:t>
      </w:r>
      <w:r>
        <w:fldChar w:fldCharType="end"/>
      </w:r>
      <w:r>
        <w:fldChar w:fldCharType="end"/>
      </w:r>
    </w:p>
    <w:p>
      <w:pPr>
        <w:pStyle w:val="24"/>
        <w:tabs>
          <w:tab w:val="right" w:leader="dot" w:pos="9354"/>
          <w:tab w:val="clear" w:pos="9344"/>
        </w:tabs>
      </w:pPr>
      <w:r>
        <w:fldChar w:fldCharType="begin"/>
      </w:r>
      <w:r>
        <w:instrText xml:space="preserve"> HYPERLINK \l _Toc13470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6.4 </w:t>
      </w:r>
      <w:r>
        <w:rPr>
          <w:rFonts w:hint="eastAsia"/>
        </w:rPr>
        <w:t>有害生物防治装置</w:t>
      </w:r>
      <w:r>
        <w:tab/>
      </w:r>
      <w:r>
        <w:fldChar w:fldCharType="begin"/>
      </w:r>
      <w:r>
        <w:instrText xml:space="preserve"> PAGEREF _Toc13470 \h </w:instrText>
      </w:r>
      <w:r>
        <w:fldChar w:fldCharType="separate"/>
      </w:r>
      <w:r>
        <w:t>5</w:t>
      </w:r>
      <w:r>
        <w:fldChar w:fldCharType="end"/>
      </w:r>
      <w:r>
        <w:fldChar w:fldCharType="end"/>
      </w:r>
    </w:p>
    <w:p>
      <w:pPr>
        <w:pStyle w:val="24"/>
        <w:tabs>
          <w:tab w:val="right" w:leader="dot" w:pos="9354"/>
          <w:tab w:val="clear" w:pos="9344"/>
        </w:tabs>
      </w:pPr>
      <w:r>
        <w:fldChar w:fldCharType="begin"/>
      </w:r>
      <w:r>
        <w:instrText xml:space="preserve"> HYPERLINK \l _Toc32541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6.5 </w:t>
      </w:r>
      <w:r>
        <w:rPr>
          <w:rFonts w:hint="eastAsia"/>
        </w:rPr>
        <w:t>挡粮门</w:t>
      </w:r>
      <w:r>
        <w:tab/>
      </w:r>
      <w:r>
        <w:fldChar w:fldCharType="begin"/>
      </w:r>
      <w:r>
        <w:instrText xml:space="preserve"> PAGEREF _Toc32541 \h </w:instrText>
      </w:r>
      <w:r>
        <w:fldChar w:fldCharType="separate"/>
      </w:r>
      <w:r>
        <w:t>6</w:t>
      </w:r>
      <w:r>
        <w:fldChar w:fldCharType="end"/>
      </w:r>
      <w:r>
        <w:fldChar w:fldCharType="end"/>
      </w:r>
    </w:p>
    <w:p>
      <w:pPr>
        <w:pStyle w:val="24"/>
        <w:tabs>
          <w:tab w:val="right" w:leader="dot" w:pos="9354"/>
          <w:tab w:val="clear" w:pos="9344"/>
        </w:tabs>
      </w:pPr>
      <w:r>
        <w:fldChar w:fldCharType="begin"/>
      </w:r>
      <w:r>
        <w:instrText xml:space="preserve"> HYPERLINK \l _Toc12249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6.6 </w:t>
      </w:r>
      <w:r>
        <w:rPr>
          <w:rFonts w:hint="eastAsia"/>
          <w:lang w:val="en-US" w:eastAsia="zh-CN"/>
        </w:rPr>
        <w:t>其他</w:t>
      </w:r>
      <w:r>
        <w:tab/>
      </w:r>
      <w:r>
        <w:fldChar w:fldCharType="begin"/>
      </w:r>
      <w:r>
        <w:instrText xml:space="preserve"> PAGEREF _Toc12249 \h </w:instrText>
      </w:r>
      <w:r>
        <w:fldChar w:fldCharType="separate"/>
      </w:r>
      <w:r>
        <w:t>6</w:t>
      </w:r>
      <w:r>
        <w:fldChar w:fldCharType="end"/>
      </w:r>
      <w:r>
        <w:fldChar w:fldCharType="end"/>
      </w:r>
    </w:p>
    <w:p>
      <w:pPr>
        <w:pStyle w:val="19"/>
        <w:tabs>
          <w:tab w:val="right" w:leader="dot" w:pos="9354"/>
        </w:tabs>
      </w:pPr>
      <w:r>
        <w:fldChar w:fldCharType="begin"/>
      </w:r>
      <w:r>
        <w:instrText xml:space="preserve"> HYPERLINK \l _Toc27964 </w:instrText>
      </w:r>
      <w:r>
        <w:fldChar w:fldCharType="separate"/>
      </w:r>
      <w:r>
        <w:rPr>
          <w:rFonts w:hint="eastAsia" w:ascii="黑体" w:eastAsia="黑体"/>
          <w:i w:val="0"/>
        </w:rPr>
        <w:t xml:space="preserve">7 </w:t>
      </w:r>
      <w:r>
        <w:rPr>
          <w:rFonts w:hint="eastAsia"/>
        </w:rPr>
        <w:t>储粮机械设备</w:t>
      </w:r>
      <w:r>
        <w:tab/>
      </w:r>
      <w:r>
        <w:fldChar w:fldCharType="begin"/>
      </w:r>
      <w:r>
        <w:instrText xml:space="preserve"> PAGEREF _Toc27964 \h </w:instrText>
      </w:r>
      <w:r>
        <w:fldChar w:fldCharType="separate"/>
      </w:r>
      <w:r>
        <w:t>6</w:t>
      </w:r>
      <w:r>
        <w:fldChar w:fldCharType="end"/>
      </w:r>
      <w:r>
        <w:fldChar w:fldCharType="end"/>
      </w:r>
    </w:p>
    <w:p>
      <w:pPr>
        <w:pStyle w:val="24"/>
        <w:tabs>
          <w:tab w:val="right" w:leader="dot" w:pos="9354"/>
          <w:tab w:val="clear" w:pos="9344"/>
        </w:tabs>
      </w:pPr>
      <w:r>
        <w:fldChar w:fldCharType="begin"/>
      </w:r>
      <w:r>
        <w:instrText xml:space="preserve"> HYPERLINK \l _Toc17109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7.1 </w:t>
      </w:r>
      <w:r>
        <w:rPr>
          <w:rFonts w:hint="eastAsia"/>
        </w:rPr>
        <w:t>一般要求</w:t>
      </w:r>
      <w:r>
        <w:tab/>
      </w:r>
      <w:r>
        <w:fldChar w:fldCharType="begin"/>
      </w:r>
      <w:r>
        <w:instrText xml:space="preserve"> PAGEREF _Toc17109 \h </w:instrText>
      </w:r>
      <w:r>
        <w:fldChar w:fldCharType="separate"/>
      </w:r>
      <w:r>
        <w:t>6</w:t>
      </w:r>
      <w:r>
        <w:fldChar w:fldCharType="end"/>
      </w:r>
      <w:r>
        <w:fldChar w:fldCharType="end"/>
      </w:r>
    </w:p>
    <w:p>
      <w:pPr>
        <w:pStyle w:val="24"/>
        <w:tabs>
          <w:tab w:val="right" w:leader="dot" w:pos="9354"/>
          <w:tab w:val="clear" w:pos="9344"/>
        </w:tabs>
      </w:pPr>
      <w:r>
        <w:fldChar w:fldCharType="begin"/>
      </w:r>
      <w:r>
        <w:instrText xml:space="preserve"> HYPERLINK \l _Toc28875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7.2 </w:t>
      </w:r>
      <w:r>
        <w:rPr>
          <w:rFonts w:hint="eastAsia"/>
        </w:rPr>
        <w:t>粮食输送设备</w:t>
      </w:r>
      <w:r>
        <w:tab/>
      </w:r>
      <w:r>
        <w:fldChar w:fldCharType="begin"/>
      </w:r>
      <w:r>
        <w:instrText xml:space="preserve"> PAGEREF _Toc28875 \h </w:instrText>
      </w:r>
      <w:r>
        <w:fldChar w:fldCharType="separate"/>
      </w:r>
      <w:r>
        <w:t>7</w:t>
      </w:r>
      <w:r>
        <w:fldChar w:fldCharType="end"/>
      </w:r>
      <w:r>
        <w:fldChar w:fldCharType="end"/>
      </w:r>
    </w:p>
    <w:p>
      <w:pPr>
        <w:pStyle w:val="24"/>
        <w:tabs>
          <w:tab w:val="right" w:leader="dot" w:pos="9354"/>
          <w:tab w:val="clear" w:pos="9344"/>
        </w:tabs>
      </w:pPr>
      <w:r>
        <w:fldChar w:fldCharType="begin"/>
      </w:r>
      <w:r>
        <w:instrText xml:space="preserve"> HYPERLINK \l _Toc22915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7.3 </w:t>
      </w:r>
      <w:r>
        <w:rPr>
          <w:rFonts w:hint="eastAsia"/>
        </w:rPr>
        <w:t>粮食清理设备</w:t>
      </w:r>
      <w:r>
        <w:tab/>
      </w:r>
      <w:r>
        <w:fldChar w:fldCharType="begin"/>
      </w:r>
      <w:r>
        <w:instrText xml:space="preserve"> PAGEREF _Toc22915 \h </w:instrText>
      </w:r>
      <w:r>
        <w:fldChar w:fldCharType="separate"/>
      </w:r>
      <w:r>
        <w:t>7</w:t>
      </w:r>
      <w:r>
        <w:fldChar w:fldCharType="end"/>
      </w:r>
      <w:r>
        <w:fldChar w:fldCharType="end"/>
      </w:r>
    </w:p>
    <w:p>
      <w:pPr>
        <w:pStyle w:val="24"/>
        <w:tabs>
          <w:tab w:val="right" w:leader="dot" w:pos="9354"/>
          <w:tab w:val="clear" w:pos="9344"/>
        </w:tabs>
      </w:pPr>
      <w:r>
        <w:fldChar w:fldCharType="begin"/>
      </w:r>
      <w:r>
        <w:instrText xml:space="preserve"> HYPERLINK \l _Toc15066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7.4 </w:t>
      </w:r>
      <w:r>
        <w:rPr>
          <w:rFonts w:hint="eastAsia"/>
        </w:rPr>
        <w:t>移动液压翻板散粮汽车卸车装置</w:t>
      </w:r>
      <w:r>
        <w:tab/>
      </w:r>
      <w:r>
        <w:fldChar w:fldCharType="begin"/>
      </w:r>
      <w:r>
        <w:instrText xml:space="preserve"> PAGEREF _Toc15066 \h </w:instrText>
      </w:r>
      <w:r>
        <w:fldChar w:fldCharType="separate"/>
      </w:r>
      <w:r>
        <w:t>7</w:t>
      </w:r>
      <w:r>
        <w:fldChar w:fldCharType="end"/>
      </w:r>
      <w:r>
        <w:fldChar w:fldCharType="end"/>
      </w:r>
    </w:p>
    <w:p>
      <w:pPr>
        <w:pStyle w:val="24"/>
        <w:tabs>
          <w:tab w:val="right" w:leader="dot" w:pos="9354"/>
          <w:tab w:val="clear" w:pos="9344"/>
        </w:tabs>
      </w:pPr>
      <w:r>
        <w:fldChar w:fldCharType="begin"/>
      </w:r>
      <w:r>
        <w:instrText xml:space="preserve"> HYPERLINK \l _Toc30244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7.5 </w:t>
      </w:r>
      <w:r>
        <w:rPr>
          <w:rFonts w:hint="eastAsia"/>
        </w:rPr>
        <w:t>储粮仓房专用空调</w:t>
      </w:r>
      <w:r>
        <w:tab/>
      </w:r>
      <w:r>
        <w:fldChar w:fldCharType="begin"/>
      </w:r>
      <w:r>
        <w:instrText xml:space="preserve"> PAGEREF _Toc30244 \h </w:instrText>
      </w:r>
      <w:r>
        <w:fldChar w:fldCharType="separate"/>
      </w:r>
      <w:r>
        <w:t>7</w:t>
      </w:r>
      <w:r>
        <w:fldChar w:fldCharType="end"/>
      </w:r>
      <w:r>
        <w:fldChar w:fldCharType="end"/>
      </w:r>
    </w:p>
    <w:p>
      <w:pPr>
        <w:pStyle w:val="24"/>
        <w:tabs>
          <w:tab w:val="right" w:leader="dot" w:pos="9354"/>
          <w:tab w:val="clear" w:pos="9344"/>
        </w:tabs>
      </w:pPr>
      <w:r>
        <w:fldChar w:fldCharType="begin"/>
      </w:r>
      <w:r>
        <w:instrText xml:space="preserve"> HYPERLINK \l _Toc22853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7.6 </w:t>
      </w:r>
      <w:r>
        <w:rPr>
          <w:rFonts w:hint="eastAsia"/>
        </w:rPr>
        <w:t>储粮通风机</w:t>
      </w:r>
      <w:r>
        <w:tab/>
      </w:r>
      <w:r>
        <w:fldChar w:fldCharType="begin"/>
      </w:r>
      <w:r>
        <w:instrText xml:space="preserve"> PAGEREF _Toc22853 \h </w:instrText>
      </w:r>
      <w:r>
        <w:fldChar w:fldCharType="separate"/>
      </w:r>
      <w:r>
        <w:t>8</w:t>
      </w:r>
      <w:r>
        <w:fldChar w:fldCharType="end"/>
      </w:r>
      <w:r>
        <w:fldChar w:fldCharType="end"/>
      </w:r>
    </w:p>
    <w:p>
      <w:pPr>
        <w:pStyle w:val="24"/>
        <w:tabs>
          <w:tab w:val="right" w:leader="dot" w:pos="9354"/>
          <w:tab w:val="clear" w:pos="9344"/>
        </w:tabs>
      </w:pPr>
      <w:r>
        <w:fldChar w:fldCharType="begin"/>
      </w:r>
      <w:r>
        <w:instrText xml:space="preserve"> HYPERLINK \l _Toc6162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7.7 </w:t>
      </w:r>
      <w:r>
        <w:rPr>
          <w:rFonts w:hint="eastAsia"/>
        </w:rPr>
        <w:t>粮油检验仪器设备</w:t>
      </w:r>
      <w:r>
        <w:tab/>
      </w:r>
      <w:r>
        <w:fldChar w:fldCharType="begin"/>
      </w:r>
      <w:r>
        <w:instrText xml:space="preserve"> PAGEREF _Toc6162 \h </w:instrText>
      </w:r>
      <w:r>
        <w:fldChar w:fldCharType="separate"/>
      </w:r>
      <w:r>
        <w:t>8</w:t>
      </w:r>
      <w:r>
        <w:fldChar w:fldCharType="end"/>
      </w:r>
      <w:r>
        <w:fldChar w:fldCharType="end"/>
      </w:r>
    </w:p>
    <w:p>
      <w:pPr>
        <w:pStyle w:val="19"/>
        <w:tabs>
          <w:tab w:val="right" w:leader="dot" w:pos="9354"/>
        </w:tabs>
      </w:pPr>
      <w:r>
        <w:fldChar w:fldCharType="begin"/>
      </w:r>
      <w:r>
        <w:instrText xml:space="preserve"> HYPERLINK \l _Toc28045 </w:instrText>
      </w:r>
      <w:r>
        <w:fldChar w:fldCharType="separate"/>
      </w:r>
      <w:r>
        <w:rPr>
          <w:rFonts w:hint="eastAsia" w:ascii="黑体" w:eastAsia="黑体"/>
          <w:i w:val="0"/>
        </w:rPr>
        <w:t xml:space="preserve">8 </w:t>
      </w:r>
      <w:r>
        <w:rPr>
          <w:rFonts w:hint="eastAsia"/>
        </w:rPr>
        <w:t>粮库信息系统</w:t>
      </w:r>
      <w:r>
        <w:tab/>
      </w:r>
      <w:r>
        <w:fldChar w:fldCharType="begin"/>
      </w:r>
      <w:r>
        <w:instrText xml:space="preserve"> PAGEREF _Toc28045 \h </w:instrText>
      </w:r>
      <w:r>
        <w:fldChar w:fldCharType="separate"/>
      </w:r>
      <w:r>
        <w:t>8</w:t>
      </w:r>
      <w:r>
        <w:fldChar w:fldCharType="end"/>
      </w:r>
      <w:r>
        <w:fldChar w:fldCharType="end"/>
      </w:r>
    </w:p>
    <w:p>
      <w:pPr>
        <w:pStyle w:val="24"/>
        <w:tabs>
          <w:tab w:val="right" w:leader="dot" w:pos="9354"/>
          <w:tab w:val="clear" w:pos="9344"/>
        </w:tabs>
      </w:pPr>
      <w:r>
        <w:fldChar w:fldCharType="begin"/>
      </w:r>
      <w:r>
        <w:instrText xml:space="preserve"> HYPERLINK \l _Toc6185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8.1 </w:t>
      </w:r>
      <w:r>
        <w:rPr>
          <w:rFonts w:hint="eastAsia"/>
        </w:rPr>
        <w:t>一般要求</w:t>
      </w:r>
      <w:r>
        <w:tab/>
      </w:r>
      <w:r>
        <w:fldChar w:fldCharType="begin"/>
      </w:r>
      <w:r>
        <w:instrText xml:space="preserve"> PAGEREF _Toc6185 \h </w:instrText>
      </w:r>
      <w:r>
        <w:fldChar w:fldCharType="separate"/>
      </w:r>
      <w:r>
        <w:t>8</w:t>
      </w:r>
      <w:r>
        <w:fldChar w:fldCharType="end"/>
      </w:r>
      <w:r>
        <w:fldChar w:fldCharType="end"/>
      </w:r>
    </w:p>
    <w:p>
      <w:pPr>
        <w:pStyle w:val="24"/>
        <w:tabs>
          <w:tab w:val="right" w:leader="dot" w:pos="9354"/>
          <w:tab w:val="clear" w:pos="9344"/>
        </w:tabs>
      </w:pPr>
      <w:r>
        <w:fldChar w:fldCharType="begin"/>
      </w:r>
      <w:r>
        <w:instrText xml:space="preserve"> HYPERLINK \l _Toc13593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8.2 </w:t>
      </w:r>
      <w:r>
        <w:rPr>
          <w:rFonts w:hint="eastAsia"/>
        </w:rPr>
        <w:t>粮情测控系统</w:t>
      </w:r>
      <w:r>
        <w:tab/>
      </w:r>
      <w:r>
        <w:fldChar w:fldCharType="begin"/>
      </w:r>
      <w:r>
        <w:instrText xml:space="preserve"> PAGEREF _Toc13593 \h </w:instrText>
      </w:r>
      <w:r>
        <w:fldChar w:fldCharType="separate"/>
      </w:r>
      <w:r>
        <w:t>8</w:t>
      </w:r>
      <w:r>
        <w:fldChar w:fldCharType="end"/>
      </w:r>
      <w:r>
        <w:fldChar w:fldCharType="end"/>
      </w:r>
    </w:p>
    <w:p>
      <w:pPr>
        <w:pStyle w:val="24"/>
        <w:tabs>
          <w:tab w:val="right" w:leader="dot" w:pos="9354"/>
          <w:tab w:val="clear" w:pos="9344"/>
        </w:tabs>
      </w:pPr>
      <w:r>
        <w:fldChar w:fldCharType="begin"/>
      </w:r>
      <w:r>
        <w:instrText xml:space="preserve"> HYPERLINK \l _Toc28206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8.3 </w:t>
      </w:r>
      <w:r>
        <w:rPr>
          <w:rFonts w:hint="eastAsia"/>
        </w:rPr>
        <w:t>智能出入库管理系统</w:t>
      </w:r>
      <w:r>
        <w:tab/>
      </w:r>
      <w:r>
        <w:fldChar w:fldCharType="begin"/>
      </w:r>
      <w:r>
        <w:instrText xml:space="preserve"> PAGEREF _Toc28206 \h </w:instrText>
      </w:r>
      <w:r>
        <w:fldChar w:fldCharType="separate"/>
      </w:r>
      <w:r>
        <w:t>8</w:t>
      </w:r>
      <w:r>
        <w:fldChar w:fldCharType="end"/>
      </w:r>
      <w:r>
        <w:fldChar w:fldCharType="end"/>
      </w:r>
    </w:p>
    <w:p>
      <w:pPr>
        <w:pStyle w:val="24"/>
        <w:tabs>
          <w:tab w:val="right" w:leader="dot" w:pos="9354"/>
          <w:tab w:val="clear" w:pos="9344"/>
        </w:tabs>
      </w:pPr>
      <w:r>
        <w:fldChar w:fldCharType="begin"/>
      </w:r>
      <w:r>
        <w:instrText xml:space="preserve"> HYPERLINK \l _Toc8371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8.4 </w:t>
      </w:r>
      <w:r>
        <w:rPr>
          <w:rFonts w:hint="eastAsia"/>
        </w:rPr>
        <w:t>库区网络配置</w:t>
      </w:r>
      <w:r>
        <w:tab/>
      </w:r>
      <w:r>
        <w:fldChar w:fldCharType="begin"/>
      </w:r>
      <w:r>
        <w:instrText xml:space="preserve"> PAGEREF _Toc8371 \h </w:instrText>
      </w:r>
      <w:r>
        <w:fldChar w:fldCharType="separate"/>
      </w:r>
      <w:r>
        <w:t>8</w:t>
      </w:r>
      <w:r>
        <w:fldChar w:fldCharType="end"/>
      </w:r>
      <w:r>
        <w:fldChar w:fldCharType="end"/>
      </w:r>
    </w:p>
    <w:p>
      <w:pPr>
        <w:pStyle w:val="24"/>
        <w:tabs>
          <w:tab w:val="right" w:leader="dot" w:pos="9354"/>
          <w:tab w:val="clear" w:pos="9344"/>
        </w:tabs>
      </w:pPr>
      <w:r>
        <w:fldChar w:fldCharType="begin"/>
      </w:r>
      <w:r>
        <w:instrText xml:space="preserve"> HYPERLINK \l _Toc1933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8.5 </w:t>
      </w:r>
      <w:r>
        <w:rPr>
          <w:rFonts w:hint="eastAsia"/>
        </w:rPr>
        <w:t>服务器</w:t>
      </w:r>
      <w:r>
        <w:tab/>
      </w:r>
      <w:r>
        <w:fldChar w:fldCharType="begin"/>
      </w:r>
      <w:r>
        <w:instrText xml:space="preserve"> PAGEREF _Toc1933 \h </w:instrText>
      </w:r>
      <w:r>
        <w:fldChar w:fldCharType="separate"/>
      </w:r>
      <w:r>
        <w:t>9</w:t>
      </w:r>
      <w:r>
        <w:fldChar w:fldCharType="end"/>
      </w:r>
      <w:r>
        <w:fldChar w:fldCharType="end"/>
      </w:r>
    </w:p>
    <w:p>
      <w:pPr>
        <w:pStyle w:val="24"/>
        <w:tabs>
          <w:tab w:val="right" w:leader="dot" w:pos="9354"/>
          <w:tab w:val="clear" w:pos="9344"/>
        </w:tabs>
      </w:pPr>
      <w:r>
        <w:fldChar w:fldCharType="begin"/>
      </w:r>
      <w:r>
        <w:instrText xml:space="preserve"> HYPERLINK \l _Toc20822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8.6 </w:t>
      </w:r>
      <w:r>
        <w:rPr>
          <w:rFonts w:hint="eastAsia"/>
        </w:rPr>
        <w:t>智能单仓控制柜</w:t>
      </w:r>
      <w:r>
        <w:tab/>
      </w:r>
      <w:r>
        <w:fldChar w:fldCharType="begin"/>
      </w:r>
      <w:r>
        <w:instrText xml:space="preserve"> PAGEREF _Toc20822 \h </w:instrText>
      </w:r>
      <w:r>
        <w:fldChar w:fldCharType="separate"/>
      </w:r>
      <w:r>
        <w:t>9</w:t>
      </w:r>
      <w:r>
        <w:fldChar w:fldCharType="end"/>
      </w:r>
      <w:r>
        <w:fldChar w:fldCharType="end"/>
      </w:r>
    </w:p>
    <w:p>
      <w:pPr>
        <w:pStyle w:val="24"/>
        <w:tabs>
          <w:tab w:val="right" w:leader="dot" w:pos="9354"/>
          <w:tab w:val="clear" w:pos="9344"/>
        </w:tabs>
      </w:pPr>
      <w:r>
        <w:fldChar w:fldCharType="begin"/>
      </w:r>
      <w:r>
        <w:instrText xml:space="preserve"> HYPERLINK \l _Toc30444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8.7 </w:t>
      </w:r>
      <w:r>
        <w:rPr>
          <w:rFonts w:hint="eastAsia"/>
        </w:rPr>
        <w:t>控制终端</w:t>
      </w:r>
      <w:r>
        <w:tab/>
      </w:r>
      <w:r>
        <w:fldChar w:fldCharType="begin"/>
      </w:r>
      <w:r>
        <w:instrText xml:space="preserve"> PAGEREF _Toc30444 \h </w:instrText>
      </w:r>
      <w:r>
        <w:fldChar w:fldCharType="separate"/>
      </w:r>
      <w:r>
        <w:t>9</w:t>
      </w:r>
      <w:r>
        <w:fldChar w:fldCharType="end"/>
      </w:r>
      <w:r>
        <w:fldChar w:fldCharType="end"/>
      </w:r>
    </w:p>
    <w:p>
      <w:pPr>
        <w:pStyle w:val="19"/>
        <w:tabs>
          <w:tab w:val="right" w:leader="dot" w:pos="9354"/>
        </w:tabs>
      </w:pPr>
      <w:r>
        <w:fldChar w:fldCharType="begin"/>
      </w:r>
      <w:r>
        <w:instrText xml:space="preserve"> HYPERLINK \l _Toc23177 </w:instrText>
      </w:r>
      <w:r>
        <w:fldChar w:fldCharType="separate"/>
      </w:r>
      <w:r>
        <w:rPr>
          <w:rFonts w:hint="eastAsia" w:ascii="黑体" w:eastAsia="黑体"/>
          <w:i w:val="0"/>
        </w:rPr>
        <w:t xml:space="preserve">9 </w:t>
      </w:r>
      <w:r>
        <w:rPr>
          <w:rFonts w:hint="eastAsia"/>
        </w:rPr>
        <w:t>其他</w:t>
      </w:r>
      <w:r>
        <w:tab/>
      </w:r>
      <w:r>
        <w:fldChar w:fldCharType="begin"/>
      </w:r>
      <w:r>
        <w:instrText xml:space="preserve"> PAGEREF _Toc23177 \h </w:instrText>
      </w:r>
      <w:r>
        <w:fldChar w:fldCharType="separate"/>
      </w:r>
      <w:r>
        <w:t>9</w:t>
      </w:r>
      <w:r>
        <w:fldChar w:fldCharType="end"/>
      </w:r>
      <w:r>
        <w:fldChar w:fldCharType="end"/>
      </w:r>
    </w:p>
    <w:p>
      <w:pPr>
        <w:pStyle w:val="24"/>
        <w:tabs>
          <w:tab w:val="right" w:leader="dot" w:pos="9354"/>
          <w:tab w:val="clear" w:pos="9344"/>
        </w:tabs>
      </w:pPr>
      <w:r>
        <w:fldChar w:fldCharType="begin"/>
      </w:r>
      <w:r>
        <w:instrText xml:space="preserve"> HYPERLINK \l _Toc9011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9.1 </w:t>
      </w:r>
      <w:r>
        <w:rPr>
          <w:rFonts w:hint="eastAsia"/>
        </w:rPr>
        <w:t>配电箱（柜）</w:t>
      </w:r>
      <w:r>
        <w:tab/>
      </w:r>
      <w:r>
        <w:fldChar w:fldCharType="begin"/>
      </w:r>
      <w:r>
        <w:instrText xml:space="preserve"> PAGEREF _Toc9011 \h </w:instrText>
      </w:r>
      <w:r>
        <w:fldChar w:fldCharType="separate"/>
      </w:r>
      <w:r>
        <w:t>9</w:t>
      </w:r>
      <w:r>
        <w:fldChar w:fldCharType="end"/>
      </w:r>
      <w:r>
        <w:fldChar w:fldCharType="end"/>
      </w:r>
    </w:p>
    <w:p>
      <w:pPr>
        <w:pStyle w:val="24"/>
        <w:tabs>
          <w:tab w:val="right" w:leader="dot" w:pos="9354"/>
          <w:tab w:val="clear" w:pos="9344"/>
        </w:tabs>
      </w:pPr>
      <w:r>
        <w:fldChar w:fldCharType="begin"/>
      </w:r>
      <w:r>
        <w:instrText xml:space="preserve"> HYPERLINK \l _Toc21023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9.2 </w:t>
      </w:r>
      <w:r>
        <w:rPr>
          <w:rFonts w:hint="eastAsia"/>
        </w:rPr>
        <w:t>移动电闸箱</w:t>
      </w:r>
      <w:r>
        <w:tab/>
      </w:r>
      <w:r>
        <w:fldChar w:fldCharType="begin"/>
      </w:r>
      <w:r>
        <w:instrText xml:space="preserve"> PAGEREF _Toc21023 \h </w:instrText>
      </w:r>
      <w:r>
        <w:fldChar w:fldCharType="separate"/>
      </w:r>
      <w:r>
        <w:t>9</w:t>
      </w:r>
      <w:r>
        <w:fldChar w:fldCharType="end"/>
      </w:r>
      <w:r>
        <w:fldChar w:fldCharType="end"/>
      </w:r>
    </w:p>
    <w:p>
      <w:pPr>
        <w:pStyle w:val="24"/>
        <w:tabs>
          <w:tab w:val="right" w:leader="dot" w:pos="9354"/>
          <w:tab w:val="clear" w:pos="9344"/>
        </w:tabs>
      </w:pPr>
      <w:r>
        <w:fldChar w:fldCharType="begin"/>
      </w:r>
      <w:r>
        <w:instrText xml:space="preserve"> HYPERLINK \l _Toc16463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t xml:space="preserve">9.3 </w:t>
      </w:r>
      <w:r>
        <w:rPr>
          <w:rFonts w:hint="eastAsia"/>
        </w:rPr>
        <w:t>除锈涂装</w:t>
      </w:r>
      <w:r>
        <w:tab/>
      </w:r>
      <w:r>
        <w:fldChar w:fldCharType="begin"/>
      </w:r>
      <w:r>
        <w:instrText xml:space="preserve"> PAGEREF _Toc16463 \h </w:instrText>
      </w:r>
      <w:r>
        <w:fldChar w:fldCharType="separate"/>
      </w:r>
      <w:r>
        <w:t>10</w:t>
      </w:r>
      <w:r>
        <w:fldChar w:fldCharType="end"/>
      </w:r>
      <w:r>
        <w:fldChar w:fldCharType="end"/>
      </w:r>
    </w:p>
    <w:p>
      <w:pPr>
        <w:pStyle w:val="24"/>
        <w:tabs>
          <w:tab w:val="right" w:leader="dot" w:pos="9354"/>
          <w:tab w:val="clear" w:pos="9344"/>
        </w:tabs>
      </w:pPr>
      <w:r>
        <w:fldChar w:fldCharType="begin"/>
      </w:r>
      <w:r>
        <w:instrText xml:space="preserve"> HYPERLINK \l _Toc983 </w:instrText>
      </w:r>
      <w:r>
        <w:fldChar w:fldCharType="separate"/>
      </w:r>
      <w:r>
        <w:rPr>
          <w:rFonts w:hint="eastAsia"/>
          <w:lang w:eastAsia="zh-CN"/>
        </w:rPr>
        <w:t>参考文献</w:t>
      </w:r>
      <w:r>
        <w:tab/>
      </w:r>
      <w:r>
        <w:fldChar w:fldCharType="begin"/>
      </w:r>
      <w:r>
        <w:instrText xml:space="preserve"> PAGEREF _Toc983 \h </w:instrText>
      </w:r>
      <w:r>
        <w:fldChar w:fldCharType="separate"/>
      </w:r>
      <w:r>
        <w:t>11</w:t>
      </w:r>
      <w:r>
        <w:fldChar w:fldCharType="end"/>
      </w:r>
      <w:r>
        <w:fldChar w:fldCharType="end"/>
      </w:r>
    </w:p>
    <w:p>
      <w:pPr>
        <w:pStyle w:val="91"/>
        <w:spacing w:after="468"/>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p>
      <w:pPr>
        <w:pStyle w:val="89"/>
        <w:shd w:val="clear" w:color="FFFFFF" w:fill="FFFFFF"/>
        <w:rPr>
          <w:rFonts w:hint="default"/>
          <w:spacing w:val="320"/>
          <w:lang w:val="en-US" w:eastAsia="zh-CN"/>
        </w:rPr>
      </w:pPr>
      <w:bookmarkStart w:id="22" w:name="_Toc6894"/>
      <w:bookmarkStart w:id="23" w:name="_Toc8509"/>
      <w:r>
        <w:rPr>
          <w:rFonts w:hint="default"/>
          <w:spacing w:val="317"/>
          <w:sz w:val="32"/>
          <w:lang w:val="en-US" w:eastAsia="zh-CN"/>
        </w:rPr>
        <w:t>前</w:t>
      </w:r>
      <w:r>
        <w:rPr>
          <w:rFonts w:hint="default"/>
          <w:spacing w:val="320"/>
          <w:lang w:val="en-US" w:eastAsia="zh-CN"/>
        </w:rPr>
        <w:t>言</w:t>
      </w:r>
      <w:bookmarkEnd w:id="22"/>
      <w:bookmarkEnd w:id="23"/>
    </w:p>
    <w:p>
      <w:pPr>
        <w:pStyle w:val="91"/>
        <w:spacing w:before="0" w:after="0" w:afterLines="0" w:line="240" w:lineRule="auto"/>
        <w:ind w:firstLine="420" w:firstLineChars="200"/>
        <w:jc w:val="both"/>
        <w:rPr>
          <w:rFonts w:hint="eastAsia" w:ascii="宋体" w:hAnsi="Times New Roman" w:eastAsia="宋体" w:cs="Times New Roman"/>
          <w:sz w:val="21"/>
        </w:rPr>
      </w:pPr>
      <w:r>
        <w:rPr>
          <w:rFonts w:hint="eastAsia" w:ascii="宋体" w:hAnsi="Times New Roman" w:eastAsia="宋体" w:cs="Times New Roman"/>
          <w:sz w:val="21"/>
        </w:rPr>
        <w:t>本文件按照 GB/T 1.1-2020《标准化工作导则 第1部分</w:t>
      </w:r>
      <w:r>
        <w:rPr>
          <w:rFonts w:hint="eastAsia" w:ascii="宋体" w:hAnsi="Times New Roman" w:eastAsia="宋体" w:cs="Times New Roman"/>
          <w:sz w:val="21"/>
          <w:lang w:eastAsia="zh-CN"/>
        </w:rPr>
        <w:t>：</w:t>
      </w:r>
      <w:r>
        <w:rPr>
          <w:rFonts w:hint="eastAsia" w:ascii="宋体" w:hAnsi="Times New Roman" w:eastAsia="宋体" w:cs="Times New Roman"/>
          <w:sz w:val="21"/>
        </w:rPr>
        <w:t>标准化文件的结构和起草规则》的规定起草。</w:t>
      </w:r>
    </w:p>
    <w:p>
      <w:pPr>
        <w:pStyle w:val="91"/>
        <w:spacing w:before="0" w:after="0" w:afterLines="0" w:line="240" w:lineRule="auto"/>
        <w:ind w:firstLine="420" w:firstLineChars="200"/>
        <w:jc w:val="both"/>
        <w:rPr>
          <w:rFonts w:hint="eastAsia" w:ascii="宋体" w:hAnsi="Times New Roman" w:eastAsia="宋体" w:cs="Times New Roman"/>
          <w:sz w:val="21"/>
        </w:rPr>
      </w:pPr>
      <w:r>
        <w:rPr>
          <w:rFonts w:hint="eastAsia" w:ascii="宋体" w:hAnsi="Times New Roman" w:eastAsia="宋体" w:cs="Times New Roman"/>
          <w:sz w:val="21"/>
        </w:rPr>
        <w:t>本文件由北京市粮食和物资储备局提出并归口。</w:t>
      </w:r>
    </w:p>
    <w:p>
      <w:pPr>
        <w:pStyle w:val="91"/>
        <w:spacing w:before="0" w:after="0" w:afterLines="0" w:line="240" w:lineRule="auto"/>
        <w:ind w:firstLine="420" w:firstLineChars="200"/>
        <w:jc w:val="both"/>
        <w:rPr>
          <w:rFonts w:hint="eastAsia" w:ascii="宋体" w:hAnsi="Times New Roman" w:eastAsia="宋体" w:cs="Times New Roman"/>
          <w:sz w:val="21"/>
        </w:rPr>
      </w:pPr>
      <w:r>
        <w:rPr>
          <w:rFonts w:hint="eastAsia" w:ascii="宋体" w:hAnsi="Times New Roman" w:eastAsia="宋体" w:cs="Times New Roman"/>
          <w:sz w:val="21"/>
        </w:rPr>
        <w:t>本文件由北京市粮食和物资储备局组织实施。</w:t>
      </w:r>
    </w:p>
    <w:p>
      <w:pPr>
        <w:pStyle w:val="91"/>
        <w:spacing w:before="0" w:after="0" w:afterLines="0" w:line="240" w:lineRule="auto"/>
        <w:ind w:firstLine="420" w:firstLineChars="200"/>
        <w:jc w:val="both"/>
        <w:rPr>
          <w:rFonts w:hint="eastAsia" w:ascii="宋体" w:hAnsi="Times New Roman" w:eastAsia="宋体" w:cs="Times New Roman"/>
          <w:sz w:val="21"/>
        </w:rPr>
      </w:pPr>
      <w:r>
        <w:rPr>
          <w:rFonts w:hint="eastAsia" w:ascii="宋体" w:hAnsi="Times New Roman" w:eastAsia="宋体" w:cs="Times New Roman"/>
          <w:sz w:val="21"/>
        </w:rPr>
        <w:t>本文件起草单位：</w:t>
      </w:r>
      <w:bookmarkStart w:id="257" w:name="_GoBack"/>
      <w:bookmarkEnd w:id="257"/>
    </w:p>
    <w:p>
      <w:pPr>
        <w:pStyle w:val="91"/>
        <w:spacing w:before="0" w:after="0" w:afterLines="0" w:line="240" w:lineRule="auto"/>
        <w:ind w:firstLine="420" w:firstLineChars="200"/>
        <w:jc w:val="both"/>
        <w:rPr>
          <w:rFonts w:hint="eastAsia" w:ascii="宋体" w:hAnsi="Times New Roman" w:eastAsia="宋体" w:cs="Times New Roman"/>
          <w:sz w:val="21"/>
        </w:rPr>
      </w:pPr>
      <w:r>
        <w:rPr>
          <w:rFonts w:hint="eastAsia" w:ascii="宋体" w:hAnsi="Times New Roman" w:eastAsia="宋体" w:cs="Times New Roman"/>
          <w:sz w:val="21"/>
        </w:rPr>
        <w:t>本文件主要起草人：</w:t>
      </w:r>
    </w:p>
    <w:p>
      <w:pPr>
        <w:pStyle w:val="91"/>
        <w:spacing w:after="468"/>
        <w:jc w:val="both"/>
        <w:rPr>
          <w:rFonts w:hint="eastAsia" w:ascii="宋体" w:hAnsi="Times New Roman" w:eastAsia="宋体" w:cs="Times New Roman"/>
          <w:sz w:val="21"/>
        </w:rPr>
      </w:pPr>
    </w:p>
    <w:p>
      <w:pPr>
        <w:pStyle w:val="91"/>
        <w:spacing w:after="468"/>
        <w:sectPr>
          <w:pgSz w:w="11906" w:h="16838"/>
          <w:pgMar w:top="1928" w:right="1134" w:bottom="1134" w:left="1134" w:header="1418" w:footer="1134" w:gutter="284"/>
          <w:pgNumType w:fmt="upperRoman"/>
          <w:cols w:space="425" w:num="1"/>
          <w:formProt w:val="0"/>
          <w:docGrid w:type="lines" w:linePitch="312" w:charSpace="0"/>
        </w:sectPr>
      </w:pPr>
    </w:p>
    <w:bookmarkEnd w:id="18"/>
    <w:bookmarkEnd w:id="19"/>
    <w:bookmarkEnd w:id="20"/>
    <w:bookmarkEnd w:id="21"/>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8EB2378622E94064A56C55E513877957"/>
        </w:placeholder>
      </w:sdtPr>
      <w:sdtContent>
        <w:p>
          <w:pPr>
            <w:pStyle w:val="177"/>
            <w:spacing w:before="3" w:beforeLines="1" w:after="686" w:afterLines="220"/>
          </w:pPr>
          <w:bookmarkStart w:id="25" w:name="NEW_STAND_NAME"/>
          <w:r>
            <w:rPr>
              <w:rFonts w:hint="eastAsia"/>
            </w:rPr>
            <w:t>粮食仓储设施设备升级改造规范</w:t>
          </w:r>
        </w:p>
      </w:sdtContent>
    </w:sdt>
    <w:bookmarkEnd w:id="25"/>
    <w:p>
      <w:pPr>
        <w:pStyle w:val="104"/>
        <w:spacing w:before="312" w:after="312"/>
      </w:pPr>
      <w:bookmarkStart w:id="26" w:name="_Toc97191423"/>
      <w:bookmarkStart w:id="27" w:name="_Toc179459480"/>
      <w:bookmarkStart w:id="28" w:name="_Toc26986771"/>
      <w:bookmarkStart w:id="29" w:name="_Toc24884218"/>
      <w:bookmarkStart w:id="30" w:name="_Toc26718930"/>
      <w:bookmarkStart w:id="31" w:name="_Toc2774"/>
      <w:bookmarkStart w:id="32" w:name="_Toc179463374"/>
      <w:bookmarkStart w:id="33" w:name="_Toc24884211"/>
      <w:bookmarkStart w:id="34" w:name="_Toc26648465"/>
      <w:bookmarkStart w:id="35" w:name="_Toc17233333"/>
      <w:bookmarkStart w:id="36" w:name="_Toc21883"/>
      <w:bookmarkStart w:id="37" w:name="_Toc17233325"/>
      <w:bookmarkStart w:id="38" w:name="_Toc26986530"/>
      <w:bookmarkStart w:id="39" w:name="_Toc179459441"/>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bookmarkEnd w:id="39"/>
    </w:p>
    <w:p>
      <w:pPr>
        <w:pStyle w:val="56"/>
        <w:ind w:firstLine="420"/>
      </w:pPr>
      <w:bookmarkStart w:id="40" w:name="_Toc26648466"/>
      <w:bookmarkStart w:id="41" w:name="_Toc24884219"/>
      <w:bookmarkStart w:id="42" w:name="_Toc24884212"/>
      <w:bookmarkStart w:id="43" w:name="_Toc17233326"/>
      <w:bookmarkStart w:id="44" w:name="_Toc17233334"/>
      <w:r>
        <w:rPr>
          <w:rFonts w:hint="eastAsia"/>
        </w:rPr>
        <w:t>本文件规定了粮食仓储设施设备升级改造的总则、仓房气密隔热、储粮工艺设施、储粮机械设备、粮库信息系统、其他等要求。</w:t>
      </w:r>
    </w:p>
    <w:p>
      <w:pPr>
        <w:pStyle w:val="56"/>
        <w:ind w:firstLine="420"/>
      </w:pPr>
      <w:r>
        <w:rPr>
          <w:rFonts w:hint="eastAsia"/>
        </w:rPr>
        <w:t>本文件适用于本市粮食仓储设施设备</w:t>
      </w:r>
      <w:r>
        <w:rPr>
          <w:rFonts w:hint="eastAsia"/>
          <w:lang w:val="en-US" w:eastAsia="zh-CN"/>
        </w:rPr>
        <w:t>的</w:t>
      </w:r>
      <w:r>
        <w:rPr>
          <w:rFonts w:hint="eastAsia"/>
        </w:rPr>
        <w:t>升级改造。</w:t>
      </w:r>
    </w:p>
    <w:p>
      <w:pPr>
        <w:pStyle w:val="104"/>
        <w:spacing w:before="312" w:after="312"/>
        <w:rPr>
          <w:rFonts w:hint="eastAsia"/>
        </w:rPr>
      </w:pPr>
      <w:bookmarkStart w:id="45" w:name="_Toc26718931"/>
      <w:bookmarkStart w:id="46" w:name="_Toc97191424"/>
      <w:bookmarkStart w:id="47" w:name="_Toc179459481"/>
      <w:bookmarkStart w:id="48" w:name="_Toc10979"/>
      <w:bookmarkStart w:id="49" w:name="_Toc26986531"/>
      <w:bookmarkStart w:id="50" w:name="_Toc29488"/>
      <w:bookmarkStart w:id="51" w:name="_Toc179459442"/>
      <w:bookmarkStart w:id="52" w:name="_Toc179463375"/>
      <w:bookmarkStart w:id="53" w:name="_Toc26986772"/>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3594ABF1C9D44B3D99E0269C7308877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4706.1 家用和类似用途电器的安全通用要求</w:t>
      </w:r>
    </w:p>
    <w:p>
      <w:pPr>
        <w:pStyle w:val="56"/>
        <w:ind w:firstLine="420"/>
        <w:rPr>
          <w:rFonts w:hint="eastAsia"/>
        </w:rPr>
      </w:pPr>
      <w:r>
        <w:rPr>
          <w:rFonts w:hint="eastAsia"/>
        </w:rPr>
        <w:t>GB/T 5226.1 机械电气安全机械电气设备 第1部分：通用技术条件</w:t>
      </w:r>
    </w:p>
    <w:p>
      <w:pPr>
        <w:pStyle w:val="56"/>
        <w:ind w:firstLine="420"/>
        <w:rPr>
          <w:rFonts w:hint="eastAsia"/>
        </w:rPr>
      </w:pPr>
      <w:r>
        <w:rPr>
          <w:rFonts w:hint="eastAsia"/>
        </w:rPr>
        <w:t>GB 8624-2012 建筑材料及制品燃烧性能分级</w:t>
      </w:r>
    </w:p>
    <w:p>
      <w:pPr>
        <w:pStyle w:val="56"/>
        <w:ind w:firstLine="420"/>
      </w:pPr>
      <w:r>
        <w:rPr>
          <w:rFonts w:hint="eastAsia"/>
        </w:rPr>
        <w:t>GB/T 8814 门、窗用未增塑聚氯乙烯（PVC-U）型材</w:t>
      </w:r>
    </w:p>
    <w:p>
      <w:pPr>
        <w:pStyle w:val="56"/>
        <w:ind w:firstLine="420"/>
      </w:pPr>
      <w:r>
        <w:rPr>
          <w:rFonts w:hint="eastAsia"/>
        </w:rPr>
        <w:t>GB/T 10595 带式输送机</w:t>
      </w:r>
    </w:p>
    <w:p>
      <w:pPr>
        <w:pStyle w:val="56"/>
        <w:ind w:firstLine="420"/>
      </w:pPr>
      <w:r>
        <w:rPr>
          <w:rFonts w:hint="eastAsia"/>
        </w:rPr>
        <w:t>GB/T 10596 埋刮板输送机</w:t>
      </w:r>
    </w:p>
    <w:p>
      <w:pPr>
        <w:pStyle w:val="56"/>
        <w:ind w:firstLine="420"/>
      </w:pPr>
      <w:r>
        <w:rPr>
          <w:rFonts w:hint="eastAsia"/>
        </w:rPr>
        <w:t>GB/T 11918.1 工业用插头插座和耦合器 第一分部：通用要求</w:t>
      </w:r>
    </w:p>
    <w:p>
      <w:pPr>
        <w:pStyle w:val="56"/>
        <w:ind w:firstLine="420"/>
      </w:pPr>
      <w:r>
        <w:rPr>
          <w:rFonts w:hint="eastAsia"/>
        </w:rPr>
        <w:t>GB/T 13869 用电安全导则</w:t>
      </w:r>
    </w:p>
    <w:p>
      <w:pPr>
        <w:pStyle w:val="56"/>
        <w:ind w:firstLine="420"/>
      </w:pPr>
      <w:r>
        <w:rPr>
          <w:rFonts w:hint="eastAsia"/>
        </w:rPr>
        <w:t>GB/T 17758 单元式空气调节机</w:t>
      </w:r>
    </w:p>
    <w:p>
      <w:pPr>
        <w:pStyle w:val="56"/>
        <w:ind w:firstLine="420"/>
        <w:rPr>
          <w:rFonts w:hint="eastAsia"/>
        </w:rPr>
      </w:pPr>
      <w:r>
        <w:rPr>
          <w:rFonts w:hint="eastAsia"/>
        </w:rPr>
        <w:t>GB/T 17913 粮油储藏 磷化氢环流熏蒸装备</w:t>
      </w:r>
    </w:p>
    <w:p>
      <w:pPr>
        <w:pStyle w:val="56"/>
        <w:ind w:firstLine="420"/>
        <w:rPr>
          <w:rFonts w:hint="eastAsia"/>
        </w:rPr>
      </w:pPr>
      <w:r>
        <w:rPr>
          <w:rFonts w:hint="eastAsia"/>
        </w:rPr>
        <w:t>GB/T 21489 散粮汽车卸车装置</w:t>
      </w:r>
    </w:p>
    <w:p>
      <w:pPr>
        <w:pStyle w:val="56"/>
        <w:ind w:firstLine="420"/>
      </w:pPr>
      <w:r>
        <w:rPr>
          <w:rFonts w:hint="eastAsia"/>
        </w:rPr>
        <w:t>GB/T 23821 机械安全 防止上下肢触及危险区的安全距离</w:t>
      </w:r>
    </w:p>
    <w:p>
      <w:pPr>
        <w:pStyle w:val="56"/>
        <w:ind w:firstLine="420"/>
      </w:pPr>
      <w:r>
        <w:rPr>
          <w:rFonts w:hint="eastAsia"/>
        </w:rPr>
        <w:t xml:space="preserve">GB/T 25229 粮油储藏 </w:t>
      </w:r>
      <w:r>
        <w:rPr>
          <w:rFonts w:hint="eastAsia"/>
          <w:lang w:val="en-US" w:eastAsia="zh-CN"/>
        </w:rPr>
        <w:t>粮</w:t>
      </w:r>
      <w:r>
        <w:rPr>
          <w:rFonts w:hint="eastAsia"/>
        </w:rPr>
        <w:t>仓气密性要求</w:t>
      </w:r>
    </w:p>
    <w:p>
      <w:pPr>
        <w:pStyle w:val="56"/>
        <w:ind w:firstLine="420"/>
      </w:pPr>
      <w:r>
        <w:rPr>
          <w:rFonts w:hint="eastAsia"/>
        </w:rPr>
        <w:t>GB/T 25235 粮油机械 组合清理筛</w:t>
      </w:r>
    </w:p>
    <w:p>
      <w:pPr>
        <w:pStyle w:val="56"/>
        <w:ind w:firstLine="420"/>
      </w:pPr>
      <w:r>
        <w:rPr>
          <w:rFonts w:hint="eastAsia"/>
        </w:rPr>
        <w:t>GB/T 25294 电力综合控制机柜通用技术要求</w:t>
      </w:r>
    </w:p>
    <w:p>
      <w:pPr>
        <w:pStyle w:val="56"/>
        <w:ind w:firstLine="420"/>
      </w:pPr>
      <w:r>
        <w:rPr>
          <w:rFonts w:hint="eastAsia"/>
        </w:rPr>
        <w:t>GB/T 26879 粮油储藏 平房仓隔热技术规范</w:t>
      </w:r>
    </w:p>
    <w:p>
      <w:pPr>
        <w:pStyle w:val="56"/>
        <w:ind w:firstLine="420"/>
      </w:pPr>
      <w:r>
        <w:rPr>
          <w:rFonts w:hint="eastAsia"/>
        </w:rPr>
        <w:t>GB/T 26882 粮油储藏 粮情测控系统（所有部分）</w:t>
      </w:r>
    </w:p>
    <w:p>
      <w:pPr>
        <w:pStyle w:val="56"/>
        <w:ind w:firstLine="420"/>
      </w:pPr>
      <w:r>
        <w:rPr>
          <w:rFonts w:hint="eastAsia"/>
        </w:rPr>
        <w:t>GB/T 26893 粮油机械 圆筒初清筛</w:t>
      </w:r>
    </w:p>
    <w:p>
      <w:pPr>
        <w:pStyle w:val="56"/>
        <w:ind w:firstLine="420"/>
      </w:pPr>
      <w:r>
        <w:rPr>
          <w:rFonts w:hint="eastAsia"/>
        </w:rPr>
        <w:t>GB/T 26894 粮油机械 振动清理筛</w:t>
      </w:r>
    </w:p>
    <w:p>
      <w:pPr>
        <w:pStyle w:val="56"/>
        <w:ind w:firstLine="420"/>
        <w:rPr>
          <w:rFonts w:hint="eastAsia"/>
        </w:rPr>
      </w:pPr>
      <w:r>
        <w:rPr>
          <w:rFonts w:hint="eastAsia"/>
        </w:rPr>
        <w:t>GB/T 29890 粮油储藏技术规范</w:t>
      </w:r>
    </w:p>
    <w:p>
      <w:pPr>
        <w:pStyle w:val="56"/>
        <w:ind w:firstLine="420"/>
      </w:pPr>
      <w:r>
        <w:rPr>
          <w:rFonts w:hint="eastAsia"/>
        </w:rPr>
        <w:t>GB 30862 坠落防护 挂点装置</w:t>
      </w:r>
    </w:p>
    <w:p>
      <w:pPr>
        <w:pStyle w:val="56"/>
        <w:ind w:firstLine="420"/>
        <w:rPr>
          <w:rFonts w:hint="eastAsia"/>
        </w:rPr>
      </w:pPr>
      <w:r>
        <w:rPr>
          <w:rFonts w:hint="eastAsia"/>
        </w:rPr>
        <w:t>GB 37479 风管送风式空调机组能效限定值及能效等级</w:t>
      </w:r>
    </w:p>
    <w:p>
      <w:pPr>
        <w:pStyle w:val="56"/>
        <w:ind w:firstLine="420"/>
        <w:rPr>
          <w:rFonts w:hint="default"/>
          <w:highlight w:val="none"/>
          <w:lang w:val="en-US"/>
        </w:rPr>
      </w:pPr>
      <w:r>
        <w:rPr>
          <w:rFonts w:hint="eastAsia"/>
          <w:highlight w:val="none"/>
          <w:lang w:val="en-US" w:eastAsia="zh-CN"/>
        </w:rPr>
        <w:t>GB/T 45037 粮油机械 扒谷机</w:t>
      </w:r>
    </w:p>
    <w:p>
      <w:pPr>
        <w:pStyle w:val="56"/>
        <w:ind w:firstLine="420"/>
        <w:rPr>
          <w:rFonts w:hint="default"/>
          <w:lang w:val="en-US"/>
        </w:rPr>
      </w:pPr>
      <w:r>
        <w:rPr>
          <w:rFonts w:hint="eastAsia"/>
          <w:lang w:val="en-US" w:eastAsia="zh-CN"/>
        </w:rPr>
        <w:t>GB 46033 粮食仓库安全操作规程</w:t>
      </w:r>
    </w:p>
    <w:p>
      <w:pPr>
        <w:pStyle w:val="56"/>
        <w:ind w:firstLine="420"/>
      </w:pPr>
      <w:r>
        <w:rPr>
          <w:rFonts w:hint="eastAsia"/>
        </w:rPr>
        <w:t>GB 50054 低压配电设计规范</w:t>
      </w:r>
    </w:p>
    <w:p>
      <w:pPr>
        <w:pStyle w:val="56"/>
        <w:ind w:firstLine="420"/>
      </w:pPr>
      <w:r>
        <w:rPr>
          <w:rFonts w:hint="eastAsia"/>
        </w:rPr>
        <w:t>GB 50222 建筑内部装修设计防火规范</w:t>
      </w:r>
    </w:p>
    <w:p>
      <w:pPr>
        <w:pStyle w:val="56"/>
        <w:ind w:firstLine="420"/>
      </w:pPr>
      <w:r>
        <w:rPr>
          <w:rFonts w:hint="eastAsia"/>
        </w:rPr>
        <w:t>GB 50320 粮食平房仓设计规范</w:t>
      </w:r>
    </w:p>
    <w:p>
      <w:pPr>
        <w:pStyle w:val="56"/>
        <w:ind w:firstLine="420"/>
      </w:pPr>
      <w:r>
        <w:rPr>
          <w:rFonts w:hint="eastAsia"/>
        </w:rPr>
        <w:t>GB 50345 屋面工程技术规范</w:t>
      </w:r>
    </w:p>
    <w:p>
      <w:pPr>
        <w:pStyle w:val="56"/>
        <w:ind w:firstLine="420"/>
      </w:pPr>
      <w:r>
        <w:rPr>
          <w:rFonts w:hint="eastAsia"/>
        </w:rPr>
        <w:t>GB 50404 硬泡聚氨酯保温防水工程技术规范</w:t>
      </w:r>
    </w:p>
    <w:p>
      <w:pPr>
        <w:pStyle w:val="56"/>
        <w:ind w:firstLine="420"/>
        <w:rPr>
          <w:rFonts w:hint="default"/>
          <w:highlight w:val="cyan"/>
          <w:lang w:val="en-US" w:eastAsia="zh-CN"/>
        </w:rPr>
      </w:pPr>
      <w:r>
        <w:rPr>
          <w:rFonts w:hint="eastAsia"/>
          <w:highlight w:val="none"/>
          <w:lang w:val="en-US" w:eastAsia="zh-CN"/>
        </w:rPr>
        <w:t>GB/T 51350 近零能耗建筑技术标准</w:t>
      </w:r>
    </w:p>
    <w:p>
      <w:pPr>
        <w:pStyle w:val="56"/>
        <w:ind w:firstLine="420"/>
      </w:pPr>
      <w:r>
        <w:rPr>
          <w:rFonts w:hint="eastAsia"/>
        </w:rPr>
        <w:t>GB 55030 建筑与市政工程防水通用规范</w:t>
      </w:r>
    </w:p>
    <w:p>
      <w:pPr>
        <w:pStyle w:val="56"/>
        <w:ind w:firstLine="420"/>
        <w:rPr>
          <w:rFonts w:hint="eastAsia"/>
        </w:rPr>
      </w:pPr>
      <w:r>
        <w:rPr>
          <w:rFonts w:hint="eastAsia"/>
        </w:rPr>
        <w:t>J</w:t>
      </w:r>
      <w:r>
        <w:rPr>
          <w:rFonts w:hint="eastAsia"/>
          <w:lang w:val="en-US" w:eastAsia="zh-CN"/>
        </w:rPr>
        <w:t>G</w:t>
      </w:r>
      <w:r>
        <w:rPr>
          <w:rFonts w:hint="eastAsia"/>
        </w:rPr>
        <w:t>J 144</w:t>
      </w:r>
      <w:r>
        <w:rPr>
          <w:rFonts w:hint="eastAsia"/>
          <w:lang w:val="en-US" w:eastAsia="zh-CN"/>
        </w:rPr>
        <w:t xml:space="preserve"> </w:t>
      </w:r>
      <w:r>
        <w:rPr>
          <w:rFonts w:hint="eastAsia"/>
        </w:rPr>
        <w:t>外墙外保温工程技术标准</w:t>
      </w:r>
    </w:p>
    <w:p>
      <w:pPr>
        <w:pStyle w:val="56"/>
        <w:ind w:firstLine="420"/>
        <w:rPr>
          <w:rFonts w:hint="eastAsia"/>
        </w:rPr>
      </w:pPr>
      <w:r>
        <w:rPr>
          <w:rFonts w:hint="eastAsia"/>
        </w:rPr>
        <w:t>JB/T 8690 通风机 噪声限值</w:t>
      </w:r>
    </w:p>
    <w:p>
      <w:pPr>
        <w:pStyle w:val="56"/>
        <w:ind w:firstLine="420"/>
        <w:rPr>
          <w:rFonts w:hint="eastAsia"/>
        </w:rPr>
      </w:pPr>
      <w:r>
        <w:rPr>
          <w:rFonts w:hint="eastAsia"/>
        </w:rPr>
        <w:t>JB/T 10563 一般用途离心通风机 技术条件</w:t>
      </w:r>
    </w:p>
    <w:p>
      <w:pPr>
        <w:pStyle w:val="56"/>
        <w:ind w:firstLine="420"/>
      </w:pPr>
      <w:r>
        <w:rPr>
          <w:rFonts w:hint="eastAsia"/>
        </w:rPr>
        <w:t>LS/T 1202 储粮机械通风技术规程</w:t>
      </w:r>
    </w:p>
    <w:p>
      <w:pPr>
        <w:pStyle w:val="56"/>
        <w:ind w:firstLine="420"/>
      </w:pPr>
      <w:r>
        <w:rPr>
          <w:rFonts w:hint="eastAsia"/>
        </w:rPr>
        <w:t>LS 1207 粮食仓库机电设备安装技术规程</w:t>
      </w:r>
    </w:p>
    <w:p>
      <w:pPr>
        <w:pStyle w:val="56"/>
        <w:ind w:firstLine="420"/>
      </w:pPr>
      <w:r>
        <w:rPr>
          <w:rFonts w:hint="eastAsia"/>
        </w:rPr>
        <w:t>LS/T 1804 粮食出入库业务信息系统技术规范</w:t>
      </w:r>
    </w:p>
    <w:p>
      <w:pPr>
        <w:pStyle w:val="56"/>
        <w:ind w:firstLine="420"/>
      </w:pPr>
      <w:r>
        <w:rPr>
          <w:rFonts w:hint="eastAsia"/>
        </w:rPr>
        <w:t>LS/T 3530 水平螺旋输送机</w:t>
      </w:r>
    </w:p>
    <w:p>
      <w:pPr>
        <w:pStyle w:val="56"/>
        <w:ind w:firstLine="420"/>
      </w:pPr>
      <w:r>
        <w:rPr>
          <w:rFonts w:hint="eastAsia"/>
        </w:rPr>
        <w:t>LS 8004 粮食仓房维修改造技术规程</w:t>
      </w:r>
    </w:p>
    <w:p>
      <w:pPr>
        <w:pStyle w:val="56"/>
        <w:ind w:firstLine="420"/>
      </w:pPr>
      <w:r>
        <w:rPr>
          <w:rFonts w:hint="eastAsia"/>
        </w:rPr>
        <w:t>LS/T 8014 高标准粮仓建设标准</w:t>
      </w:r>
    </w:p>
    <w:p>
      <w:pPr>
        <w:pStyle w:val="104"/>
        <w:spacing w:before="312" w:after="312"/>
      </w:pPr>
      <w:bookmarkStart w:id="54" w:name="_Toc24307"/>
      <w:bookmarkStart w:id="55" w:name="_Toc7643"/>
      <w:bookmarkStart w:id="56" w:name="_Toc179463378"/>
      <w:bookmarkStart w:id="57" w:name="_Toc97191425"/>
      <w:bookmarkStart w:id="58" w:name="_Toc179459482"/>
      <w:bookmarkStart w:id="59" w:name="_Toc179459443"/>
      <w:r>
        <w:rPr>
          <w:rFonts w:hint="eastAsia"/>
          <w:szCs w:val="21"/>
        </w:rPr>
        <w:t>术语和定义</w:t>
      </w:r>
      <w:bookmarkEnd w:id="54"/>
      <w:bookmarkEnd w:id="55"/>
      <w:bookmarkEnd w:id="56"/>
      <w:bookmarkEnd w:id="57"/>
      <w:bookmarkEnd w:id="58"/>
      <w:bookmarkEnd w:id="59"/>
    </w:p>
    <w:sdt>
      <w:sdtPr>
        <w:id w:val="-1"/>
        <w:placeholder>
          <w:docPart w:val="CEA7E6A72EBB45A8A8900744122008D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60" w:name="_Toc26986532"/>
          <w:bookmarkEnd w:id="60"/>
          <w:r>
            <w:t>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升级改造 upgrade and renovation</w:t>
      </w:r>
    </w:p>
    <w:p>
      <w:pPr>
        <w:pStyle w:val="56"/>
        <w:ind w:firstLine="420"/>
      </w:pPr>
      <w:r>
        <w:rPr>
          <w:rFonts w:hint="eastAsia"/>
          <w:lang w:val="en-US" w:eastAsia="zh-CN"/>
        </w:rPr>
        <w:t>为改善仓房既有功能、增加新功能，</w:t>
      </w:r>
      <w:r>
        <w:rPr>
          <w:rFonts w:hint="eastAsia"/>
        </w:rPr>
        <w:t>对现有仓房建筑、结构、工艺设备、机械设备及附属设施等</w:t>
      </w:r>
      <w:r>
        <w:rPr>
          <w:rFonts w:hint="eastAsia"/>
          <w:lang w:val="en-US" w:eastAsia="zh-CN"/>
        </w:rPr>
        <w:t>实施的</w:t>
      </w:r>
      <w:r>
        <w:rPr>
          <w:rFonts w:hint="eastAsia"/>
        </w:rPr>
        <w:t>改造、更新</w:t>
      </w:r>
      <w:r>
        <w:rPr>
          <w:rFonts w:hint="eastAsia"/>
          <w:lang w:val="en-US" w:eastAsia="zh-CN"/>
        </w:rPr>
        <w:t>措施</w:t>
      </w:r>
      <w:r>
        <w:rPr>
          <w:rFonts w:hint="eastAsia"/>
        </w:rPr>
        <w:t>。</w:t>
      </w:r>
    </w:p>
    <w:p>
      <w:pPr>
        <w:pStyle w:val="104"/>
        <w:spacing w:before="312" w:after="312"/>
      </w:pPr>
      <w:bookmarkStart w:id="61" w:name="_Toc179463379"/>
      <w:bookmarkStart w:id="62" w:name="_Toc17884"/>
      <w:bookmarkStart w:id="63" w:name="_Toc3807"/>
      <w:r>
        <w:rPr>
          <w:rFonts w:hint="eastAsia"/>
        </w:rPr>
        <w:t>总则</w:t>
      </w:r>
      <w:bookmarkEnd w:id="61"/>
      <w:bookmarkEnd w:id="62"/>
      <w:bookmarkEnd w:id="63"/>
    </w:p>
    <w:p>
      <w:pPr>
        <w:pStyle w:val="162"/>
      </w:pPr>
      <w:r>
        <w:rPr>
          <w:rFonts w:hint="eastAsia"/>
        </w:rPr>
        <w:t>本文件所称“粮食仓储设施设备”是指当前用于政策性粮食储</w:t>
      </w:r>
      <w:r>
        <w:rPr>
          <w:rFonts w:hint="eastAsia"/>
          <w:lang w:val="en-US" w:eastAsia="zh-CN"/>
        </w:rPr>
        <w:t>藏</w:t>
      </w:r>
      <w:r>
        <w:rPr>
          <w:rFonts w:hint="eastAsia"/>
        </w:rPr>
        <w:t>，或经</w:t>
      </w:r>
      <w:r>
        <w:rPr>
          <w:rFonts w:hint="eastAsia"/>
          <w:lang w:val="en-US" w:eastAsia="zh-CN"/>
        </w:rPr>
        <w:t>升级</w:t>
      </w:r>
      <w:r>
        <w:rPr>
          <w:rFonts w:hint="eastAsia"/>
        </w:rPr>
        <w:t>改造后达到政策性粮食储</w:t>
      </w:r>
      <w:r>
        <w:rPr>
          <w:rFonts w:hint="eastAsia"/>
          <w:lang w:val="en-US" w:eastAsia="zh-CN"/>
        </w:rPr>
        <w:t>藏</w:t>
      </w:r>
      <w:r>
        <w:rPr>
          <w:rFonts w:hint="eastAsia"/>
        </w:rPr>
        <w:t>条件的设施设备。粮食仓储设施设备升级改造应</w:t>
      </w:r>
      <w:r>
        <w:rPr>
          <w:rFonts w:hint="eastAsia"/>
          <w:lang w:val="en-US" w:eastAsia="zh-CN"/>
        </w:rPr>
        <w:t>遵循</w:t>
      </w:r>
      <w:r>
        <w:rPr>
          <w:rFonts w:hint="eastAsia"/>
        </w:rPr>
        <w:t>“绿色、生态、环保、节能、安全”原则</w:t>
      </w:r>
      <w:r>
        <w:rPr>
          <w:rFonts w:hint="eastAsia"/>
          <w:lang w:eastAsia="zh-CN"/>
        </w:rPr>
        <w:t>，</w:t>
      </w:r>
      <w:r>
        <w:rPr>
          <w:rFonts w:hint="eastAsia"/>
          <w:lang w:val="en-US" w:eastAsia="zh-CN"/>
        </w:rPr>
        <w:t>实现</w:t>
      </w:r>
      <w:r>
        <w:rPr>
          <w:rFonts w:hint="eastAsia"/>
        </w:rPr>
        <w:t>控温储藏保质保鲜、药剂使用减量增效、仓储作业环境友好</w:t>
      </w:r>
      <w:r>
        <w:rPr>
          <w:rFonts w:hint="default"/>
          <w:lang w:val="en-US"/>
        </w:rPr>
        <w:t>的</w:t>
      </w:r>
      <w:r>
        <w:rPr>
          <w:rFonts w:hint="eastAsia"/>
        </w:rPr>
        <w:t>目标。</w:t>
      </w:r>
    </w:p>
    <w:p>
      <w:pPr>
        <w:pStyle w:val="162"/>
      </w:pPr>
      <w:r>
        <w:rPr>
          <w:rFonts w:hint="eastAsia"/>
          <w:lang w:val="en-US" w:eastAsia="zh-CN"/>
        </w:rPr>
        <w:t>当粮食仓储设施设备</w:t>
      </w:r>
      <w:r>
        <w:rPr>
          <w:rFonts w:hint="eastAsia"/>
        </w:rPr>
        <w:t>不符合</w:t>
      </w:r>
      <w:r>
        <w:rPr>
          <w:rFonts w:hint="eastAsia"/>
          <w:lang w:val="en-US" w:eastAsia="zh-CN"/>
        </w:rPr>
        <w:t>节能减排、</w:t>
      </w:r>
      <w:r>
        <w:rPr>
          <w:rFonts w:hint="eastAsia"/>
        </w:rPr>
        <w:t>安全生产和环保政策要求</w:t>
      </w:r>
      <w:r>
        <w:rPr>
          <w:rFonts w:hint="eastAsia"/>
          <w:lang w:eastAsia="zh-CN"/>
        </w:rPr>
        <w:t>，</w:t>
      </w:r>
      <w:r>
        <w:rPr>
          <w:rFonts w:hint="eastAsia"/>
          <w:lang w:val="en-US" w:eastAsia="zh-CN"/>
        </w:rPr>
        <w:t>或</w:t>
      </w:r>
      <w:r>
        <w:rPr>
          <w:rFonts w:hint="eastAsia"/>
        </w:rPr>
        <w:t>无法满足</w:t>
      </w:r>
      <w:r>
        <w:rPr>
          <w:rFonts w:hint="eastAsia"/>
          <w:lang w:val="en-US" w:eastAsia="zh-CN"/>
        </w:rPr>
        <w:t>绿色生态储粮</w:t>
      </w:r>
      <w:r>
        <w:rPr>
          <w:rFonts w:hint="eastAsia"/>
        </w:rPr>
        <w:t>工艺</w:t>
      </w:r>
      <w:r>
        <w:rPr>
          <w:rFonts w:hint="eastAsia"/>
          <w:lang w:eastAsia="zh-CN"/>
        </w:rPr>
        <w:t>、</w:t>
      </w:r>
      <w:r>
        <w:rPr>
          <w:rFonts w:hint="eastAsia"/>
        </w:rPr>
        <w:t>作业</w:t>
      </w:r>
      <w:r>
        <w:rPr>
          <w:rFonts w:hint="eastAsia"/>
          <w:lang w:val="en-US" w:eastAsia="zh-CN"/>
        </w:rPr>
        <w:t>产能</w:t>
      </w:r>
      <w:r>
        <w:rPr>
          <w:rFonts w:hint="eastAsia"/>
        </w:rPr>
        <w:t>需求</w:t>
      </w:r>
      <w:r>
        <w:rPr>
          <w:rFonts w:hint="eastAsia"/>
          <w:lang w:val="en-US" w:eastAsia="zh-CN"/>
        </w:rPr>
        <w:t>时</w:t>
      </w:r>
      <w:r>
        <w:rPr>
          <w:rFonts w:hint="eastAsia"/>
        </w:rPr>
        <w:t>，</w:t>
      </w:r>
      <w:r>
        <w:rPr>
          <w:rFonts w:hint="eastAsia"/>
          <w:lang w:val="en-US" w:eastAsia="zh-CN"/>
        </w:rPr>
        <w:t>应进行升级改造。</w:t>
      </w:r>
    </w:p>
    <w:p>
      <w:pPr>
        <w:pStyle w:val="162"/>
      </w:pPr>
      <w:r>
        <w:rPr>
          <w:rFonts w:hint="eastAsia"/>
        </w:rPr>
        <w:t>升级改造宜选用具备节能、减损、降噪、抑尘等功能的储粮工艺设施和储粮机械设备。升级改造的粮食仓储设施应未到设计使用年限且主体结构安全</w:t>
      </w:r>
      <w:r>
        <w:rPr>
          <w:rFonts w:hint="eastAsia"/>
          <w:lang w:eastAsia="zh-CN"/>
        </w:rPr>
        <w:t>，</w:t>
      </w:r>
      <w:r>
        <w:rPr>
          <w:rFonts w:hint="eastAsia"/>
        </w:rPr>
        <w:t>升级改造部分使用年限应按LS 8004的规定不低于原结构剩余使用寿命，且改造后不应降</w:t>
      </w:r>
      <w:r>
        <w:rPr>
          <w:rFonts w:hint="eastAsia"/>
          <w:lang w:val="en-US" w:eastAsia="zh-CN"/>
        </w:rPr>
        <w:t>低</w:t>
      </w:r>
      <w:r>
        <w:rPr>
          <w:rFonts w:hint="eastAsia"/>
        </w:rPr>
        <w:t>仓房原有的设计使用年限。</w:t>
      </w:r>
      <w:r>
        <w:rPr>
          <w:rFonts w:hint="eastAsia"/>
          <w:lang w:val="en-US" w:eastAsia="zh-CN"/>
        </w:rPr>
        <w:t>设备改造</w:t>
      </w:r>
      <w:r>
        <w:rPr>
          <w:rFonts w:hint="eastAsia"/>
        </w:rPr>
        <w:t>需综合技术评估、维护保养、政策要求与经济性分析等</w:t>
      </w:r>
      <w:r>
        <w:rPr>
          <w:rFonts w:hint="eastAsia"/>
          <w:lang w:val="en-US" w:eastAsia="zh-CN"/>
        </w:rPr>
        <w:t>因素确定。</w:t>
      </w:r>
    </w:p>
    <w:p>
      <w:pPr>
        <w:pStyle w:val="162"/>
      </w:pPr>
      <w:r>
        <w:rPr>
          <w:rFonts w:hint="eastAsia"/>
          <w:lang w:val="en-US" w:eastAsia="zh-CN"/>
        </w:rPr>
        <w:t>应</w:t>
      </w:r>
      <w:r>
        <w:rPr>
          <w:rFonts w:hint="eastAsia"/>
        </w:rPr>
        <w:t>综合应用多参数粮情检测和有害生物综合防治等绿色储粮技术。</w:t>
      </w:r>
    </w:p>
    <w:p>
      <w:pPr>
        <w:pStyle w:val="162"/>
        <w:rPr>
          <w:rFonts w:hint="eastAsia" w:eastAsia="宋体"/>
          <w:lang w:eastAsia="zh-CN"/>
        </w:rPr>
      </w:pPr>
      <w:r>
        <w:rPr>
          <w:rFonts w:hint="eastAsia"/>
        </w:rPr>
        <w:t>升级改造应按照相关安全操作规范的要求进行，升级改造后的设施设备应符合相应的国家标准或行业标准，并通过技术验收。</w:t>
      </w:r>
    </w:p>
    <w:p>
      <w:pPr>
        <w:pStyle w:val="104"/>
        <w:spacing w:before="312" w:after="312"/>
      </w:pPr>
      <w:bookmarkStart w:id="64" w:name="_Toc21560"/>
      <w:bookmarkStart w:id="65" w:name="_Toc26627"/>
      <w:bookmarkStart w:id="66" w:name="_Toc179463380"/>
      <w:r>
        <w:rPr>
          <w:rFonts w:hint="eastAsia"/>
        </w:rPr>
        <w:t>仓房气密隔热</w:t>
      </w:r>
      <w:bookmarkEnd w:id="64"/>
      <w:bookmarkEnd w:id="65"/>
      <w:bookmarkEnd w:id="66"/>
    </w:p>
    <w:p>
      <w:pPr>
        <w:pStyle w:val="105"/>
        <w:spacing w:before="156" w:after="156"/>
      </w:pPr>
      <w:bookmarkStart w:id="67" w:name="_Toc179463381"/>
      <w:bookmarkStart w:id="68" w:name="_Toc7258"/>
      <w:bookmarkStart w:id="69" w:name="_Toc14514"/>
      <w:r>
        <w:rPr>
          <w:rFonts w:hint="eastAsia"/>
        </w:rPr>
        <w:t>一般要求</w:t>
      </w:r>
      <w:bookmarkEnd w:id="67"/>
      <w:bookmarkEnd w:id="68"/>
      <w:bookmarkEnd w:id="69"/>
    </w:p>
    <w:p>
      <w:pPr>
        <w:pStyle w:val="165"/>
      </w:pPr>
      <w:r>
        <w:rPr>
          <w:rFonts w:hint="eastAsia"/>
        </w:rPr>
        <w:t>改造方案</w:t>
      </w:r>
      <w:r>
        <w:rPr>
          <w:rFonts w:hint="eastAsia"/>
          <w:lang w:val="en-US" w:eastAsia="zh-CN"/>
        </w:rPr>
        <w:t>设计</w:t>
      </w:r>
      <w:r>
        <w:rPr>
          <w:rFonts w:hint="eastAsia"/>
        </w:rPr>
        <w:t>、材</w:t>
      </w:r>
      <w:r>
        <w:rPr>
          <w:rFonts w:hint="eastAsia"/>
          <w:lang w:val="en-US" w:eastAsia="zh-CN"/>
        </w:rPr>
        <w:t>料选用及</w:t>
      </w:r>
      <w:r>
        <w:rPr>
          <w:rFonts w:hint="eastAsia"/>
        </w:rPr>
        <w:t>门窗选型等</w:t>
      </w:r>
      <w:r>
        <w:rPr>
          <w:rFonts w:hint="eastAsia"/>
          <w:lang w:val="en-US" w:eastAsia="zh-CN"/>
        </w:rPr>
        <w:t>应确保</w:t>
      </w:r>
      <w:r>
        <w:rPr>
          <w:rFonts w:hint="eastAsia"/>
        </w:rPr>
        <w:t>节能保温效果</w:t>
      </w:r>
      <w:r>
        <w:rPr>
          <w:rFonts w:hint="eastAsia"/>
          <w:lang w:val="en-US" w:eastAsia="zh-CN"/>
        </w:rPr>
        <w:t>符合</w:t>
      </w:r>
      <w:r>
        <w:rPr>
          <w:rFonts w:hint="eastAsia"/>
        </w:rPr>
        <w:t>GB/T 51350要求。</w:t>
      </w:r>
    </w:p>
    <w:p>
      <w:pPr>
        <w:pStyle w:val="165"/>
      </w:pPr>
      <w:r>
        <w:rPr>
          <w:rFonts w:hint="eastAsia"/>
          <w:lang w:val="en-US" w:eastAsia="zh-CN"/>
        </w:rPr>
        <w:t>改造后</w:t>
      </w:r>
      <w:r>
        <w:rPr>
          <w:rFonts w:hint="eastAsia"/>
        </w:rPr>
        <w:t>仓房</w:t>
      </w:r>
      <w:r>
        <w:rPr>
          <w:rFonts w:hint="eastAsia"/>
          <w:lang w:val="en-US" w:eastAsia="zh-CN"/>
        </w:rPr>
        <w:t>的气密性等级需满足：</w:t>
      </w:r>
      <w:r>
        <w:rPr>
          <w:rFonts w:hint="eastAsia"/>
          <w:highlight w:val="none"/>
          <w:lang w:val="en-US" w:eastAsia="zh-CN"/>
        </w:rPr>
        <w:t>准</w:t>
      </w:r>
      <w:r>
        <w:rPr>
          <w:rFonts w:hint="eastAsia"/>
          <w:highlight w:val="none"/>
        </w:rPr>
        <w:t>低温控温和内环流</w:t>
      </w:r>
      <w:r>
        <w:rPr>
          <w:rFonts w:hint="eastAsia"/>
          <w:highlight w:val="none"/>
          <w:lang w:val="en-US" w:eastAsia="zh-CN"/>
        </w:rPr>
        <w:t>均</w:t>
      </w:r>
      <w:r>
        <w:rPr>
          <w:rFonts w:hint="eastAsia"/>
          <w:highlight w:val="none"/>
        </w:rPr>
        <w:t>温（</w:t>
      </w:r>
      <w:r>
        <w:rPr>
          <w:rFonts w:hint="eastAsia"/>
          <w:highlight w:val="none"/>
          <w:lang w:val="en-US" w:eastAsia="zh-CN"/>
        </w:rPr>
        <w:t>均</w:t>
      </w:r>
      <w:r>
        <w:rPr>
          <w:rFonts w:hint="eastAsia"/>
          <w:highlight w:val="none"/>
        </w:rPr>
        <w:t>湿）仓房500</w:t>
      </w:r>
      <w:r>
        <w:rPr>
          <w:rFonts w:hint="eastAsia"/>
          <w:highlight w:val="none"/>
          <w:lang w:val="en-US" w:eastAsia="zh-CN"/>
        </w:rPr>
        <w:t xml:space="preserve"> </w:t>
      </w:r>
      <w:r>
        <w:rPr>
          <w:rFonts w:hint="eastAsia"/>
          <w:highlight w:val="none"/>
        </w:rPr>
        <w:t>Pa气密性半衰期应</w:t>
      </w:r>
      <w:r>
        <w:rPr>
          <w:rFonts w:hint="eastAsia"/>
          <w:highlight w:val="none"/>
          <w:lang w:val="en-US" w:eastAsia="zh-CN"/>
        </w:rPr>
        <w:t>不低于</w:t>
      </w:r>
      <w:r>
        <w:rPr>
          <w:rFonts w:hint="eastAsia"/>
          <w:highlight w:val="none"/>
        </w:rPr>
        <w:t xml:space="preserve">60 </w:t>
      </w:r>
      <w:r>
        <w:rPr>
          <w:rFonts w:hint="eastAsia"/>
          <w:highlight w:val="none"/>
          <w:lang w:val="en-US" w:eastAsia="zh-CN"/>
        </w:rPr>
        <w:t>s</w:t>
      </w:r>
      <w:r>
        <w:rPr>
          <w:rFonts w:hint="eastAsia"/>
          <w:highlight w:val="none"/>
        </w:rPr>
        <w:t>，熏蒸仓房500</w:t>
      </w:r>
      <w:r>
        <w:rPr>
          <w:rFonts w:hint="eastAsia"/>
          <w:highlight w:val="none"/>
          <w:lang w:val="en-US" w:eastAsia="zh-CN"/>
        </w:rPr>
        <w:t xml:space="preserve"> </w:t>
      </w:r>
      <w:r>
        <w:rPr>
          <w:rFonts w:hint="eastAsia"/>
          <w:highlight w:val="none"/>
        </w:rPr>
        <w:t>Pa气密性半衰期应</w:t>
      </w:r>
      <w:r>
        <w:rPr>
          <w:rFonts w:hint="eastAsia"/>
          <w:highlight w:val="none"/>
          <w:lang w:val="en-US" w:eastAsia="zh-CN"/>
        </w:rPr>
        <w:t>不低于</w:t>
      </w:r>
      <w:r>
        <w:rPr>
          <w:rFonts w:hint="eastAsia"/>
          <w:highlight w:val="none"/>
        </w:rPr>
        <w:t xml:space="preserve">120 </w:t>
      </w:r>
      <w:r>
        <w:rPr>
          <w:rFonts w:hint="eastAsia"/>
          <w:highlight w:val="none"/>
          <w:lang w:val="en-US" w:eastAsia="zh-CN"/>
        </w:rPr>
        <w:t>s</w:t>
      </w:r>
      <w:r>
        <w:rPr>
          <w:rFonts w:hint="eastAsia"/>
        </w:rPr>
        <w:t>。仓房气密性检测类型和方法按GB/T 25229的规定执行。</w:t>
      </w:r>
    </w:p>
    <w:p>
      <w:pPr>
        <w:pStyle w:val="165"/>
      </w:pPr>
      <w:r>
        <w:rPr>
          <w:rFonts w:hint="eastAsia"/>
        </w:rPr>
        <w:t>隔热改造后的效果符合LS/T 8014的要求，达到如下表所示的技术指标。</w:t>
      </w:r>
    </w:p>
    <w:p>
      <w:pPr>
        <w:pStyle w:val="112"/>
        <w:spacing w:before="156" w:after="156"/>
      </w:pPr>
      <w:r>
        <w:rPr>
          <w:rFonts w:hint="eastAsia"/>
        </w:rPr>
        <w:t>不同储粮</w:t>
      </w:r>
      <w:r>
        <w:rPr>
          <w:rFonts w:hint="eastAsia"/>
          <w:lang w:val="en-US" w:eastAsia="zh-CN"/>
        </w:rPr>
        <w:t>生态</w:t>
      </w:r>
      <w:r>
        <w:rPr>
          <w:rFonts w:hint="eastAsia"/>
        </w:rPr>
        <w:t>区围护结构传热系数</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3"/>
        <w:gridCol w:w="2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4" w:type="dxa"/>
            <w:vAlign w:val="center"/>
          </w:tcPr>
          <w:p>
            <w:pPr>
              <w:pStyle w:val="178"/>
              <w:rPr>
                <w:szCs w:val="18"/>
              </w:rPr>
            </w:pPr>
            <w:r>
              <w:rPr>
                <w:rFonts w:hint="eastAsia" w:hAnsi="宋体" w:cs="宋体"/>
                <w:sz w:val="18"/>
                <w:szCs w:val="18"/>
              </w:rPr>
              <w:t>储粮</w:t>
            </w:r>
            <w:r>
              <w:rPr>
                <w:rFonts w:hint="eastAsia" w:hAnsi="宋体" w:cs="宋体"/>
                <w:szCs w:val="18"/>
                <w:lang w:val="en-US" w:eastAsia="zh-CN"/>
              </w:rPr>
              <w:t>生态</w:t>
            </w:r>
            <w:r>
              <w:rPr>
                <w:rFonts w:hint="eastAsia" w:hAnsi="宋体" w:cs="宋体"/>
                <w:sz w:val="18"/>
                <w:szCs w:val="18"/>
              </w:rPr>
              <w:t>区</w:t>
            </w:r>
          </w:p>
        </w:tc>
        <w:tc>
          <w:tcPr>
            <w:tcW w:w="2333" w:type="dxa"/>
            <w:vAlign w:val="center"/>
          </w:tcPr>
          <w:p>
            <w:pPr>
              <w:pStyle w:val="178"/>
              <w:rPr>
                <w:szCs w:val="18"/>
              </w:rPr>
            </w:pPr>
            <w:r>
              <w:rPr>
                <w:rFonts w:hint="eastAsia" w:hAnsi="宋体" w:cs="宋体"/>
                <w:sz w:val="18"/>
                <w:szCs w:val="18"/>
              </w:rPr>
              <w:t>对应地区</w:t>
            </w:r>
          </w:p>
        </w:tc>
        <w:tc>
          <w:tcPr>
            <w:tcW w:w="2333" w:type="dxa"/>
            <w:vAlign w:val="center"/>
          </w:tcPr>
          <w:p>
            <w:pPr>
              <w:pStyle w:val="230"/>
              <w:ind w:firstLine="0" w:firstLineChars="0"/>
              <w:jc w:val="center"/>
              <w:rPr>
                <w:rFonts w:ascii="宋体" w:hAnsi="宋体" w:eastAsia="宋体" w:cs="宋体"/>
                <w:sz w:val="18"/>
                <w:szCs w:val="18"/>
              </w:rPr>
            </w:pPr>
            <w:r>
              <w:rPr>
                <w:rFonts w:hint="eastAsia" w:ascii="宋体" w:hAnsi="宋体" w:eastAsia="宋体" w:cs="宋体"/>
                <w:sz w:val="18"/>
                <w:szCs w:val="18"/>
              </w:rPr>
              <w:t>墙体传热系数</w:t>
            </w:r>
          </w:p>
          <w:p>
            <w:pPr>
              <w:pStyle w:val="178"/>
              <w:rPr>
                <w:szCs w:val="18"/>
              </w:rPr>
            </w:pPr>
            <w:r>
              <w:rPr>
                <w:rFonts w:hint="eastAsia" w:hAnsi="宋体" w:cs="宋体"/>
                <w:sz w:val="18"/>
                <w:szCs w:val="18"/>
              </w:rPr>
              <w:t>W/㎡•K</w:t>
            </w:r>
          </w:p>
        </w:tc>
        <w:tc>
          <w:tcPr>
            <w:tcW w:w="2334" w:type="dxa"/>
            <w:vAlign w:val="center"/>
          </w:tcPr>
          <w:p>
            <w:pPr>
              <w:pStyle w:val="230"/>
              <w:ind w:firstLine="0" w:firstLineChars="0"/>
              <w:jc w:val="center"/>
              <w:rPr>
                <w:rFonts w:ascii="宋体" w:hAnsi="宋体" w:eastAsia="宋体" w:cs="宋体"/>
                <w:sz w:val="18"/>
                <w:szCs w:val="18"/>
              </w:rPr>
            </w:pPr>
            <w:r>
              <w:rPr>
                <w:rFonts w:hint="eastAsia" w:ascii="宋体" w:hAnsi="宋体" w:eastAsia="宋体" w:cs="宋体"/>
                <w:sz w:val="18"/>
                <w:szCs w:val="18"/>
              </w:rPr>
              <w:t>仓盖传热系数</w:t>
            </w:r>
          </w:p>
          <w:p>
            <w:pPr>
              <w:pStyle w:val="178"/>
              <w:rPr>
                <w:szCs w:val="18"/>
              </w:rPr>
            </w:pPr>
            <w:r>
              <w:rPr>
                <w:rFonts w:hint="eastAsia" w:hAnsi="宋体" w:cs="宋体"/>
                <w:sz w:val="18"/>
                <w:szCs w:val="18"/>
              </w:rPr>
              <w:t>W/㎡•K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178"/>
              <w:rPr>
                <w:szCs w:val="18"/>
              </w:rPr>
            </w:pPr>
            <w:r>
              <w:rPr>
                <w:rFonts w:hint="eastAsia" w:hAnsi="宋体" w:cs="宋体"/>
                <w:szCs w:val="18"/>
              </w:rPr>
              <w:t>第二储粮</w:t>
            </w:r>
            <w:r>
              <w:rPr>
                <w:rFonts w:hint="eastAsia" w:hAnsi="宋体" w:cs="宋体"/>
                <w:szCs w:val="18"/>
                <w:lang w:val="en-US" w:eastAsia="zh-CN"/>
              </w:rPr>
              <w:t>生态</w:t>
            </w:r>
            <w:r>
              <w:rPr>
                <w:rFonts w:hint="eastAsia" w:hAnsi="宋体" w:cs="宋体"/>
                <w:szCs w:val="18"/>
              </w:rPr>
              <w:t>区</w:t>
            </w:r>
          </w:p>
        </w:tc>
        <w:tc>
          <w:tcPr>
            <w:tcW w:w="2333" w:type="dxa"/>
            <w:vAlign w:val="center"/>
          </w:tcPr>
          <w:p>
            <w:pPr>
              <w:pStyle w:val="178"/>
              <w:rPr>
                <w:szCs w:val="18"/>
              </w:rPr>
            </w:pPr>
            <w:r>
              <w:rPr>
                <w:rFonts w:hint="eastAsia" w:hAnsi="宋体" w:cs="宋体"/>
                <w:szCs w:val="18"/>
              </w:rPr>
              <w:t>西部、北部山区</w:t>
            </w:r>
          </w:p>
        </w:tc>
        <w:tc>
          <w:tcPr>
            <w:tcW w:w="2333" w:type="dxa"/>
            <w:vAlign w:val="center"/>
          </w:tcPr>
          <w:p>
            <w:pPr>
              <w:pStyle w:val="178"/>
              <w:rPr>
                <w:szCs w:val="18"/>
              </w:rPr>
            </w:pPr>
            <w:r>
              <w:rPr>
                <w:rFonts w:hint="eastAsia" w:hAnsi="宋体" w:cs="宋体"/>
                <w:szCs w:val="18"/>
              </w:rPr>
              <w:t>0.59～0.70</w:t>
            </w:r>
          </w:p>
        </w:tc>
        <w:tc>
          <w:tcPr>
            <w:tcW w:w="2334" w:type="dxa"/>
            <w:vAlign w:val="center"/>
          </w:tcPr>
          <w:p>
            <w:pPr>
              <w:pStyle w:val="178"/>
              <w:rPr>
                <w:szCs w:val="18"/>
              </w:rPr>
            </w:pPr>
            <w:r>
              <w:rPr>
                <w:rFonts w:hint="eastAsia" w:hAnsi="宋体" w:cs="宋体"/>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Align w:val="center"/>
          </w:tcPr>
          <w:p>
            <w:pPr>
              <w:pStyle w:val="178"/>
              <w:rPr>
                <w:szCs w:val="18"/>
              </w:rPr>
            </w:pPr>
            <w:r>
              <w:rPr>
                <w:rFonts w:hint="eastAsia" w:hAnsi="宋体" w:cs="宋体"/>
                <w:szCs w:val="18"/>
              </w:rPr>
              <w:t>第四储粮</w:t>
            </w:r>
            <w:r>
              <w:rPr>
                <w:rFonts w:hint="eastAsia" w:hAnsi="宋体" w:cs="宋体"/>
                <w:szCs w:val="18"/>
                <w:lang w:val="en-US" w:eastAsia="zh-CN"/>
              </w:rPr>
              <w:t>生态</w:t>
            </w:r>
            <w:r>
              <w:rPr>
                <w:rFonts w:hint="eastAsia" w:hAnsi="宋体" w:cs="宋体"/>
                <w:szCs w:val="18"/>
              </w:rPr>
              <w:t>区</w:t>
            </w:r>
          </w:p>
        </w:tc>
        <w:tc>
          <w:tcPr>
            <w:tcW w:w="2333" w:type="dxa"/>
            <w:vAlign w:val="center"/>
          </w:tcPr>
          <w:p>
            <w:pPr>
              <w:pStyle w:val="178"/>
              <w:rPr>
                <w:szCs w:val="18"/>
              </w:rPr>
            </w:pPr>
            <w:r>
              <w:rPr>
                <w:rFonts w:hint="eastAsia" w:hAnsi="宋体" w:cs="宋体"/>
                <w:szCs w:val="18"/>
              </w:rPr>
              <w:t>平原地区</w:t>
            </w:r>
          </w:p>
        </w:tc>
        <w:tc>
          <w:tcPr>
            <w:tcW w:w="2333" w:type="dxa"/>
            <w:vAlign w:val="center"/>
          </w:tcPr>
          <w:p>
            <w:pPr>
              <w:pStyle w:val="178"/>
              <w:rPr>
                <w:szCs w:val="18"/>
              </w:rPr>
            </w:pPr>
            <w:r>
              <w:rPr>
                <w:rFonts w:hint="eastAsia" w:hAnsi="宋体" w:cs="宋体"/>
                <w:szCs w:val="18"/>
              </w:rPr>
              <w:t>0.53～0.58</w:t>
            </w:r>
          </w:p>
        </w:tc>
        <w:tc>
          <w:tcPr>
            <w:tcW w:w="2334" w:type="dxa"/>
            <w:vAlign w:val="center"/>
          </w:tcPr>
          <w:p>
            <w:pPr>
              <w:pStyle w:val="178"/>
              <w:rPr>
                <w:szCs w:val="18"/>
              </w:rPr>
            </w:pPr>
            <w:r>
              <w:rPr>
                <w:rFonts w:hint="eastAsia" w:hAnsi="宋体" w:cs="宋体"/>
                <w:szCs w:val="18"/>
              </w:rPr>
              <w:t>≤0.4</w:t>
            </w:r>
          </w:p>
        </w:tc>
      </w:tr>
    </w:tbl>
    <w:p>
      <w:pPr>
        <w:pStyle w:val="105"/>
        <w:spacing w:before="156" w:after="156"/>
      </w:pPr>
      <w:bookmarkStart w:id="70" w:name="_Toc4254"/>
      <w:bookmarkStart w:id="71" w:name="_Toc13477"/>
      <w:bookmarkStart w:id="72" w:name="_Toc179463382"/>
      <w:r>
        <w:rPr>
          <w:rFonts w:hint="eastAsia"/>
        </w:rPr>
        <w:t>仓盖</w:t>
      </w:r>
      <w:bookmarkEnd w:id="70"/>
      <w:bookmarkEnd w:id="71"/>
      <w:bookmarkEnd w:id="72"/>
    </w:p>
    <w:p>
      <w:pPr>
        <w:pStyle w:val="65"/>
        <w:spacing w:before="156" w:after="156"/>
      </w:pPr>
      <w:bookmarkStart w:id="73" w:name="_Toc22079"/>
      <w:bookmarkStart w:id="74" w:name="_Toc969"/>
      <w:bookmarkStart w:id="75" w:name="_Toc12248"/>
      <w:bookmarkStart w:id="76" w:name="_Toc179463438"/>
      <w:bookmarkStart w:id="77" w:name="_Toc6885"/>
      <w:bookmarkStart w:id="78" w:name="_Toc179463383"/>
      <w:r>
        <w:rPr>
          <w:rFonts w:hint="eastAsia"/>
        </w:rPr>
        <w:t>一般要求</w:t>
      </w:r>
      <w:bookmarkEnd w:id="73"/>
      <w:bookmarkEnd w:id="74"/>
      <w:bookmarkEnd w:id="75"/>
      <w:bookmarkEnd w:id="76"/>
      <w:bookmarkEnd w:id="77"/>
      <w:bookmarkEnd w:id="78"/>
    </w:p>
    <w:p>
      <w:pPr>
        <w:pStyle w:val="164"/>
      </w:pPr>
      <w:r>
        <w:rPr>
          <w:rFonts w:hint="eastAsia"/>
        </w:rPr>
        <w:t>仓盖气密隔热分为仓盖外部改造工程和仓盖内部改造工程。改造方案包括但不限于：</w:t>
      </w:r>
    </w:p>
    <w:p>
      <w:pPr>
        <w:pStyle w:val="174"/>
      </w:pPr>
      <w:r>
        <w:rPr>
          <w:rFonts w:hint="eastAsia"/>
        </w:rPr>
        <w:t>仓盖外部加装架空层；</w:t>
      </w:r>
    </w:p>
    <w:p>
      <w:pPr>
        <w:pStyle w:val="174"/>
      </w:pPr>
      <w:r>
        <w:rPr>
          <w:rFonts w:hint="eastAsia"/>
        </w:rPr>
        <w:t>仓盖外部涂刷反射隔热涂料；</w:t>
      </w:r>
    </w:p>
    <w:p>
      <w:pPr>
        <w:pStyle w:val="174"/>
      </w:pPr>
      <w:r>
        <w:rPr>
          <w:rFonts w:hint="eastAsia"/>
        </w:rPr>
        <w:t>仓盖外部铺贴隔热卷材；</w:t>
      </w:r>
    </w:p>
    <w:p>
      <w:pPr>
        <w:pStyle w:val="174"/>
      </w:pPr>
      <w:r>
        <w:rPr>
          <w:rFonts w:hint="eastAsia"/>
        </w:rPr>
        <w:t>仓盖内、外部喷涂聚氨酯发泡层；</w:t>
      </w:r>
    </w:p>
    <w:p>
      <w:pPr>
        <w:pStyle w:val="174"/>
      </w:pPr>
      <w:r>
        <w:rPr>
          <w:rFonts w:hint="eastAsia"/>
        </w:rPr>
        <w:t>仓盖内部吊顶。</w:t>
      </w:r>
    </w:p>
    <w:p>
      <w:pPr>
        <w:pStyle w:val="164"/>
      </w:pPr>
      <w:r>
        <w:rPr>
          <w:rFonts w:hint="eastAsia"/>
        </w:rPr>
        <w:t>仓盖防水等级应符合GB 55030的规定，改造后仓盖防水等级达到</w:t>
      </w:r>
      <w:r>
        <w:rPr>
          <w:rFonts w:hint="eastAsia"/>
          <w:lang w:val="en-US" w:eastAsia="zh-CN"/>
        </w:rPr>
        <w:t>一</w:t>
      </w:r>
      <w:r>
        <w:rPr>
          <w:rFonts w:hint="eastAsia"/>
        </w:rPr>
        <w:t>级。</w:t>
      </w:r>
    </w:p>
    <w:p>
      <w:pPr>
        <w:pStyle w:val="65"/>
        <w:spacing w:before="156" w:after="156"/>
      </w:pPr>
      <w:bookmarkStart w:id="79" w:name="_Toc179463439"/>
      <w:bookmarkStart w:id="80" w:name="_Toc179463384"/>
      <w:bookmarkStart w:id="81" w:name="_Toc28552"/>
      <w:bookmarkStart w:id="82" w:name="_Toc20928"/>
      <w:bookmarkStart w:id="83" w:name="_Toc16841"/>
      <w:bookmarkStart w:id="84" w:name="_Toc13834"/>
      <w:r>
        <w:rPr>
          <w:rFonts w:hint="eastAsia"/>
        </w:rPr>
        <w:t>仓盖外部加装架空层</w:t>
      </w:r>
      <w:bookmarkEnd w:id="79"/>
      <w:bookmarkEnd w:id="80"/>
      <w:bookmarkEnd w:id="81"/>
      <w:bookmarkEnd w:id="82"/>
      <w:bookmarkEnd w:id="83"/>
      <w:bookmarkEnd w:id="84"/>
    </w:p>
    <w:p>
      <w:pPr>
        <w:pStyle w:val="164"/>
      </w:pPr>
      <w:r>
        <w:rPr>
          <w:rFonts w:hint="eastAsia"/>
        </w:rPr>
        <w:t>改造前由有资质的第三方结构安全检测鉴定机构出具</w:t>
      </w:r>
      <w:r>
        <w:rPr>
          <w:rFonts w:hint="eastAsia"/>
          <w:lang w:val="en-US" w:eastAsia="zh-CN"/>
        </w:rPr>
        <w:t>鉴定</w:t>
      </w:r>
      <w:r>
        <w:rPr>
          <w:rFonts w:hint="eastAsia"/>
        </w:rPr>
        <w:t>意见。当承载力许可时，可在仓盖外部增加架空层。架空层应与原有结构连接紧密、稳定牢固，能够承受风荷载、重力荷载。</w:t>
      </w:r>
    </w:p>
    <w:p>
      <w:pPr>
        <w:pStyle w:val="164"/>
      </w:pPr>
      <w:r>
        <w:rPr>
          <w:rFonts w:hint="eastAsia"/>
        </w:rPr>
        <w:t>架空层材料应具有一定的强度，满足抗折、抗压要求</w:t>
      </w:r>
      <w:r>
        <w:rPr>
          <w:rFonts w:hint="eastAsia"/>
          <w:lang w:eastAsia="zh-CN"/>
        </w:rPr>
        <w:t>，</w:t>
      </w:r>
      <w:r>
        <w:rPr>
          <w:rFonts w:hint="eastAsia"/>
        </w:rPr>
        <w:t>冲击强度应不小于3.0</w:t>
      </w:r>
      <w:r>
        <w:rPr>
          <w:rFonts w:hint="eastAsia"/>
          <w:lang w:val="en-US" w:eastAsia="zh-CN"/>
        </w:rPr>
        <w:t xml:space="preserve"> K</w:t>
      </w:r>
      <w:r>
        <w:rPr>
          <w:rFonts w:hint="eastAsia"/>
        </w:rPr>
        <w:t>J/m</w:t>
      </w:r>
      <w:r>
        <w:rPr>
          <w:rFonts w:hint="eastAsia"/>
          <w:vertAlign w:val="superscript"/>
          <w:lang w:val="en-US" w:eastAsia="zh-CN"/>
        </w:rPr>
        <w:t>2</w:t>
      </w:r>
      <w:r>
        <w:rPr>
          <w:rFonts w:hint="eastAsia"/>
          <w:lang w:eastAsia="zh-CN"/>
        </w:rPr>
        <w:t>，</w:t>
      </w:r>
      <w:r>
        <w:rPr>
          <w:rFonts w:hint="eastAsia"/>
        </w:rPr>
        <w:t>压折比不大于3.0；材料吸水率</w:t>
      </w:r>
      <w:r>
        <w:rPr>
          <w:rFonts w:hint="eastAsia"/>
          <w:lang w:eastAsia="zh-CN"/>
        </w:rPr>
        <w:t>不高于</w:t>
      </w:r>
      <w:r>
        <w:rPr>
          <w:rFonts w:hint="eastAsia"/>
        </w:rPr>
        <w:t>7.1%；外表面宜为</w:t>
      </w:r>
      <w:r>
        <w:rPr>
          <w:rFonts w:hint="eastAsia"/>
          <w:lang w:val="en-US" w:eastAsia="zh-CN"/>
        </w:rPr>
        <w:t>浅</w:t>
      </w:r>
      <w:r>
        <w:rPr>
          <w:rFonts w:hint="eastAsia"/>
        </w:rPr>
        <w:t>色，较光滑。</w:t>
      </w:r>
    </w:p>
    <w:p>
      <w:pPr>
        <w:pStyle w:val="164"/>
      </w:pPr>
      <w:r>
        <w:rPr>
          <w:rFonts w:hint="eastAsia"/>
        </w:rPr>
        <w:t>架空层高度应根据屋面宽度和坡度确定，一般为</w:t>
      </w:r>
      <w:r>
        <w:rPr>
          <w:rFonts w:hint="eastAsia"/>
          <w:lang w:val="en-US" w:eastAsia="zh-CN"/>
        </w:rPr>
        <w:t>2</w:t>
      </w:r>
      <w:r>
        <w:rPr>
          <w:rFonts w:hint="eastAsia"/>
        </w:rPr>
        <w:t>00 mm ～</w:t>
      </w:r>
      <w:r>
        <w:rPr>
          <w:rFonts w:hint="eastAsia"/>
          <w:lang w:val="en-US" w:eastAsia="zh-CN"/>
        </w:rPr>
        <w:t>4</w:t>
      </w:r>
      <w:r>
        <w:rPr>
          <w:rFonts w:hint="eastAsia"/>
        </w:rPr>
        <w:t>00 mm，以便架空层中的热空气顺利排出。坡度较大的屋面，宜在架空层起脊处设置无动力风帽，间距不宜超过12 m。</w:t>
      </w:r>
    </w:p>
    <w:p>
      <w:pPr>
        <w:pStyle w:val="164"/>
      </w:pPr>
      <w:r>
        <w:rPr>
          <w:rFonts w:hint="eastAsia"/>
        </w:rPr>
        <w:t>架空层施工应符合GB 50345的相关要求，架空层内外温差</w:t>
      </w:r>
      <w:r>
        <w:rPr>
          <w:rFonts w:hint="eastAsia"/>
          <w:lang w:eastAsia="zh-CN"/>
        </w:rPr>
        <w:t>不低于</w:t>
      </w:r>
      <w:r>
        <w:rPr>
          <w:rFonts w:hint="eastAsia"/>
        </w:rPr>
        <w:t>5.5 ℃。</w:t>
      </w:r>
    </w:p>
    <w:p>
      <w:pPr>
        <w:pStyle w:val="65"/>
        <w:spacing w:before="156" w:after="156"/>
      </w:pPr>
      <w:bookmarkStart w:id="85" w:name="_Toc467"/>
      <w:bookmarkStart w:id="86" w:name="_Toc179463385"/>
      <w:bookmarkStart w:id="87" w:name="_Toc10527"/>
      <w:bookmarkStart w:id="88" w:name="_Toc179463440"/>
      <w:bookmarkStart w:id="89" w:name="_Toc24907"/>
      <w:bookmarkStart w:id="90" w:name="_Toc17227"/>
      <w:r>
        <w:rPr>
          <w:rFonts w:hint="eastAsia"/>
        </w:rPr>
        <w:t>仓盖外部涂刷隔热涂料</w:t>
      </w:r>
      <w:bookmarkEnd w:id="85"/>
      <w:bookmarkEnd w:id="86"/>
      <w:bookmarkEnd w:id="87"/>
      <w:bookmarkEnd w:id="88"/>
      <w:bookmarkEnd w:id="89"/>
      <w:bookmarkEnd w:id="90"/>
    </w:p>
    <w:p>
      <w:pPr>
        <w:pStyle w:val="164"/>
      </w:pPr>
      <w:r>
        <w:rPr>
          <w:rFonts w:hint="eastAsia"/>
        </w:rPr>
        <w:t>隔热涂料应</w:t>
      </w:r>
      <w:r>
        <w:rPr>
          <w:rFonts w:hint="eastAsia"/>
          <w:lang w:val="en-US" w:eastAsia="zh-CN"/>
        </w:rPr>
        <w:t>符合</w:t>
      </w:r>
      <w:r>
        <w:rPr>
          <w:rFonts w:hint="eastAsia"/>
        </w:rPr>
        <w:t>GB/T 26879的要求，</w:t>
      </w:r>
      <w:r>
        <w:rPr>
          <w:rFonts w:hint="eastAsia"/>
          <w:lang w:val="en-US" w:eastAsia="zh-CN"/>
        </w:rPr>
        <w:t>具备</w:t>
      </w:r>
      <w:r>
        <w:rPr>
          <w:rFonts w:hint="eastAsia"/>
        </w:rPr>
        <w:t>隔热、防腐、防水、耐老化、耐酸碱、耐污染、附着性强</w:t>
      </w:r>
      <w:r>
        <w:rPr>
          <w:rFonts w:hint="eastAsia"/>
          <w:lang w:val="en-US" w:eastAsia="zh-CN"/>
        </w:rPr>
        <w:t>等性能，</w:t>
      </w:r>
      <w:r>
        <w:rPr>
          <w:rFonts w:hint="eastAsia"/>
        </w:rPr>
        <w:t>环境适应性和柔韧性好，</w:t>
      </w:r>
      <w:r>
        <w:rPr>
          <w:rFonts w:hint="eastAsia"/>
          <w:lang w:val="en-US" w:eastAsia="zh-CN"/>
        </w:rPr>
        <w:t>宜</w:t>
      </w:r>
      <w:r>
        <w:rPr>
          <w:rFonts w:hint="eastAsia"/>
        </w:rPr>
        <w:t>具有自清洁特性。</w:t>
      </w:r>
    </w:p>
    <w:p>
      <w:pPr>
        <w:pStyle w:val="164"/>
      </w:pPr>
      <w:r>
        <w:rPr>
          <w:rFonts w:hint="eastAsia"/>
        </w:rPr>
        <w:t>隔热涂料宜选用具有辐射制冷特性或气凝胶成分特性的材料，成膜太阳光反射比应不小于0.9，污染后太阳光反射比变化率不大于20%。</w:t>
      </w:r>
    </w:p>
    <w:p>
      <w:pPr>
        <w:pStyle w:val="164"/>
      </w:pPr>
      <w:r>
        <w:rPr>
          <w:rFonts w:hint="eastAsia"/>
        </w:rPr>
        <w:t>仓顶施工时，应在基层达到平整、清洁、牢固等要求后再涂刷。</w:t>
      </w:r>
    </w:p>
    <w:p>
      <w:pPr>
        <w:pStyle w:val="164"/>
      </w:pPr>
      <w:r>
        <w:rPr>
          <w:rFonts w:hint="eastAsia"/>
        </w:rPr>
        <w:t>仓顶为非金属基材时，不宜涂料施工</w:t>
      </w:r>
      <w:r>
        <w:rPr>
          <w:rFonts w:hint="eastAsia"/>
          <w:lang w:eastAsia="zh-CN"/>
        </w:rPr>
        <w:t>。</w:t>
      </w:r>
    </w:p>
    <w:p>
      <w:pPr>
        <w:pStyle w:val="65"/>
        <w:spacing w:before="156" w:after="156"/>
      </w:pPr>
      <w:bookmarkStart w:id="91" w:name="_Toc16263"/>
      <w:bookmarkStart w:id="92" w:name="_Toc179463441"/>
      <w:bookmarkStart w:id="93" w:name="_Toc179463386"/>
      <w:bookmarkStart w:id="94" w:name="_Toc27511"/>
      <w:bookmarkStart w:id="95" w:name="_Toc27401"/>
      <w:bookmarkStart w:id="96" w:name="_Toc20659"/>
      <w:r>
        <w:rPr>
          <w:rFonts w:hint="eastAsia"/>
        </w:rPr>
        <w:t>仓盖外部铺贴隔热卷材</w:t>
      </w:r>
      <w:bookmarkEnd w:id="91"/>
      <w:bookmarkEnd w:id="92"/>
      <w:bookmarkEnd w:id="93"/>
      <w:bookmarkEnd w:id="94"/>
      <w:bookmarkEnd w:id="95"/>
      <w:bookmarkEnd w:id="96"/>
    </w:p>
    <w:p>
      <w:pPr>
        <w:pStyle w:val="164"/>
      </w:pPr>
      <w:r>
        <w:rPr>
          <w:rFonts w:hint="eastAsia"/>
        </w:rPr>
        <w:t>隔热卷材宜选用具有辐射制冷特性或气凝胶成分特性的材料，太阳光反射比不低于0.8，污染后太阳光反射比变化率不大于20%，在-30</w:t>
      </w:r>
      <w:r>
        <w:rPr>
          <w:rFonts w:hint="eastAsia"/>
          <w:lang w:val="en-US" w:eastAsia="zh-CN"/>
        </w:rPr>
        <w:t xml:space="preserve"> </w:t>
      </w:r>
      <w:r>
        <w:rPr>
          <w:rFonts w:hint="eastAsia"/>
        </w:rPr>
        <w:t>℃到70</w:t>
      </w:r>
      <w:r>
        <w:rPr>
          <w:rFonts w:hint="eastAsia"/>
          <w:lang w:val="en-US" w:eastAsia="zh-CN"/>
        </w:rPr>
        <w:t xml:space="preserve"> </w:t>
      </w:r>
      <w:r>
        <w:rPr>
          <w:rFonts w:hint="eastAsia"/>
        </w:rPr>
        <w:t>℃温度范围内外观及品质不发生变化，燃烧性能</w:t>
      </w:r>
      <w:r>
        <w:rPr>
          <w:rFonts w:hint="eastAsia"/>
          <w:lang w:val="en-US" w:eastAsia="zh-CN"/>
        </w:rPr>
        <w:t>等级应</w:t>
      </w:r>
      <w:r>
        <w:rPr>
          <w:rFonts w:hint="eastAsia"/>
        </w:rPr>
        <w:t>达到GB 8624</w:t>
      </w:r>
      <w:r>
        <w:rPr>
          <w:rFonts w:hint="eastAsia"/>
          <w:highlight w:val="none"/>
        </w:rPr>
        <w:t>-2012</w:t>
      </w:r>
      <w:r>
        <w:rPr>
          <w:rFonts w:hint="eastAsia"/>
        </w:rPr>
        <w:t>规定的B</w:t>
      </w:r>
      <w:r>
        <w:rPr>
          <w:rFonts w:hint="eastAsia"/>
          <w:vertAlign w:val="subscript"/>
          <w:lang w:val="en-US" w:eastAsia="zh-CN"/>
        </w:rPr>
        <w:t>1</w:t>
      </w:r>
      <w:r>
        <w:rPr>
          <w:rFonts w:hint="eastAsia"/>
        </w:rPr>
        <w:t>级。</w:t>
      </w:r>
    </w:p>
    <w:p>
      <w:pPr>
        <w:pStyle w:val="164"/>
      </w:pPr>
      <w:r>
        <w:rPr>
          <w:rFonts w:hint="eastAsia"/>
        </w:rPr>
        <w:t>辐射制冷特性卷材宜具有自粘性能，方便铺贴，剥离强度（卷材与铝板/水泥砂浆板）</w:t>
      </w:r>
      <w:r>
        <w:rPr>
          <w:rFonts w:hint="eastAsia"/>
          <w:lang w:eastAsia="zh-CN"/>
        </w:rPr>
        <w:t>不低于</w:t>
      </w:r>
      <w:r>
        <w:rPr>
          <w:rFonts w:hint="eastAsia"/>
        </w:rPr>
        <w:t>1.5</w:t>
      </w:r>
      <w:r>
        <w:rPr>
          <w:rFonts w:hint="eastAsia"/>
          <w:lang w:val="en-US" w:eastAsia="zh-CN"/>
        </w:rPr>
        <w:t xml:space="preserve"> </w:t>
      </w:r>
      <w:r>
        <w:rPr>
          <w:rFonts w:hint="eastAsia"/>
        </w:rPr>
        <w:t>N/mm 。外表面光滑，宜为浅色，具备自洁能力，不应有划伤和气泡。人工气候加速老化10000</w:t>
      </w:r>
      <w:r>
        <w:rPr>
          <w:rFonts w:hint="eastAsia"/>
          <w:lang w:val="en-US" w:eastAsia="zh-CN"/>
        </w:rPr>
        <w:t xml:space="preserve"> </w:t>
      </w:r>
      <w:r>
        <w:rPr>
          <w:rFonts w:hint="eastAsia"/>
        </w:rPr>
        <w:t>h，外观无粉化、分层，拉力保持率</w:t>
      </w:r>
      <w:r>
        <w:rPr>
          <w:rFonts w:hint="eastAsia"/>
          <w:lang w:eastAsia="zh-CN"/>
        </w:rPr>
        <w:t>不低于</w:t>
      </w:r>
      <w:r>
        <w:rPr>
          <w:rFonts w:hint="eastAsia"/>
        </w:rPr>
        <w:t>80%。</w:t>
      </w:r>
    </w:p>
    <w:p>
      <w:pPr>
        <w:pStyle w:val="164"/>
      </w:pPr>
      <w:r>
        <w:rPr>
          <w:rFonts w:hint="eastAsia"/>
        </w:rPr>
        <w:t>气凝胶隔热卷材宜具有自粘性能，方便铺贴，剥离强度</w:t>
      </w:r>
      <w:r>
        <w:rPr>
          <w:rFonts w:hint="eastAsia"/>
          <w:lang w:eastAsia="zh-CN"/>
        </w:rPr>
        <w:t>不低于</w:t>
      </w:r>
      <w:r>
        <w:rPr>
          <w:rFonts w:hint="eastAsia"/>
        </w:rPr>
        <w:t>0.8 N/mm，低温柔性（-40 ℃）无裂纹，隔热温差</w:t>
      </w:r>
      <w:r>
        <w:rPr>
          <w:rFonts w:hint="eastAsia"/>
          <w:lang w:eastAsia="zh-CN"/>
        </w:rPr>
        <w:t>不低于</w:t>
      </w:r>
      <w:r>
        <w:rPr>
          <w:rFonts w:hint="eastAsia"/>
        </w:rPr>
        <w:t>25</w:t>
      </w:r>
      <w:r>
        <w:rPr>
          <w:rFonts w:hint="eastAsia"/>
          <w:lang w:val="en-US" w:eastAsia="zh-CN"/>
        </w:rPr>
        <w:t xml:space="preserve"> </w:t>
      </w:r>
      <w:r>
        <w:rPr>
          <w:rFonts w:hint="eastAsia"/>
        </w:rPr>
        <w:t>℃。</w:t>
      </w:r>
    </w:p>
    <w:p>
      <w:pPr>
        <w:pStyle w:val="164"/>
      </w:pPr>
      <w:r>
        <w:rPr>
          <w:rFonts w:hint="eastAsia"/>
        </w:rPr>
        <w:t>仓顶施工时，应在基层达到平整、清洁、牢固且防水工程完工及达标后再铺贴</w:t>
      </w:r>
      <w:r>
        <w:rPr>
          <w:rFonts w:hint="eastAsia"/>
          <w:lang w:eastAsia="zh-CN"/>
        </w:rPr>
        <w:t>。</w:t>
      </w:r>
    </w:p>
    <w:p>
      <w:pPr>
        <w:pStyle w:val="65"/>
        <w:spacing w:before="156" w:after="156"/>
      </w:pPr>
      <w:bookmarkStart w:id="97" w:name="_Toc2343"/>
      <w:bookmarkStart w:id="98" w:name="_Toc22976"/>
      <w:bookmarkStart w:id="99" w:name="_Toc6103"/>
      <w:bookmarkStart w:id="100" w:name="_Toc179463387"/>
      <w:bookmarkStart w:id="101" w:name="_Toc179463442"/>
      <w:bookmarkStart w:id="102" w:name="_Toc6341"/>
      <w:r>
        <w:rPr>
          <w:rFonts w:hint="eastAsia"/>
        </w:rPr>
        <w:t>仓盖内、外部喷涂聚氨酯发泡层</w:t>
      </w:r>
      <w:bookmarkEnd w:id="97"/>
      <w:bookmarkEnd w:id="98"/>
      <w:bookmarkEnd w:id="99"/>
      <w:bookmarkEnd w:id="100"/>
      <w:bookmarkEnd w:id="101"/>
      <w:bookmarkEnd w:id="102"/>
    </w:p>
    <w:p>
      <w:pPr>
        <w:pStyle w:val="164"/>
      </w:pPr>
      <w:r>
        <w:rPr>
          <w:rFonts w:hint="eastAsia"/>
        </w:rPr>
        <w:t>芯材聚氨酯的导热系数应</w:t>
      </w:r>
      <w:r>
        <w:rPr>
          <w:rFonts w:hint="eastAsia"/>
          <w:lang w:eastAsia="zh-CN"/>
        </w:rPr>
        <w:t>不高于</w:t>
      </w:r>
      <w:r>
        <w:rPr>
          <w:rFonts w:hint="eastAsia"/>
        </w:rPr>
        <w:t>0.024 W/（m·K</w:t>
      </w:r>
      <w:r>
        <w:rPr>
          <w:rFonts w:hint="eastAsia"/>
          <w:lang w:eastAsia="zh-CN"/>
        </w:rPr>
        <w:t>），</w:t>
      </w:r>
      <w:r>
        <w:rPr>
          <w:rFonts w:hint="eastAsia"/>
        </w:rPr>
        <w:t>聚氨酯发泡层硬泡闭孔率应</w:t>
      </w:r>
      <w:r>
        <w:rPr>
          <w:rFonts w:hint="eastAsia"/>
          <w:lang w:eastAsia="zh-CN"/>
        </w:rPr>
        <w:t>不低于</w:t>
      </w:r>
      <w:r>
        <w:rPr>
          <w:rFonts w:hint="eastAsia"/>
        </w:rPr>
        <w:t>95%；延展性</w:t>
      </w:r>
      <w:r>
        <w:rPr>
          <w:rFonts w:hint="eastAsia"/>
          <w:lang w:eastAsia="zh-CN"/>
        </w:rPr>
        <w:t>高于</w:t>
      </w:r>
      <w:r>
        <w:rPr>
          <w:rFonts w:hint="eastAsia"/>
        </w:rPr>
        <w:t>5%。应耐弱酸、弱碱等化学物质侵蚀，与金属、混凝土、木质等基面有较强的粘结能力。低温（-50 ℃）时不脆裂，高温（150 ℃）时不流淌、不粘连。</w:t>
      </w:r>
    </w:p>
    <w:p>
      <w:pPr>
        <w:pStyle w:val="164"/>
      </w:pPr>
      <w:r>
        <w:rPr>
          <w:rFonts w:hint="eastAsia"/>
        </w:rPr>
        <w:t>仓盖外部发泡应增设保护层，防水性能应达到GB 55030规定的一级防水要求；仓盖内部发泡应均匀，表面整齐，周边与仓房结合紧密。</w:t>
      </w:r>
    </w:p>
    <w:p>
      <w:pPr>
        <w:pStyle w:val="164"/>
      </w:pPr>
      <w:r>
        <w:rPr>
          <w:rFonts w:hint="eastAsia"/>
        </w:rPr>
        <w:t>材料要求、设计要点与细部构造、工程施工以及质量与验收应符合J</w:t>
      </w:r>
      <w:r>
        <w:rPr>
          <w:rFonts w:hint="eastAsia"/>
          <w:lang w:val="en-US" w:eastAsia="zh-CN"/>
        </w:rPr>
        <w:t>G</w:t>
      </w:r>
      <w:r>
        <w:rPr>
          <w:rFonts w:hint="eastAsia"/>
        </w:rPr>
        <w:t>J 14</w:t>
      </w:r>
      <w:r>
        <w:rPr>
          <w:rFonts w:hint="eastAsia"/>
          <w:lang w:val="en-US" w:eastAsia="zh-CN"/>
        </w:rPr>
        <w:t>4</w:t>
      </w:r>
      <w:r>
        <w:rPr>
          <w:rFonts w:hint="eastAsia"/>
        </w:rPr>
        <w:t>和GB 50404的相关要求。</w:t>
      </w:r>
    </w:p>
    <w:p>
      <w:pPr>
        <w:pStyle w:val="65"/>
        <w:spacing w:before="156" w:after="156"/>
      </w:pPr>
      <w:bookmarkStart w:id="103" w:name="_Toc11993"/>
      <w:bookmarkStart w:id="104" w:name="_Toc179463388"/>
      <w:bookmarkStart w:id="105" w:name="_Toc28546"/>
      <w:bookmarkStart w:id="106" w:name="_Toc179463443"/>
      <w:bookmarkStart w:id="107" w:name="_Toc7785"/>
      <w:bookmarkStart w:id="108" w:name="_Toc29701"/>
      <w:r>
        <w:rPr>
          <w:rFonts w:hint="eastAsia"/>
        </w:rPr>
        <w:t>仓盖内部吊顶</w:t>
      </w:r>
      <w:bookmarkEnd w:id="103"/>
      <w:bookmarkEnd w:id="104"/>
      <w:bookmarkEnd w:id="105"/>
      <w:bookmarkEnd w:id="106"/>
      <w:bookmarkEnd w:id="107"/>
      <w:bookmarkEnd w:id="108"/>
    </w:p>
    <w:p>
      <w:pPr>
        <w:pStyle w:val="164"/>
      </w:pPr>
      <w:r>
        <w:rPr>
          <w:rFonts w:hint="eastAsia"/>
        </w:rPr>
        <w:t>仓盖结构承载力许可情况下，可增设吊顶。</w:t>
      </w:r>
    </w:p>
    <w:p>
      <w:pPr>
        <w:pStyle w:val="164"/>
      </w:pPr>
      <w:r>
        <w:rPr>
          <w:rFonts w:hint="eastAsia"/>
        </w:rPr>
        <w:t>吊顶的技术要求和注意事项按GB/T 26879</w:t>
      </w:r>
      <w:r>
        <w:rPr>
          <w:rFonts w:hint="eastAsia"/>
          <w:lang w:val="en-US" w:eastAsia="zh-CN"/>
        </w:rPr>
        <w:t>的规定</w:t>
      </w:r>
      <w:r>
        <w:rPr>
          <w:rFonts w:hint="eastAsia"/>
        </w:rPr>
        <w:t>执行，应兼顾隔热效果和外形美观。</w:t>
      </w:r>
    </w:p>
    <w:p>
      <w:pPr>
        <w:pStyle w:val="164"/>
      </w:pPr>
      <w:r>
        <w:rPr>
          <w:rFonts w:hint="eastAsia"/>
        </w:rPr>
        <w:t>吊顶材料导热系数</w:t>
      </w:r>
      <w:r>
        <w:rPr>
          <w:rFonts w:hint="eastAsia"/>
          <w:lang w:eastAsia="zh-CN"/>
        </w:rPr>
        <w:t>不高于</w:t>
      </w:r>
      <w:r>
        <w:rPr>
          <w:rFonts w:hint="eastAsia"/>
        </w:rPr>
        <w:t>0.05 W/（m•K），热收缩率</w:t>
      </w:r>
      <w:r>
        <w:rPr>
          <w:rFonts w:hint="eastAsia"/>
          <w:lang w:eastAsia="zh-CN"/>
        </w:rPr>
        <w:t>低于</w:t>
      </w:r>
      <w:r>
        <w:rPr>
          <w:rFonts w:hint="eastAsia"/>
        </w:rPr>
        <w:t>0.3%，氧指数</w:t>
      </w:r>
      <w:r>
        <w:rPr>
          <w:rFonts w:hint="eastAsia"/>
          <w:lang w:eastAsia="zh-CN"/>
        </w:rPr>
        <w:t>高于</w:t>
      </w:r>
      <w:r>
        <w:rPr>
          <w:rFonts w:hint="eastAsia"/>
        </w:rPr>
        <w:t>35%，燃点3000 ℃以上，吸水率</w:t>
      </w:r>
      <w:r>
        <w:rPr>
          <w:rFonts w:hint="eastAsia"/>
          <w:lang w:eastAsia="zh-CN"/>
        </w:rPr>
        <w:t>低于</w:t>
      </w:r>
      <w:r>
        <w:rPr>
          <w:rFonts w:hint="eastAsia"/>
        </w:rPr>
        <w:t>15%，吸湿率</w:t>
      </w:r>
      <w:r>
        <w:rPr>
          <w:rFonts w:hint="eastAsia"/>
          <w:lang w:eastAsia="zh-CN"/>
        </w:rPr>
        <w:t>低于</w:t>
      </w:r>
      <w:r>
        <w:rPr>
          <w:rFonts w:hint="eastAsia"/>
        </w:rPr>
        <w:t>4%，燃烧性能</w:t>
      </w:r>
      <w:r>
        <w:rPr>
          <w:rFonts w:hint="eastAsia"/>
          <w:lang w:val="en-US" w:eastAsia="zh-CN"/>
        </w:rPr>
        <w:t>等级应</w:t>
      </w:r>
      <w:r>
        <w:rPr>
          <w:rFonts w:hint="eastAsia"/>
        </w:rPr>
        <w:t>达到GB 8624-2012规定的B</w:t>
      </w:r>
      <w:r>
        <w:rPr>
          <w:rFonts w:hint="eastAsia"/>
          <w:vertAlign w:val="subscript"/>
          <w:lang w:val="en-US" w:eastAsia="zh-CN"/>
        </w:rPr>
        <w:t>1</w:t>
      </w:r>
      <w:r>
        <w:rPr>
          <w:rFonts w:hint="eastAsia"/>
        </w:rPr>
        <w:t>级</w:t>
      </w:r>
      <w:r>
        <w:rPr>
          <w:rFonts w:hint="eastAsia"/>
          <w:lang w:eastAsia="zh-CN"/>
        </w:rPr>
        <w:t>，</w:t>
      </w:r>
      <w:r>
        <w:rPr>
          <w:rFonts w:hint="eastAsia"/>
        </w:rPr>
        <w:t>防火性能应符合GB 50222的相关规定。</w:t>
      </w:r>
    </w:p>
    <w:p>
      <w:pPr>
        <w:pStyle w:val="164"/>
      </w:pPr>
      <w:r>
        <w:rPr>
          <w:rFonts w:hint="eastAsia"/>
        </w:rPr>
        <w:t>吊顶与装粮线之间的空间应不影响正常的入仓检查或作业。吊顶与仓盖的间距应在0.3 m以上，吊顶与屋面间的空间应设有自然通风排热孔，采用风机排除吊顶内积热时应设置有足够换气量的进风口。</w:t>
      </w:r>
    </w:p>
    <w:p>
      <w:pPr>
        <w:pStyle w:val="164"/>
      </w:pPr>
      <w:r>
        <w:rPr>
          <w:rFonts w:hint="eastAsia"/>
        </w:rPr>
        <w:t>吊顶不应遮挡仓内照明。吊顶与墙体结合紧密，无孔、洞、缝等。应能适应仓内温度湿度变化而不发生变形。</w:t>
      </w:r>
    </w:p>
    <w:p>
      <w:pPr>
        <w:pStyle w:val="105"/>
        <w:spacing w:before="156" w:after="156"/>
        <w:rPr>
          <w:highlight w:val="none"/>
        </w:rPr>
      </w:pPr>
      <w:bookmarkStart w:id="109" w:name="_Toc20059"/>
      <w:bookmarkStart w:id="110" w:name="_Toc21363"/>
      <w:bookmarkStart w:id="111" w:name="_Toc179463389"/>
      <w:r>
        <w:rPr>
          <w:rFonts w:hint="eastAsia"/>
          <w:highlight w:val="none"/>
        </w:rPr>
        <w:t>仓房墙体</w:t>
      </w:r>
      <w:bookmarkEnd w:id="109"/>
      <w:bookmarkEnd w:id="110"/>
      <w:bookmarkEnd w:id="111"/>
    </w:p>
    <w:p>
      <w:pPr>
        <w:pStyle w:val="165"/>
      </w:pPr>
      <w:r>
        <w:rPr>
          <w:rFonts w:hint="eastAsia"/>
        </w:rPr>
        <w:t>外墙面涂刷隔热涂料隔热，应符合5.2.3的规定。增加聚苯板保温隔热层，聚苯板密度不宜低于20 kg/m³。</w:t>
      </w:r>
    </w:p>
    <w:p>
      <w:pPr>
        <w:pStyle w:val="165"/>
      </w:pPr>
      <w:r>
        <w:rPr>
          <w:rFonts w:hint="eastAsia"/>
        </w:rPr>
        <w:t>内墙面聚氨酯发泡层气密隔热，应符合5.2.5的规定，发泡的抗压强度应满足承受粮食侧压力的要求。粘贴聚氨酯保温板（带金属板保护层）隔热</w:t>
      </w:r>
      <w:r>
        <w:rPr>
          <w:rFonts w:hint="eastAsia"/>
          <w:lang w:eastAsia="zh-CN"/>
        </w:rPr>
        <w:t>，</w:t>
      </w:r>
      <w:r>
        <w:rPr>
          <w:rFonts w:hint="eastAsia"/>
        </w:rPr>
        <w:t>聚氨酯保温板应无毒无味，对粮食无污染，燃烧性能达到GB 8624-2012规定的B</w:t>
      </w:r>
      <w:r>
        <w:rPr>
          <w:rFonts w:hint="eastAsia"/>
          <w:vertAlign w:val="subscript"/>
        </w:rPr>
        <w:t>1</w:t>
      </w:r>
      <w:r>
        <w:rPr>
          <w:rFonts w:hint="eastAsia"/>
        </w:rPr>
        <w:t>级。</w:t>
      </w:r>
    </w:p>
    <w:p>
      <w:pPr>
        <w:pStyle w:val="165"/>
      </w:pPr>
      <w:r>
        <w:rPr>
          <w:rFonts w:hint="eastAsia"/>
        </w:rPr>
        <w:t>局部处理：</w:t>
      </w:r>
    </w:p>
    <w:p>
      <w:pPr>
        <w:pStyle w:val="174"/>
        <w:numPr>
          <w:ilvl w:val="0"/>
          <w:numId w:val="32"/>
        </w:numPr>
      </w:pPr>
      <w:r>
        <w:rPr>
          <w:rFonts w:hint="eastAsia"/>
        </w:rPr>
        <w:t>通风道口隔热宜采取隔热材料封堵、盲板改为保温门或隔热处理、设置双层通风口等措施。外露通风管道宜采取硬质发泡、保温箱体等措施；</w:t>
      </w:r>
    </w:p>
    <w:p>
      <w:pPr>
        <w:pStyle w:val="174"/>
      </w:pPr>
      <w:r>
        <w:rPr>
          <w:rFonts w:hint="eastAsia"/>
        </w:rPr>
        <w:t>轴流风机口应安装密闭隔热窗；</w:t>
      </w:r>
    </w:p>
    <w:p>
      <w:pPr>
        <w:pStyle w:val="174"/>
      </w:pPr>
      <w:r>
        <w:rPr>
          <w:rFonts w:hint="eastAsia"/>
        </w:rPr>
        <w:t>穿墙孔、洞、墙体局部裂缝应进行隔热、密封处理</w:t>
      </w:r>
      <w:r>
        <w:rPr>
          <w:rFonts w:hint="eastAsia"/>
          <w:lang w:eastAsia="zh-CN"/>
        </w:rPr>
        <w:t>，</w:t>
      </w:r>
      <w:r>
        <w:rPr>
          <w:rFonts w:hint="eastAsia"/>
          <w:lang w:val="en-US" w:eastAsia="zh-CN"/>
        </w:rPr>
        <w:t>宜采用</w:t>
      </w:r>
      <w:r>
        <w:rPr>
          <w:rFonts w:hint="eastAsia"/>
        </w:rPr>
        <w:t>硬质发泡</w:t>
      </w:r>
      <w:r>
        <w:rPr>
          <w:rFonts w:hint="eastAsia"/>
          <w:lang w:val="en-US" w:eastAsia="zh-CN"/>
        </w:rPr>
        <w:t>聚氨酯等材料</w:t>
      </w:r>
      <w:r>
        <w:rPr>
          <w:rFonts w:hint="eastAsia"/>
        </w:rPr>
        <w:t>。</w:t>
      </w:r>
    </w:p>
    <w:p>
      <w:pPr>
        <w:pStyle w:val="105"/>
        <w:spacing w:before="156" w:after="156"/>
      </w:pPr>
      <w:bookmarkStart w:id="112" w:name="_Toc179463390"/>
      <w:bookmarkStart w:id="113" w:name="_Toc19192"/>
      <w:bookmarkStart w:id="114" w:name="_Toc22408"/>
      <w:r>
        <w:rPr>
          <w:rFonts w:hint="eastAsia"/>
        </w:rPr>
        <w:t>仓房门窗</w:t>
      </w:r>
      <w:bookmarkEnd w:id="112"/>
      <w:bookmarkEnd w:id="113"/>
      <w:bookmarkEnd w:id="114"/>
    </w:p>
    <w:p>
      <w:pPr>
        <w:pStyle w:val="65"/>
        <w:spacing w:before="156" w:after="156"/>
      </w:pPr>
      <w:bookmarkStart w:id="115" w:name="_Toc19026"/>
      <w:bookmarkStart w:id="116" w:name="_Toc365"/>
      <w:bookmarkStart w:id="117" w:name="_Toc7699"/>
      <w:bookmarkStart w:id="118" w:name="_Toc1344"/>
      <w:bookmarkStart w:id="119" w:name="_Toc179463446"/>
      <w:bookmarkStart w:id="120" w:name="_Toc179463391"/>
      <w:r>
        <w:rPr>
          <w:rFonts w:hint="eastAsia"/>
          <w:lang w:val="en-US" w:eastAsia="zh-CN"/>
        </w:rPr>
        <w:t>一般要求</w:t>
      </w:r>
      <w:bookmarkEnd w:id="115"/>
      <w:bookmarkEnd w:id="116"/>
      <w:bookmarkEnd w:id="117"/>
      <w:bookmarkEnd w:id="118"/>
    </w:p>
    <w:p>
      <w:pPr>
        <w:pStyle w:val="56"/>
        <w:numPr>
          <w:ilvl w:val="4"/>
          <w:numId w:val="2"/>
        </w:numPr>
        <w:ind w:firstLine="0" w:firstLineChars="0"/>
        <w:rPr>
          <w:rFonts w:hint="default"/>
          <w:lang w:val="en-US"/>
        </w:rPr>
      </w:pPr>
      <w:r>
        <w:rPr>
          <w:rFonts w:hint="eastAsia"/>
        </w:rPr>
        <w:t>仓大门、粮情检查门、仓窗等部位的抗压性能应大于1000 Pa,1000 Pa压力半衰期应大于10 min</w:t>
      </w:r>
      <w:r>
        <w:rPr>
          <w:rFonts w:hint="eastAsia"/>
          <w:lang w:eastAsia="zh-CN"/>
        </w:rPr>
        <w:t>。</w:t>
      </w:r>
    </w:p>
    <w:p>
      <w:pPr>
        <w:pStyle w:val="56"/>
        <w:numPr>
          <w:ilvl w:val="4"/>
          <w:numId w:val="2"/>
        </w:numPr>
        <w:ind w:firstLine="0" w:firstLineChars="0"/>
        <w:rPr>
          <w:rFonts w:hint="default"/>
          <w:lang w:val="en-US"/>
        </w:rPr>
      </w:pPr>
      <w:r>
        <w:rPr>
          <w:rFonts w:hint="eastAsia"/>
          <w:lang w:val="en-US" w:eastAsia="zh-CN"/>
        </w:rPr>
        <w:t>门窗</w:t>
      </w:r>
      <w:r>
        <w:rPr>
          <w:rFonts w:hint="eastAsia"/>
        </w:rPr>
        <w:t>传热系数应不大于0.7 W/㎡•K，且无热桥现象</w:t>
      </w:r>
      <w:r>
        <w:rPr>
          <w:rFonts w:hint="eastAsia"/>
          <w:lang w:eastAsia="zh-CN"/>
        </w:rPr>
        <w:t>，</w:t>
      </w:r>
      <w:r>
        <w:rPr>
          <w:rFonts w:hint="eastAsia"/>
          <w:lang w:val="en-US" w:eastAsia="zh-CN"/>
        </w:rPr>
        <w:t>宜设置两道</w:t>
      </w:r>
      <w:r>
        <w:rPr>
          <w:rFonts w:hint="eastAsia"/>
        </w:rPr>
        <w:t>。</w:t>
      </w:r>
    </w:p>
    <w:p>
      <w:pPr>
        <w:pStyle w:val="65"/>
        <w:spacing w:before="156" w:after="156"/>
      </w:pPr>
      <w:bookmarkStart w:id="121" w:name="_Toc6316"/>
      <w:bookmarkStart w:id="122" w:name="_Toc9262"/>
      <w:bookmarkStart w:id="123" w:name="_Toc29916"/>
      <w:bookmarkStart w:id="124" w:name="_Toc31643"/>
      <w:r>
        <w:rPr>
          <w:rFonts w:hint="eastAsia"/>
        </w:rPr>
        <w:t>仓门处理</w:t>
      </w:r>
      <w:bookmarkEnd w:id="119"/>
      <w:bookmarkEnd w:id="120"/>
      <w:bookmarkEnd w:id="121"/>
      <w:bookmarkEnd w:id="122"/>
      <w:bookmarkEnd w:id="123"/>
      <w:bookmarkEnd w:id="124"/>
    </w:p>
    <w:p>
      <w:pPr>
        <w:pStyle w:val="164"/>
      </w:pPr>
      <w:r>
        <w:rPr>
          <w:rFonts w:hint="eastAsia"/>
        </w:rPr>
        <w:t>应选用密封隔热门，宜在仓门外侧粘贴辐射制冷膜，或采用仓门内安装铝合金组合门、塑钢组合门、砖墙密封、薄膜密闭等措施。</w:t>
      </w:r>
    </w:p>
    <w:p>
      <w:pPr>
        <w:pStyle w:val="164"/>
      </w:pPr>
      <w:r>
        <w:rPr>
          <w:rFonts w:hint="eastAsia"/>
        </w:rPr>
        <w:t>宜在粮情检测门内设置第二道密封隔热门。</w:t>
      </w:r>
    </w:p>
    <w:p>
      <w:pPr>
        <w:pStyle w:val="65"/>
        <w:spacing w:before="156" w:after="156"/>
      </w:pPr>
      <w:bookmarkStart w:id="125" w:name="_Toc179463447"/>
      <w:bookmarkStart w:id="126" w:name="_Toc20990"/>
      <w:bookmarkStart w:id="127" w:name="_Toc23308"/>
      <w:bookmarkStart w:id="128" w:name="_Toc15779"/>
      <w:bookmarkStart w:id="129" w:name="_Toc8421"/>
      <w:bookmarkStart w:id="130" w:name="_Toc179463392"/>
      <w:r>
        <w:rPr>
          <w:rFonts w:hint="eastAsia"/>
        </w:rPr>
        <w:t>仓窗处理</w:t>
      </w:r>
      <w:bookmarkEnd w:id="125"/>
      <w:bookmarkEnd w:id="126"/>
      <w:bookmarkEnd w:id="127"/>
      <w:bookmarkEnd w:id="128"/>
      <w:bookmarkEnd w:id="129"/>
      <w:bookmarkEnd w:id="130"/>
    </w:p>
    <w:p>
      <w:pPr>
        <w:pStyle w:val="164"/>
      </w:pPr>
      <w:r>
        <w:rPr>
          <w:rFonts w:hint="eastAsia"/>
        </w:rPr>
        <w:t>应选用密封隔热窗，宜在窗户外侧粘贴辐射制冷膜，或在仓内新增具有密封、隔热、防雀、防虫等功能的组合窗。</w:t>
      </w:r>
    </w:p>
    <w:p>
      <w:pPr>
        <w:pStyle w:val="164"/>
      </w:pPr>
      <w:r>
        <w:rPr>
          <w:rFonts w:hint="eastAsia"/>
        </w:rPr>
        <w:t>宜采用有电动启闭装置的仓窗，内侧组合窗宜采取仓外启闭方式，外侧密封隔热窗应在仓外配置地面启闭装置。</w:t>
      </w:r>
    </w:p>
    <w:p>
      <w:pPr>
        <w:pStyle w:val="104"/>
        <w:spacing w:before="312" w:after="312"/>
      </w:pPr>
      <w:bookmarkStart w:id="131" w:name="_Toc14362"/>
      <w:bookmarkStart w:id="132" w:name="_Toc3336"/>
      <w:bookmarkStart w:id="133" w:name="_Toc179463393"/>
      <w:r>
        <w:rPr>
          <w:rFonts w:hint="eastAsia"/>
        </w:rPr>
        <w:t>储粮工艺设施</w:t>
      </w:r>
      <w:bookmarkEnd w:id="131"/>
      <w:bookmarkEnd w:id="132"/>
      <w:bookmarkEnd w:id="133"/>
    </w:p>
    <w:p>
      <w:pPr>
        <w:pStyle w:val="105"/>
        <w:spacing w:before="156" w:after="156"/>
      </w:pPr>
      <w:bookmarkStart w:id="134" w:name="_Toc14955"/>
      <w:bookmarkStart w:id="135" w:name="_Toc179463394"/>
      <w:bookmarkStart w:id="136" w:name="_Toc23306"/>
      <w:r>
        <w:rPr>
          <w:rFonts w:hint="eastAsia"/>
        </w:rPr>
        <w:t>一般要求</w:t>
      </w:r>
      <w:bookmarkEnd w:id="134"/>
      <w:bookmarkEnd w:id="135"/>
      <w:bookmarkEnd w:id="136"/>
    </w:p>
    <w:p>
      <w:pPr>
        <w:pStyle w:val="165"/>
      </w:pPr>
      <w:r>
        <w:rPr>
          <w:rFonts w:hint="eastAsia"/>
        </w:rPr>
        <w:t>应按GB/T 29890的规定，根据储粮生态条件、仓型和采用的储藏技术的需要，选择配备通风、</w:t>
      </w:r>
      <w:r>
        <w:rPr>
          <w:rFonts w:hint="eastAsia"/>
          <w:lang w:val="en-US" w:eastAsia="zh-CN"/>
        </w:rPr>
        <w:t>环流、</w:t>
      </w:r>
      <w:r>
        <w:rPr>
          <w:rFonts w:hint="eastAsia"/>
        </w:rPr>
        <w:t>熏蒸等设施设备。粮食仓库机电设备的安装应符合LS 1207的规定，粮情检测系统应符合GB/T 26882（所有部分）的规定，机械通风系统应符合LS/T 1202的规定</w:t>
      </w:r>
      <w:r>
        <w:rPr>
          <w:rFonts w:hint="eastAsia"/>
          <w:lang w:eastAsia="zh-CN"/>
        </w:rPr>
        <w:t>，</w:t>
      </w:r>
      <w:r>
        <w:rPr>
          <w:rFonts w:hint="eastAsia"/>
          <w:lang w:val="en-US" w:eastAsia="zh-CN"/>
        </w:rPr>
        <w:t>内环流系统</w:t>
      </w:r>
      <w:r>
        <w:rPr>
          <w:rFonts w:hint="eastAsia"/>
        </w:rPr>
        <w:t>环流风机质量和性能</w:t>
      </w:r>
      <w:r>
        <w:rPr>
          <w:rFonts w:hint="eastAsia"/>
          <w:lang w:val="en-US" w:eastAsia="zh-CN"/>
        </w:rPr>
        <w:t>应</w:t>
      </w:r>
      <w:r>
        <w:rPr>
          <w:rFonts w:hint="eastAsia"/>
        </w:rPr>
        <w:t>符合JB/T 10563的规定。</w:t>
      </w:r>
    </w:p>
    <w:p>
      <w:pPr>
        <w:pStyle w:val="165"/>
      </w:pPr>
      <w:r>
        <w:rPr>
          <w:rFonts w:hint="eastAsia"/>
        </w:rPr>
        <w:t>应按GB 50320的规定，选用的设备应具备安全可靠、高效低耗、操作方便等性能，符合环保、卫生要求。长期暴露于仓外的金属箱体、管线、配件等应采取防腐、防锈措施，箱体宜采用不锈钢等材质。</w:t>
      </w:r>
    </w:p>
    <w:p>
      <w:pPr>
        <w:pStyle w:val="105"/>
        <w:spacing w:before="156" w:after="156"/>
      </w:pPr>
      <w:bookmarkStart w:id="137" w:name="_Toc4094"/>
      <w:bookmarkStart w:id="138" w:name="_Toc179463396"/>
      <w:bookmarkStart w:id="139" w:name="_Toc21231"/>
      <w:r>
        <w:rPr>
          <w:rFonts w:hint="eastAsia"/>
        </w:rPr>
        <w:t>储粮环流熏蒸系统</w:t>
      </w:r>
      <w:bookmarkEnd w:id="137"/>
      <w:bookmarkEnd w:id="138"/>
      <w:bookmarkEnd w:id="139"/>
    </w:p>
    <w:p>
      <w:pPr>
        <w:pStyle w:val="165"/>
      </w:pPr>
      <w:r>
        <w:rPr>
          <w:rFonts w:hint="eastAsia"/>
        </w:rPr>
        <w:t>磷化氢环流风机、环流管路、磷化氢取样装置、磷化氢检测仪、磷化氢报警仪等应符合GB/T 17913的要求。</w:t>
      </w:r>
    </w:p>
    <w:p>
      <w:pPr>
        <w:pStyle w:val="165"/>
      </w:pPr>
      <w:r>
        <w:rPr>
          <w:rFonts w:hint="eastAsia"/>
        </w:rPr>
        <w:t>磷化氢发生装置应符合安全施药防止燃爆的要求。</w:t>
      </w:r>
    </w:p>
    <w:p>
      <w:pPr>
        <w:pStyle w:val="165"/>
      </w:pPr>
      <w:r>
        <w:rPr>
          <w:rFonts w:hint="eastAsia"/>
        </w:rPr>
        <w:t>磷化氢取样装置一般由取样管、取样端头、回气管和检测箱组成，相关技术要求应按GB/T 17913</w:t>
      </w:r>
      <w:r>
        <w:rPr>
          <w:rFonts w:hint="eastAsia"/>
          <w:lang w:val="en-US" w:eastAsia="zh-CN"/>
        </w:rPr>
        <w:t>的规定</w:t>
      </w:r>
      <w:r>
        <w:rPr>
          <w:rFonts w:hint="eastAsia"/>
        </w:rPr>
        <w:t>执行。</w:t>
      </w:r>
    </w:p>
    <w:p>
      <w:pPr>
        <w:pStyle w:val="165"/>
      </w:pPr>
      <w:r>
        <w:rPr>
          <w:rFonts w:hint="eastAsia"/>
        </w:rPr>
        <w:t>环流熏蒸系统应具备防爆、防泄漏、防腐性能，按GB 46033的规定配置有关防护用品。</w:t>
      </w:r>
    </w:p>
    <w:p>
      <w:pPr>
        <w:pStyle w:val="105"/>
        <w:spacing w:before="156" w:after="156"/>
      </w:pPr>
      <w:bookmarkStart w:id="140" w:name="_Toc20873"/>
      <w:bookmarkStart w:id="141" w:name="_Toc179463397"/>
      <w:bookmarkStart w:id="142" w:name="_Toc13006"/>
      <w:r>
        <w:rPr>
          <w:rFonts w:hint="eastAsia"/>
        </w:rPr>
        <w:t>内环流控温系统</w:t>
      </w:r>
      <w:bookmarkEnd w:id="140"/>
      <w:bookmarkEnd w:id="141"/>
      <w:bookmarkEnd w:id="142"/>
    </w:p>
    <w:p>
      <w:pPr>
        <w:pStyle w:val="165"/>
      </w:pPr>
      <w:r>
        <w:rPr>
          <w:rFonts w:hint="eastAsia"/>
        </w:rPr>
        <w:t>内环流控温系统一般由环流风机、环流管道、控制系统组成。</w:t>
      </w:r>
    </w:p>
    <w:p>
      <w:pPr>
        <w:pStyle w:val="165"/>
      </w:pPr>
      <w:r>
        <w:rPr>
          <w:rFonts w:hint="eastAsia"/>
        </w:rPr>
        <w:t>环流风机的额定功率应与</w:t>
      </w:r>
      <w:r>
        <w:rPr>
          <w:rFonts w:hint="eastAsia"/>
          <w:lang w:val="en-US" w:eastAsia="zh-CN"/>
        </w:rPr>
        <w:t>仓容和</w:t>
      </w:r>
      <w:r>
        <w:rPr>
          <w:rFonts w:hint="eastAsia"/>
        </w:rPr>
        <w:t>环流管径相匹配。环流风机风压的选择应符合LS/T 1202中相关要求；风机噪声限值应符合JB/T 8690的要求。</w:t>
      </w:r>
    </w:p>
    <w:p>
      <w:pPr>
        <w:pStyle w:val="165"/>
      </w:pPr>
      <w:r>
        <w:rPr>
          <w:rFonts w:hint="eastAsia"/>
        </w:rPr>
        <w:t>环流管道应采用双层保温管路，管道设计压力为1000 Pa，气密性良好。</w:t>
      </w:r>
    </w:p>
    <w:p>
      <w:pPr>
        <w:pStyle w:val="165"/>
      </w:pPr>
      <w:r>
        <w:rPr>
          <w:rFonts w:hint="eastAsia"/>
        </w:rPr>
        <w:t>控制系统应安装在粮仓外墙，并与其他硬件设备连接。宜具备与粮库信息系统对接和远程控制的功能。</w:t>
      </w:r>
    </w:p>
    <w:p>
      <w:pPr>
        <w:pStyle w:val="105"/>
        <w:spacing w:before="156" w:after="156"/>
      </w:pPr>
      <w:bookmarkStart w:id="143" w:name="_Toc13470"/>
      <w:bookmarkStart w:id="144" w:name="_Toc179463400"/>
      <w:bookmarkStart w:id="145" w:name="_Toc32418"/>
      <w:r>
        <w:rPr>
          <w:rFonts w:hint="eastAsia"/>
        </w:rPr>
        <w:t>有害生物防治装置</w:t>
      </w:r>
      <w:bookmarkEnd w:id="143"/>
      <w:bookmarkEnd w:id="144"/>
      <w:bookmarkEnd w:id="145"/>
    </w:p>
    <w:p>
      <w:pPr>
        <w:pStyle w:val="65"/>
        <w:spacing w:before="156" w:after="156"/>
      </w:pPr>
      <w:bookmarkStart w:id="146" w:name="_Toc179463401"/>
      <w:bookmarkStart w:id="147" w:name="_Toc27487"/>
      <w:bookmarkStart w:id="148" w:name="_Toc12760"/>
      <w:bookmarkStart w:id="149" w:name="_Toc179463456"/>
      <w:bookmarkStart w:id="150" w:name="_Toc32522"/>
      <w:bookmarkStart w:id="151" w:name="_Toc10589"/>
      <w:r>
        <w:rPr>
          <w:rFonts w:hint="eastAsia"/>
        </w:rPr>
        <w:t>防虫网</w:t>
      </w:r>
      <w:bookmarkEnd w:id="146"/>
      <w:bookmarkEnd w:id="147"/>
      <w:bookmarkEnd w:id="148"/>
      <w:bookmarkEnd w:id="149"/>
      <w:bookmarkEnd w:id="150"/>
      <w:bookmarkEnd w:id="151"/>
    </w:p>
    <w:p>
      <w:pPr>
        <w:pStyle w:val="164"/>
      </w:pPr>
      <w:r>
        <w:rPr>
          <w:rFonts w:hint="eastAsia"/>
        </w:rPr>
        <w:t>应选用耐腐蚀、耐老化、无污染的材料，孔径大小应不少于80 目。</w:t>
      </w:r>
    </w:p>
    <w:p>
      <w:pPr>
        <w:pStyle w:val="164"/>
      </w:pPr>
      <w:r>
        <w:rPr>
          <w:rFonts w:hint="eastAsia"/>
        </w:rPr>
        <w:t>应易于安装、拆卸和维护，安装后应与窗户等部位紧密贴合。</w:t>
      </w:r>
    </w:p>
    <w:p>
      <w:pPr>
        <w:pStyle w:val="65"/>
        <w:spacing w:before="156" w:after="156"/>
      </w:pPr>
      <w:bookmarkStart w:id="152" w:name="_Toc179463457"/>
      <w:bookmarkStart w:id="153" w:name="_Toc23405"/>
      <w:bookmarkStart w:id="154" w:name="_Toc15710"/>
      <w:bookmarkStart w:id="155" w:name="_Toc12490"/>
      <w:bookmarkStart w:id="156" w:name="_Toc179463402"/>
      <w:bookmarkStart w:id="157" w:name="_Toc15750"/>
      <w:r>
        <w:rPr>
          <w:rFonts w:hint="eastAsia"/>
        </w:rPr>
        <w:t>防雀网</w:t>
      </w:r>
      <w:bookmarkEnd w:id="152"/>
      <w:bookmarkEnd w:id="153"/>
      <w:bookmarkEnd w:id="154"/>
      <w:bookmarkEnd w:id="155"/>
      <w:bookmarkEnd w:id="156"/>
      <w:bookmarkEnd w:id="157"/>
    </w:p>
    <w:p>
      <w:pPr>
        <w:pStyle w:val="164"/>
      </w:pPr>
      <w:r>
        <w:rPr>
          <w:rFonts w:hint="eastAsia"/>
        </w:rPr>
        <w:t>应选用耐腐蚀、耐老化、无污染、抗拉强度高的材料。</w:t>
      </w:r>
    </w:p>
    <w:p>
      <w:pPr>
        <w:pStyle w:val="164"/>
      </w:pPr>
      <w:r>
        <w:rPr>
          <w:rFonts w:hint="eastAsia"/>
        </w:rPr>
        <w:t>应安装牢固，网孔大小应可有效阻挡鸟雀进入仓内。</w:t>
      </w:r>
    </w:p>
    <w:p>
      <w:pPr>
        <w:pStyle w:val="65"/>
        <w:spacing w:before="156" w:after="156"/>
      </w:pPr>
      <w:bookmarkStart w:id="158" w:name="_Toc12189"/>
      <w:bookmarkStart w:id="159" w:name="_Toc8986"/>
      <w:bookmarkStart w:id="160" w:name="_Toc1202"/>
      <w:bookmarkStart w:id="161" w:name="_Toc24710"/>
      <w:bookmarkStart w:id="162" w:name="_Toc179463403"/>
      <w:bookmarkStart w:id="163" w:name="_Toc179463458"/>
      <w:r>
        <w:rPr>
          <w:rFonts w:hint="eastAsia"/>
        </w:rPr>
        <w:t>防虫线</w:t>
      </w:r>
      <w:bookmarkEnd w:id="158"/>
      <w:bookmarkEnd w:id="159"/>
      <w:bookmarkEnd w:id="160"/>
      <w:bookmarkEnd w:id="161"/>
      <w:bookmarkEnd w:id="162"/>
      <w:bookmarkEnd w:id="163"/>
    </w:p>
    <w:p>
      <w:pPr>
        <w:pStyle w:val="164"/>
      </w:pPr>
      <w:r>
        <w:rPr>
          <w:rFonts w:hint="eastAsia"/>
        </w:rPr>
        <w:t>形状和尺寸应与仓房门、窗等部位宽度相匹配，宽度宜为10 cm ～20 cm。</w:t>
      </w:r>
    </w:p>
    <w:p>
      <w:pPr>
        <w:pStyle w:val="164"/>
      </w:pPr>
      <w:r>
        <w:rPr>
          <w:rFonts w:hint="eastAsia"/>
        </w:rPr>
        <w:t>可采用海绵、砻糠等作为防护剂载体，宜选用食品级惰性粉制作防虫线。</w:t>
      </w:r>
    </w:p>
    <w:p>
      <w:pPr>
        <w:pStyle w:val="164"/>
      </w:pPr>
      <w:r>
        <w:rPr>
          <w:rFonts w:hint="eastAsia"/>
        </w:rPr>
        <w:t>防护剂载体和惰性粉可放置在不易受外力作用而变形的长方形容器内，容器短边侧面应为开放式，所用材料应不吸附防护剂、耐腐蚀、表面光滑，便于清洁和维护。容器形状和尺寸应与仓房门、窗长度和宽度相匹配，高度</w:t>
      </w:r>
      <w:r>
        <w:rPr>
          <w:rFonts w:hint="eastAsia"/>
          <w:lang w:eastAsia="zh-CN"/>
        </w:rPr>
        <w:t>不低于</w:t>
      </w:r>
      <w:r>
        <w:rPr>
          <w:rFonts w:hint="eastAsia"/>
        </w:rPr>
        <w:t>4 cm，宽度宜为10 cm ～20 cm。</w:t>
      </w:r>
    </w:p>
    <w:p>
      <w:pPr>
        <w:pStyle w:val="164"/>
      </w:pPr>
      <w:r>
        <w:rPr>
          <w:rFonts w:hint="eastAsia"/>
        </w:rPr>
        <w:t>防虫线容器应安装牢固，紧密粘合地面。</w:t>
      </w:r>
    </w:p>
    <w:p>
      <w:pPr>
        <w:pStyle w:val="105"/>
        <w:spacing w:before="156" w:after="156"/>
      </w:pPr>
      <w:bookmarkStart w:id="164" w:name="_Toc32541"/>
      <w:bookmarkStart w:id="165" w:name="_Toc8745"/>
      <w:bookmarkStart w:id="166" w:name="_Toc179463460"/>
      <w:bookmarkStart w:id="167" w:name="_Toc179463405"/>
      <w:r>
        <w:rPr>
          <w:rFonts w:hint="eastAsia"/>
        </w:rPr>
        <w:t>挡粮门</w:t>
      </w:r>
      <w:bookmarkEnd w:id="164"/>
      <w:bookmarkEnd w:id="165"/>
      <w:bookmarkEnd w:id="166"/>
      <w:bookmarkEnd w:id="167"/>
    </w:p>
    <w:p>
      <w:pPr>
        <w:pStyle w:val="164"/>
      </w:pPr>
      <w:r>
        <w:rPr>
          <w:rFonts w:hint="eastAsia"/>
        </w:rPr>
        <w:t>应采用高强度、耐腐蚀的材料，符合环保要求，无毒、无害、无污染。外观应整洁、平整，无脱漆、起泡等缺陷。宜填充聚苯乙烯等阻燃、保温材料，填充物应均匀分布，无空隙或松动现象。</w:t>
      </w:r>
    </w:p>
    <w:p>
      <w:pPr>
        <w:pStyle w:val="164"/>
      </w:pPr>
      <w:r>
        <w:rPr>
          <w:rFonts w:hint="eastAsia"/>
        </w:rPr>
        <w:t>应能够承受在动静载荷下的粮堆侧压力。结构稳定，无明显变形，各部分连接牢固</w:t>
      </w:r>
      <w:r>
        <w:rPr>
          <w:rFonts w:hint="eastAsia"/>
          <w:lang w:eastAsia="zh-CN"/>
        </w:rPr>
        <w:t>、</w:t>
      </w:r>
      <w:r>
        <w:rPr>
          <w:rFonts w:hint="eastAsia"/>
          <w:lang w:val="en-US" w:eastAsia="zh-CN"/>
        </w:rPr>
        <w:t>紧密贴合</w:t>
      </w:r>
      <w:r>
        <w:rPr>
          <w:rFonts w:hint="eastAsia"/>
        </w:rPr>
        <w:t>。</w:t>
      </w:r>
    </w:p>
    <w:p>
      <w:pPr>
        <w:pStyle w:val="164"/>
      </w:pPr>
      <w:r>
        <w:rPr>
          <w:rFonts w:hint="eastAsia"/>
        </w:rPr>
        <w:t>安装时应采取相应的构造加强措施，挡粮门与墙体的连接应牢固可靠。</w:t>
      </w:r>
    </w:p>
    <w:p>
      <w:pPr>
        <w:pStyle w:val="105"/>
      </w:pPr>
      <w:bookmarkStart w:id="168" w:name="_Toc12249"/>
      <w:bookmarkStart w:id="169" w:name="_Toc14079"/>
      <w:r>
        <w:rPr>
          <w:rFonts w:hint="eastAsia"/>
          <w:lang w:val="en-US" w:eastAsia="zh-CN"/>
        </w:rPr>
        <w:t>其他</w:t>
      </w:r>
      <w:bookmarkEnd w:id="168"/>
      <w:bookmarkEnd w:id="169"/>
    </w:p>
    <w:p>
      <w:pPr>
        <w:pStyle w:val="65"/>
        <w:spacing w:before="156" w:after="156"/>
      </w:pPr>
      <w:bookmarkStart w:id="170" w:name="_Toc179463461"/>
      <w:bookmarkStart w:id="171" w:name="_Toc7736"/>
      <w:bookmarkStart w:id="172" w:name="_Toc18974"/>
      <w:bookmarkStart w:id="173" w:name="_Toc17389"/>
      <w:bookmarkStart w:id="174" w:name="_Toc10163"/>
      <w:bookmarkStart w:id="175" w:name="_Toc179463406"/>
      <w:r>
        <w:rPr>
          <w:rFonts w:hint="eastAsia"/>
        </w:rPr>
        <w:t>挂点装置</w:t>
      </w:r>
      <w:bookmarkEnd w:id="170"/>
      <w:bookmarkEnd w:id="171"/>
      <w:bookmarkEnd w:id="172"/>
      <w:bookmarkEnd w:id="173"/>
      <w:bookmarkEnd w:id="174"/>
      <w:bookmarkEnd w:id="175"/>
    </w:p>
    <w:p>
      <w:pPr>
        <w:pStyle w:val="164"/>
      </w:pPr>
      <w:r>
        <w:rPr>
          <w:rFonts w:hint="eastAsia"/>
        </w:rPr>
        <w:t>挂点装置相关技术要求应按GB 30862</w:t>
      </w:r>
      <w:r>
        <w:rPr>
          <w:rFonts w:hint="eastAsia"/>
          <w:lang w:val="en-US" w:eastAsia="zh-CN"/>
        </w:rPr>
        <w:t>的规定</w:t>
      </w:r>
      <w:r>
        <w:rPr>
          <w:rFonts w:hint="eastAsia"/>
        </w:rPr>
        <w:t>执行。</w:t>
      </w:r>
    </w:p>
    <w:p>
      <w:pPr>
        <w:pStyle w:val="164"/>
      </w:pPr>
      <w:r>
        <w:rPr>
          <w:rFonts w:hint="eastAsia"/>
        </w:rPr>
        <w:t>应根据仓内大门上方及两侧空间实际情况选择挂点装置的类型，所选类型应便于工作人员进行出粮作业。</w:t>
      </w:r>
    </w:p>
    <w:p>
      <w:pPr>
        <w:pStyle w:val="65"/>
        <w:spacing w:before="156" w:after="156"/>
      </w:pPr>
      <w:bookmarkStart w:id="176" w:name="_Toc23510"/>
      <w:bookmarkStart w:id="177" w:name="_Toc21511"/>
      <w:bookmarkStart w:id="178" w:name="_Toc5970"/>
      <w:bookmarkStart w:id="179" w:name="_Toc179463462"/>
      <w:bookmarkStart w:id="180" w:name="_Toc179463407"/>
      <w:bookmarkStart w:id="181" w:name="_Toc28432"/>
      <w:r>
        <w:rPr>
          <w:rFonts w:hint="eastAsia"/>
        </w:rPr>
        <w:t>装粮线及高度标尺</w:t>
      </w:r>
      <w:bookmarkEnd w:id="176"/>
      <w:bookmarkEnd w:id="177"/>
      <w:bookmarkEnd w:id="178"/>
      <w:bookmarkEnd w:id="179"/>
      <w:bookmarkEnd w:id="180"/>
      <w:bookmarkEnd w:id="181"/>
    </w:p>
    <w:p>
      <w:pPr>
        <w:pStyle w:val="164"/>
      </w:pPr>
      <w:r>
        <w:rPr>
          <w:rFonts w:hint="eastAsia"/>
        </w:rPr>
        <w:t>装粮线宽度应</w:t>
      </w:r>
      <w:r>
        <w:rPr>
          <w:rFonts w:hint="eastAsia"/>
          <w:lang w:eastAsia="zh-CN"/>
        </w:rPr>
        <w:t>不小于</w:t>
      </w:r>
      <w:r>
        <w:rPr>
          <w:rFonts w:hint="eastAsia"/>
        </w:rPr>
        <w:t>50 mm，下沿位于设计装粮高度位置，颜色应采用红色。</w:t>
      </w:r>
    </w:p>
    <w:p>
      <w:pPr>
        <w:pStyle w:val="164"/>
      </w:pPr>
      <w:r>
        <w:rPr>
          <w:rFonts w:hint="eastAsia"/>
        </w:rPr>
        <w:t>高度标尺应设置在仓内墙面明显位置，避开仓门和内墙拐角。刻度应清晰、准确，最小刻度10 cm，下端位于设计装粮高度约1/2处，上端超出设计装粮高度不</w:t>
      </w:r>
      <w:r>
        <w:rPr>
          <w:rFonts w:hint="eastAsia"/>
          <w:lang w:eastAsia="zh-CN"/>
        </w:rPr>
        <w:t>小于</w:t>
      </w:r>
      <w:r>
        <w:rPr>
          <w:rFonts w:hint="eastAsia"/>
        </w:rPr>
        <w:t>20 cm。</w:t>
      </w:r>
    </w:p>
    <w:p>
      <w:pPr>
        <w:pStyle w:val="164"/>
      </w:pPr>
      <w:r>
        <w:rPr>
          <w:rFonts w:hint="eastAsia"/>
        </w:rPr>
        <w:t>高度标尺颜色应鲜艳、明显。</w:t>
      </w:r>
    </w:p>
    <w:p>
      <w:pPr>
        <w:pStyle w:val="65"/>
        <w:spacing w:before="156" w:after="156"/>
      </w:pPr>
      <w:bookmarkStart w:id="182" w:name="_Toc179463408"/>
      <w:bookmarkStart w:id="183" w:name="_Toc16882"/>
      <w:bookmarkStart w:id="184" w:name="_Toc21867"/>
      <w:bookmarkStart w:id="185" w:name="_Toc12031"/>
      <w:bookmarkStart w:id="186" w:name="_Toc14172"/>
      <w:bookmarkStart w:id="187" w:name="_Toc179463463"/>
      <w:r>
        <w:rPr>
          <w:rFonts w:hint="eastAsia"/>
        </w:rPr>
        <w:t>密封槽管及胶条</w:t>
      </w:r>
      <w:bookmarkEnd w:id="182"/>
      <w:bookmarkEnd w:id="183"/>
      <w:bookmarkEnd w:id="184"/>
      <w:bookmarkEnd w:id="185"/>
      <w:bookmarkEnd w:id="186"/>
      <w:bookmarkEnd w:id="187"/>
    </w:p>
    <w:p>
      <w:pPr>
        <w:pStyle w:val="164"/>
      </w:pPr>
      <w:r>
        <w:rPr>
          <w:rFonts w:hint="eastAsia"/>
        </w:rPr>
        <w:t>在装粮线下沿位置设置内嵌式双槽双管密封槽，转角处应弧形</w:t>
      </w:r>
      <w:r>
        <w:rPr>
          <w:rFonts w:hint="eastAsia"/>
          <w:lang w:eastAsia="zh-CN"/>
        </w:rPr>
        <w:t>过渡</w:t>
      </w:r>
      <w:r>
        <w:rPr>
          <w:rFonts w:hint="eastAsia"/>
        </w:rPr>
        <w:t>。</w:t>
      </w:r>
    </w:p>
    <w:p>
      <w:pPr>
        <w:pStyle w:val="164"/>
      </w:pPr>
      <w:r>
        <w:rPr>
          <w:rFonts w:hint="eastAsia"/>
        </w:rPr>
        <w:t>密封槽管的外观、加热后尺寸变化率（主型材）、主型材的落锤冲击、150 ℃加热后状态、维卡软化温度、主型材的弯曲弹性模量等指标应符合GB/T 8814的要求。</w:t>
      </w:r>
    </w:p>
    <w:p>
      <w:pPr>
        <w:pStyle w:val="164"/>
      </w:pPr>
      <w:r>
        <w:rPr>
          <w:rFonts w:hint="eastAsia"/>
        </w:rPr>
        <w:t>配套使用的密封胶条应能与密封槽管配合紧密，与塑料薄膜一起嵌入密封槽管中，在550 Pa或-330 Pa压力下塑料薄膜与胶条不应从密封槽管中脱落。</w:t>
      </w:r>
    </w:p>
    <w:p>
      <w:pPr>
        <w:pStyle w:val="104"/>
        <w:spacing w:before="312" w:after="312"/>
      </w:pPr>
      <w:bookmarkStart w:id="188" w:name="_Toc27964"/>
      <w:bookmarkStart w:id="189" w:name="_Toc11833"/>
      <w:bookmarkStart w:id="190" w:name="_Toc179463409"/>
      <w:r>
        <w:rPr>
          <w:rFonts w:hint="eastAsia"/>
        </w:rPr>
        <w:t>储粮机械设备</w:t>
      </w:r>
      <w:bookmarkEnd w:id="188"/>
      <w:bookmarkEnd w:id="189"/>
      <w:bookmarkEnd w:id="190"/>
    </w:p>
    <w:p>
      <w:pPr>
        <w:pStyle w:val="105"/>
        <w:spacing w:before="156" w:after="156"/>
      </w:pPr>
      <w:bookmarkStart w:id="191" w:name="_Toc17109"/>
      <w:bookmarkStart w:id="192" w:name="_Toc179463410"/>
      <w:bookmarkStart w:id="193" w:name="_Toc23309"/>
      <w:r>
        <w:rPr>
          <w:rFonts w:hint="eastAsia"/>
        </w:rPr>
        <w:t>一般要求</w:t>
      </w:r>
      <w:bookmarkEnd w:id="191"/>
      <w:bookmarkEnd w:id="192"/>
      <w:bookmarkEnd w:id="193"/>
    </w:p>
    <w:p>
      <w:pPr>
        <w:pStyle w:val="165"/>
      </w:pPr>
      <w:r>
        <w:rPr>
          <w:rFonts w:hint="eastAsia"/>
        </w:rPr>
        <w:t>储粮机械设备应具备结构牢固</w:t>
      </w:r>
      <w:r>
        <w:rPr>
          <w:rFonts w:hint="eastAsia"/>
          <w:lang w:eastAsia="zh-CN"/>
        </w:rPr>
        <w:t>、</w:t>
      </w:r>
      <w:r>
        <w:rPr>
          <w:rFonts w:hint="eastAsia"/>
          <w:lang w:val="en-US" w:eastAsia="zh-CN"/>
        </w:rPr>
        <w:t>运行平稳</w:t>
      </w:r>
      <w:r>
        <w:rPr>
          <w:rFonts w:hint="eastAsia"/>
        </w:rPr>
        <w:t>、安全可靠的基本性能</w:t>
      </w:r>
      <w:r>
        <w:rPr>
          <w:rFonts w:hint="eastAsia"/>
          <w:lang w:eastAsia="zh-CN"/>
        </w:rPr>
        <w:t>，在</w:t>
      </w:r>
      <w:r>
        <w:rPr>
          <w:rFonts w:hint="eastAsia"/>
        </w:rPr>
        <w:t>设备改造或更新时宜提升设备的信息化、自动化和智能化水平，</w:t>
      </w:r>
      <w:r>
        <w:rPr>
          <w:rFonts w:hint="eastAsia"/>
          <w:lang w:val="en-US" w:eastAsia="zh-CN"/>
        </w:rPr>
        <w:t>宜</w:t>
      </w:r>
      <w:r>
        <w:rPr>
          <w:rFonts w:hint="eastAsia"/>
        </w:rPr>
        <w:t>选用能耗低、噪声</w:t>
      </w:r>
      <w:r>
        <w:rPr>
          <w:rFonts w:hint="eastAsia"/>
          <w:lang w:val="en-US" w:eastAsia="zh-CN"/>
        </w:rPr>
        <w:t>低</w:t>
      </w:r>
      <w:r>
        <w:rPr>
          <w:rFonts w:hint="eastAsia"/>
        </w:rPr>
        <w:t>、破碎率低且配备有效密封措施的设备。</w:t>
      </w:r>
    </w:p>
    <w:p>
      <w:pPr>
        <w:pStyle w:val="165"/>
      </w:pPr>
      <w:r>
        <w:rPr>
          <w:rFonts w:hint="eastAsia"/>
        </w:rPr>
        <w:t>粮食清理、输送设备满载运行时，实际产量不应低于额定产量，作业能力不应低于80 t/h。</w:t>
      </w:r>
    </w:p>
    <w:p>
      <w:pPr>
        <w:pStyle w:val="165"/>
      </w:pPr>
      <w:r>
        <w:rPr>
          <w:rFonts w:hint="eastAsia"/>
        </w:rPr>
        <w:t>机械设备应</w:t>
      </w:r>
      <w:r>
        <w:rPr>
          <w:rFonts w:hint="eastAsia"/>
          <w:lang w:val="en-US" w:eastAsia="zh-CN"/>
        </w:rPr>
        <w:t>在</w:t>
      </w:r>
      <w:r>
        <w:rPr>
          <w:rFonts w:hint="eastAsia"/>
        </w:rPr>
        <w:t>操作人员可能触及的外露旋转件、传动装置等危险运动件</w:t>
      </w:r>
      <w:r>
        <w:rPr>
          <w:rFonts w:hint="eastAsia"/>
          <w:lang w:val="en-US" w:eastAsia="zh-CN"/>
        </w:rPr>
        <w:t>部位</w:t>
      </w:r>
      <w:r>
        <w:rPr>
          <w:rFonts w:hint="eastAsia"/>
        </w:rPr>
        <w:t>设置安全防护装置，安全防护装置和安全距离应符合GB/T 23821的规定</w:t>
      </w:r>
      <w:r>
        <w:rPr>
          <w:rFonts w:hint="eastAsia"/>
          <w:lang w:eastAsia="zh-CN"/>
        </w:rPr>
        <w:t>，</w:t>
      </w:r>
      <w:r>
        <w:rPr>
          <w:rFonts w:hint="eastAsia"/>
        </w:rPr>
        <w:t>电机应有过载保护装置。</w:t>
      </w:r>
    </w:p>
    <w:p>
      <w:pPr>
        <w:pStyle w:val="105"/>
        <w:spacing w:before="156" w:after="156"/>
      </w:pPr>
      <w:r>
        <w:rPr>
          <w:rFonts w:hint="eastAsia"/>
        </w:rPr>
        <w:t xml:space="preserve"> </w:t>
      </w:r>
      <w:bookmarkStart w:id="194" w:name="_Toc24137"/>
      <w:bookmarkStart w:id="195" w:name="_Toc179463411"/>
      <w:bookmarkStart w:id="196" w:name="_Toc28875"/>
      <w:r>
        <w:rPr>
          <w:rFonts w:hint="eastAsia"/>
        </w:rPr>
        <w:t>粮食输送设备</w:t>
      </w:r>
      <w:bookmarkEnd w:id="194"/>
      <w:bookmarkEnd w:id="195"/>
      <w:bookmarkEnd w:id="196"/>
    </w:p>
    <w:p>
      <w:pPr>
        <w:pStyle w:val="65"/>
        <w:spacing w:before="156" w:after="156"/>
      </w:pPr>
      <w:bookmarkStart w:id="197" w:name="_Toc23389"/>
      <w:bookmarkStart w:id="198" w:name="_Toc23895"/>
      <w:bookmarkStart w:id="199" w:name="_Toc7410"/>
      <w:bookmarkStart w:id="200" w:name="_Toc179463412"/>
      <w:bookmarkStart w:id="201" w:name="_Toc4484"/>
      <w:bookmarkStart w:id="202" w:name="_Toc179463467"/>
      <w:r>
        <w:rPr>
          <w:rFonts w:hint="eastAsia"/>
        </w:rPr>
        <w:t>带式输送机</w:t>
      </w:r>
      <w:bookmarkEnd w:id="197"/>
      <w:bookmarkEnd w:id="198"/>
      <w:bookmarkEnd w:id="199"/>
      <w:bookmarkEnd w:id="200"/>
      <w:bookmarkEnd w:id="201"/>
      <w:bookmarkEnd w:id="202"/>
    </w:p>
    <w:p>
      <w:pPr>
        <w:pStyle w:val="164"/>
      </w:pPr>
      <w:r>
        <w:rPr>
          <w:rFonts w:hint="eastAsia"/>
        </w:rPr>
        <w:t>基本参数和技术要求应符合GB/T 10595的规定。额定带载运行时，带速不应小于名义带速的95%。</w:t>
      </w:r>
    </w:p>
    <w:p>
      <w:pPr>
        <w:pStyle w:val="164"/>
      </w:pPr>
      <w:r>
        <w:rPr>
          <w:rFonts w:hint="eastAsia"/>
        </w:rPr>
        <w:t>输送带宽度宜</w:t>
      </w:r>
      <w:r>
        <w:rPr>
          <w:rFonts w:hint="eastAsia"/>
          <w:lang w:val="en-US" w:eastAsia="zh-CN"/>
        </w:rPr>
        <w:t>大</w:t>
      </w:r>
      <w:r>
        <w:rPr>
          <w:rFonts w:hint="eastAsia"/>
          <w:lang w:eastAsia="zh-CN"/>
        </w:rPr>
        <w:t>于</w:t>
      </w:r>
      <w:r>
        <w:rPr>
          <w:rFonts w:hint="eastAsia"/>
        </w:rPr>
        <w:t>600 mm。</w:t>
      </w:r>
    </w:p>
    <w:p>
      <w:pPr>
        <w:pStyle w:val="164"/>
      </w:pPr>
      <w:r>
        <w:rPr>
          <w:rFonts w:hint="eastAsia"/>
        </w:rPr>
        <w:t>登高输送机应配置电动升降系统。</w:t>
      </w:r>
    </w:p>
    <w:p>
      <w:pPr>
        <w:pStyle w:val="164"/>
      </w:pPr>
      <w:r>
        <w:rPr>
          <w:rFonts w:hint="eastAsia"/>
        </w:rPr>
        <w:t>转向式装仓机应配置伸缩机架，可伸缩调节输送距离；配置电动输送、转向、液压升降装置；堆粮高度不应低于设计装粮高度，转向角度应为±90°。</w:t>
      </w:r>
    </w:p>
    <w:p>
      <w:pPr>
        <w:pStyle w:val="65"/>
        <w:spacing w:before="156" w:after="156"/>
      </w:pPr>
      <w:bookmarkStart w:id="203" w:name="_Toc30680"/>
      <w:bookmarkStart w:id="204" w:name="_Toc9210"/>
      <w:bookmarkStart w:id="205" w:name="_Toc179463413"/>
      <w:bookmarkStart w:id="206" w:name="_Toc30384"/>
      <w:bookmarkStart w:id="207" w:name="_Toc27740"/>
      <w:bookmarkStart w:id="208" w:name="_Toc179463468"/>
      <w:r>
        <w:rPr>
          <w:rFonts w:hint="eastAsia"/>
        </w:rPr>
        <w:t>移动式扒谷机</w:t>
      </w:r>
      <w:bookmarkEnd w:id="203"/>
      <w:bookmarkEnd w:id="204"/>
      <w:bookmarkEnd w:id="205"/>
      <w:bookmarkEnd w:id="206"/>
      <w:bookmarkEnd w:id="207"/>
      <w:bookmarkEnd w:id="208"/>
    </w:p>
    <w:p>
      <w:pPr>
        <w:pStyle w:val="164"/>
      </w:pPr>
      <w:r>
        <w:rPr>
          <w:rFonts w:hint="eastAsia"/>
        </w:rPr>
        <w:t>螺旋式扒谷机构应符合LS/T 3530的规定，刮板式扒谷机构应符合GB/T 10596的规定，带式输送机构应符合GB/T 10595的规定。</w:t>
      </w:r>
    </w:p>
    <w:p>
      <w:pPr>
        <w:pStyle w:val="164"/>
      </w:pPr>
      <w:r>
        <w:rPr>
          <w:rFonts w:hint="eastAsia"/>
        </w:rPr>
        <w:t>整机运行无卡塞、渗漏油、阻滞、无异常声响和发热。所有活动件应转动或移动灵活。所有紧固件应可靠，不应有松动现象。各操控部件应灵活、准确、可靠。</w:t>
      </w:r>
    </w:p>
    <w:p>
      <w:pPr>
        <w:pStyle w:val="164"/>
      </w:pPr>
      <w:r>
        <w:rPr>
          <w:rFonts w:hint="eastAsia"/>
        </w:rPr>
        <w:t>旋转机构旋转角度</w:t>
      </w:r>
      <w:r>
        <w:rPr>
          <w:rFonts w:hint="eastAsia"/>
          <w:lang w:eastAsia="zh-CN"/>
        </w:rPr>
        <w:t>不小于</w:t>
      </w:r>
      <w:r>
        <w:rPr>
          <w:rFonts w:hint="eastAsia"/>
        </w:rPr>
        <w:t>180°，</w:t>
      </w:r>
      <w:r>
        <w:rPr>
          <w:rFonts w:hint="eastAsia"/>
          <w:lang w:val="en-US" w:eastAsia="zh-CN"/>
        </w:rPr>
        <w:t>粮食</w:t>
      </w:r>
      <w:r>
        <w:rPr>
          <w:rFonts w:hint="eastAsia"/>
        </w:rPr>
        <w:t>破碎粒增值</w:t>
      </w:r>
      <w:r>
        <w:rPr>
          <w:rFonts w:hint="eastAsia"/>
          <w:lang w:val="en-US" w:eastAsia="zh-CN"/>
        </w:rPr>
        <w:t>应符合GB/T 45037的规定，小麦、稻谷</w:t>
      </w:r>
      <w:r>
        <w:rPr>
          <w:rFonts w:hint="eastAsia"/>
        </w:rPr>
        <w:t>应</w:t>
      </w:r>
      <w:r>
        <w:rPr>
          <w:rFonts w:hint="eastAsia"/>
          <w:lang w:eastAsia="zh-CN"/>
        </w:rPr>
        <w:t>不高于</w:t>
      </w:r>
      <w:r>
        <w:rPr>
          <w:rFonts w:hint="eastAsia"/>
        </w:rPr>
        <w:t>0.</w:t>
      </w:r>
      <w:r>
        <w:rPr>
          <w:rFonts w:hint="eastAsia"/>
          <w:lang w:val="en-US" w:eastAsia="zh-CN"/>
        </w:rPr>
        <w:t>3</w:t>
      </w:r>
      <w:r>
        <w:rPr>
          <w:rFonts w:hint="eastAsia"/>
        </w:rPr>
        <w:t>5%</w:t>
      </w:r>
      <w:r>
        <w:rPr>
          <w:rFonts w:hint="eastAsia"/>
          <w:lang w:eastAsia="zh-CN"/>
        </w:rPr>
        <w:t>，</w:t>
      </w:r>
      <w:r>
        <w:rPr>
          <w:rFonts w:hint="eastAsia"/>
          <w:lang w:val="en-US" w:eastAsia="zh-CN"/>
        </w:rPr>
        <w:t>其他</w:t>
      </w:r>
      <w:r>
        <w:rPr>
          <w:rFonts w:hint="eastAsia"/>
        </w:rPr>
        <w:t>粮食应</w:t>
      </w:r>
      <w:r>
        <w:rPr>
          <w:rFonts w:hint="eastAsia"/>
          <w:lang w:eastAsia="zh-CN"/>
        </w:rPr>
        <w:t>不高于</w:t>
      </w:r>
      <w:r>
        <w:rPr>
          <w:rFonts w:hint="eastAsia"/>
        </w:rPr>
        <w:t>0.</w:t>
      </w:r>
      <w:r>
        <w:rPr>
          <w:rFonts w:hint="eastAsia"/>
          <w:lang w:val="en-US" w:eastAsia="zh-CN"/>
        </w:rPr>
        <w:t>55</w:t>
      </w:r>
      <w:r>
        <w:rPr>
          <w:rFonts w:hint="eastAsia"/>
        </w:rPr>
        <w:t>%。</w:t>
      </w:r>
    </w:p>
    <w:p>
      <w:pPr>
        <w:pStyle w:val="164"/>
      </w:pPr>
      <w:r>
        <w:rPr>
          <w:rFonts w:hint="eastAsia"/>
        </w:rPr>
        <w:t>选用的电气设备应具备防尘、防爆功能；电击防护应符合GB/T 5226.1的相关规定。</w:t>
      </w:r>
    </w:p>
    <w:p>
      <w:pPr>
        <w:pStyle w:val="164"/>
      </w:pPr>
      <w:r>
        <w:rPr>
          <w:rFonts w:hint="eastAsia"/>
        </w:rPr>
        <w:t>移动式侧卸机应配置行走底盘和方向盘控制系统，易于移动和操作；配置</w:t>
      </w:r>
      <w:r>
        <w:rPr>
          <w:rFonts w:hint="eastAsia"/>
          <w:lang w:eastAsia="zh-CN"/>
        </w:rPr>
        <w:t>电动升降和</w:t>
      </w:r>
      <w:r>
        <w:rPr>
          <w:rFonts w:hint="eastAsia"/>
        </w:rPr>
        <w:t>伸缩驱动装置，升降范围宜控制在1.1 m ～1.6 m，伸缩范围宜控制在1.0 m ～4.0 m。</w:t>
      </w:r>
    </w:p>
    <w:p>
      <w:pPr>
        <w:pStyle w:val="164"/>
      </w:pPr>
      <w:r>
        <w:rPr>
          <w:rFonts w:hint="eastAsia"/>
        </w:rPr>
        <w:t>除尘系统应密闭良好，不易堵塞，灰尘便于清理回收。</w:t>
      </w:r>
    </w:p>
    <w:p>
      <w:pPr>
        <w:pStyle w:val="105"/>
        <w:spacing w:before="156" w:after="156"/>
      </w:pPr>
      <w:r>
        <w:rPr>
          <w:rFonts w:hint="eastAsia"/>
        </w:rPr>
        <w:t xml:space="preserve"> </w:t>
      </w:r>
      <w:bookmarkStart w:id="209" w:name="_Toc22915"/>
      <w:bookmarkStart w:id="210" w:name="_Toc19974"/>
      <w:bookmarkStart w:id="211" w:name="_Toc179463414"/>
      <w:r>
        <w:rPr>
          <w:rFonts w:hint="eastAsia"/>
        </w:rPr>
        <w:t>粮食清理设备</w:t>
      </w:r>
      <w:bookmarkEnd w:id="209"/>
      <w:bookmarkEnd w:id="210"/>
      <w:bookmarkEnd w:id="211"/>
    </w:p>
    <w:p>
      <w:pPr>
        <w:pStyle w:val="165"/>
      </w:pPr>
      <w:r>
        <w:rPr>
          <w:rFonts w:hint="eastAsia"/>
        </w:rPr>
        <w:t>圆筒初清筛基本参数和技术要求应符合GB/T 26893的规定，振动清理筛基本参数和技术要求应符合GB/T 26894的规定。</w:t>
      </w:r>
    </w:p>
    <w:p>
      <w:pPr>
        <w:pStyle w:val="165"/>
      </w:pPr>
      <w:r>
        <w:rPr>
          <w:rFonts w:hint="eastAsia"/>
        </w:rPr>
        <w:t>宜选用组合清理筛，相关技术要求按GB/T 25235</w:t>
      </w:r>
      <w:r>
        <w:rPr>
          <w:rFonts w:hint="eastAsia"/>
          <w:lang w:val="en-US" w:eastAsia="zh-CN"/>
        </w:rPr>
        <w:t>的规定</w:t>
      </w:r>
      <w:r>
        <w:rPr>
          <w:rFonts w:hint="eastAsia"/>
        </w:rPr>
        <w:t>执行。</w:t>
      </w:r>
    </w:p>
    <w:p>
      <w:pPr>
        <w:pStyle w:val="165"/>
      </w:pPr>
      <w:r>
        <w:rPr>
          <w:rFonts w:hint="eastAsia"/>
        </w:rPr>
        <w:t>粮食清理设备应无灰尘外溢、漏料现象，给、排料顺畅，筛板、筛格装拆方便。</w:t>
      </w:r>
    </w:p>
    <w:p>
      <w:pPr>
        <w:pStyle w:val="165"/>
      </w:pPr>
      <w:r>
        <w:rPr>
          <w:rFonts w:hint="eastAsia"/>
        </w:rPr>
        <w:t>宜配置脉冲除尘装置。</w:t>
      </w:r>
    </w:p>
    <w:p>
      <w:pPr>
        <w:pStyle w:val="105"/>
        <w:spacing w:before="156" w:after="156"/>
      </w:pPr>
      <w:r>
        <w:rPr>
          <w:rFonts w:hint="eastAsia"/>
        </w:rPr>
        <w:t xml:space="preserve"> </w:t>
      </w:r>
      <w:bookmarkStart w:id="212" w:name="_Toc15066"/>
      <w:bookmarkStart w:id="213" w:name="_Toc14827"/>
      <w:bookmarkStart w:id="214" w:name="_Toc179463415"/>
      <w:r>
        <w:rPr>
          <w:rFonts w:hint="eastAsia"/>
        </w:rPr>
        <w:t>移动液压翻板散粮汽车卸车装置</w:t>
      </w:r>
      <w:bookmarkEnd w:id="212"/>
      <w:bookmarkEnd w:id="213"/>
      <w:bookmarkEnd w:id="214"/>
    </w:p>
    <w:p>
      <w:pPr>
        <w:pStyle w:val="165"/>
      </w:pPr>
      <w:r>
        <w:rPr>
          <w:rFonts w:hint="eastAsia"/>
        </w:rPr>
        <w:t>一般由机械、液压、电气三部分组成。一般要求、机械要求、工艺性能要求和安全要求应符合GB/T 21489的规定。</w:t>
      </w:r>
    </w:p>
    <w:p>
      <w:pPr>
        <w:pStyle w:val="165"/>
      </w:pPr>
      <w:r>
        <w:rPr>
          <w:rFonts w:hint="eastAsia"/>
        </w:rPr>
        <w:t>应具备自驱移动和自转向功能。</w:t>
      </w:r>
    </w:p>
    <w:p>
      <w:pPr>
        <w:pStyle w:val="165"/>
      </w:pPr>
      <w:r>
        <w:rPr>
          <w:rFonts w:hint="eastAsia"/>
        </w:rPr>
        <w:t>承载量</w:t>
      </w:r>
      <w:r>
        <w:rPr>
          <w:rFonts w:hint="eastAsia"/>
          <w:lang w:val="en-US" w:eastAsia="zh-CN"/>
        </w:rPr>
        <w:t>应不低于</w:t>
      </w:r>
      <w:r>
        <w:rPr>
          <w:rFonts w:hint="eastAsia"/>
        </w:rPr>
        <w:t>100 t。</w:t>
      </w:r>
    </w:p>
    <w:p>
      <w:pPr>
        <w:pStyle w:val="105"/>
        <w:spacing w:before="156" w:after="156"/>
      </w:pPr>
      <w:bookmarkStart w:id="215" w:name="_Toc5899"/>
      <w:bookmarkStart w:id="216" w:name="_Toc30244"/>
      <w:r>
        <w:rPr>
          <w:rFonts w:hint="eastAsia"/>
        </w:rPr>
        <w:t>储粮仓房专用空调</w:t>
      </w:r>
      <w:bookmarkEnd w:id="215"/>
      <w:bookmarkEnd w:id="216"/>
    </w:p>
    <w:p>
      <w:pPr>
        <w:pStyle w:val="165"/>
      </w:pPr>
      <w:r>
        <w:rPr>
          <w:rFonts w:hint="eastAsia"/>
        </w:rPr>
        <w:t>粮仓专用空调应符合GB/T 17758、GB 4706.1和节能环保的要求。</w:t>
      </w:r>
    </w:p>
    <w:p>
      <w:pPr>
        <w:pStyle w:val="165"/>
      </w:pPr>
      <w:r>
        <w:rPr>
          <w:rFonts w:hint="eastAsia"/>
        </w:rPr>
        <w:t>粮仓专用空调单台制冷量、送风量以及安装台数，应与仓房所需总制冷量相匹配。</w:t>
      </w:r>
    </w:p>
    <w:p>
      <w:pPr>
        <w:pStyle w:val="165"/>
      </w:pPr>
      <w:r>
        <w:rPr>
          <w:rFonts w:hint="eastAsia"/>
        </w:rPr>
        <w:t>空调能效等级应符合GB 37479的有关规定，不低于</w:t>
      </w:r>
      <w:r>
        <w:rPr>
          <w:rFonts w:hint="eastAsia"/>
          <w:lang w:val="en-US" w:eastAsia="zh-CN"/>
        </w:rPr>
        <w:t>2</w:t>
      </w:r>
      <w:r>
        <w:rPr>
          <w:rFonts w:hint="eastAsia"/>
        </w:rPr>
        <w:t>级。设备应采用风冷式单冷型。空调各元器件应防尘、抗熏蒸、防腐蚀。</w:t>
      </w:r>
    </w:p>
    <w:p>
      <w:pPr>
        <w:pStyle w:val="165"/>
      </w:pPr>
      <w:r>
        <w:rPr>
          <w:rFonts w:hint="eastAsia"/>
        </w:rPr>
        <w:t>应采用空调机组全部置于仓外的安装形式。仓内出风口应采取有效的防尘、防结露和密封措施。</w:t>
      </w:r>
    </w:p>
    <w:p>
      <w:pPr>
        <w:pStyle w:val="165"/>
      </w:pPr>
      <w:r>
        <w:rPr>
          <w:rFonts w:hint="eastAsia"/>
        </w:rPr>
        <w:t>空调机安装在仓房墙壁上的，应校核仓房墙体对设备单台重量承载能力，宜安装在仓房的背阴面。仓内送风口及送风管道安装后，不应影响走道板的铺设，不应影响仓内粮面以上劳动作业及人员行走。</w:t>
      </w:r>
    </w:p>
    <w:p>
      <w:pPr>
        <w:pStyle w:val="165"/>
      </w:pPr>
      <w:r>
        <w:rPr>
          <w:rFonts w:hint="eastAsia"/>
        </w:rPr>
        <w:t>宜具备与粮库信息系统对接和远程控制的功能。</w:t>
      </w:r>
    </w:p>
    <w:p>
      <w:pPr>
        <w:pStyle w:val="105"/>
        <w:spacing w:before="156" w:after="156"/>
      </w:pPr>
      <w:bookmarkStart w:id="217" w:name="_Toc16494"/>
      <w:bookmarkStart w:id="218" w:name="_Toc22853"/>
      <w:r>
        <w:rPr>
          <w:rFonts w:hint="eastAsia"/>
        </w:rPr>
        <w:t>储粮通风机</w:t>
      </w:r>
      <w:bookmarkEnd w:id="217"/>
      <w:bookmarkEnd w:id="218"/>
    </w:p>
    <w:p>
      <w:pPr>
        <w:pStyle w:val="165"/>
      </w:pPr>
      <w:r>
        <w:rPr>
          <w:rFonts w:hint="eastAsia"/>
        </w:rPr>
        <w:t>通风机的主要参数、工作特性、工作环境、附件的配置等应符合LS/T 1202的规定。</w:t>
      </w:r>
    </w:p>
    <w:p>
      <w:pPr>
        <w:pStyle w:val="165"/>
      </w:pPr>
      <w:r>
        <w:rPr>
          <w:rFonts w:hint="eastAsia"/>
        </w:rPr>
        <w:t>应根据储粮生态条件、仓型和采用的储粮技术选择相应的通风机。</w:t>
      </w:r>
    </w:p>
    <w:p>
      <w:pPr>
        <w:pStyle w:val="165"/>
      </w:pPr>
      <w:r>
        <w:rPr>
          <w:rFonts w:hint="eastAsia"/>
        </w:rPr>
        <w:t>应根据储粮数量、通风作业量和通风口数量，匹配风机数量。</w:t>
      </w:r>
    </w:p>
    <w:p>
      <w:pPr>
        <w:pStyle w:val="165"/>
      </w:pPr>
      <w:r>
        <w:rPr>
          <w:rFonts w:hint="eastAsia"/>
        </w:rPr>
        <w:t>通风机的安装应符合LS 1207的规定。</w:t>
      </w:r>
    </w:p>
    <w:p>
      <w:pPr>
        <w:pStyle w:val="165"/>
      </w:pPr>
      <w:r>
        <w:rPr>
          <w:rFonts w:hint="eastAsia"/>
        </w:rPr>
        <w:t>宜采用低噪声风机。</w:t>
      </w:r>
    </w:p>
    <w:p>
      <w:pPr>
        <w:pStyle w:val="105"/>
        <w:numPr>
          <w:ilvl w:val="2"/>
          <w:numId w:val="2"/>
        </w:numPr>
        <w:spacing w:before="156" w:after="156"/>
      </w:pPr>
      <w:bookmarkStart w:id="219" w:name="_Toc22639"/>
      <w:bookmarkStart w:id="220" w:name="_Toc6162"/>
      <w:r>
        <w:rPr>
          <w:rFonts w:hint="eastAsia"/>
        </w:rPr>
        <w:t>粮油检验仪器设备</w:t>
      </w:r>
      <w:bookmarkEnd w:id="219"/>
      <w:bookmarkEnd w:id="220"/>
    </w:p>
    <w:p>
      <w:pPr>
        <w:pStyle w:val="165"/>
        <w:numPr>
          <w:ilvl w:val="3"/>
          <w:numId w:val="2"/>
        </w:numPr>
      </w:pPr>
      <w:r>
        <w:rPr>
          <w:rFonts w:hint="eastAsia"/>
        </w:rPr>
        <w:t>粮油检验仪器设备应满足相关粮油检验标准对检验仪器设备的要求。</w:t>
      </w:r>
    </w:p>
    <w:p>
      <w:pPr>
        <w:pStyle w:val="165"/>
        <w:numPr>
          <w:ilvl w:val="3"/>
          <w:numId w:val="2"/>
        </w:numPr>
      </w:pPr>
      <w:r>
        <w:rPr>
          <w:rFonts w:hint="eastAsia"/>
          <w:lang w:val="en-US" w:eastAsia="zh-CN"/>
        </w:rPr>
        <w:t>依据</w:t>
      </w:r>
      <w:r>
        <w:rPr>
          <w:rFonts w:hint="eastAsia"/>
        </w:rPr>
        <w:t>《北京市储备粮承储企业检验室标准》配齐粮油检验仪器设备，满足与承储任务相适应的粮食质量指标、储存品质指标和主要食品安全指标检验的需要。</w:t>
      </w:r>
    </w:p>
    <w:p>
      <w:pPr>
        <w:pStyle w:val="165"/>
        <w:numPr>
          <w:ilvl w:val="3"/>
          <w:numId w:val="2"/>
        </w:numPr>
      </w:pPr>
      <w:r>
        <w:rPr>
          <w:rFonts w:hint="eastAsia"/>
        </w:rPr>
        <w:t>宜配置粮食质量、储存品质和食品安全主要指标快速检验检测仪器设备。</w:t>
      </w:r>
    </w:p>
    <w:p>
      <w:pPr>
        <w:pStyle w:val="104"/>
        <w:spacing w:before="312" w:after="312"/>
      </w:pPr>
      <w:bookmarkStart w:id="221" w:name="_Toc4262"/>
      <w:bookmarkStart w:id="222" w:name="_Toc179463416"/>
      <w:bookmarkStart w:id="223" w:name="_Toc28045"/>
      <w:r>
        <w:rPr>
          <w:rFonts w:hint="eastAsia"/>
        </w:rPr>
        <w:t>粮库信息系统</w:t>
      </w:r>
      <w:bookmarkEnd w:id="221"/>
      <w:bookmarkEnd w:id="222"/>
      <w:bookmarkEnd w:id="223"/>
    </w:p>
    <w:p>
      <w:pPr>
        <w:pStyle w:val="105"/>
        <w:spacing w:before="156" w:after="156"/>
      </w:pPr>
      <w:bookmarkStart w:id="224" w:name="_Toc28995"/>
      <w:bookmarkStart w:id="225" w:name="_Toc179463417"/>
      <w:bookmarkStart w:id="226" w:name="_Toc6185"/>
      <w:r>
        <w:rPr>
          <w:rFonts w:hint="eastAsia"/>
        </w:rPr>
        <w:t>一般要求</w:t>
      </w:r>
      <w:bookmarkEnd w:id="224"/>
      <w:bookmarkEnd w:id="225"/>
      <w:bookmarkEnd w:id="226"/>
    </w:p>
    <w:p>
      <w:pPr>
        <w:pStyle w:val="165"/>
      </w:pPr>
      <w:r>
        <w:rPr>
          <w:rFonts w:hint="eastAsia"/>
        </w:rPr>
        <w:t>粮库信息系统应</w:t>
      </w:r>
      <w:r>
        <w:rPr>
          <w:rFonts w:hint="eastAsia"/>
          <w:lang w:val="en-US" w:eastAsia="zh-CN"/>
        </w:rPr>
        <w:t>依据</w:t>
      </w:r>
      <w:r>
        <w:rPr>
          <w:rFonts w:hint="eastAsia"/>
        </w:rPr>
        <w:t>《粮食购销领域监管信息化规范》</w:t>
      </w:r>
      <w:r>
        <w:rPr>
          <w:rFonts w:hint="eastAsia"/>
          <w:lang w:val="en-US" w:eastAsia="zh-CN"/>
        </w:rPr>
        <w:t>和</w:t>
      </w:r>
      <w:r>
        <w:rPr>
          <w:rFonts w:hint="eastAsia"/>
          <w:lang w:eastAsia="zh-CN"/>
        </w:rPr>
        <w:t>《粮库信息化软件建设技术要点》</w:t>
      </w:r>
      <w:r>
        <w:rPr>
          <w:rFonts w:hint="eastAsia"/>
        </w:rPr>
        <w:t>的要求，满足与各级平台的业务同步、同数同源、互通共享。</w:t>
      </w:r>
    </w:p>
    <w:p>
      <w:pPr>
        <w:pStyle w:val="165"/>
      </w:pPr>
      <w:r>
        <w:rPr>
          <w:rFonts w:hint="eastAsia"/>
        </w:rPr>
        <w:t>应具备一定的安全保护措施，设置网络安全防护机制。</w:t>
      </w:r>
    </w:p>
    <w:p>
      <w:pPr>
        <w:pStyle w:val="165"/>
      </w:pPr>
      <w:r>
        <w:rPr>
          <w:rFonts w:hint="eastAsia"/>
          <w:lang w:val="en-US" w:eastAsia="zh-CN"/>
        </w:rPr>
        <w:t>升级改造粮库信息系统时，</w:t>
      </w:r>
      <w:r>
        <w:rPr>
          <w:rFonts w:hint="eastAsia"/>
          <w:lang w:eastAsia="zh-CN"/>
        </w:rPr>
        <w:t>宜充分考虑国产化替代要求。</w:t>
      </w:r>
    </w:p>
    <w:p>
      <w:pPr>
        <w:pStyle w:val="105"/>
        <w:spacing w:before="156" w:after="156"/>
      </w:pPr>
      <w:bookmarkStart w:id="227" w:name="_Toc13593"/>
      <w:bookmarkStart w:id="228" w:name="_Toc21969"/>
      <w:r>
        <w:rPr>
          <w:rFonts w:hint="eastAsia"/>
        </w:rPr>
        <w:t>粮情测控系统</w:t>
      </w:r>
      <w:bookmarkEnd w:id="227"/>
      <w:bookmarkEnd w:id="228"/>
    </w:p>
    <w:p>
      <w:pPr>
        <w:pStyle w:val="165"/>
      </w:pPr>
      <w:r>
        <w:rPr>
          <w:rFonts w:hint="eastAsia"/>
        </w:rPr>
        <w:t>应具备一定的安全保护措施，防止未授权访问和数据泄露。</w:t>
      </w:r>
    </w:p>
    <w:p>
      <w:pPr>
        <w:pStyle w:val="165"/>
      </w:pPr>
      <w:r>
        <w:rPr>
          <w:rFonts w:hint="eastAsia"/>
        </w:rPr>
        <w:t>温度测量误差不应大于±0.</w:t>
      </w:r>
      <w:r>
        <w:rPr>
          <w:rFonts w:hint="eastAsia"/>
          <w:lang w:val="en-US" w:eastAsia="zh-CN"/>
        </w:rPr>
        <w:t>5</w:t>
      </w:r>
      <w:r>
        <w:rPr>
          <w:rFonts w:hint="eastAsia"/>
        </w:rPr>
        <w:t xml:space="preserve"> ℃，测量范围应为-40 ℃ ～60 ℃</w:t>
      </w:r>
      <w:r>
        <w:rPr>
          <w:rFonts w:hint="eastAsia"/>
          <w:lang w:eastAsia="zh-CN"/>
        </w:rPr>
        <w:t>。</w:t>
      </w:r>
      <w:r>
        <w:rPr>
          <w:rFonts w:hint="eastAsia"/>
        </w:rPr>
        <w:t>湿度测量误差不应大于±3%，测量范围应为10% ～99%。水分测量误差不应大于±0.8%，测量范围应为5% ～30%。工作环境温度范围应为-40 ℃ ～60 ℃，相对湿度范围应不大于95%。</w:t>
      </w:r>
    </w:p>
    <w:p>
      <w:pPr>
        <w:pStyle w:val="165"/>
      </w:pPr>
      <w:r>
        <w:rPr>
          <w:rFonts w:hint="eastAsia"/>
        </w:rPr>
        <w:t>宜采用多参数粮情检测系统，具备数据储存、处理、分析、预警和远程监控功能，根据需求可扩充</w:t>
      </w:r>
      <w:r>
        <w:rPr>
          <w:rFonts w:hint="eastAsia"/>
          <w:lang w:val="en-US" w:eastAsia="zh-CN"/>
        </w:rPr>
        <w:t>粮食水分、</w:t>
      </w:r>
      <w:r>
        <w:rPr>
          <w:rFonts w:hint="eastAsia"/>
        </w:rPr>
        <w:t>害虫数量、磷化氢、氧气和二氧化碳气体浓度等检测项目。</w:t>
      </w:r>
    </w:p>
    <w:p>
      <w:pPr>
        <w:pStyle w:val="105"/>
        <w:numPr>
          <w:ilvl w:val="2"/>
          <w:numId w:val="2"/>
        </w:numPr>
        <w:spacing w:before="156" w:after="156"/>
      </w:pPr>
      <w:bookmarkStart w:id="229" w:name="_Toc28206"/>
      <w:bookmarkStart w:id="230" w:name="_Toc28257"/>
      <w:r>
        <w:rPr>
          <w:rFonts w:hint="eastAsia"/>
        </w:rPr>
        <w:t>智能出入库管理系统</w:t>
      </w:r>
      <w:bookmarkEnd w:id="229"/>
      <w:bookmarkEnd w:id="230"/>
    </w:p>
    <w:p>
      <w:pPr>
        <w:pStyle w:val="165"/>
        <w:numPr>
          <w:ilvl w:val="3"/>
          <w:numId w:val="2"/>
        </w:numPr>
      </w:pPr>
      <w:r>
        <w:rPr>
          <w:rFonts w:hint="eastAsia"/>
        </w:rPr>
        <w:t>硬件要求和系统功能应符合LS/T 1804的规定。</w:t>
      </w:r>
    </w:p>
    <w:p>
      <w:pPr>
        <w:pStyle w:val="165"/>
        <w:numPr>
          <w:ilvl w:val="3"/>
          <w:numId w:val="2"/>
        </w:numPr>
      </w:pPr>
      <w:r>
        <w:rPr>
          <w:rFonts w:hint="eastAsia"/>
        </w:rPr>
        <w:t>应与现有粮库信息系统相对接。</w:t>
      </w:r>
    </w:p>
    <w:p>
      <w:pPr>
        <w:pStyle w:val="105"/>
        <w:numPr>
          <w:ilvl w:val="2"/>
          <w:numId w:val="2"/>
        </w:numPr>
        <w:spacing w:before="156" w:after="156"/>
      </w:pPr>
      <w:bookmarkStart w:id="231" w:name="_Toc8371"/>
      <w:bookmarkStart w:id="232" w:name="_Toc1464"/>
      <w:r>
        <w:rPr>
          <w:rFonts w:hint="eastAsia"/>
        </w:rPr>
        <w:t>库区网络配置</w:t>
      </w:r>
      <w:bookmarkEnd w:id="231"/>
      <w:bookmarkEnd w:id="232"/>
    </w:p>
    <w:p>
      <w:pPr>
        <w:pStyle w:val="165"/>
        <w:numPr>
          <w:ilvl w:val="3"/>
          <w:numId w:val="2"/>
        </w:numPr>
      </w:pPr>
      <w:r>
        <w:rPr>
          <w:rFonts w:hint="eastAsia"/>
        </w:rPr>
        <w:t>整个库区通讯网络采用工业以太网络、无线AP覆盖加工业控制总线方式。库区网络传输以工业以太光纤网络为主，网络传输平台通讯协议采用标准TCP/IP网络协议。</w:t>
      </w:r>
    </w:p>
    <w:p>
      <w:pPr>
        <w:pStyle w:val="165"/>
        <w:numPr>
          <w:ilvl w:val="3"/>
          <w:numId w:val="2"/>
        </w:numPr>
      </w:pPr>
      <w:r>
        <w:rPr>
          <w:rFonts w:hint="eastAsia"/>
        </w:rPr>
        <w:t>系统网络结构采用两级的形式，一级高速主干光纤网络，下一级低速（设备级）现场总线网。主干网采用光纤作为媒体，能同时传输多媒体信息，覆盖绝大部分的应用系统。主干光网传输速率1000 M，距离应大于10 km。</w:t>
      </w:r>
    </w:p>
    <w:p>
      <w:pPr>
        <w:pStyle w:val="105"/>
        <w:spacing w:before="156" w:after="156"/>
      </w:pPr>
      <w:bookmarkStart w:id="233" w:name="_Toc1933"/>
      <w:bookmarkStart w:id="234" w:name="_Toc16789"/>
      <w:bookmarkStart w:id="235" w:name="_Toc179463418"/>
      <w:r>
        <w:rPr>
          <w:rFonts w:hint="eastAsia"/>
        </w:rPr>
        <w:t>服务器</w:t>
      </w:r>
      <w:bookmarkEnd w:id="233"/>
      <w:bookmarkEnd w:id="234"/>
      <w:bookmarkEnd w:id="235"/>
    </w:p>
    <w:p>
      <w:pPr>
        <w:pStyle w:val="165"/>
      </w:pPr>
      <w:r>
        <w:rPr>
          <w:rFonts w:hint="eastAsia"/>
        </w:rPr>
        <w:t>服务器基本配置应满足以下要求：</w:t>
      </w:r>
    </w:p>
    <w:p>
      <w:pPr>
        <w:pStyle w:val="174"/>
        <w:numPr>
          <w:ilvl w:val="0"/>
          <w:numId w:val="33"/>
        </w:numPr>
      </w:pPr>
      <w:r>
        <w:rPr>
          <w:rFonts w:hint="eastAsia"/>
        </w:rPr>
        <w:t>CPU核心应不低于八核，主频不低于2.1 GHz；</w:t>
      </w:r>
    </w:p>
    <w:p>
      <w:pPr>
        <w:pStyle w:val="174"/>
      </w:pPr>
      <w:r>
        <w:rPr>
          <w:rFonts w:hint="eastAsia"/>
        </w:rPr>
        <w:t>运行内存应大于16 G；</w:t>
      </w:r>
    </w:p>
    <w:p>
      <w:pPr>
        <w:pStyle w:val="174"/>
      </w:pPr>
      <w:r>
        <w:rPr>
          <w:rFonts w:hint="eastAsia"/>
        </w:rPr>
        <w:t>内置固态硬盘不小于256 G；单块外接移动硬盘容量不低于1.0 T，数量不少于3 块；</w:t>
      </w:r>
    </w:p>
    <w:p>
      <w:pPr>
        <w:pStyle w:val="174"/>
      </w:pPr>
      <w:r>
        <w:rPr>
          <w:rFonts w:hint="eastAsia"/>
        </w:rPr>
        <w:t>双电源功率不低于750 W。</w:t>
      </w:r>
    </w:p>
    <w:p>
      <w:pPr>
        <w:pStyle w:val="165"/>
        <w:numPr>
          <w:ilvl w:val="3"/>
          <w:numId w:val="2"/>
        </w:numPr>
      </w:pPr>
      <w:r>
        <w:rPr>
          <w:rFonts w:hint="eastAsia"/>
        </w:rPr>
        <w:t>服务器应与北京时间保持同步，时钟同步周期应不少于 1 次/周，时钟同步精度应小于1 s。</w:t>
      </w:r>
    </w:p>
    <w:p>
      <w:pPr>
        <w:pStyle w:val="165"/>
        <w:numPr>
          <w:ilvl w:val="3"/>
          <w:numId w:val="2"/>
        </w:numPr>
      </w:pPr>
      <w:r>
        <w:rPr>
          <w:rFonts w:hint="eastAsia"/>
        </w:rPr>
        <w:t>服务器应在机房供电线路上配置稳压器和过电压防护设备，在供电不足或中断时，应保证服务器系统正常工作30 min。</w:t>
      </w:r>
    </w:p>
    <w:p>
      <w:pPr>
        <w:pStyle w:val="105"/>
        <w:numPr>
          <w:ilvl w:val="2"/>
          <w:numId w:val="2"/>
        </w:numPr>
        <w:spacing w:before="156" w:after="156"/>
      </w:pPr>
      <w:bookmarkStart w:id="236" w:name="_Toc22918"/>
      <w:bookmarkStart w:id="237" w:name="_Toc179463421"/>
      <w:bookmarkStart w:id="238" w:name="_Toc20822"/>
      <w:r>
        <w:rPr>
          <w:rFonts w:hint="eastAsia"/>
        </w:rPr>
        <w:t>智能单仓控制柜</w:t>
      </w:r>
      <w:bookmarkEnd w:id="236"/>
      <w:bookmarkEnd w:id="237"/>
      <w:bookmarkEnd w:id="238"/>
    </w:p>
    <w:p>
      <w:pPr>
        <w:pStyle w:val="165"/>
        <w:numPr>
          <w:ilvl w:val="3"/>
          <w:numId w:val="2"/>
        </w:numPr>
      </w:pPr>
      <w:r>
        <w:rPr>
          <w:rFonts w:hint="eastAsia"/>
        </w:rPr>
        <w:t>外壳防护、电击防护、着火危险防护、机械安全等安全要求应符合GB/T 25294的相关规定。</w:t>
      </w:r>
    </w:p>
    <w:p>
      <w:pPr>
        <w:pStyle w:val="165"/>
        <w:numPr>
          <w:ilvl w:val="3"/>
          <w:numId w:val="2"/>
        </w:numPr>
      </w:pPr>
      <w:r>
        <w:rPr>
          <w:rFonts w:hint="eastAsia"/>
        </w:rPr>
        <w:t>应具备粮情检测、内环流控温、虫害检测、气体检测、通风控制、单仓能耗管理和远程照明控制等操控功能，具备自动模式和手动模式，配套管理软件和控制面板应能够与现有粮库信息系统实现对接。</w:t>
      </w:r>
    </w:p>
    <w:p>
      <w:pPr>
        <w:pStyle w:val="105"/>
        <w:numPr>
          <w:ilvl w:val="2"/>
          <w:numId w:val="2"/>
        </w:numPr>
        <w:spacing w:before="156" w:after="156"/>
      </w:pPr>
      <w:bookmarkStart w:id="239" w:name="_Toc30444"/>
      <w:bookmarkStart w:id="240" w:name="_Toc31626"/>
      <w:bookmarkStart w:id="241" w:name="_Toc179463422"/>
      <w:r>
        <w:rPr>
          <w:rFonts w:hint="eastAsia"/>
        </w:rPr>
        <w:t>控制终端</w:t>
      </w:r>
      <w:bookmarkEnd w:id="239"/>
      <w:bookmarkEnd w:id="240"/>
      <w:bookmarkEnd w:id="241"/>
    </w:p>
    <w:p>
      <w:pPr>
        <w:pStyle w:val="165"/>
        <w:numPr>
          <w:ilvl w:val="3"/>
          <w:numId w:val="2"/>
        </w:numPr>
      </w:pPr>
      <w:r>
        <w:rPr>
          <w:rFonts w:hint="eastAsia"/>
        </w:rPr>
        <w:t>基本配置应满足CPU主频频率2.0 GHz以上，运行内存8 GB以上，硬盘容量1 T以上。</w:t>
      </w:r>
    </w:p>
    <w:p>
      <w:pPr>
        <w:pStyle w:val="165"/>
        <w:numPr>
          <w:ilvl w:val="3"/>
          <w:numId w:val="2"/>
        </w:numPr>
      </w:pPr>
      <w:r>
        <w:rPr>
          <w:rFonts w:hint="eastAsia"/>
        </w:rPr>
        <w:t>操作系统应与现有粮库信息系统相匹配。</w:t>
      </w:r>
    </w:p>
    <w:p>
      <w:pPr>
        <w:pStyle w:val="104"/>
        <w:numPr>
          <w:ilvl w:val="1"/>
          <w:numId w:val="2"/>
        </w:numPr>
        <w:spacing w:before="312" w:after="312"/>
      </w:pPr>
      <w:bookmarkStart w:id="242" w:name="_Toc12968"/>
      <w:bookmarkStart w:id="243" w:name="_Toc179463423"/>
      <w:bookmarkStart w:id="244" w:name="_Toc23177"/>
      <w:r>
        <w:rPr>
          <w:rFonts w:hint="eastAsia"/>
        </w:rPr>
        <w:t>其他</w:t>
      </w:r>
      <w:bookmarkEnd w:id="242"/>
      <w:bookmarkEnd w:id="243"/>
      <w:bookmarkEnd w:id="244"/>
    </w:p>
    <w:p>
      <w:pPr>
        <w:pStyle w:val="105"/>
        <w:numPr>
          <w:ilvl w:val="2"/>
          <w:numId w:val="2"/>
        </w:numPr>
        <w:spacing w:before="156" w:after="156"/>
      </w:pPr>
      <w:bookmarkStart w:id="245" w:name="_Toc9011"/>
      <w:bookmarkStart w:id="246" w:name="_Toc179463425"/>
      <w:bookmarkStart w:id="247" w:name="_Toc26045"/>
      <w:r>
        <w:rPr>
          <w:rFonts w:hint="eastAsia"/>
        </w:rPr>
        <w:t>配电箱（柜）</w:t>
      </w:r>
      <w:bookmarkEnd w:id="245"/>
      <w:bookmarkEnd w:id="246"/>
      <w:bookmarkEnd w:id="247"/>
    </w:p>
    <w:p>
      <w:pPr>
        <w:pStyle w:val="165"/>
        <w:numPr>
          <w:ilvl w:val="3"/>
          <w:numId w:val="2"/>
        </w:numPr>
      </w:pPr>
      <w:r>
        <w:rPr>
          <w:rFonts w:hint="eastAsia"/>
        </w:rPr>
        <w:t>设计应符合GB 50054的要求，根据实际使用需求和扩展需求更新升级配电箱（柜）。</w:t>
      </w:r>
    </w:p>
    <w:p>
      <w:pPr>
        <w:pStyle w:val="165"/>
        <w:numPr>
          <w:ilvl w:val="3"/>
          <w:numId w:val="2"/>
        </w:numPr>
      </w:pPr>
      <w:r>
        <w:rPr>
          <w:rFonts w:hint="eastAsia"/>
        </w:rPr>
        <w:t>安装应符合 GB 50054、GB/T 13869和相关标准要求。</w:t>
      </w:r>
    </w:p>
    <w:p>
      <w:pPr>
        <w:pStyle w:val="165"/>
        <w:numPr>
          <w:ilvl w:val="3"/>
          <w:numId w:val="2"/>
        </w:numPr>
      </w:pPr>
      <w:r>
        <w:rPr>
          <w:rFonts w:hint="eastAsia"/>
        </w:rPr>
        <w:t>配电柜内安装的电气装置，应完好无损且动作正常可靠，应能提供漏电保护、过压保护、打火断电、雷击保护、自动供电、温度保护、功率限定、故障记录等功能。</w:t>
      </w:r>
    </w:p>
    <w:p>
      <w:pPr>
        <w:pStyle w:val="165"/>
        <w:numPr>
          <w:ilvl w:val="3"/>
          <w:numId w:val="2"/>
        </w:numPr>
      </w:pPr>
      <w:r>
        <w:rPr>
          <w:rFonts w:hint="eastAsia"/>
        </w:rPr>
        <w:t>室外安装的非防护型的电气设备应有防雨、雪侵入的措施。</w:t>
      </w:r>
    </w:p>
    <w:p>
      <w:pPr>
        <w:pStyle w:val="105"/>
        <w:numPr>
          <w:ilvl w:val="2"/>
          <w:numId w:val="2"/>
        </w:numPr>
        <w:spacing w:before="156" w:after="156"/>
      </w:pPr>
      <w:bookmarkStart w:id="248" w:name="_Toc21023"/>
      <w:bookmarkStart w:id="249" w:name="_Toc179463426"/>
      <w:bookmarkStart w:id="250" w:name="_Toc29539"/>
      <w:r>
        <w:rPr>
          <w:rFonts w:hint="eastAsia"/>
        </w:rPr>
        <w:t>移动电闸箱</w:t>
      </w:r>
      <w:bookmarkEnd w:id="248"/>
      <w:bookmarkEnd w:id="249"/>
      <w:bookmarkEnd w:id="250"/>
    </w:p>
    <w:p>
      <w:pPr>
        <w:pStyle w:val="165"/>
        <w:numPr>
          <w:ilvl w:val="3"/>
          <w:numId w:val="2"/>
        </w:numPr>
      </w:pPr>
      <w:r>
        <w:rPr>
          <w:rFonts w:hint="eastAsia"/>
        </w:rPr>
        <w:t>电闸箱外形尺寸、插头、断路器等应与现有配电箱（柜）的输出电源、插座类型相适应，并满足使用现场用电需求。</w:t>
      </w:r>
    </w:p>
    <w:p>
      <w:pPr>
        <w:pStyle w:val="165"/>
        <w:numPr>
          <w:ilvl w:val="3"/>
          <w:numId w:val="2"/>
        </w:numPr>
      </w:pPr>
      <w:r>
        <w:rPr>
          <w:rFonts w:hint="eastAsia"/>
        </w:rPr>
        <w:t>电闸箱的插头和插座应符合GB/T 11918.1的要求。</w:t>
      </w:r>
    </w:p>
    <w:p>
      <w:pPr>
        <w:pStyle w:val="165"/>
        <w:numPr>
          <w:ilvl w:val="3"/>
          <w:numId w:val="2"/>
        </w:numPr>
      </w:pPr>
      <w:r>
        <w:rPr>
          <w:rFonts w:hint="eastAsia"/>
        </w:rPr>
        <w:t>箱体应手握、提携方便，放置稳固，配有完整的铜芯橡皮套软电缆或护套软线作为电源线，长度满足现场用电需求。</w:t>
      </w:r>
    </w:p>
    <w:p>
      <w:pPr>
        <w:pStyle w:val="165"/>
        <w:numPr>
          <w:ilvl w:val="3"/>
          <w:numId w:val="2"/>
        </w:numPr>
      </w:pPr>
      <w:r>
        <w:rPr>
          <w:rFonts w:hint="eastAsia"/>
        </w:rPr>
        <w:t>应配有漏电保护装置，耐热性、耐腐蚀性、防尘等级、防水等级和阻燃等级等应符合相应标准的要求。</w:t>
      </w:r>
    </w:p>
    <w:p>
      <w:pPr>
        <w:pStyle w:val="165"/>
        <w:numPr>
          <w:ilvl w:val="3"/>
          <w:numId w:val="2"/>
        </w:numPr>
      </w:pPr>
      <w:r>
        <w:rPr>
          <w:rFonts w:hint="eastAsia"/>
        </w:rPr>
        <w:t>外壳采用的材质应能提供用电安全保护，延长使用寿命。</w:t>
      </w:r>
    </w:p>
    <w:p>
      <w:pPr>
        <w:pStyle w:val="105"/>
        <w:numPr>
          <w:ilvl w:val="2"/>
          <w:numId w:val="2"/>
        </w:numPr>
        <w:spacing w:before="156" w:after="156"/>
      </w:pPr>
      <w:r>
        <w:rPr>
          <w:rFonts w:hint="eastAsia"/>
        </w:rPr>
        <w:t xml:space="preserve"> </w:t>
      </w:r>
      <w:bookmarkStart w:id="251" w:name="_Toc179463427"/>
      <w:bookmarkStart w:id="252" w:name="_Toc1328"/>
      <w:bookmarkStart w:id="253" w:name="_Toc16463"/>
      <w:r>
        <w:rPr>
          <w:rFonts w:hint="eastAsia"/>
        </w:rPr>
        <w:t>除锈涂装</w:t>
      </w:r>
      <w:bookmarkEnd w:id="251"/>
      <w:bookmarkEnd w:id="252"/>
      <w:bookmarkEnd w:id="253"/>
    </w:p>
    <w:p>
      <w:pPr>
        <w:pStyle w:val="165"/>
        <w:numPr>
          <w:ilvl w:val="3"/>
          <w:numId w:val="2"/>
        </w:numPr>
      </w:pPr>
      <w:r>
        <w:rPr>
          <w:rFonts w:hint="eastAsia"/>
        </w:rPr>
        <w:t>对仓房爬梯、提升机、仓顶刮板机等钢材构件和设备进行除锈涂装时，基层除锈处理不低于Sa2或St3级，钢材表面无可见的油脂、污垢、氧化皮、铁锈和油漆涂层等附着物。</w:t>
      </w:r>
    </w:p>
    <w:p>
      <w:pPr>
        <w:pStyle w:val="165"/>
        <w:numPr>
          <w:ilvl w:val="3"/>
          <w:numId w:val="2"/>
        </w:numPr>
      </w:pPr>
      <w:r>
        <w:rPr>
          <w:rFonts w:hint="eastAsia"/>
        </w:rPr>
        <w:t>应选用符合国家标准或行业标准的防腐涂料，应具有良好的附着力、耐候性、耐腐蚀性等性能。</w:t>
      </w:r>
    </w:p>
    <w:p>
      <w:pPr>
        <w:pStyle w:val="165"/>
        <w:numPr>
          <w:ilvl w:val="3"/>
          <w:numId w:val="2"/>
        </w:numPr>
      </w:pPr>
      <w:r>
        <w:rPr>
          <w:rFonts w:hint="eastAsia"/>
        </w:rPr>
        <w:t>涂装前，钢材表面应干燥、无灰尘、油污等杂质。涂料涂装遍数、涂层厚度应满足设计要求或相关标准的规定。应按照自上而下、先里后外的顺序进行涂装，涂层应均匀一致。</w:t>
      </w:r>
    </w:p>
    <w:p>
      <w:pPr>
        <w:pStyle w:val="165"/>
        <w:numPr>
          <w:ilvl w:val="3"/>
          <w:numId w:val="2"/>
        </w:numPr>
      </w:pPr>
      <w:r>
        <w:rPr>
          <w:rFonts w:hint="eastAsia"/>
        </w:rPr>
        <w:t>涂装完成后，应进行外观检查，漆膜应成型良好，无流挂、无龟裂、无橘皮等现象，色泽均匀。</w:t>
      </w:r>
    </w:p>
    <w:p>
      <w:pPr>
        <w:pStyle w:val="165"/>
        <w:numPr>
          <w:ilvl w:val="-1"/>
          <w:numId w:val="0"/>
        </w:numPr>
        <w:sectPr>
          <w:pgSz w:w="11906" w:h="16838"/>
          <w:pgMar w:top="1928" w:right="1134" w:bottom="1134" w:left="1134" w:header="1418" w:footer="1134" w:gutter="284"/>
          <w:pgNumType w:start="1"/>
          <w:cols w:space="425" w:num="1"/>
          <w:formProt w:val="0"/>
          <w:docGrid w:type="lines" w:linePitch="312" w:charSpace="0"/>
        </w:sectPr>
      </w:pPr>
    </w:p>
    <w:p>
      <w:pPr>
        <w:pStyle w:val="105"/>
        <w:numPr>
          <w:ilvl w:val="-1"/>
          <w:numId w:val="0"/>
        </w:numPr>
        <w:spacing w:before="156" w:after="156"/>
        <w:jc w:val="center"/>
      </w:pPr>
      <w:bookmarkStart w:id="254" w:name="_Toc20791"/>
      <w:bookmarkStart w:id="255" w:name="_Toc983"/>
      <w:r>
        <w:rPr>
          <w:rFonts w:hint="eastAsia"/>
          <w:lang w:eastAsia="zh-CN"/>
        </w:rPr>
        <w:t>参考文献</w:t>
      </w:r>
      <w:bookmarkEnd w:id="254"/>
      <w:bookmarkEnd w:id="255"/>
    </w:p>
    <w:p>
      <w:pPr>
        <w:pStyle w:val="56"/>
        <w:ind w:firstLine="420"/>
      </w:pPr>
      <w:r>
        <w:rPr>
          <w:rFonts w:hint="eastAsia"/>
          <w:lang w:val="en-US" w:eastAsia="zh-CN"/>
        </w:rPr>
        <w:t>[1]</w:t>
      </w:r>
      <w:r>
        <w:rPr>
          <w:rFonts w:hint="eastAsia"/>
        </w:rPr>
        <w:t>《推动大规模设备更新和消费品以旧换新行动方案》（国发〔2024〕7号）</w:t>
      </w:r>
    </w:p>
    <w:p>
      <w:pPr>
        <w:pStyle w:val="56"/>
        <w:ind w:firstLine="420"/>
      </w:pPr>
      <w:r>
        <w:rPr>
          <w:rFonts w:hint="eastAsia"/>
          <w:lang w:val="en-US" w:eastAsia="zh-CN"/>
        </w:rPr>
        <w:t>[2]</w:t>
      </w:r>
      <w:r>
        <w:rPr>
          <w:rFonts w:hint="eastAsia"/>
        </w:rPr>
        <w:t>《财政部 国家粮食和物资储备局关于深入推进优质粮食工程的意见》（财建〔2021〕177号）</w:t>
      </w:r>
    </w:p>
    <w:p>
      <w:pPr>
        <w:pStyle w:val="56"/>
        <w:ind w:firstLine="420"/>
      </w:pPr>
      <w:r>
        <w:rPr>
          <w:rFonts w:hint="eastAsia"/>
          <w:lang w:val="en-US" w:eastAsia="zh-CN"/>
        </w:rPr>
        <w:t>[3]</w:t>
      </w:r>
      <w:r>
        <w:rPr>
          <w:rFonts w:hint="eastAsia"/>
        </w:rPr>
        <w:t>《国家粮食和物资储备局关于印发优质粮食工程“六大提升行动”方案的通知》（国粮规〔2021〕236号）</w:t>
      </w:r>
    </w:p>
    <w:p>
      <w:pPr>
        <w:pStyle w:val="56"/>
        <w:ind w:firstLine="420"/>
      </w:pPr>
      <w:r>
        <w:rPr>
          <w:rFonts w:hint="eastAsia"/>
          <w:lang w:val="en-US" w:eastAsia="zh-CN"/>
        </w:rPr>
        <w:t>[4]</w:t>
      </w:r>
      <w:r>
        <w:rPr>
          <w:rFonts w:hint="eastAsia"/>
        </w:rPr>
        <w:t>《粮食购销领域监管信息化规范》（国粮规〔2022〕78号）</w:t>
      </w:r>
    </w:p>
    <w:p>
      <w:pPr>
        <w:pStyle w:val="56"/>
        <w:ind w:firstLine="420"/>
        <w:rPr>
          <w:rFonts w:hint="default" w:eastAsia="宋体"/>
          <w:lang w:val="en-US" w:eastAsia="zh-CN"/>
        </w:rPr>
      </w:pPr>
      <w:r>
        <w:rPr>
          <w:rFonts w:hint="eastAsia"/>
          <w:lang w:val="en-US" w:eastAsia="zh-CN"/>
        </w:rPr>
        <w:t>[5]</w:t>
      </w:r>
      <w:r>
        <w:rPr>
          <w:rFonts w:hint="eastAsia"/>
        </w:rPr>
        <w:t>《北京市储备粮管理办法》</w:t>
      </w:r>
      <w:r>
        <w:rPr>
          <w:rFonts w:hint="eastAsia"/>
          <w:lang w:eastAsia="zh-CN"/>
        </w:rPr>
        <w:t>（</w:t>
      </w:r>
      <w:r>
        <w:rPr>
          <w:rFonts w:hint="eastAsia"/>
          <w:lang w:val="en-US" w:eastAsia="zh-CN"/>
        </w:rPr>
        <w:t>北京市人民政府令第221号）</w:t>
      </w:r>
    </w:p>
    <w:p>
      <w:pPr>
        <w:pStyle w:val="56"/>
        <w:ind w:firstLine="420"/>
      </w:pPr>
      <w:r>
        <w:rPr>
          <w:rFonts w:hint="eastAsia"/>
          <w:lang w:val="en-US" w:eastAsia="zh-CN"/>
        </w:rPr>
        <w:t>[6]</w:t>
      </w:r>
      <w:r>
        <w:rPr>
          <w:rFonts w:hint="eastAsia"/>
        </w:rPr>
        <w:t>《北京市粮食和物资储备局 北京市发展和改革委员会 北京市商务局关于印发〈北京市粮食流通和物资储备“十四五”发展规划〉的通知》（京粮发〔2021〕50号）</w:t>
      </w:r>
    </w:p>
    <w:p>
      <w:pPr>
        <w:pStyle w:val="56"/>
        <w:ind w:firstLine="420"/>
      </w:pPr>
      <w:r>
        <w:rPr>
          <w:rFonts w:hint="eastAsia"/>
          <w:lang w:val="en-US" w:eastAsia="zh-CN"/>
        </w:rPr>
        <w:t>[7]</w:t>
      </w:r>
      <w:r>
        <w:rPr>
          <w:rFonts w:hint="eastAsia"/>
        </w:rPr>
        <w:t>《北京市粮食和物资储备局 北京市财政局关于印发〈北京市深入推进优质粮食工程实施方案〉的通知》（京粮发〔2022〕30号）</w:t>
      </w:r>
    </w:p>
    <w:p>
      <w:pPr>
        <w:pStyle w:val="56"/>
        <w:ind w:firstLine="420"/>
      </w:pPr>
      <w:r>
        <w:rPr>
          <w:rFonts w:hint="eastAsia"/>
          <w:lang w:val="en-US" w:eastAsia="zh-CN"/>
        </w:rPr>
        <w:t>[8]</w:t>
      </w:r>
      <w:r>
        <w:rPr>
          <w:rFonts w:hint="eastAsia"/>
        </w:rPr>
        <w:t>《北京市粮食和物资储备局关于印发〈推进粮食绿色仓储能力提升指导意见〉的通知》（京粮发〔2022〕38号）</w:t>
      </w:r>
    </w:p>
    <w:p>
      <w:pPr>
        <w:pStyle w:val="165"/>
        <w:numPr>
          <w:ilvl w:val="-1"/>
          <w:numId w:val="0"/>
        </w:numPr>
        <w:ind w:firstLine="420" w:firstLineChars="200"/>
        <w:rPr>
          <w:rFonts w:hint="eastAsia"/>
        </w:rPr>
      </w:pPr>
      <w:r>
        <w:rPr>
          <w:rFonts w:hint="eastAsia"/>
          <w:lang w:val="en-US" w:eastAsia="zh-CN"/>
        </w:rPr>
        <w:t>[9]</w:t>
      </w:r>
      <w:r>
        <w:rPr>
          <w:rFonts w:hint="eastAsia"/>
        </w:rPr>
        <w:t>《北京市储备粮承储企业检验室标准》（京粮发〔2006〕100号）</w:t>
      </w:r>
    </w:p>
    <w:p>
      <w:pPr>
        <w:pStyle w:val="165"/>
        <w:numPr>
          <w:ilvl w:val="-1"/>
          <w:numId w:val="0"/>
        </w:numPr>
        <w:ind w:firstLine="420" w:firstLineChars="200"/>
        <w:rPr>
          <w:rFonts w:hint="eastAsia"/>
        </w:rPr>
        <w:sectPr>
          <w:pgSz w:w="11906" w:h="16838"/>
          <w:pgMar w:top="1928" w:right="1134" w:bottom="1134" w:left="1134" w:header="1418" w:footer="1134" w:gutter="284"/>
          <w:cols w:space="425" w:num="1"/>
          <w:formProt w:val="0"/>
          <w:docGrid w:type="lines" w:linePitch="312" w:charSpace="0"/>
        </w:sectPr>
      </w:pPr>
      <w:r>
        <w:rPr>
          <w:rFonts w:hint="eastAsia"/>
          <w:lang w:val="en-US" w:eastAsia="zh-CN"/>
        </w:rPr>
        <w:t>[10]</w:t>
      </w:r>
      <w:r>
        <w:rPr>
          <w:rFonts w:hint="eastAsia"/>
          <w:lang w:eastAsia="zh-CN"/>
        </w:rPr>
        <w:t>《</w:t>
      </w:r>
      <w:r>
        <w:rPr>
          <w:rFonts w:hint="eastAsia"/>
          <w:lang w:val="en-US" w:eastAsia="zh-CN"/>
        </w:rPr>
        <w:t>粮库信息化软件建设技术要点</w:t>
      </w:r>
      <w:r>
        <w:rPr>
          <w:rFonts w:hint="eastAsia"/>
          <w:lang w:eastAsia="zh-CN"/>
        </w:rPr>
        <w:t>》</w:t>
      </w:r>
    </w:p>
    <w:p>
      <w:pPr>
        <w:pStyle w:val="165"/>
        <w:numPr>
          <w:ilvl w:val="-1"/>
          <w:numId w:val="0"/>
        </w:numPr>
      </w:pPr>
    </w:p>
    <w:bookmarkEnd w:id="24"/>
    <w:p>
      <w:pPr>
        <w:pStyle w:val="56"/>
        <w:ind w:firstLine="0" w:firstLineChars="0"/>
        <w:jc w:val="center"/>
      </w:pPr>
      <w:bookmarkStart w:id="256" w:name="BookMark8"/>
      <w:r>
        <w:rPr>
          <w:rFonts w:hint="eastAsia"/>
        </w:rPr>
        <w:drawing>
          <wp:inline distT="0" distB="0" distL="0" distR="0">
            <wp:extent cx="1485900" cy="317500"/>
            <wp:effectExtent l="0" t="0" r="0" b="6350"/>
            <wp:docPr id="19018573" name="图片 1"/>
            <wp:cNvGraphicFramePr/>
            <a:graphic xmlns:a="http://schemas.openxmlformats.org/drawingml/2006/main">
              <a:graphicData uri="http://schemas.openxmlformats.org/drawingml/2006/picture">
                <pic:pic xmlns:pic="http://schemas.openxmlformats.org/drawingml/2006/picture">
                  <pic:nvPicPr>
                    <pic:cNvPr id="19018573" name="图片 1"/>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56"/>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0"/>
    <w:family w:val="swiss"/>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DB11 /T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DB11 /T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jNjVkZTU1NzkzZDI5ZDVkNDRmYTdhZTkwNzQ0MmYifQ=="/>
  </w:docVars>
  <w:rsids>
    <w:rsidRoot w:val="00731527"/>
    <w:rsid w:val="0000040A"/>
    <w:rsid w:val="00000A94"/>
    <w:rsid w:val="00001972"/>
    <w:rsid w:val="00001D9A"/>
    <w:rsid w:val="00006858"/>
    <w:rsid w:val="00007B3A"/>
    <w:rsid w:val="000107E0"/>
    <w:rsid w:val="000114F0"/>
    <w:rsid w:val="00011FDE"/>
    <w:rsid w:val="00012FFD"/>
    <w:rsid w:val="00014162"/>
    <w:rsid w:val="00014340"/>
    <w:rsid w:val="00016A9C"/>
    <w:rsid w:val="00022184"/>
    <w:rsid w:val="00022240"/>
    <w:rsid w:val="00022762"/>
    <w:rsid w:val="000238E0"/>
    <w:rsid w:val="000249DB"/>
    <w:rsid w:val="0002595E"/>
    <w:rsid w:val="000303C3"/>
    <w:rsid w:val="000330B4"/>
    <w:rsid w:val="000331D3"/>
    <w:rsid w:val="000346A5"/>
    <w:rsid w:val="000359C3"/>
    <w:rsid w:val="00035A7D"/>
    <w:rsid w:val="000365ED"/>
    <w:rsid w:val="0004249A"/>
    <w:rsid w:val="00043282"/>
    <w:rsid w:val="00044286"/>
    <w:rsid w:val="000449EB"/>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6B9"/>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EF8"/>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1FC7"/>
    <w:rsid w:val="00113B1E"/>
    <w:rsid w:val="0011711C"/>
    <w:rsid w:val="0012059C"/>
    <w:rsid w:val="00124E4F"/>
    <w:rsid w:val="001260B7"/>
    <w:rsid w:val="001265CB"/>
    <w:rsid w:val="001304DF"/>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2CB7"/>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2182"/>
    <w:rsid w:val="001B6E21"/>
    <w:rsid w:val="001B71D0"/>
    <w:rsid w:val="001B71EE"/>
    <w:rsid w:val="001C04A8"/>
    <w:rsid w:val="001C0712"/>
    <w:rsid w:val="001C2C03"/>
    <w:rsid w:val="001C42F7"/>
    <w:rsid w:val="001C49E5"/>
    <w:rsid w:val="001C680C"/>
    <w:rsid w:val="001C7FEA"/>
    <w:rsid w:val="001D0499"/>
    <w:rsid w:val="001D0BBE"/>
    <w:rsid w:val="001D0ED4"/>
    <w:rsid w:val="001D212F"/>
    <w:rsid w:val="001D29D7"/>
    <w:rsid w:val="001D2DCD"/>
    <w:rsid w:val="001D2DE7"/>
    <w:rsid w:val="001D2F9A"/>
    <w:rsid w:val="001D411C"/>
    <w:rsid w:val="001E1B6A"/>
    <w:rsid w:val="001E2484"/>
    <w:rsid w:val="001E3CC4"/>
    <w:rsid w:val="001E4882"/>
    <w:rsid w:val="001E73AB"/>
    <w:rsid w:val="001F092D"/>
    <w:rsid w:val="001F143A"/>
    <w:rsid w:val="001F1605"/>
    <w:rsid w:val="001F2508"/>
    <w:rsid w:val="001F3ED9"/>
    <w:rsid w:val="001F4816"/>
    <w:rsid w:val="001F4EE9"/>
    <w:rsid w:val="001F69B4"/>
    <w:rsid w:val="001F77C7"/>
    <w:rsid w:val="00200183"/>
    <w:rsid w:val="00200333"/>
    <w:rsid w:val="0020107D"/>
    <w:rsid w:val="00202AA4"/>
    <w:rsid w:val="002031F7"/>
    <w:rsid w:val="002040E6"/>
    <w:rsid w:val="0020527B"/>
    <w:rsid w:val="00205F2C"/>
    <w:rsid w:val="00206ED5"/>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57A"/>
    <w:rsid w:val="002F7AF6"/>
    <w:rsid w:val="00300E63"/>
    <w:rsid w:val="00301965"/>
    <w:rsid w:val="00302F5F"/>
    <w:rsid w:val="0030441D"/>
    <w:rsid w:val="00306063"/>
    <w:rsid w:val="00313B85"/>
    <w:rsid w:val="00317988"/>
    <w:rsid w:val="003221B4"/>
    <w:rsid w:val="0032258D"/>
    <w:rsid w:val="00322E62"/>
    <w:rsid w:val="00324D13"/>
    <w:rsid w:val="00324D2A"/>
    <w:rsid w:val="00324EDD"/>
    <w:rsid w:val="00330889"/>
    <w:rsid w:val="003331E4"/>
    <w:rsid w:val="00336C64"/>
    <w:rsid w:val="00337162"/>
    <w:rsid w:val="0034194F"/>
    <w:rsid w:val="00344605"/>
    <w:rsid w:val="003474AA"/>
    <w:rsid w:val="00350D1D"/>
    <w:rsid w:val="0035134B"/>
    <w:rsid w:val="00352C83"/>
    <w:rsid w:val="00353D49"/>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E7370"/>
    <w:rsid w:val="003F0841"/>
    <w:rsid w:val="003F23D3"/>
    <w:rsid w:val="003F3F08"/>
    <w:rsid w:val="003F49F1"/>
    <w:rsid w:val="003F6272"/>
    <w:rsid w:val="00400E72"/>
    <w:rsid w:val="00401400"/>
    <w:rsid w:val="00404869"/>
    <w:rsid w:val="00405884"/>
    <w:rsid w:val="00407D39"/>
    <w:rsid w:val="0041477A"/>
    <w:rsid w:val="004157DD"/>
    <w:rsid w:val="004167A3"/>
    <w:rsid w:val="00432DAA"/>
    <w:rsid w:val="00434305"/>
    <w:rsid w:val="00435DF7"/>
    <w:rsid w:val="0044083F"/>
    <w:rsid w:val="00441AE7"/>
    <w:rsid w:val="00445574"/>
    <w:rsid w:val="004467FB"/>
    <w:rsid w:val="00452D6B"/>
    <w:rsid w:val="00454484"/>
    <w:rsid w:val="0045517B"/>
    <w:rsid w:val="0045794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0D9A"/>
    <w:rsid w:val="004A12DF"/>
    <w:rsid w:val="004A17E6"/>
    <w:rsid w:val="004A1BA8"/>
    <w:rsid w:val="004A4B57"/>
    <w:rsid w:val="004A63FA"/>
    <w:rsid w:val="004B0272"/>
    <w:rsid w:val="004B2701"/>
    <w:rsid w:val="004B2E1B"/>
    <w:rsid w:val="004B3AA8"/>
    <w:rsid w:val="004B3E93"/>
    <w:rsid w:val="004B5E48"/>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82B"/>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70"/>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3284"/>
    <w:rsid w:val="005A403A"/>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540C"/>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1A0"/>
    <w:rsid w:val="00652AB2"/>
    <w:rsid w:val="00653FED"/>
    <w:rsid w:val="00654EC0"/>
    <w:rsid w:val="0065525B"/>
    <w:rsid w:val="00655D4F"/>
    <w:rsid w:val="00656D29"/>
    <w:rsid w:val="006640E5"/>
    <w:rsid w:val="006646F1"/>
    <w:rsid w:val="00664929"/>
    <w:rsid w:val="00664F62"/>
    <w:rsid w:val="006655E1"/>
    <w:rsid w:val="00672060"/>
    <w:rsid w:val="00672BFD"/>
    <w:rsid w:val="00675CA3"/>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49CC"/>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166E7"/>
    <w:rsid w:val="00722FBF"/>
    <w:rsid w:val="00722FC2"/>
    <w:rsid w:val="00724879"/>
    <w:rsid w:val="00724E1B"/>
    <w:rsid w:val="00725949"/>
    <w:rsid w:val="00727FA2"/>
    <w:rsid w:val="00731527"/>
    <w:rsid w:val="007322D9"/>
    <w:rsid w:val="00732BC0"/>
    <w:rsid w:val="0073720F"/>
    <w:rsid w:val="00737796"/>
    <w:rsid w:val="0074165C"/>
    <w:rsid w:val="00742C35"/>
    <w:rsid w:val="007432CA"/>
    <w:rsid w:val="007439EB"/>
    <w:rsid w:val="00743CB4"/>
    <w:rsid w:val="00743F0A"/>
    <w:rsid w:val="007444E8"/>
    <w:rsid w:val="007445A4"/>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CDB"/>
    <w:rsid w:val="0083348C"/>
    <w:rsid w:val="008373D3"/>
    <w:rsid w:val="00837570"/>
    <w:rsid w:val="00840617"/>
    <w:rsid w:val="00840F84"/>
    <w:rsid w:val="00842A47"/>
    <w:rsid w:val="00843C13"/>
    <w:rsid w:val="008454F8"/>
    <w:rsid w:val="0085173A"/>
    <w:rsid w:val="00855B05"/>
    <w:rsid w:val="00856316"/>
    <w:rsid w:val="008603CE"/>
    <w:rsid w:val="008620FC"/>
    <w:rsid w:val="008627A5"/>
    <w:rsid w:val="00863E05"/>
    <w:rsid w:val="00865ACA"/>
    <w:rsid w:val="00865D28"/>
    <w:rsid w:val="00865F85"/>
    <w:rsid w:val="00867C10"/>
    <w:rsid w:val="00870439"/>
    <w:rsid w:val="00870DA1"/>
    <w:rsid w:val="0088351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0ED9"/>
    <w:rsid w:val="008E1648"/>
    <w:rsid w:val="008E1B3E"/>
    <w:rsid w:val="008E2319"/>
    <w:rsid w:val="008E4BB6"/>
    <w:rsid w:val="008E5518"/>
    <w:rsid w:val="008E6A84"/>
    <w:rsid w:val="008F00C6"/>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0E1E"/>
    <w:rsid w:val="009429D5"/>
    <w:rsid w:val="00942BF1"/>
    <w:rsid w:val="00945180"/>
    <w:rsid w:val="00945428"/>
    <w:rsid w:val="0094607B"/>
    <w:rsid w:val="00953604"/>
    <w:rsid w:val="0095496B"/>
    <w:rsid w:val="009610DC"/>
    <w:rsid w:val="00961490"/>
    <w:rsid w:val="0096381A"/>
    <w:rsid w:val="00965E04"/>
    <w:rsid w:val="009674AD"/>
    <w:rsid w:val="00970CDC"/>
    <w:rsid w:val="00976E6E"/>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444"/>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67FC6"/>
    <w:rsid w:val="00A70B07"/>
    <w:rsid w:val="00A723F8"/>
    <w:rsid w:val="00A77CCB"/>
    <w:rsid w:val="00A83D8D"/>
    <w:rsid w:val="00A8446B"/>
    <w:rsid w:val="00A8473F"/>
    <w:rsid w:val="00A862D6"/>
    <w:rsid w:val="00A8715E"/>
    <w:rsid w:val="00A9295B"/>
    <w:rsid w:val="00A93B09"/>
    <w:rsid w:val="00A94247"/>
    <w:rsid w:val="00A95041"/>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3F3A"/>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B4A"/>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3914"/>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0B9D"/>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564DE"/>
    <w:rsid w:val="00C601BC"/>
    <w:rsid w:val="00C6329F"/>
    <w:rsid w:val="00C63340"/>
    <w:rsid w:val="00C643F9"/>
    <w:rsid w:val="00C64E95"/>
    <w:rsid w:val="00C71372"/>
    <w:rsid w:val="00C72410"/>
    <w:rsid w:val="00C7287F"/>
    <w:rsid w:val="00C80982"/>
    <w:rsid w:val="00C80CB8"/>
    <w:rsid w:val="00C819F8"/>
    <w:rsid w:val="00C8248C"/>
    <w:rsid w:val="00C83488"/>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28E"/>
    <w:rsid w:val="00D4162B"/>
    <w:rsid w:val="00D4514F"/>
    <w:rsid w:val="00D451E2"/>
    <w:rsid w:val="00D45E89"/>
    <w:rsid w:val="00D45E8D"/>
    <w:rsid w:val="00D466AE"/>
    <w:rsid w:val="00D4734F"/>
    <w:rsid w:val="00D51BF3"/>
    <w:rsid w:val="00D559E2"/>
    <w:rsid w:val="00D6679C"/>
    <w:rsid w:val="00D66846"/>
    <w:rsid w:val="00D675FB"/>
    <w:rsid w:val="00D71F25"/>
    <w:rsid w:val="00D72A9C"/>
    <w:rsid w:val="00D74D4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08E"/>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4AAC"/>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787"/>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59D"/>
    <w:rsid w:val="00F71E22"/>
    <w:rsid w:val="00F72142"/>
    <w:rsid w:val="00F72AE7"/>
    <w:rsid w:val="00F77CA8"/>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105D9"/>
    <w:rsid w:val="02510197"/>
    <w:rsid w:val="02817820"/>
    <w:rsid w:val="02A71B8E"/>
    <w:rsid w:val="03353615"/>
    <w:rsid w:val="037C7496"/>
    <w:rsid w:val="04104DE8"/>
    <w:rsid w:val="04327C07"/>
    <w:rsid w:val="04430E19"/>
    <w:rsid w:val="051F004B"/>
    <w:rsid w:val="052D7AE0"/>
    <w:rsid w:val="05873495"/>
    <w:rsid w:val="05EC445F"/>
    <w:rsid w:val="061B532A"/>
    <w:rsid w:val="07204BB6"/>
    <w:rsid w:val="07BC6346"/>
    <w:rsid w:val="08C559D8"/>
    <w:rsid w:val="08F53013"/>
    <w:rsid w:val="09D023D0"/>
    <w:rsid w:val="0A7F29D6"/>
    <w:rsid w:val="0BA96F11"/>
    <w:rsid w:val="0CC11877"/>
    <w:rsid w:val="0CC954FA"/>
    <w:rsid w:val="0D303596"/>
    <w:rsid w:val="0D7105A4"/>
    <w:rsid w:val="0D8C6527"/>
    <w:rsid w:val="0E764315"/>
    <w:rsid w:val="0E8611C8"/>
    <w:rsid w:val="0EEB75F3"/>
    <w:rsid w:val="0F39623B"/>
    <w:rsid w:val="0F596349"/>
    <w:rsid w:val="10637BF9"/>
    <w:rsid w:val="10BC367F"/>
    <w:rsid w:val="10EA3D46"/>
    <w:rsid w:val="113B273E"/>
    <w:rsid w:val="1169325A"/>
    <w:rsid w:val="11BF36B6"/>
    <w:rsid w:val="11EC57E6"/>
    <w:rsid w:val="12395AAE"/>
    <w:rsid w:val="13060413"/>
    <w:rsid w:val="13435F19"/>
    <w:rsid w:val="13482EF0"/>
    <w:rsid w:val="147B6CE2"/>
    <w:rsid w:val="15520056"/>
    <w:rsid w:val="158B3E32"/>
    <w:rsid w:val="15D54F0F"/>
    <w:rsid w:val="1606033A"/>
    <w:rsid w:val="164A75E6"/>
    <w:rsid w:val="165E10F4"/>
    <w:rsid w:val="16BF171B"/>
    <w:rsid w:val="185F129C"/>
    <w:rsid w:val="19DF0F9A"/>
    <w:rsid w:val="19F93196"/>
    <w:rsid w:val="1B0B3181"/>
    <w:rsid w:val="1B331B4A"/>
    <w:rsid w:val="1C14576A"/>
    <w:rsid w:val="1D133BC4"/>
    <w:rsid w:val="1D3A1AFC"/>
    <w:rsid w:val="1D933573"/>
    <w:rsid w:val="1E236A34"/>
    <w:rsid w:val="20533E8F"/>
    <w:rsid w:val="214E3DC8"/>
    <w:rsid w:val="21A25EC1"/>
    <w:rsid w:val="22882AD3"/>
    <w:rsid w:val="23592757"/>
    <w:rsid w:val="241E5CD3"/>
    <w:rsid w:val="24F353B2"/>
    <w:rsid w:val="24FB4266"/>
    <w:rsid w:val="260F0491"/>
    <w:rsid w:val="26896C0F"/>
    <w:rsid w:val="26C3146C"/>
    <w:rsid w:val="27396AF1"/>
    <w:rsid w:val="2762069D"/>
    <w:rsid w:val="27637C9F"/>
    <w:rsid w:val="27D03A11"/>
    <w:rsid w:val="29F51284"/>
    <w:rsid w:val="2A832231"/>
    <w:rsid w:val="2AB23619"/>
    <w:rsid w:val="2AFA0B1C"/>
    <w:rsid w:val="2B715282"/>
    <w:rsid w:val="2B9A59EC"/>
    <w:rsid w:val="2C275384"/>
    <w:rsid w:val="2E4E3805"/>
    <w:rsid w:val="2E734E6D"/>
    <w:rsid w:val="2E9774DC"/>
    <w:rsid w:val="2EA9088F"/>
    <w:rsid w:val="2FD17A78"/>
    <w:rsid w:val="30162A1C"/>
    <w:rsid w:val="305A62E5"/>
    <w:rsid w:val="305D7B83"/>
    <w:rsid w:val="31473D7D"/>
    <w:rsid w:val="314745FF"/>
    <w:rsid w:val="31CE65A4"/>
    <w:rsid w:val="31D11455"/>
    <w:rsid w:val="321D4C62"/>
    <w:rsid w:val="33174B93"/>
    <w:rsid w:val="33666B2D"/>
    <w:rsid w:val="34500E1F"/>
    <w:rsid w:val="34A83397"/>
    <w:rsid w:val="34CA30C4"/>
    <w:rsid w:val="36D668E1"/>
    <w:rsid w:val="38645BFE"/>
    <w:rsid w:val="38F8669B"/>
    <w:rsid w:val="395D38A2"/>
    <w:rsid w:val="39CD6D32"/>
    <w:rsid w:val="3ABB02C8"/>
    <w:rsid w:val="3AFD61EB"/>
    <w:rsid w:val="3C0C5CD5"/>
    <w:rsid w:val="3C38199B"/>
    <w:rsid w:val="3C914232"/>
    <w:rsid w:val="3D173278"/>
    <w:rsid w:val="3DFC0653"/>
    <w:rsid w:val="3E6335BE"/>
    <w:rsid w:val="3F634A8A"/>
    <w:rsid w:val="3F920044"/>
    <w:rsid w:val="4027763F"/>
    <w:rsid w:val="409018AF"/>
    <w:rsid w:val="41076015"/>
    <w:rsid w:val="41BE1878"/>
    <w:rsid w:val="41F52615"/>
    <w:rsid w:val="42882310"/>
    <w:rsid w:val="442974B0"/>
    <w:rsid w:val="4457496D"/>
    <w:rsid w:val="4531061A"/>
    <w:rsid w:val="454964D0"/>
    <w:rsid w:val="457448FA"/>
    <w:rsid w:val="46AA03E9"/>
    <w:rsid w:val="46D911A8"/>
    <w:rsid w:val="47C702AC"/>
    <w:rsid w:val="48401E0D"/>
    <w:rsid w:val="4943475B"/>
    <w:rsid w:val="49A15A1E"/>
    <w:rsid w:val="4A336427"/>
    <w:rsid w:val="4A4E6A63"/>
    <w:rsid w:val="4A5D1CF9"/>
    <w:rsid w:val="4A844143"/>
    <w:rsid w:val="4A91694F"/>
    <w:rsid w:val="4BCF3BD3"/>
    <w:rsid w:val="4C0575F5"/>
    <w:rsid w:val="4D2515D1"/>
    <w:rsid w:val="4D770A27"/>
    <w:rsid w:val="4E1753BE"/>
    <w:rsid w:val="4E6525CD"/>
    <w:rsid w:val="4EFA56A9"/>
    <w:rsid w:val="4F4D08E4"/>
    <w:rsid w:val="4F5A4054"/>
    <w:rsid w:val="50E06AA3"/>
    <w:rsid w:val="51DB5B30"/>
    <w:rsid w:val="51E967A8"/>
    <w:rsid w:val="524C3B1C"/>
    <w:rsid w:val="5253273C"/>
    <w:rsid w:val="525F10E1"/>
    <w:rsid w:val="526607F5"/>
    <w:rsid w:val="527903F5"/>
    <w:rsid w:val="534053B7"/>
    <w:rsid w:val="53DF697E"/>
    <w:rsid w:val="54093DF0"/>
    <w:rsid w:val="558F7F2F"/>
    <w:rsid w:val="56190EA0"/>
    <w:rsid w:val="56521689"/>
    <w:rsid w:val="56826AD5"/>
    <w:rsid w:val="56D06A51"/>
    <w:rsid w:val="56F12DAC"/>
    <w:rsid w:val="57234B81"/>
    <w:rsid w:val="5774562F"/>
    <w:rsid w:val="57F01B04"/>
    <w:rsid w:val="58160494"/>
    <w:rsid w:val="58E77488"/>
    <w:rsid w:val="595D7C19"/>
    <w:rsid w:val="596E33D7"/>
    <w:rsid w:val="5AB74CE5"/>
    <w:rsid w:val="5B271FD6"/>
    <w:rsid w:val="5B4D68C3"/>
    <w:rsid w:val="5B914A01"/>
    <w:rsid w:val="5CE84AF5"/>
    <w:rsid w:val="5DC437CA"/>
    <w:rsid w:val="5DDE7CA6"/>
    <w:rsid w:val="5DE9389B"/>
    <w:rsid w:val="5E8D7F91"/>
    <w:rsid w:val="5E9040F2"/>
    <w:rsid w:val="5EC155FD"/>
    <w:rsid w:val="5EFB71CC"/>
    <w:rsid w:val="60695F4D"/>
    <w:rsid w:val="608C1C3B"/>
    <w:rsid w:val="61B77089"/>
    <w:rsid w:val="621B16B9"/>
    <w:rsid w:val="6259179F"/>
    <w:rsid w:val="62D54B06"/>
    <w:rsid w:val="630119F3"/>
    <w:rsid w:val="63293771"/>
    <w:rsid w:val="639332E1"/>
    <w:rsid w:val="64E31A1E"/>
    <w:rsid w:val="64EE6A20"/>
    <w:rsid w:val="6511055D"/>
    <w:rsid w:val="657D1F2D"/>
    <w:rsid w:val="65C94540"/>
    <w:rsid w:val="66594C26"/>
    <w:rsid w:val="67380427"/>
    <w:rsid w:val="687E455F"/>
    <w:rsid w:val="688A1E3E"/>
    <w:rsid w:val="68A05585"/>
    <w:rsid w:val="69332E94"/>
    <w:rsid w:val="698060B5"/>
    <w:rsid w:val="69851D54"/>
    <w:rsid w:val="69B72751"/>
    <w:rsid w:val="6A772F25"/>
    <w:rsid w:val="6B1C0AB8"/>
    <w:rsid w:val="6BF926B6"/>
    <w:rsid w:val="6C1A634D"/>
    <w:rsid w:val="6C7D54B7"/>
    <w:rsid w:val="6CC02CEC"/>
    <w:rsid w:val="6D767CA7"/>
    <w:rsid w:val="6E127346"/>
    <w:rsid w:val="70F005DD"/>
    <w:rsid w:val="712A5284"/>
    <w:rsid w:val="71685DAD"/>
    <w:rsid w:val="727367B7"/>
    <w:rsid w:val="736B748E"/>
    <w:rsid w:val="737E18B7"/>
    <w:rsid w:val="74C6111B"/>
    <w:rsid w:val="7530098F"/>
    <w:rsid w:val="75D239F4"/>
    <w:rsid w:val="75E7140E"/>
    <w:rsid w:val="78811502"/>
    <w:rsid w:val="789C10A5"/>
    <w:rsid w:val="7A173ECC"/>
    <w:rsid w:val="7A91660B"/>
    <w:rsid w:val="7AF91823"/>
    <w:rsid w:val="7B3B6188"/>
    <w:rsid w:val="7C902F73"/>
    <w:rsid w:val="7C9B7036"/>
    <w:rsid w:val="7D036989"/>
    <w:rsid w:val="7D0F3580"/>
    <w:rsid w:val="7D3F140C"/>
    <w:rsid w:val="7DE72DDB"/>
    <w:rsid w:val="D7F80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缩进2"/>
    <w:qFormat/>
    <w:uiPriority w:val="0"/>
    <w:pPr>
      <w:adjustRightInd w:val="0"/>
      <w:snapToGrid w:val="0"/>
      <w:spacing w:line="400" w:lineRule="exact"/>
      <w:ind w:firstLine="480" w:firstLineChars="200"/>
    </w:pPr>
    <w:rPr>
      <w:rFonts w:cs="仿宋_GB2312" w:asciiTheme="minorEastAsia" w:hAnsiTheme="minorEastAsia" w:eastAsiaTheme="minorEastAsia"/>
      <w:kern w:val="2"/>
      <w:sz w:val="24"/>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EB2378622E94064A56C55E513877957"/>
        <w:style w:val=""/>
        <w:category>
          <w:name w:val="常规"/>
          <w:gallery w:val="placeholder"/>
        </w:category>
        <w:types>
          <w:type w:val="bbPlcHdr"/>
        </w:types>
        <w:behaviors>
          <w:behavior w:val="content"/>
        </w:behaviors>
        <w:description w:val=""/>
        <w:guid w:val="{63729354-4167-4A65-A080-CC01C55EB16A}"/>
      </w:docPartPr>
      <w:docPartBody>
        <w:p>
          <w:pPr>
            <w:pStyle w:val="5"/>
          </w:pPr>
          <w:r>
            <w:rPr>
              <w:rStyle w:val="4"/>
              <w:rFonts w:hint="eastAsia"/>
            </w:rPr>
            <w:t>单击或点击此处输入文字。</w:t>
          </w:r>
        </w:p>
      </w:docPartBody>
    </w:docPart>
    <w:docPart>
      <w:docPartPr>
        <w:name w:val="3594ABF1C9D44B3D99E0269C73088773"/>
        <w:style w:val=""/>
        <w:category>
          <w:name w:val="常规"/>
          <w:gallery w:val="placeholder"/>
        </w:category>
        <w:types>
          <w:type w:val="bbPlcHdr"/>
        </w:types>
        <w:behaviors>
          <w:behavior w:val="content"/>
        </w:behaviors>
        <w:description w:val=""/>
        <w:guid w:val="{E72B10AE-E7ED-4511-9549-DC97A2AD2F4B}"/>
      </w:docPartPr>
      <w:docPartBody>
        <w:p>
          <w:pPr>
            <w:pStyle w:val="6"/>
          </w:pPr>
          <w:r>
            <w:rPr>
              <w:rStyle w:val="4"/>
              <w:rFonts w:hint="eastAsia"/>
            </w:rPr>
            <w:t>选择一项。</w:t>
          </w:r>
        </w:p>
      </w:docPartBody>
    </w:docPart>
    <w:docPart>
      <w:docPartPr>
        <w:name w:val="CEA7E6A72EBB45A8A8900744122008D1"/>
        <w:style w:val=""/>
        <w:category>
          <w:name w:val="常规"/>
          <w:gallery w:val="placeholder"/>
        </w:category>
        <w:types>
          <w:type w:val="bbPlcHdr"/>
        </w:types>
        <w:behaviors>
          <w:behavior w:val="content"/>
        </w:behaviors>
        <w:description w:val=""/>
        <w:guid w:val="{0E17B4A1-2697-4D9F-A651-42922068CA97}"/>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FE"/>
    <w:rsid w:val="003E7370"/>
    <w:rsid w:val="00576A24"/>
    <w:rsid w:val="00807B07"/>
    <w:rsid w:val="00B366FE"/>
    <w:rsid w:val="00D4128E"/>
    <w:rsid w:val="00E1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EB2378622E94064A56C55E51387795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3594ABF1C9D44B3D99E0269C7308877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CEA7E6A72EBB45A8A8900744122008D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16</Pages>
  <Words>8245</Words>
  <Characters>9262</Characters>
  <Lines>88</Lines>
  <Paragraphs>24</Paragraphs>
  <TotalTime>12</TotalTime>
  <ScaleCrop>false</ScaleCrop>
  <LinksUpToDate>false</LinksUpToDate>
  <CharactersWithSpaces>9592</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2024-10-10T21:27:00Z</dcterms:created>
  <dc:creator>renboen</dc:creator>
  <dc:description>&lt;config cover="true" show_menu="true" version="1.0.0" doctype="SDKXY"&gt;_x000d_
&lt;/config&gt;</dc:description>
  <cp:lastModifiedBy> </cp:lastModifiedBy>
  <cp:lastPrinted>2020-08-31T02:00:00Z</cp:lastPrinted>
  <dcterms:modified xsi:type="dcterms:W3CDTF">2025-10-21T09:03:07Z</dcterms:modified>
  <dc:title>地方标准</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2052-11.8.2.1132</vt:lpwstr>
  </property>
  <property fmtid="{D5CDD505-2E9C-101B-9397-08002B2CF9AE}" pid="15" name="ICV">
    <vt:lpwstr>A0BFF2F6D7C84794A584F06CEEE8598A_12</vt:lpwstr>
  </property>
  <property fmtid="{D5CDD505-2E9C-101B-9397-08002B2CF9AE}" pid="16" name="KSOTemplateDocerSaveRecord">
    <vt:lpwstr>eyJoZGlkIjoiNjdjNjVkZTU1NzkzZDI5ZDVkNDRmYTdhZTkwNzQ0MmYiLCJ1c2VySWQiOiIxMDE1MzA5OTE1In0=</vt:lpwstr>
  </property>
</Properties>
</file>