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pPr>
      <w:bookmarkStart w:id="2" w:name="_GoBack"/>
      <w:bookmarkEnd w:id="2"/>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r>
        <w:rPr>
          <w:rFonts w:hint="eastAsia" w:ascii="黑体" w:hAnsi="黑体" w:eastAsia="黑体" w:cs="黑体"/>
          <w:sz w:val="48"/>
          <w:szCs w:val="48"/>
        </w:rPr>
        <w:t>《粮食仓储设施设备升级改造规范》</w:t>
      </w: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r>
        <w:rPr>
          <w:rFonts w:hint="eastAsia" w:ascii="黑体" w:hAnsi="黑体" w:eastAsia="黑体" w:cs="黑体"/>
          <w:sz w:val="48"/>
          <w:szCs w:val="48"/>
        </w:rPr>
        <w:t>编制说明</w:t>
      </w: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黑体" w:hAnsi="黑体" w:eastAsia="黑体" w:cs="黑体"/>
          <w:sz w:val="48"/>
          <w:szCs w:val="48"/>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北京首农食品集团有限公司</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北京市粮食和物资储备局</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北京京粮粮油贸易集团有限公司</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rPr>
      </w:pPr>
      <w:r>
        <w:rPr>
          <w:rFonts w:hint="eastAsia" w:ascii="仿宋_GB2312" w:hAnsi="仿宋_GB2312" w:eastAsia="仿宋_GB2312" w:cs="仿宋_GB2312"/>
        </w:rPr>
        <w:t>北京粮食集团有限责任公司</w:t>
      </w:r>
      <w:r>
        <w:rPr>
          <w:rFonts w:hint="eastAsia" w:ascii="仿宋_GB2312" w:hAnsi="仿宋_GB2312" w:eastAsia="仿宋_GB2312" w:cs="仿宋_GB2312"/>
        </w:rPr>
        <w:br w:type="page"/>
      </w: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《粮食仓储设施设备升级改造规范》</w:t>
      </w: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编制说明</w:t>
      </w:r>
    </w:p>
    <w:p>
      <w:pPr>
        <w:keepNext w:val="0"/>
        <w:keepLines w:val="0"/>
        <w:pageBreakBefore w:val="0"/>
        <w:widowControl w:val="0"/>
        <w:tabs>
          <w:tab w:val="left" w:pos="2645"/>
        </w:tabs>
        <w:kinsoku/>
        <w:wordWrap/>
        <w:overflowPunct/>
        <w:topLinePunct w:val="0"/>
        <w:autoSpaceDE/>
        <w:autoSpaceDN/>
        <w:bidi w:val="0"/>
        <w:spacing w:line="560" w:lineRule="exact"/>
        <w:jc w:val="center"/>
        <w:textAlignment w:val="auto"/>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000000"/>
        </w:rPr>
      </w:pPr>
      <w:r>
        <w:rPr>
          <w:rFonts w:hint="eastAsia" w:ascii="黑体" w:hAnsi="黑体" w:eastAsia="黑体"/>
          <w:color w:val="000000"/>
        </w:rPr>
        <w:t>一、任务来源，起草单位，协作单位，主要起草人</w:t>
      </w:r>
    </w:p>
    <w:p>
      <w:pPr>
        <w:pStyle w:val="9"/>
        <w:keepNext w:val="0"/>
        <w:keepLines w:val="0"/>
        <w:pageBreakBefore w:val="0"/>
        <w:widowControl/>
        <w:suppressAutoHyphens/>
        <w:kinsoku/>
        <w:wordWrap/>
        <w:overflowPunct/>
        <w:topLinePunct w:val="0"/>
        <w:autoSpaceDE/>
        <w:autoSpaceDN/>
        <w:bidi w:val="0"/>
        <w:spacing w:line="560" w:lineRule="exact"/>
        <w:ind w:firstLine="640"/>
        <w:contextualSpacing/>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（一）任务来源</w:t>
      </w:r>
    </w:p>
    <w:p>
      <w:pPr>
        <w:pStyle w:val="9"/>
        <w:keepNext w:val="0"/>
        <w:keepLines w:val="0"/>
        <w:pageBreakBefore w:val="0"/>
        <w:widowControl w:val="0"/>
        <w:suppressAutoHyphens/>
        <w:kinsoku/>
        <w:wordWrap/>
        <w:overflowPunct/>
        <w:topLinePunct w:val="0"/>
        <w:autoSpaceDE/>
        <w:autoSpaceDN/>
        <w:bidi w:val="0"/>
        <w:spacing w:line="560" w:lineRule="exact"/>
        <w:ind w:firstLine="640"/>
        <w:contextualSpacing/>
        <w:textAlignment w:val="auto"/>
        <w:rPr>
          <w:rFonts w:hint="default" w:ascii="华文楷体" w:hAnsi="华文楷体" w:eastAsia="仿宋_GB2312" w:cs="华文楷体"/>
          <w:b/>
          <w:bCs/>
          <w:lang w:val="en-US" w:eastAsia="zh-CN"/>
        </w:rPr>
      </w:pPr>
      <w:r>
        <w:rPr>
          <w:rFonts w:hint="eastAsia" w:ascii="仿宋_GB2312" w:hAnsi="仿宋_GB2312" w:eastAsia="仿宋_GB2312" w:cs="仿宋_GB2312"/>
          <w:b w:val="0"/>
          <w:bCs w:val="0"/>
          <w:lang w:val="en-US" w:eastAsia="zh-CN"/>
        </w:rPr>
        <w:t>北京市地方标准</w:t>
      </w:r>
      <w:r>
        <w:rPr>
          <w:rFonts w:hint="eastAsia" w:ascii="仿宋_GB2312" w:hAnsi="仿宋_GB2312" w:eastAsia="仿宋_GB2312" w:cs="仿宋_GB2312"/>
        </w:rPr>
        <w:t>《粮食仓储设施设备升级改造规范》</w:t>
      </w:r>
      <w:r>
        <w:rPr>
          <w:rFonts w:hint="eastAsia" w:ascii="仿宋_GB2312" w:hAnsi="仿宋_GB2312" w:eastAsia="仿宋_GB2312" w:cs="仿宋_GB2312"/>
          <w:lang w:val="en-US" w:eastAsia="zh-CN"/>
        </w:rPr>
        <w:t>作为一类推荐性项目，经北京市市场监督管理局审批，于2025年1月22日获得批准立项，项目编号20251058。标准起草工作由北京市首农食品集团有限公司牵头。</w:t>
      </w:r>
    </w:p>
    <w:p>
      <w:pPr>
        <w:pStyle w:val="9"/>
        <w:keepNext w:val="0"/>
        <w:keepLines w:val="0"/>
        <w:pageBreakBefore w:val="0"/>
        <w:widowControl/>
        <w:suppressAutoHyphens/>
        <w:kinsoku/>
        <w:wordWrap/>
        <w:overflowPunct/>
        <w:topLinePunct w:val="0"/>
        <w:autoSpaceDE/>
        <w:autoSpaceDN/>
        <w:bidi w:val="0"/>
        <w:spacing w:line="560" w:lineRule="exact"/>
        <w:ind w:firstLine="640"/>
        <w:contextualSpacing/>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rPr>
        <w:t>（二）起草单位</w:t>
      </w:r>
      <w:r>
        <w:rPr>
          <w:rFonts w:hint="eastAsia" w:ascii="楷体_GB2312" w:hAnsi="楷体_GB2312" w:eastAsia="楷体_GB2312" w:cs="楷体_GB2312"/>
          <w:b w:val="0"/>
          <w:bCs w:val="0"/>
          <w:lang w:val="en-US" w:eastAsia="zh-CN"/>
        </w:rPr>
        <w:t>和协作单位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有关座谈调研会议精神和市粮食和储备局《关于编制粮食仓储设施改造提升标准的函》有关要求，由首农食品集团牵头成立起草组并负责《粮食仓储设施设备升级改造规范》的起草工作，起草组成员包括首农食品集团相关部门人员、市粮食和储备局有关人员、京粮粮贸、京粮集团及所属企业相关业务骨干。</w:t>
      </w:r>
    </w:p>
    <w:p>
      <w:pPr>
        <w:pStyle w:val="9"/>
        <w:keepNext w:val="0"/>
        <w:keepLines w:val="0"/>
        <w:pageBreakBefore w:val="0"/>
        <w:widowControl/>
        <w:suppressAutoHyphens/>
        <w:kinsoku/>
        <w:wordWrap/>
        <w:overflowPunct/>
        <w:topLinePunct w:val="0"/>
        <w:autoSpaceDE/>
        <w:autoSpaceDN/>
        <w:bidi w:val="0"/>
        <w:spacing w:line="560" w:lineRule="exact"/>
        <w:ind w:firstLine="640"/>
        <w:contextualSpacing/>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（三）主要起草人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高玉树、刘帅冰、刘小青、吴建忠、张淇、楮文貌、宋春垒、杨朝晖、高宇航</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二、制定标准的必要性和意义</w:t>
      </w:r>
    </w:p>
    <w:p>
      <w:pPr>
        <w:pStyle w:val="9"/>
        <w:keepNext w:val="0"/>
        <w:keepLines w:val="0"/>
        <w:pageBreakBefore w:val="0"/>
        <w:widowControl/>
        <w:suppressAutoHyphens/>
        <w:kinsoku/>
        <w:wordWrap/>
        <w:overflowPunct/>
        <w:topLinePunct w:val="0"/>
        <w:autoSpaceDE/>
        <w:autoSpaceDN/>
        <w:bidi w:val="0"/>
        <w:spacing w:line="560" w:lineRule="exact"/>
        <w:ind w:firstLine="640"/>
        <w:contextualSpacing/>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（一）制定标准的必要性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十四五”以来，为全面落实国家粮食安全战略，加快粮食产业高质量发展，全面实施乡村振兴战略，国家粮食和物资储备局深入推进以“六大提升行动”为重点的优质粮食工程。2024年，国家发行超长期特别国债支持“两重”项目建设，北京市粮食和物资储备局组织申报“粮食仓储设施升级改造项目”，被纳入国家重大项目建设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目前北京市粮食仓储企业超30家，完好仓容超500万吨，粮食储备数量超200万吨；粮食应急加工企业32家、粮食应急配送中心47家、粮食应急投放网点900多个，数量规模均处于高位运行状态，覆盖范围广、涉及情况复杂，粮食仓储设施升级改造尚有提升空间，但是北京市尚未制定粮食仓储设施升级改造的技术规程和地方标准，急需尽快出台具有北京市地方特色的粮食仓储设施设备升级改造规范。因此，结合北京实际，充分考虑粮食仓储企业、执法人员和仓储技术人员的适用性和标准一致性，制订北京市“粮食仓储设施设备升级改造规范”，是规范本市粮食仓储设施设备升级改造项目的建设和验收的要求。</w:t>
      </w:r>
    </w:p>
    <w:p>
      <w:pPr>
        <w:pStyle w:val="9"/>
        <w:keepNext w:val="0"/>
        <w:keepLines w:val="0"/>
        <w:pageBreakBefore w:val="0"/>
        <w:widowControl/>
        <w:suppressAutoHyphens/>
        <w:kinsoku/>
        <w:wordWrap/>
        <w:overflowPunct/>
        <w:topLinePunct w:val="0"/>
        <w:autoSpaceDE/>
        <w:autoSpaceDN/>
        <w:bidi w:val="0"/>
        <w:spacing w:line="560" w:lineRule="exact"/>
        <w:ind w:firstLine="640"/>
        <w:contextualSpacing/>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（二）制定标准的意义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随着行业的发展，货物的数量和种类不断增加。现有的仓储设施设备可能无法应对新的储存环境和处理要求，升级改造能够确保有足够的能力支持储存的持续发展。新的输送设备能够大幅提升产量和作业能力，提高</w:t>
      </w:r>
      <w:r>
        <w:rPr>
          <w:rFonts w:hint="eastAsia" w:ascii="仿宋_GB2312" w:hAnsi="仿宋_GB2312" w:eastAsia="仿宋_GB2312" w:cs="仿宋_GB2312"/>
          <w:lang w:eastAsia="zh-CN"/>
        </w:rPr>
        <w:t>工作效率</w:t>
      </w:r>
      <w:r>
        <w:rPr>
          <w:rFonts w:hint="eastAsia" w:ascii="仿宋_GB2312" w:hAnsi="仿宋_GB2312" w:eastAsia="仿宋_GB2312" w:cs="仿宋_GB2312"/>
        </w:rPr>
        <w:t>。更在能源消耗方面</w:t>
      </w:r>
      <w:r>
        <w:rPr>
          <w:rFonts w:hint="eastAsia" w:ascii="仿宋_GB2312" w:hAnsi="仿宋_GB2312" w:eastAsia="仿宋_GB2312" w:cs="仿宋_GB2312"/>
          <w:lang w:eastAsia="zh-CN"/>
        </w:rPr>
        <w:t>具有</w:t>
      </w:r>
      <w:r>
        <w:rPr>
          <w:rFonts w:hint="eastAsia" w:ascii="仿宋_GB2312" w:hAnsi="仿宋_GB2312" w:eastAsia="仿宋_GB2312" w:cs="仿宋_GB2312"/>
        </w:rPr>
        <w:t>优势，通过升级改造可以降低能耗，实现节能减排，符合可持续发展的要求。仓储行业不断引入新技术和新理念，如智能仓储、绿色仓储等。进行升级改造可以使企业跟上行业发展的步伐。为保障北京地区粮食安全提供标准引领和技术支撑。</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三、适用对象基本情况</w:t>
      </w:r>
    </w:p>
    <w:p>
      <w:pPr>
        <w:pStyle w:val="9"/>
        <w:keepNext w:val="0"/>
        <w:keepLines w:val="0"/>
        <w:pageBreakBefore w:val="0"/>
        <w:widowControl/>
        <w:numPr>
          <w:ilvl w:val="255"/>
          <w:numId w:val="0"/>
        </w:numPr>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（一）北京市政策性粮食仓储企业仓房现状</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北京地区现阶段使用的有效仓容中，大部分粮食仓储物流设施的建设时间较早，使用年限较长，整体呈现出设施老旧、功能滞后的特点。随着国家持续推进绿色储粮与科技储粮战略，对仓储设施的节能环保、技术适配及智能化水平提出了更高要求。现有仓房由于建设时期技术标准相对落后，在结构性能、气密保温、能耗控制及工艺适应性等方面，已难以满足当前高标准绿色仓储管理的需要，也制约了先进绿色储粮技术的有效应用与推广，影响技术实施效果，亟待通过标准引领推动仓房设施升级与规范化改造。</w:t>
      </w:r>
    </w:p>
    <w:p>
      <w:pPr>
        <w:pStyle w:val="9"/>
        <w:keepNext w:val="0"/>
        <w:keepLines w:val="0"/>
        <w:pageBreakBefore w:val="0"/>
        <w:widowControl/>
        <w:numPr>
          <w:ilvl w:val="255"/>
          <w:numId w:val="0"/>
        </w:numPr>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（二）北京市政策性粮食仓储企业设备设施现状</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北京市粮食仓储企业的储粮机械设备目前普遍存在新旧混杂、技术标准不一的状况，各企业之间的装备水平和发展程度也呈现明显不均衡的态势。随着国家持续推进绿色低碳发展和生态环境治理，现有机械设备在环保、节能、降噪、抑尘等方面的不足逐渐凸显。部分设备能耗偏高，除尘与噪声控制措施不完善，清洁生产水平有限等方面都存在不足，最终导致整体运行效率不高，后期维护成本持续攀升，</w:t>
      </w:r>
      <w:r>
        <w:rPr>
          <w:rFonts w:hint="eastAsia" w:ascii="仿宋_GB2312" w:hAnsi="仿宋_GB2312" w:eastAsia="仿宋_GB2312" w:cs="仿宋_GB2312"/>
          <w:color w:val="000000"/>
        </w:rPr>
        <w:t>已成为当前行业高质量发展中亟待系统应对的突出问题</w:t>
      </w:r>
      <w:r>
        <w:rPr>
          <w:rFonts w:hint="eastAsia" w:ascii="仿宋_GB2312" w:hAnsi="仿宋_GB2312" w:eastAsia="仿宋_GB2312" w:cs="仿宋_GB2312"/>
          <w:color w:val="000000"/>
          <w:lang w:val="en-US" w:eastAsia="zh-CN"/>
        </w:rPr>
        <w:t>。</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lang w:val="en-US" w:eastAsia="zh-CN"/>
        </w:rPr>
        <w:t>四</w:t>
      </w:r>
      <w:r>
        <w:rPr>
          <w:rFonts w:hint="eastAsia" w:ascii="黑体" w:hAnsi="黑体" w:eastAsia="黑体" w:cs="黑体"/>
          <w:sz w:val="32"/>
        </w:rPr>
        <w:t>、</w:t>
      </w:r>
      <w:r>
        <w:rPr>
          <w:rFonts w:hint="eastAsia" w:ascii="黑体" w:hAnsi="黑体" w:eastAsia="黑体" w:cs="黑体"/>
          <w:sz w:val="32"/>
          <w:lang w:val="en-US" w:eastAsia="zh-CN"/>
        </w:rPr>
        <w:t>起草阶段</w:t>
      </w:r>
      <w:r>
        <w:rPr>
          <w:rFonts w:hint="eastAsia" w:ascii="黑体" w:hAnsi="黑体" w:eastAsia="黑体" w:cs="黑体"/>
          <w:sz w:val="32"/>
        </w:rPr>
        <w:t>主要工作过程</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eastAsia="仿宋_GB2312"/>
          <w:color w:val="000000"/>
          <w:sz w:val="32"/>
          <w:szCs w:val="32"/>
        </w:rPr>
        <w:t>项目任务下达后，</w:t>
      </w:r>
      <w:r>
        <w:rPr>
          <w:rFonts w:hint="eastAsia" w:ascii="仿宋_GB2312" w:eastAsia="仿宋_GB2312"/>
          <w:color w:val="000000"/>
          <w:sz w:val="32"/>
          <w:szCs w:val="32"/>
          <w:lang w:val="en-US" w:eastAsia="zh-CN"/>
        </w:rPr>
        <w:t>首农集团及</w:t>
      </w:r>
      <w:r>
        <w:rPr>
          <w:rFonts w:hint="eastAsia" w:ascii="仿宋_GB2312" w:eastAsia="仿宋_GB2312"/>
          <w:color w:val="000000"/>
          <w:sz w:val="32"/>
          <w:szCs w:val="32"/>
        </w:rPr>
        <w:t>所属企业、成立了标准起草工作组，研究和制定标准编制工作方案，按照标准化工作要求展开标准制定工作。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启动任务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3月13日，组织</w:t>
      </w:r>
      <w:r>
        <w:rPr>
          <w:rFonts w:hint="eastAsia" w:ascii="仿宋_GB2312" w:hAnsi="仿宋_GB2312" w:eastAsia="仿宋_GB2312" w:cs="仿宋_GB2312"/>
        </w:rPr>
        <w:t>召开</w:t>
      </w:r>
      <w:r>
        <w:rPr>
          <w:rFonts w:hint="eastAsia" w:ascii="仿宋_GB2312" w:hAnsi="仿宋_GB2312" w:eastAsia="仿宋_GB2312" w:cs="仿宋_GB2312"/>
          <w:lang w:val="en-US" w:eastAsia="zh-CN"/>
        </w:rPr>
        <w:t>标准制定工作</w:t>
      </w:r>
      <w:r>
        <w:rPr>
          <w:rFonts w:hint="eastAsia" w:ascii="仿宋_GB2312" w:hAnsi="仿宋_GB2312" w:eastAsia="仿宋_GB2312" w:cs="仿宋_GB2312"/>
        </w:rPr>
        <w:t>启动会。</w:t>
      </w:r>
      <w:r>
        <w:rPr>
          <w:rFonts w:hint="eastAsia" w:ascii="仿宋_GB2312" w:hAnsi="仿宋_GB2312" w:eastAsia="仿宋_GB2312" w:cs="仿宋_GB2312"/>
          <w:lang w:val="en-US" w:eastAsia="zh-CN"/>
        </w:rPr>
        <w:t>印发标准制定工作方案，</w:t>
      </w:r>
      <w:r>
        <w:rPr>
          <w:rFonts w:hint="eastAsia" w:ascii="仿宋_GB2312" w:hAnsi="仿宋_GB2312" w:eastAsia="仿宋_GB2312" w:cs="仿宋_GB2312"/>
        </w:rPr>
        <w:t>明确工作任务，明确分组及职责，明确工作进程和要求。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调查研究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3-7月起草组根据分组任务，对首农集团所属京内、京外储备粮库点30余个进行实地调研。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调研对象</w:t>
      </w:r>
      <w:r>
        <w:rPr>
          <w:rFonts w:hint="eastAsia" w:ascii="仿宋_GB2312" w:hAnsi="仿宋_GB2312" w:eastAsia="仿宋_GB2312" w:cs="仿宋_GB2312"/>
          <w:lang w:eastAsia="zh-CN"/>
        </w:rPr>
        <w:t>：</w:t>
      </w:r>
      <w:r>
        <w:rPr>
          <w:rFonts w:hint="eastAsia" w:ascii="仿宋_GB2312" w:hAnsi="仿宋_GB2312" w:eastAsia="仿宋_GB2312" w:cs="仿宋_GB2312"/>
        </w:rPr>
        <w:t>设计单位、施工单位、机械设备和气密隔热材料生产厂家等。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调研主要内容</w:t>
      </w:r>
      <w:r>
        <w:rPr>
          <w:rFonts w:hint="eastAsia" w:ascii="仿宋_GB2312" w:hAnsi="仿宋_GB2312" w:eastAsia="仿宋_GB2312" w:cs="仿宋_GB2312"/>
          <w:lang w:eastAsia="zh-CN"/>
        </w:rPr>
        <w:t>：</w:t>
      </w:r>
      <w:r>
        <w:rPr>
          <w:rFonts w:hint="eastAsia" w:ascii="仿宋_GB2312" w:hAnsi="仿宋_GB2312" w:eastAsia="仿宋_GB2312" w:cs="仿宋_GB2312"/>
        </w:rPr>
        <w:t>以仓房气密性能改造、隔热性能改造和机械设备更新升级为主，采取现场调研、查询资料、问卷调查等方式，对当前本市粮食仓储设施升级改造所涉及的工艺、材料、施工要求、成本及效果等具体事项和内容进行调查研究和论证分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编制草案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8月14日，</w:t>
      </w:r>
      <w:r>
        <w:rPr>
          <w:rFonts w:hint="eastAsia" w:ascii="仿宋_GB2312" w:hAnsi="仿宋_GB2312" w:eastAsia="仿宋_GB2312" w:cs="仿宋_GB2312"/>
        </w:rPr>
        <w:t>在前期调研工作的基础上，编制《规范》草案，组织进行组内审议，形成专家初审稿。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lang w:eastAsia="zh-CN"/>
        </w:rPr>
        <w:t>专家初审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9月7日，</w:t>
      </w:r>
      <w:r>
        <w:rPr>
          <w:rFonts w:hint="eastAsia" w:ascii="仿宋_GB2312" w:hAnsi="仿宋_GB2312" w:eastAsia="仿宋_GB2312" w:cs="仿宋_GB2312"/>
        </w:rPr>
        <w:t>组织召开《规范》专家</w:t>
      </w:r>
      <w:r>
        <w:rPr>
          <w:rFonts w:hint="eastAsia" w:ascii="仿宋_GB2312" w:hAnsi="仿宋_GB2312" w:eastAsia="仿宋_GB2312" w:cs="仿宋_GB2312"/>
          <w:lang w:eastAsia="zh-CN"/>
        </w:rPr>
        <w:t>初审</w:t>
      </w:r>
      <w:r>
        <w:rPr>
          <w:rFonts w:hint="eastAsia" w:ascii="仿宋_GB2312" w:hAnsi="仿宋_GB2312" w:eastAsia="仿宋_GB2312" w:cs="仿宋_GB2312"/>
        </w:rPr>
        <w:t>会，</w:t>
      </w:r>
      <w:r>
        <w:rPr>
          <w:rFonts w:hint="eastAsia" w:ascii="仿宋_GB2312" w:hAnsi="仿宋_GB2312" w:eastAsia="仿宋_GB2312" w:cs="仿宋_GB2312"/>
          <w:lang w:eastAsia="zh-CN"/>
        </w:rPr>
        <w:t>邀请国家粮食和物资储备局科学研究院、北京国贸东孚工程科技有限公司、北京市标准化研究院等</w:t>
      </w:r>
      <w:r>
        <w:rPr>
          <w:rFonts w:hint="eastAsia" w:ascii="仿宋_GB2312" w:eastAsia="仿宋_GB2312"/>
          <w:color w:val="000000"/>
          <w:sz w:val="32"/>
          <w:szCs w:val="32"/>
        </w:rPr>
        <w:t>7名行业专家参会。专家组首先听取了项目负责人对标准</w:t>
      </w:r>
      <w:r>
        <w:rPr>
          <w:rFonts w:hint="eastAsia" w:ascii="仿宋_GB2312" w:eastAsia="仿宋_GB2312"/>
          <w:color w:val="000000"/>
          <w:sz w:val="32"/>
          <w:szCs w:val="32"/>
          <w:lang w:val="en-US" w:eastAsia="zh-CN"/>
        </w:rPr>
        <w:t>制定</w:t>
      </w:r>
      <w:r>
        <w:rPr>
          <w:rFonts w:hint="eastAsia" w:ascii="仿宋_GB2312" w:eastAsia="仿宋_GB2312"/>
          <w:color w:val="000000"/>
          <w:sz w:val="32"/>
          <w:szCs w:val="32"/>
        </w:rPr>
        <w:t>项目前期工作进展、</w:t>
      </w:r>
      <w:r>
        <w:rPr>
          <w:rFonts w:hint="eastAsia" w:ascii="仿宋_GB2312" w:eastAsia="仿宋_GB2312"/>
          <w:color w:val="000000"/>
          <w:sz w:val="32"/>
          <w:szCs w:val="32"/>
          <w:lang w:eastAsia="zh-CN"/>
        </w:rPr>
        <w:t>标准内容</w:t>
      </w:r>
      <w:r>
        <w:rPr>
          <w:rFonts w:hint="eastAsia" w:ascii="仿宋_GB2312" w:eastAsia="仿宋_GB2312"/>
          <w:color w:val="000000"/>
          <w:sz w:val="32"/>
          <w:szCs w:val="32"/>
        </w:rPr>
        <w:t>等情况的介绍后，对标准草案进行审查并提出具体修改意见建议。</w:t>
      </w:r>
      <w:r>
        <w:rPr>
          <w:rFonts w:hint="eastAsia" w:ascii="仿宋_GB2312" w:eastAsia="仿宋_GB2312"/>
          <w:color w:val="000000"/>
          <w:sz w:val="32"/>
          <w:szCs w:val="32"/>
          <w:lang w:eastAsia="zh-CN"/>
        </w:rPr>
        <w:t>会后，</w:t>
      </w:r>
      <w:r>
        <w:rPr>
          <w:rFonts w:hint="eastAsia" w:ascii="仿宋_GB2312" w:eastAsia="仿宋_GB2312"/>
          <w:color w:val="000000"/>
          <w:sz w:val="32"/>
          <w:szCs w:val="32"/>
        </w:rPr>
        <w:t>起草组</w:t>
      </w:r>
      <w:r>
        <w:rPr>
          <w:rFonts w:hint="eastAsia" w:ascii="仿宋_GB2312" w:hAnsi="仿宋_GB2312" w:eastAsia="仿宋_GB2312" w:cs="仿宋_GB2312"/>
        </w:rPr>
        <w:t>根据专家意见建议进一步修改完善《规范》草案，形成征求意见稿。</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lang w:val="en-US" w:eastAsia="zh-CN"/>
        </w:rPr>
        <w:t>五</w:t>
      </w:r>
      <w:r>
        <w:rPr>
          <w:rFonts w:hint="eastAsia" w:ascii="黑体" w:hAnsi="黑体" w:eastAsia="黑体" w:cs="黑体"/>
          <w:sz w:val="32"/>
        </w:rPr>
        <w:t>、制定标准的原则和依据，与现行法律、法规、标准的关系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仿宋_GB2312" w:hAnsi="仿宋_GB2312" w:eastAsia="仿宋_GB2312" w:cs="仿宋_GB2312"/>
        </w:rPr>
        <w:t>本标准为首次制定，与国家正式颁布的相关法律、法规及其他强制性标准不存在冲突，标准内容未超出其所参照法规和标准的有关内容，对涉及本市行业具体情况，有必要进行规范而其他法律、法规和标准未涉及的内容进行规范</w:t>
      </w:r>
      <w:r>
        <w:rPr>
          <w:rFonts w:hint="eastAsia" w:ascii="仿宋_GB2312" w:hAnsi="仿宋_GB2312" w:eastAsia="仿宋_GB2312" w:cs="仿宋_GB2312"/>
          <w:lang w:eastAsia="zh-CN"/>
        </w:rPr>
        <w:t>的条款。</w:t>
      </w:r>
    </w:p>
    <w:p>
      <w:pPr>
        <w:keepNext w:val="0"/>
        <w:keepLines w:val="0"/>
        <w:pageBreakBefore w:val="0"/>
        <w:widowControl w:val="0"/>
        <w:suppressAutoHyphens/>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（一）制定标准的原则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1.规范化原则：本标准的制定遵循中华人民共和国国家标准GB/T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1.1-2020标准化工作导则第1部分：标准化文件的结构和起草规则。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2.可操作性原则：标准的内容紧密联系北京地区储备粮</w:t>
      </w:r>
      <w:r>
        <w:rPr>
          <w:rFonts w:hint="eastAsia" w:ascii="仿宋_GB2312" w:hAnsi="仿宋_GB2312" w:eastAsia="仿宋_GB2312" w:cs="仿宋_GB2312"/>
          <w:lang w:eastAsia="zh-CN"/>
        </w:rPr>
        <w:t>仓储设施设备升级改造的</w:t>
      </w:r>
      <w:r>
        <w:rPr>
          <w:rFonts w:hint="eastAsia" w:ascii="仿宋_GB2312" w:hAnsi="仿宋_GB2312" w:eastAsia="仿宋_GB2312" w:cs="仿宋_GB2312"/>
        </w:rPr>
        <w:t>工作经验和现实条件，各项技术指标先进、合理，系统性和可操作性强。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3.协调性原则：本标准与有关现行法律、法规、标准及相关方针政策相一致。</w:t>
      </w:r>
    </w:p>
    <w:p>
      <w:pPr>
        <w:keepNext w:val="0"/>
        <w:keepLines w:val="0"/>
        <w:pageBreakBefore w:val="0"/>
        <w:widowControl w:val="0"/>
        <w:suppressAutoHyphens/>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（二）制定标准的依据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依据国务院印发的《推动大规模设备更新和消费品以旧换新行动方案》和国家粮食和物资储备局《优质粮食工程“六大提升行动”方案》等相关规定和要求</w:t>
      </w:r>
      <w:r>
        <w:rPr>
          <w:rFonts w:hint="eastAsia" w:ascii="仿宋_GB2312" w:hAnsi="仿宋_GB2312" w:eastAsia="仿宋_GB2312" w:cs="仿宋_GB2312"/>
        </w:rPr>
        <w:t>，立足仓储企业实际和粮食行业发展趋势，在广泛调研基础上，结合北京市仓储管理和执法检查等工作实践，制定本文件。本文件编制过</w:t>
      </w:r>
      <w:r>
        <w:rPr>
          <w:rFonts w:hint="eastAsia" w:ascii="仿宋_GB2312" w:hAnsi="仿宋_GB2312" w:eastAsia="仿宋_GB2312" w:cs="仿宋_GB2312"/>
          <w:lang w:eastAsia="zh-CN"/>
        </w:rPr>
        <w:t>程中</w:t>
      </w:r>
      <w:r>
        <w:rPr>
          <w:rFonts w:hint="eastAsia" w:ascii="仿宋_GB2312" w:hAnsi="仿宋_GB2312" w:eastAsia="仿宋_GB2312" w:cs="仿宋_GB2312"/>
        </w:rPr>
        <w:t>主要引用和参考的文件如下：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bookmarkStart w:id="0" w:name="_Toc31968"/>
      <w:r>
        <w:rPr>
          <w:rFonts w:hint="eastAsia" w:ascii="仿宋_GB2312" w:hAnsi="仿宋_GB2312" w:eastAsia="仿宋_GB2312" w:cs="仿宋_GB2312"/>
          <w:lang w:val="en-US" w:eastAsia="zh-CN"/>
        </w:rPr>
        <w:t>1.政策文件</w:t>
      </w:r>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《推动大规模设备更新和消费品以旧换新行动方案》（国发〔2024〕7号）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《财政部 国家粮食和物资储备局关于深入推进优质粮食工程的意见》（财建〔2021〕177号）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《国家粮食和物资储备局关于印发优质粮食工程“六大提升行动”方案的通知》（国粮规〔2021〕236号）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《粮食购销领域监管信息化规范》（国粮规〔2022〕78号）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t>
      </w:r>
      <w:r>
        <w:rPr>
          <w:rFonts w:hint="eastAsia" w:ascii="仿宋_GB2312" w:hAnsi="仿宋_GB2312" w:eastAsia="仿宋_GB2312" w:cs="仿宋_GB2312"/>
        </w:rPr>
        <w:t>北京市储备粮管理办法</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《北京市粮食和物资储备局 北京市发展和改革委员会 北京市商务局关于印发〈北京市粮食流通和物资储备“十四五”发展规划〉的通知》（京粮发〔2021〕50号）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《北京市粮食和物资储备局 北京市财政局关于印发〈北京市深入推进优质粮食工程实施方案〉的通知》（京粮发〔2022〕30号）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《北京市粮食和物资储备局关于印发〈推进粮食绿色仓储能力提升指导意见〉的通知》（京粮发〔2022〕38号）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《北京市储备粮承储企业检验室标准》（京粮发〔2006〕100号）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highlight w:val="cyan"/>
          <w:lang w:val="en-US" w:eastAsia="zh-CN"/>
        </w:rPr>
      </w:pPr>
      <w:r>
        <w:rPr>
          <w:rFonts w:hint="eastAsia" w:ascii="仿宋_GB2312" w:hAnsi="仿宋_GB2312" w:eastAsia="仿宋_GB2312" w:cs="仿宋_GB2312"/>
          <w:highlight w:val="none"/>
          <w:lang w:val="en-US" w:eastAsia="zh-CN"/>
        </w:rPr>
        <w:t>《粮库信息化软件建设技术要点》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bookmarkStart w:id="1" w:name="_Toc8983"/>
      <w:r>
        <w:rPr>
          <w:rFonts w:hint="eastAsia" w:ascii="仿宋_GB2312" w:hAnsi="仿宋_GB2312" w:eastAsia="仿宋_GB2312" w:cs="仿宋_GB2312"/>
          <w:lang w:val="en-US" w:eastAsia="zh-CN"/>
        </w:rPr>
        <w:t>2.标准文件</w:t>
      </w:r>
      <w:bookmarkEnd w:id="1"/>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4706.1 家用和类似用途电器的安全通用要求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5226.1 机械电气安全机械电气设备 第1部分：通用技术条件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GB 8624-2012 建筑材料及制品燃烧性能分级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GB/T 8814 门、窗用未增塑聚氯乙烯（PVC-U）型材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10595 带式输送机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10596 埋刮板输送机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GB/T 11918.1 工业用插头插座和耦合器 第一分部：通用要求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GB/T 13869 用电安全导则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17758 单元式空气调节机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17913 粮油储藏 磷化氢环流熏蒸装备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GB</w:t>
      </w:r>
      <w:r>
        <w:rPr>
          <w:rFonts w:hint="eastAsia" w:ascii="仿宋_GB2312" w:hAnsi="仿宋_GB2312" w:eastAsia="仿宋_GB2312" w:cs="仿宋_GB2312"/>
          <w:lang w:eastAsia="zh-CN"/>
        </w:rPr>
        <w:t>/</w:t>
      </w:r>
      <w:r>
        <w:rPr>
          <w:rFonts w:hint="eastAsia" w:ascii="仿宋_GB2312" w:hAnsi="仿宋_GB2312" w:eastAsia="仿宋_GB2312" w:cs="仿宋_GB2312"/>
        </w:rPr>
        <w:t>T 21489</w:t>
      </w:r>
      <w:r>
        <w:rPr>
          <w:rFonts w:hint="eastAsia" w:ascii="仿宋_GB2312" w:hAnsi="仿宋_GB2312" w:eastAsia="仿宋_GB2312" w:cs="仿宋_GB2312"/>
          <w:lang w:val="en-US" w:eastAsia="zh-CN"/>
        </w:rPr>
        <w:t xml:space="preserve"> 散粮汽车卸车装置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23821 机械安全 防止上下肢触及危险区的安全距离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25229 粮油储藏 粮仓气密性要求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GB/T 25235 粮油机械 组合清理筛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GB/T 25294 电力综合控制机柜通用技术要求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26879 粮油储藏 平房仓隔热技术规范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26882 粮油储藏 粮情测控系统（所有部分）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26893 粮油机械 圆筒初清筛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26894 粮油机械 振动清理筛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29890 粮油储藏技术规范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30862 坠落防护 挂点装置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GB </w:t>
      </w:r>
      <w:r>
        <w:rPr>
          <w:rFonts w:hint="eastAsia" w:ascii="仿宋_GB2312" w:hAnsi="仿宋_GB2312" w:eastAsia="仿宋_GB2312" w:cs="仿宋_GB2312"/>
          <w:lang w:val="en-US" w:eastAsia="zh-CN"/>
        </w:rPr>
        <w:t>37479 风管送风式空调机组能效限定值及能效等级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45037 粮油机械 扒谷机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46033 粮食仓库安全操作规程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GB 50054 </w:t>
      </w:r>
      <w:r>
        <w:rPr>
          <w:rFonts w:hint="eastAsia" w:ascii="仿宋_GB2312" w:hAnsi="仿宋_GB2312" w:eastAsia="仿宋_GB2312" w:cs="仿宋_GB2312"/>
        </w:rPr>
        <w:t>低压配电设计规范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50222 建筑内部装修设计防火规范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50320 粮食平房仓设计规范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50345 屋面工程技术规范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50404 硬泡聚氨酯保温防水工程技术规范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GB/T 51350 近零能耗建筑技术标准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GB 55030 建筑与市政工程防水通用规范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JGJ 144 外墙外保温工程技术标准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JB/T 8690 通风机 噪声限值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JB/T 10563 一般用途离心通风机 技术条件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LS/T 1202 储粮机械通风技术规程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LS 1207 粮食仓库机电设备安装技术规程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LS/T 1804 粮食出入库业务信息系统技术规范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LS/T 3530 水平螺旋输送机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LS 8004 粮食仓房维修改造技术规程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LS/T 8014 高标准粮仓建设标准</w:t>
      </w:r>
    </w:p>
    <w:p>
      <w:pPr>
        <w:keepNext w:val="0"/>
        <w:keepLines w:val="0"/>
        <w:pageBreakBefore w:val="0"/>
        <w:widowControl w:val="0"/>
        <w:suppressAutoHyphens/>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rPr>
        <w:t>（三）与现行法律、法规、标准的关系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本标准符合现行法律法规的要求，与相关的国家、行业、地方标准相协调。</w:t>
      </w:r>
    </w:p>
    <w:p>
      <w:pPr>
        <w:pStyle w:val="9"/>
        <w:keepNext w:val="0"/>
        <w:keepLines w:val="0"/>
        <w:pageBreakBefore w:val="0"/>
        <w:widowControl w:val="0"/>
        <w:kinsoku/>
        <w:wordWrap/>
        <w:overflowPunct/>
        <w:topLinePunct w:val="0"/>
        <w:autoSpaceDE/>
        <w:autoSpaceDN/>
        <w:bidi w:val="0"/>
        <w:spacing w:line="560" w:lineRule="exact"/>
        <w:ind w:firstLine="64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六、主要条款的说明，主要技术指标、参数、试验验证的论述</w:t>
      </w:r>
    </w:p>
    <w:p>
      <w:pPr>
        <w:keepNext w:val="0"/>
        <w:keepLines w:val="0"/>
        <w:pageBreakBefore w:val="0"/>
        <w:widowControl w:val="0"/>
        <w:suppressAutoHyphens/>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（一）主要条款说明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1.术语和定义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w:t>
      </w:r>
      <w:r>
        <w:rPr>
          <w:rFonts w:hint="eastAsia" w:ascii="仿宋_GB2312" w:hAnsi="仿宋_GB2312" w:eastAsia="仿宋_GB2312" w:cs="仿宋_GB2312"/>
        </w:rPr>
        <w:t>包括术语和定义、</w:t>
      </w:r>
      <w:r>
        <w:rPr>
          <w:rFonts w:hint="eastAsia" w:ascii="仿宋_GB2312" w:hAnsi="仿宋_GB2312" w:eastAsia="仿宋_GB2312" w:cs="仿宋_GB2312"/>
          <w:lang w:val="en-US" w:eastAsia="zh-CN"/>
        </w:rPr>
        <w:t>总则、仓房气密隔热、储粮工艺设施、储粮机械设备、粮库信息系统、其他等内容。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术语和定义：给出</w:t>
      </w:r>
      <w:r>
        <w:rPr>
          <w:rFonts w:hint="eastAsia" w:ascii="仿宋_GB2312" w:hAnsi="仿宋_GB2312" w:eastAsia="仿宋_GB2312" w:cs="仿宋_GB2312"/>
          <w:lang w:val="en-US" w:eastAsia="zh-CN"/>
        </w:rPr>
        <w:t>1</w:t>
      </w:r>
      <w:r>
        <w:rPr>
          <w:rFonts w:hint="eastAsia" w:ascii="仿宋_GB2312" w:hAnsi="仿宋_GB2312" w:eastAsia="仿宋_GB2312" w:cs="仿宋_GB2312"/>
        </w:rPr>
        <w:t>个术语和定义，</w:t>
      </w:r>
      <w:r>
        <w:rPr>
          <w:rFonts w:hint="eastAsia" w:ascii="仿宋_GB2312" w:hAnsi="仿宋_GB2312" w:eastAsia="仿宋_GB2312" w:cs="仿宋_GB2312"/>
          <w:lang w:val="en-US" w:eastAsia="zh-CN"/>
        </w:rPr>
        <w:t>升级改造为《规范》新提出。</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lang w:val="en-US" w:eastAsia="zh-CN"/>
        </w:rPr>
        <w:t>3.仓房气密隔热：包括一般要求、仓盖、仓房墙体、仓房门窗等方面。其中突出了选用隔热涂料应防水、防腐、耐老化等性能</w:t>
      </w:r>
      <w:r>
        <w:rPr>
          <w:rFonts w:hint="eastAsia" w:ascii="仿宋_GB2312" w:hAnsi="仿宋_GB2312" w:eastAsia="仿宋_GB2312" w:cs="仿宋_GB2312"/>
          <w:b w:val="0"/>
          <w:bCs w:val="0"/>
          <w:sz w:val="32"/>
          <w:szCs w:val="32"/>
          <w:lang w:val="en-US" w:eastAsia="zh-CN"/>
        </w:rPr>
        <w:t>，宜具有自清洁特性。</w:t>
      </w:r>
      <w:r>
        <w:rPr>
          <w:rFonts w:hint="eastAsia" w:ascii="仿宋_GB2312" w:hAnsi="仿宋_GB2312" w:eastAsia="仿宋_GB2312" w:cs="仿宋_GB2312"/>
          <w:color w:val="000000"/>
          <w:kern w:val="0"/>
          <w:sz w:val="32"/>
          <w:szCs w:val="32"/>
          <w:lang w:val="en-US" w:eastAsia="zh-CN" w:bidi="ar"/>
        </w:rPr>
        <w:t>针对辐射制冷材料、气凝胶复合材料及聚氨酯保温板等特定材料，也明确了重点性能标准。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lang w:val="en-US" w:eastAsia="zh-CN"/>
        </w:rPr>
        <w:t>结合工作经验和调研结果，对仓盖气密隔热改造提出5种方案：仓盖外部加装架空层，要求在</w:t>
      </w:r>
      <w:r>
        <w:rPr>
          <w:rFonts w:hint="eastAsia" w:ascii="仿宋_GB2312" w:hAnsi="仿宋_GB2312" w:eastAsia="仿宋_GB2312" w:cs="仿宋_GB2312"/>
          <w:b w:val="0"/>
          <w:bCs w:val="0"/>
          <w:sz w:val="32"/>
          <w:szCs w:val="32"/>
          <w:lang w:val="en-US" w:eastAsia="zh-CN"/>
        </w:rPr>
        <w:t>改造前由有资质的第三方结构安全检测鉴定机构出具鉴定意见。当承载力许可时，可在仓盖外部增加架空层。架空层应与原有结构</w:t>
      </w:r>
      <w:r>
        <w:rPr>
          <w:rFonts w:hint="eastAsia" w:ascii="仿宋_GB2312" w:hAnsi="仿宋_GB2312" w:eastAsia="仿宋_GB2312" w:cs="仿宋_GB2312"/>
          <w:sz w:val="32"/>
          <w:szCs w:val="32"/>
        </w:rPr>
        <w:t>连接紧密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稳定牢固</w:t>
      </w:r>
      <w:r>
        <w:rPr>
          <w:rFonts w:hint="eastAsia" w:ascii="仿宋_GB2312" w:hAnsi="仿宋_GB2312" w:eastAsia="仿宋_GB2312" w:cs="仿宋_GB2312"/>
          <w:b w:val="0"/>
          <w:bCs w:val="0"/>
          <w:sz w:val="32"/>
          <w:szCs w:val="32"/>
          <w:lang w:val="en-US" w:eastAsia="zh-CN"/>
        </w:rPr>
        <w:t>，能够承受风荷载、重力荷载。</w:t>
      </w:r>
      <w:r>
        <w:rPr>
          <w:rFonts w:hint="eastAsia" w:ascii="仿宋_GB2312" w:hAnsi="仿宋_GB2312" w:eastAsia="仿宋_GB2312" w:cs="仿宋_GB2312"/>
          <w:lang w:val="en-US" w:eastAsia="zh-CN"/>
        </w:rPr>
        <w:t>坡度较大屋面，宜在架空层起脊处应设置无动力风帽，利于排出架空层内积聚的热量；仓盖外部涂刷反射隔热涂料；仓盖外部铺贴隔热卷材；仓盖内、外部喷涂聚氨酯发泡层；仓盖内部吊顶。对仓墙气密隔热改造提出4种方案：外墙面涂刷隔热涂料，增加聚苯板保温隔热层；内墙面聚氨酯发泡层气密隔热，粘贴聚氨酯保温板（带金属板保护层）隔热。局部处理包括通风道口、外露通风管道、轴流风机口、穿墙孔、洞和墙体裂缝隔热选材、处理措施。对仓房门窗提出了气密和隔热要求的技术指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5.储粮工艺设施：包括一般要求、储粮环流熏蒸系统、内环流控温系统、有害生物防治装置、挡粮门、其他等方面。其中突出了选用的设备应具备安全可靠、高效低耗、操作方便等性能，符合环保、卫生要求。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在一般要求中，根据《粮油储藏技术规范》GB/T 29890-2013中5.3“其他设备与设施”5.3.1应根据所处的储粮生态条件、仓型和采用的储藏技术的需要，选择配备通风、环流、熏蒸等设施设备。粮食仓库机电设备的安装应符合LS 1207的规定，机械通风系统应符合LS/T 1202的规定。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根据《粮食平房仓设计规范》GB 50320-2014中3.1“一般规定”3.1.6选用的设备应具备安全可靠、高效低耗、操作方便等性能，符合环保、卫生要求。长期暴露于仓外的金属箱体、管线、配件等应采取防腐、防锈措施，箱体宜采用不锈钢等材质。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6.关于储粮环流熏蒸系统，根据《磷化氢熏蒸技术规程》LST 1201-2020中5.1“熏蒸装备要求”钢瓶施药装置和磷化氢发生器、环流风机、环流管路、气体取样装置、磷化氢检测仪、磷化氢报警仪等符合GB/T17913的要求。磷化氢发生装置符合安全施药防止燃爆的要求。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根据《粮食平房仓设计规范》GB 50320-2014中3.4“熏蒸系统”3.4.7环流熏蒸系统应配置有关防护用品及检测仪器，并按LS 1206的有关要求执行。经查，将具体要求修改为“环流熏蒸系统应具备防爆、防泄漏、防腐性能，按照LS 1206的规定配置有关防护用品。”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关于内环流控温系统，列举出了内环流控温系统一般由环流风机、环流管道、控制系统组成，目前相关行业标准正在征求意见，结合经验和调研结果编写，对部分影响内环流通风效果的关键指标进行了重点明确要求，例如要求环流管道应采用双层保温管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8.储粮机械设备：包括一般要求、粮食输送设备、粮食清理设备、移动液压翻板</w:t>
      </w:r>
      <w:r>
        <w:rPr>
          <w:rFonts w:hint="eastAsia" w:ascii="仿宋_GB2312" w:hAnsi="仿宋_GB2312" w:eastAsia="仿宋_GB2312" w:cs="仿宋_GB2312"/>
        </w:rPr>
        <w:t>散粮汽车卸车装置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储粮仓房专用空调、储粮通风机、粮油检验仪器设备</w:t>
      </w:r>
      <w:r>
        <w:rPr>
          <w:rFonts w:hint="eastAsia" w:ascii="仿宋_GB2312" w:hAnsi="仿宋_GB2312" w:eastAsia="仿宋_GB2312" w:cs="仿宋_GB2312"/>
          <w:lang w:eastAsia="zh-CN"/>
        </w:rPr>
        <w:t>等方面。更加明确的给出了目前所需设备的基础参数，明确了</w:t>
      </w:r>
      <w:r>
        <w:rPr>
          <w:rFonts w:hint="eastAsia" w:ascii="仿宋_GB2312" w:hAnsi="仿宋_GB2312" w:eastAsia="仿宋_GB2312" w:cs="仿宋_GB2312"/>
          <w:lang w:val="en-US" w:eastAsia="zh-CN"/>
        </w:rPr>
        <w:t>性能及具体参数</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9.根据《高标准粮仓建设技术要点（试行）》国粮办规〔2022〕26号“第十八条  设备配置应满足以下要求：1.输送设备应满足低破碎、易维护要求，固定式输送设备应满足全密闭要求，移动式输送设备应采取密闭措施”和根据《推进粮食绿色仓储能力提升指导意见》（京粮发〔2022〕38号）“四、改造标准（四）设备  仓储作业设备要具备防尘降噪功能”等文件对储粮机械设备的要求，结合环保政策要求、实践经验和调研结果，规定储粮机械设备应具备结构牢固、运行平稳、安全可靠的基本性能，在</w:t>
      </w:r>
      <w:r>
        <w:rPr>
          <w:rFonts w:hint="eastAsia" w:ascii="仿宋_GB2312" w:hAnsi="仿宋_GB2312" w:eastAsia="仿宋_GB2312" w:cs="仿宋_GB2312"/>
        </w:rPr>
        <w:t>设备改造或更新时宜提升设备的信息化、自动化和智能化水平，宜选用能耗低、噪声低、破碎率低且配备有效密封措施的设备。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10.关于输送机性能参数，根据《带式输送机》GB/T 10595中“4.2 整机性能”4.2.4输送机满载运行时，输送量不应低于额定输送量，根据《推进粮食绿色仓储能力提升指导意见》（京粮发〔2022〕38号）“四、改造标准（四）设备  出入库单线作业能力不应低于80 t/h”。</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根据《带式输送机》GB/T 10595中“4.2 整机性能”4.2.3输送机额定带载运行时，带速不应小于名义带速的 95%。</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通过调研“叶威装备制造集团有限公司”“衡水伟业粮储机械设备制造有限公司”“中储润粮（北京）机械设备有限公司”等粮机生产厂家，当输送机作业能力不低于80 t/h时，输送带的宽度基本在600 mm至800 mm。因此规定“输送带宽度宜＞600 mm”。</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11.关于移动式扒谷机性能参数，根据《粮油机械 扒谷机》GB/T 45037“6.3 性能要求”中表1扒谷机性能要求中第2项“破碎率增值/百分点，小麦、稻谷≤0.35，其他粮食≤0.55”。根据调研结果和实践经验，要求旋转机构的旋转角度应≥180°。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12.关于移动式侧卸机的性能参数，通过调研叶威装备制造集团有限公司生产的移动式侧卸机，“升降范围1.2 m至1.6 m；配有行走底盘和方向盘转向控制系统，可以驱动和操作，并且易于移动和快速操作；配备伸缩驱动装置，可以延伸到滑架的底部，伸缩范围为1 m至4 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关于移动液压翻板散粮汽车卸车装置，根据调研“衡水伟业粮储机械设备制造有限公司”生产的移动液压翻板散粮汽车卸车装置具有“9.移动性能：液压自动转向、行走”功能，考虑作业便捷性要求，因此提出“应具备自驱移动和自转向功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根据调研粮库出入库车辆，有部分车辆毛重在80</w:t>
      </w:r>
      <w:r>
        <w:rPr>
          <w:rFonts w:hint="eastAsia" w:ascii="仿宋_GB2312" w:hAnsi="仿宋_GB2312" w:eastAsia="仿宋_GB2312" w:cs="仿宋_GB2312"/>
          <w:lang w:val="en-US" w:eastAsia="zh-CN"/>
        </w:rPr>
        <w:t xml:space="preserve"> t</w:t>
      </w:r>
      <w:r>
        <w:rPr>
          <w:rFonts w:hint="default" w:ascii="仿宋_GB2312" w:hAnsi="仿宋_GB2312" w:eastAsia="仿宋_GB2312" w:cs="仿宋_GB2312"/>
          <w:lang w:val="en-US" w:eastAsia="zh-CN"/>
        </w:rPr>
        <w:t>-90</w:t>
      </w:r>
      <w:r>
        <w:rPr>
          <w:rFonts w:hint="eastAsia" w:ascii="仿宋_GB2312" w:hAnsi="仿宋_GB2312" w:eastAsia="仿宋_GB2312" w:cs="仿宋_GB2312"/>
          <w:lang w:val="en-US" w:eastAsia="zh-CN"/>
        </w:rPr>
        <w:t xml:space="preserve"> t</w:t>
      </w:r>
      <w:r>
        <w:rPr>
          <w:rFonts w:hint="default" w:ascii="仿宋_GB2312" w:hAnsi="仿宋_GB2312" w:eastAsia="仿宋_GB2312" w:cs="仿宋_GB2312"/>
          <w:lang w:val="en-US" w:eastAsia="zh-CN"/>
        </w:rPr>
        <w:t>之间，按照《散粮汽车卸车装置》GB/T 21489“4.3 基本参数</w:t>
      </w:r>
      <w:r>
        <w:rPr>
          <w:rFonts w:hint="eastAsia" w:ascii="仿宋_GB2312" w:hAnsi="仿宋_GB2312" w:eastAsia="仿宋_GB2312" w:cs="仿宋_GB2312"/>
          <w:lang w:val="en-US" w:eastAsia="zh-CN"/>
        </w:rPr>
        <w:t xml:space="preserve"> </w:t>
      </w:r>
      <w:r>
        <w:rPr>
          <w:rFonts w:hint="default" w:ascii="仿宋_GB2312" w:hAnsi="仿宋_GB2312" w:eastAsia="仿宋_GB2312" w:cs="仿宋_GB2312"/>
          <w:lang w:val="en-US" w:eastAsia="zh-CN"/>
        </w:rPr>
        <w:t>最大承载量系列</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t</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30,50,60,80,100,120,150</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的规定要求，因此规定最</w:t>
      </w:r>
      <w:r>
        <w:rPr>
          <w:rFonts w:hint="eastAsia" w:ascii="仿宋_GB2312" w:hAnsi="仿宋_GB2312" w:eastAsia="仿宋_GB2312" w:cs="仿宋_GB2312"/>
          <w:lang w:val="en-US" w:eastAsia="zh-CN"/>
        </w:rPr>
        <w:t>小</w:t>
      </w:r>
      <w:r>
        <w:rPr>
          <w:rFonts w:hint="default" w:ascii="仿宋_GB2312" w:hAnsi="仿宋_GB2312" w:eastAsia="仿宋_GB2312" w:cs="仿宋_GB2312"/>
          <w:lang w:val="en-US" w:eastAsia="zh-CN"/>
        </w:rPr>
        <w:t>承载量100 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14.关于储粮仓房专用空调，经调研专用空调生产厂家，粮仓专用空调应符合GB/T 17758、GB 4706.1和节能环保的要求。根据工作经验，要求应采用空调机组全部置于仓外的安装形式。仓内出风口应采取有效的防尘、防结露和密封措施。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关于粮库信息系统：包括一般要求、粮情测控系统、智能出入库管理系统、库区网络配置、服务器、智能单仓控制柜、控制终端等方面。以确保粮库信息系统应符合《粮食购销领域监管信息化规范》和《地方粮库信息化建设技术指引（试行）》的基本要求，满足与各级平台的业务同步、同数同源、互通共享。考虑自主可控等发展趋势，提出了国产化相关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16.关于粮情测控系统，根据新发布实施的《粮油储藏 粮情测控系统》（所有部分）（GB/T 26882），明确温度、湿度及水分等关键粮情检测指标的误差范围及</w:t>
      </w:r>
      <w:r>
        <w:rPr>
          <w:rFonts w:hint="eastAsia" w:ascii="仿宋_GB2312" w:hAnsi="仿宋_GB2312" w:eastAsia="仿宋_GB2312" w:cs="仿宋_GB2312"/>
        </w:rPr>
        <w:t>工作环境</w:t>
      </w:r>
      <w:r>
        <w:rPr>
          <w:rFonts w:hint="eastAsia" w:ascii="仿宋_GB2312" w:hAnsi="仿宋_GB2312" w:eastAsia="仿宋_GB2312" w:cs="仿宋_GB2312"/>
          <w:lang w:val="en-US" w:eastAsia="zh-CN"/>
        </w:rPr>
        <w:t>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17.其他：包括配电箱（柜）、移动电闸箱、除锈涂装等方面。更加细致的提出了检化验设备的要求和其他容易忽略的配电方面、除锈的要求。</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ascii="黑体" w:hAnsi="黑体" w:eastAsia="黑体" w:cs="黑体"/>
          <w:sz w:val="32"/>
        </w:rPr>
      </w:pPr>
      <w:r>
        <w:rPr>
          <w:rFonts w:hint="eastAsia" w:ascii="黑体" w:hAnsi="黑体" w:eastAsia="黑体" w:cs="黑体"/>
          <w:sz w:val="32"/>
          <w:lang w:val="en-US" w:eastAsia="zh-CN"/>
        </w:rPr>
        <w:t>七</w:t>
      </w:r>
      <w:r>
        <w:rPr>
          <w:rFonts w:hint="eastAsia" w:ascii="黑体" w:hAnsi="黑体" w:eastAsia="黑体" w:cs="黑体"/>
          <w:sz w:val="32"/>
        </w:rPr>
        <w:t>、重大意见分歧的处理依据和结果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本标准在编制过程中，目前为止未出现重大意见分歧。</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ascii="黑体" w:hAnsi="黑体" w:eastAsia="黑体"/>
          <w:color w:val="000000"/>
          <w:sz w:val="32"/>
          <w:szCs w:val="32"/>
        </w:rPr>
      </w:pPr>
      <w:r>
        <w:rPr>
          <w:rFonts w:hint="eastAsia" w:ascii="黑体" w:hAnsi="黑体" w:eastAsia="黑体" w:cs="黑体"/>
          <w:sz w:val="32"/>
          <w:lang w:val="en-US" w:eastAsia="zh-CN"/>
        </w:rPr>
        <w:t>八</w:t>
      </w:r>
      <w:r>
        <w:rPr>
          <w:rFonts w:hint="eastAsia" w:ascii="黑体" w:hAnsi="黑体" w:eastAsia="黑体" w:cs="黑体"/>
          <w:sz w:val="32"/>
        </w:rPr>
        <w:t>、与国内外同类标准水平的对比情况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本标准未采用国际标准或国外先进标准。</w:t>
      </w:r>
    </w:p>
    <w:p>
      <w:pPr>
        <w:keepNext w:val="0"/>
        <w:keepLines w:val="0"/>
        <w:pageBreakBefore w:val="0"/>
        <w:widowControl w:val="0"/>
        <w:numPr>
          <w:ilvl w:val="255"/>
          <w:numId w:val="0"/>
        </w:numPr>
        <w:kinsoku/>
        <w:wordWrap/>
        <w:overflowPunct/>
        <w:topLinePunct w:val="0"/>
        <w:autoSpaceDE/>
        <w:autoSpaceDN/>
        <w:bidi w:val="0"/>
        <w:spacing w:line="560" w:lineRule="exact"/>
        <w:ind w:firstLine="640" w:firstLineChars="200"/>
        <w:textAlignment w:val="auto"/>
        <w:rPr>
          <w:rFonts w:ascii="黑体" w:hAnsi="黑体" w:eastAsia="黑体" w:cs="黑体"/>
          <w:sz w:val="32"/>
        </w:rPr>
      </w:pPr>
      <w:r>
        <w:rPr>
          <w:rFonts w:hint="eastAsia" w:ascii="黑体" w:hAnsi="黑体" w:eastAsia="黑体" w:cs="黑体"/>
          <w:sz w:val="32"/>
          <w:lang w:val="en-US" w:eastAsia="zh-CN"/>
        </w:rPr>
        <w:t>九</w:t>
      </w:r>
      <w:r>
        <w:rPr>
          <w:rFonts w:hint="eastAsia" w:ascii="黑体" w:hAnsi="黑体" w:eastAsia="黑体" w:cs="黑体"/>
          <w:sz w:val="32"/>
        </w:rPr>
        <w:t>、</w:t>
      </w:r>
      <w:r>
        <w:rPr>
          <w:rFonts w:hint="eastAsia" w:ascii="黑体" w:hAnsi="黑体" w:eastAsia="黑体"/>
          <w:color w:val="000000"/>
          <w:sz w:val="32"/>
          <w:szCs w:val="32"/>
        </w:rPr>
        <w:t>作为推荐性标准或者强制性标准的建议及其理由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仿宋_GB2312" w:eastAsia="仿宋_GB2312"/>
          <w:color w:val="000000"/>
          <w:sz w:val="32"/>
          <w:szCs w:val="22"/>
        </w:rPr>
        <w:t>本标准属于技术标准，</w:t>
      </w:r>
      <w:r>
        <w:rPr>
          <w:rFonts w:hint="eastAsia" w:ascii="仿宋_GB2312" w:hAnsi="仿宋_GB2312" w:eastAsia="仿宋_GB2312" w:cs="仿宋_GB2312"/>
        </w:rPr>
        <w:t>北京市尚未制定粮食仓储设施升级改造的技术规程和地方标准，结合北京实际，</w:t>
      </w:r>
      <w:r>
        <w:rPr>
          <w:rFonts w:hint="eastAsia" w:ascii="仿宋_GB2312" w:hAnsi="仿宋_GB2312" w:eastAsia="仿宋_GB2312" w:cs="仿宋_GB2312"/>
          <w:lang w:val="en-US" w:eastAsia="zh-CN"/>
        </w:rPr>
        <w:t>需要制定一份适合北京仓储企业的</w:t>
      </w:r>
      <w:r>
        <w:rPr>
          <w:rFonts w:hint="eastAsia" w:ascii="仿宋_GB2312" w:hAnsi="仿宋_GB2312" w:eastAsia="仿宋_GB2312" w:cs="仿宋_GB2312"/>
        </w:rPr>
        <w:t>“粮食仓储设施设备升级改造规范”，是规范本市粮食仓储设施设备升级改造项目的建设和验收的要求。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lang w:val="en-US" w:eastAsia="zh-CN"/>
        </w:rPr>
        <w:t>十</w:t>
      </w:r>
      <w:r>
        <w:rPr>
          <w:rFonts w:hint="eastAsia" w:ascii="黑体" w:hAnsi="黑体" w:eastAsia="黑体"/>
          <w:color w:val="000000"/>
          <w:sz w:val="32"/>
          <w:szCs w:val="32"/>
        </w:rPr>
        <w:t>、实施标准的措施建议</w:t>
      </w:r>
      <w:r>
        <w:rPr>
          <w:rFonts w:hint="eastAsia" w:ascii="黑体" w:hAnsi="黑体" w:eastAsia="黑体"/>
          <w:color w:val="000000"/>
          <w:sz w:val="32"/>
          <w:szCs w:val="32"/>
          <w:lang w:eastAsia="zh-CN"/>
        </w:rPr>
        <w:t>（</w:t>
      </w:r>
      <w:r>
        <w:rPr>
          <w:rFonts w:hint="eastAsia" w:ascii="黑体" w:hAnsi="黑体" w:eastAsia="黑体"/>
          <w:color w:val="000000"/>
          <w:sz w:val="32"/>
          <w:szCs w:val="32"/>
        </w:rPr>
        <w:t>政策措施/宣贯培训/试点示范/配套资金等</w:t>
      </w:r>
      <w:r>
        <w:rPr>
          <w:rFonts w:hint="eastAsia" w:ascii="黑体" w:hAnsi="黑体" w:eastAsia="黑体"/>
          <w:color w:val="000000"/>
          <w:sz w:val="32"/>
          <w:szCs w:val="32"/>
          <w:lang w:eastAsia="zh-CN"/>
        </w:rPr>
        <w:t>）</w:t>
      </w:r>
      <w:r>
        <w:rPr>
          <w:rFonts w:hint="eastAsia" w:ascii="黑体" w:hAnsi="黑体" w:eastAsia="黑体"/>
          <w:color w:val="000000"/>
          <w:sz w:val="32"/>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eastAsia="仿宋_GB2312" w:hAnsiTheme="minorHAnsi" w:cstheme="minorBidi"/>
          <w:color w:val="000000"/>
          <w:kern w:val="2"/>
          <w:sz w:val="32"/>
          <w:szCs w:val="22"/>
          <w:lang w:val="en-US" w:eastAsia="zh-CN" w:bidi="ar-SA"/>
        </w:rPr>
      </w:pPr>
      <w:r>
        <w:rPr>
          <w:rFonts w:hint="eastAsia" w:ascii="仿宋_GB2312" w:eastAsia="仿宋_GB2312" w:hAnsiTheme="minorHAnsi" w:cstheme="minorBidi"/>
          <w:color w:val="000000"/>
          <w:kern w:val="2"/>
          <w:sz w:val="32"/>
          <w:szCs w:val="22"/>
          <w:lang w:val="en-US" w:eastAsia="zh-CN" w:bidi="ar-SA"/>
        </w:rPr>
        <w:t>为顺利推进标准的贯彻实施，建议：</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eastAsia="仿宋_GB2312" w:hAnsiTheme="minorHAnsi" w:cstheme="minorBidi"/>
          <w:color w:val="000000"/>
          <w:kern w:val="2"/>
          <w:sz w:val="32"/>
          <w:szCs w:val="22"/>
          <w:lang w:val="en-US" w:eastAsia="zh-CN" w:bidi="ar-SA"/>
        </w:rPr>
      </w:pPr>
      <w:r>
        <w:rPr>
          <w:rFonts w:hint="eastAsia" w:ascii="仿宋_GB2312" w:eastAsia="仿宋_GB2312" w:hAnsiTheme="minorHAnsi" w:cstheme="minorBidi"/>
          <w:color w:val="000000"/>
          <w:kern w:val="2"/>
          <w:sz w:val="32"/>
          <w:szCs w:val="22"/>
          <w:lang w:val="en-US" w:eastAsia="zh-CN" w:bidi="ar-SA"/>
        </w:rPr>
        <w:t>（一）加强政策宣传和引领，由标准的归口单位北京市粮食和物资储备局在其官网进行发布和宣传，并作为北京地区粮食仓储管理的政策依据和标准依据之一。</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eastAsia="仿宋_GB2312" w:hAnsiTheme="minorHAnsi" w:cstheme="minorBidi"/>
          <w:color w:val="000000"/>
          <w:kern w:val="2"/>
          <w:sz w:val="32"/>
          <w:szCs w:val="22"/>
          <w:lang w:val="en-US" w:eastAsia="zh-CN" w:bidi="ar-SA"/>
        </w:rPr>
      </w:pPr>
      <w:r>
        <w:rPr>
          <w:rFonts w:hint="eastAsia" w:ascii="仿宋_GB2312" w:eastAsia="仿宋_GB2312" w:hAnsiTheme="minorHAnsi" w:cstheme="minorBidi"/>
          <w:color w:val="000000"/>
          <w:kern w:val="2"/>
          <w:sz w:val="32"/>
          <w:szCs w:val="22"/>
          <w:lang w:val="en-US" w:eastAsia="zh-CN" w:bidi="ar-SA"/>
        </w:rPr>
        <w:t>（二）由北京市粮食和物资储备局组织全市粮食储存企业进行标准宣贯，成立标准宣贯实施小组，具体负责对标准进行宣讲。</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eastAsia="仿宋_GB2312" w:hAnsiTheme="minorHAnsi" w:cstheme="minorBidi"/>
          <w:color w:val="000000"/>
          <w:kern w:val="2"/>
          <w:sz w:val="32"/>
          <w:szCs w:val="2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eastAsia="仿宋_GB2312" w:hAnsiTheme="minorHAnsi" w:cstheme="minorBidi"/>
          <w:color w:val="000000"/>
          <w:kern w:val="2"/>
          <w:sz w:val="32"/>
          <w:szCs w:val="22"/>
          <w:lang w:val="en-US" w:eastAsia="zh-CN" w:bidi="ar-SA"/>
        </w:rPr>
      </w:pPr>
    </w:p>
    <w:p>
      <w:pPr>
        <w:pStyle w:val="9"/>
        <w:keepNext w:val="0"/>
        <w:keepLines w:val="0"/>
        <w:pageBreakBefore w:val="0"/>
        <w:widowControl w:val="0"/>
        <w:suppressAutoHyphens/>
        <w:kinsoku/>
        <w:wordWrap/>
        <w:overflowPunct/>
        <w:topLinePunct w:val="0"/>
        <w:autoSpaceDE/>
        <w:autoSpaceDN/>
        <w:bidi w:val="0"/>
        <w:spacing w:line="560" w:lineRule="exact"/>
        <w:ind w:firstLine="640"/>
        <w:contextualSpacing/>
        <w:textAlignment w:val="auto"/>
        <w:rPr>
          <w:rFonts w:hint="eastAsia" w:ascii="宋体" w:hAnsi="宋体" w:eastAsia="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NjVkZTU1NzkzZDI5ZDVkNDRmYTdhZTkwNzQ0MmYifQ=="/>
  </w:docVars>
  <w:rsids>
    <w:rsidRoot w:val="127E54FF"/>
    <w:rsid w:val="00643D7F"/>
    <w:rsid w:val="006F42C7"/>
    <w:rsid w:val="00710B1F"/>
    <w:rsid w:val="00814619"/>
    <w:rsid w:val="0089578B"/>
    <w:rsid w:val="009019A6"/>
    <w:rsid w:val="00B31F74"/>
    <w:rsid w:val="00BF2724"/>
    <w:rsid w:val="00C02B87"/>
    <w:rsid w:val="00E11232"/>
    <w:rsid w:val="00EB7CF3"/>
    <w:rsid w:val="01AC75F0"/>
    <w:rsid w:val="01DC5A41"/>
    <w:rsid w:val="027F6AB2"/>
    <w:rsid w:val="03CA29C4"/>
    <w:rsid w:val="04B63F7F"/>
    <w:rsid w:val="04CD7B1D"/>
    <w:rsid w:val="05654FE2"/>
    <w:rsid w:val="0599128B"/>
    <w:rsid w:val="06124D75"/>
    <w:rsid w:val="06E01667"/>
    <w:rsid w:val="06FE2359"/>
    <w:rsid w:val="07096718"/>
    <w:rsid w:val="095D5337"/>
    <w:rsid w:val="0A305CC9"/>
    <w:rsid w:val="0C116353"/>
    <w:rsid w:val="0C3C5A51"/>
    <w:rsid w:val="0C630C10"/>
    <w:rsid w:val="0D8B23C4"/>
    <w:rsid w:val="0F8337EC"/>
    <w:rsid w:val="11A94F4B"/>
    <w:rsid w:val="127E54FF"/>
    <w:rsid w:val="134B2CD4"/>
    <w:rsid w:val="16130AB5"/>
    <w:rsid w:val="17F71E94"/>
    <w:rsid w:val="184B0A23"/>
    <w:rsid w:val="18627816"/>
    <w:rsid w:val="1A051C2C"/>
    <w:rsid w:val="1AF37BE5"/>
    <w:rsid w:val="1CC25AC1"/>
    <w:rsid w:val="1D19454F"/>
    <w:rsid w:val="1DB36341"/>
    <w:rsid w:val="1E1C4888"/>
    <w:rsid w:val="1E76502F"/>
    <w:rsid w:val="1ED208AF"/>
    <w:rsid w:val="206B1DF9"/>
    <w:rsid w:val="209541BF"/>
    <w:rsid w:val="20A05C68"/>
    <w:rsid w:val="20C5188A"/>
    <w:rsid w:val="211E2295"/>
    <w:rsid w:val="229D10A0"/>
    <w:rsid w:val="22AF0C02"/>
    <w:rsid w:val="2367514B"/>
    <w:rsid w:val="23A61389"/>
    <w:rsid w:val="23C855CE"/>
    <w:rsid w:val="24076190"/>
    <w:rsid w:val="251442AD"/>
    <w:rsid w:val="272D3417"/>
    <w:rsid w:val="274F236C"/>
    <w:rsid w:val="288B484A"/>
    <w:rsid w:val="28F6721F"/>
    <w:rsid w:val="28FE79A5"/>
    <w:rsid w:val="2A32395E"/>
    <w:rsid w:val="2A7C3F20"/>
    <w:rsid w:val="2C6721E1"/>
    <w:rsid w:val="2E0462DA"/>
    <w:rsid w:val="2E4B0688"/>
    <w:rsid w:val="2E503823"/>
    <w:rsid w:val="2EA21DAA"/>
    <w:rsid w:val="2F5B1792"/>
    <w:rsid w:val="306453B6"/>
    <w:rsid w:val="32FE1E68"/>
    <w:rsid w:val="35AF7FCE"/>
    <w:rsid w:val="36BA4F86"/>
    <w:rsid w:val="38CE3E49"/>
    <w:rsid w:val="3B18110C"/>
    <w:rsid w:val="3B23095B"/>
    <w:rsid w:val="3BAF757C"/>
    <w:rsid w:val="3C836BC3"/>
    <w:rsid w:val="3CB91CDB"/>
    <w:rsid w:val="3CC50F8A"/>
    <w:rsid w:val="3D6C3F6B"/>
    <w:rsid w:val="3D9863AF"/>
    <w:rsid w:val="3DBE0BE0"/>
    <w:rsid w:val="3E796AC4"/>
    <w:rsid w:val="3EA632A3"/>
    <w:rsid w:val="3F0320D1"/>
    <w:rsid w:val="3F706B1B"/>
    <w:rsid w:val="42CE2912"/>
    <w:rsid w:val="43E25DD6"/>
    <w:rsid w:val="440828E2"/>
    <w:rsid w:val="45555AF7"/>
    <w:rsid w:val="46E5579D"/>
    <w:rsid w:val="47373D57"/>
    <w:rsid w:val="48A814E1"/>
    <w:rsid w:val="49CA5692"/>
    <w:rsid w:val="4A0E24A9"/>
    <w:rsid w:val="4A521573"/>
    <w:rsid w:val="4B0D05DC"/>
    <w:rsid w:val="4BE66D08"/>
    <w:rsid w:val="4D2F2C8E"/>
    <w:rsid w:val="4D610357"/>
    <w:rsid w:val="4DEFA18A"/>
    <w:rsid w:val="4E92247F"/>
    <w:rsid w:val="4EAF2ACC"/>
    <w:rsid w:val="4ED908C5"/>
    <w:rsid w:val="4EF1306F"/>
    <w:rsid w:val="4FA35E20"/>
    <w:rsid w:val="507E79D7"/>
    <w:rsid w:val="50EA483E"/>
    <w:rsid w:val="512F71B4"/>
    <w:rsid w:val="52F552CD"/>
    <w:rsid w:val="534E18C5"/>
    <w:rsid w:val="54EB4EAE"/>
    <w:rsid w:val="55D0430D"/>
    <w:rsid w:val="56076E1F"/>
    <w:rsid w:val="573179F7"/>
    <w:rsid w:val="573C41B5"/>
    <w:rsid w:val="577C7935"/>
    <w:rsid w:val="588D1703"/>
    <w:rsid w:val="58A17128"/>
    <w:rsid w:val="59521C54"/>
    <w:rsid w:val="598102D6"/>
    <w:rsid w:val="59AF0BA0"/>
    <w:rsid w:val="5AB5667A"/>
    <w:rsid w:val="5DC05228"/>
    <w:rsid w:val="5DEE3610"/>
    <w:rsid w:val="5F71176F"/>
    <w:rsid w:val="6058478A"/>
    <w:rsid w:val="62092E18"/>
    <w:rsid w:val="628A6559"/>
    <w:rsid w:val="64501548"/>
    <w:rsid w:val="64553543"/>
    <w:rsid w:val="64D26E2D"/>
    <w:rsid w:val="64EE5F34"/>
    <w:rsid w:val="65092A6B"/>
    <w:rsid w:val="65C3090D"/>
    <w:rsid w:val="65D87895"/>
    <w:rsid w:val="6768790F"/>
    <w:rsid w:val="68110A63"/>
    <w:rsid w:val="68997F4C"/>
    <w:rsid w:val="68D5138A"/>
    <w:rsid w:val="68E11347"/>
    <w:rsid w:val="69327604"/>
    <w:rsid w:val="6A3F4940"/>
    <w:rsid w:val="6B330C09"/>
    <w:rsid w:val="6C4339CA"/>
    <w:rsid w:val="6CBA20B0"/>
    <w:rsid w:val="6DC11753"/>
    <w:rsid w:val="6E280668"/>
    <w:rsid w:val="707E7F1A"/>
    <w:rsid w:val="70E84C6C"/>
    <w:rsid w:val="71C5243D"/>
    <w:rsid w:val="72563E57"/>
    <w:rsid w:val="72A04D00"/>
    <w:rsid w:val="72A76461"/>
    <w:rsid w:val="746863D0"/>
    <w:rsid w:val="75BE504A"/>
    <w:rsid w:val="760C31AA"/>
    <w:rsid w:val="77D84071"/>
    <w:rsid w:val="77F7C06F"/>
    <w:rsid w:val="77FFE033"/>
    <w:rsid w:val="79A11E46"/>
    <w:rsid w:val="7A1259BC"/>
    <w:rsid w:val="7A3251AA"/>
    <w:rsid w:val="7A5A31C4"/>
    <w:rsid w:val="7B687191"/>
    <w:rsid w:val="7C7B4216"/>
    <w:rsid w:val="7C86517F"/>
    <w:rsid w:val="7D8731B3"/>
    <w:rsid w:val="7DE23E32"/>
    <w:rsid w:val="7FFDF179"/>
    <w:rsid w:val="CDD8FD82"/>
    <w:rsid w:val="DC1EDE00"/>
    <w:rsid w:val="DEE970C4"/>
    <w:rsid w:val="EF7F5CD8"/>
    <w:rsid w:val="EF971F7E"/>
    <w:rsid w:val="FBDF107B"/>
    <w:rsid w:val="FDCD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Body Text Indent"/>
    <w:basedOn w:val="1"/>
    <w:qFormat/>
    <w:uiPriority w:val="0"/>
    <w:pPr>
      <w:widowControl w:val="0"/>
      <w:spacing w:after="120"/>
      <w:ind w:left="200" w:leftChars="200"/>
      <w:jc w:val="both"/>
    </w:pPr>
    <w:rPr>
      <w:rFonts w:ascii="Times New Roman" w:hAnsi="Times New Roman" w:eastAsia="仿宋_GB2312" w:cs="Times New Roman"/>
      <w:kern w:val="2"/>
      <w:sz w:val="32"/>
      <w:szCs w:val="24"/>
      <w:lang w:val="en-US" w:eastAsia="zh-CN" w:bidi="ar-SA"/>
    </w:rPr>
  </w:style>
  <w:style w:type="paragraph" w:styleId="4">
    <w:name w:val="Plain Text"/>
    <w:basedOn w:val="1"/>
    <w:qFormat/>
    <w:uiPriority w:val="0"/>
    <w:rPr>
      <w:rFonts w:ascii="宋体" w:hAnsi="Courier New" w:cs="Courier New"/>
      <w:szCs w:val="21"/>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8"/>
    <w:link w:val="6"/>
    <w:qFormat/>
    <w:uiPriority w:val="0"/>
    <w:rPr>
      <w:rFonts w:cs="宋体"/>
      <w:kern w:val="2"/>
      <w:sz w:val="18"/>
      <w:szCs w:val="18"/>
    </w:rPr>
  </w:style>
  <w:style w:type="character" w:customStyle="1" w:styleId="11">
    <w:name w:val="页脚 字符"/>
    <w:basedOn w:val="8"/>
    <w:link w:val="5"/>
    <w:qFormat/>
    <w:uiPriority w:val="0"/>
    <w:rPr>
      <w:rFonts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7404</Words>
  <Characters>8089</Characters>
  <Lines>10</Lines>
  <Paragraphs>3</Paragraphs>
  <TotalTime>7</TotalTime>
  <ScaleCrop>false</ScaleCrop>
  <LinksUpToDate>false</LinksUpToDate>
  <CharactersWithSpaces>8229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2024-07-27T23:23:00Z</dcterms:created>
  <dc:creator>高宇航</dc:creator>
  <cp:lastModifiedBy> </cp:lastModifiedBy>
  <dcterms:modified xsi:type="dcterms:W3CDTF">2025-10-23T09:49:44Z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E239BCC2627B4A96905A2754772EE0C6_13</vt:lpwstr>
  </property>
  <property fmtid="{D5CDD505-2E9C-101B-9397-08002B2CF9AE}" pid="4" name="KSOTemplateDocerSaveRecord">
    <vt:lpwstr>eyJoZGlkIjoiNjdjNjVkZTU1NzkzZDI5ZDVkNDRmYTdhZTkwNzQ0MmYiLCJ1c2VySWQiOiIxMDE1MzA5OTE1In0=</vt:lpwstr>
  </property>
</Properties>
</file>