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603BB">
      <w:pPr>
        <w:framePr w:w="2134" w:hSpace="180" w:vSpace="180" w:wrap="around" w:vAnchor="page" w:hAnchor="margin" w:y="531" w:anchorLock="1"/>
        <w:widowControl/>
        <w:jc w:val="left"/>
        <w:rPr>
          <w:rFonts w:hint="eastAsia" w:ascii="宋体" w:hAnsi="宋体" w:eastAsia="宋体" w:cs="宋体"/>
          <w:kern w:val="0"/>
          <w:szCs w:val="21"/>
        </w:rPr>
      </w:pPr>
      <w:bookmarkStart w:id="0" w:name="_Toc942016"/>
      <w:bookmarkStart w:id="1" w:name="_Toc15743"/>
      <w:bookmarkStart w:id="2" w:name="_Toc31202"/>
      <w:bookmarkStart w:id="3" w:name="_Toc24964"/>
      <w:bookmarkStart w:id="4" w:name="_Toc14794"/>
      <w:bookmarkStart w:id="5" w:name="_Toc1651879"/>
      <w:bookmarkStart w:id="6" w:name="_Toc942345"/>
      <w:r>
        <w:rPr>
          <w:rFonts w:hint="eastAsia" w:ascii="宋体" w:hAnsi="宋体" w:eastAsia="宋体" w:cs="宋体"/>
          <w:b/>
          <w:kern w:val="0"/>
          <w:szCs w:val="21"/>
        </w:rPr>
        <w:t>ICS</w:t>
      </w:r>
      <w:r>
        <w:rPr>
          <w:rFonts w:hint="eastAsia" w:ascii="宋体" w:hAnsi="宋体" w:eastAsia="宋体" w:cs="宋体"/>
          <w:kern w:val="0"/>
          <w:szCs w:val="21"/>
        </w:rPr>
        <w:t> </w:t>
      </w:r>
      <w:r>
        <w:rPr>
          <w:rFonts w:hint="eastAsia" w:ascii="宋体" w:hAnsi="宋体" w:eastAsia="宋体" w:cs="宋体"/>
          <w:color w:val="000000"/>
          <w:kern w:val="0"/>
          <w:szCs w:val="21"/>
          <w:lang w:bidi="ar"/>
        </w:rPr>
        <w:t>65.020.20</w:t>
      </w:r>
    </w:p>
    <w:p w14:paraId="66EA1AA9">
      <w:pPr>
        <w:framePr w:w="2134" w:hSpace="180" w:vSpace="180" w:wrap="around" w:vAnchor="page" w:hAnchor="margin" w:y="531" w:anchorLock="1"/>
        <w:widowControl/>
        <w:jc w:val="left"/>
        <w:rPr>
          <w:rFonts w:hint="eastAsia" w:ascii="宋体" w:hAnsi="宋体" w:eastAsia="宋体" w:cs="宋体"/>
          <w:kern w:val="0"/>
          <w:szCs w:val="21"/>
        </w:rPr>
      </w:pPr>
      <w:r>
        <w:rPr>
          <w:rFonts w:hint="eastAsia" w:ascii="宋体" w:hAnsi="宋体" w:eastAsia="宋体" w:cs="宋体"/>
          <w:b/>
          <w:kern w:val="0"/>
          <w:szCs w:val="21"/>
        </w:rPr>
        <w:t>CCS</w:t>
      </w:r>
      <w:r>
        <w:rPr>
          <w:rFonts w:hint="eastAsia" w:ascii="宋体" w:hAnsi="宋体" w:eastAsia="宋体" w:cs="宋体"/>
          <w:kern w:val="0"/>
          <w:szCs w:val="21"/>
        </w:rPr>
        <w:t xml:space="preserve"> </w:t>
      </w:r>
      <w:r>
        <w:rPr>
          <w:rFonts w:hint="eastAsia" w:ascii="宋体" w:hAnsi="宋体" w:eastAsia="宋体" w:cs="宋体"/>
          <w:color w:val="000000"/>
          <w:kern w:val="0"/>
          <w:szCs w:val="21"/>
          <w:lang w:bidi="ar"/>
        </w:rPr>
        <w:t xml:space="preserve">B 38 </w:t>
      </w:r>
    </w:p>
    <w:p w14:paraId="3E0DBDA8">
      <w:pPr>
        <w:framePr w:w="2546" w:h="1389" w:hRule="exact" w:hSpace="181" w:vSpace="181" w:wrap="around" w:vAnchor="margin" w:hAnchor="margin" w:x="6522" w:y="398" w:anchorLock="1"/>
        <w:widowControl/>
        <w:shd w:val="solid" w:color="FFFFFF" w:fill="FFFFFF"/>
        <w:spacing w:line="0" w:lineRule="atLeast"/>
        <w:jc w:val="right"/>
        <w:rPr>
          <w:rFonts w:hint="eastAsia" w:ascii="宋体" w:hAnsi="宋体" w:eastAsia="宋体" w:cs="宋体"/>
          <w:b/>
          <w:w w:val="170"/>
          <w:kern w:val="0"/>
          <w:sz w:val="96"/>
          <w:szCs w:val="96"/>
        </w:rPr>
      </w:pPr>
    </w:p>
    <w:p w14:paraId="30319DF7">
      <w:pPr>
        <w:framePr w:w="9639" w:h="1363" w:hRule="exact" w:hSpace="181" w:vSpace="181" w:wrap="around" w:vAnchor="page" w:hAnchor="page" w:x="1493" w:y="1718" w:anchorLock="1"/>
        <w:kinsoku w:val="0"/>
        <w:overflowPunct w:val="0"/>
        <w:autoSpaceDE w:val="0"/>
        <w:autoSpaceDN w:val="0"/>
        <w:spacing w:line="0" w:lineRule="atLeast"/>
        <w:jc w:val="distribute"/>
        <w:rPr>
          <w:rFonts w:hint="eastAsia" w:ascii="宋体" w:hAnsi="宋体" w:eastAsia="宋体" w:cs="宋体"/>
          <w:b/>
          <w:bCs/>
          <w:spacing w:val="20"/>
          <w:w w:val="148"/>
          <w:kern w:val="0"/>
          <w:sz w:val="48"/>
          <w:szCs w:val="20"/>
        </w:rPr>
      </w:pPr>
      <w:r>
        <w:rPr>
          <w:rFonts w:hint="eastAsia" w:ascii="宋体" w:hAnsi="宋体" w:eastAsia="宋体" w:cs="宋体"/>
          <w:b/>
          <w:bCs/>
          <w:spacing w:val="20"/>
          <w:w w:val="148"/>
          <w:kern w:val="0"/>
          <w:sz w:val="48"/>
          <w:szCs w:val="20"/>
        </w:rPr>
        <w:t>中国食品药品企业质量</w:t>
      </w:r>
    </w:p>
    <w:p w14:paraId="7A85CE97">
      <w:pPr>
        <w:framePr w:w="9639" w:h="1363" w:hRule="exact" w:hSpace="181" w:vSpace="181" w:wrap="around" w:vAnchor="page" w:hAnchor="page" w:x="1493" w:y="1718" w:anchorLock="1"/>
        <w:kinsoku w:val="0"/>
        <w:overflowPunct w:val="0"/>
        <w:autoSpaceDE w:val="0"/>
        <w:autoSpaceDN w:val="0"/>
        <w:spacing w:line="0" w:lineRule="atLeast"/>
        <w:jc w:val="distribute"/>
        <w:rPr>
          <w:rFonts w:hint="eastAsia" w:ascii="宋体" w:hAnsi="宋体" w:eastAsia="宋体" w:cs="宋体"/>
          <w:b/>
          <w:bCs/>
          <w:spacing w:val="20"/>
          <w:w w:val="148"/>
          <w:kern w:val="0"/>
          <w:sz w:val="48"/>
          <w:szCs w:val="20"/>
        </w:rPr>
      </w:pPr>
      <w:r>
        <w:rPr>
          <w:rFonts w:hint="eastAsia" w:ascii="宋体" w:hAnsi="宋体" w:eastAsia="宋体" w:cs="宋体"/>
          <w:b/>
          <w:bCs/>
          <w:spacing w:val="20"/>
          <w:w w:val="148"/>
          <w:kern w:val="0"/>
          <w:sz w:val="48"/>
          <w:szCs w:val="20"/>
        </w:rPr>
        <w:t>安全促进会团体标准</w:t>
      </w:r>
    </w:p>
    <w:p w14:paraId="7A536A18">
      <w:pPr>
        <w:framePr w:w="9140" w:h="1242" w:hRule="exact" w:hSpace="284" w:wrap="around" w:vAnchor="page" w:hAnchor="page" w:x="1645" w:y="2910" w:anchorLock="1"/>
        <w:widowControl/>
        <w:spacing w:before="357" w:line="280" w:lineRule="exact"/>
        <w:jc w:val="right"/>
        <w:rPr>
          <w:rFonts w:hint="eastAsia" w:ascii="宋体" w:hAnsi="宋体" w:eastAsia="宋体" w:cs="宋体"/>
          <w:kern w:val="0"/>
          <w:sz w:val="28"/>
          <w:szCs w:val="28"/>
        </w:rPr>
      </w:pPr>
      <w:r>
        <w:rPr>
          <w:rFonts w:hint="eastAsia" w:ascii="宋体" w:hAnsi="宋体" w:eastAsia="宋体" w:cs="宋体"/>
          <w:kern w:val="0"/>
          <w:sz w:val="28"/>
          <w:szCs w:val="28"/>
        </w:rPr>
        <w:t xml:space="preserve">T/FDSA  </w:t>
      </w:r>
      <w:bookmarkStart w:id="7" w:name="StdNo1"/>
      <w:r>
        <w:rPr>
          <w:rFonts w:hint="eastAsia" w:ascii="宋体" w:hAnsi="宋体" w:eastAsia="宋体" w:cs="宋体"/>
          <w:kern w:val="0"/>
          <w:sz w:val="28"/>
          <w:szCs w:val="28"/>
        </w:rPr>
        <w:fldChar w:fldCharType="begin">
          <w:ffData>
            <w:name w:val="StdNo1"/>
            <w:enabled/>
            <w:calcOnExit w:val="0"/>
            <w:textInput>
              <w:default w:val="XXXXX"/>
            </w:textInput>
          </w:ffData>
        </w:fldChar>
      </w:r>
      <w:r>
        <w:rPr>
          <w:rFonts w:hint="eastAsia" w:ascii="宋体" w:hAnsi="宋体" w:eastAsia="宋体" w:cs="宋体"/>
          <w:kern w:val="0"/>
          <w:sz w:val="28"/>
          <w:szCs w:val="28"/>
        </w:rPr>
        <w:instrText xml:space="preserve"> FORMTEXT </w:instrText>
      </w:r>
      <w:r>
        <w:rPr>
          <w:rFonts w:hint="eastAsia" w:ascii="宋体" w:hAnsi="宋体" w:eastAsia="宋体" w:cs="宋体"/>
          <w:kern w:val="0"/>
          <w:sz w:val="28"/>
          <w:szCs w:val="28"/>
        </w:rPr>
        <w:fldChar w:fldCharType="separate"/>
      </w:r>
      <w:r>
        <w:rPr>
          <w:rFonts w:hint="eastAsia" w:ascii="宋体" w:hAnsi="宋体" w:eastAsia="宋体" w:cs="宋体"/>
          <w:kern w:val="0"/>
          <w:sz w:val="28"/>
          <w:szCs w:val="28"/>
        </w:rPr>
        <w:t>XXXXX</w:t>
      </w:r>
      <w:r>
        <w:rPr>
          <w:rFonts w:hint="eastAsia" w:ascii="宋体" w:hAnsi="宋体" w:eastAsia="宋体" w:cs="宋体"/>
          <w:kern w:val="0"/>
          <w:sz w:val="28"/>
          <w:szCs w:val="28"/>
        </w:rPr>
        <w:fldChar w:fldCharType="end"/>
      </w:r>
      <w:bookmarkEnd w:id="7"/>
      <w:r>
        <w:rPr>
          <w:rFonts w:hint="eastAsia" w:ascii="宋体" w:hAnsi="宋体" w:eastAsia="宋体" w:cs="宋体"/>
          <w:kern w:val="0"/>
          <w:sz w:val="28"/>
          <w:szCs w:val="28"/>
        </w:rPr>
        <w:t>—</w:t>
      </w:r>
      <w:bookmarkStart w:id="8" w:name="StdNo2"/>
      <w:r>
        <w:rPr>
          <w:rFonts w:hint="eastAsia" w:ascii="宋体" w:hAnsi="宋体" w:eastAsia="宋体" w:cs="宋体"/>
          <w:kern w:val="0"/>
          <w:sz w:val="28"/>
          <w:szCs w:val="28"/>
        </w:rPr>
        <w:fldChar w:fldCharType="begin">
          <w:ffData>
            <w:name w:val="StdNo2"/>
            <w:enabled/>
            <w:calcOnExit w:val="0"/>
            <w:textInput>
              <w:default w:val="XXXX"/>
              <w:maxLength w:val="4"/>
            </w:textInput>
          </w:ffData>
        </w:fldChar>
      </w:r>
      <w:r>
        <w:rPr>
          <w:rFonts w:hint="eastAsia" w:ascii="宋体" w:hAnsi="宋体" w:eastAsia="宋体" w:cs="宋体"/>
          <w:kern w:val="0"/>
          <w:sz w:val="28"/>
          <w:szCs w:val="28"/>
        </w:rPr>
        <w:instrText xml:space="preserve"> FORMTEXT </w:instrText>
      </w:r>
      <w:r>
        <w:rPr>
          <w:rFonts w:hint="eastAsia" w:ascii="宋体" w:hAnsi="宋体" w:eastAsia="宋体" w:cs="宋体"/>
          <w:kern w:val="0"/>
          <w:sz w:val="28"/>
          <w:szCs w:val="28"/>
        </w:rPr>
        <w:fldChar w:fldCharType="separate"/>
      </w:r>
      <w:r>
        <w:rPr>
          <w:rFonts w:hint="eastAsia" w:ascii="宋体" w:hAnsi="宋体" w:eastAsia="宋体" w:cs="宋体"/>
          <w:kern w:val="0"/>
          <w:sz w:val="28"/>
          <w:szCs w:val="28"/>
        </w:rPr>
        <w:t>XXXX</w:t>
      </w:r>
      <w:r>
        <w:rPr>
          <w:rFonts w:hint="eastAsia" w:ascii="宋体" w:hAnsi="宋体" w:eastAsia="宋体" w:cs="宋体"/>
          <w:kern w:val="0"/>
          <w:sz w:val="28"/>
          <w:szCs w:val="28"/>
        </w:rPr>
        <w:fldChar w:fldCharType="end"/>
      </w:r>
      <w:bookmarkEnd w:id="8"/>
    </w:p>
    <w:tbl>
      <w:tblPr>
        <w:tblStyle w:val="24"/>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19E44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D1A02A4">
            <w:pPr>
              <w:framePr w:w="9140" w:h="1242" w:hRule="exact" w:hSpace="284" w:wrap="around" w:vAnchor="page" w:hAnchor="page" w:x="1645" w:y="2910" w:anchorLock="1"/>
              <w:widowControl/>
              <w:spacing w:before="57" w:line="280" w:lineRule="exact"/>
              <w:jc w:val="right"/>
              <w:rPr>
                <w:rFonts w:hint="eastAsia" w:ascii="宋体" w:hAnsi="宋体" w:eastAsia="宋体" w:cs="宋体"/>
                <w:kern w:val="0"/>
                <w:szCs w:val="21"/>
              </w:rPr>
            </w:pPr>
            <w:bookmarkStart w:id="9" w:name="DT"/>
            <w:r>
              <w:rPr>
                <w:rFonts w:hint="eastAsia" w:ascii="宋体" w:hAnsi="宋体" w:eastAsia="宋体" w:cs="宋体"/>
                <w:kern w:val="0"/>
                <w:szCs w:val="20"/>
              </w:rPr>
              <mc:AlternateContent>
                <mc:Choice Requires="wps">
                  <w:drawing>
                    <wp:anchor distT="0" distB="0" distL="114300" distR="114300" simplePos="0" relativeHeight="251665408" behindDoc="0" locked="0" layoutInCell="1" allowOverlap="1">
                      <wp:simplePos x="0" y="0"/>
                      <wp:positionH relativeFrom="column">
                        <wp:posOffset>-179705</wp:posOffset>
                      </wp:positionH>
                      <wp:positionV relativeFrom="paragraph">
                        <wp:posOffset>114935</wp:posOffset>
                      </wp:positionV>
                      <wp:extent cx="6120130" cy="0"/>
                      <wp:effectExtent l="9525" t="5715" r="13970" b="1333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14.15pt;margin-top:9.05pt;height:0pt;width:481.9pt;z-index:251665408;mso-width-relative:page;mso-height-relative:page;" filled="f" stroked="t" coordsize="21600,21600" o:gfxdata="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2YcOaEpYnf&#10;ff11++X7n9/f6Lz7+YNRhGTqPZaUvXCrkIjKnbv2VyA/I3Ow6IRrVW73Zu8JIlcUD0qSgZ4eW/fv&#10;oaYcsYmQNds1wSZIUoPt8mj2p9GoXWSSnOcT0uc1TU0eY4Uoj4U+YHynwLJ0qbjRLqkmSrG9wkit&#10;U+oxJbkdXGpj8uSNY33F355NzwjZepIBXZtrEYyuU16qwNCuFyawrUhrlL8kCeE+SAuwcfXgN47C&#10;R8qDeGuo96uQwslP88wAh91LC3Pfzln//rf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7YzaTW&#10;AAAACQEAAA8AAAAAAAAAAQAgAAAAIgAAAGRycy9kb3ducmV2LnhtbFBLAQIUABQAAAAIAIdO4kC1&#10;0HmY6QEAALcDAAAOAAAAAAAAAAEAIAAAACUBAABkcnMvZTJvRG9jLnhtbFBLBQYAAAAABgAGAFkB&#10;AACABQAAAAA=&#10;">
                      <v:fill on="f" focussize="0,0"/>
                      <v:stroke color="#000000" joinstyle="round"/>
                      <v:imagedata o:title=""/>
                      <o:lock v:ext="edit" aspectratio="f"/>
                    </v:line>
                  </w:pict>
                </mc:Fallback>
              </mc:AlternateContent>
            </w:r>
            <w:r>
              <w:rPr>
                <w:rFonts w:hint="eastAsia" w:ascii="宋体" w:hAnsi="宋体" w:eastAsia="宋体" w:cs="宋体"/>
                <w:kern w:val="0"/>
                <w:szCs w:val="21"/>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14:paraId="42C8B9CB">
                                  <w:pPr>
                                    <w:rPr>
                                      <w:rFonts w:hint="eastAsia"/>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5g8svWAAAA&#10;CAEAAA8AAAAAAAAAAQAgAAAAIgAAAGRycy9kb3ducmV2LnhtbFBLAQIUABQAAAAIAIdO4kBj99R+&#10;HwIAADMEAAAOAAAAAAAAAAEAIAAAACUBAABkcnMvZTJvRG9jLnhtbFBLBQYAAAAABgAGAFkBAAC2&#10;BQAAAAA=&#10;">
                      <v:fill on="t" focussize="0,0"/>
                      <v:stroke on="f"/>
                      <v:imagedata o:title=""/>
                      <o:lock v:ext="edit" aspectratio="f"/>
                      <v:textbox>
                        <w:txbxContent>
                          <w:p w14:paraId="42C8B9CB">
                            <w:pPr>
                              <w:rPr>
                                <w:rFonts w:hint="eastAsia"/>
                              </w:rPr>
                            </w:pPr>
                          </w:p>
                        </w:txbxContent>
                      </v:textbox>
                    </v:rect>
                  </w:pict>
                </mc:Fallback>
              </mc:AlternateContent>
            </w:r>
            <w:r>
              <w:rPr>
                <w:rFonts w:hint="eastAsia" w:ascii="宋体" w:hAnsi="宋体" w:eastAsia="宋体" w:cs="宋体"/>
                <w:kern w:val="0"/>
                <w:szCs w:val="21"/>
              </w:rPr>
              <w:fldChar w:fldCharType="begin">
                <w:ffData>
                  <w:name w:val="DT"/>
                  <w:enabled/>
                  <w:calcOnExit w:val="0"/>
                  <w:textInput/>
                </w:ffData>
              </w:fldChar>
            </w:r>
            <w:r>
              <w:rPr>
                <w:rFonts w:hint="eastAsia" w:ascii="宋体" w:hAnsi="宋体" w:eastAsia="宋体" w:cs="宋体"/>
                <w:kern w:val="0"/>
                <w:szCs w:val="21"/>
              </w:rPr>
              <w:instrText xml:space="preserve"> FORMTEXT </w:instrText>
            </w:r>
            <w:r>
              <w:rPr>
                <w:rFonts w:hint="eastAsia" w:ascii="宋体" w:hAnsi="宋体" w:eastAsia="宋体" w:cs="宋体"/>
                <w:kern w:val="0"/>
                <w:szCs w:val="21"/>
              </w:rPr>
              <w:fldChar w:fldCharType="separate"/>
            </w:r>
            <w:r>
              <w:rPr>
                <w:rFonts w:hint="eastAsia" w:ascii="宋体" w:hAnsi="宋体" w:eastAsia="宋体" w:cs="宋体"/>
                <w:kern w:val="0"/>
                <w:szCs w:val="21"/>
              </w:rPr>
              <w:t>     </w:t>
            </w:r>
            <w:r>
              <w:rPr>
                <w:rFonts w:hint="eastAsia" w:ascii="宋体" w:hAnsi="宋体" w:eastAsia="宋体" w:cs="宋体"/>
                <w:kern w:val="0"/>
                <w:szCs w:val="21"/>
              </w:rPr>
              <w:fldChar w:fldCharType="end"/>
            </w:r>
            <w:bookmarkEnd w:id="9"/>
          </w:p>
        </w:tc>
      </w:tr>
    </w:tbl>
    <w:p w14:paraId="662CC78A">
      <w:pPr>
        <w:framePr w:w="9140" w:h="1242" w:hRule="exact" w:hSpace="284" w:wrap="around" w:vAnchor="page" w:hAnchor="page" w:x="1645" w:y="2910" w:anchorLock="1"/>
        <w:widowControl/>
        <w:spacing w:before="357" w:line="280" w:lineRule="exact"/>
        <w:jc w:val="right"/>
        <w:rPr>
          <w:rFonts w:hint="eastAsia" w:ascii="宋体" w:hAnsi="宋体" w:eastAsia="宋体" w:cs="宋体"/>
          <w:kern w:val="0"/>
          <w:sz w:val="28"/>
          <w:szCs w:val="28"/>
        </w:rPr>
      </w:pPr>
    </w:p>
    <w:p w14:paraId="5EEFEA46">
      <w:pPr>
        <w:framePr w:w="9140" w:h="1242" w:hRule="exact" w:hSpace="284" w:wrap="around" w:vAnchor="page" w:hAnchor="page" w:x="1645" w:y="2910" w:anchorLock="1"/>
        <w:widowControl/>
        <w:spacing w:before="357" w:line="280" w:lineRule="exact"/>
        <w:jc w:val="right"/>
        <w:rPr>
          <w:rFonts w:hint="eastAsia" w:ascii="宋体" w:hAnsi="宋体" w:eastAsia="宋体" w:cs="宋体"/>
          <w:kern w:val="0"/>
          <w:sz w:val="28"/>
          <w:szCs w:val="28"/>
        </w:rPr>
      </w:pPr>
    </w:p>
    <w:p w14:paraId="34FB63E9">
      <w:pPr>
        <w:framePr w:w="9639" w:h="6917" w:hRule="exact" w:wrap="around" w:vAnchor="page" w:hAnchor="page" w:x="1364" w:y="5798" w:anchorLock="1"/>
        <w:spacing w:line="680" w:lineRule="exact"/>
        <w:jc w:val="center"/>
        <w:textAlignment w:val="center"/>
        <w:rPr>
          <w:rFonts w:hint="eastAsia" w:ascii="宋体" w:hAnsi="宋体" w:eastAsia="宋体" w:cs="宋体"/>
          <w:kern w:val="0"/>
          <w:sz w:val="52"/>
          <w:szCs w:val="20"/>
        </w:rPr>
      </w:pPr>
      <w:r>
        <w:rPr>
          <w:rFonts w:hint="eastAsia" w:ascii="宋体" w:hAnsi="宋体" w:eastAsia="宋体" w:cs="宋体"/>
          <w:b/>
          <w:bCs/>
          <w:kern w:val="0"/>
          <w:sz w:val="52"/>
          <w:szCs w:val="20"/>
        </w:rPr>
        <w:t>医疗器械无菌检（化）验员能力要求</w:t>
      </w:r>
    </w:p>
    <w:p w14:paraId="2B34AB60">
      <w:pPr>
        <w:framePr w:w="9639" w:h="6917" w:hRule="exact" w:wrap="around" w:vAnchor="page" w:hAnchor="page" w:x="1364" w:y="5798" w:anchorLock="1"/>
        <w:spacing w:before="370" w:line="400" w:lineRule="exact"/>
        <w:jc w:val="center"/>
        <w:textAlignment w:val="center"/>
        <w:rPr>
          <w:rFonts w:hint="eastAsia" w:ascii="宋体" w:hAnsi="宋体" w:eastAsia="宋体" w:cs="宋体"/>
          <w:kern w:val="0"/>
          <w:sz w:val="28"/>
          <w:szCs w:val="28"/>
        </w:rPr>
      </w:pPr>
      <w:r>
        <w:rPr>
          <w:rFonts w:hint="eastAsia" w:ascii="宋体" w:hAnsi="宋体" w:eastAsia="宋体" w:cs="宋体"/>
          <w:b/>
          <w:bCs/>
          <w:spacing w:val="-6"/>
          <w:kern w:val="0"/>
          <w:sz w:val="28"/>
          <w:szCs w:val="28"/>
        </w:rPr>
        <w:t>Ability requirements for sterile (chemical) inspectors of medical devices</w:t>
      </w:r>
    </w:p>
    <w:p w14:paraId="1E9F5187">
      <w:pPr>
        <w:framePr w:w="9639" w:h="6917" w:hRule="exact" w:wrap="around" w:vAnchor="page" w:hAnchor="page" w:x="1364" w:y="5798" w:anchorLock="1"/>
        <w:spacing w:before="440" w:line="400" w:lineRule="exact"/>
        <w:jc w:val="center"/>
        <w:textAlignment w:val="center"/>
        <w:rPr>
          <w:rFonts w:hint="eastAsia" w:ascii="宋体" w:hAnsi="宋体" w:eastAsia="宋体" w:cs="宋体"/>
          <w:kern w:val="0"/>
          <w:sz w:val="28"/>
          <w:szCs w:val="28"/>
        </w:rPr>
      </w:pPr>
    </w:p>
    <w:tbl>
      <w:tblPr>
        <w:tblStyle w:val="24"/>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72CA6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61075EBD">
            <w:pPr>
              <w:framePr w:w="9639" w:h="6917" w:hRule="exact" w:wrap="around" w:vAnchor="page" w:hAnchor="page" w:x="1364" w:y="5798" w:anchorLock="1"/>
              <w:spacing w:before="440" w:after="160"/>
              <w:jc w:val="center"/>
              <w:textAlignment w:val="center"/>
              <w:rPr>
                <w:rFonts w:hint="eastAsia" w:ascii="宋体" w:hAnsi="宋体" w:eastAsia="宋体" w:cs="宋体"/>
                <w:kern w:val="0"/>
                <w:sz w:val="24"/>
                <w:szCs w:val="28"/>
              </w:rPr>
            </w:pPr>
            <w:r>
              <w:rPr>
                <w:rFonts w:hint="eastAsia" w:ascii="宋体" w:hAnsi="宋体" w:eastAsia="宋体" w:cs="宋体"/>
                <w:kern w:val="0"/>
                <w:sz w:val="24"/>
                <w:szCs w:val="28"/>
              </w:rPr>
              <w:t>（草稿）</w:t>
            </w:r>
            <w:r>
              <w:rPr>
                <w:rFonts w:hint="eastAsia" w:ascii="宋体" w:hAnsi="宋体" w:eastAsia="宋体" w:cs="宋体"/>
                <w:kern w:val="0"/>
                <w:sz w:val="24"/>
                <w:szCs w:val="28"/>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14:paraId="0A3CA137">
                                  <w:pPr>
                                    <w:rPr>
                                      <w:rFonts w:hint="eastAsia"/>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Fia6S1QAAAAoB&#10;AAAPAAAAAAAAAAEAIAAAACIAAABkcnMvZG93bnJldi54bWxQSwECFAAUAAAACACHTuJAtAQrSx4C&#10;AAAzBAAADgAAAAAAAAABACAAAAAkAQAAZHJzL2Uyb0RvYy54bWxQSwUGAAAAAAYABgBZAQAAtAUA&#10;AAAA&#10;">
                      <v:fill on="t" focussize="0,0"/>
                      <v:stroke on="f"/>
                      <v:imagedata o:title=""/>
                      <o:lock v:ext="edit" aspectratio="f"/>
                      <v:textbox>
                        <w:txbxContent>
                          <w:p w14:paraId="0A3CA137">
                            <w:pPr>
                              <w:rPr>
                                <w:rFonts w:hint="eastAsia"/>
                              </w:rPr>
                            </w:pPr>
                          </w:p>
                        </w:txbxContent>
                      </v:textbox>
                      <w10:anchorlock/>
                    </v:rect>
                  </w:pict>
                </mc:Fallback>
              </mc:AlternateContent>
            </w:r>
            <w:r>
              <w:rPr>
                <w:rFonts w:hint="eastAsia" w:ascii="宋体" w:hAnsi="宋体" w:eastAsia="宋体" w:cs="宋体"/>
                <w:kern w:val="0"/>
                <w:sz w:val="24"/>
                <w:szCs w:val="28"/>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14:paraId="7989E994">
                                  <w:pPr>
                                    <w:rPr>
                                      <w:rFonts w:hint="eastAsia"/>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GL5dYAAAAJ&#10;AQAADwAAAAAAAAABACAAAAAiAAAAZHJzL2Rvd25yZXYueG1sUEsBAhQAFAAAAAgAh07iQNDteI0e&#10;AgAAMwQAAA4AAAAAAAAAAQAgAAAAJQEAAGRycy9lMm9Eb2MueG1sUEsFBgAAAAAGAAYAWQEAALUF&#10;AAAAAA==&#10;">
                      <v:fill on="t" focussize="0,0"/>
                      <v:stroke on="f"/>
                      <v:imagedata o:title=""/>
                      <o:lock v:ext="edit" aspectratio="f"/>
                      <v:textbox>
                        <w:txbxContent>
                          <w:p w14:paraId="7989E994">
                            <w:pPr>
                              <w:rPr>
                                <w:rFonts w:hint="eastAsia"/>
                              </w:rPr>
                            </w:pPr>
                          </w:p>
                        </w:txbxContent>
                      </v:textbox>
                    </v:rect>
                  </w:pict>
                </mc:Fallback>
              </mc:AlternateContent>
            </w:r>
          </w:p>
        </w:tc>
      </w:tr>
      <w:tr w14:paraId="33426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A3B6299">
            <w:pPr>
              <w:framePr w:w="9639" w:h="6917" w:hRule="exact" w:wrap="around" w:vAnchor="page" w:hAnchor="page" w:x="1364" w:y="5798" w:anchorLock="1"/>
              <w:spacing w:before="180" w:after="160" w:line="180" w:lineRule="exact"/>
              <w:jc w:val="center"/>
              <w:textAlignment w:val="center"/>
              <w:rPr>
                <w:rFonts w:hint="eastAsia" w:ascii="宋体" w:hAnsi="宋体" w:eastAsia="宋体" w:cs="宋体"/>
                <w:kern w:val="0"/>
                <w:szCs w:val="28"/>
              </w:rPr>
            </w:pPr>
          </w:p>
        </w:tc>
      </w:tr>
      <w:tr w14:paraId="3AF498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54CB626">
            <w:pPr>
              <w:framePr w:w="9639" w:h="6917" w:hRule="exact" w:wrap="around" w:vAnchor="page" w:hAnchor="page" w:x="1364" w:y="5798" w:anchorLock="1"/>
              <w:spacing w:before="180" w:after="160" w:line="180" w:lineRule="exact"/>
              <w:jc w:val="center"/>
              <w:textAlignment w:val="center"/>
              <w:rPr>
                <w:rFonts w:hint="eastAsia" w:ascii="宋体" w:hAnsi="宋体" w:eastAsia="宋体" w:cs="宋体"/>
                <w:kern w:val="0"/>
                <w:szCs w:val="28"/>
              </w:rPr>
            </w:pPr>
          </w:p>
        </w:tc>
      </w:tr>
    </w:tbl>
    <w:p w14:paraId="547C4EE0">
      <w:pPr>
        <w:framePr w:w="3997" w:h="471" w:hRule="exact" w:vSpace="181" w:wrap="around" w:vAnchor="page" w:hAnchor="page" w:x="1419" w:y="14097" w:anchorLock="1"/>
        <w:widowControl/>
        <w:jc w:val="left"/>
        <w:rPr>
          <w:rFonts w:hint="eastAsia" w:ascii="宋体" w:hAnsi="宋体" w:eastAsia="宋体" w:cs="宋体"/>
          <w:kern w:val="0"/>
          <w:sz w:val="28"/>
          <w:szCs w:val="20"/>
        </w:rPr>
      </w:pPr>
      <w:bookmarkStart w:id="10" w:name="FY"/>
      <w:r>
        <w:rPr>
          <w:rFonts w:hint="eastAsia" w:ascii="宋体" w:hAnsi="宋体" w:eastAsia="宋体" w:cs="宋体"/>
          <w:kern w:val="0"/>
          <w:sz w:val="28"/>
          <w:szCs w:val="20"/>
        </w:rPr>
        <w:fldChar w:fldCharType="begin">
          <w:ffData>
            <w:name w:val="FY"/>
            <w:enabled/>
            <w:calcOnExit w:val="0"/>
            <w:textInput>
              <w:default w:val="XXXX"/>
              <w:maxLength w:val="4"/>
            </w:textInput>
          </w:ffData>
        </w:fldChar>
      </w:r>
      <w:r>
        <w:rPr>
          <w:rFonts w:hint="eastAsia" w:ascii="宋体" w:hAnsi="宋体" w:eastAsia="宋体" w:cs="宋体"/>
          <w:kern w:val="0"/>
          <w:sz w:val="28"/>
          <w:szCs w:val="20"/>
        </w:rPr>
        <w:instrText xml:space="preserve"> FORMTEXT </w:instrText>
      </w:r>
      <w:r>
        <w:rPr>
          <w:rFonts w:hint="eastAsia" w:ascii="宋体" w:hAnsi="宋体" w:eastAsia="宋体" w:cs="宋体"/>
          <w:kern w:val="0"/>
          <w:sz w:val="28"/>
          <w:szCs w:val="20"/>
        </w:rPr>
        <w:fldChar w:fldCharType="separate"/>
      </w:r>
      <w:r>
        <w:rPr>
          <w:rFonts w:hint="eastAsia" w:ascii="宋体" w:hAnsi="宋体" w:eastAsia="宋体" w:cs="宋体"/>
          <w:kern w:val="0"/>
          <w:sz w:val="28"/>
          <w:szCs w:val="20"/>
        </w:rPr>
        <w:t>XXXX</w:t>
      </w:r>
      <w:r>
        <w:rPr>
          <w:rFonts w:hint="eastAsia" w:ascii="宋体" w:hAnsi="宋体" w:eastAsia="宋体" w:cs="宋体"/>
          <w:kern w:val="0"/>
          <w:sz w:val="28"/>
          <w:szCs w:val="20"/>
        </w:rPr>
        <w:fldChar w:fldCharType="end"/>
      </w:r>
      <w:bookmarkEnd w:id="10"/>
      <w:r>
        <w:rPr>
          <w:rFonts w:hint="eastAsia" w:ascii="宋体" w:hAnsi="宋体" w:eastAsia="宋体" w:cs="宋体"/>
          <w:kern w:val="0"/>
          <w:sz w:val="28"/>
          <w:szCs w:val="20"/>
        </w:rPr>
        <w:t xml:space="preserve"> - </w:t>
      </w:r>
      <w:bookmarkStart w:id="11" w:name="FM"/>
      <w:r>
        <w:rPr>
          <w:rFonts w:hint="eastAsia" w:ascii="宋体" w:hAnsi="宋体" w:eastAsia="宋体" w:cs="宋体"/>
          <w:kern w:val="0"/>
          <w:sz w:val="28"/>
          <w:szCs w:val="20"/>
        </w:rPr>
        <w:fldChar w:fldCharType="begin">
          <w:ffData>
            <w:name w:val="FM"/>
            <w:enabled/>
            <w:calcOnExit w:val="0"/>
            <w:textInput>
              <w:default w:val="XX"/>
              <w:maxLength w:val="2"/>
            </w:textInput>
          </w:ffData>
        </w:fldChar>
      </w:r>
      <w:r>
        <w:rPr>
          <w:rFonts w:hint="eastAsia" w:ascii="宋体" w:hAnsi="宋体" w:eastAsia="宋体" w:cs="宋体"/>
          <w:kern w:val="0"/>
          <w:sz w:val="28"/>
          <w:szCs w:val="20"/>
        </w:rPr>
        <w:instrText xml:space="preserve"> FORMTEXT </w:instrText>
      </w:r>
      <w:r>
        <w:rPr>
          <w:rFonts w:hint="eastAsia" w:ascii="宋体" w:hAnsi="宋体" w:eastAsia="宋体" w:cs="宋体"/>
          <w:kern w:val="0"/>
          <w:sz w:val="28"/>
          <w:szCs w:val="20"/>
        </w:rPr>
        <w:fldChar w:fldCharType="separate"/>
      </w:r>
      <w:r>
        <w:rPr>
          <w:rFonts w:hint="eastAsia" w:ascii="宋体" w:hAnsi="宋体" w:eastAsia="宋体" w:cs="宋体"/>
          <w:kern w:val="0"/>
          <w:sz w:val="28"/>
          <w:szCs w:val="20"/>
        </w:rPr>
        <w:t>XX</w:t>
      </w:r>
      <w:r>
        <w:rPr>
          <w:rFonts w:hint="eastAsia" w:ascii="宋体" w:hAnsi="宋体" w:eastAsia="宋体" w:cs="宋体"/>
          <w:kern w:val="0"/>
          <w:sz w:val="28"/>
          <w:szCs w:val="20"/>
        </w:rPr>
        <w:fldChar w:fldCharType="end"/>
      </w:r>
      <w:bookmarkEnd w:id="11"/>
      <w:r>
        <w:rPr>
          <w:rFonts w:hint="eastAsia" w:ascii="宋体" w:hAnsi="宋体" w:eastAsia="宋体" w:cs="宋体"/>
          <w:kern w:val="0"/>
          <w:sz w:val="28"/>
          <w:szCs w:val="20"/>
        </w:rPr>
        <w:t xml:space="preserve"> - </w:t>
      </w:r>
      <w:bookmarkStart w:id="12" w:name="FD"/>
      <w:r>
        <w:rPr>
          <w:rFonts w:hint="eastAsia" w:ascii="宋体" w:hAnsi="宋体" w:eastAsia="宋体" w:cs="宋体"/>
          <w:kern w:val="0"/>
          <w:sz w:val="28"/>
          <w:szCs w:val="20"/>
        </w:rPr>
        <w:fldChar w:fldCharType="begin">
          <w:ffData>
            <w:name w:val="FD"/>
            <w:enabled/>
            <w:calcOnExit w:val="0"/>
            <w:textInput>
              <w:default w:val="XX"/>
              <w:maxLength w:val="2"/>
            </w:textInput>
          </w:ffData>
        </w:fldChar>
      </w:r>
      <w:r>
        <w:rPr>
          <w:rFonts w:hint="eastAsia" w:ascii="宋体" w:hAnsi="宋体" w:eastAsia="宋体" w:cs="宋体"/>
          <w:kern w:val="0"/>
          <w:sz w:val="28"/>
          <w:szCs w:val="20"/>
        </w:rPr>
        <w:instrText xml:space="preserve"> FORMTEXT </w:instrText>
      </w:r>
      <w:r>
        <w:rPr>
          <w:rFonts w:hint="eastAsia" w:ascii="宋体" w:hAnsi="宋体" w:eastAsia="宋体" w:cs="宋体"/>
          <w:kern w:val="0"/>
          <w:sz w:val="28"/>
          <w:szCs w:val="20"/>
        </w:rPr>
        <w:fldChar w:fldCharType="separate"/>
      </w:r>
      <w:r>
        <w:rPr>
          <w:rFonts w:hint="eastAsia" w:ascii="宋体" w:hAnsi="宋体" w:eastAsia="宋体" w:cs="宋体"/>
          <w:kern w:val="0"/>
          <w:sz w:val="28"/>
          <w:szCs w:val="20"/>
        </w:rPr>
        <w:t>XX</w:t>
      </w:r>
      <w:r>
        <w:rPr>
          <w:rFonts w:hint="eastAsia" w:ascii="宋体" w:hAnsi="宋体" w:eastAsia="宋体" w:cs="宋体"/>
          <w:kern w:val="0"/>
          <w:sz w:val="28"/>
          <w:szCs w:val="20"/>
        </w:rPr>
        <w:fldChar w:fldCharType="end"/>
      </w:r>
      <w:bookmarkEnd w:id="12"/>
      <w:r>
        <w:rPr>
          <w:rFonts w:hint="eastAsia" w:ascii="宋体" w:hAnsi="宋体" w:eastAsia="宋体" w:cs="宋体"/>
          <w:kern w:val="0"/>
          <w:sz w:val="28"/>
          <w:szCs w:val="20"/>
        </w:rPr>
        <w:t>发布</w:t>
      </w:r>
      <w:r>
        <w:rPr>
          <w:rFonts w:hint="eastAsia" w:ascii="宋体" w:hAnsi="宋体" w:eastAsia="宋体" w:cs="宋体"/>
          <w:kern w:val="0"/>
          <w:sz w:val="28"/>
          <w:szCs w:val="20"/>
        </w:rPr>
        <mc:AlternateContent>
          <mc:Choice Requires="wps">
            <w:drawing>
              <wp:anchor distT="0" distB="0" distL="114300" distR="114300" simplePos="0" relativeHeight="25166438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KuefjrAQAAtw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d+CfKA/iraHer8JRF5pnbuywe2lh7ts5+9//Nv8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JKuefjrAQAAtwMAAA4AAAAAAAAAAQAgAAAAJQEAAGRycy9lMm9Eb2MueG1sUEsFBgAAAAAGAAYA&#10;WQEAAIIFAAAAAA==&#10;">
                <v:fill on="f" focussize="0,0"/>
                <v:stroke color="#000000" joinstyle="round"/>
                <v:imagedata o:title=""/>
                <o:lock v:ext="edit" aspectratio="f"/>
                <w10:anchorlock/>
              </v:line>
            </w:pict>
          </mc:Fallback>
        </mc:AlternateContent>
      </w:r>
    </w:p>
    <w:p w14:paraId="3FEAC602">
      <w:pPr>
        <w:framePr w:w="3997" w:h="471" w:hRule="exact" w:vSpace="181" w:wrap="around" w:vAnchor="page" w:hAnchor="page" w:x="7089" w:y="14097" w:anchorLock="1"/>
        <w:widowControl/>
        <w:jc w:val="right"/>
        <w:rPr>
          <w:rFonts w:hint="eastAsia" w:ascii="宋体" w:hAnsi="宋体" w:eastAsia="宋体" w:cs="宋体"/>
          <w:kern w:val="0"/>
          <w:sz w:val="28"/>
          <w:szCs w:val="20"/>
        </w:rPr>
      </w:pPr>
      <w:bookmarkStart w:id="13" w:name="SY"/>
      <w:r>
        <w:rPr>
          <w:rFonts w:hint="eastAsia" w:ascii="宋体" w:hAnsi="宋体" w:eastAsia="宋体" w:cs="宋体"/>
          <w:kern w:val="0"/>
          <w:sz w:val="28"/>
          <w:szCs w:val="20"/>
        </w:rPr>
        <w:fldChar w:fldCharType="begin">
          <w:ffData>
            <w:name w:val="SY"/>
            <w:enabled/>
            <w:calcOnExit w:val="0"/>
            <w:textInput>
              <w:default w:val="XXXX"/>
              <w:maxLength w:val="4"/>
            </w:textInput>
          </w:ffData>
        </w:fldChar>
      </w:r>
      <w:r>
        <w:rPr>
          <w:rFonts w:hint="eastAsia" w:ascii="宋体" w:hAnsi="宋体" w:eastAsia="宋体" w:cs="宋体"/>
          <w:kern w:val="0"/>
          <w:sz w:val="28"/>
          <w:szCs w:val="20"/>
        </w:rPr>
        <w:instrText xml:space="preserve"> FORMTEXT </w:instrText>
      </w:r>
      <w:r>
        <w:rPr>
          <w:rFonts w:hint="eastAsia" w:ascii="宋体" w:hAnsi="宋体" w:eastAsia="宋体" w:cs="宋体"/>
          <w:kern w:val="0"/>
          <w:sz w:val="28"/>
          <w:szCs w:val="20"/>
        </w:rPr>
        <w:fldChar w:fldCharType="separate"/>
      </w:r>
      <w:r>
        <w:rPr>
          <w:rFonts w:hint="eastAsia" w:ascii="宋体" w:hAnsi="宋体" w:eastAsia="宋体" w:cs="宋体"/>
          <w:kern w:val="0"/>
          <w:sz w:val="28"/>
          <w:szCs w:val="20"/>
        </w:rPr>
        <w:t>XXXX</w:t>
      </w:r>
      <w:r>
        <w:rPr>
          <w:rFonts w:hint="eastAsia" w:ascii="宋体" w:hAnsi="宋体" w:eastAsia="宋体" w:cs="宋体"/>
          <w:kern w:val="0"/>
          <w:sz w:val="28"/>
          <w:szCs w:val="20"/>
        </w:rPr>
        <w:fldChar w:fldCharType="end"/>
      </w:r>
      <w:bookmarkEnd w:id="13"/>
      <w:r>
        <w:rPr>
          <w:rFonts w:hint="eastAsia" w:ascii="宋体" w:hAnsi="宋体" w:eastAsia="宋体" w:cs="宋体"/>
          <w:kern w:val="0"/>
          <w:sz w:val="28"/>
          <w:szCs w:val="20"/>
        </w:rPr>
        <w:t xml:space="preserve"> - </w:t>
      </w:r>
      <w:bookmarkStart w:id="14" w:name="SM"/>
      <w:r>
        <w:rPr>
          <w:rFonts w:hint="eastAsia" w:ascii="宋体" w:hAnsi="宋体" w:eastAsia="宋体" w:cs="宋体"/>
          <w:kern w:val="0"/>
          <w:sz w:val="28"/>
          <w:szCs w:val="20"/>
        </w:rPr>
        <w:fldChar w:fldCharType="begin">
          <w:ffData>
            <w:name w:val="SM"/>
            <w:enabled/>
            <w:calcOnExit w:val="0"/>
            <w:textInput>
              <w:default w:val="XX"/>
              <w:maxLength w:val="2"/>
            </w:textInput>
          </w:ffData>
        </w:fldChar>
      </w:r>
      <w:r>
        <w:rPr>
          <w:rFonts w:hint="eastAsia" w:ascii="宋体" w:hAnsi="宋体" w:eastAsia="宋体" w:cs="宋体"/>
          <w:kern w:val="0"/>
          <w:sz w:val="28"/>
          <w:szCs w:val="20"/>
        </w:rPr>
        <w:instrText xml:space="preserve"> FORMTEXT </w:instrText>
      </w:r>
      <w:r>
        <w:rPr>
          <w:rFonts w:hint="eastAsia" w:ascii="宋体" w:hAnsi="宋体" w:eastAsia="宋体" w:cs="宋体"/>
          <w:kern w:val="0"/>
          <w:sz w:val="28"/>
          <w:szCs w:val="20"/>
        </w:rPr>
        <w:fldChar w:fldCharType="separate"/>
      </w:r>
      <w:r>
        <w:rPr>
          <w:rFonts w:hint="eastAsia" w:ascii="宋体" w:hAnsi="宋体" w:eastAsia="宋体" w:cs="宋体"/>
          <w:kern w:val="0"/>
          <w:sz w:val="28"/>
          <w:szCs w:val="20"/>
        </w:rPr>
        <w:t>XX</w:t>
      </w:r>
      <w:r>
        <w:rPr>
          <w:rFonts w:hint="eastAsia" w:ascii="宋体" w:hAnsi="宋体" w:eastAsia="宋体" w:cs="宋体"/>
          <w:kern w:val="0"/>
          <w:sz w:val="28"/>
          <w:szCs w:val="20"/>
        </w:rPr>
        <w:fldChar w:fldCharType="end"/>
      </w:r>
      <w:bookmarkEnd w:id="14"/>
      <w:r>
        <w:rPr>
          <w:rFonts w:hint="eastAsia" w:ascii="宋体" w:hAnsi="宋体" w:eastAsia="宋体" w:cs="宋体"/>
          <w:kern w:val="0"/>
          <w:sz w:val="28"/>
          <w:szCs w:val="20"/>
        </w:rPr>
        <w:t xml:space="preserve"> - </w:t>
      </w:r>
      <w:bookmarkStart w:id="15" w:name="SD"/>
      <w:r>
        <w:rPr>
          <w:rFonts w:hint="eastAsia" w:ascii="宋体" w:hAnsi="宋体" w:eastAsia="宋体" w:cs="宋体"/>
          <w:kern w:val="0"/>
          <w:sz w:val="28"/>
          <w:szCs w:val="20"/>
        </w:rPr>
        <w:fldChar w:fldCharType="begin">
          <w:ffData>
            <w:name w:val="SD"/>
            <w:enabled/>
            <w:calcOnExit w:val="0"/>
            <w:textInput>
              <w:default w:val="XX"/>
              <w:maxLength w:val="2"/>
            </w:textInput>
          </w:ffData>
        </w:fldChar>
      </w:r>
      <w:r>
        <w:rPr>
          <w:rFonts w:hint="eastAsia" w:ascii="宋体" w:hAnsi="宋体" w:eastAsia="宋体" w:cs="宋体"/>
          <w:kern w:val="0"/>
          <w:sz w:val="28"/>
          <w:szCs w:val="20"/>
        </w:rPr>
        <w:instrText xml:space="preserve"> FORMTEXT </w:instrText>
      </w:r>
      <w:r>
        <w:rPr>
          <w:rFonts w:hint="eastAsia" w:ascii="宋体" w:hAnsi="宋体" w:eastAsia="宋体" w:cs="宋体"/>
          <w:kern w:val="0"/>
          <w:sz w:val="28"/>
          <w:szCs w:val="20"/>
        </w:rPr>
        <w:fldChar w:fldCharType="separate"/>
      </w:r>
      <w:r>
        <w:rPr>
          <w:rFonts w:hint="eastAsia" w:ascii="宋体" w:hAnsi="宋体" w:eastAsia="宋体" w:cs="宋体"/>
          <w:kern w:val="0"/>
          <w:sz w:val="28"/>
          <w:szCs w:val="20"/>
        </w:rPr>
        <w:t>XX</w:t>
      </w:r>
      <w:r>
        <w:rPr>
          <w:rFonts w:hint="eastAsia" w:ascii="宋体" w:hAnsi="宋体" w:eastAsia="宋体" w:cs="宋体"/>
          <w:kern w:val="0"/>
          <w:sz w:val="28"/>
          <w:szCs w:val="20"/>
        </w:rPr>
        <w:fldChar w:fldCharType="end"/>
      </w:r>
      <w:bookmarkEnd w:id="15"/>
      <w:r>
        <w:rPr>
          <w:rFonts w:hint="eastAsia" w:ascii="宋体" w:hAnsi="宋体" w:eastAsia="宋体" w:cs="宋体"/>
          <w:kern w:val="0"/>
          <w:sz w:val="28"/>
          <w:szCs w:val="20"/>
        </w:rPr>
        <w:t>实施</w:t>
      </w:r>
    </w:p>
    <w:p w14:paraId="2CBB2461">
      <w:pPr>
        <w:framePr w:w="7938" w:h="1134" w:hRule="exact" w:hSpace="125" w:vSpace="181" w:wrap="around" w:vAnchor="page" w:hAnchor="page" w:x="2358" w:y="14811" w:anchorLock="1"/>
        <w:widowControl/>
        <w:jc w:val="center"/>
        <w:rPr>
          <w:rFonts w:hint="eastAsia" w:ascii="宋体" w:hAnsi="宋体" w:eastAsia="宋体" w:cs="宋体"/>
          <w:b/>
          <w:spacing w:val="20"/>
          <w:w w:val="135"/>
          <w:kern w:val="0"/>
          <w:szCs w:val="21"/>
        </w:rPr>
      </w:pPr>
      <w:r>
        <w:rPr>
          <w:rFonts w:hint="eastAsia" w:ascii="宋体" w:hAnsi="宋体" w:eastAsia="宋体" w:cs="宋体"/>
          <w:b/>
          <w:spacing w:val="20"/>
          <w:w w:val="135"/>
          <w:kern w:val="0"/>
          <w:sz w:val="28"/>
          <w:szCs w:val="20"/>
        </w:rPr>
        <w:t xml:space="preserve">中国食品药品企业质量安全促进会   </w:t>
      </w:r>
      <w:r>
        <w:rPr>
          <w:rFonts w:hint="eastAsia" w:ascii="宋体" w:hAnsi="宋体" w:eastAsia="宋体" w:cs="宋体"/>
          <w:b/>
          <w:spacing w:val="20"/>
          <w:w w:val="135"/>
          <w:kern w:val="0"/>
          <w:szCs w:val="21"/>
        </w:rPr>
        <w:t>发布</w:t>
      </w:r>
    </w:p>
    <w:p w14:paraId="226F5510">
      <w:pPr>
        <w:widowControl/>
        <w:tabs>
          <w:tab w:val="center" w:pos="4201"/>
          <w:tab w:val="right" w:leader="dot" w:pos="9298"/>
        </w:tabs>
        <w:autoSpaceDE w:val="0"/>
        <w:autoSpaceDN w:val="0"/>
        <w:ind w:firstLine="420" w:firstLineChars="200"/>
        <w:rPr>
          <w:rFonts w:hint="eastAsia" w:ascii="宋体" w:hAnsi="宋体" w:eastAsia="宋体" w:cs="宋体"/>
          <w:kern w:val="0"/>
          <w:szCs w:val="20"/>
        </w:rPr>
      </w:pPr>
    </w:p>
    <w:p w14:paraId="241F06A7">
      <w:pPr>
        <w:widowControl/>
        <w:tabs>
          <w:tab w:val="center" w:pos="4201"/>
          <w:tab w:val="right" w:leader="dot" w:pos="9298"/>
        </w:tabs>
        <w:autoSpaceDE w:val="0"/>
        <w:autoSpaceDN w:val="0"/>
        <w:rPr>
          <w:rFonts w:hint="eastAsia" w:ascii="宋体" w:hAnsi="宋体" w:eastAsia="宋体" w:cs="宋体"/>
          <w:kern w:val="0"/>
          <w:szCs w:val="20"/>
        </w:rPr>
        <w:sectPr>
          <w:headerReference r:id="rId3" w:type="default"/>
          <w:headerReference r:id="rId4" w:type="even"/>
          <w:footerReference r:id="rId5" w:type="even"/>
          <w:pgSz w:w="11906" w:h="16838"/>
          <w:pgMar w:top="567" w:right="1134" w:bottom="1134" w:left="1417" w:header="0" w:footer="0" w:gutter="0"/>
          <w:pgNumType w:start="1"/>
          <w:cols w:space="720" w:num="1"/>
          <w:docGrid w:type="lines" w:linePitch="312" w:charSpace="0"/>
        </w:sectPr>
      </w:pPr>
    </w:p>
    <w:bookmarkEnd w:id="0"/>
    <w:bookmarkEnd w:id="1"/>
    <w:bookmarkEnd w:id="2"/>
    <w:bookmarkEnd w:id="3"/>
    <w:bookmarkEnd w:id="4"/>
    <w:bookmarkEnd w:id="5"/>
    <w:bookmarkEnd w:id="6"/>
    <w:p w14:paraId="554F0537">
      <w:pPr>
        <w:jc w:val="center"/>
        <w:rPr>
          <w:rFonts w:hint="eastAsia"/>
        </w:rPr>
      </w:pPr>
      <w:r>
        <w:rPr>
          <w:rFonts w:ascii="宋体" w:hAnsi="宋体" w:eastAsia="宋体"/>
        </w:rPr>
        <w:t>目</w:t>
      </w:r>
      <w:r>
        <w:rPr>
          <w:rFonts w:hint="eastAsia" w:ascii="宋体" w:hAnsi="宋体" w:eastAsia="宋体"/>
        </w:rPr>
        <w:t xml:space="preserve">  </w:t>
      </w:r>
      <w:r>
        <w:rPr>
          <w:rFonts w:ascii="宋体" w:hAnsi="宋体" w:eastAsia="宋体"/>
        </w:rPr>
        <w:t>录</w:t>
      </w:r>
    </w:p>
    <w:p w14:paraId="63728FDA">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_Toc29105 </w:instrText>
      </w:r>
      <w:r>
        <w:rPr>
          <w:rFonts w:hint="eastAsia"/>
        </w:rPr>
        <w:fldChar w:fldCharType="separate"/>
      </w:r>
      <w:r>
        <w:rPr>
          <w:rFonts w:hint="eastAsia" w:ascii="宋体" w:hAnsi="宋体" w:eastAsia="宋体" w:cs="宋体"/>
          <w:bCs w:val="0"/>
        </w:rPr>
        <w:t>前    言</w:t>
      </w:r>
      <w:r>
        <w:tab/>
      </w:r>
      <w:r>
        <w:fldChar w:fldCharType="begin"/>
      </w:r>
      <w:r>
        <w:instrText xml:space="preserve"> PAGEREF _Toc29105 \h </w:instrText>
      </w:r>
      <w:r>
        <w:fldChar w:fldCharType="separate"/>
      </w:r>
      <w:r>
        <w:t>II</w:t>
      </w:r>
      <w:r>
        <w:fldChar w:fldCharType="end"/>
      </w:r>
      <w:r>
        <w:rPr>
          <w:rFonts w:hint="eastAsia"/>
        </w:rPr>
        <w:fldChar w:fldCharType="end"/>
      </w:r>
    </w:p>
    <w:p w14:paraId="3D4F32C5">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_Toc32079 </w:instrText>
      </w:r>
      <w:r>
        <w:rPr>
          <w:rFonts w:hint="eastAsia"/>
        </w:rPr>
        <w:fldChar w:fldCharType="separate"/>
      </w:r>
      <w:r>
        <w:rPr>
          <w:rFonts w:hint="default" w:ascii="宋体" w:hAnsi="宋体" w:eastAsia="宋体" w:cs="宋体"/>
          <w:bCs/>
          <w:i w:val="0"/>
          <w:iCs w:val="0"/>
          <w:szCs w:val="24"/>
        </w:rPr>
        <w:t xml:space="preserve">1 </w:t>
      </w:r>
      <w:r>
        <w:rPr>
          <w:rFonts w:hint="eastAsia" w:ascii="宋体" w:hAnsi="宋体" w:eastAsia="宋体" w:cs="宋体"/>
          <w:bCs/>
          <w:szCs w:val="24"/>
        </w:rPr>
        <w:t>范围</w:t>
      </w:r>
      <w:r>
        <w:tab/>
      </w:r>
      <w:r>
        <w:fldChar w:fldCharType="begin"/>
      </w:r>
      <w:r>
        <w:instrText xml:space="preserve"> PAGEREF _Toc32079 \h </w:instrText>
      </w:r>
      <w:r>
        <w:fldChar w:fldCharType="separate"/>
      </w:r>
      <w:r>
        <w:t>1</w:t>
      </w:r>
      <w:r>
        <w:fldChar w:fldCharType="end"/>
      </w:r>
      <w:r>
        <w:rPr>
          <w:rFonts w:hint="eastAsia"/>
        </w:rPr>
        <w:fldChar w:fldCharType="end"/>
      </w:r>
    </w:p>
    <w:p w14:paraId="3D4EE52D">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_Toc182 </w:instrText>
      </w:r>
      <w:r>
        <w:rPr>
          <w:rFonts w:hint="eastAsia"/>
        </w:rPr>
        <w:fldChar w:fldCharType="separate"/>
      </w:r>
      <w:r>
        <w:rPr>
          <w:rFonts w:hint="default" w:ascii="宋体" w:hAnsi="宋体" w:eastAsia="宋体" w:cs="宋体"/>
          <w:bCs/>
          <w:i w:val="0"/>
          <w:iCs w:val="0"/>
          <w:szCs w:val="24"/>
        </w:rPr>
        <w:t xml:space="preserve">2 </w:t>
      </w:r>
      <w:r>
        <w:rPr>
          <w:rFonts w:hint="eastAsia" w:ascii="宋体" w:hAnsi="宋体" w:eastAsia="宋体" w:cs="宋体"/>
          <w:bCs/>
          <w:szCs w:val="24"/>
        </w:rPr>
        <w:t>规范性引用文件</w:t>
      </w:r>
      <w:r>
        <w:tab/>
      </w:r>
      <w:r>
        <w:fldChar w:fldCharType="begin"/>
      </w:r>
      <w:r>
        <w:instrText xml:space="preserve"> PAGEREF _Toc182 \h </w:instrText>
      </w:r>
      <w:r>
        <w:fldChar w:fldCharType="separate"/>
      </w:r>
      <w:r>
        <w:t>1</w:t>
      </w:r>
      <w:r>
        <w:fldChar w:fldCharType="end"/>
      </w:r>
      <w:r>
        <w:rPr>
          <w:rFonts w:hint="eastAsia"/>
        </w:rPr>
        <w:fldChar w:fldCharType="end"/>
      </w:r>
    </w:p>
    <w:p w14:paraId="44FC5508">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_Toc10992 </w:instrText>
      </w:r>
      <w:r>
        <w:rPr>
          <w:rFonts w:hint="eastAsia"/>
        </w:rPr>
        <w:fldChar w:fldCharType="separate"/>
      </w:r>
      <w:r>
        <w:rPr>
          <w:rFonts w:hint="default" w:ascii="宋体" w:hAnsi="宋体" w:eastAsia="宋体" w:cs="宋体"/>
          <w:bCs/>
          <w:i w:val="0"/>
          <w:iCs w:val="0"/>
          <w:kern w:val="2"/>
          <w:szCs w:val="24"/>
        </w:rPr>
        <w:t xml:space="preserve">3 </w:t>
      </w:r>
      <w:r>
        <w:rPr>
          <w:rFonts w:hint="eastAsia" w:ascii="宋体" w:hAnsi="宋体" w:eastAsia="宋体" w:cs="宋体"/>
          <w:bCs/>
          <w:szCs w:val="24"/>
        </w:rPr>
        <w:t>术语和定义</w:t>
      </w:r>
      <w:r>
        <w:tab/>
      </w:r>
      <w:r>
        <w:fldChar w:fldCharType="begin"/>
      </w:r>
      <w:r>
        <w:instrText xml:space="preserve"> PAGEREF _Toc10992 \h </w:instrText>
      </w:r>
      <w:r>
        <w:fldChar w:fldCharType="separate"/>
      </w:r>
      <w:r>
        <w:t>1</w:t>
      </w:r>
      <w:r>
        <w:fldChar w:fldCharType="end"/>
      </w:r>
      <w:r>
        <w:rPr>
          <w:rFonts w:hint="eastAsia"/>
        </w:rPr>
        <w:fldChar w:fldCharType="end"/>
      </w:r>
    </w:p>
    <w:p w14:paraId="36199F7B">
      <w:pPr>
        <w:pStyle w:val="21"/>
        <w:tabs>
          <w:tab w:val="right" w:leader="dot" w:pos="9070"/>
        </w:tabs>
        <w:spacing w:line="290" w:lineRule="exact"/>
      </w:pPr>
      <w:r>
        <w:rPr>
          <w:rFonts w:hint="eastAsia"/>
        </w:rPr>
        <w:fldChar w:fldCharType="begin"/>
      </w:r>
      <w:r>
        <w:rPr>
          <w:rFonts w:hint="eastAsia"/>
        </w:rPr>
        <w:instrText xml:space="preserve"> HYPERLINK \l _Toc22882 </w:instrText>
      </w:r>
      <w:r>
        <w:rPr>
          <w:rFonts w:hint="eastAsia"/>
        </w:rPr>
        <w:fldChar w:fldCharType="separate"/>
      </w:r>
      <w:r>
        <w:rPr>
          <w:rFonts w:hint="default" w:ascii="宋体" w:hAnsi="宋体" w:eastAsia="宋体" w:cs="宋体"/>
          <w:bCs/>
          <w:i w:val="0"/>
          <w:iCs w:val="0"/>
          <w:szCs w:val="21"/>
        </w:rPr>
        <w:t xml:space="preserve">3.1 </w:t>
      </w:r>
      <w:r>
        <w:rPr>
          <w:rFonts w:hint="eastAsia" w:ascii="宋体" w:hAnsi="宋体" w:eastAsia="宋体" w:cs="宋体"/>
          <w:bCs/>
        </w:rPr>
        <w:t>医疗器械无菌检（化）验员能力要求</w:t>
      </w:r>
      <w:r>
        <w:tab/>
      </w:r>
      <w:r>
        <w:fldChar w:fldCharType="begin"/>
      </w:r>
      <w:r>
        <w:instrText xml:space="preserve"> PAGEREF _Toc22882 \h </w:instrText>
      </w:r>
      <w:r>
        <w:fldChar w:fldCharType="separate"/>
      </w:r>
      <w:r>
        <w:t>1</w:t>
      </w:r>
      <w:r>
        <w:fldChar w:fldCharType="end"/>
      </w:r>
      <w:r>
        <w:rPr>
          <w:rFonts w:hint="eastAsia"/>
        </w:rPr>
        <w:fldChar w:fldCharType="end"/>
      </w:r>
    </w:p>
    <w:p w14:paraId="1501426F">
      <w:pPr>
        <w:pStyle w:val="21"/>
        <w:tabs>
          <w:tab w:val="right" w:leader="dot" w:pos="9070"/>
        </w:tabs>
        <w:spacing w:line="290" w:lineRule="exact"/>
      </w:pPr>
      <w:r>
        <w:rPr>
          <w:rFonts w:hint="eastAsia"/>
        </w:rPr>
        <w:fldChar w:fldCharType="begin"/>
      </w:r>
      <w:r>
        <w:rPr>
          <w:rFonts w:hint="eastAsia"/>
        </w:rPr>
        <w:instrText xml:space="preserve"> HYPERLINK \l _Toc10074 </w:instrText>
      </w:r>
      <w:r>
        <w:rPr>
          <w:rFonts w:hint="eastAsia"/>
        </w:rPr>
        <w:fldChar w:fldCharType="separate"/>
      </w:r>
      <w:r>
        <w:rPr>
          <w:rFonts w:hint="default" w:ascii="宋体" w:hAnsi="宋体" w:eastAsia="宋体" w:cs="宋体"/>
          <w:bCs/>
          <w:i w:val="0"/>
          <w:iCs w:val="0"/>
          <w:szCs w:val="21"/>
        </w:rPr>
        <w:t xml:space="preserve">3.2 </w:t>
      </w:r>
      <w:r>
        <w:rPr>
          <w:rFonts w:hint="eastAsia" w:ascii="宋体" w:hAnsi="宋体" w:eastAsia="宋体" w:cs="宋体"/>
          <w:bCs/>
          <w:szCs w:val="21"/>
        </w:rPr>
        <w:t>学历与专业要求</w:t>
      </w:r>
      <w:r>
        <w:tab/>
      </w:r>
      <w:r>
        <w:fldChar w:fldCharType="begin"/>
      </w:r>
      <w:r>
        <w:instrText xml:space="preserve"> PAGEREF _Toc10074 \h </w:instrText>
      </w:r>
      <w:r>
        <w:fldChar w:fldCharType="separate"/>
      </w:r>
      <w:r>
        <w:t>1</w:t>
      </w:r>
      <w:r>
        <w:fldChar w:fldCharType="end"/>
      </w:r>
      <w:r>
        <w:rPr>
          <w:rFonts w:hint="eastAsia"/>
        </w:rPr>
        <w:fldChar w:fldCharType="end"/>
      </w:r>
    </w:p>
    <w:p w14:paraId="37031D1B">
      <w:pPr>
        <w:pStyle w:val="21"/>
        <w:tabs>
          <w:tab w:val="right" w:leader="dot" w:pos="9070"/>
        </w:tabs>
        <w:spacing w:line="290" w:lineRule="exact"/>
      </w:pPr>
      <w:r>
        <w:rPr>
          <w:rFonts w:hint="eastAsia"/>
        </w:rPr>
        <w:fldChar w:fldCharType="begin"/>
      </w:r>
      <w:r>
        <w:rPr>
          <w:rFonts w:hint="eastAsia"/>
        </w:rPr>
        <w:instrText xml:space="preserve"> HYPERLINK \l _Toc20342 </w:instrText>
      </w:r>
      <w:r>
        <w:rPr>
          <w:rFonts w:hint="eastAsia"/>
        </w:rPr>
        <w:fldChar w:fldCharType="separate"/>
      </w:r>
      <w:r>
        <w:rPr>
          <w:rFonts w:hint="default" w:ascii="宋体" w:hAnsi="宋体" w:eastAsia="宋体" w:cs="宋体"/>
          <w:bCs/>
          <w:i w:val="0"/>
          <w:iCs w:val="0"/>
          <w:szCs w:val="21"/>
        </w:rPr>
        <w:t xml:space="preserve">3.3 </w:t>
      </w:r>
      <w:r>
        <w:rPr>
          <w:rFonts w:hint="eastAsia" w:ascii="宋体" w:hAnsi="宋体" w:eastAsia="宋体" w:cs="宋体"/>
          <w:bCs/>
          <w:szCs w:val="21"/>
        </w:rPr>
        <w:t>从业经历要求</w:t>
      </w:r>
      <w:r>
        <w:tab/>
      </w:r>
      <w:r>
        <w:fldChar w:fldCharType="begin"/>
      </w:r>
      <w:r>
        <w:instrText xml:space="preserve"> PAGEREF _Toc20342 \h </w:instrText>
      </w:r>
      <w:r>
        <w:fldChar w:fldCharType="separate"/>
      </w:r>
      <w:r>
        <w:t>2</w:t>
      </w:r>
      <w:r>
        <w:fldChar w:fldCharType="end"/>
      </w:r>
      <w:r>
        <w:rPr>
          <w:rFonts w:hint="eastAsia"/>
        </w:rPr>
        <w:fldChar w:fldCharType="end"/>
      </w:r>
    </w:p>
    <w:p w14:paraId="52BF05E4">
      <w:pPr>
        <w:pStyle w:val="21"/>
        <w:tabs>
          <w:tab w:val="right" w:leader="dot" w:pos="9070"/>
        </w:tabs>
        <w:spacing w:line="280" w:lineRule="exact"/>
      </w:pPr>
      <w:r>
        <w:rPr>
          <w:rFonts w:hint="eastAsia"/>
        </w:rPr>
        <w:fldChar w:fldCharType="begin"/>
      </w:r>
      <w:r>
        <w:rPr>
          <w:rFonts w:hint="eastAsia"/>
        </w:rPr>
        <w:instrText xml:space="preserve"> HYPERLINK \l _Toc1865 </w:instrText>
      </w:r>
      <w:r>
        <w:rPr>
          <w:rFonts w:hint="eastAsia"/>
        </w:rPr>
        <w:fldChar w:fldCharType="separate"/>
      </w:r>
      <w:r>
        <w:rPr>
          <w:rFonts w:hint="default" w:ascii="宋体" w:hAnsi="宋体" w:eastAsia="宋体" w:cs="宋体"/>
          <w:bCs/>
          <w:i w:val="0"/>
          <w:iCs w:val="0"/>
          <w:szCs w:val="21"/>
        </w:rPr>
        <w:t xml:space="preserve">3.4 </w:t>
      </w:r>
      <w:r>
        <w:rPr>
          <w:rFonts w:hint="eastAsia" w:ascii="宋体" w:hAnsi="宋体" w:eastAsia="宋体" w:cs="宋体"/>
          <w:bCs/>
          <w:szCs w:val="21"/>
        </w:rPr>
        <w:t>相关培训记录要求</w:t>
      </w:r>
      <w:r>
        <w:tab/>
      </w:r>
      <w:r>
        <w:fldChar w:fldCharType="begin"/>
      </w:r>
      <w:r>
        <w:instrText xml:space="preserve"> PAGEREF _Toc1865 \h </w:instrText>
      </w:r>
      <w:r>
        <w:fldChar w:fldCharType="separate"/>
      </w:r>
      <w:r>
        <w:t>2</w:t>
      </w:r>
      <w:r>
        <w:fldChar w:fldCharType="end"/>
      </w:r>
      <w:r>
        <w:rPr>
          <w:rFonts w:hint="eastAsia"/>
        </w:rPr>
        <w:fldChar w:fldCharType="end"/>
      </w:r>
    </w:p>
    <w:p w14:paraId="1ABCB091">
      <w:pPr>
        <w:pStyle w:val="21"/>
        <w:tabs>
          <w:tab w:val="right" w:leader="dot" w:pos="9070"/>
        </w:tabs>
        <w:spacing w:line="290" w:lineRule="exact"/>
      </w:pPr>
      <w:r>
        <w:rPr>
          <w:rFonts w:hint="eastAsia"/>
        </w:rPr>
        <w:fldChar w:fldCharType="begin"/>
      </w:r>
      <w:r>
        <w:rPr>
          <w:rFonts w:hint="eastAsia"/>
        </w:rPr>
        <w:instrText xml:space="preserve"> HYPERLINK \l _Toc23761 </w:instrText>
      </w:r>
      <w:r>
        <w:rPr>
          <w:rFonts w:hint="eastAsia"/>
        </w:rPr>
        <w:fldChar w:fldCharType="separate"/>
      </w:r>
      <w:r>
        <w:rPr>
          <w:rFonts w:hint="default" w:ascii="宋体" w:hAnsi="宋体" w:eastAsia="宋体" w:cs="宋体"/>
          <w:bCs/>
          <w:i w:val="0"/>
          <w:iCs w:val="0"/>
          <w:szCs w:val="21"/>
        </w:rPr>
        <w:t xml:space="preserve">3.5 </w:t>
      </w:r>
      <w:r>
        <w:rPr>
          <w:rFonts w:hint="eastAsia" w:ascii="宋体" w:hAnsi="宋体" w:eastAsia="宋体" w:cs="宋体"/>
          <w:bCs/>
          <w:szCs w:val="21"/>
        </w:rPr>
        <w:t>职业能力要求</w:t>
      </w:r>
      <w:r>
        <w:tab/>
      </w:r>
      <w:r>
        <w:fldChar w:fldCharType="begin"/>
      </w:r>
      <w:r>
        <w:instrText xml:space="preserve"> PAGEREF _Toc23761 \h </w:instrText>
      </w:r>
      <w:r>
        <w:fldChar w:fldCharType="separate"/>
      </w:r>
      <w:r>
        <w:t>2</w:t>
      </w:r>
      <w:r>
        <w:fldChar w:fldCharType="end"/>
      </w:r>
      <w:r>
        <w:rPr>
          <w:rFonts w:hint="eastAsia"/>
        </w:rPr>
        <w:fldChar w:fldCharType="end"/>
      </w:r>
    </w:p>
    <w:p w14:paraId="4216E914">
      <w:pPr>
        <w:pStyle w:val="21"/>
        <w:tabs>
          <w:tab w:val="right" w:leader="dot" w:pos="9070"/>
        </w:tabs>
        <w:spacing w:line="290" w:lineRule="exact"/>
      </w:pPr>
      <w:r>
        <w:rPr>
          <w:rFonts w:hint="eastAsia"/>
        </w:rPr>
        <w:fldChar w:fldCharType="begin"/>
      </w:r>
      <w:r>
        <w:rPr>
          <w:rFonts w:hint="eastAsia"/>
        </w:rPr>
        <w:instrText xml:space="preserve"> HYPERLINK \l _Toc31969 </w:instrText>
      </w:r>
      <w:r>
        <w:rPr>
          <w:rFonts w:hint="eastAsia"/>
        </w:rPr>
        <w:fldChar w:fldCharType="separate"/>
      </w:r>
      <w:r>
        <w:rPr>
          <w:rFonts w:hint="default" w:ascii="宋体" w:hAnsi="宋体" w:eastAsia="宋体" w:cs="宋体"/>
          <w:bCs/>
          <w:i w:val="0"/>
          <w:iCs w:val="0"/>
          <w:szCs w:val="21"/>
        </w:rPr>
        <w:t xml:space="preserve">3.6 </w:t>
      </w:r>
      <w:r>
        <w:rPr>
          <w:rFonts w:hint="eastAsia" w:ascii="宋体" w:hAnsi="宋体" w:eastAsia="宋体" w:cs="宋体"/>
          <w:bCs/>
          <w:szCs w:val="21"/>
        </w:rPr>
        <w:t>职业素养</w:t>
      </w:r>
      <w:r>
        <w:tab/>
      </w:r>
      <w:r>
        <w:fldChar w:fldCharType="begin"/>
      </w:r>
      <w:r>
        <w:instrText xml:space="preserve"> PAGEREF _Toc31969 \h </w:instrText>
      </w:r>
      <w:r>
        <w:fldChar w:fldCharType="separate"/>
      </w:r>
      <w:r>
        <w:t>2</w:t>
      </w:r>
      <w:r>
        <w:fldChar w:fldCharType="end"/>
      </w:r>
      <w:r>
        <w:rPr>
          <w:rFonts w:hint="eastAsia"/>
        </w:rPr>
        <w:fldChar w:fldCharType="end"/>
      </w:r>
    </w:p>
    <w:p w14:paraId="53CB694D">
      <w:pPr>
        <w:pStyle w:val="21"/>
        <w:tabs>
          <w:tab w:val="right" w:leader="dot" w:pos="9070"/>
        </w:tabs>
        <w:spacing w:line="290" w:lineRule="exact"/>
      </w:pPr>
      <w:r>
        <w:rPr>
          <w:rFonts w:hint="eastAsia"/>
        </w:rPr>
        <w:fldChar w:fldCharType="begin"/>
      </w:r>
      <w:r>
        <w:rPr>
          <w:rFonts w:hint="eastAsia"/>
        </w:rPr>
        <w:instrText xml:space="preserve"> HYPERLINK \l _Toc13223 </w:instrText>
      </w:r>
      <w:r>
        <w:rPr>
          <w:rFonts w:hint="eastAsia"/>
        </w:rPr>
        <w:fldChar w:fldCharType="separate"/>
      </w:r>
      <w:r>
        <w:rPr>
          <w:rFonts w:hint="default" w:ascii="宋体" w:hAnsi="宋体" w:eastAsia="宋体" w:cs="宋体"/>
          <w:bCs/>
          <w:i w:val="0"/>
          <w:iCs w:val="0"/>
          <w:szCs w:val="21"/>
        </w:rPr>
        <w:t xml:space="preserve">3.7 </w:t>
      </w:r>
      <w:r>
        <w:rPr>
          <w:rFonts w:hint="eastAsia" w:ascii="宋体" w:hAnsi="宋体" w:eastAsia="宋体" w:cs="宋体"/>
          <w:bCs/>
          <w:szCs w:val="21"/>
        </w:rPr>
        <w:t>岗位职责</w:t>
      </w:r>
      <w:r>
        <w:tab/>
      </w:r>
      <w:r>
        <w:fldChar w:fldCharType="begin"/>
      </w:r>
      <w:r>
        <w:instrText xml:space="preserve"> PAGEREF _Toc13223 \h </w:instrText>
      </w:r>
      <w:r>
        <w:fldChar w:fldCharType="separate"/>
      </w:r>
      <w:r>
        <w:t>2</w:t>
      </w:r>
      <w:r>
        <w:fldChar w:fldCharType="end"/>
      </w:r>
      <w:r>
        <w:rPr>
          <w:rFonts w:hint="eastAsia"/>
        </w:rPr>
        <w:fldChar w:fldCharType="end"/>
      </w:r>
    </w:p>
    <w:p w14:paraId="12324BD7">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_Toc8106 </w:instrText>
      </w:r>
      <w:r>
        <w:rPr>
          <w:rFonts w:hint="eastAsia"/>
        </w:rPr>
        <w:fldChar w:fldCharType="separate"/>
      </w:r>
      <w:r>
        <w:rPr>
          <w:rFonts w:hint="default" w:ascii="宋体" w:hAnsi="宋体" w:eastAsia="宋体" w:cs="宋体"/>
          <w:bCs/>
          <w:i w:val="0"/>
          <w:iCs w:val="0"/>
          <w:szCs w:val="24"/>
        </w:rPr>
        <w:t xml:space="preserve">4 </w:t>
      </w:r>
      <w:r>
        <w:rPr>
          <w:rFonts w:hint="eastAsia" w:ascii="宋体" w:hAnsi="宋体" w:eastAsia="宋体" w:cs="宋体"/>
          <w:bCs/>
          <w:szCs w:val="24"/>
        </w:rPr>
        <w:t>检验规则</w:t>
      </w:r>
      <w:r>
        <w:tab/>
      </w:r>
      <w:r>
        <w:fldChar w:fldCharType="begin"/>
      </w:r>
      <w:r>
        <w:instrText xml:space="preserve"> PAGEREF _Toc8106 \h </w:instrText>
      </w:r>
      <w:r>
        <w:fldChar w:fldCharType="separate"/>
      </w:r>
      <w:r>
        <w:t>2</w:t>
      </w:r>
      <w:r>
        <w:fldChar w:fldCharType="end"/>
      </w:r>
      <w:r>
        <w:rPr>
          <w:rFonts w:hint="eastAsia"/>
        </w:rPr>
        <w:fldChar w:fldCharType="end"/>
      </w:r>
    </w:p>
    <w:p w14:paraId="63872132">
      <w:pPr>
        <w:pStyle w:val="21"/>
        <w:tabs>
          <w:tab w:val="right" w:leader="dot" w:pos="9070"/>
        </w:tabs>
        <w:spacing w:line="290" w:lineRule="exact"/>
      </w:pPr>
      <w:r>
        <w:rPr>
          <w:rFonts w:hint="eastAsia"/>
        </w:rPr>
        <w:fldChar w:fldCharType="begin"/>
      </w:r>
      <w:r>
        <w:rPr>
          <w:rFonts w:hint="eastAsia"/>
        </w:rPr>
        <w:instrText xml:space="preserve"> HYPERLINK \l _Toc27408 </w:instrText>
      </w:r>
      <w:r>
        <w:rPr>
          <w:rFonts w:hint="eastAsia"/>
        </w:rPr>
        <w:fldChar w:fldCharType="separate"/>
      </w:r>
      <w:r>
        <w:rPr>
          <w:rFonts w:hint="default" w:ascii="宋体" w:hAnsi="宋体" w:eastAsia="宋体" w:cs="宋体"/>
          <w:bCs/>
          <w:i w:val="0"/>
          <w:iCs w:val="0"/>
          <w:szCs w:val="21"/>
        </w:rPr>
        <w:t xml:space="preserve">4.1 </w:t>
      </w:r>
      <w:r>
        <w:rPr>
          <w:rFonts w:hint="eastAsia" w:ascii="宋体" w:hAnsi="宋体" w:eastAsia="宋体" w:cs="宋体"/>
          <w:bCs/>
          <w:szCs w:val="21"/>
        </w:rPr>
        <w:t>检验使用辅料要求</w:t>
      </w:r>
      <w:r>
        <w:tab/>
      </w:r>
      <w:r>
        <w:fldChar w:fldCharType="begin"/>
      </w:r>
      <w:r>
        <w:instrText xml:space="preserve"> PAGEREF _Toc27408 \h </w:instrText>
      </w:r>
      <w:r>
        <w:fldChar w:fldCharType="separate"/>
      </w:r>
      <w:r>
        <w:t>2</w:t>
      </w:r>
      <w:r>
        <w:fldChar w:fldCharType="end"/>
      </w:r>
      <w:r>
        <w:rPr>
          <w:rFonts w:hint="eastAsia"/>
        </w:rPr>
        <w:fldChar w:fldCharType="end"/>
      </w:r>
    </w:p>
    <w:p w14:paraId="03DA55D5">
      <w:pPr>
        <w:pStyle w:val="21"/>
        <w:tabs>
          <w:tab w:val="right" w:leader="dot" w:pos="9070"/>
        </w:tabs>
        <w:spacing w:line="290" w:lineRule="exact"/>
      </w:pPr>
      <w:r>
        <w:rPr>
          <w:rFonts w:hint="eastAsia"/>
        </w:rPr>
        <w:fldChar w:fldCharType="begin"/>
      </w:r>
      <w:r>
        <w:rPr>
          <w:rFonts w:hint="eastAsia"/>
        </w:rPr>
        <w:instrText xml:space="preserve"> HYPERLINK \l _Toc22847 </w:instrText>
      </w:r>
      <w:r>
        <w:rPr>
          <w:rFonts w:hint="eastAsia"/>
        </w:rPr>
        <w:fldChar w:fldCharType="separate"/>
      </w:r>
      <w:r>
        <w:rPr>
          <w:rFonts w:hint="default" w:ascii="宋体" w:hAnsi="宋体" w:eastAsia="宋体" w:cs="宋体"/>
          <w:bCs/>
          <w:i w:val="0"/>
          <w:iCs w:val="0"/>
          <w:szCs w:val="21"/>
        </w:rPr>
        <w:t xml:space="preserve">4.2 </w:t>
      </w:r>
      <w:r>
        <w:rPr>
          <w:rFonts w:hint="eastAsia" w:ascii="宋体" w:hAnsi="宋体" w:eastAsia="宋体" w:cs="宋体"/>
          <w:bCs/>
          <w:szCs w:val="21"/>
        </w:rPr>
        <w:t>检验工作描述</w:t>
      </w:r>
      <w:r>
        <w:tab/>
      </w:r>
      <w:r>
        <w:fldChar w:fldCharType="begin"/>
      </w:r>
      <w:r>
        <w:instrText xml:space="preserve"> PAGEREF _Toc22847 \h </w:instrText>
      </w:r>
      <w:r>
        <w:fldChar w:fldCharType="separate"/>
      </w:r>
      <w:r>
        <w:t>3</w:t>
      </w:r>
      <w:r>
        <w:fldChar w:fldCharType="end"/>
      </w:r>
      <w:r>
        <w:rPr>
          <w:rFonts w:hint="eastAsia"/>
        </w:rPr>
        <w:fldChar w:fldCharType="end"/>
      </w:r>
    </w:p>
    <w:p w14:paraId="389665E1">
      <w:pPr>
        <w:pStyle w:val="21"/>
        <w:tabs>
          <w:tab w:val="right" w:leader="dot" w:pos="9070"/>
        </w:tabs>
        <w:spacing w:line="290" w:lineRule="exact"/>
      </w:pPr>
      <w:r>
        <w:rPr>
          <w:rFonts w:hint="eastAsia"/>
        </w:rPr>
        <w:fldChar w:fldCharType="begin"/>
      </w:r>
      <w:r>
        <w:rPr>
          <w:rFonts w:hint="eastAsia"/>
        </w:rPr>
        <w:instrText xml:space="preserve"> HYPERLINK \l _Toc24961 </w:instrText>
      </w:r>
      <w:r>
        <w:rPr>
          <w:rFonts w:hint="eastAsia"/>
        </w:rPr>
        <w:fldChar w:fldCharType="separate"/>
      </w:r>
      <w:r>
        <w:rPr>
          <w:rFonts w:hint="default" w:ascii="宋体" w:hAnsi="宋体" w:eastAsia="宋体" w:cs="宋体"/>
          <w:bCs/>
          <w:i w:val="0"/>
          <w:iCs w:val="0"/>
          <w:szCs w:val="21"/>
        </w:rPr>
        <w:t xml:space="preserve">4.3 </w:t>
      </w:r>
      <w:r>
        <w:rPr>
          <w:rFonts w:hint="eastAsia" w:ascii="宋体" w:hAnsi="宋体" w:eastAsia="宋体" w:cs="宋体"/>
          <w:bCs/>
          <w:szCs w:val="21"/>
        </w:rPr>
        <w:t>质量要求</w:t>
      </w:r>
      <w:r>
        <w:tab/>
      </w:r>
      <w:r>
        <w:fldChar w:fldCharType="begin"/>
      </w:r>
      <w:r>
        <w:instrText xml:space="preserve"> PAGEREF _Toc24961 \h </w:instrText>
      </w:r>
      <w:r>
        <w:fldChar w:fldCharType="separate"/>
      </w:r>
      <w:r>
        <w:t>3</w:t>
      </w:r>
      <w:r>
        <w:fldChar w:fldCharType="end"/>
      </w:r>
      <w:r>
        <w:rPr>
          <w:rFonts w:hint="eastAsia"/>
        </w:rPr>
        <w:fldChar w:fldCharType="end"/>
      </w:r>
    </w:p>
    <w:p w14:paraId="7F7E1B58">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_Toc17532 </w:instrText>
      </w:r>
      <w:r>
        <w:rPr>
          <w:rFonts w:hint="eastAsia"/>
        </w:rPr>
        <w:fldChar w:fldCharType="separate"/>
      </w:r>
      <w:r>
        <w:rPr>
          <w:rFonts w:hint="default" w:ascii="宋体" w:hAnsi="宋体" w:eastAsia="宋体" w:cs="宋体"/>
          <w:bCs/>
          <w:i w:val="0"/>
          <w:iCs w:val="0"/>
          <w:szCs w:val="24"/>
        </w:rPr>
        <w:t xml:space="preserve">5 </w:t>
      </w:r>
      <w:r>
        <w:rPr>
          <w:rFonts w:hint="eastAsia" w:ascii="宋体" w:hAnsi="宋体" w:eastAsia="宋体" w:cs="宋体"/>
          <w:bCs/>
          <w:szCs w:val="24"/>
        </w:rPr>
        <w:t>检测流程及操作SOP</w:t>
      </w:r>
      <w:r>
        <w:tab/>
      </w:r>
      <w:r>
        <w:fldChar w:fldCharType="begin"/>
      </w:r>
      <w:r>
        <w:instrText xml:space="preserve"> PAGEREF _Toc17532 \h </w:instrText>
      </w:r>
      <w:r>
        <w:fldChar w:fldCharType="separate"/>
      </w:r>
      <w:r>
        <w:t>3</w:t>
      </w:r>
      <w:r>
        <w:fldChar w:fldCharType="end"/>
      </w:r>
      <w:r>
        <w:rPr>
          <w:rFonts w:hint="eastAsia"/>
        </w:rPr>
        <w:fldChar w:fldCharType="end"/>
      </w:r>
    </w:p>
    <w:p w14:paraId="339875DA">
      <w:pPr>
        <w:pStyle w:val="21"/>
        <w:tabs>
          <w:tab w:val="right" w:leader="dot" w:pos="9070"/>
        </w:tabs>
        <w:spacing w:line="290" w:lineRule="exact"/>
      </w:pPr>
      <w:r>
        <w:rPr>
          <w:rFonts w:hint="eastAsia"/>
        </w:rPr>
        <w:fldChar w:fldCharType="begin"/>
      </w:r>
      <w:r>
        <w:rPr>
          <w:rFonts w:hint="eastAsia"/>
        </w:rPr>
        <w:instrText xml:space="preserve"> HYPERLINK \l _Toc2997 </w:instrText>
      </w:r>
      <w:r>
        <w:rPr>
          <w:rFonts w:hint="eastAsia"/>
        </w:rPr>
        <w:fldChar w:fldCharType="separate"/>
      </w:r>
      <w:r>
        <w:rPr>
          <w:rFonts w:hint="default" w:ascii="宋体" w:hAnsi="宋体" w:eastAsia="宋体" w:cs="宋体"/>
          <w:bCs/>
          <w:i w:val="0"/>
          <w:iCs w:val="0"/>
          <w:szCs w:val="21"/>
        </w:rPr>
        <w:t xml:space="preserve">5.1 </w:t>
      </w:r>
      <w:r>
        <w:rPr>
          <w:rFonts w:hint="eastAsia" w:ascii="宋体" w:hAnsi="宋体" w:eastAsia="宋体" w:cs="宋体"/>
          <w:bCs/>
          <w:szCs w:val="21"/>
        </w:rPr>
        <w:t>初始污染菌检测</w:t>
      </w:r>
      <w:r>
        <w:tab/>
      </w:r>
      <w:r>
        <w:fldChar w:fldCharType="begin"/>
      </w:r>
      <w:r>
        <w:instrText xml:space="preserve"> PAGEREF _Toc2997 \h </w:instrText>
      </w:r>
      <w:r>
        <w:fldChar w:fldCharType="separate"/>
      </w:r>
      <w:r>
        <w:t>3</w:t>
      </w:r>
      <w:r>
        <w:fldChar w:fldCharType="end"/>
      </w:r>
      <w:r>
        <w:rPr>
          <w:rFonts w:hint="eastAsia"/>
        </w:rPr>
        <w:fldChar w:fldCharType="end"/>
      </w:r>
    </w:p>
    <w:p w14:paraId="60A55695">
      <w:pPr>
        <w:pStyle w:val="13"/>
        <w:tabs>
          <w:tab w:val="right" w:leader="dot" w:pos="9070"/>
        </w:tabs>
        <w:spacing w:line="290" w:lineRule="exact"/>
      </w:pPr>
      <w:r>
        <w:rPr>
          <w:rFonts w:hint="eastAsia"/>
        </w:rPr>
        <w:fldChar w:fldCharType="begin"/>
      </w:r>
      <w:r>
        <w:rPr>
          <w:rFonts w:hint="eastAsia"/>
        </w:rPr>
        <w:instrText xml:space="preserve"> HYPERLINK \l _Toc31548 </w:instrText>
      </w:r>
      <w:r>
        <w:rPr>
          <w:rFonts w:hint="eastAsia"/>
        </w:rPr>
        <w:fldChar w:fldCharType="separate"/>
      </w:r>
      <w:r>
        <w:rPr>
          <w:rFonts w:hint="eastAsia" w:ascii="宋体" w:hAnsi="宋体" w:eastAsia="宋体" w:cs="宋体"/>
          <w:szCs w:val="21"/>
        </w:rPr>
        <w:t>5.1.1初始污染菌（生物负载）检测方法</w:t>
      </w:r>
      <w:r>
        <w:tab/>
      </w:r>
      <w:r>
        <w:fldChar w:fldCharType="begin"/>
      </w:r>
      <w:r>
        <w:instrText xml:space="preserve"> PAGEREF _Toc31548 \h </w:instrText>
      </w:r>
      <w:r>
        <w:fldChar w:fldCharType="separate"/>
      </w:r>
      <w:r>
        <w:t>3</w:t>
      </w:r>
      <w:r>
        <w:fldChar w:fldCharType="end"/>
      </w:r>
      <w:r>
        <w:rPr>
          <w:rFonts w:hint="eastAsia"/>
        </w:rPr>
        <w:fldChar w:fldCharType="end"/>
      </w:r>
    </w:p>
    <w:p w14:paraId="4ADBEAFC">
      <w:pPr>
        <w:pStyle w:val="13"/>
        <w:tabs>
          <w:tab w:val="right" w:leader="dot" w:pos="9070"/>
        </w:tabs>
        <w:spacing w:line="290" w:lineRule="exact"/>
      </w:pPr>
      <w:r>
        <w:rPr>
          <w:rFonts w:hint="eastAsia"/>
        </w:rPr>
        <w:fldChar w:fldCharType="begin"/>
      </w:r>
      <w:r>
        <w:rPr>
          <w:rFonts w:hint="eastAsia"/>
        </w:rPr>
        <w:instrText xml:space="preserve"> HYPERLINK \l _Toc23550 </w:instrText>
      </w:r>
      <w:r>
        <w:rPr>
          <w:rFonts w:hint="eastAsia"/>
        </w:rPr>
        <w:fldChar w:fldCharType="separate"/>
      </w:r>
      <w:r>
        <w:rPr>
          <w:rFonts w:hint="eastAsia" w:ascii="宋体" w:hAnsi="宋体" w:eastAsia="宋体" w:cs="宋体"/>
          <w:szCs w:val="21"/>
        </w:rPr>
        <w:t>5.1.2采样方法</w:t>
      </w:r>
      <w:r>
        <w:tab/>
      </w:r>
      <w:r>
        <w:fldChar w:fldCharType="begin"/>
      </w:r>
      <w:r>
        <w:instrText xml:space="preserve"> PAGEREF _Toc23550 \h </w:instrText>
      </w:r>
      <w:r>
        <w:fldChar w:fldCharType="separate"/>
      </w:r>
      <w:r>
        <w:t>3</w:t>
      </w:r>
      <w:r>
        <w:fldChar w:fldCharType="end"/>
      </w:r>
      <w:r>
        <w:rPr>
          <w:rFonts w:hint="eastAsia"/>
        </w:rPr>
        <w:fldChar w:fldCharType="end"/>
      </w:r>
    </w:p>
    <w:p w14:paraId="1E657894">
      <w:pPr>
        <w:pStyle w:val="21"/>
        <w:tabs>
          <w:tab w:val="right" w:leader="dot" w:pos="9070"/>
        </w:tabs>
        <w:spacing w:line="290" w:lineRule="exact"/>
      </w:pPr>
      <w:r>
        <w:rPr>
          <w:rFonts w:hint="eastAsia"/>
        </w:rPr>
        <w:fldChar w:fldCharType="begin"/>
      </w:r>
      <w:r>
        <w:rPr>
          <w:rFonts w:hint="eastAsia"/>
        </w:rPr>
        <w:instrText xml:space="preserve"> HYPERLINK \l _Toc28387 </w:instrText>
      </w:r>
      <w:r>
        <w:rPr>
          <w:rFonts w:hint="eastAsia"/>
        </w:rPr>
        <w:fldChar w:fldCharType="separate"/>
      </w:r>
      <w:r>
        <w:rPr>
          <w:rFonts w:hint="default" w:ascii="宋体" w:hAnsi="宋体" w:eastAsia="宋体" w:cs="宋体"/>
          <w:bCs/>
          <w:i w:val="0"/>
          <w:iCs w:val="0"/>
          <w:kern w:val="0"/>
          <w:szCs w:val="21"/>
        </w:rPr>
        <w:t xml:space="preserve">5.2 </w:t>
      </w:r>
      <w:r>
        <w:rPr>
          <w:rFonts w:hint="eastAsia" w:ascii="宋体" w:hAnsi="宋体" w:eastAsia="宋体" w:cs="宋体"/>
          <w:bCs/>
          <w:kern w:val="0"/>
          <w:szCs w:val="21"/>
        </w:rPr>
        <w:t>检测方法</w:t>
      </w:r>
      <w:r>
        <w:tab/>
      </w:r>
      <w:r>
        <w:fldChar w:fldCharType="begin"/>
      </w:r>
      <w:r>
        <w:instrText xml:space="preserve"> PAGEREF _Toc28387 \h </w:instrText>
      </w:r>
      <w:r>
        <w:fldChar w:fldCharType="separate"/>
      </w:r>
      <w:r>
        <w:t>3</w:t>
      </w:r>
      <w:r>
        <w:fldChar w:fldCharType="end"/>
      </w:r>
      <w:r>
        <w:rPr>
          <w:rFonts w:hint="eastAsia"/>
        </w:rPr>
        <w:fldChar w:fldCharType="end"/>
      </w:r>
    </w:p>
    <w:p w14:paraId="169B2D9B">
      <w:pPr>
        <w:pStyle w:val="13"/>
        <w:tabs>
          <w:tab w:val="right" w:leader="dot" w:pos="9070"/>
        </w:tabs>
        <w:spacing w:line="290" w:lineRule="exact"/>
      </w:pPr>
      <w:r>
        <w:rPr>
          <w:rFonts w:hint="eastAsia"/>
        </w:rPr>
        <w:fldChar w:fldCharType="begin"/>
      </w:r>
      <w:r>
        <w:rPr>
          <w:rFonts w:hint="eastAsia"/>
        </w:rPr>
        <w:instrText xml:space="preserve"> HYPERLINK \l _Toc3365 </w:instrText>
      </w:r>
      <w:r>
        <w:rPr>
          <w:rFonts w:hint="eastAsia"/>
        </w:rPr>
        <w:fldChar w:fldCharType="separate"/>
      </w:r>
      <w:r>
        <w:rPr>
          <w:rFonts w:hint="eastAsia" w:ascii="宋体" w:hAnsi="宋体" w:eastAsia="宋体" w:cs="宋体"/>
          <w:iCs/>
          <w:szCs w:val="21"/>
        </w:rPr>
        <w:t>5.2.1抽样方式</w:t>
      </w:r>
      <w:r>
        <w:tab/>
      </w:r>
      <w:r>
        <w:fldChar w:fldCharType="begin"/>
      </w:r>
      <w:r>
        <w:instrText xml:space="preserve"> PAGEREF _Toc3365 \h </w:instrText>
      </w:r>
      <w:r>
        <w:fldChar w:fldCharType="separate"/>
      </w:r>
      <w:r>
        <w:t>3</w:t>
      </w:r>
      <w:r>
        <w:fldChar w:fldCharType="end"/>
      </w:r>
      <w:r>
        <w:rPr>
          <w:rFonts w:hint="eastAsia"/>
        </w:rPr>
        <w:fldChar w:fldCharType="end"/>
      </w:r>
    </w:p>
    <w:p w14:paraId="444008E8">
      <w:pPr>
        <w:pStyle w:val="13"/>
        <w:tabs>
          <w:tab w:val="right" w:leader="dot" w:pos="9070"/>
        </w:tabs>
        <w:spacing w:line="290" w:lineRule="exact"/>
      </w:pPr>
      <w:r>
        <w:rPr>
          <w:rFonts w:hint="eastAsia"/>
        </w:rPr>
        <w:fldChar w:fldCharType="begin"/>
      </w:r>
      <w:r>
        <w:rPr>
          <w:rFonts w:hint="eastAsia"/>
        </w:rPr>
        <w:instrText xml:space="preserve"> HYPERLINK \l _Toc2623 </w:instrText>
      </w:r>
      <w:r>
        <w:rPr>
          <w:rFonts w:hint="eastAsia"/>
        </w:rPr>
        <w:fldChar w:fldCharType="separate"/>
      </w:r>
      <w:r>
        <w:rPr>
          <w:rFonts w:hint="eastAsia" w:ascii="宋体" w:hAnsi="宋体" w:eastAsia="宋体" w:cs="宋体"/>
          <w:szCs w:val="21"/>
        </w:rPr>
        <w:t>5.2.2细菌培养</w:t>
      </w:r>
      <w:r>
        <w:tab/>
      </w:r>
      <w:r>
        <w:fldChar w:fldCharType="begin"/>
      </w:r>
      <w:r>
        <w:instrText xml:space="preserve"> PAGEREF _Toc2623 \h </w:instrText>
      </w:r>
      <w:r>
        <w:fldChar w:fldCharType="separate"/>
      </w:r>
      <w:r>
        <w:t>4</w:t>
      </w:r>
      <w:r>
        <w:fldChar w:fldCharType="end"/>
      </w:r>
      <w:r>
        <w:rPr>
          <w:rFonts w:hint="eastAsia"/>
        </w:rPr>
        <w:fldChar w:fldCharType="end"/>
      </w:r>
    </w:p>
    <w:p w14:paraId="76B5A4AE">
      <w:pPr>
        <w:pStyle w:val="13"/>
        <w:tabs>
          <w:tab w:val="right" w:leader="dot" w:pos="9070"/>
        </w:tabs>
        <w:spacing w:line="290" w:lineRule="exact"/>
      </w:pPr>
      <w:r>
        <w:rPr>
          <w:rFonts w:hint="eastAsia"/>
        </w:rPr>
        <w:fldChar w:fldCharType="begin"/>
      </w:r>
      <w:r>
        <w:rPr>
          <w:rFonts w:hint="eastAsia"/>
        </w:rPr>
        <w:instrText xml:space="preserve"> HYPERLINK \l _Toc13629 </w:instrText>
      </w:r>
      <w:r>
        <w:rPr>
          <w:rFonts w:hint="eastAsia"/>
        </w:rPr>
        <w:fldChar w:fldCharType="separate"/>
      </w:r>
      <w:r>
        <w:rPr>
          <w:rFonts w:hint="eastAsia" w:ascii="宋体" w:hAnsi="宋体" w:eastAsia="宋体" w:cs="宋体"/>
          <w:szCs w:val="21"/>
        </w:rPr>
        <w:t>5.2.3真菌培养</w:t>
      </w:r>
      <w:r>
        <w:tab/>
      </w:r>
      <w:r>
        <w:fldChar w:fldCharType="begin"/>
      </w:r>
      <w:r>
        <w:instrText xml:space="preserve"> PAGEREF _Toc13629 \h </w:instrText>
      </w:r>
      <w:r>
        <w:fldChar w:fldCharType="separate"/>
      </w:r>
      <w:r>
        <w:t>4</w:t>
      </w:r>
      <w:r>
        <w:fldChar w:fldCharType="end"/>
      </w:r>
      <w:r>
        <w:rPr>
          <w:rFonts w:hint="eastAsia"/>
        </w:rPr>
        <w:fldChar w:fldCharType="end"/>
      </w:r>
    </w:p>
    <w:p w14:paraId="57236F6E">
      <w:pPr>
        <w:pStyle w:val="13"/>
        <w:tabs>
          <w:tab w:val="right" w:leader="dot" w:pos="9070"/>
        </w:tabs>
        <w:spacing w:line="290" w:lineRule="exact"/>
      </w:pPr>
      <w:r>
        <w:rPr>
          <w:rFonts w:hint="eastAsia"/>
        </w:rPr>
        <w:fldChar w:fldCharType="begin"/>
      </w:r>
      <w:r>
        <w:rPr>
          <w:rFonts w:hint="eastAsia"/>
        </w:rPr>
        <w:instrText xml:space="preserve"> HYPERLINK \l _Toc3987 </w:instrText>
      </w:r>
      <w:r>
        <w:rPr>
          <w:rFonts w:hint="eastAsia"/>
        </w:rPr>
        <w:fldChar w:fldCharType="separate"/>
      </w:r>
      <w:r>
        <w:rPr>
          <w:rFonts w:hint="eastAsia" w:ascii="宋体" w:hAnsi="宋体" w:eastAsia="宋体" w:cs="宋体"/>
          <w:szCs w:val="21"/>
        </w:rPr>
        <w:t>5.2.4计算公式</w:t>
      </w:r>
      <w:r>
        <w:tab/>
      </w:r>
      <w:r>
        <w:fldChar w:fldCharType="begin"/>
      </w:r>
      <w:r>
        <w:instrText xml:space="preserve"> PAGEREF _Toc3987 \h </w:instrText>
      </w:r>
      <w:r>
        <w:fldChar w:fldCharType="separate"/>
      </w:r>
      <w:r>
        <w:t>4</w:t>
      </w:r>
      <w:r>
        <w:fldChar w:fldCharType="end"/>
      </w:r>
      <w:r>
        <w:rPr>
          <w:rFonts w:hint="eastAsia"/>
        </w:rPr>
        <w:fldChar w:fldCharType="end"/>
      </w:r>
    </w:p>
    <w:p w14:paraId="4ED04C0D">
      <w:pPr>
        <w:pStyle w:val="13"/>
        <w:tabs>
          <w:tab w:val="right" w:leader="dot" w:pos="9070"/>
        </w:tabs>
        <w:spacing w:line="290" w:lineRule="exact"/>
      </w:pPr>
      <w:r>
        <w:rPr>
          <w:rFonts w:hint="eastAsia"/>
        </w:rPr>
        <w:fldChar w:fldCharType="begin"/>
      </w:r>
      <w:r>
        <w:rPr>
          <w:rFonts w:hint="eastAsia"/>
        </w:rPr>
        <w:instrText xml:space="preserve"> HYPERLINK \l _Toc26643 </w:instrText>
      </w:r>
      <w:r>
        <w:rPr>
          <w:rFonts w:hint="eastAsia"/>
        </w:rPr>
        <w:fldChar w:fldCharType="separate"/>
      </w:r>
      <w:r>
        <w:rPr>
          <w:rFonts w:hint="eastAsia" w:ascii="宋体" w:hAnsi="宋体" w:eastAsia="宋体" w:cs="宋体"/>
          <w:szCs w:val="21"/>
        </w:rPr>
        <w:t>5.2.5抽样规则</w:t>
      </w:r>
      <w:r>
        <w:tab/>
      </w:r>
      <w:r>
        <w:fldChar w:fldCharType="begin"/>
      </w:r>
      <w:r>
        <w:instrText xml:space="preserve"> PAGEREF _Toc26643 \h </w:instrText>
      </w:r>
      <w:r>
        <w:fldChar w:fldCharType="separate"/>
      </w:r>
      <w:r>
        <w:t>4</w:t>
      </w:r>
      <w:r>
        <w:fldChar w:fldCharType="end"/>
      </w:r>
      <w:r>
        <w:rPr>
          <w:rFonts w:hint="eastAsia"/>
        </w:rPr>
        <w:fldChar w:fldCharType="end"/>
      </w:r>
    </w:p>
    <w:p w14:paraId="0478065D">
      <w:pPr>
        <w:pStyle w:val="13"/>
        <w:tabs>
          <w:tab w:val="right" w:leader="dot" w:pos="9070"/>
        </w:tabs>
        <w:spacing w:line="290" w:lineRule="exact"/>
      </w:pPr>
      <w:r>
        <w:rPr>
          <w:rFonts w:hint="eastAsia"/>
        </w:rPr>
        <w:fldChar w:fldCharType="begin"/>
      </w:r>
      <w:r>
        <w:rPr>
          <w:rFonts w:hint="eastAsia"/>
        </w:rPr>
        <w:instrText xml:space="preserve"> HYPERLINK \l _Toc31679 </w:instrText>
      </w:r>
      <w:r>
        <w:rPr>
          <w:rFonts w:hint="eastAsia"/>
        </w:rPr>
        <w:fldChar w:fldCharType="separate"/>
      </w:r>
      <w:r>
        <w:rPr>
          <w:rFonts w:hint="eastAsia" w:ascii="宋体" w:hAnsi="宋体" w:eastAsia="宋体" w:cs="宋体"/>
          <w:szCs w:val="21"/>
        </w:rPr>
        <w:t>5.2.6</w:t>
      </w:r>
      <w:r>
        <w:rPr>
          <w:rFonts w:hint="eastAsia" w:ascii="宋体" w:hAnsi="宋体" w:eastAsia="宋体" w:cs="宋体"/>
          <w:szCs w:val="21"/>
          <w:lang w:val="en-US" w:eastAsia="zh-CN"/>
        </w:rPr>
        <w:t>填写结果</w:t>
      </w:r>
      <w:r>
        <w:tab/>
      </w:r>
      <w:r>
        <w:fldChar w:fldCharType="begin"/>
      </w:r>
      <w:r>
        <w:instrText xml:space="preserve"> PAGEREF _Toc31679 \h </w:instrText>
      </w:r>
      <w:r>
        <w:fldChar w:fldCharType="separate"/>
      </w:r>
      <w:r>
        <w:t>4</w:t>
      </w:r>
      <w:r>
        <w:fldChar w:fldCharType="end"/>
      </w:r>
      <w:r>
        <w:rPr>
          <w:rFonts w:hint="eastAsia"/>
        </w:rPr>
        <w:fldChar w:fldCharType="end"/>
      </w:r>
    </w:p>
    <w:p w14:paraId="50BBF6CA">
      <w:pPr>
        <w:pStyle w:val="21"/>
        <w:tabs>
          <w:tab w:val="right" w:leader="dot" w:pos="9070"/>
        </w:tabs>
        <w:spacing w:line="290" w:lineRule="exact"/>
      </w:pPr>
      <w:r>
        <w:rPr>
          <w:rFonts w:hint="eastAsia"/>
        </w:rPr>
        <w:fldChar w:fldCharType="begin"/>
      </w:r>
      <w:r>
        <w:rPr>
          <w:rFonts w:hint="eastAsia"/>
        </w:rPr>
        <w:instrText xml:space="preserve"> HYPERLINK \l _Toc11812 </w:instrText>
      </w:r>
      <w:r>
        <w:rPr>
          <w:rFonts w:hint="eastAsia"/>
        </w:rPr>
        <w:fldChar w:fldCharType="separate"/>
      </w:r>
      <w:r>
        <w:rPr>
          <w:rFonts w:hint="default" w:ascii="宋体" w:hAnsi="宋体" w:eastAsia="宋体" w:cs="宋体"/>
          <w:bCs/>
          <w:i w:val="0"/>
          <w:iCs w:val="0"/>
          <w:kern w:val="0"/>
          <w:szCs w:val="21"/>
        </w:rPr>
        <w:t xml:space="preserve">5.3 </w:t>
      </w:r>
      <w:r>
        <w:rPr>
          <w:rFonts w:hint="eastAsia" w:ascii="宋体" w:hAnsi="宋体" w:eastAsia="宋体" w:cs="宋体"/>
          <w:bCs/>
          <w:kern w:val="0"/>
          <w:szCs w:val="21"/>
        </w:rPr>
        <w:t>初始污染菌的评价方法（重复回收法）</w:t>
      </w:r>
      <w:r>
        <w:tab/>
      </w:r>
      <w:r>
        <w:fldChar w:fldCharType="begin"/>
      </w:r>
      <w:r>
        <w:instrText xml:space="preserve"> PAGEREF _Toc11812 \h </w:instrText>
      </w:r>
      <w:r>
        <w:fldChar w:fldCharType="separate"/>
      </w:r>
      <w:r>
        <w:t>4</w:t>
      </w:r>
      <w:r>
        <w:fldChar w:fldCharType="end"/>
      </w:r>
      <w:r>
        <w:rPr>
          <w:rFonts w:hint="eastAsia"/>
        </w:rPr>
        <w:fldChar w:fldCharType="end"/>
      </w:r>
    </w:p>
    <w:p w14:paraId="4EE8BA95">
      <w:pPr>
        <w:pStyle w:val="13"/>
        <w:tabs>
          <w:tab w:val="right" w:leader="dot" w:pos="9070"/>
        </w:tabs>
        <w:spacing w:line="290" w:lineRule="exact"/>
      </w:pPr>
      <w:r>
        <w:rPr>
          <w:rFonts w:hint="eastAsia"/>
        </w:rPr>
        <w:fldChar w:fldCharType="begin"/>
      </w:r>
      <w:r>
        <w:rPr>
          <w:rFonts w:hint="eastAsia"/>
        </w:rPr>
        <w:instrText xml:space="preserve"> HYPERLINK \l _Toc16357 </w:instrText>
      </w:r>
      <w:r>
        <w:rPr>
          <w:rFonts w:hint="eastAsia"/>
        </w:rPr>
        <w:fldChar w:fldCharType="separate"/>
      </w:r>
      <w:r>
        <w:rPr>
          <w:rFonts w:hint="eastAsia" w:ascii="宋体" w:hAnsi="宋体" w:eastAsia="宋体" w:cs="宋体"/>
          <w:szCs w:val="21"/>
        </w:rPr>
        <w:t>5.3.1取样方法</w:t>
      </w:r>
      <w:r>
        <w:tab/>
      </w:r>
      <w:r>
        <w:fldChar w:fldCharType="begin"/>
      </w:r>
      <w:r>
        <w:instrText xml:space="preserve"> PAGEREF _Toc16357 \h </w:instrText>
      </w:r>
      <w:r>
        <w:fldChar w:fldCharType="separate"/>
      </w:r>
      <w:r>
        <w:t>4</w:t>
      </w:r>
      <w:r>
        <w:fldChar w:fldCharType="end"/>
      </w:r>
      <w:r>
        <w:rPr>
          <w:rFonts w:hint="eastAsia"/>
        </w:rPr>
        <w:fldChar w:fldCharType="end"/>
      </w:r>
    </w:p>
    <w:p w14:paraId="021F42E6">
      <w:pPr>
        <w:pStyle w:val="13"/>
        <w:tabs>
          <w:tab w:val="right" w:leader="dot" w:pos="9070"/>
        </w:tabs>
        <w:spacing w:line="290" w:lineRule="exact"/>
      </w:pPr>
      <w:r>
        <w:rPr>
          <w:rFonts w:hint="eastAsia"/>
        </w:rPr>
        <w:fldChar w:fldCharType="begin"/>
      </w:r>
      <w:r>
        <w:rPr>
          <w:rFonts w:hint="eastAsia"/>
        </w:rPr>
        <w:instrText xml:space="preserve"> HYPERLINK \l _Toc31811 </w:instrText>
      </w:r>
      <w:r>
        <w:rPr>
          <w:rFonts w:hint="eastAsia"/>
        </w:rPr>
        <w:fldChar w:fldCharType="separate"/>
      </w:r>
      <w:r>
        <w:rPr>
          <w:rFonts w:hint="eastAsia" w:ascii="宋体" w:hAnsi="宋体" w:eastAsia="宋体" w:cs="宋体"/>
          <w:szCs w:val="21"/>
        </w:rPr>
        <w:t>5.3.2实验室处理</w:t>
      </w:r>
      <w:r>
        <w:tab/>
      </w:r>
      <w:r>
        <w:fldChar w:fldCharType="begin"/>
      </w:r>
      <w:r>
        <w:instrText xml:space="preserve"> PAGEREF _Toc31811 \h </w:instrText>
      </w:r>
      <w:r>
        <w:fldChar w:fldCharType="separate"/>
      </w:r>
      <w:r>
        <w:t>5</w:t>
      </w:r>
      <w:r>
        <w:fldChar w:fldCharType="end"/>
      </w:r>
      <w:r>
        <w:rPr>
          <w:rFonts w:hint="eastAsia"/>
        </w:rPr>
        <w:fldChar w:fldCharType="end"/>
      </w:r>
    </w:p>
    <w:p w14:paraId="4A8F6AED">
      <w:pPr>
        <w:pStyle w:val="13"/>
        <w:tabs>
          <w:tab w:val="right" w:leader="dot" w:pos="9070"/>
        </w:tabs>
        <w:spacing w:line="290" w:lineRule="exact"/>
      </w:pPr>
      <w:r>
        <w:rPr>
          <w:rFonts w:hint="eastAsia"/>
        </w:rPr>
        <w:fldChar w:fldCharType="begin"/>
      </w:r>
      <w:r>
        <w:rPr>
          <w:rFonts w:hint="eastAsia"/>
        </w:rPr>
        <w:instrText xml:space="preserve"> HYPERLINK \l _Toc27899 </w:instrText>
      </w:r>
      <w:r>
        <w:rPr>
          <w:rFonts w:hint="eastAsia"/>
        </w:rPr>
        <w:fldChar w:fldCharType="separate"/>
      </w:r>
      <w:r>
        <w:rPr>
          <w:rFonts w:hint="eastAsia" w:ascii="宋体" w:hAnsi="宋体" w:eastAsia="宋体" w:cs="宋体"/>
          <w:szCs w:val="21"/>
        </w:rPr>
        <w:t>5.3.3分别记录</w:t>
      </w:r>
      <w:r>
        <w:tab/>
      </w:r>
      <w:r>
        <w:fldChar w:fldCharType="begin"/>
      </w:r>
      <w:r>
        <w:instrText xml:space="preserve"> PAGEREF _Toc27899 \h </w:instrText>
      </w:r>
      <w:r>
        <w:fldChar w:fldCharType="separate"/>
      </w:r>
      <w:r>
        <w:t>5</w:t>
      </w:r>
      <w:r>
        <w:fldChar w:fldCharType="end"/>
      </w:r>
      <w:r>
        <w:rPr>
          <w:rFonts w:hint="eastAsia"/>
        </w:rPr>
        <w:fldChar w:fldCharType="end"/>
      </w:r>
    </w:p>
    <w:p w14:paraId="3812D10D">
      <w:pPr>
        <w:pStyle w:val="13"/>
        <w:tabs>
          <w:tab w:val="right" w:leader="dot" w:pos="9070"/>
        </w:tabs>
        <w:spacing w:line="290" w:lineRule="exact"/>
      </w:pPr>
      <w:r>
        <w:rPr>
          <w:rFonts w:hint="eastAsia"/>
        </w:rPr>
        <w:fldChar w:fldCharType="begin"/>
      </w:r>
      <w:r>
        <w:rPr>
          <w:rFonts w:hint="eastAsia"/>
        </w:rPr>
        <w:instrText xml:space="preserve"> HYPERLINK \l _Toc31050 </w:instrText>
      </w:r>
      <w:r>
        <w:rPr>
          <w:rFonts w:hint="eastAsia"/>
        </w:rPr>
        <w:fldChar w:fldCharType="separate"/>
      </w:r>
      <w:r>
        <w:rPr>
          <w:rFonts w:hint="eastAsia" w:ascii="宋体" w:hAnsi="宋体" w:eastAsia="宋体" w:cs="宋体"/>
          <w:szCs w:val="21"/>
        </w:rPr>
        <w:t>5.3.4结果计算</w:t>
      </w:r>
      <w:r>
        <w:tab/>
      </w:r>
      <w:r>
        <w:fldChar w:fldCharType="begin"/>
      </w:r>
      <w:r>
        <w:instrText xml:space="preserve"> PAGEREF _Toc31050 \h </w:instrText>
      </w:r>
      <w:r>
        <w:fldChar w:fldCharType="separate"/>
      </w:r>
      <w:r>
        <w:t>5</w:t>
      </w:r>
      <w:r>
        <w:fldChar w:fldCharType="end"/>
      </w:r>
      <w:r>
        <w:rPr>
          <w:rFonts w:hint="eastAsia"/>
        </w:rPr>
        <w:fldChar w:fldCharType="end"/>
      </w:r>
    </w:p>
    <w:p w14:paraId="176B5805">
      <w:pPr>
        <w:pStyle w:val="13"/>
        <w:tabs>
          <w:tab w:val="right" w:leader="dot" w:pos="9070"/>
        </w:tabs>
        <w:spacing w:line="290" w:lineRule="exact"/>
      </w:pPr>
      <w:r>
        <w:rPr>
          <w:rFonts w:hint="eastAsia"/>
        </w:rPr>
        <w:fldChar w:fldCharType="begin"/>
      </w:r>
      <w:r>
        <w:rPr>
          <w:rFonts w:hint="eastAsia"/>
        </w:rPr>
        <w:instrText xml:space="preserve"> HYPERLINK \l _Toc2345 </w:instrText>
      </w:r>
      <w:r>
        <w:rPr>
          <w:rFonts w:hint="eastAsia"/>
        </w:rPr>
        <w:fldChar w:fldCharType="separate"/>
      </w:r>
      <w:r>
        <w:rPr>
          <w:rFonts w:hint="eastAsia" w:ascii="宋体" w:hAnsi="宋体" w:eastAsia="宋体" w:cs="宋体"/>
          <w:szCs w:val="21"/>
        </w:rPr>
        <w:t>5.3.5结果填写</w:t>
      </w:r>
      <w:r>
        <w:tab/>
      </w:r>
      <w:r>
        <w:fldChar w:fldCharType="begin"/>
      </w:r>
      <w:r>
        <w:instrText xml:space="preserve"> PAGEREF _Toc2345 \h </w:instrText>
      </w:r>
      <w:r>
        <w:fldChar w:fldCharType="separate"/>
      </w:r>
      <w:r>
        <w:t>5</w:t>
      </w:r>
      <w:r>
        <w:fldChar w:fldCharType="end"/>
      </w:r>
      <w:r>
        <w:rPr>
          <w:rFonts w:hint="eastAsia"/>
        </w:rPr>
        <w:fldChar w:fldCharType="end"/>
      </w:r>
    </w:p>
    <w:p w14:paraId="4DF4FD2B">
      <w:pPr>
        <w:pStyle w:val="21"/>
        <w:tabs>
          <w:tab w:val="right" w:leader="dot" w:pos="9070"/>
        </w:tabs>
        <w:spacing w:line="290" w:lineRule="exact"/>
      </w:pPr>
      <w:r>
        <w:rPr>
          <w:rFonts w:hint="eastAsia"/>
        </w:rPr>
        <w:fldChar w:fldCharType="begin"/>
      </w:r>
      <w:r>
        <w:rPr>
          <w:rFonts w:hint="eastAsia"/>
        </w:rPr>
        <w:instrText xml:space="preserve"> HYPERLINK \l _Toc2708 </w:instrText>
      </w:r>
      <w:r>
        <w:rPr>
          <w:rFonts w:hint="eastAsia"/>
        </w:rPr>
        <w:fldChar w:fldCharType="separate"/>
      </w:r>
      <w:r>
        <w:rPr>
          <w:rFonts w:hint="default" w:ascii="宋体" w:hAnsi="宋体" w:eastAsia="宋体" w:cs="宋体"/>
          <w:bCs/>
          <w:i w:val="0"/>
          <w:iCs w:val="0"/>
          <w:kern w:val="0"/>
          <w:szCs w:val="21"/>
        </w:rPr>
        <w:t xml:space="preserve">5.4 </w:t>
      </w:r>
      <w:r>
        <w:rPr>
          <w:rFonts w:hint="eastAsia" w:ascii="宋体" w:hAnsi="宋体" w:eastAsia="宋体" w:cs="宋体"/>
          <w:bCs/>
          <w:kern w:val="0"/>
          <w:szCs w:val="21"/>
        </w:rPr>
        <w:t>灭菌后产品无菌检查的方法</w:t>
      </w:r>
      <w:r>
        <w:tab/>
      </w:r>
      <w:r>
        <w:fldChar w:fldCharType="begin"/>
      </w:r>
      <w:r>
        <w:instrText xml:space="preserve"> PAGEREF _Toc2708 \h </w:instrText>
      </w:r>
      <w:r>
        <w:fldChar w:fldCharType="separate"/>
      </w:r>
      <w:r>
        <w:t>5</w:t>
      </w:r>
      <w:r>
        <w:fldChar w:fldCharType="end"/>
      </w:r>
      <w:r>
        <w:rPr>
          <w:rFonts w:hint="eastAsia"/>
        </w:rPr>
        <w:fldChar w:fldCharType="end"/>
      </w:r>
    </w:p>
    <w:p w14:paraId="46DD0F12">
      <w:pPr>
        <w:pStyle w:val="13"/>
        <w:tabs>
          <w:tab w:val="right" w:leader="dot" w:pos="9070"/>
        </w:tabs>
        <w:spacing w:line="290" w:lineRule="exact"/>
      </w:pPr>
      <w:r>
        <w:rPr>
          <w:rFonts w:hint="eastAsia"/>
        </w:rPr>
        <w:fldChar w:fldCharType="begin"/>
      </w:r>
      <w:r>
        <w:rPr>
          <w:rFonts w:hint="eastAsia"/>
        </w:rPr>
        <w:instrText xml:space="preserve"> HYPERLINK \l _Toc17643 </w:instrText>
      </w:r>
      <w:r>
        <w:rPr>
          <w:rFonts w:hint="eastAsia"/>
        </w:rPr>
        <w:fldChar w:fldCharType="separate"/>
      </w:r>
      <w:r>
        <w:rPr>
          <w:rFonts w:hint="eastAsia" w:ascii="宋体" w:hAnsi="宋体" w:eastAsia="宋体" w:cs="宋体"/>
          <w:szCs w:val="21"/>
        </w:rPr>
        <w:t>5.4.1无菌检查的环境要求</w:t>
      </w:r>
      <w:r>
        <w:tab/>
      </w:r>
      <w:r>
        <w:fldChar w:fldCharType="begin"/>
      </w:r>
      <w:r>
        <w:instrText xml:space="preserve"> PAGEREF _Toc17643 \h </w:instrText>
      </w:r>
      <w:r>
        <w:fldChar w:fldCharType="separate"/>
      </w:r>
      <w:r>
        <w:t>5</w:t>
      </w:r>
      <w:r>
        <w:fldChar w:fldCharType="end"/>
      </w:r>
      <w:r>
        <w:rPr>
          <w:rFonts w:hint="eastAsia"/>
        </w:rPr>
        <w:fldChar w:fldCharType="end"/>
      </w:r>
    </w:p>
    <w:p w14:paraId="26DD7C35">
      <w:pPr>
        <w:pStyle w:val="13"/>
        <w:tabs>
          <w:tab w:val="right" w:leader="dot" w:pos="9070"/>
        </w:tabs>
        <w:spacing w:line="290" w:lineRule="exact"/>
      </w:pPr>
      <w:r>
        <w:rPr>
          <w:rFonts w:hint="eastAsia"/>
        </w:rPr>
        <w:fldChar w:fldCharType="begin"/>
      </w:r>
      <w:r>
        <w:rPr>
          <w:rFonts w:hint="eastAsia"/>
        </w:rPr>
        <w:instrText xml:space="preserve"> HYPERLINK \l _Toc9492 </w:instrText>
      </w:r>
      <w:r>
        <w:rPr>
          <w:rFonts w:hint="eastAsia"/>
        </w:rPr>
        <w:fldChar w:fldCharType="separate"/>
      </w:r>
      <w:r>
        <w:rPr>
          <w:rFonts w:hint="eastAsia" w:ascii="宋体" w:hAnsi="宋体" w:eastAsia="宋体" w:cs="宋体"/>
          <w:szCs w:val="21"/>
        </w:rPr>
        <w:t>5.4.2无菌检查方法适用性试验</w:t>
      </w:r>
      <w:r>
        <w:tab/>
      </w:r>
      <w:r>
        <w:fldChar w:fldCharType="begin"/>
      </w:r>
      <w:r>
        <w:instrText xml:space="preserve"> PAGEREF _Toc9492 \h </w:instrText>
      </w:r>
      <w:r>
        <w:fldChar w:fldCharType="separate"/>
      </w:r>
      <w:r>
        <w:t>5</w:t>
      </w:r>
      <w:r>
        <w:fldChar w:fldCharType="end"/>
      </w:r>
      <w:r>
        <w:rPr>
          <w:rFonts w:hint="eastAsia"/>
        </w:rPr>
        <w:fldChar w:fldCharType="end"/>
      </w:r>
    </w:p>
    <w:p w14:paraId="07DDD300">
      <w:pPr>
        <w:pStyle w:val="13"/>
        <w:tabs>
          <w:tab w:val="right" w:leader="dot" w:pos="9070"/>
        </w:tabs>
        <w:spacing w:line="290" w:lineRule="exact"/>
      </w:pPr>
      <w:r>
        <w:rPr>
          <w:rFonts w:hint="eastAsia"/>
        </w:rPr>
        <w:fldChar w:fldCharType="begin"/>
      </w:r>
      <w:r>
        <w:rPr>
          <w:rFonts w:hint="eastAsia"/>
        </w:rPr>
        <w:instrText xml:space="preserve"> HYPERLINK \l _Toc13886 </w:instrText>
      </w:r>
      <w:r>
        <w:rPr>
          <w:rFonts w:hint="eastAsia"/>
        </w:rPr>
        <w:fldChar w:fldCharType="separate"/>
      </w:r>
      <w:r>
        <w:rPr>
          <w:rFonts w:hint="eastAsia" w:ascii="宋体" w:hAnsi="宋体" w:eastAsia="宋体" w:cs="宋体"/>
          <w:szCs w:val="21"/>
        </w:rPr>
        <w:t>5.4.3培养基及其制备</w:t>
      </w:r>
      <w:r>
        <w:tab/>
      </w:r>
      <w:r>
        <w:fldChar w:fldCharType="begin"/>
      </w:r>
      <w:r>
        <w:instrText xml:space="preserve"> PAGEREF _Toc13886 \h </w:instrText>
      </w:r>
      <w:r>
        <w:fldChar w:fldCharType="separate"/>
      </w:r>
      <w:r>
        <w:t>6</w:t>
      </w:r>
      <w:r>
        <w:fldChar w:fldCharType="end"/>
      </w:r>
      <w:r>
        <w:rPr>
          <w:rFonts w:hint="eastAsia"/>
        </w:rPr>
        <w:fldChar w:fldCharType="end"/>
      </w:r>
    </w:p>
    <w:p w14:paraId="12D8EDEB">
      <w:pPr>
        <w:pStyle w:val="13"/>
        <w:tabs>
          <w:tab w:val="right" w:leader="dot" w:pos="9070"/>
        </w:tabs>
        <w:spacing w:line="290" w:lineRule="exact"/>
      </w:pPr>
      <w:r>
        <w:rPr>
          <w:rFonts w:hint="eastAsia"/>
        </w:rPr>
        <w:fldChar w:fldCharType="begin"/>
      </w:r>
      <w:r>
        <w:rPr>
          <w:rFonts w:hint="eastAsia"/>
        </w:rPr>
        <w:instrText xml:space="preserve"> HYPERLINK \l _Toc4157 </w:instrText>
      </w:r>
      <w:r>
        <w:rPr>
          <w:rFonts w:hint="eastAsia"/>
        </w:rPr>
        <w:fldChar w:fldCharType="separate"/>
      </w:r>
      <w:r>
        <w:rPr>
          <w:rFonts w:hint="eastAsia" w:ascii="宋体" w:hAnsi="宋体" w:eastAsia="宋体" w:cs="宋体"/>
          <w:szCs w:val="21"/>
        </w:rPr>
        <w:t>5.4.4灭菌效果检测方法</w:t>
      </w:r>
      <w:r>
        <w:tab/>
      </w:r>
      <w:r>
        <w:fldChar w:fldCharType="begin"/>
      </w:r>
      <w:r>
        <w:instrText xml:space="preserve"> PAGEREF _Toc4157 \h </w:instrText>
      </w:r>
      <w:r>
        <w:fldChar w:fldCharType="separate"/>
      </w:r>
      <w:r>
        <w:t>6</w:t>
      </w:r>
      <w:r>
        <w:fldChar w:fldCharType="end"/>
      </w:r>
      <w:r>
        <w:rPr>
          <w:rFonts w:hint="eastAsia"/>
        </w:rPr>
        <w:fldChar w:fldCharType="end"/>
      </w:r>
    </w:p>
    <w:p w14:paraId="3742FAAB">
      <w:pPr>
        <w:pStyle w:val="21"/>
        <w:tabs>
          <w:tab w:val="right" w:leader="dot" w:pos="9070"/>
        </w:tabs>
        <w:spacing w:line="290" w:lineRule="exact"/>
      </w:pPr>
      <w:r>
        <w:rPr>
          <w:rFonts w:hint="eastAsia"/>
        </w:rPr>
        <w:fldChar w:fldCharType="begin"/>
      </w:r>
      <w:r>
        <w:rPr>
          <w:rFonts w:hint="eastAsia"/>
        </w:rPr>
        <w:instrText xml:space="preserve"> HYPERLINK \l _Toc12918 </w:instrText>
      </w:r>
      <w:r>
        <w:rPr>
          <w:rFonts w:hint="eastAsia"/>
        </w:rPr>
        <w:fldChar w:fldCharType="separate"/>
      </w:r>
      <w:r>
        <w:rPr>
          <w:rFonts w:hint="default" w:ascii="宋体" w:hAnsi="宋体" w:eastAsia="宋体" w:cs="宋体"/>
          <w:bCs/>
          <w:i w:val="0"/>
          <w:iCs w:val="0"/>
          <w:kern w:val="0"/>
          <w:szCs w:val="21"/>
        </w:rPr>
        <w:t xml:space="preserve">5.5 </w:t>
      </w:r>
      <w:r>
        <w:rPr>
          <w:rFonts w:hint="eastAsia" w:ascii="宋体" w:hAnsi="宋体" w:eastAsia="宋体" w:cs="宋体"/>
          <w:bCs/>
          <w:kern w:val="0"/>
          <w:szCs w:val="21"/>
        </w:rPr>
        <w:t>不合格情况处理</w:t>
      </w:r>
      <w:r>
        <w:tab/>
      </w:r>
      <w:r>
        <w:fldChar w:fldCharType="begin"/>
      </w:r>
      <w:r>
        <w:instrText xml:space="preserve"> PAGEREF _Toc12918 \h </w:instrText>
      </w:r>
      <w:r>
        <w:fldChar w:fldCharType="separate"/>
      </w:r>
      <w:r>
        <w:t>7</w:t>
      </w:r>
      <w:r>
        <w:fldChar w:fldCharType="end"/>
      </w:r>
      <w:r>
        <w:rPr>
          <w:rFonts w:hint="eastAsia"/>
        </w:rPr>
        <w:fldChar w:fldCharType="end"/>
      </w:r>
    </w:p>
    <w:p w14:paraId="6140731D">
      <w:pPr>
        <w:pStyle w:val="13"/>
        <w:tabs>
          <w:tab w:val="right" w:leader="dot" w:pos="9070"/>
        </w:tabs>
        <w:spacing w:line="290" w:lineRule="exact"/>
      </w:pPr>
      <w:r>
        <w:rPr>
          <w:rFonts w:hint="eastAsia"/>
        </w:rPr>
        <w:fldChar w:fldCharType="begin"/>
      </w:r>
      <w:r>
        <w:rPr>
          <w:rFonts w:hint="eastAsia"/>
        </w:rPr>
        <w:instrText xml:space="preserve"> HYPERLINK \l _Toc28958 </w:instrText>
      </w:r>
      <w:r>
        <w:rPr>
          <w:rFonts w:hint="eastAsia"/>
        </w:rPr>
        <w:fldChar w:fldCharType="separate"/>
      </w:r>
      <w:r>
        <w:rPr>
          <w:rFonts w:hint="eastAsia" w:ascii="宋体" w:hAnsi="宋体" w:eastAsia="宋体" w:cs="宋体"/>
          <w:szCs w:val="21"/>
        </w:rPr>
        <w:t>5.5.1初始污染菌检测</w:t>
      </w:r>
      <w:r>
        <w:tab/>
      </w:r>
      <w:r>
        <w:fldChar w:fldCharType="begin"/>
      </w:r>
      <w:r>
        <w:instrText xml:space="preserve"> PAGEREF _Toc28958 \h </w:instrText>
      </w:r>
      <w:r>
        <w:fldChar w:fldCharType="separate"/>
      </w:r>
      <w:r>
        <w:t>7</w:t>
      </w:r>
      <w:r>
        <w:fldChar w:fldCharType="end"/>
      </w:r>
      <w:r>
        <w:rPr>
          <w:rFonts w:hint="eastAsia"/>
        </w:rPr>
        <w:fldChar w:fldCharType="end"/>
      </w:r>
    </w:p>
    <w:p w14:paraId="4CC3F8C8">
      <w:pPr>
        <w:pStyle w:val="13"/>
        <w:tabs>
          <w:tab w:val="right" w:leader="dot" w:pos="9070"/>
        </w:tabs>
        <w:spacing w:line="290" w:lineRule="exact"/>
      </w:pPr>
      <w:r>
        <w:rPr>
          <w:rFonts w:hint="eastAsia"/>
        </w:rPr>
        <w:fldChar w:fldCharType="begin"/>
      </w:r>
      <w:r>
        <w:rPr>
          <w:rFonts w:hint="eastAsia"/>
        </w:rPr>
        <w:instrText xml:space="preserve"> HYPERLINK \l _Toc25441 </w:instrText>
      </w:r>
      <w:r>
        <w:rPr>
          <w:rFonts w:hint="eastAsia"/>
        </w:rPr>
        <w:fldChar w:fldCharType="separate"/>
      </w:r>
      <w:r>
        <w:rPr>
          <w:rFonts w:hint="eastAsia" w:ascii="宋体" w:hAnsi="宋体" w:eastAsia="宋体" w:cs="宋体"/>
          <w:szCs w:val="21"/>
        </w:rPr>
        <w:t>5.5.2产品无菌检查</w:t>
      </w:r>
      <w:r>
        <w:tab/>
      </w:r>
      <w:r>
        <w:fldChar w:fldCharType="begin"/>
      </w:r>
      <w:r>
        <w:instrText xml:space="preserve"> PAGEREF _Toc25441 \h </w:instrText>
      </w:r>
      <w:r>
        <w:fldChar w:fldCharType="separate"/>
      </w:r>
      <w:r>
        <w:t>7</w:t>
      </w:r>
      <w:r>
        <w:fldChar w:fldCharType="end"/>
      </w:r>
      <w:r>
        <w:rPr>
          <w:rFonts w:hint="eastAsia"/>
        </w:rPr>
        <w:fldChar w:fldCharType="end"/>
      </w:r>
    </w:p>
    <w:p w14:paraId="10DC3BD6">
      <w:pPr>
        <w:pStyle w:val="13"/>
        <w:tabs>
          <w:tab w:val="right" w:leader="dot" w:pos="9070"/>
        </w:tabs>
        <w:spacing w:line="290" w:lineRule="exact"/>
      </w:pPr>
      <w:r>
        <w:rPr>
          <w:rFonts w:hint="eastAsia"/>
        </w:rPr>
        <w:fldChar w:fldCharType="begin"/>
      </w:r>
      <w:r>
        <w:rPr>
          <w:rFonts w:hint="eastAsia"/>
        </w:rPr>
        <w:instrText xml:space="preserve"> HYPERLINK \l _Toc26455 </w:instrText>
      </w:r>
      <w:r>
        <w:rPr>
          <w:rFonts w:hint="eastAsia"/>
        </w:rPr>
        <w:fldChar w:fldCharType="separate"/>
      </w:r>
      <w:r>
        <w:rPr>
          <w:rFonts w:hint="eastAsia" w:ascii="宋体" w:hAnsi="宋体" w:eastAsia="宋体" w:cs="宋体"/>
          <w:szCs w:val="21"/>
        </w:rPr>
        <w:t>5.5.3灭菌效果检查</w:t>
      </w:r>
      <w:r>
        <w:tab/>
      </w:r>
      <w:r>
        <w:fldChar w:fldCharType="begin"/>
      </w:r>
      <w:r>
        <w:instrText xml:space="preserve"> PAGEREF _Toc26455 \h </w:instrText>
      </w:r>
      <w:r>
        <w:fldChar w:fldCharType="separate"/>
      </w:r>
      <w:r>
        <w:t>7</w:t>
      </w:r>
      <w:r>
        <w:fldChar w:fldCharType="end"/>
      </w:r>
      <w:r>
        <w:rPr>
          <w:rFonts w:hint="eastAsia"/>
        </w:rPr>
        <w:fldChar w:fldCharType="end"/>
      </w:r>
    </w:p>
    <w:p w14:paraId="3FC7BB4F">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_Toc23269 </w:instrText>
      </w:r>
      <w:r>
        <w:rPr>
          <w:rFonts w:hint="eastAsia"/>
        </w:rPr>
        <w:fldChar w:fldCharType="separate"/>
      </w:r>
      <w:r>
        <w:rPr>
          <w:rFonts w:hint="eastAsia" w:ascii="宋体" w:hAnsi="宋体" w:eastAsia="宋体" w:cs="宋体"/>
          <w:bCs w:val="0"/>
          <w:szCs w:val="24"/>
        </w:rPr>
        <w:t>附录A 能力评价机制</w:t>
      </w:r>
      <w:r>
        <w:tab/>
      </w:r>
      <w:r>
        <w:fldChar w:fldCharType="begin"/>
      </w:r>
      <w:r>
        <w:instrText xml:space="preserve"> PAGEREF _Toc23269 \h </w:instrText>
      </w:r>
      <w:r>
        <w:fldChar w:fldCharType="separate"/>
      </w:r>
      <w:r>
        <w:t>8</w:t>
      </w:r>
      <w:r>
        <w:fldChar w:fldCharType="end"/>
      </w:r>
      <w:r>
        <w:rPr>
          <w:rFonts w:hint="eastAsia"/>
        </w:rPr>
        <w:fldChar w:fldCharType="end"/>
      </w:r>
    </w:p>
    <w:p w14:paraId="278871EF">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_Toc4828 </w:instrText>
      </w:r>
      <w:r>
        <w:rPr>
          <w:rFonts w:hint="eastAsia"/>
        </w:rPr>
        <w:fldChar w:fldCharType="separate"/>
      </w:r>
      <w:r>
        <w:rPr>
          <w:rFonts w:hint="eastAsia" w:ascii="宋体" w:hAnsi="宋体" w:eastAsia="宋体" w:cs="宋体"/>
          <w:bCs w:val="0"/>
          <w:szCs w:val="24"/>
        </w:rPr>
        <w:t xml:space="preserve">附录B </w:t>
      </w:r>
      <w:r>
        <w:rPr>
          <w:rFonts w:hint="eastAsia" w:ascii="宋体" w:hAnsi="宋体" w:eastAsia="宋体" w:cs="宋体"/>
          <w:bCs w:val="0"/>
          <w:szCs w:val="24"/>
          <w:lang w:val="en-US" w:eastAsia="zh-CN"/>
        </w:rPr>
        <w:t>工作</w:t>
      </w:r>
      <w:r>
        <w:rPr>
          <w:rFonts w:hint="eastAsia" w:ascii="宋体" w:hAnsi="宋体" w:eastAsia="宋体" w:cs="宋体"/>
          <w:bCs w:val="0"/>
          <w:szCs w:val="24"/>
        </w:rPr>
        <w:t>实践能力证明要求及说明</w:t>
      </w:r>
      <w:r>
        <w:tab/>
      </w:r>
      <w:r>
        <w:fldChar w:fldCharType="begin"/>
      </w:r>
      <w:r>
        <w:instrText xml:space="preserve"> PAGEREF _Toc4828 \h </w:instrText>
      </w:r>
      <w:r>
        <w:fldChar w:fldCharType="separate"/>
      </w:r>
      <w:r>
        <w:t>8</w:t>
      </w:r>
      <w:r>
        <w:fldChar w:fldCharType="end"/>
      </w:r>
      <w:r>
        <w:rPr>
          <w:rFonts w:hint="eastAsia"/>
        </w:rPr>
        <w:fldChar w:fldCharType="end"/>
      </w:r>
    </w:p>
    <w:p w14:paraId="72580D16">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_Toc16451 </w:instrText>
      </w:r>
      <w:r>
        <w:rPr>
          <w:rFonts w:hint="eastAsia"/>
        </w:rPr>
        <w:fldChar w:fldCharType="separate"/>
      </w:r>
      <w:r>
        <w:rPr>
          <w:rFonts w:hint="eastAsia" w:ascii="宋体" w:hAnsi="宋体" w:eastAsia="宋体" w:cs="宋体"/>
          <w:bCs w:val="0"/>
          <w:szCs w:val="24"/>
        </w:rPr>
        <w:t>附录</w:t>
      </w:r>
      <w:r>
        <w:rPr>
          <w:rFonts w:hint="eastAsia" w:ascii="宋体" w:hAnsi="宋体" w:eastAsia="宋体" w:cs="宋体"/>
          <w:bCs w:val="0"/>
          <w:szCs w:val="24"/>
          <w:lang w:val="en-US" w:eastAsia="zh-CN"/>
        </w:rPr>
        <w:t>C</w:t>
      </w:r>
      <w:r>
        <w:rPr>
          <w:rFonts w:hint="eastAsia" w:ascii="宋体" w:hAnsi="宋体" w:eastAsia="宋体" w:cs="宋体"/>
          <w:bCs w:val="0"/>
          <w:szCs w:val="24"/>
        </w:rPr>
        <w:t xml:space="preserve"> </w:t>
      </w:r>
      <w:r>
        <w:rPr>
          <w:rFonts w:hint="eastAsia" w:ascii="宋体" w:hAnsi="宋体" w:eastAsia="宋体" w:cs="宋体"/>
          <w:bCs w:val="0"/>
          <w:szCs w:val="24"/>
          <w:lang w:val="en-US" w:eastAsia="zh-CN"/>
        </w:rPr>
        <w:t>术语说明</w:t>
      </w:r>
      <w:r>
        <w:tab/>
      </w:r>
      <w:r>
        <w:fldChar w:fldCharType="begin"/>
      </w:r>
      <w:r>
        <w:instrText xml:space="preserve"> PAGEREF _Toc16451 \h </w:instrText>
      </w:r>
      <w:r>
        <w:fldChar w:fldCharType="separate"/>
      </w:r>
      <w:r>
        <w:t>8</w:t>
      </w:r>
      <w:r>
        <w:fldChar w:fldCharType="end"/>
      </w:r>
      <w:r>
        <w:rPr>
          <w:rFonts w:hint="eastAsia"/>
        </w:rPr>
        <w:fldChar w:fldCharType="end"/>
      </w:r>
    </w:p>
    <w:p w14:paraId="68FAB1BA">
      <w:pPr>
        <w:pStyle w:val="17"/>
        <w:tabs>
          <w:tab w:val="right" w:leader="dot" w:pos="9070"/>
          <w:tab w:val="clear" w:pos="567"/>
          <w:tab w:val="clear" w:pos="840"/>
          <w:tab w:val="clear" w:pos="9060"/>
        </w:tabs>
        <w:spacing w:line="290" w:lineRule="exact"/>
      </w:pPr>
      <w:r>
        <w:rPr>
          <w:rFonts w:hint="eastAsia"/>
        </w:rPr>
        <w:fldChar w:fldCharType="begin"/>
      </w:r>
      <w:r>
        <w:rPr>
          <w:rFonts w:hint="eastAsia"/>
        </w:rPr>
        <w:instrText xml:space="preserve"> HYPERLINK \l _Toc20636 </w:instrText>
      </w:r>
      <w:r>
        <w:rPr>
          <w:rFonts w:hint="eastAsia"/>
        </w:rPr>
        <w:fldChar w:fldCharType="separate"/>
      </w:r>
      <w:r>
        <w:rPr>
          <w:rFonts w:hint="eastAsia" w:ascii="宋体" w:hAnsi="宋体" w:cs="宋体"/>
          <w:bCs/>
          <w:kern w:val="0"/>
          <w:lang w:bidi="ar"/>
        </w:rPr>
        <w:t>参 考 文 献</w:t>
      </w:r>
      <w:r>
        <w:tab/>
      </w:r>
      <w:r>
        <w:fldChar w:fldCharType="begin"/>
      </w:r>
      <w:r>
        <w:instrText xml:space="preserve"> PAGEREF _Toc20636 \h </w:instrText>
      </w:r>
      <w:r>
        <w:fldChar w:fldCharType="separate"/>
      </w:r>
      <w:r>
        <w:t>9</w:t>
      </w:r>
      <w:r>
        <w:fldChar w:fldCharType="end"/>
      </w:r>
      <w:r>
        <w:rPr>
          <w:rFonts w:hint="eastAsia"/>
        </w:rPr>
        <w:fldChar w:fldCharType="end"/>
      </w:r>
    </w:p>
    <w:p w14:paraId="1F663C05">
      <w:pPr>
        <w:spacing w:line="300" w:lineRule="exact"/>
        <w:rPr>
          <w:rFonts w:hint="eastAsia"/>
        </w:rPr>
        <w:sectPr>
          <w:headerReference r:id="rId6" w:type="default"/>
          <w:footerReference r:id="rId8" w:type="default"/>
          <w:headerReference r:id="rId7" w:type="even"/>
          <w:footerReference r:id="rId9" w:type="even"/>
          <w:pgSz w:w="11906" w:h="16838"/>
          <w:pgMar w:top="1418" w:right="1418" w:bottom="1134" w:left="1418" w:header="1417" w:footer="1134" w:gutter="0"/>
          <w:pgNumType w:fmt="upperRoman" w:start="1"/>
          <w:cols w:space="425" w:num="1"/>
          <w:docGrid w:type="lines" w:linePitch="312" w:charSpace="0"/>
        </w:sectPr>
      </w:pPr>
      <w:r>
        <w:rPr>
          <w:rFonts w:hint="eastAsia"/>
        </w:rPr>
        <w:fldChar w:fldCharType="end"/>
      </w:r>
    </w:p>
    <w:p w14:paraId="301958B2">
      <w:pPr>
        <w:pStyle w:val="53"/>
        <w:rPr>
          <w:rFonts w:hint="eastAsia" w:ascii="宋体" w:hAnsi="宋体" w:eastAsia="宋体" w:cs="宋体"/>
        </w:rPr>
      </w:pPr>
      <w:bookmarkStart w:id="16" w:name="_Toc10687"/>
      <w:bookmarkStart w:id="17" w:name="_Toc3573"/>
      <w:bookmarkStart w:id="18" w:name="_Toc10259"/>
      <w:bookmarkStart w:id="19" w:name="_Toc29105"/>
      <w:r>
        <w:rPr>
          <w:rFonts w:hint="eastAsia" w:ascii="宋体" w:hAnsi="宋体" w:eastAsia="宋体" w:cs="宋体"/>
          <w:b/>
          <w:bCs w:val="0"/>
        </w:rPr>
        <w:t>前    言</w:t>
      </w:r>
      <w:bookmarkEnd w:id="16"/>
      <w:bookmarkEnd w:id="17"/>
      <w:bookmarkEnd w:id="18"/>
      <w:bookmarkEnd w:id="19"/>
    </w:p>
    <w:p w14:paraId="576C6613">
      <w:pPr>
        <w:pStyle w:val="51"/>
        <w:rPr>
          <w:rFonts w:hint="eastAsia" w:ascii="宋体" w:hAnsi="宋体" w:cs="宋体"/>
        </w:rPr>
      </w:pPr>
      <w:r>
        <w:rPr>
          <w:rFonts w:hint="eastAsia" w:ascii="宋体" w:hAnsi="宋体" w:cs="宋体"/>
        </w:rPr>
        <w:t>本文件按照GB/T 1.1－2020《标准化工作导则 第1部分：标准化文件的结构和起草规则》的规定起草。</w:t>
      </w:r>
    </w:p>
    <w:p w14:paraId="7494D6B1">
      <w:pPr>
        <w:pStyle w:val="51"/>
        <w:rPr>
          <w:rFonts w:hint="eastAsia" w:ascii="宋体" w:hAnsi="宋体" w:cs="宋体"/>
        </w:rPr>
      </w:pPr>
      <w:r>
        <w:rPr>
          <w:rFonts w:hint="eastAsia" w:ascii="宋体" w:hAnsi="宋体" w:cs="宋体"/>
        </w:rPr>
        <w:t>请注意本文件中的某些内容可能涉及专利。本文件的发布机构不承担识别专利的责任。</w:t>
      </w:r>
    </w:p>
    <w:p w14:paraId="0CFD44CE">
      <w:pPr>
        <w:pStyle w:val="51"/>
        <w:rPr>
          <w:rFonts w:hint="eastAsia" w:ascii="宋体" w:hAnsi="宋体" w:cs="宋体"/>
        </w:rPr>
      </w:pPr>
      <w:r>
        <w:rPr>
          <w:rFonts w:hint="eastAsia" w:ascii="宋体" w:hAnsi="宋体" w:cs="宋体"/>
        </w:rPr>
        <w:t>本文件由中国食品药品企业质量安全促进会提出并归口。</w:t>
      </w:r>
    </w:p>
    <w:p w14:paraId="6B455A17">
      <w:pPr>
        <w:pStyle w:val="51"/>
        <w:rPr>
          <w:rFonts w:hint="eastAsia" w:ascii="宋体" w:hAnsi="宋体" w:cs="宋体"/>
        </w:rPr>
      </w:pPr>
      <w:r>
        <w:rPr>
          <w:rFonts w:hint="eastAsia" w:ascii="宋体" w:hAnsi="宋体" w:cs="宋体"/>
        </w:rPr>
        <w:t>本文件起草单位：瀚芯医疗科技（深圳）有限公司</w:t>
      </w:r>
      <w:r>
        <w:rPr>
          <w:rFonts w:hint="eastAsia" w:ascii="宋体" w:hAnsi="宋体" w:cs="宋体"/>
          <w:lang w:eastAsia="zh-CN"/>
        </w:rPr>
        <w:t>、</w:t>
      </w:r>
      <w:r>
        <w:rPr>
          <w:rFonts w:hint="eastAsia" w:ascii="宋体" w:hAnsi="宋体" w:cs="宋体"/>
          <w:lang w:val="en-US" w:eastAsia="zh-CN"/>
        </w:rPr>
        <w:t>北京融智飞天教育科技有限公司、</w:t>
      </w:r>
      <w:r>
        <w:rPr>
          <w:rFonts w:hint="eastAsia" w:ascii="宋体" w:hAnsi="宋体" w:cs="宋体"/>
          <w:lang w:eastAsia="zh-CN"/>
        </w:rPr>
        <w:t>上海微谱检测科技集团股份有限公司、北京康派特医疗器械有限公司、熠品（贵阳）质量科技有限公司、东莞市英硕医用包装科技有限公司、江西德天医药技术开发有限公司、</w:t>
      </w:r>
      <w:r>
        <w:rPr>
          <w:rFonts w:hint="eastAsia" w:ascii="宋体" w:hAnsi="宋体" w:cs="宋体"/>
          <w:lang w:val="en-US" w:eastAsia="zh-CN"/>
        </w:rPr>
        <w:t>上海鼎峰教育科技有限公司、</w:t>
      </w:r>
      <w:bookmarkStart w:id="179" w:name="_GoBack"/>
      <w:bookmarkEnd w:id="179"/>
    </w:p>
    <w:p w14:paraId="204AD556">
      <w:pPr>
        <w:pStyle w:val="51"/>
        <w:tabs>
          <w:tab w:val="left" w:pos="851"/>
        </w:tabs>
        <w:rPr>
          <w:rFonts w:hint="eastAsia" w:ascii="宋体" w:hAnsi="宋体" w:eastAsia="宋体" w:cs="宋体"/>
        </w:rPr>
        <w:sectPr>
          <w:headerReference r:id="rId10" w:type="first"/>
          <w:footerReference r:id="rId13" w:type="first"/>
          <w:footerReference r:id="rId11" w:type="default"/>
          <w:footerReference r:id="rId12" w:type="even"/>
          <w:pgSz w:w="11906" w:h="16838"/>
          <w:pgMar w:top="1418" w:right="1418" w:bottom="1134" w:left="1418" w:header="1417" w:footer="1134" w:gutter="0"/>
          <w:pgNumType w:fmt="upperRoman"/>
          <w:cols w:space="425" w:num="1"/>
          <w:titlePg/>
          <w:docGrid w:type="lines" w:linePitch="312" w:charSpace="0"/>
        </w:sectPr>
      </w:pPr>
      <w:r>
        <w:rPr>
          <w:rFonts w:hint="eastAsia" w:ascii="宋体" w:hAnsi="宋体" w:cs="宋体"/>
        </w:rPr>
        <w:t>本文件主要起草人：谢琦宗</w:t>
      </w:r>
      <w:r>
        <w:rPr>
          <w:rFonts w:hint="eastAsia" w:ascii="宋体" w:hAnsi="宋体" w:cs="宋体"/>
          <w:lang w:eastAsia="zh-CN"/>
        </w:rPr>
        <w:t>、</w:t>
      </w:r>
      <w:r>
        <w:rPr>
          <w:rFonts w:hint="eastAsia" w:ascii="宋体" w:hAnsi="宋体" w:cs="宋体"/>
        </w:rPr>
        <w:t>吴海明</w:t>
      </w:r>
      <w:r>
        <w:rPr>
          <w:rFonts w:hint="eastAsia" w:ascii="宋体" w:hAnsi="宋体" w:cs="宋体"/>
          <w:lang w:eastAsia="zh-CN"/>
        </w:rPr>
        <w:t>、</w:t>
      </w:r>
      <w:r>
        <w:rPr>
          <w:rFonts w:hint="eastAsia" w:ascii="宋体" w:hAnsi="宋体" w:cs="宋体"/>
        </w:rPr>
        <w:t>李冠桦</w:t>
      </w:r>
      <w:r>
        <w:rPr>
          <w:rFonts w:hint="eastAsia" w:ascii="宋体" w:hAnsi="宋体" w:cs="宋体"/>
          <w:lang w:eastAsia="zh-CN"/>
        </w:rPr>
        <w:t>、</w:t>
      </w:r>
      <w:r>
        <w:rPr>
          <w:rFonts w:hint="eastAsia" w:ascii="宋体" w:hAnsi="宋体" w:cs="宋体"/>
          <w:lang w:val="en-US" w:eastAsia="zh-CN"/>
        </w:rPr>
        <w:t>赵冬强、陈红江、赵文彬、徐金星、</w:t>
      </w:r>
      <w:r>
        <w:rPr>
          <w:rFonts w:hint="eastAsia" w:ascii="宋体" w:hAnsi="宋体" w:cs="宋体"/>
        </w:rPr>
        <w:t>李雨波</w:t>
      </w:r>
      <w:r>
        <w:rPr>
          <w:rFonts w:hint="eastAsia" w:ascii="宋体" w:hAnsi="宋体" w:cs="宋体"/>
          <w:lang w:eastAsia="zh-CN"/>
        </w:rPr>
        <w:t>、</w:t>
      </w:r>
      <w:r>
        <w:rPr>
          <w:rFonts w:hint="eastAsia" w:ascii="宋体" w:hAnsi="宋体" w:cs="宋体"/>
        </w:rPr>
        <w:t>刘晓臣</w:t>
      </w:r>
      <w:r>
        <w:rPr>
          <w:rFonts w:hint="eastAsia" w:ascii="宋体" w:hAnsi="宋体" w:cs="宋体"/>
          <w:lang w:eastAsia="zh-CN"/>
        </w:rPr>
        <w:t>、</w:t>
      </w:r>
      <w:r>
        <w:rPr>
          <w:rFonts w:hint="eastAsia" w:ascii="宋体" w:hAnsi="宋体" w:cs="宋体"/>
        </w:rPr>
        <w:t>陈红</w:t>
      </w:r>
      <w:r>
        <w:rPr>
          <w:rFonts w:hint="eastAsia" w:ascii="宋体" w:hAnsi="宋体" w:cs="宋体"/>
          <w:lang w:eastAsia="zh-CN"/>
        </w:rPr>
        <w:t>、</w:t>
      </w:r>
      <w:r>
        <w:rPr>
          <w:rFonts w:hint="eastAsia" w:ascii="宋体" w:hAnsi="宋体" w:cs="宋体"/>
        </w:rPr>
        <w:t>阳玉桃</w:t>
      </w:r>
      <w:r>
        <w:rPr>
          <w:rFonts w:hint="eastAsia" w:ascii="宋体" w:hAnsi="宋体" w:cs="宋体"/>
          <w:lang w:eastAsia="zh-CN"/>
        </w:rPr>
        <w:t>、</w:t>
      </w:r>
      <w:r>
        <w:rPr>
          <w:rFonts w:hint="eastAsia" w:ascii="宋体" w:hAnsi="宋体" w:cs="宋体"/>
        </w:rPr>
        <w:t>刘俊卿</w:t>
      </w:r>
      <w:r>
        <w:rPr>
          <w:rFonts w:hint="eastAsia" w:ascii="宋体" w:hAnsi="宋体" w:cs="宋体"/>
          <w:lang w:eastAsia="zh-CN"/>
        </w:rPr>
        <w:t>。</w:t>
      </w:r>
      <w:r>
        <w:rPr>
          <w:rFonts w:hint="eastAsia" w:ascii="宋体" w:hAnsi="宋体" w:eastAsia="宋体" w:cs="宋体"/>
        </w:rPr>
        <w:tab/>
      </w:r>
    </w:p>
    <w:p w14:paraId="281E9070">
      <w:pPr>
        <w:pStyle w:val="51"/>
        <w:ind w:firstLine="0" w:firstLineChars="0"/>
        <w:jc w:val="center"/>
        <w:rPr>
          <w:rFonts w:hint="eastAsia" w:ascii="宋体" w:hAnsi="宋体" w:cs="宋体"/>
          <w:sz w:val="32"/>
          <w:szCs w:val="32"/>
        </w:rPr>
      </w:pPr>
      <w:bookmarkStart w:id="20" w:name="_Toc4629"/>
      <w:bookmarkStart w:id="21" w:name="_Toc32616"/>
      <w:r>
        <w:rPr>
          <w:rFonts w:hint="eastAsia" w:ascii="宋体" w:hAnsi="宋体" w:cs="宋体"/>
          <w:b/>
          <w:bCs/>
          <w:sz w:val="32"/>
          <w:szCs w:val="32"/>
        </w:rPr>
        <w:t>医疗器械无菌检（化）验员能力要求</w:t>
      </w:r>
      <w:bookmarkEnd w:id="20"/>
      <w:bookmarkEnd w:id="21"/>
    </w:p>
    <w:p w14:paraId="3797D35B">
      <w:pPr>
        <w:pStyle w:val="48"/>
        <w:rPr>
          <w:rFonts w:hint="eastAsia" w:ascii="宋体" w:hAnsi="宋体" w:eastAsia="宋体" w:cs="宋体"/>
          <w:b/>
          <w:bCs/>
          <w:sz w:val="24"/>
          <w:szCs w:val="24"/>
        </w:rPr>
      </w:pPr>
      <w:bookmarkStart w:id="22" w:name="_Toc1930"/>
      <w:bookmarkStart w:id="23" w:name="_Toc21424"/>
      <w:bookmarkStart w:id="24" w:name="_Toc21199"/>
      <w:bookmarkStart w:id="25" w:name="_Toc32079"/>
      <w:r>
        <w:rPr>
          <w:rFonts w:hint="eastAsia" w:ascii="宋体" w:hAnsi="宋体" w:eastAsia="宋体" w:cs="宋体"/>
          <w:b/>
          <w:bCs/>
          <w:sz w:val="24"/>
          <w:szCs w:val="24"/>
        </w:rPr>
        <w:t>范围</w:t>
      </w:r>
      <w:bookmarkEnd w:id="22"/>
      <w:bookmarkEnd w:id="23"/>
      <w:bookmarkEnd w:id="24"/>
      <w:bookmarkEnd w:id="25"/>
    </w:p>
    <w:p w14:paraId="56942C83">
      <w:pPr>
        <w:pStyle w:val="51"/>
        <w:rPr>
          <w:rFonts w:hint="eastAsia" w:ascii="宋体" w:hAnsi="宋体" w:cs="宋体"/>
        </w:rPr>
      </w:pPr>
      <w:r>
        <w:rPr>
          <w:rFonts w:hint="eastAsia" w:ascii="宋体" w:hAnsi="宋体" w:cs="宋体"/>
        </w:rPr>
        <w:t>本标准规定了医疗器械无菌检（化）验员的评价对象、评价主体、评价指标、评价流程以及基本工作岗位管理的要求。</w:t>
      </w:r>
    </w:p>
    <w:p w14:paraId="0D7C915C">
      <w:pPr>
        <w:pStyle w:val="51"/>
        <w:rPr>
          <w:rFonts w:hint="eastAsia" w:ascii="宋体" w:hAnsi="宋体" w:cs="宋体"/>
        </w:rPr>
      </w:pPr>
      <w:r>
        <w:rPr>
          <w:rFonts w:hint="eastAsia" w:ascii="宋体" w:hAnsi="宋体" w:cs="宋体"/>
        </w:rPr>
        <w:t>规定了无菌检验过程、试验器具使用、检验次序要求、数据统计、报告整理要求、环境测试要求等描述了相应的测试方法等。</w:t>
      </w:r>
    </w:p>
    <w:p w14:paraId="7EE11BE2">
      <w:pPr>
        <w:pStyle w:val="51"/>
        <w:rPr>
          <w:rFonts w:hint="eastAsia" w:ascii="宋体" w:hAnsi="宋体" w:cs="宋体"/>
        </w:rPr>
      </w:pPr>
      <w:r>
        <w:rPr>
          <w:rFonts w:hint="eastAsia" w:ascii="宋体" w:hAnsi="宋体" w:cs="宋体"/>
        </w:rPr>
        <w:t>本文件适用于医疗器械无菌检（化）验员能力要求的基本能力。</w:t>
      </w:r>
    </w:p>
    <w:p w14:paraId="1CF7A66A">
      <w:pPr>
        <w:pStyle w:val="48"/>
        <w:rPr>
          <w:rFonts w:hint="eastAsia" w:ascii="宋体" w:hAnsi="宋体" w:eastAsia="宋体" w:cs="宋体"/>
          <w:b/>
          <w:bCs/>
          <w:sz w:val="24"/>
          <w:szCs w:val="24"/>
        </w:rPr>
      </w:pPr>
      <w:bookmarkStart w:id="26" w:name="_Toc32510"/>
      <w:bookmarkStart w:id="27" w:name="_Toc182"/>
      <w:bookmarkStart w:id="28" w:name="_Toc2040"/>
      <w:bookmarkStart w:id="29" w:name="_Toc19250"/>
      <w:r>
        <w:rPr>
          <w:rFonts w:hint="eastAsia" w:ascii="宋体" w:hAnsi="宋体" w:eastAsia="宋体" w:cs="宋体"/>
          <w:b/>
          <w:bCs/>
          <w:sz w:val="24"/>
          <w:szCs w:val="24"/>
        </w:rPr>
        <w:t>规范性引用文件</w:t>
      </w:r>
      <w:bookmarkEnd w:id="26"/>
      <w:bookmarkEnd w:id="27"/>
      <w:bookmarkEnd w:id="28"/>
      <w:bookmarkEnd w:id="29"/>
    </w:p>
    <w:p w14:paraId="63B7E6FB">
      <w:pPr>
        <w:pStyle w:val="51"/>
        <w:rPr>
          <w:rFonts w:hint="eastAsia" w:ascii="宋体" w:hAnsi="宋体" w:cs="宋体"/>
        </w:rPr>
      </w:pPr>
      <w:bookmarkStart w:id="30" w:name="_Toc11478"/>
      <w:r>
        <w:rPr>
          <w:rFonts w:hint="eastAsia" w:ascii="宋体" w:hAnsi="宋体" w:cs="宋体"/>
        </w:rPr>
        <w:t>下列文件中的内容通过文中的规范性引用而构成对本文件必不可少的条款。其中，注日期的引用文件，仅该日期对应的版本适用于本文件；不注日期的引用文件，其最新版本（包括所有的修改单）适用于本文件。</w:t>
      </w:r>
      <w:bookmarkEnd w:id="30"/>
    </w:p>
    <w:p w14:paraId="2125070C">
      <w:pPr>
        <w:pStyle w:val="2"/>
        <w:ind w:firstLine="420" w:firstLineChars="200"/>
        <w:rPr>
          <w:rFonts w:hint="eastAsia"/>
          <w:i w:val="0"/>
          <w:iCs/>
        </w:rPr>
      </w:pPr>
      <w:r>
        <w:rPr>
          <w:rFonts w:hint="eastAsia"/>
          <w:i w:val="0"/>
          <w:iCs/>
        </w:rPr>
        <w:t>《医疗器械监督管理条例》</w:t>
      </w:r>
    </w:p>
    <w:p w14:paraId="248C255D">
      <w:pPr>
        <w:ind w:firstLine="420" w:firstLineChars="200"/>
        <w:rPr>
          <w:rFonts w:hint="eastAsia" w:ascii="宋体" w:hAnsi="宋体" w:eastAsia="宋体" w:cs="宋体"/>
          <w:szCs w:val="21"/>
        </w:rPr>
      </w:pPr>
      <w:r>
        <w:rPr>
          <w:rFonts w:hint="eastAsia" w:ascii="宋体" w:hAnsi="宋体" w:eastAsia="宋体" w:cs="宋体"/>
          <w:szCs w:val="21"/>
        </w:rPr>
        <w:t>《医疗器械生产质量管理规范》</w:t>
      </w:r>
    </w:p>
    <w:p w14:paraId="2F8217A2">
      <w:pPr>
        <w:ind w:firstLine="420" w:firstLineChars="200"/>
        <w:rPr>
          <w:rFonts w:hint="eastAsia" w:ascii="宋体" w:hAnsi="宋体" w:eastAsia="宋体" w:cs="宋体"/>
          <w:szCs w:val="21"/>
        </w:rPr>
      </w:pPr>
      <w:r>
        <w:rPr>
          <w:rFonts w:hint="eastAsia" w:ascii="宋体" w:hAnsi="宋体" w:eastAsia="宋体" w:cs="宋体"/>
          <w:szCs w:val="21"/>
        </w:rPr>
        <w:t>《医疗器械生产质量管理规范》《附录无菌医疗器械》、《附录植入性医疗器械》</w:t>
      </w:r>
    </w:p>
    <w:p w14:paraId="2CD17A32">
      <w:pPr>
        <w:pStyle w:val="2"/>
        <w:ind w:firstLine="420" w:firstLineChars="200"/>
        <w:rPr>
          <w:rFonts w:hint="eastAsia" w:ascii="宋体" w:hAnsi="宋体"/>
          <w:i w:val="0"/>
          <w:iCs/>
        </w:rPr>
      </w:pPr>
      <w:r>
        <w:rPr>
          <w:rFonts w:hint="eastAsia" w:ascii="宋体" w:hAnsi="宋体"/>
          <w:i w:val="0"/>
          <w:iCs/>
        </w:rPr>
        <w:t>《2025年版中国药典》</w:t>
      </w:r>
    </w:p>
    <w:p w14:paraId="7B49898E">
      <w:pPr>
        <w:ind w:firstLine="420" w:firstLineChars="200"/>
        <w:rPr>
          <w:rFonts w:hint="default" w:ascii="宋体" w:hAnsi="宋体" w:eastAsia="宋体" w:cs="宋体"/>
          <w:szCs w:val="21"/>
          <w:lang w:val="en-US" w:eastAsia="zh-CN"/>
        </w:rPr>
      </w:pPr>
      <w:r>
        <w:rPr>
          <w:rFonts w:hint="eastAsia" w:ascii="宋体" w:hAnsi="宋体" w:eastAsia="宋体" w:cs="宋体"/>
          <w:szCs w:val="21"/>
          <w:highlight w:val="none"/>
          <w:shd w:val="clear"/>
        </w:rPr>
        <w:t>YY/T 0033《无菌医疗器具生产管理规范》</w:t>
      </w:r>
    </w:p>
    <w:p w14:paraId="4F2F1208">
      <w:pPr>
        <w:ind w:firstLine="420" w:firstLineChars="200"/>
        <w:rPr>
          <w:rFonts w:hint="eastAsia" w:ascii="宋体" w:hAnsi="宋体" w:eastAsia="宋体" w:cs="宋体"/>
          <w:szCs w:val="21"/>
        </w:rPr>
      </w:pPr>
      <w:r>
        <w:rPr>
          <w:rFonts w:hint="eastAsia" w:ascii="宋体" w:hAnsi="宋体" w:eastAsia="宋体" w:cs="宋体"/>
          <w:szCs w:val="21"/>
        </w:rPr>
        <w:t>GB/T 16292“医药工业洁净室（区）悬浮粒子的测试方法”</w:t>
      </w:r>
    </w:p>
    <w:p w14:paraId="5BD3AA13">
      <w:pPr>
        <w:ind w:firstLine="420" w:firstLineChars="200"/>
        <w:rPr>
          <w:rFonts w:hint="eastAsia" w:ascii="宋体" w:hAnsi="宋体" w:eastAsia="宋体" w:cs="宋体"/>
          <w:szCs w:val="21"/>
        </w:rPr>
      </w:pPr>
      <w:r>
        <w:rPr>
          <w:rFonts w:hint="eastAsia" w:ascii="宋体" w:hAnsi="宋体" w:eastAsia="宋体" w:cs="宋体"/>
          <w:szCs w:val="21"/>
        </w:rPr>
        <w:t>GB/T 16293“医药工业洁净室（区）浮游菌的测试方法”</w:t>
      </w:r>
    </w:p>
    <w:p w14:paraId="62308DB1">
      <w:pPr>
        <w:ind w:firstLine="420" w:firstLineChars="200"/>
        <w:rPr>
          <w:rFonts w:hint="eastAsia" w:ascii="宋体" w:hAnsi="宋体" w:eastAsia="宋体" w:cs="宋体"/>
          <w:szCs w:val="21"/>
        </w:rPr>
      </w:pPr>
      <w:r>
        <w:rPr>
          <w:rFonts w:hint="eastAsia" w:ascii="宋体" w:hAnsi="宋体" w:eastAsia="宋体" w:cs="宋体"/>
          <w:szCs w:val="21"/>
        </w:rPr>
        <w:t>GB/T 16294“医药工业洁净室（区）沉降菌的测试方法”</w:t>
      </w:r>
    </w:p>
    <w:p w14:paraId="7BB8A3A0">
      <w:pPr>
        <w:ind w:firstLine="420" w:firstLineChars="200"/>
        <w:rPr>
          <w:rFonts w:hint="eastAsia" w:ascii="宋体" w:hAnsi="宋体" w:eastAsia="宋体" w:cs="宋体"/>
          <w:szCs w:val="21"/>
        </w:rPr>
      </w:pPr>
      <w:r>
        <w:rPr>
          <w:rFonts w:hint="eastAsia" w:ascii="宋体" w:hAnsi="宋体" w:eastAsia="宋体" w:cs="宋体"/>
          <w:szCs w:val="21"/>
        </w:rPr>
        <w:t>GB 50591《洁净室施工及验收规范》</w:t>
      </w:r>
    </w:p>
    <w:p w14:paraId="756A39A4">
      <w:pPr>
        <w:ind w:firstLine="420" w:firstLineChars="200"/>
        <w:rPr>
          <w:rFonts w:hint="eastAsia" w:ascii="宋体" w:hAnsi="宋体" w:eastAsia="宋体" w:cs="宋体"/>
          <w:szCs w:val="21"/>
        </w:rPr>
      </w:pPr>
      <w:r>
        <w:rPr>
          <w:rFonts w:hint="eastAsia" w:ascii="宋体" w:hAnsi="宋体" w:eastAsia="宋体" w:cs="宋体"/>
          <w:szCs w:val="21"/>
        </w:rPr>
        <w:t>GB/T 27405“实验室质量控制规范食品微生物检测”</w:t>
      </w:r>
    </w:p>
    <w:p w14:paraId="073246FC">
      <w:pPr>
        <w:ind w:firstLine="420" w:firstLineChars="200"/>
        <w:rPr>
          <w:rFonts w:hint="eastAsia" w:ascii="宋体" w:hAnsi="宋体" w:eastAsia="宋体" w:cs="宋体"/>
          <w:szCs w:val="21"/>
        </w:rPr>
      </w:pPr>
      <w:r>
        <w:rPr>
          <w:rFonts w:hint="eastAsia" w:ascii="宋体" w:hAnsi="宋体" w:eastAsia="宋体" w:cs="宋体"/>
          <w:szCs w:val="21"/>
        </w:rPr>
        <w:t>ISO11607-1“材料、消毒阻挡系统和包装系统的要求”</w:t>
      </w:r>
    </w:p>
    <w:p w14:paraId="2ED9F582">
      <w:pPr>
        <w:ind w:firstLine="420" w:firstLineChars="200"/>
        <w:rPr>
          <w:rFonts w:hint="eastAsia" w:ascii="宋体" w:hAnsi="宋体" w:eastAsia="宋体" w:cs="宋体"/>
          <w:szCs w:val="21"/>
        </w:rPr>
      </w:pPr>
      <w:r>
        <w:rPr>
          <w:rFonts w:hint="eastAsia" w:ascii="宋体" w:hAnsi="宋体" w:eastAsia="宋体" w:cs="宋体"/>
          <w:szCs w:val="21"/>
        </w:rPr>
        <w:t>ASTM D3078“使用气泡发射测定软包装泄露的实验方法”</w:t>
      </w:r>
    </w:p>
    <w:p w14:paraId="7AAC4C66">
      <w:pPr>
        <w:ind w:firstLine="420" w:firstLineChars="200"/>
        <w:rPr>
          <w:rFonts w:hint="eastAsia" w:ascii="宋体" w:hAnsi="宋体" w:eastAsia="宋体" w:cs="宋体"/>
          <w:szCs w:val="21"/>
        </w:rPr>
      </w:pPr>
      <w:r>
        <w:rPr>
          <w:rFonts w:hint="eastAsia" w:ascii="宋体" w:hAnsi="宋体" w:eastAsia="宋体" w:cs="宋体"/>
          <w:szCs w:val="21"/>
        </w:rPr>
        <w:t>ASTM F2096“内压法检测粗大泄露”(气泡法)</w:t>
      </w:r>
    </w:p>
    <w:p w14:paraId="3EFBCC88">
      <w:pPr>
        <w:ind w:firstLine="420" w:firstLineChars="200"/>
        <w:rPr>
          <w:rFonts w:hint="eastAsia" w:ascii="宋体" w:hAnsi="宋体" w:eastAsia="宋体" w:cs="宋体"/>
          <w:szCs w:val="21"/>
        </w:rPr>
      </w:pPr>
      <w:r>
        <w:rPr>
          <w:rFonts w:hint="eastAsia" w:ascii="宋体" w:hAnsi="宋体" w:eastAsia="宋体" w:cs="宋体"/>
          <w:szCs w:val="21"/>
        </w:rPr>
        <w:t>ASTM F1886“目力检测医用包装密封完整性”</w:t>
      </w:r>
    </w:p>
    <w:p w14:paraId="5CE25166">
      <w:pPr>
        <w:ind w:firstLine="420" w:firstLineChars="200"/>
        <w:rPr>
          <w:rFonts w:hint="eastAsia" w:ascii="宋体" w:hAnsi="宋体" w:eastAsia="宋体" w:cs="宋体"/>
          <w:szCs w:val="21"/>
        </w:rPr>
      </w:pPr>
      <w:r>
        <w:rPr>
          <w:rFonts w:hint="eastAsia" w:ascii="宋体" w:hAnsi="宋体" w:eastAsia="宋体" w:cs="宋体"/>
          <w:szCs w:val="21"/>
        </w:rPr>
        <w:t>ASTM F1929“染色渗透液检测多孔医疗器械密封泄露的标准方法”</w:t>
      </w:r>
    </w:p>
    <w:p w14:paraId="7159A7A5">
      <w:pPr>
        <w:ind w:firstLine="420" w:firstLineChars="200"/>
        <w:rPr>
          <w:rFonts w:hint="eastAsia" w:ascii="宋体" w:hAnsi="宋体" w:eastAsia="宋体" w:cs="宋体"/>
          <w:szCs w:val="21"/>
        </w:rPr>
      </w:pPr>
      <w:r>
        <w:rPr>
          <w:rFonts w:hint="eastAsia" w:ascii="宋体" w:hAnsi="宋体" w:eastAsia="宋体" w:cs="宋体"/>
          <w:szCs w:val="21"/>
        </w:rPr>
        <w:t>ISO 11737-1“医疗器械灭菌 微生物学方法 第1部分 产品上微生物群落的测定”</w:t>
      </w:r>
    </w:p>
    <w:p w14:paraId="17814CDF">
      <w:pPr>
        <w:ind w:firstLine="420" w:firstLineChars="200"/>
        <w:rPr>
          <w:rFonts w:hint="eastAsia" w:ascii="宋体" w:hAnsi="宋体" w:eastAsia="宋体" w:cs="宋体"/>
          <w:szCs w:val="21"/>
        </w:rPr>
      </w:pPr>
      <w:r>
        <w:rPr>
          <w:rFonts w:hint="eastAsia" w:ascii="宋体" w:hAnsi="宋体" w:eastAsia="宋体" w:cs="宋体"/>
          <w:szCs w:val="21"/>
        </w:rPr>
        <w:t>GB/T 6682“分析实验室用水规格和试验方法”</w:t>
      </w:r>
    </w:p>
    <w:p w14:paraId="566EB817">
      <w:pPr>
        <w:ind w:firstLine="420" w:firstLineChars="200"/>
        <w:rPr>
          <w:rFonts w:hint="eastAsia" w:ascii="宋体" w:hAnsi="宋体" w:eastAsia="宋体" w:cs="宋体"/>
          <w:szCs w:val="21"/>
        </w:rPr>
      </w:pPr>
      <w:r>
        <w:rPr>
          <w:rFonts w:hint="eastAsia" w:ascii="宋体" w:hAnsi="宋体" w:eastAsia="宋体" w:cs="宋体"/>
          <w:szCs w:val="21"/>
        </w:rPr>
        <w:t>GB/T 16886.7“医疗器械生物学评价第7部分环氧乙烷灭菌残留量”</w:t>
      </w:r>
    </w:p>
    <w:p w14:paraId="70992338">
      <w:pPr>
        <w:pStyle w:val="48"/>
        <w:rPr>
          <w:rFonts w:hint="eastAsia" w:ascii="宋体" w:hAnsi="宋体" w:eastAsia="宋体" w:cs="宋体"/>
          <w:kern w:val="2"/>
        </w:rPr>
      </w:pPr>
      <w:bookmarkStart w:id="31" w:name="_Toc10992"/>
      <w:bookmarkStart w:id="32" w:name="_Toc27386"/>
      <w:bookmarkStart w:id="33" w:name="_Toc31644"/>
      <w:bookmarkStart w:id="34" w:name="_Toc15883"/>
      <w:r>
        <w:rPr>
          <w:rFonts w:hint="eastAsia" w:ascii="宋体" w:hAnsi="宋体" w:eastAsia="宋体" w:cs="宋体"/>
          <w:b/>
          <w:bCs/>
          <w:sz w:val="24"/>
          <w:szCs w:val="24"/>
        </w:rPr>
        <w:t>术语和定义</w:t>
      </w:r>
      <w:bookmarkEnd w:id="31"/>
      <w:bookmarkEnd w:id="32"/>
      <w:bookmarkEnd w:id="33"/>
      <w:bookmarkEnd w:id="34"/>
    </w:p>
    <w:p w14:paraId="3DE90585">
      <w:pPr>
        <w:pStyle w:val="51"/>
        <w:rPr>
          <w:rFonts w:hint="eastAsia" w:ascii="宋体" w:hAnsi="宋体" w:cs="宋体"/>
        </w:rPr>
      </w:pPr>
      <w:r>
        <w:rPr>
          <w:rFonts w:hint="eastAsia" w:ascii="宋体" w:hAnsi="宋体" w:cs="宋体"/>
        </w:rPr>
        <w:t>下列术语和定义适用于本文件。</w:t>
      </w:r>
    </w:p>
    <w:p w14:paraId="2F8581A1">
      <w:pPr>
        <w:pStyle w:val="63"/>
        <w:widowControl/>
        <w:jc w:val="left"/>
        <w:outlineLvl w:val="1"/>
        <w:rPr>
          <w:rFonts w:hint="eastAsia" w:ascii="宋体" w:hAnsi="宋体" w:eastAsia="宋体" w:cs="宋体"/>
          <w:b/>
          <w:bCs/>
        </w:rPr>
      </w:pPr>
      <w:bookmarkStart w:id="35" w:name="_Toc39659930"/>
      <w:bookmarkEnd w:id="35"/>
      <w:bookmarkStart w:id="36" w:name="_Toc10330"/>
      <w:bookmarkEnd w:id="36"/>
      <w:bookmarkStart w:id="37" w:name="_Toc30492"/>
      <w:bookmarkEnd w:id="37"/>
      <w:bookmarkStart w:id="38" w:name="_Toc25245"/>
      <w:bookmarkEnd w:id="38"/>
      <w:bookmarkStart w:id="39" w:name="_Toc30226"/>
      <w:bookmarkEnd w:id="39"/>
      <w:bookmarkStart w:id="40" w:name="_Toc14104"/>
      <w:bookmarkEnd w:id="40"/>
      <w:bookmarkStart w:id="41" w:name="_Toc1651886"/>
      <w:bookmarkEnd w:id="41"/>
      <w:bookmarkStart w:id="42" w:name="_Toc24655"/>
      <w:bookmarkEnd w:id="42"/>
      <w:bookmarkStart w:id="43" w:name="_Toc942352"/>
      <w:bookmarkEnd w:id="43"/>
      <w:bookmarkStart w:id="44" w:name="_Toc2868"/>
      <w:bookmarkEnd w:id="44"/>
      <w:bookmarkStart w:id="45" w:name="_Toc2068"/>
      <w:bookmarkEnd w:id="45"/>
      <w:bookmarkStart w:id="46" w:name="_Toc942023"/>
      <w:bookmarkEnd w:id="46"/>
      <w:bookmarkStart w:id="47" w:name="_Toc6424"/>
      <w:bookmarkEnd w:id="47"/>
      <w:bookmarkStart w:id="48" w:name="_Toc28819"/>
      <w:bookmarkEnd w:id="48"/>
      <w:bookmarkStart w:id="49" w:name="_Toc3362"/>
      <w:bookmarkEnd w:id="49"/>
      <w:bookmarkStart w:id="50" w:name="_Toc27026"/>
      <w:bookmarkEnd w:id="50"/>
      <w:bookmarkStart w:id="51" w:name="_Toc1093"/>
      <w:bookmarkEnd w:id="51"/>
      <w:bookmarkStart w:id="52" w:name="_Toc6727"/>
      <w:bookmarkEnd w:id="52"/>
      <w:bookmarkStart w:id="53" w:name="_Toc29489"/>
      <w:bookmarkStart w:id="54" w:name="_Toc15045"/>
      <w:bookmarkStart w:id="55" w:name="_Toc22882"/>
      <w:r>
        <w:rPr>
          <w:rFonts w:hint="eastAsia" w:ascii="宋体" w:hAnsi="宋体" w:eastAsia="宋体" w:cs="宋体"/>
          <w:b/>
          <w:bCs/>
        </w:rPr>
        <w:t>医疗器械无菌检（化）验员能力要求</w:t>
      </w:r>
      <w:bookmarkEnd w:id="53"/>
      <w:bookmarkEnd w:id="54"/>
      <w:bookmarkEnd w:id="55"/>
    </w:p>
    <w:p w14:paraId="2FCACDD0">
      <w:pPr>
        <w:pStyle w:val="2"/>
        <w:ind w:firstLine="420" w:firstLineChars="200"/>
        <w:rPr>
          <w:rFonts w:ascii="宋体" w:hAnsi="宋体"/>
          <w:i w:val="0"/>
          <w:szCs w:val="21"/>
        </w:rPr>
      </w:pPr>
      <w:r>
        <w:rPr>
          <w:rFonts w:ascii="宋体" w:hAnsi="宋体"/>
          <w:i w:val="0"/>
          <w:szCs w:val="21"/>
        </w:rPr>
        <w:t>评价医疗器械无菌检（化）验员能力的专业知识、技术技能、工作实践等事项的过程。</w:t>
      </w:r>
    </w:p>
    <w:p w14:paraId="1246739D">
      <w:pPr>
        <w:pStyle w:val="63"/>
        <w:widowControl/>
        <w:jc w:val="left"/>
        <w:outlineLvl w:val="1"/>
        <w:rPr>
          <w:rFonts w:hint="eastAsia" w:ascii="宋体" w:hAnsi="宋体" w:eastAsia="宋体" w:cs="宋体"/>
          <w:b/>
          <w:bCs/>
          <w:szCs w:val="21"/>
        </w:rPr>
      </w:pPr>
      <w:bookmarkStart w:id="56" w:name="_Toc29882"/>
      <w:bookmarkStart w:id="57" w:name="_Toc27771"/>
      <w:bookmarkStart w:id="58" w:name="_Toc10074"/>
      <w:r>
        <w:rPr>
          <w:rFonts w:hint="eastAsia" w:ascii="宋体" w:hAnsi="宋体" w:eastAsia="宋体" w:cs="宋体"/>
          <w:b/>
          <w:bCs/>
          <w:szCs w:val="21"/>
        </w:rPr>
        <w:t>学历与专业要求</w:t>
      </w:r>
      <w:bookmarkEnd w:id="56"/>
      <w:bookmarkEnd w:id="57"/>
      <w:bookmarkEnd w:id="58"/>
    </w:p>
    <w:p w14:paraId="33CE19B7">
      <w:pPr>
        <w:pStyle w:val="2"/>
        <w:ind w:firstLine="420" w:firstLineChars="200"/>
        <w:rPr>
          <w:rFonts w:hint="eastAsia" w:ascii="宋体" w:hAnsi="宋体"/>
        </w:rPr>
      </w:pPr>
      <w:r>
        <w:rPr>
          <w:rFonts w:hint="eastAsia" w:ascii="宋体" w:hAnsi="宋体" w:eastAsia="宋体" w:cs="宋体"/>
          <w:i w:val="0"/>
          <w:kern w:val="2"/>
          <w:sz w:val="21"/>
          <w:szCs w:val="21"/>
          <w:lang w:val="zh-CN" w:eastAsia="zh-CN" w:bidi="zh-CN"/>
        </w:rPr>
        <w:t>拥有大专或同等以上学历；微生物学、生物技术、药学、医疗器械检验等相关专业。</w:t>
      </w:r>
    </w:p>
    <w:p w14:paraId="04BD467E">
      <w:pPr>
        <w:pStyle w:val="63"/>
        <w:widowControl/>
        <w:jc w:val="left"/>
        <w:outlineLvl w:val="1"/>
        <w:rPr>
          <w:rFonts w:hint="eastAsia" w:ascii="宋体" w:hAnsi="宋体" w:eastAsia="宋体" w:cs="宋体"/>
          <w:b/>
          <w:bCs/>
          <w:szCs w:val="21"/>
        </w:rPr>
      </w:pPr>
      <w:bookmarkStart w:id="59" w:name="_Toc20342"/>
      <w:bookmarkStart w:id="60" w:name="_Toc10110"/>
      <w:bookmarkStart w:id="61" w:name="_Toc20350"/>
      <w:r>
        <w:rPr>
          <w:rFonts w:hint="eastAsia" w:ascii="宋体" w:hAnsi="宋体" w:eastAsia="宋体" w:cs="宋体"/>
          <w:b/>
          <w:bCs/>
          <w:szCs w:val="21"/>
        </w:rPr>
        <w:t>从业经历要求</w:t>
      </w:r>
      <w:bookmarkEnd w:id="59"/>
      <w:bookmarkEnd w:id="60"/>
      <w:bookmarkEnd w:id="61"/>
    </w:p>
    <w:p w14:paraId="6C460E69">
      <w:pPr>
        <w:widowControl/>
        <w:ind w:firstLine="420" w:firstLineChars="200"/>
        <w:jc w:val="left"/>
        <w:rPr>
          <w:rFonts w:hint="eastAsia" w:ascii="宋体" w:hAnsi="宋体" w:eastAsia="宋体" w:cs="宋体"/>
        </w:rPr>
      </w:pPr>
      <w:r>
        <w:rPr>
          <w:rFonts w:hint="eastAsia" w:ascii="宋体" w:hAnsi="宋体" w:eastAsia="宋体" w:cs="宋体"/>
          <w:szCs w:val="21"/>
        </w:rPr>
        <w:t>具有1年以上无菌检验工作经验，初步掌握医疗器械无菌检验流程；</w:t>
      </w:r>
    </w:p>
    <w:p w14:paraId="56A3CCA7">
      <w:pPr>
        <w:widowControl w:val="0"/>
        <w:ind w:firstLine="420" w:firstLineChars="200"/>
        <w:jc w:val="both"/>
        <w:rPr>
          <w:rFonts w:hint="eastAsia" w:ascii="宋体" w:hAnsi="宋体" w:eastAsia="宋体" w:cs="宋体"/>
          <w:kern w:val="2"/>
          <w:sz w:val="21"/>
          <w:szCs w:val="21"/>
          <w:lang w:val="zh-CN" w:eastAsia="zh-CN" w:bidi="zh-CN"/>
        </w:rPr>
      </w:pPr>
      <w:r>
        <w:rPr>
          <w:rFonts w:hint="eastAsia" w:ascii="宋体" w:hAnsi="宋体" w:eastAsia="宋体" w:cs="宋体"/>
          <w:kern w:val="2"/>
          <w:sz w:val="21"/>
          <w:szCs w:val="21"/>
          <w:lang w:val="zh-CN" w:eastAsia="zh-CN" w:bidi="zh-CN"/>
        </w:rPr>
        <w:t>获得过全国/省级性相关生物制药行业赛事，获得决赛奖项的可直接评价。</w:t>
      </w:r>
    </w:p>
    <w:p w14:paraId="64EEFBE8">
      <w:pPr>
        <w:pStyle w:val="63"/>
        <w:widowControl/>
        <w:jc w:val="left"/>
        <w:outlineLvl w:val="1"/>
        <w:rPr>
          <w:rFonts w:hint="eastAsia" w:ascii="宋体" w:hAnsi="宋体" w:eastAsia="宋体" w:cs="宋体"/>
          <w:b/>
          <w:bCs/>
          <w:szCs w:val="21"/>
        </w:rPr>
      </w:pPr>
      <w:bookmarkStart w:id="62" w:name="_Toc1865"/>
      <w:bookmarkStart w:id="63" w:name="_Toc6264"/>
      <w:bookmarkStart w:id="64" w:name="_Toc11201"/>
      <w:r>
        <w:rPr>
          <w:rFonts w:hint="eastAsia" w:ascii="宋体" w:hAnsi="宋体" w:eastAsia="宋体" w:cs="宋体"/>
          <w:b/>
          <w:bCs/>
          <w:szCs w:val="21"/>
        </w:rPr>
        <w:t>相关培训记录要求</w:t>
      </w:r>
      <w:bookmarkEnd w:id="62"/>
      <w:bookmarkEnd w:id="63"/>
      <w:bookmarkEnd w:id="64"/>
    </w:p>
    <w:p w14:paraId="3F42D9EF">
      <w:pPr>
        <w:pStyle w:val="2"/>
        <w:ind w:firstLine="420" w:firstLineChars="200"/>
        <w:rPr>
          <w:rFonts w:hint="default" w:ascii="宋体" w:hAnsi="宋体" w:eastAsia="宋体"/>
          <w:i w:val="0"/>
          <w:szCs w:val="21"/>
          <w:lang w:val="en-US" w:bidi="ar-SA"/>
        </w:rPr>
      </w:pPr>
      <w:r>
        <w:rPr>
          <w:rFonts w:hint="default" w:ascii="宋体" w:hAnsi="宋体" w:eastAsia="宋体"/>
          <w:i w:val="0"/>
          <w:szCs w:val="21"/>
          <w:lang w:val="zh-CN" w:bidi="ar-SA"/>
        </w:rPr>
        <w:t>参</w:t>
      </w:r>
      <w:r>
        <w:rPr>
          <w:rFonts w:hint="default" w:ascii="宋体" w:hAnsi="宋体" w:eastAsia="宋体"/>
          <w:i w:val="0"/>
          <w:szCs w:val="21"/>
          <w:lang w:val="en-US" w:bidi="ar-SA"/>
        </w:rPr>
        <w:t>加过医疗器械生产质量管理规范、参加过2025版本中国药典至少1次。</w:t>
      </w:r>
    </w:p>
    <w:p w14:paraId="02AF79D3">
      <w:pPr>
        <w:pStyle w:val="63"/>
        <w:widowControl/>
        <w:jc w:val="left"/>
        <w:outlineLvl w:val="1"/>
        <w:rPr>
          <w:rFonts w:hint="eastAsia" w:ascii="宋体" w:hAnsi="宋体" w:eastAsia="宋体" w:cs="宋体"/>
          <w:b/>
          <w:bCs/>
          <w:szCs w:val="21"/>
        </w:rPr>
      </w:pPr>
      <w:bookmarkStart w:id="65" w:name="_Toc6183"/>
      <w:bookmarkStart w:id="66" w:name="_Toc23761"/>
      <w:bookmarkStart w:id="67" w:name="_Toc16710"/>
      <w:r>
        <w:rPr>
          <w:rFonts w:hint="eastAsia" w:ascii="宋体" w:hAnsi="宋体" w:eastAsia="宋体" w:cs="宋体"/>
          <w:b/>
          <w:bCs/>
          <w:szCs w:val="21"/>
        </w:rPr>
        <w:t>职业能力要求</w:t>
      </w:r>
      <w:bookmarkEnd w:id="65"/>
      <w:bookmarkEnd w:id="66"/>
      <w:bookmarkEnd w:id="67"/>
    </w:p>
    <w:p w14:paraId="20E13885">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熟悉医疗器械无菌检验法规及标准，如《中国药典》ISO11137、YY/T0033等，确保无菌检验合规；</w:t>
      </w:r>
    </w:p>
    <w:p w14:paraId="7B4207E1">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熟悉所需的仪器设备，如生物安全柜、培养箱、试剂和耗材的标号，及设备操要求；</w:t>
      </w:r>
    </w:p>
    <w:p w14:paraId="2F35311C">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掌握抽检要求及SOP操作规程，能独立完成检验报告上报；</w:t>
      </w:r>
    </w:p>
    <w:p w14:paraId="26A9C814">
      <w:pPr>
        <w:pStyle w:val="124"/>
        <w:ind w:left="0" w:leftChars="0" w:firstLine="420" w:firstLineChars="200"/>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熟练按抽样计划对医疗器械成品、半成品及原材料进行无菌抽样，确保样品代表性和随机性；</w:t>
      </w:r>
    </w:p>
    <w:p w14:paraId="5A6D76FD">
      <w:pPr>
        <w:pStyle w:val="124"/>
        <w:ind w:left="0" w:leftChars="0" w:firstLine="420" w:firstLineChars="200"/>
        <w:rPr>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熟练采用薄膜过滤法或直接接种法对样品进行处理，接种到适宜培养基中培养，观察培养基颜色、浑浊度及菌落生长情况</w:t>
      </w:r>
      <w:r>
        <w:rPr>
          <w:rFonts w:hint="eastAsia"/>
          <w:color w:val="000000" w:themeColor="text1"/>
          <w14:textFill>
            <w14:solidFill>
              <w14:schemeClr w14:val="tx1"/>
            </w14:solidFill>
          </w14:textFill>
        </w:rPr>
        <w:t>精通审查供应商资质文件是否齐全有效，确保其符合法律法规和行业标准；</w:t>
      </w:r>
    </w:p>
    <w:p w14:paraId="347AABF1">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准确判断样品无菌性，记录检验过程中的各项数据；</w:t>
      </w:r>
    </w:p>
    <w:p w14:paraId="612302D5">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记录检验数据，包括样品信息、检验环境、操作及观察结果，确保数据完整性和可追溯性；</w:t>
      </w:r>
    </w:p>
    <w:p w14:paraId="17308DC2">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根据检验数据撰写无菌检验报告，明确判断样品符合无菌要求，对不合格样品提出分析意见将报告提交上级审核，并按规定流程归档保存；</w:t>
      </w:r>
    </w:p>
    <w:p w14:paraId="3CBAFFED">
      <w:pPr>
        <w:pStyle w:val="124"/>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负责仪器设备的日常清洁、维护与校准，定期进行性能验证；</w:t>
      </w:r>
    </w:p>
    <w:p w14:paraId="6CF906A1">
      <w:pPr>
        <w:pStyle w:val="124"/>
        <w:ind w:left="0" w:leftChars="0" w:firstLine="420" w:firstLineChars="200"/>
        <w:rPr>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具备</w:t>
      </w:r>
      <w:r>
        <w:rPr>
          <w:rFonts w:hint="eastAsia"/>
          <w:color w:val="000000" w:themeColor="text1"/>
          <w14:textFill>
            <w14:solidFill>
              <w14:schemeClr w14:val="tx1"/>
            </w14:solidFill>
          </w14:textFill>
        </w:rPr>
        <w:t>维护洁净室环境，参与清洁消毒工作，检查空气净化系统、传递窗等设施运行状态；</w:t>
      </w:r>
    </w:p>
    <w:p w14:paraId="28803F08">
      <w:pPr>
        <w:pStyle w:val="124"/>
        <w:ind w:left="0" w:leftChars="0" w:firstLine="420" w:firstLineChars="200"/>
        <w:rPr>
          <w:color w:val="FF0000"/>
        </w:rPr>
      </w:pPr>
      <w:r>
        <w:rPr>
          <w:rFonts w:hint="eastAsia"/>
          <w:color w:val="000000" w:themeColor="text1"/>
          <w14:textFill>
            <w14:solidFill>
              <w14:schemeClr w14:val="tx1"/>
            </w14:solidFill>
          </w14:textFill>
        </w:rPr>
        <w:t>监控无菌检验环境（如洁净室），记录温湿度、尘埃粒子数、浮游菌等参数。</w:t>
      </w:r>
    </w:p>
    <w:p w14:paraId="5AFEE926">
      <w:pPr>
        <w:pStyle w:val="63"/>
        <w:widowControl/>
        <w:jc w:val="left"/>
        <w:outlineLvl w:val="1"/>
        <w:rPr>
          <w:rFonts w:hint="eastAsia" w:ascii="宋体" w:hAnsi="宋体" w:eastAsia="宋体" w:cs="宋体"/>
          <w:b/>
          <w:bCs/>
          <w:szCs w:val="21"/>
        </w:rPr>
      </w:pPr>
      <w:bookmarkStart w:id="68" w:name="_Toc4922"/>
      <w:bookmarkStart w:id="69" w:name="_Toc31969"/>
      <w:bookmarkStart w:id="70" w:name="_Toc5622"/>
      <w:r>
        <w:rPr>
          <w:rFonts w:hint="eastAsia" w:ascii="宋体" w:hAnsi="宋体" w:eastAsia="宋体" w:cs="宋体"/>
          <w:b/>
          <w:bCs/>
          <w:szCs w:val="21"/>
        </w:rPr>
        <w:t>职业素养</w:t>
      </w:r>
      <w:bookmarkEnd w:id="68"/>
      <w:bookmarkEnd w:id="69"/>
      <w:bookmarkEnd w:id="70"/>
    </w:p>
    <w:p w14:paraId="00434F72">
      <w:pPr>
        <w:pStyle w:val="124"/>
        <w:ind w:left="0" w:leftChars="0" w:firstLine="420" w:firstLineChars="200"/>
      </w:pPr>
      <w:r>
        <w:t>遵纪守法，具有良好职业道德素质</w:t>
      </w:r>
      <w:r>
        <w:rPr>
          <w:rFonts w:hint="eastAsia"/>
        </w:rPr>
        <w:t>；</w:t>
      </w:r>
    </w:p>
    <w:p w14:paraId="314B6676">
      <w:pPr>
        <w:pStyle w:val="124"/>
        <w:ind w:left="0" w:leftChars="0" w:firstLine="420" w:firstLineChars="200"/>
      </w:pPr>
      <w:r>
        <w:t>工作严谨细致、责任心强</w:t>
      </w:r>
      <w:r>
        <w:rPr>
          <w:rFonts w:hint="eastAsia"/>
        </w:rPr>
        <w:t>，</w:t>
      </w:r>
      <w:r>
        <w:t>坚守质量和合规的底线</w:t>
      </w:r>
      <w:r>
        <w:rPr>
          <w:rFonts w:hint="eastAsia"/>
        </w:rPr>
        <w:t>；</w:t>
      </w:r>
    </w:p>
    <w:p w14:paraId="34A6907D">
      <w:pPr>
        <w:pStyle w:val="124"/>
        <w:ind w:left="0" w:leftChars="0" w:firstLine="420" w:firstLineChars="200"/>
      </w:pPr>
      <w:r>
        <w:t>严格遵守检验操作规程和质量控制要求</w:t>
      </w:r>
      <w:r>
        <w:rPr>
          <w:rFonts w:hint="eastAsia"/>
        </w:rPr>
        <w:t>；</w:t>
      </w:r>
    </w:p>
    <w:p w14:paraId="7501E88B">
      <w:pPr>
        <w:pStyle w:val="124"/>
        <w:ind w:left="0" w:leftChars="0" w:firstLine="420" w:firstLineChars="200"/>
      </w:pPr>
      <w:r>
        <w:t>以</w:t>
      </w:r>
      <w:r>
        <w:rPr>
          <w:rFonts w:hint="eastAsia"/>
        </w:rPr>
        <w:t>质量</w:t>
      </w:r>
      <w:r>
        <w:t>为中心，确保</w:t>
      </w:r>
      <w:r>
        <w:rPr>
          <w:rFonts w:hint="eastAsia"/>
        </w:rPr>
        <w:t>检验正规</w:t>
      </w:r>
      <w:r>
        <w:t>、有效</w:t>
      </w:r>
      <w:r>
        <w:rPr>
          <w:rFonts w:hint="eastAsia"/>
        </w:rPr>
        <w:t>；</w:t>
      </w:r>
    </w:p>
    <w:p w14:paraId="6543143B">
      <w:pPr>
        <w:pStyle w:val="124"/>
        <w:ind w:left="0" w:leftChars="0" w:firstLine="420" w:firstLineChars="200"/>
      </w:pPr>
      <w:r>
        <w:t>恪尽职守，自觉维护组织和行业信誉</w:t>
      </w:r>
      <w:r>
        <w:rPr>
          <w:rFonts w:hint="eastAsia"/>
        </w:rPr>
        <w:t>。</w:t>
      </w:r>
    </w:p>
    <w:p w14:paraId="596BFF76">
      <w:pPr>
        <w:pStyle w:val="63"/>
        <w:widowControl/>
        <w:jc w:val="left"/>
        <w:outlineLvl w:val="1"/>
        <w:rPr>
          <w:rFonts w:hint="eastAsia" w:ascii="宋体" w:hAnsi="宋体" w:eastAsia="宋体" w:cs="宋体"/>
          <w:b/>
          <w:bCs/>
          <w:szCs w:val="21"/>
        </w:rPr>
      </w:pPr>
      <w:bookmarkStart w:id="71" w:name="_Toc14731"/>
      <w:bookmarkStart w:id="72" w:name="_Toc16353"/>
      <w:bookmarkStart w:id="73" w:name="_Toc13223"/>
      <w:r>
        <w:rPr>
          <w:rFonts w:hint="eastAsia" w:ascii="宋体" w:hAnsi="宋体" w:eastAsia="宋体" w:cs="宋体"/>
          <w:b/>
          <w:bCs/>
          <w:szCs w:val="21"/>
        </w:rPr>
        <w:t>岗位职责</w:t>
      </w:r>
      <w:bookmarkEnd w:id="71"/>
      <w:bookmarkEnd w:id="72"/>
      <w:bookmarkEnd w:id="73"/>
    </w:p>
    <w:p w14:paraId="1F343E84">
      <w:pPr>
        <w:pStyle w:val="121"/>
        <w:tabs>
          <w:tab w:val="right" w:leader="dot" w:pos="9070"/>
        </w:tabs>
        <w:ind w:left="0" w:leftChars="0" w:firstLine="420" w:firstLineChars="200"/>
        <w:rPr>
          <w:rFonts w:cstheme="minorBidi"/>
          <w:kern w:val="2"/>
          <w:sz w:val="21"/>
          <w:szCs w:val="22"/>
        </w:rPr>
      </w:pPr>
      <w:r>
        <w:rPr>
          <w:rFonts w:hint="eastAsia" w:cstheme="minorBidi"/>
          <w:kern w:val="2"/>
          <w:sz w:val="21"/>
          <w:szCs w:val="22"/>
        </w:rPr>
        <w:t>负责医疗器械产品的无菌检验，严格按照相关法规、标准及操作规程实施检验等工作；</w:t>
      </w:r>
    </w:p>
    <w:p w14:paraId="324F0FF7">
      <w:pPr>
        <w:pStyle w:val="121"/>
        <w:tabs>
          <w:tab w:val="right" w:leader="dot" w:pos="9070"/>
        </w:tabs>
        <w:ind w:left="0" w:leftChars="0" w:firstLine="420" w:firstLineChars="200"/>
        <w:rPr>
          <w:rFonts w:cstheme="minorBidi"/>
          <w:kern w:val="2"/>
          <w:sz w:val="21"/>
          <w:szCs w:val="22"/>
        </w:rPr>
      </w:pPr>
      <w:r>
        <w:rPr>
          <w:rFonts w:hint="eastAsia" w:cstheme="minorBidi"/>
          <w:kern w:val="2"/>
          <w:sz w:val="21"/>
          <w:szCs w:val="22"/>
        </w:rPr>
        <w:t>负责微生物样本、工艺用水等的采集检验，确保产品的无菌能符合要求，为产品质量提供可靠保障等。</w:t>
      </w:r>
    </w:p>
    <w:p w14:paraId="1E24518C">
      <w:pPr>
        <w:pStyle w:val="48"/>
        <w:rPr>
          <w:rFonts w:hint="eastAsia" w:ascii="宋体" w:hAnsi="宋体" w:eastAsia="宋体" w:cs="宋体"/>
          <w:b/>
          <w:bCs/>
          <w:sz w:val="24"/>
          <w:szCs w:val="24"/>
        </w:rPr>
      </w:pPr>
      <w:bookmarkStart w:id="74" w:name="_Toc2604"/>
      <w:bookmarkEnd w:id="74"/>
      <w:bookmarkStart w:id="75" w:name="_Toc1593"/>
      <w:bookmarkEnd w:id="75"/>
      <w:bookmarkStart w:id="76" w:name="_Toc5238"/>
      <w:bookmarkEnd w:id="76"/>
      <w:bookmarkStart w:id="77" w:name="_Toc39659931"/>
      <w:bookmarkEnd w:id="77"/>
      <w:bookmarkStart w:id="78" w:name="_Toc31721"/>
      <w:bookmarkEnd w:id="78"/>
      <w:bookmarkStart w:id="79" w:name="_Toc8106"/>
      <w:bookmarkStart w:id="80" w:name="_Toc14082"/>
      <w:bookmarkStart w:id="81" w:name="_Toc10874"/>
      <w:bookmarkStart w:id="82" w:name="_Toc19018"/>
      <w:r>
        <w:rPr>
          <w:rFonts w:hint="eastAsia" w:ascii="宋体" w:hAnsi="宋体" w:eastAsia="宋体" w:cs="宋体"/>
          <w:b/>
          <w:bCs/>
          <w:sz w:val="24"/>
          <w:szCs w:val="24"/>
        </w:rPr>
        <w:t>检验规则</w:t>
      </w:r>
      <w:bookmarkEnd w:id="79"/>
      <w:bookmarkEnd w:id="80"/>
      <w:bookmarkEnd w:id="81"/>
      <w:bookmarkEnd w:id="82"/>
    </w:p>
    <w:p w14:paraId="72592107">
      <w:pPr>
        <w:pStyle w:val="63"/>
        <w:snapToGrid w:val="0"/>
        <w:outlineLvl w:val="1"/>
        <w:rPr>
          <w:rFonts w:hint="eastAsia" w:ascii="宋体" w:hAnsi="宋体" w:eastAsia="宋体" w:cs="宋体"/>
          <w:b/>
          <w:bCs/>
          <w:szCs w:val="21"/>
        </w:rPr>
      </w:pPr>
      <w:bookmarkStart w:id="83" w:name="_Toc27408"/>
      <w:bookmarkStart w:id="84" w:name="_Toc31740"/>
      <w:bookmarkStart w:id="85" w:name="_Toc24205"/>
      <w:r>
        <w:rPr>
          <w:rFonts w:hint="eastAsia" w:ascii="宋体" w:hAnsi="宋体" w:eastAsia="宋体" w:cs="宋体"/>
          <w:b/>
          <w:bCs/>
          <w:szCs w:val="21"/>
        </w:rPr>
        <w:t>检验使用辅料要求</w:t>
      </w:r>
      <w:bookmarkEnd w:id="83"/>
      <w:bookmarkEnd w:id="84"/>
      <w:bookmarkEnd w:id="85"/>
    </w:p>
    <w:p w14:paraId="6054FA15">
      <w:pPr>
        <w:widowControl/>
        <w:ind w:firstLine="420" w:firstLineChars="200"/>
        <w:jc w:val="left"/>
        <w:rPr>
          <w:rFonts w:hint="eastAsia" w:ascii="宋体" w:hAnsi="宋体" w:eastAsia="宋体" w:cs="宋体"/>
          <w:szCs w:val="21"/>
        </w:rPr>
      </w:pPr>
      <w:r>
        <w:rPr>
          <w:rFonts w:hint="eastAsia" w:ascii="宋体" w:hAnsi="宋体" w:eastAsia="宋体" w:cs="宋体"/>
          <w:szCs w:val="21"/>
        </w:rPr>
        <w:t>原辅料应符合相关国行标的规定，具体是：</w:t>
      </w:r>
    </w:p>
    <w:p w14:paraId="370AF13D">
      <w:pPr>
        <w:widowControl/>
        <w:ind w:firstLine="420" w:firstLineChars="200"/>
        <w:jc w:val="left"/>
        <w:rPr>
          <w:rFonts w:hint="eastAsia" w:ascii="宋体" w:hAnsi="宋体" w:eastAsia="宋体" w:cs="宋体"/>
          <w:szCs w:val="21"/>
        </w:rPr>
      </w:pPr>
      <w:r>
        <w:rPr>
          <w:rFonts w:hint="eastAsia" w:ascii="宋体" w:hAnsi="宋体" w:eastAsia="宋体" w:cs="宋体"/>
          <w:szCs w:val="21"/>
        </w:rPr>
        <w:t>1.培养基符合中国药典要求；</w:t>
      </w:r>
    </w:p>
    <w:p w14:paraId="39D5836F">
      <w:pPr>
        <w:widowControl/>
        <w:ind w:firstLine="420" w:firstLineChars="200"/>
        <w:jc w:val="left"/>
        <w:rPr>
          <w:rFonts w:hint="eastAsia" w:ascii="宋体" w:hAnsi="宋体" w:eastAsia="宋体" w:cs="宋体"/>
          <w:szCs w:val="21"/>
        </w:rPr>
      </w:pPr>
      <w:r>
        <w:rPr>
          <w:rFonts w:hint="eastAsia" w:ascii="宋体" w:hAnsi="宋体" w:eastAsia="宋体" w:cs="宋体"/>
          <w:szCs w:val="21"/>
        </w:rPr>
        <w:t>2.仪器设备符合计量校准要求；</w:t>
      </w:r>
    </w:p>
    <w:p w14:paraId="4F1FFDBC">
      <w:pPr>
        <w:widowControl/>
        <w:ind w:firstLine="420" w:firstLineChars="200"/>
        <w:jc w:val="left"/>
        <w:rPr>
          <w:rFonts w:hint="eastAsia" w:ascii="宋体" w:hAnsi="宋体" w:eastAsia="宋体" w:cs="宋体"/>
          <w:szCs w:val="21"/>
        </w:rPr>
      </w:pPr>
      <w:r>
        <w:rPr>
          <w:rFonts w:hint="eastAsia" w:ascii="宋体" w:hAnsi="宋体" w:eastAsia="宋体" w:cs="宋体"/>
          <w:szCs w:val="21"/>
        </w:rPr>
        <w:t>3.其他原辅料应符合相应国家、行业标准要求。</w:t>
      </w:r>
    </w:p>
    <w:p w14:paraId="1955E8EB">
      <w:pPr>
        <w:pStyle w:val="63"/>
        <w:snapToGrid w:val="0"/>
        <w:outlineLvl w:val="1"/>
        <w:rPr>
          <w:rFonts w:hint="eastAsia" w:ascii="宋体" w:hAnsi="宋体" w:eastAsia="宋体" w:cs="宋体"/>
          <w:b/>
          <w:bCs/>
          <w:szCs w:val="21"/>
        </w:rPr>
      </w:pPr>
      <w:bookmarkStart w:id="86" w:name="_Toc30671"/>
      <w:bookmarkStart w:id="87" w:name="_Toc29835"/>
      <w:bookmarkStart w:id="88" w:name="_Toc22847"/>
      <w:r>
        <w:rPr>
          <w:rFonts w:hint="eastAsia" w:ascii="宋体" w:hAnsi="宋体" w:eastAsia="宋体" w:cs="宋体"/>
          <w:b/>
          <w:bCs/>
          <w:szCs w:val="21"/>
        </w:rPr>
        <w:t>检验工作描述</w:t>
      </w:r>
      <w:bookmarkEnd w:id="86"/>
      <w:bookmarkEnd w:id="87"/>
      <w:bookmarkEnd w:id="88"/>
    </w:p>
    <w:p w14:paraId="0FD54E20">
      <w:pPr>
        <w:widowControl/>
        <w:ind w:firstLine="420" w:firstLineChars="200"/>
        <w:jc w:val="left"/>
        <w:rPr>
          <w:rFonts w:hint="eastAsia" w:ascii="宋体" w:hAnsi="宋体" w:eastAsia="宋体" w:cs="宋体"/>
          <w:szCs w:val="21"/>
        </w:rPr>
      </w:pPr>
      <w:r>
        <w:rPr>
          <w:rFonts w:hint="eastAsia" w:ascii="宋体" w:hAnsi="宋体" w:eastAsia="宋体" w:cs="宋体"/>
          <w:szCs w:val="21"/>
        </w:rPr>
        <w:t>1.对细菌、真菌进行培养，会使用培养基及基本的培养操作；</w:t>
      </w:r>
    </w:p>
    <w:p w14:paraId="0522D16F">
      <w:pPr>
        <w:widowControl/>
        <w:ind w:firstLine="420" w:firstLineChars="200"/>
        <w:jc w:val="left"/>
        <w:rPr>
          <w:rFonts w:hint="eastAsia" w:ascii="宋体" w:hAnsi="宋体" w:eastAsia="宋体" w:cs="宋体"/>
          <w:szCs w:val="21"/>
        </w:rPr>
      </w:pPr>
      <w:r>
        <w:rPr>
          <w:rFonts w:hint="eastAsia" w:ascii="宋体" w:hAnsi="宋体" w:eastAsia="宋体" w:cs="宋体"/>
          <w:szCs w:val="21"/>
        </w:rPr>
        <w:t>2.对产品进行无菌的检验，会检验方法，会操作检验仪器；</w:t>
      </w:r>
    </w:p>
    <w:p w14:paraId="23C93E75">
      <w:pPr>
        <w:widowControl/>
        <w:ind w:firstLine="420" w:firstLineChars="200"/>
        <w:jc w:val="left"/>
        <w:rPr>
          <w:rFonts w:hint="eastAsia" w:ascii="宋体" w:hAnsi="宋体" w:eastAsia="宋体" w:cs="宋体"/>
          <w:szCs w:val="21"/>
        </w:rPr>
      </w:pPr>
      <w:r>
        <w:rPr>
          <w:rFonts w:hint="eastAsia" w:ascii="宋体" w:hAnsi="宋体" w:eastAsia="宋体" w:cs="宋体"/>
          <w:szCs w:val="21"/>
        </w:rPr>
        <w:t>3.对检验中回收率/校正因子的计算确认、供试品计数方法适用性试验、对结果判读；</w:t>
      </w:r>
    </w:p>
    <w:p w14:paraId="7A6DCBA4">
      <w:pPr>
        <w:widowControl/>
        <w:ind w:firstLine="420" w:firstLineChars="200"/>
        <w:jc w:val="left"/>
        <w:rPr>
          <w:rFonts w:hint="eastAsia" w:ascii="宋体" w:hAnsi="宋体" w:eastAsia="宋体" w:cs="宋体"/>
          <w:szCs w:val="21"/>
        </w:rPr>
      </w:pPr>
      <w:r>
        <w:rPr>
          <w:rFonts w:hint="eastAsia" w:ascii="宋体" w:hAnsi="宋体" w:eastAsia="宋体" w:cs="宋体"/>
          <w:szCs w:val="21"/>
        </w:rPr>
        <w:t>4.微生物实验室标准菌株管理、试验用菌株的传代、菌悬液的制备等；</w:t>
      </w:r>
    </w:p>
    <w:p w14:paraId="612A5B2C">
      <w:pPr>
        <w:widowControl/>
        <w:ind w:firstLine="420" w:firstLineChars="200"/>
        <w:jc w:val="left"/>
        <w:rPr>
          <w:rFonts w:hint="eastAsia" w:ascii="宋体" w:hAnsi="宋体" w:eastAsia="宋体" w:cs="宋体"/>
          <w:szCs w:val="21"/>
        </w:rPr>
      </w:pPr>
      <w:r>
        <w:rPr>
          <w:rFonts w:hint="eastAsia" w:ascii="宋体" w:hAnsi="宋体" w:eastAsia="宋体" w:cs="宋体"/>
          <w:szCs w:val="21"/>
        </w:rPr>
        <w:t>5.《中国药典》、ISO11737-1 微生物转移技术与微生物计数要求；</w:t>
      </w:r>
    </w:p>
    <w:p w14:paraId="30F885EB">
      <w:pPr>
        <w:widowControl/>
        <w:ind w:firstLine="420" w:firstLineChars="200"/>
        <w:jc w:val="left"/>
        <w:rPr>
          <w:rFonts w:hint="eastAsia" w:ascii="宋体" w:hAnsi="宋体" w:eastAsia="宋体" w:cs="宋体"/>
          <w:szCs w:val="21"/>
        </w:rPr>
      </w:pPr>
      <w:r>
        <w:rPr>
          <w:rFonts w:hint="eastAsia" w:ascii="宋体" w:hAnsi="宋体" w:eastAsia="宋体" w:cs="宋体"/>
          <w:szCs w:val="21"/>
        </w:rPr>
        <w:t>6.《中国药典》无菌检查方法适用性试验、抑菌成分辨识与去除；</w:t>
      </w:r>
    </w:p>
    <w:p w14:paraId="49366788">
      <w:pPr>
        <w:widowControl/>
        <w:ind w:firstLine="420" w:firstLineChars="200"/>
        <w:jc w:val="left"/>
        <w:rPr>
          <w:rFonts w:hint="eastAsia" w:ascii="宋体" w:hAnsi="宋体" w:eastAsia="宋体" w:cs="宋体"/>
          <w:szCs w:val="21"/>
        </w:rPr>
      </w:pPr>
      <w:r>
        <w:rPr>
          <w:rFonts w:hint="eastAsia" w:ascii="宋体" w:hAnsi="宋体" w:eastAsia="宋体" w:cs="宋体"/>
          <w:szCs w:val="21"/>
        </w:rPr>
        <w:t>7.依据YY/T0033沉降菌、浮游菌等检测技术指标要求（按照级别要求测定）；</w:t>
      </w:r>
    </w:p>
    <w:p w14:paraId="472E9A1B">
      <w:pPr>
        <w:widowControl/>
        <w:ind w:firstLine="420" w:firstLineChars="200"/>
        <w:jc w:val="left"/>
        <w:rPr>
          <w:rFonts w:hint="eastAsia" w:ascii="宋体" w:hAnsi="宋体" w:eastAsia="宋体" w:cs="宋体"/>
          <w:szCs w:val="21"/>
        </w:rPr>
      </w:pPr>
      <w:r>
        <w:rPr>
          <w:rFonts w:hint="eastAsia" w:ascii="宋体" w:hAnsi="宋体" w:eastAsia="宋体" w:cs="宋体"/>
          <w:szCs w:val="21"/>
        </w:rPr>
        <w:t>8.对洁净间及生物安全柜使用与检测要求；</w:t>
      </w:r>
    </w:p>
    <w:p w14:paraId="61DAE582">
      <w:pPr>
        <w:widowControl/>
        <w:ind w:firstLine="420" w:firstLineChars="200"/>
        <w:jc w:val="left"/>
        <w:rPr>
          <w:rFonts w:hint="eastAsia" w:ascii="宋体" w:hAnsi="宋体" w:eastAsia="宋体" w:cs="宋体"/>
          <w:szCs w:val="21"/>
        </w:rPr>
      </w:pPr>
      <w:r>
        <w:rPr>
          <w:rFonts w:hint="eastAsia" w:ascii="宋体" w:hAnsi="宋体" w:eastAsia="宋体" w:cs="宋体"/>
          <w:szCs w:val="21"/>
        </w:rPr>
        <w:t>9.培养基的验证、保存和制备、无菌性试验、灵敏度试验方法；</w:t>
      </w:r>
    </w:p>
    <w:p w14:paraId="25A3950E">
      <w:pPr>
        <w:widowControl/>
        <w:ind w:firstLine="420" w:firstLineChars="200"/>
        <w:jc w:val="left"/>
        <w:rPr>
          <w:rFonts w:hint="eastAsia" w:ascii="宋体" w:hAnsi="宋体" w:eastAsia="宋体" w:cs="宋体"/>
          <w:szCs w:val="21"/>
        </w:rPr>
      </w:pPr>
      <w:r>
        <w:rPr>
          <w:rFonts w:hint="eastAsia" w:ascii="宋体" w:hAnsi="宋体" w:eastAsia="宋体" w:cs="宋体"/>
          <w:szCs w:val="21"/>
        </w:rPr>
        <w:t>10.鲎试剂灵敏度复核试验、干扰试验及供试品细菌内毒素检查试验；</w:t>
      </w:r>
    </w:p>
    <w:p w14:paraId="0F99F1FC">
      <w:pPr>
        <w:widowControl/>
        <w:ind w:firstLine="420" w:firstLineChars="200"/>
        <w:jc w:val="left"/>
        <w:rPr>
          <w:rFonts w:hint="eastAsia" w:ascii="宋体" w:hAnsi="宋体" w:eastAsia="宋体" w:cs="宋体"/>
          <w:szCs w:val="21"/>
        </w:rPr>
      </w:pPr>
      <w:r>
        <w:rPr>
          <w:rFonts w:hint="eastAsia" w:ascii="宋体" w:hAnsi="宋体" w:eastAsia="宋体" w:cs="宋体"/>
          <w:szCs w:val="21"/>
        </w:rPr>
        <w:t>11.微生物屏障的评价方法（微生物屏障特性、与预期灭菌过程的适应性等）；</w:t>
      </w:r>
    </w:p>
    <w:p w14:paraId="1FE5175B">
      <w:pPr>
        <w:widowControl/>
        <w:ind w:firstLine="420" w:firstLineChars="200"/>
        <w:jc w:val="left"/>
        <w:rPr>
          <w:rFonts w:hint="eastAsia" w:ascii="宋体" w:hAnsi="宋体" w:eastAsia="宋体" w:cs="宋体"/>
          <w:szCs w:val="21"/>
        </w:rPr>
      </w:pPr>
      <w:r>
        <w:rPr>
          <w:rFonts w:hint="eastAsia" w:ascii="宋体" w:hAnsi="宋体" w:eastAsia="宋体" w:cs="宋体"/>
          <w:szCs w:val="21"/>
        </w:rPr>
        <w:t>12.灭菌器设备性能的确认；比色分析法测定EO的残留；气相色谱法测定EO残留方法；</w:t>
      </w:r>
    </w:p>
    <w:p w14:paraId="32BDCA7D">
      <w:pPr>
        <w:widowControl/>
        <w:ind w:firstLine="420" w:firstLineChars="200"/>
        <w:jc w:val="left"/>
        <w:rPr>
          <w:rFonts w:hint="eastAsia" w:ascii="宋体" w:hAnsi="宋体" w:eastAsia="宋体" w:cs="宋体"/>
          <w:szCs w:val="21"/>
        </w:rPr>
      </w:pPr>
      <w:r>
        <w:rPr>
          <w:rFonts w:hint="eastAsia" w:ascii="宋体" w:hAnsi="宋体" w:eastAsia="宋体" w:cs="宋体"/>
          <w:szCs w:val="21"/>
        </w:rPr>
        <w:t>13.工艺用水的全性能检测及日常检测要求。</w:t>
      </w:r>
    </w:p>
    <w:p w14:paraId="360DDB60">
      <w:pPr>
        <w:pStyle w:val="63"/>
        <w:snapToGrid w:val="0"/>
        <w:outlineLvl w:val="1"/>
        <w:rPr>
          <w:rFonts w:hint="eastAsia" w:ascii="宋体" w:hAnsi="宋体" w:eastAsia="宋体" w:cs="宋体"/>
          <w:b/>
          <w:bCs/>
          <w:szCs w:val="21"/>
        </w:rPr>
      </w:pPr>
      <w:bookmarkStart w:id="89" w:name="_Toc1677"/>
      <w:bookmarkStart w:id="90" w:name="_Toc24961"/>
      <w:bookmarkStart w:id="91" w:name="_Toc1891"/>
      <w:r>
        <w:rPr>
          <w:rFonts w:hint="eastAsia" w:ascii="宋体" w:hAnsi="宋体" w:eastAsia="宋体" w:cs="宋体"/>
          <w:b/>
          <w:bCs/>
          <w:szCs w:val="21"/>
        </w:rPr>
        <w:t>质量要求</w:t>
      </w:r>
      <w:bookmarkEnd w:id="89"/>
      <w:bookmarkEnd w:id="90"/>
      <w:bookmarkEnd w:id="91"/>
    </w:p>
    <w:p w14:paraId="4CA5D408">
      <w:pPr>
        <w:widowControl/>
        <w:ind w:firstLine="420" w:firstLineChars="200"/>
        <w:jc w:val="left"/>
        <w:rPr>
          <w:rFonts w:hint="eastAsia" w:ascii="宋体" w:hAnsi="宋体" w:eastAsia="宋体" w:cs="宋体"/>
          <w:szCs w:val="21"/>
        </w:rPr>
      </w:pPr>
      <w:r>
        <w:rPr>
          <w:rFonts w:hint="eastAsia" w:ascii="宋体" w:hAnsi="宋体" w:eastAsia="宋体" w:cs="宋体"/>
          <w:szCs w:val="21"/>
        </w:rPr>
        <w:t>1.检测方法独立操作；</w:t>
      </w:r>
    </w:p>
    <w:p w14:paraId="10C40ECD">
      <w:pPr>
        <w:widowControl/>
        <w:ind w:firstLine="420" w:firstLineChars="200"/>
        <w:jc w:val="left"/>
        <w:rPr>
          <w:rFonts w:hint="eastAsia" w:ascii="宋体" w:hAnsi="宋体" w:eastAsia="宋体" w:cs="宋体"/>
          <w:szCs w:val="21"/>
        </w:rPr>
      </w:pPr>
      <w:r>
        <w:rPr>
          <w:rFonts w:hint="eastAsia" w:ascii="宋体" w:hAnsi="宋体" w:eastAsia="宋体" w:cs="宋体"/>
          <w:szCs w:val="21"/>
        </w:rPr>
        <w:t>2.对检测样品的观察及数据统计方法；</w:t>
      </w:r>
    </w:p>
    <w:p w14:paraId="4C78846C">
      <w:pPr>
        <w:widowControl/>
        <w:ind w:firstLine="420" w:firstLineChars="200"/>
        <w:jc w:val="left"/>
        <w:rPr>
          <w:rFonts w:hint="eastAsia" w:ascii="宋体" w:hAnsi="宋体" w:eastAsia="宋体" w:cs="宋体"/>
          <w:szCs w:val="21"/>
        </w:rPr>
      </w:pPr>
      <w:r>
        <w:rPr>
          <w:rFonts w:hint="eastAsia" w:ascii="宋体" w:hAnsi="宋体" w:eastAsia="宋体" w:cs="宋体"/>
          <w:szCs w:val="21"/>
        </w:rPr>
        <w:t>3.对EO残留量的测试及结果判断；</w:t>
      </w:r>
    </w:p>
    <w:p w14:paraId="42C3A20F">
      <w:pPr>
        <w:widowControl/>
        <w:ind w:firstLine="420" w:firstLineChars="200"/>
        <w:jc w:val="left"/>
        <w:rPr>
          <w:rFonts w:hint="eastAsia" w:ascii="宋体" w:hAnsi="宋体" w:eastAsia="宋体" w:cs="宋体"/>
          <w:szCs w:val="21"/>
        </w:rPr>
      </w:pPr>
      <w:r>
        <w:rPr>
          <w:rFonts w:hint="eastAsia" w:ascii="宋体" w:hAnsi="宋体" w:eastAsia="宋体" w:cs="宋体"/>
          <w:szCs w:val="21"/>
        </w:rPr>
        <w:t xml:space="preserve">4.对分析仪器的确证； </w:t>
      </w:r>
    </w:p>
    <w:p w14:paraId="662CF409">
      <w:pPr>
        <w:widowControl/>
        <w:ind w:firstLine="420" w:firstLineChars="200"/>
        <w:jc w:val="left"/>
        <w:rPr>
          <w:rFonts w:hint="eastAsia" w:ascii="宋体" w:hAnsi="宋体" w:eastAsia="宋体" w:cs="宋体"/>
          <w:szCs w:val="21"/>
        </w:rPr>
      </w:pPr>
      <w:r>
        <w:rPr>
          <w:rFonts w:hint="eastAsia" w:ascii="宋体" w:hAnsi="宋体" w:eastAsia="宋体" w:cs="宋体"/>
          <w:szCs w:val="21"/>
        </w:rPr>
        <w:t>5.对试验方法的SOP做好记录。</w:t>
      </w:r>
    </w:p>
    <w:p w14:paraId="659AEE42">
      <w:pPr>
        <w:pStyle w:val="48"/>
        <w:rPr>
          <w:rFonts w:hint="eastAsia" w:ascii="宋体" w:hAnsi="宋体" w:eastAsia="宋体" w:cs="宋体"/>
        </w:rPr>
      </w:pPr>
      <w:bookmarkStart w:id="92" w:name="_Toc8272"/>
      <w:bookmarkStart w:id="93" w:name="_Toc29922"/>
      <w:bookmarkStart w:id="94" w:name="_Toc17532"/>
      <w:r>
        <w:rPr>
          <w:rFonts w:hint="eastAsia" w:ascii="宋体" w:hAnsi="宋体" w:eastAsia="宋体" w:cs="宋体"/>
          <w:b/>
          <w:bCs/>
          <w:sz w:val="24"/>
          <w:szCs w:val="24"/>
        </w:rPr>
        <w:t>检测流程及操作SOP</w:t>
      </w:r>
      <w:bookmarkEnd w:id="92"/>
      <w:bookmarkEnd w:id="93"/>
      <w:bookmarkEnd w:id="94"/>
      <w:r>
        <w:rPr>
          <w:rFonts w:hint="eastAsia" w:ascii="宋体" w:hAnsi="宋体" w:eastAsia="宋体" w:cs="宋体"/>
          <w:b/>
          <w:bCs/>
          <w:sz w:val="24"/>
          <w:szCs w:val="24"/>
        </w:rPr>
        <w:t xml:space="preserve"> </w:t>
      </w:r>
    </w:p>
    <w:p w14:paraId="03B356E3">
      <w:pPr>
        <w:pStyle w:val="63"/>
        <w:widowControl/>
        <w:jc w:val="left"/>
        <w:outlineLvl w:val="1"/>
        <w:rPr>
          <w:rFonts w:hint="eastAsia" w:ascii="宋体" w:hAnsi="宋体" w:eastAsia="宋体" w:cs="宋体"/>
          <w:b/>
          <w:bCs/>
          <w:szCs w:val="21"/>
        </w:rPr>
      </w:pPr>
      <w:bookmarkStart w:id="95" w:name="_Toc13997"/>
      <w:bookmarkStart w:id="96" w:name="_Toc12631"/>
      <w:bookmarkStart w:id="97" w:name="_Toc2997"/>
      <w:r>
        <w:rPr>
          <w:rFonts w:hint="eastAsia" w:ascii="宋体" w:hAnsi="宋体" w:eastAsia="宋体" w:cs="宋体"/>
          <w:b/>
          <w:bCs/>
          <w:szCs w:val="21"/>
        </w:rPr>
        <w:t>初始污染菌检测</w:t>
      </w:r>
      <w:bookmarkEnd w:id="95"/>
      <w:bookmarkEnd w:id="96"/>
      <w:bookmarkEnd w:id="97"/>
      <w:r>
        <w:rPr>
          <w:rFonts w:hint="eastAsia" w:ascii="宋体" w:hAnsi="宋体" w:eastAsia="宋体" w:cs="宋体"/>
          <w:b/>
          <w:bCs/>
          <w:szCs w:val="21"/>
        </w:rPr>
        <w:t xml:space="preserve"> </w:t>
      </w:r>
    </w:p>
    <w:p w14:paraId="1218EE14">
      <w:pPr>
        <w:widowControl/>
        <w:ind w:firstLine="420" w:firstLineChars="200"/>
        <w:jc w:val="left"/>
        <w:rPr>
          <w:rFonts w:hint="eastAsia" w:ascii="宋体" w:hAnsi="宋体" w:eastAsia="宋体" w:cs="宋体"/>
          <w:szCs w:val="21"/>
        </w:rPr>
      </w:pPr>
      <w:r>
        <w:rPr>
          <w:rFonts w:hint="eastAsia" w:ascii="宋体" w:hAnsi="宋体" w:eastAsia="宋体" w:cs="宋体"/>
          <w:szCs w:val="21"/>
        </w:rPr>
        <w:t>检测依据：ISO11737-1（GB/T19973.1）医疗器械的灭菌微生物学方法 第一部分：产品上微生物总数的测定。</w:t>
      </w:r>
    </w:p>
    <w:p w14:paraId="61721DCD">
      <w:pPr>
        <w:pStyle w:val="72"/>
        <w:widowControl/>
        <w:ind w:firstLineChars="0"/>
        <w:jc w:val="left"/>
        <w:outlineLvl w:val="2"/>
        <w:rPr>
          <w:rFonts w:hint="eastAsia" w:ascii="宋体" w:hAnsi="宋体" w:eastAsia="宋体" w:cs="宋体"/>
          <w:b/>
          <w:bCs/>
          <w:szCs w:val="21"/>
        </w:rPr>
      </w:pPr>
      <w:bookmarkStart w:id="98" w:name="_Toc30105"/>
      <w:bookmarkStart w:id="99" w:name="_Toc14925"/>
      <w:bookmarkStart w:id="100" w:name="_Toc31548"/>
      <w:r>
        <w:rPr>
          <w:rFonts w:hint="eastAsia" w:ascii="宋体" w:hAnsi="宋体" w:eastAsia="宋体" w:cs="宋体"/>
          <w:b/>
          <w:bCs/>
          <w:szCs w:val="21"/>
        </w:rPr>
        <w:t>初始污染菌（生物负载）检测方法</w:t>
      </w:r>
      <w:bookmarkEnd w:id="98"/>
      <w:bookmarkEnd w:id="99"/>
      <w:bookmarkEnd w:id="100"/>
    </w:p>
    <w:p w14:paraId="71EE2593">
      <w:pPr>
        <w:pStyle w:val="72"/>
        <w:widowControl/>
        <w:ind w:firstLineChars="0"/>
        <w:jc w:val="left"/>
        <w:outlineLvl w:val="2"/>
        <w:rPr>
          <w:rFonts w:hint="eastAsia" w:ascii="宋体" w:hAnsi="宋体" w:eastAsia="宋体" w:cs="宋体"/>
          <w:b/>
          <w:bCs/>
          <w:szCs w:val="21"/>
        </w:rPr>
      </w:pPr>
      <w:bookmarkStart w:id="101" w:name="_Toc23550"/>
      <w:bookmarkStart w:id="102" w:name="_Toc27609"/>
      <w:bookmarkStart w:id="103" w:name="_Toc15616"/>
      <w:r>
        <w:rPr>
          <w:rFonts w:hint="eastAsia" w:ascii="宋体" w:hAnsi="宋体" w:eastAsia="宋体" w:cs="宋体"/>
          <w:b/>
          <w:bCs/>
          <w:szCs w:val="21"/>
        </w:rPr>
        <w:t>采样方法</w:t>
      </w:r>
      <w:bookmarkEnd w:id="101"/>
      <w:bookmarkEnd w:id="102"/>
      <w:bookmarkEnd w:id="103"/>
    </w:p>
    <w:p w14:paraId="58246C04">
      <w:pPr>
        <w:widowControl/>
        <w:ind w:firstLine="420" w:firstLineChars="200"/>
        <w:jc w:val="left"/>
        <w:rPr>
          <w:rFonts w:hint="eastAsia" w:ascii="宋体" w:hAnsi="宋体" w:eastAsia="宋体" w:cs="宋体"/>
          <w:szCs w:val="21"/>
        </w:rPr>
      </w:pPr>
      <w:r>
        <w:rPr>
          <w:rFonts w:hint="eastAsia" w:ascii="宋体" w:hAnsi="宋体" w:eastAsia="宋体" w:cs="宋体"/>
          <w:szCs w:val="21"/>
        </w:rPr>
        <w:t>抽取灭菌前包装封口后的样品，按照随机抽样的原则，抽取1支，覆盖不同生产区间该周期内生产的产品种类。</w:t>
      </w:r>
    </w:p>
    <w:p w14:paraId="0850B9C9">
      <w:pPr>
        <w:widowControl/>
        <w:ind w:firstLine="420" w:firstLineChars="200"/>
        <w:jc w:val="left"/>
        <w:rPr>
          <w:rFonts w:ascii="宋体" w:hAnsi="宋体" w:eastAsia="宋体" w:cs="宋体"/>
          <w:szCs w:val="21"/>
        </w:rPr>
      </w:pPr>
      <w:r>
        <w:rPr>
          <w:rFonts w:hint="eastAsia" w:ascii="宋体" w:hAnsi="宋体" w:eastAsia="宋体" w:cs="宋体"/>
          <w:szCs w:val="21"/>
        </w:rPr>
        <w:t>样品抽取出后应尽快检测，若不能立即检测，样品应储存于4℃的条件下不多于24小时，避免微生物增殖或失活。样品的储存时间不得超过24小时。</w:t>
      </w:r>
    </w:p>
    <w:p w14:paraId="7313C9CA">
      <w:pPr>
        <w:pStyle w:val="2"/>
        <w:widowControl/>
        <w:ind w:firstLineChars="200"/>
        <w:jc w:val="left"/>
        <w:rPr>
          <w:rFonts w:hint="eastAsia" w:ascii="宋体" w:hAnsi="宋体" w:eastAsia="宋体" w:cs="宋体"/>
          <w:i w:val="0"/>
          <w:iCs/>
          <w:szCs w:val="21"/>
        </w:rPr>
      </w:pPr>
      <w:r>
        <w:rPr>
          <w:rFonts w:hint="eastAsia"/>
          <w:i w:val="0"/>
          <w:iCs/>
        </w:rPr>
        <w:t>样品份额（SIP）：宜使用整个产品进行测定，否则样品份额应覆盖产品的所有材质或对灭菌过程最具挑战的部分。</w:t>
      </w:r>
    </w:p>
    <w:p w14:paraId="1BF40FD1">
      <w:pPr>
        <w:pStyle w:val="63"/>
        <w:widowControl/>
        <w:jc w:val="left"/>
        <w:outlineLvl w:val="1"/>
        <w:rPr>
          <w:rFonts w:hint="eastAsia" w:ascii="宋体" w:hAnsi="宋体" w:eastAsia="宋体" w:cs="宋体"/>
          <w:b/>
          <w:bCs/>
          <w:kern w:val="0"/>
          <w:szCs w:val="21"/>
        </w:rPr>
      </w:pPr>
      <w:bookmarkStart w:id="104" w:name="_Toc28387"/>
      <w:bookmarkStart w:id="105" w:name="_Toc28738"/>
      <w:bookmarkStart w:id="106" w:name="_Toc10003"/>
      <w:r>
        <w:rPr>
          <w:rFonts w:hint="eastAsia" w:ascii="宋体" w:hAnsi="宋体" w:eastAsia="宋体" w:cs="宋体"/>
          <w:b/>
          <w:bCs/>
          <w:kern w:val="0"/>
          <w:szCs w:val="21"/>
        </w:rPr>
        <w:t>检测方法</w:t>
      </w:r>
      <w:bookmarkEnd w:id="104"/>
      <w:bookmarkEnd w:id="105"/>
      <w:bookmarkEnd w:id="106"/>
    </w:p>
    <w:p w14:paraId="7D0F7673">
      <w:pPr>
        <w:pStyle w:val="72"/>
        <w:widowControl/>
        <w:ind w:firstLineChars="0"/>
        <w:jc w:val="left"/>
        <w:outlineLvl w:val="2"/>
        <w:rPr>
          <w:rFonts w:hint="eastAsia" w:ascii="宋体" w:hAnsi="宋体" w:eastAsia="宋体" w:cs="宋体"/>
          <w:b/>
          <w:bCs/>
          <w:szCs w:val="21"/>
        </w:rPr>
      </w:pPr>
      <w:bookmarkStart w:id="107" w:name="_Toc29057"/>
      <w:bookmarkStart w:id="108" w:name="_Toc3365"/>
      <w:bookmarkStart w:id="109" w:name="_Toc27900"/>
      <w:r>
        <w:rPr>
          <w:rFonts w:hint="eastAsia" w:ascii="宋体" w:hAnsi="宋体" w:eastAsia="宋体" w:cs="宋体"/>
          <w:b/>
          <w:bCs/>
          <w:szCs w:val="21"/>
        </w:rPr>
        <w:t>抽样方式</w:t>
      </w:r>
      <w:bookmarkEnd w:id="107"/>
      <w:bookmarkEnd w:id="108"/>
      <w:bookmarkEnd w:id="109"/>
    </w:p>
    <w:p w14:paraId="016F0E01">
      <w:pPr>
        <w:widowControl/>
        <w:ind w:firstLine="420" w:firstLineChars="200"/>
        <w:jc w:val="left"/>
        <w:rPr>
          <w:rFonts w:hint="eastAsia" w:ascii="宋体" w:hAnsi="宋体" w:eastAsia="宋体" w:cs="宋体"/>
          <w:iCs/>
          <w:szCs w:val="21"/>
        </w:rPr>
      </w:pPr>
      <w:r>
        <w:rPr>
          <w:rFonts w:hint="eastAsia" w:ascii="宋体" w:hAnsi="宋体" w:eastAsia="宋体" w:cs="宋体"/>
          <w:iCs/>
          <w:szCs w:val="21"/>
        </w:rPr>
        <w:t>对样品份额（SIP）=1.0的整个产品，使用氯化钠蛋白胨缓冲液洗脱，采用均质袋、三角瓶或其他适当容器进行均质、振摇、超声洗脱或涡旋混合。</w:t>
      </w:r>
    </w:p>
    <w:p w14:paraId="55401C74">
      <w:pPr>
        <w:widowControl/>
        <w:ind w:firstLine="420" w:firstLineChars="200"/>
        <w:jc w:val="left"/>
        <w:rPr>
          <w:rFonts w:ascii="宋体" w:hAnsi="宋体" w:eastAsia="宋体" w:cs="宋体"/>
          <w:iCs/>
          <w:szCs w:val="21"/>
        </w:rPr>
      </w:pPr>
      <w:r>
        <w:rPr>
          <w:rFonts w:hint="eastAsia" w:ascii="宋体" w:hAnsi="宋体" w:eastAsia="宋体" w:cs="宋体"/>
          <w:iCs/>
          <w:szCs w:val="21"/>
        </w:rPr>
        <w:t>对样品份额（SIP）＜1.0的产品，按无菌操作原则剪成约1cm</w:t>
      </w:r>
      <w:r>
        <w:rPr>
          <w:rFonts w:hint="eastAsia" w:ascii="宋体" w:hAnsi="宋体" w:eastAsia="宋体" w:cs="宋体"/>
          <w:iCs/>
          <w:szCs w:val="21"/>
          <w:vertAlign w:val="superscript"/>
        </w:rPr>
        <w:t>2</w:t>
      </w:r>
      <w:r>
        <w:rPr>
          <w:rFonts w:hint="eastAsia" w:ascii="宋体" w:hAnsi="宋体" w:eastAsia="宋体" w:cs="宋体"/>
          <w:iCs/>
          <w:szCs w:val="21"/>
        </w:rPr>
        <w:t>的碎片，移入装有100ml或500ml（根据样品大小而定）氯化钠蛋白胨缓冲液且经灭菌后的三角瓶中，每瓶一份样品，将每个采样瓶震打80次混匀。产品洗脱方式见表1。</w:t>
      </w:r>
    </w:p>
    <w:p w14:paraId="6D860064">
      <w:pPr>
        <w:pStyle w:val="2"/>
        <w:widowControl/>
        <w:ind w:firstLineChars="200"/>
        <w:jc w:val="center"/>
        <w:rPr>
          <w:rFonts w:hint="eastAsia"/>
          <w:i w:val="0"/>
          <w:iCs/>
        </w:rPr>
      </w:pPr>
      <w:r>
        <w:rPr>
          <w:rFonts w:hint="eastAsia"/>
          <w:i w:val="0"/>
          <w:iCs/>
        </w:rPr>
        <w:t>表1：产品类型举例及采集技术</w:t>
      </w:r>
    </w:p>
    <w:tbl>
      <w:tblPr>
        <w:tblStyle w:val="24"/>
        <w:tblW w:w="8617"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2795"/>
        <w:gridCol w:w="3714"/>
      </w:tblGrid>
      <w:tr w14:paraId="23B9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108" w:type="dxa"/>
            <w:vAlign w:val="center"/>
          </w:tcPr>
          <w:p w14:paraId="17905F97">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产品类型</w:t>
            </w:r>
          </w:p>
        </w:tc>
        <w:tc>
          <w:tcPr>
            <w:tcW w:w="2795" w:type="dxa"/>
            <w:vAlign w:val="center"/>
          </w:tcPr>
          <w:p w14:paraId="55598499">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产品举例</w:t>
            </w:r>
          </w:p>
        </w:tc>
        <w:tc>
          <w:tcPr>
            <w:tcW w:w="3714" w:type="dxa"/>
            <w:vAlign w:val="center"/>
          </w:tcPr>
          <w:p w14:paraId="18AFE858">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采集技术</w:t>
            </w:r>
          </w:p>
        </w:tc>
      </w:tr>
      <w:tr w14:paraId="10AD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108" w:type="dxa"/>
            <w:vAlign w:val="center"/>
          </w:tcPr>
          <w:p w14:paraId="608ECB1E">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液体</w:t>
            </w:r>
          </w:p>
        </w:tc>
        <w:tc>
          <w:tcPr>
            <w:tcW w:w="2795" w:type="dxa"/>
            <w:vAlign w:val="center"/>
          </w:tcPr>
          <w:p w14:paraId="2C0CAB61">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液体敷料、封堵剂</w:t>
            </w:r>
          </w:p>
        </w:tc>
        <w:tc>
          <w:tcPr>
            <w:tcW w:w="3714" w:type="dxa"/>
            <w:vAlign w:val="center"/>
          </w:tcPr>
          <w:p w14:paraId="6113309D">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过滤/平板计数</w:t>
            </w:r>
          </w:p>
        </w:tc>
      </w:tr>
      <w:tr w14:paraId="77F4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108" w:type="dxa"/>
            <w:vAlign w:val="center"/>
          </w:tcPr>
          <w:p w14:paraId="24BE75F9">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不变形固体</w:t>
            </w:r>
          </w:p>
        </w:tc>
        <w:tc>
          <w:tcPr>
            <w:tcW w:w="2795" w:type="dxa"/>
            <w:vAlign w:val="center"/>
          </w:tcPr>
          <w:p w14:paraId="05627EEE">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部分植入物、输液器</w:t>
            </w:r>
          </w:p>
        </w:tc>
        <w:tc>
          <w:tcPr>
            <w:tcW w:w="3714" w:type="dxa"/>
            <w:vAlign w:val="center"/>
          </w:tcPr>
          <w:p w14:paraId="39C08F6C">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超声或振摇，然后过滤/平板计数</w:t>
            </w:r>
          </w:p>
        </w:tc>
      </w:tr>
      <w:tr w14:paraId="65B7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108" w:type="dxa"/>
            <w:vAlign w:val="center"/>
          </w:tcPr>
          <w:p w14:paraId="0FB56287">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纤维、泡沫或可变形</w:t>
            </w:r>
          </w:p>
        </w:tc>
        <w:tc>
          <w:tcPr>
            <w:tcW w:w="2795" w:type="dxa"/>
            <w:vAlign w:val="center"/>
          </w:tcPr>
          <w:p w14:paraId="1DE8747B">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高分子软管类、无纺布防护用品</w:t>
            </w:r>
          </w:p>
        </w:tc>
        <w:tc>
          <w:tcPr>
            <w:tcW w:w="3714" w:type="dxa"/>
            <w:vAlign w:val="center"/>
          </w:tcPr>
          <w:p w14:paraId="3C918752">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使用袋蠕动（均质）或振摇，然后过滤/平板计数</w:t>
            </w:r>
          </w:p>
        </w:tc>
      </w:tr>
      <w:tr w14:paraId="04E1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108" w:type="dxa"/>
            <w:vAlign w:val="center"/>
          </w:tcPr>
          <w:p w14:paraId="3117C4EE">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半固体或粉末</w:t>
            </w:r>
          </w:p>
        </w:tc>
        <w:tc>
          <w:tcPr>
            <w:tcW w:w="2795" w:type="dxa"/>
            <w:vAlign w:val="center"/>
          </w:tcPr>
          <w:p w14:paraId="3CA90122">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粉末敷料</w:t>
            </w:r>
          </w:p>
        </w:tc>
        <w:tc>
          <w:tcPr>
            <w:tcW w:w="3714" w:type="dxa"/>
            <w:vAlign w:val="center"/>
          </w:tcPr>
          <w:p w14:paraId="77EAB18E">
            <w:pPr>
              <w:spacing w:after="0" w:afterLines="0" w:line="400" w:lineRule="exact"/>
              <w:jc w:val="center"/>
              <w:rPr>
                <w:rFonts w:hint="eastAsia" w:ascii="宋体" w:hAnsi="宋体" w:eastAsia="宋体" w:cs="宋体"/>
                <w:kern w:val="0"/>
                <w:szCs w:val="21"/>
              </w:rPr>
            </w:pPr>
            <w:r>
              <w:rPr>
                <w:rFonts w:hint="eastAsia" w:ascii="宋体" w:hAnsi="宋体" w:eastAsia="宋体" w:cs="宋体"/>
                <w:kern w:val="0"/>
                <w:szCs w:val="21"/>
              </w:rPr>
              <w:t>使用涡旋混合或振摇，然后过滤/平板计数</w:t>
            </w:r>
          </w:p>
        </w:tc>
      </w:tr>
    </w:tbl>
    <w:p w14:paraId="5F03FDEF">
      <w:pPr>
        <w:pStyle w:val="72"/>
        <w:widowControl/>
        <w:ind w:firstLineChars="0"/>
        <w:jc w:val="left"/>
        <w:outlineLvl w:val="2"/>
        <w:rPr>
          <w:rFonts w:hint="eastAsia" w:ascii="宋体" w:hAnsi="宋体" w:eastAsia="宋体" w:cs="宋体"/>
          <w:b/>
          <w:bCs/>
          <w:szCs w:val="21"/>
        </w:rPr>
      </w:pPr>
      <w:bookmarkStart w:id="110" w:name="_Toc23199"/>
      <w:bookmarkStart w:id="111" w:name="_Toc6839"/>
      <w:bookmarkStart w:id="112" w:name="_Toc2623"/>
      <w:r>
        <w:rPr>
          <w:rFonts w:hint="eastAsia" w:ascii="宋体" w:hAnsi="宋体" w:eastAsia="宋体" w:cs="宋体"/>
          <w:b/>
          <w:bCs/>
          <w:szCs w:val="21"/>
        </w:rPr>
        <w:t>细菌培养</w:t>
      </w:r>
      <w:bookmarkEnd w:id="110"/>
      <w:bookmarkEnd w:id="111"/>
      <w:bookmarkEnd w:id="112"/>
      <w:r>
        <w:rPr>
          <w:rFonts w:hint="eastAsia" w:ascii="宋体" w:hAnsi="宋体" w:eastAsia="宋体" w:cs="宋体"/>
          <w:b/>
          <w:bCs/>
          <w:szCs w:val="21"/>
        </w:rPr>
        <w:t xml:space="preserve"> </w:t>
      </w:r>
    </w:p>
    <w:p w14:paraId="3731995C">
      <w:pPr>
        <w:widowControl/>
        <w:ind w:firstLine="420" w:firstLineChars="200"/>
        <w:jc w:val="left"/>
        <w:rPr>
          <w:rFonts w:hint="eastAsia" w:ascii="宋体" w:hAnsi="宋体" w:eastAsia="宋体" w:cs="宋体"/>
          <w:szCs w:val="21"/>
        </w:rPr>
      </w:pPr>
      <w:r>
        <w:rPr>
          <w:rFonts w:hint="eastAsia" w:ascii="宋体" w:hAnsi="宋体" w:eastAsia="宋体" w:cs="宋体"/>
          <w:szCs w:val="21"/>
        </w:rPr>
        <w:t>取各样本的洗脱液进行检测。每一样本洗脱液接种3个平皿，每平皿接种10ml。当估计含菌量过高时（每平板生长菌数超过300个）应对洗脱液用PBS(磷酸缓冲盐溶液)作适当稀释再接种，为取得适宜菌落数，一般需接种2-3个不同稀释度（每吸取一个稀释度洗脱液换一支无菌吸管）。加入无菌胰酪大豆胨琼脂培养基（约15ml），冷却后倒置于30℃～35℃恒温箱培养48h，观察结果，计数。</w:t>
      </w:r>
    </w:p>
    <w:p w14:paraId="04D5289B">
      <w:pPr>
        <w:pStyle w:val="72"/>
        <w:widowControl/>
        <w:ind w:firstLineChars="0"/>
        <w:jc w:val="left"/>
        <w:outlineLvl w:val="2"/>
        <w:rPr>
          <w:rFonts w:hint="eastAsia" w:ascii="宋体" w:hAnsi="宋体" w:eastAsia="宋体" w:cs="宋体"/>
          <w:b/>
          <w:bCs/>
          <w:szCs w:val="21"/>
        </w:rPr>
      </w:pPr>
      <w:bookmarkStart w:id="113" w:name="_Toc8497"/>
      <w:bookmarkStart w:id="114" w:name="_Toc13629"/>
      <w:bookmarkStart w:id="115" w:name="_Toc24136"/>
      <w:r>
        <w:rPr>
          <w:rFonts w:hint="eastAsia" w:ascii="宋体" w:hAnsi="宋体" w:eastAsia="宋体" w:cs="宋体"/>
          <w:b/>
          <w:bCs/>
          <w:szCs w:val="21"/>
        </w:rPr>
        <w:t>真菌培养</w:t>
      </w:r>
      <w:bookmarkEnd w:id="113"/>
      <w:bookmarkEnd w:id="114"/>
      <w:bookmarkEnd w:id="115"/>
      <w:r>
        <w:rPr>
          <w:rFonts w:hint="eastAsia" w:ascii="宋体" w:hAnsi="宋体" w:eastAsia="宋体" w:cs="宋体"/>
          <w:b/>
          <w:bCs/>
          <w:szCs w:val="21"/>
        </w:rPr>
        <w:t xml:space="preserve"> </w:t>
      </w:r>
    </w:p>
    <w:p w14:paraId="00836F0C">
      <w:pPr>
        <w:widowControl/>
        <w:ind w:firstLine="420" w:firstLineChars="200"/>
        <w:jc w:val="left"/>
        <w:rPr>
          <w:rFonts w:hint="eastAsia" w:ascii="宋体" w:hAnsi="宋体" w:eastAsia="宋体" w:cs="宋体"/>
          <w:szCs w:val="21"/>
        </w:rPr>
      </w:pPr>
      <w:r>
        <w:rPr>
          <w:rFonts w:hint="eastAsia" w:ascii="宋体" w:hAnsi="宋体" w:eastAsia="宋体" w:cs="宋体"/>
          <w:szCs w:val="21"/>
        </w:rPr>
        <w:t>加入无菌沙氏葡萄糖琼脂培养基（约15ml），冷却后倒置于20～25℃恒温箱培养5天外，其余均同5.2.2操作。</w:t>
      </w:r>
    </w:p>
    <w:p w14:paraId="4D47BD55">
      <w:pPr>
        <w:pStyle w:val="72"/>
        <w:widowControl/>
        <w:ind w:firstLineChars="0"/>
        <w:jc w:val="left"/>
        <w:outlineLvl w:val="2"/>
        <w:rPr>
          <w:rFonts w:hint="eastAsia" w:ascii="宋体" w:hAnsi="宋体" w:eastAsia="宋体" w:cs="宋体"/>
          <w:b/>
          <w:bCs/>
          <w:szCs w:val="21"/>
        </w:rPr>
      </w:pPr>
      <w:bookmarkStart w:id="116" w:name="_Toc3987"/>
      <w:bookmarkStart w:id="117" w:name="_Toc3046"/>
      <w:bookmarkStart w:id="118" w:name="_Toc11836"/>
      <w:r>
        <w:rPr>
          <w:rFonts w:hint="eastAsia" w:ascii="宋体" w:hAnsi="宋体" w:eastAsia="宋体" w:cs="宋体"/>
          <w:b/>
          <w:bCs/>
          <w:szCs w:val="21"/>
        </w:rPr>
        <w:t>计算公式</w:t>
      </w:r>
      <w:bookmarkEnd w:id="116"/>
      <w:bookmarkEnd w:id="117"/>
      <w:bookmarkEnd w:id="118"/>
    </w:p>
    <w:p w14:paraId="54373288">
      <w:pPr>
        <w:widowControl/>
        <w:ind w:firstLine="420" w:firstLineChars="200"/>
        <w:jc w:val="left"/>
        <w:rPr>
          <w:rFonts w:hint="eastAsia" w:ascii="宋体" w:hAnsi="宋体" w:eastAsia="宋体" w:cs="宋体"/>
          <w:szCs w:val="21"/>
        </w:rPr>
      </w:pPr>
      <w:r>
        <w:rPr>
          <w:rFonts w:hint="eastAsia" w:ascii="宋体" w:hAnsi="宋体" w:eastAsia="宋体" w:cs="宋体"/>
          <w:szCs w:val="21"/>
        </w:rPr>
        <w:t>细菌菌落数=3个平皿平均细菌菌落数×10×校正因子</w:t>
      </w:r>
    </w:p>
    <w:p w14:paraId="649A69BD">
      <w:pPr>
        <w:widowControl/>
        <w:ind w:firstLine="420" w:firstLineChars="200"/>
        <w:jc w:val="left"/>
        <w:rPr>
          <w:rFonts w:hint="eastAsia" w:ascii="宋体" w:hAnsi="宋体" w:eastAsia="宋体" w:cs="宋体"/>
          <w:szCs w:val="21"/>
        </w:rPr>
      </w:pPr>
      <w:r>
        <w:rPr>
          <w:rFonts w:hint="eastAsia" w:ascii="宋体" w:hAnsi="宋体" w:eastAsia="宋体" w:cs="宋体"/>
          <w:szCs w:val="21"/>
        </w:rPr>
        <w:t>真菌菌落数=3个平皿平均细菌菌落数×10×校正因子</w:t>
      </w:r>
    </w:p>
    <w:p w14:paraId="12D76BCD">
      <w:pPr>
        <w:widowControl/>
        <w:ind w:firstLine="420" w:firstLineChars="200"/>
        <w:jc w:val="left"/>
        <w:rPr>
          <w:rFonts w:hint="eastAsia" w:ascii="宋体" w:hAnsi="宋体" w:eastAsia="宋体" w:cs="宋体"/>
          <w:szCs w:val="21"/>
        </w:rPr>
      </w:pPr>
      <w:r>
        <w:rPr>
          <w:rFonts w:hint="eastAsia" w:ascii="宋体" w:hAnsi="宋体" w:eastAsia="宋体" w:cs="宋体"/>
          <w:szCs w:val="21"/>
        </w:rPr>
        <w:t>每件样品初始污染菌= 细菌菌落数 + 真菌菌落数</w:t>
      </w:r>
    </w:p>
    <w:p w14:paraId="6D4F5FC7">
      <w:pPr>
        <w:pStyle w:val="72"/>
        <w:widowControl/>
        <w:ind w:firstLineChars="0"/>
        <w:jc w:val="left"/>
        <w:outlineLvl w:val="2"/>
        <w:rPr>
          <w:rFonts w:hint="eastAsia" w:ascii="宋体" w:hAnsi="宋体" w:eastAsia="宋体" w:cs="宋体"/>
          <w:b/>
          <w:bCs/>
          <w:szCs w:val="21"/>
        </w:rPr>
      </w:pPr>
      <w:bookmarkStart w:id="119" w:name="_Toc26643"/>
      <w:bookmarkStart w:id="120" w:name="_Toc30533"/>
      <w:bookmarkStart w:id="121" w:name="_Toc14408"/>
      <w:r>
        <w:rPr>
          <w:rFonts w:hint="eastAsia" w:ascii="宋体" w:hAnsi="宋体" w:eastAsia="宋体" w:cs="宋体"/>
          <w:b/>
          <w:bCs/>
          <w:szCs w:val="21"/>
        </w:rPr>
        <w:t>抽样规则</w:t>
      </w:r>
      <w:bookmarkEnd w:id="119"/>
      <w:bookmarkEnd w:id="120"/>
      <w:bookmarkEnd w:id="121"/>
    </w:p>
    <w:p w14:paraId="191A3A00">
      <w:pPr>
        <w:widowControl/>
        <w:ind w:firstLine="420" w:firstLineChars="200"/>
        <w:jc w:val="left"/>
        <w:rPr>
          <w:rFonts w:hint="eastAsia" w:ascii="宋体" w:hAnsi="宋体" w:eastAsia="宋体" w:cs="宋体"/>
          <w:szCs w:val="21"/>
        </w:rPr>
      </w:pPr>
      <w:r>
        <w:rPr>
          <w:rFonts w:hint="eastAsia" w:ascii="宋体" w:hAnsi="宋体" w:eastAsia="宋体" w:cs="宋体"/>
          <w:szCs w:val="21"/>
        </w:rPr>
        <w:t>正常情况每单元组产品每周抽样一次（可在净化区环境检测的同时抽样），新产品投产时，要进行高频率的抽样，抽样频率随着对产品初始污染菌的了解而递减至正常水平。</w:t>
      </w:r>
    </w:p>
    <w:p w14:paraId="2C99DF34">
      <w:pPr>
        <w:pStyle w:val="72"/>
        <w:widowControl/>
        <w:ind w:firstLineChars="0"/>
        <w:jc w:val="left"/>
        <w:outlineLvl w:val="2"/>
        <w:rPr>
          <w:rFonts w:hint="eastAsia" w:ascii="宋体" w:hAnsi="宋体" w:eastAsia="宋体" w:cs="宋体"/>
          <w:b/>
          <w:bCs/>
          <w:szCs w:val="21"/>
          <w:lang w:val="en-US" w:eastAsia="zh-CN"/>
        </w:rPr>
      </w:pPr>
      <w:bookmarkStart w:id="122" w:name="_Toc31679"/>
      <w:r>
        <w:rPr>
          <w:rFonts w:hint="eastAsia" w:ascii="宋体" w:hAnsi="宋体" w:eastAsia="宋体" w:cs="宋体"/>
          <w:b/>
          <w:bCs/>
          <w:szCs w:val="21"/>
          <w:lang w:val="en-US" w:eastAsia="zh-CN"/>
        </w:rPr>
        <w:t>填写结果</w:t>
      </w:r>
      <w:bookmarkEnd w:id="122"/>
    </w:p>
    <w:p w14:paraId="1E2FCA46">
      <w:pPr>
        <w:widowControl/>
        <w:ind w:firstLine="420" w:firstLineChars="200"/>
        <w:jc w:val="left"/>
        <w:rPr>
          <w:rFonts w:hint="eastAsia" w:ascii="宋体" w:hAnsi="宋体" w:eastAsia="宋体" w:cs="宋体"/>
          <w:szCs w:val="21"/>
        </w:rPr>
      </w:pPr>
      <w:r>
        <w:rPr>
          <w:rFonts w:hint="eastAsia" w:ascii="宋体" w:hAnsi="宋体" w:eastAsia="宋体" w:cs="宋体"/>
          <w:szCs w:val="21"/>
        </w:rPr>
        <w:t>结果填于《产品初始污染菌检测报告》中。根据历史的检测数据，做初始污染菌的趋势分析，设定过程控制极限。</w:t>
      </w:r>
    </w:p>
    <w:p w14:paraId="2A6FA2B8">
      <w:pPr>
        <w:pStyle w:val="63"/>
        <w:widowControl/>
        <w:jc w:val="left"/>
        <w:outlineLvl w:val="1"/>
        <w:rPr>
          <w:rFonts w:hint="eastAsia" w:ascii="宋体" w:hAnsi="宋体" w:eastAsia="宋体" w:cs="宋体"/>
          <w:b/>
          <w:bCs/>
          <w:kern w:val="0"/>
          <w:szCs w:val="21"/>
        </w:rPr>
      </w:pPr>
      <w:bookmarkStart w:id="123" w:name="_Toc30946"/>
      <w:bookmarkStart w:id="124" w:name="_Toc21596"/>
      <w:bookmarkStart w:id="125" w:name="_Toc11812"/>
      <w:r>
        <w:rPr>
          <w:rFonts w:hint="eastAsia" w:ascii="宋体" w:hAnsi="宋体" w:eastAsia="宋体" w:cs="宋体"/>
          <w:b/>
          <w:bCs/>
          <w:kern w:val="0"/>
          <w:szCs w:val="21"/>
        </w:rPr>
        <w:t>初始污染菌的评价方法（重复回收法）</w:t>
      </w:r>
      <w:bookmarkEnd w:id="123"/>
      <w:bookmarkEnd w:id="124"/>
      <w:bookmarkEnd w:id="125"/>
    </w:p>
    <w:p w14:paraId="17C224AB">
      <w:pPr>
        <w:pStyle w:val="72"/>
        <w:widowControl/>
        <w:ind w:firstLineChars="0"/>
        <w:jc w:val="left"/>
        <w:outlineLvl w:val="2"/>
        <w:rPr>
          <w:rFonts w:hint="eastAsia" w:ascii="宋体" w:hAnsi="宋体" w:eastAsia="宋体" w:cs="宋体"/>
          <w:b/>
          <w:bCs/>
          <w:szCs w:val="21"/>
        </w:rPr>
      </w:pPr>
      <w:bookmarkStart w:id="126" w:name="_Toc30085"/>
      <w:bookmarkStart w:id="127" w:name="_Toc14964"/>
      <w:bookmarkStart w:id="128" w:name="_Toc16357"/>
      <w:r>
        <w:rPr>
          <w:rFonts w:hint="eastAsia" w:ascii="宋体" w:hAnsi="宋体" w:eastAsia="宋体" w:cs="宋体"/>
          <w:b/>
          <w:bCs/>
          <w:szCs w:val="21"/>
        </w:rPr>
        <w:t>取样方法</w:t>
      </w:r>
      <w:bookmarkEnd w:id="126"/>
      <w:bookmarkEnd w:id="127"/>
      <w:bookmarkEnd w:id="128"/>
    </w:p>
    <w:p w14:paraId="0E0573F7">
      <w:pPr>
        <w:widowControl/>
        <w:ind w:firstLine="420" w:firstLineChars="200"/>
        <w:jc w:val="left"/>
        <w:rPr>
          <w:rFonts w:hint="eastAsia" w:ascii="宋体" w:hAnsi="宋体" w:eastAsia="宋体" w:cs="宋体"/>
          <w:szCs w:val="21"/>
        </w:rPr>
      </w:pPr>
      <w:r>
        <w:rPr>
          <w:rFonts w:hint="eastAsia" w:ascii="宋体" w:hAnsi="宋体" w:eastAsia="宋体" w:cs="宋体"/>
          <w:szCs w:val="21"/>
        </w:rPr>
        <w:t>5.3.1.1 在常规的控制制造程序中生产的合格产品，于包装后灭菌前取样。</w:t>
      </w:r>
    </w:p>
    <w:p w14:paraId="023E74EB">
      <w:pPr>
        <w:widowControl/>
        <w:ind w:firstLine="420" w:firstLineChars="200"/>
        <w:jc w:val="left"/>
        <w:rPr>
          <w:rFonts w:hint="eastAsia" w:ascii="宋体" w:hAnsi="宋体" w:eastAsia="宋体" w:cs="宋体"/>
          <w:szCs w:val="21"/>
        </w:rPr>
      </w:pPr>
      <w:r>
        <w:rPr>
          <w:rFonts w:hint="eastAsia" w:ascii="宋体" w:hAnsi="宋体" w:eastAsia="宋体" w:cs="宋体"/>
          <w:szCs w:val="21"/>
        </w:rPr>
        <w:t>5.3.1.2 采用随机抽样，样本量为每种产品10个。</w:t>
      </w:r>
    </w:p>
    <w:p w14:paraId="311818F7">
      <w:pPr>
        <w:pStyle w:val="72"/>
        <w:widowControl/>
        <w:ind w:firstLineChars="0"/>
        <w:jc w:val="left"/>
        <w:outlineLvl w:val="2"/>
        <w:rPr>
          <w:rFonts w:hint="eastAsia" w:ascii="宋体" w:hAnsi="宋体" w:eastAsia="宋体" w:cs="宋体"/>
          <w:b/>
          <w:bCs/>
          <w:szCs w:val="21"/>
        </w:rPr>
      </w:pPr>
      <w:bookmarkStart w:id="129" w:name="_Toc31811"/>
      <w:bookmarkStart w:id="130" w:name="_Toc21821"/>
      <w:bookmarkStart w:id="131" w:name="_Toc24131"/>
      <w:r>
        <w:rPr>
          <w:rFonts w:hint="eastAsia" w:ascii="宋体" w:hAnsi="宋体" w:eastAsia="宋体" w:cs="宋体"/>
          <w:b/>
          <w:bCs/>
          <w:szCs w:val="21"/>
        </w:rPr>
        <w:t>实验室处理</w:t>
      </w:r>
      <w:bookmarkEnd w:id="129"/>
      <w:bookmarkEnd w:id="130"/>
      <w:bookmarkEnd w:id="131"/>
    </w:p>
    <w:p w14:paraId="04827B0D">
      <w:pPr>
        <w:widowControl/>
        <w:ind w:firstLine="420" w:firstLineChars="200"/>
        <w:jc w:val="left"/>
        <w:rPr>
          <w:rFonts w:hint="eastAsia" w:ascii="宋体" w:hAnsi="宋体" w:eastAsia="宋体" w:cs="宋体"/>
          <w:szCs w:val="21"/>
        </w:rPr>
      </w:pPr>
      <w:r>
        <w:rPr>
          <w:rFonts w:hint="eastAsia" w:ascii="宋体" w:hAnsi="宋体" w:eastAsia="宋体" w:cs="宋体"/>
          <w:szCs w:val="21"/>
        </w:rPr>
        <w:t>5.3.2.1 以无菌操作将样品整体或剪碎移入100ml或500ml（根据产品的大小决定）的氯化钠蛋白胨缓冲液中，用均质、振摇、超声洗脱或涡旋混合。</w:t>
      </w:r>
    </w:p>
    <w:p w14:paraId="1CB7587F">
      <w:pPr>
        <w:widowControl/>
        <w:ind w:firstLine="420" w:firstLineChars="200"/>
        <w:jc w:val="left"/>
        <w:rPr>
          <w:rFonts w:hint="eastAsia" w:ascii="宋体" w:hAnsi="宋体" w:eastAsia="宋体" w:cs="宋体"/>
          <w:szCs w:val="21"/>
        </w:rPr>
      </w:pPr>
      <w:r>
        <w:rPr>
          <w:rFonts w:hint="eastAsia" w:ascii="宋体" w:hAnsi="宋体" w:eastAsia="宋体" w:cs="宋体"/>
          <w:szCs w:val="21"/>
        </w:rPr>
        <w:t xml:space="preserve">5.3.2.2 无菌操作完全滤出洗脱液接种到装有培养基的平皿上；将该洗脱液以10ml/皿或100ml/皿移入无菌培养皿中。                  </w:t>
      </w:r>
    </w:p>
    <w:p w14:paraId="40CAD182">
      <w:pPr>
        <w:widowControl/>
        <w:ind w:firstLine="420" w:firstLineChars="200"/>
        <w:jc w:val="left"/>
        <w:rPr>
          <w:rFonts w:hint="eastAsia" w:ascii="宋体" w:hAnsi="宋体" w:eastAsia="宋体" w:cs="宋体"/>
          <w:szCs w:val="21"/>
        </w:rPr>
      </w:pPr>
      <w:r>
        <w:rPr>
          <w:rFonts w:hint="eastAsia" w:ascii="宋体" w:hAnsi="宋体" w:eastAsia="宋体" w:cs="宋体"/>
          <w:szCs w:val="21"/>
        </w:rPr>
        <w:t>5.3.2.3 将5.3.2.2中滤出的样品移入100ml/500ml无菌生理盐水中，重复以上操作。</w:t>
      </w:r>
    </w:p>
    <w:p w14:paraId="3FD44C1B">
      <w:pPr>
        <w:widowControl/>
        <w:ind w:firstLine="420" w:firstLineChars="200"/>
        <w:jc w:val="left"/>
        <w:rPr>
          <w:rFonts w:hint="eastAsia" w:ascii="宋体" w:hAnsi="宋体" w:eastAsia="宋体" w:cs="宋体"/>
          <w:szCs w:val="21"/>
        </w:rPr>
      </w:pPr>
      <w:r>
        <w:rPr>
          <w:rFonts w:hint="eastAsia" w:ascii="宋体" w:hAnsi="宋体" w:eastAsia="宋体" w:cs="宋体"/>
          <w:szCs w:val="21"/>
        </w:rPr>
        <w:t xml:space="preserve">5.3.2.4 依此将产品重复洗脱共5次，将洗脱液培养。 </w:t>
      </w:r>
    </w:p>
    <w:p w14:paraId="4E788684">
      <w:pPr>
        <w:widowControl/>
        <w:ind w:firstLine="420" w:firstLineChars="200"/>
        <w:jc w:val="left"/>
        <w:rPr>
          <w:rFonts w:hint="eastAsia" w:ascii="宋体" w:hAnsi="宋体" w:eastAsia="宋体" w:cs="宋体"/>
          <w:szCs w:val="21"/>
        </w:rPr>
      </w:pPr>
      <w:r>
        <w:rPr>
          <w:rFonts w:hint="eastAsia" w:ascii="宋体" w:hAnsi="宋体" w:eastAsia="宋体" w:cs="宋体"/>
          <w:szCs w:val="21"/>
        </w:rPr>
        <w:t>5.3.2.5 用适量无菌胰酪大豆胨琼脂培养基覆盖最后一次滤出的样品，冷却后倒置于30～35℃的培养箱培养48小时。</w:t>
      </w:r>
    </w:p>
    <w:p w14:paraId="00CD6693">
      <w:pPr>
        <w:pStyle w:val="72"/>
        <w:widowControl/>
        <w:ind w:firstLineChars="0"/>
        <w:jc w:val="left"/>
        <w:outlineLvl w:val="2"/>
        <w:rPr>
          <w:rFonts w:hint="eastAsia" w:ascii="宋体" w:hAnsi="宋体" w:eastAsia="宋体" w:cs="宋体"/>
          <w:b/>
          <w:bCs/>
          <w:szCs w:val="21"/>
        </w:rPr>
      </w:pPr>
      <w:bookmarkStart w:id="132" w:name="_Toc17923"/>
      <w:bookmarkStart w:id="133" w:name="_Toc27899"/>
      <w:bookmarkStart w:id="134" w:name="_Toc16991"/>
      <w:r>
        <w:rPr>
          <w:rFonts w:hint="eastAsia" w:ascii="宋体" w:hAnsi="宋体" w:eastAsia="宋体" w:cs="宋体"/>
          <w:b/>
          <w:bCs/>
          <w:szCs w:val="21"/>
        </w:rPr>
        <w:t>分别记录</w:t>
      </w:r>
      <w:bookmarkEnd w:id="132"/>
      <w:bookmarkEnd w:id="133"/>
      <w:bookmarkEnd w:id="134"/>
    </w:p>
    <w:p w14:paraId="62E4C91A">
      <w:pPr>
        <w:widowControl/>
        <w:ind w:firstLine="420" w:firstLineChars="200"/>
        <w:jc w:val="left"/>
        <w:rPr>
          <w:rFonts w:hint="eastAsia" w:ascii="宋体" w:hAnsi="宋体" w:eastAsia="宋体" w:cs="宋体"/>
          <w:szCs w:val="21"/>
        </w:rPr>
      </w:pPr>
      <w:r>
        <w:rPr>
          <w:rFonts w:hint="eastAsia" w:ascii="宋体" w:hAnsi="宋体" w:eastAsia="宋体" w:cs="宋体"/>
          <w:szCs w:val="21"/>
        </w:rPr>
        <w:t>分别记录每次洗脱液和最后一次琼脂覆盖的菌落数，求出每种产品的校正因子。</w:t>
      </w:r>
    </w:p>
    <w:p w14:paraId="58B52ACF">
      <w:pPr>
        <w:numPr>
          <w:ilvl w:val="3"/>
          <w:numId w:val="1"/>
        </w:numPr>
        <w:tabs>
          <w:tab w:val="left" w:pos="2235"/>
        </w:tabs>
        <w:spacing w:after="50" w:line="400" w:lineRule="exact"/>
        <w:ind w:firstLine="0" w:firstLineChars="0"/>
        <w:jc w:val="left"/>
        <w:rPr>
          <w:rFonts w:ascii="宋体" w:hAnsi="宋体" w:eastAsia="宋体" w:cs="宋体"/>
          <w:szCs w:val="21"/>
        </w:rPr>
      </w:pPr>
      <w:bookmarkStart w:id="135" w:name="_Toc21742"/>
      <w:bookmarkStart w:id="136" w:name="_Toc28295"/>
      <w:bookmarkStart w:id="137" w:name="_Toc31050"/>
      <w:r>
        <w:rPr>
          <w:rFonts w:hint="eastAsia" w:ascii="宋体" w:hAnsi="宋体" w:eastAsia="宋体" w:cs="宋体"/>
          <w:b/>
          <w:bCs/>
          <w:szCs w:val="21"/>
        </w:rPr>
        <w:t>结果计算</w:t>
      </w:r>
      <w:bookmarkEnd w:id="135"/>
      <w:bookmarkEnd w:id="136"/>
      <w:bookmarkEnd w:id="137"/>
    </w:p>
    <w:p w14:paraId="7885617D">
      <w:pPr>
        <w:rPr>
          <w:rFonts w:ascii="宋体" w:hAnsi="宋体" w:eastAsia="宋体"/>
        </w:rPr>
      </w:pPr>
      <m:oMathPara>
        <m:oMath>
          <m:r>
            <m:rPr/>
            <w:rPr>
              <w:rFonts w:hint="eastAsia" w:ascii="Cambria Math" w:hAnsi="Cambria Math" w:eastAsia="宋体"/>
            </w:rPr>
            <m:t>校正因子</m:t>
          </m:r>
          <m:r>
            <m:rPr>
              <m:sty m:val="p"/>
            </m:rPr>
            <w:rPr>
              <w:rFonts w:ascii="Cambria Math" w:hAnsi="Cambria Math" w:eastAsia="宋体" w:cs="Cambria Math"/>
            </w:rPr>
            <m:t>=</m:t>
          </m:r>
          <m:f>
            <m:fPr>
              <m:ctrlPr>
                <w:rPr>
                  <w:rFonts w:ascii="Cambria Math" w:hAnsi="Cambria Math" w:eastAsia="宋体"/>
                </w:rPr>
              </m:ctrlPr>
            </m:fPr>
            <m:num>
              <m:r>
                <m:rPr/>
                <w:rPr>
                  <w:rFonts w:ascii="Cambria Math" w:hAnsi="Cambria Math" w:eastAsia="宋体"/>
                </w:rPr>
                <m:t>100</m:t>
              </m:r>
              <m:ctrlPr>
                <w:rPr>
                  <w:rFonts w:ascii="Cambria Math" w:hAnsi="Cambria Math" w:eastAsia="宋体"/>
                </w:rPr>
              </m:ctrlPr>
            </m:num>
            <m:den>
              <m:r>
                <m:rPr/>
                <w:rPr>
                  <w:rFonts w:hint="eastAsia" w:ascii="Cambria Math" w:hAnsi="Cambria Math" w:eastAsia="宋体"/>
                </w:rPr>
                <m:t>首次处理平均回收率</m:t>
              </m:r>
              <m:ctrlPr>
                <w:rPr>
                  <w:rFonts w:ascii="Cambria Math" w:hAnsi="Cambria Math" w:eastAsia="宋体"/>
                </w:rPr>
              </m:ctrlPr>
            </m:den>
          </m:f>
        </m:oMath>
      </m:oMathPara>
    </w:p>
    <w:p w14:paraId="7294C026">
      <w:pPr>
        <w:pStyle w:val="2"/>
        <w:spacing w:after="50"/>
        <w:ind w:firstLineChars="1100"/>
        <w:jc w:val="left"/>
        <w:rPr>
          <w:rFonts w:hint="eastAsia" w:ascii="宋体" w:hAnsi="宋体" w:eastAsiaTheme="minorEastAsia"/>
        </w:rPr>
      </w:pPr>
      <m:oMathPara>
        <m:oMath>
          <m:r>
            <m:rPr/>
            <w:rPr>
              <w:rFonts w:hint="eastAsia"/>
            </w:rPr>
            <m:t>单个样品首次处理回收率</m:t>
          </m:r>
          <m:r>
            <m:rPr/>
            <m:t>(%)</m:t>
          </m:r>
          <m:r>
            <m:rPr/>
            <w:rPr>
              <w:rFonts w:eastAsia="Cambria Math" w:cs="Cambria Math"/>
            </w:rPr>
            <m:t>=</m:t>
          </m:r>
          <m:f>
            <m:fPr>
              <m:ctrlPr>
                <w:rPr>
                  <w:rFonts w:eastAsia="Cambria Math"/>
                </w:rPr>
              </m:ctrlPr>
            </m:fPr>
            <m:num>
              <m:r>
                <m:rPr/>
                <w:rPr>
                  <w:rFonts w:hint="eastAsia"/>
                </w:rPr>
                <m:t>单个</m:t>
              </m:r>
              <m:r>
                <m:rPr/>
                <w:rPr>
                  <w:rFonts w:hint="eastAsia" w:hAnsi="宋体"/>
                </w:rPr>
                <m:t>样品第</m:t>
              </m:r>
              <m:r>
                <m:rPr/>
                <w:rPr>
                  <w:rFonts w:hAnsi="宋体"/>
                </w:rPr>
                <m:t>1</m:t>
              </m:r>
              <m:r>
                <m:rPr/>
                <w:rPr>
                  <w:rFonts w:hint="eastAsia" w:hAnsi="宋体"/>
                </w:rPr>
                <m:t>次洗脱菌落数</m:t>
              </m:r>
              <m:ctrlPr>
                <w:rPr>
                  <w:rFonts w:eastAsia="Cambria Math"/>
                </w:rPr>
              </m:ctrlPr>
            </m:num>
            <m:den>
              <m:r>
                <m:rPr/>
                <w:rPr>
                  <w:rFonts w:hint="eastAsia"/>
                </w:rPr>
                <m:t>单个</m:t>
              </m:r>
              <m:r>
                <m:rPr/>
                <w:rPr>
                  <w:rFonts w:hint="eastAsia" w:hAnsi="宋体"/>
                </w:rPr>
                <m:t>样品</m:t>
              </m:r>
              <m:r>
                <m:rPr/>
                <w:rPr>
                  <w:rFonts w:hAnsi="宋体"/>
                </w:rPr>
                <m:t>5</m:t>
              </m:r>
              <m:r>
                <m:rPr/>
                <w:rPr>
                  <w:rFonts w:hint="eastAsia" w:hAnsi="宋体"/>
                </w:rPr>
                <m:t>次洗脱菌落总数</m:t>
              </m:r>
              <m:ctrlPr>
                <w:rPr>
                  <w:rFonts w:eastAsia="Cambria Math"/>
                </w:rPr>
              </m:ctrlPr>
            </m:den>
          </m:f>
        </m:oMath>
      </m:oMathPara>
    </w:p>
    <w:p w14:paraId="3938283B">
      <w:pPr>
        <w:pStyle w:val="72"/>
        <w:widowControl/>
        <w:ind w:firstLineChars="0"/>
        <w:jc w:val="left"/>
        <w:outlineLvl w:val="2"/>
        <w:rPr>
          <w:rFonts w:hint="eastAsia" w:ascii="宋体" w:hAnsi="宋体" w:eastAsia="宋体" w:cs="宋体"/>
          <w:b/>
          <w:bCs/>
          <w:szCs w:val="21"/>
        </w:rPr>
      </w:pPr>
      <w:bookmarkStart w:id="138" w:name="_Toc22171"/>
      <w:bookmarkStart w:id="139" w:name="_Toc1556"/>
      <w:bookmarkStart w:id="140" w:name="_Toc2345"/>
      <w:r>
        <w:rPr>
          <w:rFonts w:hint="eastAsia" w:ascii="宋体" w:hAnsi="宋体" w:eastAsia="宋体" w:cs="宋体"/>
          <w:b/>
          <w:bCs/>
          <w:szCs w:val="21"/>
        </w:rPr>
        <w:t>结果填写</w:t>
      </w:r>
      <w:bookmarkEnd w:id="138"/>
      <w:bookmarkEnd w:id="139"/>
      <w:bookmarkEnd w:id="140"/>
    </w:p>
    <w:p w14:paraId="3A6C41E4">
      <w:pPr>
        <w:widowControl/>
        <w:ind w:firstLine="420" w:firstLineChars="200"/>
        <w:jc w:val="left"/>
        <w:rPr>
          <w:rFonts w:hint="eastAsia" w:ascii="宋体" w:hAnsi="宋体" w:eastAsia="宋体" w:cs="宋体"/>
          <w:szCs w:val="21"/>
        </w:rPr>
      </w:pPr>
      <w:r>
        <w:rPr>
          <w:rFonts w:hint="eastAsia" w:ascii="宋体" w:hAnsi="宋体" w:eastAsia="宋体" w:cs="宋体"/>
          <w:szCs w:val="21"/>
        </w:rPr>
        <w:t>检测结果填写于《去除微生物技术验证报告》及《去除微生物技术验证测试原始记录》中。</w:t>
      </w:r>
    </w:p>
    <w:p w14:paraId="6628953A">
      <w:pPr>
        <w:pStyle w:val="63"/>
        <w:widowControl/>
        <w:jc w:val="left"/>
        <w:outlineLvl w:val="1"/>
        <w:rPr>
          <w:rFonts w:hint="eastAsia" w:ascii="宋体" w:hAnsi="宋体" w:eastAsia="宋体" w:cs="宋体"/>
          <w:b/>
          <w:bCs/>
          <w:kern w:val="0"/>
          <w:szCs w:val="21"/>
        </w:rPr>
      </w:pPr>
      <w:bookmarkStart w:id="141" w:name="_Toc18251"/>
      <w:bookmarkStart w:id="142" w:name="_Toc891"/>
      <w:bookmarkStart w:id="143" w:name="_Toc2708"/>
      <w:r>
        <w:rPr>
          <w:rFonts w:hint="eastAsia" w:ascii="宋体" w:hAnsi="宋体" w:eastAsia="宋体" w:cs="宋体"/>
          <w:b/>
          <w:bCs/>
          <w:kern w:val="0"/>
          <w:szCs w:val="21"/>
        </w:rPr>
        <w:t>灭菌后产品无菌检查的方法</w:t>
      </w:r>
      <w:bookmarkEnd w:id="141"/>
      <w:bookmarkEnd w:id="142"/>
      <w:bookmarkEnd w:id="143"/>
    </w:p>
    <w:p w14:paraId="3DF1C443">
      <w:pPr>
        <w:pStyle w:val="72"/>
        <w:widowControl/>
        <w:ind w:firstLineChars="0"/>
        <w:jc w:val="left"/>
        <w:outlineLvl w:val="2"/>
        <w:rPr>
          <w:rFonts w:hint="eastAsia" w:ascii="宋体" w:hAnsi="宋体" w:eastAsia="宋体" w:cs="宋体"/>
          <w:b/>
          <w:bCs/>
          <w:szCs w:val="21"/>
        </w:rPr>
      </w:pPr>
      <w:bookmarkStart w:id="144" w:name="_Toc28565"/>
      <w:bookmarkStart w:id="145" w:name="_Toc6207"/>
      <w:bookmarkStart w:id="146" w:name="_Toc17643"/>
      <w:r>
        <w:rPr>
          <w:rFonts w:hint="eastAsia" w:ascii="宋体" w:hAnsi="宋体" w:eastAsia="宋体" w:cs="宋体"/>
          <w:b/>
          <w:bCs/>
          <w:szCs w:val="21"/>
        </w:rPr>
        <w:t>无菌检查的环境要求</w:t>
      </w:r>
      <w:bookmarkEnd w:id="144"/>
      <w:bookmarkEnd w:id="145"/>
      <w:bookmarkEnd w:id="146"/>
    </w:p>
    <w:p w14:paraId="7F031148">
      <w:pPr>
        <w:widowControl/>
        <w:ind w:firstLine="420" w:firstLineChars="200"/>
        <w:jc w:val="left"/>
        <w:rPr>
          <w:rFonts w:hint="eastAsia" w:ascii="宋体" w:hAnsi="宋体" w:eastAsia="宋体" w:cs="宋体"/>
          <w:szCs w:val="21"/>
        </w:rPr>
      </w:pPr>
      <w:r>
        <w:rPr>
          <w:rFonts w:hint="eastAsia" w:ascii="宋体" w:hAnsi="宋体" w:eastAsia="宋体" w:cs="宋体"/>
          <w:szCs w:val="21"/>
        </w:rPr>
        <w:t>无菌检查应在环境洁净度10000级（B级）和局部洁净度100级（A级）的单向流空气区域内进行。其全过程必须遵守无菌操作，防止微生物污染。</w:t>
      </w:r>
    </w:p>
    <w:p w14:paraId="33BAFA48">
      <w:pPr>
        <w:pStyle w:val="72"/>
        <w:widowControl/>
        <w:ind w:firstLineChars="0"/>
        <w:jc w:val="left"/>
        <w:outlineLvl w:val="2"/>
        <w:rPr>
          <w:rFonts w:hint="eastAsia" w:ascii="宋体" w:hAnsi="宋体" w:eastAsia="宋体" w:cs="宋体"/>
          <w:b/>
          <w:bCs/>
          <w:szCs w:val="21"/>
        </w:rPr>
      </w:pPr>
      <w:bookmarkStart w:id="147" w:name="_Toc8971"/>
      <w:bookmarkStart w:id="148" w:name="_Toc31175"/>
      <w:bookmarkStart w:id="149" w:name="_Toc9492"/>
      <w:r>
        <w:rPr>
          <w:rFonts w:hint="eastAsia" w:ascii="宋体" w:hAnsi="宋体" w:eastAsia="宋体" w:cs="宋体"/>
          <w:b/>
          <w:bCs/>
          <w:szCs w:val="21"/>
        </w:rPr>
        <w:t>无菌检查方法适用性试验</w:t>
      </w:r>
      <w:bookmarkEnd w:id="147"/>
      <w:bookmarkEnd w:id="148"/>
      <w:bookmarkEnd w:id="149"/>
    </w:p>
    <w:p w14:paraId="27207134">
      <w:pPr>
        <w:widowControl/>
        <w:ind w:firstLine="420" w:firstLineChars="200"/>
        <w:jc w:val="left"/>
        <w:rPr>
          <w:rFonts w:hint="eastAsia" w:ascii="宋体" w:hAnsi="宋体" w:eastAsia="宋体" w:cs="宋体"/>
          <w:szCs w:val="21"/>
        </w:rPr>
      </w:pPr>
      <w:r>
        <w:rPr>
          <w:rFonts w:hint="eastAsia" w:ascii="宋体" w:hAnsi="宋体" w:eastAsia="宋体" w:cs="宋体"/>
          <w:szCs w:val="21"/>
        </w:rPr>
        <w:t>按照《中华人民共和国药典》2025版第四部：1101无菌检查方法中的方法适用性试验。</w:t>
      </w:r>
    </w:p>
    <w:p w14:paraId="22A39196">
      <w:pPr>
        <w:widowControl/>
        <w:ind w:firstLine="420" w:firstLineChars="200"/>
        <w:jc w:val="left"/>
        <w:rPr>
          <w:rFonts w:hint="eastAsia" w:ascii="宋体" w:hAnsi="宋体" w:eastAsia="宋体" w:cs="宋体"/>
          <w:szCs w:val="21"/>
        </w:rPr>
      </w:pPr>
      <w:r>
        <w:rPr>
          <w:rFonts w:hint="eastAsia" w:ascii="宋体" w:hAnsi="宋体" w:eastAsia="宋体" w:cs="宋体"/>
          <w:szCs w:val="21"/>
        </w:rPr>
        <w:t>5.4.2.1菌液制备：金黄色葡萄球菌、铜绿假单胞菌、枯草芽孢杆菌、生孢梭菌、白色念珠菌、黑曲霉同培养基灵敏度检查，大肠埃希菌的菌液制备同金黄色葡萄球菌。</w:t>
      </w:r>
    </w:p>
    <w:p w14:paraId="7814FC15">
      <w:pPr>
        <w:widowControl/>
        <w:ind w:firstLine="420" w:firstLineChars="200"/>
        <w:jc w:val="left"/>
        <w:rPr>
          <w:rFonts w:hint="eastAsia" w:ascii="宋体" w:hAnsi="宋体" w:eastAsia="宋体" w:cs="宋体"/>
          <w:szCs w:val="21"/>
        </w:rPr>
      </w:pPr>
      <w:r>
        <w:rPr>
          <w:rFonts w:hint="eastAsia" w:ascii="宋体" w:hAnsi="宋体" w:eastAsia="宋体" w:cs="宋体"/>
          <w:szCs w:val="21"/>
        </w:rPr>
        <w:t>5.4.2.2直接接种法：取符合直接接种法培养基用量要求的硫乙醇酸盐流体培养基6支，分别接种不大于100cfu的金黄色葡萄球菌、铜绿假单胞菌/大肠埃希菌、生孢梭菌各2支；取符合直接接种法培养基用量要求的胰酪大豆胨液体培养基6支，分别接种不大于100cfu的枯草芽孢杆菌、白色念珠菌、黑曲霉各2支。其中1管接入每支培养基规定的供试品接种量，另1管作为对照，置规定的温度培养，培养时间不得超过5天。</w:t>
      </w:r>
    </w:p>
    <w:p w14:paraId="5817B49A">
      <w:pPr>
        <w:widowControl/>
        <w:ind w:firstLine="420" w:firstLineChars="200"/>
        <w:jc w:val="left"/>
        <w:rPr>
          <w:rFonts w:hint="eastAsia" w:ascii="宋体" w:hAnsi="宋体" w:eastAsia="宋体" w:cs="宋体"/>
          <w:szCs w:val="21"/>
        </w:rPr>
      </w:pPr>
      <w:r>
        <w:rPr>
          <w:rFonts w:hint="eastAsia" w:ascii="宋体" w:hAnsi="宋体" w:eastAsia="宋体" w:cs="宋体"/>
          <w:szCs w:val="21"/>
        </w:rPr>
        <w:t>5.4.2.3结果判定：与对照管比较，如含供试品的试管均生长良好，说明供试品在该检验条件下无抑菌作用或其抑菌作用可以忽略不计，可按此方法和条件进行无菌检查。如如含供试品的任何1支试管均生长微弱、缓慢或不生长，则说明供试品在该检验条件下有抑菌作用，应采用增加冲洗量、增加培养基的用量、使用中各剂或灭剂等方法，消除供试品的抑菌作用，并重新进行方法适用性试验。</w:t>
      </w:r>
    </w:p>
    <w:p w14:paraId="20786545">
      <w:pPr>
        <w:pStyle w:val="72"/>
        <w:widowControl/>
        <w:ind w:firstLineChars="0"/>
        <w:jc w:val="left"/>
        <w:outlineLvl w:val="2"/>
        <w:rPr>
          <w:rFonts w:hint="eastAsia" w:ascii="宋体" w:hAnsi="宋体" w:eastAsia="宋体" w:cs="宋体"/>
          <w:b/>
          <w:bCs/>
          <w:szCs w:val="21"/>
        </w:rPr>
      </w:pPr>
      <w:bookmarkStart w:id="150" w:name="_Toc5985"/>
      <w:bookmarkStart w:id="151" w:name="_Toc15260"/>
      <w:bookmarkStart w:id="152" w:name="_Toc13886"/>
      <w:r>
        <w:rPr>
          <w:rFonts w:hint="eastAsia" w:ascii="宋体" w:hAnsi="宋体" w:eastAsia="宋体" w:cs="宋体"/>
          <w:b/>
          <w:bCs/>
          <w:szCs w:val="21"/>
        </w:rPr>
        <w:t>培养基及其制备</w:t>
      </w:r>
      <w:bookmarkEnd w:id="150"/>
      <w:bookmarkEnd w:id="151"/>
      <w:bookmarkEnd w:id="152"/>
      <w:r>
        <w:rPr>
          <w:rFonts w:hint="eastAsia" w:ascii="宋体" w:hAnsi="宋体" w:eastAsia="宋体" w:cs="宋体"/>
          <w:b/>
          <w:bCs/>
          <w:szCs w:val="21"/>
        </w:rPr>
        <w:tab/>
      </w:r>
    </w:p>
    <w:p w14:paraId="45D1BC11">
      <w:pPr>
        <w:widowControl/>
        <w:ind w:firstLine="420" w:firstLineChars="200"/>
        <w:jc w:val="left"/>
        <w:rPr>
          <w:rFonts w:hint="eastAsia" w:ascii="宋体" w:hAnsi="宋体" w:eastAsia="宋体" w:cs="宋体"/>
          <w:szCs w:val="21"/>
        </w:rPr>
      </w:pPr>
      <w:r>
        <w:rPr>
          <w:rFonts w:hint="eastAsia" w:ascii="宋体" w:hAnsi="宋体" w:eastAsia="宋体" w:cs="宋体"/>
          <w:szCs w:val="21"/>
        </w:rPr>
        <w:t>5.4.3.1液体硫乙醇酸盐、胰酪大豆胨液体培养基（采用符合规定的脱水培养基）</w:t>
      </w:r>
    </w:p>
    <w:p w14:paraId="1A28B444">
      <w:pPr>
        <w:widowControl/>
        <w:ind w:firstLine="420" w:firstLineChars="200"/>
        <w:jc w:val="left"/>
        <w:rPr>
          <w:rFonts w:hint="eastAsia" w:ascii="宋体" w:hAnsi="宋体" w:eastAsia="宋体" w:cs="宋体"/>
          <w:szCs w:val="21"/>
        </w:rPr>
      </w:pPr>
      <w:r>
        <w:rPr>
          <w:rFonts w:hint="eastAsia" w:ascii="宋体" w:hAnsi="宋体" w:eastAsia="宋体" w:cs="宋体"/>
          <w:szCs w:val="21"/>
        </w:rPr>
        <w:t>5.4.3.2按照培养基的配制要求加入实验室分析用水，微温溶解后按10ml分装于试管内。随后采用高压蒸汽灭菌。灭菌后，将培养基在30~35℃的培养箱内放置</w:t>
      </w:r>
      <w:r>
        <w:rPr>
          <w:rFonts w:hint="eastAsia" w:ascii="宋体" w:hAnsi="宋体" w:eastAsia="宋体" w:cs="宋体"/>
          <w:szCs w:val="21"/>
          <w:lang w:val="en-US" w:eastAsia="zh-CN"/>
        </w:rPr>
        <w:t>14天</w:t>
      </w:r>
      <w:r>
        <w:rPr>
          <w:rFonts w:hint="eastAsia" w:ascii="宋体" w:hAnsi="宋体" w:eastAsia="宋体" w:cs="宋体"/>
          <w:szCs w:val="21"/>
        </w:rPr>
        <w:t>，无菌生长为灭菌合格。合格的培养基放在约4℃的冰箱内保存，并防止污染。使用期限不得超过</w:t>
      </w:r>
      <w:r>
        <w:rPr>
          <w:rFonts w:hint="eastAsia" w:ascii="宋体" w:hAnsi="宋体" w:eastAsia="宋体" w:cs="宋体"/>
          <w:szCs w:val="21"/>
          <w:lang w:val="en-US" w:eastAsia="zh-CN"/>
        </w:rPr>
        <w:t>24小时</w:t>
      </w:r>
      <w:r>
        <w:rPr>
          <w:rFonts w:hint="eastAsia" w:ascii="宋体" w:hAnsi="宋体" w:eastAsia="宋体" w:cs="宋体"/>
          <w:szCs w:val="21"/>
        </w:rPr>
        <w:t>。</w:t>
      </w:r>
    </w:p>
    <w:p w14:paraId="2698513F">
      <w:pPr>
        <w:widowControl/>
        <w:ind w:firstLine="420" w:firstLineChars="200"/>
        <w:jc w:val="left"/>
        <w:rPr>
          <w:rFonts w:hint="eastAsia" w:ascii="宋体" w:hAnsi="宋体" w:eastAsia="宋体" w:cs="宋体"/>
          <w:szCs w:val="21"/>
        </w:rPr>
      </w:pPr>
      <w:r>
        <w:rPr>
          <w:rFonts w:hint="eastAsia" w:ascii="宋体" w:hAnsi="宋体" w:eastAsia="宋体" w:cs="宋体"/>
          <w:szCs w:val="21"/>
        </w:rPr>
        <w:t>5.4.3.4 抽样方法：灭菌后产品随机抽样，但尽量使抽样产品有代表性，每灭菌批抽取样品3pcs。</w:t>
      </w:r>
    </w:p>
    <w:p w14:paraId="3C71AEBC">
      <w:pPr>
        <w:widowControl/>
        <w:ind w:firstLine="420" w:firstLineChars="200"/>
        <w:jc w:val="left"/>
        <w:rPr>
          <w:rFonts w:hint="eastAsia" w:ascii="宋体" w:hAnsi="宋体" w:eastAsia="宋体" w:cs="宋体"/>
          <w:szCs w:val="21"/>
        </w:rPr>
      </w:pPr>
      <w:r>
        <w:rPr>
          <w:rFonts w:hint="eastAsia" w:ascii="宋体" w:hAnsi="宋体" w:eastAsia="宋体" w:cs="宋体"/>
          <w:szCs w:val="21"/>
        </w:rPr>
        <w:t>5.4.3.5 检查方法</w:t>
      </w:r>
    </w:p>
    <w:p w14:paraId="70493BC2">
      <w:pPr>
        <w:widowControl/>
        <w:ind w:firstLine="420" w:firstLineChars="200"/>
        <w:jc w:val="left"/>
        <w:rPr>
          <w:rFonts w:hint="eastAsia" w:ascii="宋体" w:hAnsi="宋体" w:eastAsia="宋体" w:cs="宋体"/>
          <w:szCs w:val="21"/>
        </w:rPr>
      </w:pPr>
      <w:r>
        <w:rPr>
          <w:rFonts w:hint="eastAsia" w:ascii="宋体" w:hAnsi="宋体" w:eastAsia="宋体" w:cs="宋体"/>
          <w:szCs w:val="21"/>
        </w:rPr>
        <w:t>采用直接接种法，供试品不含抑菌物质，在无菌操作条件下，把样品剪成2cm左右的小段，大件产品抽取样品的十分之一（如根据公司产品的大小等），直接放入到液体硫乙醇酸盐、胰酪大豆胨液体培养基中。如无法分离的整个产品，则整个投入到相应培养基中。</w:t>
      </w:r>
    </w:p>
    <w:p w14:paraId="44867D09">
      <w:pPr>
        <w:widowControl/>
        <w:ind w:firstLine="420" w:firstLineChars="200"/>
        <w:jc w:val="left"/>
        <w:rPr>
          <w:rFonts w:hint="eastAsia" w:ascii="宋体" w:hAnsi="宋体" w:eastAsia="宋体" w:cs="宋体"/>
          <w:szCs w:val="21"/>
        </w:rPr>
      </w:pPr>
      <w:r>
        <w:rPr>
          <w:rFonts w:hint="eastAsia" w:ascii="宋体" w:hAnsi="宋体" w:eastAsia="宋体" w:cs="宋体"/>
          <w:szCs w:val="21"/>
        </w:rPr>
        <w:t>5.4.3.6 对照用菌液制备</w:t>
      </w:r>
    </w:p>
    <w:p w14:paraId="767789F9">
      <w:pPr>
        <w:widowControl/>
        <w:ind w:firstLine="420" w:firstLineChars="200"/>
        <w:jc w:val="left"/>
        <w:rPr>
          <w:rFonts w:hint="eastAsia" w:ascii="宋体" w:hAnsi="宋体" w:eastAsia="宋体" w:cs="宋体"/>
          <w:szCs w:val="21"/>
        </w:rPr>
      </w:pPr>
      <w:r>
        <w:rPr>
          <w:rFonts w:hint="eastAsia" w:ascii="宋体" w:hAnsi="宋体" w:eastAsia="宋体" w:cs="宋体"/>
          <w:szCs w:val="21"/>
        </w:rPr>
        <w:t>供试品不含抑菌物质，采用的对照菌为金黄色葡萄球菌。置于30℃～35℃恒温恒湿培养箱中培养18～24小时，所得培养液用0.9％无菌氯化钠溶液稀释至10</w:t>
      </w:r>
      <w:r>
        <w:rPr>
          <w:rFonts w:hint="eastAsia" w:ascii="宋体" w:hAnsi="宋体" w:eastAsia="宋体" w:cs="宋体"/>
          <w:szCs w:val="21"/>
          <w:vertAlign w:val="superscript"/>
        </w:rPr>
        <w:t>－6</w:t>
      </w:r>
      <w:r>
        <w:rPr>
          <w:rFonts w:hint="eastAsia" w:ascii="宋体" w:hAnsi="宋体" w:eastAsia="宋体" w:cs="宋体"/>
          <w:szCs w:val="21"/>
        </w:rPr>
        <w:t>～10</w:t>
      </w:r>
      <w:r>
        <w:rPr>
          <w:rFonts w:hint="eastAsia" w:ascii="宋体" w:hAnsi="宋体" w:eastAsia="宋体" w:cs="宋体"/>
          <w:szCs w:val="21"/>
          <w:vertAlign w:val="superscript"/>
        </w:rPr>
        <w:t>－7</w:t>
      </w:r>
      <w:r>
        <w:rPr>
          <w:rFonts w:hint="eastAsia" w:ascii="宋体" w:hAnsi="宋体" w:eastAsia="宋体" w:cs="宋体"/>
          <w:szCs w:val="21"/>
        </w:rPr>
        <w:t>，制成每1ml含菌数小于100cfu的菌悬液，作为阳性对照液。</w:t>
      </w:r>
    </w:p>
    <w:p w14:paraId="62F50F24">
      <w:pPr>
        <w:widowControl/>
        <w:ind w:firstLine="420" w:firstLineChars="200"/>
        <w:jc w:val="left"/>
        <w:rPr>
          <w:rFonts w:hint="eastAsia" w:ascii="宋体" w:hAnsi="宋体" w:eastAsia="宋体" w:cs="宋体"/>
          <w:szCs w:val="21"/>
        </w:rPr>
      </w:pPr>
      <w:r>
        <w:rPr>
          <w:rFonts w:hint="eastAsia" w:ascii="宋体" w:hAnsi="宋体" w:eastAsia="宋体" w:cs="宋体"/>
          <w:szCs w:val="21"/>
        </w:rPr>
        <w:t>5.4.3.7 接种</w:t>
      </w:r>
    </w:p>
    <w:p w14:paraId="6E52B151">
      <w:pPr>
        <w:widowControl/>
        <w:ind w:firstLine="420" w:firstLineChars="200"/>
        <w:jc w:val="left"/>
        <w:rPr>
          <w:rFonts w:hint="eastAsia" w:ascii="宋体" w:hAnsi="宋体" w:eastAsia="宋体" w:cs="宋体"/>
          <w:szCs w:val="21"/>
        </w:rPr>
      </w:pPr>
      <w:r>
        <w:rPr>
          <w:rFonts w:hint="eastAsia" w:ascii="宋体" w:hAnsi="宋体" w:eastAsia="宋体" w:cs="宋体"/>
          <w:szCs w:val="21"/>
        </w:rPr>
        <w:t>将无菌操作剪取的产品分别加入到液体硫乙醇酸盐、胰酪大豆胨液体培养基中。</w:t>
      </w:r>
    </w:p>
    <w:p w14:paraId="75695713">
      <w:pPr>
        <w:widowControl/>
        <w:ind w:firstLine="420" w:firstLineChars="200"/>
        <w:jc w:val="left"/>
        <w:rPr>
          <w:rFonts w:hint="eastAsia" w:ascii="宋体" w:hAnsi="宋体" w:eastAsia="宋体" w:cs="宋体"/>
          <w:szCs w:val="21"/>
        </w:rPr>
      </w:pPr>
      <w:r>
        <w:rPr>
          <w:rFonts w:hint="eastAsia" w:ascii="宋体" w:hAnsi="宋体" w:eastAsia="宋体" w:cs="宋体"/>
          <w:szCs w:val="21"/>
        </w:rPr>
        <w:t>将对照液取1ml于液体硫乙醇酸盐培养基中。</w:t>
      </w:r>
    </w:p>
    <w:p w14:paraId="653E6E68">
      <w:pPr>
        <w:widowControl/>
        <w:ind w:firstLine="420" w:firstLineChars="200"/>
        <w:jc w:val="left"/>
        <w:rPr>
          <w:rFonts w:hint="eastAsia" w:ascii="宋体" w:hAnsi="宋体" w:eastAsia="宋体" w:cs="宋体"/>
          <w:szCs w:val="21"/>
        </w:rPr>
      </w:pPr>
      <w:r>
        <w:rPr>
          <w:rFonts w:hint="eastAsia" w:ascii="宋体" w:hAnsi="宋体" w:eastAsia="宋体" w:cs="宋体"/>
          <w:szCs w:val="21"/>
        </w:rPr>
        <w:t>5.4.3.8接种后的液体硫乙醇酸盐培养基置于30～35℃的培养箱内 14天。接种后的胰酪大豆胨液体培养基置于20～25℃的培养箱内14天。逐日观察记录</w:t>
      </w:r>
    </w:p>
    <w:p w14:paraId="271E8B63">
      <w:pPr>
        <w:widowControl/>
        <w:ind w:firstLine="420" w:firstLineChars="200"/>
        <w:jc w:val="left"/>
        <w:rPr>
          <w:rFonts w:hint="eastAsia" w:ascii="宋体" w:hAnsi="宋体" w:eastAsia="宋体" w:cs="宋体"/>
          <w:szCs w:val="21"/>
        </w:rPr>
      </w:pPr>
      <w:r>
        <w:rPr>
          <w:rFonts w:hint="eastAsia" w:ascii="宋体" w:hAnsi="宋体" w:eastAsia="宋体" w:cs="宋体"/>
          <w:szCs w:val="21"/>
        </w:rPr>
        <w:t>5.4.3.9 结果判定</w:t>
      </w:r>
    </w:p>
    <w:p w14:paraId="59D61541">
      <w:pPr>
        <w:widowControl/>
        <w:ind w:firstLine="420" w:firstLineChars="200"/>
        <w:jc w:val="left"/>
        <w:rPr>
          <w:rFonts w:hint="eastAsia" w:ascii="宋体" w:hAnsi="宋体" w:eastAsia="宋体" w:cs="宋体"/>
          <w:szCs w:val="21"/>
        </w:rPr>
      </w:pPr>
      <w:r>
        <w:rPr>
          <w:rFonts w:hint="eastAsia" w:ascii="宋体" w:hAnsi="宋体" w:eastAsia="宋体" w:cs="宋体"/>
          <w:szCs w:val="21"/>
        </w:rPr>
        <w:t>5.4.3.9.1如液体硫乙醇酸盐培养基及胰酪大豆胨液体培养基均为澄清，或虽显昏浊但经证明并非有菌生长，判供试品符合无菌要求。如液体硫乙醇酸盐培养基及胰酪大豆胨液体培养基任何一管确证有菌生长，并证明生长的微生物为供试品所含有，判供试品不符合无菌要求。</w:t>
      </w:r>
    </w:p>
    <w:p w14:paraId="04FA329D">
      <w:pPr>
        <w:widowControl/>
        <w:ind w:firstLine="420" w:firstLineChars="200"/>
        <w:jc w:val="left"/>
        <w:rPr>
          <w:rFonts w:hint="eastAsia" w:ascii="宋体" w:hAnsi="宋体" w:eastAsia="宋体" w:cs="宋体"/>
          <w:szCs w:val="21"/>
        </w:rPr>
      </w:pPr>
      <w:r>
        <w:rPr>
          <w:rFonts w:hint="eastAsia" w:ascii="宋体" w:hAnsi="宋体" w:eastAsia="宋体" w:cs="宋体"/>
          <w:szCs w:val="21"/>
        </w:rPr>
        <w:t>5.4.2.9.2有下列条件之一的判定实验结果无效。</w:t>
      </w:r>
    </w:p>
    <w:p w14:paraId="0D7455E7">
      <w:pPr>
        <w:widowControl/>
        <w:ind w:firstLine="420" w:firstLineChars="200"/>
        <w:jc w:val="left"/>
        <w:rPr>
          <w:rFonts w:hint="eastAsia" w:ascii="宋体" w:hAnsi="宋体" w:eastAsia="宋体" w:cs="宋体"/>
          <w:szCs w:val="21"/>
        </w:rPr>
      </w:pPr>
      <w:r>
        <w:rPr>
          <w:rFonts w:hint="eastAsia" w:ascii="宋体" w:hAnsi="宋体" w:eastAsia="宋体" w:cs="宋体"/>
          <w:szCs w:val="21"/>
        </w:rPr>
        <w:t>5.4.3.9.2.1对无菌检查相关设施的微生物监控数据表明其不附合规定；</w:t>
      </w:r>
    </w:p>
    <w:p w14:paraId="4310407B">
      <w:pPr>
        <w:widowControl/>
        <w:ind w:firstLine="420" w:firstLineChars="200"/>
        <w:jc w:val="left"/>
        <w:rPr>
          <w:rFonts w:hint="eastAsia" w:ascii="宋体" w:hAnsi="宋体" w:eastAsia="宋体" w:cs="宋体"/>
          <w:szCs w:val="21"/>
        </w:rPr>
      </w:pPr>
      <w:r>
        <w:rPr>
          <w:rFonts w:hint="eastAsia" w:ascii="宋体" w:hAnsi="宋体" w:eastAsia="宋体" w:cs="宋体"/>
          <w:szCs w:val="21"/>
        </w:rPr>
        <w:t>5.4.3.9.2.2对无菌检查过程的回顾，发现有可能引起微生物污染的因素；</w:t>
      </w:r>
    </w:p>
    <w:p w14:paraId="6186860C">
      <w:pPr>
        <w:widowControl/>
        <w:ind w:firstLine="420" w:firstLineChars="200"/>
        <w:jc w:val="left"/>
        <w:rPr>
          <w:rFonts w:hint="eastAsia" w:ascii="宋体" w:hAnsi="宋体" w:eastAsia="宋体" w:cs="宋体"/>
          <w:szCs w:val="21"/>
        </w:rPr>
      </w:pPr>
      <w:r>
        <w:rPr>
          <w:rFonts w:hint="eastAsia" w:ascii="宋体" w:hAnsi="宋体" w:eastAsia="宋体" w:cs="宋体"/>
          <w:szCs w:val="21"/>
        </w:rPr>
        <w:t>5.4.3.9.2.3阴性对照管有菌生长；</w:t>
      </w:r>
    </w:p>
    <w:p w14:paraId="00D172A0">
      <w:pPr>
        <w:widowControl/>
        <w:ind w:firstLine="420" w:firstLineChars="200"/>
        <w:jc w:val="left"/>
        <w:rPr>
          <w:rFonts w:hint="eastAsia" w:ascii="宋体" w:hAnsi="宋体" w:eastAsia="宋体" w:cs="宋体"/>
          <w:szCs w:val="21"/>
        </w:rPr>
      </w:pPr>
      <w:r>
        <w:rPr>
          <w:rFonts w:hint="eastAsia" w:ascii="宋体" w:hAnsi="宋体" w:eastAsia="宋体" w:cs="宋体"/>
          <w:szCs w:val="21"/>
        </w:rPr>
        <w:t>5.4.3.9.2.4供试品管中生长的微生物经鉴定后，确定微生物的生长是因无菌检查中使用的物品和/或无菌操作技术不当引起的。</w:t>
      </w:r>
    </w:p>
    <w:p w14:paraId="7E2705B0">
      <w:pPr>
        <w:widowControl/>
        <w:ind w:firstLine="420" w:firstLineChars="200"/>
        <w:jc w:val="left"/>
        <w:rPr>
          <w:rFonts w:hint="eastAsia" w:ascii="宋体" w:hAnsi="宋体" w:eastAsia="宋体" w:cs="宋体"/>
          <w:szCs w:val="21"/>
        </w:rPr>
      </w:pPr>
      <w:r>
        <w:rPr>
          <w:rFonts w:hint="eastAsia" w:ascii="宋体" w:hAnsi="宋体" w:eastAsia="宋体" w:cs="宋体"/>
          <w:szCs w:val="21"/>
        </w:rPr>
        <w:t>5.4.3.9.3实验如经确认无效，应重试。重试时，重新取同量供试品，依法重试，如无菌生长判供试品符合无菌要求。如有菌生长判供试品不符合无菌要求。</w:t>
      </w:r>
    </w:p>
    <w:p w14:paraId="3A123F87">
      <w:pPr>
        <w:widowControl/>
        <w:ind w:firstLine="420" w:firstLineChars="200"/>
        <w:jc w:val="left"/>
        <w:rPr>
          <w:rFonts w:hint="eastAsia" w:ascii="宋体" w:hAnsi="宋体" w:eastAsia="宋体" w:cs="宋体"/>
          <w:szCs w:val="21"/>
        </w:rPr>
      </w:pPr>
      <w:r>
        <w:rPr>
          <w:rFonts w:hint="eastAsia" w:ascii="宋体" w:hAnsi="宋体" w:eastAsia="宋体" w:cs="宋体"/>
          <w:szCs w:val="21"/>
        </w:rPr>
        <w:t>5.4.3.10检测结果填于《无菌检验记录》中。</w:t>
      </w:r>
    </w:p>
    <w:p w14:paraId="691BF688">
      <w:pPr>
        <w:pStyle w:val="72"/>
        <w:widowControl/>
        <w:ind w:firstLineChars="0"/>
        <w:jc w:val="left"/>
        <w:outlineLvl w:val="2"/>
        <w:rPr>
          <w:rFonts w:hint="eastAsia" w:ascii="宋体" w:hAnsi="宋体" w:eastAsia="宋体" w:cs="宋体"/>
          <w:b/>
          <w:bCs/>
          <w:szCs w:val="21"/>
        </w:rPr>
      </w:pPr>
      <w:bookmarkStart w:id="153" w:name="_Toc4899"/>
      <w:bookmarkStart w:id="154" w:name="_Toc4157"/>
      <w:bookmarkStart w:id="155" w:name="_Toc12562"/>
      <w:r>
        <w:rPr>
          <w:rFonts w:hint="eastAsia" w:ascii="宋体" w:hAnsi="宋体" w:eastAsia="宋体" w:cs="宋体"/>
          <w:b/>
          <w:bCs/>
          <w:szCs w:val="21"/>
        </w:rPr>
        <w:t>灭菌效果检测方法</w:t>
      </w:r>
      <w:bookmarkEnd w:id="153"/>
      <w:bookmarkEnd w:id="154"/>
      <w:bookmarkEnd w:id="155"/>
    </w:p>
    <w:p w14:paraId="70CDAD19">
      <w:pPr>
        <w:widowControl/>
        <w:ind w:firstLine="420" w:firstLineChars="200"/>
        <w:jc w:val="left"/>
        <w:rPr>
          <w:rFonts w:hint="eastAsia" w:ascii="宋体" w:hAnsi="宋体" w:eastAsia="宋体" w:cs="宋体"/>
          <w:szCs w:val="21"/>
        </w:rPr>
      </w:pPr>
      <w:r>
        <w:rPr>
          <w:rFonts w:hint="eastAsia" w:ascii="宋体" w:hAnsi="宋体" w:eastAsia="宋体" w:cs="宋体"/>
          <w:szCs w:val="21"/>
        </w:rPr>
        <w:t>5.4.4.1 灭菌操作人员每天将灭菌后的菌片收集整理后交于实验室工作人员。接收到菌片后应尽快安排检测，停留时间不宜超过24小时。</w:t>
      </w:r>
    </w:p>
    <w:p w14:paraId="1D76954A">
      <w:pPr>
        <w:widowControl/>
        <w:ind w:firstLine="420" w:firstLineChars="200"/>
        <w:jc w:val="left"/>
        <w:rPr>
          <w:rFonts w:hint="eastAsia" w:ascii="宋体" w:hAnsi="宋体" w:eastAsia="宋体" w:cs="宋体"/>
          <w:szCs w:val="21"/>
        </w:rPr>
      </w:pPr>
      <w:r>
        <w:rPr>
          <w:rFonts w:hint="eastAsia" w:ascii="宋体" w:hAnsi="宋体" w:eastAsia="宋体" w:cs="宋体"/>
          <w:szCs w:val="21"/>
        </w:rPr>
        <w:t>5.4.4.2菌片：以无菌操作移入无菌胰酪大豆胨液体培养基中，按照菌片标识序号做好标识后置于30-35℃的恒温培养箱内连续培养7天，每天观察记录。</w:t>
      </w:r>
    </w:p>
    <w:p w14:paraId="6949FF70">
      <w:pPr>
        <w:widowControl/>
        <w:ind w:firstLine="420" w:firstLineChars="200"/>
        <w:jc w:val="left"/>
        <w:rPr>
          <w:rFonts w:hint="eastAsia" w:ascii="宋体" w:hAnsi="宋体" w:eastAsia="宋体" w:cs="宋体"/>
          <w:szCs w:val="21"/>
        </w:rPr>
      </w:pPr>
      <w:r>
        <w:rPr>
          <w:rFonts w:hint="eastAsia" w:ascii="宋体" w:hAnsi="宋体" w:eastAsia="宋体" w:cs="宋体"/>
          <w:szCs w:val="21"/>
        </w:rPr>
        <w:t>5.4.4.3 阳性对照样本：每检验批取1支培养基接种1ml枯草芽孢杆菌菌悬液，菌悬液的菌落浓度≦100CFU/ml。与该批次检验的生物指示菌片放在相同的条件下培养。</w:t>
      </w:r>
    </w:p>
    <w:p w14:paraId="56D9576F">
      <w:pPr>
        <w:widowControl/>
        <w:ind w:firstLine="420" w:firstLineChars="200"/>
        <w:jc w:val="left"/>
        <w:rPr>
          <w:rFonts w:hint="eastAsia" w:ascii="宋体" w:hAnsi="宋体" w:eastAsia="宋体" w:cs="宋体"/>
          <w:szCs w:val="21"/>
        </w:rPr>
      </w:pPr>
      <w:r>
        <w:rPr>
          <w:rFonts w:hint="eastAsia" w:ascii="宋体" w:hAnsi="宋体" w:eastAsia="宋体" w:cs="宋体"/>
          <w:szCs w:val="21"/>
        </w:rPr>
        <w:t>5.4.4.4 阴性对照样本：每检验批取1支培养基，按照接种生物指示菌片的方式打开试管塞，停留相同的时间后塞好试管塞，与该批次检验的生物指示菌片放在相同的条件下培养。</w:t>
      </w:r>
    </w:p>
    <w:p w14:paraId="6AFC1ECE">
      <w:pPr>
        <w:widowControl/>
        <w:ind w:firstLine="420" w:firstLineChars="200"/>
        <w:jc w:val="left"/>
        <w:rPr>
          <w:rFonts w:hint="eastAsia" w:ascii="宋体" w:hAnsi="宋体" w:eastAsia="宋体" w:cs="宋体"/>
          <w:szCs w:val="21"/>
        </w:rPr>
      </w:pPr>
      <w:r>
        <w:rPr>
          <w:rFonts w:hint="eastAsia" w:ascii="宋体" w:hAnsi="宋体" w:eastAsia="宋体" w:cs="宋体"/>
          <w:szCs w:val="21"/>
        </w:rPr>
        <w:t>5.4.4.5 评价标准</w:t>
      </w:r>
    </w:p>
    <w:p w14:paraId="6536AABD">
      <w:pPr>
        <w:widowControl/>
        <w:ind w:firstLine="420" w:firstLineChars="200"/>
        <w:jc w:val="left"/>
        <w:rPr>
          <w:rFonts w:hint="eastAsia" w:ascii="宋体" w:hAnsi="宋体" w:eastAsia="宋体" w:cs="宋体"/>
          <w:szCs w:val="21"/>
        </w:rPr>
      </w:pPr>
      <w:r>
        <w:rPr>
          <w:rFonts w:hint="eastAsia" w:ascii="宋体" w:hAnsi="宋体" w:eastAsia="宋体" w:cs="宋体"/>
          <w:szCs w:val="21"/>
        </w:rPr>
        <w:t>灭菌效果评价标准：灭菌后回收菌片，生物指示菌片以无菌操作移入无菌胰酪大豆胨液体培养基中30-35℃连续培养7天，全部无菌生长，阳性对照样本生长良好、阴性对照样本无菌生长质量部方可报告灭菌效果合格准予该批放行。</w:t>
      </w:r>
    </w:p>
    <w:p w14:paraId="7D40EFB2">
      <w:pPr>
        <w:pStyle w:val="63"/>
        <w:widowControl/>
        <w:jc w:val="left"/>
        <w:outlineLvl w:val="1"/>
        <w:rPr>
          <w:rFonts w:hint="eastAsia" w:ascii="宋体" w:hAnsi="宋体" w:eastAsia="宋体" w:cs="宋体"/>
          <w:b/>
          <w:bCs/>
          <w:kern w:val="0"/>
          <w:szCs w:val="21"/>
        </w:rPr>
      </w:pPr>
      <w:bookmarkStart w:id="156" w:name="_Toc12918"/>
      <w:bookmarkStart w:id="157" w:name="_Toc4287"/>
      <w:bookmarkStart w:id="158" w:name="_Toc19267"/>
      <w:r>
        <w:rPr>
          <w:rFonts w:hint="eastAsia" w:ascii="宋体" w:hAnsi="宋体" w:eastAsia="宋体" w:cs="宋体"/>
          <w:b/>
          <w:bCs/>
          <w:kern w:val="0"/>
          <w:szCs w:val="21"/>
        </w:rPr>
        <w:t>不合格情况处理</w:t>
      </w:r>
      <w:bookmarkEnd w:id="156"/>
      <w:bookmarkEnd w:id="157"/>
      <w:bookmarkEnd w:id="158"/>
    </w:p>
    <w:p w14:paraId="3F38741A">
      <w:pPr>
        <w:pStyle w:val="72"/>
        <w:widowControl/>
        <w:ind w:firstLineChars="0"/>
        <w:jc w:val="left"/>
        <w:outlineLvl w:val="2"/>
        <w:rPr>
          <w:rFonts w:hint="eastAsia" w:ascii="宋体" w:hAnsi="宋体" w:eastAsia="宋体" w:cs="宋体"/>
          <w:b/>
          <w:bCs/>
          <w:szCs w:val="21"/>
        </w:rPr>
      </w:pPr>
      <w:bookmarkStart w:id="159" w:name="_Toc5048"/>
      <w:bookmarkStart w:id="160" w:name="_Toc28958"/>
      <w:bookmarkStart w:id="161" w:name="_Toc19110"/>
      <w:r>
        <w:rPr>
          <w:rFonts w:hint="eastAsia" w:ascii="宋体" w:hAnsi="宋体" w:eastAsia="宋体" w:cs="宋体"/>
          <w:b/>
          <w:bCs/>
          <w:szCs w:val="21"/>
        </w:rPr>
        <w:t>初始污染菌检测</w:t>
      </w:r>
      <w:bookmarkEnd w:id="159"/>
      <w:bookmarkEnd w:id="160"/>
      <w:bookmarkEnd w:id="161"/>
      <w:r>
        <w:rPr>
          <w:rFonts w:hint="eastAsia" w:ascii="宋体" w:hAnsi="宋体" w:eastAsia="宋体" w:cs="宋体"/>
          <w:b/>
          <w:bCs/>
          <w:szCs w:val="21"/>
        </w:rPr>
        <w:t xml:space="preserve"> </w:t>
      </w:r>
    </w:p>
    <w:p w14:paraId="73CAEDC5">
      <w:pPr>
        <w:widowControl/>
        <w:ind w:firstLine="420" w:firstLineChars="200"/>
        <w:jc w:val="left"/>
        <w:rPr>
          <w:rFonts w:hint="eastAsia" w:ascii="宋体" w:hAnsi="宋体" w:eastAsia="宋体" w:cs="宋体"/>
          <w:szCs w:val="21"/>
        </w:rPr>
      </w:pPr>
      <w:r>
        <w:rPr>
          <w:rFonts w:hint="eastAsia" w:ascii="宋体" w:hAnsi="宋体" w:eastAsia="宋体" w:cs="宋体"/>
          <w:szCs w:val="21"/>
        </w:rPr>
        <w:t>检测结果不合格，及时通知相关人员处理，并将不合格情况详细报告给相关人员作为处理的依据</w:t>
      </w:r>
      <w:r>
        <w:rPr>
          <w:rFonts w:hint="eastAsia" w:ascii="宋体" w:hAnsi="宋体" w:eastAsia="宋体" w:cs="宋体"/>
          <w:szCs w:val="21"/>
          <w:lang w:eastAsia="zh-CN"/>
        </w:rPr>
        <w:t>。</w:t>
      </w:r>
    </w:p>
    <w:p w14:paraId="4B10A716">
      <w:pPr>
        <w:pStyle w:val="72"/>
        <w:widowControl/>
        <w:ind w:firstLineChars="0"/>
        <w:jc w:val="left"/>
        <w:outlineLvl w:val="2"/>
        <w:rPr>
          <w:rFonts w:hint="eastAsia" w:ascii="宋体" w:hAnsi="宋体" w:eastAsia="宋体" w:cs="宋体"/>
          <w:b/>
          <w:bCs/>
          <w:szCs w:val="21"/>
        </w:rPr>
      </w:pPr>
      <w:bookmarkStart w:id="162" w:name="_Toc27021"/>
      <w:bookmarkStart w:id="163" w:name="_Toc27667"/>
      <w:bookmarkStart w:id="164" w:name="_Toc25441"/>
      <w:r>
        <w:rPr>
          <w:rFonts w:hint="eastAsia" w:ascii="宋体" w:hAnsi="宋体" w:eastAsia="宋体" w:cs="宋体"/>
          <w:b/>
          <w:bCs/>
          <w:szCs w:val="21"/>
        </w:rPr>
        <w:t>产品无菌检查</w:t>
      </w:r>
      <w:bookmarkEnd w:id="162"/>
      <w:bookmarkEnd w:id="163"/>
      <w:bookmarkEnd w:id="164"/>
    </w:p>
    <w:p w14:paraId="58E6CF08">
      <w:pPr>
        <w:widowControl/>
        <w:ind w:firstLine="420" w:firstLineChars="200"/>
        <w:jc w:val="left"/>
        <w:rPr>
          <w:rFonts w:hint="eastAsia" w:ascii="宋体" w:hAnsi="宋体" w:eastAsia="宋体" w:cs="宋体"/>
          <w:szCs w:val="21"/>
        </w:rPr>
      </w:pPr>
      <w:r>
        <w:rPr>
          <w:rFonts w:hint="eastAsia" w:ascii="宋体" w:hAnsi="宋体" w:eastAsia="宋体" w:cs="宋体"/>
          <w:szCs w:val="21"/>
        </w:rPr>
        <w:t>检测结果不合格，及时通知相关人员处理，并将不合格情况详细报告给相关人员作为处理的依据。</w:t>
      </w:r>
    </w:p>
    <w:p w14:paraId="29A15028">
      <w:pPr>
        <w:pStyle w:val="72"/>
        <w:widowControl/>
        <w:ind w:firstLineChars="0"/>
        <w:jc w:val="left"/>
        <w:outlineLvl w:val="2"/>
        <w:rPr>
          <w:rFonts w:hint="eastAsia" w:ascii="宋体" w:hAnsi="宋体" w:eastAsia="宋体" w:cs="宋体"/>
          <w:b/>
          <w:bCs/>
          <w:szCs w:val="21"/>
        </w:rPr>
      </w:pPr>
      <w:bookmarkStart w:id="165" w:name="_Toc285"/>
      <w:bookmarkStart w:id="166" w:name="_Toc26455"/>
      <w:bookmarkStart w:id="167" w:name="_Toc24787"/>
      <w:r>
        <w:rPr>
          <w:rFonts w:hint="eastAsia" w:ascii="宋体" w:hAnsi="宋体" w:eastAsia="宋体" w:cs="宋体"/>
          <w:b/>
          <w:bCs/>
          <w:szCs w:val="21"/>
        </w:rPr>
        <w:t>灭菌效果检查</w:t>
      </w:r>
      <w:bookmarkEnd w:id="165"/>
      <w:bookmarkEnd w:id="166"/>
      <w:bookmarkEnd w:id="167"/>
    </w:p>
    <w:p w14:paraId="2C8CD7BD">
      <w:pPr>
        <w:widowControl/>
        <w:ind w:firstLine="420" w:firstLineChars="200"/>
        <w:jc w:val="left"/>
        <w:rPr>
          <w:rFonts w:hint="eastAsia" w:ascii="宋体" w:hAnsi="宋体" w:eastAsia="宋体" w:cs="宋体"/>
          <w:szCs w:val="21"/>
        </w:rPr>
      </w:pPr>
      <w:r>
        <w:rPr>
          <w:rFonts w:hint="eastAsia" w:ascii="宋体" w:hAnsi="宋体" w:eastAsia="宋体" w:cs="宋体"/>
          <w:szCs w:val="21"/>
        </w:rPr>
        <w:t>检测结果不合格，及时通知相关人员处理，并将不合格情况详细报告给相关人员作为处理的依据。</w:t>
      </w:r>
    </w:p>
    <w:p w14:paraId="323D32E5">
      <w:pPr>
        <w:pStyle w:val="2"/>
        <w:rPr>
          <w:rFonts w:hint="eastAsia"/>
        </w:rPr>
      </w:pPr>
    </w:p>
    <w:p w14:paraId="70D64EBC">
      <w:pPr>
        <w:rPr>
          <w:rFonts w:hint="eastAsia" w:ascii="宋体" w:hAnsi="宋体" w:eastAsia="宋体" w:cs="宋体"/>
          <w:szCs w:val="21"/>
        </w:rPr>
      </w:pPr>
    </w:p>
    <w:p w14:paraId="104C1B05">
      <w:pPr>
        <w:rPr>
          <w:rFonts w:hint="eastAsia" w:ascii="宋体" w:hAnsi="宋体" w:eastAsia="宋体" w:cs="宋体"/>
          <w:szCs w:val="21"/>
        </w:rPr>
      </w:pPr>
    </w:p>
    <w:p w14:paraId="52B539AD">
      <w:pPr>
        <w:pStyle w:val="2"/>
        <w:rPr>
          <w:rFonts w:hint="eastAsia"/>
        </w:rPr>
      </w:pPr>
    </w:p>
    <w:p w14:paraId="7B6A6755">
      <w:pPr>
        <w:pStyle w:val="2"/>
        <w:rPr>
          <w:rFonts w:hint="eastAsia"/>
        </w:rPr>
      </w:pPr>
    </w:p>
    <w:p w14:paraId="0605649C">
      <w:pPr>
        <w:pStyle w:val="53"/>
        <w:keepNext w:val="0"/>
        <w:keepLines w:val="0"/>
        <w:pageBreakBefore/>
        <w:widowControl w:val="0"/>
        <w:kinsoku/>
        <w:wordWrap/>
        <w:overflowPunct/>
        <w:topLinePunct w:val="0"/>
        <w:autoSpaceDE/>
        <w:autoSpaceDN/>
        <w:bidi w:val="0"/>
        <w:adjustRightInd w:val="0"/>
        <w:snapToGrid/>
        <w:spacing w:before="360" w:after="360"/>
        <w:textAlignment w:val="auto"/>
        <w:rPr>
          <w:rFonts w:hint="eastAsia" w:ascii="宋体" w:hAnsi="宋体" w:eastAsia="宋体" w:cs="宋体"/>
          <w:b/>
          <w:bCs w:val="0"/>
          <w:sz w:val="24"/>
          <w:szCs w:val="24"/>
        </w:rPr>
      </w:pPr>
      <w:bookmarkStart w:id="168" w:name="_Toc15740"/>
      <w:bookmarkStart w:id="169" w:name="_Toc23269"/>
      <w:bookmarkStart w:id="170" w:name="_Toc25060"/>
      <w:r>
        <w:rPr>
          <w:rFonts w:hint="eastAsia" w:ascii="宋体" w:hAnsi="宋体" w:eastAsia="宋体" w:cs="宋体"/>
          <w:b/>
          <w:bCs w:val="0"/>
          <w:sz w:val="24"/>
          <w:szCs w:val="24"/>
        </w:rPr>
        <w:t>附录A 能力评价机制</w:t>
      </w:r>
      <w:bookmarkEnd w:id="168"/>
      <w:bookmarkEnd w:id="169"/>
      <w:bookmarkEnd w:id="170"/>
    </w:p>
    <w:p w14:paraId="17F15A37">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1.能力评价</w:t>
      </w:r>
    </w:p>
    <w:p w14:paraId="211EA389">
      <w:pPr>
        <w:widowControl/>
        <w:ind w:firstLine="420" w:firstLineChars="200"/>
        <w:jc w:val="left"/>
        <w:rPr>
          <w:rFonts w:hint="eastAsia" w:ascii="宋体" w:hAnsi="宋体" w:eastAsia="宋体" w:cs="宋体"/>
          <w:szCs w:val="21"/>
        </w:rPr>
      </w:pPr>
      <w:r>
        <w:rPr>
          <w:rFonts w:hint="eastAsia" w:ascii="宋体" w:hAnsi="宋体" w:eastAsia="宋体" w:cs="宋体"/>
          <w:color w:val="000000"/>
          <w:kern w:val="0"/>
          <w:szCs w:val="21"/>
          <w:lang w:bidi="ar"/>
        </w:rPr>
        <w:t xml:space="preserve">通过专业知识、技术技能、工作实践的方法，对个人能力水平进行客观、公正、规范的评价活动。 </w:t>
      </w:r>
    </w:p>
    <w:p w14:paraId="2F74710C">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2.人员评价分值</w:t>
      </w:r>
    </w:p>
    <w:p w14:paraId="2121AEA1">
      <w:pPr>
        <w:widowControl/>
        <w:ind w:firstLine="420" w:firstLineChars="200"/>
        <w:jc w:val="left"/>
        <w:rPr>
          <w:rFonts w:hint="eastAsia" w:ascii="宋体" w:hAnsi="宋体" w:eastAsia="宋体" w:cs="宋体"/>
          <w:szCs w:val="21"/>
        </w:rPr>
      </w:pPr>
      <w:r>
        <w:rPr>
          <w:rFonts w:hint="eastAsia" w:ascii="宋体" w:hAnsi="宋体" w:eastAsia="宋体" w:cs="宋体"/>
          <w:color w:val="000000"/>
          <w:kern w:val="0"/>
          <w:szCs w:val="21"/>
          <w:lang w:bidi="ar"/>
        </w:rPr>
        <w:t>按照专业知识、技术技能、工作实践对个人能力水平的综合评分。</w:t>
      </w:r>
    </w:p>
    <w:p w14:paraId="24352517">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3.岗位能力评价说明</w:t>
      </w:r>
    </w:p>
    <w:p w14:paraId="25DCAB97">
      <w:pPr>
        <w:widowControl/>
        <w:ind w:firstLine="420" w:firstLineChars="200"/>
        <w:jc w:val="left"/>
        <w:rPr>
          <w:rFonts w:hint="eastAsia" w:ascii="宋体" w:hAnsi="宋体" w:eastAsia="宋体" w:cs="宋体"/>
          <w:szCs w:val="21"/>
        </w:rPr>
      </w:pPr>
      <w:r>
        <w:rPr>
          <w:rFonts w:hint="eastAsia" w:ascii="宋体" w:hAnsi="宋体" w:eastAsia="宋体" w:cs="宋体"/>
          <w:color w:val="000000"/>
          <w:kern w:val="0"/>
          <w:szCs w:val="21"/>
          <w:lang w:bidi="ar"/>
        </w:rPr>
        <w:t xml:space="preserve">依据专业知识、技术技能、工程实践三个维度对评估对象进行考核与评价。 </w:t>
      </w:r>
    </w:p>
    <w:tbl>
      <w:tblPr>
        <w:tblStyle w:val="25"/>
        <w:tblW w:w="87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500"/>
        <w:gridCol w:w="2546"/>
        <w:gridCol w:w="2478"/>
      </w:tblGrid>
      <w:tr w14:paraId="59C7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Align w:val="center"/>
          </w:tcPr>
          <w:p w14:paraId="1DAF773B">
            <w:pPr>
              <w:widowControl/>
              <w:jc w:val="center"/>
              <w:rPr>
                <w:rFonts w:hint="eastAsia" w:ascii="宋体" w:hAnsi="宋体" w:eastAsia="宋体" w:cs="宋体"/>
                <w:szCs w:val="21"/>
              </w:rPr>
            </w:pPr>
            <w:r>
              <w:rPr>
                <w:rFonts w:hint="eastAsia" w:ascii="宋体" w:hAnsi="宋体" w:eastAsia="宋体" w:cs="宋体"/>
                <w:b/>
                <w:bCs/>
                <w:color w:val="000000"/>
                <w:kern w:val="0"/>
                <w:szCs w:val="21"/>
                <w:lang w:bidi="ar"/>
              </w:rPr>
              <w:t>评价维度</w:t>
            </w:r>
          </w:p>
        </w:tc>
        <w:tc>
          <w:tcPr>
            <w:tcW w:w="2500" w:type="dxa"/>
            <w:vAlign w:val="center"/>
          </w:tcPr>
          <w:p w14:paraId="6F7DCED3">
            <w:pPr>
              <w:widowControl/>
              <w:jc w:val="center"/>
              <w:rPr>
                <w:rFonts w:hint="eastAsia" w:ascii="宋体" w:hAnsi="宋体" w:eastAsia="宋体" w:cs="宋体"/>
                <w:szCs w:val="21"/>
              </w:rPr>
            </w:pPr>
            <w:r>
              <w:rPr>
                <w:rFonts w:hint="eastAsia" w:ascii="宋体" w:hAnsi="宋体" w:eastAsia="宋体" w:cs="宋体"/>
                <w:b/>
                <w:bCs/>
                <w:color w:val="000000"/>
                <w:kern w:val="0"/>
                <w:szCs w:val="21"/>
                <w:lang w:bidi="ar"/>
              </w:rPr>
              <w:t>专业知识</w:t>
            </w:r>
          </w:p>
        </w:tc>
        <w:tc>
          <w:tcPr>
            <w:tcW w:w="2546" w:type="dxa"/>
            <w:vAlign w:val="center"/>
          </w:tcPr>
          <w:p w14:paraId="48745DED">
            <w:pPr>
              <w:widowControl/>
              <w:jc w:val="center"/>
              <w:rPr>
                <w:rFonts w:hint="eastAsia" w:ascii="宋体" w:hAnsi="宋体" w:eastAsia="宋体" w:cs="宋体"/>
                <w:szCs w:val="21"/>
              </w:rPr>
            </w:pPr>
            <w:r>
              <w:rPr>
                <w:rFonts w:hint="eastAsia" w:ascii="宋体" w:hAnsi="宋体" w:eastAsia="宋体" w:cs="宋体"/>
                <w:b/>
                <w:bCs/>
                <w:color w:val="000000"/>
                <w:kern w:val="0"/>
                <w:szCs w:val="21"/>
                <w:lang w:bidi="ar"/>
              </w:rPr>
              <w:t>技术技能</w:t>
            </w:r>
          </w:p>
        </w:tc>
        <w:tc>
          <w:tcPr>
            <w:tcW w:w="2478" w:type="dxa"/>
            <w:vAlign w:val="center"/>
          </w:tcPr>
          <w:p w14:paraId="33442EE1">
            <w:pPr>
              <w:widowControl/>
              <w:jc w:val="center"/>
              <w:rPr>
                <w:rFonts w:hint="eastAsia" w:ascii="宋体" w:hAnsi="宋体" w:eastAsia="宋体" w:cs="宋体"/>
                <w:szCs w:val="21"/>
              </w:rPr>
            </w:pPr>
            <w:r>
              <w:rPr>
                <w:rFonts w:hint="eastAsia" w:ascii="宋体" w:hAnsi="宋体" w:eastAsia="宋体" w:cs="宋体"/>
                <w:b/>
                <w:bCs/>
                <w:color w:val="000000"/>
                <w:kern w:val="0"/>
                <w:szCs w:val="21"/>
                <w:lang w:bidi="ar"/>
              </w:rPr>
              <w:t>工作实践</w:t>
            </w:r>
          </w:p>
        </w:tc>
      </w:tr>
      <w:tr w14:paraId="7E65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242" w:type="dxa"/>
            <w:vAlign w:val="center"/>
          </w:tcPr>
          <w:p w14:paraId="4D4E27B9">
            <w:pPr>
              <w:widowControl/>
              <w:jc w:val="center"/>
              <w:rPr>
                <w:rFonts w:hint="eastAsia" w:ascii="宋体" w:hAnsi="宋体" w:eastAsia="宋体" w:cs="宋体"/>
                <w:szCs w:val="21"/>
              </w:rPr>
            </w:pPr>
            <w:r>
              <w:rPr>
                <w:rFonts w:hint="eastAsia" w:ascii="宋体" w:hAnsi="宋体" w:eastAsia="宋体" w:cs="宋体"/>
                <w:szCs w:val="21"/>
              </w:rPr>
              <w:t>说明</w:t>
            </w:r>
          </w:p>
        </w:tc>
        <w:tc>
          <w:tcPr>
            <w:tcW w:w="2500" w:type="dxa"/>
          </w:tcPr>
          <w:p w14:paraId="4A56B3C8">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从事本岗位应具备的基础知识、专业知识等的书写描述</w:t>
            </w:r>
          </w:p>
        </w:tc>
        <w:tc>
          <w:tcPr>
            <w:tcW w:w="2546" w:type="dxa"/>
          </w:tcPr>
          <w:p w14:paraId="7B3BD5BF">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从事本岗位应掌握的技术诀窍和技能工具等（设施设备的使用等）</w:t>
            </w:r>
          </w:p>
        </w:tc>
        <w:tc>
          <w:tcPr>
            <w:tcW w:w="2478" w:type="dxa"/>
          </w:tcPr>
          <w:p w14:paraId="4183F546">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从事本岗位应具备的工作实践和</w:t>
            </w:r>
            <w:r>
              <w:rPr>
                <w:rFonts w:hint="eastAsia" w:ascii="宋体" w:hAnsi="宋体" w:eastAsia="宋体" w:cs="宋体"/>
                <w:color w:val="000000"/>
                <w:kern w:val="0"/>
                <w:szCs w:val="21"/>
                <w:lang w:val="en-US" w:eastAsia="zh-CN" w:bidi="ar"/>
              </w:rPr>
              <w:t>检（化）验</w:t>
            </w:r>
            <w:r>
              <w:rPr>
                <w:rFonts w:hint="eastAsia" w:ascii="宋体" w:hAnsi="宋体" w:eastAsia="宋体" w:cs="宋体"/>
                <w:color w:val="000000"/>
                <w:kern w:val="0"/>
                <w:szCs w:val="21"/>
                <w:lang w:bidi="ar"/>
              </w:rPr>
              <w:t>能力等（完成的数据形成报告）</w:t>
            </w:r>
          </w:p>
        </w:tc>
      </w:tr>
      <w:tr w14:paraId="6200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Align w:val="center"/>
          </w:tcPr>
          <w:p w14:paraId="130908F2">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评价方法</w:t>
            </w:r>
          </w:p>
        </w:tc>
        <w:tc>
          <w:tcPr>
            <w:tcW w:w="2500" w:type="dxa"/>
            <w:vAlign w:val="center"/>
          </w:tcPr>
          <w:p w14:paraId="5CA8E814">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笔试考核</w:t>
            </w:r>
          </w:p>
        </w:tc>
        <w:tc>
          <w:tcPr>
            <w:tcW w:w="2546" w:type="dxa"/>
            <w:vAlign w:val="center"/>
          </w:tcPr>
          <w:p w14:paraId="56DC41FF">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实验考核</w:t>
            </w:r>
          </w:p>
        </w:tc>
        <w:tc>
          <w:tcPr>
            <w:tcW w:w="2478" w:type="dxa"/>
            <w:vAlign w:val="center"/>
          </w:tcPr>
          <w:p w14:paraId="5ADCC1B4">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能力证明</w:t>
            </w:r>
          </w:p>
        </w:tc>
      </w:tr>
    </w:tbl>
    <w:p w14:paraId="37758225">
      <w:pPr>
        <w:widowControl/>
        <w:jc w:val="left"/>
        <w:rPr>
          <w:rFonts w:hint="eastAsia" w:ascii="宋体" w:hAnsi="宋体" w:eastAsia="宋体" w:cs="宋体"/>
          <w:szCs w:val="21"/>
        </w:rPr>
      </w:pPr>
    </w:p>
    <w:p w14:paraId="320E85BB">
      <w:pPr>
        <w:widowControl/>
        <w:jc w:val="center"/>
        <w:rPr>
          <w:rFonts w:hint="eastAsia" w:ascii="宋体" w:hAnsi="宋体" w:eastAsia="宋体" w:cs="宋体"/>
          <w:szCs w:val="21"/>
        </w:rPr>
      </w:pPr>
      <w:r>
        <w:rPr>
          <w:rFonts w:hint="eastAsia" w:ascii="宋体" w:hAnsi="宋体" w:eastAsia="宋体" w:cs="宋体"/>
          <w:color w:val="000000"/>
          <w:kern w:val="0"/>
          <w:szCs w:val="21"/>
          <w:lang w:bidi="ar"/>
        </w:rPr>
        <w:t>能力评价计分结构</w:t>
      </w:r>
    </w:p>
    <w:tbl>
      <w:tblPr>
        <w:tblStyle w:val="25"/>
        <w:tblW w:w="8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5"/>
        <w:gridCol w:w="3652"/>
      </w:tblGrid>
      <w:tr w14:paraId="0C97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722D2AED">
            <w:pPr>
              <w:widowControl/>
              <w:jc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评价维度</w:t>
            </w:r>
          </w:p>
        </w:tc>
        <w:tc>
          <w:tcPr>
            <w:tcW w:w="1704" w:type="dxa"/>
            <w:vAlign w:val="center"/>
          </w:tcPr>
          <w:p w14:paraId="49D4B7B0">
            <w:pPr>
              <w:widowControl/>
              <w:jc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评价方法</w:t>
            </w:r>
          </w:p>
        </w:tc>
        <w:tc>
          <w:tcPr>
            <w:tcW w:w="1705" w:type="dxa"/>
            <w:vAlign w:val="center"/>
          </w:tcPr>
          <w:p w14:paraId="0097C2DE">
            <w:pPr>
              <w:widowControl/>
              <w:jc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分值结构</w:t>
            </w:r>
          </w:p>
        </w:tc>
        <w:tc>
          <w:tcPr>
            <w:tcW w:w="3652" w:type="dxa"/>
            <w:vAlign w:val="center"/>
          </w:tcPr>
          <w:p w14:paraId="591B6FA6">
            <w:pPr>
              <w:widowControl/>
              <w:jc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评分分值及核算说明</w:t>
            </w:r>
          </w:p>
        </w:tc>
      </w:tr>
      <w:tr w14:paraId="0F4F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1E6F2D13">
            <w:pPr>
              <w:pStyle w:val="2"/>
              <w:jc w:val="center"/>
              <w:rPr>
                <w:rFonts w:hint="eastAsia" w:ascii="宋体" w:hAnsi="宋体"/>
                <w:i w:val="0"/>
                <w:iCs/>
              </w:rPr>
            </w:pPr>
            <w:r>
              <w:rPr>
                <w:rFonts w:hint="eastAsia" w:ascii="宋体" w:hAnsi="宋体"/>
                <w:i w:val="0"/>
                <w:iCs/>
              </w:rPr>
              <w:t>专业知识</w:t>
            </w:r>
          </w:p>
        </w:tc>
        <w:tc>
          <w:tcPr>
            <w:tcW w:w="1704" w:type="dxa"/>
            <w:vAlign w:val="center"/>
          </w:tcPr>
          <w:p w14:paraId="2A20EBC0">
            <w:pPr>
              <w:pStyle w:val="2"/>
              <w:jc w:val="center"/>
              <w:rPr>
                <w:rFonts w:hint="eastAsia" w:ascii="宋体" w:hAnsi="宋体"/>
                <w:i w:val="0"/>
                <w:iCs/>
              </w:rPr>
            </w:pPr>
            <w:r>
              <w:rPr>
                <w:rFonts w:hint="eastAsia" w:ascii="宋体" w:hAnsi="宋体"/>
                <w:i w:val="0"/>
                <w:iCs/>
              </w:rPr>
              <w:t>笔试考核</w:t>
            </w:r>
          </w:p>
        </w:tc>
        <w:tc>
          <w:tcPr>
            <w:tcW w:w="1705" w:type="dxa"/>
            <w:vAlign w:val="center"/>
          </w:tcPr>
          <w:p w14:paraId="4C00E0EB">
            <w:pPr>
              <w:pStyle w:val="2"/>
              <w:jc w:val="center"/>
              <w:rPr>
                <w:rFonts w:hint="eastAsia" w:ascii="宋体" w:hAnsi="宋体"/>
                <w:i w:val="0"/>
                <w:iCs/>
              </w:rPr>
            </w:pPr>
            <w:r>
              <w:rPr>
                <w:rFonts w:hint="eastAsia" w:ascii="宋体" w:hAnsi="宋体"/>
                <w:i w:val="0"/>
                <w:iCs/>
              </w:rPr>
              <w:t>60%</w:t>
            </w:r>
          </w:p>
        </w:tc>
        <w:tc>
          <w:tcPr>
            <w:tcW w:w="3652" w:type="dxa"/>
            <w:vAlign w:val="center"/>
          </w:tcPr>
          <w:p w14:paraId="58C16BBD">
            <w:pPr>
              <w:pStyle w:val="2"/>
              <w:jc w:val="center"/>
              <w:rPr>
                <w:rFonts w:hint="eastAsia" w:ascii="宋体" w:hAnsi="宋体"/>
                <w:i w:val="0"/>
                <w:iCs/>
              </w:rPr>
            </w:pPr>
            <w:r>
              <w:rPr>
                <w:rFonts w:hint="eastAsia" w:ascii="宋体" w:hAnsi="宋体"/>
                <w:i w:val="0"/>
                <w:iCs/>
              </w:rPr>
              <w:t>满分60</w:t>
            </w:r>
          </w:p>
        </w:tc>
      </w:tr>
      <w:tr w14:paraId="42D62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69811C40">
            <w:pPr>
              <w:pStyle w:val="2"/>
              <w:jc w:val="center"/>
              <w:rPr>
                <w:rFonts w:hint="eastAsia" w:ascii="宋体" w:hAnsi="宋体"/>
                <w:i w:val="0"/>
                <w:iCs/>
              </w:rPr>
            </w:pPr>
            <w:r>
              <w:rPr>
                <w:rFonts w:hint="eastAsia" w:ascii="宋体" w:hAnsi="宋体"/>
                <w:i w:val="0"/>
                <w:iCs/>
              </w:rPr>
              <w:t>技术技能</w:t>
            </w:r>
          </w:p>
        </w:tc>
        <w:tc>
          <w:tcPr>
            <w:tcW w:w="1704" w:type="dxa"/>
            <w:vAlign w:val="center"/>
          </w:tcPr>
          <w:p w14:paraId="1925C2DB">
            <w:pPr>
              <w:pStyle w:val="2"/>
              <w:jc w:val="center"/>
              <w:rPr>
                <w:rFonts w:hint="eastAsia" w:ascii="宋体" w:hAnsi="宋体"/>
                <w:i w:val="0"/>
                <w:iCs/>
              </w:rPr>
            </w:pPr>
            <w:r>
              <w:rPr>
                <w:rFonts w:hint="eastAsia" w:ascii="宋体" w:hAnsi="宋体"/>
                <w:i w:val="0"/>
                <w:iCs/>
              </w:rPr>
              <w:t>实验考核</w:t>
            </w:r>
          </w:p>
        </w:tc>
        <w:tc>
          <w:tcPr>
            <w:tcW w:w="1705" w:type="dxa"/>
            <w:vAlign w:val="center"/>
          </w:tcPr>
          <w:p w14:paraId="58B10BD9">
            <w:pPr>
              <w:pStyle w:val="2"/>
              <w:jc w:val="center"/>
              <w:rPr>
                <w:rFonts w:hint="eastAsia" w:ascii="宋体" w:hAnsi="宋体"/>
                <w:i w:val="0"/>
                <w:iCs/>
              </w:rPr>
            </w:pPr>
            <w:r>
              <w:rPr>
                <w:rFonts w:hint="eastAsia" w:ascii="宋体" w:hAnsi="宋体"/>
                <w:i w:val="0"/>
                <w:iCs/>
              </w:rPr>
              <w:t>35%</w:t>
            </w:r>
          </w:p>
        </w:tc>
        <w:tc>
          <w:tcPr>
            <w:tcW w:w="3652" w:type="dxa"/>
            <w:vAlign w:val="center"/>
          </w:tcPr>
          <w:p w14:paraId="1B2057D4">
            <w:pPr>
              <w:pStyle w:val="2"/>
              <w:jc w:val="center"/>
              <w:rPr>
                <w:rFonts w:hint="default" w:ascii="宋体" w:hAnsi="宋体"/>
                <w:i w:val="0"/>
                <w:iCs/>
              </w:rPr>
            </w:pPr>
            <w:r>
              <w:rPr>
                <w:rFonts w:hint="eastAsia" w:ascii="宋体" w:hAnsi="宋体"/>
                <w:i w:val="0"/>
                <w:iCs/>
              </w:rPr>
              <w:t>满分</w:t>
            </w:r>
            <w:r>
              <w:rPr>
                <w:rFonts w:hint="eastAsia" w:ascii="宋体" w:hAnsi="宋体"/>
                <w:i w:val="0"/>
                <w:iCs/>
                <w:lang w:eastAsia="zh-CN"/>
              </w:rPr>
              <w:t>3</w:t>
            </w:r>
            <w:r>
              <w:rPr>
                <w:rFonts w:hint="eastAsia" w:ascii="宋体" w:hAnsi="宋体"/>
                <w:i w:val="0"/>
                <w:iCs/>
                <w:lang w:val="en-US" w:eastAsia="zh-CN"/>
              </w:rPr>
              <w:t>5</w:t>
            </w:r>
          </w:p>
        </w:tc>
      </w:tr>
      <w:tr w14:paraId="58216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04" w:type="dxa"/>
            <w:vAlign w:val="center"/>
          </w:tcPr>
          <w:p w14:paraId="2D45D173">
            <w:pPr>
              <w:pStyle w:val="2"/>
              <w:jc w:val="center"/>
              <w:rPr>
                <w:rFonts w:hint="eastAsia" w:ascii="宋体" w:hAnsi="宋体"/>
                <w:i w:val="0"/>
                <w:iCs/>
              </w:rPr>
            </w:pPr>
            <w:r>
              <w:rPr>
                <w:rFonts w:hint="eastAsia" w:ascii="宋体" w:hAnsi="宋体"/>
                <w:i w:val="0"/>
                <w:iCs/>
              </w:rPr>
              <w:t>工作实践</w:t>
            </w:r>
          </w:p>
        </w:tc>
        <w:tc>
          <w:tcPr>
            <w:tcW w:w="1704" w:type="dxa"/>
            <w:vAlign w:val="center"/>
          </w:tcPr>
          <w:p w14:paraId="6A810024">
            <w:pPr>
              <w:pStyle w:val="2"/>
              <w:jc w:val="center"/>
              <w:rPr>
                <w:rFonts w:hint="eastAsia" w:ascii="宋体" w:hAnsi="宋体"/>
                <w:i w:val="0"/>
                <w:iCs/>
              </w:rPr>
            </w:pPr>
            <w:r>
              <w:rPr>
                <w:rFonts w:hint="eastAsia" w:ascii="宋体" w:hAnsi="宋体"/>
                <w:i w:val="0"/>
                <w:iCs/>
              </w:rPr>
              <w:t>能力证明</w:t>
            </w:r>
          </w:p>
        </w:tc>
        <w:tc>
          <w:tcPr>
            <w:tcW w:w="1705" w:type="dxa"/>
            <w:vAlign w:val="center"/>
          </w:tcPr>
          <w:p w14:paraId="71EF5D56">
            <w:pPr>
              <w:pStyle w:val="2"/>
              <w:jc w:val="center"/>
              <w:rPr>
                <w:rFonts w:hint="eastAsia" w:ascii="宋体" w:hAnsi="宋体"/>
                <w:i w:val="0"/>
                <w:iCs/>
              </w:rPr>
            </w:pPr>
            <w:r>
              <w:rPr>
                <w:rFonts w:hint="eastAsia" w:ascii="宋体" w:hAnsi="宋体"/>
                <w:i w:val="0"/>
                <w:iCs/>
              </w:rPr>
              <w:t>5%</w:t>
            </w:r>
          </w:p>
        </w:tc>
        <w:tc>
          <w:tcPr>
            <w:tcW w:w="3652" w:type="dxa"/>
            <w:vAlign w:val="center"/>
          </w:tcPr>
          <w:p w14:paraId="06DC9A8A">
            <w:pPr>
              <w:widowControl/>
              <w:jc w:val="center"/>
              <w:rPr>
                <w:rFonts w:hint="eastAsia" w:ascii="宋体" w:hAnsi="宋体" w:eastAsia="宋体" w:cs="宋体"/>
                <w:iCs/>
                <w:color w:val="000000"/>
                <w:kern w:val="0"/>
                <w:szCs w:val="21"/>
                <w:lang w:bidi="ar"/>
              </w:rPr>
            </w:pPr>
            <w:r>
              <w:rPr>
                <w:rFonts w:hint="eastAsia" w:ascii="宋体" w:hAnsi="宋体" w:eastAsia="宋体" w:cs="宋体"/>
                <w:iCs/>
                <w:color w:val="000000"/>
                <w:kern w:val="0"/>
                <w:szCs w:val="21"/>
                <w:lang w:bidi="ar"/>
              </w:rPr>
              <w:t xml:space="preserve">对象所提供的相关能力证明为基础，满分5 </w:t>
            </w:r>
          </w:p>
        </w:tc>
      </w:tr>
    </w:tbl>
    <w:p w14:paraId="13B94084">
      <w:pPr>
        <w:pStyle w:val="2"/>
        <w:rPr>
          <w:rFonts w:hint="eastAsia"/>
        </w:rPr>
      </w:pPr>
    </w:p>
    <w:p w14:paraId="44ECC95E">
      <w:pPr>
        <w:pStyle w:val="53"/>
        <w:spacing w:before="360" w:after="360"/>
        <w:rPr>
          <w:rFonts w:hint="eastAsia" w:ascii="宋体" w:hAnsi="宋体" w:eastAsia="宋体" w:cs="宋体"/>
          <w:b/>
          <w:bCs w:val="0"/>
          <w:sz w:val="24"/>
          <w:szCs w:val="24"/>
        </w:rPr>
      </w:pPr>
      <w:bookmarkStart w:id="171" w:name="_Toc25797"/>
      <w:bookmarkStart w:id="172" w:name="_Toc4828"/>
      <w:bookmarkStart w:id="173" w:name="_Toc12622"/>
      <w:r>
        <w:rPr>
          <w:rFonts w:hint="eastAsia" w:ascii="宋体" w:hAnsi="宋体" w:eastAsia="宋体" w:cs="宋体"/>
          <w:b/>
          <w:bCs w:val="0"/>
          <w:sz w:val="24"/>
          <w:szCs w:val="24"/>
        </w:rPr>
        <w:t xml:space="preserve">附录B </w:t>
      </w:r>
      <w:r>
        <w:rPr>
          <w:rFonts w:hint="eastAsia" w:ascii="宋体" w:hAnsi="宋体" w:eastAsia="宋体" w:cs="宋体"/>
          <w:b/>
          <w:bCs w:val="0"/>
          <w:sz w:val="24"/>
          <w:szCs w:val="24"/>
          <w:lang w:val="en-US" w:eastAsia="zh-CN"/>
        </w:rPr>
        <w:t>工作</w:t>
      </w:r>
      <w:r>
        <w:rPr>
          <w:rFonts w:hint="eastAsia" w:ascii="宋体" w:hAnsi="宋体" w:eastAsia="宋体" w:cs="宋体"/>
          <w:b/>
          <w:bCs w:val="0"/>
          <w:sz w:val="24"/>
          <w:szCs w:val="24"/>
        </w:rPr>
        <w:t>实践能力证明要求及说明</w:t>
      </w:r>
      <w:bookmarkEnd w:id="171"/>
      <w:bookmarkEnd w:id="172"/>
      <w:bookmarkEnd w:id="173"/>
    </w:p>
    <w:p w14:paraId="4AF5E494">
      <w:pPr>
        <w:widowControl/>
        <w:ind w:firstLine="420" w:firstLineChars="200"/>
        <w:jc w:val="left"/>
        <w:rPr>
          <w:rFonts w:hint="eastAsia" w:ascii="宋体" w:hAnsi="宋体" w:eastAsia="宋体" w:cs="宋体"/>
          <w:szCs w:val="21"/>
        </w:rPr>
      </w:pPr>
      <w:r>
        <w:rPr>
          <w:rFonts w:hint="eastAsia" w:ascii="宋体" w:hAnsi="宋体" w:eastAsia="宋体" w:cs="宋体"/>
          <w:color w:val="000000"/>
          <w:kern w:val="0"/>
          <w:szCs w:val="21"/>
          <w:lang w:bidi="ar"/>
        </w:rPr>
        <w:t xml:space="preserve">本附录用于工程实践能力评价中有关能力证明材料的说明。 </w:t>
      </w:r>
    </w:p>
    <w:p w14:paraId="564EDBE7">
      <w:pPr>
        <w:widowControl/>
        <w:jc w:val="left"/>
        <w:rPr>
          <w:rFonts w:hint="eastAsia" w:ascii="宋体" w:hAnsi="宋体" w:eastAsia="宋体" w:cs="宋体"/>
          <w:szCs w:val="21"/>
        </w:rPr>
      </w:pPr>
      <w:r>
        <w:rPr>
          <w:rFonts w:hint="eastAsia" w:ascii="宋体" w:hAnsi="宋体" w:eastAsia="宋体" w:cs="宋体"/>
          <w:color w:val="000000"/>
          <w:kern w:val="0"/>
          <w:szCs w:val="21"/>
          <w:lang w:bidi="ar"/>
        </w:rPr>
        <w:t xml:space="preserve">1.工程实践能力证明材料 </w:t>
      </w:r>
    </w:p>
    <w:p w14:paraId="2A571A77">
      <w:pPr>
        <w:widowControl/>
        <w:ind w:firstLine="420" w:firstLineChars="200"/>
        <w:jc w:val="left"/>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根据国家标准GB/T22900-2009《科学技术研究项目评价通则》制定的技术类模板进行分类，将工程实践能力证明材料分为主交完成检验结果的交付物（检验报告）。</w:t>
      </w:r>
    </w:p>
    <w:p w14:paraId="6A9F1022">
      <w:pPr>
        <w:widowControl/>
        <w:ind w:firstLine="420" w:firstLineChars="200"/>
        <w:jc w:val="left"/>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且交付物包含操作试验记录、专利与论著。论著可分为论文、教材、实验、报告等。</w:t>
      </w:r>
    </w:p>
    <w:p w14:paraId="733ADE70">
      <w:pPr>
        <w:widowControl/>
        <w:jc w:val="left"/>
        <w:rPr>
          <w:rFonts w:hint="eastAsia" w:ascii="宋体" w:hAnsi="宋体" w:eastAsia="宋体" w:cs="宋体"/>
          <w:b/>
          <w:bCs/>
          <w:color w:val="000000"/>
          <w:kern w:val="0"/>
          <w:szCs w:val="21"/>
          <w:lang w:bidi="ar"/>
        </w:rPr>
      </w:pPr>
      <w:r>
        <w:rPr>
          <w:rFonts w:hint="eastAsia" w:ascii="宋体" w:hAnsi="宋体" w:eastAsia="宋体" w:cs="宋体"/>
          <w:color w:val="000000"/>
          <w:kern w:val="0"/>
          <w:szCs w:val="21"/>
          <w:lang w:bidi="ar"/>
        </w:rPr>
        <w:t>2.</w:t>
      </w:r>
      <w:r>
        <w:rPr>
          <w:rFonts w:hint="eastAsia" w:ascii="宋体" w:hAnsi="宋体" w:eastAsia="宋体" w:cs="宋体"/>
          <w:color w:val="000000"/>
          <w:kern w:val="0"/>
          <w:szCs w:val="21"/>
          <w:lang w:val="en-US" w:eastAsia="zh-CN" w:bidi="ar"/>
        </w:rPr>
        <w:t>工作</w:t>
      </w:r>
      <w:r>
        <w:rPr>
          <w:rFonts w:hint="eastAsia" w:ascii="宋体" w:hAnsi="宋体" w:eastAsia="宋体" w:cs="宋体"/>
          <w:color w:val="000000"/>
          <w:kern w:val="0"/>
          <w:szCs w:val="21"/>
          <w:lang w:bidi="ar"/>
        </w:rPr>
        <w:t>实践的真实性</w:t>
      </w:r>
    </w:p>
    <w:p w14:paraId="0FA72DE3">
      <w:pPr>
        <w:pStyle w:val="2"/>
        <w:ind w:firstLine="420" w:firstLineChars="200"/>
        <w:rPr>
          <w:rFonts w:hint="eastAsia" w:ascii="宋体" w:hAnsi="宋体"/>
          <w:b/>
          <w:bCs w:val="0"/>
          <w:sz w:val="24"/>
          <w:szCs w:val="24"/>
        </w:rPr>
      </w:pPr>
      <w:r>
        <w:rPr>
          <w:rFonts w:ascii="宋体" w:hAnsi="宋体"/>
          <w:i w:val="0"/>
          <w:color w:val="000000"/>
          <w:kern w:val="0"/>
          <w:szCs w:val="21"/>
          <w:lang w:bidi="ar"/>
        </w:rPr>
        <w:t>该内容被公司纳入质量体系记录，且有相关受控及公司签章。</w:t>
      </w:r>
    </w:p>
    <w:p w14:paraId="33D14ADF">
      <w:pPr>
        <w:pStyle w:val="53"/>
        <w:spacing w:before="360" w:after="360"/>
        <w:ind w:firstLineChars="0"/>
        <w:jc w:val="center"/>
        <w:rPr>
          <w:rFonts w:hint="eastAsia" w:ascii="宋体" w:hAnsi="宋体" w:eastAsia="宋体" w:cs="宋体"/>
          <w:b/>
          <w:bCs w:val="0"/>
          <w:sz w:val="24"/>
          <w:szCs w:val="24"/>
          <w:lang w:val="en-US" w:eastAsia="zh-CN"/>
        </w:rPr>
      </w:pPr>
      <w:bookmarkStart w:id="174" w:name="_Toc26893"/>
      <w:bookmarkStart w:id="175" w:name="_Toc16451"/>
      <w:r>
        <w:rPr>
          <w:rFonts w:hint="eastAsia" w:ascii="宋体" w:hAnsi="宋体" w:eastAsia="宋体" w:cs="宋体"/>
          <w:b/>
          <w:bCs w:val="0"/>
          <w:sz w:val="24"/>
          <w:szCs w:val="24"/>
        </w:rPr>
        <w:t>附录</w:t>
      </w:r>
      <w:r>
        <w:rPr>
          <w:rFonts w:hint="eastAsia" w:ascii="宋体" w:hAnsi="宋体" w:eastAsia="宋体" w:cs="宋体"/>
          <w:b/>
          <w:bCs w:val="0"/>
          <w:sz w:val="24"/>
          <w:szCs w:val="24"/>
          <w:lang w:val="en-US" w:eastAsia="zh-CN"/>
        </w:rPr>
        <w:t>C</w:t>
      </w:r>
      <w:r>
        <w:rPr>
          <w:rFonts w:hint="eastAsia" w:ascii="宋体" w:hAnsi="宋体" w:eastAsia="宋体" w:cs="宋体"/>
          <w:b/>
          <w:bCs w:val="0"/>
          <w:sz w:val="24"/>
          <w:szCs w:val="24"/>
        </w:rPr>
        <w:t xml:space="preserve"> </w:t>
      </w:r>
      <w:r>
        <w:rPr>
          <w:rFonts w:hint="eastAsia" w:ascii="宋体" w:hAnsi="宋体" w:eastAsia="宋体" w:cs="宋体"/>
          <w:b/>
          <w:bCs w:val="0"/>
          <w:sz w:val="24"/>
          <w:szCs w:val="24"/>
          <w:lang w:val="en-US" w:eastAsia="zh-CN"/>
        </w:rPr>
        <w:t>术语说明</w:t>
      </w:r>
      <w:bookmarkEnd w:id="174"/>
      <w:bookmarkEnd w:id="175"/>
    </w:p>
    <w:p w14:paraId="702A67A6">
      <w:pPr>
        <w:pStyle w:val="51"/>
        <w:ind w:firstLine="420" w:firstLineChars="200"/>
        <w:rPr>
          <w:rFonts w:hint="default" w:ascii="宋体" w:hAnsi="宋体" w:cs="宋体"/>
          <w:b/>
          <w:bCs w:val="0"/>
          <w:sz w:val="24"/>
          <w:szCs w:val="24"/>
          <w:lang w:val="en-US" w:eastAsia="zh-CN"/>
        </w:rPr>
      </w:pPr>
      <w:r>
        <w:rPr>
          <w:rFonts w:hint="eastAsia" w:ascii="宋体" w:hAnsi="宋体" w:cs="宋体"/>
          <w:b w:val="0"/>
          <w:bCs w:val="0"/>
          <w:color w:val="000000"/>
          <w:kern w:val="0"/>
          <w:sz w:val="21"/>
          <w:szCs w:val="21"/>
          <w:lang w:val="en-US" w:eastAsia="zh-CN" w:bidi="ar"/>
        </w:rPr>
        <w:t>本标准中对检验过程中使用到的培养基或生物指示剂的产品标号或名称只是品名举例，不作为定性使用的唯一依据。</w:t>
      </w:r>
    </w:p>
    <w:p w14:paraId="7F3223DA">
      <w:pPr>
        <w:pStyle w:val="51"/>
        <w:pageBreakBefore/>
        <w:ind w:firstLine="0" w:firstLineChars="0"/>
        <w:jc w:val="center"/>
        <w:outlineLvl w:val="0"/>
        <w:rPr>
          <w:rFonts w:hint="eastAsia" w:ascii="宋体" w:hAnsi="宋体" w:cs="宋体"/>
          <w:b/>
          <w:bCs/>
          <w:color w:val="000000"/>
          <w:kern w:val="0"/>
          <w:lang w:bidi="ar"/>
        </w:rPr>
      </w:pPr>
      <w:bookmarkStart w:id="176" w:name="_Toc14723"/>
      <w:bookmarkStart w:id="177" w:name="_Toc20636"/>
      <w:bookmarkStart w:id="178" w:name="_Toc6136"/>
      <w:r>
        <w:rPr>
          <w:rFonts w:hint="eastAsia" w:ascii="宋体" w:hAnsi="宋体" w:cs="宋体"/>
          <w:b/>
          <w:bCs/>
          <w:color w:val="000000"/>
          <w:kern w:val="0"/>
          <w:lang w:bidi="ar"/>
        </w:rPr>
        <w:t>参 考 文 献</w:t>
      </w:r>
      <w:bookmarkEnd w:id="176"/>
      <w:bookmarkEnd w:id="177"/>
      <w:bookmarkEnd w:id="178"/>
    </w:p>
    <w:p w14:paraId="4196500A">
      <w:pPr>
        <w:pStyle w:val="51"/>
        <w:ind w:firstLine="0" w:firstLineChars="0"/>
        <w:jc w:val="center"/>
        <w:rPr>
          <w:rFonts w:hint="eastAsia" w:ascii="宋体" w:hAnsi="宋体" w:cs="宋体"/>
          <w:color w:val="000000"/>
          <w:kern w:val="0"/>
          <w:lang w:bidi="ar"/>
        </w:rPr>
      </w:pPr>
    </w:p>
    <w:p w14:paraId="3E897490">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《医疗器械监督管理条例》</w:t>
      </w:r>
    </w:p>
    <w:p w14:paraId="3A49857D">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《医疗器械生产质量管理规范》</w:t>
      </w:r>
    </w:p>
    <w:p w14:paraId="3192E9B2">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《医疗器械生产质量管理规范》《附录无菌医疗器械》、《附录植入性医疗器械》</w:t>
      </w:r>
    </w:p>
    <w:p w14:paraId="6C1C30F8">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《2025年版中国药典》</w:t>
      </w:r>
    </w:p>
    <w:p w14:paraId="108F9C19">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YY/T 0033《无菌医疗器具生产管理规范》</w:t>
      </w:r>
    </w:p>
    <w:p w14:paraId="70642440">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GB/T 16292“医药工业洁净室（区）悬浮粒子的测试方法”</w:t>
      </w:r>
    </w:p>
    <w:p w14:paraId="4CCF9BCB">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GB/T 16293“医药工业洁净室（区）浮游菌的测试方法”</w:t>
      </w:r>
    </w:p>
    <w:p w14:paraId="53988DFE">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GB/T 16294“医药工业洁净室（区）沉降菌的测试方法”</w:t>
      </w:r>
    </w:p>
    <w:p w14:paraId="1E8C1B8C">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 50591《洁净室施工及验收规范》</w:t>
      </w:r>
    </w:p>
    <w:p w14:paraId="00098E46">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GB/T 27405“实验室质量控制规范食品微生物检测”</w:t>
      </w:r>
    </w:p>
    <w:p w14:paraId="09A3C0B1">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ISO11607-1“材料、消毒阻挡系统和包装系统的要求”</w:t>
      </w:r>
    </w:p>
    <w:p w14:paraId="6A23EEB0">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ASTM D3078“使用气泡发射测定软包装泄露的实验方法”</w:t>
      </w:r>
    </w:p>
    <w:p w14:paraId="7F88B9C2">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ASTM F2096“内压法检测粗大泄露”(气泡法)</w:t>
      </w:r>
    </w:p>
    <w:p w14:paraId="3B4B3DB7">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ASTM F1886“目力检测医用包装密封完整性”</w:t>
      </w:r>
    </w:p>
    <w:p w14:paraId="508B613B">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ASTM F1929“染色渗透液检测多孔医疗器械密封泄露的标准方法”</w:t>
      </w:r>
    </w:p>
    <w:p w14:paraId="0E1E06C7">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ISO 11737-1“医疗器械灭菌 微生物学方法 第1部分 产品上微生物群落的测定”</w:t>
      </w:r>
    </w:p>
    <w:p w14:paraId="30F6BAD0">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GB/T 6682“分析实验室用水规格和试验方法”</w:t>
      </w:r>
    </w:p>
    <w:p w14:paraId="04699216">
      <w:pPr>
        <w:pStyle w:val="51"/>
        <w:numPr>
          <w:ilvl w:val="0"/>
          <w:numId w:val="8"/>
        </w:numPr>
        <w:ind w:firstLine="0" w:firstLineChars="0"/>
        <w:jc w:val="left"/>
        <w:rPr>
          <w:rFonts w:hint="eastAsia" w:ascii="宋体" w:hAnsi="宋体" w:cs="宋体"/>
          <w:color w:val="000000"/>
          <w:kern w:val="0"/>
          <w:lang w:bidi="ar"/>
        </w:rPr>
      </w:pPr>
      <w:r>
        <w:rPr>
          <w:rFonts w:hint="eastAsia" w:ascii="宋体" w:hAnsi="宋体" w:cs="宋体"/>
          <w:color w:val="000000"/>
          <w:kern w:val="0"/>
          <w:lang w:bidi="ar"/>
        </w:rPr>
        <w:t>GB/T 16886.7“医疗器械生物学评价第7部分环氧乙烷灭菌残留量”</w:t>
      </w:r>
    </w:p>
    <w:p w14:paraId="61160545">
      <w:pPr>
        <w:pStyle w:val="51"/>
        <w:ind w:firstLine="0" w:firstLineChars="0"/>
        <w:jc w:val="center"/>
        <w:rPr>
          <w:rFonts w:hint="eastAsia" w:ascii="宋体" w:hAnsi="宋体" w:cs="宋体"/>
          <w:color w:val="000000"/>
          <w:kern w:val="0"/>
          <w:lang w:bidi="ar"/>
        </w:rPr>
      </w:pPr>
    </w:p>
    <w:sectPr>
      <w:headerReference r:id="rId14" w:type="default"/>
      <w:footerReference r:id="rId16" w:type="default"/>
      <w:headerReference r:id="rId15" w:type="even"/>
      <w:footerReference r:id="rId1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62888">
    <w:pPr>
      <w:pStyle w:val="119"/>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1B7709">
                          <w:pPr>
                            <w:pStyle w:val="119"/>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B1B7709">
                    <w:pPr>
                      <w:pStyle w:val="119"/>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277C">
    <w:pPr>
      <w:pStyle w:val="15"/>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A1298D">
                          <w:pPr>
                            <w:pStyle w:val="1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4A1298D">
                    <w:pPr>
                      <w:pStyle w:val="1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558F7">
    <w:pPr>
      <w:pStyle w:val="15"/>
      <w:spacing w:line="240" w:lineRule="auto"/>
      <w:rPr>
        <w:rFonts w:ascii="Times New Roman" w:hAnsi="Times New Roman"/>
        <w:caps/>
        <w:color w:val="5B9BD5" w:themeColor="accent1"/>
        <w14:textFill>
          <w14:solidFill>
            <w14:schemeClr w14:val="accent1"/>
          </w14:solidFill>
        </w14:textFill>
      </w:rPr>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52BBB2">
                          <w:pPr>
                            <w:pStyle w:val="15"/>
                            <w:spacing w:line="240" w:lineRule="auto"/>
                            <w:jc w:val="right"/>
                          </w:pPr>
                          <w:r>
                            <w:rPr>
                              <w:rFonts w:ascii="Times New Roman" w:hAnsi="Times New Roman"/>
                              <w:caps/>
                            </w:rPr>
                            <w:fldChar w:fldCharType="begin"/>
                          </w:r>
                          <w:r>
                            <w:rPr>
                              <w:rFonts w:ascii="Times New Roman" w:hAnsi="Times New Roman"/>
                              <w:caps/>
                            </w:rPr>
                            <w:instrText xml:space="preserve">PAGE   \* MERGEFORMAT</w:instrText>
                          </w:r>
                          <w:r>
                            <w:rPr>
                              <w:rFonts w:ascii="Times New Roman" w:hAnsi="Times New Roman"/>
                              <w:caps/>
                            </w:rPr>
                            <w:fldChar w:fldCharType="separate"/>
                          </w:r>
                          <w:r>
                            <w:rPr>
                              <w:rFonts w:ascii="Times New Roman" w:hAnsi="Times New Roman"/>
                              <w:caps/>
                              <w:lang w:val="zh-CN"/>
                            </w:rPr>
                            <w:t>II</w:t>
                          </w:r>
                          <w:r>
                            <w:rPr>
                              <w:rFonts w:ascii="Times New Roman" w:hAnsi="Times New Roman"/>
                              <w:cap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352BBB2">
                    <w:pPr>
                      <w:pStyle w:val="15"/>
                      <w:spacing w:line="240" w:lineRule="auto"/>
                      <w:jc w:val="right"/>
                    </w:pPr>
                    <w:r>
                      <w:rPr>
                        <w:rFonts w:ascii="Times New Roman" w:hAnsi="Times New Roman"/>
                        <w:caps/>
                      </w:rPr>
                      <w:fldChar w:fldCharType="begin"/>
                    </w:r>
                    <w:r>
                      <w:rPr>
                        <w:rFonts w:ascii="Times New Roman" w:hAnsi="Times New Roman"/>
                        <w:caps/>
                      </w:rPr>
                      <w:instrText xml:space="preserve">PAGE   \* MERGEFORMAT</w:instrText>
                    </w:r>
                    <w:r>
                      <w:rPr>
                        <w:rFonts w:ascii="Times New Roman" w:hAnsi="Times New Roman"/>
                        <w:caps/>
                      </w:rPr>
                      <w:fldChar w:fldCharType="separate"/>
                    </w:r>
                    <w:r>
                      <w:rPr>
                        <w:rFonts w:ascii="Times New Roman" w:hAnsi="Times New Roman"/>
                        <w:caps/>
                        <w:lang w:val="zh-CN"/>
                      </w:rPr>
                      <w:t>II</w:t>
                    </w:r>
                    <w:r>
                      <w:rPr>
                        <w:rFonts w:ascii="Times New Roman" w:hAnsi="Times New Roman"/>
                        <w:caps/>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C472C">
    <w:pPr>
      <w:pStyle w:val="1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44F60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3744F60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E9CCC">
    <w:pPr>
      <w:pStyle w:val="15"/>
      <w:spacing w:line="240" w:lineRule="auto"/>
      <w:jc w:val="right"/>
      <w:rPr>
        <w:rFonts w:ascii="Times New Roman" w:hAnsi="Times New Roman"/>
        <w:caps/>
        <w:color w:val="5B9BD5" w:themeColor="accent1"/>
        <w14:textFill>
          <w14:solidFill>
            <w14:schemeClr w14:val="accent1"/>
          </w14:solidFill>
        </w14:textFill>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71BFE">
                          <w:pPr>
                            <w:pStyle w:val="15"/>
                            <w:spacing w:line="240" w:lineRule="auto"/>
                            <w:jc w:val="right"/>
                          </w:pPr>
                          <w:r>
                            <w:rPr>
                              <w:rFonts w:ascii="Times New Roman" w:hAnsi="Times New Roman"/>
                              <w:caps/>
                            </w:rPr>
                            <w:fldChar w:fldCharType="begin"/>
                          </w:r>
                          <w:r>
                            <w:rPr>
                              <w:rFonts w:ascii="Times New Roman" w:hAnsi="Times New Roman"/>
                              <w:caps/>
                            </w:rPr>
                            <w:instrText xml:space="preserve">PAGE   \* MERGEFORMAT</w:instrText>
                          </w:r>
                          <w:r>
                            <w:rPr>
                              <w:rFonts w:ascii="Times New Roman" w:hAnsi="Times New Roman"/>
                              <w:caps/>
                            </w:rPr>
                            <w:fldChar w:fldCharType="separate"/>
                          </w:r>
                          <w:r>
                            <w:rPr>
                              <w:rFonts w:ascii="Times New Roman" w:hAnsi="Times New Roman"/>
                              <w:caps/>
                              <w:lang w:val="zh-CN"/>
                            </w:rPr>
                            <w:t>IV</w:t>
                          </w:r>
                          <w:r>
                            <w:rPr>
                              <w:rFonts w:ascii="Times New Roman" w:hAnsi="Times New Roman"/>
                              <w:cap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44071BFE">
                    <w:pPr>
                      <w:pStyle w:val="15"/>
                      <w:spacing w:line="240" w:lineRule="auto"/>
                      <w:jc w:val="right"/>
                    </w:pPr>
                    <w:r>
                      <w:rPr>
                        <w:rFonts w:ascii="Times New Roman" w:hAnsi="Times New Roman"/>
                        <w:caps/>
                      </w:rPr>
                      <w:fldChar w:fldCharType="begin"/>
                    </w:r>
                    <w:r>
                      <w:rPr>
                        <w:rFonts w:ascii="Times New Roman" w:hAnsi="Times New Roman"/>
                        <w:caps/>
                      </w:rPr>
                      <w:instrText xml:space="preserve">PAGE   \* MERGEFORMAT</w:instrText>
                    </w:r>
                    <w:r>
                      <w:rPr>
                        <w:rFonts w:ascii="Times New Roman" w:hAnsi="Times New Roman"/>
                        <w:caps/>
                      </w:rPr>
                      <w:fldChar w:fldCharType="separate"/>
                    </w:r>
                    <w:r>
                      <w:rPr>
                        <w:rFonts w:ascii="Times New Roman" w:hAnsi="Times New Roman"/>
                        <w:caps/>
                        <w:lang w:val="zh-CN"/>
                      </w:rPr>
                      <w:t>IV</w:t>
                    </w:r>
                    <w:r>
                      <w:rPr>
                        <w:rFonts w:ascii="Times New Roman" w:hAnsi="Times New Roman"/>
                        <w:caps/>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E374D">
    <w:pPr>
      <w:pStyle w:val="15"/>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56323">
                          <w:pPr>
                            <w:pStyle w:val="1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4BC56323">
                    <w:pPr>
                      <w:pStyle w:val="1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8A0C2">
    <w:pPr>
      <w:pStyle w:val="15"/>
      <w:spacing w:line="240" w:lineRule="auto"/>
      <w:jc w:val="right"/>
      <w:rPr>
        <w:rFonts w:ascii="Times New Roman" w:hAnsi="Times New Roman"/>
        <w:caps/>
        <w:color w:val="000000" w:themeColor="text1"/>
        <w14:textFill>
          <w14:solidFill>
            <w14:schemeClr w14:val="tx1"/>
          </w14:solidFill>
        </w14:textFill>
      </w:rPr>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B2F785">
                          <w:pPr>
                            <w:pStyle w:val="15"/>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6B2F785">
                    <w:pPr>
                      <w:pStyle w:val="15"/>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CBD06">
    <w:pPr>
      <w:pStyle w:val="15"/>
      <w:spacing w:line="240" w:lineRule="auto"/>
      <w:rPr>
        <w:rFonts w:hint="eastAsia" w:ascii="宋体" w:hAnsi="宋体" w:cs="宋体"/>
        <w:caps/>
        <w:color w:val="5B9BD5" w:themeColor="accent1"/>
        <w14:textFill>
          <w14:solidFill>
            <w14:schemeClr w14:val="accent1"/>
          </w14:solidFill>
        </w14:textFill>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989B0C">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0989B0C">
                    <w:pPr>
                      <w:pStyle w:val="1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A7E71">
                          <w:pPr>
                            <w:pStyle w:val="15"/>
                            <w:spacing w:line="240" w:lineRule="auto"/>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2AA7E71">
                    <w:pPr>
                      <w:pStyle w:val="15"/>
                      <w:spacing w:line="240" w:lineRule="auto"/>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D6345">
    <w:pPr>
      <w:pStyle w:val="16"/>
      <w:pBdr>
        <w:top w:val="none" w:color="auto" w:sz="0" w:space="1"/>
        <w:left w:val="none" w:color="auto" w:sz="0" w:space="4"/>
        <w:bottom w:val="none" w:color="auto" w:sz="0" w:space="1"/>
        <w:right w:val="none" w:color="auto" w:sz="0" w:space="4"/>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0F976">
    <w:pPr>
      <w:pStyle w:val="118"/>
    </w:pPr>
    <w:r>
      <w:t>GB/T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14D6B">
    <w:pPr>
      <w:pStyle w:val="16"/>
      <w:pBdr>
        <w:top w:val="none" w:color="auto" w:sz="0" w:space="1"/>
        <w:left w:val="none" w:color="auto" w:sz="0" w:space="4"/>
        <w:bottom w:val="none" w:color="auto" w:sz="0" w:space="1"/>
        <w:right w:val="none" w:color="auto" w:sz="0" w:space="4"/>
      </w:pBdr>
      <w:jc w:val="right"/>
    </w:pPr>
    <w:r>
      <w:rPr>
        <w:rFonts w:ascii="Times New Roman" w:hAnsi="Times New Roman" w:eastAsia="黑体"/>
        <w:b/>
      </w:rPr>
      <w:t>T/</w:t>
    </w:r>
    <w:r>
      <w:rPr>
        <w:rFonts w:hint="eastAsia" w:ascii="Times New Roman" w:hAnsi="Times New Roman" w:eastAsia="黑体"/>
        <w:b/>
      </w:rPr>
      <w:t>FDSA X</w:t>
    </w:r>
    <w:r>
      <w:rPr>
        <w:rFonts w:ascii="Times New Roman" w:hAnsi="Times New Roman" w:eastAsia="黑体"/>
        <w:b/>
      </w:rPr>
      <w:t>XXX</w:t>
    </w:r>
    <w:r>
      <w:rPr>
        <w:rFonts w:hint="eastAsia" w:ascii="Times New Roman" w:hAnsi="Times New Roman" w:eastAsia="黑体"/>
        <w:b/>
      </w:rPr>
      <w:t>—2</w:t>
    </w:r>
    <w:r>
      <w:rPr>
        <w:rFonts w:ascii="Times New Roman" w:hAnsi="Times New Roman" w:eastAsia="黑体"/>
        <w:b/>
      </w:rPr>
      <w:t>0</w:t>
    </w:r>
    <w:r>
      <w:rPr>
        <w:rFonts w:hint="eastAsia" w:ascii="Times New Roman" w:hAnsi="Times New Roman" w:eastAsia="黑体"/>
        <w:b/>
      </w:rPr>
      <w:t>2</w:t>
    </w:r>
    <w:r>
      <w:rPr>
        <w:rFonts w:ascii="Times New Roman" w:hAnsi="Times New Roman" w:eastAsia="黑体"/>
        <w:b/>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96515">
    <w:pPr>
      <w:spacing w:after="284"/>
      <w:jc w:val="left"/>
      <w:rPr>
        <w:rFonts w:ascii="Times New Roman" w:hAnsi="Times New Roman" w:eastAsia="黑体"/>
        <w:b/>
      </w:rPr>
    </w:pPr>
    <w:r>
      <w:rPr>
        <w:rFonts w:ascii="Times New Roman" w:hAnsi="Times New Roman" w:eastAsia="黑体"/>
        <w:b/>
      </w:rPr>
      <w:t>T/</w:t>
    </w:r>
    <w:r>
      <w:rPr>
        <w:rFonts w:hint="eastAsia" w:ascii="Times New Roman" w:hAnsi="Times New Roman" w:eastAsia="黑体"/>
        <w:b/>
      </w:rPr>
      <w:t>FDSA X</w:t>
    </w:r>
    <w:r>
      <w:rPr>
        <w:rFonts w:ascii="Times New Roman" w:hAnsi="Times New Roman" w:eastAsia="黑体"/>
        <w:b/>
      </w:rPr>
      <w:t>XXX</w:t>
    </w:r>
    <w:r>
      <w:rPr>
        <w:rFonts w:hint="eastAsia" w:ascii="Times New Roman" w:hAnsi="Times New Roman" w:eastAsia="黑体"/>
        <w:b/>
      </w:rPr>
      <w:t>—2</w:t>
    </w:r>
    <w:r>
      <w:rPr>
        <w:rFonts w:ascii="Times New Roman" w:hAnsi="Times New Roman" w:eastAsia="黑体"/>
        <w:b/>
      </w:rPr>
      <w:t>0</w:t>
    </w:r>
    <w:r>
      <w:rPr>
        <w:rFonts w:hint="eastAsia" w:ascii="Times New Roman" w:hAnsi="Times New Roman" w:eastAsia="黑体"/>
        <w:b/>
      </w:rPr>
      <w:t>2</w:t>
    </w:r>
    <w:r>
      <w:rPr>
        <w:rFonts w:ascii="Times New Roman" w:hAnsi="Times New Roman" w:eastAsia="黑体"/>
        <w:b/>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4C416">
    <w:pPr>
      <w:pStyle w:val="16"/>
      <w:pBdr>
        <w:top w:val="none" w:color="auto" w:sz="0" w:space="1"/>
        <w:left w:val="none" w:color="auto" w:sz="0" w:space="4"/>
        <w:bottom w:val="none" w:color="auto" w:sz="0" w:space="1"/>
        <w:right w:val="none" w:color="auto" w:sz="0" w:space="4"/>
      </w:pBdr>
      <w:jc w:val="right"/>
    </w:pPr>
    <w:r>
      <w:rPr>
        <w:rFonts w:ascii="Times New Roman" w:hAnsi="Times New Roman" w:eastAsia="黑体"/>
        <w:b/>
      </w:rPr>
      <w:t>T/</w:t>
    </w:r>
    <w:r>
      <w:rPr>
        <w:rFonts w:hint="eastAsia" w:ascii="Times New Roman" w:hAnsi="Times New Roman" w:eastAsia="黑体"/>
        <w:b/>
      </w:rPr>
      <w:t>FDSA X</w:t>
    </w:r>
    <w:r>
      <w:rPr>
        <w:rFonts w:ascii="Times New Roman" w:hAnsi="Times New Roman" w:eastAsia="黑体"/>
        <w:b/>
      </w:rPr>
      <w:t>XXX</w:t>
    </w:r>
    <w:r>
      <w:rPr>
        <w:rFonts w:hint="eastAsia" w:ascii="Times New Roman" w:hAnsi="Times New Roman" w:eastAsia="黑体"/>
        <w:b/>
      </w:rPr>
      <w:t>—2</w:t>
    </w:r>
    <w:r>
      <w:rPr>
        <w:rFonts w:ascii="Times New Roman" w:hAnsi="Times New Roman" w:eastAsia="黑体"/>
        <w:b/>
      </w:rPr>
      <w:t>0</w:t>
    </w:r>
    <w:r>
      <w:rPr>
        <w:rFonts w:hint="eastAsia" w:ascii="Times New Roman" w:hAnsi="Times New Roman" w:eastAsia="黑体"/>
        <w:b/>
      </w:rPr>
      <w:t>2</w:t>
    </w:r>
    <w:r>
      <w:rPr>
        <w:rFonts w:ascii="Times New Roman" w:hAnsi="Times New Roman" w:eastAsia="黑体"/>
        <w:b/>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94624">
    <w:pPr>
      <w:spacing w:after="284"/>
      <w:jc w:val="right"/>
      <w:rPr>
        <w:rFonts w:ascii="Times New Roman" w:hAnsi="Times New Roman" w:eastAsia="黑体"/>
        <w:b/>
      </w:rPr>
    </w:pPr>
    <w:r>
      <w:rPr>
        <w:rFonts w:ascii="Times New Roman" w:hAnsi="Times New Roman" w:eastAsia="黑体"/>
        <w:b/>
      </w:rPr>
      <w:t>T</w:t>
    </w:r>
    <w:r>
      <w:rPr>
        <w:rFonts w:hint="eastAsia" w:ascii="Times New Roman" w:hAnsi="Times New Roman" w:eastAsia="黑体"/>
        <w:b/>
      </w:rPr>
      <w:t>/FDSA X</w:t>
    </w:r>
    <w:r>
      <w:rPr>
        <w:rFonts w:ascii="Times New Roman" w:hAnsi="Times New Roman" w:eastAsia="黑体"/>
        <w:b/>
      </w:rPr>
      <w:t>XXX</w:t>
    </w:r>
    <w:r>
      <w:rPr>
        <w:rFonts w:hint="eastAsia" w:ascii="Times New Roman" w:hAnsi="Times New Roman" w:eastAsia="黑体"/>
        <w:b/>
      </w:rPr>
      <w:t>—2</w:t>
    </w:r>
    <w:r>
      <w:rPr>
        <w:rFonts w:ascii="Times New Roman" w:hAnsi="Times New Roman" w:eastAsia="黑体"/>
        <w:b/>
      </w:rPr>
      <w:t>0</w:t>
    </w:r>
    <w:r>
      <w:rPr>
        <w:rFonts w:hint="eastAsia" w:ascii="Times New Roman" w:hAnsi="Times New Roman" w:eastAsia="黑体"/>
        <w:b/>
      </w:rPr>
      <w:t>2</w:t>
    </w:r>
    <w:r>
      <w:rPr>
        <w:rFonts w:ascii="Times New Roman" w:hAnsi="Times New Roman" w:eastAsia="黑体"/>
        <w:b/>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12A5D">
    <w:pPr>
      <w:spacing w:after="284"/>
      <w:jc w:val="left"/>
      <w:rPr>
        <w:rFonts w:ascii="Times New Roman" w:hAnsi="Times New Roman" w:eastAsia="黑体"/>
        <w:b/>
      </w:rPr>
    </w:pPr>
    <w:r>
      <w:rPr>
        <w:rFonts w:ascii="Times New Roman" w:hAnsi="Times New Roman" w:eastAsia="黑体"/>
        <w:b/>
      </w:rPr>
      <w:t>T/</w:t>
    </w:r>
    <w:r>
      <w:rPr>
        <w:rFonts w:hint="eastAsia" w:ascii="Times New Roman" w:hAnsi="Times New Roman" w:eastAsia="黑体"/>
        <w:b/>
      </w:rPr>
      <w:t>FDSA X</w:t>
    </w:r>
    <w:r>
      <w:rPr>
        <w:rFonts w:ascii="Times New Roman" w:hAnsi="Times New Roman" w:eastAsia="黑体"/>
        <w:b/>
      </w:rPr>
      <w:t>XXX</w:t>
    </w:r>
    <w:r>
      <w:rPr>
        <w:rFonts w:hint="eastAsia" w:ascii="Times New Roman" w:hAnsi="Times New Roman" w:eastAsia="黑体"/>
        <w:b/>
      </w:rPr>
      <w:t>—2</w:t>
    </w:r>
    <w:r>
      <w:rPr>
        <w:rFonts w:ascii="Times New Roman" w:hAnsi="Times New Roman" w:eastAsia="黑体"/>
        <w:b/>
      </w:rPr>
      <w:t>0</w:t>
    </w:r>
    <w:r>
      <w:rPr>
        <w:rFonts w:hint="eastAsia" w:ascii="Times New Roman" w:hAnsi="Times New Roman" w:eastAsia="黑体"/>
        <w:b/>
      </w:rPr>
      <w:t>2</w:t>
    </w:r>
    <w:r>
      <w:rPr>
        <w:rFonts w:ascii="Times New Roman" w:hAnsi="Times New Roman" w:eastAsia="黑体"/>
        <w:b/>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D80115"/>
    <w:multiLevelType w:val="singleLevel"/>
    <w:tmpl w:val="E1D80115"/>
    <w:lvl w:ilvl="0" w:tentative="0">
      <w:start w:val="1"/>
      <w:numFmt w:val="decimal"/>
      <w:suff w:val="nothing"/>
      <w:lvlText w:val="[%1]"/>
      <w:lvlJc w:val="left"/>
    </w:lvl>
  </w:abstractNum>
  <w:abstractNum w:abstractNumId="1">
    <w:nsid w:val="1E3C2409"/>
    <w:multiLevelType w:val="multilevel"/>
    <w:tmpl w:val="1E3C2409"/>
    <w:lvl w:ilvl="0" w:tentative="0">
      <w:start w:val="1"/>
      <w:numFmt w:val="lowerLetter"/>
      <w:pStyle w:val="77"/>
      <w:lvlText w:val="%1)"/>
      <w:lvlJc w:val="left"/>
      <w:pPr>
        <w:ind w:left="780" w:hanging="360"/>
      </w:pPr>
      <w:rPr>
        <w:rFonts w:hint="default"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E32610F"/>
    <w:multiLevelType w:val="multilevel"/>
    <w:tmpl w:val="2E32610F"/>
    <w:lvl w:ilvl="0" w:tentative="0">
      <w:start w:val="1"/>
      <w:numFmt w:val="decimal"/>
      <w:pStyle w:val="76"/>
      <w:lvlText w:val="图%1 "/>
      <w:lvlJc w:val="left"/>
      <w:pPr>
        <w:ind w:left="220" w:hanging="420"/>
      </w:pPr>
      <w:rPr>
        <w:rFonts w:hint="default" w:ascii="Times New Roman" w:hAnsi="Times New Roman" w:eastAsia="黑体"/>
        <w:sz w:val="21"/>
      </w:rPr>
    </w:lvl>
    <w:lvl w:ilvl="1" w:tentative="0">
      <w:start w:val="1"/>
      <w:numFmt w:val="lowerLetter"/>
      <w:lvlText w:val="%2)"/>
      <w:lvlJc w:val="left"/>
      <w:pPr>
        <w:ind w:left="640" w:hanging="420"/>
      </w:pPr>
    </w:lvl>
    <w:lvl w:ilvl="2" w:tentative="0">
      <w:start w:val="1"/>
      <w:numFmt w:val="lowerRoman"/>
      <w:lvlText w:val="%3."/>
      <w:lvlJc w:val="right"/>
      <w:pPr>
        <w:ind w:left="1060" w:hanging="420"/>
      </w:pPr>
    </w:lvl>
    <w:lvl w:ilvl="3" w:tentative="0">
      <w:start w:val="1"/>
      <w:numFmt w:val="decimal"/>
      <w:lvlText w:val="%4."/>
      <w:lvlJc w:val="left"/>
      <w:pPr>
        <w:ind w:left="1480" w:hanging="420"/>
      </w:pPr>
    </w:lvl>
    <w:lvl w:ilvl="4" w:tentative="0">
      <w:start w:val="1"/>
      <w:numFmt w:val="lowerLetter"/>
      <w:lvlText w:val="%5)"/>
      <w:lvlJc w:val="left"/>
      <w:pPr>
        <w:ind w:left="1900" w:hanging="420"/>
      </w:pPr>
    </w:lvl>
    <w:lvl w:ilvl="5" w:tentative="0">
      <w:start w:val="1"/>
      <w:numFmt w:val="lowerRoman"/>
      <w:lvlText w:val="%6."/>
      <w:lvlJc w:val="right"/>
      <w:pPr>
        <w:ind w:left="2320" w:hanging="420"/>
      </w:pPr>
    </w:lvl>
    <w:lvl w:ilvl="6" w:tentative="0">
      <w:start w:val="1"/>
      <w:numFmt w:val="decimal"/>
      <w:lvlText w:val="%7."/>
      <w:lvlJc w:val="left"/>
      <w:pPr>
        <w:ind w:left="2740" w:hanging="420"/>
      </w:pPr>
    </w:lvl>
    <w:lvl w:ilvl="7" w:tentative="0">
      <w:start w:val="1"/>
      <w:numFmt w:val="lowerLetter"/>
      <w:lvlText w:val="%8)"/>
      <w:lvlJc w:val="left"/>
      <w:pPr>
        <w:ind w:left="3160" w:hanging="420"/>
      </w:pPr>
    </w:lvl>
    <w:lvl w:ilvl="8" w:tentative="0">
      <w:start w:val="1"/>
      <w:numFmt w:val="lowerRoman"/>
      <w:lvlText w:val="%9."/>
      <w:lvlJc w:val="right"/>
      <w:pPr>
        <w:ind w:left="3580" w:hanging="420"/>
      </w:pPr>
    </w:lvl>
  </w:abstractNum>
  <w:abstractNum w:abstractNumId="3">
    <w:nsid w:val="3D1C17D8"/>
    <w:multiLevelType w:val="multilevel"/>
    <w:tmpl w:val="3D1C17D8"/>
    <w:lvl w:ilvl="0" w:tentative="0">
      <w:start w:val="1"/>
      <w:numFmt w:val="decimal"/>
      <w:pStyle w:val="82"/>
      <w:lvlText w:val="表%1 "/>
      <w:lvlJc w:val="left"/>
      <w:pPr>
        <w:ind w:left="1890" w:hanging="420"/>
      </w:pPr>
      <w:rPr>
        <w:rFonts w:hint="default" w:ascii="黑体" w:hAnsi="黑体" w:eastAsia="黑体" w:cs="黑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7C2AF5"/>
    <w:multiLevelType w:val="multilevel"/>
    <w:tmpl w:val="557C2AF5"/>
    <w:lvl w:ilvl="0" w:tentative="0">
      <w:start w:val="1"/>
      <w:numFmt w:val="decimal"/>
      <w:pStyle w:val="99"/>
      <w:suff w:val="nothing"/>
      <w:lvlText w:val="图%1　"/>
      <w:lvlJc w:val="left"/>
      <w:rPr>
        <w:rFonts w:hint="eastAsia" w:ascii="黑体" w:hAnsi="Times New Roman" w:eastAsia="黑体"/>
        <w:b w:val="0"/>
        <w:bCs w:val="0"/>
        <w:i w:val="0"/>
        <w:iCs w:val="0"/>
        <w:sz w:val="21"/>
        <w:szCs w:val="21"/>
      </w:rPr>
    </w:lvl>
    <w:lvl w:ilvl="1" w:tentative="0">
      <w:start w:val="1"/>
      <w:numFmt w:val="decimal"/>
      <w:suff w:val="nothing"/>
      <w:lvlText w:val="%1%2　"/>
      <w:lvlJc w:val="left"/>
      <w:rPr>
        <w:rFonts w:hint="eastAsia" w:ascii="黑体" w:hAnsi="Times New Roman" w:eastAsia="黑体"/>
        <w:b w:val="0"/>
        <w:bCs w:val="0"/>
        <w:i w:val="0"/>
        <w:iCs w:val="0"/>
        <w:sz w:val="21"/>
        <w:szCs w:val="21"/>
      </w:rPr>
    </w:lvl>
    <w:lvl w:ilvl="2" w:tentative="0">
      <w:start w:val="1"/>
      <w:numFmt w:val="decimal"/>
      <w:suff w:val="nothing"/>
      <w:lvlText w:val="%1%2.%3　"/>
      <w:lvlJc w:val="left"/>
      <w:rPr>
        <w:rFonts w:hint="eastAsia" w:ascii="黑体" w:hAnsi="Times New Roman" w:eastAsia="黑体"/>
        <w:b w:val="0"/>
        <w:bCs w:val="0"/>
        <w:i w:val="0"/>
        <w:iCs w:val="0"/>
        <w:sz w:val="21"/>
        <w:szCs w:val="21"/>
      </w:rPr>
    </w:lvl>
    <w:lvl w:ilvl="3" w:tentative="0">
      <w:start w:val="1"/>
      <w:numFmt w:val="decimal"/>
      <w:suff w:val="nothing"/>
      <w:lvlText w:val="%1%2.%3.%4　"/>
      <w:lvlJc w:val="left"/>
      <w:rPr>
        <w:rFonts w:hint="eastAsia" w:ascii="黑体" w:hAnsi="Times New Roman" w:eastAsia="黑体"/>
        <w:b w:val="0"/>
        <w:bCs w:val="0"/>
        <w:i w:val="0"/>
        <w:iCs w:val="0"/>
        <w:sz w:val="21"/>
        <w:szCs w:val="21"/>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48"/>
        </w:tabs>
        <w:ind w:left="3969" w:hanging="1418"/>
      </w:pPr>
      <w:rPr>
        <w:rFonts w:hint="eastAsia" w:ascii="宋体" w:hAnsi="宋体" w:eastAsia="宋体"/>
        <w:sz w:val="24"/>
        <w:szCs w:val="24"/>
      </w:rPr>
    </w:lvl>
    <w:lvl w:ilvl="8" w:tentative="0">
      <w:start w:val="1"/>
      <w:numFmt w:val="decimal"/>
      <w:lvlText w:val="%1.%2.%3.%4.%5.%6.%7.%8.%9"/>
      <w:lvlJc w:val="left"/>
      <w:pPr>
        <w:tabs>
          <w:tab w:val="left" w:pos="4774"/>
        </w:tabs>
        <w:ind w:left="4677" w:hanging="1701"/>
      </w:pPr>
      <w:rPr>
        <w:rFonts w:hint="eastAsia" w:ascii="Times New Roman" w:hAnsi="Times New Roman" w:cs="Times New Roman"/>
        <w:sz w:val="24"/>
        <w:szCs w:val="24"/>
      </w:rPr>
    </w:lvl>
  </w:abstractNum>
  <w:abstractNum w:abstractNumId="5">
    <w:nsid w:val="591079F2"/>
    <w:multiLevelType w:val="multilevel"/>
    <w:tmpl w:val="591079F2"/>
    <w:lvl w:ilvl="0" w:tentative="0">
      <w:start w:val="1"/>
      <w:numFmt w:val="decimal"/>
      <w:pStyle w:val="106"/>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57D3FBC"/>
    <w:multiLevelType w:val="multilevel"/>
    <w:tmpl w:val="657D3FBC"/>
    <w:lvl w:ilvl="0" w:tentative="0">
      <w:start w:val="1"/>
      <w:numFmt w:val="upperLetter"/>
      <w:pStyle w:val="9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61"/>
      <w:suff w:val="nothing"/>
      <w:lvlText w:val="%1"/>
      <w:lvlJc w:val="left"/>
      <w:rPr>
        <w:rFonts w:hint="default" w:ascii="Times New Roman" w:hAnsi="Times New Roman" w:cs="Times New Roman"/>
        <w:b/>
        <w:bCs/>
        <w:i w:val="0"/>
        <w:iCs w:val="0"/>
        <w:sz w:val="21"/>
        <w:szCs w:val="21"/>
      </w:rPr>
    </w:lvl>
    <w:lvl w:ilvl="1" w:tentative="0">
      <w:start w:val="1"/>
      <w:numFmt w:val="decimal"/>
      <w:pStyle w:val="49"/>
      <w:suff w:val="nothing"/>
      <w:lvlText w:val="%1%2　"/>
      <w:lvlJc w:val="left"/>
      <w:rPr>
        <w:rFonts w:hint="default" w:ascii="宋体" w:hAnsi="宋体" w:eastAsia="宋体" w:cs="宋体"/>
        <w:b/>
        <w:bCs/>
        <w:i w:val="0"/>
        <w:iCs w:val="0"/>
        <w:sz w:val="24"/>
        <w:szCs w:val="24"/>
      </w:rPr>
    </w:lvl>
    <w:lvl w:ilvl="2" w:tentative="0">
      <w:start w:val="1"/>
      <w:numFmt w:val="decimal"/>
      <w:pStyle w:val="60"/>
      <w:suff w:val="nothing"/>
      <w:lvlText w:val="%1%2.%3　"/>
      <w:lvlJc w:val="left"/>
      <w:rPr>
        <w:rFonts w:hint="default" w:ascii="宋体" w:hAnsi="宋体" w:eastAsia="宋体" w:cs="宋体"/>
        <w:b/>
        <w:bCs/>
        <w:i w:val="0"/>
        <w:iCs w:val="0"/>
        <w:sz w:val="21"/>
        <w:szCs w:val="21"/>
      </w:rPr>
    </w:lvl>
    <w:lvl w:ilvl="3" w:tentative="0">
      <w:start w:val="1"/>
      <w:numFmt w:val="decimal"/>
      <w:pStyle w:val="56"/>
      <w:suff w:val="nothing"/>
      <w:lvlText w:val="%1%2.%3.%4　"/>
      <w:lvlJc w:val="left"/>
      <w:rPr>
        <w:rFonts w:hint="default" w:ascii="宋体" w:hAnsi="宋体" w:eastAsia="宋体" w:cs="宋体"/>
        <w:b/>
        <w:bCs/>
        <w:i w:val="0"/>
        <w:iCs w:val="0"/>
        <w:sz w:val="21"/>
        <w:szCs w:val="21"/>
      </w:rPr>
    </w:lvl>
    <w:lvl w:ilvl="4" w:tentative="0">
      <w:start w:val="1"/>
      <w:numFmt w:val="decimal"/>
      <w:pStyle w:val="57"/>
      <w:suff w:val="nothing"/>
      <w:lvlText w:val="%1%2.%3.%4.%5　"/>
      <w:lvlJc w:val="left"/>
      <w:rPr>
        <w:rFonts w:hint="eastAsia" w:ascii="黑体" w:hAnsi="Times New Roman" w:eastAsia="黑体"/>
        <w:b w:val="0"/>
        <w:bCs w:val="0"/>
        <w:i w:val="0"/>
        <w:iCs w:val="0"/>
        <w:sz w:val="21"/>
        <w:szCs w:val="21"/>
      </w:rPr>
    </w:lvl>
    <w:lvl w:ilvl="5" w:tentative="0">
      <w:start w:val="1"/>
      <w:numFmt w:val="decimal"/>
      <w:pStyle w:val="58"/>
      <w:suff w:val="nothing"/>
      <w:lvlText w:val="%1%2.%3.%4.%5.%6　"/>
      <w:lvlJc w:val="left"/>
      <w:rPr>
        <w:rFonts w:hint="eastAsia" w:ascii="黑体" w:hAnsi="Times New Roman" w:eastAsia="黑体"/>
        <w:b w:val="0"/>
        <w:bCs w:val="0"/>
        <w:i w:val="0"/>
        <w:iCs w:val="0"/>
        <w:sz w:val="21"/>
        <w:szCs w:val="21"/>
      </w:rPr>
    </w:lvl>
    <w:lvl w:ilvl="6" w:tentative="0">
      <w:start w:val="1"/>
      <w:numFmt w:val="decimal"/>
      <w:pStyle w:val="59"/>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2"/>
  </w:num>
  <w:num w:numId="3">
    <w:abstractNumId w:val="1"/>
  </w:num>
  <w:num w:numId="4">
    <w:abstractNumId w:val="3"/>
  </w:num>
  <w:num w:numId="5">
    <w:abstractNumId w:val="6"/>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lMmVhNmE0MDRiMzk1MzgyNTYxMzk0YjI0NWVkN2YifQ=="/>
  </w:docVars>
  <w:rsids>
    <w:rsidRoot w:val="0049106D"/>
    <w:rsid w:val="000052E8"/>
    <w:rsid w:val="00023889"/>
    <w:rsid w:val="0003602D"/>
    <w:rsid w:val="00036851"/>
    <w:rsid w:val="00046901"/>
    <w:rsid w:val="000628C0"/>
    <w:rsid w:val="00064DCE"/>
    <w:rsid w:val="000679BB"/>
    <w:rsid w:val="0007774A"/>
    <w:rsid w:val="00087672"/>
    <w:rsid w:val="000C0BDC"/>
    <w:rsid w:val="000C7743"/>
    <w:rsid w:val="000E4DC7"/>
    <w:rsid w:val="000F21C4"/>
    <w:rsid w:val="000F64C8"/>
    <w:rsid w:val="000F7F82"/>
    <w:rsid w:val="001051D5"/>
    <w:rsid w:val="001302D6"/>
    <w:rsid w:val="001428E3"/>
    <w:rsid w:val="00165EB8"/>
    <w:rsid w:val="00173157"/>
    <w:rsid w:val="00184B1D"/>
    <w:rsid w:val="0019051C"/>
    <w:rsid w:val="00197D67"/>
    <w:rsid w:val="001B6D65"/>
    <w:rsid w:val="001C5A52"/>
    <w:rsid w:val="001D2799"/>
    <w:rsid w:val="001D39A9"/>
    <w:rsid w:val="001E14E3"/>
    <w:rsid w:val="001E742B"/>
    <w:rsid w:val="00217A44"/>
    <w:rsid w:val="00217FF8"/>
    <w:rsid w:val="00221916"/>
    <w:rsid w:val="002370E4"/>
    <w:rsid w:val="00240507"/>
    <w:rsid w:val="002649D2"/>
    <w:rsid w:val="0026580C"/>
    <w:rsid w:val="00272966"/>
    <w:rsid w:val="002B338A"/>
    <w:rsid w:val="002C2CA1"/>
    <w:rsid w:val="002D2004"/>
    <w:rsid w:val="002D37BE"/>
    <w:rsid w:val="0030106E"/>
    <w:rsid w:val="003254CB"/>
    <w:rsid w:val="0032693C"/>
    <w:rsid w:val="00330DE5"/>
    <w:rsid w:val="00331102"/>
    <w:rsid w:val="0033472F"/>
    <w:rsid w:val="0035598C"/>
    <w:rsid w:val="00376670"/>
    <w:rsid w:val="003864BE"/>
    <w:rsid w:val="003945CF"/>
    <w:rsid w:val="003955B8"/>
    <w:rsid w:val="003A3B72"/>
    <w:rsid w:val="003A5953"/>
    <w:rsid w:val="003B2112"/>
    <w:rsid w:val="003C26FD"/>
    <w:rsid w:val="00402F94"/>
    <w:rsid w:val="0040583C"/>
    <w:rsid w:val="00465A1B"/>
    <w:rsid w:val="00477D57"/>
    <w:rsid w:val="00484CAA"/>
    <w:rsid w:val="0049106D"/>
    <w:rsid w:val="004A0C85"/>
    <w:rsid w:val="004B1B21"/>
    <w:rsid w:val="004C2F1E"/>
    <w:rsid w:val="004C4F48"/>
    <w:rsid w:val="004C5649"/>
    <w:rsid w:val="004C6BA6"/>
    <w:rsid w:val="004D220B"/>
    <w:rsid w:val="004D257A"/>
    <w:rsid w:val="004D3159"/>
    <w:rsid w:val="004F3ECE"/>
    <w:rsid w:val="0050478A"/>
    <w:rsid w:val="005071BD"/>
    <w:rsid w:val="00522223"/>
    <w:rsid w:val="00556FDB"/>
    <w:rsid w:val="00582AA3"/>
    <w:rsid w:val="00597D5A"/>
    <w:rsid w:val="005A59FB"/>
    <w:rsid w:val="005A7901"/>
    <w:rsid w:val="005B617F"/>
    <w:rsid w:val="005C38BD"/>
    <w:rsid w:val="0060641B"/>
    <w:rsid w:val="006127D1"/>
    <w:rsid w:val="00617ABA"/>
    <w:rsid w:val="0062691B"/>
    <w:rsid w:val="006800B2"/>
    <w:rsid w:val="006846B3"/>
    <w:rsid w:val="006939C2"/>
    <w:rsid w:val="00696D77"/>
    <w:rsid w:val="006B1BDA"/>
    <w:rsid w:val="006D055C"/>
    <w:rsid w:val="006D76F4"/>
    <w:rsid w:val="006E408D"/>
    <w:rsid w:val="006F1CD1"/>
    <w:rsid w:val="006F3FBE"/>
    <w:rsid w:val="00737A9D"/>
    <w:rsid w:val="00747BC2"/>
    <w:rsid w:val="00750052"/>
    <w:rsid w:val="00791C7D"/>
    <w:rsid w:val="007939C6"/>
    <w:rsid w:val="00797957"/>
    <w:rsid w:val="007D0EE4"/>
    <w:rsid w:val="007D32E6"/>
    <w:rsid w:val="007E56C6"/>
    <w:rsid w:val="007F4E0A"/>
    <w:rsid w:val="008146E6"/>
    <w:rsid w:val="008404DB"/>
    <w:rsid w:val="00841072"/>
    <w:rsid w:val="008573C0"/>
    <w:rsid w:val="00865D7E"/>
    <w:rsid w:val="00866963"/>
    <w:rsid w:val="008771A0"/>
    <w:rsid w:val="008837CC"/>
    <w:rsid w:val="00884C7A"/>
    <w:rsid w:val="008A057B"/>
    <w:rsid w:val="008B7C18"/>
    <w:rsid w:val="008D3A0A"/>
    <w:rsid w:val="008D4B55"/>
    <w:rsid w:val="008E2C2B"/>
    <w:rsid w:val="008E6657"/>
    <w:rsid w:val="00905FC2"/>
    <w:rsid w:val="00930804"/>
    <w:rsid w:val="00940E2E"/>
    <w:rsid w:val="00952E0A"/>
    <w:rsid w:val="00955C86"/>
    <w:rsid w:val="00962A17"/>
    <w:rsid w:val="00970C82"/>
    <w:rsid w:val="009B3B52"/>
    <w:rsid w:val="009C548A"/>
    <w:rsid w:val="009D02DD"/>
    <w:rsid w:val="009D4C24"/>
    <w:rsid w:val="00A024A7"/>
    <w:rsid w:val="00A10C05"/>
    <w:rsid w:val="00A1120B"/>
    <w:rsid w:val="00A2287A"/>
    <w:rsid w:val="00A2701C"/>
    <w:rsid w:val="00A36236"/>
    <w:rsid w:val="00A45CE4"/>
    <w:rsid w:val="00A47115"/>
    <w:rsid w:val="00A828F6"/>
    <w:rsid w:val="00AA5728"/>
    <w:rsid w:val="00AB02B0"/>
    <w:rsid w:val="00AC39FC"/>
    <w:rsid w:val="00AD38EC"/>
    <w:rsid w:val="00AF504D"/>
    <w:rsid w:val="00AF5975"/>
    <w:rsid w:val="00AF71CE"/>
    <w:rsid w:val="00B06C89"/>
    <w:rsid w:val="00B25DC2"/>
    <w:rsid w:val="00B332CD"/>
    <w:rsid w:val="00B600F6"/>
    <w:rsid w:val="00B60588"/>
    <w:rsid w:val="00B61B1C"/>
    <w:rsid w:val="00B67353"/>
    <w:rsid w:val="00B71811"/>
    <w:rsid w:val="00B9525E"/>
    <w:rsid w:val="00BA516F"/>
    <w:rsid w:val="00BB09B0"/>
    <w:rsid w:val="00BB4232"/>
    <w:rsid w:val="00BC28D9"/>
    <w:rsid w:val="00BC7115"/>
    <w:rsid w:val="00BD1103"/>
    <w:rsid w:val="00BD1FDD"/>
    <w:rsid w:val="00BD296F"/>
    <w:rsid w:val="00BF1E0C"/>
    <w:rsid w:val="00BF69CE"/>
    <w:rsid w:val="00C2253E"/>
    <w:rsid w:val="00C22820"/>
    <w:rsid w:val="00C32369"/>
    <w:rsid w:val="00C4721C"/>
    <w:rsid w:val="00C728EF"/>
    <w:rsid w:val="00C800A6"/>
    <w:rsid w:val="00C800FA"/>
    <w:rsid w:val="00C902B2"/>
    <w:rsid w:val="00C91B97"/>
    <w:rsid w:val="00C91BEC"/>
    <w:rsid w:val="00CA36B8"/>
    <w:rsid w:val="00CB682A"/>
    <w:rsid w:val="00CD74E5"/>
    <w:rsid w:val="00CE60B4"/>
    <w:rsid w:val="00CF4948"/>
    <w:rsid w:val="00D03B63"/>
    <w:rsid w:val="00D12FF3"/>
    <w:rsid w:val="00D50856"/>
    <w:rsid w:val="00D525ED"/>
    <w:rsid w:val="00D61408"/>
    <w:rsid w:val="00D9700C"/>
    <w:rsid w:val="00DA2900"/>
    <w:rsid w:val="00DB416D"/>
    <w:rsid w:val="00DC26AA"/>
    <w:rsid w:val="00DD4881"/>
    <w:rsid w:val="00E16E6B"/>
    <w:rsid w:val="00E21151"/>
    <w:rsid w:val="00E34886"/>
    <w:rsid w:val="00E40643"/>
    <w:rsid w:val="00E45F8C"/>
    <w:rsid w:val="00E525A1"/>
    <w:rsid w:val="00E642AE"/>
    <w:rsid w:val="00E725F5"/>
    <w:rsid w:val="00E775F4"/>
    <w:rsid w:val="00E91420"/>
    <w:rsid w:val="00E91AAE"/>
    <w:rsid w:val="00E97892"/>
    <w:rsid w:val="00EA2B53"/>
    <w:rsid w:val="00EA3245"/>
    <w:rsid w:val="00EC46F2"/>
    <w:rsid w:val="00EC754B"/>
    <w:rsid w:val="00ED004D"/>
    <w:rsid w:val="00ED6508"/>
    <w:rsid w:val="00EF2A6F"/>
    <w:rsid w:val="00F02D88"/>
    <w:rsid w:val="00F23EDD"/>
    <w:rsid w:val="00F24F16"/>
    <w:rsid w:val="00F27126"/>
    <w:rsid w:val="00F310B2"/>
    <w:rsid w:val="00F3148E"/>
    <w:rsid w:val="00F327D3"/>
    <w:rsid w:val="00F457A3"/>
    <w:rsid w:val="00F4624E"/>
    <w:rsid w:val="00F50B84"/>
    <w:rsid w:val="00F57FAD"/>
    <w:rsid w:val="00F62F0E"/>
    <w:rsid w:val="00F6457E"/>
    <w:rsid w:val="00F64894"/>
    <w:rsid w:val="00F95EB3"/>
    <w:rsid w:val="00FA4CBA"/>
    <w:rsid w:val="00FE4F04"/>
    <w:rsid w:val="00FF32B2"/>
    <w:rsid w:val="00FF6B8C"/>
    <w:rsid w:val="01A2191F"/>
    <w:rsid w:val="01FF7EF9"/>
    <w:rsid w:val="02385E0A"/>
    <w:rsid w:val="02F608AE"/>
    <w:rsid w:val="046A7BB6"/>
    <w:rsid w:val="04A07FE2"/>
    <w:rsid w:val="04D550AF"/>
    <w:rsid w:val="05EA2E1F"/>
    <w:rsid w:val="0628663D"/>
    <w:rsid w:val="069360C4"/>
    <w:rsid w:val="06BD2BAD"/>
    <w:rsid w:val="07216AA4"/>
    <w:rsid w:val="07FD081F"/>
    <w:rsid w:val="08B76BC8"/>
    <w:rsid w:val="09053D42"/>
    <w:rsid w:val="09CB4290"/>
    <w:rsid w:val="0A6B68D4"/>
    <w:rsid w:val="0B343278"/>
    <w:rsid w:val="0B762820"/>
    <w:rsid w:val="0C342E56"/>
    <w:rsid w:val="0C3F054D"/>
    <w:rsid w:val="0C6D3E37"/>
    <w:rsid w:val="0CBB3164"/>
    <w:rsid w:val="0DBB7FA7"/>
    <w:rsid w:val="0E7F7BB4"/>
    <w:rsid w:val="0ED5254F"/>
    <w:rsid w:val="0F4A3F79"/>
    <w:rsid w:val="0F5C5031"/>
    <w:rsid w:val="10200A70"/>
    <w:rsid w:val="10696D40"/>
    <w:rsid w:val="10863E08"/>
    <w:rsid w:val="116C539B"/>
    <w:rsid w:val="126C74FA"/>
    <w:rsid w:val="12872709"/>
    <w:rsid w:val="12B75CC4"/>
    <w:rsid w:val="132A5F74"/>
    <w:rsid w:val="13B736C6"/>
    <w:rsid w:val="14296DD7"/>
    <w:rsid w:val="14465682"/>
    <w:rsid w:val="14793F8E"/>
    <w:rsid w:val="152C40C2"/>
    <w:rsid w:val="153572FF"/>
    <w:rsid w:val="16551AD9"/>
    <w:rsid w:val="1699418F"/>
    <w:rsid w:val="16CF3E9A"/>
    <w:rsid w:val="174E33E4"/>
    <w:rsid w:val="17E10E54"/>
    <w:rsid w:val="180D4CB2"/>
    <w:rsid w:val="1838029E"/>
    <w:rsid w:val="18DA18D9"/>
    <w:rsid w:val="192A6714"/>
    <w:rsid w:val="1978618A"/>
    <w:rsid w:val="19810F0A"/>
    <w:rsid w:val="1A2C3317"/>
    <w:rsid w:val="1A3F32B4"/>
    <w:rsid w:val="1A795132"/>
    <w:rsid w:val="1B481CDF"/>
    <w:rsid w:val="1B501597"/>
    <w:rsid w:val="1BA83DBC"/>
    <w:rsid w:val="1C6568C1"/>
    <w:rsid w:val="1CA32B8F"/>
    <w:rsid w:val="1CD81789"/>
    <w:rsid w:val="1E4F3E59"/>
    <w:rsid w:val="1EB02D70"/>
    <w:rsid w:val="1ED13355"/>
    <w:rsid w:val="1EE61BA2"/>
    <w:rsid w:val="201E2467"/>
    <w:rsid w:val="204C7233"/>
    <w:rsid w:val="20797770"/>
    <w:rsid w:val="21DD0562"/>
    <w:rsid w:val="21EA64C0"/>
    <w:rsid w:val="221C5612"/>
    <w:rsid w:val="224859FA"/>
    <w:rsid w:val="2297354C"/>
    <w:rsid w:val="2364649A"/>
    <w:rsid w:val="23737B15"/>
    <w:rsid w:val="237F295E"/>
    <w:rsid w:val="23D246D0"/>
    <w:rsid w:val="23F44427"/>
    <w:rsid w:val="245A5475"/>
    <w:rsid w:val="25594873"/>
    <w:rsid w:val="25864B61"/>
    <w:rsid w:val="260B43E4"/>
    <w:rsid w:val="263A0981"/>
    <w:rsid w:val="2681696F"/>
    <w:rsid w:val="26FD5492"/>
    <w:rsid w:val="273244A4"/>
    <w:rsid w:val="28215D92"/>
    <w:rsid w:val="284A23B1"/>
    <w:rsid w:val="28C826B1"/>
    <w:rsid w:val="29251585"/>
    <w:rsid w:val="294A4A03"/>
    <w:rsid w:val="29DD0BA6"/>
    <w:rsid w:val="2B602149"/>
    <w:rsid w:val="2B603075"/>
    <w:rsid w:val="2B7F1FA8"/>
    <w:rsid w:val="2B8A7436"/>
    <w:rsid w:val="2B916C1C"/>
    <w:rsid w:val="2BBF023B"/>
    <w:rsid w:val="2C1E481F"/>
    <w:rsid w:val="2C8B5ED0"/>
    <w:rsid w:val="2D901B5D"/>
    <w:rsid w:val="2DA84EAB"/>
    <w:rsid w:val="2E450C4F"/>
    <w:rsid w:val="2E5B46EF"/>
    <w:rsid w:val="2EFA3CAF"/>
    <w:rsid w:val="2F002774"/>
    <w:rsid w:val="2F4B788D"/>
    <w:rsid w:val="2F880DEC"/>
    <w:rsid w:val="30056C4A"/>
    <w:rsid w:val="30105081"/>
    <w:rsid w:val="303F24B5"/>
    <w:rsid w:val="317207CF"/>
    <w:rsid w:val="321E186E"/>
    <w:rsid w:val="32D57653"/>
    <w:rsid w:val="33CB4330"/>
    <w:rsid w:val="348A5D5C"/>
    <w:rsid w:val="358C2998"/>
    <w:rsid w:val="35C60166"/>
    <w:rsid w:val="35D87DC1"/>
    <w:rsid w:val="35DB3CBD"/>
    <w:rsid w:val="35E20B72"/>
    <w:rsid w:val="36941E25"/>
    <w:rsid w:val="377A161A"/>
    <w:rsid w:val="385622B5"/>
    <w:rsid w:val="38A87DC2"/>
    <w:rsid w:val="38B91F21"/>
    <w:rsid w:val="3AA007DD"/>
    <w:rsid w:val="3AAE06A0"/>
    <w:rsid w:val="3AE748FA"/>
    <w:rsid w:val="3BB6261C"/>
    <w:rsid w:val="3C0A2A41"/>
    <w:rsid w:val="3C1F076D"/>
    <w:rsid w:val="3C366945"/>
    <w:rsid w:val="3C736398"/>
    <w:rsid w:val="3DA37AB1"/>
    <w:rsid w:val="3DF5764D"/>
    <w:rsid w:val="3E1D2764"/>
    <w:rsid w:val="3E6F09C1"/>
    <w:rsid w:val="3FE55380"/>
    <w:rsid w:val="3FFB0652"/>
    <w:rsid w:val="40105575"/>
    <w:rsid w:val="402D3EAF"/>
    <w:rsid w:val="41EC314C"/>
    <w:rsid w:val="420F6AB7"/>
    <w:rsid w:val="423B09F4"/>
    <w:rsid w:val="429C0C56"/>
    <w:rsid w:val="44867251"/>
    <w:rsid w:val="449C5AC5"/>
    <w:rsid w:val="46085DD8"/>
    <w:rsid w:val="463528DE"/>
    <w:rsid w:val="46696D36"/>
    <w:rsid w:val="46860335"/>
    <w:rsid w:val="47145757"/>
    <w:rsid w:val="471D5A60"/>
    <w:rsid w:val="47987C0C"/>
    <w:rsid w:val="484D5280"/>
    <w:rsid w:val="49747998"/>
    <w:rsid w:val="49E911A1"/>
    <w:rsid w:val="4A356201"/>
    <w:rsid w:val="4AD52506"/>
    <w:rsid w:val="4AFD5D93"/>
    <w:rsid w:val="4B3B3A76"/>
    <w:rsid w:val="4B4A374F"/>
    <w:rsid w:val="4B5071A1"/>
    <w:rsid w:val="4B830ABD"/>
    <w:rsid w:val="4BBC7944"/>
    <w:rsid w:val="4BDB2CDF"/>
    <w:rsid w:val="4C34645C"/>
    <w:rsid w:val="4C35205F"/>
    <w:rsid w:val="4E450731"/>
    <w:rsid w:val="4E9A059E"/>
    <w:rsid w:val="4E9C2326"/>
    <w:rsid w:val="4F9F4271"/>
    <w:rsid w:val="4FAB400F"/>
    <w:rsid w:val="51675575"/>
    <w:rsid w:val="51C43597"/>
    <w:rsid w:val="520B6FE7"/>
    <w:rsid w:val="52707890"/>
    <w:rsid w:val="52B071E4"/>
    <w:rsid w:val="53023D9E"/>
    <w:rsid w:val="538C509B"/>
    <w:rsid w:val="53900E00"/>
    <w:rsid w:val="53DF24DA"/>
    <w:rsid w:val="549C4D62"/>
    <w:rsid w:val="54B14AD1"/>
    <w:rsid w:val="54DD2ED6"/>
    <w:rsid w:val="55284EE4"/>
    <w:rsid w:val="554D1A31"/>
    <w:rsid w:val="55B91F58"/>
    <w:rsid w:val="55F43E2E"/>
    <w:rsid w:val="56044479"/>
    <w:rsid w:val="565D79D5"/>
    <w:rsid w:val="571557C5"/>
    <w:rsid w:val="572C0A74"/>
    <w:rsid w:val="575D03E5"/>
    <w:rsid w:val="57F77932"/>
    <w:rsid w:val="584A1360"/>
    <w:rsid w:val="584A4018"/>
    <w:rsid w:val="589F66DB"/>
    <w:rsid w:val="58AB36D6"/>
    <w:rsid w:val="58E709D9"/>
    <w:rsid w:val="59556AA4"/>
    <w:rsid w:val="59BE6D1B"/>
    <w:rsid w:val="59E61E43"/>
    <w:rsid w:val="5B113A54"/>
    <w:rsid w:val="5B811D24"/>
    <w:rsid w:val="5B9D1EFC"/>
    <w:rsid w:val="5CC97038"/>
    <w:rsid w:val="5CF67716"/>
    <w:rsid w:val="5D0C212A"/>
    <w:rsid w:val="5D44625B"/>
    <w:rsid w:val="5D741DA0"/>
    <w:rsid w:val="5E731979"/>
    <w:rsid w:val="5E9C5B7A"/>
    <w:rsid w:val="5F107586"/>
    <w:rsid w:val="5F217E4A"/>
    <w:rsid w:val="5FB534C4"/>
    <w:rsid w:val="611A4379"/>
    <w:rsid w:val="6170023F"/>
    <w:rsid w:val="631D28C4"/>
    <w:rsid w:val="64252FC4"/>
    <w:rsid w:val="64A01811"/>
    <w:rsid w:val="64A958F1"/>
    <w:rsid w:val="64E21FC1"/>
    <w:rsid w:val="65B309FE"/>
    <w:rsid w:val="67A708E0"/>
    <w:rsid w:val="684C26BE"/>
    <w:rsid w:val="68B666B1"/>
    <w:rsid w:val="68C161FA"/>
    <w:rsid w:val="6A294BD8"/>
    <w:rsid w:val="6A5F0222"/>
    <w:rsid w:val="6AA638F9"/>
    <w:rsid w:val="6AD047AC"/>
    <w:rsid w:val="6B250ECD"/>
    <w:rsid w:val="6B460C38"/>
    <w:rsid w:val="6C763AA3"/>
    <w:rsid w:val="6CE02BAF"/>
    <w:rsid w:val="6D276CF3"/>
    <w:rsid w:val="6DA52E1E"/>
    <w:rsid w:val="6E35746E"/>
    <w:rsid w:val="6EAA2E9A"/>
    <w:rsid w:val="70366EC6"/>
    <w:rsid w:val="7146447A"/>
    <w:rsid w:val="721E1189"/>
    <w:rsid w:val="724B3307"/>
    <w:rsid w:val="729B324A"/>
    <w:rsid w:val="72DE7101"/>
    <w:rsid w:val="72F734C2"/>
    <w:rsid w:val="7377345C"/>
    <w:rsid w:val="73E17E52"/>
    <w:rsid w:val="73F81787"/>
    <w:rsid w:val="74141F7D"/>
    <w:rsid w:val="74232F56"/>
    <w:rsid w:val="74D50773"/>
    <w:rsid w:val="752645B4"/>
    <w:rsid w:val="75C4317D"/>
    <w:rsid w:val="76EF03D6"/>
    <w:rsid w:val="77E2339F"/>
    <w:rsid w:val="77F71EF2"/>
    <w:rsid w:val="786E300D"/>
    <w:rsid w:val="796C6CEE"/>
    <w:rsid w:val="7A190BF8"/>
    <w:rsid w:val="7A282ABB"/>
    <w:rsid w:val="7A840908"/>
    <w:rsid w:val="7ACB28B6"/>
    <w:rsid w:val="7B396F59"/>
    <w:rsid w:val="7BB51C3A"/>
    <w:rsid w:val="7BE73DAC"/>
    <w:rsid w:val="7C611B85"/>
    <w:rsid w:val="7DAC1569"/>
    <w:rsid w:val="7E2401EA"/>
    <w:rsid w:val="7E751A4E"/>
    <w:rsid w:val="7E8E3907"/>
    <w:rsid w:val="7F2D2CE8"/>
    <w:rsid w:val="7F761686"/>
    <w:rsid w:val="7FDD6AB2"/>
    <w:rsid w:val="7FE2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qFormat="1"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2"/>
    <w:qFormat/>
    <w:uiPriority w:val="9"/>
    <w:pPr>
      <w:keepNext/>
      <w:keepLines/>
      <w:adjustRightInd w:val="0"/>
      <w:spacing w:before="340" w:after="330" w:line="578" w:lineRule="atLeast"/>
      <w:outlineLvl w:val="0"/>
    </w:pPr>
    <w:rPr>
      <w:rFonts w:ascii="Calibri" w:hAnsi="Calibri" w:eastAsia="宋体" w:cs="Calibri"/>
      <w:b/>
      <w:bCs/>
      <w:kern w:val="44"/>
      <w:sz w:val="44"/>
      <w:szCs w:val="44"/>
    </w:rPr>
  </w:style>
  <w:style w:type="paragraph" w:styleId="4">
    <w:name w:val="heading 2"/>
    <w:basedOn w:val="1"/>
    <w:next w:val="1"/>
    <w:link w:val="33"/>
    <w:unhideWhenUsed/>
    <w:qFormat/>
    <w:uiPriority w:val="9"/>
    <w:pPr>
      <w:keepNext/>
      <w:keepLines/>
      <w:adjustRightInd w:val="0"/>
      <w:spacing w:before="260" w:after="260" w:line="416" w:lineRule="atLeast"/>
      <w:outlineLvl w:val="1"/>
    </w:pPr>
    <w:rPr>
      <w:rFonts w:asciiTheme="majorHAnsi" w:hAnsiTheme="majorHAnsi" w:eastAsiaTheme="majorEastAsia" w:cstheme="majorBidi"/>
      <w:b/>
      <w:bCs/>
      <w:sz w:val="32"/>
      <w:szCs w:val="32"/>
    </w:rPr>
  </w:style>
  <w:style w:type="paragraph" w:styleId="5">
    <w:name w:val="heading 3"/>
    <w:basedOn w:val="1"/>
    <w:next w:val="1"/>
    <w:link w:val="34"/>
    <w:autoRedefine/>
    <w:unhideWhenUsed/>
    <w:qFormat/>
    <w:uiPriority w:val="9"/>
    <w:pPr>
      <w:keepNext/>
      <w:keepLines/>
      <w:adjustRightInd w:val="0"/>
      <w:spacing w:before="260" w:after="260" w:line="416" w:lineRule="atLeast"/>
      <w:outlineLvl w:val="2"/>
    </w:pPr>
    <w:rPr>
      <w:rFonts w:ascii="Calibri" w:hAnsi="Calibri" w:eastAsia="宋体" w:cs="Calibri"/>
      <w:b/>
      <w:bCs/>
      <w:sz w:val="32"/>
      <w:szCs w:val="32"/>
    </w:rPr>
  </w:style>
  <w:style w:type="paragraph" w:styleId="6">
    <w:name w:val="heading 4"/>
    <w:basedOn w:val="1"/>
    <w:next w:val="1"/>
    <w:link w:val="35"/>
    <w:autoRedefine/>
    <w:unhideWhenUsed/>
    <w:qFormat/>
    <w:uiPriority w:val="9"/>
    <w:pPr>
      <w:keepNext/>
      <w:keepLines/>
      <w:adjustRightInd w:val="0"/>
      <w:spacing w:before="280" w:after="290" w:line="376" w:lineRule="atLeast"/>
      <w:outlineLvl w:val="3"/>
    </w:pPr>
    <w:rPr>
      <w:rFonts w:asciiTheme="majorHAnsi" w:hAnsiTheme="majorHAnsi" w:eastAsiaTheme="majorEastAsia" w:cstheme="majorBidi"/>
      <w:b/>
      <w:bCs/>
      <w:sz w:val="28"/>
      <w:szCs w:val="28"/>
    </w:rPr>
  </w:style>
  <w:style w:type="paragraph" w:styleId="7">
    <w:name w:val="heading 5"/>
    <w:basedOn w:val="1"/>
    <w:next w:val="1"/>
    <w:link w:val="36"/>
    <w:autoRedefine/>
    <w:unhideWhenUsed/>
    <w:qFormat/>
    <w:uiPriority w:val="9"/>
    <w:pPr>
      <w:keepNext/>
      <w:keepLines/>
      <w:adjustRightInd w:val="0"/>
      <w:spacing w:before="280" w:after="290" w:line="376" w:lineRule="atLeast"/>
      <w:outlineLvl w:val="4"/>
    </w:pPr>
    <w:rPr>
      <w:rFonts w:ascii="Calibri" w:hAnsi="Calibri" w:eastAsia="宋体" w:cs="Calibri"/>
      <w:b/>
      <w:bCs/>
      <w:sz w:val="28"/>
      <w:szCs w:val="28"/>
    </w:rPr>
  </w:style>
  <w:style w:type="paragraph" w:styleId="8">
    <w:name w:val="heading 6"/>
    <w:basedOn w:val="1"/>
    <w:next w:val="1"/>
    <w:link w:val="37"/>
    <w:autoRedefine/>
    <w:unhideWhenUsed/>
    <w:qFormat/>
    <w:uiPriority w:val="9"/>
    <w:pPr>
      <w:keepNext/>
      <w:keepLines/>
      <w:adjustRightInd w:val="0"/>
      <w:spacing w:before="240" w:after="64" w:line="320" w:lineRule="atLeast"/>
      <w:outlineLvl w:val="5"/>
    </w:pPr>
    <w:rPr>
      <w:rFonts w:asciiTheme="majorHAnsi" w:hAnsiTheme="majorHAnsi" w:eastAsiaTheme="majorEastAsia" w:cstheme="majorBidi"/>
      <w:b/>
      <w:bCs/>
      <w:sz w:val="24"/>
      <w:szCs w:val="24"/>
    </w:rPr>
  </w:style>
  <w:style w:type="paragraph" w:styleId="9">
    <w:name w:val="heading 7"/>
    <w:basedOn w:val="1"/>
    <w:next w:val="1"/>
    <w:link w:val="38"/>
    <w:unhideWhenUsed/>
    <w:qFormat/>
    <w:uiPriority w:val="9"/>
    <w:pPr>
      <w:keepNext/>
      <w:keepLines/>
      <w:adjustRightInd w:val="0"/>
      <w:spacing w:before="240" w:after="64" w:line="320" w:lineRule="atLeast"/>
      <w:outlineLvl w:val="6"/>
    </w:pPr>
    <w:rPr>
      <w:rFonts w:ascii="Calibri" w:hAnsi="Calibri" w:eastAsia="宋体" w:cs="Calibri"/>
      <w:b/>
      <w:bCs/>
      <w:sz w:val="24"/>
      <w:szCs w:val="24"/>
    </w:rPr>
  </w:style>
  <w:style w:type="paragraph" w:styleId="10">
    <w:name w:val="heading 8"/>
    <w:basedOn w:val="1"/>
    <w:next w:val="1"/>
    <w:link w:val="39"/>
    <w:unhideWhenUsed/>
    <w:qFormat/>
    <w:uiPriority w:val="9"/>
    <w:pPr>
      <w:keepNext/>
      <w:keepLines/>
      <w:adjustRightInd w:val="0"/>
      <w:spacing w:before="240" w:after="64" w:line="320" w:lineRule="atLeast"/>
      <w:outlineLvl w:val="7"/>
    </w:pPr>
    <w:rPr>
      <w:rFonts w:asciiTheme="majorHAnsi" w:hAnsiTheme="majorHAnsi" w:eastAsiaTheme="majorEastAsia" w:cstheme="majorBidi"/>
      <w:sz w:val="24"/>
      <w:szCs w:val="24"/>
    </w:rPr>
  </w:style>
  <w:style w:type="paragraph" w:styleId="11">
    <w:name w:val="heading 9"/>
    <w:basedOn w:val="1"/>
    <w:next w:val="1"/>
    <w:link w:val="40"/>
    <w:unhideWhenUsed/>
    <w:qFormat/>
    <w:uiPriority w:val="9"/>
    <w:pPr>
      <w:keepNext/>
      <w:keepLines/>
      <w:adjustRightInd w:val="0"/>
      <w:spacing w:before="240" w:after="64" w:line="320" w:lineRule="atLeast"/>
      <w:outlineLvl w:val="8"/>
    </w:pPr>
    <w:rPr>
      <w:rFonts w:asciiTheme="majorHAnsi" w:hAnsiTheme="majorHAnsi" w:eastAsiaTheme="majorEastAsia" w:cstheme="majorBidi"/>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1"/>
    <w:pPr>
      <w:jc w:val="left"/>
      <w:pPrChange w:id="0" w:author="qing vavay" w:date="2025-10-22T18:34:00Z">
        <w:pPr>
          <w:widowControl w:val="0"/>
          <w:jc w:val="both"/>
        </w:pPr>
      </w:pPrChange>
    </w:pPr>
    <w:rPr>
      <w:rFonts w:ascii="Cambria Math" w:hAnsi="Cambria Math" w:eastAsia="宋体" w:cs="宋体"/>
      <w:i/>
      <w:rPrChange w:id="1" w:author="qing vavay" w:date="2025-10-22T18:34:00Z">
        <w:rPr>
          <w:rFonts w:cs="宋体" w:asciiTheme="minorHAnsi" w:hAnsiTheme="minorHAnsi" w:eastAsiaTheme="minorEastAsia"/>
          <w:kern w:val="2"/>
          <w:sz w:val="21"/>
          <w:szCs w:val="22"/>
          <w:lang w:val="zh-CN" w:eastAsia="zh-CN" w:bidi="zh-CN"/>
        </w:rPr>
      </w:rPrChange>
    </w:rPr>
  </w:style>
  <w:style w:type="paragraph" w:styleId="12">
    <w:name w:val="annotation text"/>
    <w:basedOn w:val="1"/>
    <w:link w:val="93"/>
    <w:unhideWhenUsed/>
    <w:qFormat/>
    <w:uiPriority w:val="0"/>
    <w:pPr>
      <w:jc w:val="left"/>
    </w:pPr>
    <w:rPr>
      <w:szCs w:val="24"/>
    </w:rPr>
  </w:style>
  <w:style w:type="paragraph" w:styleId="13">
    <w:name w:val="toc 3"/>
    <w:basedOn w:val="1"/>
    <w:next w:val="1"/>
    <w:semiHidden/>
    <w:unhideWhenUsed/>
    <w:qFormat/>
    <w:uiPriority w:val="39"/>
    <w:pPr>
      <w:ind w:left="840" w:leftChars="400"/>
    </w:pPr>
  </w:style>
  <w:style w:type="paragraph" w:styleId="14">
    <w:name w:val="Balloon Text"/>
    <w:basedOn w:val="1"/>
    <w:link w:val="42"/>
    <w:semiHidden/>
    <w:unhideWhenUsed/>
    <w:qFormat/>
    <w:uiPriority w:val="99"/>
    <w:pPr>
      <w:adjustRightInd w:val="0"/>
    </w:pPr>
    <w:rPr>
      <w:rFonts w:ascii="Calibri" w:hAnsi="Calibri" w:eastAsia="宋体" w:cs="Calibri"/>
      <w:sz w:val="18"/>
      <w:szCs w:val="18"/>
    </w:rPr>
  </w:style>
  <w:style w:type="paragraph" w:styleId="15">
    <w:name w:val="footer"/>
    <w:basedOn w:val="1"/>
    <w:link w:val="43"/>
    <w:unhideWhenUsed/>
    <w:qFormat/>
    <w:uiPriority w:val="99"/>
    <w:pPr>
      <w:tabs>
        <w:tab w:val="center" w:pos="4153"/>
        <w:tab w:val="right" w:pos="8306"/>
      </w:tabs>
      <w:adjustRightInd w:val="0"/>
      <w:snapToGrid w:val="0"/>
      <w:spacing w:line="400" w:lineRule="exact"/>
      <w:jc w:val="left"/>
    </w:pPr>
    <w:rPr>
      <w:rFonts w:ascii="Calibri" w:hAnsi="Calibri" w:eastAsia="宋体" w:cs="Calibri"/>
      <w:sz w:val="18"/>
      <w:szCs w:val="18"/>
    </w:rPr>
  </w:style>
  <w:style w:type="paragraph" w:styleId="16">
    <w:name w:val="header"/>
    <w:basedOn w:val="1"/>
    <w:link w:val="44"/>
    <w:unhideWhenUsed/>
    <w:qFormat/>
    <w:uiPriority w:val="99"/>
    <w:pPr>
      <w:pBdr>
        <w:bottom w:val="single" w:color="auto" w:sz="6" w:space="1"/>
      </w:pBdr>
      <w:tabs>
        <w:tab w:val="center" w:pos="4153"/>
        <w:tab w:val="right" w:pos="8306"/>
      </w:tabs>
      <w:adjustRightInd w:val="0"/>
      <w:snapToGrid w:val="0"/>
      <w:spacing w:line="240" w:lineRule="atLeast"/>
      <w:jc w:val="center"/>
    </w:pPr>
    <w:rPr>
      <w:rFonts w:ascii="Calibri" w:hAnsi="Calibri" w:eastAsia="宋体" w:cs="Calibri"/>
      <w:sz w:val="18"/>
      <w:szCs w:val="18"/>
    </w:rPr>
  </w:style>
  <w:style w:type="paragraph" w:styleId="17">
    <w:name w:val="toc 1"/>
    <w:basedOn w:val="1"/>
    <w:next w:val="1"/>
    <w:unhideWhenUsed/>
    <w:qFormat/>
    <w:uiPriority w:val="39"/>
    <w:pPr>
      <w:tabs>
        <w:tab w:val="left" w:pos="567"/>
        <w:tab w:val="left" w:pos="840"/>
        <w:tab w:val="right" w:leader="dot" w:pos="9060"/>
      </w:tabs>
      <w:adjustRightInd w:val="0"/>
      <w:spacing w:line="400" w:lineRule="exact"/>
      <w:jc w:val="left"/>
    </w:pPr>
    <w:rPr>
      <w:rFonts w:ascii="Times New Roman" w:hAnsi="Times New Roman" w:eastAsia="宋体" w:cs="Calibri"/>
      <w:szCs w:val="21"/>
    </w:rPr>
  </w:style>
  <w:style w:type="paragraph" w:styleId="18">
    <w:name w:val="Subtitle"/>
    <w:basedOn w:val="1"/>
    <w:next w:val="1"/>
    <w:link w:val="45"/>
    <w:qFormat/>
    <w:uiPriority w:val="11"/>
    <w:pPr>
      <w:adjustRightInd w:val="0"/>
      <w:spacing w:before="240" w:after="60" w:line="312" w:lineRule="atLeast"/>
      <w:jc w:val="center"/>
      <w:outlineLvl w:val="1"/>
    </w:pPr>
    <w:rPr>
      <w:b/>
      <w:bCs/>
      <w:kern w:val="28"/>
      <w:sz w:val="32"/>
      <w:szCs w:val="32"/>
    </w:rPr>
  </w:style>
  <w:style w:type="paragraph" w:styleId="19">
    <w:name w:val="footnote text"/>
    <w:basedOn w:val="1"/>
    <w:semiHidden/>
    <w:unhideWhenUsed/>
    <w:qFormat/>
    <w:uiPriority w:val="99"/>
    <w:pPr>
      <w:snapToGrid w:val="0"/>
      <w:jc w:val="left"/>
    </w:pPr>
    <w:rPr>
      <w:sz w:val="18"/>
    </w:rPr>
  </w:style>
  <w:style w:type="paragraph" w:styleId="20">
    <w:name w:val="table of figures"/>
    <w:basedOn w:val="1"/>
    <w:next w:val="1"/>
    <w:link w:val="78"/>
    <w:semiHidden/>
    <w:unhideWhenUsed/>
    <w:qFormat/>
    <w:uiPriority w:val="99"/>
    <w:pPr>
      <w:adjustRightInd w:val="0"/>
      <w:spacing w:line="400" w:lineRule="exact"/>
      <w:ind w:left="200" w:leftChars="200" w:hanging="200" w:hangingChars="200"/>
    </w:pPr>
    <w:rPr>
      <w:rFonts w:ascii="Calibri" w:hAnsi="Calibri" w:eastAsia="宋体" w:cs="Calibri"/>
      <w:szCs w:val="21"/>
    </w:rPr>
  </w:style>
  <w:style w:type="paragraph" w:styleId="21">
    <w:name w:val="toc 2"/>
    <w:basedOn w:val="1"/>
    <w:next w:val="1"/>
    <w:unhideWhenUsed/>
    <w:qFormat/>
    <w:uiPriority w:val="39"/>
    <w:pPr>
      <w:adjustRightInd w:val="0"/>
      <w:spacing w:line="400" w:lineRule="exact"/>
      <w:ind w:left="420" w:leftChars="200"/>
    </w:pPr>
    <w:rPr>
      <w:rFonts w:ascii="Calibri" w:hAnsi="Calibri" w:eastAsia="宋体" w:cs="Calibri"/>
      <w:szCs w:val="21"/>
    </w:rPr>
  </w:style>
  <w:style w:type="paragraph" w:styleId="22">
    <w:name w:val="Title"/>
    <w:basedOn w:val="1"/>
    <w:next w:val="1"/>
    <w:link w:val="46"/>
    <w:qFormat/>
    <w:uiPriority w:val="10"/>
    <w:pPr>
      <w:adjustRightInd w:val="0"/>
      <w:spacing w:before="240" w:after="60" w:line="400" w:lineRule="exact"/>
      <w:jc w:val="center"/>
      <w:outlineLvl w:val="0"/>
    </w:pPr>
    <w:rPr>
      <w:rFonts w:asciiTheme="majorHAnsi" w:hAnsiTheme="majorHAnsi" w:eastAsiaTheme="majorEastAsia" w:cstheme="majorBidi"/>
      <w:b/>
      <w:bCs/>
      <w:sz w:val="32"/>
      <w:szCs w:val="32"/>
    </w:rPr>
  </w:style>
  <w:style w:type="paragraph" w:styleId="23">
    <w:name w:val="annotation subject"/>
    <w:basedOn w:val="12"/>
    <w:next w:val="12"/>
    <w:link w:val="47"/>
    <w:autoRedefine/>
    <w:semiHidden/>
    <w:unhideWhenUsed/>
    <w:qFormat/>
    <w:uiPriority w:val="99"/>
    <w:pPr>
      <w:adjustRightInd w:val="0"/>
      <w:spacing w:line="400" w:lineRule="exact"/>
    </w:pPr>
    <w:rPr>
      <w:rFonts w:ascii="Calibri" w:hAnsi="Calibri" w:eastAsia="宋体" w:cs="Calibri"/>
      <w:b/>
      <w:bCs/>
      <w:szCs w:val="21"/>
    </w:rPr>
  </w:style>
  <w:style w:type="table" w:styleId="25">
    <w:name w:val="Table Grid"/>
    <w:basedOn w:val="24"/>
    <w:autoRedefine/>
    <w:qFormat/>
    <w:uiPriority w:val="9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rPr>
      <w:rFonts w:ascii="宋体" w:hAnsi="Times New Roman" w:eastAsia="宋体" w:cs="宋体"/>
      <w:sz w:val="18"/>
      <w:szCs w:val="18"/>
    </w:rPr>
  </w:style>
  <w:style w:type="character" w:styleId="28">
    <w:name w:val="Emphasis"/>
    <w:basedOn w:val="26"/>
    <w:autoRedefine/>
    <w:qFormat/>
    <w:uiPriority w:val="20"/>
    <w:rPr>
      <w:i/>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unhideWhenUsed/>
    <w:qFormat/>
    <w:uiPriority w:val="0"/>
    <w:rPr>
      <w:sz w:val="21"/>
      <w:szCs w:val="21"/>
    </w:rPr>
  </w:style>
  <w:style w:type="character" w:styleId="31">
    <w:name w:val="footnote reference"/>
    <w:basedOn w:val="26"/>
    <w:semiHidden/>
    <w:unhideWhenUsed/>
    <w:qFormat/>
    <w:uiPriority w:val="99"/>
    <w:rPr>
      <w:vertAlign w:val="superscript"/>
    </w:rPr>
  </w:style>
  <w:style w:type="character" w:customStyle="1" w:styleId="32">
    <w:name w:val="标题 1 字符"/>
    <w:basedOn w:val="26"/>
    <w:link w:val="3"/>
    <w:qFormat/>
    <w:uiPriority w:val="9"/>
    <w:rPr>
      <w:rFonts w:ascii="Calibri" w:hAnsi="Calibri" w:eastAsia="宋体" w:cs="Calibri"/>
      <w:b/>
      <w:bCs/>
      <w:kern w:val="44"/>
      <w:sz w:val="44"/>
      <w:szCs w:val="44"/>
    </w:rPr>
  </w:style>
  <w:style w:type="character" w:customStyle="1" w:styleId="33">
    <w:name w:val="标题 2 字符"/>
    <w:basedOn w:val="26"/>
    <w:link w:val="4"/>
    <w:qFormat/>
    <w:uiPriority w:val="9"/>
    <w:rPr>
      <w:rFonts w:asciiTheme="majorHAnsi" w:hAnsiTheme="majorHAnsi" w:eastAsiaTheme="majorEastAsia" w:cstheme="majorBidi"/>
      <w:b/>
      <w:bCs/>
      <w:sz w:val="32"/>
      <w:szCs w:val="32"/>
    </w:rPr>
  </w:style>
  <w:style w:type="character" w:customStyle="1" w:styleId="34">
    <w:name w:val="标题 3 字符"/>
    <w:basedOn w:val="26"/>
    <w:link w:val="5"/>
    <w:qFormat/>
    <w:uiPriority w:val="9"/>
    <w:rPr>
      <w:rFonts w:ascii="Calibri" w:hAnsi="Calibri" w:eastAsia="宋体" w:cs="Calibri"/>
      <w:b/>
      <w:bCs/>
      <w:sz w:val="32"/>
      <w:szCs w:val="32"/>
    </w:rPr>
  </w:style>
  <w:style w:type="character" w:customStyle="1" w:styleId="35">
    <w:name w:val="标题 4 字符"/>
    <w:basedOn w:val="26"/>
    <w:link w:val="6"/>
    <w:qFormat/>
    <w:uiPriority w:val="9"/>
    <w:rPr>
      <w:rFonts w:asciiTheme="majorHAnsi" w:hAnsiTheme="majorHAnsi" w:eastAsiaTheme="majorEastAsia" w:cstheme="majorBidi"/>
      <w:b/>
      <w:bCs/>
      <w:sz w:val="28"/>
      <w:szCs w:val="28"/>
    </w:rPr>
  </w:style>
  <w:style w:type="character" w:customStyle="1" w:styleId="36">
    <w:name w:val="标题 5 字符"/>
    <w:basedOn w:val="26"/>
    <w:link w:val="7"/>
    <w:qFormat/>
    <w:uiPriority w:val="9"/>
    <w:rPr>
      <w:rFonts w:ascii="Calibri" w:hAnsi="Calibri" w:eastAsia="宋体" w:cs="Calibri"/>
      <w:b/>
      <w:bCs/>
      <w:sz w:val="28"/>
      <w:szCs w:val="28"/>
    </w:rPr>
  </w:style>
  <w:style w:type="character" w:customStyle="1" w:styleId="37">
    <w:name w:val="标题 6 字符"/>
    <w:basedOn w:val="26"/>
    <w:link w:val="8"/>
    <w:qFormat/>
    <w:uiPriority w:val="9"/>
    <w:rPr>
      <w:rFonts w:asciiTheme="majorHAnsi" w:hAnsiTheme="majorHAnsi" w:eastAsiaTheme="majorEastAsia" w:cstheme="majorBidi"/>
      <w:b/>
      <w:bCs/>
      <w:sz w:val="24"/>
      <w:szCs w:val="24"/>
    </w:rPr>
  </w:style>
  <w:style w:type="character" w:customStyle="1" w:styleId="38">
    <w:name w:val="标题 7 字符"/>
    <w:basedOn w:val="26"/>
    <w:link w:val="9"/>
    <w:qFormat/>
    <w:uiPriority w:val="9"/>
    <w:rPr>
      <w:rFonts w:ascii="Calibri" w:hAnsi="Calibri" w:eastAsia="宋体" w:cs="Calibri"/>
      <w:b/>
      <w:bCs/>
      <w:sz w:val="24"/>
      <w:szCs w:val="24"/>
    </w:rPr>
  </w:style>
  <w:style w:type="character" w:customStyle="1" w:styleId="39">
    <w:name w:val="标题 8 字符"/>
    <w:basedOn w:val="26"/>
    <w:link w:val="10"/>
    <w:qFormat/>
    <w:uiPriority w:val="9"/>
    <w:rPr>
      <w:rFonts w:asciiTheme="majorHAnsi" w:hAnsiTheme="majorHAnsi" w:eastAsiaTheme="majorEastAsia" w:cstheme="majorBidi"/>
      <w:sz w:val="24"/>
      <w:szCs w:val="24"/>
    </w:rPr>
  </w:style>
  <w:style w:type="character" w:customStyle="1" w:styleId="40">
    <w:name w:val="标题 9 字符"/>
    <w:basedOn w:val="26"/>
    <w:link w:val="11"/>
    <w:qFormat/>
    <w:uiPriority w:val="9"/>
    <w:rPr>
      <w:rFonts w:asciiTheme="majorHAnsi" w:hAnsiTheme="majorHAnsi" w:eastAsiaTheme="majorEastAsia" w:cstheme="majorBidi"/>
      <w:szCs w:val="21"/>
    </w:rPr>
  </w:style>
  <w:style w:type="character" w:customStyle="1" w:styleId="41">
    <w:name w:val="批注文字 字符"/>
    <w:basedOn w:val="26"/>
    <w:semiHidden/>
    <w:qFormat/>
    <w:uiPriority w:val="99"/>
  </w:style>
  <w:style w:type="character" w:customStyle="1" w:styleId="42">
    <w:name w:val="批注框文本 字符"/>
    <w:basedOn w:val="26"/>
    <w:link w:val="14"/>
    <w:semiHidden/>
    <w:qFormat/>
    <w:uiPriority w:val="99"/>
    <w:rPr>
      <w:rFonts w:ascii="Calibri" w:hAnsi="Calibri" w:eastAsia="宋体" w:cs="Calibri"/>
      <w:sz w:val="18"/>
      <w:szCs w:val="18"/>
    </w:rPr>
  </w:style>
  <w:style w:type="character" w:customStyle="1" w:styleId="43">
    <w:name w:val="页脚 字符"/>
    <w:basedOn w:val="26"/>
    <w:link w:val="15"/>
    <w:qFormat/>
    <w:uiPriority w:val="99"/>
    <w:rPr>
      <w:rFonts w:ascii="Calibri" w:hAnsi="Calibri" w:eastAsia="宋体" w:cs="Calibri"/>
      <w:sz w:val="18"/>
      <w:szCs w:val="18"/>
    </w:rPr>
  </w:style>
  <w:style w:type="character" w:customStyle="1" w:styleId="44">
    <w:name w:val="页眉 字符"/>
    <w:basedOn w:val="26"/>
    <w:link w:val="16"/>
    <w:qFormat/>
    <w:uiPriority w:val="99"/>
    <w:rPr>
      <w:rFonts w:ascii="Calibri" w:hAnsi="Calibri" w:eastAsia="宋体" w:cs="Calibri"/>
      <w:sz w:val="18"/>
      <w:szCs w:val="18"/>
    </w:rPr>
  </w:style>
  <w:style w:type="character" w:customStyle="1" w:styleId="45">
    <w:name w:val="副标题 字符"/>
    <w:basedOn w:val="26"/>
    <w:link w:val="18"/>
    <w:qFormat/>
    <w:uiPriority w:val="11"/>
    <w:rPr>
      <w:b/>
      <w:bCs/>
      <w:kern w:val="28"/>
      <w:sz w:val="32"/>
      <w:szCs w:val="32"/>
    </w:rPr>
  </w:style>
  <w:style w:type="character" w:customStyle="1" w:styleId="46">
    <w:name w:val="标题 字符"/>
    <w:basedOn w:val="26"/>
    <w:link w:val="22"/>
    <w:qFormat/>
    <w:uiPriority w:val="10"/>
    <w:rPr>
      <w:rFonts w:asciiTheme="majorHAnsi" w:hAnsiTheme="majorHAnsi" w:eastAsiaTheme="majorEastAsia" w:cstheme="majorBidi"/>
      <w:b/>
      <w:bCs/>
      <w:sz w:val="32"/>
      <w:szCs w:val="32"/>
    </w:rPr>
  </w:style>
  <w:style w:type="character" w:customStyle="1" w:styleId="47">
    <w:name w:val="批注主题 字符"/>
    <w:basedOn w:val="41"/>
    <w:link w:val="23"/>
    <w:semiHidden/>
    <w:qFormat/>
    <w:uiPriority w:val="99"/>
    <w:rPr>
      <w:rFonts w:ascii="Calibri" w:hAnsi="Calibri" w:eastAsia="宋体" w:cs="Calibri"/>
      <w:b/>
      <w:bCs/>
      <w:szCs w:val="21"/>
    </w:rPr>
  </w:style>
  <w:style w:type="paragraph" w:customStyle="1" w:styleId="48">
    <w:name w:val="章标题"/>
    <w:basedOn w:val="49"/>
    <w:next w:val="51"/>
    <w:link w:val="65"/>
    <w:qFormat/>
    <w:uiPriority w:val="0"/>
    <w:pPr>
      <w:spacing w:before="312" w:beforeLines="100" w:after="312" w:afterLines="100"/>
    </w:pPr>
  </w:style>
  <w:style w:type="paragraph" w:customStyle="1" w:styleId="49">
    <w:name w:val="1章标题"/>
    <w:next w:val="50"/>
    <w:link w:val="64"/>
    <w:autoRedefine/>
    <w:qFormat/>
    <w:uiPriority w:val="99"/>
    <w:pPr>
      <w:numPr>
        <w:ilvl w:val="1"/>
        <w:numId w:val="1"/>
      </w:numPr>
      <w:spacing w:beforeLines="50" w:afterLines="50"/>
      <w:jc w:val="both"/>
      <w:outlineLvl w:val="0"/>
    </w:pPr>
    <w:rPr>
      <w:rFonts w:ascii="黑体" w:hAnsi="Times New Roman" w:eastAsia="黑体" w:cs="黑体"/>
      <w:sz w:val="21"/>
      <w:szCs w:val="21"/>
      <w:lang w:val="en-US" w:eastAsia="zh-CN" w:bidi="ar-SA"/>
    </w:rPr>
  </w:style>
  <w:style w:type="paragraph" w:customStyle="1" w:styleId="50">
    <w:name w:val="标准文件_段"/>
    <w:autoRedefine/>
    <w:qFormat/>
    <w:uiPriority w:val="99"/>
    <w:pPr>
      <w:widowControl w:val="0"/>
      <w:ind w:firstLine="198" w:firstLineChars="200"/>
      <w:jc w:val="both"/>
    </w:pPr>
    <w:rPr>
      <w:rFonts w:ascii="宋体" w:hAnsi="宋体" w:eastAsia="宋体" w:cs="宋体"/>
      <w:kern w:val="2"/>
      <w:sz w:val="21"/>
      <w:szCs w:val="21"/>
      <w:lang w:val="en-US" w:eastAsia="zh-CN" w:bidi="ar-SA"/>
    </w:rPr>
  </w:style>
  <w:style w:type="paragraph" w:customStyle="1" w:styleId="51">
    <w:name w:val="段"/>
    <w:basedOn w:val="1"/>
    <w:link w:val="55"/>
    <w:autoRedefine/>
    <w:qFormat/>
    <w:uiPriority w:val="0"/>
    <w:pPr>
      <w:adjustRightInd w:val="0"/>
      <w:ind w:firstLine="420" w:firstLineChars="200"/>
    </w:pPr>
    <w:rPr>
      <w:rFonts w:ascii="Times New Roman" w:hAnsi="Times New Roman" w:eastAsia="宋体" w:cs="Calibri"/>
      <w:szCs w:val="21"/>
    </w:rPr>
  </w:style>
  <w:style w:type="character" w:customStyle="1" w:styleId="52">
    <w:name w:val="不明显强调1"/>
    <w:basedOn w:val="26"/>
    <w:autoRedefine/>
    <w:qFormat/>
    <w:uiPriority w:val="19"/>
    <w:rPr>
      <w:i/>
      <w:iCs/>
      <w:color w:val="404040" w:themeColor="text1" w:themeTint="BF"/>
      <w14:textFill>
        <w14:solidFill>
          <w14:schemeClr w14:val="tx1">
            <w14:lumMod w14:val="75000"/>
            <w14:lumOff w14:val="25000"/>
          </w14:schemeClr>
        </w14:solidFill>
      </w14:textFill>
    </w:rPr>
  </w:style>
  <w:style w:type="paragraph" w:customStyle="1" w:styleId="53">
    <w:name w:val="目次、前言、引言"/>
    <w:basedOn w:val="22"/>
    <w:next w:val="51"/>
    <w:link w:val="54"/>
    <w:autoRedefine/>
    <w:qFormat/>
    <w:uiPriority w:val="0"/>
    <w:pPr>
      <w:spacing w:before="851" w:after="680" w:line="240" w:lineRule="auto"/>
    </w:pPr>
    <w:rPr>
      <w:rFonts w:eastAsia="黑体"/>
      <w:b w:val="0"/>
    </w:rPr>
  </w:style>
  <w:style w:type="character" w:customStyle="1" w:styleId="54">
    <w:name w:val="目次、前言、引言 字符"/>
    <w:basedOn w:val="46"/>
    <w:link w:val="53"/>
    <w:autoRedefine/>
    <w:qFormat/>
    <w:uiPriority w:val="0"/>
    <w:rPr>
      <w:rFonts w:eastAsia="黑体" w:asciiTheme="majorHAnsi" w:hAnsiTheme="majorHAnsi" w:cstheme="majorBidi"/>
      <w:b w:val="0"/>
      <w:sz w:val="32"/>
      <w:szCs w:val="32"/>
    </w:rPr>
  </w:style>
  <w:style w:type="character" w:customStyle="1" w:styleId="55">
    <w:name w:val="段 字符"/>
    <w:basedOn w:val="26"/>
    <w:link w:val="51"/>
    <w:autoRedefine/>
    <w:qFormat/>
    <w:uiPriority w:val="0"/>
    <w:rPr>
      <w:rFonts w:ascii="Times New Roman" w:hAnsi="Times New Roman" w:eastAsia="宋体" w:cs="Calibri"/>
      <w:szCs w:val="21"/>
    </w:rPr>
  </w:style>
  <w:style w:type="paragraph" w:customStyle="1" w:styleId="56">
    <w:name w:val="标准文件_二级条标题"/>
    <w:next w:val="50"/>
    <w:link w:val="74"/>
    <w:autoRedefine/>
    <w:qFormat/>
    <w:uiPriority w:val="99"/>
    <w:pPr>
      <w:widowControl w:val="0"/>
      <w:numPr>
        <w:ilvl w:val="3"/>
        <w:numId w:val="1"/>
      </w:numPr>
      <w:jc w:val="both"/>
      <w:outlineLvl w:val="2"/>
    </w:pPr>
    <w:rPr>
      <w:rFonts w:ascii="黑体" w:hAnsi="Times New Roman" w:eastAsia="黑体" w:cs="黑体"/>
      <w:sz w:val="21"/>
      <w:szCs w:val="21"/>
      <w:lang w:val="en-US" w:eastAsia="zh-CN" w:bidi="ar-SA"/>
    </w:rPr>
  </w:style>
  <w:style w:type="paragraph" w:customStyle="1" w:styleId="57">
    <w:name w:val="标准文件_三级条标题"/>
    <w:basedOn w:val="56"/>
    <w:next w:val="50"/>
    <w:link w:val="86"/>
    <w:autoRedefine/>
    <w:qFormat/>
    <w:uiPriority w:val="99"/>
    <w:pPr>
      <w:widowControl/>
      <w:numPr>
        <w:ilvl w:val="4"/>
      </w:numPr>
      <w:outlineLvl w:val="3"/>
    </w:pPr>
  </w:style>
  <w:style w:type="paragraph" w:customStyle="1" w:styleId="58">
    <w:name w:val="标准文件_四级条标题"/>
    <w:next w:val="50"/>
    <w:autoRedefine/>
    <w:qFormat/>
    <w:uiPriority w:val="99"/>
    <w:pPr>
      <w:widowControl w:val="0"/>
      <w:numPr>
        <w:ilvl w:val="5"/>
        <w:numId w:val="1"/>
      </w:numPr>
      <w:jc w:val="both"/>
      <w:outlineLvl w:val="4"/>
    </w:pPr>
    <w:rPr>
      <w:rFonts w:ascii="黑体" w:hAnsi="Times New Roman" w:eastAsia="黑体" w:cs="黑体"/>
      <w:sz w:val="21"/>
      <w:szCs w:val="21"/>
      <w:lang w:val="en-US" w:eastAsia="zh-CN" w:bidi="ar-SA"/>
    </w:rPr>
  </w:style>
  <w:style w:type="paragraph" w:customStyle="1" w:styleId="59">
    <w:name w:val="标准文件_五级条标题"/>
    <w:next w:val="50"/>
    <w:autoRedefine/>
    <w:qFormat/>
    <w:uiPriority w:val="99"/>
    <w:pPr>
      <w:widowControl w:val="0"/>
      <w:numPr>
        <w:ilvl w:val="6"/>
        <w:numId w:val="1"/>
      </w:numPr>
      <w:jc w:val="both"/>
      <w:outlineLvl w:val="5"/>
    </w:pPr>
    <w:rPr>
      <w:rFonts w:ascii="黑体" w:hAnsi="Times New Roman" w:eastAsia="黑体" w:cs="黑体"/>
      <w:sz w:val="21"/>
      <w:szCs w:val="21"/>
      <w:lang w:val="en-US" w:eastAsia="zh-CN" w:bidi="ar-SA"/>
    </w:rPr>
  </w:style>
  <w:style w:type="paragraph" w:customStyle="1" w:styleId="60">
    <w:name w:val="标准文件_一级条标题"/>
    <w:basedOn w:val="49"/>
    <w:next w:val="50"/>
    <w:link w:val="66"/>
    <w:autoRedefine/>
    <w:qFormat/>
    <w:uiPriority w:val="99"/>
    <w:pPr>
      <w:numPr>
        <w:ilvl w:val="2"/>
      </w:numPr>
      <w:spacing w:beforeLines="0" w:afterLines="0"/>
      <w:outlineLvl w:val="1"/>
    </w:pPr>
  </w:style>
  <w:style w:type="paragraph" w:customStyle="1" w:styleId="61">
    <w:name w:val="前言标题"/>
    <w:next w:val="1"/>
    <w:qFormat/>
    <w:uiPriority w:val="99"/>
    <w:pPr>
      <w:numPr>
        <w:ilvl w:val="0"/>
        <w:numId w:val="1"/>
      </w:numPr>
      <w:shd w:val="clear" w:color="FFFFFF" w:fill="FFFFFF"/>
      <w:spacing w:before="540"/>
      <w:jc w:val="center"/>
      <w:outlineLvl w:val="0"/>
    </w:pPr>
    <w:rPr>
      <w:rFonts w:ascii="黑体" w:hAnsi="Times New Roman" w:eastAsia="黑体" w:cs="黑体"/>
      <w:sz w:val="32"/>
      <w:szCs w:val="32"/>
      <w:lang w:val="en-US" w:eastAsia="zh-CN" w:bidi="ar-SA"/>
    </w:rPr>
  </w:style>
  <w:style w:type="paragraph" w:styleId="62">
    <w:name w:val="List Paragraph"/>
    <w:basedOn w:val="1"/>
    <w:link w:val="80"/>
    <w:qFormat/>
    <w:uiPriority w:val="99"/>
    <w:pPr>
      <w:ind w:firstLine="420" w:firstLineChars="200"/>
    </w:pPr>
    <w:rPr>
      <w:rFonts w:ascii="Calibri" w:hAnsi="Calibri" w:eastAsia="宋体" w:cs="Calibri"/>
      <w:szCs w:val="21"/>
    </w:rPr>
  </w:style>
  <w:style w:type="paragraph" w:customStyle="1" w:styleId="63">
    <w:name w:val="一级条标题"/>
    <w:basedOn w:val="60"/>
    <w:next w:val="51"/>
    <w:link w:val="67"/>
    <w:qFormat/>
    <w:uiPriority w:val="0"/>
    <w:pPr>
      <w:spacing w:before="156" w:beforeLines="50" w:after="156" w:afterLines="50"/>
    </w:pPr>
  </w:style>
  <w:style w:type="character" w:customStyle="1" w:styleId="64">
    <w:name w:val="1章标题 字符"/>
    <w:basedOn w:val="26"/>
    <w:link w:val="49"/>
    <w:qFormat/>
    <w:uiPriority w:val="99"/>
    <w:rPr>
      <w:rFonts w:ascii="黑体" w:hAnsi="Times New Roman" w:eastAsia="黑体" w:cs="黑体"/>
      <w:kern w:val="0"/>
      <w:szCs w:val="21"/>
    </w:rPr>
  </w:style>
  <w:style w:type="character" w:customStyle="1" w:styleId="65">
    <w:name w:val="章标题 字符"/>
    <w:basedOn w:val="64"/>
    <w:link w:val="48"/>
    <w:qFormat/>
    <w:uiPriority w:val="0"/>
    <w:rPr>
      <w:rFonts w:ascii="黑体" w:hAnsi="Times New Roman" w:eastAsia="黑体" w:cs="黑体"/>
      <w:kern w:val="0"/>
      <w:szCs w:val="21"/>
    </w:rPr>
  </w:style>
  <w:style w:type="character" w:customStyle="1" w:styleId="66">
    <w:name w:val="标准文件_一级条标题 字符"/>
    <w:basedOn w:val="64"/>
    <w:link w:val="60"/>
    <w:qFormat/>
    <w:uiPriority w:val="99"/>
    <w:rPr>
      <w:rFonts w:ascii="黑体" w:hAnsi="Times New Roman" w:eastAsia="黑体" w:cs="黑体"/>
      <w:kern w:val="0"/>
      <w:szCs w:val="21"/>
    </w:rPr>
  </w:style>
  <w:style w:type="character" w:customStyle="1" w:styleId="67">
    <w:name w:val="一级条标题 字符"/>
    <w:basedOn w:val="66"/>
    <w:link w:val="63"/>
    <w:qFormat/>
    <w:uiPriority w:val="0"/>
    <w:rPr>
      <w:rFonts w:ascii="黑体" w:hAnsi="Times New Roman" w:eastAsia="黑体" w:cs="黑体"/>
      <w:kern w:val="0"/>
      <w:szCs w:val="21"/>
    </w:rPr>
  </w:style>
  <w:style w:type="paragraph" w:customStyle="1" w:styleId="68">
    <w:name w:val="术语"/>
    <w:basedOn w:val="51"/>
    <w:next w:val="51"/>
    <w:link w:val="70"/>
    <w:qFormat/>
    <w:uiPriority w:val="0"/>
    <w:rPr>
      <w:rFonts w:eastAsia="黑体"/>
    </w:rPr>
  </w:style>
  <w:style w:type="character" w:customStyle="1" w:styleId="69">
    <w:name w:val="段 Char"/>
    <w:qFormat/>
    <w:uiPriority w:val="0"/>
    <w:rPr>
      <w:rFonts w:ascii="宋体"/>
      <w:sz w:val="21"/>
      <w:lang w:val="en-US" w:eastAsia="zh-CN" w:bidi="ar-SA"/>
    </w:rPr>
  </w:style>
  <w:style w:type="character" w:customStyle="1" w:styleId="70">
    <w:name w:val="术语 字符"/>
    <w:basedOn w:val="55"/>
    <w:link w:val="68"/>
    <w:qFormat/>
    <w:uiPriority w:val="0"/>
    <w:rPr>
      <w:rFonts w:ascii="Times New Roman" w:hAnsi="Times New Roman" w:eastAsia="黑体" w:cs="Calibri"/>
      <w:szCs w:val="21"/>
    </w:rPr>
  </w:style>
  <w:style w:type="paragraph" w:customStyle="1" w:styleId="71">
    <w:name w:val="注"/>
    <w:basedOn w:val="51"/>
    <w:next w:val="51"/>
    <w:link w:val="73"/>
    <w:qFormat/>
    <w:uiPriority w:val="0"/>
    <w:pPr>
      <w:widowControl/>
      <w:tabs>
        <w:tab w:val="center" w:pos="4201"/>
        <w:tab w:val="right" w:leader="dot" w:pos="9298"/>
      </w:tabs>
      <w:autoSpaceDE w:val="0"/>
      <w:autoSpaceDN w:val="0"/>
      <w:adjustRightInd/>
      <w:ind w:firstLine="360"/>
    </w:pPr>
    <w:rPr>
      <w:rFonts w:eastAsia="黑体"/>
      <w:sz w:val="18"/>
      <w:szCs w:val="18"/>
    </w:rPr>
  </w:style>
  <w:style w:type="paragraph" w:customStyle="1" w:styleId="72">
    <w:name w:val="二级条标题"/>
    <w:basedOn w:val="56"/>
    <w:next w:val="51"/>
    <w:link w:val="75"/>
    <w:qFormat/>
    <w:uiPriority w:val="0"/>
    <w:pPr>
      <w:spacing w:before="50" w:beforeLines="50" w:after="50" w:afterLines="50"/>
    </w:pPr>
    <w:rPr>
      <w:rFonts w:hAnsi="黑体" w:eastAsia="宋体"/>
    </w:rPr>
  </w:style>
  <w:style w:type="character" w:customStyle="1" w:styleId="73">
    <w:name w:val="注 字符"/>
    <w:basedOn w:val="55"/>
    <w:link w:val="71"/>
    <w:qFormat/>
    <w:uiPriority w:val="0"/>
    <w:rPr>
      <w:rFonts w:ascii="Times New Roman" w:hAnsi="Times New Roman" w:eastAsia="黑体" w:cs="Calibri"/>
      <w:sz w:val="18"/>
      <w:szCs w:val="18"/>
    </w:rPr>
  </w:style>
  <w:style w:type="character" w:customStyle="1" w:styleId="74">
    <w:name w:val="标准文件_二级条标题 字符"/>
    <w:basedOn w:val="26"/>
    <w:link w:val="56"/>
    <w:qFormat/>
    <w:uiPriority w:val="99"/>
    <w:rPr>
      <w:rFonts w:ascii="黑体" w:hAnsi="Times New Roman" w:eastAsia="黑体" w:cs="黑体"/>
      <w:kern w:val="0"/>
      <w:szCs w:val="21"/>
    </w:rPr>
  </w:style>
  <w:style w:type="character" w:customStyle="1" w:styleId="75">
    <w:name w:val="二级条标题 字符"/>
    <w:basedOn w:val="74"/>
    <w:link w:val="72"/>
    <w:qFormat/>
    <w:uiPriority w:val="0"/>
    <w:rPr>
      <w:rFonts w:ascii="黑体" w:hAnsi="黑体" w:eastAsia="宋体" w:cs="黑体"/>
      <w:kern w:val="0"/>
      <w:szCs w:val="21"/>
    </w:rPr>
  </w:style>
  <w:style w:type="paragraph" w:customStyle="1" w:styleId="76">
    <w:name w:val="正文图题"/>
    <w:basedOn w:val="20"/>
    <w:next w:val="51"/>
    <w:link w:val="79"/>
    <w:qFormat/>
    <w:uiPriority w:val="0"/>
    <w:pPr>
      <w:numPr>
        <w:ilvl w:val="0"/>
        <w:numId w:val="2"/>
      </w:numPr>
      <w:spacing w:before="50" w:beforeLines="50" w:after="50" w:afterLines="50" w:line="240" w:lineRule="auto"/>
      <w:ind w:left="0" w:leftChars="0" w:firstLine="0" w:firstLineChars="0"/>
      <w:jc w:val="center"/>
    </w:pPr>
    <w:rPr>
      <w:rFonts w:eastAsia="黑体"/>
    </w:rPr>
  </w:style>
  <w:style w:type="paragraph" w:customStyle="1" w:styleId="77">
    <w:name w:val="字母列项"/>
    <w:basedOn w:val="62"/>
    <w:next w:val="51"/>
    <w:link w:val="81"/>
    <w:autoRedefine/>
    <w:qFormat/>
    <w:uiPriority w:val="0"/>
    <w:pPr>
      <w:numPr>
        <w:ilvl w:val="0"/>
        <w:numId w:val="3"/>
      </w:numPr>
      <w:ind w:left="777" w:hanging="357" w:firstLineChars="0"/>
      <w:jc w:val="left"/>
    </w:pPr>
    <w:rPr>
      <w:rFonts w:cs="宋体"/>
    </w:rPr>
  </w:style>
  <w:style w:type="character" w:customStyle="1" w:styleId="78">
    <w:name w:val="图表目录 字符"/>
    <w:basedOn w:val="26"/>
    <w:link w:val="20"/>
    <w:semiHidden/>
    <w:qFormat/>
    <w:uiPriority w:val="99"/>
    <w:rPr>
      <w:rFonts w:ascii="Calibri" w:hAnsi="Calibri" w:eastAsia="宋体" w:cs="Calibri"/>
      <w:szCs w:val="21"/>
    </w:rPr>
  </w:style>
  <w:style w:type="character" w:customStyle="1" w:styleId="79">
    <w:name w:val="正文图题 字符"/>
    <w:basedOn w:val="78"/>
    <w:link w:val="76"/>
    <w:qFormat/>
    <w:uiPriority w:val="0"/>
    <w:rPr>
      <w:rFonts w:ascii="Calibri" w:hAnsi="Calibri" w:eastAsia="黑体" w:cs="Calibri"/>
      <w:szCs w:val="21"/>
    </w:rPr>
  </w:style>
  <w:style w:type="character" w:customStyle="1" w:styleId="80">
    <w:name w:val="列表段落 字符"/>
    <w:basedOn w:val="26"/>
    <w:link w:val="62"/>
    <w:qFormat/>
    <w:uiPriority w:val="99"/>
    <w:rPr>
      <w:rFonts w:ascii="Calibri" w:hAnsi="Calibri" w:eastAsia="宋体" w:cs="Calibri"/>
      <w:szCs w:val="21"/>
    </w:rPr>
  </w:style>
  <w:style w:type="character" w:customStyle="1" w:styleId="81">
    <w:name w:val="字母列项 字符"/>
    <w:basedOn w:val="80"/>
    <w:link w:val="77"/>
    <w:qFormat/>
    <w:uiPriority w:val="0"/>
    <w:rPr>
      <w:rFonts w:ascii="Calibri" w:hAnsi="Calibri" w:eastAsia="宋体" w:cs="宋体"/>
      <w:szCs w:val="21"/>
    </w:rPr>
  </w:style>
  <w:style w:type="paragraph" w:customStyle="1" w:styleId="82">
    <w:name w:val="正文表标题"/>
    <w:basedOn w:val="76"/>
    <w:next w:val="51"/>
    <w:link w:val="84"/>
    <w:qFormat/>
    <w:uiPriority w:val="0"/>
    <w:pPr>
      <w:numPr>
        <w:numId w:val="4"/>
      </w:numPr>
    </w:pPr>
  </w:style>
  <w:style w:type="paragraph" w:customStyle="1" w:styleId="83">
    <w:name w:val="三级条标题"/>
    <w:basedOn w:val="57"/>
    <w:next w:val="51"/>
    <w:link w:val="87"/>
    <w:qFormat/>
    <w:uiPriority w:val="0"/>
    <w:pPr>
      <w:spacing w:before="156" w:beforeLines="50" w:after="156" w:afterLines="50"/>
    </w:pPr>
  </w:style>
  <w:style w:type="character" w:customStyle="1" w:styleId="84">
    <w:name w:val="正文表标题 字符"/>
    <w:basedOn w:val="79"/>
    <w:link w:val="82"/>
    <w:qFormat/>
    <w:uiPriority w:val="0"/>
    <w:rPr>
      <w:rFonts w:ascii="Calibri" w:hAnsi="Calibri" w:eastAsia="黑体" w:cs="Calibri"/>
      <w:szCs w:val="21"/>
    </w:rPr>
  </w:style>
  <w:style w:type="paragraph" w:customStyle="1" w:styleId="85">
    <w:name w:val="列项（——）"/>
    <w:basedOn w:val="1"/>
    <w:link w:val="89"/>
    <w:qFormat/>
    <w:uiPriority w:val="0"/>
    <w:pPr>
      <w:widowControl/>
      <w:tabs>
        <w:tab w:val="center" w:pos="4201"/>
        <w:tab w:val="right" w:leader="dot" w:pos="9298"/>
      </w:tabs>
      <w:autoSpaceDE w:val="0"/>
      <w:autoSpaceDN w:val="0"/>
      <w:ind w:left="400" w:leftChars="200" w:hanging="200" w:hangingChars="200"/>
    </w:pPr>
    <w:rPr>
      <w:rFonts w:ascii="Times New Roman" w:hAnsi="Times New Roman" w:eastAsia="宋体" w:cs="黑体"/>
      <w:kern w:val="0"/>
      <w:szCs w:val="21"/>
    </w:rPr>
  </w:style>
  <w:style w:type="character" w:customStyle="1" w:styleId="86">
    <w:name w:val="标准文件_三级条标题 字符"/>
    <w:basedOn w:val="74"/>
    <w:link w:val="57"/>
    <w:qFormat/>
    <w:uiPriority w:val="99"/>
    <w:rPr>
      <w:rFonts w:ascii="黑体" w:hAnsi="Times New Roman" w:eastAsia="黑体" w:cs="黑体"/>
      <w:kern w:val="0"/>
      <w:szCs w:val="21"/>
    </w:rPr>
  </w:style>
  <w:style w:type="character" w:customStyle="1" w:styleId="87">
    <w:name w:val="三级条标题 字符"/>
    <w:basedOn w:val="86"/>
    <w:link w:val="83"/>
    <w:qFormat/>
    <w:uiPriority w:val="0"/>
    <w:rPr>
      <w:rFonts w:ascii="黑体" w:hAnsi="Times New Roman" w:eastAsia="黑体" w:cs="黑体"/>
      <w:kern w:val="0"/>
      <w:szCs w:val="21"/>
    </w:rPr>
  </w:style>
  <w:style w:type="table" w:customStyle="1" w:styleId="88">
    <w:name w:val="网格型1"/>
    <w:basedOn w:val="24"/>
    <w:qFormat/>
    <w:uiPriority w:val="9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
    <w:name w:val="列项（——） 字符"/>
    <w:basedOn w:val="26"/>
    <w:link w:val="85"/>
    <w:qFormat/>
    <w:uiPriority w:val="0"/>
    <w:rPr>
      <w:rFonts w:ascii="Times New Roman" w:hAnsi="Times New Roman" w:eastAsia="宋体" w:cs="黑体"/>
      <w:kern w:val="0"/>
      <w:szCs w:val="21"/>
    </w:rPr>
  </w:style>
  <w:style w:type="paragraph" w:customStyle="1" w:styleId="90">
    <w:name w:val="正文公式"/>
    <w:basedOn w:val="1"/>
    <w:link w:val="92"/>
    <w:qFormat/>
    <w:uiPriority w:val="0"/>
    <w:pPr>
      <w:tabs>
        <w:tab w:val="center" w:pos="2520"/>
        <w:tab w:val="right" w:pos="5040"/>
      </w:tabs>
      <w:jc w:val="center"/>
    </w:pPr>
    <w:rPr>
      <w:rFonts w:ascii="宋体" w:hAnsi="宋体" w:eastAsia="宋体" w:cs="宋体"/>
      <w:szCs w:val="18"/>
    </w:rPr>
  </w:style>
  <w:style w:type="paragraph" w:customStyle="1" w:styleId="91">
    <w:name w:val="正文公式1"/>
    <w:basedOn w:val="51"/>
    <w:next w:val="51"/>
    <w:qFormat/>
    <w:uiPriority w:val="0"/>
    <w:pPr>
      <w:tabs>
        <w:tab w:val="center" w:pos="4200"/>
        <w:tab w:val="right" w:leader="dot" w:pos="9030"/>
      </w:tabs>
      <w:ind w:firstLine="0" w:firstLineChars="0"/>
      <w:jc w:val="left"/>
    </w:pPr>
  </w:style>
  <w:style w:type="character" w:customStyle="1" w:styleId="92">
    <w:name w:val="正文公式 字符"/>
    <w:basedOn w:val="26"/>
    <w:link w:val="90"/>
    <w:qFormat/>
    <w:uiPriority w:val="0"/>
    <w:rPr>
      <w:rFonts w:ascii="宋体" w:hAnsi="宋体" w:eastAsia="宋体" w:cs="宋体"/>
      <w:szCs w:val="18"/>
    </w:rPr>
  </w:style>
  <w:style w:type="character" w:customStyle="1" w:styleId="93">
    <w:name w:val="批注文字 字符1"/>
    <w:link w:val="12"/>
    <w:qFormat/>
    <w:uiPriority w:val="0"/>
    <w:rPr>
      <w:szCs w:val="24"/>
    </w:rPr>
  </w:style>
  <w:style w:type="paragraph" w:customStyle="1" w:styleId="94">
    <w:name w:val="附录标识"/>
    <w:basedOn w:val="1"/>
    <w:next w:val="51"/>
    <w:link w:val="97"/>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95">
    <w:name w:val="附录标题"/>
    <w:basedOn w:val="94"/>
    <w:next w:val="51"/>
    <w:link w:val="98"/>
    <w:qFormat/>
    <w:uiPriority w:val="0"/>
    <w:pPr>
      <w:numPr>
        <w:ilvl w:val="0"/>
        <w:numId w:val="5"/>
      </w:numPr>
      <w:spacing w:after="360" w:line="360" w:lineRule="exact"/>
    </w:pPr>
  </w:style>
  <w:style w:type="paragraph" w:customStyle="1" w:styleId="96">
    <w:name w:val="附录章标题"/>
    <w:basedOn w:val="95"/>
    <w:next w:val="51"/>
    <w:link w:val="100"/>
    <w:qFormat/>
    <w:uiPriority w:val="0"/>
    <w:pPr>
      <w:numPr>
        <w:ilvl w:val="1"/>
      </w:numPr>
      <w:tabs>
        <w:tab w:val="clear" w:pos="360"/>
        <w:tab w:val="clear" w:pos="6405"/>
      </w:tabs>
      <w:spacing w:before="100" w:beforeLines="100" w:after="100" w:afterLines="100" w:line="240" w:lineRule="auto"/>
      <w:jc w:val="left"/>
    </w:pPr>
  </w:style>
  <w:style w:type="character" w:customStyle="1" w:styleId="97">
    <w:name w:val="附录标识 字符"/>
    <w:basedOn w:val="26"/>
    <w:link w:val="94"/>
    <w:qFormat/>
    <w:uiPriority w:val="0"/>
    <w:rPr>
      <w:rFonts w:ascii="黑体" w:hAnsi="Times New Roman" w:eastAsia="黑体" w:cs="Times New Roman"/>
      <w:kern w:val="0"/>
      <w:szCs w:val="20"/>
      <w:shd w:val="clear" w:color="FFFFFF" w:fill="FFFFFF"/>
    </w:rPr>
  </w:style>
  <w:style w:type="character" w:customStyle="1" w:styleId="98">
    <w:name w:val="附录标题 字符"/>
    <w:basedOn w:val="97"/>
    <w:link w:val="95"/>
    <w:qFormat/>
    <w:uiPriority w:val="0"/>
    <w:rPr>
      <w:rFonts w:ascii="黑体" w:hAnsi="Times New Roman" w:eastAsia="黑体" w:cs="Times New Roman"/>
      <w:kern w:val="0"/>
      <w:szCs w:val="20"/>
      <w:shd w:val="clear" w:color="FFFFFF" w:fill="FFFFFF"/>
    </w:rPr>
  </w:style>
  <w:style w:type="paragraph" w:customStyle="1" w:styleId="99">
    <w:name w:val="标准文件_正文图标题"/>
    <w:next w:val="1"/>
    <w:qFormat/>
    <w:uiPriority w:val="99"/>
    <w:pPr>
      <w:numPr>
        <w:ilvl w:val="0"/>
        <w:numId w:val="6"/>
      </w:numPr>
      <w:jc w:val="center"/>
    </w:pPr>
    <w:rPr>
      <w:rFonts w:ascii="黑体" w:hAnsi="Times New Roman" w:eastAsia="黑体" w:cs="黑体"/>
      <w:sz w:val="21"/>
      <w:szCs w:val="21"/>
      <w:lang w:val="en-US" w:eastAsia="zh-CN" w:bidi="ar-SA"/>
    </w:rPr>
  </w:style>
  <w:style w:type="character" w:customStyle="1" w:styleId="100">
    <w:name w:val="附录章标题 字符"/>
    <w:basedOn w:val="98"/>
    <w:link w:val="96"/>
    <w:qFormat/>
    <w:uiPriority w:val="0"/>
    <w:rPr>
      <w:rFonts w:ascii="黑体" w:hAnsi="Times New Roman" w:eastAsia="黑体" w:cs="Times New Roman"/>
      <w:kern w:val="0"/>
      <w:szCs w:val="20"/>
      <w:shd w:val="clear" w:color="FFFFFF" w:fill="FFFFFF"/>
    </w:rPr>
  </w:style>
  <w:style w:type="paragraph" w:customStyle="1" w:styleId="101">
    <w:name w:val="正文图标题"/>
    <w:next w:val="51"/>
    <w:qFormat/>
    <w:uiPriority w:val="99"/>
    <w:pPr>
      <w:tabs>
        <w:tab w:val="left" w:pos="360"/>
      </w:tabs>
      <w:spacing w:beforeLines="50" w:afterLines="50"/>
      <w:ind w:left="823" w:hanging="420"/>
      <w:jc w:val="center"/>
    </w:pPr>
    <w:rPr>
      <w:rFonts w:ascii="黑体" w:hAnsi="Times New Roman" w:eastAsia="黑体" w:cs="黑体"/>
      <w:sz w:val="21"/>
      <w:szCs w:val="21"/>
      <w:lang w:val="en-US" w:eastAsia="zh-CN" w:bidi="ar-SA"/>
    </w:rPr>
  </w:style>
  <w:style w:type="paragraph" w:customStyle="1" w:styleId="102">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宋体"/>
      <w:b/>
      <w:bCs/>
      <w:w w:val="148"/>
      <w:sz w:val="52"/>
      <w:szCs w:val="52"/>
      <w:lang w:val="en-US" w:eastAsia="zh-CN" w:bidi="ar-SA"/>
    </w:rPr>
  </w:style>
  <w:style w:type="paragraph" w:customStyle="1" w:styleId="103">
    <w:name w:val="标准文件_页脚偶数页"/>
    <w:qFormat/>
    <w:uiPriority w:val="99"/>
    <w:rPr>
      <w:rFonts w:ascii="宋体" w:hAnsi="Times New Roman" w:eastAsia="宋体" w:cs="宋体"/>
      <w:sz w:val="18"/>
      <w:szCs w:val="18"/>
      <w:lang w:val="en-US" w:eastAsia="zh-CN" w:bidi="ar-SA"/>
    </w:rPr>
  </w:style>
  <w:style w:type="paragraph" w:customStyle="1" w:styleId="104">
    <w:name w:val="附录一级条标题"/>
    <w:basedOn w:val="96"/>
    <w:next w:val="51"/>
    <w:link w:val="105"/>
    <w:qFormat/>
    <w:uiPriority w:val="0"/>
    <w:pPr>
      <w:numPr>
        <w:ilvl w:val="2"/>
      </w:numPr>
      <w:spacing w:before="156" w:beforeLines="50" w:after="156" w:afterLines="50"/>
    </w:pPr>
  </w:style>
  <w:style w:type="character" w:customStyle="1" w:styleId="105">
    <w:name w:val="附录一级条标题 字符"/>
    <w:basedOn w:val="100"/>
    <w:link w:val="104"/>
    <w:qFormat/>
    <w:uiPriority w:val="0"/>
    <w:rPr>
      <w:rFonts w:ascii="黑体" w:hAnsi="Times New Roman" w:eastAsia="黑体" w:cs="Times New Roman"/>
      <w:kern w:val="0"/>
      <w:szCs w:val="20"/>
      <w:shd w:val="clear" w:color="FFFFFF" w:fill="FFFFFF"/>
    </w:rPr>
  </w:style>
  <w:style w:type="paragraph" w:customStyle="1" w:styleId="106">
    <w:name w:val="附录图标题"/>
    <w:basedOn w:val="95"/>
    <w:next w:val="51"/>
    <w:link w:val="108"/>
    <w:qFormat/>
    <w:uiPriority w:val="0"/>
    <w:pPr>
      <w:numPr>
        <w:ilvl w:val="0"/>
        <w:numId w:val="7"/>
      </w:numPr>
      <w:spacing w:before="50" w:beforeLines="50" w:after="50" w:afterLines="50" w:line="240" w:lineRule="auto"/>
    </w:pPr>
  </w:style>
  <w:style w:type="paragraph" w:customStyle="1" w:styleId="107">
    <w:name w:val="附录表标题"/>
    <w:basedOn w:val="1"/>
    <w:next w:val="51"/>
    <w:qFormat/>
    <w:uiPriority w:val="0"/>
    <w:pPr>
      <w:tabs>
        <w:tab w:val="left" w:pos="180"/>
      </w:tabs>
      <w:spacing w:beforeLines="50" w:afterLines="50"/>
      <w:jc w:val="center"/>
    </w:pPr>
    <w:rPr>
      <w:rFonts w:ascii="黑体" w:hAnsi="Times New Roman" w:eastAsia="黑体" w:cs="Times New Roman"/>
      <w:szCs w:val="21"/>
    </w:rPr>
  </w:style>
  <w:style w:type="character" w:customStyle="1" w:styleId="108">
    <w:name w:val="附录图标题 字符"/>
    <w:basedOn w:val="98"/>
    <w:link w:val="106"/>
    <w:qFormat/>
    <w:uiPriority w:val="0"/>
    <w:rPr>
      <w:rFonts w:ascii="黑体" w:hAnsi="Times New Roman" w:eastAsia="黑体" w:cs="Times New Roman"/>
      <w:kern w:val="0"/>
      <w:szCs w:val="20"/>
      <w:shd w:val="clear" w:color="FFFFFF" w:fill="FFFFFF"/>
    </w:rPr>
  </w:style>
  <w:style w:type="paragraph" w:customStyle="1" w:styleId="109">
    <w:name w:val="样式1"/>
    <w:basedOn w:val="94"/>
    <w:next w:val="51"/>
    <w:link w:val="110"/>
    <w:qFormat/>
    <w:uiPriority w:val="0"/>
    <w:pPr>
      <w:spacing w:before="312" w:after="312"/>
    </w:pPr>
  </w:style>
  <w:style w:type="character" w:customStyle="1" w:styleId="110">
    <w:name w:val="样式1 字符"/>
    <w:basedOn w:val="97"/>
    <w:link w:val="109"/>
    <w:qFormat/>
    <w:uiPriority w:val="0"/>
    <w:rPr>
      <w:rFonts w:ascii="黑体" w:hAnsi="Times New Roman" w:eastAsia="黑体" w:cs="Times New Roman"/>
      <w:kern w:val="0"/>
      <w:szCs w:val="20"/>
      <w:shd w:val="clear" w:color="FFFFFF" w:fill="FFFFFF"/>
    </w:rPr>
  </w:style>
  <w:style w:type="paragraph" w:customStyle="1" w:styleId="111">
    <w:name w:val="附录图标题1"/>
    <w:basedOn w:val="18"/>
    <w:next w:val="51"/>
    <w:link w:val="113"/>
    <w:qFormat/>
    <w:uiPriority w:val="0"/>
    <w:pPr>
      <w:spacing w:before="156" w:beforeLines="50" w:after="156" w:afterLines="50" w:line="240" w:lineRule="auto"/>
    </w:pPr>
    <w:rPr>
      <w:rFonts w:eastAsia="黑体"/>
      <w:b w:val="0"/>
    </w:rPr>
  </w:style>
  <w:style w:type="paragraph" w:customStyle="1" w:styleId="112">
    <w:name w:val="附录表标题1"/>
    <w:basedOn w:val="111"/>
    <w:next w:val="51"/>
    <w:link w:val="114"/>
    <w:qFormat/>
    <w:uiPriority w:val="0"/>
    <w:pPr>
      <w:spacing w:before="50" w:after="50"/>
    </w:pPr>
  </w:style>
  <w:style w:type="character" w:customStyle="1" w:styleId="113">
    <w:name w:val="附录图标题1 字符"/>
    <w:basedOn w:val="45"/>
    <w:link w:val="111"/>
    <w:qFormat/>
    <w:uiPriority w:val="0"/>
    <w:rPr>
      <w:rFonts w:eastAsia="黑体"/>
      <w:b w:val="0"/>
      <w:kern w:val="28"/>
      <w:sz w:val="32"/>
      <w:szCs w:val="32"/>
    </w:rPr>
  </w:style>
  <w:style w:type="character" w:customStyle="1" w:styleId="114">
    <w:name w:val="附录表标题1 字符"/>
    <w:basedOn w:val="113"/>
    <w:link w:val="112"/>
    <w:qFormat/>
    <w:uiPriority w:val="0"/>
    <w:rPr>
      <w:rFonts w:eastAsia="黑体"/>
      <w:kern w:val="28"/>
      <w:sz w:val="32"/>
      <w:szCs w:val="32"/>
    </w:rPr>
  </w:style>
  <w:style w:type="paragraph" w:customStyle="1" w:styleId="115">
    <w:name w:val="参考文献、索引"/>
    <w:basedOn w:val="53"/>
    <w:next w:val="51"/>
    <w:link w:val="116"/>
    <w:qFormat/>
    <w:uiPriority w:val="0"/>
    <w:pPr>
      <w:spacing w:after="284"/>
    </w:pPr>
    <w:rPr>
      <w:rFonts w:ascii="黑体"/>
    </w:rPr>
  </w:style>
  <w:style w:type="character" w:customStyle="1" w:styleId="116">
    <w:name w:val="参考文献、索引 字符"/>
    <w:basedOn w:val="54"/>
    <w:link w:val="115"/>
    <w:qFormat/>
    <w:uiPriority w:val="0"/>
    <w:rPr>
      <w:rFonts w:ascii="黑体" w:eastAsia="黑体" w:hAnsiTheme="majorHAnsi" w:cstheme="majorBidi"/>
      <w:sz w:val="32"/>
      <w:szCs w:val="32"/>
    </w:rPr>
  </w:style>
  <w:style w:type="character" w:styleId="117">
    <w:name w:val="Placeholder Text"/>
    <w:basedOn w:val="26"/>
    <w:semiHidden/>
    <w:qFormat/>
    <w:uiPriority w:val="99"/>
    <w:rPr>
      <w:color w:val="808080"/>
    </w:rPr>
  </w:style>
  <w:style w:type="paragraph" w:customStyle="1" w:styleId="118">
    <w:name w:val="标准书眉_偶数页"/>
    <w:basedOn w:val="1"/>
    <w:next w:val="1"/>
    <w:qFormat/>
    <w:uiPriority w:val="0"/>
    <w:pPr>
      <w:widowControl/>
      <w:tabs>
        <w:tab w:val="center" w:pos="4154"/>
        <w:tab w:val="right" w:pos="8306"/>
      </w:tabs>
      <w:spacing w:after="220"/>
      <w:jc w:val="left"/>
    </w:pPr>
    <w:rPr>
      <w:rFonts w:ascii="黑体" w:hAnsi="Times New Roman" w:eastAsia="黑体" w:cs="Times New Roman"/>
      <w:kern w:val="0"/>
      <w:szCs w:val="21"/>
    </w:rPr>
  </w:style>
  <w:style w:type="paragraph" w:customStyle="1" w:styleId="11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20">
    <w:name w:val="WPSOffice手动目录 1"/>
    <w:qFormat/>
    <w:uiPriority w:val="0"/>
    <w:rPr>
      <w:rFonts w:ascii="Times New Roman" w:hAnsi="Times New Roman" w:eastAsia="宋体" w:cs="Times New Roman"/>
      <w:lang w:val="en-US" w:eastAsia="zh-CN" w:bidi="ar-SA"/>
    </w:rPr>
  </w:style>
  <w:style w:type="paragraph" w:customStyle="1" w:styleId="12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23">
    <w:name w:val="正文段落【主要】"/>
    <w:autoRedefine/>
    <w:qFormat/>
    <w:uiPriority w:val="0"/>
    <w:pPr>
      <w:tabs>
        <w:tab w:val="center" w:pos="4201"/>
        <w:tab w:val="right" w:leader="dot" w:pos="9298"/>
      </w:tabs>
      <w:autoSpaceDE w:val="0"/>
      <w:autoSpaceDN w:val="0"/>
      <w:ind w:firstLine="420" w:firstLineChars="200"/>
      <w:jc w:val="both"/>
    </w:pPr>
    <w:rPr>
      <w:rFonts w:ascii="Times New Roman" w:hAnsi="Times New Roman" w:eastAsia="宋体" w:cstheme="minorBidi"/>
      <w:kern w:val="2"/>
      <w:sz w:val="21"/>
      <w:szCs w:val="22"/>
      <w:lang w:val="en-US" w:eastAsia="zh-CN" w:bidi="ar-SA"/>
    </w:rPr>
  </w:style>
  <w:style w:type="paragraph" w:customStyle="1" w:styleId="124">
    <w:name w:val="正文段落-能力要素内容"/>
    <w:autoRedefine/>
    <w:qFormat/>
    <w:uiPriority w:val="0"/>
    <w:pPr>
      <w:tabs>
        <w:tab w:val="center" w:pos="4201"/>
        <w:tab w:val="right" w:leader="dot" w:pos="9298"/>
      </w:tabs>
      <w:autoSpaceDE w:val="0"/>
      <w:autoSpaceDN w:val="0"/>
      <w:ind w:left="1140" w:leftChars="300" w:hanging="420" w:hangingChars="200"/>
      <w:jc w:val="both"/>
    </w:pPr>
    <w:rPr>
      <w:rFonts w:ascii="Times New Roman" w:hAnsi="Times New Roman" w:eastAsia="宋体" w:cstheme="minorBidi"/>
      <w:kern w:val="2"/>
      <w:sz w:val="21"/>
      <w:szCs w:val="22"/>
      <w:lang w:val="en-US" w:eastAsia="zh-CN" w:bidi="ar-SA"/>
    </w:rPr>
  </w:style>
  <w:style w:type="paragraph" w:customStyle="1" w:styleId="125">
    <w:name w:val="正文段落-能力要素标题"/>
    <w:autoRedefine/>
    <w:qFormat/>
    <w:uiPriority w:val="0"/>
    <w:pPr>
      <w:tabs>
        <w:tab w:val="center" w:pos="4201"/>
        <w:tab w:val="right" w:leader="dot" w:pos="9298"/>
      </w:tabs>
      <w:autoSpaceDE w:val="0"/>
      <w:autoSpaceDN w:val="0"/>
      <w:spacing w:line="360" w:lineRule="exact"/>
      <w:jc w:val="both"/>
    </w:pPr>
    <w:rPr>
      <w:rFonts w:ascii="Times New Roman" w:hAnsi="Times New Roman" w:eastAsia="宋体" w:cstheme="minorBidi"/>
      <w:kern w:val="2"/>
      <w:sz w:val="21"/>
      <w:szCs w:val="22"/>
      <w:lang w:val="en-US" w:eastAsia="zh-CN" w:bidi="ar-SA"/>
    </w:rPr>
  </w:style>
  <w:style w:type="paragraph" w:customStyle="1" w:styleId="126">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1456</Words>
  <Characters>1776</Characters>
  <Lines>80</Lines>
  <Paragraphs>22</Paragraphs>
  <TotalTime>10</TotalTime>
  <ScaleCrop>false</ScaleCrop>
  <LinksUpToDate>false</LinksUpToDate>
  <CharactersWithSpaces>1900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2021-12-23T09:20:00Z</dcterms:created>
  <dc:creator>Administrator</dc:creator>
  <cp:lastModifiedBy>飞天 教育</cp:lastModifiedBy>
  <cp:lastPrinted>2022-08-25T09:16:00Z</cp:lastPrinted>
  <dcterms:modified xsi:type="dcterms:W3CDTF">2025-10-27T08:27:34Z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E7710CB3C2004A6D80606EDF9317532D_13</vt:lpwstr>
  </property>
  <property fmtid="{D5CDD505-2E9C-101B-9397-08002B2CF9AE}" pid="4" name="KSOTemplateDocerSaveRecord">
    <vt:lpwstr>eyJoZGlkIjoiOWM0NmVhMjcwOTM5NDRkMDdkNjgzNmZkM2Q4ZWU0NDEiLCJ1c2VySWQiOiIxOTU1ODM5NzMifQ==</vt:lpwstr>
  </property>
</Properties>
</file>