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framePr/>
        <w:rPr>
          <w:rFonts w:hint="default" w:ascii="Times New Roman" w:hAnsi="Times New Roman" w:cs="Times New Roman"/>
          <w:color w:val="auto"/>
        </w:rPr>
      </w:pPr>
      <w:r>
        <w:rPr>
          <w:rFonts w:hint="default" w:ascii="Times New Roman" w:hAnsi="Times New Roman" w:cs="Times New Roman"/>
          <w:color w:val="auto"/>
        </w:rPr>
        <w:t>ICS</w:t>
      </w:r>
      <w:r>
        <w:rPr>
          <w:rFonts w:hint="default" w:ascii="Times New Roman" w:hAnsi="Times New Roman" w:eastAsia="MS Mincho" w:cs="Times New Roman"/>
          <w:color w:val="auto"/>
        </w:rPr>
        <w:t> </w:t>
      </w:r>
    </w:p>
    <w:p>
      <w:pPr>
        <w:pStyle w:val="37"/>
        <w:framePr/>
        <w:rPr>
          <w:rFonts w:hint="default" w:ascii="Times New Roman" w:hAnsi="Times New Roman" w:cs="Times New Roman"/>
          <w:color w:val="auto"/>
        </w:rPr>
      </w:pPr>
      <w:bookmarkStart w:id="0" w:name="WXFLH"/>
      <w:r>
        <w:rPr>
          <w:rFonts w:hint="default" w:ascii="Times New Roman" w:hAnsi="Times New Roman" w:cs="Times New Roman"/>
          <w:color w:val="auto"/>
        </w:rPr>
        <w:fldChar w:fldCharType="begin">
          <w:ffData>
            <w:name w:val="WXFLH"/>
            <w:enabled/>
            <w:calcOnExit w:val="0"/>
            <w:helpText w:type="text" w:val="请输入中国标准文献分类号："/>
            <w:textInput>
              <w:default w:val="点击此处添加中国标准文献分类号"/>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M 32</w:t>
      </w:r>
      <w:r>
        <w:rPr>
          <w:rFonts w:hint="default" w:ascii="Times New Roman" w:hAnsi="Times New Roman" w:cs="Times New Roman"/>
          <w:color w:val="auto"/>
        </w:rPr>
        <w:fldChar w:fldCharType="end"/>
      </w:r>
      <w:bookmarkEnd w:id="0"/>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37"/>
              <w:frame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3810" r="4445" b="0"/>
                      <wp:wrapNone/>
                      <wp:docPr id="686756069" name="矩形 5"/>
                      <wp:cNvGraphicFramePr/>
                      <a:graphic xmlns:a="http://schemas.openxmlformats.org/drawingml/2006/main">
                        <a:graphicData uri="http://schemas.microsoft.com/office/word/2010/wordprocessingShape">
                          <wps:wsp>
                            <wps:cNvSpPr>
                              <a:spLocks noChangeArrowheads="true"/>
                            </wps:cNvSpPr>
                            <wps:spPr bwMode="auto">
                              <a:xfrm>
                                <a:off x="0" y="0"/>
                                <a:ext cx="866775" cy="19812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矩形 5" o:spid="_x0000_s1026" o:spt="1" style="position:absolute;left:0pt;margin-left:-5.25pt;margin-top:0pt;height:15.6pt;width:68.25pt;z-index:-251653120;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yK4v7NUA&#10;AAAHAQAADwAAAAAAAAABACAAAAA4AAAAZHJzL2Rvd25yZXYueG1sUEsBAhQAFAAAAAgAh07iQI6j&#10;AugMAgAA6QMAAA4AAAAAAAAAAQAgAAAAOgEAAGRycy9lMm9Eb2MueG1sUEsFBgAAAAAGAAYAWQEA&#10;ALgFAAAAAA==&#10;">
                      <v:fill on="t" focussize="0,0"/>
                      <v:stroke on="f"/>
                      <v:imagedata o:title=""/>
                      <o:lock v:ext="edit" aspectratio="f"/>
                    </v:rect>
                  </w:pict>
                </mc:Fallback>
              </mc:AlternateContent>
            </w:r>
            <w:r>
              <w:rPr>
                <w:rFonts w:hint="default" w:ascii="Times New Roman" w:hAnsi="Times New Roman" w:cs="Times New Roman"/>
                <w:color w:val="auto"/>
              </w:rPr>
              <w:fldChar w:fldCharType="begin">
                <w:ffData>
                  <w:name w:val="BAH"/>
                  <w:enabled/>
                  <w:calcOnExit w:val="0"/>
                  <w:textInput/>
                </w:ffData>
              </w:fldChar>
            </w:r>
            <w:bookmarkStart w:id="1" w:name="BAH"/>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     </w:t>
            </w:r>
            <w:r>
              <w:rPr>
                <w:rFonts w:hint="default" w:ascii="Times New Roman" w:hAnsi="Times New Roman" w:cs="Times New Roman"/>
                <w:color w:val="auto"/>
              </w:rPr>
              <w:fldChar w:fldCharType="end"/>
            </w:r>
            <w:bookmarkEnd w:id="1"/>
          </w:p>
        </w:tc>
      </w:tr>
    </w:tbl>
    <w:p>
      <w:pPr>
        <w:pStyle w:val="34"/>
        <w:framePr/>
        <w:rPr>
          <w:rFonts w:hint="default" w:ascii="Times New Roman" w:hAnsi="Times New Roman" w:cs="Times New Roman"/>
          <w:color w:val="auto"/>
        </w:rPr>
      </w:pPr>
      <w:r>
        <w:rPr>
          <w:rFonts w:hint="default" w:ascii="Times New Roman" w:hAnsi="Times New Roman" w:cs="Times New Roman"/>
          <w:color w:val="auto"/>
        </w:rPr>
        <w:t>DB</w:t>
      </w:r>
      <w:bookmarkStart w:id="2" w:name="c3"/>
      <w:r>
        <w:rPr>
          <w:rFonts w:hint="default" w:ascii="Times New Roman" w:hAnsi="Times New Roman" w:cs="Times New Roman"/>
          <w:color w:val="auto"/>
        </w:rPr>
        <w:fldChar w:fldCharType="begin">
          <w:ffData>
            <w:name w:val="c3"/>
            <w:enabled/>
            <w:calcOnExit w:val="0"/>
            <w:textInput>
              <w:maxLength w:val="2"/>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31</w:t>
      </w:r>
      <w:r>
        <w:rPr>
          <w:rFonts w:hint="default" w:ascii="Times New Roman" w:hAnsi="Times New Roman" w:cs="Times New Roman"/>
          <w:color w:val="auto"/>
        </w:rPr>
        <w:fldChar w:fldCharType="end"/>
      </w:r>
      <w:bookmarkEnd w:id="2"/>
    </w:p>
    <w:p>
      <w:pPr>
        <w:pStyle w:val="35"/>
        <w:framePr/>
        <w:rPr>
          <w:rFonts w:hint="default" w:ascii="Times New Roman" w:hAnsi="Times New Roman" w:cs="Times New Roman"/>
          <w:color w:val="auto"/>
        </w:rPr>
      </w:pPr>
      <w:bookmarkStart w:id="3" w:name="c4"/>
      <w:r>
        <w:rPr>
          <w:rFonts w:hint="default" w:ascii="Times New Roman" w:hAnsi="Times New Roman" w:cs="Times New Roman"/>
          <w:color w:val="auto"/>
        </w:rPr>
        <w:fldChar w:fldCharType="begin">
          <w:ffData>
            <w:name w:val="c4"/>
            <w:enabled/>
            <w:calcOnExit w:val="0"/>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上海市</w:t>
      </w:r>
      <w:r>
        <w:rPr>
          <w:rFonts w:hint="default" w:ascii="Times New Roman" w:hAnsi="Times New Roman" w:cs="Times New Roman"/>
          <w:color w:val="auto"/>
        </w:rPr>
        <w:fldChar w:fldCharType="end"/>
      </w:r>
      <w:bookmarkEnd w:id="3"/>
      <w:r>
        <w:rPr>
          <w:rFonts w:hint="default" w:ascii="Times New Roman" w:hAnsi="Times New Roman" w:cs="Times New Roman"/>
          <w:color w:val="auto"/>
        </w:rPr>
        <w:t>地方标准</w:t>
      </w:r>
    </w:p>
    <w:p>
      <w:pPr>
        <w:pStyle w:val="27"/>
        <w:framePr/>
        <w:rPr>
          <w:rFonts w:hint="default" w:ascii="Times New Roman" w:hAnsi="Times New Roman" w:cs="Times New Roman"/>
          <w:color w:val="auto"/>
        </w:rPr>
      </w:pPr>
      <w:r>
        <w:rPr>
          <w:rFonts w:hint="default" w:ascii="Times New Roman" w:hAnsi="Times New Roman" w:cs="Times New Roman"/>
          <w:color w:val="auto"/>
        </w:rPr>
        <w:t xml:space="preserve">DB </w:t>
      </w:r>
      <w:r>
        <w:rPr>
          <w:rFonts w:hint="default" w:ascii="Times New Roman" w:hAnsi="Times New Roman" w:cs="Times New Roman"/>
          <w:color w:val="auto"/>
        </w:rPr>
        <w:t>31</w:t>
      </w:r>
      <w:r>
        <w:rPr>
          <w:rFonts w:hint="default" w:ascii="Times New Roman" w:hAnsi="Times New Roman" w:cs="Times New Roman"/>
          <w:color w:val="auto"/>
        </w:rPr>
        <w:t xml:space="preserve">T/ </w:t>
      </w:r>
      <w:bookmarkStart w:id="4" w:name="StdNo1"/>
      <w:r>
        <w:rPr>
          <w:rFonts w:hint="default" w:ascii="Times New Roman" w:hAnsi="Times New Roman" w:cs="Times New Roman"/>
          <w:color w:val="auto"/>
        </w:rPr>
        <w:fldChar w:fldCharType="begin">
          <w:ffData>
            <w:name w:val="StdNo1"/>
            <w:enabled/>
            <w:calcOnExit w:val="0"/>
            <w:textInput>
              <w:default w:val="XXXXX"/>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XXXXX</w:t>
      </w:r>
      <w:r>
        <w:rPr>
          <w:rFonts w:hint="default" w:ascii="Times New Roman" w:hAnsi="Times New Roman" w:cs="Times New Roman"/>
          <w:color w:val="auto"/>
        </w:rPr>
        <w:fldChar w:fldCharType="end"/>
      </w:r>
      <w:bookmarkEnd w:id="4"/>
      <w:r>
        <w:rPr>
          <w:rFonts w:hint="default" w:ascii="Times New Roman" w:hAnsi="Times New Roman" w:cs="Times New Roman"/>
          <w:color w:val="auto"/>
        </w:rPr>
        <w:t>—</w:t>
      </w:r>
      <w:bookmarkStart w:id="5" w:name="StdNo2"/>
      <w:r>
        <w:rPr>
          <w:rFonts w:hint="default" w:ascii="Times New Roman" w:hAnsi="Times New Roman" w:cs="Times New Roman"/>
          <w:color w:val="auto"/>
        </w:rPr>
        <w:fldChar w:fldCharType="begin">
          <w:ffData>
            <w:name w:val="StdNo2"/>
            <w:enabled/>
            <w:calcOnExit w:val="0"/>
            <w:textInput>
              <w:default w:val="XXXX"/>
              <w:maxLength w:val="4"/>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XXXX</w:t>
      </w:r>
      <w:r>
        <w:rPr>
          <w:rFonts w:hint="default" w:ascii="Times New Roman" w:hAnsi="Times New Roman" w:cs="Times New Roman"/>
          <w:color w:val="auto"/>
        </w:rPr>
        <w:fldChar w:fldCharType="end"/>
      </w:r>
      <w:bookmarkEnd w:id="5"/>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29"/>
              <w:framePr/>
              <w:spacing w:before="156" w:after="156"/>
              <w:rPr>
                <w:rFonts w:hint="default" w:ascii="Times New Roman" w:hAnsi="Times New Roman" w:cs="Times New Roman"/>
                <w:color w:val="auto"/>
              </w:rPr>
            </w:pPr>
            <w:bookmarkStart w:id="6" w:name="DT"/>
            <w:r>
              <w:rPr>
                <w:rFonts w:hint="default" w:ascii="Times New Roman" w:hAnsi="Times New Roman" w:cs="Times New Roman"/>
                <w:color w:val="auto"/>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1136880294" name="矩形 4"/>
                      <wp:cNvGraphicFramePr/>
                      <a:graphic xmlns:a="http://schemas.openxmlformats.org/drawingml/2006/main">
                        <a:graphicData uri="http://schemas.microsoft.com/office/word/2010/wordprocessingShape">
                          <wps:wsp>
                            <wps:cNvSpPr>
                              <a:spLocks noChangeArrowheads="true"/>
                            </wps:cNvSpPr>
                            <wps:spPr bwMode="auto">
                              <a:xfrm>
                                <a:off x="0" y="0"/>
                                <a:ext cx="1143000" cy="22860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矩形 4" o:spid="_x0000_s1026" o:spt="1" style="position:absolute;left:0pt;margin-left:372.8pt;margin-top:2.7pt;height:18pt;width:90pt;z-index:-251656192;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HmDyy9YA&#10;AAAIAQAADwAAAAAAAAABACAAAAA4AAAAZHJzL2Rvd25yZXYueG1sUEsBAhQAFAAAAAgAh07iQM5v&#10;o7ULAgAA6wMAAA4AAAAAAAAAAQAgAAAAOwEAAGRycy9lMm9Eb2MueG1sUEsFBgAAAAAGAAYAWQEA&#10;ALgFAAAAAA==&#10;">
                      <v:fill on="t" focussize="0,0"/>
                      <v:stroke on="f"/>
                      <v:imagedata o:title=""/>
                      <o:lock v:ext="edit" aspectratio="f"/>
                    </v:rect>
                  </w:pict>
                </mc:Fallback>
              </mc:AlternateContent>
            </w:r>
            <w:r>
              <w:rPr>
                <w:rFonts w:hint="default" w:ascii="Times New Roman" w:hAnsi="Times New Roman" w:cs="Times New Roman"/>
                <w:color w:val="auto"/>
              </w:rPr>
              <w:fldChar w:fldCharType="begin">
                <w:ffData>
                  <w:name w:val="DT"/>
                  <w:enabled/>
                  <w:calcOnExit w:val="0"/>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     </w:t>
            </w:r>
            <w:r>
              <w:rPr>
                <w:rFonts w:hint="default" w:ascii="Times New Roman" w:hAnsi="Times New Roman" w:cs="Times New Roman"/>
                <w:color w:val="auto"/>
              </w:rPr>
              <w:fldChar w:fldCharType="end"/>
            </w:r>
            <w:bookmarkEnd w:id="6"/>
          </w:p>
        </w:tc>
      </w:tr>
    </w:tbl>
    <w:p>
      <w:pPr>
        <w:pStyle w:val="27"/>
        <w:framePr/>
        <w:rPr>
          <w:rFonts w:hint="default" w:ascii="Times New Roman" w:hAnsi="Times New Roman" w:cs="Times New Roman"/>
          <w:color w:val="auto"/>
        </w:rPr>
      </w:pPr>
    </w:p>
    <w:p>
      <w:pPr>
        <w:pStyle w:val="27"/>
        <w:framePr/>
        <w:rPr>
          <w:rFonts w:hint="default" w:ascii="Times New Roman" w:hAnsi="Times New Roman" w:cs="Times New Roman"/>
          <w:color w:val="auto"/>
        </w:rPr>
      </w:pPr>
    </w:p>
    <w:p>
      <w:pPr>
        <w:pStyle w:val="30"/>
        <w:framePr/>
        <w:rPr>
          <w:rFonts w:hint="default" w:ascii="Times New Roman" w:hAnsi="Times New Roman" w:cs="Times New Roman"/>
          <w:color w:val="auto"/>
        </w:rPr>
      </w:pPr>
      <w:r>
        <w:rPr>
          <w:rFonts w:hint="default" w:ascii="Times New Roman" w:hAnsi="Times New Roman" w:cs="Times New Roman"/>
          <w:color w:val="auto"/>
          <w:szCs w:val="21"/>
        </w:rPr>
        <w:t>产业园区碳核算技术规范</w:t>
      </w:r>
    </w:p>
    <w:p>
      <w:pPr>
        <w:pStyle w:val="31"/>
        <w:framePr/>
        <w:rPr>
          <w:rFonts w:hint="default" w:ascii="Times New Roman" w:hAnsi="Times New Roman" w:cs="Times New Roman"/>
          <w:color w:val="auto"/>
        </w:rPr>
      </w:pPr>
      <w:bookmarkStart w:id="7" w:name="YZBS"/>
      <w:r>
        <w:rPr>
          <w:rFonts w:hint="default" w:ascii="Times New Roman" w:hAnsi="Times New Roman" w:cs="Times New Roman"/>
          <w:color w:val="auto"/>
        </w:rPr>
        <w:fldChar w:fldCharType="begin">
          <w:ffData>
            <w:name w:val="YZBS"/>
            <w:enabled/>
            <w:calcOnExit w:val="0"/>
            <w:textInput>
              <w:default w:val="点击此处添加与国际标准一致性程度的标识"/>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点击此处添加与国际标准一致性程度的标识</w:t>
      </w:r>
      <w:r>
        <w:rPr>
          <w:rFonts w:hint="default" w:ascii="Times New Roman" w:hAnsi="Times New Roman" w:cs="Times New Roman"/>
          <w:color w:val="auto"/>
        </w:rPr>
        <w:fldChar w:fldCharType="end"/>
      </w:r>
      <w:bookmarkEnd w:id="7"/>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32"/>
              <w:framePr/>
              <w:spacing w:before="156" w:after="156"/>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3175" b="0"/>
                      <wp:wrapNone/>
                      <wp:docPr id="741381899" name="矩形 3"/>
                      <wp:cNvGraphicFramePr/>
                      <a:graphic xmlns:a="http://schemas.openxmlformats.org/drawingml/2006/main">
                        <a:graphicData uri="http://schemas.microsoft.com/office/word/2010/wordprocessingShape">
                          <wps:wsp>
                            <wps:cNvSpPr>
                              <a:spLocks noChangeArrowheads="true"/>
                            </wps:cNvSpPr>
                            <wps:spPr bwMode="auto">
                              <a:xfrm>
                                <a:off x="0" y="0"/>
                                <a:ext cx="1905000" cy="25400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矩形 3" o:spid="_x0000_s1026" o:spt="1" style="position:absolute;left:0pt;margin-left:173.3pt;margin-top:45.15pt;height:20pt;width:150pt;z-index:-251654144;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WJrpLVAAAA&#10;CgEAAA8AAAAAAAAAAQAgAAAAOAAAAGRycy9kb3ducmV2LnhtbFBLAQIUABQAAAAIAIdO4kAb0Y96&#10;CgIAAOoDAAAOAAAAAAAAAAEAIAAAADoBAABkcnMvZTJvRG9jLnhtbFBLBQYAAAAABgAGAFkBAAC2&#10;BQAAAAA=&#10;">
                      <v:fill on="t" focussize="0,0"/>
                      <v:stroke on="f"/>
                      <v:imagedata o:title=""/>
                      <o:lock v:ext="edit" aspectratio="f"/>
                      <w10:anchorlock/>
                    </v:rect>
                  </w:pict>
                </mc:Fallback>
              </mc:AlternateContent>
            </w:r>
            <w:r>
              <w:rPr>
                <w:rFonts w:hint="default" w:ascii="Times New Roman" w:hAnsi="Times New Roman" w:cs="Times New Roman"/>
                <w:color w:val="auto"/>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3175" t="3175" r="3175" b="0"/>
                      <wp:wrapNone/>
                      <wp:docPr id="1456468394" name="矩形 2"/>
                      <wp:cNvGraphicFramePr/>
                      <a:graphic xmlns:a="http://schemas.openxmlformats.org/drawingml/2006/main">
                        <a:graphicData uri="http://schemas.microsoft.com/office/word/2010/wordprocessingShape">
                          <wps:wsp>
                            <wps:cNvSpPr>
                              <a:spLocks noChangeArrowheads="true"/>
                            </wps:cNvSpPr>
                            <wps:spPr bwMode="auto">
                              <a:xfrm>
                                <a:off x="0" y="0"/>
                                <a:ext cx="1270000" cy="30480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矩形 2" o:spid="_x0000_s1026" o:spt="1" style="position:absolute;left:0pt;margin-left:193.3pt;margin-top:20.15pt;height:24pt;width:100pt;z-index:-251655168;mso-width-relative:page;mso-height-relative:page;" fillcolor="#FFFFFF" filled="t" stroked="f" coordsize="21600,21600" o:gfxdata="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D4Yvl1gAA&#10;AAkBAAAPAAAAAAAAAAEAIAAAADgAAABkcnMvZG93bnJldi54bWxQSwECFAAUAAAACACHTuJAkzj/&#10;MwoCAADrAwAADgAAAAAAAAABACAAAAA7AQAAZHJzL2Uyb0RvYy54bWxQSwUGAAAAAAYABgBZAQAA&#10;twU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33"/>
              <w:framePr/>
              <w:rPr>
                <w:rFonts w:hint="default" w:ascii="Times New Roman" w:hAnsi="Times New Roman" w:cs="Times New Roman"/>
                <w:color w:val="auto"/>
              </w:rPr>
            </w:pPr>
            <w:r>
              <w:rPr>
                <w:rFonts w:hint="default" w:ascii="Times New Roman" w:hAnsi="Times New Roman" w:cs="Times New Roman"/>
                <w:color w:val="auto"/>
              </w:rPr>
              <w:fldChar w:fldCharType="begin">
                <w:ffData>
                  <w:name w:val="WCRQ"/>
                  <w:enabled/>
                  <w:calcOnExit w:val="0"/>
                  <w:textInput/>
                </w:ffData>
              </w:fldChar>
            </w:r>
            <w:bookmarkStart w:id="8" w:name="WCRQ"/>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   </w:t>
            </w:r>
            <w:r>
              <w:rPr>
                <w:rFonts w:hint="default" w:ascii="Times New Roman" w:hAnsi="Times New Roman" w:cs="Times New Roman"/>
                <w:color w:val="auto"/>
                <w:lang w:eastAsia="zh-CN"/>
              </w:rPr>
              <w:t>（征求意见稿）</w:t>
            </w:r>
            <w:r>
              <w:rPr>
                <w:rFonts w:hint="default" w:ascii="Times New Roman" w:hAnsi="Times New Roman" w:cs="Times New Roman"/>
                <w:color w:val="auto"/>
              </w:rPr>
              <w:t>  </w:t>
            </w:r>
            <w:r>
              <w:rPr>
                <w:rFonts w:hint="default" w:ascii="Times New Roman" w:hAnsi="Times New Roman" w:cs="Times New Roman"/>
                <w:color w:val="auto"/>
              </w:rPr>
              <w:fldChar w:fldCharType="end"/>
            </w:r>
            <w:bookmarkEnd w:id="8"/>
          </w:p>
        </w:tc>
      </w:tr>
    </w:tbl>
    <w:p>
      <w:pPr>
        <w:pStyle w:val="38"/>
        <w:framePr/>
        <w:rPr>
          <w:rFonts w:hint="default" w:ascii="Times New Roman" w:hAnsi="Times New Roman" w:cs="Times New Roman"/>
          <w:color w:val="auto"/>
        </w:rPr>
      </w:pPr>
      <w:bookmarkStart w:id="9" w:name="FY"/>
      <w:r>
        <w:rPr>
          <w:rFonts w:hint="default" w:ascii="Times New Roman" w:hAnsi="Times New Roman" w:cs="Times New Roman"/>
          <w:color w:val="auto"/>
        </w:rPr>
        <w:fldChar w:fldCharType="begin">
          <w:ffData>
            <w:name w:val="FY"/>
            <w:enabled/>
            <w:calcOnExit w:val="0"/>
            <w:textInput>
              <w:default w:val="XXXX"/>
              <w:maxLength w:val="4"/>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XXXX</w:t>
      </w:r>
      <w:r>
        <w:rPr>
          <w:rFonts w:hint="default" w:ascii="Times New Roman" w:hAnsi="Times New Roman" w:cs="Times New Roman"/>
          <w:color w:val="auto"/>
        </w:rPr>
        <w:fldChar w:fldCharType="end"/>
      </w:r>
      <w:bookmarkEnd w:id="9"/>
      <w:r>
        <w:rPr>
          <w:rFonts w:hint="default" w:ascii="Times New Roman" w:hAnsi="Times New Roman" w:cs="Times New Roman"/>
          <w:color w:val="auto"/>
        </w:rPr>
        <w:t xml:space="preserve"> </w:t>
      </w:r>
      <w:r>
        <w:rPr>
          <w:rFonts w:hint="default" w:ascii="Times New Roman" w:hAnsi="Times New Roman" w:cs="Times New Roman"/>
          <w:color w:val="auto"/>
        </w:rPr>
        <w:t>-</w:t>
      </w:r>
      <w:r>
        <w:rPr>
          <w:rFonts w:hint="default" w:ascii="Times New Roman" w:hAnsi="Times New Roman" w:cs="Times New Roman"/>
          <w:color w:val="auto"/>
        </w:rPr>
        <w:t xml:space="preserve"> </w:t>
      </w:r>
      <w:r>
        <w:rPr>
          <w:rFonts w:hint="default" w:ascii="Times New Roman" w:hAnsi="Times New Roman" w:cs="Times New Roman"/>
          <w:color w:val="auto"/>
        </w:rPr>
        <w:fldChar w:fldCharType="begin">
          <w:ffData>
            <w:name w:val="FM"/>
            <w:enabled/>
            <w:calcOnExit w:val="0"/>
            <w:textInput>
              <w:default w:val="XX"/>
              <w:maxLength w:val="2"/>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w:t>
      </w:r>
      <w:r>
        <w:rPr>
          <w:rFonts w:hint="default" w:ascii="Times New Roman" w:hAnsi="Times New Roman" w:cs="Times New Roman"/>
          <w:color w:val="auto"/>
        </w:rPr>
        <w:fldChar w:fldCharType="end"/>
      </w:r>
      <w:r>
        <w:rPr>
          <w:rFonts w:hint="default" w:ascii="Times New Roman" w:hAnsi="Times New Roman" w:cs="Times New Roman"/>
          <w:color w:val="auto"/>
        </w:rPr>
        <w:t xml:space="preserve"> </w:t>
      </w:r>
      <w:r>
        <w:rPr>
          <w:rFonts w:hint="default" w:ascii="Times New Roman" w:hAnsi="Times New Roman" w:cs="Times New Roman"/>
          <w:color w:val="auto"/>
        </w:rPr>
        <w:t>-</w:t>
      </w:r>
      <w:r>
        <w:rPr>
          <w:rFonts w:hint="default" w:ascii="Times New Roman" w:hAnsi="Times New Roman" w:cs="Times New Roman"/>
          <w:color w:val="auto"/>
        </w:rPr>
        <w:t xml:space="preserve"> </w:t>
      </w:r>
      <w:bookmarkStart w:id="10" w:name="FD"/>
      <w:r>
        <w:rPr>
          <w:rFonts w:hint="default" w:ascii="Times New Roman" w:hAnsi="Times New Roman" w:cs="Times New Roman"/>
          <w:color w:val="auto"/>
        </w:rPr>
        <w:fldChar w:fldCharType="begin">
          <w:ffData>
            <w:name w:val="FD"/>
            <w:enabled/>
            <w:calcOnExit w:val="0"/>
            <w:textInput>
              <w:default w:val="XX"/>
              <w:maxLength w:val="2"/>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w:t>
      </w:r>
      <w:r>
        <w:rPr>
          <w:rFonts w:hint="default" w:ascii="Times New Roman" w:hAnsi="Times New Roman" w:cs="Times New Roman"/>
          <w:color w:val="auto"/>
        </w:rPr>
        <w:fldChar w:fldCharType="end"/>
      </w:r>
      <w:bookmarkEnd w:id="10"/>
      <w:r>
        <w:rPr>
          <w:rFonts w:hint="default" w:ascii="Times New Roman" w:hAnsi="Times New Roman" w:cs="Times New Roman"/>
          <w:color w:val="auto"/>
        </w:rPr>
        <w:t>发布</w:t>
      </w:r>
      <w:r>
        <w:rPr>
          <w:rFonts w:hint="default" w:ascii="Times New Roman" w:hAnsi="Times New Roman" w:cs="Times New Roman"/>
          <w:color w:val="auto"/>
        </w:rPr>
        <mc:AlternateContent>
          <mc:Choice Requires="wps">
            <w:drawing>
              <wp:anchor distT="0" distB="0" distL="114300" distR="114300" simplePos="0" relativeHeight="251664384"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550875859"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05pt;margin-top:728.5pt;height:0pt;width:481.9pt;mso-position-vertical-relative:page;z-index:251664384;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lh2s81gAA&#10;AAsBAAAPAAAAAAAAAAEAIAAAADgAAABkcnMvZG93bnJldi54bWxQSwECFAAUAAAACACHTuJA/zZw&#10;cNEBAABnAwAADgAAAAAAAAABACAAAAA7AQAAZHJzL2Uyb0RvYy54bWxQSwUGAAAAAAYABgBZAQAA&#10;fgUAAAAA&#10;">
                <v:fill on="f" focussize="0,0"/>
                <v:stroke color="#000000" joinstyle="round"/>
                <v:imagedata o:title=""/>
                <o:lock v:ext="edit" aspectratio="f"/>
                <w10:anchorlock/>
              </v:line>
            </w:pict>
          </mc:Fallback>
        </mc:AlternateContent>
      </w:r>
    </w:p>
    <w:p>
      <w:pPr>
        <w:pStyle w:val="39"/>
        <w:framePr/>
        <w:rPr>
          <w:rFonts w:hint="default" w:ascii="Times New Roman" w:hAnsi="Times New Roman" w:cs="Times New Roman"/>
          <w:color w:val="auto"/>
        </w:rPr>
      </w:pPr>
      <w:bookmarkStart w:id="11" w:name="SY"/>
      <w:r>
        <w:rPr>
          <w:rFonts w:hint="default" w:ascii="Times New Roman" w:hAnsi="Times New Roman" w:cs="Times New Roman"/>
          <w:color w:val="auto"/>
        </w:rPr>
        <w:fldChar w:fldCharType="begin">
          <w:ffData>
            <w:name w:val="SY"/>
            <w:enabled/>
            <w:calcOnExit w:val="0"/>
            <w:textInput>
              <w:default w:val="XXXX"/>
              <w:maxLength w:val="4"/>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XXXX</w:t>
      </w:r>
      <w:r>
        <w:rPr>
          <w:rFonts w:hint="default" w:ascii="Times New Roman" w:hAnsi="Times New Roman" w:cs="Times New Roman"/>
          <w:color w:val="auto"/>
        </w:rPr>
        <w:fldChar w:fldCharType="end"/>
      </w:r>
      <w:bookmarkEnd w:id="11"/>
      <w:r>
        <w:rPr>
          <w:rFonts w:hint="default" w:ascii="Times New Roman" w:hAnsi="Times New Roman" w:cs="Times New Roman"/>
          <w:color w:val="auto"/>
        </w:rPr>
        <w:t xml:space="preserve"> </w:t>
      </w:r>
      <w:r>
        <w:rPr>
          <w:rFonts w:hint="default" w:ascii="Times New Roman" w:hAnsi="Times New Roman" w:cs="Times New Roman"/>
          <w:color w:val="auto"/>
        </w:rPr>
        <w:t>-</w:t>
      </w:r>
      <w:r>
        <w:rPr>
          <w:rFonts w:hint="default" w:ascii="Times New Roman" w:hAnsi="Times New Roman" w:cs="Times New Roman"/>
          <w:color w:val="auto"/>
        </w:rPr>
        <w:t xml:space="preserve"> </w:t>
      </w:r>
      <w:bookmarkStart w:id="12" w:name="SM"/>
      <w:r>
        <w:rPr>
          <w:rFonts w:hint="default" w:ascii="Times New Roman" w:hAnsi="Times New Roman" w:cs="Times New Roman"/>
          <w:color w:val="auto"/>
        </w:rPr>
        <w:fldChar w:fldCharType="begin">
          <w:ffData>
            <w:name w:val="SM"/>
            <w:enabled/>
            <w:calcOnExit w:val="0"/>
            <w:textInput>
              <w:default w:val="XX"/>
              <w:maxLength w:val="2"/>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w:t>
      </w:r>
      <w:r>
        <w:rPr>
          <w:rFonts w:hint="default" w:ascii="Times New Roman" w:hAnsi="Times New Roman" w:cs="Times New Roman"/>
          <w:color w:val="auto"/>
        </w:rPr>
        <w:fldChar w:fldCharType="end"/>
      </w:r>
      <w:bookmarkEnd w:id="12"/>
      <w:r>
        <w:rPr>
          <w:rFonts w:hint="default" w:ascii="Times New Roman" w:hAnsi="Times New Roman" w:cs="Times New Roman"/>
          <w:color w:val="auto"/>
        </w:rPr>
        <w:t xml:space="preserve"> </w:t>
      </w:r>
      <w:r>
        <w:rPr>
          <w:rFonts w:hint="default" w:ascii="Times New Roman" w:hAnsi="Times New Roman" w:cs="Times New Roman"/>
          <w:color w:val="auto"/>
        </w:rPr>
        <w:t>-</w:t>
      </w:r>
      <w:r>
        <w:rPr>
          <w:rFonts w:hint="default" w:ascii="Times New Roman" w:hAnsi="Times New Roman" w:cs="Times New Roman"/>
          <w:color w:val="auto"/>
        </w:rPr>
        <w:t xml:space="preserve"> </w:t>
      </w:r>
      <w:bookmarkStart w:id="13" w:name="SD"/>
      <w:r>
        <w:rPr>
          <w:rFonts w:hint="default" w:ascii="Times New Roman" w:hAnsi="Times New Roman" w:cs="Times New Roman"/>
          <w:color w:val="auto"/>
        </w:rPr>
        <w:fldChar w:fldCharType="begin">
          <w:ffData>
            <w:name w:val="SD"/>
            <w:enabled/>
            <w:calcOnExit w:val="0"/>
            <w:textInput>
              <w:default w:val="XX"/>
              <w:maxLength w:val="2"/>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w:t>
      </w:r>
      <w:r>
        <w:rPr>
          <w:rFonts w:hint="default" w:ascii="Times New Roman" w:hAnsi="Times New Roman" w:cs="Times New Roman"/>
          <w:color w:val="auto"/>
        </w:rPr>
        <w:fldChar w:fldCharType="end"/>
      </w:r>
      <w:bookmarkEnd w:id="13"/>
      <w:r>
        <w:rPr>
          <w:rFonts w:hint="default" w:ascii="Times New Roman" w:hAnsi="Times New Roman" w:cs="Times New Roman"/>
          <w:color w:val="auto"/>
        </w:rPr>
        <w:t>实施</w:t>
      </w:r>
    </w:p>
    <w:p>
      <w:pPr>
        <w:pStyle w:val="36"/>
        <w:framePr/>
        <w:spacing w:before="156" w:after="156"/>
        <w:rPr>
          <w:rFonts w:hint="default" w:ascii="Times New Roman" w:hAnsi="Times New Roman" w:cs="Times New Roman"/>
          <w:color w:val="auto"/>
        </w:rPr>
      </w:pPr>
      <w:bookmarkStart w:id="14" w:name="fm"/>
      <w:r>
        <w:rPr>
          <w:rFonts w:hint="default" w:ascii="Times New Roman" w:hAnsi="Times New Roman" w:cs="Times New Roman"/>
          <w:color w:val="auto"/>
        </w:rPr>
        <w:fldChar w:fldCharType="begin">
          <w:ffData>
            <w:name w:val="fm"/>
            <w:enabled/>
            <w:calcOnExit w:val="0"/>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上</w:t>
      </w:r>
      <w:r>
        <w:rPr>
          <w:rFonts w:hint="default" w:ascii="Times New Roman" w:hAnsi="Times New Roman" w:cs="Times New Roman"/>
          <w:color w:val="auto"/>
        </w:rPr>
        <w:t>海市市场监督管理局</w:t>
      </w:r>
      <w:r>
        <w:rPr>
          <w:rFonts w:hint="default" w:ascii="Times New Roman" w:hAnsi="Times New Roman" w:cs="Times New Roman"/>
          <w:color w:val="auto"/>
        </w:rPr>
        <w:fldChar w:fldCharType="end"/>
      </w:r>
      <w:bookmarkEnd w:id="14"/>
      <w:r>
        <w:rPr>
          <w:rFonts w:hint="default" w:ascii="Times New Roman" w:hAnsi="Times New Roman" w:eastAsia="MS Mincho" w:cs="Times New Roman"/>
          <w:color w:val="auto"/>
        </w:rPr>
        <w:t>   </w:t>
      </w:r>
      <w:r>
        <w:rPr>
          <w:rStyle w:val="28"/>
          <w:rFonts w:hint="default" w:ascii="Times New Roman" w:hAnsi="Times New Roman" w:cs="Times New Roman"/>
          <w:color w:val="auto"/>
        </w:rPr>
        <w:t>发布</w:t>
      </w:r>
    </w:p>
    <w:p>
      <w:pPr>
        <w:pStyle w:val="2"/>
        <w:ind w:firstLine="420"/>
        <w:rPr>
          <w:rFonts w:hint="default" w:ascii="Times New Roman" w:hAnsi="Times New Roman" w:cs="Times New Roman"/>
          <w:color w:val="auto"/>
        </w:rPr>
      </w:pPr>
    </w:p>
    <w:p>
      <w:pPr>
        <w:widowControl/>
        <w:jc w:val="left"/>
        <w:rPr>
          <w:rFonts w:hint="default" w:ascii="Times New Roman" w:hAnsi="Times New Roman" w:cs="Times New Roman"/>
          <w:color w:val="auto"/>
        </w:rPr>
      </w:pPr>
      <w:r>
        <w:rPr>
          <w:rFonts w:hint="default" w:ascii="Times New Roman" w:hAnsi="Times New Roman" w:cs="Times New Roman"/>
          <w:color w:val="auto"/>
        </w:rPr>
        <w:br w:type="page"/>
      </w:r>
    </w:p>
    <w:sdt>
      <w:sdtPr>
        <w:rPr>
          <w:rFonts w:hint="default" w:ascii="Times New Roman" w:hAnsi="Times New Roman" w:cs="Times New Roman"/>
          <w:color w:val="auto"/>
        </w:rPr>
        <w:id w:val="147483547"/>
        <w15:color w:val="DBDBDB"/>
        <w:docPartObj>
          <w:docPartGallery w:val="Table of Contents"/>
          <w:docPartUnique/>
        </w:docPartObj>
      </w:sdtPr>
      <w:sdtEndPr>
        <w:rPr>
          <w:rFonts w:hint="default" w:ascii="Times New Roman" w:hAnsi="Times New Roman" w:cs="Times New Roman"/>
          <w:color w:val="auto"/>
        </w:rPr>
      </w:sdtEndPr>
      <w:sdtContent>
        <w:p>
          <w:pPr>
            <w:jc w:val="center"/>
            <w:rPr>
              <w:rFonts w:hint="default" w:ascii="Times New Roman" w:hAnsi="Times New Roman" w:eastAsia="黑体" w:cs="Times New Roman"/>
              <w:color w:val="auto"/>
              <w:spacing w:val="320"/>
              <w:sz w:val="32"/>
              <w:szCs w:val="21"/>
            </w:rPr>
          </w:pPr>
          <w:r>
            <w:rPr>
              <w:rFonts w:hint="default" w:ascii="Times New Roman" w:hAnsi="Times New Roman" w:eastAsia="黑体" w:cs="Times New Roman"/>
              <w:color w:val="auto"/>
              <w:spacing w:val="320"/>
              <w:sz w:val="32"/>
              <w:szCs w:val="21"/>
            </w:rPr>
            <w:t>目</w:t>
          </w:r>
          <w:r>
            <w:rPr>
              <w:rFonts w:hint="default" w:ascii="Times New Roman" w:hAnsi="Times New Roman" w:eastAsia="黑体" w:cs="Times New Roman"/>
              <w:color w:val="auto"/>
              <w:spacing w:val="320"/>
              <w:kern w:val="2"/>
              <w:sz w:val="32"/>
              <w:szCs w:val="21"/>
            </w:rPr>
            <w:t>次</w:t>
          </w:r>
        </w:p>
        <w:p>
          <w:pPr>
            <w:pStyle w:val="10"/>
            <w:tabs>
              <w:tab w:val="right" w:leader="dot" w:pos="8306"/>
            </w:tabs>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TOC \o "1-2" \h \u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_Toc31478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前言</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_Toc31478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II</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pStyle w:val="11"/>
            <w:tabs>
              <w:tab w:val="right" w:leader="dot" w:pos="8306"/>
            </w:tabs>
            <w:ind w:left="0" w:leftChars="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_Toc9937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szCs w:val="28"/>
            </w:rPr>
            <w:t xml:space="preserve">1 </w:t>
          </w:r>
          <w:r>
            <w:rPr>
              <w:rFonts w:hint="default" w:ascii="Times New Roman" w:hAnsi="Times New Roman" w:cs="Times New Roman" w:eastAsiaTheme="minorEastAsia"/>
              <w:color w:val="auto"/>
            </w:rPr>
            <w:t>适用</w:t>
          </w:r>
          <w:r>
            <w:rPr>
              <w:rFonts w:hint="default" w:ascii="Times New Roman" w:hAnsi="Times New Roman" w:cs="Times New Roman" w:eastAsiaTheme="minorEastAsia"/>
              <w:color w:val="auto"/>
            </w:rPr>
            <w:t>范围</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_Toc9937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1</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pStyle w:val="11"/>
            <w:tabs>
              <w:tab w:val="right" w:leader="dot" w:pos="8306"/>
            </w:tabs>
            <w:ind w:left="0" w:leftChars="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_Toc13753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szCs w:val="28"/>
            </w:rPr>
            <w:t xml:space="preserve">2 </w:t>
          </w:r>
          <w:r>
            <w:rPr>
              <w:rFonts w:hint="default" w:ascii="Times New Roman" w:hAnsi="Times New Roman" w:cs="Times New Roman" w:eastAsiaTheme="minorEastAsia"/>
              <w:color w:val="auto"/>
            </w:rPr>
            <w:t>规范性引用文件</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_Toc13753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1</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pStyle w:val="11"/>
            <w:tabs>
              <w:tab w:val="right" w:leader="dot" w:pos="8306"/>
            </w:tabs>
            <w:ind w:left="0" w:leftChars="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_Toc29389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szCs w:val="28"/>
            </w:rPr>
            <w:t xml:space="preserve">3 </w:t>
          </w:r>
          <w:r>
            <w:rPr>
              <w:rFonts w:hint="default" w:ascii="Times New Roman" w:hAnsi="Times New Roman" w:cs="Times New Roman" w:eastAsiaTheme="minorEastAsia"/>
              <w:color w:val="auto"/>
            </w:rPr>
            <w:t>术语与定义</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_Toc29389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1</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pStyle w:val="11"/>
            <w:tabs>
              <w:tab w:val="right" w:leader="dot" w:pos="8306"/>
            </w:tabs>
            <w:ind w:left="0" w:leftChars="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_Toc23194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szCs w:val="28"/>
            </w:rPr>
            <w:t xml:space="preserve">4 </w:t>
          </w:r>
          <w:r>
            <w:rPr>
              <w:rFonts w:hint="default" w:ascii="Times New Roman" w:hAnsi="Times New Roman" w:cs="Times New Roman" w:eastAsiaTheme="minorEastAsia"/>
              <w:color w:val="auto"/>
            </w:rPr>
            <w:t>核算的工作流程</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_Toc23194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2</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pStyle w:val="11"/>
            <w:tabs>
              <w:tab w:val="right" w:leader="dot" w:pos="8306"/>
            </w:tabs>
            <w:ind w:left="0" w:leftChars="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_Toc28866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szCs w:val="28"/>
            </w:rPr>
            <w:t xml:space="preserve">5 </w:t>
          </w:r>
          <w:r>
            <w:rPr>
              <w:rFonts w:hint="default" w:ascii="Times New Roman" w:hAnsi="Times New Roman" w:cs="Times New Roman" w:eastAsiaTheme="minorEastAsia"/>
              <w:color w:val="auto"/>
            </w:rPr>
            <w:t>核算边界</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_Toc28866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2</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pStyle w:val="11"/>
            <w:tabs>
              <w:tab w:val="right" w:leader="dot" w:pos="8306"/>
            </w:tabs>
            <w:ind w:left="0" w:leftChars="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_Toc1422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 xml:space="preserve">6 </w:t>
          </w:r>
          <w:r>
            <w:rPr>
              <w:rFonts w:hint="default" w:ascii="Times New Roman" w:hAnsi="Times New Roman" w:cs="Times New Roman" w:eastAsiaTheme="minorEastAsia"/>
              <w:color w:val="auto"/>
            </w:rPr>
            <w:t>核算方法</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_Toc1422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3</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pStyle w:val="11"/>
            <w:tabs>
              <w:tab w:val="right" w:leader="dot" w:pos="8306"/>
            </w:tabs>
            <w:ind w:left="0" w:leftChars="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_Toc16787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 xml:space="preserve">7 </w:t>
          </w:r>
          <w:r>
            <w:rPr>
              <w:rFonts w:hint="default" w:ascii="Times New Roman" w:hAnsi="Times New Roman" w:cs="Times New Roman" w:eastAsiaTheme="minorEastAsia"/>
              <w:color w:val="auto"/>
            </w:rPr>
            <w:t>数据的获取</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_Toc16787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9</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pStyle w:val="11"/>
            <w:tabs>
              <w:tab w:val="right" w:leader="dot" w:pos="8306"/>
            </w:tabs>
            <w:ind w:left="0" w:leftChars="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_Toc23992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 xml:space="preserve">8 </w:t>
          </w:r>
          <w:r>
            <w:rPr>
              <w:rFonts w:hint="default" w:ascii="Times New Roman" w:hAnsi="Times New Roman" w:cs="Times New Roman" w:eastAsiaTheme="minorEastAsia"/>
              <w:color w:val="auto"/>
            </w:rPr>
            <w:t>数据质量管理</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_Toc23992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9</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pStyle w:val="11"/>
            <w:tabs>
              <w:tab w:val="right" w:leader="dot" w:pos="8306"/>
            </w:tabs>
            <w:ind w:left="0" w:leftChars="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_Toc6748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bCs/>
              <w:color w:val="auto"/>
              <w:szCs w:val="28"/>
              <w:lang w:bidi="ar"/>
            </w:rPr>
            <w:t>附录</w:t>
          </w:r>
          <w:r>
            <w:rPr>
              <w:rFonts w:hint="default" w:ascii="Times New Roman" w:hAnsi="Times New Roman" w:cs="Times New Roman" w:eastAsiaTheme="minorEastAsia"/>
              <w:bCs/>
              <w:color w:val="auto"/>
              <w:szCs w:val="28"/>
              <w:lang w:bidi="ar"/>
            </w:rPr>
            <w:t>A</w:t>
          </w:r>
          <w:r>
            <w:rPr>
              <w:rFonts w:hint="default" w:ascii="Times New Roman" w:hAnsi="Times New Roman" w:cs="Times New Roman" w:eastAsiaTheme="minorEastAsia"/>
              <w:bCs/>
              <w:color w:val="auto"/>
              <w:szCs w:val="28"/>
              <w:lang w:bidi="ar"/>
            </w:rPr>
            <w:t>（资料性）相关参数缺省值及来源说明</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_Toc6748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12</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pStyle w:val="11"/>
            <w:tabs>
              <w:tab w:val="right" w:leader="dot" w:pos="8306"/>
            </w:tabs>
            <w:ind w:left="0" w:leftChars="0"/>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\l _Toc27691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bCs/>
              <w:color w:val="auto"/>
              <w:szCs w:val="28"/>
              <w:lang w:bidi="ar"/>
            </w:rPr>
            <w:t>附录</w:t>
          </w:r>
          <w:r>
            <w:rPr>
              <w:rFonts w:hint="default" w:ascii="Times New Roman" w:hAnsi="Times New Roman" w:cs="Times New Roman" w:eastAsiaTheme="minorEastAsia"/>
              <w:bCs/>
              <w:color w:val="auto"/>
              <w:szCs w:val="28"/>
              <w:lang w:bidi="ar"/>
            </w:rPr>
            <w:t>B</w:t>
          </w:r>
          <w:r>
            <w:rPr>
              <w:rFonts w:hint="default" w:ascii="Times New Roman" w:hAnsi="Times New Roman" w:cs="Times New Roman" w:eastAsiaTheme="minorEastAsia"/>
              <w:bCs/>
              <w:color w:val="auto"/>
              <w:szCs w:val="28"/>
              <w:lang w:bidi="ar"/>
            </w:rPr>
            <w:t>（资料性）</w:t>
          </w:r>
          <w:r>
            <w:rPr>
              <w:rFonts w:hint="default" w:ascii="Times New Roman" w:hAnsi="Times New Roman" w:cs="Times New Roman" w:eastAsiaTheme="minorEastAsia"/>
              <w:color w:val="auto"/>
            </w:rPr>
            <w:t>报告格式</w:t>
          </w:r>
          <w:r>
            <w:rPr>
              <w:rFonts w:hint="default" w:ascii="Times New Roman" w:hAnsi="Times New Roman" w:cs="Times New Roman" w:eastAsiaTheme="minorEastAsia"/>
              <w:color w:val="auto"/>
            </w:rPr>
            <w:tab/>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PAGEREF _Toc27691 \h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t>13</w:t>
          </w:r>
          <w:r>
            <w:rPr>
              <w:rFonts w:hint="default" w:ascii="Times New Roman" w:hAnsi="Times New Roman" w:cs="Times New Roman" w:eastAsiaTheme="minorEastAsia"/>
              <w:color w:val="auto"/>
            </w:rPr>
            <w:fldChar w:fldCharType="end"/>
          </w:r>
          <w:r>
            <w:rPr>
              <w:rFonts w:hint="default" w:ascii="Times New Roman" w:hAnsi="Times New Roman" w:cs="Times New Roman" w:eastAsiaTheme="minorEastAsia"/>
              <w:color w:val="auto"/>
            </w:rPr>
            <w:fldChar w:fldCharType="end"/>
          </w:r>
        </w:p>
        <w:p>
          <w:pPr>
            <w:rPr>
              <w:rFonts w:hint="default" w:ascii="Times New Roman" w:hAnsi="Times New Roman" w:cs="Times New Roman"/>
              <w:color w:val="auto"/>
            </w:rPr>
          </w:pPr>
          <w:r>
            <w:rPr>
              <w:rFonts w:hint="default" w:ascii="Times New Roman" w:hAnsi="Times New Roman" w:cs="Times New Roman" w:eastAsiaTheme="minorEastAsia"/>
              <w:color w:val="auto"/>
            </w:rPr>
            <w:fldChar w:fldCharType="end"/>
          </w:r>
        </w:p>
      </w:sdtContent>
    </w:sdt>
    <w:p>
      <w:pPr>
        <w:rPr>
          <w:rFonts w:hint="default" w:ascii="Times New Roman" w:hAnsi="Times New Roman" w:cs="Times New Roman"/>
          <w:color w:val="auto"/>
        </w:rPr>
      </w:pPr>
    </w:p>
    <w:p>
      <w:pPr>
        <w:pStyle w:val="61"/>
        <w:spacing w:before="560" w:after="468"/>
        <w:rPr>
          <w:rFonts w:hint="default" w:ascii="Times New Roman" w:hAnsi="Times New Roman" w:cs="Times New Roman"/>
          <w:color w:val="auto"/>
          <w:spacing w:val="320"/>
        </w:rPr>
        <w:sectPr>
          <w:headerReference r:id="rId3" w:type="default"/>
          <w:footerReference r:id="rId5" w:type="default"/>
          <w:headerReference r:id="rId4" w:type="even"/>
          <w:footerReference r:id="rId6" w:type="even"/>
          <w:pgSz w:w="11906" w:h="16838"/>
          <w:pgMar w:top="1440" w:right="1800" w:bottom="1440" w:left="1800" w:header="851" w:footer="992" w:gutter="0"/>
          <w:pgNumType w:fmt="upperRoman" w:start="1"/>
          <w:cols w:space="720" w:num="1"/>
          <w:docGrid w:type="lines" w:linePitch="312" w:charSpace="0"/>
        </w:sectPr>
      </w:pPr>
      <w:bookmarkStart w:id="15" w:name="_Toc28482"/>
      <w:bookmarkStart w:id="16" w:name="_Toc31478"/>
      <w:bookmarkStart w:id="17" w:name="_Toc4641"/>
    </w:p>
    <w:p>
      <w:pPr>
        <w:pStyle w:val="61"/>
        <w:spacing w:before="560" w:after="468"/>
        <w:rPr>
          <w:rFonts w:hint="default" w:ascii="Times New Roman" w:hAnsi="Times New Roman" w:cs="Times New Roman"/>
          <w:color w:val="auto"/>
          <w:spacing w:val="320"/>
        </w:rPr>
      </w:pPr>
      <w:r>
        <w:rPr>
          <w:rFonts w:hint="default" w:ascii="Times New Roman" w:hAnsi="Times New Roman" w:cs="Times New Roman"/>
          <w:color w:val="auto"/>
          <w:spacing w:val="320"/>
        </w:rPr>
        <w:t>前言</w:t>
      </w:r>
      <w:bookmarkEnd w:id="15"/>
      <w:bookmarkEnd w:id="16"/>
      <w:bookmarkEnd w:id="17"/>
    </w:p>
    <w:p>
      <w:pPr>
        <w:pStyle w:val="40"/>
        <w:rPr>
          <w:rFonts w:hint="default" w:ascii="Times New Roman" w:hAnsi="Times New Roman" w:cs="Times New Roman"/>
          <w:color w:val="auto"/>
        </w:rPr>
      </w:pPr>
      <w:r>
        <w:rPr>
          <w:rFonts w:hint="default" w:ascii="Times New Roman" w:hAnsi="Times New Roman" w:cs="Times New Roman"/>
          <w:color w:val="auto"/>
        </w:rPr>
        <w:t>本文件按照GB/T 1.1-20</w:t>
      </w:r>
      <w:r>
        <w:rPr>
          <w:rFonts w:hint="default" w:ascii="Times New Roman" w:hAnsi="Times New Roman" w:cs="Times New Roman"/>
          <w:color w:val="auto"/>
        </w:rPr>
        <w:t>20</w:t>
      </w:r>
      <w:r>
        <w:rPr>
          <w:rFonts w:hint="default" w:ascii="Times New Roman" w:hAnsi="Times New Roman" w:cs="Times New Roman"/>
          <w:color w:val="auto"/>
          <w:kern w:val="2"/>
          <w:szCs w:val="24"/>
        </w:rPr>
        <w:t>《标准化工作导则 第1部分：标准化文件的结构和起草规则》</w:t>
      </w:r>
      <w:r>
        <w:rPr>
          <w:rFonts w:hint="default" w:ascii="Times New Roman" w:hAnsi="Times New Roman" w:cs="Times New Roman"/>
          <w:color w:val="auto"/>
        </w:rPr>
        <w:t>的规定起草。</w:t>
      </w:r>
    </w:p>
    <w:p>
      <w:pPr>
        <w:pStyle w:val="40"/>
        <w:rPr>
          <w:rFonts w:hint="default" w:ascii="Times New Roman" w:hAnsi="Times New Roman" w:cs="Times New Roman"/>
          <w:color w:val="auto"/>
        </w:rPr>
      </w:pPr>
      <w:r>
        <w:rPr>
          <w:rFonts w:hint="default" w:ascii="Times New Roman" w:hAnsi="Times New Roman" w:cs="Times New Roman"/>
          <w:color w:val="auto"/>
        </w:rPr>
        <w:t>请注意本文件的某些内容可能涉及专利。本文件的发布机构不承担识别专利的责任。</w:t>
      </w:r>
    </w:p>
    <w:p>
      <w:pPr>
        <w:pStyle w:val="40"/>
        <w:rPr>
          <w:rFonts w:hint="default" w:ascii="Times New Roman" w:hAnsi="Times New Roman" w:cs="Times New Roman"/>
          <w:color w:val="auto"/>
          <w:szCs w:val="21"/>
        </w:rPr>
      </w:pPr>
      <w:r>
        <w:rPr>
          <w:rFonts w:hint="default" w:ascii="Times New Roman" w:hAnsi="Times New Roman" w:cs="Times New Roman"/>
          <w:color w:val="auto"/>
          <w:szCs w:val="21"/>
        </w:rPr>
        <w:t>本文件由上海市经济和信息化委员会、上海市发展和改革委员会共同提出，由上海市经济和信息化委员会组织实施。</w:t>
      </w:r>
    </w:p>
    <w:p>
      <w:pPr>
        <w:pStyle w:val="40"/>
        <w:rPr>
          <w:rFonts w:hint="default" w:ascii="Times New Roman" w:hAnsi="Times New Roman" w:cs="Times New Roman"/>
          <w:color w:val="auto"/>
          <w:szCs w:val="21"/>
        </w:rPr>
      </w:pPr>
      <w:r>
        <w:rPr>
          <w:rFonts w:hint="default" w:ascii="Times New Roman" w:hAnsi="Times New Roman" w:cs="Times New Roman"/>
          <w:color w:val="auto"/>
          <w:szCs w:val="21"/>
        </w:rPr>
        <w:t>本文件由上海市碳达峰碳中和标准化技术委员会归口。</w:t>
      </w:r>
    </w:p>
    <w:p>
      <w:pPr>
        <w:pStyle w:val="40"/>
        <w:rPr>
          <w:rFonts w:hint="default" w:ascii="Times New Roman" w:hAnsi="Times New Roman" w:cs="Times New Roman"/>
          <w:color w:val="auto"/>
          <w:szCs w:val="21"/>
        </w:rPr>
      </w:pPr>
      <w:r>
        <w:rPr>
          <w:rFonts w:hint="default" w:ascii="Times New Roman" w:hAnsi="Times New Roman" w:cs="Times New Roman"/>
          <w:color w:val="auto"/>
          <w:szCs w:val="21"/>
        </w:rPr>
        <w:t>本</w:t>
      </w:r>
      <w:r>
        <w:rPr>
          <w:rFonts w:hint="default" w:ascii="Times New Roman" w:hAnsi="Times New Roman" w:cs="Times New Roman"/>
          <w:color w:val="auto"/>
          <w:szCs w:val="21"/>
        </w:rPr>
        <w:t>文件</w:t>
      </w:r>
      <w:r>
        <w:rPr>
          <w:rFonts w:hint="default" w:ascii="Times New Roman" w:hAnsi="Times New Roman" w:cs="Times New Roman"/>
          <w:color w:val="auto"/>
          <w:szCs w:val="21"/>
        </w:rPr>
        <w:t>起草单位：</w:t>
      </w:r>
    </w:p>
    <w:p>
      <w:pPr>
        <w:pStyle w:val="40"/>
        <w:rPr>
          <w:rFonts w:hint="default" w:ascii="Times New Roman" w:hAnsi="Times New Roman" w:cs="Times New Roman"/>
          <w:color w:val="auto"/>
        </w:rPr>
      </w:pPr>
      <w:r>
        <w:rPr>
          <w:rFonts w:hint="default" w:ascii="Times New Roman" w:hAnsi="Times New Roman" w:cs="Times New Roman"/>
          <w:color w:val="auto"/>
          <w:szCs w:val="21"/>
        </w:rPr>
        <w:t>本</w:t>
      </w:r>
      <w:r>
        <w:rPr>
          <w:rFonts w:hint="default" w:ascii="Times New Roman" w:hAnsi="Times New Roman" w:cs="Times New Roman"/>
          <w:color w:val="auto"/>
          <w:szCs w:val="21"/>
        </w:rPr>
        <w:t>文件</w:t>
      </w:r>
      <w:r>
        <w:rPr>
          <w:rFonts w:hint="default" w:ascii="Times New Roman" w:hAnsi="Times New Roman" w:cs="Times New Roman"/>
          <w:color w:val="auto"/>
          <w:szCs w:val="21"/>
        </w:rPr>
        <w:t>主要起草人：</w:t>
      </w:r>
    </w:p>
    <w:p>
      <w:pPr>
        <w:widowControl/>
        <w:jc w:val="left"/>
        <w:rPr>
          <w:rFonts w:hint="default" w:ascii="Times New Roman" w:hAnsi="Times New Roman" w:cs="Times New Roman"/>
          <w:b/>
          <w:color w:val="auto"/>
        </w:rPr>
        <w:sectPr>
          <w:footerReference r:id="rId7" w:type="default"/>
          <w:footerReference r:id="rId8" w:type="even"/>
          <w:pgSz w:w="11906" w:h="16838"/>
          <w:pgMar w:top="1440" w:right="1800" w:bottom="1440" w:left="1800" w:header="851" w:footer="992" w:gutter="0"/>
          <w:pgNumType w:fmt="upperRoman"/>
          <w:cols w:space="720" w:num="1"/>
          <w:docGrid w:type="lines" w:linePitch="312" w:charSpace="0"/>
        </w:sectPr>
      </w:pPr>
      <w:r>
        <w:rPr>
          <w:rFonts w:hint="default" w:ascii="Times New Roman" w:hAnsi="Times New Roman" w:cs="Times New Roman"/>
          <w:color w:val="auto"/>
        </w:rPr>
        <w:t xml:space="preserve">                                                                                                                                                                                                                                                                                                                                           </w:t>
      </w:r>
    </w:p>
    <w:p>
      <w:pPr>
        <w:keepNext/>
        <w:keepLines/>
        <w:jc w:val="center"/>
        <w:rPr>
          <w:rFonts w:hint="default" w:ascii="Times New Roman" w:hAnsi="Times New Roman" w:eastAsia="黑体" w:cs="Times New Roman"/>
          <w:color w:val="auto"/>
          <w:sz w:val="32"/>
          <w:szCs w:val="32"/>
        </w:rPr>
      </w:pPr>
      <w:bookmarkStart w:id="18" w:name="_Toc2238"/>
      <w:r>
        <w:rPr>
          <w:rFonts w:hint="default" w:ascii="Times New Roman" w:hAnsi="Times New Roman" w:eastAsia="黑体" w:cs="Times New Roman"/>
          <w:color w:val="auto"/>
          <w:sz w:val="32"/>
          <w:szCs w:val="32"/>
        </w:rPr>
        <w:t>产业园区</w:t>
      </w:r>
      <w:r>
        <w:rPr>
          <w:rFonts w:hint="default" w:ascii="Times New Roman" w:hAnsi="Times New Roman" w:eastAsia="黑体" w:cs="Times New Roman"/>
          <w:color w:val="auto"/>
          <w:sz w:val="32"/>
          <w:szCs w:val="32"/>
        </w:rPr>
        <w:t>碳核算</w:t>
      </w:r>
      <w:r>
        <w:rPr>
          <w:rFonts w:hint="default" w:ascii="Times New Roman" w:hAnsi="Times New Roman" w:eastAsia="黑体" w:cs="Times New Roman"/>
          <w:color w:val="auto"/>
          <w:sz w:val="32"/>
          <w:szCs w:val="32"/>
        </w:rPr>
        <w:t>技术规范</w:t>
      </w:r>
      <w:bookmarkEnd w:id="18"/>
    </w:p>
    <w:p>
      <w:pPr>
        <w:pStyle w:val="63"/>
        <w:autoSpaceDE w:val="0"/>
        <w:autoSpaceDN w:val="0"/>
        <w:spacing w:before="312" w:after="312"/>
        <w:ind w:left="425"/>
        <w:rPr>
          <w:rFonts w:hint="default" w:ascii="Times New Roman" w:hAnsi="Times New Roman" w:cs="Times New Roman"/>
          <w:color w:val="auto"/>
        </w:rPr>
      </w:pPr>
      <w:bookmarkStart w:id="19" w:name="_Toc29629"/>
      <w:bookmarkStart w:id="20" w:name="_Toc9937"/>
      <w:bookmarkStart w:id="21" w:name="_Toc31592"/>
      <w:r>
        <w:rPr>
          <w:rFonts w:hint="default" w:ascii="Times New Roman" w:hAnsi="Times New Roman" w:cs="Times New Roman"/>
          <w:color w:val="auto"/>
        </w:rPr>
        <w:t>适用</w:t>
      </w:r>
      <w:r>
        <w:rPr>
          <w:rFonts w:hint="default" w:ascii="Times New Roman" w:hAnsi="Times New Roman" w:cs="Times New Roman"/>
          <w:color w:val="auto"/>
        </w:rPr>
        <w:t>范围</w:t>
      </w:r>
      <w:bookmarkEnd w:id="19"/>
      <w:bookmarkEnd w:id="20"/>
      <w:bookmarkEnd w:id="21"/>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本文件规定了产业园区碳核算技术规范的术语与定义、核算工作流程、核算边界、核算方法、数据获取以及数据质量管理。</w:t>
      </w:r>
    </w:p>
    <w:p>
      <w:pPr>
        <w:widowControl/>
        <w:ind w:firstLine="420" w:firstLineChars="200"/>
        <w:jc w:val="left"/>
        <w:rPr>
          <w:rFonts w:hint="default" w:ascii="Times New Roman" w:hAnsi="Times New Roman" w:cs="Times New Roman"/>
          <w:color w:val="auto"/>
        </w:rPr>
      </w:pPr>
      <w:r>
        <w:rPr>
          <w:rFonts w:hint="default" w:ascii="Times New Roman" w:hAnsi="Times New Roman" w:cs="Times New Roman"/>
          <w:color w:val="auto"/>
          <w:kern w:val="0"/>
          <w:szCs w:val="21"/>
          <w:lang w:bidi="ar"/>
        </w:rPr>
        <w:t>本文件适用于</w:t>
      </w:r>
      <w:r>
        <w:rPr>
          <w:rFonts w:hint="default" w:ascii="Times New Roman" w:hAnsi="Times New Roman" w:cs="Times New Roman"/>
          <w:color w:val="auto"/>
          <w:szCs w:val="21"/>
          <w:lang w:bidi="ar"/>
        </w:rPr>
        <w:t>上海市行政辖区内的</w:t>
      </w:r>
      <w:r>
        <w:rPr>
          <w:rFonts w:hint="default" w:ascii="Times New Roman" w:hAnsi="Times New Roman" w:cs="Times New Roman"/>
          <w:color w:val="auto"/>
          <w:kern w:val="0"/>
          <w:szCs w:val="21"/>
          <w:lang w:bidi="ar"/>
        </w:rPr>
        <w:t>产业园区的碳排放核算。</w:t>
      </w:r>
    </w:p>
    <w:p>
      <w:pPr>
        <w:pStyle w:val="63"/>
        <w:autoSpaceDE w:val="0"/>
        <w:autoSpaceDN w:val="0"/>
        <w:spacing w:before="312" w:after="312"/>
        <w:ind w:left="425"/>
        <w:rPr>
          <w:rFonts w:hint="default" w:ascii="Times New Roman" w:hAnsi="Times New Roman" w:cs="Times New Roman"/>
          <w:color w:val="auto"/>
        </w:rPr>
      </w:pPr>
      <w:bookmarkStart w:id="22" w:name="_Toc8500"/>
      <w:bookmarkStart w:id="23" w:name="_Toc13753"/>
      <w:bookmarkStart w:id="24" w:name="_Toc14873"/>
      <w:r>
        <w:rPr>
          <w:rFonts w:hint="default" w:ascii="Times New Roman" w:hAnsi="Times New Roman" w:cs="Times New Roman"/>
          <w:color w:val="auto"/>
        </w:rPr>
        <w:t>规范性引用文件</w:t>
      </w:r>
      <w:bookmarkEnd w:id="22"/>
      <w:bookmarkEnd w:id="23"/>
      <w:bookmarkEnd w:id="24"/>
    </w:p>
    <w:p>
      <w:pPr>
        <w:pStyle w:val="40"/>
        <w:rPr>
          <w:rFonts w:hint="default" w:ascii="Times New Roman" w:hAnsi="Times New Roman" w:cs="Times New Roman"/>
          <w:color w:val="auto"/>
        </w:rPr>
      </w:pPr>
      <w:r>
        <w:rPr>
          <w:rFonts w:hint="default" w:ascii="Times New Roman" w:hAnsi="Times New Roman" w:cs="Times New Roman"/>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widowControl/>
        <w:ind w:firstLine="420" w:firstLineChars="200"/>
        <w:jc w:val="left"/>
        <w:rPr>
          <w:rFonts w:hint="default" w:ascii="Times New Roman" w:hAnsi="Times New Roman" w:cs="Times New Roman"/>
          <w:color w:val="auto"/>
          <w:kern w:val="0"/>
          <w:szCs w:val="21"/>
          <w:lang w:bidi="ar"/>
        </w:rPr>
      </w:pPr>
      <w:bookmarkStart w:id="25" w:name="OLE_LINK3"/>
      <w:r>
        <w:rPr>
          <w:rFonts w:hint="default" w:ascii="Times New Roman" w:hAnsi="Times New Roman" w:cs="Times New Roman"/>
          <w:color w:val="auto"/>
          <w:kern w:val="0"/>
          <w:szCs w:val="21"/>
          <w:lang w:bidi="ar"/>
        </w:rPr>
        <w:t>GB/T 32150 工业企业温室气体排放核算和报告通则</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GB/T 32151</w:t>
      </w:r>
      <w:bookmarkEnd w:id="25"/>
      <w:r>
        <w:rPr>
          <w:rFonts w:hint="default" w:ascii="Times New Roman" w:hAnsi="Times New Roman" w:cs="Times New Roman"/>
          <w:color w:val="auto"/>
          <w:kern w:val="0"/>
          <w:szCs w:val="21"/>
          <w:lang w:bidi="ar"/>
        </w:rPr>
        <w:t xml:space="preserve"> 温室气体排放核算与报告要求 </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 xml:space="preserve">GB/T 44915 </w:t>
      </w:r>
      <w:r>
        <w:rPr>
          <w:rFonts w:hint="default" w:ascii="Times New Roman" w:hAnsi="Times New Roman" w:cs="Times New Roman"/>
          <w:color w:val="auto"/>
          <w:kern w:val="0"/>
          <w:szCs w:val="21"/>
          <w:lang w:bidi="ar"/>
        </w:rPr>
        <w:t>基于项目的温室气体减排量评估技术规范 废气废水处理及废渣回收</w:t>
      </w:r>
    </w:p>
    <w:p>
      <w:pPr>
        <w:widowControl/>
        <w:ind w:firstLine="420" w:firstLineChars="200"/>
        <w:jc w:val="left"/>
        <w:rPr>
          <w:rFonts w:hint="default" w:ascii="Times New Roman" w:hAnsi="Times New Roman" w:cs="Times New Roman"/>
          <w:color w:val="auto"/>
          <w:shd w:val="clear" w:color="auto" w:fill="FFFFFF"/>
        </w:rPr>
      </w:pPr>
      <w:r>
        <w:rPr>
          <w:rFonts w:hint="default" w:ascii="Times New Roman" w:hAnsi="Times New Roman" w:cs="Times New Roman"/>
          <w:color w:val="auto"/>
          <w:kern w:val="0"/>
          <w:szCs w:val="21"/>
          <w:lang w:bidi="ar"/>
        </w:rPr>
        <w:t>GB/T</w:t>
      </w:r>
      <w:r>
        <w:rPr>
          <w:rFonts w:hint="default" w:ascii="Times New Roman" w:hAnsi="Times New Roman" w:cs="Times New Roman"/>
          <w:color w:val="auto"/>
          <w:shd w:val="clear" w:color="auto" w:fill="FFFFFF"/>
        </w:rPr>
        <w:t xml:space="preserve"> 38538 产业园区基础设施绿色化指标体系及评价方法</w:t>
      </w:r>
    </w:p>
    <w:p>
      <w:pPr>
        <w:widowControl/>
        <w:ind w:firstLine="420" w:firstLineChars="200"/>
        <w:jc w:val="left"/>
        <w:rPr>
          <w:rFonts w:hint="default" w:ascii="Times New Roman" w:hAnsi="Times New Roman" w:cs="Times New Roman"/>
          <w:color w:val="auto"/>
          <w:shd w:val="clear" w:color="auto" w:fill="FFFFFF"/>
        </w:rPr>
      </w:pPr>
      <w:r>
        <w:rPr>
          <w:rFonts w:hint="default" w:ascii="Times New Roman" w:hAnsi="Times New Roman" w:cs="Times New Roman"/>
          <w:color w:val="auto"/>
          <w:shd w:val="clear" w:color="auto" w:fill="FFFFFF"/>
        </w:rPr>
        <w:t>HJ 131</w:t>
      </w:r>
      <w:r>
        <w:rPr>
          <w:rFonts w:hint="default" w:ascii="Times New Roman" w:hAnsi="Times New Roman" w:cs="Times New Roman"/>
          <w:color w:val="auto"/>
          <w:shd w:val="clear" w:color="auto" w:fill="FFFFFF"/>
        </w:rPr>
        <w:t xml:space="preserve">     规划环境影响评价技术导则 产业园区</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SH/MRV-001-2012 上海市温室气体排放核算与报告指南（试行）</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DB31/T 1141-2019</w:t>
      </w:r>
      <w:r>
        <w:rPr>
          <w:rFonts w:hint="default" w:ascii="Times New Roman" w:hAnsi="Times New Roman" w:cs="Times New Roman"/>
          <w:color w:val="auto"/>
          <w:kern w:val="0"/>
          <w:szCs w:val="21"/>
          <w:lang w:bidi="ar"/>
        </w:rPr>
        <w:tab/>
      </w:r>
      <w:r>
        <w:rPr>
          <w:rFonts w:hint="default" w:ascii="Times New Roman" w:hAnsi="Times New Roman" w:cs="Times New Roman"/>
          <w:color w:val="auto"/>
          <w:kern w:val="0"/>
          <w:szCs w:val="21"/>
          <w:lang w:bidi="ar"/>
        </w:rPr>
        <w:t>工业园区能耗在线监测系统技术要求</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DB31/T 1232-2020</w:t>
      </w:r>
      <w:r>
        <w:rPr>
          <w:rFonts w:hint="default" w:ascii="Times New Roman" w:hAnsi="Times New Roman" w:cs="Times New Roman"/>
          <w:color w:val="auto"/>
          <w:kern w:val="0"/>
          <w:szCs w:val="21"/>
          <w:lang w:bidi="ar"/>
        </w:rPr>
        <w:tab/>
      </w:r>
      <w:r>
        <w:rPr>
          <w:rFonts w:hint="default" w:ascii="Times New Roman" w:hAnsi="Times New Roman" w:cs="Times New Roman"/>
          <w:color w:val="auto"/>
          <w:kern w:val="0"/>
          <w:szCs w:val="21"/>
          <w:lang w:bidi="ar"/>
        </w:rPr>
        <w:t>城市森林碳汇调查及数据采集技术规范</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DB31/T 1234-2020</w:t>
      </w:r>
      <w:r>
        <w:rPr>
          <w:rFonts w:hint="default" w:ascii="Times New Roman" w:hAnsi="Times New Roman" w:cs="Times New Roman"/>
          <w:color w:val="auto"/>
          <w:kern w:val="0"/>
          <w:szCs w:val="21"/>
          <w:lang w:bidi="ar"/>
        </w:rPr>
        <w:tab/>
      </w:r>
      <w:r>
        <w:rPr>
          <w:rFonts w:hint="default" w:ascii="Times New Roman" w:hAnsi="Times New Roman" w:cs="Times New Roman"/>
          <w:color w:val="auto"/>
          <w:kern w:val="0"/>
          <w:szCs w:val="21"/>
          <w:lang w:bidi="ar"/>
        </w:rPr>
        <w:t>城市森林碳汇计量监测技术规程</w:t>
      </w:r>
    </w:p>
    <w:p>
      <w:pPr>
        <w:pStyle w:val="63"/>
        <w:autoSpaceDE w:val="0"/>
        <w:autoSpaceDN w:val="0"/>
        <w:spacing w:before="312" w:after="312"/>
        <w:ind w:left="425"/>
        <w:rPr>
          <w:rFonts w:hint="default" w:ascii="Times New Roman" w:hAnsi="Times New Roman" w:cs="Times New Roman"/>
          <w:color w:val="auto"/>
        </w:rPr>
      </w:pPr>
      <w:bookmarkStart w:id="26" w:name="_Toc2702"/>
      <w:bookmarkStart w:id="27" w:name="_Toc11115"/>
      <w:bookmarkStart w:id="28" w:name="_Toc29389"/>
      <w:r>
        <w:rPr>
          <w:rFonts w:hint="default" w:ascii="Times New Roman" w:hAnsi="Times New Roman" w:cs="Times New Roman"/>
          <w:color w:val="auto"/>
        </w:rPr>
        <w:t>术语与定义</w:t>
      </w:r>
      <w:bookmarkEnd w:id="26"/>
      <w:bookmarkEnd w:id="27"/>
      <w:bookmarkEnd w:id="28"/>
    </w:p>
    <w:p>
      <w:pPr>
        <w:widowControl/>
        <w:ind w:firstLine="420" w:firstLineChars="200"/>
        <w:jc w:val="left"/>
        <w:rPr>
          <w:rFonts w:hint="default" w:ascii="Times New Roman" w:hAnsi="Times New Roman" w:cs="Times New Roman"/>
          <w:color w:val="auto"/>
          <w:shd w:val="clear" w:color="auto" w:fill="FFFFFF"/>
        </w:rPr>
      </w:pPr>
      <w:r>
        <w:rPr>
          <w:rFonts w:hint="default" w:ascii="Times New Roman" w:hAnsi="Times New Roman" w:cs="Times New Roman"/>
          <w:color w:val="auto"/>
          <w:kern w:val="0"/>
          <w:szCs w:val="21"/>
          <w:lang w:bidi="ar"/>
        </w:rPr>
        <w:t>GB/T</w:t>
      </w:r>
      <w:r>
        <w:rPr>
          <w:rFonts w:hint="default" w:ascii="Times New Roman" w:hAnsi="Times New Roman" w:cs="Times New Roman"/>
          <w:color w:val="auto"/>
          <w:shd w:val="clear" w:color="auto" w:fill="FFFFFF"/>
        </w:rPr>
        <w:t xml:space="preserve"> 32150、</w:t>
      </w:r>
      <w:r>
        <w:rPr>
          <w:rFonts w:hint="default" w:ascii="Times New Roman" w:hAnsi="Times New Roman" w:cs="Times New Roman"/>
          <w:color w:val="auto"/>
          <w:shd w:val="clear" w:color="auto" w:fill="FFFFFF"/>
        </w:rPr>
        <w:t>GB/T 30366-2024</w:t>
      </w:r>
      <w:r>
        <w:rPr>
          <w:rFonts w:hint="default" w:ascii="Times New Roman" w:hAnsi="Times New Roman" w:cs="Times New Roman"/>
          <w:color w:val="auto"/>
        </w:rPr>
        <w:t>界定的以及下列术语和定义适用于本文件。</w:t>
      </w:r>
    </w:p>
    <w:p>
      <w:pPr>
        <w:widowControl/>
        <w:rPr>
          <w:rFonts w:hint="default" w:ascii="Times New Roman" w:hAnsi="Times New Roman" w:eastAsia="黑体" w:cs="Times New Roman"/>
          <w:color w:val="auto"/>
        </w:rPr>
      </w:pPr>
      <w:r>
        <w:rPr>
          <w:rFonts w:hint="default" w:ascii="Times New Roman" w:hAnsi="Times New Roman" w:eastAsia="黑体" w:cs="Times New Roman"/>
          <w:color w:val="auto"/>
        </w:rPr>
        <w:t>3.1</w:t>
      </w:r>
    </w:p>
    <w:p>
      <w:pPr>
        <w:widowControl/>
        <w:ind w:firstLine="420" w:firstLineChars="200"/>
        <w:rPr>
          <w:rFonts w:hint="default" w:ascii="Times New Roman" w:hAnsi="Times New Roman" w:eastAsia="黑体" w:cs="Times New Roman"/>
          <w:color w:val="auto"/>
        </w:rPr>
      </w:pPr>
      <w:r>
        <w:rPr>
          <w:rFonts w:hint="default" w:ascii="Times New Roman" w:hAnsi="Times New Roman" w:eastAsia="黑体" w:cs="Times New Roman"/>
          <w:color w:val="auto"/>
        </w:rPr>
        <w:t>产业</w:t>
      </w:r>
      <w:r>
        <w:rPr>
          <w:rFonts w:hint="default" w:ascii="Times New Roman" w:hAnsi="Times New Roman" w:eastAsia="黑体" w:cs="Times New Roman"/>
          <w:color w:val="auto"/>
        </w:rPr>
        <w:t>园区 park</w:t>
      </w:r>
    </w:p>
    <w:p>
      <w:pPr>
        <w:widowControl/>
        <w:ind w:firstLine="420"/>
        <w:rPr>
          <w:rFonts w:hint="default" w:ascii="Times New Roman" w:hAnsi="Times New Roman" w:cs="Times New Roman"/>
          <w:color w:val="auto"/>
          <w:shd w:val="clear" w:color="auto" w:fill="FFFFFF"/>
        </w:rPr>
      </w:pPr>
      <w:r>
        <w:rPr>
          <w:rFonts w:hint="default" w:ascii="Times New Roman" w:hAnsi="Times New Roman" w:cs="Times New Roman"/>
          <w:color w:val="auto"/>
          <w:shd w:val="clear" w:color="auto" w:fill="FFFFFF"/>
        </w:rPr>
        <w:t>指经各级人民政府依法批准设立，具有统一管理机构及产业集群特征的特定规划区域。主要目的是引导产业集中布局、集聚发展，优化配置各种生产要素，并配套建设公共基础设施。不包括农业园区。</w:t>
      </w:r>
    </w:p>
    <w:p>
      <w:pPr>
        <w:widowControl/>
        <w:ind w:firstLine="420"/>
        <w:rPr>
          <w:rFonts w:hint="default" w:ascii="Times New Roman" w:hAnsi="Times New Roman" w:cs="Times New Roman"/>
          <w:color w:val="auto"/>
          <w:shd w:val="clear" w:color="auto" w:fill="FFFFFF"/>
        </w:rPr>
      </w:pPr>
      <w:r>
        <w:rPr>
          <w:rFonts w:hint="default" w:ascii="Times New Roman" w:hAnsi="Times New Roman" w:cs="Times New Roman"/>
          <w:color w:val="auto"/>
          <w:shd w:val="clear" w:color="auto" w:fill="FFFFFF"/>
        </w:rPr>
        <w:t>[来源：</w:t>
      </w:r>
      <w:r>
        <w:rPr>
          <w:rFonts w:hint="default" w:ascii="Times New Roman" w:hAnsi="Times New Roman" w:cs="Times New Roman"/>
          <w:color w:val="auto"/>
          <w:shd w:val="clear" w:color="auto" w:fill="FFFFFF"/>
        </w:rPr>
        <w:t>HJ 131—2021</w:t>
      </w:r>
      <w:r>
        <w:rPr>
          <w:rFonts w:hint="default" w:ascii="Times New Roman" w:hAnsi="Times New Roman" w:cs="Times New Roman"/>
          <w:color w:val="auto"/>
          <w:shd w:val="clear" w:color="auto" w:fill="FFFFFF"/>
        </w:rPr>
        <w:t>，3 ]</w:t>
      </w:r>
    </w:p>
    <w:p>
      <w:pPr>
        <w:widowControl/>
        <w:rPr>
          <w:rFonts w:hint="default" w:ascii="Times New Roman" w:hAnsi="Times New Roman" w:eastAsia="黑体" w:cs="Times New Roman"/>
          <w:color w:val="auto"/>
        </w:rPr>
      </w:pPr>
      <w:r>
        <w:rPr>
          <w:rFonts w:hint="default" w:ascii="Times New Roman" w:hAnsi="Times New Roman" w:eastAsia="黑体" w:cs="Times New Roman"/>
          <w:color w:val="auto"/>
        </w:rPr>
        <w:t>3.</w:t>
      </w:r>
      <w:r>
        <w:rPr>
          <w:rFonts w:hint="default" w:ascii="Times New Roman" w:hAnsi="Times New Roman" w:eastAsia="黑体" w:cs="Times New Roman"/>
          <w:color w:val="auto"/>
        </w:rPr>
        <w:t>2</w:t>
      </w:r>
    </w:p>
    <w:p>
      <w:pPr>
        <w:widowControl/>
        <w:ind w:firstLine="420" w:firstLineChars="200"/>
        <w:rPr>
          <w:rFonts w:hint="default" w:ascii="Times New Roman" w:hAnsi="Times New Roman" w:cs="Times New Roman"/>
          <w:b/>
          <w:bCs/>
          <w:color w:val="auto"/>
          <w:szCs w:val="21"/>
          <w:lang w:bidi="ar"/>
        </w:rPr>
      </w:pPr>
      <w:r>
        <w:rPr>
          <w:rFonts w:hint="default" w:ascii="Times New Roman" w:hAnsi="Times New Roman" w:eastAsia="黑体" w:cs="Times New Roman"/>
          <w:color w:val="auto"/>
          <w:lang w:bidi="ar"/>
        </w:rPr>
        <w:t>碳排放carbon emissions</w:t>
      </w:r>
    </w:p>
    <w:p>
      <w:pPr>
        <w:ind w:firstLine="420" w:firstLineChars="200"/>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在特定时段内释放到大气中的温室气体总量，以二氧化碳当量计。</w:t>
      </w:r>
    </w:p>
    <w:p>
      <w:pPr>
        <w:ind w:firstLine="420" w:firstLineChars="200"/>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注：温室气体包括</w:t>
      </w:r>
      <w:bookmarkStart w:id="29" w:name="_Hlk206986275"/>
      <w:r>
        <w:rPr>
          <w:rFonts w:hint="default" w:ascii="Times New Roman" w:hAnsi="Times New Roman" w:cs="Times New Roman"/>
          <w:color w:val="auto"/>
          <w:szCs w:val="21"/>
          <w:lang w:bidi="ar"/>
        </w:rPr>
        <w:t>二氧化碳（</w:t>
      </w:r>
      <w:r>
        <w:rPr>
          <w:rFonts w:hint="default" w:ascii="Times New Roman" w:hAnsi="Times New Roman" w:cs="Times New Roman"/>
          <w:color w:val="auto"/>
          <w:szCs w:val="21"/>
          <w:lang w:bidi="ar"/>
        </w:rPr>
        <w:t>CO</w:t>
      </w:r>
      <w:r>
        <w:rPr>
          <w:rFonts w:hint="default" w:ascii="Times New Roman" w:hAnsi="Times New Roman" w:cs="Times New Roman"/>
          <w:color w:val="auto"/>
          <w:szCs w:val="21"/>
          <w:vertAlign w:val="subscript"/>
          <w:lang w:bidi="ar"/>
        </w:rPr>
        <w:t>2</w:t>
      </w:r>
      <w:r>
        <w:rPr>
          <w:rFonts w:hint="default" w:ascii="Times New Roman" w:hAnsi="Times New Roman" w:cs="Times New Roman"/>
          <w:color w:val="auto"/>
          <w:szCs w:val="21"/>
          <w:lang w:bidi="ar"/>
        </w:rPr>
        <w:t>）、甲烷（</w:t>
      </w:r>
      <w:r>
        <w:rPr>
          <w:rFonts w:hint="default" w:ascii="Times New Roman" w:hAnsi="Times New Roman" w:cs="Times New Roman"/>
          <w:color w:val="auto"/>
          <w:szCs w:val="21"/>
          <w:lang w:bidi="ar"/>
        </w:rPr>
        <w:t>CH</w:t>
      </w:r>
      <w:r>
        <w:rPr>
          <w:rFonts w:hint="default" w:ascii="Times New Roman" w:hAnsi="Times New Roman" w:cs="Times New Roman"/>
          <w:color w:val="auto"/>
          <w:szCs w:val="21"/>
          <w:vertAlign w:val="subscript"/>
          <w:lang w:bidi="ar"/>
        </w:rPr>
        <w:t>4</w:t>
      </w:r>
      <w:r>
        <w:rPr>
          <w:rFonts w:hint="default" w:ascii="Times New Roman" w:hAnsi="Times New Roman" w:cs="Times New Roman"/>
          <w:color w:val="auto"/>
          <w:szCs w:val="21"/>
          <w:lang w:bidi="ar"/>
        </w:rPr>
        <w:t>）、氧化亚氮（</w:t>
      </w:r>
      <w:r>
        <w:rPr>
          <w:rFonts w:hint="default" w:ascii="Times New Roman" w:hAnsi="Times New Roman" w:cs="Times New Roman"/>
          <w:color w:val="auto"/>
          <w:szCs w:val="21"/>
          <w:lang w:bidi="ar"/>
        </w:rPr>
        <w:t>N</w:t>
      </w:r>
      <w:r>
        <w:rPr>
          <w:rFonts w:hint="default" w:ascii="Times New Roman" w:hAnsi="Times New Roman" w:cs="Times New Roman"/>
          <w:color w:val="auto"/>
          <w:szCs w:val="21"/>
          <w:vertAlign w:val="subscript"/>
          <w:lang w:bidi="ar"/>
        </w:rPr>
        <w:t>2</w:t>
      </w:r>
      <w:r>
        <w:rPr>
          <w:rFonts w:hint="default" w:ascii="Times New Roman" w:hAnsi="Times New Roman" w:cs="Times New Roman"/>
          <w:color w:val="auto"/>
          <w:szCs w:val="21"/>
          <w:lang w:bidi="ar"/>
        </w:rPr>
        <w:t>O</w:t>
      </w:r>
      <w:r>
        <w:rPr>
          <w:rFonts w:hint="default" w:ascii="Times New Roman" w:hAnsi="Times New Roman" w:cs="Times New Roman"/>
          <w:color w:val="auto"/>
          <w:szCs w:val="21"/>
          <w:lang w:bidi="ar"/>
        </w:rPr>
        <w:t>）</w:t>
      </w:r>
      <w:bookmarkEnd w:id="29"/>
      <w:r>
        <w:rPr>
          <w:rFonts w:hint="default" w:ascii="Times New Roman" w:hAnsi="Times New Roman" w:cs="Times New Roman"/>
          <w:color w:val="auto"/>
          <w:szCs w:val="21"/>
          <w:lang w:bidi="ar"/>
        </w:rPr>
        <w:t>、氢氟碳化物（</w:t>
      </w:r>
      <w:r>
        <w:rPr>
          <w:rFonts w:hint="default" w:ascii="Times New Roman" w:hAnsi="Times New Roman" w:cs="Times New Roman"/>
          <w:color w:val="auto"/>
          <w:szCs w:val="21"/>
          <w:lang w:bidi="ar"/>
        </w:rPr>
        <w:t>HFCs</w:t>
      </w:r>
      <w:r>
        <w:rPr>
          <w:rFonts w:hint="default" w:ascii="Times New Roman" w:hAnsi="Times New Roman" w:cs="Times New Roman"/>
          <w:color w:val="auto"/>
          <w:szCs w:val="21"/>
          <w:lang w:bidi="ar"/>
        </w:rPr>
        <w:t>）、全氟碳化物（</w:t>
      </w:r>
      <w:r>
        <w:rPr>
          <w:rFonts w:hint="default" w:ascii="Times New Roman" w:hAnsi="Times New Roman" w:cs="Times New Roman"/>
          <w:color w:val="auto"/>
          <w:szCs w:val="21"/>
          <w:lang w:bidi="ar"/>
        </w:rPr>
        <w:t>PFCs</w:t>
      </w:r>
      <w:r>
        <w:rPr>
          <w:rFonts w:hint="default" w:ascii="Times New Roman" w:hAnsi="Times New Roman" w:cs="Times New Roman"/>
          <w:color w:val="auto"/>
          <w:szCs w:val="21"/>
          <w:lang w:bidi="ar"/>
        </w:rPr>
        <w:t>）和六氟化硫（</w:t>
      </w:r>
      <w:r>
        <w:rPr>
          <w:rFonts w:hint="default" w:ascii="Times New Roman" w:hAnsi="Times New Roman" w:cs="Times New Roman"/>
          <w:color w:val="auto"/>
          <w:szCs w:val="21"/>
          <w:lang w:bidi="ar"/>
        </w:rPr>
        <w:t>SF</w:t>
      </w:r>
      <w:r>
        <w:rPr>
          <w:rFonts w:hint="default" w:ascii="Times New Roman" w:hAnsi="Times New Roman" w:cs="Times New Roman"/>
          <w:color w:val="auto"/>
          <w:szCs w:val="21"/>
          <w:vertAlign w:val="subscript"/>
          <w:lang w:bidi="ar"/>
        </w:rPr>
        <w:t>6</w:t>
      </w:r>
      <w:r>
        <w:rPr>
          <w:rFonts w:hint="default" w:ascii="Times New Roman" w:hAnsi="Times New Roman" w:cs="Times New Roman"/>
          <w:color w:val="auto"/>
          <w:szCs w:val="21"/>
          <w:lang w:bidi="ar"/>
        </w:rPr>
        <w:t>）、三氟化氮（</w:t>
      </w:r>
      <w:r>
        <w:rPr>
          <w:rFonts w:hint="default" w:ascii="Times New Roman" w:hAnsi="Times New Roman" w:cs="Times New Roman"/>
          <w:color w:val="auto"/>
          <w:szCs w:val="21"/>
          <w:lang w:bidi="ar"/>
        </w:rPr>
        <w:t>NF</w:t>
      </w:r>
      <w:r>
        <w:rPr>
          <w:rFonts w:hint="default" w:ascii="Times New Roman" w:hAnsi="Times New Roman" w:cs="Times New Roman"/>
          <w:color w:val="auto"/>
          <w:szCs w:val="21"/>
          <w:vertAlign w:val="subscript"/>
          <w:lang w:bidi="ar"/>
        </w:rPr>
        <w:t>3</w:t>
      </w:r>
      <w:r>
        <w:rPr>
          <w:rFonts w:hint="default" w:ascii="Times New Roman" w:hAnsi="Times New Roman" w:cs="Times New Roman"/>
          <w:color w:val="auto"/>
          <w:szCs w:val="21"/>
          <w:lang w:bidi="ar"/>
        </w:rPr>
        <w:t>）。</w:t>
      </w:r>
    </w:p>
    <w:p>
      <w:pPr>
        <w:widowControl/>
        <w:ind w:firstLine="420"/>
        <w:rPr>
          <w:rFonts w:hint="default" w:ascii="Times New Roman" w:hAnsi="Times New Roman" w:cs="Times New Roman"/>
          <w:color w:val="auto"/>
          <w:shd w:val="clear" w:color="auto" w:fill="FFFFFF"/>
        </w:rPr>
      </w:pPr>
      <w:r>
        <w:rPr>
          <w:rFonts w:hint="default" w:ascii="Times New Roman" w:hAnsi="Times New Roman" w:cs="Times New Roman"/>
          <w:color w:val="auto"/>
          <w:shd w:val="clear" w:color="auto" w:fill="FFFFFF"/>
        </w:rPr>
        <w:t>[来源：</w:t>
      </w:r>
      <w:r>
        <w:rPr>
          <w:rFonts w:hint="default" w:ascii="Times New Roman" w:hAnsi="Times New Roman" w:cs="Times New Roman"/>
          <w:color w:val="auto"/>
          <w:kern w:val="0"/>
          <w:szCs w:val="21"/>
          <w:lang w:bidi="ar"/>
        </w:rPr>
        <w:t>GB/T 32150</w:t>
      </w:r>
      <w:r>
        <w:rPr>
          <w:rFonts w:hint="default" w:ascii="Times New Roman" w:hAnsi="Times New Roman" w:cs="Times New Roman"/>
          <w:color w:val="auto"/>
          <w:shd w:val="clear" w:color="auto" w:fill="FFFFFF"/>
        </w:rPr>
        <w:t>—201</w:t>
      </w:r>
      <w:r>
        <w:rPr>
          <w:rFonts w:hint="default" w:ascii="Times New Roman" w:hAnsi="Times New Roman" w:cs="Times New Roman"/>
          <w:color w:val="auto"/>
          <w:shd w:val="clear" w:color="auto" w:fill="FFFFFF"/>
        </w:rPr>
        <w:t>5，有修改]</w:t>
      </w:r>
    </w:p>
    <w:p>
      <w:pPr>
        <w:widowControl/>
        <w:ind w:firstLine="0" w:firstLineChars="0"/>
        <w:jc w:val="left"/>
        <w:rPr>
          <w:rFonts w:hint="default" w:ascii="Times New Roman" w:hAnsi="Times New Roman" w:eastAsia="黑体" w:cs="Times New Roman"/>
          <w:color w:val="auto"/>
        </w:rPr>
      </w:pPr>
      <w:r>
        <w:rPr>
          <w:rFonts w:hint="default" w:ascii="Times New Roman" w:hAnsi="Times New Roman" w:eastAsia="黑体" w:cs="Times New Roman"/>
          <w:color w:val="auto"/>
          <w:kern w:val="2"/>
          <w:sz w:val="21"/>
        </w:rPr>
        <w:t>3.3</w:t>
      </w:r>
    </w:p>
    <w:p>
      <w:pPr>
        <w:widowControl/>
        <w:spacing w:before="0" w:beforeAutospacing="0" w:after="0" w:afterAutospacing="0"/>
        <w:ind w:firstLine="420" w:firstLineChars="200"/>
        <w:jc w:val="left"/>
        <w:rPr>
          <w:rFonts w:hint="default" w:ascii="Times New Roman" w:hAnsi="Times New Roman" w:cs="Times New Roman"/>
          <w:color w:val="auto"/>
          <w:szCs w:val="21"/>
          <w:lang w:bidi="ar"/>
        </w:rPr>
      </w:pPr>
      <w:r>
        <w:rPr>
          <w:rFonts w:hint="default" w:ascii="Times New Roman" w:hAnsi="Times New Roman" w:eastAsia="黑体" w:cs="Times New Roman"/>
          <w:b w:val="0"/>
          <w:bCs w:val="0"/>
          <w:color w:val="auto"/>
          <w:kern w:val="2"/>
          <w:sz w:val="21"/>
          <w:lang w:bidi="ar"/>
        </w:rPr>
        <w:t>绿色电力 green electricity</w:t>
      </w:r>
    </w:p>
    <w:p>
      <w:pPr>
        <w:ind w:firstLine="420" w:firstLineChars="200"/>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绿色电力一般是指符合国家有关政策要求的风电（含分散式风电和海上风电）、太阳能发电（含分布式光伏发电和光热发电）、常规水电、生物质发电、地热能发电、海洋能发电等已建档立卡的可再生能源发电项目所生产的全部电量。</w:t>
      </w:r>
    </w:p>
    <w:p>
      <w:pPr>
        <w:widowControl w:val="0"/>
        <w:spacing w:before="0" w:beforeAutospacing="0" w:after="0" w:afterAutospacing="0"/>
        <w:ind w:firstLine="420" w:firstLineChars="200"/>
        <w:jc w:val="both"/>
        <w:rPr>
          <w:rFonts w:hint="default" w:ascii="Times New Roman" w:hAnsi="Times New Roman" w:cs="Times New Roman"/>
          <w:color w:val="auto"/>
          <w:kern w:val="2"/>
          <w:sz w:val="21"/>
          <w:szCs w:val="21"/>
          <w:lang w:bidi="ar"/>
        </w:rPr>
      </w:pPr>
      <w:r>
        <w:rPr>
          <w:rFonts w:hint="default" w:ascii="Times New Roman" w:hAnsi="Times New Roman" w:cs="Times New Roman" w:eastAsiaTheme="minorEastAsia"/>
          <w:color w:val="auto"/>
          <w:kern w:val="2"/>
          <w:sz w:val="21"/>
          <w:szCs w:val="21"/>
          <w:lang w:bidi="ar"/>
        </w:rPr>
        <w:t>[</w:t>
      </w:r>
      <w:r>
        <w:rPr>
          <w:rFonts w:hint="default" w:ascii="Times New Roman" w:hAnsi="Times New Roman" w:cs="Times New Roman"/>
          <w:color w:val="auto"/>
          <w:kern w:val="2"/>
          <w:sz w:val="21"/>
          <w:szCs w:val="21"/>
          <w:lang w:bidi="ar"/>
        </w:rPr>
        <w:t>来源：</w:t>
      </w:r>
      <w:r>
        <w:rPr>
          <w:rFonts w:hint="default" w:ascii="Times New Roman" w:hAnsi="Times New Roman" w:cs="Times New Roman"/>
          <w:color w:val="auto"/>
          <w:szCs w:val="21"/>
          <w:lang w:bidi="ar"/>
        </w:rPr>
        <w:t>《中国可再生能源绿色电力证书百问百答（2025年版）》</w:t>
      </w:r>
      <w:r>
        <w:rPr>
          <w:rFonts w:hint="default" w:ascii="Times New Roman" w:hAnsi="Times New Roman" w:cs="Times New Roman" w:eastAsiaTheme="minorEastAsia"/>
          <w:color w:val="auto"/>
          <w:kern w:val="2"/>
          <w:sz w:val="21"/>
          <w:szCs w:val="21"/>
          <w:lang w:bidi="ar"/>
        </w:rPr>
        <w:t>]</w:t>
      </w:r>
    </w:p>
    <w:p>
      <w:pPr>
        <w:widowControl/>
        <w:spacing w:before="0" w:beforeAutospacing="0" w:after="0" w:afterAutospacing="0"/>
        <w:jc w:val="both"/>
        <w:rPr>
          <w:rFonts w:hint="default" w:ascii="Times New Roman" w:hAnsi="Times New Roman" w:eastAsia="黑体" w:cs="Times New Roman"/>
          <w:color w:val="auto"/>
        </w:rPr>
      </w:pPr>
      <w:r>
        <w:rPr>
          <w:rFonts w:hint="default" w:ascii="Times New Roman" w:hAnsi="Times New Roman" w:eastAsia="黑体" w:cs="Times New Roman"/>
          <w:color w:val="auto"/>
          <w:kern w:val="2"/>
          <w:sz w:val="21"/>
        </w:rPr>
        <w:t>3.4</w:t>
      </w:r>
      <w:bookmarkStart w:id="30" w:name="_Hlk206989722"/>
    </w:p>
    <w:bookmarkEnd w:id="30"/>
    <w:p>
      <w:pPr>
        <w:ind w:firstLine="420" w:firstLineChars="200"/>
        <w:rPr>
          <w:rFonts w:hint="default" w:ascii="Times New Roman" w:hAnsi="Times New Roman" w:cs="Times New Roman"/>
          <w:color w:val="auto"/>
          <w:shd w:val="clear" w:color="auto" w:fill="FFFFFF"/>
        </w:rPr>
      </w:pPr>
      <w:r>
        <w:rPr>
          <w:rFonts w:hint="default" w:ascii="Times New Roman" w:hAnsi="Times New Roman" w:eastAsia="黑体" w:cs="Times New Roman"/>
          <w:b w:val="0"/>
          <w:bCs w:val="0"/>
          <w:color w:val="auto"/>
          <w:kern w:val="2"/>
          <w:sz w:val="21"/>
          <w:lang w:bidi="ar"/>
        </w:rPr>
        <w:t>碳汇 carbon sink</w:t>
      </w:r>
    </w:p>
    <w:p>
      <w:pPr>
        <w:ind w:firstLine="420" w:firstLineChars="200"/>
        <w:rPr>
          <w:rFonts w:hint="default" w:ascii="Times New Roman" w:hAnsi="Times New Roman" w:cs="Times New Roman"/>
          <w:color w:val="auto"/>
          <w:shd w:val="clear" w:color="auto" w:fill="FFFFFF"/>
        </w:rPr>
      </w:pPr>
      <w:r>
        <w:rPr>
          <w:rFonts w:hint="default" w:ascii="Times New Roman" w:hAnsi="Times New Roman" w:cs="Times New Roman"/>
          <w:color w:val="auto"/>
          <w:szCs w:val="24"/>
          <w:shd w:val="clear" w:color="auto" w:fill="FFFFFF"/>
          <w:lang w:bidi="ar-SA"/>
        </w:rPr>
        <w:t>从大气中去除温室气体、气溶胶或温室气体前体的过程、活动或机制。</w:t>
      </w:r>
    </w:p>
    <w:p>
      <w:pPr>
        <w:autoSpaceDE w:val="0"/>
        <w:autoSpaceDN w:val="0"/>
        <w:ind w:firstLine="480" w:firstLineChars="200"/>
        <w:rPr>
          <w:rFonts w:hint="default" w:ascii="Times New Roman" w:hAnsi="Times New Roman" w:cs="Times New Roman"/>
          <w:color w:val="auto"/>
          <w:shd w:val="clear" w:color="auto" w:fill="auto"/>
        </w:rPr>
      </w:pPr>
      <w:bookmarkStart w:id="31" w:name="_Toc15089"/>
      <w:bookmarkStart w:id="32" w:name="_Toc20979"/>
      <w:r>
        <w:rPr>
          <w:rFonts w:hint="default" w:ascii="Times New Roman" w:hAnsi="Times New Roman" w:cs="Times New Roman" w:eastAsiaTheme="minorEastAsia"/>
          <w:b w:val="0"/>
          <w:bCs w:val="0"/>
          <w:color w:val="auto"/>
          <w:kern w:val="0"/>
          <w:sz w:val="24"/>
          <w:shd w:val="clear" w:color="auto" w:fill="FFFFFF"/>
        </w:rPr>
        <w:t>[来源：</w:t>
      </w:r>
      <w:r>
        <w:rPr>
          <w:rFonts w:hint="default" w:ascii="Times New Roman" w:hAnsi="Times New Roman" w:cs="Times New Roman" w:eastAsiaTheme="minorEastAsia"/>
          <w:b w:val="0"/>
          <w:bCs w:val="0"/>
          <w:color w:val="auto"/>
          <w:szCs w:val="21"/>
          <w:shd w:val="clear" w:color="auto" w:fill="FFFFFF"/>
          <w:lang w:bidi="ar"/>
        </w:rPr>
        <w:t xml:space="preserve">IPCC </w:t>
      </w:r>
      <w:r>
        <w:rPr>
          <w:rFonts w:hint="default" w:ascii="Times New Roman" w:hAnsi="Times New Roman" w:cs="Times New Roman" w:eastAsiaTheme="minorEastAsia"/>
          <w:b w:val="0"/>
          <w:bCs w:val="0"/>
          <w:color w:val="auto"/>
          <w:szCs w:val="21"/>
          <w:shd w:val="clear" w:color="auto" w:fill="FFFFFF"/>
          <w:lang w:bidi="ar"/>
        </w:rPr>
        <w:t>第六次评估报告</w:t>
      </w:r>
      <w:r>
        <w:rPr>
          <w:rFonts w:hint="default" w:ascii="Times New Roman" w:hAnsi="Times New Roman" w:cs="Times New Roman" w:eastAsiaTheme="minorEastAsia"/>
          <w:b w:val="0"/>
          <w:bCs w:val="0"/>
          <w:color w:val="auto"/>
          <w:kern w:val="0"/>
          <w:sz w:val="24"/>
          <w:shd w:val="clear" w:color="auto" w:fill="FFFFFF"/>
        </w:rPr>
        <w:t>]</w:t>
      </w:r>
      <w:bookmarkEnd w:id="31"/>
      <w:bookmarkEnd w:id="32"/>
    </w:p>
    <w:p>
      <w:pPr>
        <w:widowControl/>
        <w:rPr>
          <w:rFonts w:hint="default" w:ascii="Times New Roman" w:hAnsi="Times New Roman" w:eastAsia="黑体" w:cs="Times New Roman"/>
          <w:color w:val="auto"/>
        </w:rPr>
      </w:pPr>
      <w:r>
        <w:rPr>
          <w:rFonts w:hint="default" w:ascii="Times New Roman" w:hAnsi="Times New Roman" w:eastAsia="黑体" w:cs="Times New Roman"/>
          <w:color w:val="auto"/>
        </w:rPr>
        <w:t>3</w:t>
      </w:r>
      <w:r>
        <w:rPr>
          <w:rFonts w:hint="default" w:ascii="Times New Roman" w:hAnsi="Times New Roman" w:eastAsia="黑体" w:cs="Times New Roman"/>
          <w:color w:val="auto"/>
        </w:rPr>
        <w:t>.5</w:t>
      </w:r>
    </w:p>
    <w:p>
      <w:pPr>
        <w:ind w:firstLine="420" w:firstLineChars="200"/>
        <w:rPr>
          <w:rFonts w:hint="default" w:ascii="Times New Roman" w:hAnsi="Times New Roman" w:eastAsia="黑体" w:cs="Times New Roman"/>
          <w:color w:val="auto"/>
          <w:lang w:bidi="ar"/>
        </w:rPr>
      </w:pPr>
      <w:r>
        <w:rPr>
          <w:rFonts w:hint="default" w:ascii="Times New Roman" w:hAnsi="Times New Roman" w:eastAsia="黑体" w:cs="Times New Roman"/>
          <w:color w:val="auto"/>
          <w:lang w:bidi="ar"/>
        </w:rPr>
        <w:t>工业余热</w:t>
      </w:r>
      <w:r>
        <w:rPr>
          <w:rFonts w:hint="default" w:ascii="Times New Roman" w:hAnsi="Times New Roman" w:eastAsia="黑体" w:cs="Times New Roman"/>
          <w:color w:val="auto"/>
          <w:lang w:bidi="ar"/>
        </w:rPr>
        <w:t>Industrial surplus heat</w:t>
      </w:r>
    </w:p>
    <w:p>
      <w:pPr>
        <w:ind w:firstLine="420" w:firstLineChars="200"/>
        <w:rPr>
          <w:rFonts w:hint="default" w:ascii="Times New Roman" w:hAnsi="Times New Roman" w:cs="Times New Roman"/>
          <w:color w:val="auto"/>
          <w:lang w:bidi="ar"/>
        </w:rPr>
      </w:pPr>
      <w:r>
        <w:rPr>
          <w:rFonts w:hint="default" w:ascii="Times New Roman" w:hAnsi="Times New Roman" w:cs="Times New Roman"/>
          <w:color w:val="auto"/>
          <w:lang w:bidi="ar"/>
        </w:rPr>
        <w:t>工业生产工艺系统消耗输入能源后输出可利用的热能。</w:t>
      </w:r>
    </w:p>
    <w:p>
      <w:pPr>
        <w:widowControl/>
        <w:ind w:firstLine="420"/>
        <w:rPr>
          <w:rFonts w:hint="default" w:ascii="Times New Roman" w:hAnsi="Times New Roman" w:cs="Times New Roman"/>
          <w:color w:val="auto"/>
          <w:shd w:val="clear" w:color="auto" w:fill="FFFFFF"/>
        </w:rPr>
      </w:pPr>
      <w:r>
        <w:rPr>
          <w:rFonts w:hint="default" w:ascii="Times New Roman" w:hAnsi="Times New Roman" w:cs="Times New Roman"/>
          <w:color w:val="auto"/>
          <w:shd w:val="clear" w:color="auto" w:fill="FFFFFF"/>
        </w:rPr>
        <w:t>[来源：</w:t>
      </w:r>
      <w:r>
        <w:rPr>
          <w:rFonts w:hint="default" w:ascii="Times New Roman" w:hAnsi="Times New Roman" w:cs="Times New Roman"/>
          <w:color w:val="auto"/>
          <w:kern w:val="0"/>
          <w:szCs w:val="21"/>
          <w:lang w:bidi="ar"/>
        </w:rPr>
        <w:t>GB/T 1028-2018</w:t>
      </w:r>
      <w:r>
        <w:rPr>
          <w:rFonts w:hint="default" w:ascii="Times New Roman" w:hAnsi="Times New Roman" w:cs="Times New Roman"/>
          <w:color w:val="auto"/>
          <w:shd w:val="clear" w:color="auto" w:fill="FFFFFF"/>
        </w:rPr>
        <w:t>]</w:t>
      </w:r>
    </w:p>
    <w:p>
      <w:pPr>
        <w:pStyle w:val="63"/>
        <w:autoSpaceDE w:val="0"/>
        <w:autoSpaceDN w:val="0"/>
        <w:spacing w:before="312" w:after="312"/>
        <w:ind w:left="425"/>
        <w:rPr>
          <w:rFonts w:hint="default" w:ascii="Times New Roman" w:hAnsi="Times New Roman" w:cs="Times New Roman"/>
          <w:color w:val="auto"/>
        </w:rPr>
      </w:pPr>
      <w:bookmarkStart w:id="33" w:name="_Toc23194"/>
      <w:bookmarkStart w:id="34" w:name="_Toc24286"/>
      <w:bookmarkStart w:id="35" w:name="_Toc10069"/>
      <w:r>
        <w:rPr>
          <w:rFonts w:hint="default" w:ascii="Times New Roman" w:hAnsi="Times New Roman" w:cs="Times New Roman"/>
          <w:color w:val="auto"/>
        </w:rPr>
        <w:t>核算的工作流程</w:t>
      </w:r>
      <w:bookmarkEnd w:id="33"/>
      <w:bookmarkEnd w:id="34"/>
      <w:bookmarkEnd w:id="35"/>
    </w:p>
    <w:p>
      <w:pPr>
        <w:widowControl/>
        <w:numPr>
          <w:ilvl w:val="0"/>
          <w:numId w:val="3"/>
        </w:numPr>
        <w:ind w:left="0" w:firstLine="425"/>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确定核算边界；</w:t>
      </w:r>
    </w:p>
    <w:p>
      <w:pPr>
        <w:widowControl/>
        <w:numPr>
          <w:ilvl w:val="0"/>
          <w:numId w:val="3"/>
        </w:numPr>
        <w:ind w:left="0" w:firstLine="425"/>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识别</w:t>
      </w:r>
      <w:r>
        <w:rPr>
          <w:rFonts w:hint="default" w:ascii="Times New Roman" w:hAnsi="Times New Roman" w:cs="Times New Roman"/>
          <w:color w:val="auto"/>
          <w:kern w:val="0"/>
          <w:szCs w:val="21"/>
          <w:lang w:bidi="ar"/>
        </w:rPr>
        <w:t>排放源</w:t>
      </w:r>
      <w:r>
        <w:rPr>
          <w:rFonts w:hint="default" w:ascii="Times New Roman" w:hAnsi="Times New Roman" w:cs="Times New Roman"/>
          <w:color w:val="auto"/>
          <w:kern w:val="0"/>
          <w:szCs w:val="21"/>
          <w:lang w:bidi="ar"/>
        </w:rPr>
        <w:t>；</w:t>
      </w:r>
    </w:p>
    <w:p>
      <w:pPr>
        <w:widowControl/>
        <w:numPr>
          <w:ilvl w:val="0"/>
          <w:numId w:val="3"/>
        </w:numPr>
        <w:ind w:left="0" w:firstLine="425"/>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选择核算方法；</w:t>
      </w:r>
    </w:p>
    <w:p>
      <w:pPr>
        <w:widowControl/>
        <w:numPr>
          <w:ilvl w:val="0"/>
          <w:numId w:val="3"/>
        </w:numPr>
        <w:ind w:left="0" w:firstLine="425"/>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获取活动数据</w:t>
      </w:r>
      <w:r>
        <w:rPr>
          <w:rFonts w:hint="default" w:ascii="Times New Roman" w:hAnsi="Times New Roman" w:cs="Times New Roman"/>
          <w:color w:val="auto"/>
        </w:rPr>
        <w:t>及排放因子</w:t>
      </w:r>
      <w:r>
        <w:rPr>
          <w:rFonts w:hint="default" w:ascii="Times New Roman" w:hAnsi="Times New Roman" w:cs="Times New Roman"/>
          <w:color w:val="auto"/>
          <w:kern w:val="0"/>
          <w:szCs w:val="21"/>
          <w:lang w:bidi="ar"/>
        </w:rPr>
        <w:t>；</w:t>
      </w:r>
    </w:p>
    <w:p>
      <w:pPr>
        <w:widowControl/>
        <w:numPr>
          <w:ilvl w:val="0"/>
          <w:numId w:val="3"/>
        </w:numPr>
        <w:ind w:left="0" w:firstLine="425"/>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进行</w:t>
      </w:r>
      <w:r>
        <w:rPr>
          <w:rFonts w:hint="default" w:ascii="Times New Roman" w:hAnsi="Times New Roman" w:cs="Times New Roman"/>
          <w:color w:val="auto"/>
          <w:kern w:val="0"/>
          <w:szCs w:val="21"/>
          <w:lang w:bidi="ar"/>
        </w:rPr>
        <w:t>碳</w:t>
      </w:r>
      <w:r>
        <w:rPr>
          <w:rFonts w:hint="default" w:ascii="Times New Roman" w:hAnsi="Times New Roman" w:cs="Times New Roman"/>
          <w:color w:val="auto"/>
          <w:kern w:val="0"/>
          <w:szCs w:val="21"/>
          <w:lang w:bidi="ar"/>
        </w:rPr>
        <w:t>排放核算</w:t>
      </w:r>
      <w:r>
        <w:rPr>
          <w:rFonts w:hint="default" w:ascii="Times New Roman" w:hAnsi="Times New Roman" w:cs="Times New Roman"/>
          <w:color w:val="auto"/>
          <w:kern w:val="0"/>
          <w:szCs w:val="21"/>
          <w:lang w:bidi="ar"/>
        </w:rPr>
        <w:t>；</w:t>
      </w:r>
    </w:p>
    <w:p>
      <w:pPr>
        <w:widowControl/>
        <w:numPr>
          <w:ilvl w:val="0"/>
          <w:numId w:val="3"/>
        </w:numPr>
        <w:ind w:left="0" w:firstLine="425"/>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核算结果汇总。</w:t>
      </w:r>
    </w:p>
    <w:p>
      <w:pPr>
        <w:pStyle w:val="63"/>
        <w:autoSpaceDE w:val="0"/>
        <w:autoSpaceDN w:val="0"/>
        <w:spacing w:before="312" w:after="312"/>
        <w:ind w:left="425"/>
        <w:rPr>
          <w:rFonts w:hint="default" w:ascii="Times New Roman" w:hAnsi="Times New Roman" w:cs="Times New Roman"/>
          <w:color w:val="auto"/>
        </w:rPr>
      </w:pPr>
      <w:bookmarkStart w:id="36" w:name="_Toc28866"/>
      <w:bookmarkStart w:id="37" w:name="_Toc17607"/>
      <w:bookmarkStart w:id="38" w:name="_Toc17066"/>
      <w:r>
        <w:rPr>
          <w:rFonts w:hint="default" w:ascii="Times New Roman" w:hAnsi="Times New Roman" w:cs="Times New Roman"/>
          <w:color w:val="auto"/>
        </w:rPr>
        <w:t>核算边界</w:t>
      </w:r>
      <w:bookmarkEnd w:id="36"/>
      <w:bookmarkEnd w:id="37"/>
      <w:bookmarkEnd w:id="38"/>
    </w:p>
    <w:p>
      <w:pPr>
        <w:autoSpaceDE w:val="0"/>
        <w:ind w:firstLine="420" w:firstLineChars="200"/>
        <w:rPr>
          <w:rFonts w:hint="default" w:ascii="Times New Roman" w:hAnsi="Times New Roman" w:cs="Times New Roman"/>
          <w:color w:val="auto"/>
          <w:szCs w:val="21"/>
          <w:lang w:bidi="ar"/>
        </w:rPr>
      </w:pPr>
      <w:bookmarkStart w:id="39" w:name="_Hlk203642956"/>
      <w:r>
        <w:rPr>
          <w:rFonts w:hint="default" w:ascii="Times New Roman" w:hAnsi="Times New Roman" w:cs="Times New Roman"/>
          <w:color w:val="auto"/>
          <w:szCs w:val="21"/>
          <w:lang w:bidi="ar"/>
        </w:rPr>
        <w:t>园区碳排放的核算边界为一个自然年内园区内能源活动、工业生产过程、废弃物处理、逸散排放、碳汇等方面产生的直接或间接碳排放之和。产业园区碳排放核算边界以其</w:t>
      </w:r>
      <w:r>
        <w:rPr>
          <w:rFonts w:hint="default" w:ascii="Times New Roman" w:hAnsi="Times New Roman" w:cs="Times New Roman"/>
          <w:color w:val="auto"/>
          <w:szCs w:val="21"/>
          <w:highlight w:val="none"/>
          <w:lang w:bidi="ar"/>
        </w:rPr>
        <w:t>行政规划</w:t>
      </w:r>
      <w:r>
        <w:rPr>
          <w:rFonts w:hint="default" w:ascii="Times New Roman" w:hAnsi="Times New Roman" w:cs="Times New Roman"/>
          <w:color w:val="auto"/>
          <w:szCs w:val="21"/>
          <w:lang w:bidi="ar"/>
        </w:rPr>
        <w:t>边界为基准，可根据园区实际拓展至功能拓展区、服务外联区。</w:t>
      </w:r>
    </w:p>
    <w:p>
      <w:pPr>
        <w:autoSpaceDE w:val="0"/>
        <w:ind w:firstLine="420" w:firstLineChars="200"/>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如果报告主体涉及使用生物质燃料燃烧产生的温室气体排放,应单独核算并在报告中给予说明,但不计入碳排放总量。</w:t>
      </w:r>
    </w:p>
    <w:p>
      <w:pPr>
        <w:autoSpaceDE w:val="0"/>
        <w:ind w:firstLine="420" w:firstLineChars="200"/>
        <w:rPr>
          <w:rFonts w:hint="default" w:ascii="Times New Roman" w:hAnsi="Times New Roman" w:cs="Times New Roman"/>
          <w:color w:val="auto"/>
          <w:szCs w:val="21"/>
          <w:lang w:bidi="ar"/>
        </w:rPr>
      </w:pPr>
    </w:p>
    <w:p>
      <w:pPr>
        <w:autoSpaceDE w:val="0"/>
        <w:ind w:firstLine="420" w:firstLineChars="200"/>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产业园区排放源识别应重点关注以下特征：</w:t>
      </w:r>
    </w:p>
    <w:p>
      <w:pPr>
        <w:autoSpaceDE w:val="0"/>
        <w:ind w:firstLine="420" w:firstLineChars="200"/>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能源梯级利用：如余热、余压、余气的利用，应明确供应方与接收方，避免重复计算；</w:t>
      </w:r>
    </w:p>
    <w:p>
      <w:pPr>
        <w:autoSpaceDE w:val="0"/>
        <w:ind w:firstLine="420" w:firstLineChars="200"/>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物料循环利用：如园区内固废协同处置、再生资源回收，应明确核算主体和范围；</w:t>
      </w:r>
    </w:p>
    <w:p>
      <w:pPr>
        <w:autoSpaceDE w:val="0"/>
        <w:ind w:firstLine="420" w:firstLineChars="200"/>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公共设施与集中系统：如集中供热、电力调度、污水处理厂，应作为独立排放单元统一核算；</w:t>
      </w:r>
    </w:p>
    <w:p>
      <w:pPr>
        <w:autoSpaceDE w:val="0"/>
        <w:ind w:firstLine="420" w:firstLineChars="200"/>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跨边界活动：如调入/调出电力和热力、园区外固废处理，应明确是否计入园区核算边界。</w:t>
      </w:r>
    </w:p>
    <w:p>
      <w:pPr>
        <w:autoSpaceDE w:val="0"/>
        <w:ind w:firstLine="0" w:firstLineChars="0"/>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碳排放核算的温室气体包括：二氧化碳（</w:t>
      </w:r>
      <w:r>
        <w:rPr>
          <w:rFonts w:hint="default" w:ascii="Times New Roman" w:hAnsi="Times New Roman" w:cs="Times New Roman"/>
          <w:color w:val="auto"/>
          <w:szCs w:val="21"/>
          <w:lang w:bidi="ar"/>
        </w:rPr>
        <w:t>CO</w:t>
      </w:r>
      <w:r>
        <w:rPr>
          <w:rFonts w:hint="default" w:ascii="Times New Roman" w:hAnsi="Times New Roman" w:cs="Times New Roman"/>
          <w:color w:val="auto"/>
          <w:szCs w:val="21"/>
          <w:vertAlign w:val="subscript"/>
          <w:lang w:bidi="ar"/>
        </w:rPr>
        <w:t>2</w:t>
      </w:r>
      <w:r>
        <w:rPr>
          <w:rFonts w:hint="default" w:ascii="Times New Roman" w:hAnsi="Times New Roman" w:cs="Times New Roman"/>
          <w:color w:val="auto"/>
          <w:szCs w:val="21"/>
          <w:lang w:bidi="ar"/>
        </w:rPr>
        <w:t>）、甲烷（</w:t>
      </w:r>
      <w:r>
        <w:rPr>
          <w:rFonts w:hint="default" w:ascii="Times New Roman" w:hAnsi="Times New Roman" w:cs="Times New Roman"/>
          <w:color w:val="auto"/>
          <w:szCs w:val="21"/>
          <w:lang w:bidi="ar"/>
        </w:rPr>
        <w:t>CH</w:t>
      </w:r>
      <w:r>
        <w:rPr>
          <w:rFonts w:hint="default" w:ascii="Times New Roman" w:hAnsi="Times New Roman" w:cs="Times New Roman"/>
          <w:color w:val="auto"/>
          <w:szCs w:val="21"/>
          <w:vertAlign w:val="subscript"/>
          <w:lang w:bidi="ar"/>
        </w:rPr>
        <w:t>4</w:t>
      </w:r>
      <w:r>
        <w:rPr>
          <w:rFonts w:hint="default" w:ascii="Times New Roman" w:hAnsi="Times New Roman" w:cs="Times New Roman"/>
          <w:color w:val="auto"/>
          <w:szCs w:val="21"/>
          <w:lang w:bidi="ar"/>
        </w:rPr>
        <w:t>）、氧化亚氮（</w:t>
      </w:r>
      <w:r>
        <w:rPr>
          <w:rFonts w:hint="default" w:ascii="Times New Roman" w:hAnsi="Times New Roman" w:cs="Times New Roman"/>
          <w:color w:val="auto"/>
          <w:szCs w:val="21"/>
          <w:lang w:bidi="ar"/>
        </w:rPr>
        <w:t>N</w:t>
      </w:r>
      <w:r>
        <w:rPr>
          <w:rFonts w:hint="default" w:ascii="Times New Roman" w:hAnsi="Times New Roman" w:cs="Times New Roman"/>
          <w:color w:val="auto"/>
          <w:szCs w:val="21"/>
          <w:vertAlign w:val="subscript"/>
          <w:lang w:bidi="ar"/>
        </w:rPr>
        <w:t>2</w:t>
      </w:r>
      <w:r>
        <w:rPr>
          <w:rFonts w:hint="default" w:ascii="Times New Roman" w:hAnsi="Times New Roman" w:cs="Times New Roman"/>
          <w:color w:val="auto"/>
          <w:szCs w:val="21"/>
          <w:lang w:bidi="ar"/>
        </w:rPr>
        <w:t>O</w:t>
      </w:r>
      <w:r>
        <w:rPr>
          <w:rFonts w:hint="default" w:ascii="Times New Roman" w:hAnsi="Times New Roman" w:cs="Times New Roman"/>
          <w:color w:val="auto"/>
          <w:szCs w:val="21"/>
          <w:lang w:bidi="ar"/>
        </w:rPr>
        <w:t>）、氢氟碳化物（</w:t>
      </w:r>
      <w:r>
        <w:rPr>
          <w:rFonts w:hint="default" w:ascii="Times New Roman" w:hAnsi="Times New Roman" w:cs="Times New Roman"/>
          <w:color w:val="auto"/>
          <w:szCs w:val="21"/>
          <w:lang w:bidi="ar"/>
        </w:rPr>
        <w:t>HFCs</w:t>
      </w:r>
      <w:r>
        <w:rPr>
          <w:rFonts w:hint="default" w:ascii="Times New Roman" w:hAnsi="Times New Roman" w:cs="Times New Roman"/>
          <w:color w:val="auto"/>
          <w:szCs w:val="21"/>
          <w:lang w:bidi="ar"/>
        </w:rPr>
        <w:t>）、全氟碳化物（</w:t>
      </w:r>
      <w:r>
        <w:rPr>
          <w:rFonts w:hint="default" w:ascii="Times New Roman" w:hAnsi="Times New Roman" w:cs="Times New Roman"/>
          <w:color w:val="auto"/>
          <w:szCs w:val="21"/>
          <w:lang w:bidi="ar"/>
        </w:rPr>
        <w:t>PFCs</w:t>
      </w:r>
      <w:r>
        <w:rPr>
          <w:rFonts w:hint="default" w:ascii="Times New Roman" w:hAnsi="Times New Roman" w:cs="Times New Roman"/>
          <w:color w:val="auto"/>
          <w:szCs w:val="21"/>
          <w:lang w:bidi="ar"/>
        </w:rPr>
        <w:t>）、六氟化硫（</w:t>
      </w:r>
      <w:r>
        <w:rPr>
          <w:rFonts w:hint="default" w:ascii="Times New Roman" w:hAnsi="Times New Roman" w:cs="Times New Roman"/>
          <w:color w:val="auto"/>
          <w:szCs w:val="21"/>
          <w:lang w:bidi="ar"/>
        </w:rPr>
        <w:t>SF</w:t>
      </w:r>
      <w:r>
        <w:rPr>
          <w:rFonts w:hint="default" w:ascii="Times New Roman" w:hAnsi="Times New Roman" w:cs="Times New Roman"/>
          <w:color w:val="auto"/>
          <w:szCs w:val="21"/>
          <w:vertAlign w:val="subscript"/>
          <w:lang w:bidi="ar"/>
        </w:rPr>
        <w:t>6</w:t>
      </w:r>
      <w:r>
        <w:rPr>
          <w:rFonts w:hint="default" w:ascii="Times New Roman" w:hAnsi="Times New Roman" w:cs="Times New Roman"/>
          <w:color w:val="auto"/>
          <w:szCs w:val="21"/>
          <w:lang w:bidi="ar"/>
        </w:rPr>
        <w:t>）和三氟化氮（</w:t>
      </w:r>
      <w:r>
        <w:rPr>
          <w:rFonts w:hint="default" w:ascii="Times New Roman" w:hAnsi="Times New Roman" w:cs="Times New Roman"/>
          <w:color w:val="auto"/>
          <w:szCs w:val="21"/>
          <w:lang w:bidi="ar"/>
        </w:rPr>
        <w:t>NF</w:t>
      </w:r>
      <w:r>
        <w:rPr>
          <w:rFonts w:hint="default" w:ascii="Times New Roman" w:hAnsi="Times New Roman" w:cs="Times New Roman"/>
          <w:color w:val="auto"/>
          <w:szCs w:val="21"/>
          <w:vertAlign w:val="subscript"/>
          <w:lang w:bidi="ar"/>
        </w:rPr>
        <w:t>3</w:t>
      </w:r>
      <w:r>
        <w:rPr>
          <w:rFonts w:hint="default" w:ascii="Times New Roman" w:hAnsi="Times New Roman" w:cs="Times New Roman"/>
          <w:color w:val="auto"/>
          <w:szCs w:val="21"/>
          <w:lang w:bidi="ar"/>
        </w:rPr>
        <w:t>）。</w:t>
      </w:r>
      <w:r>
        <w:rPr>
          <w:rFonts w:hint="default" w:ascii="Times New Roman" w:hAnsi="Times New Roman" w:cs="Times New Roman"/>
          <w:color w:val="auto"/>
          <w:szCs w:val="21"/>
          <w:lang w:bidi="ar"/>
        </w:rPr>
        <w:t>具体核算范围及温室气体类别见表1。</w:t>
      </w:r>
    </w:p>
    <w:p>
      <w:pPr>
        <w:widowControl/>
        <w:jc w:val="left"/>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br w:type="page"/>
      </w:r>
    </w:p>
    <w:p>
      <w:pPr>
        <w:autoSpaceDE w:val="0"/>
        <w:spacing w:before="240"/>
        <w:ind w:firstLine="420" w:firstLineChars="20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表1</w:t>
      </w:r>
      <w:r>
        <w:rPr>
          <w:rFonts w:hint="default" w:ascii="Times New Roman" w:hAnsi="Times New Roman" w:cs="Times New Roman"/>
          <w:color w:val="auto"/>
          <w:szCs w:val="21"/>
          <w:lang w:bidi="ar"/>
        </w:rPr>
        <w:t xml:space="preserve">  </w:t>
      </w:r>
      <w:r>
        <w:rPr>
          <w:rFonts w:hint="default" w:ascii="Times New Roman" w:hAnsi="Times New Roman" w:cs="Times New Roman"/>
          <w:color w:val="auto"/>
          <w:szCs w:val="21"/>
          <w:lang w:bidi="ar"/>
        </w:rPr>
        <w:t>温室气体类别及核算范围</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402"/>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排放源</w:t>
            </w:r>
          </w:p>
        </w:tc>
        <w:tc>
          <w:tcPr>
            <w:tcW w:w="340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温室气体类别</w:t>
            </w:r>
          </w:p>
        </w:tc>
        <w:tc>
          <w:tcPr>
            <w:tcW w:w="277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核算范围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能源活动</w:t>
            </w:r>
          </w:p>
        </w:tc>
        <w:tc>
          <w:tcPr>
            <w:tcW w:w="340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二氧化碳、甲烷、氧化亚氮</w:t>
            </w:r>
          </w:p>
        </w:tc>
        <w:tc>
          <w:tcPr>
            <w:tcW w:w="277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rPr>
              <w:t>包括化石燃料燃烧（固定燃烧源、移动燃烧源）、能源加工与转换（如园区自备电厂、锅炉）、净调入电力与净调入热力等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工业生产过程</w:t>
            </w:r>
          </w:p>
        </w:tc>
        <w:tc>
          <w:tcPr>
            <w:tcW w:w="340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二氧化碳、甲烷、氧化亚氮、氢氟碳化物、全氟碳化物、六氟化硫、三氟化氮</w:t>
            </w:r>
          </w:p>
        </w:tc>
        <w:tc>
          <w:tcPr>
            <w:tcW w:w="277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rPr>
              <w:t>园区内工业生产过程排放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废弃物处理</w:t>
            </w:r>
          </w:p>
        </w:tc>
        <w:tc>
          <w:tcPr>
            <w:tcW w:w="340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二氧化碳、甲烷、氧化亚氮</w:t>
            </w:r>
          </w:p>
        </w:tc>
        <w:tc>
          <w:tcPr>
            <w:tcW w:w="277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rPr>
              <w:t>包括固体废弃物处理与处置（填埋、焚烧、堆肥等）以及污水处理（纳管排放、自建污水处理设施）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逸散排放</w:t>
            </w:r>
          </w:p>
        </w:tc>
        <w:tc>
          <w:tcPr>
            <w:tcW w:w="340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二氧化碳、甲烷、氧化亚氮、氢氟碳化物、全氟碳化物、六氟化硫、三氟化氮</w:t>
            </w:r>
          </w:p>
        </w:tc>
        <w:tc>
          <w:tcPr>
            <w:tcW w:w="277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所有经济活动、生活设施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highlight w:val="none"/>
                <w:lang w:bidi="ar"/>
              </w:rPr>
              <w:t>碳汇</w:t>
            </w:r>
          </w:p>
        </w:tc>
        <w:tc>
          <w:tcPr>
            <w:tcW w:w="340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二氧化碳、甲烷、氧化亚氮、氢氟碳化物、全氟碳化物、六氟化硫、三氟化氮</w:t>
            </w:r>
          </w:p>
        </w:tc>
        <w:tc>
          <w:tcPr>
            <w:tcW w:w="2772" w:type="dxa"/>
            <w:vAlign w:val="center"/>
          </w:tcPr>
          <w:p>
            <w:pPr>
              <w:autoSpaceDE w:val="0"/>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所有经济活动、生活设施</w:t>
            </w:r>
          </w:p>
        </w:tc>
      </w:tr>
      <w:bookmarkEnd w:id="39"/>
    </w:tbl>
    <w:p>
      <w:pPr>
        <w:pStyle w:val="63"/>
        <w:spacing w:before="312" w:after="312"/>
        <w:rPr>
          <w:rFonts w:hint="default" w:ascii="Times New Roman" w:hAnsi="Times New Roman" w:cs="Times New Roman"/>
          <w:color w:val="auto"/>
        </w:rPr>
      </w:pPr>
      <w:bookmarkStart w:id="40" w:name="_Toc940"/>
      <w:bookmarkStart w:id="41" w:name="_Toc1422"/>
      <w:bookmarkStart w:id="42" w:name="_Toc625"/>
      <w:r>
        <w:rPr>
          <w:rFonts w:hint="default" w:ascii="Times New Roman" w:hAnsi="Times New Roman" w:cs="Times New Roman"/>
          <w:color w:val="auto"/>
        </w:rPr>
        <w:t>核算方法</w:t>
      </w:r>
      <w:bookmarkEnd w:id="40"/>
      <w:bookmarkEnd w:id="41"/>
      <w:bookmarkEnd w:id="42"/>
    </w:p>
    <w:p>
      <w:pPr>
        <w:spacing w:before="240" w:after="120"/>
        <w:rPr>
          <w:rFonts w:hint="default" w:ascii="Times New Roman" w:hAnsi="Times New Roman" w:eastAsia="黑体" w:cs="Times New Roman"/>
          <w:color w:val="auto"/>
        </w:rPr>
      </w:pPr>
      <w:r>
        <w:rPr>
          <w:rFonts w:hint="default" w:ascii="Times New Roman" w:hAnsi="Times New Roman" w:eastAsia="黑体" w:cs="Times New Roman"/>
          <w:color w:val="auto"/>
        </w:rPr>
        <w:t>6.1园区排放总量</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园区</w:t>
      </w:r>
      <w:r>
        <w:rPr>
          <w:rFonts w:hint="default" w:ascii="Times New Roman" w:hAnsi="Times New Roman" w:cs="Times New Roman"/>
          <w:color w:val="auto"/>
          <w:kern w:val="0"/>
          <w:szCs w:val="21"/>
          <w:lang w:bidi="ar"/>
        </w:rPr>
        <w:t>碳</w:t>
      </w:r>
      <w:r>
        <w:rPr>
          <w:rFonts w:hint="default" w:ascii="Times New Roman" w:hAnsi="Times New Roman" w:cs="Times New Roman"/>
          <w:color w:val="auto"/>
          <w:kern w:val="0"/>
          <w:szCs w:val="21"/>
          <w:lang w:bidi="ar"/>
        </w:rPr>
        <w:t>排放总量计算公式如下：</w:t>
      </w:r>
    </w:p>
    <w:p>
      <w:pPr>
        <w:widowControl/>
        <w:ind w:firstLine="420" w:firstLineChars="200"/>
        <w:jc w:val="center"/>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total</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能源活动</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工业过程</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废弃物处理</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逸散</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碳汇</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bidi="ar"/>
        </w:rPr>
        <w:t>（1）</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能源活动</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能源活动对应</w:t>
      </w:r>
      <w:r>
        <w:rPr>
          <w:rFonts w:hint="default" w:ascii="Times New Roman" w:hAnsi="Times New Roman" w:cs="Times New Roman"/>
          <w:color w:val="auto"/>
          <w:kern w:val="0"/>
          <w:szCs w:val="21"/>
          <w:lang w:bidi="ar"/>
        </w:rPr>
        <w:t>的</w:t>
      </w:r>
      <w:r>
        <w:rPr>
          <w:rFonts w:hint="default" w:ascii="Times New Roman" w:hAnsi="Times New Roman" w:cs="Times New Roman"/>
          <w:color w:val="auto"/>
          <w:kern w:val="0"/>
          <w:szCs w:val="21"/>
          <w:lang w:bidi="ar"/>
        </w:rPr>
        <w:t>碳</w:t>
      </w:r>
      <w:r>
        <w:rPr>
          <w:rFonts w:hint="default" w:ascii="Times New Roman" w:hAnsi="Times New Roman" w:cs="Times New Roman"/>
          <w:color w:val="auto"/>
          <w:kern w:val="0"/>
          <w:szCs w:val="21"/>
          <w:lang w:bidi="ar"/>
        </w:rPr>
        <w:t>排放</w:t>
      </w:r>
      <w:r>
        <w:rPr>
          <w:rFonts w:hint="default" w:ascii="Times New Roman" w:hAnsi="Times New Roman" w:cs="Times New Roman"/>
          <w:color w:val="auto"/>
          <w:kern w:val="0"/>
          <w:szCs w:val="21"/>
          <w:lang w:bidi="ar"/>
        </w:rPr>
        <w:t>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工业过程</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工业过程对应的碳排放量，单位为吨二氧化碳当量（tCO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废弃物处理</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废弃物处理对应</w:t>
      </w:r>
      <w:r>
        <w:rPr>
          <w:rFonts w:hint="default" w:ascii="Times New Roman" w:hAnsi="Times New Roman" w:cs="Times New Roman"/>
          <w:color w:val="auto"/>
          <w:kern w:val="0"/>
          <w:szCs w:val="21"/>
          <w:lang w:bidi="ar"/>
        </w:rPr>
        <w:t>的</w:t>
      </w:r>
      <w:r>
        <w:rPr>
          <w:rFonts w:hint="default" w:ascii="Times New Roman" w:hAnsi="Times New Roman" w:cs="Times New Roman"/>
          <w:color w:val="auto"/>
          <w:kern w:val="0"/>
          <w:szCs w:val="21"/>
          <w:lang w:bidi="ar"/>
        </w:rPr>
        <w:t>碳</w:t>
      </w:r>
      <w:r>
        <w:rPr>
          <w:rFonts w:hint="default" w:ascii="Times New Roman" w:hAnsi="Times New Roman" w:cs="Times New Roman"/>
          <w:color w:val="auto"/>
          <w:kern w:val="0"/>
          <w:szCs w:val="21"/>
          <w:lang w:bidi="ar"/>
        </w:rPr>
        <w:t>排放</w:t>
      </w:r>
      <w:r>
        <w:rPr>
          <w:rFonts w:hint="default" w:ascii="Times New Roman" w:hAnsi="Times New Roman" w:cs="Times New Roman"/>
          <w:color w:val="auto"/>
          <w:kern w:val="0"/>
          <w:szCs w:val="21"/>
          <w:lang w:bidi="ar"/>
        </w:rPr>
        <w:t>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逸散</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逸散排放量，单位为吨二氧化碳当量（tCO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碳汇</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碳汇削减量，单位为吨二氧化碳当量（tCO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p>
    <w:p>
      <w:pPr>
        <w:spacing w:before="240" w:after="120"/>
        <w:rPr>
          <w:rFonts w:hint="default" w:ascii="Times New Roman" w:hAnsi="Times New Roman" w:eastAsia="黑体" w:cs="Times New Roman"/>
          <w:color w:val="auto"/>
        </w:rPr>
      </w:pPr>
      <w:r>
        <w:rPr>
          <w:rFonts w:hint="default" w:ascii="Times New Roman" w:hAnsi="Times New Roman" w:eastAsia="黑体" w:cs="Times New Roman"/>
          <w:color w:val="auto"/>
        </w:rPr>
        <w:t>6.2能源活动产生的碳排放</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园区能源活动碳排放主要包括园区内化石能源用作燃料产生的碳排放、能源加工转化过程产生的碳排放、园区电力与热力净调入蕴含的间接碳排放。园区中如有用于国际航空航海的燃料燃烧的碳排放，暂不从总量中扣减，但须单独列出。</w:t>
      </w:r>
    </w:p>
    <w:p>
      <w:pPr>
        <w:widowControl/>
        <w:ind w:firstLine="420" w:firstLineChars="200"/>
        <w:jc w:val="center"/>
        <w:rPr>
          <w:rFonts w:hint="default" w:ascii="Times New Roman" w:hAnsi="Times New Roman" w:cs="Times New Roman"/>
          <w:color w:val="auto"/>
          <w:kern w:val="0"/>
          <w:szCs w:val="21"/>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能源活动</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燃料燃烧</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能源加工转换</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电力热力</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rPr>
        <w:t>（2）</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燃料燃烧</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——燃料燃烧的碳排放量，单位为吨二氧化碳当量（tCO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能源加工转换</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——能源加工转换的碳排放量，单位为吨二氧化碳当量（tCO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电力热力</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——化石能源电力与热力净受入蕴含的间接碳排放量，单位为吨二氧化碳当量（tCO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p>
    <w:p>
      <w:pPr>
        <w:spacing w:before="240" w:after="120"/>
        <w:rPr>
          <w:rFonts w:hint="default" w:ascii="Times New Roman" w:hAnsi="Times New Roman" w:eastAsia="黑体" w:cs="Times New Roman"/>
          <w:color w:val="auto"/>
        </w:rPr>
      </w:pPr>
      <w:r>
        <w:rPr>
          <w:rFonts w:hint="default" w:ascii="Times New Roman" w:hAnsi="Times New Roman" w:eastAsia="黑体" w:cs="Times New Roman"/>
          <w:color w:val="auto"/>
        </w:rPr>
        <w:t>6.2</w:t>
      </w:r>
      <w:r>
        <w:rPr>
          <w:rFonts w:hint="default" w:ascii="Times New Roman" w:hAnsi="Times New Roman" w:eastAsia="黑体" w:cs="Times New Roman"/>
          <w:color w:val="auto"/>
        </w:rPr>
        <w:t>.1</w:t>
      </w:r>
      <w:bookmarkStart w:id="43" w:name="OLE_LINK4"/>
      <w:r>
        <w:rPr>
          <w:rFonts w:hint="default" w:ascii="Times New Roman" w:hAnsi="Times New Roman" w:eastAsia="黑体" w:cs="Times New Roman"/>
          <w:color w:val="auto"/>
        </w:rPr>
        <w:t>燃料燃烧</w:t>
      </w:r>
      <w:r>
        <w:rPr>
          <w:rFonts w:hint="default" w:ascii="Times New Roman" w:hAnsi="Times New Roman" w:eastAsia="黑体" w:cs="Times New Roman"/>
          <w:color w:val="auto"/>
        </w:rPr>
        <w:t>产生的碳</w:t>
      </w:r>
      <w:r>
        <w:rPr>
          <w:rFonts w:hint="default" w:ascii="Times New Roman" w:hAnsi="Times New Roman" w:eastAsia="黑体" w:cs="Times New Roman"/>
          <w:color w:val="auto"/>
        </w:rPr>
        <w:t>排放</w:t>
      </w:r>
      <w:bookmarkEnd w:id="43"/>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化石燃料燃烧产生的碳排放发生在化石能源燃烧以提供动力和热量的过程中，燃烧后不再产生其他含碳二次能源。化石燃料燃烧的排放源按类型分为：终端消费（不含用作原料、材料）、火力发电、供热、炼油及煤制油、制气、回收能。终端能源消费是指能源消费环节中最后一个环节的能源消费，即各种未经过加工转换的一次能源直接消费，以及经过加工转换的二次能源消费；回收能是指将废气、废液、废渣及其余热，产品和工艺生产介质余热，工艺温差、压差，以及其他非直接投入的能量形态和能量物质，作为能源进行使用。</w:t>
      </w:r>
      <w:r>
        <w:rPr>
          <w:rFonts w:hint="default" w:ascii="Times New Roman" w:hAnsi="Times New Roman" w:cs="Times New Roman"/>
          <w:color w:val="auto"/>
          <w:kern w:val="0"/>
          <w:szCs w:val="21"/>
          <w:lang w:bidi="ar"/>
        </w:rPr>
        <w:t>化石燃料燃烧直接排放的计算公式如下：</w:t>
      </w:r>
    </w:p>
    <w:p>
      <w:pPr>
        <w:widowControl/>
        <w:ind w:firstLine="420" w:firstLineChars="200"/>
        <w:jc w:val="center"/>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燃料燃烧</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固定燃烧源</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移动燃烧源</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rPr>
        <w:t>3</w:t>
      </w:r>
      <w:r>
        <w:rPr>
          <w:rFonts w:hint="default" w:ascii="Times New Roman" w:hAnsi="Times New Roman" w:cs="Times New Roman"/>
          <w:color w:val="auto"/>
          <w:kern w:val="0"/>
          <w:szCs w:val="21"/>
        </w:rPr>
        <w:t>）</w:t>
      </w:r>
    </w:p>
    <w:p>
      <w:pPr>
        <w:widowControl/>
        <w:ind w:firstLine="420" w:firstLineChars="200"/>
        <w:jc w:val="center"/>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固定燃烧源</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nary>
          <m:naryPr>
            <m:chr m:val="∑"/>
            <m:limLoc m:val="undOvr"/>
            <m:supHide m:val="true"/>
            <m:ctrlPr>
              <w:rPr>
                <w:rFonts w:hint="default" w:ascii="DejaVu Math TeX Gyre" w:hAnsi="DejaVu Math TeX Gyre" w:cs="Times New Roman"/>
                <w:i/>
                <w:color w:val="auto"/>
                <w:kern w:val="0"/>
                <w:szCs w:val="21"/>
              </w:rPr>
            </m:ctrlPr>
          </m:naryPr>
          <m:sub>
            <m:r>
              <m:rPr/>
              <w:rPr>
                <w:rFonts w:hint="default" w:ascii="DejaVu Math TeX Gyre" w:hAnsi="DejaVu Math TeX Gyre" w:cs="Times New Roman"/>
                <w:color w:val="auto"/>
                <w:kern w:val="0"/>
                <w:szCs w:val="21"/>
              </w:rPr>
              <m:t>i,k</m:t>
            </m:r>
            <m:ctrlPr>
              <w:rPr>
                <w:rFonts w:hint="default" w:ascii="DejaVu Math TeX Gyre" w:hAnsi="DejaVu Math TeX Gyre" w:cs="Times New Roman"/>
                <w:i/>
                <w:color w:val="auto"/>
                <w:kern w:val="0"/>
                <w:szCs w:val="21"/>
              </w:rPr>
            </m:ctrlPr>
          </m:sub>
          <m:sup>
            <m:ctrlPr>
              <w:rPr>
                <w:rFonts w:hint="default" w:ascii="DejaVu Math TeX Gyre" w:hAnsi="DejaVu Math TeX Gyre" w:cs="Times New Roman"/>
                <w:i/>
                <w:color w:val="auto"/>
                <w:kern w:val="0"/>
                <w:szCs w:val="21"/>
              </w:rPr>
            </m:ctrlPr>
          </m:sup>
          <m:e>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FC</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NCV</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i,k</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k</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e>
        </m:nary>
      </m:oMath>
      <w:r>
        <w:rPr>
          <w:rFonts w:hint="default" w:ascii="Times New Roman" w:hAnsi="Times New Roman" w:cs="Times New Roman"/>
          <w:color w:val="auto"/>
          <w:kern w:val="0"/>
          <w:szCs w:val="21"/>
        </w:rPr>
        <w:t>（4）</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固定燃烧源</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——固定燃烧源的碳排放量，单位为吨二氧化碳当量（tCO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lang w:bidi="ar"/>
          </w:rPr>
          <m:t>i</m:t>
        </m:r>
      </m:oMath>
      <w:r>
        <w:rPr>
          <w:rFonts w:hint="default" w:ascii="Times New Roman" w:hAnsi="Times New Roman" w:cs="Times New Roman"/>
          <w:color w:val="auto"/>
          <w:kern w:val="0"/>
          <w:szCs w:val="21"/>
          <w:lang w:bidi="ar"/>
        </w:rPr>
        <w:t>——化石</w:t>
      </w:r>
      <w:r>
        <w:rPr>
          <w:rFonts w:hint="default" w:ascii="Times New Roman" w:hAnsi="Times New Roman" w:cs="Times New Roman"/>
          <w:color w:val="auto"/>
          <w:kern w:val="0"/>
          <w:szCs w:val="21"/>
          <w:lang w:bidi="ar"/>
        </w:rPr>
        <w:t>燃料的类型；</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lang w:bidi="ar"/>
          </w:rPr>
          <m:t>k</m:t>
        </m:r>
      </m:oMath>
      <w:r>
        <w:rPr>
          <w:rFonts w:hint="default" w:ascii="Times New Roman" w:hAnsi="Times New Roman" w:cs="Times New Roman"/>
          <w:color w:val="auto"/>
          <w:kern w:val="0"/>
          <w:szCs w:val="21"/>
          <w:lang w:bidi="ar"/>
        </w:rPr>
        <w:t>——温室气体</w:t>
      </w:r>
      <w:r>
        <w:rPr>
          <w:rFonts w:hint="default" w:ascii="Times New Roman" w:hAnsi="Times New Roman" w:cs="Times New Roman"/>
          <w:color w:val="auto"/>
          <w:kern w:val="0"/>
          <w:szCs w:val="21"/>
          <w:lang w:bidi="ar"/>
        </w:rPr>
        <w:t>的类型；</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FC</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——化石燃料的消耗量，对固体或液体燃料，单位为吨（</w:t>
      </w:r>
      <w:r>
        <w:rPr>
          <w:rFonts w:hint="default" w:ascii="Times New Roman" w:hAnsi="Times New Roman" w:cs="Times New Roman"/>
          <w:color w:val="auto"/>
          <w:kern w:val="0"/>
          <w:szCs w:val="21"/>
          <w:lang w:bidi="ar"/>
        </w:rPr>
        <w:t>t</w:t>
      </w:r>
      <w:r>
        <w:rPr>
          <w:rFonts w:hint="default" w:ascii="Times New Roman" w:hAnsi="Times New Roman" w:cs="Times New Roman"/>
          <w:color w:val="auto"/>
          <w:kern w:val="0"/>
          <w:szCs w:val="21"/>
          <w:lang w:bidi="ar"/>
        </w:rPr>
        <w:t xml:space="preserve">）；对气体燃料，单位为万标准立方米 </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万1</w:t>
      </w:r>
      <w:r>
        <w:rPr>
          <w:rFonts w:hint="default" w:ascii="Times New Roman" w:hAnsi="Times New Roman" w:cs="Times New Roman"/>
          <w:color w:val="auto"/>
          <w:kern w:val="0"/>
          <w:szCs w:val="21"/>
          <w:lang w:bidi="ar"/>
        </w:rPr>
        <w:t>0</w:t>
      </w:r>
      <w:r>
        <w:rPr>
          <w:rFonts w:hint="default" w:ascii="Times New Roman" w:hAnsi="Times New Roman" w:cs="Times New Roman"/>
          <w:color w:val="auto"/>
          <w:kern w:val="0"/>
          <w:szCs w:val="21"/>
          <w:vertAlign w:val="superscript"/>
          <w:lang w:bidi="ar"/>
        </w:rPr>
        <w:t>4</w:t>
      </w:r>
      <w:r>
        <w:rPr>
          <w:rFonts w:hint="default" w:ascii="Times New Roman" w:hAnsi="Times New Roman" w:cs="Times New Roman"/>
          <w:color w:val="auto"/>
          <w:kern w:val="0"/>
          <w:szCs w:val="21"/>
          <w:lang w:bidi="ar"/>
        </w:rPr>
        <w:t>m³)</w:t>
      </w:r>
      <w:r>
        <w:rPr>
          <w:rFonts w:hint="default" w:ascii="Times New Roman" w:hAnsi="Times New Roman" w:cs="Times New Roman"/>
          <w:color w:val="auto"/>
          <w:kern w:val="0"/>
          <w:szCs w:val="21"/>
          <w:lang w:bidi="ar"/>
        </w:rPr>
        <w:t>；</w:t>
      </w:r>
    </w:p>
    <w:p>
      <w:pPr>
        <w:widowControl/>
        <w:ind w:firstLine="420" w:firstLineChars="200"/>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NCV</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——化石燃料的低位发热量，对固体或液体燃料，单位为百万千焦/吨（GJ/t）；对气体燃料，单位为百万千焦/万标准立方米 (GJ/1</w:t>
      </w:r>
      <w:r>
        <w:rPr>
          <w:rFonts w:hint="default" w:ascii="Times New Roman" w:hAnsi="Times New Roman" w:cs="Times New Roman"/>
          <w:color w:val="auto"/>
          <w:kern w:val="0"/>
          <w:szCs w:val="21"/>
          <w:lang w:bidi="ar"/>
        </w:rPr>
        <w:t>0</w:t>
      </w:r>
      <w:r>
        <w:rPr>
          <w:rFonts w:hint="default" w:ascii="Times New Roman" w:hAnsi="Times New Roman" w:cs="Times New Roman"/>
          <w:color w:val="auto"/>
          <w:kern w:val="0"/>
          <w:szCs w:val="21"/>
          <w:vertAlign w:val="superscript"/>
          <w:lang w:bidi="ar"/>
        </w:rPr>
        <w:t>4</w:t>
      </w:r>
      <w:r>
        <w:rPr>
          <w:rFonts w:hint="default" w:ascii="Times New Roman" w:hAnsi="Times New Roman" w:cs="Times New Roman"/>
          <w:color w:val="auto"/>
          <w:kern w:val="0"/>
          <w:szCs w:val="21"/>
          <w:lang w:bidi="ar"/>
        </w:rPr>
        <w:t>Nm³)；</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i,k</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——温室气体的排放因子，单位与活动数据的单位相匹配；</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k</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——温室气体的</w:t>
      </w:r>
      <w:r>
        <w:rPr>
          <w:rFonts w:hint="default" w:ascii="Times New Roman" w:hAnsi="Times New Roman" w:cs="Times New Roman"/>
          <w:color w:val="auto"/>
          <w:szCs w:val="21"/>
          <w:lang w:bidi="ar"/>
        </w:rPr>
        <w:t>全球变暖潜势</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w:p>
    <w:p>
      <w:pPr>
        <w:widowControl/>
        <w:ind w:firstLine="420" w:firstLineChars="200"/>
        <w:jc w:val="left"/>
        <w:rPr>
          <w:rFonts w:hint="default" w:ascii="Times New Roman" w:hAnsi="Times New Roman" w:cs="Times New Roman"/>
          <w:color w:val="auto"/>
          <w:kern w:val="0"/>
          <w:szCs w:val="21"/>
          <w:lang w:bidi="ar"/>
        </w:rPr>
      </w:pPr>
      <w:bookmarkStart w:id="44" w:name="_Hlk198323755"/>
      <w:r>
        <w:rPr>
          <w:rFonts w:hint="default" w:ascii="Times New Roman" w:hAnsi="Times New Roman" w:cs="Times New Roman"/>
          <w:color w:val="auto"/>
          <w:kern w:val="0"/>
          <w:szCs w:val="21"/>
          <w:lang w:bidi="ar"/>
        </w:rPr>
        <w:t>化石燃料的二氧化碳</w:t>
      </w:r>
      <w:bookmarkEnd w:id="44"/>
      <w:r>
        <w:rPr>
          <w:rFonts w:hint="default" w:ascii="Times New Roman" w:hAnsi="Times New Roman" w:cs="Times New Roman"/>
          <w:color w:val="auto"/>
          <w:kern w:val="0"/>
          <w:szCs w:val="21"/>
          <w:lang w:bidi="ar"/>
        </w:rPr>
        <w:t>排放因子计算公式如下：</w:t>
      </w:r>
    </w:p>
    <w:p>
      <w:pPr>
        <w:jc w:val="center"/>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CC</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OF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f>
          <m:fPr>
            <m:ctrlPr>
              <w:rPr>
                <w:rFonts w:hint="default" w:ascii="DejaVu Math TeX Gyre" w:hAnsi="DejaVu Math TeX Gyre" w:cs="Times New Roman"/>
                <w:color w:val="auto"/>
                <w:kern w:val="0"/>
                <w:szCs w:val="21"/>
              </w:rPr>
            </m:ctrlPr>
          </m:fPr>
          <m:num>
            <m:r>
              <m:rPr>
                <m:sty m:val="p"/>
              </m:rPr>
              <w:rPr>
                <w:rFonts w:hint="default" w:ascii="DejaVu Math TeX Gyre" w:hAnsi="DejaVu Math TeX Gyre" w:cs="Times New Roman"/>
                <w:color w:val="auto"/>
                <w:kern w:val="0"/>
                <w:szCs w:val="21"/>
              </w:rPr>
              <m:t>44</m:t>
            </m:r>
            <m:ctrlPr>
              <w:rPr>
                <w:rFonts w:hint="default" w:ascii="DejaVu Math TeX Gyre" w:hAnsi="DejaVu Math TeX Gyre" w:cs="Times New Roman"/>
                <w:color w:val="auto"/>
                <w:kern w:val="0"/>
                <w:szCs w:val="21"/>
              </w:rPr>
            </m:ctrlPr>
          </m:num>
          <m:den>
            <m:r>
              <m:rPr>
                <m:sty m:val="p"/>
              </m:rPr>
              <w:rPr>
                <w:rFonts w:hint="default" w:ascii="DejaVu Math TeX Gyre" w:hAnsi="DejaVu Math TeX Gyre" w:cs="Times New Roman"/>
                <w:color w:val="auto"/>
                <w:kern w:val="0"/>
                <w:szCs w:val="21"/>
              </w:rPr>
              <m:t>12</m:t>
            </m:r>
            <m:ctrlPr>
              <w:rPr>
                <w:rFonts w:hint="default" w:ascii="DejaVu Math TeX Gyre" w:hAnsi="DejaVu Math TeX Gyre" w:cs="Times New Roman"/>
                <w:color w:val="auto"/>
                <w:kern w:val="0"/>
                <w:szCs w:val="21"/>
              </w:rPr>
            </m:ctrlPr>
          </m:den>
        </m:f>
      </m:oMath>
      <w:r>
        <w:rPr>
          <w:rFonts w:hint="default" w:ascii="Times New Roman" w:hAnsi="Times New Roman" w:cs="Times New Roman"/>
          <w:color w:val="auto"/>
          <w:kern w:val="0"/>
          <w:szCs w:val="21"/>
        </w:rPr>
        <w:t xml:space="preserve">  （5）</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——化石燃料的二氧化碳排放因子，单位为吨二氧化碳每吉焦（tCO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/G</w:t>
      </w:r>
      <w:r>
        <w:rPr>
          <w:rFonts w:hint="default" w:ascii="Times New Roman" w:hAnsi="Times New Roman" w:cs="Times New Roman"/>
          <w:color w:val="auto"/>
          <w:kern w:val="0"/>
          <w:szCs w:val="21"/>
          <w:lang w:bidi="ar"/>
        </w:rPr>
        <w:t>J）；</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lang w:bidi="ar"/>
          </w:rPr>
          <m:t>i</m:t>
        </m:r>
      </m:oMath>
      <w:r>
        <w:rPr>
          <w:rFonts w:hint="default" w:ascii="Times New Roman" w:hAnsi="Times New Roman" w:cs="Times New Roman"/>
          <w:color w:val="auto"/>
          <w:kern w:val="0"/>
          <w:szCs w:val="21"/>
          <w:lang w:bidi="ar"/>
        </w:rPr>
        <w:t>——化石</w:t>
      </w:r>
      <w:r>
        <w:rPr>
          <w:rFonts w:hint="default" w:ascii="Times New Roman" w:hAnsi="Times New Roman" w:cs="Times New Roman"/>
          <w:color w:val="auto"/>
          <w:kern w:val="0"/>
          <w:szCs w:val="21"/>
          <w:lang w:bidi="ar"/>
        </w:rPr>
        <w:t>燃料的类型；</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CC</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——化石燃料的含碳量，对于固体或液体燃料，以吨碳每吨（</w:t>
      </w:r>
      <w:r>
        <w:rPr>
          <w:rFonts w:hint="default" w:ascii="Times New Roman" w:hAnsi="Times New Roman" w:cs="Times New Roman"/>
          <w:color w:val="auto"/>
          <w:kern w:val="0"/>
          <w:szCs w:val="21"/>
          <w:lang w:bidi="ar"/>
        </w:rPr>
        <w:t>tC/t</w:t>
      </w:r>
      <w:r>
        <w:rPr>
          <w:rFonts w:hint="default" w:ascii="Times New Roman" w:hAnsi="Times New Roman" w:cs="Times New Roman"/>
          <w:color w:val="auto"/>
          <w:kern w:val="0"/>
          <w:szCs w:val="21"/>
          <w:lang w:bidi="ar"/>
        </w:rPr>
        <w:t>）计，对于气体燃料，以吨碳每万标立方米（</w:t>
      </w:r>
      <w:r>
        <w:rPr>
          <w:rFonts w:hint="default" w:ascii="Times New Roman" w:hAnsi="Times New Roman" w:cs="Times New Roman"/>
          <w:color w:val="auto"/>
          <w:kern w:val="0"/>
          <w:szCs w:val="21"/>
          <w:lang w:bidi="ar"/>
        </w:rPr>
        <w:t>tC/</w:t>
      </w:r>
      <w:r>
        <w:rPr>
          <w:rFonts w:hint="default" w:ascii="Times New Roman" w:hAnsi="Times New Roman" w:eastAsia="Calibri" w:cs="Times New Roman"/>
          <w:color w:val="auto"/>
          <w:sz w:val="18"/>
          <w:szCs w:val="22"/>
        </w:rPr>
        <w:t>10</w:t>
      </w:r>
      <w:r>
        <w:rPr>
          <w:rFonts w:hint="default" w:ascii="Times New Roman" w:hAnsi="Times New Roman" w:eastAsia="Calibri" w:cs="Times New Roman"/>
          <w:color w:val="auto"/>
          <w:position w:val="8"/>
          <w:sz w:val="12"/>
          <w:szCs w:val="22"/>
        </w:rPr>
        <w:t>4</w:t>
      </w:r>
      <w:r>
        <w:rPr>
          <w:rFonts w:hint="default" w:ascii="Times New Roman" w:hAnsi="Times New Roman" w:eastAsia="Calibri" w:cs="Times New Roman"/>
          <w:color w:val="auto"/>
          <w:sz w:val="18"/>
          <w:szCs w:val="22"/>
        </w:rPr>
        <w:t>Nm</w:t>
      </w:r>
      <w:r>
        <w:rPr>
          <w:rFonts w:hint="default" w:ascii="Times New Roman" w:hAnsi="Times New Roman" w:eastAsia="Calibri" w:cs="Times New Roman"/>
          <w:color w:val="auto"/>
          <w:position w:val="8"/>
          <w:sz w:val="12"/>
          <w:szCs w:val="22"/>
        </w:rPr>
        <w:t>3</w:t>
      </w:r>
      <w:r>
        <w:rPr>
          <w:rFonts w:hint="default" w:ascii="Times New Roman" w:hAnsi="Times New Roman" w:cs="Times New Roman"/>
          <w:color w:val="auto"/>
          <w:kern w:val="0"/>
          <w:szCs w:val="21"/>
          <w:lang w:bidi="ar"/>
        </w:rPr>
        <w:t>）计；</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OF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——化石燃料的碳氧化率；</w:t>
      </w:r>
    </w:p>
    <w:p>
      <w:pPr>
        <w:widowControl/>
        <w:ind w:firstLine="420" w:firstLineChars="200"/>
        <w:jc w:val="left"/>
        <w:rPr>
          <w:rFonts w:hint="default" w:ascii="Times New Roman" w:hAnsi="Times New Roman" w:cs="Times New Roman"/>
          <w:color w:val="auto"/>
          <w:kern w:val="0"/>
          <w:szCs w:val="21"/>
          <w:lang w:bidi="ar"/>
        </w:rPr>
      </w:pPr>
      <m:oMath>
        <m:f>
          <m:fPr>
            <m:ctrlPr>
              <w:rPr>
                <w:rFonts w:hint="default" w:ascii="DejaVu Math TeX Gyre" w:hAnsi="DejaVu Math TeX Gyre" w:cs="Times New Roman"/>
                <w:color w:val="auto"/>
                <w:kern w:val="0"/>
                <w:szCs w:val="21"/>
              </w:rPr>
            </m:ctrlPr>
          </m:fPr>
          <m:num>
            <m:r>
              <m:rPr>
                <m:sty m:val="p"/>
              </m:rPr>
              <w:rPr>
                <w:rFonts w:hint="default" w:ascii="DejaVu Math TeX Gyre" w:hAnsi="DejaVu Math TeX Gyre" w:cs="Times New Roman"/>
                <w:color w:val="auto"/>
                <w:kern w:val="0"/>
                <w:szCs w:val="21"/>
              </w:rPr>
              <m:t>44</m:t>
            </m:r>
            <m:ctrlPr>
              <w:rPr>
                <w:rFonts w:hint="default" w:ascii="DejaVu Math TeX Gyre" w:hAnsi="DejaVu Math TeX Gyre" w:cs="Times New Roman"/>
                <w:color w:val="auto"/>
                <w:kern w:val="0"/>
                <w:szCs w:val="21"/>
              </w:rPr>
            </m:ctrlPr>
          </m:num>
          <m:den>
            <m:r>
              <m:rPr>
                <m:sty m:val="p"/>
              </m:rPr>
              <w:rPr>
                <w:rFonts w:hint="default" w:ascii="DejaVu Math TeX Gyre" w:hAnsi="DejaVu Math TeX Gyre" w:cs="Times New Roman"/>
                <w:color w:val="auto"/>
                <w:kern w:val="0"/>
                <w:szCs w:val="21"/>
              </w:rPr>
              <m:t>12</m:t>
            </m:r>
            <m:ctrlPr>
              <w:rPr>
                <w:rFonts w:hint="default" w:ascii="DejaVu Math TeX Gyre" w:hAnsi="DejaVu Math TeX Gyre" w:cs="Times New Roman"/>
                <w:color w:val="auto"/>
                <w:kern w:val="0"/>
                <w:szCs w:val="21"/>
              </w:rPr>
            </m:ctrlPr>
          </m:den>
        </m:f>
      </m:oMath>
      <w:r>
        <w:rPr>
          <w:rFonts w:hint="default" w:ascii="Times New Roman" w:hAnsi="Times New Roman" w:cs="Times New Roman"/>
          <w:color w:val="auto"/>
          <w:kern w:val="0"/>
          <w:szCs w:val="21"/>
          <w:lang w:bidi="ar"/>
        </w:rPr>
        <w:t xml:space="preserve"> </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二氧化碳与碳的质量换算关系。</w:t>
      </w:r>
    </w:p>
    <w:p>
      <w:pPr>
        <w:spacing w:before="120" w:after="120"/>
        <w:ind w:firstLine="420" w:firstLineChars="200"/>
        <w:rPr>
          <w:rFonts w:hint="default" w:ascii="Times New Roman" w:hAnsi="Times New Roman" w:cs="Times New Roman"/>
          <w:color w:val="auto"/>
          <w:position w:val="-16"/>
        </w:rPr>
      </w:pPr>
      <w:r>
        <w:rPr>
          <w:rFonts w:hint="default" w:ascii="Times New Roman" w:hAnsi="Times New Roman" w:cs="Times New Roman"/>
          <w:color w:val="auto"/>
          <w:position w:val="-16"/>
        </w:rPr>
        <w:t>移动燃烧源的温室气体核算种类包括二氧化碳（</w:t>
      </w:r>
      <w:r>
        <w:rPr>
          <w:rFonts w:hint="default" w:ascii="Times New Roman" w:hAnsi="Times New Roman" w:cs="Times New Roman"/>
          <w:color w:val="auto"/>
          <w:position w:val="-16"/>
        </w:rPr>
        <w:t>CO</w:t>
      </w:r>
      <w:r>
        <w:rPr>
          <w:rFonts w:hint="default" w:ascii="Times New Roman" w:hAnsi="Times New Roman" w:cs="Times New Roman"/>
          <w:color w:val="auto"/>
          <w:position w:val="-16"/>
          <w:vertAlign w:val="subscript"/>
        </w:rPr>
        <w:t>2</w:t>
      </w:r>
      <w:r>
        <w:rPr>
          <w:rFonts w:hint="default" w:ascii="Times New Roman" w:hAnsi="Times New Roman" w:cs="Times New Roman"/>
          <w:color w:val="auto"/>
          <w:position w:val="-16"/>
        </w:rPr>
        <w:t>）、甲烷（</w:t>
      </w:r>
      <w:r>
        <w:rPr>
          <w:rFonts w:hint="default" w:ascii="Times New Roman" w:hAnsi="Times New Roman" w:cs="Times New Roman"/>
          <w:color w:val="auto"/>
          <w:position w:val="-16"/>
        </w:rPr>
        <w:t>CH</w:t>
      </w:r>
      <w:r>
        <w:rPr>
          <w:rFonts w:hint="default" w:ascii="Times New Roman" w:hAnsi="Times New Roman" w:cs="Times New Roman"/>
          <w:color w:val="auto"/>
          <w:position w:val="-16"/>
          <w:vertAlign w:val="subscript"/>
        </w:rPr>
        <w:t>4</w:t>
      </w:r>
      <w:r>
        <w:rPr>
          <w:rFonts w:hint="default" w:ascii="Times New Roman" w:hAnsi="Times New Roman" w:cs="Times New Roman"/>
          <w:color w:val="auto"/>
          <w:position w:val="-16"/>
        </w:rPr>
        <w:t>）和氧化亚氮（</w:t>
      </w:r>
      <w:r>
        <w:rPr>
          <w:rFonts w:hint="default" w:ascii="Times New Roman" w:hAnsi="Times New Roman" w:cs="Times New Roman"/>
          <w:color w:val="auto"/>
          <w:position w:val="-16"/>
        </w:rPr>
        <w:t>N</w:t>
      </w:r>
      <w:r>
        <w:rPr>
          <w:rFonts w:hint="default" w:ascii="Times New Roman" w:hAnsi="Times New Roman" w:cs="Times New Roman"/>
          <w:color w:val="auto"/>
          <w:position w:val="-16"/>
          <w:vertAlign w:val="subscript"/>
        </w:rPr>
        <w:t>2</w:t>
      </w:r>
      <w:r>
        <w:rPr>
          <w:rFonts w:hint="default" w:ascii="Times New Roman" w:hAnsi="Times New Roman" w:cs="Times New Roman"/>
          <w:color w:val="auto"/>
          <w:position w:val="-16"/>
        </w:rPr>
        <w:t>O</w:t>
      </w:r>
      <w:r>
        <w:rPr>
          <w:rFonts w:hint="default" w:ascii="Times New Roman" w:hAnsi="Times New Roman" w:cs="Times New Roman"/>
          <w:color w:val="auto"/>
          <w:position w:val="-16"/>
        </w:rPr>
        <w:t>），其核算方法参考《大气污染物与温室气体融合排放清单编制技术指南（试行）》第六章。</w:t>
      </w:r>
    </w:p>
    <w:p>
      <w:pPr>
        <w:spacing w:before="120" w:after="120"/>
        <w:ind w:firstLine="420" w:firstLineChars="200"/>
        <w:rPr>
          <w:rFonts w:hint="default" w:ascii="Times New Roman" w:hAnsi="Times New Roman" w:cs="Times New Roman"/>
          <w:color w:val="auto"/>
          <w:position w:val="-16"/>
        </w:rPr>
      </w:pPr>
      <w:r>
        <w:rPr>
          <w:rFonts w:hint="default" w:ascii="Times New Roman" w:hAnsi="Times New Roman" w:cs="Times New Roman"/>
          <w:color w:val="auto"/>
          <w:position w:val="-16"/>
        </w:rPr>
        <w:t>在本规范中，移动燃烧源指在产业园区运营过程中，由各类运输工具（包括但不限于园区自有或控制的货运车辆、工程车辆、园区内循环车辆等）燃烧燃料所产生的温室气体排放。该类排放不受运输路线是否超出园区地理边界的限制，只要其运输行为服务于园区生产运营活动，均应纳入园区碳排放核算范围。为确保排放数据的完整性与可比性，园区应记录相关车辆的能耗数据，并按移动源排放因子进行核算。对于不属于园区控制范围的第三方运输服务，其排放可作为补充信息自愿披露，不计入园区碳排放总量。</w:t>
      </w:r>
    </w:p>
    <w:p>
      <w:pPr>
        <w:widowControl/>
        <w:ind w:firstLine="420" w:firstLineChars="200"/>
        <w:jc w:val="left"/>
        <w:rPr>
          <w:rFonts w:hint="default" w:ascii="Times New Roman" w:hAnsi="Times New Roman" w:cs="Times New Roman"/>
          <w:color w:val="auto"/>
          <w:kern w:val="0"/>
          <w:szCs w:val="21"/>
          <w:highlight w:val="yellow"/>
          <w:lang w:bidi="ar"/>
        </w:rPr>
      </w:pPr>
      <w:r>
        <w:rPr>
          <w:rFonts w:hint="default" w:ascii="Times New Roman" w:hAnsi="Times New Roman" w:cs="Times New Roman"/>
          <w:color w:val="auto"/>
          <w:position w:val="-16"/>
        </w:rPr>
        <w:t>若报告主体的移动燃烧源排放量占比＜5%，且次年没有重大变动导致排放量大量增加，则次年可以不再核算移动燃烧源的碳排放量。</w:t>
      </w:r>
    </w:p>
    <w:p>
      <w:pPr>
        <w:spacing w:before="240" w:after="120"/>
        <w:rPr>
          <w:rFonts w:hint="default" w:ascii="Times New Roman" w:hAnsi="Times New Roman" w:eastAsia="黑体" w:cs="Times New Roman"/>
          <w:color w:val="auto"/>
        </w:rPr>
      </w:pPr>
      <w:bookmarkStart w:id="45" w:name="OLE_LINK5"/>
      <w:r>
        <w:rPr>
          <w:rFonts w:hint="default" w:ascii="Times New Roman" w:hAnsi="Times New Roman" w:eastAsia="黑体" w:cs="Times New Roman"/>
          <w:color w:val="auto"/>
        </w:rPr>
        <w:t>6.2.</w:t>
      </w:r>
      <w:r>
        <w:rPr>
          <w:rFonts w:hint="default" w:ascii="Times New Roman" w:hAnsi="Times New Roman" w:eastAsia="黑体" w:cs="Times New Roman"/>
          <w:color w:val="auto"/>
        </w:rPr>
        <w:t>2能源加工转换过程中产生的碳排放</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能源加工转换过程产生的碳排放发生在炼油及煤制油、制气等能源加工转换过程中，这部分投入的能源经过一定的工艺流程，加工或转换成为其他的含碳二次能源，例如高炉煤气、转炉煤气、其他煤气、汽油、煤油、柴油、燃料油等。这些过程基于碳平衡原理计算碳损失量的排放，即：</w:t>
      </w:r>
    </w:p>
    <w:p>
      <w:pPr>
        <w:jc w:val="center"/>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能源加工转换</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d>
          <m:dPr>
            <m:begChr m:val="{"/>
            <m:endChr m:val="}"/>
            <m:ctrlPr>
              <w:rPr>
                <w:rFonts w:hint="default" w:ascii="DejaVu Math TeX Gyre" w:hAnsi="DejaVu Math TeX Gyre" w:cs="Times New Roman"/>
                <w:i/>
                <w:color w:val="auto"/>
                <w:kern w:val="0"/>
                <w:szCs w:val="21"/>
              </w:rPr>
            </m:ctrlPr>
          </m:dPr>
          <m:e>
            <m:nary>
              <m:naryPr>
                <m:chr m:val="∑"/>
                <m:limLoc m:val="undOvr"/>
                <m:supHide m:val="true"/>
                <m:ctrlPr>
                  <w:rPr>
                    <w:rFonts w:hint="default" w:ascii="DejaVu Math TeX Gyre" w:hAnsi="DejaVu Math TeX Gyre" w:cs="Times New Roman"/>
                    <w:i/>
                    <w:color w:val="auto"/>
                    <w:kern w:val="0"/>
                    <w:szCs w:val="21"/>
                  </w:rPr>
                </m:ctrlPr>
              </m:naryPr>
              <m:sub>
                <m:r>
                  <m:rPr/>
                  <w:rPr>
                    <w:rFonts w:hint="default" w:ascii="DejaVu Math TeX Gyre" w:hAnsi="DejaVu Math TeX Gyre" w:cs="Times New Roman"/>
                    <w:color w:val="auto"/>
                    <w:kern w:val="0"/>
                    <w:szCs w:val="21"/>
                  </w:rPr>
                  <m:t>i,j</m:t>
                </m:r>
                <m:ctrlPr>
                  <w:rPr>
                    <w:rFonts w:hint="default" w:ascii="DejaVu Math TeX Gyre" w:hAnsi="DejaVu Math TeX Gyre" w:cs="Times New Roman"/>
                    <w:i/>
                    <w:color w:val="auto"/>
                    <w:kern w:val="0"/>
                    <w:szCs w:val="21"/>
                  </w:rPr>
                </m:ctrlPr>
              </m:sub>
              <m:sup>
                <m:ctrlPr>
                  <w:rPr>
                    <w:rFonts w:hint="default" w:ascii="DejaVu Math TeX Gyre" w:hAnsi="DejaVu Math TeX Gyre" w:cs="Times New Roman"/>
                    <w:i/>
                    <w:color w:val="auto"/>
                    <w:kern w:val="0"/>
                    <w:szCs w:val="21"/>
                  </w:rPr>
                </m:ctrlPr>
              </m:sup>
              <m:e>
                <m:d>
                  <m:dPr>
                    <m:begChr m:val="（"/>
                    <m:endChr m:val="）"/>
                    <m:ctrlPr>
                      <w:rPr>
                        <w:rFonts w:hint="default" w:ascii="DejaVu Math TeX Gyre" w:hAnsi="DejaVu Math TeX Gyre" w:cs="Times New Roman"/>
                        <w:i/>
                        <w:color w:val="auto"/>
                        <w:kern w:val="0"/>
                        <w:szCs w:val="21"/>
                      </w:rPr>
                    </m:ctrlPr>
                  </m:dPr>
                  <m:e>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FI</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i,j</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i,j</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e>
                </m:d>
                <m:ctrlPr>
                  <w:rPr>
                    <w:rFonts w:hint="default" w:ascii="DejaVu Math TeX Gyre" w:hAnsi="DejaVu Math TeX Gyre" w:cs="Times New Roman"/>
                    <w:i/>
                    <w:color w:val="auto"/>
                    <w:kern w:val="0"/>
                    <w:szCs w:val="21"/>
                  </w:rPr>
                </m:ctrlPr>
              </m:e>
            </m:nary>
            <m:r>
              <m:rPr/>
              <w:rPr>
                <w:rFonts w:hint="default" w:ascii="DejaVu Math TeX Gyre" w:hAnsi="DejaVu Math TeX Gyre" w:cs="Times New Roman"/>
                <w:color w:val="auto"/>
                <w:kern w:val="0"/>
                <w:szCs w:val="21"/>
              </w:rPr>
              <m:t>−</m:t>
            </m:r>
            <m:nary>
              <m:naryPr>
                <m:chr m:val="∑"/>
                <m:limLoc m:val="undOvr"/>
                <m:supHide m:val="true"/>
                <m:ctrlPr>
                  <w:rPr>
                    <w:rFonts w:hint="default" w:ascii="DejaVu Math TeX Gyre" w:hAnsi="DejaVu Math TeX Gyre" w:cs="Times New Roman"/>
                    <w:i/>
                    <w:color w:val="auto"/>
                    <w:kern w:val="0"/>
                    <w:szCs w:val="21"/>
                  </w:rPr>
                </m:ctrlPr>
              </m:naryPr>
              <m:sub>
                <m:r>
                  <m:rPr/>
                  <w:rPr>
                    <w:rFonts w:hint="default" w:ascii="DejaVu Math TeX Gyre" w:hAnsi="DejaVu Math TeX Gyre" w:cs="Times New Roman"/>
                    <w:color w:val="auto"/>
                    <w:kern w:val="0"/>
                    <w:szCs w:val="21"/>
                  </w:rPr>
                  <m:t>i',j</m:t>
                </m:r>
                <m:ctrlPr>
                  <w:rPr>
                    <w:rFonts w:hint="default" w:ascii="DejaVu Math TeX Gyre" w:hAnsi="DejaVu Math TeX Gyre" w:cs="Times New Roman"/>
                    <w:i/>
                    <w:color w:val="auto"/>
                    <w:kern w:val="0"/>
                    <w:szCs w:val="21"/>
                  </w:rPr>
                </m:ctrlPr>
              </m:sub>
              <m:sup>
                <m:ctrlPr>
                  <w:rPr>
                    <w:rFonts w:hint="default" w:ascii="DejaVu Math TeX Gyre" w:hAnsi="DejaVu Math TeX Gyre" w:cs="Times New Roman"/>
                    <w:i/>
                    <w:color w:val="auto"/>
                    <w:kern w:val="0"/>
                    <w:szCs w:val="21"/>
                  </w:rPr>
                </m:ctrlPr>
              </m:sup>
              <m:e>
                <m:d>
                  <m:dPr>
                    <m:begChr m:val="（"/>
                    <m:endChr m:val="）"/>
                    <m:ctrlPr>
                      <w:rPr>
                        <w:rFonts w:hint="default" w:ascii="DejaVu Math TeX Gyre" w:hAnsi="DejaVu Math TeX Gyre" w:cs="Times New Roman"/>
                        <w:i/>
                        <w:color w:val="auto"/>
                        <w:kern w:val="0"/>
                        <w:szCs w:val="21"/>
                      </w:rPr>
                    </m:ctrlPr>
                  </m:dPr>
                  <m:e>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FO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i',j</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i',j</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e>
                </m:d>
                <m:ctrlPr>
                  <w:rPr>
                    <w:rFonts w:hint="default" w:ascii="DejaVu Math TeX Gyre" w:hAnsi="DejaVu Math TeX Gyre" w:cs="Times New Roman"/>
                    <w:i/>
                    <w:color w:val="auto"/>
                    <w:kern w:val="0"/>
                    <w:szCs w:val="21"/>
                  </w:rPr>
                </m:ctrlPr>
              </m:e>
            </m:nary>
            <m:ctrlPr>
              <w:rPr>
                <w:rFonts w:hint="default" w:ascii="DejaVu Math TeX Gyre" w:hAnsi="DejaVu Math TeX Gyre" w:cs="Times New Roman"/>
                <w:i/>
                <w:color w:val="auto"/>
                <w:kern w:val="0"/>
                <w:szCs w:val="21"/>
              </w:rPr>
            </m:ctrlPr>
          </m:e>
        </m:d>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CO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2</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rPr>
        <w:t xml:space="preserve"> （6）</w:t>
      </w:r>
    </w:p>
    <w:p>
      <w:pPr>
        <w:ind w:firstLine="420" w:firstLineChars="200"/>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能源加工转换</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——能源加工转换的排放量，单位为吨二氧化碳当量（</w:t>
      </w:r>
      <w:r>
        <w:rPr>
          <w:rFonts w:hint="default" w:ascii="Times New Roman" w:hAnsi="Times New Roman" w:cs="Times New Roman"/>
          <w:color w:val="auto"/>
          <w:kern w:val="0"/>
          <w:szCs w:val="21"/>
          <w:lang w:bidi="ar"/>
        </w:rPr>
        <w:t>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 xml:space="preserve">； </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rPr>
          <m:t>i</m:t>
        </m:r>
      </m:oMath>
      <w:r>
        <w:rPr>
          <w:rFonts w:hint="default" w:ascii="Times New Roman" w:hAnsi="Times New Roman" w:cs="Times New Roman"/>
          <w:color w:val="auto"/>
          <w:kern w:val="0"/>
          <w:szCs w:val="21"/>
          <w:lang w:bidi="ar"/>
        </w:rPr>
        <w:t>——</w:t>
      </w:r>
      <w:r>
        <w:rPr>
          <w:rFonts w:hint="default" w:ascii="Times New Roman" w:hAnsi="Times New Roman" w:cs="Times New Roman"/>
          <w:color w:val="auto"/>
          <w:szCs w:val="21"/>
          <w:lang w:bidi="ar"/>
        </w:rPr>
        <w:t>投入化石能源品种；</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rPr>
          <m:t>i'</m:t>
        </m:r>
      </m:oMath>
      <w:r>
        <w:rPr>
          <w:rFonts w:hint="default" w:ascii="Times New Roman" w:hAnsi="Times New Roman" w:cs="Times New Roman"/>
          <w:color w:val="auto"/>
          <w:kern w:val="0"/>
          <w:szCs w:val="21"/>
          <w:lang w:bidi="ar"/>
        </w:rPr>
        <w:t>——</w:t>
      </w:r>
      <w:r>
        <w:rPr>
          <w:rFonts w:hint="default" w:ascii="Times New Roman" w:hAnsi="Times New Roman" w:cs="Times New Roman"/>
          <w:color w:val="auto"/>
          <w:szCs w:val="21"/>
          <w:lang w:bidi="ar"/>
        </w:rPr>
        <w:t>产出化石能源品种；</w:t>
      </w:r>
      <w:r>
        <w:rPr>
          <w:rFonts w:hint="default" w:ascii="Times New Roman" w:hAnsi="Times New Roman" w:cs="Times New Roman"/>
          <w:color w:val="auto"/>
          <w:kern w:val="0"/>
          <w:szCs w:val="21"/>
          <w:lang w:bidi="ar"/>
        </w:rPr>
        <w:t xml:space="preserve"> </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rPr>
          <m:t>j</m:t>
        </m:r>
      </m:oMath>
      <w:r>
        <w:rPr>
          <w:rFonts w:hint="default" w:ascii="Times New Roman" w:hAnsi="Times New Roman" w:cs="Times New Roman"/>
          <w:color w:val="auto"/>
          <w:kern w:val="0"/>
          <w:szCs w:val="21"/>
          <w:lang w:bidi="ar"/>
        </w:rPr>
        <w:t>——</w:t>
      </w:r>
      <w:r>
        <w:rPr>
          <w:rFonts w:hint="default" w:ascii="Times New Roman" w:hAnsi="Times New Roman" w:cs="Times New Roman"/>
          <w:color w:val="auto"/>
          <w:szCs w:val="21"/>
          <w:lang w:bidi="ar"/>
        </w:rPr>
        <w:t>能源活动类型；</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FI</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i,j</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szCs w:val="21"/>
          <w:lang w:bidi="ar"/>
        </w:rPr>
        <w:t>能源投入量（</w:t>
      </w:r>
      <w:r>
        <w:rPr>
          <w:rFonts w:hint="default" w:ascii="Times New Roman" w:hAnsi="Times New Roman" w:cs="Times New Roman"/>
          <w:color w:val="auto"/>
          <w:szCs w:val="21"/>
          <w:lang w:bidi="ar"/>
        </w:rPr>
        <w:t>GJ</w:t>
      </w:r>
      <w:r>
        <w:rPr>
          <w:rFonts w:hint="default" w:ascii="Times New Roman" w:hAnsi="Times New Roman" w:cs="Times New Roman"/>
          <w:color w:val="auto"/>
          <w:szCs w:val="21"/>
          <w:lang w:bidi="ar"/>
        </w:rPr>
        <w:t>）；</w:t>
      </w:r>
      <w:r>
        <w:rPr>
          <w:rFonts w:hint="default" w:ascii="Times New Roman" w:hAnsi="Times New Roman" w:cs="Times New Roman"/>
          <w:color w:val="auto"/>
          <w:kern w:val="0"/>
          <w:szCs w:val="21"/>
          <w:lang w:bidi="ar"/>
        </w:rPr>
        <w:t xml:space="preserve"> </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FO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i',j</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szCs w:val="21"/>
          <w:lang w:bidi="ar"/>
        </w:rPr>
        <w:t>能源产出量（</w:t>
      </w:r>
      <w:r>
        <w:rPr>
          <w:rFonts w:hint="default" w:ascii="Times New Roman" w:hAnsi="Times New Roman" w:cs="Times New Roman"/>
          <w:color w:val="auto"/>
          <w:szCs w:val="21"/>
          <w:lang w:bidi="ar"/>
        </w:rPr>
        <w:t>GJ</w:t>
      </w:r>
      <w:r>
        <w:rPr>
          <w:rFonts w:hint="default" w:ascii="Times New Roman" w:hAnsi="Times New Roman" w:cs="Times New Roman"/>
          <w:color w:val="auto"/>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i,j</m:t>
            </m:r>
            <m:ctrlPr>
              <w:rPr>
                <w:rFonts w:hint="default" w:ascii="DejaVu Math TeX Gyre" w:hAnsi="DejaVu Math TeX Gyre" w:cs="Times New Roman"/>
                <w:i/>
                <w:color w:val="auto"/>
                <w:kern w:val="0"/>
                <w:szCs w:val="21"/>
              </w:rPr>
            </m:ctrlPr>
          </m:sub>
        </m:sSub>
        <m:r>
          <m:rPr>
            <m:sty m:val="p"/>
          </m:rPr>
          <w:rPr>
            <w:rFonts w:hint="default" w:ascii="DejaVu Math TeX Gyre" w:hAnsi="DejaVu Math TeX Gyre" w:cs="Times New Roman"/>
            <w:color w:val="auto"/>
            <w:szCs w:val="21"/>
            <w:lang w:bidi="ar"/>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i,j</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szCs w:val="21"/>
          <w:lang w:bidi="ar"/>
        </w:rPr>
        <w:t>排放因子，</w:t>
      </w:r>
      <w:r>
        <w:rPr>
          <w:rFonts w:hint="default" w:ascii="Times New Roman" w:hAnsi="Times New Roman" w:cs="Times New Roman"/>
          <w:color w:val="auto"/>
          <w:kern w:val="0"/>
          <w:szCs w:val="21"/>
          <w:lang w:bidi="ar"/>
        </w:rPr>
        <w:t>单位为吨二氧化碳每吉焦（tCO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G</w:t>
      </w:r>
      <w:r>
        <w:rPr>
          <w:rFonts w:hint="default" w:ascii="Times New Roman" w:hAnsi="Times New Roman" w:cs="Times New Roman"/>
          <w:color w:val="auto"/>
          <w:kern w:val="0"/>
          <w:szCs w:val="21"/>
          <w:lang w:bidi="ar"/>
        </w:rPr>
        <w:t>J）；</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CO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2</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——二氧化碳的</w:t>
      </w:r>
      <w:r>
        <w:rPr>
          <w:rFonts w:hint="default" w:ascii="Times New Roman" w:hAnsi="Times New Roman" w:cs="Times New Roman"/>
          <w:color w:val="auto"/>
          <w:szCs w:val="21"/>
          <w:lang w:bidi="ar"/>
        </w:rPr>
        <w:t>全球变暖潜势</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核算能源加工转换过程产生的碳排放时，排放因子中的碳氧化率取值为 100%。</w:t>
      </w:r>
    </w:p>
    <w:bookmarkEnd w:id="45"/>
    <w:p>
      <w:pPr>
        <w:spacing w:before="240" w:after="120"/>
        <w:rPr>
          <w:rFonts w:hint="default" w:ascii="Times New Roman" w:hAnsi="Times New Roman" w:eastAsia="黑体" w:cs="Times New Roman"/>
          <w:color w:val="auto"/>
        </w:rPr>
      </w:pPr>
      <w:r>
        <w:rPr>
          <w:rFonts w:hint="default" w:ascii="Times New Roman" w:hAnsi="Times New Roman" w:eastAsia="黑体" w:cs="Times New Roman"/>
          <w:color w:val="auto"/>
        </w:rPr>
        <w:t>6.</w:t>
      </w:r>
      <w:r>
        <w:rPr>
          <w:rFonts w:hint="default" w:ascii="Times New Roman" w:hAnsi="Times New Roman" w:eastAsia="黑体" w:cs="Times New Roman"/>
          <w:color w:val="auto"/>
        </w:rPr>
        <w:t>2.3电力与热力净受入对应的碳排放</w:t>
      </w:r>
    </w:p>
    <w:p>
      <w:pPr>
        <w:widowControl/>
        <w:numPr>
          <w:ilvl w:val="0"/>
          <w:numId w:val="4"/>
        </w:numPr>
        <w:spacing w:before="240" w:after="120"/>
        <w:ind w:firstLine="420" w:firstLineChars="200"/>
        <w:jc w:val="left"/>
        <w:rPr>
          <w:rFonts w:hint="default" w:ascii="Times New Roman" w:hAnsi="Times New Roman" w:eastAsia="黑体" w:cs="Times New Roman"/>
          <w:color w:val="auto"/>
          <w:kern w:val="0"/>
          <w:szCs w:val="21"/>
          <w:lang w:bidi="ar"/>
        </w:rPr>
      </w:pPr>
      <w:r>
        <w:rPr>
          <w:rFonts w:hint="default" w:ascii="Times New Roman" w:hAnsi="Times New Roman" w:eastAsia="黑体" w:cs="Times New Roman"/>
          <w:color w:val="auto"/>
          <w:kern w:val="0"/>
          <w:szCs w:val="21"/>
          <w:lang w:bidi="ar"/>
        </w:rPr>
        <w:t>调入</w:t>
      </w:r>
      <w:r>
        <w:rPr>
          <w:rFonts w:hint="default" w:ascii="Times New Roman" w:hAnsi="Times New Roman" w:eastAsia="黑体" w:cs="Times New Roman"/>
          <w:color w:val="auto"/>
          <w:kern w:val="0"/>
          <w:szCs w:val="21"/>
          <w:lang w:bidi="ar"/>
        </w:rPr>
        <w:t>/</w:t>
      </w:r>
      <w:r>
        <w:rPr>
          <w:rFonts w:hint="default" w:ascii="Times New Roman" w:hAnsi="Times New Roman" w:eastAsia="黑体" w:cs="Times New Roman"/>
          <w:color w:val="auto"/>
          <w:kern w:val="0"/>
          <w:szCs w:val="21"/>
          <w:lang w:bidi="ar"/>
        </w:rPr>
        <w:t>出电力对应的碳排放</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园区</w:t>
      </w:r>
      <w:r>
        <w:rPr>
          <w:rFonts w:hint="default" w:ascii="Times New Roman" w:hAnsi="Times New Roman" w:cs="Times New Roman"/>
          <w:color w:val="auto"/>
          <w:kern w:val="0"/>
          <w:szCs w:val="21"/>
          <w:highlight w:val="none"/>
          <w:lang w:bidi="ar"/>
        </w:rPr>
        <w:t>净</w:t>
      </w:r>
      <w:r>
        <w:rPr>
          <w:rFonts w:hint="default" w:ascii="Times New Roman" w:hAnsi="Times New Roman" w:cs="Times New Roman"/>
          <w:color w:val="auto"/>
          <w:kern w:val="0"/>
          <w:szCs w:val="21"/>
          <w:lang w:bidi="ar"/>
        </w:rPr>
        <w:t>调入电力的温室气体排放量应按</w:t>
      </w:r>
      <w:r>
        <w:rPr>
          <w:rFonts w:hint="default" w:ascii="Times New Roman" w:hAnsi="Times New Roman" w:cs="Times New Roman"/>
          <w:color w:val="auto"/>
          <w:kern w:val="0"/>
          <w:szCs w:val="21"/>
          <w:highlight w:val="none"/>
          <w:lang w:bidi="ar"/>
        </w:rPr>
        <w:t>电力类型</w:t>
      </w:r>
      <w:r>
        <w:rPr>
          <w:rFonts w:hint="default" w:ascii="Times New Roman" w:hAnsi="Times New Roman" w:cs="Times New Roman"/>
          <w:color w:val="auto"/>
          <w:kern w:val="0"/>
          <w:szCs w:val="21"/>
          <w:lang w:bidi="ar"/>
        </w:rPr>
        <w:t>乘以相应电</w:t>
      </w:r>
      <w:r>
        <w:rPr>
          <w:rFonts w:hint="default" w:ascii="Times New Roman" w:hAnsi="Times New Roman" w:cs="Times New Roman"/>
          <w:color w:val="auto"/>
          <w:kern w:val="0"/>
          <w:szCs w:val="21"/>
          <w:highlight w:val="none"/>
          <w:lang w:bidi="ar"/>
        </w:rPr>
        <w:t>力</w:t>
      </w:r>
      <w:r>
        <w:rPr>
          <w:rFonts w:hint="default" w:ascii="Times New Roman" w:hAnsi="Times New Roman" w:cs="Times New Roman"/>
          <w:color w:val="auto"/>
          <w:kern w:val="0"/>
          <w:szCs w:val="21"/>
          <w:lang w:bidi="ar"/>
        </w:rPr>
        <w:t>排放因子</w:t>
      </w:r>
      <w:r>
        <w:rPr>
          <w:rFonts w:hint="default" w:ascii="Times New Roman" w:hAnsi="Times New Roman" w:cs="Times New Roman"/>
          <w:color w:val="auto"/>
          <w:kern w:val="0"/>
          <w:szCs w:val="21"/>
          <w:highlight w:val="none"/>
          <w:lang w:bidi="ar"/>
        </w:rPr>
        <w:t>进行</w:t>
      </w:r>
      <w:r>
        <w:rPr>
          <w:rFonts w:hint="default" w:ascii="Times New Roman" w:hAnsi="Times New Roman" w:cs="Times New Roman"/>
          <w:color w:val="auto"/>
          <w:kern w:val="0"/>
          <w:szCs w:val="21"/>
          <w:lang w:bidi="ar"/>
        </w:rPr>
        <w:t>计算。</w:t>
      </w:r>
      <w:bookmarkStart w:id="46" w:name="_Hlk206988935"/>
      <w:r>
        <w:rPr>
          <w:rFonts w:hint="default" w:ascii="Times New Roman" w:hAnsi="Times New Roman" w:cs="Times New Roman"/>
          <w:color w:val="auto"/>
          <w:kern w:val="0"/>
          <w:szCs w:val="21"/>
          <w:lang w:bidi="ar"/>
        </w:rPr>
        <w:t>绿色电力须有明确来源和证明文件</w:t>
      </w:r>
      <w:r>
        <w:rPr>
          <w:rFonts w:hint="default" w:ascii="Times New Roman" w:hAnsi="Times New Roman" w:cs="Times New Roman"/>
          <w:color w:val="auto"/>
          <w:kern w:val="0"/>
          <w:szCs w:val="21"/>
          <w:lang w:bidi="ar"/>
        </w:rPr>
        <w:t>，</w:t>
      </w:r>
      <w:bookmarkEnd w:id="46"/>
      <w:r>
        <w:rPr>
          <w:rFonts w:hint="default" w:ascii="Times New Roman" w:hAnsi="Times New Roman" w:cs="Times New Roman"/>
          <w:color w:val="auto"/>
          <w:kern w:val="0"/>
          <w:szCs w:val="21"/>
          <w:lang w:bidi="ar"/>
        </w:rPr>
        <w:t>其认定参考《上海市生态环境局文件 沪环气候〔2023〕89号》</w:t>
      </w:r>
      <w:r>
        <w:rPr>
          <w:rFonts w:hint="default" w:ascii="Times New Roman" w:hAnsi="Times New Roman" w:cs="Times New Roman"/>
          <w:color w:val="auto"/>
          <w:kern w:val="0"/>
          <w:szCs w:val="21"/>
          <w:lang w:bidi="ar"/>
        </w:rPr>
        <w:t>。</w:t>
      </w:r>
    </w:p>
    <w:p>
      <w:pPr>
        <w:ind w:left="420" w:leftChars="200" w:firstLine="420" w:firstLineChars="200"/>
        <w:jc w:val="center"/>
        <w:rPr>
          <w:rFonts w:hint="default" w:ascii="Times New Roman" w:hAnsi="Times New Roman" w:cs="Times New Roman"/>
          <w:color w:val="auto"/>
          <w:kern w:val="0"/>
          <w:szCs w:val="21"/>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净调入电力</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nary>
          <m:naryPr>
            <m:chr m:val="∑"/>
            <m:limLoc m:val="undOvr"/>
            <m:supHide m:val="true"/>
            <m:ctrlPr>
              <w:rPr>
                <w:rFonts w:hint="default" w:ascii="DejaVu Math TeX Gyre" w:hAnsi="DejaVu Math TeX Gyre" w:cs="Times New Roman"/>
                <w:i/>
                <w:color w:val="auto"/>
                <w:kern w:val="0"/>
                <w:szCs w:val="21"/>
              </w:rPr>
            </m:ctrlPr>
          </m:naryPr>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up>
            <m:ctrlPr>
              <w:rPr>
                <w:rFonts w:hint="default" w:ascii="DejaVu Math TeX Gyre" w:hAnsi="DejaVu Math TeX Gyre" w:cs="Times New Roman"/>
                <w:i/>
                <w:color w:val="auto"/>
                <w:kern w:val="0"/>
                <w:szCs w:val="21"/>
              </w:rPr>
            </m:ctrlPr>
          </m:sup>
          <m:e>
            <m:d>
              <m:dPr>
                <m:begChr m:val="{"/>
                <m:endChr m:val="}"/>
                <m:ctrlPr>
                  <w:rPr>
                    <w:rFonts w:hint="default" w:ascii="DejaVu Math TeX Gyre" w:hAnsi="DejaVu Math TeX Gyre" w:cs="Times New Roman"/>
                    <w:i/>
                    <w:color w:val="auto"/>
                    <w:kern w:val="0"/>
                    <w:szCs w:val="21"/>
                  </w:rPr>
                </m:ctrlPr>
              </m:dPr>
              <m:e>
                <m:d>
                  <m:dPr>
                    <m:begChr m:val="（"/>
                    <m:endChr m:val="）"/>
                    <m:ctrlPr>
                      <w:rPr>
                        <w:rFonts w:hint="default" w:ascii="DejaVu Math TeX Gyre" w:hAnsi="DejaVu Math TeX Gyre" w:cs="Times New Roman"/>
                        <w:i/>
                        <w:color w:val="auto"/>
                        <w:kern w:val="0"/>
                        <w:szCs w:val="21"/>
                      </w:rPr>
                    </m:ctrlPr>
                  </m:dPr>
                  <m:e>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调入电i</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调出电i</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e>
                </m:d>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电i</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e>
            </m:d>
            <m:ctrlPr>
              <w:rPr>
                <w:rFonts w:hint="default" w:ascii="DejaVu Math TeX Gyre" w:hAnsi="DejaVu Math TeX Gyre" w:cs="Times New Roman"/>
                <w:i/>
                <w:color w:val="auto"/>
                <w:kern w:val="0"/>
                <w:szCs w:val="21"/>
              </w:rPr>
            </m:ctrlPr>
          </m:e>
        </m:nary>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C</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2</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（7）</w:t>
      </w:r>
    </w:p>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br w:type="page"/>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净调入电力</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净调入调入电对应的排放量，单位为吨二氧化碳当量（tCO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rPr>
          <m:t>i</m:t>
        </m:r>
      </m:oMath>
      <w:r>
        <w:rPr>
          <w:rFonts w:hint="default" w:ascii="Times New Roman" w:hAnsi="Times New Roman" w:cs="Times New Roman"/>
          <w:color w:val="auto"/>
          <w:kern w:val="0"/>
          <w:szCs w:val="21"/>
          <w:lang w:bidi="ar"/>
        </w:rPr>
        <w:t>——</w:t>
      </w:r>
      <w:r>
        <w:rPr>
          <w:rFonts w:hint="default" w:ascii="Times New Roman" w:hAnsi="Times New Roman" w:cs="Times New Roman"/>
          <w:color w:val="auto"/>
          <w:szCs w:val="21"/>
          <w:lang w:bidi="ar"/>
        </w:rPr>
        <w:t>电力来源类型；</w:t>
      </w:r>
    </w:p>
    <w:p>
      <w:pPr>
        <w:widowControl/>
        <w:ind w:firstLine="420" w:firstLineChars="200"/>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调入电i</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调入电量，单位为万千瓦时（10</w:t>
      </w:r>
      <w:r>
        <w:rPr>
          <w:rFonts w:hint="default" w:ascii="Times New Roman" w:hAnsi="Times New Roman" w:cs="Times New Roman"/>
          <w:color w:val="auto"/>
          <w:kern w:val="0"/>
          <w:szCs w:val="21"/>
          <w:vertAlign w:val="superscript"/>
          <w:lang w:bidi="ar"/>
        </w:rPr>
        <w:t>4</w:t>
      </w:r>
      <w:r>
        <w:rPr>
          <w:rFonts w:hint="default" w:ascii="Times New Roman" w:hAnsi="Times New Roman" w:cs="Times New Roman"/>
          <w:color w:val="auto"/>
          <w:kern w:val="0"/>
          <w:szCs w:val="21"/>
          <w:lang w:bidi="ar"/>
        </w:rPr>
        <w:t>kWh）；</w:t>
      </w:r>
    </w:p>
    <w:p>
      <w:pPr>
        <w:widowControl/>
        <w:ind w:firstLine="420" w:firstLineChars="200"/>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调出电i</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调出电量，单位为万千瓦时（10</w:t>
      </w:r>
      <w:r>
        <w:rPr>
          <w:rFonts w:hint="default" w:ascii="Times New Roman" w:hAnsi="Times New Roman" w:cs="Times New Roman"/>
          <w:color w:val="auto"/>
          <w:kern w:val="0"/>
          <w:szCs w:val="21"/>
          <w:vertAlign w:val="superscript"/>
          <w:lang w:bidi="ar"/>
        </w:rPr>
        <w:t>4</w:t>
      </w:r>
      <w:r>
        <w:rPr>
          <w:rFonts w:hint="default" w:ascii="Times New Roman" w:hAnsi="Times New Roman" w:cs="Times New Roman"/>
          <w:color w:val="auto"/>
          <w:kern w:val="0"/>
          <w:szCs w:val="21"/>
          <w:lang w:bidi="ar"/>
        </w:rPr>
        <w:t>kWh）；</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电i</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——电力排放因子，单位为吨二氧化碳每万千瓦时（tCO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/10</w:t>
      </w:r>
      <w:r>
        <w:rPr>
          <w:rFonts w:hint="default" w:ascii="Times New Roman" w:hAnsi="Times New Roman" w:cs="Times New Roman"/>
          <w:color w:val="auto"/>
          <w:kern w:val="0"/>
          <w:szCs w:val="21"/>
          <w:vertAlign w:val="superscript"/>
          <w:lang w:bidi="ar"/>
        </w:rPr>
        <w:t>4</w:t>
      </w:r>
      <w:r>
        <w:rPr>
          <w:rFonts w:hint="default" w:ascii="Times New Roman" w:hAnsi="Times New Roman" w:cs="Times New Roman"/>
          <w:color w:val="auto"/>
          <w:kern w:val="0"/>
          <w:szCs w:val="21"/>
          <w:lang w:bidi="ar"/>
        </w:rPr>
        <w:t>kWh）；</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CO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2</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——二氧化碳的</w:t>
      </w:r>
      <w:r>
        <w:rPr>
          <w:rFonts w:hint="default" w:ascii="Times New Roman" w:hAnsi="Times New Roman" w:cs="Times New Roman"/>
          <w:color w:val="auto"/>
          <w:szCs w:val="21"/>
          <w:lang w:bidi="ar"/>
        </w:rPr>
        <w:t>全球变暖潜势</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由于电力损耗比例小于5%，故调入调出的电力损耗忽略不计。</w:t>
      </w:r>
    </w:p>
    <w:p>
      <w:pPr>
        <w:widowControl/>
        <w:numPr>
          <w:ilvl w:val="0"/>
          <w:numId w:val="4"/>
        </w:numPr>
        <w:spacing w:before="240" w:after="120"/>
        <w:ind w:firstLine="420" w:firstLineChars="200"/>
        <w:jc w:val="left"/>
        <w:rPr>
          <w:rFonts w:hint="default" w:ascii="Times New Roman" w:hAnsi="Times New Roman" w:eastAsia="黑体" w:cs="Times New Roman"/>
          <w:color w:val="auto"/>
          <w:kern w:val="0"/>
          <w:szCs w:val="21"/>
          <w:lang w:bidi="ar"/>
        </w:rPr>
      </w:pPr>
      <w:r>
        <w:rPr>
          <w:rFonts w:hint="default" w:ascii="Times New Roman" w:hAnsi="Times New Roman" w:eastAsia="黑体" w:cs="Times New Roman"/>
          <w:color w:val="auto"/>
          <w:kern w:val="0"/>
          <w:szCs w:val="21"/>
          <w:lang w:bidi="ar"/>
        </w:rPr>
        <w:t>调入/出热力对应的碳排放</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园区调入热力的温室气体排放应依据调入热量扣除其中工业余热部分后的净热量，按热力来源确定的排放因子核算。园区调入热力中，工业余热不计入园区碳排放；调出热力同理，若为工业余热，不扣减碳排放量；若为园区内上下游产销的工业余热，可计算对应的扣减排放量。</w:t>
      </w:r>
    </w:p>
    <w:p>
      <w:pPr>
        <w:widowControl/>
        <w:ind w:left="420" w:leftChars="200" w:firstLine="420" w:firstLineChars="200"/>
        <w:jc w:val="center"/>
        <w:rPr>
          <w:rFonts w:hint="default" w:ascii="Times New Roman" w:hAnsi="Times New Roman" w:cs="Times New Roman"/>
          <w:color w:val="auto"/>
          <w:kern w:val="0"/>
          <w:szCs w:val="21"/>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净调入热力</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调入热</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调出热</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8</w:t>
      </w:r>
      <w:r>
        <w:rPr>
          <w:rFonts w:hint="default" w:ascii="Times New Roman" w:hAnsi="Times New Roman" w:cs="Times New Roman"/>
          <w:color w:val="auto"/>
          <w:kern w:val="0"/>
          <w:szCs w:val="21"/>
          <w:lang w:bidi="ar"/>
        </w:rPr>
        <w:t>）</w:t>
      </w:r>
    </w:p>
    <w:p>
      <w:pPr>
        <w:widowControl/>
        <w:ind w:firstLine="420" w:firstLineChars="200"/>
        <w:jc w:val="center"/>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调入热</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调入热</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调入余热</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m:sty m:val="p"/>
              </m:rPr>
              <w:rPr>
                <w:rFonts w:hint="default" w:ascii="DejaVu Math TeX Gyre" w:hAnsi="DejaVu Math TeX Gyre" w:cs="Times New Roman"/>
                <w:color w:val="auto"/>
                <w:kern w:val="0"/>
                <w:szCs w:val="21"/>
              </w:rPr>
              <m:t>×</m:t>
            </m:r>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热</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C</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2</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9</w:t>
      </w:r>
      <w:r>
        <w:rPr>
          <w:rFonts w:hint="default" w:ascii="Times New Roman" w:hAnsi="Times New Roman" w:cs="Times New Roman"/>
          <w:color w:val="auto"/>
          <w:kern w:val="0"/>
          <w:szCs w:val="21"/>
          <w:lang w:bidi="ar"/>
        </w:rPr>
        <w:t>）</w:t>
      </w:r>
    </w:p>
    <w:p>
      <w:pPr>
        <w:widowControl/>
        <w:ind w:firstLine="420" w:firstLineChars="200"/>
        <w:jc w:val="center"/>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调出热</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调出热</m:t>
            </m:r>
            <m:ctrlPr>
              <w:rPr>
                <w:rFonts w:hint="default" w:ascii="DejaVu Math TeX Gyre" w:hAnsi="DejaVu Math TeX Gyre" w:cs="Times New Roman"/>
                <w:i/>
                <w:color w:val="auto"/>
                <w:kern w:val="0"/>
                <w:szCs w:val="21"/>
              </w:rPr>
            </m:ctrlPr>
          </m:sub>
        </m:sSub>
        <m:sSub>
          <m:sSubPr>
            <m:ctrlPr>
              <w:rPr>
                <w:rFonts w:hint="default" w:ascii="DejaVu Math TeX Gyre" w:hAnsi="DejaVu Math TeX Gyre" w:cs="Times New Roman"/>
                <w:i/>
                <w:color w:val="auto"/>
                <w:kern w:val="0"/>
                <w:szCs w:val="21"/>
              </w:rPr>
            </m:ctrlPr>
          </m:sSubPr>
          <m:e>
            <m:r>
              <m:rPr>
                <m:sty m:val="p"/>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调出余热</m:t>
                </m:r>
                <m:ctrlPr>
                  <w:rPr>
                    <w:rFonts w:hint="default" w:ascii="DejaVu Math TeX Gyre" w:hAnsi="DejaVu Math TeX Gyre" w:cs="Times New Roman"/>
                    <w:i/>
                    <w:color w:val="auto"/>
                    <w:kern w:val="0"/>
                    <w:szCs w:val="21"/>
                  </w:rPr>
                </m:ctrlPr>
              </m:sub>
            </m:sSub>
            <m:r>
              <m:rPr>
                <m:sty m:val="p"/>
              </m:rPr>
              <w:rPr>
                <w:rFonts w:hint="default" w:ascii="DejaVu Math TeX Gyre" w:hAnsi="DejaVu Math TeX Gyre" w:cs="Times New Roman"/>
                <w:color w:val="auto"/>
                <w:kern w:val="0"/>
                <w:szCs w:val="21"/>
              </w:rPr>
              <m:t>）×</m:t>
            </m:r>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热</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C</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2</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10</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调入热</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调入热力对应的排放量，单位为吨二氧化碳当量（tCO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调入热</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调入热力的量，单位为吉焦（GJ）；</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调入余热</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调入余热的量，单位为吉焦（GJ）；</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调出热</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调出热力对应的排放量，单位为吨二氧化碳当量（tCO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调出热</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调出热力的量，单位为吉焦（GJ）；</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AD</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调出余热</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调出余热的量，单位为吉焦（GJ）；</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热</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——供热排放因子，单位为吨二氧化碳每吉焦（tCO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/GJ）；</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CO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2</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——二氧化碳的</w:t>
      </w:r>
      <w:r>
        <w:rPr>
          <w:rFonts w:hint="default" w:ascii="Times New Roman" w:hAnsi="Times New Roman" w:cs="Times New Roman"/>
          <w:color w:val="auto"/>
          <w:szCs w:val="21"/>
          <w:lang w:bidi="ar"/>
        </w:rPr>
        <w:t>全球变暖潜势</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eastAsia="黑体" w:cs="Times New Roman"/>
          <w:color w:val="auto"/>
        </w:rPr>
      </w:pPr>
      <w:r>
        <w:rPr>
          <w:rFonts w:hint="default" w:ascii="Times New Roman" w:hAnsi="Times New Roman" w:cs="Times New Roman"/>
          <w:color w:val="auto"/>
          <w:kern w:val="0"/>
          <w:szCs w:val="21"/>
          <w:lang w:bidi="ar"/>
        </w:rPr>
        <w:t>由于热力损耗比例小于5%，故调入调出的热力损耗忽略不计。</w:t>
      </w:r>
    </w:p>
    <w:p>
      <w:pPr>
        <w:widowControl/>
        <w:jc w:val="left"/>
        <w:rPr>
          <w:rFonts w:hint="default" w:ascii="Times New Roman" w:hAnsi="Times New Roman" w:eastAsia="黑体" w:cs="Times New Roman"/>
          <w:color w:val="auto"/>
        </w:rPr>
      </w:pPr>
      <w:r>
        <w:rPr>
          <w:rFonts w:hint="default" w:ascii="Times New Roman" w:hAnsi="Times New Roman" w:eastAsia="黑体" w:cs="Times New Roman"/>
          <w:color w:val="auto"/>
        </w:rPr>
        <w:br w:type="page"/>
      </w:r>
    </w:p>
    <w:p>
      <w:pPr>
        <w:spacing w:before="240" w:after="120"/>
        <w:rPr>
          <w:rFonts w:hint="default" w:ascii="Times New Roman" w:hAnsi="Times New Roman" w:eastAsia="黑体" w:cs="Times New Roman"/>
          <w:color w:val="auto"/>
        </w:rPr>
      </w:pPr>
      <w:r>
        <w:rPr>
          <w:rFonts w:hint="default" w:ascii="Times New Roman" w:hAnsi="Times New Roman" w:eastAsia="黑体" w:cs="Times New Roman"/>
          <w:color w:val="auto"/>
        </w:rPr>
        <w:t>6.3工业生产过程直接排放</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园区工业生产过程碳排放核算范围包括但不限于水泥熟料、石灰、合成氨（无水氨）、甲醇、原铝（电解铝）、粗钢、铁合金、工业硅、碳化钙（电石）等工业产品生产过程产生的碳排放。</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1.水泥熟料按成分分为：硅酸盐水泥熟料、白色硅酸盐水泥熟料、硫（铁）铝酸盐水泥熟料、铝酸盐水泥熟料。</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2.合成氨（无水氨）按技术路线分为：煤制合成氨、煤气制成氨、天然气制合成氨、油制合成氨。</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3.甲醇按技术路线分为：煤制甲醇、煤气制甲醇、天然气制甲醇。</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4.铁合金按类别分为：硅铁合金、硅锰合金、锰铁合金、镍铁合金、铬铁合金。</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对于以上未提及，但在园区内产量较大且碳排放影响较大的其他工业产品，也应对其碳排放进行核算。</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针对</w:t>
      </w:r>
      <w:r>
        <w:rPr>
          <w:rFonts w:hint="default" w:ascii="Times New Roman" w:hAnsi="Times New Roman" w:cs="Times New Roman"/>
          <w:color w:val="auto"/>
          <w:kern w:val="0"/>
          <w:szCs w:val="21"/>
          <w:lang w:bidi="ar"/>
        </w:rPr>
        <w:t>产业</w:t>
      </w:r>
      <w:r>
        <w:rPr>
          <w:rFonts w:hint="default" w:ascii="Times New Roman" w:hAnsi="Times New Roman" w:cs="Times New Roman"/>
          <w:color w:val="auto"/>
          <w:kern w:val="0"/>
          <w:szCs w:val="21"/>
          <w:lang w:bidi="ar"/>
        </w:rPr>
        <w:t>园区内已经做过“温室气体核算”的企业，可调研企业的相关报告，获取企业报告中的工业过程</w:t>
      </w:r>
      <w:r>
        <w:rPr>
          <w:rFonts w:hint="default" w:ascii="Times New Roman" w:hAnsi="Times New Roman" w:cs="Times New Roman"/>
          <w:color w:val="auto"/>
          <w:kern w:val="0"/>
          <w:szCs w:val="21"/>
          <w:lang w:bidi="ar"/>
        </w:rPr>
        <w:t>活动数据。</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产业园区内的企业应提供活动数据，并</w:t>
      </w:r>
      <w:r>
        <w:rPr>
          <w:rFonts w:hint="default" w:ascii="Times New Roman" w:hAnsi="Times New Roman" w:cs="Times New Roman"/>
          <w:color w:val="auto"/>
          <w:kern w:val="0"/>
          <w:szCs w:val="21"/>
          <w:lang w:bidi="ar"/>
        </w:rPr>
        <w:t>参考</w:t>
      </w:r>
      <w:r>
        <w:rPr>
          <w:rFonts w:hint="default" w:ascii="Times New Roman" w:hAnsi="Times New Roman" w:cs="Times New Roman"/>
          <w:color w:val="auto"/>
          <w:kern w:val="0"/>
          <w:szCs w:val="21"/>
          <w:lang w:bidi="ar"/>
        </w:rPr>
        <w:t>GB/T 32151对应的部分进行核算</w:t>
      </w:r>
      <w:r>
        <w:rPr>
          <w:rFonts w:hint="default" w:ascii="Times New Roman" w:hAnsi="Times New Roman" w:cs="Times New Roman"/>
          <w:color w:val="auto"/>
          <w:kern w:val="0"/>
          <w:szCs w:val="21"/>
          <w:lang w:bidi="ar"/>
        </w:rPr>
        <w:t>。此外，对于未发布指南的行业，可参考《省级温室气体清单编制指南(试行)》进行核算，或参考式（</w:t>
      </w:r>
      <w:r>
        <w:rPr>
          <w:rFonts w:hint="default" w:ascii="Times New Roman" w:hAnsi="Times New Roman" w:cs="Times New Roman"/>
          <w:color w:val="auto"/>
          <w:kern w:val="0"/>
          <w:szCs w:val="21"/>
          <w:lang w:bidi="ar"/>
        </w:rPr>
        <w:t>13</w:t>
      </w:r>
      <w:r>
        <w:rPr>
          <w:rFonts w:hint="default" w:ascii="Times New Roman" w:hAnsi="Times New Roman" w:cs="Times New Roman"/>
          <w:color w:val="auto"/>
          <w:kern w:val="0"/>
          <w:szCs w:val="21"/>
          <w:lang w:bidi="ar"/>
        </w:rPr>
        <w:t>）计算。</w:t>
      </w:r>
    </w:p>
    <w:p>
      <w:pPr>
        <w:widowControl/>
        <w:ind w:firstLine="420" w:firstLineChars="200"/>
        <w:jc w:val="center"/>
        <w:rPr>
          <w:rFonts w:hint="default" w:ascii="Times New Roman" w:hAnsi="Times New Roman" w:cs="Times New Roman"/>
          <w:color w:val="auto"/>
          <w:kern w:val="0"/>
          <w:szCs w:val="21"/>
          <w:vertAlign w:val="subscript"/>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工业过程</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nary>
          <m:naryPr>
            <m:chr m:val="∑"/>
            <m:limLoc m:val="undOvr"/>
            <m:supHide m:val="true"/>
            <m:ctrlPr>
              <w:rPr>
                <w:rFonts w:hint="default" w:ascii="DejaVu Math TeX Gyre" w:hAnsi="DejaVu Math TeX Gyre" w:cs="Times New Roman"/>
                <w:i/>
                <w:color w:val="auto"/>
                <w:kern w:val="0"/>
                <w:szCs w:val="21"/>
              </w:rPr>
            </m:ctrlPr>
          </m:naryPr>
          <m:sub>
            <m:r>
              <m:rPr/>
              <w:rPr>
                <w:rFonts w:hint="default" w:ascii="DejaVu Math TeX Gyre" w:hAnsi="DejaVu Math TeX Gyre" w:cs="Times New Roman"/>
                <w:color w:val="auto"/>
                <w:kern w:val="0"/>
                <w:szCs w:val="21"/>
              </w:rPr>
              <m:t>i,k</m:t>
            </m:r>
            <m:ctrlPr>
              <w:rPr>
                <w:rFonts w:hint="default" w:ascii="DejaVu Math TeX Gyre" w:hAnsi="DejaVu Math TeX Gyre" w:cs="Times New Roman"/>
                <w:i/>
                <w:color w:val="auto"/>
                <w:kern w:val="0"/>
                <w:szCs w:val="21"/>
              </w:rPr>
            </m:ctrlPr>
          </m:sub>
          <m:sup>
            <m:ctrlPr>
              <w:rPr>
                <w:rFonts w:hint="default" w:ascii="DejaVu Math TeX Gyre" w:hAnsi="DejaVu Math TeX Gyre" w:cs="Times New Roman"/>
                <w:i/>
                <w:color w:val="auto"/>
                <w:kern w:val="0"/>
                <w:szCs w:val="21"/>
              </w:rPr>
            </m:ctrlPr>
          </m:sup>
          <m:e>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i,k</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k</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e>
        </m:nary>
      </m:oMath>
      <w:r>
        <w:rPr>
          <w:rFonts w:hint="default" w:ascii="Times New Roman" w:hAnsi="Times New Roman" w:cs="Times New Roman"/>
          <w:color w:val="auto"/>
          <w:kern w:val="0"/>
          <w:szCs w:val="21"/>
          <w:lang w:bidi="ar"/>
        </w:rPr>
        <w:t>（11）</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工业过程</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——工业生产过程的排放量，单位为吨二氧化碳当量（tCO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rPr>
          <m:t>i</m:t>
        </m:r>
      </m:oMath>
      <w:r>
        <w:rPr>
          <w:rFonts w:hint="default" w:ascii="Times New Roman" w:hAnsi="Times New Roman" w:cs="Times New Roman"/>
          <w:color w:val="auto"/>
          <w:kern w:val="0"/>
          <w:szCs w:val="21"/>
          <w:lang w:bidi="ar"/>
        </w:rPr>
        <w:t>——工业</w:t>
      </w:r>
      <w:r>
        <w:rPr>
          <w:rFonts w:hint="default" w:ascii="Times New Roman" w:hAnsi="Times New Roman" w:cs="Times New Roman"/>
          <w:color w:val="auto"/>
          <w:kern w:val="0"/>
          <w:szCs w:val="21"/>
          <w:lang w:bidi="ar"/>
        </w:rPr>
        <w:t>产品的类型；</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rPr>
          <m:t>k</m:t>
        </m:r>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温室气体的类型；</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lang w:bidi="ar"/>
              </w:rPr>
            </m:ctrlPr>
          </m:sSubPr>
          <m:e>
            <m:r>
              <m:rPr/>
              <w:rPr>
                <w:rFonts w:hint="default" w:ascii="DejaVu Math TeX Gyre" w:hAnsi="DejaVu Math TeX Gyre" w:cs="Times New Roman"/>
                <w:color w:val="auto"/>
                <w:kern w:val="0"/>
                <w:szCs w:val="21"/>
                <w:lang w:bidi="ar"/>
              </w:rPr>
              <m:t>P</m:t>
            </m:r>
            <m:ctrlPr>
              <w:rPr>
                <w:rFonts w:hint="default" w:ascii="DejaVu Math TeX Gyre" w:hAnsi="DejaVu Math TeX Gyre" w:cs="Times New Roman"/>
                <w:i/>
                <w:color w:val="auto"/>
                <w:kern w:val="0"/>
                <w:szCs w:val="21"/>
                <w:lang w:bidi="ar"/>
              </w:rPr>
            </m:ctrlPr>
          </m:e>
          <m:sub>
            <m:r>
              <m:rPr/>
              <w:rPr>
                <w:rFonts w:hint="default" w:ascii="DejaVu Math TeX Gyre" w:hAnsi="DejaVu Math TeX Gyre" w:cs="Times New Roman"/>
                <w:color w:val="auto"/>
                <w:kern w:val="0"/>
                <w:szCs w:val="21"/>
                <w:lang w:bidi="ar"/>
              </w:rPr>
              <m:t>i</m:t>
            </m:r>
            <m:ctrlPr>
              <w:rPr>
                <w:rFonts w:hint="default" w:ascii="DejaVu Math TeX Gyre" w:hAnsi="DejaVu Math TeX Gyre" w:cs="Times New Roman"/>
                <w:i/>
                <w:color w:val="auto"/>
                <w:kern w:val="0"/>
                <w:szCs w:val="21"/>
                <w:lang w:bidi="ar"/>
              </w:rPr>
            </m:ctrlPr>
          </m:sub>
        </m:sSub>
      </m:oMath>
      <w:r>
        <w:rPr>
          <w:rFonts w:hint="default" w:ascii="Times New Roman" w:hAnsi="Times New Roman" w:cs="Times New Roman"/>
          <w:color w:val="auto"/>
          <w:kern w:val="0"/>
          <w:szCs w:val="21"/>
          <w:lang w:bidi="ar"/>
        </w:rPr>
        <w:t>——工业</w:t>
      </w:r>
      <w:r>
        <w:rPr>
          <w:rFonts w:hint="default" w:ascii="Times New Roman" w:hAnsi="Times New Roman" w:cs="Times New Roman"/>
          <w:color w:val="auto"/>
          <w:kern w:val="0"/>
          <w:szCs w:val="21"/>
          <w:lang w:bidi="ar"/>
        </w:rPr>
        <w:t>产品产量</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EF</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i,k</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——工业生产过程排放因子</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k</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——温室气体的</w:t>
      </w:r>
      <w:r>
        <w:rPr>
          <w:rFonts w:hint="default" w:ascii="Times New Roman" w:hAnsi="Times New Roman" w:cs="Times New Roman"/>
          <w:color w:val="auto"/>
          <w:szCs w:val="21"/>
          <w:lang w:bidi="ar"/>
        </w:rPr>
        <w:t>全球变暖潜势</w:t>
      </w:r>
      <w:r>
        <w:rPr>
          <w:rFonts w:hint="default" w:ascii="Times New Roman" w:hAnsi="Times New Roman" w:cs="Times New Roman"/>
          <w:color w:val="auto"/>
          <w:kern w:val="0"/>
          <w:szCs w:val="21"/>
          <w:lang w:bidi="ar"/>
        </w:rPr>
        <w:t>。</w:t>
      </w:r>
    </w:p>
    <w:p>
      <w:pPr>
        <w:spacing w:before="240" w:after="120"/>
        <w:rPr>
          <w:rFonts w:hint="default" w:ascii="Times New Roman" w:hAnsi="Times New Roman" w:eastAsia="黑体" w:cs="Times New Roman"/>
          <w:color w:val="auto"/>
        </w:rPr>
      </w:pPr>
      <w:r>
        <w:rPr>
          <w:rFonts w:hint="default" w:ascii="Times New Roman" w:hAnsi="Times New Roman" w:eastAsia="黑体" w:cs="Times New Roman"/>
          <w:color w:val="auto"/>
        </w:rPr>
        <w:t>6.4废弃物处理产生的碳排放</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产业园区内的废弃物处理包括固体废弃物处理以及污水处理产生的碳排放。</w:t>
      </w:r>
    </w:p>
    <w:p>
      <w:pPr>
        <w:widowControl/>
        <w:ind w:firstLine="420" w:firstLineChars="200"/>
        <w:jc w:val="center"/>
        <w:rPr>
          <w:rFonts w:hint="default" w:ascii="Times New Roman" w:hAnsi="Times New Roman" w:cs="Times New Roman"/>
          <w:color w:val="auto"/>
          <w:kern w:val="0"/>
          <w:szCs w:val="21"/>
        </w:rPr>
      </w:pPr>
      <m:oMath>
        <m:sSub>
          <m:sSubPr>
            <m:ctrlPr>
              <w:rPr>
                <w:rFonts w:hint="default" w:ascii="DejaVu Math TeX Gyre" w:hAnsi="DejaVu Math TeX Gyre" w:cs="Times New Roman"/>
                <w:i/>
                <w:color w:val="auto"/>
                <w:kern w:val="0"/>
                <w:szCs w:val="21"/>
                <w:lang w:bidi="ar"/>
              </w:rPr>
            </m:ctrlPr>
          </m:sSubPr>
          <m:e>
            <m:r>
              <m:rPr/>
              <w:rPr>
                <w:rFonts w:hint="default" w:ascii="DejaVu Math TeX Gyre" w:hAnsi="DejaVu Math TeX Gyre" w:cs="Times New Roman"/>
                <w:color w:val="auto"/>
                <w:kern w:val="0"/>
                <w:szCs w:val="21"/>
                <w:lang w:bidi="ar"/>
              </w:rPr>
              <m:t>E</m:t>
            </m:r>
            <m:ctrlPr>
              <w:rPr>
                <w:rFonts w:hint="default" w:ascii="DejaVu Math TeX Gyre" w:hAnsi="DejaVu Math TeX Gyre" w:cs="Times New Roman"/>
                <w:i/>
                <w:color w:val="auto"/>
                <w:kern w:val="0"/>
                <w:szCs w:val="21"/>
                <w:lang w:bidi="ar"/>
              </w:rPr>
            </m:ctrlPr>
          </m:e>
          <m:sub>
            <m:r>
              <m:rPr/>
              <w:rPr>
                <w:rFonts w:hint="default" w:ascii="DejaVu Math TeX Gyre" w:hAnsi="DejaVu Math TeX Gyre" w:cs="Times New Roman"/>
                <w:color w:val="auto"/>
                <w:kern w:val="0"/>
                <w:szCs w:val="21"/>
              </w:rPr>
              <m:t>废弃物处理</m:t>
            </m:r>
            <m:ctrlPr>
              <w:rPr>
                <w:rFonts w:hint="default" w:ascii="DejaVu Math TeX Gyre" w:hAnsi="DejaVu Math TeX Gyre" w:cs="Times New Roman"/>
                <w:i/>
                <w:color w:val="auto"/>
                <w:kern w:val="0"/>
                <w:szCs w:val="21"/>
                <w:lang w:bidi="ar"/>
              </w:rPr>
            </m:ctrlPr>
          </m:sub>
        </m:sSub>
        <m:r>
          <m:rPr/>
          <w:rPr>
            <w:rFonts w:hint="default" w:ascii="DejaVu Math TeX Gyre" w:hAnsi="DejaVu Math TeX Gyre" w:cs="Times New Roman"/>
            <w:color w:val="auto"/>
            <w:kern w:val="0"/>
            <w:szCs w:val="21"/>
            <w:lang w:bidi="ar"/>
          </w:rPr>
          <m:t>=</m:t>
        </m:r>
        <m:sSub>
          <m:sSubPr>
            <m:ctrlPr>
              <w:rPr>
                <w:rFonts w:hint="default" w:ascii="DejaVu Math TeX Gyre" w:hAnsi="DejaVu Math TeX Gyre" w:cs="Times New Roman"/>
                <w:i/>
                <w:color w:val="auto"/>
                <w:kern w:val="0"/>
                <w:szCs w:val="21"/>
                <w:lang w:bidi="ar"/>
              </w:rPr>
            </m:ctrlPr>
          </m:sSubPr>
          <m:e>
            <m:r>
              <m:rPr/>
              <w:rPr>
                <w:rFonts w:hint="default" w:ascii="DejaVu Math TeX Gyre" w:hAnsi="DejaVu Math TeX Gyre" w:cs="Times New Roman"/>
                <w:color w:val="auto"/>
                <w:kern w:val="0"/>
                <w:szCs w:val="21"/>
                <w:lang w:bidi="ar"/>
              </w:rPr>
              <m:t>E</m:t>
            </m:r>
            <m:ctrlPr>
              <w:rPr>
                <w:rFonts w:hint="default" w:ascii="DejaVu Math TeX Gyre" w:hAnsi="DejaVu Math TeX Gyre" w:cs="Times New Roman"/>
                <w:i/>
                <w:color w:val="auto"/>
                <w:kern w:val="0"/>
                <w:szCs w:val="21"/>
                <w:lang w:bidi="ar"/>
              </w:rPr>
            </m:ctrlPr>
          </m:e>
          <m:sub>
            <m:r>
              <m:rPr/>
              <w:rPr>
                <w:rFonts w:hint="default" w:ascii="DejaVu Math TeX Gyre" w:hAnsi="DejaVu Math TeX Gyre" w:cs="Times New Roman"/>
                <w:color w:val="auto"/>
                <w:kern w:val="0"/>
                <w:szCs w:val="21"/>
              </w:rPr>
              <m:t>固废处理</m:t>
            </m:r>
            <m:ctrlPr>
              <w:rPr>
                <w:rFonts w:hint="default" w:ascii="DejaVu Math TeX Gyre" w:hAnsi="DejaVu Math TeX Gyre" w:cs="Times New Roman"/>
                <w:i/>
                <w:color w:val="auto"/>
                <w:kern w:val="0"/>
                <w:szCs w:val="21"/>
                <w:lang w:bidi="ar"/>
              </w:rPr>
            </m:ctrlPr>
          </m:sub>
        </m:sSub>
        <m:r>
          <m:rPr/>
          <w:rPr>
            <w:rFonts w:hint="default" w:ascii="DejaVu Math TeX Gyre" w:hAnsi="DejaVu Math TeX Gyre" w:cs="Times New Roman"/>
            <w:color w:val="auto"/>
            <w:kern w:val="0"/>
            <w:szCs w:val="21"/>
            <w:lang w:bidi="ar"/>
          </w:rPr>
          <m:t>+</m:t>
        </m:r>
        <m:sSub>
          <m:sSubPr>
            <m:ctrlPr>
              <w:rPr>
                <w:rFonts w:hint="default" w:ascii="DejaVu Math TeX Gyre" w:hAnsi="DejaVu Math TeX Gyre" w:cs="Times New Roman"/>
                <w:i/>
                <w:color w:val="auto"/>
                <w:kern w:val="0"/>
                <w:szCs w:val="21"/>
                <w:lang w:bidi="ar"/>
              </w:rPr>
            </m:ctrlPr>
          </m:sSubPr>
          <m:e>
            <m:r>
              <m:rPr/>
              <w:rPr>
                <w:rFonts w:hint="default" w:ascii="DejaVu Math TeX Gyre" w:hAnsi="DejaVu Math TeX Gyre" w:cs="Times New Roman"/>
                <w:color w:val="auto"/>
                <w:kern w:val="0"/>
                <w:szCs w:val="21"/>
                <w:lang w:bidi="ar"/>
              </w:rPr>
              <m:t>E</m:t>
            </m:r>
            <m:ctrlPr>
              <w:rPr>
                <w:rFonts w:hint="default" w:ascii="DejaVu Math TeX Gyre" w:hAnsi="DejaVu Math TeX Gyre" w:cs="Times New Roman"/>
                <w:i/>
                <w:color w:val="auto"/>
                <w:kern w:val="0"/>
                <w:szCs w:val="21"/>
                <w:lang w:bidi="ar"/>
              </w:rPr>
            </m:ctrlPr>
          </m:e>
          <m:sub>
            <m:r>
              <m:rPr/>
              <w:rPr>
                <w:rFonts w:hint="default" w:ascii="DejaVu Math TeX Gyre" w:hAnsi="DejaVu Math TeX Gyre" w:cs="Times New Roman"/>
                <w:color w:val="auto"/>
                <w:kern w:val="0"/>
                <w:szCs w:val="21"/>
              </w:rPr>
              <m:t>污水处理</m:t>
            </m:r>
            <m:ctrlPr>
              <w:rPr>
                <w:rFonts w:hint="default" w:ascii="DejaVu Math TeX Gyre" w:hAnsi="DejaVu Math TeX Gyre" w:cs="Times New Roman"/>
                <w:i/>
                <w:color w:val="auto"/>
                <w:kern w:val="0"/>
                <w:szCs w:val="21"/>
                <w:lang w:bidi="ar"/>
              </w:rPr>
            </m:ctrlPr>
          </m:sub>
        </m:sSub>
      </m:oMath>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rPr>
        <w:t>12</w:t>
      </w:r>
      <w:r>
        <w:rPr>
          <w:rFonts w:hint="default" w:ascii="Times New Roman" w:hAnsi="Times New Roman" w:cs="Times New Roman"/>
          <w:color w:val="auto"/>
          <w:kern w:val="0"/>
          <w:szCs w:val="21"/>
        </w:rPr>
        <w:t>）</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废弃物处理</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废弃物处理对应</w:t>
      </w:r>
      <w:r>
        <w:rPr>
          <w:rFonts w:hint="default" w:ascii="Times New Roman" w:hAnsi="Times New Roman" w:cs="Times New Roman"/>
          <w:color w:val="auto"/>
          <w:kern w:val="0"/>
          <w:szCs w:val="21"/>
          <w:lang w:bidi="ar"/>
        </w:rPr>
        <w:t>的</w:t>
      </w:r>
      <w:r>
        <w:rPr>
          <w:rFonts w:hint="default" w:ascii="Times New Roman" w:hAnsi="Times New Roman" w:cs="Times New Roman"/>
          <w:color w:val="auto"/>
          <w:kern w:val="0"/>
          <w:szCs w:val="21"/>
          <w:lang w:bidi="ar"/>
        </w:rPr>
        <w:t>碳</w:t>
      </w:r>
      <w:r>
        <w:rPr>
          <w:rFonts w:hint="default" w:ascii="Times New Roman" w:hAnsi="Times New Roman" w:cs="Times New Roman"/>
          <w:color w:val="auto"/>
          <w:kern w:val="0"/>
          <w:szCs w:val="21"/>
          <w:lang w:bidi="ar"/>
        </w:rPr>
        <w:t>排放</w:t>
      </w:r>
      <w:r>
        <w:rPr>
          <w:rFonts w:hint="default" w:ascii="Times New Roman" w:hAnsi="Times New Roman" w:cs="Times New Roman"/>
          <w:color w:val="auto"/>
          <w:kern w:val="0"/>
          <w:szCs w:val="21"/>
          <w:lang w:bidi="ar"/>
        </w:rPr>
        <w:t>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固废处理</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固废处理对应的碳排放量，单位为吨二氧化碳当量（tCO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污水处理</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污水处理对应的碳排放量，单位为吨二氧化碳当量（tCO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确定园区内涉及废弃物处理的垃圾处理厂，参考《省级温室气体清单编制指南(试行)》进行核算。</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1.园区内产生并在园区外处理的固废，由于处理活动不在园区边界内，排放不计入园区碳排放核算范围，应在可选报告中列明；</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2.园区自产固废在园区内处理的排放，应计入园区碳排放总量，依据实际处理方式（如焚烧、填埋、堆肥）选择相应排放因子核算，</w:t>
      </w:r>
      <w:r>
        <w:rPr>
          <w:rFonts w:hint="default" w:ascii="Times New Roman" w:hAnsi="Times New Roman" w:cs="Times New Roman"/>
          <w:color w:val="auto"/>
        </w:rPr>
        <w:t>若存在园区内固废综合利用的情况，可在可选报告中列明；</w:t>
      </w:r>
    </w:p>
    <w:p>
      <w:pPr>
        <w:pStyle w:val="6"/>
        <w:widowControl/>
        <w:numPr>
          <w:ilvl w:val="0"/>
          <w:numId w:val="5"/>
        </w:numPr>
        <w:ind w:firstLine="420" w:firstLineChars="200"/>
        <w:rPr>
          <w:rFonts w:hint="default" w:ascii="Times New Roman" w:hAnsi="Times New Roman" w:cs="Times New Roman"/>
          <w:color w:val="auto"/>
        </w:rPr>
      </w:pPr>
      <w:r>
        <w:rPr>
          <w:rFonts w:hint="default" w:ascii="Times New Roman" w:hAnsi="Times New Roman" w:cs="Times New Roman"/>
          <w:color w:val="auto"/>
          <w:kern w:val="0"/>
          <w:szCs w:val="21"/>
          <w:lang w:bidi="ar"/>
        </w:rPr>
        <w:t>3.外部单位固废运入园区处理的排放，处理活动发生在园区内，暂不纳入园区碳排放核算范围，但需</w:t>
      </w:r>
      <w:r>
        <w:rPr>
          <w:rFonts w:hint="default" w:ascii="Times New Roman" w:hAnsi="Times New Roman" w:cs="Times New Roman"/>
          <w:color w:val="auto"/>
        </w:rPr>
        <w:t>在报告中单独说明</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园区污水处理活动产生的温室气体排放，应根据处理设施是否位于园区边界内进行核算。</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1.纳管排放至园区外污水处理厂处理：污水处理活动发生在园区外，园区不承担处理责任，该部分排放不计入园区碳排放范围，但建议在可选报告中说明排放量估算和外部处理单位；</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2.园区内设有污水处理设施，则应计入园区范围内排放，参考GB/T44915附录E进行核算。</w:t>
      </w:r>
    </w:p>
    <w:p>
      <w:pPr>
        <w:spacing w:before="240" w:after="120"/>
        <w:rPr>
          <w:rFonts w:hint="default" w:ascii="Times New Roman" w:hAnsi="Times New Roman" w:eastAsia="黑体" w:cs="Times New Roman"/>
          <w:color w:val="auto"/>
        </w:rPr>
      </w:pPr>
      <w:r>
        <w:rPr>
          <w:rFonts w:hint="default" w:ascii="Times New Roman" w:hAnsi="Times New Roman" w:eastAsia="黑体" w:cs="Times New Roman"/>
          <w:color w:val="auto"/>
        </w:rPr>
        <w:t>6</w:t>
      </w:r>
      <w:r>
        <w:rPr>
          <w:rFonts w:hint="default" w:ascii="Times New Roman" w:hAnsi="Times New Roman" w:eastAsia="黑体" w:cs="Times New Roman"/>
          <w:color w:val="auto"/>
        </w:rPr>
        <w:t>.</w:t>
      </w:r>
      <w:r>
        <w:rPr>
          <w:rFonts w:hint="default" w:ascii="Times New Roman" w:hAnsi="Times New Roman" w:eastAsia="黑体" w:cs="Times New Roman"/>
          <w:color w:val="auto"/>
        </w:rPr>
        <w:t>5逸散排放</w:t>
      </w:r>
    </w:p>
    <w:p>
      <w:pPr>
        <w:widowControl/>
        <w:ind w:firstLine="420" w:firstLineChars="200"/>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逸散排放包括制冷剂、灭火器、</w:t>
      </w:r>
      <w:r>
        <w:rPr>
          <w:rFonts w:hint="default" w:ascii="Times New Roman" w:hAnsi="Times New Roman" w:cs="Times New Roman"/>
          <w:color w:val="auto"/>
          <w:kern w:val="0"/>
          <w:szCs w:val="21"/>
          <w:lang w:bidi="ar"/>
        </w:rPr>
        <w:t>天然气、工业生产过程及废弃物</w:t>
      </w:r>
      <w:r>
        <w:rPr>
          <w:rFonts w:hint="default" w:ascii="Times New Roman" w:hAnsi="Times New Roman" w:cs="Times New Roman"/>
          <w:color w:val="auto"/>
          <w:kern w:val="0"/>
          <w:szCs w:val="21"/>
          <w:lang w:bidi="ar"/>
        </w:rPr>
        <w:t>处理过程等逸散排放。制冷剂逸散根据数据统计期内制冷剂填充量来计算或是制冷设备逸散系数折算。灭火器逸散根据数据统计期内</w:t>
      </w:r>
      <w:r>
        <w:rPr>
          <w:rFonts w:hint="default" w:ascii="Times New Roman" w:hAnsi="Times New Roman" w:cs="Times New Roman"/>
          <w:color w:val="auto"/>
          <w:kern w:val="0"/>
          <w:szCs w:val="21"/>
          <w:lang w:bidi="ar"/>
        </w:rPr>
        <w:t>灭火剂</w:t>
      </w:r>
      <w:r>
        <w:rPr>
          <w:rFonts w:hint="default" w:ascii="Times New Roman" w:hAnsi="Times New Roman" w:cs="Times New Roman"/>
          <w:color w:val="auto"/>
          <w:kern w:val="0"/>
          <w:szCs w:val="21"/>
          <w:lang w:bidi="ar"/>
        </w:rPr>
        <w:t>填充量来计算或是灭火器逸散系数折算。</w:t>
      </w:r>
      <w:r>
        <w:rPr>
          <w:rFonts w:hint="default" w:ascii="Times New Roman" w:hAnsi="Times New Roman" w:cs="Times New Roman"/>
          <w:color w:val="auto"/>
          <w:kern w:val="0"/>
          <w:szCs w:val="21"/>
          <w:lang w:bidi="ar"/>
        </w:rPr>
        <w:t>石油和天然气系统甲烷逃逸排放估算方法参考</w:t>
      </w:r>
      <w:r>
        <w:rPr>
          <w:rFonts w:hint="default" w:ascii="Times New Roman" w:hAnsi="Times New Roman" w:cs="Times New Roman"/>
          <w:color w:val="auto"/>
          <w:kern w:val="0"/>
          <w:szCs w:val="21"/>
          <w:lang w:bidi="ar"/>
        </w:rPr>
        <w:t>GB/T 32151.16 对应的部分进行核算</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position w:val="-16"/>
        </w:rPr>
        <w:t>若报告主体的逸散排放量占比＜5%，且次年没有重大变动导致排放量大量增加，则次年可以不再核算逸散碳排放量。</w:t>
      </w:r>
    </w:p>
    <w:p>
      <w:pPr>
        <w:widowControl/>
        <w:ind w:firstLine="420" w:firstLineChars="200"/>
        <w:jc w:val="center"/>
        <w:rPr>
          <w:rFonts w:hint="default" w:ascii="Times New Roman" w:hAnsi="Times New Roman" w:cs="Times New Roman"/>
          <w:color w:val="auto"/>
          <w:kern w:val="0"/>
          <w:szCs w:val="21"/>
          <w:vertAlign w:val="subscript"/>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逸散</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nary>
          <m:naryPr>
            <m:chr m:val="∑"/>
            <m:limLoc m:val="undOvr"/>
            <m:subHide m:val="true"/>
            <m:supHide m:val="true"/>
            <m:ctrlPr>
              <w:rPr>
                <w:rFonts w:hint="default" w:ascii="DejaVu Math TeX Gyre" w:hAnsi="DejaVu Math TeX Gyre" w:cs="Times New Roman"/>
                <w:i/>
                <w:color w:val="auto"/>
                <w:kern w:val="0"/>
                <w:szCs w:val="21"/>
              </w:rPr>
            </m:ctrlPr>
          </m:naryPr>
          <m:sub>
            <m:ctrlPr>
              <w:rPr>
                <w:rFonts w:hint="default" w:ascii="DejaVu Math TeX Gyre" w:hAnsi="DejaVu Math TeX Gyre" w:cs="Times New Roman"/>
                <w:i/>
                <w:color w:val="auto"/>
                <w:kern w:val="0"/>
                <w:szCs w:val="21"/>
              </w:rPr>
            </m:ctrlPr>
          </m:sub>
          <m:sup>
            <m:ctrlPr>
              <w:rPr>
                <w:rFonts w:hint="default" w:ascii="DejaVu Math TeX Gyre" w:hAnsi="DejaVu Math TeX Gyre" w:cs="Times New Roman"/>
                <w:i/>
                <w:color w:val="auto"/>
                <w:kern w:val="0"/>
                <w:szCs w:val="21"/>
              </w:rPr>
            </m:ctrlPr>
          </m:sup>
          <m:e>
            <m:nary>
              <m:naryPr>
                <m:chr m:val="∑"/>
                <m:limLoc m:val="undOvr"/>
                <m:subHide m:val="true"/>
                <m:supHide m:val="true"/>
                <m:ctrlPr>
                  <w:rPr>
                    <w:rFonts w:hint="default" w:ascii="DejaVu Math TeX Gyre" w:hAnsi="DejaVu Math TeX Gyre" w:cs="Times New Roman"/>
                    <w:i/>
                    <w:color w:val="auto"/>
                    <w:kern w:val="0"/>
                    <w:szCs w:val="21"/>
                  </w:rPr>
                </m:ctrlPr>
              </m:naryPr>
              <m:sub>
                <m:ctrlPr>
                  <w:rPr>
                    <w:rFonts w:hint="default" w:ascii="DejaVu Math TeX Gyre" w:hAnsi="DejaVu Math TeX Gyre" w:cs="Times New Roman"/>
                    <w:i/>
                    <w:color w:val="auto"/>
                    <w:kern w:val="0"/>
                    <w:szCs w:val="21"/>
                  </w:rPr>
                </m:ctrlPr>
              </m:sub>
              <m:sup>
                <m:ctrlPr>
                  <w:rPr>
                    <w:rFonts w:hint="default" w:ascii="DejaVu Math TeX Gyre" w:hAnsi="DejaVu Math TeX Gyre" w:cs="Times New Roman"/>
                    <w:i/>
                    <w:color w:val="auto"/>
                    <w:kern w:val="0"/>
                    <w:szCs w:val="21"/>
                  </w:rPr>
                </m:ctrlPr>
              </m:sup>
              <m:e>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i,k</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k</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e>
            </m:nary>
            <m:ctrlPr>
              <w:rPr>
                <w:rFonts w:hint="default" w:ascii="DejaVu Math TeX Gyre" w:hAnsi="DejaVu Math TeX Gyre" w:cs="Times New Roman"/>
                <w:i/>
                <w:color w:val="auto"/>
                <w:kern w:val="0"/>
                <w:szCs w:val="21"/>
              </w:rPr>
            </m:ctrlPr>
          </m:e>
        </m:nary>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1</w:t>
      </w:r>
      <w:r>
        <w:rPr>
          <w:rFonts w:hint="default" w:ascii="Times New Roman" w:hAnsi="Times New Roman" w:cs="Times New Roman"/>
          <w:color w:val="auto"/>
          <w:kern w:val="0"/>
          <w:szCs w:val="21"/>
          <w:lang w:bidi="ar"/>
        </w:rPr>
        <w:t>3）</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逸散</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——逸散排放量，单位为吨二氧化碳当量（tCO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e</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rPr>
          <m:t>i</m:t>
        </m:r>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逸散类别；</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rPr>
          <m:t>k</m:t>
        </m:r>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温室气体类别</w:t>
      </w:r>
      <w:r>
        <w:rPr>
          <w:rFonts w:hint="default" w:ascii="Times New Roman" w:hAnsi="Times New Roman" w:cs="Times New Roman"/>
          <w:color w:val="auto"/>
          <w:kern w:val="0"/>
          <w:szCs w:val="21"/>
          <w:lang w:bidi="ar"/>
        </w:rPr>
        <w:t xml:space="preserve">； </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lang w:bidi="ar"/>
              </w:rPr>
            </m:ctrlPr>
          </m:sSubPr>
          <m:e>
            <m:r>
              <m:rPr/>
              <w:rPr>
                <w:rFonts w:hint="default" w:ascii="DejaVu Math TeX Gyre" w:hAnsi="DejaVu Math TeX Gyre" w:cs="Times New Roman"/>
                <w:color w:val="auto"/>
                <w:kern w:val="0"/>
                <w:szCs w:val="21"/>
                <w:lang w:bidi="ar"/>
              </w:rPr>
              <m:t>E</m:t>
            </m:r>
            <m:ctrlPr>
              <w:rPr>
                <w:rFonts w:hint="default" w:ascii="DejaVu Math TeX Gyre" w:hAnsi="DejaVu Math TeX Gyre" w:cs="Times New Roman"/>
                <w:i/>
                <w:color w:val="auto"/>
                <w:kern w:val="0"/>
                <w:szCs w:val="21"/>
                <w:lang w:bidi="ar"/>
              </w:rPr>
            </m:ctrlPr>
          </m:e>
          <m:sub>
            <m:r>
              <m:rPr/>
              <w:rPr>
                <w:rFonts w:hint="default" w:ascii="DejaVu Math TeX Gyre" w:hAnsi="DejaVu Math TeX Gyre" w:cs="Times New Roman"/>
                <w:color w:val="auto"/>
                <w:kern w:val="0"/>
                <w:szCs w:val="21"/>
                <w:lang w:bidi="ar"/>
              </w:rPr>
              <m:t>i,k</m:t>
            </m:r>
            <m:ctrlPr>
              <w:rPr>
                <w:rFonts w:hint="default" w:ascii="DejaVu Math TeX Gyre" w:hAnsi="DejaVu Math TeX Gyre" w:cs="Times New Roman"/>
                <w:i/>
                <w:color w:val="auto"/>
                <w:kern w:val="0"/>
                <w:szCs w:val="21"/>
                <w:lang w:bidi="ar"/>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逸散排放</w:t>
      </w:r>
      <w:r>
        <w:rPr>
          <w:rFonts w:hint="default" w:ascii="Times New Roman" w:hAnsi="Times New Roman" w:cs="Times New Roman"/>
          <w:color w:val="auto"/>
          <w:kern w:val="0"/>
          <w:szCs w:val="21"/>
          <w:lang w:bidi="ar"/>
        </w:rPr>
        <w:t>水平数据；</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k</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 xml:space="preserve"> </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rPr>
        <w:t>温室气体</w:t>
      </w:r>
      <w:r>
        <w:rPr>
          <w:rFonts w:hint="default" w:ascii="Times New Roman" w:hAnsi="Times New Roman" w:cs="Times New Roman"/>
          <w:color w:val="auto"/>
          <w:kern w:val="0"/>
          <w:szCs w:val="21"/>
          <w:lang w:bidi="ar"/>
        </w:rPr>
        <w:t>的全球变暖潜势。</w:t>
      </w:r>
    </w:p>
    <w:p>
      <w:pPr>
        <w:spacing w:before="240" w:after="120"/>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6.6 </w:t>
      </w:r>
      <w:r>
        <w:rPr>
          <w:rFonts w:hint="default" w:ascii="Times New Roman" w:hAnsi="Times New Roman" w:eastAsia="黑体" w:cs="Times New Roman"/>
          <w:color w:val="auto"/>
        </w:rPr>
        <w:t>碳汇</w:t>
      </w:r>
    </w:p>
    <w:p>
      <w:pPr>
        <w:spacing w:before="240" w:after="120"/>
        <w:ind w:firstLine="420" w:firstLineChars="200"/>
        <w:rPr>
          <w:rFonts w:hint="default" w:ascii="Times New Roman" w:hAnsi="Times New Roman" w:eastAsia="黑体" w:cs="Times New Roman"/>
          <w:color w:val="auto"/>
        </w:rPr>
      </w:pPr>
      <w:r>
        <w:rPr>
          <w:rFonts w:hint="default" w:ascii="Times New Roman" w:hAnsi="Times New Roman" w:cs="Times New Roman"/>
          <w:color w:val="auto"/>
          <w:kern w:val="0"/>
          <w:szCs w:val="21"/>
          <w:lang w:bidi="ar"/>
        </w:rPr>
        <w:t>碳汇相关的数据</w:t>
      </w:r>
      <w:r>
        <w:rPr>
          <w:rFonts w:hint="default" w:ascii="Times New Roman" w:hAnsi="Times New Roman" w:cs="Times New Roman"/>
          <w:color w:val="auto"/>
          <w:kern w:val="0"/>
          <w:szCs w:val="21"/>
          <w:lang w:bidi="ar"/>
        </w:rPr>
        <w:t>须有明确来源</w:t>
      </w:r>
      <w:r>
        <w:rPr>
          <w:rFonts w:hint="default" w:ascii="Times New Roman" w:hAnsi="Times New Roman" w:cs="Times New Roman"/>
          <w:color w:val="auto"/>
          <w:kern w:val="0"/>
          <w:szCs w:val="21"/>
          <w:lang w:bidi="ar"/>
        </w:rPr>
        <w:t>或</w:t>
      </w:r>
      <w:r>
        <w:rPr>
          <w:rFonts w:hint="default" w:ascii="Times New Roman" w:hAnsi="Times New Roman" w:cs="Times New Roman"/>
          <w:color w:val="auto"/>
          <w:kern w:val="0"/>
          <w:szCs w:val="21"/>
          <w:lang w:bidi="ar"/>
        </w:rPr>
        <w:t>证明文件</w:t>
      </w:r>
      <w:r>
        <w:rPr>
          <w:rFonts w:hint="default" w:ascii="Times New Roman" w:hAnsi="Times New Roman" w:cs="Times New Roman"/>
          <w:color w:val="auto"/>
          <w:kern w:val="0"/>
          <w:szCs w:val="21"/>
          <w:lang w:bidi="ar"/>
        </w:rPr>
        <w:t>。</w:t>
      </w:r>
    </w:p>
    <w:p>
      <w:pPr>
        <w:widowControl/>
        <w:ind w:firstLine="420" w:firstLineChars="200"/>
        <w:jc w:val="center"/>
        <w:rPr>
          <w:rFonts w:hint="default" w:ascii="Times New Roman" w:hAnsi="Times New Roman" w:cs="Times New Roman"/>
          <w:color w:val="auto"/>
          <w:kern w:val="0"/>
          <w:szCs w:val="21"/>
          <w:vertAlign w:val="subscript"/>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碳汇</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nary>
          <m:naryPr>
            <m:chr m:val="∑"/>
            <m:limLoc m:val="undOvr"/>
            <m:subHide m:val="true"/>
            <m:supHide m:val="true"/>
            <m:ctrlPr>
              <w:rPr>
                <w:rFonts w:hint="default" w:ascii="DejaVu Math TeX Gyre" w:hAnsi="DejaVu Math TeX Gyre" w:cs="Times New Roman"/>
                <w:i/>
                <w:color w:val="auto"/>
                <w:kern w:val="0"/>
                <w:szCs w:val="21"/>
              </w:rPr>
            </m:ctrlPr>
          </m:naryPr>
          <m:sub>
            <m:ctrlPr>
              <w:rPr>
                <w:rFonts w:hint="default" w:ascii="DejaVu Math TeX Gyre" w:hAnsi="DejaVu Math TeX Gyre" w:cs="Times New Roman"/>
                <w:i/>
                <w:color w:val="auto"/>
                <w:kern w:val="0"/>
                <w:szCs w:val="21"/>
              </w:rPr>
            </m:ctrlPr>
          </m:sub>
          <m:sup>
            <m:ctrlPr>
              <w:rPr>
                <w:rFonts w:hint="default" w:ascii="DejaVu Math TeX Gyre" w:hAnsi="DejaVu Math TeX Gyre" w:cs="Times New Roman"/>
                <w:i/>
                <w:color w:val="auto"/>
                <w:kern w:val="0"/>
                <w:szCs w:val="21"/>
              </w:rPr>
            </m:ctrlPr>
          </m:sup>
          <m:e>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r>
              <m:rPr/>
              <w:rPr>
                <w:rFonts w:hint="default" w:ascii="DejaVu Math TeX Gyre" w:hAnsi="DejaVu Math TeX Gyre" w:cs="Times New Roman"/>
                <w:color w:val="auto"/>
                <w:kern w:val="0"/>
                <w:szCs w:val="21"/>
              </w:rPr>
              <m:t>×</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C</m:t>
                </m:r>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2</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e>
        </m:nary>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1</w:t>
      </w:r>
      <w:r>
        <w:rPr>
          <w:rFonts w:hint="default" w:ascii="Times New Roman" w:hAnsi="Times New Roman" w:cs="Times New Roman"/>
          <w:color w:val="auto"/>
          <w:kern w:val="0"/>
          <w:szCs w:val="21"/>
          <w:lang w:bidi="ar"/>
        </w:rPr>
        <w:t>4）</w:t>
      </w:r>
    </w:p>
    <w:p>
      <w:pPr>
        <w:widowControl/>
        <w:ind w:firstLine="420" w:firstLineChars="200"/>
        <w:jc w:val="left"/>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式中:</w:t>
      </w:r>
    </w:p>
    <w:p>
      <w:pPr>
        <w:widowControl/>
        <w:ind w:firstLine="420" w:firstLineChars="200"/>
        <w:jc w:val="left"/>
        <w:rPr>
          <w:rFonts w:hint="default" w:ascii="Times New Roman" w:hAnsi="Times New Roman" w:cs="Times New Roman"/>
          <w:color w:val="auto"/>
          <w:kern w:val="0"/>
          <w:szCs w:val="21"/>
          <w:lang w:bidi="ar"/>
        </w:rPr>
      </w:pPr>
      <m:oMath>
        <m:r>
          <m:rPr/>
          <w:rPr>
            <w:rFonts w:hint="default" w:ascii="DejaVu Math TeX Gyre" w:hAnsi="DejaVu Math TeX Gyre" w:cs="Times New Roman"/>
            <w:color w:val="auto"/>
            <w:kern w:val="0"/>
            <w:szCs w:val="21"/>
          </w:rPr>
          <m:t>i</m:t>
        </m:r>
      </m:oMath>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bidi="ar"/>
        </w:rPr>
        <w:t>碳汇类别；</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E</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i</m:t>
            </m:r>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w:t>
      </w:r>
      <w:r>
        <w:rPr>
          <w:rFonts w:hint="default" w:ascii="Times New Roman" w:hAnsi="Times New Roman" w:cs="Times New Roman"/>
          <w:color w:val="auto"/>
          <w:sz w:val="22"/>
          <w:szCs w:val="22"/>
        </w:rPr>
        <w:t>核算和报告期内，第</w:t>
      </w:r>
      <m:oMath>
        <m:r>
          <m:rPr/>
          <w:rPr>
            <w:rFonts w:hint="default" w:ascii="DejaVu Math TeX Gyre" w:hAnsi="DejaVu Math TeX Gyre" w:cs="Times New Roman"/>
            <w:color w:val="auto"/>
            <w:kern w:val="0"/>
            <w:szCs w:val="21"/>
          </w:rPr>
          <m:t>i</m:t>
        </m:r>
      </m:oMath>
      <w:r>
        <w:rPr>
          <w:rFonts w:hint="default" w:ascii="Times New Roman" w:hAnsi="Times New Roman" w:cs="Times New Roman"/>
          <w:color w:val="auto"/>
          <w:sz w:val="22"/>
          <w:szCs w:val="22"/>
        </w:rPr>
        <w:t>种方式获得</w:t>
      </w:r>
      <w:r>
        <w:rPr>
          <w:rFonts w:hint="default" w:ascii="Times New Roman" w:hAnsi="Times New Roman" w:cs="Times New Roman"/>
          <w:color w:val="auto"/>
          <w:kern w:val="0"/>
          <w:szCs w:val="21"/>
        </w:rPr>
        <w:t>的碳汇量</w:t>
      </w:r>
      <w:r>
        <w:rPr>
          <w:rFonts w:hint="default" w:ascii="Times New Roman" w:hAnsi="Times New Roman" w:cs="Times New Roman"/>
          <w:color w:val="auto"/>
          <w:kern w:val="0"/>
          <w:szCs w:val="21"/>
          <w:lang w:bidi="ar"/>
        </w:rPr>
        <w:t>，单位为吨二氧化碳（tCO</w:t>
      </w:r>
      <w:r>
        <w:rPr>
          <w:rFonts w:hint="default" w:ascii="Times New Roman" w:hAnsi="Times New Roman" w:cs="Times New Roman"/>
          <w:color w:val="auto"/>
          <w:kern w:val="0"/>
          <w:szCs w:val="21"/>
          <w:vertAlign w:val="subscript"/>
          <w:lang w:bidi="ar"/>
        </w:rPr>
        <w:t>2</w:t>
      </w:r>
      <w:r>
        <w:rPr>
          <w:rFonts w:hint="default" w:ascii="Times New Roman" w:hAnsi="Times New Roman" w:cs="Times New Roman"/>
          <w:color w:val="auto"/>
          <w:kern w:val="0"/>
          <w:szCs w:val="21"/>
          <w:lang w:bidi="ar"/>
        </w:rPr>
        <w:t>）；</w:t>
      </w:r>
    </w:p>
    <w:p>
      <w:pPr>
        <w:widowControl/>
        <w:ind w:firstLine="420" w:firstLineChars="200"/>
        <w:jc w:val="left"/>
        <w:rPr>
          <w:rFonts w:hint="default" w:ascii="Times New Roman" w:hAnsi="Times New Roman" w:cs="Times New Roman"/>
          <w:color w:val="auto"/>
          <w:kern w:val="0"/>
          <w:szCs w:val="21"/>
          <w:lang w:bidi="ar"/>
        </w:rPr>
      </w:pPr>
      <m:oMath>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GWP</m:t>
            </m:r>
            <m:ctrlPr>
              <w:rPr>
                <w:rFonts w:hint="default" w:ascii="DejaVu Math TeX Gyre" w:hAnsi="DejaVu Math TeX Gyre" w:cs="Times New Roman"/>
                <w:i/>
                <w:color w:val="auto"/>
                <w:kern w:val="0"/>
                <w:szCs w:val="21"/>
              </w:rPr>
            </m:ctrlPr>
          </m:e>
          <m:sub>
            <m:sSub>
              <m:sSubPr>
                <m:ctrlPr>
                  <w:rPr>
                    <w:rFonts w:hint="default" w:ascii="DejaVu Math TeX Gyre" w:hAnsi="DejaVu Math TeX Gyre" w:cs="Times New Roman"/>
                    <w:i/>
                    <w:color w:val="auto"/>
                    <w:kern w:val="0"/>
                    <w:szCs w:val="21"/>
                  </w:rPr>
                </m:ctrlPr>
              </m:sSubPr>
              <m:e>
                <m:r>
                  <m:rPr/>
                  <w:rPr>
                    <w:rFonts w:hint="default" w:ascii="DejaVu Math TeX Gyre" w:hAnsi="DejaVu Math TeX Gyre" w:cs="Times New Roman"/>
                    <w:color w:val="auto"/>
                    <w:kern w:val="0"/>
                    <w:szCs w:val="21"/>
                  </w:rPr>
                  <m:t>CO</m:t>
                </m:r>
                <m:ctrlPr>
                  <w:rPr>
                    <w:rFonts w:hint="default" w:ascii="DejaVu Math TeX Gyre" w:hAnsi="DejaVu Math TeX Gyre" w:cs="Times New Roman"/>
                    <w:i/>
                    <w:color w:val="auto"/>
                    <w:kern w:val="0"/>
                    <w:szCs w:val="21"/>
                  </w:rPr>
                </m:ctrlPr>
              </m:e>
              <m:sub>
                <m:r>
                  <m:rPr/>
                  <w:rPr>
                    <w:rFonts w:hint="default" w:ascii="DejaVu Math TeX Gyre" w:hAnsi="DejaVu Math TeX Gyre" w:cs="Times New Roman"/>
                    <w:color w:val="auto"/>
                    <w:kern w:val="0"/>
                    <w:szCs w:val="21"/>
                  </w:rPr>
                  <m:t>2</m:t>
                </m:r>
                <m:ctrlPr>
                  <w:rPr>
                    <w:rFonts w:hint="default" w:ascii="DejaVu Math TeX Gyre" w:hAnsi="DejaVu Math TeX Gyre" w:cs="Times New Roman"/>
                    <w:i/>
                    <w:color w:val="auto"/>
                    <w:kern w:val="0"/>
                    <w:szCs w:val="21"/>
                  </w:rPr>
                </m:ctrlPr>
              </m:sub>
            </m:sSub>
            <m:ctrlPr>
              <w:rPr>
                <w:rFonts w:hint="default" w:ascii="DejaVu Math TeX Gyre" w:hAnsi="DejaVu Math TeX Gyre" w:cs="Times New Roman"/>
                <w:i/>
                <w:color w:val="auto"/>
                <w:kern w:val="0"/>
                <w:szCs w:val="21"/>
              </w:rPr>
            </m:ctrlPr>
          </m:sub>
        </m:sSub>
      </m:oMath>
      <w:r>
        <w:rPr>
          <w:rFonts w:hint="default" w:ascii="Times New Roman" w:hAnsi="Times New Roman" w:cs="Times New Roman"/>
          <w:color w:val="auto"/>
          <w:kern w:val="0"/>
          <w:szCs w:val="21"/>
          <w:lang w:bidi="ar"/>
        </w:rPr>
        <w:t>——二氧化碳的</w:t>
      </w:r>
      <w:r>
        <w:rPr>
          <w:rFonts w:hint="default" w:ascii="Times New Roman" w:hAnsi="Times New Roman" w:cs="Times New Roman"/>
          <w:color w:val="auto"/>
          <w:szCs w:val="21"/>
          <w:lang w:bidi="ar"/>
        </w:rPr>
        <w:t>全球变暖潜势</w:t>
      </w:r>
      <w:r>
        <w:rPr>
          <w:rFonts w:hint="default" w:ascii="Times New Roman" w:hAnsi="Times New Roman" w:cs="Times New Roman"/>
          <w:color w:val="auto"/>
          <w:kern w:val="0"/>
          <w:szCs w:val="21"/>
          <w:lang w:bidi="ar"/>
        </w:rPr>
        <w:t>。</w:t>
      </w:r>
    </w:p>
    <w:p>
      <w:pPr>
        <w:widowControl/>
        <w:jc w:val="left"/>
        <w:rPr>
          <w:rFonts w:hint="default" w:ascii="Times New Roman" w:hAnsi="Times New Roman" w:eastAsia="黑体" w:cs="Times New Roman"/>
          <w:color w:val="auto"/>
          <w:kern w:val="0"/>
          <w:szCs w:val="21"/>
          <w:lang w:bidi="ar"/>
        </w:rPr>
      </w:pPr>
      <w:r>
        <w:rPr>
          <w:rFonts w:hint="default" w:ascii="Times New Roman" w:hAnsi="Times New Roman" w:cs="Times New Roman"/>
          <w:color w:val="auto"/>
          <w:szCs w:val="21"/>
          <w:lang w:bidi="ar"/>
        </w:rPr>
        <w:br w:type="page"/>
      </w:r>
    </w:p>
    <w:p>
      <w:pPr>
        <w:pStyle w:val="63"/>
        <w:spacing w:before="312" w:after="312"/>
        <w:rPr>
          <w:rFonts w:hint="default" w:ascii="Times New Roman" w:hAnsi="Times New Roman" w:cs="Times New Roman"/>
          <w:color w:val="auto"/>
        </w:rPr>
      </w:pPr>
      <w:bookmarkStart w:id="47" w:name="_Toc16787"/>
      <w:bookmarkStart w:id="48" w:name="_Toc3571"/>
      <w:bookmarkStart w:id="49" w:name="_Toc5972"/>
      <w:r>
        <w:rPr>
          <w:rFonts w:hint="default" w:ascii="Times New Roman" w:hAnsi="Times New Roman" w:cs="Times New Roman"/>
          <w:color w:val="auto"/>
        </w:rPr>
        <w:t>数据的获取</w:t>
      </w:r>
      <w:bookmarkEnd w:id="47"/>
      <w:bookmarkEnd w:id="48"/>
      <w:bookmarkEnd w:id="49"/>
    </w:p>
    <w:p>
      <w:pPr>
        <w:spacing w:before="240" w:after="120"/>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7.1 </w:t>
      </w:r>
      <w:r>
        <w:rPr>
          <w:rFonts w:hint="default" w:ascii="Times New Roman" w:hAnsi="Times New Roman" w:eastAsia="黑体" w:cs="Times New Roman"/>
          <w:color w:val="auto"/>
        </w:rPr>
        <w:t>活动水平数据获取</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活动水平数据收集需按照核算方法要求采集原始数据，并通过整理、汇总生成符合核算边界的数据集。数据获取应遵循“避免重复、覆盖全面、来源可溯”原则。</w:t>
      </w:r>
    </w:p>
    <w:p>
      <w:pPr>
        <w:pStyle w:val="23"/>
        <w:widowControl/>
        <w:spacing w:before="120" w:after="120"/>
        <w:ind w:firstLine="420"/>
        <w:rPr>
          <w:rFonts w:hint="default" w:ascii="Times New Roman" w:hAnsi="Times New Roman" w:cs="Times New Roman"/>
          <w:color w:val="auto"/>
        </w:rPr>
      </w:pPr>
      <w:r>
        <w:rPr>
          <w:rFonts w:hint="default" w:ascii="Times New Roman" w:hAnsi="Times New Roman" w:cs="Times New Roman"/>
          <w:color w:val="auto"/>
        </w:rPr>
        <w:t>1.数据范围与去重要求：</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a）活动水平数据包含产业园区</w:t>
      </w:r>
      <w:r>
        <w:rPr>
          <w:rFonts w:hint="default" w:ascii="Times New Roman" w:hAnsi="Times New Roman" w:cs="Times New Roman"/>
          <w:color w:val="auto"/>
          <w:szCs w:val="21"/>
          <w:lang w:bidi="ar"/>
        </w:rPr>
        <w:t>地理边界内</w:t>
      </w:r>
      <w:r>
        <w:rPr>
          <w:rFonts w:hint="default" w:ascii="Times New Roman" w:hAnsi="Times New Roman" w:cs="Times New Roman"/>
          <w:color w:val="auto"/>
        </w:rPr>
        <w:t>所有经济活动的能源消耗量、原材料消耗量等，包括工业、服务业、居民生活、基础设施等，不包括农业。</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b）凡涉及企业的碳排放核算，应提供企业的活动水平数据。</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c）进行企业层面的数据汇总时，剔除园区内企业间交易数据（如蒸汽、工业气体、电力、热力）。</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d）园区内企业间能源共享（如余热余压输送）或废物资源化利用（如固废协同处置）时，仅由供应方统计核算相关活动数据，接收方不重复核算，但需作相应说明。</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e）跨园区边界的外购绿电/绿证、区域集中供热等，按净调入量核算。</w:t>
      </w:r>
    </w:p>
    <w:p>
      <w:pPr>
        <w:pStyle w:val="23"/>
        <w:widowControl/>
        <w:spacing w:before="120" w:after="120"/>
        <w:ind w:firstLine="420"/>
        <w:rPr>
          <w:rFonts w:hint="default" w:ascii="Times New Roman" w:hAnsi="Times New Roman" w:cs="Times New Roman"/>
          <w:color w:val="auto"/>
        </w:rPr>
      </w:pPr>
      <w:r>
        <w:rPr>
          <w:rFonts w:hint="default" w:ascii="Times New Roman" w:hAnsi="Times New Roman" w:cs="Times New Roman"/>
          <w:color w:val="auto"/>
        </w:rPr>
        <w:t>2.活动水平数据按以下顺序获取：</w:t>
      </w:r>
    </w:p>
    <w:p>
      <w:pPr>
        <w:pStyle w:val="13"/>
        <w:widowControl/>
        <w:spacing w:beforeAutospacing="0" w:afterAutospacing="0"/>
        <w:ind w:firstLine="420" w:firstLineChars="200"/>
        <w:jc w:val="both"/>
        <w:rPr>
          <w:rFonts w:hint="default" w:ascii="Times New Roman" w:hAnsi="Times New Roman" w:cs="Times New Roman"/>
          <w:color w:val="auto"/>
        </w:rPr>
      </w:pPr>
      <w:r>
        <w:rPr>
          <w:rFonts w:hint="default" w:ascii="Times New Roman" w:hAnsi="Times New Roman" w:cs="Times New Roman"/>
          <w:color w:val="auto"/>
          <w:kern w:val="2"/>
          <w:sz w:val="21"/>
          <w:szCs w:val="22"/>
          <w:lang w:bidi="ar"/>
        </w:rPr>
        <w:t>a</w:t>
      </w:r>
      <w:r>
        <w:rPr>
          <w:rFonts w:hint="default" w:ascii="Times New Roman" w:hAnsi="Times New Roman" w:cs="Times New Roman"/>
          <w:color w:val="auto"/>
          <w:kern w:val="2"/>
          <w:sz w:val="21"/>
          <w:szCs w:val="22"/>
          <w:lang w:bidi="ar"/>
        </w:rPr>
        <w:t>）园区管理部门台账数据；</w:t>
      </w:r>
    </w:p>
    <w:p>
      <w:pPr>
        <w:pStyle w:val="13"/>
        <w:widowControl/>
        <w:spacing w:beforeAutospacing="0" w:afterAutospacing="0"/>
        <w:ind w:firstLine="420" w:firstLineChars="200"/>
        <w:jc w:val="both"/>
        <w:rPr>
          <w:rFonts w:hint="default" w:ascii="Times New Roman" w:hAnsi="Times New Roman" w:cs="Times New Roman"/>
          <w:color w:val="auto"/>
        </w:rPr>
      </w:pPr>
      <w:r>
        <w:rPr>
          <w:rFonts w:hint="default" w:ascii="Times New Roman" w:hAnsi="Times New Roman" w:cs="Times New Roman"/>
          <w:color w:val="auto"/>
          <w:kern w:val="2"/>
          <w:sz w:val="21"/>
          <w:szCs w:val="22"/>
          <w:lang w:bidi="ar"/>
        </w:rPr>
        <w:t>b</w:t>
      </w:r>
      <w:r>
        <w:rPr>
          <w:rFonts w:hint="default" w:ascii="Times New Roman" w:hAnsi="Times New Roman" w:cs="Times New Roman"/>
          <w:color w:val="auto"/>
          <w:kern w:val="2"/>
          <w:sz w:val="21"/>
          <w:szCs w:val="22"/>
          <w:lang w:bidi="ar"/>
        </w:rPr>
        <w:t>）统计部门数据；</w:t>
      </w:r>
    </w:p>
    <w:p>
      <w:pPr>
        <w:pStyle w:val="13"/>
        <w:widowControl/>
        <w:spacing w:beforeAutospacing="0" w:afterAutospacing="0"/>
        <w:ind w:firstLine="420" w:firstLineChars="200"/>
        <w:jc w:val="both"/>
        <w:rPr>
          <w:rFonts w:hint="default" w:ascii="Times New Roman" w:hAnsi="Times New Roman" w:cs="Times New Roman"/>
          <w:color w:val="auto"/>
        </w:rPr>
      </w:pPr>
      <w:r>
        <w:rPr>
          <w:rFonts w:hint="default" w:ascii="Times New Roman" w:hAnsi="Times New Roman" w:cs="Times New Roman"/>
          <w:color w:val="auto"/>
          <w:kern w:val="2"/>
          <w:sz w:val="21"/>
          <w:szCs w:val="22"/>
          <w:lang w:bidi="ar"/>
        </w:rPr>
        <w:t>c</w:t>
      </w:r>
      <w:r>
        <w:rPr>
          <w:rFonts w:hint="default" w:ascii="Times New Roman" w:hAnsi="Times New Roman" w:cs="Times New Roman"/>
          <w:color w:val="auto"/>
          <w:kern w:val="2"/>
          <w:sz w:val="21"/>
          <w:szCs w:val="22"/>
          <w:lang w:bidi="ar"/>
        </w:rPr>
        <w:t>）园区组织边界内企业汇总数据；</w:t>
      </w:r>
    </w:p>
    <w:p>
      <w:pPr>
        <w:pStyle w:val="13"/>
        <w:widowControl/>
        <w:spacing w:beforeAutospacing="0" w:afterAutospacing="0"/>
        <w:ind w:firstLine="420" w:firstLineChars="200"/>
        <w:jc w:val="both"/>
        <w:rPr>
          <w:rFonts w:hint="default" w:ascii="Times New Roman" w:hAnsi="Times New Roman" w:cs="Times New Roman"/>
          <w:color w:val="auto"/>
        </w:rPr>
      </w:pPr>
      <w:r>
        <w:rPr>
          <w:rFonts w:hint="default" w:ascii="Times New Roman" w:hAnsi="Times New Roman" w:cs="Times New Roman"/>
          <w:color w:val="auto"/>
          <w:kern w:val="2"/>
          <w:sz w:val="21"/>
          <w:szCs w:val="22"/>
          <w:lang w:bidi="ar"/>
        </w:rPr>
        <w:t>d</w:t>
      </w:r>
      <w:r>
        <w:rPr>
          <w:rFonts w:hint="default" w:ascii="Times New Roman" w:hAnsi="Times New Roman" w:cs="Times New Roman"/>
          <w:color w:val="auto"/>
          <w:kern w:val="2"/>
          <w:sz w:val="21"/>
          <w:szCs w:val="22"/>
          <w:lang w:bidi="ar"/>
        </w:rPr>
        <w:t>）合理的估算数据。</w:t>
      </w:r>
    </w:p>
    <w:p>
      <w:pPr>
        <w:pStyle w:val="23"/>
        <w:widowControl/>
        <w:spacing w:before="120" w:after="120"/>
        <w:ind w:firstLine="420"/>
        <w:rPr>
          <w:rFonts w:hint="default" w:ascii="Times New Roman" w:hAnsi="Times New Roman" w:cs="Times New Roman"/>
          <w:color w:val="auto"/>
        </w:rPr>
      </w:pPr>
      <w:r>
        <w:rPr>
          <w:rFonts w:hint="default" w:ascii="Times New Roman" w:hAnsi="Times New Roman" w:cs="Times New Roman"/>
          <w:color w:val="auto"/>
        </w:rPr>
        <w:t>如同时存在多个数据来源，应将不同来源的数据相互验证，如有差异需寻找差异产生的原因，根据具体情况选择合理的数据来源。</w:t>
      </w:r>
    </w:p>
    <w:p>
      <w:pPr>
        <w:spacing w:before="240" w:after="120"/>
        <w:rPr>
          <w:rFonts w:hint="default" w:ascii="Times New Roman" w:hAnsi="Times New Roman" w:eastAsia="黑体" w:cs="Times New Roman"/>
          <w:color w:val="auto"/>
        </w:rPr>
      </w:pPr>
      <w:r>
        <w:rPr>
          <w:rFonts w:hint="default" w:ascii="Times New Roman" w:hAnsi="Times New Roman" w:eastAsia="黑体" w:cs="Times New Roman"/>
          <w:color w:val="auto"/>
        </w:rPr>
        <w:t>7.2排放因子及关键参数获取</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按照反映园区排放特点的准确程度由高到低划分，核算过程中所需的排放因子等关键参数按以下顺序优先获取：</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a）优先采用实测值，排放主体可通过自主检测、委托机构检测或其他相关方获取数值。</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b）若无实测，可参考附录A中的推荐值，以主管部门公布的最新排放因子为准。</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c）电网及供热排放因子选取参考政府主管部门发布官方数据，以主管部门公布的最新数据为准。</w:t>
      </w:r>
    </w:p>
    <w:p>
      <w:pPr>
        <w:pStyle w:val="63"/>
        <w:spacing w:before="312" w:after="312"/>
        <w:rPr>
          <w:rFonts w:hint="default" w:ascii="Times New Roman" w:hAnsi="Times New Roman" w:cs="Times New Roman"/>
          <w:color w:val="auto"/>
        </w:rPr>
      </w:pPr>
      <w:bookmarkStart w:id="50" w:name="_Toc23992"/>
      <w:bookmarkStart w:id="51" w:name="_Toc26942"/>
      <w:bookmarkStart w:id="52" w:name="_Toc9689"/>
      <w:r>
        <w:rPr>
          <w:rFonts w:hint="default" w:ascii="Times New Roman" w:hAnsi="Times New Roman" w:cs="Times New Roman"/>
          <w:color w:val="auto"/>
        </w:rPr>
        <w:t>数据质量管理</w:t>
      </w:r>
      <w:bookmarkEnd w:id="50"/>
      <w:bookmarkEnd w:id="51"/>
      <w:bookmarkEnd w:id="52"/>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为确保产业园区温室气体排放核算与报告数据的准确性、完整性和可追溯性，报告主体应建立健全的数据质量管理体系。数据来源通常包括园区管理部门与园区内各企业，应分别履行如下职责：</w:t>
      </w:r>
    </w:p>
    <w:p>
      <w:pPr>
        <w:pStyle w:val="23"/>
        <w:widowControl/>
        <w:spacing w:before="120" w:after="60"/>
        <w:ind w:firstLine="420"/>
        <w:rPr>
          <w:rFonts w:hint="default" w:ascii="Times New Roman" w:hAnsi="Times New Roman" w:cs="Times New Roman"/>
          <w:color w:val="auto"/>
        </w:rPr>
      </w:pPr>
      <w:r>
        <w:rPr>
          <w:rFonts w:hint="default" w:ascii="Times New Roman" w:hAnsi="Times New Roman" w:cs="Times New Roman"/>
          <w:color w:val="auto"/>
        </w:rPr>
        <w:t>（一）园区管理部门职责</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a）建立产业园区温室气体排放核算和报告的规章制度,包括负责机构和人员、工作流程和内容、工作周期和时间节点等;指定专职人员负责产业园区温室气体排放核算和报告工作;根据各种类型的温室气体排放源的重要程度对其进行等级划分,并建立产业园区温室气体排放源一览表,对于不同等级的排放源的活动数据和排放因子数据的获取提出相应的要求。</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b）评估园区内现有的数据采集和监测能力，制定园区层面的监测能力提升计划。协调各企业完善监测手段，重点加强对活动水平数据、燃料低位发热量等关键参数的监测支持。</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c）园区应建立温室气体数据内部审核制度，定期组织对企业提交的数据进行质量复核，包括数据完整性检查、跨年度变化分析、逻辑一致性校验等。识别潜在数据误差和偏差风险，并形成改进建议或整改通知。</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d）园区管理部门应统一建立园区层面的数据档案管理制度，包括数据来源、采集时间、数据处理流程、责任人记录等，并制定数据保存年限与备份要求。</w:t>
      </w:r>
    </w:p>
    <w:p>
      <w:pPr>
        <w:pStyle w:val="23"/>
        <w:widowControl/>
        <w:spacing w:before="120" w:after="60"/>
        <w:ind w:firstLine="420"/>
        <w:rPr>
          <w:rFonts w:hint="default" w:ascii="Times New Roman" w:hAnsi="Times New Roman" w:cs="Times New Roman"/>
          <w:color w:val="auto"/>
        </w:rPr>
      </w:pPr>
      <w:r>
        <w:rPr>
          <w:rFonts w:hint="default" w:ascii="Times New Roman" w:hAnsi="Times New Roman" w:cs="Times New Roman"/>
          <w:color w:val="auto"/>
        </w:rPr>
        <w:t>（二）园区企业职责</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a）园区内企业应根据园区管理要求，如实、及时、准确地提供温室气体排放相关数据，包括但不限于能源使用、生产活动、原料消耗、设备运行参数等。</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b）鼓励企业制定本单位的温室气体核算管理制度，明确内部责任人和数据质量控制流程，按要求配合园区开展数据收集与核算工作。</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c）企业应配备符合国家或行业标准的计量与监测设备，按规定周期对设备进行检定、校准、维护，并做好相应记录存档。</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d）企业应积极配合园区内部审核流程，参与数据质量交叉校验工作，对发现的问题及时整改反馈，提升数据质量管理水平。</w:t>
      </w:r>
    </w:p>
    <w:p>
      <w:pPr>
        <w:pStyle w:val="23"/>
        <w:widowControl/>
        <w:spacing w:before="120"/>
        <w:ind w:firstLine="420"/>
        <w:rPr>
          <w:rFonts w:hint="default" w:ascii="Times New Roman" w:hAnsi="Times New Roman" w:cs="Times New Roman"/>
          <w:color w:val="auto"/>
        </w:rPr>
      </w:pPr>
      <w:r>
        <w:rPr>
          <w:rFonts w:hint="default" w:ascii="Times New Roman" w:hAnsi="Times New Roman" w:cs="Times New Roman"/>
          <w:color w:val="auto"/>
        </w:rPr>
        <w:t>报告主体应</w:t>
      </w:r>
      <w:r>
        <w:rPr>
          <w:rFonts w:hint="default" w:ascii="Times New Roman" w:hAnsi="Times New Roman" w:cs="Times New Roman"/>
          <w:color w:val="auto"/>
        </w:rPr>
        <w:t>根据活动水平等级、排放因子等级、仪器校准等级等三个影响不确定性的因子对被核查单位二氧化碳排放量结果进行不确定性分析。采用半定量方法进行不确定分析</w:t>
      </w:r>
      <w:r>
        <w:rPr>
          <w:rFonts w:hint="default" w:ascii="Times New Roman" w:hAnsi="Times New Roman" w:cs="Times New Roman"/>
          <w:color w:val="auto"/>
        </w:rPr>
        <w:t>，数据来源质量等级按照表</w:t>
      </w:r>
      <w:r>
        <w:rPr>
          <w:rFonts w:hint="default" w:ascii="Times New Roman" w:hAnsi="Times New Roman" w:cs="Times New Roman"/>
          <w:color w:val="auto"/>
        </w:rPr>
        <w:t>2</w:t>
      </w:r>
      <w:r>
        <w:rPr>
          <w:rFonts w:hint="default" w:ascii="Times New Roman" w:hAnsi="Times New Roman" w:cs="Times New Roman"/>
          <w:color w:val="auto"/>
        </w:rPr>
        <w:t>进行评分，数据等级按照表</w:t>
      </w:r>
      <w:r>
        <w:rPr>
          <w:rFonts w:hint="default" w:ascii="Times New Roman" w:hAnsi="Times New Roman" w:cs="Times New Roman"/>
          <w:color w:val="auto"/>
        </w:rPr>
        <w:t>3</w:t>
      </w:r>
      <w:r>
        <w:rPr>
          <w:rFonts w:hint="default" w:ascii="Times New Roman" w:hAnsi="Times New Roman" w:cs="Times New Roman"/>
          <w:color w:val="auto"/>
        </w:rPr>
        <w:t>分为五个等级，报告的数据等级应达到三级（含）以上。平均积分计算方法如下：</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平均积分=（活动水平数据评分+排放因子数据评分+仪器校准状况）/3</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排放量占总排放量比例=排放源排放量/总排放量</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加权平均积分=平均积分*排放量占总排放量比例</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加权平均积分总计=∑加权平均积分</w:t>
      </w:r>
    </w:p>
    <w:p>
      <w:pPr>
        <w:widowControl/>
        <w:jc w:val="left"/>
        <w:rPr>
          <w:rFonts w:hint="default" w:ascii="Times New Roman" w:hAnsi="Times New Roman" w:cs="Times New Roman"/>
          <w:color w:val="auto"/>
          <w:szCs w:val="22"/>
        </w:rPr>
      </w:pPr>
      <w:r>
        <w:rPr>
          <w:rFonts w:hint="default" w:ascii="Times New Roman" w:hAnsi="Times New Roman" w:cs="Times New Roman"/>
          <w:color w:val="auto"/>
        </w:rPr>
        <w:br w:type="page"/>
      </w:r>
    </w:p>
    <w:p>
      <w:pPr>
        <w:pStyle w:val="23"/>
        <w:widowControl/>
        <w:spacing w:before="240"/>
        <w:ind w:firstLine="199" w:firstLineChars="95"/>
        <w:jc w:val="center"/>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rPr>
        <w:t xml:space="preserve">2 </w:t>
      </w:r>
      <w:r>
        <w:rPr>
          <w:rFonts w:hint="default" w:ascii="Times New Roman" w:hAnsi="Times New Roman" w:cs="Times New Roman"/>
          <w:color w:val="auto"/>
        </w:rPr>
        <w:t>数据来源质量评分表</w:t>
      </w:r>
    </w:p>
    <w:tbl>
      <w:tblPr>
        <w:tblStyle w:val="15"/>
        <w:tblW w:w="9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28"/>
        <w:gridCol w:w="698"/>
        <w:gridCol w:w="1561"/>
        <w:gridCol w:w="1274"/>
        <w:gridCol w:w="1105"/>
        <w:gridCol w:w="1872"/>
        <w:gridCol w:w="1166"/>
        <w:gridCol w:w="16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1" w:hRule="atLeast"/>
          <w:jc w:val="center"/>
        </w:trPr>
        <w:tc>
          <w:tcPr>
            <w:tcW w:w="1126" w:type="dxa"/>
            <w:gridSpan w:val="2"/>
            <w:tcBorders>
              <w:top w:val="single" w:color="000000" w:sz="6" w:space="0"/>
              <w:left w:val="single" w:color="000000" w:sz="6" w:space="0"/>
              <w:bottom w:val="single" w:color="000000" w:sz="6" w:space="0"/>
              <w:right w:val="single" w:color="000000" w:sz="6" w:space="0"/>
            </w:tcBorders>
            <w:tcMar>
              <w:top w:w="15" w:type="dxa"/>
              <w:left w:w="108" w:type="dxa"/>
              <w:bottom w:w="15" w:type="dxa"/>
              <w:right w:w="108" w:type="dxa"/>
            </w:tcMar>
            <w:vAlign w:val="bottom"/>
          </w:tcPr>
          <w:p>
            <w:pPr>
              <w:widowControl/>
              <w:rPr>
                <w:rFonts w:hint="default" w:ascii="Times New Roman" w:hAnsi="Times New Roman" w:cs="Times New Roman"/>
                <w:color w:val="auto"/>
                <w:kern w:val="0"/>
                <w:sz w:val="18"/>
                <w:szCs w:val="18"/>
              </w:rPr>
            </w:pPr>
          </w:p>
        </w:tc>
        <w:tc>
          <w:tcPr>
            <w:tcW w:w="8603" w:type="dxa"/>
            <w:gridSpan w:val="6"/>
            <w:tcBorders>
              <w:top w:val="single" w:color="000000" w:sz="6" w:space="0"/>
              <w:left w:val="nil"/>
              <w:bottom w:val="single" w:color="000000" w:sz="6" w:space="0"/>
              <w:right w:val="single" w:color="000000" w:sz="6" w:space="0"/>
            </w:tcBorders>
            <w:tcMar>
              <w:top w:w="15" w:type="dxa"/>
              <w:left w:w="108" w:type="dxa"/>
              <w:bottom w:w="15" w:type="dxa"/>
              <w:right w:w="108" w:type="dxa"/>
            </w:tcMar>
            <w:vAlign w:val="bottom"/>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数据质量等级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1" w:hRule="atLeast"/>
          <w:jc w:val="center"/>
        </w:trPr>
        <w:tc>
          <w:tcPr>
            <w:tcW w:w="428" w:type="dxa"/>
            <w:vMerge w:val="restart"/>
            <w:tcBorders>
              <w:top w:val="nil"/>
              <w:left w:val="single" w:color="000000" w:sz="6" w:space="0"/>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活动水平</w:t>
            </w:r>
          </w:p>
        </w:tc>
        <w:tc>
          <w:tcPr>
            <w:tcW w:w="698"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等级</w:t>
            </w:r>
          </w:p>
        </w:tc>
        <w:tc>
          <w:tcPr>
            <w:tcW w:w="2835"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6</w:t>
            </w:r>
            <w:r>
              <w:rPr>
                <w:rFonts w:hint="default" w:ascii="Times New Roman" w:hAnsi="Times New Roman" w:cs="Times New Roman"/>
                <w:color w:val="auto"/>
                <w:kern w:val="0"/>
                <w:sz w:val="18"/>
                <w:szCs w:val="18"/>
              </w:rPr>
              <w:t>分</w:t>
            </w:r>
          </w:p>
        </w:tc>
        <w:tc>
          <w:tcPr>
            <w:tcW w:w="2977"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r>
              <w:rPr>
                <w:rFonts w:hint="default" w:ascii="Times New Roman" w:hAnsi="Times New Roman" w:cs="Times New Roman"/>
                <w:color w:val="auto"/>
                <w:kern w:val="0"/>
                <w:sz w:val="18"/>
                <w:szCs w:val="18"/>
              </w:rPr>
              <w:t>分</w:t>
            </w:r>
          </w:p>
        </w:tc>
        <w:tc>
          <w:tcPr>
            <w:tcW w:w="2791"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r>
              <w:rPr>
                <w:rFonts w:hint="default" w:ascii="Times New Roman" w:hAnsi="Times New Roman" w:cs="Times New Roman"/>
                <w:color w:val="auto"/>
                <w:kern w:val="0"/>
                <w:sz w:val="18"/>
                <w:szCs w:val="18"/>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8" w:hRule="atLeast"/>
          <w:jc w:val="center"/>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hint="default" w:ascii="Times New Roman" w:hAnsi="Times New Roman" w:cs="Times New Roman"/>
                <w:color w:val="auto"/>
                <w:kern w:val="0"/>
                <w:sz w:val="18"/>
                <w:szCs w:val="18"/>
              </w:rPr>
            </w:pPr>
          </w:p>
        </w:tc>
        <w:tc>
          <w:tcPr>
            <w:tcW w:w="698"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类别</w:t>
            </w:r>
          </w:p>
        </w:tc>
        <w:tc>
          <w:tcPr>
            <w:tcW w:w="2835"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r>
              <w:rPr>
                <w:rFonts w:hint="default" w:ascii="Times New Roman" w:hAnsi="Times New Roman" w:cs="Times New Roman"/>
                <w:color w:val="auto"/>
                <w:kern w:val="0"/>
                <w:sz w:val="18"/>
                <w:szCs w:val="18"/>
              </w:rPr>
              <w:t>自动连续量测</w:t>
            </w:r>
          </w:p>
        </w:tc>
        <w:tc>
          <w:tcPr>
            <w:tcW w:w="2977"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r>
              <w:rPr>
                <w:rFonts w:hint="default" w:ascii="Times New Roman" w:hAnsi="Times New Roman" w:cs="Times New Roman"/>
                <w:color w:val="auto"/>
                <w:kern w:val="0"/>
                <w:sz w:val="18"/>
                <w:szCs w:val="18"/>
              </w:rPr>
              <w:t>定期量测（抄表、采购单）</w:t>
            </w:r>
          </w:p>
        </w:tc>
        <w:tc>
          <w:tcPr>
            <w:tcW w:w="2791"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r>
              <w:rPr>
                <w:rFonts w:hint="default" w:ascii="Times New Roman" w:hAnsi="Times New Roman" w:cs="Times New Roman"/>
                <w:color w:val="auto"/>
                <w:kern w:val="0"/>
                <w:sz w:val="18"/>
                <w:szCs w:val="18"/>
              </w:rPr>
              <w:t>自行推估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hint="default" w:ascii="Times New Roman" w:hAnsi="Times New Roman" w:cs="Times New Roman"/>
                <w:color w:val="auto"/>
                <w:kern w:val="0"/>
                <w:sz w:val="18"/>
                <w:szCs w:val="18"/>
              </w:rPr>
            </w:pPr>
          </w:p>
        </w:tc>
        <w:tc>
          <w:tcPr>
            <w:tcW w:w="698" w:type="dxa"/>
            <w:vMerge w:val="restart"/>
            <w:tcBorders>
              <w:top w:val="nil"/>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举例</w:t>
            </w:r>
          </w:p>
        </w:tc>
        <w:tc>
          <w:tcPr>
            <w:tcW w:w="2835"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有电表测量的电力消耗；</w:t>
            </w:r>
          </w:p>
        </w:tc>
        <w:tc>
          <w:tcPr>
            <w:tcW w:w="2977"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汽车的加油记录；</w:t>
            </w:r>
          </w:p>
        </w:tc>
        <w:tc>
          <w:tcPr>
            <w:tcW w:w="2791" w:type="dxa"/>
            <w:gridSpan w:val="2"/>
            <w:vMerge w:val="restart"/>
            <w:tcBorders>
              <w:top w:val="nil"/>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通过车辆行驶里程和百公里油耗估算得到的耗油量；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1" w:hRule="atLeast"/>
          <w:jc w:val="center"/>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hint="default" w:ascii="Times New Roman" w:hAnsi="Times New Roman" w:cs="Times New Roman"/>
                <w:color w:val="auto"/>
                <w:kern w:val="0"/>
                <w:sz w:val="18"/>
                <w:szCs w:val="18"/>
              </w:rPr>
            </w:pPr>
          </w:p>
        </w:tc>
        <w:tc>
          <w:tcPr>
            <w:tcW w:w="698" w:type="dxa"/>
            <w:vMerge w:val="continue"/>
            <w:tcBorders>
              <w:top w:val="nil"/>
              <w:left w:val="nil"/>
              <w:bottom w:val="single" w:color="000000" w:sz="6" w:space="0"/>
              <w:right w:val="single" w:color="000000" w:sz="6" w:space="0"/>
            </w:tcBorders>
            <w:vAlign w:val="center"/>
          </w:tcPr>
          <w:p>
            <w:pPr>
              <w:widowControl/>
              <w:jc w:val="left"/>
              <w:rPr>
                <w:rFonts w:hint="default" w:ascii="Times New Roman" w:hAnsi="Times New Roman" w:cs="Times New Roman"/>
                <w:color w:val="auto"/>
                <w:kern w:val="0"/>
                <w:sz w:val="18"/>
                <w:szCs w:val="18"/>
              </w:rPr>
            </w:pPr>
          </w:p>
        </w:tc>
        <w:tc>
          <w:tcPr>
            <w:tcW w:w="2835"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燃气表测量的燃气消耗；</w:t>
            </w:r>
          </w:p>
        </w:tc>
        <w:tc>
          <w:tcPr>
            <w:tcW w:w="2977"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煤炭的发票；</w:t>
            </w:r>
          </w:p>
        </w:tc>
        <w:tc>
          <w:tcPr>
            <w:tcW w:w="2791" w:type="dxa"/>
            <w:gridSpan w:val="2"/>
            <w:vMerge w:val="continue"/>
            <w:tcBorders>
              <w:top w:val="nil"/>
              <w:left w:val="nil"/>
              <w:bottom w:val="single" w:color="000000" w:sz="6" w:space="0"/>
              <w:right w:val="single" w:color="000000" w:sz="6" w:space="0"/>
            </w:tcBorders>
            <w:vAlign w:val="center"/>
          </w:tcPr>
          <w:p>
            <w:pPr>
              <w:widowControl/>
              <w:jc w:val="left"/>
              <w:rPr>
                <w:rFonts w:hint="default" w:ascii="Times New Roman" w:hAnsi="Times New Roman" w:cs="Times New Roman"/>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1" w:hRule="atLeast"/>
          <w:jc w:val="center"/>
        </w:trPr>
        <w:tc>
          <w:tcPr>
            <w:tcW w:w="428" w:type="dxa"/>
            <w:vMerge w:val="restart"/>
            <w:tcBorders>
              <w:top w:val="nil"/>
              <w:left w:val="single" w:color="000000" w:sz="6" w:space="0"/>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排放因子</w:t>
            </w:r>
          </w:p>
        </w:tc>
        <w:tc>
          <w:tcPr>
            <w:tcW w:w="698"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等级</w:t>
            </w:r>
          </w:p>
        </w:tc>
        <w:tc>
          <w:tcPr>
            <w:tcW w:w="1561"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6</w:t>
            </w:r>
            <w:r>
              <w:rPr>
                <w:rFonts w:hint="default" w:ascii="Times New Roman" w:hAnsi="Times New Roman" w:cs="Times New Roman"/>
                <w:color w:val="auto"/>
                <w:kern w:val="0"/>
                <w:sz w:val="18"/>
                <w:szCs w:val="18"/>
              </w:rPr>
              <w:t>分</w:t>
            </w:r>
          </w:p>
        </w:tc>
        <w:tc>
          <w:tcPr>
            <w:tcW w:w="1274"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w:t>
            </w:r>
            <w:r>
              <w:rPr>
                <w:rFonts w:hint="default" w:ascii="Times New Roman" w:hAnsi="Times New Roman" w:cs="Times New Roman"/>
                <w:color w:val="auto"/>
                <w:kern w:val="0"/>
                <w:sz w:val="18"/>
                <w:szCs w:val="18"/>
              </w:rPr>
              <w:t>分</w:t>
            </w:r>
          </w:p>
        </w:tc>
        <w:tc>
          <w:tcPr>
            <w:tcW w:w="1105"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w:t>
            </w:r>
            <w:r>
              <w:rPr>
                <w:rFonts w:hint="default" w:ascii="Times New Roman" w:hAnsi="Times New Roman" w:cs="Times New Roman"/>
                <w:color w:val="auto"/>
                <w:kern w:val="0"/>
                <w:sz w:val="18"/>
                <w:szCs w:val="18"/>
              </w:rPr>
              <w:t>分</w:t>
            </w:r>
          </w:p>
        </w:tc>
        <w:tc>
          <w:tcPr>
            <w:tcW w:w="1872"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r>
              <w:rPr>
                <w:rFonts w:hint="default" w:ascii="Times New Roman" w:hAnsi="Times New Roman" w:cs="Times New Roman"/>
                <w:color w:val="auto"/>
                <w:kern w:val="0"/>
                <w:sz w:val="18"/>
                <w:szCs w:val="18"/>
              </w:rPr>
              <w:t>分</w:t>
            </w:r>
          </w:p>
        </w:tc>
        <w:tc>
          <w:tcPr>
            <w:tcW w:w="1166"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r>
              <w:rPr>
                <w:rFonts w:hint="default" w:ascii="Times New Roman" w:hAnsi="Times New Roman" w:cs="Times New Roman"/>
                <w:color w:val="auto"/>
                <w:kern w:val="0"/>
                <w:sz w:val="18"/>
                <w:szCs w:val="18"/>
              </w:rPr>
              <w:t>分</w:t>
            </w:r>
          </w:p>
        </w:tc>
        <w:tc>
          <w:tcPr>
            <w:tcW w:w="1625"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r>
              <w:rPr>
                <w:rFonts w:hint="default" w:ascii="Times New Roman" w:hAnsi="Times New Roman" w:cs="Times New Roman"/>
                <w:color w:val="auto"/>
                <w:kern w:val="0"/>
                <w:sz w:val="18"/>
                <w:szCs w:val="18"/>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hint="default" w:ascii="Times New Roman" w:hAnsi="Times New Roman" w:cs="Times New Roman"/>
                <w:color w:val="auto"/>
                <w:kern w:val="0"/>
                <w:sz w:val="18"/>
                <w:szCs w:val="18"/>
              </w:rPr>
            </w:pPr>
          </w:p>
        </w:tc>
        <w:tc>
          <w:tcPr>
            <w:tcW w:w="698"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类别</w:t>
            </w:r>
          </w:p>
        </w:tc>
        <w:tc>
          <w:tcPr>
            <w:tcW w:w="1561"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r>
              <w:rPr>
                <w:rFonts w:hint="default" w:ascii="Times New Roman" w:hAnsi="Times New Roman" w:cs="Times New Roman"/>
                <w:color w:val="auto"/>
                <w:kern w:val="0"/>
                <w:sz w:val="18"/>
                <w:szCs w:val="18"/>
              </w:rPr>
              <w:t>量测</w:t>
            </w: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rPr>
              <w:t>质量平衡因子</w:t>
            </w:r>
          </w:p>
        </w:tc>
        <w:tc>
          <w:tcPr>
            <w:tcW w:w="1274"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r>
              <w:rPr>
                <w:rFonts w:hint="default" w:ascii="Times New Roman" w:hAnsi="Times New Roman" w:cs="Times New Roman"/>
                <w:color w:val="auto"/>
                <w:kern w:val="0"/>
                <w:sz w:val="18"/>
                <w:szCs w:val="18"/>
              </w:rPr>
              <w:t>同制程</w:t>
            </w: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rPr>
              <w:t>设备经验系数</w:t>
            </w:r>
          </w:p>
        </w:tc>
        <w:tc>
          <w:tcPr>
            <w:tcW w:w="1105"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r>
              <w:rPr>
                <w:rFonts w:hint="default" w:ascii="Times New Roman" w:hAnsi="Times New Roman" w:cs="Times New Roman"/>
                <w:color w:val="auto"/>
                <w:kern w:val="0"/>
                <w:sz w:val="18"/>
                <w:szCs w:val="18"/>
              </w:rPr>
              <w:t>制造厂提供系数</w:t>
            </w:r>
          </w:p>
        </w:tc>
        <w:tc>
          <w:tcPr>
            <w:tcW w:w="1872"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w:t>
            </w:r>
            <w:r>
              <w:rPr>
                <w:rFonts w:hint="default" w:ascii="Times New Roman" w:hAnsi="Times New Roman" w:cs="Times New Roman"/>
                <w:color w:val="auto"/>
                <w:kern w:val="0"/>
                <w:sz w:val="18"/>
                <w:szCs w:val="18"/>
              </w:rPr>
              <w:t>区域排放系数</w:t>
            </w:r>
          </w:p>
        </w:tc>
        <w:tc>
          <w:tcPr>
            <w:tcW w:w="1166"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w:t>
            </w:r>
            <w:r>
              <w:rPr>
                <w:rFonts w:hint="default" w:ascii="Times New Roman" w:hAnsi="Times New Roman" w:cs="Times New Roman"/>
                <w:color w:val="auto"/>
                <w:kern w:val="0"/>
                <w:sz w:val="18"/>
                <w:szCs w:val="18"/>
              </w:rPr>
              <w:t>国家排放系数</w:t>
            </w:r>
          </w:p>
        </w:tc>
        <w:tc>
          <w:tcPr>
            <w:tcW w:w="1625"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6.</w:t>
            </w:r>
            <w:r>
              <w:rPr>
                <w:rFonts w:hint="default" w:ascii="Times New Roman" w:hAnsi="Times New Roman" w:cs="Times New Roman"/>
                <w:color w:val="auto"/>
                <w:kern w:val="0"/>
                <w:sz w:val="18"/>
                <w:szCs w:val="18"/>
              </w:rPr>
              <w:t>国际排放系数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6" w:hRule="atLeast"/>
          <w:jc w:val="center"/>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hint="default" w:ascii="Times New Roman" w:hAnsi="Times New Roman" w:cs="Times New Roman"/>
                <w:color w:val="auto"/>
                <w:kern w:val="0"/>
                <w:sz w:val="18"/>
                <w:szCs w:val="18"/>
              </w:rPr>
            </w:pPr>
          </w:p>
        </w:tc>
        <w:tc>
          <w:tcPr>
            <w:tcW w:w="698"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举例</w:t>
            </w:r>
          </w:p>
        </w:tc>
        <w:tc>
          <w:tcPr>
            <w:tcW w:w="1561"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通过化学反应方程计算得出的碳酸钙煅烧产生的</w:t>
            </w:r>
            <w:r>
              <w:rPr>
                <w:rFonts w:hint="default" w:ascii="Times New Roman" w:hAnsi="Times New Roman" w:cs="Times New Roman"/>
                <w:color w:val="auto"/>
                <w:kern w:val="0"/>
                <w:sz w:val="18"/>
                <w:szCs w:val="18"/>
              </w:rPr>
              <w:t>CO</w:t>
            </w:r>
            <w:r>
              <w:rPr>
                <w:rFonts w:hint="default" w:ascii="Times New Roman" w:hAnsi="Times New Roman" w:cs="Times New Roman"/>
                <w:color w:val="auto"/>
                <w:kern w:val="0"/>
                <w:sz w:val="18"/>
                <w:szCs w:val="18"/>
                <w:vertAlign w:val="subscript"/>
              </w:rPr>
              <w:t>2</w:t>
            </w:r>
            <w:r>
              <w:rPr>
                <w:rFonts w:hint="default" w:ascii="Times New Roman" w:hAnsi="Times New Roman" w:cs="Times New Roman"/>
                <w:color w:val="auto"/>
                <w:kern w:val="0"/>
                <w:sz w:val="18"/>
                <w:szCs w:val="18"/>
              </w:rPr>
              <w:t>和乙炔燃烧产生的</w:t>
            </w:r>
            <w:r>
              <w:rPr>
                <w:rFonts w:hint="default" w:ascii="Times New Roman" w:hAnsi="Times New Roman" w:cs="Times New Roman"/>
                <w:color w:val="auto"/>
                <w:kern w:val="0"/>
                <w:sz w:val="18"/>
                <w:szCs w:val="18"/>
              </w:rPr>
              <w:t>CO</w:t>
            </w:r>
            <w:r>
              <w:rPr>
                <w:rFonts w:hint="default" w:ascii="Times New Roman" w:hAnsi="Times New Roman" w:cs="Times New Roman"/>
                <w:color w:val="auto"/>
                <w:kern w:val="0"/>
                <w:sz w:val="18"/>
                <w:szCs w:val="18"/>
                <w:vertAlign w:val="subscript"/>
              </w:rPr>
              <w:t>2</w:t>
            </w:r>
          </w:p>
        </w:tc>
        <w:tc>
          <w:tcPr>
            <w:tcW w:w="1274"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p>
        </w:tc>
        <w:tc>
          <w:tcPr>
            <w:tcW w:w="1105"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p>
        </w:tc>
        <w:tc>
          <w:tcPr>
            <w:tcW w:w="1872"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国家发改委公布的电网排放因子</w:t>
            </w:r>
          </w:p>
        </w:tc>
        <w:tc>
          <w:tcPr>
            <w:tcW w:w="1166"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p>
        </w:tc>
        <w:tc>
          <w:tcPr>
            <w:tcW w:w="1625"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IPCC</w:t>
            </w:r>
            <w:r>
              <w:rPr>
                <w:rFonts w:hint="default" w:ascii="Times New Roman" w:hAnsi="Times New Roman" w:cs="Times New Roman"/>
                <w:color w:val="auto"/>
                <w:kern w:val="0"/>
                <w:sz w:val="18"/>
                <w:szCs w:val="18"/>
              </w:rPr>
              <w:t>公布的燃料燃烧排放因子、空调的排放因子、工业</w:t>
            </w: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rPr>
              <w:t>生活废水的排放因子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1" w:hRule="atLeast"/>
          <w:jc w:val="center"/>
        </w:trPr>
        <w:tc>
          <w:tcPr>
            <w:tcW w:w="428" w:type="dxa"/>
            <w:vMerge w:val="restart"/>
            <w:tcBorders>
              <w:top w:val="nil"/>
              <w:left w:val="single" w:color="000000" w:sz="6" w:space="0"/>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仪器校准</w:t>
            </w:r>
          </w:p>
        </w:tc>
        <w:tc>
          <w:tcPr>
            <w:tcW w:w="698"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等级</w:t>
            </w:r>
          </w:p>
        </w:tc>
        <w:tc>
          <w:tcPr>
            <w:tcW w:w="2835"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6</w:t>
            </w:r>
            <w:r>
              <w:rPr>
                <w:rFonts w:hint="default" w:ascii="Times New Roman" w:hAnsi="Times New Roman" w:cs="Times New Roman"/>
                <w:color w:val="auto"/>
                <w:kern w:val="0"/>
                <w:sz w:val="18"/>
                <w:szCs w:val="18"/>
              </w:rPr>
              <w:t>分</w:t>
            </w:r>
          </w:p>
        </w:tc>
        <w:tc>
          <w:tcPr>
            <w:tcW w:w="2977"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r>
              <w:rPr>
                <w:rFonts w:hint="default" w:ascii="Times New Roman" w:hAnsi="Times New Roman" w:cs="Times New Roman"/>
                <w:color w:val="auto"/>
                <w:kern w:val="0"/>
                <w:sz w:val="18"/>
                <w:szCs w:val="18"/>
              </w:rPr>
              <w:t>分</w:t>
            </w:r>
          </w:p>
        </w:tc>
        <w:tc>
          <w:tcPr>
            <w:tcW w:w="2791"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r>
              <w:rPr>
                <w:rFonts w:hint="default" w:ascii="Times New Roman" w:hAnsi="Times New Roman" w:cs="Times New Roman"/>
                <w:color w:val="auto"/>
                <w:kern w:val="0"/>
                <w:sz w:val="18"/>
                <w:szCs w:val="18"/>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3" w:hRule="atLeast"/>
          <w:jc w:val="center"/>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hint="default" w:ascii="Times New Roman" w:hAnsi="Times New Roman" w:cs="Times New Roman"/>
                <w:color w:val="auto"/>
                <w:kern w:val="0"/>
                <w:sz w:val="18"/>
                <w:szCs w:val="18"/>
              </w:rPr>
            </w:pPr>
          </w:p>
        </w:tc>
        <w:tc>
          <w:tcPr>
            <w:tcW w:w="698"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类别</w:t>
            </w:r>
          </w:p>
        </w:tc>
        <w:tc>
          <w:tcPr>
            <w:tcW w:w="2835"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r>
              <w:rPr>
                <w:rFonts w:hint="default" w:ascii="Times New Roman" w:hAnsi="Times New Roman" w:cs="Times New Roman"/>
                <w:color w:val="auto"/>
                <w:kern w:val="0"/>
                <w:sz w:val="18"/>
                <w:szCs w:val="18"/>
              </w:rPr>
              <w:t>依规定执行校准工作且校准结果在容许误差范围内</w:t>
            </w:r>
          </w:p>
        </w:tc>
        <w:tc>
          <w:tcPr>
            <w:tcW w:w="2977"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r>
              <w:rPr>
                <w:rFonts w:hint="default" w:ascii="Times New Roman" w:hAnsi="Times New Roman" w:cs="Times New Roman"/>
                <w:color w:val="auto"/>
                <w:kern w:val="0"/>
                <w:sz w:val="18"/>
                <w:szCs w:val="18"/>
              </w:rPr>
              <w:t>依规定执行校准工作但校准结果超出误差容许范围，后续采取措施调至正常范围；无法执行校准但数据来源可供查证</w:t>
            </w:r>
          </w:p>
        </w:tc>
        <w:tc>
          <w:tcPr>
            <w:tcW w:w="2791"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r>
              <w:rPr>
                <w:rFonts w:hint="default" w:ascii="Times New Roman" w:hAnsi="Times New Roman" w:cs="Times New Roman"/>
                <w:color w:val="auto"/>
                <w:kern w:val="0"/>
                <w:sz w:val="18"/>
                <w:szCs w:val="18"/>
              </w:rPr>
              <w:t>未依规定执行校准工作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3" w:hRule="atLeast"/>
          <w:jc w:val="center"/>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hint="default" w:ascii="Times New Roman" w:hAnsi="Times New Roman" w:cs="Times New Roman"/>
                <w:color w:val="auto"/>
                <w:kern w:val="0"/>
                <w:sz w:val="18"/>
                <w:szCs w:val="18"/>
              </w:rPr>
            </w:pPr>
          </w:p>
        </w:tc>
        <w:tc>
          <w:tcPr>
            <w:tcW w:w="698" w:type="dxa"/>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举例</w:t>
            </w:r>
          </w:p>
        </w:tc>
        <w:tc>
          <w:tcPr>
            <w:tcW w:w="2835"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涉及到商业买卖的设备质监局定期会对相关设备进行校准</w:t>
            </w:r>
          </w:p>
        </w:tc>
        <w:tc>
          <w:tcPr>
            <w:tcW w:w="2977"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在计算生活废水的</w:t>
            </w:r>
            <w:r>
              <w:rPr>
                <w:rFonts w:hint="default" w:ascii="Times New Roman" w:hAnsi="Times New Roman" w:cs="Times New Roman"/>
                <w:color w:val="auto"/>
                <w:kern w:val="0"/>
                <w:sz w:val="18"/>
                <w:szCs w:val="18"/>
              </w:rPr>
              <w:t>BOD</w:t>
            </w:r>
            <w:r>
              <w:rPr>
                <w:rFonts w:hint="default" w:ascii="Times New Roman" w:hAnsi="Times New Roman" w:cs="Times New Roman"/>
                <w:color w:val="auto"/>
                <w:kern w:val="0"/>
                <w:sz w:val="18"/>
                <w:szCs w:val="18"/>
              </w:rPr>
              <w:t>去除量时用到人力数据，此数据属于无法执行校准但数据来源可供查证</w:t>
            </w:r>
          </w:p>
        </w:tc>
        <w:tc>
          <w:tcPr>
            <w:tcW w:w="2791" w:type="dxa"/>
            <w:gridSpan w:val="2"/>
            <w:tcBorders>
              <w:top w:val="single" w:color="000000" w:sz="6" w:space="0"/>
              <w:left w:val="nil"/>
              <w:bottom w:val="single" w:color="000000" w:sz="6" w:space="0"/>
              <w:right w:val="single" w:color="000000" w:sz="6" w:space="0"/>
            </w:tcBorders>
            <w:tcMar>
              <w:top w:w="15" w:type="dxa"/>
              <w:left w:w="108" w:type="dxa"/>
              <w:bottom w:w="15" w:type="dxa"/>
              <w:right w:w="108" w:type="dxa"/>
            </w:tcMar>
            <w:vAlign w:val="center"/>
          </w:tcPr>
          <w:p>
            <w:pPr>
              <w:widowControl/>
              <w:rPr>
                <w:rFonts w:hint="default" w:ascii="Times New Roman" w:hAnsi="Times New Roman" w:cs="Times New Roman"/>
                <w:color w:val="auto"/>
                <w:kern w:val="0"/>
                <w:sz w:val="18"/>
                <w:szCs w:val="18"/>
              </w:rPr>
            </w:pPr>
          </w:p>
        </w:tc>
      </w:tr>
    </w:tbl>
    <w:p>
      <w:pPr>
        <w:pStyle w:val="23"/>
        <w:widowControl/>
        <w:spacing w:before="240"/>
        <w:ind w:firstLine="199" w:firstLineChars="95"/>
        <w:jc w:val="center"/>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rPr>
        <w:t xml:space="preserve">3 </w:t>
      </w:r>
      <w:r>
        <w:rPr>
          <w:rFonts w:hint="default" w:ascii="Times New Roman" w:hAnsi="Times New Roman" w:cs="Times New Roman"/>
          <w:color w:val="auto"/>
        </w:rPr>
        <w:t>数据等级评分对照表</w:t>
      </w:r>
    </w:p>
    <w:tbl>
      <w:tblPr>
        <w:tblStyle w:val="15"/>
        <w:tblW w:w="8328" w:type="dxa"/>
        <w:jc w:val="center"/>
        <w:tblBorders>
          <w:top w:val="single" w:color="282828" w:sz="6" w:space="0"/>
          <w:left w:val="single" w:color="282828" w:sz="6" w:space="0"/>
          <w:bottom w:val="single" w:color="282828" w:sz="6" w:space="0"/>
          <w:right w:val="single" w:color="282828" w:sz="6" w:space="0"/>
          <w:insideH w:val="single" w:color="282828" w:sz="6" w:space="0"/>
          <w:insideV w:val="single" w:color="282828" w:sz="6" w:space="0"/>
        </w:tblBorders>
        <w:tblLayout w:type="fixed"/>
        <w:tblCellMar>
          <w:top w:w="0" w:type="dxa"/>
          <w:left w:w="0" w:type="dxa"/>
          <w:bottom w:w="0" w:type="dxa"/>
          <w:right w:w="0" w:type="dxa"/>
        </w:tblCellMar>
      </w:tblPr>
      <w:tblGrid>
        <w:gridCol w:w="1948"/>
        <w:gridCol w:w="4140"/>
        <w:gridCol w:w="2240"/>
      </w:tblGrid>
      <w:tr>
        <w:tblPrEx>
          <w:tblBorders>
            <w:top w:val="single" w:color="282828" w:sz="6" w:space="0"/>
            <w:left w:val="single" w:color="282828" w:sz="6" w:space="0"/>
            <w:bottom w:val="single" w:color="282828" w:sz="6" w:space="0"/>
            <w:right w:val="single" w:color="282828" w:sz="6" w:space="0"/>
            <w:insideH w:val="single" w:color="282828" w:sz="6" w:space="0"/>
            <w:insideV w:val="single" w:color="282828" w:sz="6" w:space="0"/>
          </w:tblBorders>
          <w:tblCellMar>
            <w:top w:w="0" w:type="dxa"/>
            <w:left w:w="0" w:type="dxa"/>
            <w:bottom w:w="0" w:type="dxa"/>
            <w:right w:w="0" w:type="dxa"/>
          </w:tblCellMar>
        </w:tblPrEx>
        <w:trPr>
          <w:trHeight w:val="320" w:hRule="atLeast"/>
          <w:jc w:val="center"/>
        </w:trPr>
        <w:tc>
          <w:tcPr>
            <w:tcW w:w="1948" w:type="dxa"/>
            <w:tcBorders>
              <w:top w:val="single" w:color="282828" w:sz="6" w:space="0"/>
              <w:left w:val="single" w:color="282828" w:sz="6" w:space="0"/>
              <w:bottom w:val="single" w:color="282828" w:sz="6" w:space="0"/>
              <w:right w:val="single" w:color="282828" w:sz="6" w:space="0"/>
            </w:tcBorders>
            <w:vAlign w:val="center"/>
          </w:tcPr>
          <w:p>
            <w:pPr>
              <w:spacing w:line="263" w:lineRule="exact"/>
              <w:ind w:left="493" w:right="-20"/>
              <w:jc w:val="left"/>
              <w:rPr>
                <w:rFonts w:hint="default" w:ascii="Times New Roman" w:hAnsi="Times New Roman" w:cs="Times New Roman"/>
                <w:color w:val="auto"/>
                <w:kern w:val="0"/>
              </w:rPr>
            </w:pPr>
            <w:r>
              <w:rPr>
                <w:rFonts w:hint="default" w:ascii="Times New Roman" w:hAnsi="Times New Roman" w:cs="Times New Roman"/>
                <w:color w:val="auto"/>
                <w:kern w:val="0"/>
                <w:position w:val="-2"/>
              </w:rPr>
              <w:t>数据等级</w:t>
            </w:r>
          </w:p>
        </w:tc>
        <w:tc>
          <w:tcPr>
            <w:tcW w:w="4140" w:type="dxa"/>
            <w:tcBorders>
              <w:top w:val="single" w:color="282828" w:sz="6" w:space="0"/>
              <w:left w:val="nil"/>
              <w:bottom w:val="single" w:color="282828" w:sz="6" w:space="0"/>
              <w:right w:val="single" w:color="282828" w:sz="6" w:space="0"/>
            </w:tcBorders>
            <w:vAlign w:val="center"/>
          </w:tcPr>
          <w:p>
            <w:pPr>
              <w:spacing w:line="263" w:lineRule="exact"/>
              <w:ind w:left="1109" w:right="-20"/>
              <w:jc w:val="left"/>
              <w:rPr>
                <w:rFonts w:hint="default" w:ascii="Times New Roman" w:hAnsi="Times New Roman" w:cs="Times New Roman"/>
                <w:color w:val="auto"/>
                <w:kern w:val="0"/>
              </w:rPr>
            </w:pPr>
            <w:r>
              <w:rPr>
                <w:rFonts w:hint="default" w:ascii="Times New Roman" w:hAnsi="Times New Roman" w:cs="Times New Roman"/>
                <w:color w:val="auto"/>
                <w:kern w:val="0"/>
                <w:position w:val="-2"/>
              </w:rPr>
              <w:t>平均积分数值范围</w:t>
            </w:r>
          </w:p>
        </w:tc>
        <w:tc>
          <w:tcPr>
            <w:tcW w:w="2240" w:type="dxa"/>
            <w:tcBorders>
              <w:top w:val="single" w:color="282828" w:sz="6" w:space="0"/>
              <w:left w:val="nil"/>
              <w:bottom w:val="single" w:color="282828" w:sz="6" w:space="0"/>
              <w:right w:val="single" w:color="282828" w:sz="6" w:space="0"/>
            </w:tcBorders>
            <w:vAlign w:val="center"/>
          </w:tcPr>
          <w:p>
            <w:pPr>
              <w:spacing w:line="270" w:lineRule="exact"/>
              <w:ind w:right="49"/>
              <w:jc w:val="center"/>
              <w:rPr>
                <w:rFonts w:hint="default" w:ascii="Times New Roman" w:hAnsi="Times New Roman" w:cs="Times New Roman"/>
                <w:color w:val="auto"/>
                <w:kern w:val="0"/>
              </w:rPr>
            </w:pPr>
            <w:r>
              <w:rPr>
                <w:rFonts w:hint="default" w:ascii="Times New Roman" w:hAnsi="Times New Roman" w:cs="Times New Roman"/>
                <w:color w:val="auto"/>
                <w:kern w:val="0"/>
                <w:position w:val="-2"/>
              </w:rPr>
              <w:t>数据质量</w:t>
            </w:r>
          </w:p>
        </w:tc>
      </w:tr>
      <w:tr>
        <w:tblPrEx>
          <w:tblBorders>
            <w:top w:val="single" w:color="282828" w:sz="6" w:space="0"/>
            <w:left w:val="single" w:color="282828" w:sz="6" w:space="0"/>
            <w:bottom w:val="single" w:color="282828" w:sz="6" w:space="0"/>
            <w:right w:val="single" w:color="282828" w:sz="6" w:space="0"/>
            <w:insideH w:val="single" w:color="282828" w:sz="6" w:space="0"/>
            <w:insideV w:val="single" w:color="282828" w:sz="6" w:space="0"/>
          </w:tblBorders>
          <w:tblCellMar>
            <w:top w:w="0" w:type="dxa"/>
            <w:left w:w="0" w:type="dxa"/>
            <w:bottom w:w="0" w:type="dxa"/>
            <w:right w:w="0" w:type="dxa"/>
          </w:tblCellMar>
        </w:tblPrEx>
        <w:trPr>
          <w:trHeight w:val="324" w:hRule="atLeast"/>
          <w:jc w:val="center"/>
        </w:trPr>
        <w:tc>
          <w:tcPr>
            <w:tcW w:w="1948" w:type="dxa"/>
            <w:tcBorders>
              <w:top w:val="single" w:color="282828" w:sz="6" w:space="0"/>
              <w:left w:val="single" w:color="282828" w:sz="6" w:space="0"/>
              <w:bottom w:val="single" w:color="282828" w:sz="6" w:space="0"/>
              <w:right w:val="single" w:color="282828" w:sz="6" w:space="0"/>
            </w:tcBorders>
            <w:vAlign w:val="center"/>
          </w:tcPr>
          <w:p>
            <w:pPr>
              <w:spacing w:line="270" w:lineRule="exact"/>
              <w:ind w:left="608" w:right="-20"/>
              <w:jc w:val="left"/>
              <w:rPr>
                <w:rFonts w:hint="default" w:ascii="Times New Roman" w:hAnsi="Times New Roman" w:cs="Times New Roman"/>
                <w:color w:val="auto"/>
                <w:kern w:val="0"/>
              </w:rPr>
            </w:pPr>
            <w:r>
              <w:rPr>
                <w:rFonts w:hint="default" w:ascii="Times New Roman" w:hAnsi="Times New Roman" w:cs="Times New Roman"/>
                <w:color w:val="auto"/>
                <w:spacing w:val="-15"/>
                <w:kern w:val="0"/>
                <w:position w:val="-2"/>
              </w:rPr>
              <w:t>第</w:t>
            </w:r>
            <w:r>
              <w:rPr>
                <w:rFonts w:hint="default" w:ascii="Times New Roman" w:hAnsi="Times New Roman" w:cs="Times New Roman"/>
                <w:color w:val="auto"/>
                <w:spacing w:val="5"/>
                <w:kern w:val="0"/>
                <w:position w:val="-2"/>
              </w:rPr>
              <w:t>一</w:t>
            </w:r>
            <w:r>
              <w:rPr>
                <w:rFonts w:hint="default" w:ascii="Times New Roman" w:hAnsi="Times New Roman" w:cs="Times New Roman"/>
                <w:color w:val="auto"/>
                <w:kern w:val="0"/>
                <w:position w:val="-2"/>
              </w:rPr>
              <w:t>级</w:t>
            </w:r>
          </w:p>
        </w:tc>
        <w:tc>
          <w:tcPr>
            <w:tcW w:w="4140" w:type="dxa"/>
            <w:tcBorders>
              <w:top w:val="single" w:color="282828" w:sz="6" w:space="0"/>
              <w:left w:val="nil"/>
              <w:bottom w:val="single" w:color="282828" w:sz="6" w:space="0"/>
              <w:right w:val="single" w:color="282828" w:sz="6" w:space="0"/>
            </w:tcBorders>
            <w:vAlign w:val="center"/>
          </w:tcPr>
          <w:p>
            <w:pPr>
              <w:spacing w:before="6" w:line="268" w:lineRule="auto"/>
              <w:ind w:left="1964" w:right="1580"/>
              <w:jc w:val="center"/>
              <w:rPr>
                <w:rFonts w:hint="default" w:ascii="Times New Roman" w:hAnsi="Times New Roman" w:cs="Times New Roman"/>
                <w:color w:val="auto"/>
                <w:kern w:val="0"/>
              </w:rPr>
            </w:pPr>
            <w:r>
              <w:rPr>
                <w:rFonts w:hint="default" w:ascii="Times New Roman" w:hAnsi="Times New Roman" w:cs="Times New Roman"/>
                <w:color w:val="auto"/>
                <w:kern w:val="0"/>
              </w:rPr>
              <w:t>≥5.0</w:t>
            </w:r>
          </w:p>
        </w:tc>
        <w:tc>
          <w:tcPr>
            <w:tcW w:w="2240" w:type="dxa"/>
            <w:tcBorders>
              <w:top w:val="single" w:color="282828" w:sz="6" w:space="0"/>
              <w:left w:val="nil"/>
              <w:bottom w:val="single" w:color="282828" w:sz="6" w:space="0"/>
              <w:right w:val="single" w:color="282828" w:sz="6" w:space="0"/>
            </w:tcBorders>
            <w:vAlign w:val="center"/>
          </w:tcPr>
          <w:p>
            <w:pPr>
              <w:spacing w:line="274" w:lineRule="exact"/>
              <w:ind w:right="49"/>
              <w:jc w:val="center"/>
              <w:rPr>
                <w:rFonts w:hint="default" w:ascii="Times New Roman" w:hAnsi="Times New Roman" w:cs="Times New Roman"/>
                <w:color w:val="auto"/>
                <w:kern w:val="0"/>
              </w:rPr>
            </w:pPr>
            <w:r>
              <w:rPr>
                <w:rFonts w:hint="default" w:ascii="Times New Roman" w:hAnsi="Times New Roman" w:cs="Times New Roman"/>
                <w:color w:val="auto"/>
                <w:kern w:val="0"/>
                <w:position w:val="-2"/>
              </w:rPr>
              <w:t>优秀</w:t>
            </w:r>
          </w:p>
        </w:tc>
      </w:tr>
      <w:tr>
        <w:tblPrEx>
          <w:tblBorders>
            <w:top w:val="single" w:color="282828" w:sz="6" w:space="0"/>
            <w:left w:val="single" w:color="282828" w:sz="6" w:space="0"/>
            <w:bottom w:val="single" w:color="282828" w:sz="6" w:space="0"/>
            <w:right w:val="single" w:color="282828" w:sz="6" w:space="0"/>
            <w:insideH w:val="single" w:color="282828" w:sz="6" w:space="0"/>
            <w:insideV w:val="single" w:color="282828" w:sz="6" w:space="0"/>
          </w:tblBorders>
          <w:tblCellMar>
            <w:top w:w="0" w:type="dxa"/>
            <w:left w:w="0" w:type="dxa"/>
            <w:bottom w:w="0" w:type="dxa"/>
            <w:right w:w="0" w:type="dxa"/>
          </w:tblCellMar>
        </w:tblPrEx>
        <w:trPr>
          <w:trHeight w:val="320" w:hRule="atLeast"/>
          <w:jc w:val="center"/>
        </w:trPr>
        <w:tc>
          <w:tcPr>
            <w:tcW w:w="1948" w:type="dxa"/>
            <w:tcBorders>
              <w:top w:val="single" w:color="282828" w:sz="6" w:space="0"/>
              <w:left w:val="single" w:color="282828" w:sz="6" w:space="0"/>
              <w:bottom w:val="single" w:color="282828" w:sz="6" w:space="0"/>
              <w:right w:val="single" w:color="282828" w:sz="6" w:space="0"/>
            </w:tcBorders>
            <w:vAlign w:val="center"/>
          </w:tcPr>
          <w:p>
            <w:pPr>
              <w:spacing w:line="270" w:lineRule="exact"/>
              <w:ind w:left="608" w:right="-20"/>
              <w:jc w:val="left"/>
              <w:rPr>
                <w:rFonts w:hint="default" w:ascii="Times New Roman" w:hAnsi="Times New Roman" w:cs="Times New Roman"/>
                <w:color w:val="auto"/>
                <w:kern w:val="0"/>
              </w:rPr>
            </w:pPr>
            <w:r>
              <w:rPr>
                <w:rFonts w:hint="default" w:ascii="Times New Roman" w:hAnsi="Times New Roman" w:cs="Times New Roman"/>
                <w:color w:val="auto"/>
                <w:kern w:val="0"/>
                <w:position w:val="-2"/>
              </w:rPr>
              <w:t>第二级</w:t>
            </w:r>
          </w:p>
        </w:tc>
        <w:tc>
          <w:tcPr>
            <w:tcW w:w="4140" w:type="dxa"/>
            <w:tcBorders>
              <w:top w:val="single" w:color="282828" w:sz="6" w:space="0"/>
              <w:left w:val="nil"/>
              <w:bottom w:val="single" w:color="282828" w:sz="6" w:space="0"/>
              <w:right w:val="single" w:color="282828" w:sz="6" w:space="0"/>
            </w:tcBorders>
            <w:vAlign w:val="center"/>
          </w:tcPr>
          <w:p>
            <w:pPr>
              <w:spacing w:line="308" w:lineRule="exact"/>
              <w:ind w:left="1458" w:right="1391"/>
              <w:jc w:val="center"/>
              <w:rPr>
                <w:rFonts w:hint="default" w:ascii="Times New Roman" w:hAnsi="Times New Roman" w:cs="Times New Roman"/>
                <w:color w:val="auto"/>
                <w:kern w:val="0"/>
              </w:rPr>
            </w:pPr>
            <w:r>
              <w:rPr>
                <w:rFonts w:hint="default" w:ascii="Times New Roman" w:hAnsi="Times New Roman" w:cs="Times New Roman"/>
                <w:color w:val="auto"/>
                <w:kern w:val="0"/>
                <w:position w:val="2"/>
              </w:rPr>
              <w:t>＜</w:t>
            </w:r>
            <w:r>
              <w:rPr>
                <w:rFonts w:hint="default" w:ascii="Times New Roman" w:hAnsi="Times New Roman" w:cs="Times New Roman"/>
                <w:color w:val="auto"/>
                <w:kern w:val="0"/>
                <w:position w:val="2"/>
              </w:rPr>
              <w:t>5.0</w:t>
            </w:r>
            <w:r>
              <w:rPr>
                <w:rFonts w:hint="default" w:ascii="Times New Roman" w:hAnsi="Times New Roman" w:cs="Times New Roman"/>
                <w:color w:val="auto"/>
                <w:kern w:val="0"/>
                <w:position w:val="2"/>
              </w:rPr>
              <w:t>，</w:t>
            </w:r>
            <w:r>
              <w:rPr>
                <w:rFonts w:hint="default" w:ascii="Times New Roman" w:hAnsi="Times New Roman" w:cs="Times New Roman"/>
                <w:color w:val="auto"/>
                <w:kern w:val="0"/>
                <w:position w:val="2"/>
              </w:rPr>
              <w:t>≥4.0</w:t>
            </w:r>
          </w:p>
        </w:tc>
        <w:tc>
          <w:tcPr>
            <w:tcW w:w="2240" w:type="dxa"/>
            <w:tcBorders>
              <w:top w:val="single" w:color="282828" w:sz="6" w:space="0"/>
              <w:left w:val="nil"/>
              <w:bottom w:val="single" w:color="282828" w:sz="6" w:space="0"/>
              <w:right w:val="single" w:color="282828" w:sz="6" w:space="0"/>
            </w:tcBorders>
            <w:vAlign w:val="center"/>
          </w:tcPr>
          <w:p>
            <w:pPr>
              <w:spacing w:line="270" w:lineRule="exact"/>
              <w:ind w:right="49"/>
              <w:jc w:val="center"/>
              <w:rPr>
                <w:rFonts w:hint="default" w:ascii="Times New Roman" w:hAnsi="Times New Roman" w:cs="Times New Roman"/>
                <w:color w:val="auto"/>
                <w:kern w:val="0"/>
              </w:rPr>
            </w:pPr>
            <w:r>
              <w:rPr>
                <w:rFonts w:hint="default" w:ascii="Times New Roman" w:hAnsi="Times New Roman" w:cs="Times New Roman"/>
                <w:color w:val="auto"/>
                <w:kern w:val="0"/>
                <w:position w:val="-2"/>
              </w:rPr>
              <w:t>良好</w:t>
            </w:r>
          </w:p>
        </w:tc>
      </w:tr>
      <w:tr>
        <w:tblPrEx>
          <w:tblBorders>
            <w:top w:val="single" w:color="282828" w:sz="6" w:space="0"/>
            <w:left w:val="single" w:color="282828" w:sz="6" w:space="0"/>
            <w:bottom w:val="single" w:color="282828" w:sz="6" w:space="0"/>
            <w:right w:val="single" w:color="282828" w:sz="6" w:space="0"/>
            <w:insideH w:val="single" w:color="282828" w:sz="6" w:space="0"/>
            <w:insideV w:val="single" w:color="282828" w:sz="6" w:space="0"/>
          </w:tblBorders>
          <w:tblCellMar>
            <w:top w:w="0" w:type="dxa"/>
            <w:left w:w="0" w:type="dxa"/>
            <w:bottom w:w="0" w:type="dxa"/>
            <w:right w:w="0" w:type="dxa"/>
          </w:tblCellMar>
        </w:tblPrEx>
        <w:trPr>
          <w:trHeight w:val="320" w:hRule="atLeast"/>
          <w:jc w:val="center"/>
        </w:trPr>
        <w:tc>
          <w:tcPr>
            <w:tcW w:w="1948" w:type="dxa"/>
            <w:tcBorders>
              <w:top w:val="single" w:color="282828" w:sz="6" w:space="0"/>
              <w:left w:val="single" w:color="282828" w:sz="6" w:space="0"/>
              <w:bottom w:val="single" w:color="282828" w:sz="6" w:space="0"/>
              <w:right w:val="single" w:color="282828" w:sz="6" w:space="0"/>
            </w:tcBorders>
            <w:vAlign w:val="center"/>
          </w:tcPr>
          <w:p>
            <w:pPr>
              <w:spacing w:line="277" w:lineRule="exact"/>
              <w:ind w:left="616" w:right="-20"/>
              <w:jc w:val="left"/>
              <w:rPr>
                <w:rFonts w:hint="default" w:ascii="Times New Roman" w:hAnsi="Times New Roman" w:cs="Times New Roman"/>
                <w:color w:val="auto"/>
                <w:kern w:val="0"/>
              </w:rPr>
            </w:pPr>
            <w:r>
              <w:rPr>
                <w:rFonts w:hint="default" w:ascii="Times New Roman" w:hAnsi="Times New Roman" w:cs="Times New Roman"/>
                <w:color w:val="auto"/>
                <w:kern w:val="0"/>
                <w:position w:val="-2"/>
              </w:rPr>
              <w:t>第三级</w:t>
            </w:r>
          </w:p>
        </w:tc>
        <w:tc>
          <w:tcPr>
            <w:tcW w:w="4140" w:type="dxa"/>
            <w:tcBorders>
              <w:top w:val="single" w:color="282828" w:sz="6" w:space="0"/>
              <w:left w:val="nil"/>
              <w:bottom w:val="single" w:color="282828" w:sz="6" w:space="0"/>
              <w:right w:val="single" w:color="282828" w:sz="6" w:space="0"/>
            </w:tcBorders>
            <w:vAlign w:val="center"/>
          </w:tcPr>
          <w:p>
            <w:pPr>
              <w:spacing w:line="310" w:lineRule="exact"/>
              <w:ind w:left="1465" w:right="1414"/>
              <w:jc w:val="center"/>
              <w:rPr>
                <w:rFonts w:hint="default" w:ascii="Times New Roman" w:hAnsi="Times New Roman" w:cs="Times New Roman"/>
                <w:color w:val="auto"/>
                <w:kern w:val="0"/>
              </w:rPr>
            </w:pPr>
            <w:r>
              <w:rPr>
                <w:rFonts w:hint="default" w:ascii="Times New Roman" w:hAnsi="Times New Roman" w:cs="Times New Roman"/>
                <w:color w:val="auto"/>
                <w:kern w:val="0"/>
                <w:position w:val="2"/>
              </w:rPr>
              <w:t>＜</w:t>
            </w:r>
            <w:r>
              <w:rPr>
                <w:rFonts w:hint="default" w:ascii="Times New Roman" w:hAnsi="Times New Roman" w:cs="Times New Roman"/>
                <w:color w:val="auto"/>
                <w:kern w:val="0"/>
                <w:position w:val="2"/>
              </w:rPr>
              <w:t>4.0</w:t>
            </w:r>
            <w:r>
              <w:rPr>
                <w:rFonts w:hint="default" w:ascii="Times New Roman" w:hAnsi="Times New Roman" w:cs="Times New Roman"/>
                <w:color w:val="auto"/>
                <w:kern w:val="0"/>
                <w:position w:val="1"/>
              </w:rPr>
              <w:t>，</w:t>
            </w:r>
            <w:r>
              <w:rPr>
                <w:rFonts w:hint="default" w:ascii="Times New Roman" w:hAnsi="Times New Roman" w:cs="Times New Roman"/>
                <w:color w:val="auto"/>
                <w:kern w:val="0"/>
                <w:position w:val="2"/>
              </w:rPr>
              <w:t>≥3.0</w:t>
            </w:r>
          </w:p>
        </w:tc>
        <w:tc>
          <w:tcPr>
            <w:tcW w:w="2240" w:type="dxa"/>
            <w:tcBorders>
              <w:top w:val="single" w:color="282828" w:sz="6" w:space="0"/>
              <w:left w:val="nil"/>
              <w:bottom w:val="single" w:color="282828" w:sz="6" w:space="0"/>
              <w:right w:val="single" w:color="282828" w:sz="6" w:space="0"/>
            </w:tcBorders>
            <w:vAlign w:val="center"/>
          </w:tcPr>
          <w:p>
            <w:pPr>
              <w:spacing w:line="277" w:lineRule="exact"/>
              <w:ind w:right="49"/>
              <w:jc w:val="center"/>
              <w:rPr>
                <w:rFonts w:hint="default" w:ascii="Times New Roman" w:hAnsi="Times New Roman" w:cs="Times New Roman"/>
                <w:color w:val="auto"/>
                <w:kern w:val="0"/>
              </w:rPr>
            </w:pPr>
            <w:r>
              <w:rPr>
                <w:rFonts w:hint="default" w:ascii="Times New Roman" w:hAnsi="Times New Roman" w:cs="Times New Roman"/>
                <w:color w:val="auto"/>
                <w:spacing w:val="-6"/>
                <w:kern w:val="0"/>
                <w:position w:val="-2"/>
              </w:rPr>
              <w:t>一</w:t>
            </w:r>
            <w:r>
              <w:rPr>
                <w:rFonts w:hint="default" w:ascii="Times New Roman" w:hAnsi="Times New Roman" w:cs="Times New Roman"/>
                <w:color w:val="auto"/>
                <w:kern w:val="0"/>
                <w:position w:val="-2"/>
              </w:rPr>
              <w:t>般</w:t>
            </w:r>
          </w:p>
        </w:tc>
      </w:tr>
      <w:tr>
        <w:tblPrEx>
          <w:tblBorders>
            <w:top w:val="single" w:color="282828" w:sz="6" w:space="0"/>
            <w:left w:val="single" w:color="282828" w:sz="6" w:space="0"/>
            <w:bottom w:val="single" w:color="282828" w:sz="6" w:space="0"/>
            <w:right w:val="single" w:color="282828" w:sz="6" w:space="0"/>
            <w:insideH w:val="single" w:color="282828" w:sz="6" w:space="0"/>
            <w:insideV w:val="single" w:color="282828" w:sz="6" w:space="0"/>
          </w:tblBorders>
          <w:tblCellMar>
            <w:top w:w="0" w:type="dxa"/>
            <w:left w:w="0" w:type="dxa"/>
            <w:bottom w:w="0" w:type="dxa"/>
            <w:right w:w="0" w:type="dxa"/>
          </w:tblCellMar>
        </w:tblPrEx>
        <w:trPr>
          <w:trHeight w:val="324" w:hRule="atLeast"/>
          <w:jc w:val="center"/>
        </w:trPr>
        <w:tc>
          <w:tcPr>
            <w:tcW w:w="1948" w:type="dxa"/>
            <w:tcBorders>
              <w:top w:val="single" w:color="282828" w:sz="6" w:space="0"/>
              <w:left w:val="single" w:color="282828" w:sz="6" w:space="0"/>
              <w:bottom w:val="single" w:color="282828" w:sz="6" w:space="0"/>
              <w:right w:val="single" w:color="282828" w:sz="6" w:space="0"/>
            </w:tcBorders>
            <w:vAlign w:val="center"/>
          </w:tcPr>
          <w:p>
            <w:pPr>
              <w:spacing w:line="270" w:lineRule="exact"/>
              <w:ind w:left="608" w:right="-20"/>
              <w:jc w:val="left"/>
              <w:rPr>
                <w:rFonts w:hint="default" w:ascii="Times New Roman" w:hAnsi="Times New Roman" w:cs="Times New Roman"/>
                <w:color w:val="auto"/>
                <w:kern w:val="0"/>
              </w:rPr>
            </w:pPr>
            <w:r>
              <w:rPr>
                <w:rFonts w:hint="default" w:ascii="Times New Roman" w:hAnsi="Times New Roman" w:cs="Times New Roman"/>
                <w:color w:val="auto"/>
                <w:kern w:val="0"/>
                <w:position w:val="-2"/>
              </w:rPr>
              <w:t>第四级</w:t>
            </w:r>
          </w:p>
        </w:tc>
        <w:tc>
          <w:tcPr>
            <w:tcW w:w="4140" w:type="dxa"/>
            <w:tcBorders>
              <w:top w:val="single" w:color="282828" w:sz="6" w:space="0"/>
              <w:left w:val="nil"/>
              <w:bottom w:val="single" w:color="282828" w:sz="6" w:space="0"/>
              <w:right w:val="single" w:color="282828" w:sz="6" w:space="0"/>
            </w:tcBorders>
            <w:vAlign w:val="center"/>
          </w:tcPr>
          <w:p>
            <w:pPr>
              <w:spacing w:line="310" w:lineRule="exact"/>
              <w:ind w:left="1458" w:right="1425"/>
              <w:jc w:val="center"/>
              <w:rPr>
                <w:rFonts w:hint="default" w:ascii="Times New Roman" w:hAnsi="Times New Roman" w:cs="Times New Roman"/>
                <w:color w:val="auto"/>
                <w:kern w:val="0"/>
              </w:rPr>
            </w:pPr>
            <w:r>
              <w:rPr>
                <w:rFonts w:hint="default" w:ascii="Times New Roman" w:hAnsi="Times New Roman" w:cs="Times New Roman"/>
                <w:color w:val="auto"/>
                <w:kern w:val="0"/>
                <w:position w:val="2"/>
              </w:rPr>
              <w:t>＜</w:t>
            </w:r>
            <w:r>
              <w:rPr>
                <w:rFonts w:hint="default" w:ascii="Times New Roman" w:hAnsi="Times New Roman" w:cs="Times New Roman"/>
                <w:color w:val="auto"/>
                <w:kern w:val="0"/>
                <w:position w:val="2"/>
              </w:rPr>
              <w:t>3.0</w:t>
            </w:r>
            <w:r>
              <w:rPr>
                <w:rFonts w:hint="default" w:ascii="Times New Roman" w:hAnsi="Times New Roman" w:cs="Times New Roman"/>
                <w:color w:val="auto"/>
                <w:kern w:val="0"/>
                <w:position w:val="1"/>
              </w:rPr>
              <w:t>，</w:t>
            </w:r>
            <w:r>
              <w:rPr>
                <w:rFonts w:hint="default" w:ascii="Times New Roman" w:hAnsi="Times New Roman" w:cs="Times New Roman"/>
                <w:color w:val="auto"/>
                <w:kern w:val="0"/>
                <w:position w:val="2"/>
              </w:rPr>
              <w:t>≥2.0</w:t>
            </w:r>
          </w:p>
        </w:tc>
        <w:tc>
          <w:tcPr>
            <w:tcW w:w="2240" w:type="dxa"/>
            <w:tcBorders>
              <w:top w:val="single" w:color="282828" w:sz="6" w:space="0"/>
              <w:left w:val="nil"/>
              <w:bottom w:val="single" w:color="282828" w:sz="6" w:space="0"/>
              <w:right w:val="single" w:color="282828" w:sz="6" w:space="0"/>
            </w:tcBorders>
            <w:vAlign w:val="center"/>
          </w:tcPr>
          <w:p>
            <w:pPr>
              <w:spacing w:line="274" w:lineRule="exact"/>
              <w:ind w:right="49"/>
              <w:jc w:val="center"/>
              <w:rPr>
                <w:rFonts w:hint="default" w:ascii="Times New Roman" w:hAnsi="Times New Roman" w:cs="Times New Roman"/>
                <w:color w:val="auto"/>
                <w:kern w:val="0"/>
              </w:rPr>
            </w:pPr>
            <w:r>
              <w:rPr>
                <w:rFonts w:hint="default" w:ascii="Times New Roman" w:hAnsi="Times New Roman" w:cs="Times New Roman"/>
                <w:color w:val="auto"/>
                <w:kern w:val="0"/>
                <w:position w:val="-2"/>
              </w:rPr>
              <w:t>较差</w:t>
            </w:r>
          </w:p>
        </w:tc>
      </w:tr>
      <w:tr>
        <w:tblPrEx>
          <w:tblBorders>
            <w:top w:val="single" w:color="282828" w:sz="6" w:space="0"/>
            <w:left w:val="single" w:color="282828" w:sz="6" w:space="0"/>
            <w:bottom w:val="single" w:color="282828" w:sz="6" w:space="0"/>
            <w:right w:val="single" w:color="282828" w:sz="6" w:space="0"/>
            <w:insideH w:val="single" w:color="282828" w:sz="6" w:space="0"/>
            <w:insideV w:val="single" w:color="282828" w:sz="6" w:space="0"/>
          </w:tblBorders>
          <w:tblCellMar>
            <w:top w:w="0" w:type="dxa"/>
            <w:left w:w="0" w:type="dxa"/>
            <w:bottom w:w="0" w:type="dxa"/>
            <w:right w:w="0" w:type="dxa"/>
          </w:tblCellMar>
        </w:tblPrEx>
        <w:trPr>
          <w:trHeight w:val="324" w:hRule="atLeast"/>
          <w:jc w:val="center"/>
        </w:trPr>
        <w:tc>
          <w:tcPr>
            <w:tcW w:w="1948" w:type="dxa"/>
            <w:tcBorders>
              <w:top w:val="single" w:color="282828" w:sz="6" w:space="0"/>
              <w:left w:val="single" w:color="282828" w:sz="6" w:space="0"/>
              <w:bottom w:val="single" w:color="282828" w:sz="6" w:space="0"/>
              <w:right w:val="single" w:color="282828" w:sz="6" w:space="0"/>
            </w:tcBorders>
            <w:vAlign w:val="center"/>
          </w:tcPr>
          <w:p>
            <w:pPr>
              <w:spacing w:line="270" w:lineRule="exact"/>
              <w:ind w:left="616" w:right="-20"/>
              <w:jc w:val="left"/>
              <w:rPr>
                <w:rFonts w:hint="default" w:ascii="Times New Roman" w:hAnsi="Times New Roman" w:cs="Times New Roman"/>
                <w:color w:val="auto"/>
                <w:kern w:val="0"/>
              </w:rPr>
            </w:pPr>
            <w:r>
              <w:rPr>
                <w:rFonts w:hint="default" w:ascii="Times New Roman" w:hAnsi="Times New Roman" w:cs="Times New Roman"/>
                <w:color w:val="auto"/>
                <w:kern w:val="0"/>
                <w:position w:val="-2"/>
              </w:rPr>
              <w:t>第五级</w:t>
            </w:r>
          </w:p>
        </w:tc>
        <w:tc>
          <w:tcPr>
            <w:tcW w:w="4140" w:type="dxa"/>
            <w:tcBorders>
              <w:top w:val="single" w:color="282828" w:sz="6" w:space="0"/>
              <w:left w:val="nil"/>
              <w:bottom w:val="single" w:color="282828" w:sz="6" w:space="0"/>
              <w:right w:val="single" w:color="282828" w:sz="6" w:space="0"/>
            </w:tcBorders>
            <w:vAlign w:val="center"/>
          </w:tcPr>
          <w:p>
            <w:pPr>
              <w:spacing w:before="14" w:line="268" w:lineRule="auto"/>
              <w:ind w:left="1825" w:right="1764"/>
              <w:jc w:val="center"/>
              <w:rPr>
                <w:rFonts w:hint="default" w:ascii="Times New Roman" w:hAnsi="Times New Roman" w:cs="Times New Roman"/>
                <w:color w:val="auto"/>
                <w:kern w:val="0"/>
              </w:rPr>
            </w:pPr>
            <w:r>
              <w:rPr>
                <w:rFonts w:hint="default" w:ascii="Times New Roman" w:hAnsi="Times New Roman" w:cs="Times New Roman"/>
                <w:color w:val="auto"/>
                <w:kern w:val="0"/>
                <w:position w:val="2"/>
              </w:rPr>
              <w:t>＜</w:t>
            </w:r>
            <w:r>
              <w:rPr>
                <w:rFonts w:hint="default" w:ascii="Times New Roman" w:hAnsi="Times New Roman" w:cs="Times New Roman"/>
                <w:color w:val="auto"/>
                <w:kern w:val="0"/>
                <w:position w:val="2"/>
              </w:rPr>
              <w:t>2.0</w:t>
            </w:r>
          </w:p>
        </w:tc>
        <w:tc>
          <w:tcPr>
            <w:tcW w:w="2240" w:type="dxa"/>
            <w:tcBorders>
              <w:top w:val="single" w:color="282828" w:sz="6" w:space="0"/>
              <w:left w:val="nil"/>
              <w:bottom w:val="single" w:color="282828" w:sz="6" w:space="0"/>
              <w:right w:val="single" w:color="282828" w:sz="6" w:space="0"/>
            </w:tcBorders>
            <w:vAlign w:val="center"/>
          </w:tcPr>
          <w:p>
            <w:pPr>
              <w:spacing w:line="270" w:lineRule="exact"/>
              <w:ind w:right="49"/>
              <w:jc w:val="center"/>
              <w:rPr>
                <w:rFonts w:hint="default" w:ascii="Times New Roman" w:hAnsi="Times New Roman" w:cs="Times New Roman"/>
                <w:color w:val="auto"/>
                <w:kern w:val="0"/>
              </w:rPr>
            </w:pPr>
            <w:r>
              <w:rPr>
                <w:rFonts w:hint="default" w:ascii="Times New Roman" w:hAnsi="Times New Roman" w:cs="Times New Roman"/>
                <w:color w:val="auto"/>
                <w:kern w:val="0"/>
                <w:position w:val="-2"/>
              </w:rPr>
              <w:t>很差</w:t>
            </w:r>
          </w:p>
        </w:tc>
      </w:tr>
      <w:tr>
        <w:tblPrEx>
          <w:tblBorders>
            <w:top w:val="single" w:color="282828" w:sz="6" w:space="0"/>
            <w:left w:val="single" w:color="282828" w:sz="6" w:space="0"/>
            <w:bottom w:val="single" w:color="282828" w:sz="6" w:space="0"/>
            <w:right w:val="single" w:color="282828" w:sz="6" w:space="0"/>
            <w:insideH w:val="single" w:color="282828" w:sz="6" w:space="0"/>
            <w:insideV w:val="single" w:color="282828" w:sz="6" w:space="0"/>
          </w:tblBorders>
          <w:tblCellMar>
            <w:top w:w="0" w:type="dxa"/>
            <w:left w:w="0" w:type="dxa"/>
            <w:bottom w:w="0" w:type="dxa"/>
            <w:right w:w="0" w:type="dxa"/>
          </w:tblCellMar>
        </w:tblPrEx>
        <w:trPr>
          <w:trHeight w:val="324" w:hRule="atLeast"/>
          <w:jc w:val="center"/>
        </w:trPr>
        <w:tc>
          <w:tcPr>
            <w:tcW w:w="8328" w:type="dxa"/>
            <w:gridSpan w:val="3"/>
            <w:tcBorders>
              <w:top w:val="single" w:color="282828" w:sz="6" w:space="0"/>
              <w:left w:val="single" w:color="282828" w:sz="6" w:space="0"/>
              <w:bottom w:val="single" w:color="282828" w:sz="6" w:space="0"/>
              <w:right w:val="single" w:color="282828" w:sz="6" w:space="0"/>
            </w:tcBorders>
            <w:vAlign w:val="center"/>
          </w:tcPr>
          <w:p>
            <w:pPr>
              <w:spacing w:line="263" w:lineRule="exact"/>
              <w:ind w:right="-20"/>
              <w:jc w:val="left"/>
              <w:rPr>
                <w:rFonts w:hint="default" w:ascii="Times New Roman" w:hAnsi="Times New Roman" w:cs="Times New Roman"/>
                <w:color w:val="auto"/>
                <w:kern w:val="0"/>
              </w:rPr>
            </w:pPr>
            <w:r>
              <w:rPr>
                <w:rFonts w:hint="default" w:ascii="Times New Roman" w:hAnsi="Times New Roman" w:cs="Times New Roman"/>
                <w:color w:val="auto"/>
                <w:kern w:val="0"/>
                <w:position w:val="-2"/>
              </w:rPr>
              <w:t>将数据</w:t>
            </w:r>
            <w:r>
              <w:rPr>
                <w:rFonts w:hint="default" w:ascii="Times New Roman" w:hAnsi="Times New Roman" w:cs="Times New Roman"/>
                <w:color w:val="auto"/>
                <w:spacing w:val="9"/>
                <w:kern w:val="0"/>
                <w:position w:val="-2"/>
              </w:rPr>
              <w:t>质</w:t>
            </w:r>
            <w:r>
              <w:rPr>
                <w:rFonts w:hint="default" w:ascii="Times New Roman" w:hAnsi="Times New Roman" w:cs="Times New Roman"/>
                <w:color w:val="auto"/>
                <w:spacing w:val="5"/>
                <w:kern w:val="0"/>
                <w:position w:val="-2"/>
              </w:rPr>
              <w:t>量</w:t>
            </w:r>
            <w:r>
              <w:rPr>
                <w:rFonts w:hint="default" w:ascii="Times New Roman" w:hAnsi="Times New Roman" w:cs="Times New Roman"/>
                <w:color w:val="auto"/>
                <w:kern w:val="0"/>
                <w:position w:val="-2"/>
              </w:rPr>
              <w:t>区分成五级，级数越</w:t>
            </w:r>
            <w:r>
              <w:rPr>
                <w:rFonts w:hint="default" w:ascii="Times New Roman" w:hAnsi="Times New Roman" w:cs="Times New Roman"/>
                <w:color w:val="auto"/>
                <w:spacing w:val="-17"/>
                <w:kern w:val="0"/>
                <w:position w:val="-2"/>
              </w:rPr>
              <w:t>小</w:t>
            </w:r>
            <w:r>
              <w:rPr>
                <w:rFonts w:hint="default" w:ascii="Times New Roman" w:hAnsi="Times New Roman" w:cs="Times New Roman"/>
                <w:color w:val="auto"/>
                <w:kern w:val="0"/>
                <w:position w:val="-2"/>
              </w:rPr>
              <w:t>表示其数据</w:t>
            </w:r>
            <w:r>
              <w:rPr>
                <w:rFonts w:hint="default" w:ascii="Times New Roman" w:hAnsi="Times New Roman" w:cs="Times New Roman"/>
                <w:color w:val="auto"/>
                <w:spacing w:val="9"/>
                <w:kern w:val="0"/>
                <w:position w:val="-2"/>
              </w:rPr>
              <w:t>质</w:t>
            </w:r>
            <w:r>
              <w:rPr>
                <w:rFonts w:hint="default" w:ascii="Times New Roman" w:hAnsi="Times New Roman" w:cs="Times New Roman"/>
                <w:color w:val="auto"/>
                <w:spacing w:val="-3"/>
                <w:kern w:val="0"/>
                <w:position w:val="-2"/>
              </w:rPr>
              <w:t>量</w:t>
            </w:r>
            <w:r>
              <w:rPr>
                <w:rFonts w:hint="default" w:ascii="Times New Roman" w:hAnsi="Times New Roman" w:cs="Times New Roman"/>
                <w:color w:val="auto"/>
                <w:kern w:val="0"/>
                <w:position w:val="-2"/>
              </w:rPr>
              <w:t>越佳</w:t>
            </w:r>
          </w:p>
        </w:tc>
      </w:tr>
    </w:tbl>
    <w:p>
      <w:pPr>
        <w:pStyle w:val="23"/>
        <w:widowControl/>
        <w:ind w:firstLine="420"/>
        <w:rPr>
          <w:rFonts w:hint="default" w:ascii="Times New Roman" w:hAnsi="Times New Roman" w:cs="Times New Roman"/>
          <w:color w:val="auto"/>
        </w:rPr>
      </w:pPr>
    </w:p>
    <w:p>
      <w:pPr>
        <w:jc w:val="center"/>
        <w:outlineLvl w:val="1"/>
        <w:rPr>
          <w:rFonts w:hint="default" w:ascii="Times New Roman" w:hAnsi="Times New Roman" w:cs="Times New Roman"/>
          <w:color w:val="auto"/>
          <w:szCs w:val="22"/>
          <w:lang w:bidi="ar"/>
        </w:rPr>
        <w:sectPr>
          <w:footerReference r:id="rId9" w:type="default"/>
          <w:footerReference r:id="rId10" w:type="even"/>
          <w:pgSz w:w="11906" w:h="16838"/>
          <w:pgMar w:top="1440" w:right="1800" w:bottom="1440" w:left="1800" w:header="851" w:footer="992" w:gutter="0"/>
          <w:pgNumType w:start="1"/>
          <w:cols w:space="720" w:num="1"/>
          <w:docGrid w:type="lines" w:linePitch="312" w:charSpace="0"/>
        </w:sectPr>
      </w:pPr>
      <w:r>
        <w:rPr>
          <w:rFonts w:hint="default" w:ascii="Times New Roman" w:hAnsi="Times New Roman" w:cs="Times New Roman"/>
          <w:color w:val="auto"/>
          <w:szCs w:val="22"/>
          <w:lang w:bidi="ar"/>
        </w:rPr>
        <w:br w:type="page"/>
      </w:r>
      <w:bookmarkStart w:id="53" w:name="_Toc6748"/>
      <w:bookmarkStart w:id="54" w:name="_Toc22291"/>
      <w:bookmarkStart w:id="55" w:name="_Toc23051"/>
    </w:p>
    <w:p>
      <w:pPr>
        <w:jc w:val="center"/>
        <w:outlineLvl w:val="1"/>
        <w:rPr>
          <w:rFonts w:hint="default" w:ascii="Times New Roman" w:hAnsi="Times New Roman" w:cs="Times New Roman"/>
          <w:b/>
          <w:bCs/>
          <w:color w:val="auto"/>
          <w:sz w:val="24"/>
          <w:szCs w:val="28"/>
          <w:lang w:bidi="ar"/>
        </w:rPr>
      </w:pPr>
      <w:r>
        <w:rPr>
          <w:rFonts w:hint="default" w:ascii="Times New Roman" w:hAnsi="Times New Roman" w:cs="Times New Roman"/>
          <w:b/>
          <w:bCs/>
          <w:color w:val="auto"/>
          <w:sz w:val="24"/>
          <w:szCs w:val="28"/>
          <w:lang w:bidi="ar"/>
        </w:rPr>
        <w:t>附录A</w:t>
      </w:r>
      <w:bookmarkEnd w:id="53"/>
      <w:bookmarkEnd w:id="54"/>
      <w:bookmarkEnd w:id="55"/>
    </w:p>
    <w:p>
      <w:pPr>
        <w:jc w:val="center"/>
        <w:rPr>
          <w:rFonts w:hint="default" w:ascii="Times New Roman" w:hAnsi="Times New Roman" w:cs="Times New Roman"/>
          <w:b/>
          <w:bCs/>
          <w:color w:val="auto"/>
          <w:sz w:val="32"/>
          <w:szCs w:val="36"/>
          <w:lang w:bidi="ar"/>
        </w:rPr>
      </w:pPr>
      <w:r>
        <w:rPr>
          <w:rFonts w:hint="default" w:ascii="Times New Roman" w:hAnsi="Times New Roman" w:cs="Times New Roman"/>
          <w:color w:val="auto"/>
        </w:rPr>
        <w:t>（资料性）</w:t>
      </w:r>
    </w:p>
    <w:p>
      <w:pPr>
        <w:pStyle w:val="7"/>
        <w:spacing w:before="94"/>
        <w:ind w:left="0"/>
        <w:jc w:val="center"/>
        <w:rPr>
          <w:rFonts w:hint="default" w:ascii="Times New Roman" w:hAnsi="Times New Roman" w:eastAsia="黑体" w:cs="Times New Roman"/>
          <w:color w:val="auto"/>
        </w:rPr>
      </w:pPr>
      <w:r>
        <w:rPr>
          <w:rFonts w:hint="default" w:ascii="Times New Roman" w:hAnsi="Times New Roman" w:eastAsia="黑体" w:cs="Times New Roman"/>
          <w:color w:val="auto"/>
        </w:rPr>
        <w:t>相关参数缺省值及来源说明</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相关参数缺省值</w:t>
      </w:r>
      <w:r>
        <w:rPr>
          <w:rFonts w:hint="default" w:ascii="Times New Roman" w:hAnsi="Times New Roman" w:cs="Times New Roman"/>
          <w:color w:val="auto"/>
        </w:rPr>
        <w:t>选取参考政府主管部门发布官方数据，以主管部门公布的最新数据为准。</w:t>
      </w:r>
    </w:p>
    <w:p>
      <w:pPr>
        <w:pStyle w:val="23"/>
        <w:widowControl/>
        <w:ind w:firstLine="420"/>
        <w:rPr>
          <w:rFonts w:hint="default" w:ascii="Times New Roman" w:hAnsi="Times New Roman" w:cs="Times New Roman"/>
          <w:color w:val="auto"/>
        </w:rPr>
      </w:pPr>
      <w:r>
        <w:rPr>
          <w:rFonts w:hint="default" w:ascii="Times New Roman" w:hAnsi="Times New Roman" w:cs="Times New Roman"/>
          <w:color w:val="auto"/>
        </w:rPr>
        <w:t>注：若园区计算历年数据，相关参数缺省值选取应采用对应年份的缺省值。</w:t>
      </w:r>
    </w:p>
    <w:p>
      <w:pPr>
        <w:pStyle w:val="7"/>
        <w:spacing w:before="94"/>
        <w:ind w:left="0" w:firstLine="420" w:firstLineChars="200"/>
        <w:rPr>
          <w:rFonts w:hint="default" w:ascii="Times New Roman" w:hAnsi="Times New Roman" w:cs="Times New Roman"/>
          <w:color w:val="auto"/>
          <w:sz w:val="18"/>
          <w:szCs w:val="18"/>
        </w:rPr>
      </w:pPr>
      <w:r>
        <w:rPr>
          <w:rFonts w:hint="default" w:ascii="Times New Roman" w:hAnsi="Times New Roman" w:cs="Times New Roman"/>
          <w:color w:val="auto"/>
        </w:rPr>
        <w:t>以下列举部分缺省值来源，</w:t>
      </w:r>
      <w:r>
        <w:rPr>
          <w:rFonts w:hint="default" w:ascii="Times New Roman" w:hAnsi="Times New Roman" w:cs="Times New Roman"/>
          <w:color w:val="auto"/>
        </w:rPr>
        <w:t>凡是不注日期的引用文件，其最新版本（包括所有的修改单）适用于本</w:t>
      </w:r>
      <w:r>
        <w:rPr>
          <w:rFonts w:hint="default" w:ascii="Times New Roman" w:hAnsi="Times New Roman" w:cs="Times New Roman"/>
          <w:color w:val="auto"/>
        </w:rPr>
        <w:t>规范</w:t>
      </w:r>
      <w:r>
        <w:rPr>
          <w:rFonts w:hint="default" w:ascii="Times New Roman" w:hAnsi="Times New Roman" w:cs="Times New Roman"/>
          <w:color w:val="auto"/>
        </w:rPr>
        <w:t>。</w:t>
      </w:r>
    </w:p>
    <w:p>
      <w:pPr>
        <w:pStyle w:val="7"/>
        <w:spacing w:before="94"/>
        <w:ind w:left="0" w:firstLine="420" w:firstLineChars="200"/>
        <w:rPr>
          <w:rFonts w:hint="default" w:ascii="Times New Roman" w:hAnsi="Times New Roman" w:cs="Times New Roman"/>
          <w:color w:val="auto"/>
        </w:rPr>
      </w:pPr>
      <w:r>
        <w:rPr>
          <w:rFonts w:hint="default" w:ascii="Times New Roman" w:hAnsi="Times New Roman" w:cs="Times New Roman"/>
          <w:color w:val="auto"/>
        </w:rPr>
        <w:t>常见化石燃料特性参数缺省值和常见含碳原料、辅料、材料和调出物的含碳量缺省值来源参考</w:t>
      </w:r>
      <w:r>
        <w:rPr>
          <w:rFonts w:hint="default" w:ascii="Times New Roman" w:hAnsi="Times New Roman" w:cs="Times New Roman"/>
          <w:color w:val="auto"/>
        </w:rPr>
        <w:t>GB/T 32151</w:t>
      </w:r>
      <w:r>
        <w:rPr>
          <w:rFonts w:hint="default" w:ascii="Times New Roman" w:hAnsi="Times New Roman" w:cs="Times New Roman"/>
          <w:color w:val="auto"/>
        </w:rPr>
        <w:t>。</w:t>
      </w:r>
    </w:p>
    <w:p>
      <w:pPr>
        <w:pStyle w:val="7"/>
        <w:spacing w:before="94"/>
        <w:ind w:left="0" w:firstLine="420" w:firstLineChars="200"/>
        <w:rPr>
          <w:rFonts w:hint="default" w:ascii="Times New Roman" w:hAnsi="Times New Roman" w:cs="Times New Roman"/>
          <w:color w:val="auto"/>
        </w:rPr>
      </w:pPr>
      <w:r>
        <w:rPr>
          <w:rFonts w:hint="default" w:ascii="Times New Roman" w:hAnsi="Times New Roman" w:cs="Times New Roman"/>
          <w:color w:val="auto"/>
        </w:rPr>
        <w:t>温室气体全球变暖潜势值来源参考IPCC 最新的评估报告。</w:t>
      </w:r>
    </w:p>
    <w:p>
      <w:pPr>
        <w:ind w:firstLine="420" w:firstLineChars="200"/>
        <w:rPr>
          <w:rFonts w:hint="default" w:ascii="Times New Roman" w:hAnsi="Times New Roman" w:cs="Times New Roman"/>
          <w:color w:val="auto"/>
        </w:rPr>
      </w:pPr>
      <w:r>
        <w:rPr>
          <w:rFonts w:hint="default" w:ascii="Times New Roman" w:hAnsi="Times New Roman" w:cs="Times New Roman"/>
          <w:color w:val="auto"/>
          <w:szCs w:val="21"/>
        </w:rPr>
        <w:t>绿</w:t>
      </w:r>
      <w:r>
        <w:rPr>
          <w:rFonts w:hint="default" w:ascii="Times New Roman" w:hAnsi="Times New Roman" w:cs="Times New Roman"/>
          <w:color w:val="auto"/>
          <w:szCs w:val="21"/>
        </w:rPr>
        <w:t>色</w:t>
      </w:r>
      <w:r>
        <w:rPr>
          <w:rFonts w:hint="default" w:ascii="Times New Roman" w:hAnsi="Times New Roman" w:cs="Times New Roman"/>
          <w:color w:val="auto"/>
          <w:szCs w:val="21"/>
        </w:rPr>
        <w:t>电</w:t>
      </w:r>
      <w:r>
        <w:rPr>
          <w:rFonts w:hint="default" w:ascii="Times New Roman" w:hAnsi="Times New Roman" w:cs="Times New Roman"/>
          <w:color w:val="auto"/>
          <w:szCs w:val="21"/>
        </w:rPr>
        <w:t>力的</w:t>
      </w:r>
      <w:r>
        <w:rPr>
          <w:rFonts w:hint="default" w:ascii="Times New Roman" w:hAnsi="Times New Roman" w:cs="Times New Roman"/>
          <w:color w:val="auto"/>
          <w:szCs w:val="21"/>
        </w:rPr>
        <w:t>排放因子</w:t>
      </w:r>
      <w:r>
        <w:rPr>
          <w:rFonts w:hint="default" w:ascii="Times New Roman" w:hAnsi="Times New Roman" w:cs="Times New Roman"/>
          <w:color w:val="auto"/>
          <w:szCs w:val="21"/>
        </w:rPr>
        <w:t>取值为</w:t>
      </w:r>
      <w:r>
        <w:rPr>
          <w:rFonts w:hint="default" w:ascii="Times New Roman" w:hAnsi="Times New Roman" w:cs="Times New Roman"/>
          <w:color w:val="auto"/>
          <w:szCs w:val="21"/>
        </w:rPr>
        <w:t>0，外购的电力、热力排放因子缺省值参见表A.1。</w:t>
      </w:r>
    </w:p>
    <w:p>
      <w:pPr>
        <w:pStyle w:val="7"/>
        <w:spacing w:before="94"/>
        <w:ind w:left="0" w:firstLine="420" w:firstLineChars="200"/>
        <w:jc w:val="center"/>
        <w:rPr>
          <w:rFonts w:hint="default" w:ascii="Times New Roman" w:hAnsi="Times New Roman" w:eastAsia="黑体" w:cs="Times New Roman"/>
          <w:color w:val="auto"/>
        </w:rPr>
      </w:pPr>
      <w:r>
        <w:rPr>
          <w:rFonts w:hint="default" w:ascii="Times New Roman" w:hAnsi="Times New Roman" w:eastAsia="黑体" w:cs="Times New Roman"/>
          <w:color w:val="auto"/>
        </w:rPr>
        <w:t>表</w:t>
      </w:r>
      <w:r>
        <w:rPr>
          <w:rFonts w:hint="default" w:ascii="Times New Roman" w:hAnsi="Times New Roman" w:eastAsia="黑体" w:cs="Times New Roman"/>
          <w:color w:val="auto"/>
        </w:rPr>
        <w:t>A</w:t>
      </w:r>
      <w:r>
        <w:rPr>
          <w:rFonts w:hint="default" w:ascii="Times New Roman" w:hAnsi="Times New Roman" w:eastAsia="黑体" w:cs="Times New Roman"/>
          <w:color w:val="auto"/>
        </w:rPr>
        <w:t>.</w:t>
      </w:r>
      <w:r>
        <w:rPr>
          <w:rFonts w:hint="default" w:ascii="Times New Roman" w:hAnsi="Times New Roman" w:eastAsia="黑体" w:cs="Times New Roman"/>
          <w:color w:val="auto"/>
        </w:rPr>
        <w:t>1</w:t>
      </w:r>
      <w:r>
        <w:rPr>
          <w:rFonts w:hint="default" w:ascii="Times New Roman" w:hAnsi="Times New Roman" w:eastAsia="黑体" w:cs="Times New Roman"/>
          <w:color w:val="auto"/>
        </w:rPr>
        <w:t xml:space="preserve"> </w:t>
      </w:r>
      <w:r>
        <w:rPr>
          <w:rFonts w:hint="default" w:ascii="Times New Roman" w:hAnsi="Times New Roman" w:eastAsia="黑体" w:cs="Times New Roman"/>
          <w:color w:val="auto"/>
        </w:rPr>
        <w:t>外购</w:t>
      </w:r>
      <w:r>
        <w:rPr>
          <w:rFonts w:hint="default" w:ascii="Times New Roman" w:hAnsi="Times New Roman" w:eastAsia="黑体" w:cs="Times New Roman"/>
          <w:color w:val="auto"/>
        </w:rPr>
        <w:t>的电力、热力排放因子</w:t>
      </w:r>
      <w:r>
        <w:rPr>
          <w:rFonts w:hint="default" w:ascii="Times New Roman" w:hAnsi="Times New Roman" w:eastAsia="黑体" w:cs="Times New Roman"/>
          <w:color w:val="auto"/>
        </w:rPr>
        <w:t>缺省值</w:t>
      </w:r>
    </w:p>
    <w:tbl>
      <w:tblPr>
        <w:tblStyle w:val="16"/>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9"/>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94" w:type="pct"/>
            <w:vAlign w:val="center"/>
          </w:tcPr>
          <w:p>
            <w:pPr>
              <w:spacing w:before="87"/>
              <w:ind w:left="89"/>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lang w:eastAsia="en-US"/>
              </w:rPr>
              <w:t>排放种类</w:t>
            </w:r>
          </w:p>
        </w:tc>
        <w:tc>
          <w:tcPr>
            <w:tcW w:w="1802" w:type="pct"/>
            <w:vAlign w:val="center"/>
          </w:tcPr>
          <w:p>
            <w:pPr>
              <w:spacing w:before="87"/>
              <w:ind w:left="89"/>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名称</w:t>
            </w:r>
          </w:p>
        </w:tc>
        <w:tc>
          <w:tcPr>
            <w:tcW w:w="1804" w:type="pct"/>
            <w:vAlign w:val="center"/>
          </w:tcPr>
          <w:p>
            <w:pPr>
              <w:spacing w:before="87"/>
              <w:ind w:left="89"/>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94" w:type="pct"/>
            <w:vMerge w:val="restart"/>
            <w:vAlign w:val="center"/>
          </w:tcPr>
          <w:p>
            <w:pPr>
              <w:spacing w:before="2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外购</w:t>
            </w:r>
            <w:r>
              <w:rPr>
                <w:rFonts w:hint="default" w:ascii="Times New Roman" w:hAnsi="Times New Roman" w:cs="Times New Roman"/>
                <w:color w:val="auto"/>
                <w:sz w:val="18"/>
                <w:szCs w:val="18"/>
              </w:rPr>
              <w:t>的电力、热力对应</w:t>
            </w:r>
          </w:p>
          <w:p>
            <w:pPr>
              <w:spacing w:before="2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的排放</w:t>
            </w:r>
          </w:p>
        </w:tc>
        <w:tc>
          <w:tcPr>
            <w:tcW w:w="1802" w:type="pct"/>
            <w:vAlign w:val="center"/>
          </w:tcPr>
          <w:p>
            <w:pPr>
              <w:spacing w:before="2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电力排放因子</w:t>
            </w:r>
          </w:p>
        </w:tc>
        <w:tc>
          <w:tcPr>
            <w:tcW w:w="1804" w:type="pct"/>
            <w:vAlign w:val="center"/>
          </w:tcPr>
          <w:p>
            <w:pPr>
              <w:spacing w:before="2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4.2tCO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/10</w:t>
            </w:r>
            <w:r>
              <w:rPr>
                <w:rFonts w:hint="default" w:ascii="Times New Roman" w:hAnsi="Times New Roman" w:cs="Times New Roman"/>
                <w:color w:val="auto"/>
                <w:sz w:val="18"/>
                <w:szCs w:val="18"/>
                <w:vertAlign w:val="superscript"/>
              </w:rPr>
              <w:t>4</w:t>
            </w:r>
            <w:r>
              <w:rPr>
                <w:rFonts w:hint="default" w:ascii="Times New Roman" w:hAnsi="Times New Roman" w:cs="Times New Roman"/>
                <w:color w:val="auto"/>
                <w:sz w:val="18"/>
                <w:szCs w:val="18"/>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94" w:type="pct"/>
            <w:vMerge w:val="continue"/>
            <w:vAlign w:val="center"/>
          </w:tcPr>
          <w:p>
            <w:pPr>
              <w:spacing w:before="22"/>
              <w:jc w:val="center"/>
              <w:rPr>
                <w:rFonts w:hint="default" w:ascii="Times New Roman" w:hAnsi="Times New Roman" w:cs="Times New Roman"/>
                <w:color w:val="auto"/>
                <w:sz w:val="18"/>
                <w:szCs w:val="18"/>
              </w:rPr>
            </w:pPr>
          </w:p>
        </w:tc>
        <w:tc>
          <w:tcPr>
            <w:tcW w:w="1802" w:type="pct"/>
            <w:vAlign w:val="center"/>
          </w:tcPr>
          <w:p>
            <w:pPr>
              <w:spacing w:before="2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热力排放因子</w:t>
            </w:r>
          </w:p>
        </w:tc>
        <w:tc>
          <w:tcPr>
            <w:tcW w:w="1804" w:type="pct"/>
            <w:vAlign w:val="center"/>
          </w:tcPr>
          <w:p>
            <w:pPr>
              <w:spacing w:before="2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0.06 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000" w:type="pct"/>
            <w:gridSpan w:val="3"/>
            <w:vAlign w:val="center"/>
          </w:tcPr>
          <w:p>
            <w:pPr>
              <w:ind w:firstLine="360" w:firstLineChars="2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数据取值来源：电力、热力排放因子取值来源为2022年上海市生态环境局发布的《关于调整本市温室气体排放核算指南相关排放因子数值的通知（沪环气〔2022〕34号）》。</w:t>
            </w:r>
          </w:p>
        </w:tc>
      </w:tr>
    </w:tbl>
    <w:p>
      <w:pPr>
        <w:widowControl/>
        <w:jc w:val="left"/>
        <w:rPr>
          <w:rFonts w:hint="default" w:ascii="Times New Roman" w:hAnsi="Times New Roman" w:cs="Times New Roman"/>
          <w:b/>
          <w:bCs/>
          <w:color w:val="auto"/>
          <w:sz w:val="24"/>
          <w:szCs w:val="28"/>
          <w:lang w:bidi="ar"/>
        </w:rPr>
      </w:pPr>
      <w:r>
        <w:rPr>
          <w:rFonts w:hint="default" w:ascii="Times New Roman" w:hAnsi="Times New Roman" w:cs="Times New Roman"/>
          <w:b/>
          <w:bCs/>
          <w:color w:val="auto"/>
          <w:sz w:val="24"/>
          <w:szCs w:val="28"/>
          <w:lang w:bidi="ar"/>
        </w:rPr>
        <w:br w:type="page"/>
      </w:r>
    </w:p>
    <w:p>
      <w:pPr>
        <w:widowControl/>
        <w:jc w:val="center"/>
        <w:outlineLvl w:val="1"/>
        <w:rPr>
          <w:rFonts w:hint="default" w:ascii="Times New Roman" w:hAnsi="Times New Roman" w:cs="Times New Roman"/>
          <w:b/>
          <w:bCs/>
          <w:color w:val="auto"/>
          <w:sz w:val="24"/>
          <w:szCs w:val="28"/>
          <w:lang w:bidi="ar"/>
        </w:rPr>
      </w:pPr>
      <w:bookmarkStart w:id="56" w:name="_Toc27691"/>
      <w:bookmarkStart w:id="57" w:name="_Toc27762"/>
      <w:bookmarkStart w:id="58" w:name="_Toc8211"/>
      <w:r>
        <w:rPr>
          <w:rFonts w:hint="default" w:ascii="Times New Roman" w:hAnsi="Times New Roman" w:cs="Times New Roman"/>
          <w:b/>
          <w:bCs/>
          <w:color w:val="auto"/>
          <w:sz w:val="24"/>
          <w:szCs w:val="28"/>
          <w:lang w:bidi="ar"/>
        </w:rPr>
        <w:t>附录B</w:t>
      </w:r>
      <w:bookmarkEnd w:id="56"/>
      <w:bookmarkEnd w:id="57"/>
      <w:bookmarkEnd w:id="58"/>
    </w:p>
    <w:p>
      <w:pPr>
        <w:jc w:val="center"/>
        <w:rPr>
          <w:rFonts w:hint="default" w:ascii="Times New Roman" w:hAnsi="Times New Roman" w:cs="Times New Roman"/>
          <w:b/>
          <w:bCs/>
          <w:color w:val="auto"/>
          <w:sz w:val="32"/>
          <w:szCs w:val="36"/>
          <w:lang w:bidi="ar"/>
        </w:rPr>
      </w:pPr>
      <w:r>
        <w:rPr>
          <w:rFonts w:hint="default" w:ascii="Times New Roman" w:hAnsi="Times New Roman" w:cs="Times New Roman"/>
          <w:color w:val="auto"/>
        </w:rPr>
        <w:t>（资料性）</w:t>
      </w:r>
    </w:p>
    <w:p>
      <w:pPr>
        <w:pStyle w:val="7"/>
        <w:spacing w:before="94"/>
        <w:ind w:left="0"/>
        <w:jc w:val="center"/>
        <w:rPr>
          <w:rFonts w:hint="default" w:ascii="Times New Roman" w:hAnsi="Times New Roman" w:eastAsia="黑体" w:cs="Times New Roman"/>
          <w:color w:val="auto"/>
        </w:rPr>
      </w:pPr>
      <w:r>
        <w:rPr>
          <w:rFonts w:hint="default" w:ascii="Times New Roman" w:hAnsi="Times New Roman" w:eastAsia="黑体" w:cs="Times New Roman"/>
          <w:color w:val="auto"/>
        </w:rPr>
        <w:t>报告格式</w:t>
      </w:r>
    </w:p>
    <w:p>
      <w:pPr>
        <w:widowControl/>
        <w:spacing w:before="312" w:beforeLines="100" w:after="312" w:afterLines="100"/>
        <w:jc w:val="center"/>
        <w:rPr>
          <w:rFonts w:hint="default" w:ascii="Times New Roman" w:hAnsi="Times New Roman" w:eastAsia="黑体" w:cs="Times New Roman"/>
          <w:b/>
          <w:bCs/>
          <w:color w:val="auto"/>
          <w:kern w:val="0"/>
          <w:sz w:val="36"/>
          <w:szCs w:val="36"/>
        </w:rPr>
      </w:pPr>
    </w:p>
    <w:p>
      <w:pPr>
        <w:widowControl/>
        <w:spacing w:before="312" w:beforeLines="100" w:after="312" w:afterLines="100"/>
        <w:jc w:val="center"/>
        <w:rPr>
          <w:rFonts w:hint="default" w:ascii="Times New Roman" w:hAnsi="Times New Roman" w:eastAsia="黑体" w:cs="Times New Roman"/>
          <w:b/>
          <w:bCs/>
          <w:color w:val="auto"/>
          <w:kern w:val="0"/>
          <w:sz w:val="36"/>
          <w:szCs w:val="36"/>
        </w:rPr>
      </w:pPr>
      <w:r>
        <w:rPr>
          <w:rFonts w:hint="default" w:ascii="Times New Roman" w:hAnsi="Times New Roman" w:eastAsia="黑体" w:cs="Times New Roman"/>
          <w:b/>
          <w:bCs/>
          <w:color w:val="auto"/>
          <w:kern w:val="0"/>
          <w:sz w:val="36"/>
          <w:szCs w:val="36"/>
        </w:rPr>
        <w:t>产业园区二氧化碳排放报告</w:t>
      </w:r>
    </w:p>
    <w:p>
      <w:pPr>
        <w:widowControl/>
        <w:jc w:val="center"/>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left"/>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pPr>
        <w:widowControl/>
        <w:jc w:val="left"/>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产业园区（盖章）：</w:t>
      </w:r>
    </w:p>
    <w:p>
      <w:pPr>
        <w:widowControl/>
        <w:jc w:val="left"/>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报告年度：</w:t>
      </w:r>
    </w:p>
    <w:p>
      <w:pPr>
        <w:widowControl/>
        <w:jc w:val="left"/>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编制日期：      年    月</w:t>
      </w:r>
    </w:p>
    <w:p>
      <w:pPr>
        <w:widowControl/>
        <w:ind w:firstLine="560" w:firstLineChars="200"/>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本产业园区核算了</w:t>
      </w:r>
      <w:r>
        <w:rPr>
          <w:rFonts w:hint="default" w:ascii="Times New Roman" w:hAnsi="Times New Roman" w:cs="Times New Roman"/>
          <w:color w:val="auto"/>
          <w:kern w:val="0"/>
          <w:sz w:val="28"/>
          <w:szCs w:val="28"/>
          <w:u w:val="single"/>
          <w:lang w:bidi="ar"/>
        </w:rPr>
        <w:t xml:space="preserve"> </w:t>
      </w:r>
      <w:r>
        <w:rPr>
          <w:rFonts w:hint="default" w:ascii="Times New Roman" w:hAnsi="Times New Roman" w:cs="Times New Roman"/>
          <w:color w:val="auto"/>
          <w:kern w:val="0"/>
          <w:sz w:val="28"/>
          <w:szCs w:val="28"/>
          <w:u w:val="single"/>
          <w:lang w:bidi="ar"/>
        </w:rPr>
        <w:t xml:space="preserve">      </w:t>
      </w:r>
      <w:r>
        <w:rPr>
          <w:rFonts w:hint="default" w:ascii="Times New Roman" w:hAnsi="Times New Roman" w:cs="Times New Roman"/>
          <w:color w:val="auto"/>
          <w:kern w:val="0"/>
          <w:sz w:val="28"/>
          <w:szCs w:val="28"/>
          <w:lang w:bidi="ar"/>
        </w:rPr>
        <w:t>年度二氧化碳排放量，并填写了相关数据表格。现将有关情况报告如下：</w:t>
      </w:r>
    </w:p>
    <w:p>
      <w:pPr>
        <w:widowControl/>
        <w:numPr>
          <w:ilvl w:val="0"/>
          <w:numId w:val="6"/>
        </w:numPr>
        <w:spacing w:before="156" w:beforeLines="50" w:after="156" w:afterLines="50"/>
        <w:jc w:val="left"/>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产业园区基本情况</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（一）园区信息</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应包括园区名称、报告年度、报告范围、核算联系人信息等。</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（二）产业结构</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（三）主要排放源</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（四）主要排放温室气体种类</w:t>
      </w:r>
    </w:p>
    <w:p>
      <w:pPr>
        <w:widowControl/>
        <w:numPr>
          <w:ilvl w:val="0"/>
          <w:numId w:val="6"/>
        </w:numPr>
        <w:spacing w:before="156" w:beforeLines="50" w:after="156" w:afterLines="50"/>
        <w:jc w:val="left"/>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活动数据及来源说明</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（一）化石燃料燃烧活动数据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包括不同燃烧源不同品种燃料的消耗量和相应的低位发热量。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（二）能源加工转换活动数据</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（三） 调入调出电力、调入调出热力数据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调入和调出的电量、热量等。</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（四）工业过程活动数据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过程排放的相关数据。</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（五）废弃物处理活动数据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固体废弃物、废水处理环节相关数据。</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（六）逸散排放活动数据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各类逸散排放源相关数据。</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（七）碳汇数据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CCER</w:t>
      </w:r>
      <w:r>
        <w:rPr>
          <w:rFonts w:hint="default" w:ascii="Times New Roman" w:hAnsi="Times New Roman" w:cs="Times New Roman"/>
          <w:color w:val="auto"/>
          <w:kern w:val="0"/>
          <w:sz w:val="28"/>
          <w:szCs w:val="28"/>
          <w:lang w:bidi="ar"/>
        </w:rPr>
        <w:t>、碳交易、</w:t>
      </w:r>
      <w:r>
        <w:rPr>
          <w:rFonts w:hint="default" w:ascii="Times New Roman" w:hAnsi="Times New Roman" w:cs="Times New Roman"/>
          <w:color w:val="auto"/>
          <w:kern w:val="0"/>
          <w:sz w:val="28"/>
          <w:szCs w:val="28"/>
          <w:lang w:bidi="ar"/>
        </w:rPr>
        <w:t>CCUS</w:t>
      </w:r>
      <w:r>
        <w:rPr>
          <w:rFonts w:hint="default" w:ascii="Times New Roman" w:hAnsi="Times New Roman" w:cs="Times New Roman"/>
          <w:color w:val="auto"/>
          <w:kern w:val="0"/>
          <w:sz w:val="28"/>
          <w:szCs w:val="28"/>
          <w:lang w:bidi="ar"/>
        </w:rPr>
        <w:t>、绿地等碳汇相关数据。</w:t>
      </w:r>
    </w:p>
    <w:p>
      <w:pPr>
        <w:widowControl/>
        <w:numPr>
          <w:ilvl w:val="0"/>
          <w:numId w:val="6"/>
        </w:numPr>
        <w:spacing w:before="156" w:beforeLines="50" w:after="156" w:afterLines="50"/>
        <w:jc w:val="left"/>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排放因子数据及来源说明</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（一）化石燃料燃烧排放因子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包括消耗的各种燃料的排放因子。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（二）电力和热力排放因子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电力和热力排放因子。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（三）工业生产过程排放因子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工业生产过程排放中各产品或原料温室气体排放因子。</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（四）废弃物处理环节温室气体排放因子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固废、废水处理环节涉及的排放因子。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（五）温室气体逸散排放因子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（六）碳汇因子 </w:t>
      </w:r>
    </w:p>
    <w:p>
      <w:pPr>
        <w:widowControl/>
        <w:numPr>
          <w:ilvl w:val="0"/>
          <w:numId w:val="6"/>
        </w:numPr>
        <w:spacing w:before="156" w:beforeLines="50" w:after="156" w:afterLines="50"/>
        <w:jc w:val="left"/>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温室气体排放情况</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（一）温室气体排放总量及气体构成 </w:t>
      </w:r>
    </w:p>
    <w:p>
      <w:pPr>
        <w:jc w:val="center"/>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应报告在核算周期内温室气体排放总量和各温室气体构成。</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 xml:space="preserve">（二）各领域温室气体排放结构 </w:t>
      </w:r>
    </w:p>
    <w:p>
      <w:pPr>
        <w:widowControl/>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分别报告能源活动排放量、工业生产过程排放量、废弃物处理排放量、逸散排放量、碳</w:t>
      </w:r>
      <w:bookmarkStart w:id="60" w:name="_GoBack"/>
      <w:bookmarkEnd w:id="60"/>
      <w:r>
        <w:rPr>
          <w:rFonts w:hint="default" w:ascii="Times New Roman" w:hAnsi="Times New Roman" w:cs="Times New Roman"/>
          <w:color w:val="auto"/>
          <w:kern w:val="0"/>
          <w:sz w:val="28"/>
          <w:szCs w:val="28"/>
          <w:lang w:bidi="ar"/>
        </w:rPr>
        <w:t>汇削减量。</w:t>
      </w:r>
    </w:p>
    <w:p>
      <w:pPr>
        <w:widowControl/>
        <w:jc w:val="left"/>
        <w:rPr>
          <w:rFonts w:hint="default" w:ascii="Times New Roman" w:hAnsi="Times New Roman" w:cs="Times New Roman"/>
          <w:color w:val="auto"/>
          <w:kern w:val="0"/>
          <w:sz w:val="28"/>
          <w:szCs w:val="28"/>
          <w:lang w:bidi="ar"/>
        </w:rPr>
      </w:pPr>
    </w:p>
    <w:p>
      <w:pPr>
        <w:widowControl/>
        <w:jc w:val="left"/>
        <w:rPr>
          <w:rFonts w:hint="default" w:ascii="Times New Roman" w:hAnsi="Times New Roman" w:cs="Times New Roman"/>
          <w:color w:val="auto"/>
          <w:kern w:val="0"/>
          <w:sz w:val="28"/>
          <w:szCs w:val="28"/>
          <w:lang w:bidi="ar"/>
        </w:rPr>
      </w:pPr>
    </w:p>
    <w:p>
      <w:pPr>
        <w:widowControl/>
        <w:jc w:val="left"/>
        <w:rPr>
          <w:rFonts w:hint="default" w:ascii="Times New Roman" w:hAnsi="Times New Roman" w:cs="Times New Roman"/>
          <w:color w:val="auto"/>
          <w:kern w:val="0"/>
          <w:sz w:val="28"/>
          <w:szCs w:val="28"/>
          <w:lang w:bidi="ar"/>
        </w:rPr>
      </w:pPr>
    </w:p>
    <w:p>
      <w:pPr>
        <w:widowControl/>
        <w:numPr>
          <w:ilvl w:val="0"/>
          <w:numId w:val="6"/>
        </w:numPr>
        <w:spacing w:before="156" w:beforeLines="50" w:after="156" w:afterLines="50"/>
        <w:jc w:val="left"/>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报告信息项</w:t>
      </w:r>
    </w:p>
    <w:p>
      <w:pPr>
        <w:ind w:firstLine="560" w:firstLineChars="200"/>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园区内使用生物质燃料、绿电和绿证消费、能源梯级利用、可再生能源使用比例、余热回收率、废弃物上下游利用、废弃物循环利用率、</w:t>
      </w:r>
      <w:r>
        <w:rPr>
          <w:rFonts w:hint="default" w:ascii="Times New Roman" w:hAnsi="Times New Roman" w:cs="Times New Roman"/>
          <w:color w:val="auto"/>
          <w:kern w:val="0"/>
          <w:sz w:val="28"/>
          <w:szCs w:val="28"/>
          <w:lang w:bidi="ar"/>
        </w:rPr>
        <w:t>CCER</w:t>
      </w:r>
      <w:r>
        <w:rPr>
          <w:rFonts w:hint="default" w:ascii="Times New Roman" w:hAnsi="Times New Roman" w:cs="Times New Roman"/>
          <w:color w:val="auto"/>
          <w:kern w:val="0"/>
          <w:sz w:val="28"/>
          <w:szCs w:val="28"/>
          <w:lang w:bidi="ar"/>
        </w:rPr>
        <w:t>、碳交易、</w:t>
      </w:r>
      <w:r>
        <w:rPr>
          <w:rFonts w:hint="default" w:ascii="Times New Roman" w:hAnsi="Times New Roman" w:cs="Times New Roman"/>
          <w:color w:val="auto"/>
          <w:kern w:val="0"/>
          <w:sz w:val="28"/>
          <w:szCs w:val="28"/>
          <w:lang w:bidi="ar"/>
        </w:rPr>
        <w:t>CCUS</w:t>
      </w:r>
      <w:r>
        <w:rPr>
          <w:rFonts w:hint="default" w:ascii="Times New Roman" w:hAnsi="Times New Roman" w:cs="Times New Roman"/>
          <w:color w:val="auto"/>
          <w:kern w:val="0"/>
          <w:sz w:val="28"/>
          <w:szCs w:val="28"/>
          <w:lang w:bidi="ar"/>
        </w:rPr>
        <w:t>、处置的废弃物来源等情况。</w:t>
      </w:r>
    </w:p>
    <w:p>
      <w:pPr>
        <w:widowControl/>
        <w:numPr>
          <w:ilvl w:val="0"/>
          <w:numId w:val="6"/>
        </w:numPr>
        <w:spacing w:before="156" w:beforeLines="50" w:after="156" w:afterLines="50"/>
        <w:jc w:val="left"/>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数据质量评价</w:t>
      </w:r>
    </w:p>
    <w:p>
      <w:pPr>
        <w:widowControl/>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36"/>
        </w:rPr>
        <w:t>数据质量分级：一级；二级；三级；四级；五级。</w:t>
      </w:r>
    </w:p>
    <w:p>
      <w:pPr>
        <w:widowControl/>
        <w:jc w:val="left"/>
        <w:rPr>
          <w:rFonts w:hint="default" w:ascii="Times New Roman" w:hAnsi="Times New Roman" w:eastAsia="黑体" w:cs="Times New Roman"/>
          <w:color w:val="auto"/>
        </w:rPr>
      </w:pPr>
      <w:r>
        <w:rPr>
          <w:rFonts w:hint="default" w:ascii="Times New Roman" w:hAnsi="Times New Roman" w:eastAsia="黑体" w:cs="Times New Roman"/>
          <w:color w:val="auto"/>
        </w:rPr>
        <w:br w:type="page"/>
      </w:r>
    </w:p>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 xml:space="preserve">B.1 </w:t>
      </w:r>
      <w:r>
        <w:rPr>
          <w:rFonts w:hint="default" w:ascii="Times New Roman" w:hAnsi="Times New Roman" w:eastAsia="黑体" w:cs="Times New Roman"/>
          <w:color w:val="auto"/>
        </w:rPr>
        <w:t>报告主体</w:t>
      </w:r>
      <w:r>
        <w:rPr>
          <w:rFonts w:hint="default" w:ascii="Times New Roman" w:hAnsi="Times New Roman" w:eastAsia="黑体" w:cs="Times New Roman"/>
          <w:color w:val="auto"/>
          <w:u w:val="single"/>
        </w:rPr>
        <w:t xml:space="preserve"> </w:t>
      </w:r>
      <w:r>
        <w:rPr>
          <w:rFonts w:hint="default" w:ascii="Times New Roman" w:hAnsi="Times New Roman" w:eastAsia="黑体" w:cs="Times New Roman"/>
          <w:color w:val="auto"/>
          <w:u w:val="single"/>
        </w:rPr>
        <w:t xml:space="preserve">     </w:t>
      </w:r>
      <w:r>
        <w:rPr>
          <w:rFonts w:hint="default" w:ascii="Times New Roman" w:hAnsi="Times New Roman" w:eastAsia="黑体" w:cs="Times New Roman"/>
          <w:color w:val="auto"/>
        </w:rPr>
        <w:t>年二氧化碳排放量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596"/>
        <w:gridCol w:w="2538"/>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9" w:type="dxa"/>
            <w:gridSpan w:val="3"/>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b/>
                <w:bCs/>
                <w:color w:val="auto"/>
                <w:szCs w:val="21"/>
              </w:rPr>
              <w:t>产业园区二氧化碳当量排放总量（</w:t>
            </w:r>
            <w:r>
              <w:rPr>
                <w:rFonts w:hint="default" w:ascii="Times New Roman" w:hAnsi="Times New Roman" w:cs="Times New Roman"/>
                <w:b/>
                <w:bCs/>
                <w:color w:val="auto"/>
                <w:szCs w:val="21"/>
              </w:rPr>
              <w:t>tCO</w:t>
            </w:r>
            <w:r>
              <w:rPr>
                <w:rFonts w:hint="default" w:ascii="Times New Roman" w:hAnsi="Times New Roman" w:cs="Times New Roman"/>
                <w:b/>
                <w:bCs/>
                <w:color w:val="auto"/>
                <w:szCs w:val="21"/>
                <w:vertAlign w:val="subscript"/>
              </w:rPr>
              <w:t>2</w:t>
            </w:r>
            <w:r>
              <w:rPr>
                <w:rFonts w:hint="default" w:ascii="Times New Roman" w:hAnsi="Times New Roman" w:cs="Times New Roman"/>
                <w:b/>
                <w:bCs/>
                <w:color w:val="auto"/>
                <w:szCs w:val="21"/>
              </w:rPr>
              <w:t>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9" w:type="dxa"/>
            <w:gridSpan w:val="3"/>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单位产值碳排放量（</w:t>
            </w:r>
            <w:r>
              <w:rPr>
                <w:rFonts w:hint="default" w:ascii="Times New Roman" w:hAnsi="Times New Roman" w:cs="Times New Roman"/>
                <w:b/>
                <w:bCs/>
                <w:color w:val="auto"/>
                <w:szCs w:val="21"/>
              </w:rPr>
              <w:t>tCO</w:t>
            </w:r>
            <w:r>
              <w:rPr>
                <w:rFonts w:hint="default" w:ascii="Times New Roman" w:hAnsi="Times New Roman" w:cs="Times New Roman"/>
                <w:b/>
                <w:bCs/>
                <w:color w:val="auto"/>
                <w:szCs w:val="21"/>
                <w:vertAlign w:val="subscript"/>
              </w:rPr>
              <w:t>2</w:t>
            </w:r>
            <w:r>
              <w:rPr>
                <w:rFonts w:hint="default" w:ascii="Times New Roman" w:hAnsi="Times New Roman" w:cs="Times New Roman"/>
                <w:b/>
                <w:bCs/>
                <w:color w:val="auto"/>
                <w:szCs w:val="21"/>
              </w:rPr>
              <w:t>e/万元）</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9" w:type="dxa"/>
            <w:gridSpan w:val="3"/>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单位能耗碳排放量（</w:t>
            </w:r>
            <w:r>
              <w:rPr>
                <w:rFonts w:hint="default" w:ascii="Times New Roman" w:hAnsi="Times New Roman" w:cs="Times New Roman"/>
                <w:b/>
                <w:bCs/>
                <w:color w:val="auto"/>
                <w:szCs w:val="21"/>
              </w:rPr>
              <w:t>tCO</w:t>
            </w:r>
            <w:r>
              <w:rPr>
                <w:rFonts w:hint="default" w:ascii="Times New Roman" w:hAnsi="Times New Roman" w:cs="Times New Roman"/>
                <w:b/>
                <w:bCs/>
                <w:color w:val="auto"/>
                <w:szCs w:val="21"/>
                <w:vertAlign w:val="subscript"/>
              </w:rPr>
              <w:t>2</w:t>
            </w:r>
            <w:r>
              <w:rPr>
                <w:rFonts w:hint="default" w:ascii="Times New Roman" w:hAnsi="Times New Roman" w:cs="Times New Roman"/>
                <w:b/>
                <w:bCs/>
                <w:color w:val="auto"/>
                <w:szCs w:val="21"/>
              </w:rPr>
              <w:t>e/tce）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25" w:type="dxa"/>
            <w:vMerge w:val="restart"/>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能源活动排放量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1596" w:type="dxa"/>
            <w:vMerge w:val="restart"/>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燃料燃烧排放量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538" w:type="dxa"/>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固定燃烧源排放量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vAlign w:val="center"/>
          </w:tcPr>
          <w:p>
            <w:pPr>
              <w:rPr>
                <w:rFonts w:hint="default" w:ascii="Times New Roman" w:hAnsi="Times New Roman" w:cs="Times New Roman"/>
                <w:color w:val="auto"/>
                <w:sz w:val="18"/>
                <w:szCs w:val="18"/>
              </w:rPr>
            </w:pPr>
          </w:p>
        </w:tc>
        <w:tc>
          <w:tcPr>
            <w:tcW w:w="1596" w:type="dxa"/>
            <w:vMerge w:val="continue"/>
            <w:vAlign w:val="center"/>
          </w:tcPr>
          <w:p>
            <w:pPr>
              <w:jc w:val="center"/>
              <w:rPr>
                <w:rFonts w:hint="default" w:ascii="Times New Roman" w:hAnsi="Times New Roman" w:cs="Times New Roman"/>
                <w:color w:val="auto"/>
                <w:sz w:val="18"/>
                <w:szCs w:val="18"/>
              </w:rPr>
            </w:pPr>
          </w:p>
        </w:tc>
        <w:tc>
          <w:tcPr>
            <w:tcW w:w="2538" w:type="dxa"/>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移动燃烧源排放量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vAlign w:val="center"/>
          </w:tcPr>
          <w:p>
            <w:pPr>
              <w:rPr>
                <w:rFonts w:hint="default" w:ascii="Times New Roman" w:hAnsi="Times New Roman" w:cs="Times New Roman"/>
                <w:color w:val="auto"/>
                <w:sz w:val="18"/>
                <w:szCs w:val="18"/>
              </w:rPr>
            </w:pPr>
          </w:p>
        </w:tc>
        <w:tc>
          <w:tcPr>
            <w:tcW w:w="4134" w:type="dxa"/>
            <w:gridSpan w:val="2"/>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能源加工转换过程中产生的碳排放</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vAlign w:val="center"/>
          </w:tcPr>
          <w:p>
            <w:pPr>
              <w:rPr>
                <w:rFonts w:hint="default" w:ascii="Times New Roman" w:hAnsi="Times New Roman" w:cs="Times New Roman"/>
                <w:color w:val="auto"/>
                <w:sz w:val="18"/>
                <w:szCs w:val="18"/>
              </w:rPr>
            </w:pPr>
          </w:p>
        </w:tc>
        <w:tc>
          <w:tcPr>
            <w:tcW w:w="1596" w:type="dxa"/>
            <w:vMerge w:val="restart"/>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净调入电力热力排放量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538" w:type="dxa"/>
            <w:shd w:val="clear" w:color="auto" w:fill="auto"/>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调入电力排放量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25" w:type="dxa"/>
            <w:vMerge w:val="continue"/>
            <w:vAlign w:val="center"/>
          </w:tcPr>
          <w:p>
            <w:pPr>
              <w:rPr>
                <w:rFonts w:hint="default" w:ascii="Times New Roman" w:hAnsi="Times New Roman" w:cs="Times New Roman"/>
                <w:color w:val="auto"/>
                <w:sz w:val="18"/>
                <w:szCs w:val="18"/>
              </w:rPr>
            </w:pPr>
          </w:p>
        </w:tc>
        <w:tc>
          <w:tcPr>
            <w:tcW w:w="1596" w:type="dxa"/>
            <w:vMerge w:val="continue"/>
            <w:vAlign w:val="center"/>
          </w:tcPr>
          <w:p>
            <w:pPr>
              <w:jc w:val="center"/>
              <w:rPr>
                <w:rFonts w:hint="default" w:ascii="Times New Roman" w:hAnsi="Times New Roman" w:cs="Times New Roman"/>
                <w:color w:val="auto"/>
                <w:sz w:val="18"/>
                <w:szCs w:val="18"/>
              </w:rPr>
            </w:pPr>
          </w:p>
        </w:tc>
        <w:tc>
          <w:tcPr>
            <w:tcW w:w="2538" w:type="dxa"/>
            <w:shd w:val="clear" w:color="auto" w:fill="auto"/>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调出电力排放量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825" w:type="dxa"/>
            <w:vMerge w:val="continue"/>
            <w:vAlign w:val="center"/>
          </w:tcPr>
          <w:p>
            <w:pPr>
              <w:rPr>
                <w:rFonts w:hint="default" w:ascii="Times New Roman" w:hAnsi="Times New Roman" w:cs="Times New Roman"/>
                <w:color w:val="auto"/>
                <w:sz w:val="18"/>
                <w:szCs w:val="18"/>
              </w:rPr>
            </w:pPr>
          </w:p>
        </w:tc>
        <w:tc>
          <w:tcPr>
            <w:tcW w:w="1596" w:type="dxa"/>
            <w:vMerge w:val="continue"/>
            <w:vAlign w:val="center"/>
          </w:tcPr>
          <w:p>
            <w:pPr>
              <w:jc w:val="center"/>
              <w:rPr>
                <w:rFonts w:hint="default" w:ascii="Times New Roman" w:hAnsi="Times New Roman" w:cs="Times New Roman"/>
                <w:color w:val="auto"/>
                <w:sz w:val="18"/>
                <w:szCs w:val="18"/>
              </w:rPr>
            </w:pPr>
          </w:p>
        </w:tc>
        <w:tc>
          <w:tcPr>
            <w:tcW w:w="2538" w:type="dxa"/>
            <w:shd w:val="clear" w:color="auto" w:fill="auto"/>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调入热力排放量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vAlign w:val="center"/>
          </w:tcPr>
          <w:p>
            <w:pPr>
              <w:rPr>
                <w:rFonts w:hint="default" w:ascii="Times New Roman" w:hAnsi="Times New Roman" w:cs="Times New Roman"/>
                <w:color w:val="auto"/>
                <w:sz w:val="18"/>
                <w:szCs w:val="18"/>
              </w:rPr>
            </w:pPr>
          </w:p>
        </w:tc>
        <w:tc>
          <w:tcPr>
            <w:tcW w:w="1596" w:type="dxa"/>
            <w:vMerge w:val="continue"/>
            <w:vAlign w:val="center"/>
          </w:tcPr>
          <w:p>
            <w:pPr>
              <w:jc w:val="center"/>
              <w:rPr>
                <w:rFonts w:hint="default" w:ascii="Times New Roman" w:hAnsi="Times New Roman" w:cs="Times New Roman"/>
                <w:color w:val="auto"/>
                <w:sz w:val="18"/>
                <w:szCs w:val="18"/>
              </w:rPr>
            </w:pPr>
          </w:p>
        </w:tc>
        <w:tc>
          <w:tcPr>
            <w:tcW w:w="2538" w:type="dxa"/>
            <w:shd w:val="clear" w:color="auto" w:fill="auto"/>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调出热力排放量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9" w:type="dxa"/>
            <w:gridSpan w:val="3"/>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工业生产过程排放量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left"/>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restart"/>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废弃物处理排放量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4134" w:type="dxa"/>
            <w:gridSpan w:val="2"/>
            <w:shd w:val="clear" w:color="auto" w:fill="auto"/>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固废处理排放量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vAlign w:val="center"/>
          </w:tcPr>
          <w:p>
            <w:pPr>
              <w:rPr>
                <w:rFonts w:hint="default" w:ascii="Times New Roman" w:hAnsi="Times New Roman" w:cs="Times New Roman"/>
                <w:color w:val="auto"/>
                <w:sz w:val="18"/>
                <w:szCs w:val="18"/>
              </w:rPr>
            </w:pPr>
          </w:p>
        </w:tc>
        <w:tc>
          <w:tcPr>
            <w:tcW w:w="4134" w:type="dxa"/>
            <w:gridSpan w:val="2"/>
            <w:shd w:val="clear" w:color="auto" w:fill="auto"/>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污水处理排放量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9" w:type="dxa"/>
            <w:gridSpan w:val="3"/>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逸散排放量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left"/>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9" w:type="dxa"/>
            <w:gridSpan w:val="3"/>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碳汇削减量</w:t>
            </w: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sz w:val="18"/>
                <w:szCs w:val="18"/>
              </w:rPr>
              <w:t>e）</w:t>
            </w:r>
          </w:p>
        </w:tc>
        <w:tc>
          <w:tcPr>
            <w:tcW w:w="2258" w:type="dxa"/>
            <w:vAlign w:val="center"/>
          </w:tcPr>
          <w:p>
            <w:pPr>
              <w:jc w:val="left"/>
              <w:rPr>
                <w:rFonts w:hint="default" w:ascii="Times New Roman" w:hAnsi="Times New Roman" w:cs="Times New Roman"/>
                <w:color w:val="auto"/>
                <w:sz w:val="18"/>
                <w:szCs w:val="18"/>
              </w:rPr>
            </w:pPr>
          </w:p>
        </w:tc>
      </w:tr>
    </w:tbl>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 xml:space="preserve">B.2 </w:t>
      </w:r>
      <w:r>
        <w:rPr>
          <w:rFonts w:hint="default" w:ascii="Times New Roman" w:hAnsi="Times New Roman" w:eastAsia="黑体" w:cs="Times New Roman"/>
          <w:color w:val="auto"/>
        </w:rPr>
        <w:t>燃料燃烧活动水平数据</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2058"/>
        <w:gridCol w:w="1408"/>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tcBorders>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排放类型</w:t>
            </w:r>
          </w:p>
        </w:tc>
        <w:tc>
          <w:tcPr>
            <w:tcW w:w="2058"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燃料品种</w:t>
            </w:r>
          </w:p>
        </w:tc>
        <w:tc>
          <w:tcPr>
            <w:tcW w:w="1408"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计量单位</w:t>
            </w:r>
          </w:p>
        </w:tc>
        <w:tc>
          <w:tcPr>
            <w:tcW w:w="1417" w:type="dxa"/>
            <w:tcBorders>
              <w:left w:val="single" w:color="auto" w:sz="4" w:space="0"/>
              <w:bottom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净消耗量</w:t>
            </w:r>
          </w:p>
        </w:tc>
        <w:tc>
          <w:tcPr>
            <w:tcW w:w="1276" w:type="dxa"/>
            <w:tcBorders>
              <w:left w:val="single" w:color="auto" w:sz="4" w:space="0"/>
              <w:bottom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vMerge w:val="restart"/>
            <w:tcBorders>
              <w:top w:val="single" w:color="auto" w:sz="4" w:space="0"/>
              <w:right w:val="single" w:color="auto" w:sz="4" w:space="0"/>
            </w:tcBorders>
            <w:vAlign w:val="center"/>
          </w:tcPr>
          <w:p>
            <w:pPr>
              <w:pStyle w:val="57"/>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固定燃烧源排放</w:t>
            </w:r>
          </w:p>
        </w:tc>
        <w:tc>
          <w:tcPr>
            <w:tcW w:w="205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lang w:eastAsia="en-US"/>
              </w:rPr>
              <w:t>无烟煤</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kern w:val="0"/>
              </w:rPr>
              <w:t>t</w:t>
            </w:r>
          </w:p>
        </w:tc>
        <w:tc>
          <w:tcPr>
            <w:tcW w:w="1417"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127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lang w:eastAsia="en-US"/>
              </w:rPr>
              <w:t>烟煤</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kern w:val="0"/>
              </w:rPr>
              <w:t>t</w:t>
            </w:r>
          </w:p>
        </w:tc>
        <w:tc>
          <w:tcPr>
            <w:tcW w:w="1417"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127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lang w:eastAsia="en-US"/>
              </w:rPr>
              <w:t>褐煤</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kern w:val="0"/>
              </w:rPr>
              <w:t>t</w:t>
            </w:r>
          </w:p>
        </w:tc>
        <w:tc>
          <w:tcPr>
            <w:tcW w:w="1417"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127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rPr>
              <w:t>……</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417"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127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lang w:eastAsia="en-US"/>
              </w:rPr>
              <w:t>天然气</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r>
              <w:rPr>
                <w:rFonts w:hint="default" w:ascii="Times New Roman" w:hAnsi="Times New Roman" w:eastAsia="Calibri" w:cs="Times New Roman"/>
                <w:color w:val="auto"/>
                <w:sz w:val="18"/>
                <w:szCs w:val="22"/>
                <w:lang w:eastAsia="en-US"/>
              </w:rPr>
              <w:t>10</w:t>
            </w:r>
            <w:r>
              <w:rPr>
                <w:rFonts w:hint="default" w:ascii="Times New Roman" w:hAnsi="Times New Roman" w:eastAsia="Calibri" w:cs="Times New Roman"/>
                <w:color w:val="auto"/>
                <w:position w:val="8"/>
                <w:sz w:val="12"/>
                <w:szCs w:val="22"/>
                <w:lang w:eastAsia="en-US"/>
              </w:rPr>
              <w:t>4</w:t>
            </w:r>
            <w:r>
              <w:rPr>
                <w:rFonts w:hint="default" w:ascii="Times New Roman" w:hAnsi="Times New Roman" w:eastAsia="Calibri" w:cs="Times New Roman"/>
                <w:color w:val="auto"/>
                <w:sz w:val="18"/>
                <w:szCs w:val="22"/>
                <w:lang w:eastAsia="en-US"/>
              </w:rPr>
              <w:t>Nm</w:t>
            </w:r>
            <w:r>
              <w:rPr>
                <w:rFonts w:hint="default" w:ascii="Times New Roman" w:hAnsi="Times New Roman" w:eastAsia="Calibri" w:cs="Times New Roman"/>
                <w:color w:val="auto"/>
                <w:position w:val="8"/>
                <w:sz w:val="12"/>
                <w:szCs w:val="22"/>
                <w:lang w:eastAsia="en-US"/>
              </w:rPr>
              <w:t>3</w:t>
            </w:r>
          </w:p>
        </w:tc>
        <w:tc>
          <w:tcPr>
            <w:tcW w:w="1417"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127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rPr>
              <w:t>……</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417"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127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vMerge w:val="restart"/>
            <w:tcBorders>
              <w:top w:val="single" w:color="auto" w:sz="4" w:space="0"/>
              <w:right w:val="single" w:color="auto" w:sz="4" w:space="0"/>
            </w:tcBorders>
            <w:vAlign w:val="center"/>
          </w:tcPr>
          <w:p>
            <w:pPr>
              <w:pStyle w:val="57"/>
              <w:rPr>
                <w:rFonts w:hint="default" w:ascii="Times New Roman" w:hAnsi="Times New Roman" w:cs="Times New Roman"/>
                <w:b/>
                <w:bCs/>
                <w:color w:val="auto"/>
                <w:kern w:val="0"/>
              </w:rPr>
            </w:pPr>
            <w:r>
              <w:rPr>
                <w:rFonts w:hint="default" w:ascii="Times New Roman" w:hAnsi="Times New Roman" w:cs="Times New Roman"/>
                <w:b/>
                <w:bCs/>
                <w:color w:val="auto"/>
                <w:sz w:val="18"/>
                <w:szCs w:val="18"/>
              </w:rPr>
              <w:t>移动燃烧源排放</w:t>
            </w:r>
          </w:p>
        </w:tc>
        <w:tc>
          <w:tcPr>
            <w:tcW w:w="205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kern w:val="0"/>
                <w:sz w:val="18"/>
                <w:szCs w:val="18"/>
                <w:lang w:bidi="ar"/>
              </w:rPr>
              <w:t>汽油</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r>
              <w:rPr>
                <w:rFonts w:hint="default" w:ascii="Times New Roman" w:hAnsi="Times New Roman" w:cs="Times New Roman" w:eastAsiaTheme="minorEastAsia"/>
                <w:color w:val="auto"/>
                <w:sz w:val="18"/>
                <w:szCs w:val="22"/>
              </w:rPr>
              <w:t>t</w:t>
            </w:r>
          </w:p>
        </w:tc>
        <w:tc>
          <w:tcPr>
            <w:tcW w:w="1417"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127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vMerge w:val="continue"/>
            <w:tcBorders>
              <w:right w:val="single" w:color="auto" w:sz="4" w:space="0"/>
            </w:tcBorders>
            <w:vAlign w:val="center"/>
          </w:tcPr>
          <w:p>
            <w:pPr>
              <w:widowControl/>
              <w:jc w:val="center"/>
              <w:rPr>
                <w:rFonts w:hint="default" w:ascii="Times New Roman" w:hAnsi="Times New Roman" w:cs="Times New Roman"/>
                <w:color w:val="auto"/>
                <w:kern w:val="0"/>
              </w:rPr>
            </w:pPr>
          </w:p>
        </w:tc>
        <w:tc>
          <w:tcPr>
            <w:tcW w:w="20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kern w:val="0"/>
                <w:sz w:val="18"/>
                <w:szCs w:val="18"/>
                <w:lang w:bidi="ar"/>
              </w:rPr>
              <w:t>柴油</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rPr>
            </w:pPr>
            <w:r>
              <w:rPr>
                <w:rFonts w:hint="default" w:ascii="Times New Roman" w:hAnsi="Times New Roman" w:cs="Times New Roman" w:eastAsiaTheme="minorEastAsia"/>
                <w:color w:val="auto"/>
                <w:sz w:val="18"/>
                <w:szCs w:val="22"/>
              </w:rPr>
              <w:t>t</w:t>
            </w:r>
          </w:p>
        </w:tc>
        <w:tc>
          <w:tcPr>
            <w:tcW w:w="1417"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127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vMerge w:val="continue"/>
            <w:tcBorders>
              <w:right w:val="single" w:color="auto" w:sz="4" w:space="0"/>
            </w:tcBorders>
            <w:vAlign w:val="center"/>
          </w:tcPr>
          <w:p>
            <w:pPr>
              <w:widowControl/>
              <w:jc w:val="center"/>
              <w:rPr>
                <w:rFonts w:hint="default" w:ascii="Times New Roman" w:hAnsi="Times New Roman" w:cs="Times New Roman"/>
                <w:color w:val="auto"/>
                <w:kern w:val="0"/>
              </w:rPr>
            </w:pPr>
          </w:p>
        </w:tc>
        <w:tc>
          <w:tcPr>
            <w:tcW w:w="205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天然气</w:t>
            </w:r>
          </w:p>
        </w:tc>
        <w:tc>
          <w:tcPr>
            <w:tcW w:w="140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eastAsia="Calibri" w:cs="Times New Roman"/>
                <w:color w:val="auto"/>
                <w:sz w:val="18"/>
                <w:szCs w:val="22"/>
                <w:lang w:eastAsia="en-US"/>
              </w:rPr>
              <w:t>10</w:t>
            </w:r>
            <w:r>
              <w:rPr>
                <w:rFonts w:hint="default" w:ascii="Times New Roman" w:hAnsi="Times New Roman" w:eastAsia="Calibri" w:cs="Times New Roman"/>
                <w:color w:val="auto"/>
                <w:position w:val="8"/>
                <w:sz w:val="12"/>
                <w:szCs w:val="22"/>
                <w:lang w:eastAsia="en-US"/>
              </w:rPr>
              <w:t>4</w:t>
            </w:r>
            <w:r>
              <w:rPr>
                <w:rFonts w:hint="default" w:ascii="Times New Roman" w:hAnsi="Times New Roman" w:eastAsia="Calibri" w:cs="Times New Roman"/>
                <w:color w:val="auto"/>
                <w:sz w:val="18"/>
                <w:szCs w:val="22"/>
                <w:lang w:eastAsia="en-US"/>
              </w:rPr>
              <w:t>Nm</w:t>
            </w:r>
            <w:r>
              <w:rPr>
                <w:rFonts w:hint="default" w:ascii="Times New Roman" w:hAnsi="Times New Roman" w:eastAsia="Calibri" w:cs="Times New Roman"/>
                <w:color w:val="auto"/>
                <w:position w:val="8"/>
                <w:sz w:val="12"/>
                <w:szCs w:val="22"/>
                <w:lang w:eastAsia="en-US"/>
              </w:rPr>
              <w:t>3</w:t>
            </w:r>
          </w:p>
        </w:tc>
        <w:tc>
          <w:tcPr>
            <w:tcW w:w="1417"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127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58" w:type="dxa"/>
            <w:vMerge w:val="continue"/>
            <w:tcBorders>
              <w:right w:val="single" w:color="auto" w:sz="4" w:space="0"/>
            </w:tcBorders>
            <w:vAlign w:val="center"/>
          </w:tcPr>
          <w:p>
            <w:pPr>
              <w:widowControl/>
              <w:jc w:val="center"/>
              <w:rPr>
                <w:rFonts w:hint="default" w:ascii="Times New Roman" w:hAnsi="Times New Roman" w:cs="Times New Roman"/>
                <w:color w:val="auto"/>
                <w:kern w:val="0"/>
              </w:rPr>
            </w:pPr>
          </w:p>
        </w:tc>
        <w:tc>
          <w:tcPr>
            <w:tcW w:w="205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140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Calibri" w:cs="Times New Roman"/>
                <w:color w:val="auto"/>
                <w:sz w:val="18"/>
                <w:szCs w:val="22"/>
                <w:lang w:eastAsia="en-US"/>
              </w:rPr>
            </w:pPr>
          </w:p>
        </w:tc>
        <w:tc>
          <w:tcPr>
            <w:tcW w:w="1417"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127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bl>
    <w:p>
      <w:pPr>
        <w:rPr>
          <w:rFonts w:hint="default" w:ascii="Times New Roman" w:hAnsi="Times New Roman" w:eastAsia="黑体" w:cs="Times New Roman"/>
          <w:color w:val="auto"/>
        </w:rPr>
      </w:pPr>
      <w:r>
        <w:rPr>
          <w:rFonts w:hint="default" w:ascii="Times New Roman" w:hAnsi="Times New Roman" w:cs="Times New Roman"/>
          <w:color w:val="auto"/>
          <w:szCs w:val="21"/>
        </w:rPr>
        <w:t xml:space="preserve">* </w:t>
      </w:r>
      <w:r>
        <w:rPr>
          <w:rFonts w:hint="default" w:ascii="Times New Roman" w:hAnsi="Times New Roman" w:eastAsia="仿宋" w:cs="Times New Roman"/>
          <w:color w:val="auto"/>
          <w:szCs w:val="21"/>
        </w:rPr>
        <w:t>注：应自行添工业园区实际消耗的燃料品种。</w:t>
      </w:r>
    </w:p>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 xml:space="preserve">B.3 </w:t>
      </w:r>
      <w:r>
        <w:rPr>
          <w:rFonts w:hint="default" w:ascii="Times New Roman" w:hAnsi="Times New Roman" w:eastAsia="黑体" w:cs="Times New Roman"/>
          <w:color w:val="auto"/>
        </w:rPr>
        <w:t>能源加工转换活动水平数据</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909"/>
        <w:gridCol w:w="709"/>
        <w:gridCol w:w="851"/>
        <w:gridCol w:w="850"/>
        <w:gridCol w:w="709"/>
        <w:gridCol w:w="85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3" w:type="dxa"/>
            <w:vMerge w:val="restart"/>
            <w:tcBorders>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排放类型</w:t>
            </w:r>
          </w:p>
        </w:tc>
        <w:tc>
          <w:tcPr>
            <w:tcW w:w="2469" w:type="dxa"/>
            <w:gridSpan w:val="3"/>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szCs w:val="21"/>
                <w:lang w:bidi="ar"/>
              </w:rPr>
              <w:t>投入化石能源</w:t>
            </w:r>
          </w:p>
        </w:tc>
        <w:tc>
          <w:tcPr>
            <w:tcW w:w="2409" w:type="dxa"/>
            <w:gridSpan w:val="3"/>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szCs w:val="21"/>
                <w:lang w:bidi="ar"/>
              </w:rPr>
              <w:t>产出化石能源</w:t>
            </w:r>
          </w:p>
        </w:tc>
        <w:tc>
          <w:tcPr>
            <w:tcW w:w="1696" w:type="dxa"/>
            <w:vMerge w:val="restart"/>
            <w:tcBorders>
              <w:left w:val="single" w:color="auto" w:sz="4" w:space="0"/>
            </w:tcBorders>
            <w:vAlign w:val="center"/>
          </w:tcPr>
          <w:p>
            <w:pPr>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3" w:type="dxa"/>
            <w:vMerge w:val="continue"/>
            <w:tcBorders>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p>
        </w:tc>
        <w:tc>
          <w:tcPr>
            <w:tcW w:w="909"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Cs w:val="21"/>
                <w:lang w:bidi="ar"/>
              </w:rPr>
            </w:pPr>
            <w:r>
              <w:rPr>
                <w:rFonts w:hint="default" w:ascii="Times New Roman" w:hAnsi="Times New Roman" w:cs="Times New Roman"/>
                <w:b/>
                <w:bCs/>
                <w:color w:val="auto"/>
                <w:kern w:val="0"/>
              </w:rPr>
              <w:t>品种</w:t>
            </w:r>
          </w:p>
        </w:tc>
        <w:tc>
          <w:tcPr>
            <w:tcW w:w="709"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计量单位</w:t>
            </w:r>
          </w:p>
        </w:tc>
        <w:tc>
          <w:tcPr>
            <w:tcW w:w="851"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投入量</w:t>
            </w:r>
          </w:p>
        </w:tc>
        <w:tc>
          <w:tcPr>
            <w:tcW w:w="850" w:type="dxa"/>
            <w:tcBorders>
              <w:left w:val="single" w:color="auto" w:sz="4" w:space="0"/>
              <w:bottom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品种</w:t>
            </w:r>
          </w:p>
        </w:tc>
        <w:tc>
          <w:tcPr>
            <w:tcW w:w="709"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计量单位</w:t>
            </w:r>
          </w:p>
        </w:tc>
        <w:tc>
          <w:tcPr>
            <w:tcW w:w="850"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产出量</w:t>
            </w:r>
          </w:p>
        </w:tc>
        <w:tc>
          <w:tcPr>
            <w:tcW w:w="1696" w:type="dxa"/>
            <w:vMerge w:val="continue"/>
            <w:tcBorders>
              <w:left w:val="single" w:color="auto" w:sz="4" w:space="0"/>
              <w:bottom w:val="single" w:color="auto" w:sz="4" w:space="0"/>
            </w:tcBorders>
            <w:vAlign w:val="center"/>
          </w:tcPr>
          <w:p>
            <w:pPr>
              <w:widowControl/>
              <w:jc w:val="center"/>
              <w:rPr>
                <w:rFonts w:hint="default" w:ascii="Times New Roman" w:hAnsi="Times New Roman" w:cs="Times New Roman"/>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3" w:type="dxa"/>
            <w:vMerge w:val="restart"/>
            <w:tcBorders>
              <w:top w:val="single" w:color="auto" w:sz="4" w:space="0"/>
              <w:right w:val="single" w:color="auto" w:sz="4" w:space="0"/>
            </w:tcBorders>
            <w:vAlign w:val="center"/>
          </w:tcPr>
          <w:p>
            <w:pPr>
              <w:pStyle w:val="57"/>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能源加工转换排放</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69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3"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69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3"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69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3"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69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3"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69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3"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69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3" w:type="dxa"/>
            <w:vMerge w:val="continue"/>
            <w:tcBorders>
              <w:right w:val="single" w:color="auto" w:sz="4" w:space="0"/>
            </w:tcBorders>
            <w:vAlign w:val="center"/>
          </w:tcPr>
          <w:p>
            <w:pPr>
              <w:pStyle w:val="57"/>
              <w:rPr>
                <w:rFonts w:hint="default" w:ascii="Times New Roman" w:hAnsi="Times New Roman" w:cs="Times New Roman"/>
                <w:b/>
                <w:bCs/>
                <w:color w:val="auto"/>
                <w:sz w:val="18"/>
                <w:szCs w:val="18"/>
              </w:rPr>
            </w:pP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696"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cs="Times New Roman"/>
                <w:color w:val="auto"/>
                <w:kern w:val="0"/>
              </w:rPr>
            </w:pPr>
          </w:p>
        </w:tc>
      </w:tr>
    </w:tbl>
    <w:p>
      <w:pPr>
        <w:rPr>
          <w:rFonts w:hint="default" w:ascii="Times New Roman" w:hAnsi="Times New Roman" w:eastAsia="黑体" w:cs="Times New Roman"/>
          <w:color w:val="auto"/>
        </w:rPr>
      </w:pPr>
      <w:r>
        <w:rPr>
          <w:rFonts w:hint="default" w:ascii="Times New Roman" w:hAnsi="Times New Roman" w:cs="Times New Roman"/>
          <w:color w:val="auto"/>
          <w:szCs w:val="21"/>
        </w:rPr>
        <w:t xml:space="preserve">* </w:t>
      </w:r>
      <w:r>
        <w:rPr>
          <w:rFonts w:hint="default" w:ascii="Times New Roman" w:hAnsi="Times New Roman" w:eastAsia="仿宋" w:cs="Times New Roman"/>
          <w:color w:val="auto"/>
          <w:szCs w:val="21"/>
        </w:rPr>
        <w:t>注：应自行添工业园区实际加工转换的燃料品种。</w:t>
      </w:r>
    </w:p>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B.4</w:t>
      </w:r>
      <w:r>
        <w:rPr>
          <w:rFonts w:hint="default" w:ascii="Times New Roman" w:hAnsi="Times New Roman" w:eastAsia="黑体" w:cs="Times New Roman"/>
          <w:color w:val="auto"/>
        </w:rPr>
        <w:t>净调入电力、热力活动水平数据</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234"/>
        <w:gridCol w:w="1559"/>
        <w:gridCol w:w="113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排放类型</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调入/出电力、热力</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计量单位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数据</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sz w:val="18"/>
                <w:szCs w:val="18"/>
              </w:rPr>
              <w:t>净调入电力、热力对应的排放</w:t>
            </w:r>
          </w:p>
        </w:tc>
        <w:tc>
          <w:tcPr>
            <w:tcW w:w="2234"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调入的电力</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MWh</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234"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调出的电力</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MWh</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234"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购入的绿色电力</w:t>
            </w:r>
          </w:p>
        </w:tc>
        <w:tc>
          <w:tcPr>
            <w:tcW w:w="1559"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MWh</w:t>
            </w: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234"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自发自用的绿色电力</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MWh</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234"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调入的热力</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GJ</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234"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调入的余热</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GJ</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234"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调出的热力</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GJ</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bl>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 xml:space="preserve">B.5 </w:t>
      </w:r>
      <w:r>
        <w:rPr>
          <w:rFonts w:hint="default" w:ascii="Times New Roman" w:hAnsi="Times New Roman" w:eastAsia="黑体" w:cs="Times New Roman"/>
          <w:color w:val="auto"/>
        </w:rPr>
        <w:t>工业生产过程活动水平数据</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226"/>
        <w:gridCol w:w="1418"/>
        <w:gridCol w:w="70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排放类型</w:t>
            </w:r>
          </w:p>
        </w:tc>
        <w:tc>
          <w:tcPr>
            <w:tcW w:w="3226"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b/>
                <w:bCs/>
                <w:color w:val="auto"/>
                <w:kern w:val="0"/>
              </w:rPr>
            </w:pPr>
            <w:r>
              <w:rPr>
                <w:rFonts w:hint="default" w:ascii="Times New Roman" w:hAnsi="Times New Roman" w:cs="Times New Roman"/>
                <w:b/>
                <w:bCs/>
                <w:color w:val="auto"/>
                <w:kern w:val="0"/>
              </w:rPr>
              <w:t>含碳原料、材料、辅料、调出物</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计量单位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数据</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sz w:val="18"/>
                <w:szCs w:val="18"/>
              </w:rPr>
              <w:t>工业生产过程排放</w:t>
            </w:r>
          </w:p>
        </w:tc>
        <w:tc>
          <w:tcPr>
            <w:tcW w:w="322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lang w:eastAsia="en-US"/>
              </w:rPr>
              <w:t>原料、材料、辅料</w:t>
            </w:r>
            <w:r>
              <w:rPr>
                <w:rFonts w:hint="default" w:ascii="Times New Roman" w:hAnsi="Times New Roman" w:cs="Times New Roman"/>
                <w:color w:val="auto"/>
                <w:sz w:val="18"/>
                <w:szCs w:val="18"/>
              </w:rPr>
              <w:t>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r>
              <w:rPr>
                <w:rFonts w:hint="default" w:ascii="Times New Roman" w:hAnsi="Times New Roman" w:eastAsia="Calibri" w:cs="Times New Roman"/>
                <w:color w:val="auto"/>
                <w:sz w:val="18"/>
                <w:szCs w:val="22"/>
                <w:lang w:eastAsia="en-US"/>
              </w:rPr>
              <w:t>t</w:t>
            </w:r>
            <w:r>
              <w:rPr>
                <w:rFonts w:hint="default" w:ascii="Times New Roman" w:hAnsi="Times New Roman" w:cs="Times New Roman"/>
                <w:color w:val="auto"/>
                <w:kern w:val="0"/>
              </w:rPr>
              <w:t>或</w:t>
            </w:r>
            <w:r>
              <w:rPr>
                <w:rFonts w:hint="default" w:ascii="Times New Roman" w:hAnsi="Times New Roman" w:eastAsia="Calibri" w:cs="Times New Roman"/>
                <w:color w:val="auto"/>
                <w:sz w:val="18"/>
                <w:szCs w:val="22"/>
                <w:lang w:eastAsia="en-US"/>
              </w:rPr>
              <w:t>10</w:t>
            </w:r>
            <w:r>
              <w:rPr>
                <w:rFonts w:hint="default" w:ascii="Times New Roman" w:hAnsi="Times New Roman" w:eastAsia="Calibri" w:cs="Times New Roman"/>
                <w:color w:val="auto"/>
                <w:position w:val="8"/>
                <w:sz w:val="12"/>
                <w:szCs w:val="22"/>
                <w:lang w:eastAsia="en-US"/>
              </w:rPr>
              <w:t>4</w:t>
            </w:r>
            <w:r>
              <w:rPr>
                <w:rFonts w:hint="default" w:ascii="Times New Roman" w:hAnsi="Times New Roman" w:eastAsia="Calibri" w:cs="Times New Roman"/>
                <w:color w:val="auto"/>
                <w:sz w:val="18"/>
                <w:szCs w:val="22"/>
                <w:lang w:eastAsia="en-US"/>
              </w:rPr>
              <w:t>Nm</w:t>
            </w:r>
            <w:r>
              <w:rPr>
                <w:rFonts w:hint="default" w:ascii="Times New Roman" w:hAnsi="Times New Roman" w:eastAsia="Calibri" w:cs="Times New Roman"/>
                <w:color w:val="auto"/>
                <w:position w:val="8"/>
                <w:sz w:val="12"/>
                <w:szCs w:val="22"/>
                <w:lang w:eastAsia="en-US"/>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2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lang w:eastAsia="en-US"/>
              </w:rPr>
              <w:t>原料、材料、辅料</w:t>
            </w:r>
            <w:r>
              <w:rPr>
                <w:rFonts w:hint="default" w:ascii="Times New Roman" w:hAnsi="Times New Roman" w:cs="Times New Roman"/>
                <w:color w:val="auto"/>
                <w:sz w:val="18"/>
                <w:szCs w:val="18"/>
              </w:rPr>
              <w:t>2</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t</w:t>
            </w:r>
            <w:r>
              <w:rPr>
                <w:rFonts w:hint="default" w:ascii="Times New Roman" w:hAnsi="Times New Roman" w:cs="Times New Roman"/>
                <w:color w:val="auto"/>
                <w:kern w:val="0"/>
              </w:rPr>
              <w:t>或</w:t>
            </w:r>
            <w:r>
              <w:rPr>
                <w:rFonts w:hint="default" w:ascii="Times New Roman" w:hAnsi="Times New Roman" w:eastAsia="Calibri" w:cs="Times New Roman"/>
                <w:color w:val="auto"/>
                <w:sz w:val="18"/>
                <w:szCs w:val="22"/>
                <w:lang w:eastAsia="en-US"/>
              </w:rPr>
              <w:t>10</w:t>
            </w:r>
            <w:r>
              <w:rPr>
                <w:rFonts w:hint="default" w:ascii="Times New Roman" w:hAnsi="Times New Roman" w:eastAsia="Calibri" w:cs="Times New Roman"/>
                <w:color w:val="auto"/>
                <w:sz w:val="18"/>
                <w:szCs w:val="22"/>
                <w:vertAlign w:val="superscript"/>
                <w:lang w:eastAsia="en-US"/>
              </w:rPr>
              <w:t>4</w:t>
            </w:r>
            <w:r>
              <w:rPr>
                <w:rFonts w:hint="default" w:ascii="Times New Roman" w:hAnsi="Times New Roman" w:eastAsia="Calibri" w:cs="Times New Roman"/>
                <w:color w:val="auto"/>
                <w:sz w:val="18"/>
                <w:szCs w:val="22"/>
                <w:lang w:eastAsia="en-US"/>
              </w:rPr>
              <w:t>Nm</w:t>
            </w:r>
            <w:r>
              <w:rPr>
                <w:rFonts w:hint="default" w:ascii="Times New Roman" w:hAnsi="Times New Roman" w:eastAsia="Calibri" w:cs="Times New Roman"/>
                <w:color w:val="auto"/>
                <w:sz w:val="18"/>
                <w:szCs w:val="22"/>
                <w:vertAlign w:val="superscript"/>
                <w:lang w:eastAsia="en-US"/>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2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t</w:t>
            </w:r>
            <w:r>
              <w:rPr>
                <w:rFonts w:hint="default" w:ascii="Times New Roman" w:hAnsi="Times New Roman" w:cs="Times New Roman"/>
                <w:color w:val="auto"/>
                <w:kern w:val="0"/>
              </w:rPr>
              <w:t>或</w:t>
            </w:r>
            <w:r>
              <w:rPr>
                <w:rFonts w:hint="default" w:ascii="Times New Roman" w:hAnsi="Times New Roman" w:eastAsia="Calibri" w:cs="Times New Roman"/>
                <w:color w:val="auto"/>
                <w:sz w:val="18"/>
                <w:szCs w:val="22"/>
                <w:lang w:eastAsia="en-US"/>
              </w:rPr>
              <w:t>10</w:t>
            </w:r>
            <w:r>
              <w:rPr>
                <w:rFonts w:hint="default" w:ascii="Times New Roman" w:hAnsi="Times New Roman" w:eastAsia="Calibri" w:cs="Times New Roman"/>
                <w:color w:val="auto"/>
                <w:sz w:val="18"/>
                <w:szCs w:val="22"/>
                <w:vertAlign w:val="superscript"/>
                <w:lang w:eastAsia="en-US"/>
              </w:rPr>
              <w:t>4</w:t>
            </w:r>
            <w:r>
              <w:rPr>
                <w:rFonts w:hint="default" w:ascii="Times New Roman" w:hAnsi="Times New Roman" w:eastAsia="Calibri" w:cs="Times New Roman"/>
                <w:color w:val="auto"/>
                <w:sz w:val="18"/>
                <w:szCs w:val="22"/>
                <w:lang w:eastAsia="en-US"/>
              </w:rPr>
              <w:t>Nm</w:t>
            </w:r>
            <w:r>
              <w:rPr>
                <w:rFonts w:hint="default" w:ascii="Times New Roman" w:hAnsi="Times New Roman" w:eastAsia="Calibri" w:cs="Times New Roman"/>
                <w:color w:val="auto"/>
                <w:sz w:val="18"/>
                <w:szCs w:val="22"/>
                <w:vertAlign w:val="superscript"/>
                <w:lang w:eastAsia="en-US"/>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2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lang w:eastAsia="en-US"/>
              </w:rPr>
              <w:t>调出物</w:t>
            </w:r>
            <w:r>
              <w:rPr>
                <w:rFonts w:hint="default" w:ascii="Times New Roman" w:hAnsi="Times New Roman" w:cs="Times New Roman"/>
                <w:color w:val="auto"/>
                <w:sz w:val="18"/>
                <w:szCs w:val="18"/>
              </w:rPr>
              <w:t>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r>
              <w:rPr>
                <w:rFonts w:hint="default" w:ascii="Times New Roman" w:hAnsi="Times New Roman" w:eastAsia="Calibri" w:cs="Times New Roman"/>
                <w:color w:val="auto"/>
                <w:sz w:val="18"/>
                <w:szCs w:val="22"/>
                <w:lang w:eastAsia="en-US"/>
              </w:rPr>
              <w:t>t</w:t>
            </w:r>
            <w:r>
              <w:rPr>
                <w:rFonts w:hint="default" w:ascii="Times New Roman" w:hAnsi="Times New Roman" w:cs="Times New Roman"/>
                <w:color w:val="auto"/>
                <w:kern w:val="0"/>
              </w:rPr>
              <w:t>或</w:t>
            </w:r>
            <w:r>
              <w:rPr>
                <w:rFonts w:hint="default" w:ascii="Times New Roman" w:hAnsi="Times New Roman" w:eastAsia="Calibri" w:cs="Times New Roman"/>
                <w:color w:val="auto"/>
                <w:sz w:val="18"/>
                <w:szCs w:val="22"/>
                <w:lang w:eastAsia="en-US"/>
              </w:rPr>
              <w:t>10</w:t>
            </w:r>
            <w:r>
              <w:rPr>
                <w:rFonts w:hint="default" w:ascii="Times New Roman" w:hAnsi="Times New Roman" w:eastAsia="Calibri" w:cs="Times New Roman"/>
                <w:color w:val="auto"/>
                <w:position w:val="8"/>
                <w:sz w:val="12"/>
                <w:szCs w:val="22"/>
                <w:lang w:eastAsia="en-US"/>
              </w:rPr>
              <w:t>4</w:t>
            </w:r>
            <w:r>
              <w:rPr>
                <w:rFonts w:hint="default" w:ascii="Times New Roman" w:hAnsi="Times New Roman" w:eastAsia="Calibri" w:cs="Times New Roman"/>
                <w:color w:val="auto"/>
                <w:sz w:val="18"/>
                <w:szCs w:val="22"/>
                <w:lang w:eastAsia="en-US"/>
              </w:rPr>
              <w:t>Nm</w:t>
            </w:r>
            <w:r>
              <w:rPr>
                <w:rFonts w:hint="default" w:ascii="Times New Roman" w:hAnsi="Times New Roman" w:eastAsia="Calibri" w:cs="Times New Roman"/>
                <w:color w:val="auto"/>
                <w:position w:val="8"/>
                <w:sz w:val="12"/>
                <w:szCs w:val="22"/>
                <w:lang w:eastAsia="en-US"/>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2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lang w:eastAsia="en-US"/>
              </w:rPr>
              <w:t>调出物</w:t>
            </w:r>
            <w:r>
              <w:rPr>
                <w:rFonts w:hint="default" w:ascii="Times New Roman" w:hAnsi="Times New Roman" w:cs="Times New Roman"/>
                <w:color w:val="auto"/>
                <w:sz w:val="18"/>
                <w:szCs w:val="18"/>
              </w:rPr>
              <w:t>2</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r>
              <w:rPr>
                <w:rFonts w:hint="default" w:ascii="Times New Roman" w:hAnsi="Times New Roman" w:eastAsia="Calibri" w:cs="Times New Roman"/>
                <w:color w:val="auto"/>
                <w:sz w:val="18"/>
                <w:szCs w:val="22"/>
                <w:lang w:eastAsia="en-US"/>
              </w:rPr>
              <w:t>t</w:t>
            </w:r>
            <w:r>
              <w:rPr>
                <w:rFonts w:hint="default" w:ascii="Times New Roman" w:hAnsi="Times New Roman" w:cs="Times New Roman"/>
                <w:color w:val="auto"/>
                <w:kern w:val="0"/>
              </w:rPr>
              <w:t>或</w:t>
            </w:r>
            <w:r>
              <w:rPr>
                <w:rFonts w:hint="default" w:ascii="Times New Roman" w:hAnsi="Times New Roman" w:eastAsia="Calibri" w:cs="Times New Roman"/>
                <w:color w:val="auto"/>
                <w:sz w:val="18"/>
                <w:szCs w:val="22"/>
                <w:lang w:eastAsia="en-US"/>
              </w:rPr>
              <w:t>10</w:t>
            </w:r>
            <w:r>
              <w:rPr>
                <w:rFonts w:hint="default" w:ascii="Times New Roman" w:hAnsi="Times New Roman" w:eastAsia="Calibri" w:cs="Times New Roman"/>
                <w:color w:val="auto"/>
                <w:position w:val="8"/>
                <w:sz w:val="12"/>
                <w:szCs w:val="22"/>
                <w:lang w:eastAsia="en-US"/>
              </w:rPr>
              <w:t>4</w:t>
            </w:r>
            <w:r>
              <w:rPr>
                <w:rFonts w:hint="default" w:ascii="Times New Roman" w:hAnsi="Times New Roman" w:eastAsia="Calibri" w:cs="Times New Roman"/>
                <w:color w:val="auto"/>
                <w:sz w:val="18"/>
                <w:szCs w:val="22"/>
                <w:lang w:eastAsia="en-US"/>
              </w:rPr>
              <w:t>Nm</w:t>
            </w:r>
            <w:r>
              <w:rPr>
                <w:rFonts w:hint="default" w:ascii="Times New Roman" w:hAnsi="Times New Roman" w:eastAsia="Calibri" w:cs="Times New Roman"/>
                <w:color w:val="auto"/>
                <w:position w:val="8"/>
                <w:sz w:val="12"/>
                <w:szCs w:val="22"/>
                <w:lang w:eastAsia="en-US"/>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2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r>
              <w:rPr>
                <w:rFonts w:hint="default" w:ascii="Times New Roman" w:hAnsi="Times New Roman" w:eastAsia="Calibri" w:cs="Times New Roman"/>
                <w:color w:val="auto"/>
                <w:sz w:val="18"/>
                <w:szCs w:val="22"/>
                <w:lang w:eastAsia="en-US"/>
              </w:rPr>
              <w:t>t</w:t>
            </w:r>
            <w:r>
              <w:rPr>
                <w:rFonts w:hint="default" w:ascii="Times New Roman" w:hAnsi="Times New Roman" w:cs="Times New Roman"/>
                <w:color w:val="auto"/>
                <w:kern w:val="0"/>
              </w:rPr>
              <w:t>或</w:t>
            </w:r>
            <w:r>
              <w:rPr>
                <w:rFonts w:hint="default" w:ascii="Times New Roman" w:hAnsi="Times New Roman" w:eastAsia="Calibri" w:cs="Times New Roman"/>
                <w:color w:val="auto"/>
                <w:sz w:val="18"/>
                <w:szCs w:val="22"/>
                <w:lang w:eastAsia="en-US"/>
              </w:rPr>
              <w:t>10</w:t>
            </w:r>
            <w:r>
              <w:rPr>
                <w:rFonts w:hint="default" w:ascii="Times New Roman" w:hAnsi="Times New Roman" w:eastAsia="Calibri" w:cs="Times New Roman"/>
                <w:color w:val="auto"/>
                <w:position w:val="8"/>
                <w:sz w:val="12"/>
                <w:szCs w:val="22"/>
                <w:lang w:eastAsia="en-US"/>
              </w:rPr>
              <w:t>4</w:t>
            </w:r>
            <w:r>
              <w:rPr>
                <w:rFonts w:hint="default" w:ascii="Times New Roman" w:hAnsi="Times New Roman" w:eastAsia="Calibri" w:cs="Times New Roman"/>
                <w:color w:val="auto"/>
                <w:sz w:val="18"/>
                <w:szCs w:val="22"/>
                <w:lang w:eastAsia="en-US"/>
              </w:rPr>
              <w:t>Nm</w:t>
            </w:r>
            <w:r>
              <w:rPr>
                <w:rFonts w:hint="default" w:ascii="Times New Roman" w:hAnsi="Times New Roman" w:eastAsia="Calibri" w:cs="Times New Roman"/>
                <w:color w:val="auto"/>
                <w:position w:val="8"/>
                <w:sz w:val="12"/>
                <w:szCs w:val="22"/>
                <w:lang w:eastAsia="en-US"/>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bl>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B.6</w:t>
      </w:r>
      <w:r>
        <w:rPr>
          <w:rFonts w:hint="default" w:ascii="Times New Roman" w:hAnsi="Times New Roman" w:eastAsia="黑体" w:cs="Times New Roman"/>
          <w:color w:val="auto"/>
        </w:rPr>
        <w:t>废弃物处理活动水平数据</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18"/>
        <w:gridCol w:w="1701"/>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排放类型</w:t>
            </w:r>
          </w:p>
        </w:tc>
        <w:tc>
          <w:tcPr>
            <w:tcW w:w="2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废弃物处理</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计量单位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数据</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sz w:val="18"/>
                <w:szCs w:val="18"/>
              </w:rPr>
              <w:t>废弃物处理对应的排放</w:t>
            </w:r>
          </w:p>
        </w:tc>
        <w:tc>
          <w:tcPr>
            <w:tcW w:w="25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生活垃圾</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5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工业固废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5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污水处理</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eastAsia="Calibri" w:cs="Times New Roman"/>
                <w:color w:val="auto"/>
                <w:sz w:val="18"/>
                <w:szCs w:val="22"/>
                <w:lang w:eastAsia="en-US"/>
              </w:rPr>
              <w:t>t</w:t>
            </w: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c>
          <w:tcPr>
            <w:tcW w:w="1559"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r>
    </w:tbl>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B.7</w:t>
      </w:r>
      <w:r>
        <w:rPr>
          <w:rFonts w:hint="default" w:ascii="Times New Roman" w:hAnsi="Times New Roman" w:eastAsia="黑体" w:cs="Times New Roman"/>
          <w:color w:val="auto"/>
        </w:rPr>
        <w:t>逸散排放水平数据</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1418"/>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排放类型</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逸散类型</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计量单位</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数据</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sz w:val="18"/>
                <w:szCs w:val="18"/>
              </w:rPr>
              <w:t>逸散排放</w:t>
            </w:r>
          </w:p>
        </w:tc>
        <w:tc>
          <w:tcPr>
            <w:tcW w:w="209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bidi="ar"/>
              </w:rPr>
              <w:t>制冷剂</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09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灭火器</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09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天然气</w:t>
            </w:r>
          </w:p>
        </w:tc>
        <w:tc>
          <w:tcPr>
            <w:tcW w:w="14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Calibri" w:cs="Times New Roman"/>
                <w:color w:val="auto"/>
                <w:sz w:val="18"/>
                <w:szCs w:val="22"/>
              </w:rPr>
            </w:pPr>
          </w:p>
        </w:tc>
        <w:tc>
          <w:tcPr>
            <w:tcW w:w="1417"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09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工业生产过程</w:t>
            </w:r>
          </w:p>
        </w:tc>
        <w:tc>
          <w:tcPr>
            <w:tcW w:w="14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Calibri" w:cs="Times New Roman"/>
                <w:color w:val="auto"/>
                <w:sz w:val="18"/>
                <w:szCs w:val="22"/>
              </w:rPr>
            </w:pPr>
          </w:p>
        </w:tc>
        <w:tc>
          <w:tcPr>
            <w:tcW w:w="1417"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09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废弃物</w:t>
            </w:r>
            <w:r>
              <w:rPr>
                <w:rFonts w:hint="default" w:ascii="Times New Roman" w:hAnsi="Times New Roman" w:cs="Times New Roman"/>
                <w:color w:val="auto"/>
                <w:kern w:val="0"/>
                <w:szCs w:val="21"/>
                <w:lang w:bidi="ar"/>
              </w:rPr>
              <w:t>处理</w:t>
            </w:r>
          </w:p>
        </w:tc>
        <w:tc>
          <w:tcPr>
            <w:tcW w:w="14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Calibri" w:cs="Times New Roman"/>
                <w:color w:val="auto"/>
                <w:sz w:val="18"/>
                <w:szCs w:val="22"/>
              </w:rPr>
            </w:pPr>
          </w:p>
        </w:tc>
        <w:tc>
          <w:tcPr>
            <w:tcW w:w="1417"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05"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09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szCs w:val="21"/>
                <w:lang w:bidi="ar"/>
              </w:rPr>
            </w:pPr>
            <w:r>
              <w:rPr>
                <w:rFonts w:hint="default" w:ascii="Times New Roman" w:hAnsi="Times New Roman" w:cs="Times New Roman"/>
                <w:color w:val="auto"/>
                <w:sz w:val="18"/>
                <w:szCs w:val="18"/>
              </w:rPr>
              <w:t>……</w:t>
            </w:r>
          </w:p>
        </w:tc>
        <w:tc>
          <w:tcPr>
            <w:tcW w:w="14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Calibri" w:cs="Times New Roman"/>
                <w:color w:val="auto"/>
                <w:sz w:val="18"/>
                <w:szCs w:val="22"/>
              </w:rPr>
            </w:pPr>
          </w:p>
        </w:tc>
        <w:tc>
          <w:tcPr>
            <w:tcW w:w="1417"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r>
    </w:tbl>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B.8</w:t>
      </w:r>
      <w:r>
        <w:rPr>
          <w:rFonts w:hint="default" w:ascii="Times New Roman" w:hAnsi="Times New Roman" w:eastAsia="黑体" w:cs="Times New Roman"/>
          <w:color w:val="auto"/>
        </w:rPr>
        <w:t>碳汇数据</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843"/>
        <w:gridCol w:w="170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碳汇类型</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计量单位</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数据</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63"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绿地</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63"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碳交易</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63"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CCER</w:t>
            </w:r>
          </w:p>
        </w:tc>
        <w:tc>
          <w:tcPr>
            <w:tcW w:w="1843"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Calibri" w:cs="Times New Roman"/>
                <w:color w:val="auto"/>
                <w:sz w:val="18"/>
                <w:szCs w:val="22"/>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c>
          <w:tcPr>
            <w:tcW w:w="241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63"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szCs w:val="21"/>
                <w:lang w:bidi="ar"/>
              </w:rPr>
            </w:pPr>
            <w:r>
              <w:rPr>
                <w:rFonts w:hint="default" w:ascii="Times New Roman" w:hAnsi="Times New Roman" w:cs="Times New Roman"/>
                <w:color w:val="auto"/>
                <w:kern w:val="0"/>
                <w:sz w:val="18"/>
                <w:szCs w:val="18"/>
              </w:rPr>
              <w:t>CCUS</w:t>
            </w:r>
          </w:p>
        </w:tc>
        <w:tc>
          <w:tcPr>
            <w:tcW w:w="1843"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Calibri" w:cs="Times New Roman"/>
                <w:color w:val="auto"/>
                <w:sz w:val="18"/>
                <w:szCs w:val="22"/>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c>
          <w:tcPr>
            <w:tcW w:w="241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63"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szCs w:val="21"/>
                <w:lang w:bidi="ar"/>
              </w:rPr>
            </w:pPr>
            <w:r>
              <w:rPr>
                <w:rFonts w:hint="default" w:ascii="Times New Roman" w:hAnsi="Times New Roman" w:cs="Times New Roman"/>
                <w:color w:val="auto"/>
                <w:sz w:val="18"/>
                <w:szCs w:val="18"/>
              </w:rPr>
              <w:t>……</w:t>
            </w:r>
          </w:p>
        </w:tc>
        <w:tc>
          <w:tcPr>
            <w:tcW w:w="1843"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Calibri" w:cs="Times New Roman"/>
                <w:color w:val="auto"/>
                <w:sz w:val="18"/>
                <w:szCs w:val="22"/>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c>
          <w:tcPr>
            <w:tcW w:w="241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p>
        </w:tc>
      </w:tr>
    </w:tbl>
    <w:p>
      <w:pPr>
        <w:spacing w:before="156" w:beforeLines="50"/>
        <w:jc w:val="center"/>
        <w:rPr>
          <w:rFonts w:hint="default" w:ascii="Times New Roman" w:hAnsi="Times New Roman" w:eastAsia="黑体" w:cs="Times New Roman"/>
          <w:color w:val="auto"/>
        </w:rPr>
      </w:pPr>
    </w:p>
    <w:p>
      <w:pPr>
        <w:spacing w:before="156" w:beforeLines="50"/>
        <w:jc w:val="center"/>
        <w:rPr>
          <w:rFonts w:hint="default" w:ascii="Times New Roman" w:hAnsi="Times New Roman" w:eastAsia="黑体" w:cs="Times New Roman"/>
          <w:color w:val="auto"/>
        </w:rPr>
      </w:pPr>
    </w:p>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B.9</w:t>
      </w:r>
      <w:r>
        <w:rPr>
          <w:rFonts w:hint="default" w:ascii="Times New Roman" w:hAnsi="Times New Roman" w:eastAsia="黑体" w:cs="Times New Roman"/>
          <w:color w:val="auto"/>
        </w:rPr>
        <w:t>能源活动排放计算参考系数表</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6"/>
        <w:gridCol w:w="1276"/>
        <w:gridCol w:w="1134"/>
        <w:gridCol w:w="708"/>
        <w:gridCol w:w="845"/>
        <w:gridCol w:w="851"/>
        <w:gridCol w:w="71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46"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排放类型</w:t>
            </w:r>
          </w:p>
        </w:tc>
        <w:tc>
          <w:tcPr>
            <w:tcW w:w="856"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燃料品种</w:t>
            </w:r>
          </w:p>
        </w:tc>
        <w:tc>
          <w:tcPr>
            <w:tcW w:w="3963" w:type="dxa"/>
            <w:gridSpan w:val="4"/>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Calibri" w:cs="Times New Roman"/>
                <w:b/>
                <w:bCs/>
                <w:color w:val="auto"/>
                <w:szCs w:val="21"/>
              </w:rPr>
            </w:pPr>
            <w:r>
              <w:rPr>
                <w:rFonts w:hint="default" w:ascii="Times New Roman" w:hAnsi="Times New Roman" w:cs="Times New Roman"/>
                <w:b/>
                <w:bCs/>
                <w:color w:val="auto"/>
                <w:kern w:val="0"/>
              </w:rPr>
              <w:t>二氧化碳排放因子计算参数</w:t>
            </w:r>
          </w:p>
        </w:tc>
        <w:tc>
          <w:tcPr>
            <w:tcW w:w="25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温室气体排放因子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6"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p>
        </w:tc>
        <w:tc>
          <w:tcPr>
            <w:tcW w:w="856"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p>
        </w:tc>
        <w:tc>
          <w:tcPr>
            <w:tcW w:w="1276"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低位发热值</w:t>
            </w:r>
          </w:p>
          <w:p>
            <w:pPr>
              <w:widowControl/>
              <w:jc w:val="center"/>
              <w:rPr>
                <w:rFonts w:hint="default" w:ascii="Times New Roman" w:hAnsi="Times New Roman" w:cs="Times New Roman"/>
                <w:b/>
                <w:bCs/>
                <w:color w:val="auto"/>
                <w:kern w:val="0"/>
              </w:rPr>
            </w:pPr>
            <w:r>
              <w:rPr>
                <w:rFonts w:hint="default" w:ascii="Times New Roman" w:hAnsi="Times New Roman" w:eastAsia="Calibri" w:cs="Times New Roman"/>
                <w:b/>
                <w:bCs/>
                <w:color w:val="auto"/>
                <w:szCs w:val="21"/>
              </w:rPr>
              <w:t>G</w:t>
            </w:r>
            <w:r>
              <w:rPr>
                <w:rFonts w:hint="default" w:ascii="Times New Roman" w:hAnsi="Times New Roman" w:eastAsia="Calibri" w:cs="Times New Roman"/>
                <w:b/>
                <w:bCs/>
                <w:color w:val="auto"/>
                <w:szCs w:val="21"/>
              </w:rPr>
              <w:t>J/t</w:t>
            </w:r>
            <w:r>
              <w:rPr>
                <w:rFonts w:hint="default" w:ascii="Times New Roman" w:hAnsi="Times New Roman" w:cs="Times New Roman"/>
                <w:b/>
                <w:bCs/>
                <w:color w:val="auto"/>
                <w:kern w:val="0"/>
              </w:rPr>
              <w:t>或</w:t>
            </w:r>
            <w:r>
              <w:rPr>
                <w:rFonts w:hint="default" w:ascii="Times New Roman" w:hAnsi="Times New Roman" w:eastAsia="Calibri" w:cs="Times New Roman"/>
                <w:b/>
                <w:bCs/>
                <w:color w:val="auto"/>
                <w:szCs w:val="21"/>
              </w:rPr>
              <w:t>G</w:t>
            </w:r>
            <w:r>
              <w:rPr>
                <w:rFonts w:hint="default" w:ascii="Times New Roman" w:hAnsi="Times New Roman" w:eastAsia="Calibri" w:cs="Times New Roman"/>
                <w:b/>
                <w:bCs/>
                <w:color w:val="auto"/>
                <w:szCs w:val="21"/>
              </w:rPr>
              <w:t>J/10</w:t>
            </w:r>
            <w:r>
              <w:rPr>
                <w:rFonts w:hint="default" w:ascii="Times New Roman" w:hAnsi="Times New Roman" w:eastAsia="Calibri" w:cs="Times New Roman"/>
                <w:b/>
                <w:bCs/>
                <w:color w:val="auto"/>
                <w:szCs w:val="21"/>
                <w:vertAlign w:val="superscript"/>
              </w:rPr>
              <w:t>4</w:t>
            </w:r>
            <w:r>
              <w:rPr>
                <w:rFonts w:hint="default" w:ascii="Times New Roman" w:hAnsi="Times New Roman" w:eastAsia="Calibri" w:cs="Times New Roman"/>
                <w:b/>
                <w:bCs/>
                <w:color w:val="auto"/>
                <w:szCs w:val="21"/>
              </w:rPr>
              <w:t>Nm</w:t>
            </w:r>
            <w:r>
              <w:rPr>
                <w:rFonts w:hint="default" w:ascii="Times New Roman" w:hAnsi="Times New Roman" w:eastAsia="Calibri" w:cs="Times New Roman"/>
                <w:b/>
                <w:bCs/>
                <w:color w:val="auto"/>
                <w:szCs w:val="21"/>
                <w:vertAlign w:val="superscript"/>
              </w:rPr>
              <w:t>3</w:t>
            </w:r>
          </w:p>
        </w:tc>
        <w:tc>
          <w:tcPr>
            <w:tcW w:w="1134"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单位热值含碳量</w:t>
            </w:r>
            <w:r>
              <w:rPr>
                <w:rFonts w:hint="default" w:ascii="Times New Roman" w:hAnsi="Times New Roman" w:eastAsia="Calibri" w:cs="Times New Roman"/>
                <w:b/>
                <w:bCs/>
                <w:color w:val="auto"/>
                <w:szCs w:val="21"/>
              </w:rPr>
              <w:t>tC/</w:t>
            </w:r>
            <w:r>
              <w:rPr>
                <w:rFonts w:hint="default" w:ascii="Times New Roman" w:hAnsi="Times New Roman" w:eastAsia="Calibri" w:cs="Times New Roman"/>
                <w:b/>
                <w:bCs/>
                <w:color w:val="auto"/>
                <w:szCs w:val="21"/>
              </w:rPr>
              <w:t xml:space="preserve"> G</w:t>
            </w:r>
            <w:r>
              <w:rPr>
                <w:rFonts w:hint="default" w:ascii="Times New Roman" w:hAnsi="Times New Roman" w:eastAsia="Calibri" w:cs="Times New Roman"/>
                <w:b/>
                <w:bCs/>
                <w:color w:val="auto"/>
                <w:szCs w:val="21"/>
              </w:rPr>
              <w:t>J</w:t>
            </w:r>
          </w:p>
        </w:tc>
        <w:tc>
          <w:tcPr>
            <w:tcW w:w="708"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碳氧化率</w:t>
            </w:r>
          </w:p>
          <w:p>
            <w:pPr>
              <w:widowControl/>
              <w:jc w:val="center"/>
              <w:rPr>
                <w:rFonts w:hint="default" w:ascii="Times New Roman" w:hAnsi="Times New Roman" w:cs="Times New Roman"/>
                <w:b/>
                <w:bCs/>
                <w:color w:val="auto"/>
                <w:kern w:val="0"/>
              </w:rPr>
            </w:pPr>
            <w:r>
              <w:rPr>
                <w:rFonts w:hint="default" w:ascii="Times New Roman" w:hAnsi="Times New Roman" w:eastAsia="Calibri" w:cs="Times New Roman"/>
                <w:b/>
                <w:bCs/>
                <w:color w:val="auto"/>
                <w:szCs w:val="21"/>
              </w:rPr>
              <w:t>%</w:t>
            </w:r>
          </w:p>
        </w:tc>
        <w:tc>
          <w:tcPr>
            <w:tcW w:w="845"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温室气体类型</w:t>
            </w:r>
          </w:p>
        </w:tc>
        <w:tc>
          <w:tcPr>
            <w:tcW w:w="714"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排放因子</w:t>
            </w:r>
          </w:p>
        </w:tc>
        <w:tc>
          <w:tcPr>
            <w:tcW w:w="987"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46"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sz w:val="18"/>
                <w:szCs w:val="18"/>
              </w:rPr>
              <w:t>能源活动排放</w:t>
            </w:r>
          </w:p>
        </w:tc>
        <w:tc>
          <w:tcPr>
            <w:tcW w:w="856"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en-US"/>
              </w:rPr>
              <w:t>无烟煤</w:t>
            </w:r>
          </w:p>
        </w:tc>
        <w:tc>
          <w:tcPr>
            <w:tcW w:w="1276"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46"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6" w:type="dxa"/>
            <w:tcBorders>
              <w:left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rPr>
              <w:t>……</w:t>
            </w:r>
          </w:p>
        </w:tc>
        <w:tc>
          <w:tcPr>
            <w:tcW w:w="1276" w:type="dxa"/>
            <w:tcBorders>
              <w:left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46"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6" w:type="dxa"/>
            <w:tcBorders>
              <w:left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lang w:eastAsia="en-US"/>
              </w:rPr>
              <w:t>天然气</w:t>
            </w:r>
          </w:p>
        </w:tc>
        <w:tc>
          <w:tcPr>
            <w:tcW w:w="1276" w:type="dxa"/>
            <w:tcBorders>
              <w:left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46"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6"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rPr>
              <w:t>……</w:t>
            </w:r>
          </w:p>
        </w:tc>
        <w:tc>
          <w:tcPr>
            <w:tcW w:w="1276" w:type="dxa"/>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bl>
    <w:p>
      <w:pPr>
        <w:rPr>
          <w:rFonts w:hint="default" w:ascii="Times New Roman" w:hAnsi="Times New Roman" w:eastAsia="黑体" w:cs="Times New Roman"/>
          <w:color w:val="auto"/>
        </w:rPr>
      </w:pPr>
      <w:r>
        <w:rPr>
          <w:rFonts w:hint="default" w:ascii="Times New Roman" w:hAnsi="Times New Roman" w:cs="Times New Roman"/>
          <w:color w:val="auto"/>
          <w:szCs w:val="21"/>
        </w:rPr>
        <w:t xml:space="preserve">* </w:t>
      </w:r>
      <w:r>
        <w:rPr>
          <w:rFonts w:hint="default" w:ascii="Times New Roman" w:hAnsi="Times New Roman" w:eastAsia="仿宋" w:cs="Times New Roman"/>
          <w:color w:val="auto"/>
          <w:szCs w:val="21"/>
        </w:rPr>
        <w:t>注：应自行添加工业园区实际消耗的燃料品种。</w:t>
      </w:r>
    </w:p>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B.10</w:t>
      </w:r>
      <w:r>
        <w:rPr>
          <w:rFonts w:hint="default" w:ascii="Times New Roman" w:hAnsi="Times New Roman" w:eastAsia="黑体" w:cs="Times New Roman"/>
          <w:color w:val="auto"/>
        </w:rPr>
        <w:t>净调入电力、热力排放计算参考系数表</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418"/>
        <w:gridCol w:w="1559"/>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排放类型</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排放因子</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计量单位</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数据</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96"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sz w:val="18"/>
                <w:szCs w:val="18"/>
              </w:rPr>
              <w:t>净调入电力、热力对应的排放</w:t>
            </w:r>
          </w:p>
        </w:tc>
        <w:tc>
          <w:tcPr>
            <w:tcW w:w="14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电网排放因子</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kern w:val="0"/>
                <w:sz w:val="18"/>
                <w:szCs w:val="18"/>
              </w:rPr>
              <w:t>/</w:t>
            </w:r>
            <w:r>
              <w:rPr>
                <w:rFonts w:hint="default" w:ascii="Times New Roman" w:hAnsi="Times New Roman" w:eastAsia="Calibri" w:cs="Times New Roman"/>
                <w:color w:val="auto"/>
                <w:sz w:val="18"/>
                <w:szCs w:val="22"/>
                <w:lang w:eastAsia="en-US"/>
              </w:rPr>
              <w:t>MWh</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96"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4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供热排放因子</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Calibri" w:cs="Times New Roman"/>
                <w:color w:val="auto"/>
                <w:sz w:val="18"/>
                <w:szCs w:val="22"/>
                <w:lang w:eastAsia="en-US"/>
              </w:rPr>
            </w:pP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default" w:ascii="Times New Roman" w:hAnsi="Times New Roman" w:cs="Times New Roman"/>
                <w:color w:val="auto"/>
                <w:kern w:val="0"/>
                <w:sz w:val="18"/>
                <w:szCs w:val="18"/>
              </w:rPr>
              <w:t>/</w:t>
            </w:r>
            <w:r>
              <w:rPr>
                <w:rFonts w:hint="default" w:ascii="Times New Roman" w:hAnsi="Times New Roman" w:eastAsia="Calibri" w:cs="Times New Roman"/>
                <w:color w:val="auto"/>
                <w:sz w:val="18"/>
                <w:szCs w:val="22"/>
                <w:lang w:eastAsia="en-US"/>
              </w:rPr>
              <w:t>GJ</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bl>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B.11</w:t>
      </w:r>
      <w:r>
        <w:rPr>
          <w:rFonts w:hint="default" w:ascii="Times New Roman" w:hAnsi="Times New Roman" w:eastAsia="黑体" w:cs="Times New Roman"/>
          <w:color w:val="auto"/>
        </w:rPr>
        <w:t>工业生产过程</w:t>
      </w:r>
      <w:bookmarkStart w:id="59" w:name="_Hlk201179918"/>
      <w:r>
        <w:rPr>
          <w:rFonts w:hint="default" w:ascii="Times New Roman" w:hAnsi="Times New Roman" w:eastAsia="黑体" w:cs="Times New Roman"/>
          <w:color w:val="auto"/>
        </w:rPr>
        <w:t>排放计算参考系数表</w:t>
      </w:r>
      <w:bookmarkEnd w:id="59"/>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118"/>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排放类型</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b/>
                <w:bCs/>
                <w:color w:val="auto"/>
                <w:kern w:val="0"/>
              </w:rPr>
            </w:pPr>
            <w:r>
              <w:rPr>
                <w:rFonts w:hint="default" w:ascii="Times New Roman" w:hAnsi="Times New Roman" w:cs="Times New Roman"/>
                <w:b/>
                <w:bCs/>
                <w:color w:val="auto"/>
                <w:kern w:val="0"/>
              </w:rPr>
              <w:t>含碳原料、材料、辅料、调出物</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含碳量</w:t>
            </w:r>
          </w:p>
          <w:p>
            <w:pPr>
              <w:widowControl/>
              <w:jc w:val="center"/>
              <w:rPr>
                <w:rFonts w:hint="default" w:ascii="Times New Roman" w:hAnsi="Times New Roman" w:cs="Times New Roman"/>
                <w:b/>
                <w:bCs/>
                <w:color w:val="auto"/>
                <w:kern w:val="0"/>
              </w:rPr>
            </w:pPr>
            <w:r>
              <w:rPr>
                <w:rFonts w:hint="default" w:ascii="Times New Roman" w:hAnsi="Times New Roman" w:eastAsia="Calibri" w:cs="Times New Roman"/>
                <w:b/>
                <w:bCs/>
                <w:color w:val="auto"/>
                <w:szCs w:val="21"/>
              </w:rPr>
              <w:t>tC/t</w:t>
            </w:r>
            <w:r>
              <w:rPr>
                <w:rFonts w:hint="default" w:ascii="Times New Roman" w:hAnsi="Times New Roman" w:cs="Times New Roman"/>
                <w:b/>
                <w:bCs/>
                <w:color w:val="auto"/>
                <w:kern w:val="0"/>
              </w:rPr>
              <w:t>或</w:t>
            </w:r>
            <w:r>
              <w:rPr>
                <w:rFonts w:hint="default" w:ascii="Times New Roman" w:hAnsi="Times New Roman" w:eastAsia="Calibri" w:cs="Times New Roman"/>
                <w:b/>
                <w:bCs/>
                <w:color w:val="auto"/>
                <w:szCs w:val="21"/>
              </w:rPr>
              <w:t>tC/10</w:t>
            </w:r>
            <w:r>
              <w:rPr>
                <w:rFonts w:hint="default" w:ascii="Times New Roman" w:hAnsi="Times New Roman" w:eastAsia="Calibri" w:cs="Times New Roman"/>
                <w:b/>
                <w:bCs/>
                <w:color w:val="auto"/>
                <w:szCs w:val="21"/>
                <w:vertAlign w:val="superscript"/>
              </w:rPr>
              <w:t>4</w:t>
            </w:r>
            <w:r>
              <w:rPr>
                <w:rFonts w:hint="default" w:ascii="Times New Roman" w:hAnsi="Times New Roman" w:eastAsia="Calibri" w:cs="Times New Roman"/>
                <w:b/>
                <w:bCs/>
                <w:color w:val="auto"/>
                <w:szCs w:val="21"/>
              </w:rPr>
              <w:t>Nm</w:t>
            </w:r>
            <w:r>
              <w:rPr>
                <w:rFonts w:hint="default" w:ascii="Times New Roman" w:hAnsi="Times New Roman" w:eastAsia="Calibri" w:cs="Times New Roman"/>
                <w:b/>
                <w:bCs/>
                <w:color w:val="auto"/>
                <w:szCs w:val="21"/>
                <w:vertAlign w:val="superscript"/>
              </w:rPr>
              <w:t>3</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sz w:val="18"/>
                <w:szCs w:val="18"/>
              </w:rPr>
              <w:t>工业生产过程排放</w:t>
            </w:r>
          </w:p>
        </w:tc>
        <w:tc>
          <w:tcPr>
            <w:tcW w:w="31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lang w:eastAsia="en-US"/>
              </w:rPr>
              <w:t>原料、材料、辅料</w:t>
            </w:r>
            <w:r>
              <w:rPr>
                <w:rFonts w:hint="default" w:ascii="Times New Roman" w:hAnsi="Times New Roman" w:cs="Times New Roman"/>
                <w:color w:val="auto"/>
                <w:sz w:val="18"/>
                <w:szCs w:val="18"/>
              </w:rPr>
              <w:t>1</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1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lang w:eastAsia="en-US"/>
              </w:rPr>
              <w:t>原料、材料、辅料</w:t>
            </w:r>
            <w:r>
              <w:rPr>
                <w:rFonts w:hint="default" w:ascii="Times New Roman" w:hAnsi="Times New Roman" w:cs="Times New Roman"/>
                <w:color w:val="auto"/>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1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1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lang w:eastAsia="en-US"/>
              </w:rPr>
              <w:t>调出物</w:t>
            </w:r>
            <w:r>
              <w:rPr>
                <w:rFonts w:hint="default" w:ascii="Times New Roman" w:hAnsi="Times New Roman" w:cs="Times New Roman"/>
                <w:color w:val="auto"/>
                <w:sz w:val="18"/>
                <w:szCs w:val="18"/>
              </w:rPr>
              <w:t>1</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1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lang w:eastAsia="en-US"/>
              </w:rPr>
              <w:t>调出物</w:t>
            </w:r>
            <w:r>
              <w:rPr>
                <w:rFonts w:hint="default" w:ascii="Times New Roman" w:hAnsi="Times New Roman" w:cs="Times New Roman"/>
                <w:color w:val="auto"/>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118"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bl>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表 </w:t>
      </w:r>
      <w:r>
        <w:rPr>
          <w:rFonts w:hint="default" w:ascii="Times New Roman" w:hAnsi="Times New Roman" w:eastAsia="黑体" w:cs="Times New Roman"/>
          <w:color w:val="auto"/>
        </w:rPr>
        <w:t>B.12</w:t>
      </w:r>
      <w:r>
        <w:rPr>
          <w:rFonts w:hint="default" w:ascii="Times New Roman" w:hAnsi="Times New Roman" w:eastAsia="黑体" w:cs="Times New Roman"/>
          <w:color w:val="auto"/>
        </w:rPr>
        <w:t>废弃物处理排放计算参考系数表</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260"/>
        <w:gridCol w:w="1134"/>
        <w:gridCol w:w="99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排放类型</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排放因子</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计量单位</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数据</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b/>
                <w:bCs/>
                <w:color w:val="auto"/>
                <w:kern w:val="0"/>
              </w:rPr>
            </w:pPr>
            <w:r>
              <w:rPr>
                <w:rFonts w:hint="default" w:ascii="Times New Roman" w:hAnsi="Times New Roman" w:cs="Times New Roman"/>
                <w:b/>
                <w:bCs/>
                <w:color w:val="auto"/>
                <w:sz w:val="18"/>
                <w:szCs w:val="18"/>
              </w:rPr>
              <w:t>废弃物处理</w:t>
            </w:r>
          </w:p>
        </w:tc>
        <w:tc>
          <w:tcPr>
            <w:tcW w:w="326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废弃物中的碳含量比例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lang w:eastAsia="en-US"/>
              </w:rPr>
              <w:t>%</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6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lang w:eastAsia="en-US"/>
              </w:rPr>
              <w:t>燃烧效率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lang w:eastAsia="en-US"/>
              </w:rPr>
              <w:t>%</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6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工业废水处理厂年平均进水 COD浓度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lang w:eastAsia="en-US"/>
              </w:rPr>
              <w:t>mg/L</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6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工业废水处理厂年平均出水 COD浓度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lang w:eastAsia="en-US"/>
              </w:rPr>
            </w:pPr>
            <w:r>
              <w:rPr>
                <w:rFonts w:hint="default" w:ascii="Times New Roman" w:hAnsi="Times New Roman" w:cs="Times New Roman"/>
                <w:color w:val="auto"/>
                <w:sz w:val="18"/>
                <w:szCs w:val="18"/>
                <w:lang w:eastAsia="en-US"/>
              </w:rPr>
              <w:t>mg/L</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6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工业废水甲烷最大产生能力（</w:t>
            </w:r>
            <m:oMath>
              <m:sSub>
                <m:sSubPr>
                  <m:ctrlPr>
                    <w:rPr>
                      <w:rFonts w:hint="default" w:ascii="DejaVu Math TeX Gyre" w:hAnsi="DejaVu Math TeX Gyre" w:cs="Times New Roman"/>
                      <w:color w:val="auto"/>
                      <w:sz w:val="18"/>
                      <w:szCs w:val="18"/>
                      <w:lang w:eastAsia="en-US"/>
                    </w:rPr>
                  </m:ctrlPr>
                </m:sSubPr>
                <m:e>
                  <m:r>
                    <m:rPr/>
                    <w:rPr>
                      <w:rFonts w:hint="default" w:ascii="DejaVu Math TeX Gyre" w:hAnsi="DejaVu Math TeX Gyre" w:cs="Times New Roman"/>
                      <w:color w:val="auto"/>
                      <w:sz w:val="18"/>
                      <w:szCs w:val="18"/>
                    </w:rPr>
                    <m:t>B</m:t>
                  </m:r>
                  <m:ctrlPr>
                    <w:rPr>
                      <w:rFonts w:hint="default" w:ascii="DejaVu Math TeX Gyre" w:hAnsi="DejaVu Math TeX Gyre" w:cs="Times New Roman"/>
                      <w:color w:val="auto"/>
                      <w:sz w:val="18"/>
                      <w:szCs w:val="18"/>
                      <w:lang w:eastAsia="en-US"/>
                    </w:rPr>
                  </m:ctrlPr>
                </m:e>
                <m:sub>
                  <m:r>
                    <m:rPr/>
                    <w:rPr>
                      <w:rFonts w:hint="default" w:ascii="DejaVu Math TeX Gyre" w:hAnsi="DejaVu Math TeX Gyre" w:cs="Times New Roman"/>
                      <w:color w:val="auto"/>
                      <w:sz w:val="18"/>
                      <w:szCs w:val="18"/>
                    </w:rPr>
                    <m:t>o</m:t>
                  </m:r>
                  <m:ctrlPr>
                    <w:rPr>
                      <w:rFonts w:hint="default" w:ascii="DejaVu Math TeX Gyre" w:hAnsi="DejaVu Math TeX Gyre" w:cs="Times New Roman"/>
                      <w:color w:val="auto"/>
                      <w:sz w:val="18"/>
                      <w:szCs w:val="18"/>
                      <w:lang w:eastAsia="en-US"/>
                    </w:rPr>
                  </m:ctrlPr>
                </m:sub>
              </m:sSub>
            </m:oMath>
            <w:r>
              <w:rPr>
                <w:rFonts w:hint="default" w:ascii="Times New Roman" w:hAnsi="Times New Roman" w:cs="Times New Roman"/>
                <w:color w:val="auto"/>
                <w:sz w:val="18"/>
                <w:szCs w:val="18"/>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6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工业废水处理甲烷修正因子（M</w:t>
            </w:r>
            <w:r>
              <w:rPr>
                <w:rFonts w:hint="default" w:ascii="Times New Roman" w:hAnsi="Times New Roman" w:cs="Times New Roman"/>
                <w:color w:val="auto"/>
                <w:sz w:val="18"/>
                <w:szCs w:val="18"/>
              </w:rPr>
              <w:t>CF</w:t>
            </w:r>
            <w:r>
              <w:rPr>
                <w:rFonts w:hint="default" w:ascii="Times New Roman" w:hAnsi="Times New Roman" w:cs="Times New Roman"/>
                <w:color w:val="auto"/>
                <w:sz w:val="18"/>
                <w:szCs w:val="18"/>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13"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326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rPr>
            </w:pPr>
          </w:p>
        </w:tc>
      </w:tr>
    </w:tbl>
    <w:p>
      <w:pPr>
        <w:spacing w:before="156" w:beforeLines="50"/>
        <w:jc w:val="center"/>
        <w:rPr>
          <w:rFonts w:hint="default" w:ascii="Times New Roman" w:hAnsi="Times New Roman" w:eastAsia="黑体" w:cs="Times New Roman"/>
          <w:color w:val="auto"/>
        </w:rPr>
      </w:pPr>
      <w:r>
        <w:rPr>
          <w:rFonts w:hint="default" w:ascii="Times New Roman" w:hAnsi="Times New Roman" w:eastAsia="黑体" w:cs="Times New Roman"/>
          <w:color w:val="auto"/>
        </w:rPr>
        <w:t>表</w:t>
      </w:r>
      <w:r>
        <w:rPr>
          <w:rFonts w:hint="default" w:ascii="Times New Roman" w:hAnsi="Times New Roman" w:eastAsia="黑体" w:cs="Times New Roman"/>
          <w:color w:val="auto"/>
        </w:rPr>
        <w:t>B.13</w:t>
      </w:r>
      <w:r>
        <w:rPr>
          <w:rFonts w:hint="default" w:ascii="Times New Roman" w:hAnsi="Times New Roman" w:eastAsia="黑体" w:cs="Times New Roman"/>
          <w:color w:val="auto"/>
        </w:rPr>
        <w:t>数据质量评价表</w:t>
      </w:r>
    </w:p>
    <w:tbl>
      <w:tblPr>
        <w:tblStyle w:val="15"/>
        <w:tblW w:w="5465" w:type="pct"/>
        <w:jc w:val="center"/>
        <w:tblLayout w:type="autofit"/>
        <w:tblCellMar>
          <w:top w:w="0" w:type="dxa"/>
          <w:left w:w="108" w:type="dxa"/>
          <w:bottom w:w="0" w:type="dxa"/>
          <w:right w:w="108" w:type="dxa"/>
        </w:tblCellMar>
      </w:tblPr>
      <w:tblGrid>
        <w:gridCol w:w="1605"/>
        <w:gridCol w:w="926"/>
        <w:gridCol w:w="911"/>
        <w:gridCol w:w="901"/>
        <w:gridCol w:w="728"/>
        <w:gridCol w:w="1147"/>
        <w:gridCol w:w="767"/>
        <w:gridCol w:w="1272"/>
        <w:gridCol w:w="1058"/>
      </w:tblGrid>
      <w:tr>
        <w:tblPrEx>
          <w:tblCellMar>
            <w:top w:w="0" w:type="dxa"/>
            <w:left w:w="108" w:type="dxa"/>
            <w:bottom w:w="0" w:type="dxa"/>
            <w:right w:w="108" w:type="dxa"/>
          </w:tblCellMar>
        </w:tblPrEx>
        <w:trPr>
          <w:trHeight w:val="578" w:hRule="atLeast"/>
          <w:jc w:val="center"/>
        </w:trPr>
        <w:tc>
          <w:tcPr>
            <w:tcW w:w="156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eastAsiaTheme="minorEastAsia"/>
                <w:bCs/>
                <w:color w:val="auto"/>
                <w:kern w:val="0"/>
                <w:sz w:val="20"/>
                <w:szCs w:val="20"/>
              </w:rPr>
            </w:pPr>
            <w:r>
              <w:rPr>
                <w:rFonts w:hint="default" w:ascii="Times New Roman" w:hAnsi="Times New Roman" w:cs="Times New Roman" w:eastAsiaTheme="minorEastAsia"/>
                <w:bCs/>
                <w:color w:val="auto"/>
                <w:kern w:val="0"/>
                <w:sz w:val="20"/>
                <w:szCs w:val="20"/>
              </w:rPr>
              <w:t>排放源</w:t>
            </w:r>
          </w:p>
        </w:tc>
        <w:tc>
          <w:tcPr>
            <w:tcW w:w="90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Cs/>
                <w:color w:val="auto"/>
                <w:kern w:val="0"/>
                <w:sz w:val="20"/>
                <w:szCs w:val="20"/>
              </w:rPr>
            </w:pPr>
            <w:r>
              <w:rPr>
                <w:rFonts w:hint="default" w:ascii="Times New Roman" w:hAnsi="Times New Roman" w:cs="Times New Roman" w:eastAsiaTheme="minorEastAsia"/>
                <w:bCs/>
                <w:color w:val="auto"/>
                <w:kern w:val="0"/>
                <w:sz w:val="20"/>
                <w:szCs w:val="20"/>
              </w:rPr>
              <w:t>活动水平等级</w:t>
            </w:r>
          </w:p>
        </w:tc>
        <w:tc>
          <w:tcPr>
            <w:tcW w:w="88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Cs/>
                <w:color w:val="auto"/>
                <w:kern w:val="0"/>
                <w:sz w:val="20"/>
                <w:szCs w:val="20"/>
              </w:rPr>
            </w:pPr>
            <w:r>
              <w:rPr>
                <w:rFonts w:hint="default" w:ascii="Times New Roman" w:hAnsi="Times New Roman" w:cs="Times New Roman"/>
                <w:bCs/>
                <w:color w:val="auto"/>
                <w:kern w:val="0"/>
                <w:sz w:val="20"/>
                <w:szCs w:val="20"/>
              </w:rPr>
              <w:t>排放因子等级</w:t>
            </w:r>
          </w:p>
        </w:tc>
        <w:tc>
          <w:tcPr>
            <w:tcW w:w="87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Cs/>
                <w:color w:val="auto"/>
                <w:kern w:val="0"/>
                <w:sz w:val="20"/>
                <w:szCs w:val="20"/>
              </w:rPr>
            </w:pPr>
            <w:r>
              <w:rPr>
                <w:rFonts w:hint="default" w:ascii="Times New Roman" w:hAnsi="Times New Roman" w:cs="Times New Roman"/>
                <w:bCs/>
                <w:color w:val="auto"/>
                <w:kern w:val="0"/>
                <w:sz w:val="20"/>
                <w:szCs w:val="20"/>
              </w:rPr>
              <w:t>仪器校准等级</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Cs/>
                <w:color w:val="auto"/>
                <w:kern w:val="0"/>
                <w:sz w:val="20"/>
                <w:szCs w:val="20"/>
              </w:rPr>
            </w:pPr>
            <w:r>
              <w:rPr>
                <w:rFonts w:hint="default" w:ascii="Times New Roman" w:hAnsi="Times New Roman" w:cs="Times New Roman"/>
                <w:bCs/>
                <w:color w:val="auto"/>
                <w:kern w:val="0"/>
                <w:sz w:val="20"/>
                <w:szCs w:val="20"/>
              </w:rPr>
              <w:t>平均积分</w:t>
            </w:r>
          </w:p>
        </w:tc>
        <w:tc>
          <w:tcPr>
            <w:tcW w:w="111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Cs/>
                <w:color w:val="auto"/>
                <w:kern w:val="0"/>
                <w:sz w:val="20"/>
                <w:szCs w:val="20"/>
              </w:rPr>
            </w:pPr>
            <w:r>
              <w:rPr>
                <w:rFonts w:hint="default" w:ascii="Times New Roman" w:hAnsi="Times New Roman" w:cs="Times New Roman"/>
                <w:bCs/>
                <w:color w:val="auto"/>
                <w:kern w:val="0"/>
                <w:sz w:val="20"/>
                <w:szCs w:val="20"/>
              </w:rPr>
              <w:t>年排放量（吨）</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Cs/>
                <w:color w:val="auto"/>
                <w:kern w:val="0"/>
                <w:sz w:val="20"/>
                <w:szCs w:val="20"/>
              </w:rPr>
            </w:pPr>
            <w:r>
              <w:rPr>
                <w:rFonts w:hint="default" w:ascii="Times New Roman" w:hAnsi="Times New Roman" w:cs="Times New Roman"/>
                <w:bCs/>
                <w:color w:val="auto"/>
                <w:kern w:val="0"/>
                <w:sz w:val="20"/>
                <w:szCs w:val="20"/>
              </w:rPr>
              <w:t>总排放量</w:t>
            </w:r>
          </w:p>
        </w:tc>
        <w:tc>
          <w:tcPr>
            <w:tcW w:w="123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Cs/>
                <w:color w:val="auto"/>
                <w:kern w:val="0"/>
                <w:sz w:val="20"/>
                <w:szCs w:val="20"/>
              </w:rPr>
            </w:pPr>
            <w:r>
              <w:rPr>
                <w:rFonts w:hint="default" w:ascii="Times New Roman" w:hAnsi="Times New Roman" w:cs="Times New Roman"/>
                <w:bCs/>
                <w:color w:val="auto"/>
                <w:kern w:val="0"/>
                <w:sz w:val="20"/>
                <w:szCs w:val="20"/>
              </w:rPr>
              <w:t>排放量占总量的比例</w:t>
            </w:r>
          </w:p>
        </w:tc>
        <w:tc>
          <w:tcPr>
            <w:tcW w:w="103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Cs/>
                <w:color w:val="auto"/>
                <w:kern w:val="0"/>
                <w:sz w:val="20"/>
                <w:szCs w:val="20"/>
              </w:rPr>
            </w:pPr>
            <w:r>
              <w:rPr>
                <w:rFonts w:hint="default" w:ascii="Times New Roman" w:hAnsi="Times New Roman" w:cs="Times New Roman"/>
                <w:bCs/>
                <w:color w:val="auto"/>
                <w:kern w:val="0"/>
                <w:sz w:val="20"/>
                <w:szCs w:val="20"/>
              </w:rPr>
              <w:t>加权平均积分</w:t>
            </w:r>
          </w:p>
        </w:tc>
      </w:tr>
      <w:tr>
        <w:tblPrEx>
          <w:tblCellMar>
            <w:top w:w="0" w:type="dxa"/>
            <w:left w:w="108" w:type="dxa"/>
            <w:bottom w:w="0" w:type="dxa"/>
            <w:right w:w="108" w:type="dxa"/>
          </w:tblCellMar>
        </w:tblPrEx>
        <w:trPr>
          <w:trHeight w:val="312" w:hRule="atLeast"/>
          <w:jc w:val="center"/>
        </w:trPr>
        <w:tc>
          <w:tcPr>
            <w:tcW w:w="156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eastAsiaTheme="minorEastAsia"/>
                <w:b/>
                <w:bCs/>
                <w:color w:val="auto"/>
                <w:kern w:val="0"/>
                <w:sz w:val="18"/>
                <w:szCs w:val="18"/>
              </w:rPr>
            </w:pPr>
            <w:r>
              <w:rPr>
                <w:rFonts w:hint="default" w:ascii="Times New Roman" w:hAnsi="Times New Roman" w:cs="Times New Roman" w:eastAsiaTheme="minorEastAsia"/>
                <w:b/>
                <w:bCs/>
                <w:color w:val="auto"/>
                <w:kern w:val="0"/>
                <w:sz w:val="18"/>
                <w:szCs w:val="18"/>
              </w:rPr>
              <w:t>柴油的燃烧</w:t>
            </w:r>
          </w:p>
        </w:tc>
        <w:tc>
          <w:tcPr>
            <w:tcW w:w="901"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eastAsiaTheme="minorEastAsia"/>
                <w:color w:val="auto"/>
                <w:sz w:val="18"/>
                <w:szCs w:val="18"/>
              </w:rPr>
            </w:pPr>
          </w:p>
        </w:tc>
        <w:tc>
          <w:tcPr>
            <w:tcW w:w="88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87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709"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111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74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1238"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1030"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r>
      <w:tr>
        <w:tblPrEx>
          <w:tblCellMar>
            <w:top w:w="0" w:type="dxa"/>
            <w:left w:w="108" w:type="dxa"/>
            <w:bottom w:w="0" w:type="dxa"/>
            <w:right w:w="108" w:type="dxa"/>
          </w:tblCellMar>
        </w:tblPrEx>
        <w:trPr>
          <w:trHeight w:val="312" w:hRule="atLeast"/>
          <w:jc w:val="center"/>
        </w:trPr>
        <w:tc>
          <w:tcPr>
            <w:tcW w:w="156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eastAsiaTheme="minorEastAsia"/>
                <w:b/>
                <w:bCs/>
                <w:color w:val="auto"/>
                <w:kern w:val="0"/>
                <w:sz w:val="18"/>
                <w:szCs w:val="18"/>
              </w:rPr>
            </w:pPr>
            <w:r>
              <w:rPr>
                <w:rFonts w:hint="default" w:ascii="Times New Roman" w:hAnsi="Times New Roman" w:cs="Times New Roman" w:eastAsiaTheme="minorEastAsia"/>
                <w:b/>
                <w:bCs/>
                <w:color w:val="auto"/>
                <w:kern w:val="0"/>
                <w:sz w:val="18"/>
                <w:szCs w:val="18"/>
              </w:rPr>
              <w:t>外购电力的使用</w:t>
            </w:r>
          </w:p>
        </w:tc>
        <w:tc>
          <w:tcPr>
            <w:tcW w:w="901"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88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kern w:val="0"/>
                <w:sz w:val="18"/>
                <w:szCs w:val="18"/>
              </w:rPr>
            </w:pPr>
          </w:p>
        </w:tc>
        <w:tc>
          <w:tcPr>
            <w:tcW w:w="87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kern w:val="0"/>
                <w:sz w:val="18"/>
                <w:szCs w:val="18"/>
              </w:rPr>
            </w:pPr>
          </w:p>
        </w:tc>
        <w:tc>
          <w:tcPr>
            <w:tcW w:w="111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74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1238"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1030"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r>
      <w:tr>
        <w:tblPrEx>
          <w:tblCellMar>
            <w:top w:w="0" w:type="dxa"/>
            <w:left w:w="108" w:type="dxa"/>
            <w:bottom w:w="0" w:type="dxa"/>
            <w:right w:w="108" w:type="dxa"/>
          </w:tblCellMar>
        </w:tblPrEx>
        <w:trPr>
          <w:trHeight w:val="312" w:hRule="atLeast"/>
          <w:jc w:val="center"/>
        </w:trPr>
        <w:tc>
          <w:tcPr>
            <w:tcW w:w="156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eastAsiaTheme="minorEastAsia"/>
                <w:b/>
                <w:bCs/>
                <w:color w:val="auto"/>
                <w:kern w:val="0"/>
                <w:sz w:val="18"/>
                <w:szCs w:val="18"/>
              </w:rPr>
            </w:pPr>
            <w:r>
              <w:rPr>
                <w:rFonts w:hint="default" w:ascii="Times New Roman" w:hAnsi="Times New Roman" w:cs="Times New Roman" w:eastAsiaTheme="minorEastAsia"/>
                <w:b/>
                <w:bCs/>
                <w:color w:val="auto"/>
                <w:sz w:val="18"/>
                <w:szCs w:val="18"/>
              </w:rPr>
              <w:t>……</w:t>
            </w:r>
          </w:p>
        </w:tc>
        <w:tc>
          <w:tcPr>
            <w:tcW w:w="901"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88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kern w:val="0"/>
                <w:sz w:val="18"/>
                <w:szCs w:val="18"/>
              </w:rPr>
            </w:pPr>
          </w:p>
        </w:tc>
        <w:tc>
          <w:tcPr>
            <w:tcW w:w="87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kern w:val="0"/>
                <w:sz w:val="18"/>
                <w:szCs w:val="18"/>
              </w:rPr>
            </w:pPr>
          </w:p>
        </w:tc>
        <w:tc>
          <w:tcPr>
            <w:tcW w:w="111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74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1238"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c>
          <w:tcPr>
            <w:tcW w:w="1030"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sz w:val="18"/>
                <w:szCs w:val="18"/>
              </w:rPr>
            </w:pPr>
          </w:p>
        </w:tc>
      </w:tr>
      <w:tr>
        <w:tblPrEx>
          <w:tblCellMar>
            <w:top w:w="0" w:type="dxa"/>
            <w:left w:w="108" w:type="dxa"/>
            <w:bottom w:w="0" w:type="dxa"/>
            <w:right w:w="108" w:type="dxa"/>
          </w:tblCellMar>
        </w:tblPrEx>
        <w:trPr>
          <w:trHeight w:val="398" w:hRule="atLeast"/>
          <w:jc w:val="center"/>
        </w:trPr>
        <w:tc>
          <w:tcPr>
            <w:tcW w:w="422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eastAsiaTheme="minorEastAsia"/>
                <w:b/>
                <w:bCs/>
                <w:color w:val="auto"/>
                <w:kern w:val="0"/>
                <w:sz w:val="20"/>
                <w:szCs w:val="20"/>
              </w:rPr>
            </w:pPr>
            <w:r>
              <w:rPr>
                <w:rFonts w:hint="default" w:ascii="Times New Roman" w:hAnsi="Times New Roman" w:cs="Times New Roman" w:eastAsiaTheme="minorEastAsia"/>
                <w:b/>
                <w:bCs/>
                <w:color w:val="auto"/>
                <w:kern w:val="0"/>
                <w:sz w:val="18"/>
                <w:szCs w:val="18"/>
              </w:rPr>
              <w:t>加权平均积分数据等级</w:t>
            </w:r>
          </w:p>
        </w:tc>
        <w:tc>
          <w:tcPr>
            <w:tcW w:w="4841"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kern w:val="0"/>
                <w:sz w:val="20"/>
                <w:szCs w:val="20"/>
              </w:rPr>
            </w:pPr>
          </w:p>
        </w:tc>
      </w:tr>
    </w:tbl>
    <w:p>
      <w:pPr>
        <w:rPr>
          <w:rFonts w:hint="default" w:ascii="Times New Roman" w:hAnsi="Times New Roman" w:cs="Times New Roman"/>
          <w:color w:val="auto"/>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S Mincho">
    <w:altName w:val="方正书宋_GBK"/>
    <w:panose1 w:val="02020609040205080304"/>
    <w:charset w:val="80"/>
    <w:family w:val="modern"/>
    <w:pitch w:val="default"/>
    <w:sig w:usb0="00000000" w:usb1="00000000" w:usb2="08000012" w:usb3="00000000" w:csb0="0002009F" w:csb1="00000000"/>
  </w:font>
  <w:font w:name="Cambria Math">
    <w:altName w:val="DejaVu Math TeX Gyre"/>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S Mincho">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5093335</wp:posOffset>
              </wp:positionH>
              <wp:positionV relativeFrom="paragraph">
                <wp:posOffset>-1270</wp:posOffset>
              </wp:positionV>
              <wp:extent cx="180975" cy="168910"/>
              <wp:effectExtent l="0" t="0" r="9525" b="2540"/>
              <wp:wrapNone/>
              <wp:docPr id="1" name="文本框 1"/>
              <wp:cNvGraphicFramePr/>
              <a:graphic xmlns:a="http://schemas.openxmlformats.org/drawingml/2006/main">
                <a:graphicData uri="http://schemas.microsoft.com/office/word/2010/wordprocessingShape">
                  <wps:wsp>
                    <wps:cNvSpPr txBox="true"/>
                    <wps:spPr>
                      <a:xfrm>
                        <a:off x="0" y="0"/>
                        <a:ext cx="181052" cy="1691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01.05pt;margin-top:-0.1pt;height:13.3pt;width:14.25pt;mso-position-horizontal-relative:margin;z-index:251659264;mso-width-relative:page;mso-height-relative:page;" filled="f" stroked="f" coordsize="21600,21600" o:gfxdata="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G74Hr3XAAAACAEAAA8AAAAAAAAAAQAgAAAAOAAAAGRycy9kb3ducmV2LnhtbFBL&#10;AQIUABQAAAAIAIdO4kDk1HQnGgIAABkEAAAOAAAAAAAAAAEAIAAAADwBAABkcnMvZTJvRG9jLnht&#10;bFBLBQYAAAAABgAGAFkBAADIBQAAAAA=&#10;">
              <v:fill on="f" focussize="0,0"/>
              <v:stroke on="f" weight="0.5pt"/>
              <v:imagedata o:title=""/>
              <o:lock v:ext="edit" aspectratio="f"/>
              <v:textbox inset="0mm,0mm,0mm,0mm">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4785" cy="206375"/>
              <wp:effectExtent l="0" t="0" r="5715" b="3810"/>
              <wp:wrapNone/>
              <wp:docPr id="2" name="文本框 2"/>
              <wp:cNvGraphicFramePr/>
              <a:graphic xmlns:a="http://schemas.openxmlformats.org/drawingml/2006/main">
                <a:graphicData uri="http://schemas.microsoft.com/office/word/2010/wordprocessingShape">
                  <wps:wsp>
                    <wps:cNvSpPr txBox="true"/>
                    <wps:spPr>
                      <a:xfrm>
                        <a:off x="0" y="0"/>
                        <a:ext cx="184994" cy="20613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6.25pt;width:14.55pt;mso-position-horizontal:left;mso-position-horizontal-relative:margin;z-index:251660288;mso-width-relative:page;mso-height-relative:page;" filled="f" stroked="f" coordsize="21600,21600" o:gfxdata="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BKAHLSAAAAAwEAAA8AAAAAAAAAAQAgAAAAOAAAAGRycy9kb3ducmV2LnhtbFBLAQIU&#10;ABQAAAAIAIdO4kBzEeXPHAIAABkEAAAOAAAAAAAAAAEAIAAAADcBAABkcnMvZTJvRG9jLnhtbFBL&#10;BQYAAAAABgAGAFkBAADFBQAAAAA=&#10;">
              <v:fill on="f" focussize="0,0"/>
              <v:stroke on="f" weight="0.5pt"/>
              <v:imagedata o:title=""/>
              <o:lock v:ext="edit" aspectratio="f"/>
              <v:textbox inset="0mm,0mm,0mm,0mm">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黑体" w:hAnsi="黑体" w:eastAsia="黑体" w:cs="黑体"/>
        <w:sz w:val="21"/>
        <w:szCs w:val="21"/>
      </w:rPr>
    </w:pPr>
    <w:r>
      <w:rPr>
        <w:rFonts w:hint="eastAsia" w:ascii="黑体" w:hAnsi="黑体" w:eastAsia="黑体" w:cs="黑体"/>
        <w:sz w:val="21"/>
        <w:szCs w:val="21"/>
      </w:rPr>
      <w:t>DB31 T/ XXXXX—XXXX</w:t>
    </w:r>
  </w:p>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黑体" w:hAnsi="黑体" w:eastAsia="黑体" w:cs="黑体"/>
        <w:sz w:val="21"/>
        <w:szCs w:val="21"/>
      </w:rPr>
    </w:pPr>
    <w:r>
      <w:rPr>
        <w:rFonts w:ascii="黑体" w:hAnsi="黑体" w:eastAsia="黑体" w:cs="黑体"/>
        <w:sz w:val="21"/>
        <w:szCs w:val="21"/>
      </w:rPr>
      <w:t>DB31 T/ XXXXX</w:t>
    </w:r>
    <w:r>
      <w:rPr>
        <w:rFonts w:hint="eastAsia" w:ascii="黑体" w:hAnsi="黑体" w:eastAsia="黑体" w:cs="黑体"/>
        <w:sz w:val="21"/>
        <w:szCs w:val="21"/>
      </w:rPr>
      <w:t>—</w:t>
    </w:r>
    <w:r>
      <w:rPr>
        <w:rFonts w:ascii="黑体" w:hAnsi="黑体" w:eastAsia="黑体" w:cs="黑体"/>
        <w:sz w:val="21"/>
        <w:szCs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D6297"/>
    <w:multiLevelType w:val="singleLevel"/>
    <w:tmpl w:val="D57D6297"/>
    <w:lvl w:ilvl="0" w:tentative="0">
      <w:start w:val="1"/>
      <w:numFmt w:val="decimal"/>
      <w:suff w:val="nothing"/>
      <w:lvlText w:val="%1）"/>
      <w:lvlJc w:val="left"/>
    </w:lvl>
  </w:abstractNum>
  <w:abstractNum w:abstractNumId="1">
    <w:nsid w:val="07ED3FEA"/>
    <w:multiLevelType w:val="multilevel"/>
    <w:tmpl w:val="07ED3FEA"/>
    <w:lvl w:ilvl="0" w:tentative="0">
      <w:start w:val="1"/>
      <w:numFmt w:val="none"/>
      <w:pStyle w:val="61"/>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2BF657F"/>
    <w:multiLevelType w:val="multilevel"/>
    <w:tmpl w:val="42BF657F"/>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BC8BAC4"/>
    <w:multiLevelType w:val="singleLevel"/>
    <w:tmpl w:val="5BC8BAC4"/>
    <w:lvl w:ilvl="0" w:tentative="0">
      <w:start w:val="1"/>
      <w:numFmt w:val="lowerLetter"/>
      <w:lvlText w:val="%1)"/>
      <w:lvlJc w:val="left"/>
      <w:pPr>
        <w:tabs>
          <w:tab w:val="left" w:pos="420"/>
        </w:tabs>
        <w:ind w:left="425" w:hanging="425"/>
      </w:pPr>
      <w:rPr>
        <w:rFonts w:hint="default"/>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3"/>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FFD24A8"/>
    <w:multiLevelType w:val="singleLevel"/>
    <w:tmpl w:val="6FFD24A8"/>
    <w:lvl w:ilvl="0" w:tentative="0">
      <w:start w:val="1"/>
      <w:numFmt w:val="decimal"/>
      <w:suff w:val="nothing"/>
      <w:lvlText w:val="%1、"/>
      <w:lvlJc w:val="left"/>
    </w:lvl>
  </w:abstractNum>
  <w:num w:numId="1">
    <w:abstractNumId w:val="1"/>
  </w:num>
  <w:num w:numId="2">
    <w:abstractNumId w:val="4"/>
  </w:num>
  <w:num w:numId="3">
    <w:abstractNumId w:val="3"/>
  </w:num>
  <w:num w:numId="4">
    <w:abstractNumId w:val="0"/>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4ZTBkODg5NmQ5MjgyNTc0NmZmZWRmOTRiMTE1OTAifQ=="/>
  </w:docVars>
  <w:rsids>
    <w:rsidRoot w:val="532003E5"/>
    <w:rsid w:val="000015D8"/>
    <w:rsid w:val="00015AE8"/>
    <w:rsid w:val="0002223A"/>
    <w:rsid w:val="000243CD"/>
    <w:rsid w:val="00025DA0"/>
    <w:rsid w:val="000329DE"/>
    <w:rsid w:val="000477D5"/>
    <w:rsid w:val="000534C1"/>
    <w:rsid w:val="00053BD4"/>
    <w:rsid w:val="00055C0D"/>
    <w:rsid w:val="00064225"/>
    <w:rsid w:val="00074E4F"/>
    <w:rsid w:val="000807CB"/>
    <w:rsid w:val="00087D12"/>
    <w:rsid w:val="00090423"/>
    <w:rsid w:val="00090539"/>
    <w:rsid w:val="0009214C"/>
    <w:rsid w:val="000C1017"/>
    <w:rsid w:val="000C1D28"/>
    <w:rsid w:val="000C449E"/>
    <w:rsid w:val="000D6B08"/>
    <w:rsid w:val="000F1F61"/>
    <w:rsid w:val="000F7D34"/>
    <w:rsid w:val="001001D9"/>
    <w:rsid w:val="00101E7E"/>
    <w:rsid w:val="001026E0"/>
    <w:rsid w:val="00104137"/>
    <w:rsid w:val="001057F9"/>
    <w:rsid w:val="001061C9"/>
    <w:rsid w:val="0010687B"/>
    <w:rsid w:val="00112833"/>
    <w:rsid w:val="00113934"/>
    <w:rsid w:val="00121BAD"/>
    <w:rsid w:val="00122C6E"/>
    <w:rsid w:val="001310C1"/>
    <w:rsid w:val="00131FF6"/>
    <w:rsid w:val="00133732"/>
    <w:rsid w:val="0014034E"/>
    <w:rsid w:val="00143531"/>
    <w:rsid w:val="00156D80"/>
    <w:rsid w:val="0016302D"/>
    <w:rsid w:val="001675DB"/>
    <w:rsid w:val="00172D8C"/>
    <w:rsid w:val="00174E28"/>
    <w:rsid w:val="00183B76"/>
    <w:rsid w:val="0018564B"/>
    <w:rsid w:val="00197143"/>
    <w:rsid w:val="001B4056"/>
    <w:rsid w:val="001B40BF"/>
    <w:rsid w:val="001C5F33"/>
    <w:rsid w:val="001D4BE6"/>
    <w:rsid w:val="001E57F0"/>
    <w:rsid w:val="00202D7A"/>
    <w:rsid w:val="00210BAF"/>
    <w:rsid w:val="00211967"/>
    <w:rsid w:val="002222A8"/>
    <w:rsid w:val="00232D1B"/>
    <w:rsid w:val="00234629"/>
    <w:rsid w:val="002347FB"/>
    <w:rsid w:val="00236B4B"/>
    <w:rsid w:val="002404F7"/>
    <w:rsid w:val="00250BC2"/>
    <w:rsid w:val="00250D90"/>
    <w:rsid w:val="0025401D"/>
    <w:rsid w:val="00260B23"/>
    <w:rsid w:val="00267D51"/>
    <w:rsid w:val="00275A40"/>
    <w:rsid w:val="00276C72"/>
    <w:rsid w:val="00293B47"/>
    <w:rsid w:val="002A711B"/>
    <w:rsid w:val="002B0EAD"/>
    <w:rsid w:val="002B597F"/>
    <w:rsid w:val="002B6972"/>
    <w:rsid w:val="002C1F22"/>
    <w:rsid w:val="002C3694"/>
    <w:rsid w:val="002C57B3"/>
    <w:rsid w:val="002C7BC4"/>
    <w:rsid w:val="002D6B24"/>
    <w:rsid w:val="002E0444"/>
    <w:rsid w:val="002F4F3F"/>
    <w:rsid w:val="002F5247"/>
    <w:rsid w:val="00313888"/>
    <w:rsid w:val="0032055B"/>
    <w:rsid w:val="00325111"/>
    <w:rsid w:val="003269C5"/>
    <w:rsid w:val="00334EB9"/>
    <w:rsid w:val="00363FD8"/>
    <w:rsid w:val="00383ECA"/>
    <w:rsid w:val="00390648"/>
    <w:rsid w:val="003A2917"/>
    <w:rsid w:val="003B0BA7"/>
    <w:rsid w:val="003B79C7"/>
    <w:rsid w:val="003C34D2"/>
    <w:rsid w:val="003C3B35"/>
    <w:rsid w:val="003D0F1E"/>
    <w:rsid w:val="003F77D7"/>
    <w:rsid w:val="00413E74"/>
    <w:rsid w:val="004237C9"/>
    <w:rsid w:val="004319AE"/>
    <w:rsid w:val="00445BD3"/>
    <w:rsid w:val="00456827"/>
    <w:rsid w:val="0046435E"/>
    <w:rsid w:val="0046453F"/>
    <w:rsid w:val="00476939"/>
    <w:rsid w:val="004854F8"/>
    <w:rsid w:val="00492ECA"/>
    <w:rsid w:val="004946E5"/>
    <w:rsid w:val="004A09D2"/>
    <w:rsid w:val="004A0DE8"/>
    <w:rsid w:val="004A3B4E"/>
    <w:rsid w:val="004A7798"/>
    <w:rsid w:val="004B149C"/>
    <w:rsid w:val="004C0545"/>
    <w:rsid w:val="004C28EC"/>
    <w:rsid w:val="004D1A8E"/>
    <w:rsid w:val="004D3E8B"/>
    <w:rsid w:val="004F1031"/>
    <w:rsid w:val="004F379A"/>
    <w:rsid w:val="004F467C"/>
    <w:rsid w:val="004F54E6"/>
    <w:rsid w:val="00502F31"/>
    <w:rsid w:val="005153F6"/>
    <w:rsid w:val="005172B9"/>
    <w:rsid w:val="005172C9"/>
    <w:rsid w:val="00517ED8"/>
    <w:rsid w:val="00537EAC"/>
    <w:rsid w:val="00537EDE"/>
    <w:rsid w:val="005561D2"/>
    <w:rsid w:val="005605B1"/>
    <w:rsid w:val="005614C5"/>
    <w:rsid w:val="0056169D"/>
    <w:rsid w:val="0056172E"/>
    <w:rsid w:val="00574B7A"/>
    <w:rsid w:val="00577EDF"/>
    <w:rsid w:val="0059534C"/>
    <w:rsid w:val="005A5E7B"/>
    <w:rsid w:val="005A6609"/>
    <w:rsid w:val="005B579D"/>
    <w:rsid w:val="005C5E90"/>
    <w:rsid w:val="005C7A43"/>
    <w:rsid w:val="005F06EB"/>
    <w:rsid w:val="00604BE2"/>
    <w:rsid w:val="006102C7"/>
    <w:rsid w:val="00613C24"/>
    <w:rsid w:val="00617B37"/>
    <w:rsid w:val="00653C79"/>
    <w:rsid w:val="0066491A"/>
    <w:rsid w:val="0067492C"/>
    <w:rsid w:val="00682405"/>
    <w:rsid w:val="006831C1"/>
    <w:rsid w:val="00686BDA"/>
    <w:rsid w:val="006B0585"/>
    <w:rsid w:val="006B46EF"/>
    <w:rsid w:val="006D0E94"/>
    <w:rsid w:val="006D4351"/>
    <w:rsid w:val="006E25AD"/>
    <w:rsid w:val="006F116F"/>
    <w:rsid w:val="006F3E3D"/>
    <w:rsid w:val="006F5506"/>
    <w:rsid w:val="007010F9"/>
    <w:rsid w:val="00710A18"/>
    <w:rsid w:val="0071554E"/>
    <w:rsid w:val="00715B6A"/>
    <w:rsid w:val="00723688"/>
    <w:rsid w:val="00751266"/>
    <w:rsid w:val="00754480"/>
    <w:rsid w:val="007613DF"/>
    <w:rsid w:val="0077120A"/>
    <w:rsid w:val="00791C8A"/>
    <w:rsid w:val="00792437"/>
    <w:rsid w:val="007926FB"/>
    <w:rsid w:val="007941AD"/>
    <w:rsid w:val="00795B4C"/>
    <w:rsid w:val="007B55EE"/>
    <w:rsid w:val="007C258A"/>
    <w:rsid w:val="007C4E9A"/>
    <w:rsid w:val="007E461E"/>
    <w:rsid w:val="007E5BC2"/>
    <w:rsid w:val="007F16BE"/>
    <w:rsid w:val="007F2D9A"/>
    <w:rsid w:val="00803831"/>
    <w:rsid w:val="008250F8"/>
    <w:rsid w:val="00833B2F"/>
    <w:rsid w:val="00836454"/>
    <w:rsid w:val="00836916"/>
    <w:rsid w:val="00842725"/>
    <w:rsid w:val="008430A7"/>
    <w:rsid w:val="008451EB"/>
    <w:rsid w:val="00855654"/>
    <w:rsid w:val="008648D0"/>
    <w:rsid w:val="00867504"/>
    <w:rsid w:val="00883C16"/>
    <w:rsid w:val="008867B8"/>
    <w:rsid w:val="008878D7"/>
    <w:rsid w:val="008A1BBD"/>
    <w:rsid w:val="008A41C0"/>
    <w:rsid w:val="008A517F"/>
    <w:rsid w:val="008B3006"/>
    <w:rsid w:val="008C3391"/>
    <w:rsid w:val="008C49CF"/>
    <w:rsid w:val="008D4DBB"/>
    <w:rsid w:val="008D5D74"/>
    <w:rsid w:val="008E1415"/>
    <w:rsid w:val="008F16CD"/>
    <w:rsid w:val="00903573"/>
    <w:rsid w:val="00907E14"/>
    <w:rsid w:val="0091205D"/>
    <w:rsid w:val="0091269E"/>
    <w:rsid w:val="009302D4"/>
    <w:rsid w:val="00933098"/>
    <w:rsid w:val="00936DC5"/>
    <w:rsid w:val="00941CBA"/>
    <w:rsid w:val="009424F7"/>
    <w:rsid w:val="0096487D"/>
    <w:rsid w:val="00983316"/>
    <w:rsid w:val="00983B5C"/>
    <w:rsid w:val="00984E13"/>
    <w:rsid w:val="00992F8B"/>
    <w:rsid w:val="00995C5A"/>
    <w:rsid w:val="009B746C"/>
    <w:rsid w:val="009C07EB"/>
    <w:rsid w:val="009C32EC"/>
    <w:rsid w:val="009E5E5C"/>
    <w:rsid w:val="009F1862"/>
    <w:rsid w:val="009F19BD"/>
    <w:rsid w:val="009F224C"/>
    <w:rsid w:val="00A17EB5"/>
    <w:rsid w:val="00A26328"/>
    <w:rsid w:val="00A365C0"/>
    <w:rsid w:val="00A45C89"/>
    <w:rsid w:val="00A47B31"/>
    <w:rsid w:val="00A512CE"/>
    <w:rsid w:val="00A54871"/>
    <w:rsid w:val="00A63021"/>
    <w:rsid w:val="00A73812"/>
    <w:rsid w:val="00A83F87"/>
    <w:rsid w:val="00A84B87"/>
    <w:rsid w:val="00A877C2"/>
    <w:rsid w:val="00A909EB"/>
    <w:rsid w:val="00A92728"/>
    <w:rsid w:val="00A92F5A"/>
    <w:rsid w:val="00A93DB6"/>
    <w:rsid w:val="00AA0873"/>
    <w:rsid w:val="00AB7B3E"/>
    <w:rsid w:val="00AC464F"/>
    <w:rsid w:val="00AE381B"/>
    <w:rsid w:val="00AF3DA7"/>
    <w:rsid w:val="00AF6E40"/>
    <w:rsid w:val="00B04D26"/>
    <w:rsid w:val="00B11999"/>
    <w:rsid w:val="00B13B03"/>
    <w:rsid w:val="00B14C7B"/>
    <w:rsid w:val="00B249C8"/>
    <w:rsid w:val="00B24B66"/>
    <w:rsid w:val="00B44658"/>
    <w:rsid w:val="00B459A9"/>
    <w:rsid w:val="00B46AF8"/>
    <w:rsid w:val="00B477B6"/>
    <w:rsid w:val="00B521EE"/>
    <w:rsid w:val="00B53720"/>
    <w:rsid w:val="00B605EC"/>
    <w:rsid w:val="00B6333A"/>
    <w:rsid w:val="00B65CCA"/>
    <w:rsid w:val="00B66478"/>
    <w:rsid w:val="00B66BE0"/>
    <w:rsid w:val="00B734A7"/>
    <w:rsid w:val="00B77063"/>
    <w:rsid w:val="00B8472D"/>
    <w:rsid w:val="00B91C52"/>
    <w:rsid w:val="00BA284C"/>
    <w:rsid w:val="00BA4F39"/>
    <w:rsid w:val="00BA7698"/>
    <w:rsid w:val="00BB3D9F"/>
    <w:rsid w:val="00BC0EB3"/>
    <w:rsid w:val="00BC3172"/>
    <w:rsid w:val="00BC353A"/>
    <w:rsid w:val="00BD1EB8"/>
    <w:rsid w:val="00BD773E"/>
    <w:rsid w:val="00BE4634"/>
    <w:rsid w:val="00BF2C67"/>
    <w:rsid w:val="00BF6E4C"/>
    <w:rsid w:val="00C07621"/>
    <w:rsid w:val="00C231B5"/>
    <w:rsid w:val="00C27F49"/>
    <w:rsid w:val="00C34A4E"/>
    <w:rsid w:val="00C36671"/>
    <w:rsid w:val="00C46B05"/>
    <w:rsid w:val="00C5082A"/>
    <w:rsid w:val="00C51C8A"/>
    <w:rsid w:val="00C55E72"/>
    <w:rsid w:val="00C724C7"/>
    <w:rsid w:val="00C769E6"/>
    <w:rsid w:val="00C81D92"/>
    <w:rsid w:val="00C83CF8"/>
    <w:rsid w:val="00C84744"/>
    <w:rsid w:val="00C941B9"/>
    <w:rsid w:val="00C944BD"/>
    <w:rsid w:val="00CA2E95"/>
    <w:rsid w:val="00CA3C1F"/>
    <w:rsid w:val="00CB4A10"/>
    <w:rsid w:val="00CD1E2B"/>
    <w:rsid w:val="00CD654D"/>
    <w:rsid w:val="00CE6B91"/>
    <w:rsid w:val="00CF0F61"/>
    <w:rsid w:val="00CF499F"/>
    <w:rsid w:val="00CF622A"/>
    <w:rsid w:val="00D031A3"/>
    <w:rsid w:val="00D1670E"/>
    <w:rsid w:val="00D21F15"/>
    <w:rsid w:val="00D22E74"/>
    <w:rsid w:val="00D24245"/>
    <w:rsid w:val="00D24A22"/>
    <w:rsid w:val="00D31C24"/>
    <w:rsid w:val="00D42D6D"/>
    <w:rsid w:val="00D56390"/>
    <w:rsid w:val="00D57E2A"/>
    <w:rsid w:val="00D60C7C"/>
    <w:rsid w:val="00D63B8F"/>
    <w:rsid w:val="00D87666"/>
    <w:rsid w:val="00D91B6B"/>
    <w:rsid w:val="00D92449"/>
    <w:rsid w:val="00D934CA"/>
    <w:rsid w:val="00D956F1"/>
    <w:rsid w:val="00D97046"/>
    <w:rsid w:val="00DA1D44"/>
    <w:rsid w:val="00DA554E"/>
    <w:rsid w:val="00DA66E5"/>
    <w:rsid w:val="00DB11B0"/>
    <w:rsid w:val="00DB544B"/>
    <w:rsid w:val="00DE2C4E"/>
    <w:rsid w:val="00DE4E3E"/>
    <w:rsid w:val="00DF0B6D"/>
    <w:rsid w:val="00E03E29"/>
    <w:rsid w:val="00E070CE"/>
    <w:rsid w:val="00E07E0B"/>
    <w:rsid w:val="00E15191"/>
    <w:rsid w:val="00E151E7"/>
    <w:rsid w:val="00E15F22"/>
    <w:rsid w:val="00E1619A"/>
    <w:rsid w:val="00E1773E"/>
    <w:rsid w:val="00E2031E"/>
    <w:rsid w:val="00E227D9"/>
    <w:rsid w:val="00E2506C"/>
    <w:rsid w:val="00E2513F"/>
    <w:rsid w:val="00E256AD"/>
    <w:rsid w:val="00E26E1C"/>
    <w:rsid w:val="00E2741E"/>
    <w:rsid w:val="00E31DDB"/>
    <w:rsid w:val="00E45553"/>
    <w:rsid w:val="00E45B61"/>
    <w:rsid w:val="00E558C1"/>
    <w:rsid w:val="00E576BB"/>
    <w:rsid w:val="00E5792E"/>
    <w:rsid w:val="00E6434F"/>
    <w:rsid w:val="00E676F9"/>
    <w:rsid w:val="00E715D9"/>
    <w:rsid w:val="00E73B48"/>
    <w:rsid w:val="00E91205"/>
    <w:rsid w:val="00E95C3F"/>
    <w:rsid w:val="00E964AB"/>
    <w:rsid w:val="00EA4D68"/>
    <w:rsid w:val="00EB03DF"/>
    <w:rsid w:val="00EB7882"/>
    <w:rsid w:val="00EC2A07"/>
    <w:rsid w:val="00EF31D8"/>
    <w:rsid w:val="00EF63F5"/>
    <w:rsid w:val="00F1402B"/>
    <w:rsid w:val="00F20691"/>
    <w:rsid w:val="00F20A01"/>
    <w:rsid w:val="00F256D1"/>
    <w:rsid w:val="00F306A5"/>
    <w:rsid w:val="00F36BD3"/>
    <w:rsid w:val="00F565EC"/>
    <w:rsid w:val="00F57018"/>
    <w:rsid w:val="00F60FE8"/>
    <w:rsid w:val="00F81666"/>
    <w:rsid w:val="00F877FB"/>
    <w:rsid w:val="00F9178C"/>
    <w:rsid w:val="00F91E8C"/>
    <w:rsid w:val="00FA023A"/>
    <w:rsid w:val="00FA0C7F"/>
    <w:rsid w:val="00FA203B"/>
    <w:rsid w:val="00FA579F"/>
    <w:rsid w:val="00FA6C5C"/>
    <w:rsid w:val="00FB0A76"/>
    <w:rsid w:val="00FB59E3"/>
    <w:rsid w:val="00FB737D"/>
    <w:rsid w:val="00FB7643"/>
    <w:rsid w:val="00FC0663"/>
    <w:rsid w:val="00FC44F7"/>
    <w:rsid w:val="00FD0532"/>
    <w:rsid w:val="00FD43C2"/>
    <w:rsid w:val="00FD5C44"/>
    <w:rsid w:val="00FD62AF"/>
    <w:rsid w:val="00FD68A4"/>
    <w:rsid w:val="00FE4303"/>
    <w:rsid w:val="01D5172A"/>
    <w:rsid w:val="02A243E6"/>
    <w:rsid w:val="04FF28AB"/>
    <w:rsid w:val="055F3790"/>
    <w:rsid w:val="0817170B"/>
    <w:rsid w:val="0E1034C0"/>
    <w:rsid w:val="0ECC5994"/>
    <w:rsid w:val="0F3F7CF5"/>
    <w:rsid w:val="0FF6101C"/>
    <w:rsid w:val="114A40D4"/>
    <w:rsid w:val="13A4281C"/>
    <w:rsid w:val="14633C1E"/>
    <w:rsid w:val="182C1032"/>
    <w:rsid w:val="19322DD9"/>
    <w:rsid w:val="1EA61E5B"/>
    <w:rsid w:val="1EED7836"/>
    <w:rsid w:val="1F5F02AA"/>
    <w:rsid w:val="1FB94A9C"/>
    <w:rsid w:val="20AC2FA6"/>
    <w:rsid w:val="215F1C21"/>
    <w:rsid w:val="25FF38E2"/>
    <w:rsid w:val="282F2F82"/>
    <w:rsid w:val="28A37E9D"/>
    <w:rsid w:val="29D84423"/>
    <w:rsid w:val="2D0B2A3F"/>
    <w:rsid w:val="2FFA59FB"/>
    <w:rsid w:val="30DC2430"/>
    <w:rsid w:val="32851872"/>
    <w:rsid w:val="339B5456"/>
    <w:rsid w:val="35577297"/>
    <w:rsid w:val="36981915"/>
    <w:rsid w:val="38D7C604"/>
    <w:rsid w:val="3ACD1ADF"/>
    <w:rsid w:val="3CEC204F"/>
    <w:rsid w:val="3D0A11C2"/>
    <w:rsid w:val="3D4E0F7F"/>
    <w:rsid w:val="3FF20ECB"/>
    <w:rsid w:val="415C16DC"/>
    <w:rsid w:val="426A6C05"/>
    <w:rsid w:val="44B94FD9"/>
    <w:rsid w:val="464927FC"/>
    <w:rsid w:val="492B33FF"/>
    <w:rsid w:val="49475A70"/>
    <w:rsid w:val="49FB423D"/>
    <w:rsid w:val="4C5835CD"/>
    <w:rsid w:val="4F6FFD19"/>
    <w:rsid w:val="512D1FCF"/>
    <w:rsid w:val="532003E5"/>
    <w:rsid w:val="56C28582"/>
    <w:rsid w:val="56FC7846"/>
    <w:rsid w:val="57DAF6FE"/>
    <w:rsid w:val="581D085A"/>
    <w:rsid w:val="5A897643"/>
    <w:rsid w:val="5BE32E3A"/>
    <w:rsid w:val="5E9264E3"/>
    <w:rsid w:val="5EAA549F"/>
    <w:rsid w:val="5F7AB093"/>
    <w:rsid w:val="5FDC6467"/>
    <w:rsid w:val="5FEF7D1E"/>
    <w:rsid w:val="60FD0443"/>
    <w:rsid w:val="62DE769A"/>
    <w:rsid w:val="64BB489D"/>
    <w:rsid w:val="662B67A3"/>
    <w:rsid w:val="67FA5D46"/>
    <w:rsid w:val="698E2A53"/>
    <w:rsid w:val="69FDF765"/>
    <w:rsid w:val="6A242EE4"/>
    <w:rsid w:val="6A561163"/>
    <w:rsid w:val="6A570C85"/>
    <w:rsid w:val="6DEF7365"/>
    <w:rsid w:val="6EF21014"/>
    <w:rsid w:val="6F7D516B"/>
    <w:rsid w:val="6FD77AF9"/>
    <w:rsid w:val="6FEE9729"/>
    <w:rsid w:val="710010F4"/>
    <w:rsid w:val="72FD42D3"/>
    <w:rsid w:val="7680773A"/>
    <w:rsid w:val="76D57A40"/>
    <w:rsid w:val="76FFEEC7"/>
    <w:rsid w:val="77181C73"/>
    <w:rsid w:val="77B77800"/>
    <w:rsid w:val="79F95131"/>
    <w:rsid w:val="7B7C2705"/>
    <w:rsid w:val="7C6A0C2B"/>
    <w:rsid w:val="7CB82A60"/>
    <w:rsid w:val="7DCF7E7D"/>
    <w:rsid w:val="7DFBCB70"/>
    <w:rsid w:val="7EFEE073"/>
    <w:rsid w:val="7FFFEB35"/>
    <w:rsid w:val="A77FBFC8"/>
    <w:rsid w:val="ABFF8C1A"/>
    <w:rsid w:val="BD7E603D"/>
    <w:rsid w:val="D11B53EE"/>
    <w:rsid w:val="DFFF9C6D"/>
    <w:rsid w:val="E7BED091"/>
    <w:rsid w:val="F6ABF039"/>
    <w:rsid w:val="FB3B813A"/>
    <w:rsid w:val="FE7FF756"/>
    <w:rsid w:val="FF6FC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480" w:after="360"/>
      <w:jc w:val="center"/>
      <w:outlineLvl w:val="0"/>
    </w:pPr>
    <w:rPr>
      <w:rFonts w:eastAsia="黑体" w:asciiTheme="minorHAnsi" w:hAnsiTheme="minorHAnsi"/>
      <w:b/>
      <w:kern w:val="44"/>
      <w:sz w:val="36"/>
    </w:rPr>
  </w:style>
  <w:style w:type="paragraph" w:styleId="3">
    <w:name w:val="heading 2"/>
    <w:basedOn w:val="1"/>
    <w:next w:val="1"/>
    <w:link w:val="44"/>
    <w:semiHidden/>
    <w:unhideWhenUsed/>
    <w:qFormat/>
    <w:uiPriority w:val="0"/>
    <w:pPr>
      <w:keepNext/>
      <w:keepLines/>
      <w:spacing w:before="480" w:after="120" w:line="400" w:lineRule="exact"/>
      <w:jc w:val="left"/>
      <w:outlineLvl w:val="1"/>
    </w:pPr>
    <w:rPr>
      <w:rFonts w:ascii="Times New Roman" w:hAnsi="Times New Roman"/>
      <w:b/>
      <w:bCs/>
      <w:sz w:val="28"/>
    </w:rPr>
  </w:style>
  <w:style w:type="paragraph" w:styleId="4">
    <w:name w:val="heading 3"/>
    <w:basedOn w:val="1"/>
    <w:next w:val="1"/>
    <w:semiHidden/>
    <w:unhideWhenUsed/>
    <w:qFormat/>
    <w:uiPriority w:val="0"/>
    <w:pPr>
      <w:keepNext/>
      <w:keepLines/>
      <w:spacing w:before="240" w:after="120" w:line="400" w:lineRule="exact"/>
      <w:jc w:val="left"/>
      <w:outlineLvl w:val="2"/>
    </w:pPr>
    <w:rPr>
      <w:rFonts w:asciiTheme="minorHAnsi" w:hAnsiTheme="minorHAnsi"/>
      <w:b/>
      <w:sz w:val="24"/>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8"/>
    <w:qFormat/>
    <w:uiPriority w:val="0"/>
    <w:pPr>
      <w:jc w:val="left"/>
    </w:pPr>
  </w:style>
  <w:style w:type="paragraph" w:styleId="7">
    <w:name w:val="Body Text"/>
    <w:basedOn w:val="1"/>
    <w:link w:val="53"/>
    <w:qFormat/>
    <w:uiPriority w:val="1"/>
    <w:pPr>
      <w:ind w:left="538"/>
    </w:pPr>
    <w:rPr>
      <w:rFonts w:ascii="宋体" w:hAnsi="宋体"/>
      <w:szCs w:val="21"/>
    </w:rPr>
  </w:style>
  <w:style w:type="paragraph" w:styleId="8">
    <w:name w:val="footer"/>
    <w:basedOn w:val="1"/>
    <w:link w:val="26"/>
    <w:qFormat/>
    <w:uiPriority w:val="0"/>
    <w:pPr>
      <w:tabs>
        <w:tab w:val="center" w:pos="4153"/>
        <w:tab w:val="right" w:pos="8306"/>
      </w:tabs>
      <w:snapToGrid w:val="0"/>
      <w:jc w:val="left"/>
    </w:pPr>
    <w:rPr>
      <w:sz w:val="18"/>
      <w:szCs w:val="18"/>
    </w:rPr>
  </w:style>
  <w:style w:type="paragraph" w:styleId="9">
    <w:name w:val="header"/>
    <w:basedOn w:val="1"/>
    <w:link w:val="25"/>
    <w:qFormat/>
    <w:uiPriority w:val="0"/>
    <w:pP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Normal (Web)"/>
    <w:basedOn w:val="1"/>
    <w:qFormat/>
    <w:uiPriority w:val="99"/>
    <w:pPr>
      <w:spacing w:beforeAutospacing="1" w:afterAutospacing="1"/>
      <w:jc w:val="left"/>
    </w:pPr>
    <w:rPr>
      <w:kern w:val="0"/>
      <w:sz w:val="24"/>
    </w:rPr>
  </w:style>
  <w:style w:type="paragraph" w:styleId="14">
    <w:name w:val="annotation subject"/>
    <w:basedOn w:val="6"/>
    <w:next w:val="6"/>
    <w:link w:val="59"/>
    <w:qFormat/>
    <w:uiPriority w:val="0"/>
    <w:rPr>
      <w:b/>
      <w:bCs/>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Emphasis"/>
    <w:basedOn w:val="17"/>
    <w:qFormat/>
    <w:uiPriority w:val="20"/>
    <w:rPr>
      <w:i/>
      <w:iCs/>
    </w:rPr>
  </w:style>
  <w:style w:type="character" w:styleId="20">
    <w:name w:val="Hyperlink"/>
    <w:basedOn w:val="17"/>
    <w:qFormat/>
    <w:uiPriority w:val="0"/>
    <w:rPr>
      <w:color w:val="0000FF"/>
      <w:u w:val="single"/>
    </w:rPr>
  </w:style>
  <w:style w:type="character" w:styleId="21">
    <w:name w:val="HTML Code"/>
    <w:basedOn w:val="17"/>
    <w:qFormat/>
    <w:uiPriority w:val="0"/>
    <w:rPr>
      <w:rFonts w:ascii="Courier New" w:hAnsi="Courier New"/>
      <w:sz w:val="20"/>
    </w:rPr>
  </w:style>
  <w:style w:type="character" w:styleId="22">
    <w:name w:val="annotation reference"/>
    <w:basedOn w:val="17"/>
    <w:qFormat/>
    <w:uiPriority w:val="0"/>
    <w:rPr>
      <w:sz w:val="21"/>
      <w:szCs w:val="21"/>
    </w:rPr>
  </w:style>
  <w:style w:type="paragraph" w:customStyle="1" w:styleId="23">
    <w:name w:val="样式1"/>
    <w:basedOn w:val="1"/>
    <w:qFormat/>
    <w:uiPriority w:val="0"/>
    <w:pPr>
      <w:ind w:firstLine="200" w:firstLineChars="200"/>
    </w:pPr>
    <w:rPr>
      <w:rFonts w:ascii="Times New Roman" w:hAnsi="Times New Roman"/>
      <w:szCs w:val="22"/>
    </w:rPr>
  </w:style>
  <w:style w:type="paragraph" w:customStyle="1" w:styleId="24">
    <w:name w:val="表文"/>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25">
    <w:name w:val="页眉 字符"/>
    <w:basedOn w:val="17"/>
    <w:link w:val="9"/>
    <w:qFormat/>
    <w:uiPriority w:val="0"/>
    <w:rPr>
      <w:rFonts w:ascii="Calibri" w:hAnsi="Calibri"/>
      <w:kern w:val="2"/>
      <w:sz w:val="18"/>
      <w:szCs w:val="18"/>
    </w:rPr>
  </w:style>
  <w:style w:type="character" w:customStyle="1" w:styleId="26">
    <w:name w:val="页脚 字符"/>
    <w:basedOn w:val="17"/>
    <w:link w:val="8"/>
    <w:qFormat/>
    <w:uiPriority w:val="0"/>
    <w:rPr>
      <w:rFonts w:ascii="Calibri" w:hAnsi="Calibri"/>
      <w:kern w:val="2"/>
      <w:sz w:val="18"/>
      <w:szCs w:val="18"/>
    </w:rPr>
  </w:style>
  <w:style w:type="paragraph" w:customStyle="1" w:styleId="2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28">
    <w:name w:val="发布"/>
    <w:qFormat/>
    <w:uiPriority w:val="0"/>
    <w:rPr>
      <w:rFonts w:ascii="黑体" w:eastAsia="黑体"/>
      <w:spacing w:val="85"/>
      <w:w w:val="100"/>
      <w:position w:val="3"/>
      <w:sz w:val="28"/>
      <w:szCs w:val="28"/>
    </w:rPr>
  </w:style>
  <w:style w:type="paragraph" w:customStyle="1" w:styleId="2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一致性程度标识"/>
    <w:basedOn w:val="1"/>
    <w:qFormat/>
    <w:uiPriority w:val="0"/>
    <w:pPr>
      <w:framePr w:w="9639" w:h="6917" w:hRule="exact" w:wrap="around" w:vAnchor="page" w:hAnchor="page" w:xAlign="center" w:y="6408" w:anchorLock="1"/>
      <w:spacing w:before="440" w:line="400" w:lineRule="exact"/>
      <w:jc w:val="center"/>
      <w:textAlignment w:val="center"/>
    </w:pPr>
    <w:rPr>
      <w:rFonts w:ascii="宋体" w:hAnsi="Times New Roman"/>
      <w:kern w:val="0"/>
      <w:sz w:val="28"/>
      <w:szCs w:val="28"/>
    </w:rPr>
  </w:style>
  <w:style w:type="paragraph" w:customStyle="1" w:styleId="32">
    <w:name w:val="封面标准文稿类别"/>
    <w:basedOn w:val="31"/>
    <w:qFormat/>
    <w:uiPriority w:val="0"/>
    <w:pPr>
      <w:framePr/>
      <w:spacing w:after="160" w:line="240" w:lineRule="auto"/>
    </w:pPr>
    <w:rPr>
      <w:sz w:val="24"/>
    </w:rPr>
  </w:style>
  <w:style w:type="paragraph" w:customStyle="1" w:styleId="33">
    <w:name w:val="封面标准文稿编辑信息"/>
    <w:basedOn w:val="32"/>
    <w:qFormat/>
    <w:uiPriority w:val="0"/>
    <w:pPr>
      <w:framePr/>
      <w:spacing w:before="180" w:line="180" w:lineRule="exact"/>
    </w:pPr>
    <w:rPr>
      <w:sz w:val="21"/>
    </w:rPr>
  </w:style>
  <w:style w:type="paragraph" w:customStyle="1" w:styleId="34">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b/>
      <w:w w:val="130"/>
      <w:kern w:val="0"/>
      <w:sz w:val="96"/>
      <w:szCs w:val="96"/>
    </w:rPr>
  </w:style>
  <w:style w:type="paragraph" w:customStyle="1" w:styleId="3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6">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spacing w:val="20"/>
      <w:w w:val="135"/>
      <w:kern w:val="0"/>
      <w:sz w:val="28"/>
      <w:szCs w:val="20"/>
    </w:rPr>
  </w:style>
  <w:style w:type="paragraph" w:customStyle="1" w:styleId="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kern w:val="0"/>
      <w:sz w:val="28"/>
      <w:szCs w:val="20"/>
    </w:rPr>
  </w:style>
  <w:style w:type="paragraph" w:customStyle="1" w:styleId="39">
    <w:name w:val="其他实施日期"/>
    <w:basedOn w:val="1"/>
    <w:qFormat/>
    <w:uiPriority w:val="0"/>
    <w:pPr>
      <w:framePr w:w="3997" w:h="471" w:hRule="exact" w:vSpace="181" w:wrap="around" w:vAnchor="page" w:hAnchor="page" w:x="7089" w:y="14097" w:anchorLock="1"/>
      <w:widowControl/>
      <w:jc w:val="right"/>
    </w:pPr>
    <w:rPr>
      <w:rFonts w:ascii="Times New Roman" w:hAnsi="Times New Roman" w:eastAsia="黑体"/>
      <w:kern w:val="0"/>
      <w:sz w:val="28"/>
      <w:szCs w:val="20"/>
    </w:rPr>
  </w:style>
  <w:style w:type="paragraph" w:customStyle="1" w:styleId="40">
    <w:name w:val="段"/>
    <w:link w:val="4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1">
    <w:name w:val="段 Char"/>
    <w:link w:val="40"/>
    <w:qFormat/>
    <w:uiPriority w:val="0"/>
    <w:rPr>
      <w:rFonts w:ascii="宋体"/>
      <w:sz w:val="21"/>
    </w:rPr>
  </w:style>
  <w:style w:type="paragraph" w:customStyle="1" w:styleId="42">
    <w:name w:val="前言、引言标题"/>
    <w:next w:val="4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styleId="43">
    <w:name w:val="List Paragraph"/>
    <w:basedOn w:val="1"/>
    <w:unhideWhenUsed/>
    <w:qFormat/>
    <w:uiPriority w:val="99"/>
    <w:pPr>
      <w:ind w:firstLine="420" w:firstLineChars="200"/>
    </w:pPr>
  </w:style>
  <w:style w:type="character" w:customStyle="1" w:styleId="44">
    <w:name w:val="标题 2 字符"/>
    <w:basedOn w:val="17"/>
    <w:link w:val="3"/>
    <w:semiHidden/>
    <w:qFormat/>
    <w:uiPriority w:val="0"/>
    <w:rPr>
      <w:b/>
      <w:bCs/>
      <w:kern w:val="2"/>
      <w:sz w:val="28"/>
      <w:szCs w:val="24"/>
    </w:rPr>
  </w:style>
  <w:style w:type="character" w:customStyle="1" w:styleId="45">
    <w:name w:val="katex-mathml"/>
    <w:basedOn w:val="17"/>
    <w:qFormat/>
    <w:uiPriority w:val="0"/>
  </w:style>
  <w:style w:type="character" w:customStyle="1" w:styleId="46">
    <w:name w:val="mord"/>
    <w:basedOn w:val="17"/>
    <w:qFormat/>
    <w:uiPriority w:val="0"/>
  </w:style>
  <w:style w:type="character" w:customStyle="1" w:styleId="47">
    <w:name w:val="vlist-s"/>
    <w:basedOn w:val="17"/>
    <w:qFormat/>
    <w:uiPriority w:val="0"/>
  </w:style>
  <w:style w:type="character" w:customStyle="1" w:styleId="48">
    <w:name w:val="mrel"/>
    <w:basedOn w:val="17"/>
    <w:qFormat/>
    <w:uiPriority w:val="0"/>
  </w:style>
  <w:style w:type="character" w:customStyle="1" w:styleId="49">
    <w:name w:val="mop"/>
    <w:basedOn w:val="17"/>
    <w:qFormat/>
    <w:uiPriority w:val="0"/>
  </w:style>
  <w:style w:type="character" w:customStyle="1" w:styleId="50">
    <w:name w:val="mopen"/>
    <w:basedOn w:val="17"/>
    <w:qFormat/>
    <w:uiPriority w:val="0"/>
  </w:style>
  <w:style w:type="character" w:customStyle="1" w:styleId="51">
    <w:name w:val="mbin"/>
    <w:basedOn w:val="17"/>
    <w:qFormat/>
    <w:uiPriority w:val="0"/>
  </w:style>
  <w:style w:type="character" w:customStyle="1" w:styleId="52">
    <w:name w:val="mclose"/>
    <w:basedOn w:val="17"/>
    <w:qFormat/>
    <w:uiPriority w:val="0"/>
  </w:style>
  <w:style w:type="character" w:customStyle="1" w:styleId="53">
    <w:name w:val="正文文本 字符"/>
    <w:basedOn w:val="17"/>
    <w:link w:val="7"/>
    <w:qFormat/>
    <w:uiPriority w:val="1"/>
    <w:rPr>
      <w:rFonts w:ascii="宋体" w:hAnsi="宋体"/>
      <w:kern w:val="2"/>
      <w:sz w:val="21"/>
      <w:szCs w:val="21"/>
    </w:rPr>
  </w:style>
  <w:style w:type="character" w:styleId="54">
    <w:name w:val="Placeholder Text"/>
    <w:basedOn w:val="17"/>
    <w:unhideWhenUsed/>
    <w:qFormat/>
    <w:uiPriority w:val="99"/>
    <w:rPr>
      <w:color w:val="808080"/>
    </w:rPr>
  </w:style>
  <w:style w:type="paragraph" w:customStyle="1" w:styleId="55">
    <w:name w:val="列表段落1"/>
    <w:basedOn w:val="1"/>
    <w:qFormat/>
    <w:uiPriority w:val="0"/>
    <w:pPr>
      <w:ind w:firstLine="420" w:firstLineChars="200"/>
    </w:pPr>
    <w:rPr>
      <w:rFonts w:ascii="Times New Roman" w:hAnsi="Times New Roman"/>
      <w:szCs w:val="21"/>
    </w:rPr>
  </w:style>
  <w:style w:type="paragraph" w:customStyle="1" w:styleId="56">
    <w:name w:val="本文正文"/>
    <w:basedOn w:val="1"/>
    <w:qFormat/>
    <w:uiPriority w:val="0"/>
    <w:pPr>
      <w:spacing w:line="360" w:lineRule="auto"/>
      <w:ind w:firstLine="200" w:firstLineChars="200"/>
    </w:pPr>
    <w:rPr>
      <w:rFonts w:ascii="Times New Roman" w:hAnsi="Times New Roman"/>
      <w:sz w:val="24"/>
    </w:rPr>
  </w:style>
  <w:style w:type="paragraph" w:customStyle="1" w:styleId="57">
    <w:name w:val="样式2"/>
    <w:basedOn w:val="1"/>
    <w:qFormat/>
    <w:uiPriority w:val="0"/>
    <w:pPr>
      <w:widowControl/>
      <w:jc w:val="center"/>
    </w:pPr>
    <w:rPr>
      <w:rFonts w:hint="eastAsia" w:ascii="Times New Roman" w:hAnsi="Times New Roman"/>
      <w:szCs w:val="22"/>
    </w:rPr>
  </w:style>
  <w:style w:type="character" w:customStyle="1" w:styleId="58">
    <w:name w:val="批注文字 字符"/>
    <w:basedOn w:val="17"/>
    <w:link w:val="6"/>
    <w:qFormat/>
    <w:uiPriority w:val="0"/>
    <w:rPr>
      <w:rFonts w:ascii="Calibri" w:hAnsi="Calibri"/>
      <w:kern w:val="2"/>
      <w:sz w:val="21"/>
      <w:szCs w:val="24"/>
    </w:rPr>
  </w:style>
  <w:style w:type="character" w:customStyle="1" w:styleId="59">
    <w:name w:val="批注主题 字符"/>
    <w:basedOn w:val="58"/>
    <w:link w:val="14"/>
    <w:qFormat/>
    <w:uiPriority w:val="0"/>
    <w:rPr>
      <w:rFonts w:ascii="Calibri" w:hAnsi="Calibri"/>
      <w:b/>
      <w:bCs/>
      <w:kern w:val="2"/>
      <w:sz w:val="21"/>
      <w:szCs w:val="24"/>
    </w:rPr>
  </w:style>
  <w:style w:type="paragraph" w:customStyle="1" w:styleId="60">
    <w:name w:val="标准文件_目录标题"/>
    <w:basedOn w:val="1"/>
    <w:qFormat/>
    <w:uiPriority w:val="0"/>
    <w:pPr>
      <w:spacing w:before="480" w:after="150" w:afterLines="150"/>
      <w:jc w:val="center"/>
    </w:pPr>
    <w:rPr>
      <w:rFonts w:ascii="黑体" w:eastAsia="黑体"/>
      <w:sz w:val="32"/>
    </w:rPr>
  </w:style>
  <w:style w:type="paragraph" w:customStyle="1" w:styleId="61">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6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63">
    <w:name w:val="标准文件_章标题"/>
    <w:next w:val="6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2290</Words>
  <Characters>13055</Characters>
  <Lines>108</Lines>
  <Paragraphs>30</Paragraphs>
  <TotalTime>8</TotalTime>
  <ScaleCrop>false</ScaleCrop>
  <LinksUpToDate>false</LinksUpToDate>
  <CharactersWithSpaces>15315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2025-11-02T13:28:00Z</dcterms:created>
  <dc:creator>WPS_1614270388</dc:creator>
  <cp:lastModifiedBy>jbh</cp:lastModifiedBy>
  <dcterms:modified xsi:type="dcterms:W3CDTF">2025-11-03T13:39:09Z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AE40BFD67BB94E898219908BDED89305_13</vt:lpwstr>
  </property>
  <property fmtid="{D5CDD505-2E9C-101B-9397-08002B2CF9AE}" pid="4" name="KSOTemplateDocerSaveRecord">
    <vt:lpwstr>eyJoZGlkIjoiMmVlMWYxMzJmY2MwNWFjMDhmMGEwMWVjNWY4OTZiNDAiLCJ1c2VySWQiOiIxNjcwODgzOTI3In0=</vt:lpwstr>
  </property>
</Properties>
</file>