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5745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6EE662C">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757CB41">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13.100 </w:t>
            </w:r>
            <w:r>
              <w:rPr>
                <w:rFonts w:ascii="黑体" w:hAnsi="黑体" w:eastAsia="黑体"/>
                <w:sz w:val="21"/>
                <w:szCs w:val="21"/>
              </w:rPr>
              <w:fldChar w:fldCharType="end"/>
            </w:r>
            <w:bookmarkEnd w:id="0"/>
          </w:p>
        </w:tc>
      </w:tr>
      <w:tr w14:paraId="46580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1E4CDD2">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E01726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 65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BCA964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AB56975">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45</w:t>
            </w:r>
            <w:r>
              <w:fldChar w:fldCharType="end"/>
            </w:r>
            <w:bookmarkEnd w:id="3"/>
          </w:p>
        </w:tc>
      </w:tr>
    </w:tbl>
    <w:p w14:paraId="743F288A">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广西壮族自治区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E7BF9C3">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45/T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69BEFAC">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23DAE24">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81B1DA0">
      <w:pPr>
        <w:pStyle w:val="50"/>
        <w:framePr w:w="9639" w:h="6976" w:hRule="exact" w:hSpace="0" w:vSpace="0" w:wrap="around" w:hAnchor="page" w:y="6408"/>
        <w:jc w:val="center"/>
        <w:rPr>
          <w:rFonts w:ascii="黑体" w:hAnsi="黑体" w:eastAsia="黑体"/>
          <w:b w:val="0"/>
          <w:bCs w:val="0"/>
          <w:w w:val="100"/>
        </w:rPr>
      </w:pPr>
    </w:p>
    <w:p w14:paraId="6CA8BFB9">
      <w:pPr>
        <w:pStyle w:val="197"/>
        <w:framePr w:h="6974" w:hRule="exact" w:wrap="around" w:x="1419" w:anchorLock="1"/>
        <w:rPr>
          <w:w w:val="90"/>
        </w:rPr>
      </w:pPr>
      <w:r>
        <w:rPr>
          <w:w w:val="90"/>
        </w:rPr>
        <w:fldChar w:fldCharType="begin">
          <w:ffData>
            <w:name w:val="CSTD_NAME"/>
            <w:enabled/>
            <w:calcOnExit w:val="0"/>
            <w:textInput>
              <w:default w:val="点击此处添加标准名称"/>
            </w:textInput>
          </w:ffData>
        </w:fldChar>
      </w:r>
      <w:bookmarkStart w:id="9" w:name="CSTD_NAME"/>
      <w:r>
        <w:rPr>
          <w:w w:val="90"/>
        </w:rPr>
        <w:instrText xml:space="preserve"> FORMTEXT </w:instrText>
      </w:r>
      <w:r>
        <w:rPr>
          <w:w w:val="90"/>
        </w:rPr>
        <w:fldChar w:fldCharType="separate"/>
      </w:r>
      <w:r>
        <w:rPr>
          <w:rFonts w:hint="eastAsia"/>
          <w:w w:val="90"/>
        </w:rPr>
        <w:t>餐饮用醇基液体燃料安全使用规范</w:t>
      </w:r>
      <w:r>
        <w:rPr>
          <w:w w:val="90"/>
        </w:rPr>
        <w:fldChar w:fldCharType="end"/>
      </w:r>
      <w:bookmarkEnd w:id="9"/>
    </w:p>
    <w:p w14:paraId="0BCAAA66">
      <w:pPr>
        <w:framePr w:w="9639" w:h="6974" w:hRule="exact" w:wrap="around" w:vAnchor="page" w:hAnchor="page" w:x="1419" w:y="6408" w:anchorLock="1"/>
        <w:ind w:left="-1418"/>
      </w:pPr>
    </w:p>
    <w:p w14:paraId="236B0CF8">
      <w:pPr>
        <w:pStyle w:val="125"/>
        <w:framePr w:w="9639" w:h="6974" w:hRule="exact" w:wrap="around" w:vAnchor="page" w:hAnchor="page" w:x="1419" w:y="6408" w:anchorLock="1"/>
        <w:textAlignment w:val="bottom"/>
        <w:rPr>
          <w:rFonts w:ascii="黑体" w:hAnsi="黑体" w:eastAsia="黑体"/>
          <w:szCs w:val="28"/>
        </w:rPr>
      </w:pPr>
      <w:r>
        <w:rPr>
          <w:rFonts w:hint="eastAsia" w:ascii="黑体" w:hAnsi="黑体" w:eastAsia="黑体"/>
          <w:szCs w:val="28"/>
        </w:rPr>
        <w:t>Specification</w:t>
      </w:r>
      <w:r>
        <w:rPr>
          <w:rFonts w:ascii="黑体" w:hAnsi="黑体" w:eastAsia="黑体"/>
          <w:szCs w:val="28"/>
        </w:rPr>
        <w:t xml:space="preserve"> for safe use of alcohol</w:t>
      </w:r>
      <w:r>
        <w:rPr>
          <w:rFonts w:hint="eastAsia" w:ascii="黑体" w:hAnsi="黑体" w:eastAsia="黑体"/>
          <w:szCs w:val="28"/>
        </w:rPr>
        <w:t>-</w:t>
      </w:r>
      <w:r>
        <w:rPr>
          <w:rFonts w:ascii="黑体" w:hAnsi="黑体" w:eastAsia="黑体"/>
          <w:szCs w:val="28"/>
        </w:rPr>
        <w:t>based liquid fuel for catering</w:t>
      </w:r>
    </w:p>
    <w:p w14:paraId="248EFFEB">
      <w:pPr>
        <w:framePr w:w="9639" w:h="6974" w:hRule="exact" w:wrap="around" w:vAnchor="page" w:hAnchor="page" w:x="1419" w:y="6408" w:anchorLock="1"/>
        <w:spacing w:line="760" w:lineRule="exact"/>
        <w:ind w:left="-1418"/>
      </w:pPr>
    </w:p>
    <w:p w14:paraId="596ED4E3">
      <w:pPr>
        <w:pStyle w:val="125"/>
        <w:framePr w:w="9639" w:h="6974" w:hRule="exact" w:wrap="around" w:vAnchor="page" w:hAnchor="page" w:x="1419" w:y="6408" w:anchorLock="1"/>
        <w:textAlignment w:val="bottom"/>
        <w:rPr>
          <w:rFonts w:eastAsia="黑体"/>
          <w:szCs w:val="28"/>
        </w:rPr>
      </w:pPr>
    </w:p>
    <w:p w14:paraId="0394B505">
      <w:pPr>
        <w:pStyle w:val="125"/>
        <w:framePr w:w="9639" w:h="6974" w:hRule="exact" w:wrap="around" w:vAnchor="page" w:hAnchor="page" w:x="1419" w:y="6408" w:anchorLock="1"/>
        <w:spacing w:before="440" w:after="160"/>
        <w:textAlignment w:val="bottom"/>
        <w:rPr>
          <w:sz w:val="24"/>
          <w:szCs w:val="28"/>
        </w:rPr>
      </w:pPr>
      <w:r>
        <w:rPr>
          <w:rFonts w:hint="eastAsia"/>
          <w:sz w:val="24"/>
          <w:szCs w:val="28"/>
        </w:rPr>
        <w:t>（征求</w:t>
      </w:r>
      <w:r>
        <w:rPr>
          <w:sz w:val="24"/>
          <w:szCs w:val="28"/>
        </w:rPr>
        <w:t>意见稿</w:t>
      </w:r>
      <w:r>
        <w:rPr>
          <w:rFonts w:hint="eastAsia"/>
          <w:sz w:val="24"/>
          <w:szCs w:val="28"/>
        </w:rPr>
        <w:t>）</w:t>
      </w:r>
    </w:p>
    <w:p w14:paraId="7893FFA0">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26C323B4">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7F31A7B9">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6CBEB5B5">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5E11F46A">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广西壮族自治区市场监督管理局</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E5E029A">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4346587">
      <w:pPr>
        <w:pStyle w:val="89"/>
        <w:spacing w:before="900" w:after="468"/>
      </w:pPr>
      <w:bookmarkStart w:id="19" w:name="_Toc180144795"/>
      <w:bookmarkStart w:id="20" w:name="_Toc160529952"/>
      <w:bookmarkStart w:id="21" w:name="_Toc180144837"/>
      <w:bookmarkStart w:id="22" w:name="BookMark2"/>
      <w:r>
        <w:rPr>
          <w:spacing w:val="320"/>
        </w:rPr>
        <w:t>前</w:t>
      </w:r>
      <w:r>
        <w:t>言</w:t>
      </w:r>
      <w:bookmarkEnd w:id="19"/>
      <w:bookmarkEnd w:id="20"/>
      <w:bookmarkEnd w:id="21"/>
    </w:p>
    <w:p w14:paraId="70DD187E">
      <w:pPr>
        <w:pStyle w:val="56"/>
        <w:ind w:firstLine="420"/>
      </w:pPr>
      <w:r>
        <w:rPr>
          <w:rFonts w:hint="eastAsia"/>
        </w:rPr>
        <w:t>本文件按照GB/T 1.1—2020《标准化工作导则  第1部分：标准化文件的结构和起草规则》的规定起草。</w:t>
      </w:r>
    </w:p>
    <w:p w14:paraId="6181A71E">
      <w:pPr>
        <w:pStyle w:val="56"/>
        <w:ind w:firstLine="420"/>
      </w:pPr>
      <w:r>
        <w:rPr>
          <w:rFonts w:hint="eastAsia"/>
        </w:rPr>
        <w:t>请注意本文件的某些内容可能涉及专利。本文件的发布机构不承担识别专利的责任。</w:t>
      </w:r>
    </w:p>
    <w:p w14:paraId="3E1EF526">
      <w:pPr>
        <w:pStyle w:val="56"/>
        <w:ind w:firstLine="420"/>
      </w:pPr>
      <w:r>
        <w:rPr>
          <w:rFonts w:hint="eastAsia"/>
        </w:rPr>
        <w:t>本文件由广西壮族自治区应急管理厅提出、归口并宣贯。</w:t>
      </w:r>
    </w:p>
    <w:p w14:paraId="758FA8F0">
      <w:pPr>
        <w:pStyle w:val="56"/>
        <w:ind w:firstLine="420"/>
      </w:pPr>
      <w:r>
        <w:rPr>
          <w:rFonts w:hint="eastAsia"/>
        </w:rPr>
        <w:t>本文件起草单</w:t>
      </w:r>
      <w:r>
        <w:rPr>
          <w:rFonts w:hint="eastAsia"/>
          <w:color w:val="auto"/>
        </w:rPr>
        <w:t>位：</w:t>
      </w:r>
      <w:r>
        <w:rPr>
          <w:rFonts w:hint="eastAsia"/>
          <w:color w:val="auto"/>
          <w:lang w:eastAsia="zh-CN"/>
        </w:rPr>
        <w:t>广西壮族</w:t>
      </w:r>
      <w:r>
        <w:rPr>
          <w:rFonts w:hint="eastAsia"/>
          <w:color w:val="auto"/>
          <w:lang w:val="en-US" w:eastAsia="zh-CN"/>
        </w:rPr>
        <w:t>自治区应急管理厅</w:t>
      </w:r>
      <w:r>
        <w:rPr>
          <w:rFonts w:hint="eastAsia"/>
          <w:color w:val="auto"/>
          <w:lang w:eastAsia="zh-CN"/>
        </w:rPr>
        <w:t>、</w:t>
      </w:r>
      <w:r>
        <w:rPr>
          <w:rFonts w:hint="eastAsia"/>
          <w:color w:val="auto"/>
        </w:rPr>
        <w:t>广西安全生产科学研究院、</w:t>
      </w:r>
      <w:r>
        <w:rPr>
          <w:color w:val="auto"/>
        </w:rPr>
        <w:t>桂林</w:t>
      </w:r>
      <w:r>
        <w:rPr>
          <w:rFonts w:hint="eastAsia"/>
          <w:color w:val="auto"/>
        </w:rPr>
        <w:t>市</w:t>
      </w:r>
      <w:r>
        <w:rPr>
          <w:color w:val="auto"/>
        </w:rPr>
        <w:t>淦隆环保科技</w:t>
      </w:r>
      <w:r>
        <w:rPr>
          <w:rFonts w:hint="eastAsia"/>
          <w:color w:val="auto"/>
        </w:rPr>
        <w:t>有限公司。</w:t>
      </w:r>
    </w:p>
    <w:p w14:paraId="0B33705A">
      <w:pPr>
        <w:pStyle w:val="56"/>
        <w:ind w:firstLine="420"/>
        <w:rPr>
          <w:rFonts w:hint="eastAsia" w:eastAsia="宋体"/>
          <w:lang w:eastAsia="zh-CN"/>
        </w:rPr>
      </w:pPr>
      <w:r>
        <w:rPr>
          <w:rFonts w:hint="eastAsia"/>
        </w:rPr>
        <w:t>本文件主要起草人：</w:t>
      </w:r>
    </w:p>
    <w:p w14:paraId="6E07B25A">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bookmarkStart w:id="105" w:name="_GoBack"/>
      <w:bookmarkEnd w:id="105"/>
    </w:p>
    <w:bookmarkEnd w:id="22"/>
    <w:p w14:paraId="5FFD241F">
      <w:pPr>
        <w:spacing w:line="20" w:lineRule="exact"/>
        <w:jc w:val="center"/>
        <w:rPr>
          <w:rFonts w:ascii="黑体" w:hAnsi="黑体" w:eastAsia="黑体"/>
          <w:sz w:val="32"/>
          <w:szCs w:val="32"/>
        </w:rPr>
      </w:pPr>
      <w:bookmarkStart w:id="23" w:name="BookMark4"/>
    </w:p>
    <w:p w14:paraId="5239F38F">
      <w:pPr>
        <w:spacing w:line="20" w:lineRule="exact"/>
        <w:jc w:val="center"/>
        <w:rPr>
          <w:rFonts w:ascii="黑体" w:hAnsi="黑体" w:eastAsia="黑体"/>
          <w:sz w:val="32"/>
          <w:szCs w:val="32"/>
        </w:rPr>
      </w:pPr>
    </w:p>
    <w:sdt>
      <w:sdtPr>
        <w:tag w:val="NEW_STAND_NAME"/>
        <w:id w:val="595910757"/>
        <w:lock w:val="sdtLocked"/>
        <w:placeholder>
          <w:docPart w:val="D299CABC032C4A8EBA35B0D2E38A09E8"/>
        </w:placeholder>
      </w:sdtPr>
      <w:sdtContent>
        <w:p w14:paraId="567A1615">
          <w:pPr>
            <w:pStyle w:val="177"/>
            <w:spacing w:before="312" w:beforeLines="100" w:after="686" w:afterLines="220"/>
          </w:pPr>
          <w:bookmarkStart w:id="24" w:name="NEW_STAND_NAME"/>
          <w:r>
            <w:rPr>
              <w:rFonts w:hint="eastAsia"/>
            </w:rPr>
            <w:t>餐饮用醇基液体燃料安全使用规范</w:t>
          </w:r>
        </w:p>
      </w:sdtContent>
    </w:sdt>
    <w:bookmarkEnd w:id="24"/>
    <w:p w14:paraId="396D57A6">
      <w:pPr>
        <w:pStyle w:val="104"/>
        <w:spacing w:before="312" w:after="312"/>
      </w:pPr>
      <w:bookmarkStart w:id="25" w:name="_Toc17233333"/>
      <w:bookmarkStart w:id="26" w:name="_Toc17233325"/>
      <w:bookmarkStart w:id="27" w:name="_Toc26986530"/>
      <w:bookmarkStart w:id="28" w:name="_Toc24884218"/>
      <w:bookmarkStart w:id="29" w:name="_Toc26986771"/>
      <w:bookmarkStart w:id="30" w:name="_Toc26718930"/>
      <w:bookmarkStart w:id="31" w:name="_Toc160529953"/>
      <w:bookmarkStart w:id="32" w:name="_Toc180144796"/>
      <w:bookmarkStart w:id="33" w:name="_Toc26648465"/>
      <w:bookmarkStart w:id="34" w:name="_Toc24884211"/>
      <w:bookmarkStart w:id="35" w:name="_Toc145403328"/>
      <w:bookmarkStart w:id="36" w:name="_Toc180144838"/>
      <w:bookmarkStart w:id="37" w:name="_Toc97191423"/>
      <w:r>
        <w:rPr>
          <w:rFonts w:hint="eastAsia"/>
        </w:rPr>
        <w:t>范围</w:t>
      </w:r>
      <w:bookmarkEnd w:id="25"/>
      <w:bookmarkEnd w:id="26"/>
      <w:bookmarkEnd w:id="27"/>
      <w:bookmarkEnd w:id="28"/>
      <w:bookmarkEnd w:id="29"/>
      <w:bookmarkEnd w:id="30"/>
      <w:bookmarkEnd w:id="31"/>
      <w:bookmarkEnd w:id="32"/>
      <w:bookmarkEnd w:id="33"/>
      <w:bookmarkEnd w:id="34"/>
      <w:bookmarkEnd w:id="35"/>
      <w:bookmarkEnd w:id="36"/>
      <w:bookmarkEnd w:id="37"/>
    </w:p>
    <w:p w14:paraId="7F82157F">
      <w:pPr>
        <w:pStyle w:val="56"/>
        <w:ind w:firstLine="420"/>
        <w:rPr>
          <w:color w:val="000000" w:themeColor="text1"/>
          <w14:textFill>
            <w14:solidFill>
              <w14:schemeClr w14:val="tx1"/>
            </w14:solidFill>
          </w14:textFill>
        </w:rPr>
      </w:pPr>
      <w:bookmarkStart w:id="38" w:name="OLE_LINK7"/>
      <w:bookmarkStart w:id="39" w:name="_Toc26648466"/>
      <w:bookmarkStart w:id="40" w:name="_Toc24884219"/>
      <w:bookmarkStart w:id="41" w:name="_Toc17233334"/>
      <w:bookmarkStart w:id="42" w:name="_Toc17233326"/>
      <w:bookmarkStart w:id="43" w:name="_Toc24884212"/>
      <w:r>
        <w:rPr>
          <w:rFonts w:hint="eastAsia"/>
          <w:color w:val="000000" w:themeColor="text1"/>
          <w14:textFill>
            <w14:solidFill>
              <w14:schemeClr w14:val="tx1"/>
            </w14:solidFill>
          </w14:textFill>
        </w:rPr>
        <w:t>本文件界定了餐饮用醇基液体燃料使用相关术语和定义，规定了</w:t>
      </w:r>
      <w:r>
        <w:rPr>
          <w:color w:val="000000" w:themeColor="text1"/>
          <w14:textFill>
            <w14:solidFill>
              <w14:schemeClr w14:val="tx1"/>
            </w14:solidFill>
          </w14:textFill>
        </w:rPr>
        <w:t>餐饮用醇基液体燃料使用的基本要求、使用安全</w:t>
      </w:r>
      <w:r>
        <w:rPr>
          <w:rFonts w:hint="eastAsia"/>
          <w:color w:val="000000" w:themeColor="text1"/>
          <w14:textFill>
            <w14:solidFill>
              <w14:schemeClr w14:val="tx1"/>
            </w14:solidFill>
          </w14:textFill>
        </w:rPr>
        <w:t>和</w:t>
      </w:r>
      <w:r>
        <w:rPr>
          <w:color w:val="000000" w:themeColor="text1"/>
          <w14:textFill>
            <w14:solidFill>
              <w14:schemeClr w14:val="tx1"/>
            </w14:solidFill>
          </w14:textFill>
        </w:rPr>
        <w:t>应急</w:t>
      </w:r>
      <w:r>
        <w:rPr>
          <w:rFonts w:hint="eastAsia"/>
          <w:color w:val="000000" w:themeColor="text1"/>
          <w14:textFill>
            <w14:solidFill>
              <w14:schemeClr w14:val="tx1"/>
            </w14:solidFill>
          </w14:textFill>
        </w:rPr>
        <w:t>处置。</w:t>
      </w:r>
    </w:p>
    <w:p w14:paraId="6B42AD61">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本文件适用于广西行政区域内</w:t>
      </w:r>
      <w:r>
        <w:rPr>
          <w:color w:val="000000" w:themeColor="text1"/>
          <w14:textFill>
            <w14:solidFill>
              <w14:schemeClr w14:val="tx1"/>
            </w14:solidFill>
          </w14:textFill>
        </w:rPr>
        <w:t>使用醇基液体燃料的餐饮</w:t>
      </w:r>
      <w:r>
        <w:rPr>
          <w:rFonts w:hint="eastAsia"/>
          <w:color w:val="000000" w:themeColor="text1"/>
          <w14:textFill>
            <w14:solidFill>
              <w14:schemeClr w14:val="tx1"/>
            </w14:solidFill>
          </w14:textFill>
        </w:rPr>
        <w:t>服务</w:t>
      </w:r>
      <w:r>
        <w:rPr>
          <w:color w:val="000000" w:themeColor="text1"/>
          <w14:textFill>
            <w14:solidFill>
              <w14:schemeClr w14:val="tx1"/>
            </w14:solidFill>
          </w14:textFill>
        </w:rPr>
        <w:t>单位(</w:t>
      </w:r>
      <w:r>
        <w:rPr>
          <w:rFonts w:hint="eastAsia"/>
          <w:color w:val="000000" w:themeColor="text1"/>
          <w14:textFill>
            <w14:solidFill>
              <w14:schemeClr w14:val="tx1"/>
            </w14:solidFill>
          </w14:textFill>
        </w:rPr>
        <w:t>含工地、学校、企业、机关等企事业单位食堂</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w:t>
      </w:r>
    </w:p>
    <w:p w14:paraId="727A0368">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本文件不适用于醇基液体燃料的生产及其储存、经营和道路运输，以及非餐饮用途、家用醇基液体燃料。</w:t>
      </w:r>
    </w:p>
    <w:bookmarkEnd w:id="38"/>
    <w:p w14:paraId="46634A90">
      <w:pPr>
        <w:pStyle w:val="104"/>
        <w:spacing w:before="312" w:after="312"/>
        <w:rPr>
          <w:color w:val="000000" w:themeColor="text1"/>
          <w14:textFill>
            <w14:solidFill>
              <w14:schemeClr w14:val="tx1"/>
            </w14:solidFill>
          </w14:textFill>
        </w:rPr>
      </w:pPr>
      <w:bookmarkStart w:id="44" w:name="_Toc180144797"/>
      <w:bookmarkStart w:id="45" w:name="_Toc26986772"/>
      <w:bookmarkStart w:id="46" w:name="_Toc97191424"/>
      <w:bookmarkStart w:id="47" w:name="_Toc26718931"/>
      <w:bookmarkStart w:id="48" w:name="_Toc26986531"/>
      <w:bookmarkStart w:id="49" w:name="_Toc160529954"/>
      <w:bookmarkStart w:id="50" w:name="_Toc180144839"/>
      <w:bookmarkStart w:id="51" w:name="_Toc145403329"/>
      <w:r>
        <w:rPr>
          <w:rFonts w:hint="eastAsia"/>
          <w:color w:val="000000" w:themeColor="text1"/>
          <w14:textFill>
            <w14:solidFill>
              <w14:schemeClr w14:val="tx1"/>
            </w14:solidFill>
          </w14:textFill>
        </w:rPr>
        <w:t>规范性引用文件</w:t>
      </w:r>
      <w:bookmarkEnd w:id="39"/>
      <w:bookmarkEnd w:id="40"/>
      <w:bookmarkEnd w:id="41"/>
      <w:bookmarkEnd w:id="42"/>
      <w:bookmarkEnd w:id="43"/>
      <w:bookmarkEnd w:id="44"/>
      <w:bookmarkEnd w:id="45"/>
      <w:bookmarkEnd w:id="46"/>
      <w:bookmarkEnd w:id="47"/>
      <w:bookmarkEnd w:id="48"/>
      <w:bookmarkEnd w:id="49"/>
      <w:bookmarkEnd w:id="50"/>
      <w:bookmarkEnd w:id="51"/>
    </w:p>
    <w:sdt>
      <w:sdtPr>
        <w:rPr>
          <w:rFonts w:hint="eastAsia"/>
          <w:color w:val="000000" w:themeColor="text1"/>
          <w14:textFill>
            <w14:solidFill>
              <w14:schemeClr w14:val="tx1"/>
            </w14:solidFill>
          </w14:textFill>
        </w:rPr>
        <w:id w:val="715848253"/>
        <w:placeholder>
          <w:docPart w:val="B9AA95CA7E3C4FD2869D11BA2F38BD7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000000" w:themeColor="text1"/>
          <w14:textFill>
            <w14:solidFill>
              <w14:schemeClr w14:val="tx1"/>
            </w14:solidFill>
          </w14:textFill>
        </w:rPr>
      </w:sdtEndPr>
      <w:sdtContent>
        <w:p w14:paraId="6286C821">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7E1C82B">
      <w:pPr>
        <w:pStyle w:val="56"/>
        <w:ind w:firstLine="420"/>
        <w:rPr>
          <w:color w:val="000000" w:themeColor="text1"/>
          <w:spacing w:val="-3"/>
          <w14:textFill>
            <w14:solidFill>
              <w14:schemeClr w14:val="tx1"/>
            </w14:solidFill>
          </w14:textFill>
        </w:rPr>
      </w:pPr>
      <w:r>
        <w:rPr>
          <w:rFonts w:hint="eastAsia"/>
          <w:color w:val="000000" w:themeColor="text1"/>
          <w14:textFill>
            <w14:solidFill>
              <w14:schemeClr w14:val="tx1"/>
            </w14:solidFill>
          </w14:textFill>
        </w:rPr>
        <w:t>G</w:t>
      </w:r>
      <w:r>
        <w:rPr>
          <w:color w:val="000000" w:themeColor="text1"/>
          <w14:textFill>
            <w14:solidFill>
              <w14:schemeClr w14:val="tx1"/>
            </w14:solidFill>
          </w14:textFill>
        </w:rPr>
        <w:t>B 12463</w:t>
      </w:r>
      <w:r>
        <w:rPr>
          <w:rFonts w:hint="eastAsia"/>
          <w:color w:val="000000" w:themeColor="text1"/>
          <w14:textFill>
            <w14:solidFill>
              <w14:schemeClr w14:val="tx1"/>
            </w14:solidFill>
          </w14:textFill>
        </w:rPr>
        <w:t xml:space="preserve">  </w:t>
      </w:r>
      <w:r>
        <w:rPr>
          <w:rFonts w:hint="eastAsia" w:hAnsi="宋体"/>
          <w:color w:val="000000" w:themeColor="text1"/>
          <w14:textFill>
            <w14:solidFill>
              <w14:schemeClr w14:val="tx1"/>
            </w14:solidFill>
          </w14:textFill>
        </w:rPr>
        <w:t>危险货物运输包装通用技术条件</w:t>
      </w:r>
    </w:p>
    <w:p w14:paraId="09DB1A3E">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GB</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15258</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化学品安全标签编写规定</w:t>
      </w:r>
    </w:p>
    <w:p w14:paraId="0F23AFD6">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GB/T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16483</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化学品安全技术说明书  内容和项目顺序</w:t>
      </w:r>
    </w:p>
    <w:p w14:paraId="434F2CA8">
      <w:pPr>
        <w:pStyle w:val="56"/>
        <w:ind w:firstLine="408"/>
        <w:rPr>
          <w:color w:val="000000" w:themeColor="text1"/>
          <w:spacing w:val="-3"/>
          <w14:textFill>
            <w14:solidFill>
              <w14:schemeClr w14:val="tx1"/>
            </w14:solidFill>
          </w14:textFill>
        </w:rPr>
      </w:pPr>
      <w:r>
        <w:rPr>
          <w:rFonts w:hint="eastAsia"/>
          <w:color w:val="000000" w:themeColor="text1"/>
          <w:spacing w:val="-3"/>
          <w14:textFill>
            <w14:solidFill>
              <w14:schemeClr w14:val="tx1"/>
            </w14:solidFill>
          </w14:textFill>
        </w:rPr>
        <w:t>GB</w:t>
      </w:r>
      <w:r>
        <w:rPr>
          <w:color w:val="000000" w:themeColor="text1"/>
          <w:spacing w:val="-3"/>
          <w14:textFill>
            <w14:solidFill>
              <w14:schemeClr w14:val="tx1"/>
            </w14:solidFill>
          </w14:textFill>
        </w:rPr>
        <w:t xml:space="preserve"> </w:t>
      </w:r>
      <w:r>
        <w:rPr>
          <w:rFonts w:hint="eastAsia"/>
          <w:color w:val="000000" w:themeColor="text1"/>
          <w:spacing w:val="-3"/>
          <w14:textFill>
            <w14:solidFill>
              <w14:schemeClr w14:val="tx1"/>
            </w14:solidFill>
          </w14:textFill>
        </w:rPr>
        <w:t>16663</w:t>
      </w:r>
      <w:r>
        <w:rPr>
          <w:color w:val="000000" w:themeColor="text1"/>
          <w:spacing w:val="-3"/>
          <w14:textFill>
            <w14:solidFill>
              <w14:schemeClr w14:val="tx1"/>
            </w14:solidFill>
          </w14:textFill>
        </w:rPr>
        <w:t xml:space="preserve">  </w:t>
      </w:r>
      <w:r>
        <w:rPr>
          <w:rFonts w:hint="eastAsia"/>
          <w:color w:val="000000" w:themeColor="text1"/>
          <w:spacing w:val="-3"/>
          <w14:textFill>
            <w14:solidFill>
              <w14:schemeClr w14:val="tx1"/>
            </w14:solidFill>
          </w14:textFill>
        </w:rPr>
        <w:t>醇基液体燃料</w:t>
      </w:r>
    </w:p>
    <w:p w14:paraId="51FD7FCA">
      <w:pPr>
        <w:pStyle w:val="56"/>
        <w:ind w:firstLine="420"/>
        <w:rPr>
          <w:color w:val="000000" w:themeColor="text1"/>
          <w14:textFill>
            <w14:solidFill>
              <w14:schemeClr w14:val="tx1"/>
            </w14:solidFill>
          </w14:textFill>
        </w:rPr>
      </w:pPr>
      <w:r>
        <w:rPr>
          <w:color w:val="000000" w:themeColor="text1"/>
          <w14:textFill>
            <w14:solidFill>
              <w14:schemeClr w14:val="tx1"/>
            </w14:solidFill>
          </w14:textFill>
        </w:rPr>
        <w:t xml:space="preserve">GB/T 18997.2  </w:t>
      </w:r>
      <w:r>
        <w:rPr>
          <w:rFonts w:hint="eastAsia"/>
          <w:color w:val="000000" w:themeColor="text1"/>
          <w14:textFill>
            <w14:solidFill>
              <w14:schemeClr w14:val="tx1"/>
            </w14:solidFill>
          </w14:textFill>
        </w:rPr>
        <w:t>铝塑复合压力管  第2部分：铝管对接焊式铝塑管</w:t>
      </w:r>
    </w:p>
    <w:p w14:paraId="7141D438">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GB/T 20878</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不锈钢 牌号及化学成分</w:t>
      </w:r>
    </w:p>
    <w:p w14:paraId="78A67CAA">
      <w:pPr>
        <w:pStyle w:val="56"/>
        <w:ind w:firstLine="412"/>
        <w:rPr>
          <w:color w:val="000000" w:themeColor="text1"/>
          <w:spacing w:val="-3"/>
          <w14:textFill>
            <w14:solidFill>
              <w14:schemeClr w14:val="tx1"/>
            </w14:solidFill>
          </w14:textFill>
        </w:rPr>
      </w:pPr>
      <w:r>
        <w:rPr>
          <w:rFonts w:hint="eastAsia"/>
          <w:color w:val="000000" w:themeColor="text1"/>
          <w:spacing w:val="-2"/>
          <w14:textFill>
            <w14:solidFill>
              <w14:schemeClr w14:val="tx1"/>
            </w14:solidFill>
          </w14:textFill>
        </w:rPr>
        <w:t>GB/T</w:t>
      </w:r>
      <w:r>
        <w:rPr>
          <w:color w:val="000000" w:themeColor="text1"/>
          <w:spacing w:val="-2"/>
          <w14:textFill>
            <w14:solidFill>
              <w14:schemeClr w14:val="tx1"/>
            </w14:solidFill>
          </w14:textFill>
        </w:rPr>
        <w:t xml:space="preserve"> </w:t>
      </w:r>
      <w:r>
        <w:rPr>
          <w:rFonts w:hint="eastAsia"/>
          <w:color w:val="000000" w:themeColor="text1"/>
          <w:spacing w:val="-2"/>
          <w14:textFill>
            <w14:solidFill>
              <w14:schemeClr w14:val="tx1"/>
            </w14:solidFill>
          </w14:textFill>
        </w:rPr>
        <w:t>26002</w:t>
      </w:r>
      <w:r>
        <w:rPr>
          <w:color w:val="000000" w:themeColor="text1"/>
          <w:spacing w:val="-2"/>
          <w14:textFill>
            <w14:solidFill>
              <w14:schemeClr w14:val="tx1"/>
            </w14:solidFill>
          </w14:textFill>
        </w:rPr>
        <w:t xml:space="preserve">  </w:t>
      </w:r>
      <w:r>
        <w:rPr>
          <w:rFonts w:hint="eastAsia"/>
          <w:color w:val="000000" w:themeColor="text1"/>
          <w:spacing w:val="-2"/>
          <w14:textFill>
            <w14:solidFill>
              <w14:schemeClr w14:val="tx1"/>
            </w14:solidFill>
          </w14:textFill>
        </w:rPr>
        <w:tab/>
      </w:r>
      <w:r>
        <w:rPr>
          <w:rFonts w:hint="eastAsia"/>
          <w:color w:val="000000" w:themeColor="text1"/>
          <w:spacing w:val="-2"/>
          <w14:textFill>
            <w14:solidFill>
              <w14:schemeClr w14:val="tx1"/>
            </w14:solidFill>
          </w14:textFill>
        </w:rPr>
        <w:t xml:space="preserve"> 燃气输送用不锈钢波纹软管及管件</w:t>
      </w:r>
    </w:p>
    <w:p w14:paraId="7A64E349">
      <w:pPr>
        <w:pStyle w:val="56"/>
        <w:ind w:firstLine="420"/>
        <w:rPr>
          <w:color w:val="000000" w:themeColor="text1"/>
          <w14:textFill>
            <w14:solidFill>
              <w14:schemeClr w14:val="tx1"/>
            </w14:solidFill>
          </w14:textFill>
        </w:rPr>
      </w:pPr>
      <w:bookmarkStart w:id="52" w:name="OLE_LINK52"/>
      <w:bookmarkStart w:id="53" w:name="OLE_LINK51"/>
      <w:r>
        <w:rPr>
          <w:color w:val="000000" w:themeColor="text1"/>
          <w14:textFill>
            <w14:solidFill>
              <w14:schemeClr w14:val="tx1"/>
            </w14:solidFill>
          </w14:textFill>
        </w:rPr>
        <w:t xml:space="preserve">GB/T 37433  </w:t>
      </w:r>
      <w:r>
        <w:rPr>
          <w:rFonts w:hint="eastAsia"/>
          <w:color w:val="000000" w:themeColor="text1"/>
          <w14:textFill>
            <w14:solidFill>
              <w14:schemeClr w14:val="tx1"/>
            </w14:solidFill>
          </w14:textFill>
        </w:rPr>
        <w:t>低功率燃油燃烧器通用技术要求</w:t>
      </w:r>
    </w:p>
    <w:bookmarkEnd w:id="52"/>
    <w:bookmarkEnd w:id="53"/>
    <w:p w14:paraId="6EDB44F4">
      <w:pPr>
        <w:pStyle w:val="56"/>
        <w:ind w:firstLine="420"/>
        <w:rPr>
          <w:color w:val="000000" w:themeColor="text1"/>
          <w:spacing w:val="-3"/>
          <w14:textFill>
            <w14:solidFill>
              <w14:schemeClr w14:val="tx1"/>
            </w14:solidFill>
          </w14:textFill>
        </w:rPr>
      </w:pPr>
      <w:r>
        <w:rPr>
          <w:rFonts w:hint="eastAsia"/>
          <w:color w:val="000000" w:themeColor="text1"/>
          <w14:textFill>
            <w14:solidFill>
              <w14:schemeClr w14:val="tx1"/>
            </w14:solidFill>
          </w14:textFill>
        </w:rPr>
        <w:t>GB/T 40248</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人员密集场所</w:t>
      </w:r>
      <w:r>
        <w:rPr>
          <w:color w:val="000000" w:themeColor="text1"/>
          <w14:textFill>
            <w14:solidFill>
              <w14:schemeClr w14:val="tx1"/>
            </w14:solidFill>
          </w14:textFill>
        </w:rPr>
        <w:t>消防安全管理</w:t>
      </w:r>
    </w:p>
    <w:p w14:paraId="273E017B">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GB</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50016  建筑设计防火规范</w:t>
      </w:r>
    </w:p>
    <w:p w14:paraId="6881E740">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GB</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50058</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爆炸危险环境电力装置设计规范</w:t>
      </w:r>
    </w:p>
    <w:p w14:paraId="0B412D26">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GB 55037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建筑</w:t>
      </w:r>
      <w:r>
        <w:rPr>
          <w:color w:val="000000" w:themeColor="text1"/>
          <w14:textFill>
            <w14:solidFill>
              <w14:schemeClr w14:val="tx1"/>
            </w14:solidFill>
          </w14:textFill>
        </w:rPr>
        <w:t>防火通用规范</w:t>
      </w:r>
    </w:p>
    <w:p w14:paraId="17039AF1">
      <w:pPr>
        <w:pStyle w:val="104"/>
        <w:spacing w:before="312" w:after="312"/>
        <w:rPr>
          <w:color w:val="000000" w:themeColor="text1"/>
          <w14:textFill>
            <w14:solidFill>
              <w14:schemeClr w14:val="tx1"/>
            </w14:solidFill>
          </w14:textFill>
        </w:rPr>
      </w:pPr>
      <w:bookmarkStart w:id="54" w:name="_Toc97191425"/>
      <w:bookmarkStart w:id="55" w:name="_Toc160529955"/>
      <w:bookmarkStart w:id="56" w:name="_Toc145403330"/>
      <w:bookmarkStart w:id="57" w:name="_Toc180144840"/>
      <w:bookmarkStart w:id="58" w:name="_Toc180144798"/>
      <w:r>
        <w:rPr>
          <w:rFonts w:hint="eastAsia"/>
          <w:color w:val="000000" w:themeColor="text1"/>
          <w:szCs w:val="21"/>
          <w14:textFill>
            <w14:solidFill>
              <w14:schemeClr w14:val="tx1"/>
            </w14:solidFill>
          </w14:textFill>
        </w:rPr>
        <w:t>术语和定义</w:t>
      </w:r>
      <w:bookmarkEnd w:id="54"/>
      <w:bookmarkEnd w:id="55"/>
      <w:bookmarkEnd w:id="56"/>
      <w:bookmarkEnd w:id="57"/>
      <w:bookmarkEnd w:id="58"/>
    </w:p>
    <w:sdt>
      <w:sdtPr>
        <w:rPr>
          <w:rFonts w:hint="eastAsia"/>
          <w:color w:val="000000" w:themeColor="text1"/>
          <w14:textFill>
            <w14:solidFill>
              <w14:schemeClr w14:val="tx1"/>
            </w14:solidFill>
          </w14:textFill>
        </w:rPr>
        <w:id w:val="-1909835108"/>
        <w:placeholder>
          <w:docPart w:val="56FAD00D1FCC4700A0CE4C7B80CF749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color w:val="000000" w:themeColor="text1"/>
          <w14:textFill>
            <w14:solidFill>
              <w14:schemeClr w14:val="tx1"/>
            </w14:solidFill>
          </w14:textFill>
        </w:rPr>
      </w:sdtEndPr>
      <w:sdtContent>
        <w:p w14:paraId="656DEE3A">
          <w:pPr>
            <w:pStyle w:val="56"/>
            <w:ind w:firstLine="420"/>
            <w:rPr>
              <w:color w:val="000000" w:themeColor="text1"/>
              <w14:textFill>
                <w14:solidFill>
                  <w14:schemeClr w14:val="tx1"/>
                </w14:solidFill>
              </w14:textFill>
            </w:rPr>
          </w:pPr>
          <w:bookmarkStart w:id="59" w:name="_Toc26986532"/>
          <w:bookmarkEnd w:id="59"/>
          <w:r>
            <w:rPr>
              <w:rFonts w:hint="eastAsia"/>
              <w:color w:val="000000" w:themeColor="text1"/>
              <w14:textFill>
                <w14:solidFill>
                  <w14:schemeClr w14:val="tx1"/>
                </w14:solidFill>
              </w14:textFill>
            </w:rPr>
            <w:t>下列术语和定义适用于本文件。</w:t>
          </w:r>
        </w:p>
      </w:sdtContent>
    </w:sdt>
    <w:p w14:paraId="7ED8ABC3">
      <w:pPr>
        <w:pStyle w:val="223"/>
        <w:ind w:left="420" w:hanging="420" w:hangingChars="200"/>
        <w:rPr>
          <w:rFonts w:ascii="黑体" w:hAnsi="黑体" w:eastAsia="黑体"/>
          <w:color w:val="000000" w:themeColor="text1"/>
          <w:kern w:val="2"/>
          <w:szCs w:val="21"/>
          <w14:textFill>
            <w14:solidFill>
              <w14:schemeClr w14:val="tx1"/>
            </w14:solidFill>
          </w14:textFill>
        </w:rPr>
      </w:pPr>
      <w:r>
        <w:rPr>
          <w:rFonts w:ascii="黑体" w:hAnsi="黑体" w:eastAsia="黑体"/>
          <w:color w:val="000000" w:themeColor="text1"/>
          <w14:textFill>
            <w14:solidFill>
              <w14:schemeClr w14:val="tx1"/>
            </w14:solidFill>
          </w14:textFill>
        </w:rPr>
        <w:br w:type="textWrapping"/>
      </w:r>
      <w:bookmarkStart w:id="60" w:name="OLE_LINK8"/>
      <w:r>
        <w:rPr>
          <w:rFonts w:hint="eastAsia" w:ascii="黑体" w:hAnsi="黑体" w:eastAsia="黑体"/>
          <w:color w:val="000000" w:themeColor="text1"/>
          <w14:textFill>
            <w14:solidFill>
              <w14:schemeClr w14:val="tx1"/>
            </w14:solidFill>
          </w14:textFill>
        </w:rPr>
        <w:t>餐饮用醇基液体燃料  alcohol-based</w:t>
      </w:r>
      <w:r>
        <w:rPr>
          <w:rFonts w:ascii="黑体" w:hAnsi="黑体" w:eastAsia="黑体"/>
          <w:color w:val="000000" w:themeColor="text1"/>
          <w14:textFill>
            <w14:solidFill>
              <w14:schemeClr w14:val="tx1"/>
            </w14:solidFill>
          </w14:textFill>
        </w:rPr>
        <w:t xml:space="preserve"> </w:t>
      </w:r>
      <w:r>
        <w:rPr>
          <w:rFonts w:hint="eastAsia" w:ascii="黑体" w:hAnsi="黑体" w:eastAsia="黑体"/>
          <w:color w:val="000000" w:themeColor="text1"/>
          <w14:textFill>
            <w14:solidFill>
              <w14:schemeClr w14:val="tx1"/>
            </w14:solidFill>
          </w14:textFill>
        </w:rPr>
        <w:t>liquid</w:t>
      </w:r>
      <w:r>
        <w:rPr>
          <w:rFonts w:ascii="黑体" w:hAnsi="黑体" w:eastAsia="黑体"/>
          <w:color w:val="000000" w:themeColor="text1"/>
          <w14:textFill>
            <w14:solidFill>
              <w14:schemeClr w14:val="tx1"/>
            </w14:solidFill>
          </w14:textFill>
        </w:rPr>
        <w:t xml:space="preserve"> </w:t>
      </w:r>
      <w:r>
        <w:rPr>
          <w:rFonts w:hint="eastAsia" w:ascii="黑体" w:hAnsi="黑体" w:eastAsia="黑体"/>
          <w:color w:val="000000" w:themeColor="text1"/>
          <w14:textFill>
            <w14:solidFill>
              <w14:schemeClr w14:val="tx1"/>
            </w14:solidFill>
          </w14:textFill>
        </w:rPr>
        <w:t>fuel</w:t>
      </w:r>
      <w:r>
        <w:rPr>
          <w:rFonts w:ascii="黑体" w:hAnsi="黑体" w:eastAsia="黑体"/>
          <w:color w:val="000000" w:themeColor="text1"/>
          <w14:textFill>
            <w14:solidFill>
              <w14:schemeClr w14:val="tx1"/>
            </w14:solidFill>
          </w14:textFill>
        </w:rPr>
        <w:t xml:space="preserve"> </w:t>
      </w:r>
      <w:r>
        <w:rPr>
          <w:rFonts w:hint="eastAsia" w:ascii="黑体" w:hAnsi="黑体" w:eastAsia="黑体"/>
          <w:color w:val="000000" w:themeColor="text1"/>
          <w14:textFill>
            <w14:solidFill>
              <w14:schemeClr w14:val="tx1"/>
            </w14:solidFill>
          </w14:textFill>
        </w:rPr>
        <w:t>fo</w:t>
      </w:r>
      <w:r>
        <w:rPr>
          <w:rFonts w:hint="eastAsia" w:ascii="黑体" w:hAnsi="黑体" w:eastAsia="黑体"/>
          <w:color w:val="000000" w:themeColor="text1"/>
          <w:spacing w:val="-2"/>
          <w14:textFill>
            <w14:solidFill>
              <w14:schemeClr w14:val="tx1"/>
            </w14:solidFill>
          </w14:textFill>
        </w:rPr>
        <w:t>r</w:t>
      </w:r>
      <w:r>
        <w:rPr>
          <w:rFonts w:ascii="黑体" w:hAnsi="黑体" w:eastAsia="黑体"/>
          <w:color w:val="000000" w:themeColor="text1"/>
          <w:spacing w:val="-2"/>
          <w14:textFill>
            <w14:solidFill>
              <w14:schemeClr w14:val="tx1"/>
            </w14:solidFill>
          </w14:textFill>
        </w:rPr>
        <w:t xml:space="preserve"> </w:t>
      </w:r>
      <w:r>
        <w:rPr>
          <w:rFonts w:hint="eastAsia" w:ascii="黑体" w:hAnsi="黑体" w:eastAsia="黑体"/>
          <w:color w:val="000000" w:themeColor="text1"/>
          <w:spacing w:val="-2"/>
          <w14:textFill>
            <w14:solidFill>
              <w14:schemeClr w14:val="tx1"/>
            </w14:solidFill>
          </w14:textFill>
        </w:rPr>
        <w:t>catering</w:t>
      </w:r>
    </w:p>
    <w:p w14:paraId="5EC8386A">
      <w:pPr>
        <w:pStyle w:val="56"/>
        <w:ind w:firstLine="420"/>
        <w:rPr>
          <w:color w:val="000000" w:themeColor="text1"/>
          <w14:textFill>
            <w14:solidFill>
              <w14:schemeClr w14:val="tx1"/>
            </w14:solidFill>
          </w14:textFill>
        </w:rPr>
      </w:pPr>
      <w:r>
        <w:rPr>
          <w:rFonts w:hint="eastAsia" w:hAnsi="宋体"/>
          <w:color w:val="000000" w:themeColor="text1"/>
          <w14:textFill>
            <w14:solidFill>
              <w14:schemeClr w14:val="tx1"/>
            </w14:solidFill>
          </w14:textFill>
        </w:rPr>
        <w:t>以甲醇为主要原料配制而成的，质量符合GB 16663规定，用于餐饮场所的液体燃料。</w:t>
      </w:r>
    </w:p>
    <w:p w14:paraId="7E4F2DA7">
      <w:pPr>
        <w:pStyle w:val="223"/>
        <w:ind w:left="420" w:hanging="420" w:hangingChars="200"/>
        <w:rPr>
          <w:rFonts w:ascii="黑体" w:hAnsi="黑体" w:eastAsia="黑体"/>
          <w:color w:val="000000" w:themeColor="text1"/>
          <w:kern w:val="2"/>
          <w14:textFill>
            <w14:solidFill>
              <w14:schemeClr w14:val="tx1"/>
            </w14:solidFill>
          </w14:textFill>
        </w:rPr>
      </w:pPr>
      <w:bookmarkStart w:id="61" w:name="OLE_LINK11"/>
    </w:p>
    <w:p w14:paraId="448FB22D">
      <w:pPr>
        <w:pStyle w:val="223"/>
        <w:numPr>
          <w:ilvl w:val="0"/>
          <w:numId w:val="0"/>
        </w:numPr>
        <w:ind w:left="420"/>
        <w:rPr>
          <w:rFonts w:ascii="黑体" w:hAnsi="黑体" w:eastAsia="黑体"/>
          <w:color w:val="000000" w:themeColor="text1"/>
          <w:kern w:val="2"/>
          <w:highlight w:val="yellow"/>
          <w14:textFill>
            <w14:solidFill>
              <w14:schemeClr w14:val="tx1"/>
            </w14:solidFill>
          </w14:textFill>
        </w:rPr>
      </w:pPr>
      <w:r>
        <w:rPr>
          <w:rFonts w:hint="eastAsia" w:ascii="黑体" w:hAnsi="黑体" w:eastAsia="黑体"/>
          <w:color w:val="000000" w:themeColor="text1"/>
          <w14:textFill>
            <w14:solidFill>
              <w14:schemeClr w14:val="tx1"/>
            </w14:solidFill>
          </w14:textFill>
        </w:rPr>
        <w:t>醇基液体燃料储罐  civil alcohol-based liquid fuel fuel</w:t>
      </w:r>
      <w:r>
        <w:rPr>
          <w:rFonts w:ascii="黑体" w:hAnsi="黑体" w:eastAsia="黑体"/>
          <w:color w:val="000000" w:themeColor="text1"/>
          <w14:textFill>
            <w14:solidFill>
              <w14:schemeClr w14:val="tx1"/>
            </w14:solidFill>
          </w14:textFill>
        </w:rPr>
        <w:t xml:space="preserve"> </w:t>
      </w:r>
      <w:r>
        <w:rPr>
          <w:rFonts w:hint="eastAsia" w:ascii="黑体" w:hAnsi="黑体" w:eastAsia="黑体"/>
          <w:color w:val="000000" w:themeColor="text1"/>
          <w14:textFill>
            <w14:solidFill>
              <w14:schemeClr w14:val="tx1"/>
            </w14:solidFill>
          </w14:textFill>
        </w:rPr>
        <w:t>tank</w:t>
      </w:r>
    </w:p>
    <w:p w14:paraId="09A7A297">
      <w:pPr>
        <w:pStyle w:val="56"/>
        <w:ind w:firstLine="42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安装在地面或固定结构上(如建筑物),用于盛装醇基液体燃料常压式固定式钢制储存容器。</w:t>
      </w:r>
    </w:p>
    <w:p w14:paraId="52404289">
      <w:pPr>
        <w:pStyle w:val="223"/>
        <w:ind w:left="420" w:hanging="420" w:hangingChars="20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br w:type="textWrapping"/>
      </w:r>
      <w:r>
        <w:rPr>
          <w:rFonts w:hint="eastAsia" w:ascii="黑体" w:hAnsi="黑体" w:eastAsia="黑体"/>
          <w:color w:val="000000" w:themeColor="text1"/>
          <w14:textFill>
            <w14:solidFill>
              <w14:schemeClr w14:val="tx1"/>
            </w14:solidFill>
          </w14:textFill>
        </w:rPr>
        <w:t xml:space="preserve">醇基液体燃料钢瓶 </w:t>
      </w:r>
      <w:r>
        <w:rPr>
          <w:rFonts w:ascii="黑体" w:hAnsi="黑体" w:eastAsia="黑体"/>
          <w:color w:val="000000" w:themeColor="text1"/>
          <w14:textFill>
            <w14:solidFill>
              <w14:schemeClr w14:val="tx1"/>
            </w14:solidFill>
          </w14:textFill>
        </w:rPr>
        <w:t xml:space="preserve"> </w:t>
      </w:r>
      <w:r>
        <w:rPr>
          <w:rFonts w:hint="eastAsia" w:ascii="黑体" w:hAnsi="黑体" w:eastAsia="黑体"/>
          <w:color w:val="000000" w:themeColor="text1"/>
          <w14:textFill>
            <w14:solidFill>
              <w14:schemeClr w14:val="tx1"/>
            </w14:solidFill>
          </w14:textFill>
        </w:rPr>
        <w:t>civil alcohol-based liquid fuel steel cylinder</w:t>
      </w:r>
    </w:p>
    <w:p w14:paraId="5A4CB12D">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用于盛装醇基液体燃料移动式常压钢瓶。</w:t>
      </w:r>
    </w:p>
    <w:p w14:paraId="78AED236">
      <w:pPr>
        <w:pStyle w:val="223"/>
        <w:ind w:left="420" w:hanging="420" w:hangingChars="20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br w:type="textWrapping"/>
      </w:r>
      <w:r>
        <w:rPr>
          <w:rFonts w:hint="eastAsia" w:ascii="黑体" w:hAnsi="黑体" w:eastAsia="黑体"/>
          <w:color w:val="000000" w:themeColor="text1"/>
          <w14:textFill>
            <w14:solidFill>
              <w14:schemeClr w14:val="tx1"/>
            </w14:solidFill>
          </w14:textFill>
        </w:rPr>
        <w:t>便携式醇基液体燃料桶  alcohol-based liquid fuel cylinder</w:t>
      </w:r>
    </w:p>
    <w:p w14:paraId="213F227A">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用于盛装醇基液体燃料移动式常压容器。</w:t>
      </w:r>
    </w:p>
    <w:p w14:paraId="6AC42A55">
      <w:pPr>
        <w:pStyle w:val="223"/>
        <w:ind w:left="420" w:hanging="420" w:hangingChars="20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br w:type="textWrapping"/>
      </w:r>
      <w:r>
        <w:rPr>
          <w:rFonts w:hint="eastAsia" w:ascii="黑体" w:hAnsi="黑体" w:eastAsia="黑体"/>
          <w:color w:val="000000" w:themeColor="text1"/>
          <w14:textFill>
            <w14:solidFill>
              <w14:schemeClr w14:val="tx1"/>
            </w14:solidFill>
          </w14:textFill>
        </w:rPr>
        <w:t>一次性使用醇基液体燃料瓶</w:t>
      </w:r>
      <w:bookmarkEnd w:id="61"/>
      <w:r>
        <w:rPr>
          <w:rFonts w:hint="eastAsia" w:ascii="黑体" w:hAnsi="黑体" w:eastAsia="黑体"/>
          <w:color w:val="000000" w:themeColor="text1"/>
          <w14:textFill>
            <w14:solidFill>
              <w14:schemeClr w14:val="tx1"/>
            </w14:solidFill>
          </w14:textFill>
        </w:rPr>
        <w:t xml:space="preserve">  disposable alcohol-based liquid fuel bottle</w:t>
      </w:r>
    </w:p>
    <w:p w14:paraId="29A076F0">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不可重复使用的、用于盛装醇基液体燃料的常压容器。</w:t>
      </w:r>
    </w:p>
    <w:p w14:paraId="2F109EEE">
      <w:pPr>
        <w:pStyle w:val="223"/>
        <w:ind w:left="420" w:hanging="420" w:hangingChars="200"/>
        <w:rPr>
          <w:rFonts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br w:type="textWrapping"/>
      </w:r>
      <w:r>
        <w:rPr>
          <w:rFonts w:hint="eastAsia" w:ascii="黑体" w:hAnsi="黑体" w:eastAsia="黑体"/>
          <w:color w:val="000000" w:themeColor="text1"/>
          <w14:textFill>
            <w14:solidFill>
              <w14:schemeClr w14:val="tx1"/>
            </w14:solidFill>
          </w14:textFill>
        </w:rPr>
        <w:t xml:space="preserve">醇基燃料灶具  </w:t>
      </w:r>
      <w:r>
        <w:rPr>
          <w:rFonts w:ascii="黑体" w:hAnsi="黑体" w:eastAsia="黑体"/>
          <w:color w:val="000000" w:themeColor="text1"/>
          <w14:textFill>
            <w14:solidFill>
              <w14:schemeClr w14:val="tx1"/>
            </w14:solidFill>
          </w14:textFill>
        </w:rPr>
        <w:t>alcohol</w:t>
      </w:r>
      <w:r>
        <w:rPr>
          <w:rFonts w:hint="eastAsia" w:ascii="黑体" w:hAnsi="黑体" w:eastAsia="黑体"/>
          <w:color w:val="000000" w:themeColor="text1"/>
          <w14:textFill>
            <w14:solidFill>
              <w14:schemeClr w14:val="tx1"/>
            </w14:solidFill>
          </w14:textFill>
        </w:rPr>
        <w:t xml:space="preserve">-based fuel burner </w:t>
      </w:r>
    </w:p>
    <w:bookmarkEnd w:id="60"/>
    <w:p w14:paraId="72646767">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用本身带的支架支撑烹调器皿，并以醇基燃料作为燃料加热烹调器皿的燃烧器具。</w:t>
      </w:r>
    </w:p>
    <w:p w14:paraId="31D151E5">
      <w:pPr>
        <w:pStyle w:val="104"/>
        <w:spacing w:before="312" w:after="312"/>
        <w:rPr>
          <w:color w:val="000000" w:themeColor="text1"/>
          <w14:textFill>
            <w14:solidFill>
              <w14:schemeClr w14:val="tx1"/>
            </w14:solidFill>
          </w14:textFill>
        </w:rPr>
      </w:pPr>
      <w:bookmarkStart w:id="62" w:name="_Toc160529956"/>
      <w:bookmarkStart w:id="63" w:name="_Toc180144841"/>
      <w:bookmarkStart w:id="64" w:name="_Toc180144799"/>
      <w:r>
        <w:rPr>
          <w:rFonts w:hint="eastAsia"/>
          <w:color w:val="000000" w:themeColor="text1"/>
          <w14:textFill>
            <w14:solidFill>
              <w14:schemeClr w14:val="tx1"/>
            </w14:solidFill>
          </w14:textFill>
        </w:rPr>
        <w:t>基本</w:t>
      </w:r>
      <w:bookmarkEnd w:id="62"/>
      <w:bookmarkEnd w:id="63"/>
      <w:bookmarkEnd w:id="64"/>
      <w:r>
        <w:rPr>
          <w:rFonts w:hint="eastAsia"/>
          <w:color w:val="000000" w:themeColor="text1"/>
          <w14:textFill>
            <w14:solidFill>
              <w14:schemeClr w14:val="tx1"/>
            </w14:solidFill>
          </w14:textFill>
        </w:rPr>
        <w:t>要求</w:t>
      </w:r>
    </w:p>
    <w:p w14:paraId="1CA39086">
      <w:pPr>
        <w:pStyle w:val="162"/>
        <w:rPr>
          <w:color w:val="000000" w:themeColor="text1"/>
          <w14:textFill>
            <w14:solidFill>
              <w14:schemeClr w14:val="tx1"/>
            </w14:solidFill>
          </w14:textFill>
        </w:rPr>
      </w:pPr>
      <w:r>
        <w:rPr>
          <w:rFonts w:hint="eastAsia"/>
          <w:color w:val="000000" w:themeColor="text1"/>
          <w14:textFill>
            <w14:solidFill>
              <w14:schemeClr w14:val="tx1"/>
            </w14:solidFill>
          </w14:textFill>
        </w:rPr>
        <w:t>餐饮场所不应储存和使用闪点小于60℃的醇基燃料。</w:t>
      </w:r>
    </w:p>
    <w:p w14:paraId="33AD8669">
      <w:pPr>
        <w:pStyle w:val="162"/>
        <w:rPr>
          <w:color w:val="000000" w:themeColor="text1"/>
          <w14:textFill>
            <w14:solidFill>
              <w14:schemeClr w14:val="tx1"/>
            </w14:solidFill>
          </w14:textFill>
        </w:rPr>
      </w:pPr>
      <w:r>
        <w:rPr>
          <w:rFonts w:hint="eastAsia"/>
          <w:color w:val="000000" w:themeColor="text1"/>
          <w14:textFill>
            <w14:solidFill>
              <w14:schemeClr w14:val="tx1"/>
            </w14:solidFill>
          </w14:textFill>
        </w:rPr>
        <w:t>使用单位应向取得危险化学品经营许可的醇基液体燃料供货单位购买合格产品，并要求醇基液体燃料供货单位提供符合GB/T 16483规定的化学品安全技术说明书、符合GB 15258规定的化学品安全标签、符合GB</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16633规定的产品质量合格证明书，同时使用单位应将相关材料存档备查。</w:t>
      </w:r>
    </w:p>
    <w:p w14:paraId="72B754E1">
      <w:pPr>
        <w:pStyle w:val="162"/>
        <w:rPr>
          <w:color w:val="000000" w:themeColor="text1"/>
          <w14:textFill>
            <w14:solidFill>
              <w14:schemeClr w14:val="tx1"/>
            </w14:solidFill>
          </w14:textFill>
        </w:rPr>
      </w:pPr>
      <w:r>
        <w:rPr>
          <w:rFonts w:hint="eastAsia"/>
          <w:color w:val="000000" w:themeColor="text1"/>
          <w14:textFill>
            <w14:solidFill>
              <w14:schemeClr w14:val="tx1"/>
            </w14:solidFill>
          </w14:textFill>
        </w:rPr>
        <w:t>首次安装使用单位应要求</w:t>
      </w:r>
      <w:r>
        <w:rPr>
          <w:color w:val="000000" w:themeColor="text1"/>
          <w14:textFill>
            <w14:solidFill>
              <w14:schemeClr w14:val="tx1"/>
            </w14:solidFill>
          </w14:textFill>
        </w:rPr>
        <w:t>供货单位对</w:t>
      </w:r>
      <w:r>
        <w:rPr>
          <w:rFonts w:hint="eastAsia"/>
          <w:color w:val="000000" w:themeColor="text1"/>
          <w14:textFill>
            <w14:solidFill>
              <w14:schemeClr w14:val="tx1"/>
            </w14:solidFill>
          </w14:textFill>
        </w:rPr>
        <w:t>使用环境、安装条件、安全距离、电气设备、灶具、管道等内容的检查、把关，符合使用条件的书面出具符合使用条件意见。使用单位应要求供货单位应保证燃料储存</w:t>
      </w:r>
      <w:r>
        <w:rPr>
          <w:color w:val="000000" w:themeColor="text1"/>
          <w14:textFill>
            <w14:solidFill>
              <w14:schemeClr w14:val="tx1"/>
            </w14:solidFill>
          </w14:textFill>
        </w:rPr>
        <w:t>容器</w:t>
      </w:r>
      <w:r>
        <w:rPr>
          <w:rFonts w:hint="eastAsia"/>
          <w:color w:val="000000" w:themeColor="text1"/>
          <w14:textFill>
            <w14:solidFill>
              <w14:schemeClr w14:val="tx1"/>
            </w14:solidFill>
          </w14:textFill>
        </w:rPr>
        <w:t>、灶具、管道的安装和维修符合安全要求，且安装和维修应由专业人员进行。</w:t>
      </w:r>
    </w:p>
    <w:p w14:paraId="020002FD">
      <w:pPr>
        <w:pStyle w:val="162"/>
        <w:rPr>
          <w:color w:val="000000" w:themeColor="text1"/>
          <w14:textFill>
            <w14:solidFill>
              <w14:schemeClr w14:val="tx1"/>
            </w14:solidFill>
          </w14:textFill>
        </w:rPr>
      </w:pPr>
      <w:r>
        <w:rPr>
          <w:rFonts w:hint="eastAsia"/>
          <w:color w:val="000000" w:themeColor="text1"/>
          <w14:textFill>
            <w14:solidFill>
              <w14:schemeClr w14:val="tx1"/>
            </w14:solidFill>
          </w14:textFill>
        </w:rPr>
        <w:t>使用单位应要求供货</w:t>
      </w:r>
      <w:r>
        <w:rPr>
          <w:color w:val="000000" w:themeColor="text1"/>
          <w14:textFill>
            <w14:solidFill>
              <w14:schemeClr w14:val="tx1"/>
            </w14:solidFill>
          </w14:textFill>
        </w:rPr>
        <w:t>单位</w:t>
      </w:r>
      <w:r>
        <w:rPr>
          <w:rFonts w:hint="eastAsia"/>
          <w:color w:val="000000" w:themeColor="text1"/>
          <w14:textFill>
            <w14:solidFill>
              <w14:schemeClr w14:val="tx1"/>
            </w14:solidFill>
          </w14:textFill>
        </w:rPr>
        <w:t>制定并提供醇基液体燃料使用安全操作规程，使用单位应将安全操作规程和现场处置措施张贴或悬挂于厨房醒目位置。</w:t>
      </w:r>
    </w:p>
    <w:p w14:paraId="222882F5">
      <w:pPr>
        <w:pStyle w:val="162"/>
        <w:rPr>
          <w:color w:val="000000" w:themeColor="text1"/>
          <w14:textFill>
            <w14:solidFill>
              <w14:schemeClr w14:val="tx1"/>
            </w14:solidFill>
          </w14:textFill>
        </w:rPr>
      </w:pPr>
      <w:r>
        <w:rPr>
          <w:rFonts w:hint="eastAsia"/>
          <w:color w:val="000000" w:themeColor="text1"/>
          <w14:textFill>
            <w14:solidFill>
              <w14:schemeClr w14:val="tx1"/>
            </w14:solidFill>
          </w14:textFill>
        </w:rPr>
        <w:t>使用单位应加强安全教育培训，从业人员应熟知醇基液体燃料危险特性、预防火灾爆炸措施、灭火器材使用方法、火灾逃生方法、个体防护和人员疏散要求等，并保留相应培训教育记录。</w:t>
      </w:r>
    </w:p>
    <w:p w14:paraId="7880A7CE">
      <w:pPr>
        <w:pStyle w:val="162"/>
        <w:rPr>
          <w:color w:val="000000" w:themeColor="text1"/>
          <w14:textFill>
            <w14:solidFill>
              <w14:schemeClr w14:val="tx1"/>
            </w14:solidFill>
          </w14:textFill>
        </w:rPr>
      </w:pPr>
      <w:r>
        <w:rPr>
          <w:rFonts w:hint="eastAsia"/>
          <w:color w:val="000000" w:themeColor="text1"/>
          <w14:textFill>
            <w14:solidFill>
              <w14:schemeClr w14:val="tx1"/>
            </w14:solidFill>
          </w14:textFill>
        </w:rPr>
        <w:t>使用单位应严格执行检维修动火审批制度，落实检维修现场监护人员和防范措施。</w:t>
      </w:r>
    </w:p>
    <w:p w14:paraId="44AB4A1D">
      <w:pPr>
        <w:pStyle w:val="162"/>
        <w:rPr>
          <w:color w:val="000000" w:themeColor="text1"/>
          <w14:textFill>
            <w14:solidFill>
              <w14:schemeClr w14:val="tx1"/>
            </w14:solidFill>
          </w14:textFill>
        </w:rPr>
      </w:pPr>
      <w:r>
        <w:rPr>
          <w:rFonts w:hint="eastAsia"/>
          <w:color w:val="000000" w:themeColor="text1"/>
          <w14:textFill>
            <w14:solidFill>
              <w14:schemeClr w14:val="tx1"/>
            </w14:solidFill>
          </w14:textFill>
        </w:rPr>
        <w:t>使用单位在使用</w:t>
      </w:r>
      <w:r>
        <w:rPr>
          <w:color w:val="000000" w:themeColor="text1"/>
          <w14:textFill>
            <w14:solidFill>
              <w14:schemeClr w14:val="tx1"/>
            </w14:solidFill>
          </w14:textFill>
        </w:rPr>
        <w:t>期间</w:t>
      </w:r>
      <w:r>
        <w:rPr>
          <w:rFonts w:hint="eastAsia"/>
          <w:color w:val="000000" w:themeColor="text1"/>
          <w14:textFill>
            <w14:solidFill>
              <w14:schemeClr w14:val="tx1"/>
            </w14:solidFill>
          </w14:textFill>
        </w:rPr>
        <w:t>应每日进行安全巡查，定期进行安全检查，并确定巡查、检查的人员、内容、部位和频次。</w:t>
      </w:r>
    </w:p>
    <w:p w14:paraId="460896EB">
      <w:pPr>
        <w:pStyle w:val="162"/>
        <w:rPr>
          <w:color w:val="000000" w:themeColor="text1"/>
          <w14:textFill>
            <w14:solidFill>
              <w14:schemeClr w14:val="tx1"/>
            </w14:solidFill>
          </w14:textFill>
        </w:rPr>
      </w:pPr>
      <w:r>
        <w:rPr>
          <w:rFonts w:hint="eastAsia"/>
          <w:color w:val="000000" w:themeColor="text1"/>
          <w14:textFill>
            <w14:solidFill>
              <w14:schemeClr w14:val="tx1"/>
            </w14:solidFill>
          </w14:textFill>
        </w:rPr>
        <w:t>使用单位应对醇基液体燃料的采购时间、供货单位、采购量等采购信息保留相应记录和台账，保留时间不少于1年。</w:t>
      </w:r>
    </w:p>
    <w:p w14:paraId="3145CB4B">
      <w:pPr>
        <w:pStyle w:val="162"/>
        <w:rPr>
          <w:color w:val="000000" w:themeColor="text1"/>
          <w14:textFill>
            <w14:solidFill>
              <w14:schemeClr w14:val="tx1"/>
            </w14:solidFill>
          </w14:textFill>
        </w:rPr>
      </w:pPr>
      <w:r>
        <w:rPr>
          <w:rFonts w:hint="eastAsia"/>
          <w:color w:val="000000" w:themeColor="text1"/>
          <w14:textFill>
            <w14:solidFill>
              <w14:schemeClr w14:val="tx1"/>
            </w14:solidFill>
          </w14:textFill>
        </w:rPr>
        <w:t>以下建筑场所和部位的餐饮</w:t>
      </w:r>
      <w:bookmarkStart w:id="65" w:name="OLE_LINK14"/>
      <w:bookmarkStart w:id="66" w:name="OLE_LINK3"/>
      <w:r>
        <w:rPr>
          <w:rFonts w:hint="eastAsia"/>
          <w:color w:val="000000" w:themeColor="text1"/>
          <w14:textFill>
            <w14:solidFill>
              <w14:schemeClr w14:val="tx1"/>
            </w14:solidFill>
          </w14:textFill>
        </w:rPr>
        <w:t>场所不准许使用醇基液体燃料</w:t>
      </w:r>
      <w:bookmarkEnd w:id="65"/>
      <w:bookmarkEnd w:id="66"/>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p>
    <w:p w14:paraId="126DA1A8">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文物古建筑物内；</w:t>
      </w:r>
    </w:p>
    <w:p w14:paraId="43366B3A">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设置在高层建筑内的餐饮场所；</w:t>
      </w:r>
    </w:p>
    <w:p w14:paraId="4E33394D">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设置在大型和中型商店建筑内的餐饮场所；</w:t>
      </w:r>
    </w:p>
    <w:p w14:paraId="246D8C7A">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设置在地下或半地下的餐饮场所；</w:t>
      </w:r>
    </w:p>
    <w:p w14:paraId="30AE21F0">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使用燃气的房间。</w:t>
      </w:r>
    </w:p>
    <w:p w14:paraId="5E75D2F2">
      <w:pPr>
        <w:pStyle w:val="179"/>
        <w:rPr>
          <w:color w:val="000000" w:themeColor="text1"/>
          <w14:textFill>
            <w14:solidFill>
              <w14:schemeClr w14:val="tx1"/>
            </w14:solidFill>
          </w14:textFill>
        </w:rPr>
      </w:pPr>
      <w:bookmarkStart w:id="67" w:name="OLE_LINK25"/>
      <w:r>
        <w:rPr>
          <w:rFonts w:hint="eastAsia"/>
          <w:color w:val="000000" w:themeColor="text1"/>
          <w14:textFill>
            <w14:solidFill>
              <w14:schemeClr w14:val="tx1"/>
            </w14:solidFill>
          </w14:textFill>
        </w:rPr>
        <w:t>不带外部管路连接燃料储存容器且内部容量不大于2</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L的醇基燃料灶具除外</w:t>
      </w:r>
      <w:bookmarkEnd w:id="67"/>
      <w:r>
        <w:rPr>
          <w:rFonts w:hint="eastAsia"/>
          <w:color w:val="000000" w:themeColor="text1"/>
          <w14:textFill>
            <w14:solidFill>
              <w14:schemeClr w14:val="tx1"/>
            </w14:solidFill>
          </w14:textFill>
        </w:rPr>
        <w:t>。</w:t>
      </w:r>
    </w:p>
    <w:p w14:paraId="3FB8DF38">
      <w:pPr>
        <w:pStyle w:val="104"/>
        <w:spacing w:before="312" w:after="312"/>
        <w:rPr>
          <w:color w:val="000000" w:themeColor="text1"/>
          <w:szCs w:val="21"/>
          <w14:textFill>
            <w14:solidFill>
              <w14:schemeClr w14:val="tx1"/>
            </w14:solidFill>
          </w14:textFill>
        </w:rPr>
      </w:pPr>
      <w:bookmarkStart w:id="68" w:name="_Toc180144843"/>
      <w:bookmarkStart w:id="69" w:name="_Toc180144801"/>
      <w:bookmarkStart w:id="70" w:name="_Toc180144802"/>
      <w:bookmarkStart w:id="71" w:name="_Toc180144844"/>
      <w:r>
        <w:rPr>
          <w:rFonts w:hint="eastAsia"/>
          <w:color w:val="000000" w:themeColor="text1"/>
          <w14:textFill>
            <w14:solidFill>
              <w14:schemeClr w14:val="tx1"/>
            </w14:solidFill>
          </w14:textFill>
        </w:rPr>
        <w:t>燃料容器</w:t>
      </w:r>
      <w:bookmarkEnd w:id="68"/>
      <w:bookmarkEnd w:id="69"/>
    </w:p>
    <w:p w14:paraId="1B2D88D6">
      <w:pPr>
        <w:pStyle w:val="162"/>
        <w:rPr>
          <w:color w:val="000000" w:themeColor="text1"/>
          <w14:textFill>
            <w14:solidFill>
              <w14:schemeClr w14:val="tx1"/>
            </w14:solidFill>
          </w14:textFill>
        </w:rPr>
      </w:pPr>
      <w:bookmarkStart w:id="72" w:name="OLE_LINK26"/>
      <w:bookmarkStart w:id="73" w:name="OLE_LINK27"/>
      <w:r>
        <w:rPr>
          <w:rFonts w:hint="eastAsia"/>
          <w:color w:val="000000" w:themeColor="text1"/>
          <w14:textFill>
            <w14:solidFill>
              <w14:schemeClr w14:val="tx1"/>
            </w14:solidFill>
          </w14:textFill>
        </w:rPr>
        <w:t>醇基液体燃料储罐、醇基液体燃料钢瓶、便携式醇基液体燃料桶、一次性使用醇基液体燃料瓶</w:t>
      </w:r>
      <w:bookmarkEnd w:id="72"/>
      <w:bookmarkEnd w:id="73"/>
      <w:bookmarkStart w:id="74" w:name="OLE_LINK30"/>
      <w:bookmarkStart w:id="75" w:name="OLE_LINK31"/>
      <w:r>
        <w:rPr>
          <w:rFonts w:hint="eastAsia"/>
          <w:color w:val="000000" w:themeColor="text1"/>
          <w14:textFill>
            <w14:solidFill>
              <w14:schemeClr w14:val="tx1"/>
            </w14:solidFill>
          </w14:textFill>
        </w:rPr>
        <w:t>应从合规企业购买，并粘贴或拴</w:t>
      </w:r>
      <w:r>
        <w:rPr>
          <w:color w:val="000000" w:themeColor="text1"/>
          <w14:textFill>
            <w14:solidFill>
              <w14:schemeClr w14:val="tx1"/>
            </w14:solidFill>
          </w14:textFill>
        </w:rPr>
        <w:t>挂</w:t>
      </w:r>
      <w:r>
        <w:rPr>
          <w:rFonts w:hint="eastAsia"/>
          <w:color w:val="000000" w:themeColor="text1"/>
          <w14:textFill>
            <w14:solidFill>
              <w14:schemeClr w14:val="tx1"/>
            </w14:solidFill>
          </w14:textFill>
        </w:rPr>
        <w:t>相应的化学品安全标签</w:t>
      </w:r>
      <w:bookmarkEnd w:id="74"/>
      <w:bookmarkEnd w:id="75"/>
      <w:r>
        <w:rPr>
          <w:rFonts w:hint="eastAsia"/>
          <w:color w:val="000000" w:themeColor="text1"/>
          <w14:textFill>
            <w14:solidFill>
              <w14:schemeClr w14:val="tx1"/>
            </w14:solidFill>
          </w14:textFill>
        </w:rPr>
        <w:t>。</w:t>
      </w:r>
    </w:p>
    <w:p w14:paraId="2C82F10D">
      <w:pPr>
        <w:pStyle w:val="162"/>
        <w:rPr>
          <w:color w:val="000000" w:themeColor="text1"/>
          <w14:textFill>
            <w14:solidFill>
              <w14:schemeClr w14:val="tx1"/>
            </w14:solidFill>
          </w14:textFill>
        </w:rPr>
      </w:pPr>
      <w:r>
        <w:rPr>
          <w:rFonts w:hint="eastAsia"/>
          <w:color w:val="000000" w:themeColor="text1"/>
          <w14:textFill>
            <w14:solidFill>
              <w14:schemeClr w14:val="tx1"/>
            </w14:solidFill>
          </w14:textFill>
        </w:rPr>
        <w:t>醇基液体燃料储罐应</w:t>
      </w:r>
      <w:r>
        <w:rPr>
          <w:color w:val="000000" w:themeColor="text1"/>
          <w14:textFill>
            <w14:solidFill>
              <w14:schemeClr w14:val="tx1"/>
            </w14:solidFill>
          </w14:textFill>
        </w:rPr>
        <w:t>符合以下要求：</w:t>
      </w:r>
    </w:p>
    <w:p w14:paraId="70751B60">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醇基液体燃料储罐为常压密闭容器，其材质为304不锈钢，最大容量不大于1</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w:t>
      </w:r>
      <w:r>
        <w:rPr>
          <w:color w:val="000000" w:themeColor="text1"/>
          <w:vertAlign w:val="superscript"/>
          <w14:textFill>
            <w14:solidFill>
              <w14:schemeClr w14:val="tx1"/>
            </w14:solidFill>
          </w14:textFill>
        </w:rPr>
        <w:t>3</w:t>
      </w:r>
      <w:r>
        <w:rPr>
          <w:rFonts w:hint="eastAsia"/>
          <w:color w:val="000000" w:themeColor="text1"/>
          <w14:textFill>
            <w14:solidFill>
              <w14:schemeClr w14:val="tx1"/>
            </w14:solidFill>
          </w14:textFill>
        </w:rPr>
        <w:t>，储存系数不应大于0.9；</w:t>
      </w:r>
    </w:p>
    <w:p w14:paraId="4817EA34">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醇基液体燃料储罐的呼吸阀出口在室外空气自然流通处，与易产生火花地点保持安全距离:且呼吸阀应安装有阻火装置；</w:t>
      </w:r>
    </w:p>
    <w:p w14:paraId="485ED59F">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醇基液体燃料储罐的阀门宜为球阀、旋塞阀等快开阀，可使用截止阀，不应使用蝶阀和闸阀。阀门应设置在人员不借助工具可以操作的位置；</w:t>
      </w:r>
    </w:p>
    <w:p w14:paraId="43BB4FBB">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醇基液体燃料储罐的事故切断阀在高温报警、断电和泄漏检测报警时应能自动关闭；</w:t>
      </w:r>
    </w:p>
    <w:p w14:paraId="240C0E85">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醇基液体燃料储罐应设置液位计，宜设置带联网远传功能的温度传感器、液位传感器；</w:t>
      </w:r>
    </w:p>
    <w:p w14:paraId="4594B9A7">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醇基液体燃料储罐应进行。</w:t>
      </w:r>
    </w:p>
    <w:p w14:paraId="26AF1BBF">
      <w:pPr>
        <w:pStyle w:val="162"/>
        <w:rPr>
          <w:color w:val="000000" w:themeColor="text1"/>
          <w14:textFill>
            <w14:solidFill>
              <w14:schemeClr w14:val="tx1"/>
            </w14:solidFill>
          </w14:textFill>
        </w:rPr>
      </w:pPr>
      <w:bookmarkStart w:id="76" w:name="OLE_LINK36"/>
      <w:bookmarkStart w:id="77" w:name="OLE_LINK37"/>
      <w:r>
        <w:rPr>
          <w:rFonts w:hint="eastAsia"/>
          <w:color w:val="000000" w:themeColor="text1"/>
          <w14:textFill>
            <w14:solidFill>
              <w14:schemeClr w14:val="tx1"/>
            </w14:solidFill>
          </w14:textFill>
        </w:rPr>
        <w:t>醇基液体燃料钢瓶</w:t>
      </w:r>
      <w:bookmarkEnd w:id="76"/>
      <w:bookmarkEnd w:id="77"/>
      <w:r>
        <w:rPr>
          <w:rFonts w:hint="eastAsia"/>
          <w:color w:val="000000" w:themeColor="text1"/>
          <w14:textFill>
            <w14:solidFill>
              <w14:schemeClr w14:val="tx1"/>
            </w14:solidFill>
          </w14:textFill>
        </w:rPr>
        <w:t>应</w:t>
      </w:r>
      <w:r>
        <w:rPr>
          <w:color w:val="000000" w:themeColor="text1"/>
          <w14:textFill>
            <w14:solidFill>
              <w14:schemeClr w14:val="tx1"/>
            </w14:solidFill>
          </w14:textFill>
        </w:rPr>
        <w:t>符合以下要求</w:t>
      </w:r>
      <w:r>
        <w:rPr>
          <w:rFonts w:hint="eastAsia"/>
          <w:color w:val="000000" w:themeColor="text1"/>
          <w14:textFill>
            <w14:solidFill>
              <w14:schemeClr w14:val="tx1"/>
            </w14:solidFill>
          </w14:textFill>
        </w:rPr>
        <w:t>：</w:t>
      </w:r>
    </w:p>
    <w:p w14:paraId="2527AFA3">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钢瓶为常压钢制焊接小口瓶,钢瓶设计，结构、材质、尺寸、壁厚等按照GB/T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5100的要求执行，耐腐蚀能力不低于GB/T 20878中S35350（12Cr17Mn6Ni5N）相关要求。接触醇基液体燃料的阀门、密封材料和其他附件应使用耐甲醇的材质，不应使用铝合金材质。其中阀门结构及瓶体承压能力不作要求；</w:t>
      </w:r>
    </w:p>
    <w:p w14:paraId="533646B6">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瓶体阀门宜为快开阀，且阀门关闭后瓶体处于倒置、平放等状态时不渗漏；</w:t>
      </w:r>
    </w:p>
    <w:p w14:paraId="3BD9D33C">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钢瓶出现变形、裂纹、阀门歪斜、深度大于20</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mm凹陷等明显损伤的现象不准许使用，出现渗漏的钢瓶立即停止使用并按照应急处置程序进行处置；</w:t>
      </w:r>
    </w:p>
    <w:p w14:paraId="230FCC95">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钢瓶装满后的总质量可满足由一名人员进行转移的要求，且容量</w:t>
      </w:r>
      <w:r>
        <w:rPr>
          <w:color w:val="000000" w:themeColor="text1"/>
          <w14:textFill>
            <w14:solidFill>
              <w14:schemeClr w14:val="tx1"/>
            </w14:solidFill>
          </w14:textFill>
        </w:rPr>
        <w:t>50</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L,总质量不超过</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0</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kg。</w:t>
      </w:r>
    </w:p>
    <w:p w14:paraId="31A4CE3C">
      <w:pPr>
        <w:pStyle w:val="162"/>
        <w:rPr>
          <w:color w:val="000000" w:themeColor="text1"/>
          <w14:textFill>
            <w14:solidFill>
              <w14:schemeClr w14:val="tx1"/>
            </w14:solidFill>
          </w14:textFill>
        </w:rPr>
      </w:pPr>
      <w:bookmarkStart w:id="78" w:name="OLE_LINK32"/>
      <w:bookmarkStart w:id="79" w:name="OLE_LINK33"/>
      <w:r>
        <w:rPr>
          <w:rFonts w:hint="eastAsia"/>
          <w:color w:val="000000" w:themeColor="text1"/>
          <w14:textFill>
            <w14:solidFill>
              <w14:schemeClr w14:val="tx1"/>
            </w14:solidFill>
          </w14:textFill>
        </w:rPr>
        <w:t>便携式醇基液体燃料桶</w:t>
      </w:r>
      <w:bookmarkEnd w:id="78"/>
      <w:bookmarkEnd w:id="79"/>
      <w:r>
        <w:rPr>
          <w:rFonts w:hint="eastAsia"/>
          <w:color w:val="000000" w:themeColor="text1"/>
          <w14:textFill>
            <w14:solidFill>
              <w14:schemeClr w14:val="tx1"/>
            </w14:solidFill>
          </w14:textFill>
        </w:rPr>
        <w:t>应</w:t>
      </w:r>
      <w:r>
        <w:rPr>
          <w:color w:val="000000" w:themeColor="text1"/>
          <w14:textFill>
            <w14:solidFill>
              <w14:schemeClr w14:val="tx1"/>
            </w14:solidFill>
          </w14:textFill>
        </w:rPr>
        <w:t>符合以下要求</w:t>
      </w:r>
      <w:r>
        <w:rPr>
          <w:rFonts w:hint="eastAsia"/>
          <w:color w:val="000000" w:themeColor="text1"/>
          <w14:textFill>
            <w14:solidFill>
              <w14:schemeClr w14:val="tx1"/>
            </w14:solidFill>
          </w14:textFill>
        </w:rPr>
        <w:t>：</w:t>
      </w:r>
    </w:p>
    <w:p w14:paraId="2F64B0E2">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燃料桶采用不锈钢材质。桶身光滑、平整，无凹凸不平、划痕、变形等现象；</w:t>
      </w:r>
    </w:p>
    <w:p w14:paraId="5382424A">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燃料桶具有严密的密封性能。桶盖与桶身之间配合紧密，无泄漏现象。在正常运输和使用过程中，桶身不出现裂缝、变形等现象。燃料桶常用的规格为5</w:t>
      </w:r>
      <w:r>
        <w:rPr>
          <w:color w:val="000000" w:themeColor="text1"/>
          <w:vertAlign w:val="subscript"/>
          <w14:textFill>
            <w14:solidFill>
              <w14:schemeClr w14:val="tx1"/>
            </w14:solidFill>
          </w14:textFill>
        </w:rPr>
        <w:t xml:space="preserve"> </w:t>
      </w:r>
      <w:r>
        <w:rPr>
          <w:rFonts w:hint="eastAsia"/>
          <w:color w:val="000000" w:themeColor="text1"/>
          <w14:textFill>
            <w14:solidFill>
              <w14:schemeClr w14:val="tx1"/>
            </w14:solidFill>
          </w14:textFill>
        </w:rPr>
        <w:t>L、10</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L、15</w:t>
      </w:r>
      <w:r>
        <w:rPr>
          <w:rFonts w:hint="eastAsia"/>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L、20</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L和30</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L。</w:t>
      </w:r>
    </w:p>
    <w:p w14:paraId="7502363D">
      <w:pPr>
        <w:pStyle w:val="162"/>
        <w:rPr>
          <w:color w:val="000000" w:themeColor="text1"/>
          <w14:textFill>
            <w14:solidFill>
              <w14:schemeClr w14:val="tx1"/>
            </w14:solidFill>
          </w14:textFill>
        </w:rPr>
      </w:pPr>
      <w:bookmarkStart w:id="80" w:name="OLE_LINK34"/>
      <w:bookmarkStart w:id="81" w:name="OLE_LINK35"/>
      <w:r>
        <w:rPr>
          <w:rFonts w:hint="eastAsia"/>
          <w:color w:val="000000" w:themeColor="text1"/>
          <w14:textFill>
            <w14:solidFill>
              <w14:schemeClr w14:val="tx1"/>
            </w14:solidFill>
          </w14:textFill>
        </w:rPr>
        <w:t>一次性使用醇基液体燃料瓶</w:t>
      </w:r>
      <w:bookmarkEnd w:id="80"/>
      <w:bookmarkEnd w:id="81"/>
      <w:r>
        <w:rPr>
          <w:rFonts w:hint="eastAsia"/>
          <w:color w:val="000000" w:themeColor="text1"/>
          <w14:textFill>
            <w14:solidFill>
              <w14:schemeClr w14:val="tx1"/>
            </w14:solidFill>
          </w14:textFill>
        </w:rPr>
        <w:t>应</w:t>
      </w:r>
      <w:r>
        <w:rPr>
          <w:color w:val="000000" w:themeColor="text1"/>
          <w14:textFill>
            <w14:solidFill>
              <w14:schemeClr w14:val="tx1"/>
            </w14:solidFill>
          </w14:textFill>
        </w:rPr>
        <w:t>符合以下</w:t>
      </w:r>
      <w:r>
        <w:rPr>
          <w:rFonts w:hint="eastAsia"/>
          <w:color w:val="000000" w:themeColor="text1"/>
          <w14:textFill>
            <w14:solidFill>
              <w14:schemeClr w14:val="tx1"/>
            </w14:solidFill>
          </w14:textFill>
        </w:rPr>
        <w:t>要求</w:t>
      </w:r>
      <w:r>
        <w:rPr>
          <w:color w:val="000000" w:themeColor="text1"/>
          <w14:textFill>
            <w14:solidFill>
              <w14:schemeClr w14:val="tx1"/>
            </w14:solidFill>
          </w14:textFill>
        </w:rPr>
        <w:t>：</w:t>
      </w:r>
    </w:p>
    <w:p w14:paraId="3E0B5EDD">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一次性使用醇基液体燃料瓶应使用耐醇基燃料腐蚀的金属材质；</w:t>
      </w:r>
    </w:p>
    <w:p w14:paraId="61227EEE">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一次性使用醇基液体燃料瓶的密封性完好，无泄漏；</w:t>
      </w:r>
    </w:p>
    <w:p w14:paraId="30496B24">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容量不大于1</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L。</w:t>
      </w:r>
    </w:p>
    <w:p w14:paraId="5613F246">
      <w:pPr>
        <w:pStyle w:val="104"/>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使用</w:t>
      </w:r>
      <w:r>
        <w:rPr>
          <w:color w:val="000000" w:themeColor="text1"/>
          <w14:textFill>
            <w14:solidFill>
              <w14:schemeClr w14:val="tx1"/>
            </w14:solidFill>
          </w14:textFill>
        </w:rPr>
        <w:t>安全</w:t>
      </w:r>
      <w:bookmarkEnd w:id="70"/>
      <w:bookmarkEnd w:id="71"/>
    </w:p>
    <w:p w14:paraId="3BB3423D">
      <w:pPr>
        <w:pStyle w:val="105"/>
        <w:rPr>
          <w:color w:val="000000" w:themeColor="text1"/>
          <w14:textFill>
            <w14:solidFill>
              <w14:schemeClr w14:val="tx1"/>
            </w14:solidFill>
          </w14:textFill>
        </w:rPr>
      </w:pPr>
      <w:bookmarkStart w:id="82" w:name="_Toc180144803"/>
      <w:bookmarkStart w:id="83" w:name="_Toc180144845"/>
      <w:r>
        <w:rPr>
          <w:rFonts w:hint="eastAsia"/>
          <w:color w:val="000000" w:themeColor="text1"/>
          <w14:textFill>
            <w14:solidFill>
              <w14:schemeClr w14:val="tx1"/>
            </w14:solidFill>
          </w14:textFill>
        </w:rPr>
        <w:t>储存</w:t>
      </w:r>
      <w:bookmarkEnd w:id="82"/>
      <w:bookmarkEnd w:id="83"/>
    </w:p>
    <w:p w14:paraId="6C2BE3D1">
      <w:pPr>
        <w:pStyle w:val="65"/>
        <w:rPr>
          <w:color w:val="000000" w:themeColor="text1"/>
          <w14:textFill>
            <w14:solidFill>
              <w14:schemeClr w14:val="tx1"/>
            </w14:solidFill>
          </w14:textFill>
        </w:rPr>
      </w:pPr>
      <w:r>
        <w:rPr>
          <w:rFonts w:hint="eastAsia"/>
          <w:color w:val="000000" w:themeColor="text1"/>
          <w14:textFill>
            <w14:solidFill>
              <w14:schemeClr w14:val="tx1"/>
            </w14:solidFill>
          </w14:textFill>
        </w:rPr>
        <w:t>基本</w:t>
      </w:r>
      <w:r>
        <w:rPr>
          <w:color w:val="000000" w:themeColor="text1"/>
          <w14:textFill>
            <w14:solidFill>
              <w14:schemeClr w14:val="tx1"/>
            </w14:solidFill>
          </w14:textFill>
        </w:rPr>
        <w:t>要求</w:t>
      </w:r>
    </w:p>
    <w:p w14:paraId="2206DA2E">
      <w:pPr>
        <w:pStyle w:val="164"/>
        <w:rPr>
          <w:color w:val="000000" w:themeColor="text1"/>
          <w14:textFill>
            <w14:solidFill>
              <w14:schemeClr w14:val="tx1"/>
            </w14:solidFill>
          </w14:textFill>
        </w:rPr>
      </w:pPr>
      <w:r>
        <w:rPr>
          <w:color w:val="000000" w:themeColor="text1"/>
          <w14:textFill>
            <w14:solidFill>
              <w14:schemeClr w14:val="tx1"/>
            </w14:solidFill>
          </w14:textFill>
        </w:rPr>
        <w:t>使用场所</w:t>
      </w:r>
      <w:r>
        <w:rPr>
          <w:rFonts w:hint="eastAsia"/>
          <w:color w:val="000000" w:themeColor="text1"/>
          <w14:textFill>
            <w14:solidFill>
              <w14:schemeClr w14:val="tx1"/>
            </w14:solidFill>
          </w14:textFill>
        </w:rPr>
        <w:t>内</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醇基液体燃料钢瓶</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携式醇基液体燃料桶</w:t>
      </w:r>
      <w:r>
        <w:rPr>
          <w:color w:val="000000" w:themeColor="text1"/>
          <w14:textFill>
            <w14:solidFill>
              <w14:schemeClr w14:val="tx1"/>
            </w14:solidFill>
          </w14:textFill>
        </w:rPr>
        <w:t>及</w:t>
      </w:r>
      <w:r>
        <w:rPr>
          <w:rFonts w:hint="eastAsia"/>
          <w:color w:val="000000" w:themeColor="text1"/>
          <w14:textFill>
            <w14:solidFill>
              <w14:schemeClr w14:val="tx1"/>
            </w14:solidFill>
          </w14:textFill>
        </w:rPr>
        <w:t>一次性使用醇基液体燃料瓶</w:t>
      </w:r>
      <w:r>
        <w:rPr>
          <w:color w:val="000000" w:themeColor="text1"/>
          <w14:textFill>
            <w14:solidFill>
              <w14:schemeClr w14:val="tx1"/>
            </w14:solidFill>
          </w14:textFill>
        </w:rPr>
        <w:t>中醇基燃料的总重量不超过800</w:t>
      </w:r>
      <w:r>
        <w:rPr>
          <w:rFonts w:hint="eastAsia"/>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kg。</w:t>
      </w:r>
    </w:p>
    <w:p w14:paraId="15FFB474">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醇基液体燃料储罐应按GB 50016的</w:t>
      </w:r>
      <w:r>
        <w:rPr>
          <w:color w:val="000000" w:themeColor="text1"/>
          <w14:textFill>
            <w14:solidFill>
              <w14:schemeClr w14:val="tx1"/>
            </w14:solidFill>
          </w14:textFill>
        </w:rPr>
        <w:t>要求</w:t>
      </w:r>
      <w:r>
        <w:rPr>
          <w:rFonts w:hint="eastAsia"/>
          <w:color w:val="000000" w:themeColor="text1"/>
          <w14:textFill>
            <w14:solidFill>
              <w14:schemeClr w14:val="tx1"/>
            </w14:solidFill>
          </w14:textFill>
        </w:rPr>
        <w:t>安装，并确保安装牢</w:t>
      </w:r>
      <w:r>
        <w:rPr>
          <w:rFonts w:hint="eastAsia"/>
          <w:color w:val="000000" w:themeColor="text1"/>
          <w:spacing w:val="-11"/>
          <w14:textFill>
            <w14:solidFill>
              <w14:schemeClr w14:val="tx1"/>
            </w14:solidFill>
          </w14:textFill>
        </w:rPr>
        <w:t>固。</w:t>
      </w:r>
    </w:p>
    <w:p w14:paraId="395966B9">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醇基液体燃料储罐及燃料管道应良好接地。</w:t>
      </w:r>
    </w:p>
    <w:p w14:paraId="5DDA6DAD">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钢瓶、便携式醇基液体燃料桶应直立放置使用，不准许倒置或水平放置使用。</w:t>
      </w:r>
    </w:p>
    <w:p w14:paraId="0A995DC4">
      <w:pPr>
        <w:pStyle w:val="164"/>
        <w:rPr>
          <w:rFonts w:ascii="黑体" w:eastAsia="黑体"/>
          <w:color w:val="000000" w:themeColor="text1"/>
          <w14:textFill>
            <w14:solidFill>
              <w14:schemeClr w14:val="tx1"/>
            </w14:solidFill>
          </w14:textFill>
        </w:rPr>
      </w:pPr>
      <w:r>
        <w:rPr>
          <w:rFonts w:hint="eastAsia"/>
          <w:color w:val="000000" w:themeColor="text1"/>
          <w14:textFill>
            <w14:solidFill>
              <w14:schemeClr w14:val="tx1"/>
            </w14:solidFill>
          </w14:textFill>
        </w:rPr>
        <w:t>储存容器设置位置不应存放或贴邻建筑中人员密集的场所。</w:t>
      </w:r>
    </w:p>
    <w:p w14:paraId="08F54A6E">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应在醒目位置设置“严禁烟火”“易燃易爆”“当心火灾”等安全警示标志和安全告知牌，并标明储存醇基液体燃料的闪点。</w:t>
      </w:r>
    </w:p>
    <w:p w14:paraId="1CDB1E93">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存储和使用场所应配备有效的干粉灭火器、砂土、灭火毯等消防应急器材，干粉灭火器，不应少于2具。</w:t>
      </w:r>
    </w:p>
    <w:p w14:paraId="0A6D9EF6">
      <w:pPr>
        <w:pStyle w:val="164"/>
        <w:rPr>
          <w:rFonts w:ascii="黑体" w:eastAsia="黑体"/>
          <w:color w:val="000000" w:themeColor="text1"/>
          <w14:textFill>
            <w14:solidFill>
              <w14:schemeClr w14:val="tx1"/>
            </w14:solidFill>
          </w14:textFill>
        </w:rPr>
      </w:pPr>
      <w:r>
        <w:rPr>
          <w:rFonts w:hint="eastAsia"/>
          <w:color w:val="000000" w:themeColor="text1"/>
          <w14:textFill>
            <w14:solidFill>
              <w14:schemeClr w14:val="tx1"/>
            </w14:solidFill>
          </w14:textFill>
        </w:rPr>
        <w:t>醇基液体燃料储罐离灶具的水平距离不小于1.5</w:t>
      </w:r>
      <w:r>
        <w:rPr>
          <w:rFonts w:hint="eastAsia"/>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m。电气设备应按GB 50058</w:t>
      </w:r>
      <w:r>
        <w:rPr>
          <w:rFonts w:hint="eastAsia"/>
          <w:color w:val="000000" w:themeColor="text1"/>
          <w:spacing w:val="-2"/>
          <w14:textFill>
            <w14:solidFill>
              <w14:schemeClr w14:val="tx1"/>
            </w14:solidFill>
          </w14:textFill>
        </w:rPr>
        <w:t>的要求设置</w:t>
      </w:r>
      <w:r>
        <w:rPr>
          <w:rFonts w:hint="eastAsia"/>
          <w:color w:val="000000" w:themeColor="text1"/>
          <w14:textFill>
            <w14:solidFill>
              <w14:schemeClr w14:val="tx1"/>
            </w14:solidFill>
          </w14:textFill>
        </w:rPr>
        <w:t>。</w:t>
      </w:r>
    </w:p>
    <w:p w14:paraId="1ADF6B99">
      <w:pPr>
        <w:pStyle w:val="65"/>
        <w:rPr>
          <w:color w:val="000000" w:themeColor="text1"/>
          <w14:textFill>
            <w14:solidFill>
              <w14:schemeClr w14:val="tx1"/>
            </w14:solidFill>
          </w14:textFill>
        </w:rPr>
      </w:pPr>
      <w:r>
        <w:rPr>
          <w:rFonts w:hint="eastAsia"/>
          <w:color w:val="000000" w:themeColor="text1"/>
          <w14:textFill>
            <w14:solidFill>
              <w14:schemeClr w14:val="tx1"/>
            </w14:solidFill>
          </w14:textFill>
        </w:rPr>
        <w:t>室内储存</w:t>
      </w:r>
    </w:p>
    <w:p w14:paraId="4B186602">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储存容器设置在室内时应设置专门的储存间。</w:t>
      </w:r>
    </w:p>
    <w:p w14:paraId="6B69D751">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储存间应采用耐火极限不低于</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.00</w:t>
      </w:r>
      <w:r>
        <w:rPr>
          <w:color w:val="000000" w:themeColor="text1"/>
          <w:vertAlign w:val="subscript"/>
          <w14:textFill>
            <w14:solidFill>
              <w14:schemeClr w14:val="tx1"/>
            </w14:solidFill>
          </w14:textFill>
        </w:rPr>
        <w:t xml:space="preserve"> </w:t>
      </w:r>
      <w:r>
        <w:rPr>
          <w:rFonts w:hint="eastAsia"/>
          <w:color w:val="000000" w:themeColor="text1"/>
          <w14:textFill>
            <w14:solidFill>
              <w14:schemeClr w14:val="tx1"/>
            </w14:solidFill>
          </w14:textFill>
        </w:rPr>
        <w:t>h的防火隔墙与其他部位分隔；确需在防火隔墙上开门时，应设置甲级防火门。</w:t>
      </w:r>
    </w:p>
    <w:p w14:paraId="1689E159">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储存间应通风良好或具备强制通风条件。</w:t>
      </w:r>
    </w:p>
    <w:p w14:paraId="7BA360E6">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储存间应设置应急照明。</w:t>
      </w:r>
    </w:p>
    <w:p w14:paraId="69FA6006">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储存间内的电气设备应采用防爆电气设备。</w:t>
      </w:r>
    </w:p>
    <w:p w14:paraId="01BA3980">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储存间应设置声光报警功能可燃气体探测器，探测器的安装高度宜在释放源下方0.5</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m～1.0</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w:t>
      </w:r>
    </w:p>
    <w:p w14:paraId="20FA532D">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储存间应配置灭火设施。</w:t>
      </w:r>
    </w:p>
    <w:p w14:paraId="5D40C491">
      <w:pPr>
        <w:pStyle w:val="65"/>
        <w:rPr>
          <w:color w:val="000000" w:themeColor="text1"/>
          <w14:textFill>
            <w14:solidFill>
              <w14:schemeClr w14:val="tx1"/>
            </w14:solidFill>
          </w14:textFill>
        </w:rPr>
      </w:pPr>
      <w:r>
        <w:rPr>
          <w:rFonts w:hint="eastAsia"/>
          <w:color w:val="000000" w:themeColor="text1"/>
          <w14:textFill>
            <w14:solidFill>
              <w14:schemeClr w14:val="tx1"/>
            </w14:solidFill>
          </w14:textFill>
        </w:rPr>
        <w:t>室外储存</w:t>
      </w:r>
    </w:p>
    <w:p w14:paraId="292FFA52">
      <w:pPr>
        <w:pStyle w:val="164"/>
      </w:pPr>
      <w:r>
        <w:rPr>
          <w:rFonts w:hint="eastAsia"/>
        </w:rPr>
        <w:t>储存容器材质为金属材质或与金属设备相连通的，应设置避雷设施。</w:t>
      </w:r>
    </w:p>
    <w:p w14:paraId="26BF275B">
      <w:pPr>
        <w:pStyle w:val="164"/>
      </w:pPr>
      <w:r>
        <w:rPr>
          <w:rFonts w:hint="eastAsia"/>
        </w:rPr>
        <w:t>固定在建筑外墙上或贴临建筑外墙时，建筑外墙应为防火墙,距离储存容器4</w:t>
      </w:r>
      <w:r>
        <w:rPr>
          <w:vertAlign w:val="superscript"/>
        </w:rPr>
        <w:t xml:space="preserve"> </w:t>
      </w:r>
      <w:r>
        <w:rPr>
          <w:rFonts w:hint="eastAsia"/>
        </w:rPr>
        <w:t>m范围的外墙墙面上不应开设任何门窗孔洞且不应有可燃物。</w:t>
      </w:r>
    </w:p>
    <w:p w14:paraId="4B4AF750">
      <w:pPr>
        <w:pStyle w:val="164"/>
      </w:pPr>
      <w:r>
        <w:rPr>
          <w:rFonts w:hint="eastAsia"/>
        </w:rPr>
        <w:t>储存容器设置位置应便于灭火应急处置。</w:t>
      </w:r>
    </w:p>
    <w:p w14:paraId="4785C11C">
      <w:pPr>
        <w:pStyle w:val="164"/>
        <w:rPr>
          <w:rFonts w:ascii="黑体" w:eastAsia="黑体"/>
          <w:color w:val="000000" w:themeColor="text1"/>
          <w14:textFill>
            <w14:solidFill>
              <w14:schemeClr w14:val="tx1"/>
            </w14:solidFill>
          </w14:textFill>
        </w:rPr>
      </w:pPr>
      <w:r>
        <w:rPr>
          <w:rFonts w:hint="eastAsia"/>
        </w:rPr>
        <w:t>室外布置的醇基液体燃料储罐不宜布置在人员主要出入口周围，与架空电力线的最近水</w:t>
      </w:r>
      <w:r>
        <w:rPr>
          <w:rFonts w:hint="eastAsia"/>
          <w:spacing w:val="-1"/>
        </w:rPr>
        <w:t>平距离不应</w:t>
      </w:r>
      <w:r>
        <w:rPr>
          <w:rFonts w:hint="eastAsia"/>
          <w:spacing w:val="-3"/>
        </w:rPr>
        <w:t>小于</w:t>
      </w:r>
      <w:r>
        <w:rPr>
          <w:rFonts w:hint="eastAsia"/>
          <w:color w:val="000000" w:themeColor="text1"/>
          <w:spacing w:val="-3"/>
          <w14:textFill>
            <w14:solidFill>
              <w14:schemeClr w14:val="tx1"/>
            </w14:solidFill>
          </w14:textFill>
        </w:rPr>
        <w:t>电杆（塔）高度的1.5倍。</w:t>
      </w:r>
    </w:p>
    <w:p w14:paraId="15F2E9C7">
      <w:pPr>
        <w:pStyle w:val="164"/>
        <w:numPr>
          <w:ilvl w:val="4"/>
          <w:numId w:val="32"/>
        </w:numPr>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应采用由不燃材料制作的防止日晒雨淋的措施，</w:t>
      </w:r>
      <w:r>
        <w:rPr>
          <w:rFonts w:hint="eastAsia" w:hAnsi="宋体"/>
          <w:color w:val="000000" w:themeColor="text1"/>
          <w14:textFill>
            <w14:solidFill>
              <w14:schemeClr w14:val="tx1"/>
            </w14:solidFill>
          </w14:textFill>
        </w:rPr>
        <w:t>储存容器下部应设置围堰等防止醇基液体燃料流散的设施。</w:t>
      </w:r>
    </w:p>
    <w:p w14:paraId="71EA28B4">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室外储存的容器与外部的安全距离应符合GB</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50016的要求。</w:t>
      </w:r>
    </w:p>
    <w:p w14:paraId="101A6275">
      <w:pPr>
        <w:pStyle w:val="105"/>
        <w:rPr>
          <w:color w:val="000000" w:themeColor="text1"/>
          <w14:textFill>
            <w14:solidFill>
              <w14:schemeClr w14:val="tx1"/>
            </w14:solidFill>
          </w14:textFill>
        </w:rPr>
      </w:pPr>
      <w:bookmarkStart w:id="84" w:name="_Toc180144804"/>
      <w:bookmarkStart w:id="85" w:name="_Toc180144846"/>
      <w:r>
        <w:rPr>
          <w:rFonts w:hint="eastAsia"/>
          <w:color w:val="000000" w:themeColor="text1"/>
          <w14:textFill>
            <w14:solidFill>
              <w14:schemeClr w14:val="tx1"/>
            </w14:solidFill>
          </w14:textFill>
        </w:rPr>
        <w:t>灶具</w:t>
      </w:r>
      <w:bookmarkEnd w:id="84"/>
      <w:bookmarkEnd w:id="85"/>
    </w:p>
    <w:p w14:paraId="51775147">
      <w:pPr>
        <w:pStyle w:val="165"/>
        <w:rPr>
          <w:rFonts w:ascii="黑体" w:eastAsia="黑体"/>
          <w:color w:val="000000" w:themeColor="text1"/>
          <w14:textFill>
            <w14:solidFill>
              <w14:schemeClr w14:val="tx1"/>
            </w14:solidFill>
          </w14:textFill>
        </w:rPr>
      </w:pPr>
      <w:r>
        <w:rPr>
          <w:rFonts w:hint="eastAsia"/>
          <w:color w:val="000000" w:themeColor="text1"/>
          <w14:textFill>
            <w14:solidFill>
              <w14:schemeClr w14:val="tx1"/>
            </w14:solidFill>
          </w14:textFill>
        </w:rPr>
        <w:t>燃烧器应符合</w:t>
      </w:r>
      <w:bookmarkStart w:id="86" w:name="OLE_LINK50"/>
      <w:r>
        <w:rPr>
          <w:color w:val="000000" w:themeColor="text1"/>
          <w14:textFill>
            <w14:solidFill>
              <w14:schemeClr w14:val="tx1"/>
            </w14:solidFill>
          </w14:textFill>
        </w:rPr>
        <w:t>GB/T 37433</w:t>
      </w:r>
      <w:bookmarkEnd w:id="86"/>
      <w:r>
        <w:rPr>
          <w:rFonts w:hint="eastAsia"/>
          <w:color w:val="000000" w:themeColor="text1"/>
          <w14:textFill>
            <w14:solidFill>
              <w14:schemeClr w14:val="tx1"/>
            </w14:solidFill>
          </w14:textFill>
        </w:rPr>
        <w:t>的规定，定期进行校验、检修，并做好记录，及时更换国家明令淘汰或者使用年限已届满的燃烧器具、连接管等。</w:t>
      </w:r>
    </w:p>
    <w:p w14:paraId="52B2EC4B">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灶具应具有自动点火装置，自动点火应坚持“火等燃料”的原则，不准许采用进燃料后再点火的方式。</w:t>
      </w:r>
    </w:p>
    <w:p w14:paraId="6B538F55">
      <w:pPr>
        <w:pStyle w:val="165"/>
        <w:rPr>
          <w:rFonts w:ascii="黑体" w:eastAsia="黑体"/>
          <w:color w:val="000000" w:themeColor="text1"/>
          <w14:textFill>
            <w14:solidFill>
              <w14:schemeClr w14:val="tx1"/>
            </w14:solidFill>
          </w14:textFill>
        </w:rPr>
      </w:pPr>
      <w:r>
        <w:rPr>
          <w:rFonts w:hint="eastAsia"/>
          <w:color w:val="000000" w:themeColor="text1"/>
          <w14:textFill>
            <w14:solidFill>
              <w14:schemeClr w14:val="tx1"/>
            </w14:solidFill>
          </w14:textFill>
        </w:rPr>
        <w:t>所选用的阀门在装灶前均应做试漏检测，经</w:t>
      </w:r>
      <w:r>
        <w:rPr>
          <w:color w:val="000000" w:themeColor="text1"/>
          <w14:textFill>
            <w14:solidFill>
              <w14:schemeClr w14:val="tx1"/>
            </w14:solidFill>
          </w14:textFill>
        </w:rPr>
        <w:t>检验</w:t>
      </w:r>
      <w:r>
        <w:rPr>
          <w:rFonts w:hint="eastAsia"/>
          <w:color w:val="000000" w:themeColor="text1"/>
          <w14:textFill>
            <w14:solidFill>
              <w14:schemeClr w14:val="tx1"/>
            </w14:solidFill>
          </w14:textFill>
        </w:rPr>
        <w:t>合格后使用；阀门的</w:t>
      </w:r>
      <w:r>
        <w:rPr>
          <w:rFonts w:hint="eastAsia" w:ascii="Times New Roman"/>
          <w:color w:val="000000" w:themeColor="text1"/>
          <w14:textFill>
            <w14:solidFill>
              <w14:schemeClr w14:val="tx1"/>
            </w14:solidFill>
          </w14:textFill>
        </w:rPr>
        <w:t>“</w:t>
      </w:r>
      <w:r>
        <w:rPr>
          <w:rFonts w:hint="eastAsia"/>
          <w:color w:val="000000" w:themeColor="text1"/>
          <w14:textFill>
            <w14:solidFill>
              <w14:schemeClr w14:val="tx1"/>
            </w14:solidFill>
          </w14:textFill>
        </w:rPr>
        <w:t>开</w:t>
      </w:r>
      <w:r>
        <w:rPr>
          <w:rFonts w:hint="eastAsia" w:ascii="Times New Roman"/>
          <w:color w:val="000000" w:themeColor="text1"/>
          <w14:textFill>
            <w14:solidFill>
              <w14:schemeClr w14:val="tx1"/>
            </w14:solidFill>
          </w14:textFill>
        </w:rPr>
        <w:t>”“</w:t>
      </w:r>
      <w:r>
        <w:rPr>
          <w:rFonts w:hint="eastAsia"/>
          <w:color w:val="000000" w:themeColor="text1"/>
          <w14:textFill>
            <w14:solidFill>
              <w14:schemeClr w14:val="tx1"/>
            </w14:solidFill>
          </w14:textFill>
        </w:rPr>
        <w:t>关</w:t>
      </w:r>
      <w:r>
        <w:rPr>
          <w:rFonts w:hint="eastAsia" w:ascii="Times New Roman"/>
          <w:color w:val="000000" w:themeColor="text1"/>
          <w14:textFill>
            <w14:solidFill>
              <w14:schemeClr w14:val="tx1"/>
            </w14:solidFill>
          </w14:textFill>
        </w:rPr>
        <w:t>”</w:t>
      </w:r>
      <w:r>
        <w:rPr>
          <w:rFonts w:hint="eastAsia"/>
          <w:color w:val="000000" w:themeColor="text1"/>
          <w14:textFill>
            <w14:solidFill>
              <w14:schemeClr w14:val="tx1"/>
            </w14:solidFill>
          </w14:textFill>
        </w:rPr>
        <w:t>的位置和方向要有明显的标志，并应</w:t>
      </w:r>
      <w:r>
        <w:rPr>
          <w:rFonts w:hint="eastAsia"/>
          <w:color w:val="000000" w:themeColor="text1"/>
          <w:spacing w:val="-3"/>
          <w14:textFill>
            <w14:solidFill>
              <w14:schemeClr w14:val="tx1"/>
            </w14:solidFill>
          </w14:textFill>
        </w:rPr>
        <w:t>有限位装置。</w:t>
      </w:r>
    </w:p>
    <w:p w14:paraId="0A665717">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钢瓶与灶具之间的连接管路，中间不应有接口或分支。</w:t>
      </w:r>
    </w:p>
    <w:p w14:paraId="0E04793C">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灶具应设置在餐饮场所的厨房内，厨房与其他部位应按照</w:t>
      </w:r>
      <w:bookmarkStart w:id="87" w:name="OLE_LINK1"/>
      <w:bookmarkStart w:id="88" w:name="OLE_LINK2"/>
      <w:r>
        <w:rPr>
          <w:rFonts w:hint="eastAsia"/>
          <w:color w:val="000000" w:themeColor="text1"/>
          <w14:textFill>
            <w14:solidFill>
              <w14:schemeClr w14:val="tx1"/>
            </w14:solidFill>
          </w14:textFill>
        </w:rPr>
        <w:t>GB 55037</w:t>
      </w:r>
      <w:bookmarkEnd w:id="87"/>
      <w:bookmarkEnd w:id="88"/>
      <w:r>
        <w:rPr>
          <w:rFonts w:hint="eastAsia"/>
          <w:color w:val="000000" w:themeColor="text1"/>
          <w14:textFill>
            <w14:solidFill>
              <w14:schemeClr w14:val="tx1"/>
            </w14:solidFill>
          </w14:textFill>
        </w:rPr>
        <w:t>中4.1条款的要求进行分隔。</w:t>
      </w:r>
    </w:p>
    <w:p w14:paraId="41A533D0">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醇基液体燃料钢瓶与灶具之间间距应大于100</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cm。</w:t>
      </w:r>
    </w:p>
    <w:p w14:paraId="64A5CB45">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灶具与墙面的净距不应小于10</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cm。</w:t>
      </w:r>
    </w:p>
    <w:p w14:paraId="10BF635D">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灶具的边缘与木质门、窗、家具的水平净距不应小于20</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cm。</w:t>
      </w:r>
    </w:p>
    <w:p w14:paraId="638A261E">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不应采用向容器内加压缩气体和自流的方式向燃烧灶具供燃料，宜采用风机输送方式进行供料。</w:t>
      </w:r>
    </w:p>
    <w:p w14:paraId="6B268429">
      <w:pPr>
        <w:pStyle w:val="105"/>
        <w:rPr>
          <w:color w:val="000000" w:themeColor="text1"/>
          <w14:textFill>
            <w14:solidFill>
              <w14:schemeClr w14:val="tx1"/>
            </w14:solidFill>
          </w14:textFill>
        </w:rPr>
      </w:pPr>
      <w:bookmarkStart w:id="89" w:name="_Toc180144847"/>
      <w:bookmarkStart w:id="90" w:name="_Toc180144805"/>
      <w:r>
        <w:rPr>
          <w:rFonts w:hint="eastAsia"/>
          <w:color w:val="000000" w:themeColor="text1"/>
          <w14:textFill>
            <w14:solidFill>
              <w14:schemeClr w14:val="tx1"/>
            </w14:solidFill>
          </w14:textFill>
        </w:rPr>
        <w:t>燃料管道</w:t>
      </w:r>
      <w:bookmarkEnd w:id="89"/>
      <w:bookmarkEnd w:id="90"/>
    </w:p>
    <w:p w14:paraId="6DC7977A">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管道宜选用不锈钢管、不锈钢波纹软管或符合GB/T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18997.2规定的铝塑复合管，不准许使用无防腐蚀、防溶胀能力的管道材料。</w:t>
      </w:r>
    </w:p>
    <w:p w14:paraId="5EBA04BB">
      <w:pPr>
        <w:pStyle w:val="165"/>
        <w:rPr>
          <w:rFonts w:ascii="黑体" w:eastAsia="黑体"/>
        </w:rPr>
      </w:pPr>
      <w:r>
        <w:rPr>
          <w:rFonts w:hint="eastAsia"/>
        </w:rPr>
        <w:t>与醇基液体燃料储罐连接的燃料输送管道应设置电磁阀及事故切断阀。</w:t>
      </w:r>
    </w:p>
    <w:p w14:paraId="305118C8">
      <w:pPr>
        <w:pStyle w:val="165"/>
      </w:pPr>
      <w:r>
        <w:rPr>
          <w:rFonts w:hint="eastAsia"/>
        </w:rPr>
        <w:t>燃料管道应采用焊接、熔接或法兰连接，不准许采用卡箍、丝扣等连接方式，阀门连接处应选用防泄漏、防溶胀的密封材料。进出口管道应设截止阀，宜采用密闭式注送口。</w:t>
      </w:r>
    </w:p>
    <w:p w14:paraId="17FE2E47">
      <w:pPr>
        <w:pStyle w:val="165"/>
        <w:rPr>
          <w:rFonts w:ascii="黑体" w:eastAsia="黑体"/>
        </w:rPr>
      </w:pPr>
      <w:r>
        <w:rPr>
          <w:rFonts w:hint="eastAsia"/>
        </w:rPr>
        <w:t>燃料系统的管路、接头等应确保在承压0.3</w:t>
      </w:r>
      <w:r>
        <w:rPr>
          <w:vertAlign w:val="superscript"/>
        </w:rPr>
        <w:t xml:space="preserve"> </w:t>
      </w:r>
      <w:r>
        <w:rPr>
          <w:rFonts w:hint="eastAsia"/>
        </w:rPr>
        <w:t>M</w:t>
      </w:r>
      <w:r>
        <w:t>Pa</w:t>
      </w:r>
      <w:r>
        <w:rPr>
          <w:rFonts w:hint="eastAsia"/>
        </w:rPr>
        <w:t>情况下，无液、气泄</w:t>
      </w:r>
      <w:r>
        <w:rPr>
          <w:rFonts w:hint="eastAsia"/>
          <w:spacing w:val="-2"/>
        </w:rPr>
        <w:t>漏，与醇基燃料灶具的连接管及管件，应符合GB/T</w:t>
      </w:r>
      <w:r>
        <w:rPr>
          <w:spacing w:val="-2"/>
        </w:rPr>
        <w:t xml:space="preserve"> </w:t>
      </w:r>
      <w:r>
        <w:rPr>
          <w:rFonts w:hint="eastAsia"/>
          <w:spacing w:val="-2"/>
        </w:rPr>
        <w:t>26002的</w:t>
      </w:r>
      <w:r>
        <w:rPr>
          <w:spacing w:val="-2"/>
        </w:rPr>
        <w:t>规定</w:t>
      </w:r>
      <w:r>
        <w:rPr>
          <w:rFonts w:hint="eastAsia"/>
          <w:spacing w:val="-2"/>
        </w:rPr>
        <w:t>。</w:t>
      </w:r>
    </w:p>
    <w:p w14:paraId="654D4D91">
      <w:pPr>
        <w:pStyle w:val="165"/>
      </w:pPr>
      <w:r>
        <w:rPr>
          <w:rFonts w:hint="eastAsia"/>
        </w:rPr>
        <w:t>燃料管道不应穿越疏散楼梯间、公共餐厅、办公室、人员居住区等不使用醇基液体燃料的房间，应远离灶具等高温环境。</w:t>
      </w:r>
    </w:p>
    <w:p w14:paraId="00A5D391">
      <w:pPr>
        <w:pStyle w:val="165"/>
      </w:pPr>
      <w:r>
        <w:rPr>
          <w:rFonts w:hint="eastAsia"/>
        </w:rPr>
        <w:t>燃料管道穿过墙壁或楼板时，应敷设在套管内，管道和套管间应采用不燃材料填塞。</w:t>
      </w:r>
    </w:p>
    <w:p w14:paraId="2DC17D7D">
      <w:pPr>
        <w:pStyle w:val="105"/>
        <w:rPr>
          <w:color w:val="000000" w:themeColor="text1"/>
          <w14:textFill>
            <w14:solidFill>
              <w14:schemeClr w14:val="tx1"/>
            </w14:solidFill>
          </w14:textFill>
        </w:rPr>
      </w:pPr>
      <w:bookmarkStart w:id="91" w:name="_Toc180144848"/>
      <w:bookmarkStart w:id="92" w:name="_Toc180144806"/>
      <w:r>
        <w:rPr>
          <w:rFonts w:hint="eastAsia"/>
        </w:rPr>
        <w:t>使用操作</w:t>
      </w:r>
      <w:bookmarkEnd w:id="91"/>
      <w:bookmarkEnd w:id="92"/>
    </w:p>
    <w:p w14:paraId="00D35E6B">
      <w:pPr>
        <w:pStyle w:val="65"/>
        <w:rPr>
          <w:color w:val="000000" w:themeColor="text1"/>
          <w14:textFill>
            <w14:solidFill>
              <w14:schemeClr w14:val="tx1"/>
            </w14:solidFill>
          </w14:textFill>
        </w:rPr>
      </w:pPr>
      <w:r>
        <w:rPr>
          <w:rFonts w:hint="eastAsia"/>
          <w:color w:val="000000" w:themeColor="text1"/>
          <w14:textFill>
            <w14:solidFill>
              <w14:schemeClr w14:val="tx1"/>
            </w14:solidFill>
          </w14:textFill>
        </w:rPr>
        <w:t>使用前</w:t>
      </w:r>
    </w:p>
    <w:p w14:paraId="6EE9ABD3">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应对操作人员进行相应的岗前培训并做好记录，使其熟知醇基液体燃料的物理化学特性，及相应的操作规范。未经培训者不应对醇基液体燃料进行操作。</w:t>
      </w:r>
    </w:p>
    <w:p w14:paraId="77AF8F2C">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醇基液体燃料使用前储存间、厨房操作间的门应朝外开，通风换气应保持良好；空气不畅</w:t>
      </w:r>
      <w:r>
        <w:rPr>
          <w:rFonts w:hint="eastAsia"/>
          <w:color w:val="000000" w:themeColor="text1"/>
          <w:spacing w:val="-1"/>
          <w14:textFill>
            <w14:solidFill>
              <w14:schemeClr w14:val="tx1"/>
            </w14:solidFill>
          </w14:textFill>
        </w:rPr>
        <w:t>或密闭空</w:t>
      </w:r>
      <w:r>
        <w:rPr>
          <w:rFonts w:hint="eastAsia"/>
          <w:color w:val="000000" w:themeColor="text1"/>
          <w:spacing w:val="-7"/>
          <w14:textFill>
            <w14:solidFill>
              <w14:schemeClr w14:val="tx1"/>
            </w14:solidFill>
          </w14:textFill>
        </w:rPr>
        <w:t>间应采用防爆型机械排风设施，换气次数≥12次/h。</w:t>
      </w:r>
    </w:p>
    <w:p w14:paraId="066D4E2E">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操作人员每天在</w:t>
      </w:r>
      <w:r>
        <w:rPr>
          <w:color w:val="000000" w:themeColor="text1"/>
          <w14:textFill>
            <w14:solidFill>
              <w14:schemeClr w14:val="tx1"/>
            </w14:solidFill>
          </w14:textFill>
        </w:rPr>
        <w:t>使用前</w:t>
      </w:r>
      <w:r>
        <w:rPr>
          <w:rFonts w:hint="eastAsia"/>
          <w:color w:val="000000" w:themeColor="text1"/>
          <w14:textFill>
            <w14:solidFill>
              <w14:schemeClr w14:val="tx1"/>
            </w14:solidFill>
          </w14:textFill>
        </w:rPr>
        <w:t>应对醇基液体燃料储罐、管路检查一次，无异常后方可打开相应阀门，点火使用。如有异常，应当在异常情况完全排除后，方可进行正常的点火工作。</w:t>
      </w:r>
    </w:p>
    <w:p w14:paraId="4001BE7C">
      <w:pPr>
        <w:pStyle w:val="65"/>
        <w:rPr>
          <w:color w:val="000000" w:themeColor="text1"/>
          <w14:textFill>
            <w14:solidFill>
              <w14:schemeClr w14:val="tx1"/>
            </w14:solidFill>
          </w14:textFill>
        </w:rPr>
      </w:pPr>
      <w:r>
        <w:rPr>
          <w:rFonts w:hint="eastAsia"/>
          <w:color w:val="000000" w:themeColor="text1"/>
          <w14:textFill>
            <w14:solidFill>
              <w14:schemeClr w14:val="tx1"/>
            </w14:solidFill>
          </w14:textFill>
        </w:rPr>
        <w:t>使用中</w:t>
      </w:r>
    </w:p>
    <w:p w14:paraId="2DEC2AD0">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使用过程中，不准许将醇基液体燃料与汽油、柴油、液化石油气、天然气等其他燃料进行二次混合使用。</w:t>
      </w:r>
    </w:p>
    <w:p w14:paraId="3BF6B0C2">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如发现有灶具异常、醇基液体燃料储罐、管路泄漏等的情况，操作人员应当及时关闭相应阀门或总阀，并通知管理人员派人处理，待故障排除后方可重新使用。</w:t>
      </w:r>
    </w:p>
    <w:p w14:paraId="40272782">
      <w:pPr>
        <w:pStyle w:val="65"/>
        <w:rPr>
          <w:color w:val="000000" w:themeColor="text1"/>
          <w14:textFill>
            <w14:solidFill>
              <w14:schemeClr w14:val="tx1"/>
            </w14:solidFill>
          </w14:textFill>
        </w:rPr>
      </w:pPr>
      <w:r>
        <w:rPr>
          <w:rFonts w:hint="eastAsia"/>
          <w:color w:val="000000" w:themeColor="text1"/>
          <w14:textFill>
            <w14:solidFill>
              <w14:schemeClr w14:val="tx1"/>
            </w14:solidFill>
          </w14:textFill>
        </w:rPr>
        <w:t>使用后</w:t>
      </w:r>
    </w:p>
    <w:p w14:paraId="582C025C">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操作人员每日使用</w:t>
      </w:r>
      <w:r>
        <w:rPr>
          <w:color w:val="000000" w:themeColor="text1"/>
          <w14:textFill>
            <w14:solidFill>
              <w14:schemeClr w14:val="tx1"/>
            </w14:solidFill>
          </w14:textFill>
        </w:rPr>
        <w:t>结束后</w:t>
      </w:r>
      <w:r>
        <w:rPr>
          <w:rFonts w:hint="eastAsia"/>
          <w:color w:val="000000" w:themeColor="text1"/>
          <w14:textFill>
            <w14:solidFill>
              <w14:schemeClr w14:val="tx1"/>
            </w14:solidFill>
          </w14:textFill>
        </w:rPr>
        <w:t>，应对燃烧器、燃料管道、储存容器等进行检查，确认油路总阀及相应阀门处于关闭状态，并清理燃烧器周围的油污和杂物。</w:t>
      </w:r>
    </w:p>
    <w:p w14:paraId="540520F4">
      <w:pPr>
        <w:pStyle w:val="65"/>
        <w:rPr>
          <w:color w:val="000000" w:themeColor="text1"/>
          <w14:textFill>
            <w14:solidFill>
              <w14:schemeClr w14:val="tx1"/>
            </w14:solidFill>
          </w14:textFill>
        </w:rPr>
      </w:pPr>
      <w:r>
        <w:rPr>
          <w:rFonts w:hint="eastAsia"/>
          <w:color w:val="000000" w:themeColor="text1"/>
          <w14:textFill>
            <w14:solidFill>
              <w14:schemeClr w14:val="tx1"/>
            </w14:solidFill>
          </w14:textFill>
        </w:rPr>
        <w:t>特殊</w:t>
      </w:r>
      <w:r>
        <w:rPr>
          <w:color w:val="000000" w:themeColor="text1"/>
          <w14:textFill>
            <w14:solidFill>
              <w14:schemeClr w14:val="tx1"/>
            </w14:solidFill>
          </w14:textFill>
        </w:rPr>
        <w:t>操作要求</w:t>
      </w:r>
    </w:p>
    <w:p w14:paraId="5A654B7C">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餐饮场所使用期间不准许对燃料管道、燃烧器等进行维护；维护时应关闭燃料管道上的所有阀门。</w:t>
      </w:r>
    </w:p>
    <w:p w14:paraId="320EF9E2">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餐饮场所使用期间不准许进行电气焊等动火作业。餐饮场所的动火管理应符合GB/T 40248的有关要求；动火作业期间，餐饮场所应安排专人落实监护和防范措施。</w:t>
      </w:r>
    </w:p>
    <w:p w14:paraId="1CA6ABA6">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长时间停用的应彻底排空管道、燃烧器及容器内的残留燃料。若无法排空，需确保容器密封并填充氮气或惰性气体（如氦气）。同时关闭所有阀门，断开电源，对管道、泵体、喷嘴等部件进行防腐蚀处理（如涂抹防锈油），</w:t>
      </w:r>
      <w:r>
        <w:rPr>
          <w:color w:val="000000" w:themeColor="text1"/>
          <w14:textFill>
            <w14:solidFill>
              <w14:schemeClr w14:val="tx1"/>
            </w14:solidFill>
          </w14:textFill>
        </w:rPr>
        <w:t>并</w:t>
      </w:r>
      <w:r>
        <w:rPr>
          <w:rFonts w:hint="eastAsia"/>
          <w:color w:val="000000" w:themeColor="text1"/>
          <w14:textFill>
            <w14:solidFill>
              <w14:schemeClr w14:val="tx1"/>
            </w14:solidFill>
          </w14:textFill>
        </w:rPr>
        <w:t>张贴“停用状态”标识。</w:t>
      </w:r>
    </w:p>
    <w:p w14:paraId="12989F05">
      <w:pPr>
        <w:pStyle w:val="105"/>
        <w:rPr>
          <w:color w:val="000000" w:themeColor="text1"/>
          <w14:textFill>
            <w14:solidFill>
              <w14:schemeClr w14:val="tx1"/>
            </w14:solidFill>
          </w14:textFill>
        </w:rPr>
      </w:pPr>
      <w:bookmarkStart w:id="93" w:name="_Toc180144807"/>
      <w:bookmarkStart w:id="94" w:name="_Toc180144849"/>
      <w:r>
        <w:rPr>
          <w:color w:val="000000" w:themeColor="text1"/>
          <w14:textFill>
            <w14:solidFill>
              <w14:schemeClr w14:val="tx1"/>
            </w14:solidFill>
          </w14:textFill>
        </w:rPr>
        <w:t>加注</w:t>
      </w:r>
      <w:r>
        <w:rPr>
          <w:rFonts w:hint="eastAsia"/>
          <w:color w:val="000000" w:themeColor="text1"/>
          <w14:textFill>
            <w14:solidFill>
              <w14:schemeClr w14:val="tx1"/>
            </w14:solidFill>
          </w14:textFill>
        </w:rPr>
        <w:t>与</w:t>
      </w:r>
      <w:bookmarkEnd w:id="93"/>
      <w:bookmarkEnd w:id="94"/>
      <w:r>
        <w:rPr>
          <w:rFonts w:hint="eastAsia"/>
          <w:color w:val="000000" w:themeColor="text1"/>
          <w14:textFill>
            <w14:solidFill>
              <w14:schemeClr w14:val="tx1"/>
            </w14:solidFill>
          </w14:textFill>
        </w:rPr>
        <w:t>装卸</w:t>
      </w:r>
    </w:p>
    <w:p w14:paraId="0A398A40">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使用</w:t>
      </w:r>
      <w:r>
        <w:rPr>
          <w:color w:val="000000" w:themeColor="text1"/>
          <w14:textFill>
            <w14:solidFill>
              <w14:schemeClr w14:val="tx1"/>
            </w14:solidFill>
          </w14:textFill>
        </w:rPr>
        <w:t>单位</w:t>
      </w:r>
      <w:r>
        <w:rPr>
          <w:rFonts w:hint="eastAsia"/>
          <w:color w:val="000000" w:themeColor="text1"/>
          <w14:textFill>
            <w14:solidFill>
              <w14:schemeClr w14:val="tx1"/>
            </w14:solidFill>
          </w14:textFill>
        </w:rPr>
        <w:t>应要求供货单位使用符合要求的配送车辆并配备相关人员，</w:t>
      </w:r>
      <w:r>
        <w:rPr>
          <w:color w:val="000000" w:themeColor="text1"/>
          <w14:textFill>
            <w14:solidFill>
              <w14:schemeClr w14:val="tx1"/>
            </w14:solidFill>
          </w14:textFill>
        </w:rPr>
        <w:t>并</w:t>
      </w:r>
      <w:r>
        <w:rPr>
          <w:rFonts w:hint="eastAsia"/>
          <w:color w:val="000000" w:themeColor="text1"/>
          <w14:textFill>
            <w14:solidFill>
              <w14:schemeClr w14:val="tx1"/>
            </w14:solidFill>
          </w14:textFill>
        </w:rPr>
        <w:t>负责醇基液体燃料的装卸与加注。</w:t>
      </w:r>
    </w:p>
    <w:p w14:paraId="35A790D8">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醇基液体燃料的</w:t>
      </w:r>
      <w:r>
        <w:rPr>
          <w:color w:val="000000" w:themeColor="text1"/>
          <w14:textFill>
            <w14:solidFill>
              <w14:schemeClr w14:val="tx1"/>
            </w14:solidFill>
          </w14:textFill>
        </w:rPr>
        <w:t>加注</w:t>
      </w:r>
      <w:r>
        <w:rPr>
          <w:rFonts w:hint="eastAsia"/>
          <w:color w:val="000000" w:themeColor="text1"/>
          <w14:textFill>
            <w14:solidFill>
              <w14:schemeClr w14:val="tx1"/>
            </w14:solidFill>
          </w14:textFill>
        </w:rPr>
        <w:t>或装卸应在安全管理人员的现场监护下进行。</w:t>
      </w:r>
    </w:p>
    <w:p w14:paraId="727CDA86">
      <w:pPr>
        <w:pStyle w:val="165"/>
        <w:rPr>
          <w:color w:val="000000" w:themeColor="text1"/>
          <w14:textFill>
            <w14:solidFill>
              <w14:schemeClr w14:val="tx1"/>
            </w14:solidFill>
          </w14:textFill>
        </w:rPr>
      </w:pPr>
      <w:r>
        <w:rPr>
          <w:rFonts w:hint="eastAsia"/>
          <w:color w:val="000000" w:themeColor="text1"/>
          <w:spacing w:val="-1"/>
          <w14:textFill>
            <w14:solidFill>
              <w14:schemeClr w14:val="tx1"/>
            </w14:solidFill>
          </w14:textFill>
        </w:rPr>
        <w:t>醇基液体燃料的</w:t>
      </w:r>
      <w:r>
        <w:rPr>
          <w:color w:val="000000" w:themeColor="text1"/>
          <w:spacing w:val="-1"/>
          <w14:textFill>
            <w14:solidFill>
              <w14:schemeClr w14:val="tx1"/>
            </w14:solidFill>
          </w14:textFill>
        </w:rPr>
        <w:t>加注</w:t>
      </w:r>
      <w:r>
        <w:rPr>
          <w:rFonts w:hint="eastAsia"/>
          <w:color w:val="000000" w:themeColor="text1"/>
          <w:spacing w:val="-1"/>
          <w14:textFill>
            <w14:solidFill>
              <w14:schemeClr w14:val="tx1"/>
            </w14:solidFill>
          </w14:textFill>
        </w:rPr>
        <w:t>或装卸作业区应设置警</w:t>
      </w:r>
      <w:r>
        <w:rPr>
          <w:rFonts w:hint="eastAsia"/>
          <w:color w:val="000000" w:themeColor="text1"/>
          <w14:textFill>
            <w14:solidFill>
              <w14:schemeClr w14:val="tx1"/>
            </w14:solidFill>
          </w14:textFill>
        </w:rPr>
        <w:t>戒区，在</w:t>
      </w:r>
      <w:r>
        <w:rPr>
          <w:color w:val="000000" w:themeColor="text1"/>
          <w14:textFill>
            <w14:solidFill>
              <w14:schemeClr w14:val="tx1"/>
            </w14:solidFill>
          </w14:textFill>
        </w:rPr>
        <w:t>加注</w:t>
      </w:r>
      <w:r>
        <w:rPr>
          <w:rFonts w:hint="eastAsia"/>
          <w:color w:val="000000" w:themeColor="text1"/>
          <w14:textFill>
            <w14:solidFill>
              <w14:schemeClr w14:val="tx1"/>
            </w14:solidFill>
          </w14:textFill>
        </w:rPr>
        <w:t>或装卸作业时，无关人员不准许进入。</w:t>
      </w:r>
    </w:p>
    <w:p w14:paraId="2446DB97">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装卸或</w:t>
      </w:r>
      <w:r>
        <w:rPr>
          <w:color w:val="000000" w:themeColor="text1"/>
          <w14:textFill>
            <w14:solidFill>
              <w14:schemeClr w14:val="tx1"/>
            </w14:solidFill>
          </w14:textFill>
        </w:rPr>
        <w:t>加注</w:t>
      </w:r>
      <w:r>
        <w:rPr>
          <w:rFonts w:hint="eastAsia"/>
          <w:color w:val="000000" w:themeColor="text1"/>
          <w14:textFill>
            <w14:solidFill>
              <w14:schemeClr w14:val="tx1"/>
            </w14:solidFill>
          </w14:textFill>
        </w:rPr>
        <w:t>前应设置接地，并检查车辆、设备及周围情况，确认无异常时开始装卸或</w:t>
      </w:r>
      <w:r>
        <w:rPr>
          <w:color w:val="000000" w:themeColor="text1"/>
          <w14:textFill>
            <w14:solidFill>
              <w14:schemeClr w14:val="tx1"/>
            </w14:solidFill>
          </w14:textFill>
        </w:rPr>
        <w:t>加注</w:t>
      </w:r>
      <w:r>
        <w:rPr>
          <w:rFonts w:hint="eastAsia"/>
          <w:color w:val="000000" w:themeColor="text1"/>
          <w14:textFill>
            <w14:solidFill>
              <w14:schemeClr w14:val="tx1"/>
            </w14:solidFill>
          </w14:textFill>
        </w:rPr>
        <w:t>作业。</w:t>
      </w:r>
    </w:p>
    <w:p w14:paraId="27C8BDD3">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在装卸或加注作业区的人员应按要求佩戴劳动防护用品，进入醇基液体燃料的装卸或</w:t>
      </w:r>
      <w:r>
        <w:rPr>
          <w:color w:val="000000" w:themeColor="text1"/>
          <w14:textFill>
            <w14:solidFill>
              <w14:schemeClr w14:val="tx1"/>
            </w14:solidFill>
          </w14:textFill>
        </w:rPr>
        <w:t>加注</w:t>
      </w:r>
      <w:r>
        <w:rPr>
          <w:rFonts w:hint="eastAsia"/>
          <w:color w:val="000000" w:themeColor="text1"/>
          <w14:textFill>
            <w14:solidFill>
              <w14:schemeClr w14:val="tx1"/>
            </w14:solidFill>
          </w14:textFill>
        </w:rPr>
        <w:t>作业区不应：</w:t>
      </w:r>
    </w:p>
    <w:p w14:paraId="794C6140">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随身携带火种；</w:t>
      </w:r>
    </w:p>
    <w:p w14:paraId="6AC7F2A4">
      <w:pPr>
        <w:pStyle w:val="132"/>
        <w:rPr>
          <w:color w:val="000000" w:themeColor="text1"/>
          <w14:textFill>
            <w14:solidFill>
              <w14:schemeClr w14:val="tx1"/>
            </w14:solidFill>
          </w14:textFill>
        </w:rPr>
      </w:pPr>
      <w:r>
        <w:rPr>
          <w:color w:val="000000" w:themeColor="text1"/>
          <w14:textFill>
            <w14:solidFill>
              <w14:schemeClr w14:val="tx1"/>
            </w14:solidFill>
          </w14:textFill>
        </w:rPr>
        <w:t>使用手机</w:t>
      </w:r>
      <w:r>
        <w:rPr>
          <w:rFonts w:hint="eastAsia"/>
          <w:color w:val="000000" w:themeColor="text1"/>
          <w14:textFill>
            <w14:solidFill>
              <w14:schemeClr w14:val="tx1"/>
            </w14:solidFill>
          </w14:textFill>
        </w:rPr>
        <w:t>等</w:t>
      </w:r>
      <w:r>
        <w:rPr>
          <w:color w:val="000000" w:themeColor="text1"/>
          <w14:textFill>
            <w14:solidFill>
              <w14:schemeClr w14:val="tx1"/>
            </w14:solidFill>
          </w14:textFill>
        </w:rPr>
        <w:t>移动通讯工具和</w:t>
      </w:r>
      <w:r>
        <w:rPr>
          <w:rFonts w:hint="eastAsia"/>
          <w:color w:val="000000" w:themeColor="text1"/>
          <w14:textFill>
            <w14:solidFill>
              <w14:schemeClr w14:val="tx1"/>
            </w14:solidFill>
          </w14:textFill>
        </w:rPr>
        <w:t>电子</w:t>
      </w:r>
      <w:r>
        <w:rPr>
          <w:color w:val="000000" w:themeColor="text1"/>
          <w14:textFill>
            <w14:solidFill>
              <w14:schemeClr w14:val="tx1"/>
            </w14:solidFill>
          </w14:textFill>
        </w:rPr>
        <w:t>设备</w:t>
      </w:r>
      <w:r>
        <w:rPr>
          <w:rFonts w:hint="eastAsia"/>
          <w:color w:val="000000" w:themeColor="text1"/>
          <w14:textFill>
            <w14:solidFill>
              <w14:schemeClr w14:val="tx1"/>
            </w14:solidFill>
          </w14:textFill>
        </w:rPr>
        <w:t>；</w:t>
      </w:r>
    </w:p>
    <w:p w14:paraId="11943097">
      <w:pPr>
        <w:pStyle w:val="132"/>
        <w:rPr>
          <w:color w:val="000000" w:themeColor="text1"/>
          <w14:textFill>
            <w14:solidFill>
              <w14:schemeClr w14:val="tx1"/>
            </w14:solidFill>
          </w14:textFill>
        </w:rPr>
      </w:pPr>
      <w:r>
        <w:rPr>
          <w:rFonts w:hint="eastAsia"/>
          <w:color w:val="000000" w:themeColor="text1"/>
          <w:spacing w:val="-9"/>
          <w14:textFill>
            <w14:solidFill>
              <w14:schemeClr w14:val="tx1"/>
            </w14:solidFill>
          </w14:textFill>
        </w:rPr>
        <w:t>吸烟</w:t>
      </w:r>
      <w:r>
        <w:rPr>
          <w:rFonts w:hint="eastAsia"/>
          <w:color w:val="000000" w:themeColor="text1"/>
          <w14:textFill>
            <w14:solidFill>
              <w14:schemeClr w14:val="tx1"/>
            </w14:solidFill>
          </w14:textFill>
        </w:rPr>
        <w:t>。</w:t>
      </w:r>
    </w:p>
    <w:p w14:paraId="054492F4">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存在下列情况之一，应暂停醇基液体燃料的加注</w:t>
      </w:r>
      <w:r>
        <w:rPr>
          <w:color w:val="000000" w:themeColor="text1"/>
          <w14:textFill>
            <w14:solidFill>
              <w14:schemeClr w14:val="tx1"/>
            </w14:solidFill>
          </w14:textFill>
        </w:rPr>
        <w:t>或</w:t>
      </w:r>
      <w:r>
        <w:rPr>
          <w:rFonts w:hint="eastAsia"/>
          <w:color w:val="000000" w:themeColor="text1"/>
          <w14:textFill>
            <w14:solidFill>
              <w14:schemeClr w14:val="tx1"/>
            </w14:solidFill>
          </w14:textFill>
        </w:rPr>
        <w:t>装卸作业：</w:t>
      </w:r>
    </w:p>
    <w:p w14:paraId="460DF13E">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大风、雷暴等恶劣气候；</w:t>
      </w:r>
    </w:p>
    <w:p w14:paraId="6D0A6F84">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装卸作业区30</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m范围内存在明火或砂轮打磨、电焊、气焊（割）等散发火花作业。</w:t>
      </w:r>
    </w:p>
    <w:p w14:paraId="136BCA54">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在加注</w:t>
      </w:r>
      <w:r>
        <w:rPr>
          <w:color w:val="000000" w:themeColor="text1"/>
          <w14:textFill>
            <w14:solidFill>
              <w14:schemeClr w14:val="tx1"/>
            </w14:solidFill>
          </w14:textFill>
        </w:rPr>
        <w:t>或</w:t>
      </w:r>
      <w:r>
        <w:rPr>
          <w:rFonts w:hint="eastAsia"/>
          <w:color w:val="000000" w:themeColor="text1"/>
          <w14:textFill>
            <w14:solidFill>
              <w14:schemeClr w14:val="tx1"/>
            </w14:solidFill>
          </w14:textFill>
        </w:rPr>
        <w:t>装卸现场应配备灭火器、消防沙等消防器材。</w:t>
      </w:r>
    </w:p>
    <w:p w14:paraId="42F9AC55">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加注</w:t>
      </w:r>
      <w:r>
        <w:rPr>
          <w:color w:val="000000" w:themeColor="text1"/>
          <w14:textFill>
            <w14:solidFill>
              <w14:schemeClr w14:val="tx1"/>
            </w14:solidFill>
          </w14:textFill>
        </w:rPr>
        <w:t>应符合</w:t>
      </w:r>
      <w:r>
        <w:rPr>
          <w:rFonts w:hint="eastAsia"/>
          <w:color w:val="000000" w:themeColor="text1"/>
          <w14:textFill>
            <w14:solidFill>
              <w14:schemeClr w14:val="tx1"/>
            </w14:solidFill>
          </w14:textFill>
        </w:rPr>
        <w:t>以下</w:t>
      </w:r>
      <w:r>
        <w:rPr>
          <w:color w:val="000000" w:themeColor="text1"/>
          <w14:textFill>
            <w14:solidFill>
              <w14:schemeClr w14:val="tx1"/>
            </w14:solidFill>
          </w14:textFill>
        </w:rPr>
        <w:t>要求：</w:t>
      </w:r>
    </w:p>
    <w:p w14:paraId="7284CCDB">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在加注过程中，应防止其溢流。主加注人员不应擅自离开装卸场所；</w:t>
      </w:r>
    </w:p>
    <w:p w14:paraId="2C234950">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加注过程中要仔细观察醇基液体燃料储罐液</w:t>
      </w:r>
      <w:r>
        <w:rPr>
          <w:rFonts w:hint="eastAsia"/>
          <w:color w:val="000000" w:themeColor="text1"/>
          <w:spacing w:val="-1"/>
          <w14:textFill>
            <w14:solidFill>
              <w14:schemeClr w14:val="tx1"/>
            </w14:solidFill>
          </w14:textFill>
        </w:rPr>
        <w:t>位的变化情况，如发现异常情况，应立即停泵，关闭</w:t>
      </w:r>
      <w:r>
        <w:rPr>
          <w:rFonts w:hint="eastAsia"/>
          <w:color w:val="000000" w:themeColor="text1"/>
          <w14:textFill>
            <w14:solidFill>
              <w14:schemeClr w14:val="tx1"/>
            </w14:solidFill>
          </w14:textFill>
        </w:rPr>
        <w:t>泵出口阀，关闭罐车的紧急切断阀，准确排除异常故障；</w:t>
      </w:r>
    </w:p>
    <w:p w14:paraId="00A7B1DC">
      <w:pPr>
        <w:pStyle w:val="132"/>
        <w:rPr>
          <w:color w:val="000000" w:themeColor="text1"/>
          <w14:textFill>
            <w14:solidFill>
              <w14:schemeClr w14:val="tx1"/>
            </w14:solidFill>
          </w14:textFill>
        </w:rPr>
      </w:pPr>
      <w:r>
        <w:rPr>
          <w:rFonts w:hint="eastAsia"/>
          <w:color w:val="000000" w:themeColor="text1"/>
          <w:spacing w:val="-1"/>
          <w:szCs w:val="21"/>
          <w14:textFill>
            <w14:solidFill>
              <w14:schemeClr w14:val="tx1"/>
            </w14:solidFill>
          </w14:textFill>
        </w:rPr>
        <w:t>加注</w:t>
      </w:r>
      <w:r>
        <w:rPr>
          <w:rFonts w:hint="eastAsia"/>
          <w:color w:val="000000" w:themeColor="text1"/>
          <w14:textFill>
            <w14:solidFill>
              <w14:schemeClr w14:val="tx1"/>
            </w14:solidFill>
          </w14:textFill>
        </w:rPr>
        <w:t>完成后，立即关闭泵出口阀，停泵，关闭输出阀等，防止燃料喷洒；</w:t>
      </w:r>
    </w:p>
    <w:p w14:paraId="39CCC021">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加注完成后，作业现场应清扫干净，现场管理人员在装卸记录填写日期、单位、车号、容积及加注人等信息。</w:t>
      </w:r>
    </w:p>
    <w:p w14:paraId="6FF4F052">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装卸</w:t>
      </w:r>
      <w:r>
        <w:rPr>
          <w:color w:val="000000" w:themeColor="text1"/>
          <w14:textFill>
            <w14:solidFill>
              <w14:schemeClr w14:val="tx1"/>
            </w14:solidFill>
          </w14:textFill>
        </w:rPr>
        <w:t>应符合以下要求：</w:t>
      </w:r>
    </w:p>
    <w:p w14:paraId="38C1F192">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配送装卸时不应摔碰、滚动搬运钢瓶，避免与其他坚硬的物体碰撞，应轻拿轻放配送到目的地后，放置钢瓶的地面应平整，防止倾倒或滚动；</w:t>
      </w:r>
      <w:r>
        <w:rPr>
          <w:color w:val="000000" w:themeColor="text1"/>
          <w14:textFill>
            <w14:solidFill>
              <w14:schemeClr w14:val="tx1"/>
            </w14:solidFill>
          </w14:textFill>
        </w:rPr>
        <w:t>采</w:t>
      </w:r>
      <w:r>
        <w:rPr>
          <w:rFonts w:hint="eastAsia"/>
          <w:color w:val="000000" w:themeColor="text1"/>
          <w14:textFill>
            <w14:solidFill>
              <w14:schemeClr w14:val="tx1"/>
            </w14:solidFill>
          </w14:textFill>
        </w:rPr>
        <w:t>用人工装卸钢瓶时，地面应铺设橡胶垫或其他缓冲材料，应轻举轻放；</w:t>
      </w:r>
    </w:p>
    <w:p w14:paraId="1B9D8656">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配送车辆装载，应符合核定载质量，严禁超载。配送钢瓶应单层竖放并固定，不得倒放、叠放和悬挂在车厢外侧；</w:t>
      </w:r>
    </w:p>
    <w:p w14:paraId="55A80ED2">
      <w:pPr>
        <w:pStyle w:val="132"/>
        <w:rPr>
          <w:color w:val="000000" w:themeColor="text1"/>
          <w14:textFill>
            <w14:solidFill>
              <w14:schemeClr w14:val="tx1"/>
            </w14:solidFill>
          </w14:textFill>
        </w:rPr>
      </w:pPr>
      <w:r>
        <w:rPr>
          <w:rFonts w:hint="eastAsia"/>
          <w:color w:val="000000" w:themeColor="text1"/>
          <w14:textFill>
            <w14:solidFill>
              <w14:schemeClr w14:val="tx1"/>
            </w14:solidFill>
          </w14:textFill>
        </w:rPr>
        <w:t>车辆不准许同时装载除醇基液体燃料钢瓶、配送辅助工具及相关安全防范器材以外的其他货物。</w:t>
      </w:r>
    </w:p>
    <w:p w14:paraId="76AC4FE1">
      <w:pPr>
        <w:pStyle w:val="104"/>
        <w:spacing w:before="312" w:after="312"/>
        <w:rPr>
          <w:color w:val="000000" w:themeColor="text1"/>
          <w14:textFill>
            <w14:solidFill>
              <w14:schemeClr w14:val="tx1"/>
            </w14:solidFill>
          </w14:textFill>
        </w:rPr>
      </w:pPr>
      <w:bookmarkStart w:id="95" w:name="_Toc180144808"/>
      <w:bookmarkStart w:id="96" w:name="_Toc180144850"/>
      <w:r>
        <w:rPr>
          <w:rFonts w:hint="eastAsia"/>
          <w:color w:val="000000" w:themeColor="text1"/>
          <w14:textFill>
            <w14:solidFill>
              <w14:schemeClr w14:val="tx1"/>
            </w14:solidFill>
          </w14:textFill>
        </w:rPr>
        <w:t>应急</w:t>
      </w:r>
      <w:bookmarkEnd w:id="95"/>
      <w:bookmarkEnd w:id="96"/>
      <w:r>
        <w:rPr>
          <w:rFonts w:hint="eastAsia"/>
          <w:color w:val="000000" w:themeColor="text1"/>
          <w14:textFill>
            <w14:solidFill>
              <w14:schemeClr w14:val="tx1"/>
            </w14:solidFill>
          </w14:textFill>
        </w:rPr>
        <w:t>处置</w:t>
      </w:r>
    </w:p>
    <w:p w14:paraId="64282567">
      <w:pPr>
        <w:pStyle w:val="162"/>
        <w:rPr>
          <w:color w:val="000000" w:themeColor="text1"/>
          <w14:textFill>
            <w14:solidFill>
              <w14:schemeClr w14:val="tx1"/>
            </w14:solidFill>
          </w14:textFill>
        </w:rPr>
      </w:pPr>
      <w:bookmarkStart w:id="97" w:name="OLE_LINK5"/>
      <w:bookmarkStart w:id="98" w:name="OLE_LINK4"/>
      <w:bookmarkStart w:id="99" w:name="OLE_LINK6"/>
      <w:r>
        <w:rPr>
          <w:rFonts w:hint="eastAsia"/>
          <w:color w:val="000000" w:themeColor="text1"/>
          <w14:textFill>
            <w14:solidFill>
              <w14:schemeClr w14:val="tx1"/>
            </w14:solidFill>
          </w14:textFill>
        </w:rPr>
        <w:t>发生醇基液体燃料泄漏时，从业人员应立即疏散顾客和工作人员至建筑以外上风方向安全区域并</w:t>
      </w:r>
      <w:r>
        <w:rPr>
          <w:color w:val="000000" w:themeColor="text1"/>
          <w14:textFill>
            <w14:solidFill>
              <w14:schemeClr w14:val="tx1"/>
            </w14:solidFill>
          </w14:textFill>
        </w:rPr>
        <w:t>按</w:t>
      </w:r>
      <w:r>
        <w:rPr>
          <w:rFonts w:hint="eastAsia"/>
          <w:color w:val="000000" w:themeColor="text1"/>
          <w14:textFill>
            <w14:solidFill>
              <w14:schemeClr w14:val="tx1"/>
            </w14:solidFill>
          </w14:textFill>
        </w:rPr>
        <w:t>以下</w:t>
      </w:r>
      <w:r>
        <w:rPr>
          <w:color w:val="000000" w:themeColor="text1"/>
          <w14:textFill>
            <w14:solidFill>
              <w14:schemeClr w14:val="tx1"/>
            </w14:solidFill>
          </w14:textFill>
        </w:rPr>
        <w:t>要求进行</w:t>
      </w:r>
      <w:r>
        <w:rPr>
          <w:rFonts w:hint="eastAsia"/>
          <w:color w:val="000000" w:themeColor="text1"/>
          <w14:textFill>
            <w14:solidFill>
              <w14:schemeClr w14:val="tx1"/>
            </w14:solidFill>
          </w14:textFill>
        </w:rPr>
        <w:t>应急</w:t>
      </w:r>
      <w:r>
        <w:rPr>
          <w:color w:val="000000" w:themeColor="text1"/>
          <w14:textFill>
            <w14:solidFill>
              <w14:schemeClr w14:val="tx1"/>
            </w14:solidFill>
          </w14:textFill>
        </w:rPr>
        <w:t>处置</w:t>
      </w:r>
      <w:r>
        <w:rPr>
          <w:rFonts w:hint="eastAsia"/>
          <w:color w:val="000000" w:themeColor="text1"/>
          <w14:textFill>
            <w14:solidFill>
              <w14:schemeClr w14:val="tx1"/>
            </w14:solidFill>
          </w14:textFill>
        </w:rPr>
        <w:t>：</w:t>
      </w:r>
    </w:p>
    <w:p w14:paraId="07438F1C">
      <w:pPr>
        <w:pStyle w:val="174"/>
        <w:rPr>
          <w:rFonts w:hAnsi="宋体"/>
          <w:color w:val="000000" w:themeColor="text1"/>
          <w:sz w:val="24"/>
          <w:szCs w:val="24"/>
          <w14:textFill>
            <w14:solidFill>
              <w14:schemeClr w14:val="tx1"/>
            </w14:solidFill>
          </w14:textFill>
        </w:rPr>
      </w:pPr>
      <w:r>
        <w:rPr>
          <w:color w:val="000000" w:themeColor="text1"/>
          <w14:textFill>
            <w14:solidFill>
              <w14:schemeClr w14:val="tx1"/>
            </w14:solidFill>
          </w14:textFill>
        </w:rPr>
        <w:t>建筑内发生醇基液体燃料泄漏时，应立即关闭</w:t>
      </w:r>
      <w:r>
        <w:rPr>
          <w:rFonts w:hint="eastAsia"/>
          <w:color w:val="000000" w:themeColor="text1"/>
          <w14:textFill>
            <w14:solidFill>
              <w14:schemeClr w14:val="tx1"/>
            </w14:solidFill>
          </w14:textFill>
        </w:rPr>
        <w:t>醇基液体燃料储罐</w:t>
      </w:r>
      <w:r>
        <w:rPr>
          <w:color w:val="000000" w:themeColor="text1"/>
          <w14:textFill>
            <w14:solidFill>
              <w14:schemeClr w14:val="tx1"/>
            </w14:solidFill>
          </w14:textFill>
        </w:rPr>
        <w:t>或常压钢瓶的出口阀门，进行疏散现场人员至建筑外至少50</w:t>
      </w:r>
      <w:r>
        <w:rPr>
          <w:color w:val="000000" w:themeColor="text1"/>
          <w:vertAlign w:val="superscript"/>
          <w14:textFill>
            <w14:solidFill>
              <w14:schemeClr w14:val="tx1"/>
            </w14:solidFill>
          </w14:textFill>
        </w:rPr>
        <w:t xml:space="preserve"> </w:t>
      </w:r>
      <w:r>
        <w:rPr>
          <w:color w:val="000000" w:themeColor="text1"/>
          <w14:textFill>
            <w14:solidFill>
              <w14:schemeClr w14:val="tx1"/>
            </w14:solidFill>
          </w14:textFill>
        </w:rPr>
        <w:t>m处等应急处置措施，并立即通知运营维护单位。无法关闭阀门时还应立即通知消防部门进行处置；</w:t>
      </w:r>
    </w:p>
    <w:p w14:paraId="0A915D4A">
      <w:pPr>
        <w:pStyle w:val="174"/>
        <w:rPr>
          <w:rFonts w:hAnsi="宋体"/>
          <w:color w:val="000000" w:themeColor="text1"/>
          <w:sz w:val="24"/>
          <w:szCs w:val="24"/>
          <w14:textFill>
            <w14:solidFill>
              <w14:schemeClr w14:val="tx1"/>
            </w14:solidFill>
          </w14:textFill>
        </w:rPr>
      </w:pPr>
      <w:r>
        <w:rPr>
          <w:color w:val="000000" w:themeColor="text1"/>
          <w14:textFill>
            <w14:solidFill>
              <w14:schemeClr w14:val="tx1"/>
            </w14:solidFill>
          </w14:textFill>
        </w:rPr>
        <w:t>醇基液体燃料泄漏后，不应操作照明开关、电气开关等任何非防爆电气设备，不应启动或关闭泄漏区域内的电气设备。电话报警应在室外安全区域进行；</w:t>
      </w:r>
    </w:p>
    <w:p w14:paraId="78DBFA14">
      <w:pPr>
        <w:pStyle w:val="174"/>
        <w:rPr>
          <w:color w:val="000000" w:themeColor="text1"/>
          <w14:textFill>
            <w14:solidFill>
              <w14:schemeClr w14:val="tx1"/>
            </w14:solidFill>
          </w14:textFill>
        </w:rPr>
      </w:pPr>
      <w:r>
        <w:rPr>
          <w:color w:val="000000" w:themeColor="text1"/>
          <w14:textFill>
            <w14:solidFill>
              <w14:schemeClr w14:val="tx1"/>
            </w14:solidFill>
          </w14:textFill>
        </w:rPr>
        <w:t>醇基液体燃料泄漏起火的，可用</w:t>
      </w:r>
      <w:r>
        <w:rPr>
          <w:rFonts w:hint="eastAsia"/>
          <w:color w:val="000000" w:themeColor="text1"/>
          <w14:textFill>
            <w14:solidFill>
              <w14:schemeClr w14:val="tx1"/>
            </w14:solidFill>
          </w14:textFill>
        </w:rPr>
        <w:t>干粉</w:t>
      </w:r>
      <w:r>
        <w:rPr>
          <w:color w:val="000000" w:themeColor="text1"/>
          <w14:textFill>
            <w14:solidFill>
              <w14:schemeClr w14:val="tx1"/>
            </w14:solidFill>
          </w14:textFill>
        </w:rPr>
        <w:t>灭火器或</w:t>
      </w:r>
      <w:r>
        <w:rPr>
          <w:rFonts w:hint="eastAsia"/>
          <w:color w:val="000000" w:themeColor="text1"/>
          <w14:textFill>
            <w14:solidFill>
              <w14:schemeClr w14:val="tx1"/>
            </w14:solidFill>
          </w14:textFill>
        </w:rPr>
        <w:t>雾状水</w:t>
      </w:r>
      <w:r>
        <w:rPr>
          <w:color w:val="000000" w:themeColor="text1"/>
          <w14:textFill>
            <w14:solidFill>
              <w14:schemeClr w14:val="tx1"/>
            </w14:solidFill>
          </w14:textFill>
        </w:rPr>
        <w:t>扑救并拨打119火警电话。</w:t>
      </w:r>
    </w:p>
    <w:p w14:paraId="03247A3D">
      <w:pPr>
        <w:pStyle w:val="174"/>
        <w:rPr>
          <w:rFonts w:hAnsi="宋体"/>
          <w:color w:val="000000" w:themeColor="text1"/>
          <w:sz w:val="24"/>
          <w:szCs w:val="24"/>
          <w14:textFill>
            <w14:solidFill>
              <w14:schemeClr w14:val="tx1"/>
            </w14:solidFill>
          </w14:textFill>
        </w:rPr>
      </w:pPr>
      <w:r>
        <w:rPr>
          <w:rFonts w:hint="eastAsia"/>
          <w:color w:val="000000" w:themeColor="text1"/>
          <w14:textFill>
            <w14:solidFill>
              <w14:schemeClr w14:val="tx1"/>
            </w14:solidFill>
          </w14:textFill>
        </w:rPr>
        <w:t>醇基液体燃料储罐</w:t>
      </w:r>
      <w:r>
        <w:rPr>
          <w:color w:val="000000" w:themeColor="text1"/>
          <w14:textFill>
            <w14:solidFill>
              <w14:schemeClr w14:val="tx1"/>
            </w14:solidFill>
          </w14:textFill>
        </w:rPr>
        <w:t>泄漏但未起火的，应立即清理周围易燃物，</w:t>
      </w:r>
      <w:r>
        <w:rPr>
          <w:rFonts w:hint="eastAsia"/>
          <w:color w:val="000000" w:themeColor="text1"/>
          <w14:textFill>
            <w14:solidFill>
              <w14:schemeClr w14:val="tx1"/>
            </w14:solidFill>
          </w14:textFill>
        </w:rPr>
        <w:t>小量泄漏时用砂土或其它不燃材料吸收，使用洁净的无火花工具收集吸收材料。大量泄漏时构筑围堤或挖坑收容。用抗溶性泡沫覆盖</w:t>
      </w:r>
      <w:r>
        <w:rPr>
          <w:color w:val="000000" w:themeColor="text1"/>
          <w14:textFill>
            <w14:solidFill>
              <w14:schemeClr w14:val="tx1"/>
            </w14:solidFill>
          </w14:textFill>
        </w:rPr>
        <w:t>。常压钢瓶泄</w:t>
      </w:r>
      <w:r>
        <w:rPr>
          <w:rFonts w:hint="eastAsia"/>
          <w:color w:val="000000" w:themeColor="text1"/>
          <w14:textFill>
            <w14:solidFill>
              <w14:schemeClr w14:val="tx1"/>
            </w14:solidFill>
          </w14:textFill>
        </w:rPr>
        <w:t>漏</w:t>
      </w:r>
      <w:r>
        <w:rPr>
          <w:color w:val="000000" w:themeColor="text1"/>
          <w14:textFill>
            <w14:solidFill>
              <w14:schemeClr w14:val="tx1"/>
            </w14:solidFill>
          </w14:textFill>
        </w:rPr>
        <w:t>未起火的，应立即进行洗消，并将常压钢瓶转移至室外距离建筑15</w:t>
      </w:r>
      <w:r>
        <w:rPr>
          <w:color w:val="000000" w:themeColor="text1"/>
          <w:vertAlign w:val="subscript"/>
          <w14:textFill>
            <w14:solidFill>
              <w14:schemeClr w14:val="tx1"/>
            </w14:solidFill>
          </w14:textFill>
        </w:rPr>
        <w:t xml:space="preserve"> </w:t>
      </w:r>
      <w:r>
        <w:rPr>
          <w:color w:val="000000" w:themeColor="text1"/>
          <w14:textFill>
            <w14:solidFill>
              <w14:schemeClr w14:val="tx1"/>
            </w14:solidFill>
          </w14:textFill>
        </w:rPr>
        <w:t>m以外的区域，远离热源，采取卧放、倒放等方式，使常压钢瓶泄漏点处于高处，防止持续泄漏，不应私自进行焊接等动火堵漏行为。常压钢瓶临时处置点周围10 m设置警戒线，清理周边10</w:t>
      </w:r>
      <w:r>
        <w:rPr>
          <w:color w:val="000000" w:themeColor="text1"/>
          <w:vertAlign w:val="superscript"/>
          <w14:textFill>
            <w14:solidFill>
              <w14:schemeClr w14:val="tx1"/>
            </w14:solidFill>
          </w14:textFill>
        </w:rPr>
        <w:t xml:space="preserve"> </w:t>
      </w:r>
      <w:r>
        <w:rPr>
          <w:color w:val="000000" w:themeColor="text1"/>
          <w14:textFill>
            <w14:solidFill>
              <w14:schemeClr w14:val="tx1"/>
            </w14:solidFill>
          </w14:textFill>
        </w:rPr>
        <w:t>m内的易燃物；</w:t>
      </w:r>
    </w:p>
    <w:p w14:paraId="46BD2637">
      <w:pPr>
        <w:pStyle w:val="174"/>
        <w:rPr>
          <w:rFonts w:hAnsi="宋体"/>
          <w:color w:val="000000" w:themeColor="text1"/>
          <w:sz w:val="24"/>
          <w:szCs w:val="24"/>
          <w14:textFill>
            <w14:solidFill>
              <w14:schemeClr w14:val="tx1"/>
            </w14:solidFill>
          </w14:textFill>
        </w:rPr>
      </w:pPr>
      <w:r>
        <w:rPr>
          <w:color w:val="000000" w:themeColor="text1"/>
          <w14:textFill>
            <w14:solidFill>
              <w14:schemeClr w14:val="tx1"/>
            </w14:solidFill>
          </w14:textFill>
        </w:rPr>
        <w:t>出现渗漏的</w:t>
      </w:r>
      <w:r>
        <w:rPr>
          <w:rFonts w:hint="eastAsia"/>
          <w:color w:val="000000" w:themeColor="text1"/>
          <w14:textFill>
            <w14:solidFill>
              <w14:schemeClr w14:val="tx1"/>
            </w14:solidFill>
          </w14:textFill>
        </w:rPr>
        <w:t>醇基液体燃料储罐</w:t>
      </w:r>
      <w:r>
        <w:rPr>
          <w:color w:val="000000" w:themeColor="text1"/>
          <w14:textFill>
            <w14:solidFill>
              <w14:schemeClr w14:val="tx1"/>
            </w14:solidFill>
          </w14:textFill>
        </w:rPr>
        <w:t>或常压钢瓶，应由配送单位派人进行处置。泄漏的</w:t>
      </w:r>
      <w:r>
        <w:rPr>
          <w:rFonts w:hint="eastAsia"/>
          <w:color w:val="000000" w:themeColor="text1"/>
          <w14:textFill>
            <w14:solidFill>
              <w14:schemeClr w14:val="tx1"/>
            </w14:solidFill>
          </w14:textFill>
        </w:rPr>
        <w:t>醇基液体燃料储罐</w:t>
      </w:r>
      <w:r>
        <w:rPr>
          <w:color w:val="000000" w:themeColor="text1"/>
          <w14:textFill>
            <w14:solidFill>
              <w14:schemeClr w14:val="tx1"/>
            </w14:solidFill>
          </w14:textFill>
        </w:rPr>
        <w:t>或常压钢瓶应转移至空旷的安全区域，使用专用工具将醇基液体燃料转移至金属材质的桶内，</w:t>
      </w:r>
      <w:r>
        <w:rPr>
          <w:rFonts w:hint="eastAsia"/>
          <w:color w:val="000000" w:themeColor="text1"/>
          <w14:textFill>
            <w14:solidFill>
              <w14:schemeClr w14:val="tx1"/>
            </w14:solidFill>
          </w14:textFill>
        </w:rPr>
        <w:t>醇基液体燃料储罐</w:t>
      </w:r>
      <w:r>
        <w:rPr>
          <w:color w:val="000000" w:themeColor="text1"/>
          <w14:textFill>
            <w14:solidFill>
              <w14:schemeClr w14:val="tx1"/>
            </w14:solidFill>
          </w14:textFill>
        </w:rPr>
        <w:t>或常压钢瓶及燃料返厂处置。难以返厂或返厂安全风险较大时，可将醇基液体燃料转移至金属盆或桶内，距离空常压钢瓶15</w:t>
      </w:r>
      <w:r>
        <w:rPr>
          <w:color w:val="000000" w:themeColor="text1"/>
          <w:vertAlign w:val="superscript"/>
          <w14:textFill>
            <w14:solidFill>
              <w14:schemeClr w14:val="tx1"/>
            </w14:solidFill>
          </w14:textFill>
        </w:rPr>
        <w:t xml:space="preserve"> </w:t>
      </w:r>
      <w:r>
        <w:rPr>
          <w:color w:val="000000" w:themeColor="text1"/>
          <w14:textFill>
            <w14:solidFill>
              <w14:schemeClr w14:val="tx1"/>
            </w14:solidFill>
          </w14:textFill>
        </w:rPr>
        <w:t>m外，对盆或桶内的醇基液体燃料</w:t>
      </w:r>
      <w:r>
        <w:rPr>
          <w:rFonts w:hint="eastAsia"/>
          <w:color w:val="000000" w:themeColor="text1"/>
          <w14:textFill>
            <w14:solidFill>
              <w14:schemeClr w14:val="tx1"/>
            </w14:solidFill>
          </w14:textFill>
        </w:rPr>
        <w:t>做</w:t>
      </w:r>
      <w:r>
        <w:rPr>
          <w:color w:val="000000" w:themeColor="text1"/>
          <w14:textFill>
            <w14:solidFill>
              <w14:schemeClr w14:val="tx1"/>
            </w14:solidFill>
          </w14:textFill>
        </w:rPr>
        <w:t xml:space="preserve">引燃焚烧处理； </w:t>
      </w:r>
    </w:p>
    <w:p w14:paraId="2FEC2DA3">
      <w:pPr>
        <w:pStyle w:val="174"/>
        <w:rPr>
          <w:rFonts w:hAnsi="宋体"/>
          <w:color w:val="000000" w:themeColor="text1"/>
          <w:sz w:val="24"/>
          <w:szCs w:val="24"/>
          <w14:textFill>
            <w14:solidFill>
              <w14:schemeClr w14:val="tx1"/>
            </w14:solidFill>
          </w14:textFill>
        </w:rPr>
      </w:pPr>
      <w:r>
        <w:rPr>
          <w:color w:val="000000" w:themeColor="text1"/>
          <w14:textFill>
            <w14:solidFill>
              <w14:schemeClr w14:val="tx1"/>
            </w14:solidFill>
          </w14:textFill>
        </w:rPr>
        <w:t>应急操作中不应使用水冲洗墙壁等任何可能存在电气设备的区域</w:t>
      </w:r>
      <w:r>
        <w:rPr>
          <w:rFonts w:hint="eastAsia"/>
          <w:color w:val="000000" w:themeColor="text1"/>
          <w14:textFill>
            <w14:solidFill>
              <w14:schemeClr w14:val="tx1"/>
            </w14:solidFill>
          </w14:textFill>
        </w:rPr>
        <w:t>。</w:t>
      </w:r>
    </w:p>
    <w:p w14:paraId="7FD8F31A">
      <w:pPr>
        <w:pStyle w:val="162"/>
        <w:rPr>
          <w:color w:val="000000" w:themeColor="text1"/>
          <w14:textFill>
            <w14:solidFill>
              <w14:schemeClr w14:val="tx1"/>
            </w14:solidFill>
          </w14:textFill>
        </w:rPr>
      </w:pPr>
      <w:r>
        <w:rPr>
          <w:rFonts w:hint="eastAsia"/>
          <w:color w:val="000000" w:themeColor="text1"/>
          <w14:textFill>
            <w14:solidFill>
              <w14:schemeClr w14:val="tx1"/>
            </w14:solidFill>
          </w14:textFill>
        </w:rPr>
        <w:t>在装卸或</w:t>
      </w:r>
      <w:r>
        <w:rPr>
          <w:color w:val="000000" w:themeColor="text1"/>
          <w14:textFill>
            <w14:solidFill>
              <w14:schemeClr w14:val="tx1"/>
            </w14:solidFill>
          </w14:textFill>
        </w:rPr>
        <w:t>加注</w:t>
      </w:r>
      <w:r>
        <w:rPr>
          <w:rFonts w:hint="eastAsia"/>
          <w:color w:val="000000" w:themeColor="text1"/>
          <w14:textFill>
            <w14:solidFill>
              <w14:schemeClr w14:val="tx1"/>
            </w14:solidFill>
          </w14:textFill>
        </w:rPr>
        <w:t>过程中发现泄漏、燃烧等险情时，配送人员应就近使用干粉灭火器进行灭火。灭火后，使泄漏点处于高处，防止持续泄漏。</w:t>
      </w:r>
    </w:p>
    <w:p w14:paraId="030055E8">
      <w:pPr>
        <w:pStyle w:val="162"/>
        <w:rPr>
          <w:color w:val="000000" w:themeColor="text1"/>
          <w14:textFill>
            <w14:solidFill>
              <w14:schemeClr w14:val="tx1"/>
            </w14:solidFill>
          </w14:textFill>
        </w:rPr>
      </w:pPr>
      <w:r>
        <w:rPr>
          <w:color w:val="000000" w:themeColor="text1"/>
          <w14:textFill>
            <w14:solidFill>
              <w14:schemeClr w14:val="tx1"/>
            </w14:solidFill>
          </w14:textFill>
        </w:rPr>
        <w:t>醇基液体燃料事故处置中，作业人员应戴护目镜或面罩，使用氯丁橡胶等防甲醇穿透的手套。</w:t>
      </w:r>
    </w:p>
    <w:p w14:paraId="61216B03">
      <w:pPr>
        <w:pStyle w:val="162"/>
        <w:rPr>
          <w:color w:val="000000" w:themeColor="text1"/>
          <w14:textFill>
            <w14:solidFill>
              <w14:schemeClr w14:val="tx1"/>
            </w14:solidFill>
          </w14:textFill>
        </w:rPr>
      </w:pPr>
      <w:r>
        <w:rPr>
          <w:rFonts w:hint="eastAsia"/>
          <w:color w:val="000000" w:themeColor="text1"/>
          <w14:textFill>
            <w14:solidFill>
              <w14:schemeClr w14:val="tx1"/>
            </w14:solidFill>
          </w14:textFill>
        </w:rPr>
        <w:t>醇基液体燃料溅到皮肤上，用清水冲洗至少1</w:t>
      </w:r>
      <w:r>
        <w:rPr>
          <w:color w:val="000000" w:themeColor="text1"/>
          <w14:textFill>
            <w14:solidFill>
              <w14:schemeClr w14:val="tx1"/>
            </w14:solidFill>
          </w14:textFill>
        </w:rPr>
        <w:t>5</w:t>
      </w:r>
      <w:r>
        <w:rPr>
          <w:rFonts w:hint="eastAsia"/>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min。醇基液体燃料溅入眼中，立即用大量清水冲洗至少15</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min，应立即就医。</w:t>
      </w:r>
      <w:r>
        <w:rPr>
          <w:rFonts w:ascii="CIDFont" w:hAnsi="CIDFont"/>
          <w:color w:val="000000" w:themeColor="text1"/>
          <w:szCs w:val="21"/>
          <w14:textFill>
            <w14:solidFill>
              <w14:schemeClr w14:val="tx1"/>
            </w14:solidFill>
          </w14:textFill>
        </w:rPr>
        <w:t>发生误服醇基液体燃料或皮肤长时间接触时，立即送医。</w:t>
      </w:r>
      <w:bookmarkEnd w:id="23"/>
      <w:bookmarkStart w:id="100" w:name="BookMark6"/>
    </w:p>
    <w:bookmarkEnd w:id="97"/>
    <w:bookmarkEnd w:id="98"/>
    <w:bookmarkEnd w:id="99"/>
    <w:p w14:paraId="54175438">
      <w:pPr>
        <w:widowControl/>
        <w:adjustRightInd/>
        <w:spacing w:line="240" w:lineRule="auto"/>
        <w:jc w:val="left"/>
        <w:rPr>
          <w:rFonts w:hint="eastAsia" w:ascii="宋体" w:hAnsi="宋体"/>
          <w:color w:val="00B050"/>
          <w:kern w:val="0"/>
          <w:szCs w:val="20"/>
        </w:rPr>
      </w:pPr>
      <w:r>
        <w:rPr>
          <w:rFonts w:hAnsi="宋体"/>
          <w:color w:val="00B050"/>
        </w:rPr>
        <w:br w:type="page"/>
      </w:r>
    </w:p>
    <w:p w14:paraId="1BC7DE04">
      <w:pPr>
        <w:pStyle w:val="63"/>
        <w:spacing w:after="156"/>
      </w:pPr>
      <w:bookmarkStart w:id="101" w:name="_Toc180144851"/>
      <w:bookmarkStart w:id="102" w:name="_Toc160529985"/>
      <w:bookmarkStart w:id="103" w:name="_Toc180144809"/>
      <w:r>
        <w:rPr>
          <w:rFonts w:hint="eastAsia"/>
          <w:spacing w:val="105"/>
        </w:rPr>
        <w:t>参考文</w:t>
      </w:r>
      <w:r>
        <w:rPr>
          <w:rFonts w:hint="eastAsia"/>
        </w:rPr>
        <w:t>献</w:t>
      </w:r>
      <w:bookmarkEnd w:id="101"/>
      <w:bookmarkEnd w:id="102"/>
      <w:bookmarkEnd w:id="103"/>
    </w:p>
    <w:p w14:paraId="1C38D307">
      <w:pPr>
        <w:pStyle w:val="56"/>
        <w:ind w:firstLine="420"/>
      </w:pPr>
      <w:r>
        <w:rPr>
          <w:rFonts w:hint="eastAsia"/>
        </w:rPr>
        <w:t>[1]  中华人民共和国安全生产法  全国人民代表大会常务委员会</w:t>
      </w:r>
    </w:p>
    <w:p w14:paraId="6D11350C">
      <w:pPr>
        <w:pStyle w:val="56"/>
        <w:ind w:firstLine="420"/>
      </w:pPr>
      <w:r>
        <w:rPr>
          <w:rFonts w:hint="eastAsia"/>
        </w:rPr>
        <w:t>[2]</w:t>
      </w:r>
      <w:r>
        <w:t xml:space="preserve">  </w:t>
      </w:r>
      <w:r>
        <w:rPr>
          <w:rFonts w:hint="eastAsia"/>
        </w:rPr>
        <w:t>危险化学品安全管理条例</w:t>
      </w:r>
    </w:p>
    <w:p w14:paraId="1ADAED1A">
      <w:pPr>
        <w:pStyle w:val="56"/>
        <w:ind w:firstLine="420"/>
      </w:pPr>
      <w:r>
        <w:rPr>
          <w:rFonts w:hint="eastAsia"/>
        </w:rPr>
        <w:t>[3]</w:t>
      </w:r>
      <w:r>
        <w:t xml:space="preserve">  </w:t>
      </w:r>
      <w:r>
        <w:rPr>
          <w:rFonts w:hint="eastAsia"/>
        </w:rPr>
        <w:t>危险化学品经营许可证管理办法</w:t>
      </w:r>
    </w:p>
    <w:p w14:paraId="160829A1">
      <w:pPr>
        <w:pStyle w:val="56"/>
        <w:ind w:firstLine="420"/>
      </w:pPr>
      <w:r>
        <w:rPr>
          <w:rFonts w:hint="eastAsia"/>
        </w:rPr>
        <w:t>[4]  GBZ</w:t>
      </w:r>
      <w:r>
        <w:t xml:space="preserve"> </w:t>
      </w:r>
      <w:r>
        <w:rPr>
          <w:rFonts w:hint="eastAsia"/>
        </w:rPr>
        <w:t>2.l</w:t>
      </w:r>
      <w:r>
        <w:t xml:space="preserve">  </w:t>
      </w:r>
      <w:r>
        <w:rPr>
          <w:rFonts w:hint="eastAsia"/>
        </w:rPr>
        <w:t xml:space="preserve">工作场所有害因素职业接触限值  第1部分：化学有害因素 </w:t>
      </w:r>
    </w:p>
    <w:p w14:paraId="1E6BF7C2">
      <w:pPr>
        <w:pStyle w:val="56"/>
        <w:ind w:firstLine="420"/>
      </w:pPr>
      <w:r>
        <w:rPr>
          <w:rFonts w:hint="eastAsia"/>
        </w:rPr>
        <w:t>[5]</w:t>
      </w:r>
      <w:r>
        <w:t xml:space="preserve"> </w:t>
      </w:r>
      <w:r>
        <w:rPr>
          <w:rFonts w:hint="eastAsia"/>
        </w:rPr>
        <w:t xml:space="preserve"> GBZ</w:t>
      </w:r>
      <w:r>
        <w:t xml:space="preserve"> </w:t>
      </w:r>
      <w:r>
        <w:rPr>
          <w:rFonts w:hint="eastAsia"/>
        </w:rPr>
        <w:t>158</w:t>
      </w:r>
      <w:r>
        <w:t xml:space="preserve">  </w:t>
      </w:r>
      <w:r>
        <w:rPr>
          <w:rFonts w:hint="eastAsia"/>
        </w:rPr>
        <w:t>工作场所职业危害警示标识</w:t>
      </w:r>
    </w:p>
    <w:p w14:paraId="59403B8B">
      <w:pPr>
        <w:pStyle w:val="56"/>
        <w:ind w:firstLine="420"/>
      </w:pPr>
      <w:r>
        <w:rPr>
          <w:rFonts w:hint="eastAsia"/>
        </w:rPr>
        <w:t>[</w:t>
      </w:r>
      <w:r>
        <w:t>6</w:t>
      </w:r>
      <w:r>
        <w:rPr>
          <w:rFonts w:hint="eastAsia"/>
        </w:rPr>
        <w:t>]  GB</w:t>
      </w:r>
      <w:r>
        <w:t xml:space="preserve"> </w:t>
      </w:r>
      <w:r>
        <w:rPr>
          <w:rFonts w:hint="eastAsia"/>
        </w:rPr>
        <w:t>2894</w:t>
      </w:r>
      <w:r>
        <w:t xml:space="preserve">  </w:t>
      </w:r>
      <w:r>
        <w:rPr>
          <w:rFonts w:hint="eastAsia"/>
        </w:rPr>
        <w:t>安全标志及其使用导则</w:t>
      </w:r>
    </w:p>
    <w:p w14:paraId="2808D428">
      <w:pPr>
        <w:pStyle w:val="56"/>
        <w:ind w:firstLine="420"/>
      </w:pPr>
      <w:r>
        <w:rPr>
          <w:rFonts w:hint="eastAsia"/>
        </w:rPr>
        <w:t>[</w:t>
      </w:r>
      <w:r>
        <w:t>7</w:t>
      </w:r>
      <w:r>
        <w:rPr>
          <w:rFonts w:hint="eastAsia"/>
        </w:rPr>
        <w:t>]  GB</w:t>
      </w:r>
      <w:r>
        <w:t xml:space="preserve"> </w:t>
      </w:r>
      <w:r>
        <w:rPr>
          <w:rFonts w:hint="eastAsia"/>
        </w:rPr>
        <w:t>12158</w:t>
      </w:r>
      <w:r>
        <w:t xml:space="preserve">  </w:t>
      </w:r>
      <w:r>
        <w:rPr>
          <w:rFonts w:hint="eastAsia"/>
        </w:rPr>
        <w:t>防止静电事故通用导则</w:t>
      </w:r>
    </w:p>
    <w:p w14:paraId="589C703A">
      <w:pPr>
        <w:pStyle w:val="56"/>
        <w:ind w:firstLine="420"/>
      </w:pPr>
      <w:r>
        <w:rPr>
          <w:rFonts w:hint="eastAsia"/>
        </w:rPr>
        <w:t>[</w:t>
      </w:r>
      <w:r>
        <w:t>8</w:t>
      </w:r>
      <w:r>
        <w:rPr>
          <w:rFonts w:hint="eastAsia"/>
        </w:rPr>
        <w:t>]</w:t>
      </w:r>
      <w:r>
        <w:t xml:space="preserve">  </w:t>
      </w:r>
      <w:r>
        <w:rPr>
          <w:rFonts w:hint="eastAsia"/>
        </w:rPr>
        <w:t>GB 18218  危险化学品重大危险源辨识</w:t>
      </w:r>
    </w:p>
    <w:p w14:paraId="51B26231">
      <w:pPr>
        <w:pStyle w:val="56"/>
        <w:ind w:firstLine="420"/>
      </w:pPr>
      <w:r>
        <w:rPr>
          <w:rFonts w:hint="eastAsia"/>
        </w:rPr>
        <w:t>[</w:t>
      </w:r>
      <w:r>
        <w:t>9</w:t>
      </w:r>
      <w:r>
        <w:rPr>
          <w:rFonts w:hint="eastAsia"/>
        </w:rPr>
        <w:t>]</w:t>
      </w:r>
      <w:r>
        <w:t xml:space="preserve">  </w:t>
      </w:r>
      <w:r>
        <w:rPr>
          <w:rFonts w:hint="eastAsia"/>
        </w:rPr>
        <w:t>GB</w:t>
      </w:r>
      <w:r>
        <w:t xml:space="preserve"> </w:t>
      </w:r>
      <w:r>
        <w:rPr>
          <w:rFonts w:hint="eastAsia"/>
        </w:rPr>
        <w:t>19521.2</w:t>
      </w:r>
      <w:r>
        <w:t xml:space="preserve">  </w:t>
      </w:r>
      <w:r>
        <w:rPr>
          <w:rFonts w:hint="eastAsia"/>
        </w:rPr>
        <w:t>易燃液体危险货物危险特性检验安</w:t>
      </w:r>
      <w:r>
        <w:rPr>
          <w:rFonts w:hint="eastAsia"/>
          <w:spacing w:val="-2"/>
        </w:rPr>
        <w:t>全规范</w:t>
      </w:r>
    </w:p>
    <w:p w14:paraId="794C4422">
      <w:pPr>
        <w:pStyle w:val="56"/>
        <w:ind w:firstLine="420"/>
      </w:pPr>
      <w:r>
        <w:rPr>
          <w:rFonts w:hint="eastAsia"/>
        </w:rPr>
        <w:t>[</w:t>
      </w:r>
      <w:r>
        <w:t>10</w:t>
      </w:r>
      <w:r>
        <w:rPr>
          <w:rFonts w:hint="eastAsia"/>
        </w:rPr>
        <w:t>]</w:t>
      </w:r>
      <w:r>
        <w:t xml:space="preserve">  </w:t>
      </w:r>
      <w:r>
        <w:rPr>
          <w:rFonts w:hint="eastAsia"/>
        </w:rPr>
        <w:t>GB/T</w:t>
      </w:r>
      <w:r>
        <w:t xml:space="preserve"> </w:t>
      </w:r>
      <w:r>
        <w:rPr>
          <w:rFonts w:hint="eastAsia"/>
        </w:rPr>
        <w:t>29639</w:t>
      </w:r>
      <w:r>
        <w:t xml:space="preserve">  </w:t>
      </w:r>
      <w:r>
        <w:rPr>
          <w:rFonts w:hint="eastAsia"/>
        </w:rPr>
        <w:t>生产经营单位生产安全事故应急预案编制导则</w:t>
      </w:r>
    </w:p>
    <w:p w14:paraId="68B90D57">
      <w:pPr>
        <w:pStyle w:val="56"/>
        <w:ind w:firstLine="420"/>
      </w:pPr>
      <w:r>
        <w:rPr>
          <w:rFonts w:hint="eastAsia"/>
        </w:rPr>
        <w:t>[</w:t>
      </w:r>
      <w:r>
        <w:t>11</w:t>
      </w:r>
      <w:r>
        <w:rPr>
          <w:rFonts w:hint="eastAsia"/>
        </w:rPr>
        <w:t>]</w:t>
      </w:r>
      <w:r>
        <w:t xml:space="preserve">  </w:t>
      </w:r>
      <w:r>
        <w:rPr>
          <w:rFonts w:hint="eastAsia"/>
        </w:rPr>
        <w:t>GB</w:t>
      </w:r>
      <w:r>
        <w:t xml:space="preserve"> </w:t>
      </w:r>
      <w:r>
        <w:rPr>
          <w:rFonts w:hint="eastAsia"/>
        </w:rPr>
        <w:t>30000.7</w:t>
      </w:r>
      <w:r>
        <w:t xml:space="preserve">  </w:t>
      </w:r>
      <w:r>
        <w:rPr>
          <w:rFonts w:hint="eastAsia"/>
        </w:rPr>
        <w:t>化学品分类和标签规范  第7部分：易燃液体</w:t>
      </w:r>
    </w:p>
    <w:p w14:paraId="612AD0C1">
      <w:pPr>
        <w:pStyle w:val="56"/>
        <w:ind w:firstLine="420"/>
      </w:pPr>
      <w:r>
        <w:rPr>
          <w:rFonts w:hint="eastAsia"/>
        </w:rPr>
        <w:t>[</w:t>
      </w:r>
      <w:r>
        <w:t>12</w:t>
      </w:r>
      <w:r>
        <w:rPr>
          <w:rFonts w:hint="eastAsia"/>
        </w:rPr>
        <w:t>]</w:t>
      </w:r>
      <w:r>
        <w:t xml:space="preserve">  </w:t>
      </w:r>
      <w:r>
        <w:rPr>
          <w:rFonts w:hint="eastAsia"/>
        </w:rPr>
        <w:t>GB/T</w:t>
      </w:r>
      <w:r>
        <w:t xml:space="preserve"> </w:t>
      </w:r>
      <w:r>
        <w:rPr>
          <w:rFonts w:hint="eastAsia"/>
        </w:rPr>
        <w:t>50493</w:t>
      </w:r>
      <w:r>
        <w:t xml:space="preserve">  </w:t>
      </w:r>
      <w:r>
        <w:rPr>
          <w:rFonts w:hint="eastAsia"/>
        </w:rPr>
        <w:t>石油化工可燃气体和有毒气体检测报警设计标准</w:t>
      </w:r>
    </w:p>
    <w:p w14:paraId="7D89FD2F">
      <w:pPr>
        <w:pStyle w:val="56"/>
        <w:ind w:firstLine="420"/>
      </w:pPr>
      <w:r>
        <w:rPr>
          <w:rFonts w:hint="eastAsia"/>
        </w:rPr>
        <w:t>[</w:t>
      </w:r>
      <w:r>
        <w:t>13</w:t>
      </w:r>
      <w:r>
        <w:rPr>
          <w:rFonts w:hint="eastAsia"/>
        </w:rPr>
        <w:t>]</w:t>
      </w:r>
      <w:r>
        <w:t xml:space="preserve">  </w:t>
      </w:r>
      <w:r>
        <w:rPr>
          <w:rFonts w:hint="eastAsia"/>
        </w:rPr>
        <w:t>GB</w:t>
      </w:r>
      <w:r>
        <w:t xml:space="preserve"> </w:t>
      </w:r>
      <w:r>
        <w:rPr>
          <w:rFonts w:hint="eastAsia"/>
        </w:rPr>
        <w:t>50974</w:t>
      </w:r>
      <w:r>
        <w:t xml:space="preserve">  </w:t>
      </w:r>
      <w:r>
        <w:rPr>
          <w:rFonts w:hint="eastAsia"/>
        </w:rPr>
        <w:t>消防给水及消火栓系统技术规范</w:t>
      </w:r>
    </w:p>
    <w:p w14:paraId="5D736B4B">
      <w:pPr>
        <w:pStyle w:val="56"/>
        <w:ind w:firstLine="420"/>
      </w:pPr>
      <w:r>
        <w:rPr>
          <w:rFonts w:hint="eastAsia"/>
        </w:rPr>
        <w:t>[</w:t>
      </w:r>
      <w:r>
        <w:t>14</w:t>
      </w:r>
      <w:r>
        <w:rPr>
          <w:rFonts w:hint="eastAsia"/>
        </w:rPr>
        <w:t>]</w:t>
      </w:r>
      <w:r>
        <w:t xml:space="preserve">  </w:t>
      </w:r>
      <w:r>
        <w:rPr>
          <w:rFonts w:hint="eastAsia"/>
        </w:rPr>
        <w:t>AQ</w:t>
      </w:r>
      <w:r>
        <w:t xml:space="preserve"> </w:t>
      </w:r>
      <w:r>
        <w:rPr>
          <w:rFonts w:hint="eastAsia"/>
        </w:rPr>
        <w:t>3009</w:t>
      </w:r>
      <w:r>
        <w:t xml:space="preserve">  </w:t>
      </w:r>
      <w:r>
        <w:rPr>
          <w:rFonts w:hint="eastAsia"/>
        </w:rPr>
        <w:t>危险场所电气防爆安全规范</w:t>
      </w:r>
    </w:p>
    <w:p w14:paraId="650A5D99">
      <w:pPr>
        <w:pStyle w:val="56"/>
        <w:ind w:firstLine="420"/>
      </w:pPr>
      <w:r>
        <w:rPr>
          <w:rFonts w:hint="eastAsia"/>
        </w:rPr>
        <w:t>[</w:t>
      </w:r>
      <w:r>
        <w:t>15</w:t>
      </w:r>
      <w:r>
        <w:rPr>
          <w:rFonts w:hint="eastAsia"/>
        </w:rPr>
        <w:t>]</w:t>
      </w:r>
      <w:r>
        <w:t xml:space="preserve">  </w:t>
      </w:r>
      <w:r>
        <w:rPr>
          <w:rFonts w:hint="eastAsia"/>
        </w:rPr>
        <w:t>AQ 3018  危险化学品储罐区作业安全通则</w:t>
      </w:r>
    </w:p>
    <w:p w14:paraId="4FAAEC79">
      <w:pPr>
        <w:pStyle w:val="56"/>
        <w:ind w:firstLine="420"/>
      </w:pPr>
      <w:r>
        <w:t xml:space="preserve">[16]  </w:t>
      </w:r>
      <w:r>
        <w:rPr>
          <w:rFonts w:hint="eastAsia"/>
        </w:rPr>
        <w:t>应急管理部关于全面实施危险化学品企业安全风险研判与承诺公告制度的通知  应急管理部：应急〔2018〕74号</w:t>
      </w:r>
    </w:p>
    <w:p w14:paraId="36AE95FD">
      <w:pPr>
        <w:pStyle w:val="56"/>
        <w:ind w:firstLine="420"/>
      </w:pPr>
      <w:r>
        <w:t xml:space="preserve">[17]  </w:t>
      </w:r>
      <w:r>
        <w:rPr>
          <w:rFonts w:hint="eastAsia"/>
        </w:rPr>
        <w:t>危险化学品企业重大危险源安全包保责任制办法（试行）  应急管理部办公厅：应急厅〔2021〕12号</w:t>
      </w:r>
    </w:p>
    <w:bookmarkEnd w:id="100"/>
    <w:p w14:paraId="58A235FB">
      <w:pPr>
        <w:pStyle w:val="56"/>
        <w:ind w:firstLine="0" w:firstLineChars="0"/>
        <w:jc w:val="center"/>
      </w:pPr>
      <w:bookmarkStart w:id="104" w:name="BookMark8"/>
      <w: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4"/>
    </w:p>
    <w:sectPr>
      <w:headerReference r:id="rId15" w:type="default"/>
      <w:footerReference r:id="rId17" w:type="default"/>
      <w:headerReference r:id="rId16" w:type="even"/>
      <w:footerReference r:id="rId18"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IDFon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0B33F">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323AF">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08E8C">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F4382">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CE413">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36F95">
    <w:pPr>
      <w:pStyle w:val="52"/>
    </w:pPr>
    <w:r>
      <w:fldChar w:fldCharType="begin"/>
    </w:r>
    <w:r>
      <w:instrText xml:space="preserve">PAGE   \* MERGEFORMAT</w:instrText>
    </w:r>
    <w:r>
      <w:fldChar w:fldCharType="separate"/>
    </w:r>
    <w:r>
      <w:rPr>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FCAD8">
    <w:pPr>
      <w:pStyle w:val="51"/>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A0891">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F5508">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17F1C">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F65CA">
    <w:pPr>
      <w:pStyle w:val="61"/>
    </w:pPr>
    <w:r>
      <w:fldChar w:fldCharType="begin"/>
    </w:r>
    <w:r>
      <w:instrText xml:space="preserve"> STYLEREF  标准文件_文件编号  \* MERGEFORMAT </w:instrText>
    </w:r>
    <w:r>
      <w:fldChar w:fldCharType="separate"/>
    </w:r>
    <w:r>
      <w:t>DB45/T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7898F">
    <w:pPr>
      <w:pStyle w:val="62"/>
    </w:pPr>
    <w:r>
      <w:fldChar w:fldCharType="begin"/>
    </w:r>
    <w:r>
      <w:instrText xml:space="preserve"> STYLEREF  标准文件_文件编号 \* MERGEFORMAT </w:instrText>
    </w:r>
    <w:r>
      <w:fldChar w:fldCharType="separate"/>
    </w:r>
    <w:r>
      <w:t>DB45/T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2427C">
    <w:pPr>
      <w:pStyle w:val="61"/>
    </w:pPr>
    <w:r>
      <w:fldChar w:fldCharType="begin"/>
    </w:r>
    <w:r>
      <w:instrText xml:space="preserve"> STYLEREF  标准文件_文件编号  \* MERGEFORMAT </w:instrText>
    </w:r>
    <w:r>
      <w:fldChar w:fldCharType="separate"/>
    </w:r>
    <w:r>
      <w:t>DB45/T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E43E9">
    <w:pPr>
      <w:pStyle w:val="62"/>
    </w:pPr>
    <w:r>
      <w:fldChar w:fldCharType="begin"/>
    </w:r>
    <w:r>
      <w:instrText xml:space="preserve"> STYLEREF  标准文件_文件编号 \* MERGEFORMAT </w:instrText>
    </w:r>
    <w:r>
      <w:fldChar w:fldCharType="separate"/>
    </w:r>
    <w:r>
      <w:t>DB45/T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1C75E10"/>
    <w:multiLevelType w:val="multilevel"/>
    <w:tmpl w:val="31C75E10"/>
    <w:lvl w:ilvl="0" w:tentative="0">
      <w:start w:val="1"/>
      <w:numFmt w:val="none"/>
      <w:suff w:val="nothing"/>
      <w:lvlText w:val="%1"/>
      <w:lvlJc w:val="left"/>
      <w:pPr>
        <w:ind w:left="0" w:firstLine="0"/>
      </w:pPr>
      <w:rPr>
        <w:rFonts w:hint="eastAsia" w:ascii="宋体" w:hAnsi="宋体" w:eastAsia="宋体"/>
      </w:rPr>
    </w:lvl>
    <w:lvl w:ilvl="1" w:tentative="0">
      <w:start w:val="1"/>
      <w:numFmt w:val="decimal"/>
      <w:suff w:val="nothing"/>
      <w:lvlText w:val="%1%2　"/>
      <w:lvlJc w:val="left"/>
      <w:pPr>
        <w:ind w:left="0" w:firstLine="0"/>
      </w:pPr>
      <w:rPr>
        <w:rFonts w:hint="eastAsia" w:ascii="黑体" w:hAnsi="黑体" w:eastAsia="黑体"/>
        <w:b w:val="0"/>
        <w:i w:val="0"/>
        <w:sz w:val="21"/>
        <w:szCs w:val="21"/>
      </w:rPr>
    </w:lvl>
    <w:lvl w:ilvl="2" w:tentative="0">
      <w:start w:val="1"/>
      <w:numFmt w:val="decimal"/>
      <w:suff w:val="nothing"/>
      <w:lvlText w:val="%1%2.%3　"/>
      <w:lvlJc w:val="left"/>
      <w:pPr>
        <w:ind w:left="850" w:firstLine="0"/>
      </w:pPr>
      <w:rPr>
        <w:rFonts w:hint="eastAsia" w:ascii="黑体" w:hAnsi="Times New Roman" w:eastAsia="黑体" w:cs="Times New Roman"/>
        <w:b w:val="0"/>
        <w:bCs w:val="0"/>
        <w:i w:val="0"/>
        <w:iCs w:val="0"/>
        <w:caps w:val="0"/>
        <w:smallCaps w:val="0"/>
        <w:color w:val="000000"/>
        <w:spacing w:val="0"/>
        <w:sz w:val="21"/>
        <w:szCs w:val="21"/>
      </w:rPr>
    </w:lvl>
    <w:lvl w:ilvl="3" w:tentative="0">
      <w:start w:val="1"/>
      <w:numFmt w:val="decimal"/>
      <w:suff w:val="nothing"/>
      <w:lvlText w:val="%1%2.%3.%4　"/>
      <w:lvlJc w:val="left"/>
      <w:pPr>
        <w:ind w:left="2551" w:firstLine="0"/>
      </w:pPr>
      <w:rPr>
        <w:rFonts w:hint="eastAsia" w:ascii="黑体" w:hAnsi="黑体" w:eastAsia="黑体"/>
        <w:b w:val="0"/>
        <w:i w:val="0"/>
        <w:sz w:val="21"/>
        <w:szCs w:val="21"/>
      </w:rPr>
    </w:lvl>
    <w:lvl w:ilvl="4" w:tentative="0">
      <w:start w:val="1"/>
      <w:numFmt w:val="decimal"/>
      <w:suff w:val="nothing"/>
      <w:lvlText w:val="%1%2.%3.%4.%5　"/>
      <w:lvlJc w:val="left"/>
      <w:pPr>
        <w:ind w:left="0" w:firstLine="0"/>
      </w:pPr>
      <w:rPr>
        <w:rFonts w:hint="eastAsia" w:ascii="黑体" w:hAnsi="黑体" w:eastAsia="黑体"/>
        <w:b w:val="0"/>
        <w:i w:val="0"/>
        <w:sz w:val="21"/>
        <w:szCs w:val="21"/>
      </w:rPr>
    </w:lvl>
    <w:lvl w:ilvl="5" w:tentative="0">
      <w:start w:val="1"/>
      <w:numFmt w:val="decimal"/>
      <w:suff w:val="nothing"/>
      <w:lvlText w:val="%1%2.%3.%4.%5.%6　"/>
      <w:lvlJc w:val="left"/>
      <w:pPr>
        <w:ind w:left="0" w:firstLine="0"/>
      </w:pPr>
      <w:rPr>
        <w:rFonts w:hint="eastAsia" w:ascii="黑体" w:hAnsi="黑体" w:eastAsia="黑体"/>
        <w:b w:val="0"/>
        <w:i w:val="0"/>
        <w:sz w:val="21"/>
        <w:szCs w:val="21"/>
      </w:rPr>
    </w:lvl>
    <w:lvl w:ilvl="6" w:tentative="0">
      <w:start w:val="1"/>
      <w:numFmt w:val="decimal"/>
      <w:suff w:val="nothing"/>
      <w:lvlText w:val="%1%2.%3.%4.%5.%6.%7　"/>
      <w:lvlJc w:val="left"/>
      <w:pPr>
        <w:ind w:left="0" w:firstLine="0"/>
      </w:pPr>
      <w:rPr>
        <w:rFonts w:hint="eastAsia" w:ascii="黑体" w:hAnsi="黑体" w:eastAsia="黑体"/>
        <w:b w:val="0"/>
        <w:i w:val="0"/>
        <w:sz w:val="21"/>
        <w:szCs w:val="21"/>
      </w:rPr>
    </w:lvl>
    <w:lvl w:ilvl="7" w:tentative="0">
      <w:start w:val="1"/>
      <w:numFmt w:val="decimal"/>
      <w:lvlText w:val="%1.%2.%3.%4.%5.%6.%7.%8"/>
      <w:lvlJc w:val="left"/>
      <w:pPr>
        <w:tabs>
          <w:tab w:val="left" w:pos="4351"/>
        </w:tabs>
        <w:ind w:left="3969" w:hanging="1418"/>
      </w:pPr>
      <w:rPr>
        <w:rFonts w:hint="eastAsia" w:ascii="宋体" w:hAnsi="宋体" w:eastAsia="宋体"/>
      </w:rPr>
    </w:lvl>
    <w:lvl w:ilvl="8" w:tentative="0">
      <w:start w:val="1"/>
      <w:numFmt w:val="decimal"/>
      <w:lvlText w:val="%1.%2.%3.%4.%5.%6.%7.%8.%9"/>
      <w:lvlJc w:val="left"/>
      <w:pPr>
        <w:tabs>
          <w:tab w:val="left" w:pos="4777"/>
        </w:tabs>
        <w:ind w:left="4677" w:hanging="1700"/>
      </w:pPr>
      <w:rPr>
        <w:rFonts w:hint="eastAsia" w:ascii="宋体" w:hAnsi="宋体" w:eastAsia="宋体"/>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85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2551"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658" w:hanging="374"/>
      </w:pPr>
      <w:rPr>
        <w:rFonts w:hint="eastAsia" w:ascii="黑体" w:eastAsia="黑体"/>
        <w:b w:val="0"/>
        <w:i w:val="0"/>
        <w:color w:val="auto"/>
        <w:sz w:val="18"/>
      </w:rPr>
    </w:lvl>
    <w:lvl w:ilvl="1" w:tentative="0">
      <w:start w:val="1"/>
      <w:numFmt w:val="lowerLetter"/>
      <w:lvlText w:val="%2)"/>
      <w:lvlJc w:val="left"/>
      <w:pPr>
        <w:tabs>
          <w:tab w:val="left" w:pos="1061"/>
        </w:tabs>
        <w:ind w:left="647" w:hanging="363"/>
      </w:pPr>
      <w:rPr>
        <w:rFonts w:hint="eastAsia"/>
      </w:rPr>
    </w:lvl>
    <w:lvl w:ilvl="2" w:tentative="0">
      <w:start w:val="1"/>
      <w:numFmt w:val="lowerRoman"/>
      <w:lvlText w:val="%3."/>
      <w:lvlJc w:val="right"/>
      <w:pPr>
        <w:tabs>
          <w:tab w:val="left" w:pos="1061"/>
        </w:tabs>
        <w:ind w:left="647" w:hanging="363"/>
      </w:pPr>
      <w:rPr>
        <w:rFonts w:hint="eastAsia"/>
      </w:rPr>
    </w:lvl>
    <w:lvl w:ilvl="3" w:tentative="0">
      <w:start w:val="1"/>
      <w:numFmt w:val="decimal"/>
      <w:lvlText w:val="%4."/>
      <w:lvlJc w:val="left"/>
      <w:pPr>
        <w:tabs>
          <w:tab w:val="left" w:pos="1061"/>
        </w:tabs>
        <w:ind w:left="647" w:hanging="363"/>
      </w:pPr>
      <w:rPr>
        <w:rFonts w:hint="eastAsia"/>
      </w:rPr>
    </w:lvl>
    <w:lvl w:ilvl="4" w:tentative="0">
      <w:start w:val="1"/>
      <w:numFmt w:val="lowerLetter"/>
      <w:lvlText w:val="%5)"/>
      <w:lvlJc w:val="left"/>
      <w:pPr>
        <w:tabs>
          <w:tab w:val="left" w:pos="1061"/>
        </w:tabs>
        <w:ind w:left="647" w:hanging="363"/>
      </w:pPr>
      <w:rPr>
        <w:rFonts w:hint="eastAsia"/>
      </w:rPr>
    </w:lvl>
    <w:lvl w:ilvl="5" w:tentative="0">
      <w:start w:val="1"/>
      <w:numFmt w:val="lowerRoman"/>
      <w:lvlText w:val="%6."/>
      <w:lvlJc w:val="right"/>
      <w:pPr>
        <w:tabs>
          <w:tab w:val="left" w:pos="1061"/>
        </w:tabs>
        <w:ind w:left="647" w:hanging="363"/>
      </w:pPr>
      <w:rPr>
        <w:rFonts w:hint="eastAsia"/>
      </w:rPr>
    </w:lvl>
    <w:lvl w:ilvl="6" w:tentative="0">
      <w:start w:val="1"/>
      <w:numFmt w:val="decimal"/>
      <w:lvlText w:val="%7."/>
      <w:lvlJc w:val="left"/>
      <w:pPr>
        <w:tabs>
          <w:tab w:val="left" w:pos="1061"/>
        </w:tabs>
        <w:ind w:left="647" w:hanging="363"/>
      </w:pPr>
      <w:rPr>
        <w:rFonts w:hint="eastAsia"/>
      </w:rPr>
    </w:lvl>
    <w:lvl w:ilvl="7" w:tentative="0">
      <w:start w:val="1"/>
      <w:numFmt w:val="lowerLetter"/>
      <w:lvlText w:val="%8)"/>
      <w:lvlJc w:val="left"/>
      <w:pPr>
        <w:tabs>
          <w:tab w:val="left" w:pos="1061"/>
        </w:tabs>
        <w:ind w:left="647" w:hanging="363"/>
      </w:pPr>
      <w:rPr>
        <w:rFonts w:hint="eastAsia"/>
      </w:rPr>
    </w:lvl>
    <w:lvl w:ilvl="8" w:tentative="0">
      <w:start w:val="1"/>
      <w:numFmt w:val="lowerRoman"/>
      <w:lvlText w:val="%9."/>
      <w:lvlJc w:val="right"/>
      <w:pPr>
        <w:tabs>
          <w:tab w:val="left" w:pos="1061"/>
        </w:tabs>
        <w:ind w:left="647"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attachedTemplate r:id="rId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NDJiNjllOGFlYTk4OTJjZTM4MmRlNzI0NzNiNzcifQ=="/>
  </w:docVars>
  <w:rsids>
    <w:rsidRoot w:val="008A7CC9"/>
    <w:rsid w:val="0000040A"/>
    <w:rsid w:val="00000A94"/>
    <w:rsid w:val="00001972"/>
    <w:rsid w:val="00001D9A"/>
    <w:rsid w:val="000040DF"/>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958"/>
    <w:rsid w:val="0004249A"/>
    <w:rsid w:val="00043282"/>
    <w:rsid w:val="00044286"/>
    <w:rsid w:val="00047F28"/>
    <w:rsid w:val="000503AA"/>
    <w:rsid w:val="000506A1"/>
    <w:rsid w:val="000515DD"/>
    <w:rsid w:val="0005265A"/>
    <w:rsid w:val="00052B3A"/>
    <w:rsid w:val="000539DD"/>
    <w:rsid w:val="00053BD3"/>
    <w:rsid w:val="000556ED"/>
    <w:rsid w:val="00055FE2"/>
    <w:rsid w:val="0005616F"/>
    <w:rsid w:val="00060C2E"/>
    <w:rsid w:val="00061033"/>
    <w:rsid w:val="000619E9"/>
    <w:rsid w:val="000622D4"/>
    <w:rsid w:val="0006357D"/>
    <w:rsid w:val="00063FA4"/>
    <w:rsid w:val="00067F1E"/>
    <w:rsid w:val="00070962"/>
    <w:rsid w:val="00071CC0"/>
    <w:rsid w:val="00072D0E"/>
    <w:rsid w:val="00073C8C"/>
    <w:rsid w:val="00075F4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068"/>
    <w:rsid w:val="000A7311"/>
    <w:rsid w:val="000B03A0"/>
    <w:rsid w:val="000B0578"/>
    <w:rsid w:val="000B060F"/>
    <w:rsid w:val="000B1592"/>
    <w:rsid w:val="000B1DCC"/>
    <w:rsid w:val="000B1FF2"/>
    <w:rsid w:val="000B3C15"/>
    <w:rsid w:val="000B3CDA"/>
    <w:rsid w:val="000B6A0B"/>
    <w:rsid w:val="000C0F6C"/>
    <w:rsid w:val="000C11DB"/>
    <w:rsid w:val="000C1492"/>
    <w:rsid w:val="000C2FBD"/>
    <w:rsid w:val="000C4030"/>
    <w:rsid w:val="000C4B41"/>
    <w:rsid w:val="000C4E7C"/>
    <w:rsid w:val="000C57D6"/>
    <w:rsid w:val="000C6362"/>
    <w:rsid w:val="000C65FB"/>
    <w:rsid w:val="000C7666"/>
    <w:rsid w:val="000D0A9C"/>
    <w:rsid w:val="000D1795"/>
    <w:rsid w:val="000D329A"/>
    <w:rsid w:val="000D3D2D"/>
    <w:rsid w:val="000D4B9C"/>
    <w:rsid w:val="000D4EB6"/>
    <w:rsid w:val="000D753B"/>
    <w:rsid w:val="000E154E"/>
    <w:rsid w:val="000E4C9E"/>
    <w:rsid w:val="000E5ED0"/>
    <w:rsid w:val="000E6FD7"/>
    <w:rsid w:val="000F06E1"/>
    <w:rsid w:val="000F0E3C"/>
    <w:rsid w:val="000F19D5"/>
    <w:rsid w:val="000F2689"/>
    <w:rsid w:val="000F4AEA"/>
    <w:rsid w:val="000F5D66"/>
    <w:rsid w:val="000F633F"/>
    <w:rsid w:val="000F67E9"/>
    <w:rsid w:val="00104926"/>
    <w:rsid w:val="00113B1E"/>
    <w:rsid w:val="0011468A"/>
    <w:rsid w:val="0011711C"/>
    <w:rsid w:val="0012059C"/>
    <w:rsid w:val="00124E4F"/>
    <w:rsid w:val="001260B7"/>
    <w:rsid w:val="001265CB"/>
    <w:rsid w:val="001321C6"/>
    <w:rsid w:val="001325C4"/>
    <w:rsid w:val="00133010"/>
    <w:rsid w:val="001338EE"/>
    <w:rsid w:val="00133AAE"/>
    <w:rsid w:val="00135323"/>
    <w:rsid w:val="001356C4"/>
    <w:rsid w:val="00140A63"/>
    <w:rsid w:val="00141114"/>
    <w:rsid w:val="00142969"/>
    <w:rsid w:val="00144644"/>
    <w:rsid w:val="001446C2"/>
    <w:rsid w:val="001457E7"/>
    <w:rsid w:val="00145D9D"/>
    <w:rsid w:val="00146388"/>
    <w:rsid w:val="0014695D"/>
    <w:rsid w:val="00146F9A"/>
    <w:rsid w:val="00150EE9"/>
    <w:rsid w:val="0015171F"/>
    <w:rsid w:val="00151C75"/>
    <w:rsid w:val="001529E5"/>
    <w:rsid w:val="001537C8"/>
    <w:rsid w:val="00153C7E"/>
    <w:rsid w:val="00156B25"/>
    <w:rsid w:val="00156E1A"/>
    <w:rsid w:val="00157894"/>
    <w:rsid w:val="00157B55"/>
    <w:rsid w:val="00162503"/>
    <w:rsid w:val="001642FA"/>
    <w:rsid w:val="001649EB"/>
    <w:rsid w:val="00164BAF"/>
    <w:rsid w:val="00164FA8"/>
    <w:rsid w:val="00165065"/>
    <w:rsid w:val="00165434"/>
    <w:rsid w:val="0016580B"/>
    <w:rsid w:val="00165F49"/>
    <w:rsid w:val="00166B88"/>
    <w:rsid w:val="0016770A"/>
    <w:rsid w:val="00170804"/>
    <w:rsid w:val="001708E9"/>
    <w:rsid w:val="00171F98"/>
    <w:rsid w:val="001733AF"/>
    <w:rsid w:val="0017340B"/>
    <w:rsid w:val="00173FB1"/>
    <w:rsid w:val="001768D8"/>
    <w:rsid w:val="00176DFD"/>
    <w:rsid w:val="00183474"/>
    <w:rsid w:val="001852C9"/>
    <w:rsid w:val="00190087"/>
    <w:rsid w:val="001913C4"/>
    <w:rsid w:val="00191794"/>
    <w:rsid w:val="00192F0D"/>
    <w:rsid w:val="0019348F"/>
    <w:rsid w:val="00193A07"/>
    <w:rsid w:val="00194C95"/>
    <w:rsid w:val="00195C34"/>
    <w:rsid w:val="00196EF5"/>
    <w:rsid w:val="001A029C"/>
    <w:rsid w:val="001A1A53"/>
    <w:rsid w:val="001A234A"/>
    <w:rsid w:val="001A45DA"/>
    <w:rsid w:val="001A4CF3"/>
    <w:rsid w:val="001B06E8"/>
    <w:rsid w:val="001B4976"/>
    <w:rsid w:val="001B71D0"/>
    <w:rsid w:val="001B71EE"/>
    <w:rsid w:val="001C04A8"/>
    <w:rsid w:val="001C0DF6"/>
    <w:rsid w:val="001C2C03"/>
    <w:rsid w:val="001C42F7"/>
    <w:rsid w:val="001C451B"/>
    <w:rsid w:val="001C49E5"/>
    <w:rsid w:val="001C680C"/>
    <w:rsid w:val="001C7FEA"/>
    <w:rsid w:val="001D0499"/>
    <w:rsid w:val="001D0BBE"/>
    <w:rsid w:val="001D0ED4"/>
    <w:rsid w:val="001D212F"/>
    <w:rsid w:val="001D29D7"/>
    <w:rsid w:val="001D2A3B"/>
    <w:rsid w:val="001D2DE7"/>
    <w:rsid w:val="001D411C"/>
    <w:rsid w:val="001E14C8"/>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037A"/>
    <w:rsid w:val="0020107D"/>
    <w:rsid w:val="00202AA4"/>
    <w:rsid w:val="002031F7"/>
    <w:rsid w:val="00203A01"/>
    <w:rsid w:val="002040E6"/>
    <w:rsid w:val="0020527B"/>
    <w:rsid w:val="00205F2C"/>
    <w:rsid w:val="002074DC"/>
    <w:rsid w:val="00210B15"/>
    <w:rsid w:val="00212078"/>
    <w:rsid w:val="00214048"/>
    <w:rsid w:val="002142EA"/>
    <w:rsid w:val="002204BB"/>
    <w:rsid w:val="00221B79"/>
    <w:rsid w:val="00221C6B"/>
    <w:rsid w:val="002253A1"/>
    <w:rsid w:val="00225CF8"/>
    <w:rsid w:val="0022794E"/>
    <w:rsid w:val="00233D64"/>
    <w:rsid w:val="00234193"/>
    <w:rsid w:val="0023482A"/>
    <w:rsid w:val="002359CB"/>
    <w:rsid w:val="00243540"/>
    <w:rsid w:val="0024497B"/>
    <w:rsid w:val="0024515B"/>
    <w:rsid w:val="00246021"/>
    <w:rsid w:val="0024666E"/>
    <w:rsid w:val="00247F52"/>
    <w:rsid w:val="00250B25"/>
    <w:rsid w:val="00250BBE"/>
    <w:rsid w:val="00250E1D"/>
    <w:rsid w:val="002515C2"/>
    <w:rsid w:val="0025194F"/>
    <w:rsid w:val="0026148A"/>
    <w:rsid w:val="00262696"/>
    <w:rsid w:val="00263D25"/>
    <w:rsid w:val="0026433C"/>
    <w:rsid w:val="002643C3"/>
    <w:rsid w:val="00264A0C"/>
    <w:rsid w:val="00266EEB"/>
    <w:rsid w:val="00267EF4"/>
    <w:rsid w:val="00270CB8"/>
    <w:rsid w:val="00271D76"/>
    <w:rsid w:val="00272B08"/>
    <w:rsid w:val="00273E53"/>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6DF"/>
    <w:rsid w:val="002A3AAB"/>
    <w:rsid w:val="002A4CEA"/>
    <w:rsid w:val="002A5977"/>
    <w:rsid w:val="002A5A13"/>
    <w:rsid w:val="002A757F"/>
    <w:rsid w:val="002A7F44"/>
    <w:rsid w:val="002B0A93"/>
    <w:rsid w:val="002B0C40"/>
    <w:rsid w:val="002B1966"/>
    <w:rsid w:val="002B4508"/>
    <w:rsid w:val="002B5779"/>
    <w:rsid w:val="002B7332"/>
    <w:rsid w:val="002B7F51"/>
    <w:rsid w:val="002C09E7"/>
    <w:rsid w:val="002C1E06"/>
    <w:rsid w:val="002C1E1C"/>
    <w:rsid w:val="002C2B39"/>
    <w:rsid w:val="002C3B56"/>
    <w:rsid w:val="002C3F07"/>
    <w:rsid w:val="002C5278"/>
    <w:rsid w:val="002C7EBB"/>
    <w:rsid w:val="002D06C1"/>
    <w:rsid w:val="002D42B5"/>
    <w:rsid w:val="002D4F1A"/>
    <w:rsid w:val="002D6EC6"/>
    <w:rsid w:val="002D79AC"/>
    <w:rsid w:val="002E039D"/>
    <w:rsid w:val="002E050F"/>
    <w:rsid w:val="002E4D5A"/>
    <w:rsid w:val="002E6326"/>
    <w:rsid w:val="002F30E0"/>
    <w:rsid w:val="002F35E4"/>
    <w:rsid w:val="002F3730"/>
    <w:rsid w:val="002F38E1"/>
    <w:rsid w:val="002F4EB7"/>
    <w:rsid w:val="002F7AF6"/>
    <w:rsid w:val="00300E63"/>
    <w:rsid w:val="00302F5F"/>
    <w:rsid w:val="0030441D"/>
    <w:rsid w:val="00306063"/>
    <w:rsid w:val="00313A59"/>
    <w:rsid w:val="00313B85"/>
    <w:rsid w:val="00317988"/>
    <w:rsid w:val="003221B4"/>
    <w:rsid w:val="0032258D"/>
    <w:rsid w:val="00322E62"/>
    <w:rsid w:val="003246D7"/>
    <w:rsid w:val="00324A84"/>
    <w:rsid w:val="00324D13"/>
    <w:rsid w:val="00324D2A"/>
    <w:rsid w:val="00324EDD"/>
    <w:rsid w:val="00326E8D"/>
    <w:rsid w:val="0032712D"/>
    <w:rsid w:val="003331E4"/>
    <w:rsid w:val="00336C64"/>
    <w:rsid w:val="00337162"/>
    <w:rsid w:val="0034194F"/>
    <w:rsid w:val="00341AC5"/>
    <w:rsid w:val="00344605"/>
    <w:rsid w:val="003474AA"/>
    <w:rsid w:val="00347FC0"/>
    <w:rsid w:val="00350D1D"/>
    <w:rsid w:val="00352C83"/>
    <w:rsid w:val="003615D2"/>
    <w:rsid w:val="0036429C"/>
    <w:rsid w:val="00364A53"/>
    <w:rsid w:val="003654CB"/>
    <w:rsid w:val="00365AA9"/>
    <w:rsid w:val="00365F86"/>
    <w:rsid w:val="00365F87"/>
    <w:rsid w:val="00366E89"/>
    <w:rsid w:val="003705F4"/>
    <w:rsid w:val="00370CE8"/>
    <w:rsid w:val="00370D58"/>
    <w:rsid w:val="00371316"/>
    <w:rsid w:val="00376713"/>
    <w:rsid w:val="00381815"/>
    <w:rsid w:val="003819AF"/>
    <w:rsid w:val="003820E9"/>
    <w:rsid w:val="00382DE7"/>
    <w:rsid w:val="0038358A"/>
    <w:rsid w:val="00384FFC"/>
    <w:rsid w:val="003872FC"/>
    <w:rsid w:val="00387ADC"/>
    <w:rsid w:val="00390020"/>
    <w:rsid w:val="003903D6"/>
    <w:rsid w:val="00390EE6"/>
    <w:rsid w:val="0039118F"/>
    <w:rsid w:val="00392AD7"/>
    <w:rsid w:val="003938D9"/>
    <w:rsid w:val="00394376"/>
    <w:rsid w:val="003943FF"/>
    <w:rsid w:val="00395700"/>
    <w:rsid w:val="00397148"/>
    <w:rsid w:val="003974EB"/>
    <w:rsid w:val="00397CC5"/>
    <w:rsid w:val="00397FE8"/>
    <w:rsid w:val="003A1582"/>
    <w:rsid w:val="003A16F0"/>
    <w:rsid w:val="003A4077"/>
    <w:rsid w:val="003A68C9"/>
    <w:rsid w:val="003B00A5"/>
    <w:rsid w:val="003B0956"/>
    <w:rsid w:val="003B09AD"/>
    <w:rsid w:val="003B1F18"/>
    <w:rsid w:val="003B5BF0"/>
    <w:rsid w:val="003B60BF"/>
    <w:rsid w:val="003B6BE3"/>
    <w:rsid w:val="003C010C"/>
    <w:rsid w:val="003C0A6C"/>
    <w:rsid w:val="003C14F8"/>
    <w:rsid w:val="003C5A43"/>
    <w:rsid w:val="003D0519"/>
    <w:rsid w:val="003D0FF6"/>
    <w:rsid w:val="003D262C"/>
    <w:rsid w:val="003D5D3B"/>
    <w:rsid w:val="003D6D61"/>
    <w:rsid w:val="003D79C6"/>
    <w:rsid w:val="003E091D"/>
    <w:rsid w:val="003E1C53"/>
    <w:rsid w:val="003E2A69"/>
    <w:rsid w:val="003E2D49"/>
    <w:rsid w:val="003E2FD4"/>
    <w:rsid w:val="003E49F6"/>
    <w:rsid w:val="003E660F"/>
    <w:rsid w:val="003E714D"/>
    <w:rsid w:val="003F0841"/>
    <w:rsid w:val="003F23D3"/>
    <w:rsid w:val="003F3F08"/>
    <w:rsid w:val="003F49F1"/>
    <w:rsid w:val="003F6272"/>
    <w:rsid w:val="00400E72"/>
    <w:rsid w:val="00401400"/>
    <w:rsid w:val="00404869"/>
    <w:rsid w:val="00405884"/>
    <w:rsid w:val="00407518"/>
    <w:rsid w:val="00407D39"/>
    <w:rsid w:val="0041477A"/>
    <w:rsid w:val="00415AFA"/>
    <w:rsid w:val="004167A3"/>
    <w:rsid w:val="0042337F"/>
    <w:rsid w:val="0043081F"/>
    <w:rsid w:val="00430F40"/>
    <w:rsid w:val="00432DAA"/>
    <w:rsid w:val="00434305"/>
    <w:rsid w:val="00435DF7"/>
    <w:rsid w:val="0044083F"/>
    <w:rsid w:val="004416FA"/>
    <w:rsid w:val="00441AE7"/>
    <w:rsid w:val="00445574"/>
    <w:rsid w:val="004467FB"/>
    <w:rsid w:val="00452D6B"/>
    <w:rsid w:val="00453A55"/>
    <w:rsid w:val="00454484"/>
    <w:rsid w:val="0045517B"/>
    <w:rsid w:val="00462F9C"/>
    <w:rsid w:val="00463B77"/>
    <w:rsid w:val="00463C7B"/>
    <w:rsid w:val="004644A6"/>
    <w:rsid w:val="004659BD"/>
    <w:rsid w:val="00470775"/>
    <w:rsid w:val="004746B1"/>
    <w:rsid w:val="00475416"/>
    <w:rsid w:val="0047583F"/>
    <w:rsid w:val="00475DE8"/>
    <w:rsid w:val="00481C44"/>
    <w:rsid w:val="00483969"/>
    <w:rsid w:val="00484936"/>
    <w:rsid w:val="00485C89"/>
    <w:rsid w:val="00486BE3"/>
    <w:rsid w:val="00487AFC"/>
    <w:rsid w:val="004905E4"/>
    <w:rsid w:val="00490A89"/>
    <w:rsid w:val="00490AB4"/>
    <w:rsid w:val="00492F02"/>
    <w:rsid w:val="004939AE"/>
    <w:rsid w:val="004A12DF"/>
    <w:rsid w:val="004A17E6"/>
    <w:rsid w:val="004A1BA8"/>
    <w:rsid w:val="004A4683"/>
    <w:rsid w:val="004A4B57"/>
    <w:rsid w:val="004A63FA"/>
    <w:rsid w:val="004B0272"/>
    <w:rsid w:val="004B2701"/>
    <w:rsid w:val="004B2E1B"/>
    <w:rsid w:val="004B3AA8"/>
    <w:rsid w:val="004B3E93"/>
    <w:rsid w:val="004B7777"/>
    <w:rsid w:val="004B7E7F"/>
    <w:rsid w:val="004C1FBC"/>
    <w:rsid w:val="004C3F1D"/>
    <w:rsid w:val="004C458D"/>
    <w:rsid w:val="004C7556"/>
    <w:rsid w:val="004C7E8B"/>
    <w:rsid w:val="004C7E9D"/>
    <w:rsid w:val="004C7F67"/>
    <w:rsid w:val="004D076D"/>
    <w:rsid w:val="004D0EF1"/>
    <w:rsid w:val="004D2253"/>
    <w:rsid w:val="004D2ED5"/>
    <w:rsid w:val="004D4406"/>
    <w:rsid w:val="004D735A"/>
    <w:rsid w:val="004D7C42"/>
    <w:rsid w:val="004E0307"/>
    <w:rsid w:val="004E0465"/>
    <w:rsid w:val="004E127B"/>
    <w:rsid w:val="004E1C0A"/>
    <w:rsid w:val="004E2B06"/>
    <w:rsid w:val="004E30C5"/>
    <w:rsid w:val="004E4AA5"/>
    <w:rsid w:val="004E4AEE"/>
    <w:rsid w:val="004E59E3"/>
    <w:rsid w:val="004E67C0"/>
    <w:rsid w:val="004F2819"/>
    <w:rsid w:val="004F391A"/>
    <w:rsid w:val="004F3CFB"/>
    <w:rsid w:val="004F402B"/>
    <w:rsid w:val="004F6456"/>
    <w:rsid w:val="004F696E"/>
    <w:rsid w:val="004F6C71"/>
    <w:rsid w:val="00501139"/>
    <w:rsid w:val="0050363E"/>
    <w:rsid w:val="005039BC"/>
    <w:rsid w:val="005043BB"/>
    <w:rsid w:val="00504A3D"/>
    <w:rsid w:val="00505767"/>
    <w:rsid w:val="005073F0"/>
    <w:rsid w:val="00510A7B"/>
    <w:rsid w:val="0051298B"/>
    <w:rsid w:val="00512F6E"/>
    <w:rsid w:val="00513038"/>
    <w:rsid w:val="00514174"/>
    <w:rsid w:val="00516088"/>
    <w:rsid w:val="00516B0B"/>
    <w:rsid w:val="005220EC"/>
    <w:rsid w:val="00522746"/>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581"/>
    <w:rsid w:val="00557A33"/>
    <w:rsid w:val="00560401"/>
    <w:rsid w:val="005606A6"/>
    <w:rsid w:val="00560AD3"/>
    <w:rsid w:val="00561475"/>
    <w:rsid w:val="0056487B"/>
    <w:rsid w:val="00564FB9"/>
    <w:rsid w:val="00567213"/>
    <w:rsid w:val="00571FD3"/>
    <w:rsid w:val="00573D9E"/>
    <w:rsid w:val="005801E3"/>
    <w:rsid w:val="00581802"/>
    <w:rsid w:val="005827A6"/>
    <w:rsid w:val="005836A8"/>
    <w:rsid w:val="0058409C"/>
    <w:rsid w:val="00584262"/>
    <w:rsid w:val="005856D6"/>
    <w:rsid w:val="00586630"/>
    <w:rsid w:val="00587ADD"/>
    <w:rsid w:val="00587B7C"/>
    <w:rsid w:val="005904A2"/>
    <w:rsid w:val="00591E27"/>
    <w:rsid w:val="00596160"/>
    <w:rsid w:val="005966E2"/>
    <w:rsid w:val="00597007"/>
    <w:rsid w:val="005A0966"/>
    <w:rsid w:val="005A11B7"/>
    <w:rsid w:val="005A260B"/>
    <w:rsid w:val="005A45B9"/>
    <w:rsid w:val="005A4A1B"/>
    <w:rsid w:val="005A535A"/>
    <w:rsid w:val="005A7830"/>
    <w:rsid w:val="005A7FCE"/>
    <w:rsid w:val="005B0F3F"/>
    <w:rsid w:val="005B44B6"/>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84D"/>
    <w:rsid w:val="005E3C18"/>
    <w:rsid w:val="005E6812"/>
    <w:rsid w:val="005E7881"/>
    <w:rsid w:val="005E78E0"/>
    <w:rsid w:val="005F0D9C"/>
    <w:rsid w:val="005F284E"/>
    <w:rsid w:val="005F4712"/>
    <w:rsid w:val="006015CE"/>
    <w:rsid w:val="00603B52"/>
    <w:rsid w:val="00604784"/>
    <w:rsid w:val="00606419"/>
    <w:rsid w:val="00607D29"/>
    <w:rsid w:val="00612952"/>
    <w:rsid w:val="00614CC1"/>
    <w:rsid w:val="00615A9D"/>
    <w:rsid w:val="00616752"/>
    <w:rsid w:val="00617387"/>
    <w:rsid w:val="006179F2"/>
    <w:rsid w:val="006205D6"/>
    <w:rsid w:val="006252D8"/>
    <w:rsid w:val="006259BC"/>
    <w:rsid w:val="0062636B"/>
    <w:rsid w:val="006303F3"/>
    <w:rsid w:val="00632182"/>
    <w:rsid w:val="00632AE0"/>
    <w:rsid w:val="00633C17"/>
    <w:rsid w:val="00634D9E"/>
    <w:rsid w:val="00636E3E"/>
    <w:rsid w:val="006379F7"/>
    <w:rsid w:val="00637E4D"/>
    <w:rsid w:val="00640620"/>
    <w:rsid w:val="00641A1F"/>
    <w:rsid w:val="00642D12"/>
    <w:rsid w:val="00645904"/>
    <w:rsid w:val="00651ACB"/>
    <w:rsid w:val="00651C47"/>
    <w:rsid w:val="00652AB2"/>
    <w:rsid w:val="00653FED"/>
    <w:rsid w:val="00654EC0"/>
    <w:rsid w:val="0065525B"/>
    <w:rsid w:val="00655D4F"/>
    <w:rsid w:val="00656D29"/>
    <w:rsid w:val="0066188D"/>
    <w:rsid w:val="006634CF"/>
    <w:rsid w:val="006640E5"/>
    <w:rsid w:val="006646F1"/>
    <w:rsid w:val="00664929"/>
    <w:rsid w:val="00664F62"/>
    <w:rsid w:val="006655E1"/>
    <w:rsid w:val="00665711"/>
    <w:rsid w:val="00666828"/>
    <w:rsid w:val="00672060"/>
    <w:rsid w:val="00672BFD"/>
    <w:rsid w:val="00672DE8"/>
    <w:rsid w:val="006770F4"/>
    <w:rsid w:val="00677A84"/>
    <w:rsid w:val="0068026D"/>
    <w:rsid w:val="00680A27"/>
    <w:rsid w:val="006816A4"/>
    <w:rsid w:val="006819B8"/>
    <w:rsid w:val="006840A6"/>
    <w:rsid w:val="006850CD"/>
    <w:rsid w:val="00685AAB"/>
    <w:rsid w:val="00685B22"/>
    <w:rsid w:val="00695D22"/>
    <w:rsid w:val="006A07AA"/>
    <w:rsid w:val="006A25E5"/>
    <w:rsid w:val="006A2B46"/>
    <w:rsid w:val="006A336D"/>
    <w:rsid w:val="006A37B9"/>
    <w:rsid w:val="006A6931"/>
    <w:rsid w:val="006B2672"/>
    <w:rsid w:val="006B5281"/>
    <w:rsid w:val="006B53DB"/>
    <w:rsid w:val="006B54BF"/>
    <w:rsid w:val="006B5F44"/>
    <w:rsid w:val="006B5F90"/>
    <w:rsid w:val="006B62E4"/>
    <w:rsid w:val="006C1BBA"/>
    <w:rsid w:val="006C2079"/>
    <w:rsid w:val="006C4ACE"/>
    <w:rsid w:val="006C5A62"/>
    <w:rsid w:val="006C5D68"/>
    <w:rsid w:val="006C6976"/>
    <w:rsid w:val="006C6DD0"/>
    <w:rsid w:val="006D04EA"/>
    <w:rsid w:val="006D0AB7"/>
    <w:rsid w:val="006D16C4"/>
    <w:rsid w:val="006D3E96"/>
    <w:rsid w:val="006D4515"/>
    <w:rsid w:val="006D4BB1"/>
    <w:rsid w:val="006D6593"/>
    <w:rsid w:val="006E23EA"/>
    <w:rsid w:val="006E4280"/>
    <w:rsid w:val="006F03A8"/>
    <w:rsid w:val="006F2ACA"/>
    <w:rsid w:val="006F2ADC"/>
    <w:rsid w:val="006F2BFE"/>
    <w:rsid w:val="006F312C"/>
    <w:rsid w:val="006F31E9"/>
    <w:rsid w:val="006F6284"/>
    <w:rsid w:val="007002C5"/>
    <w:rsid w:val="00700533"/>
    <w:rsid w:val="00704387"/>
    <w:rsid w:val="00705EFC"/>
    <w:rsid w:val="00707669"/>
    <w:rsid w:val="007114DD"/>
    <w:rsid w:val="00711CBA"/>
    <w:rsid w:val="00711FB5"/>
    <w:rsid w:val="0071292A"/>
    <w:rsid w:val="00712A01"/>
    <w:rsid w:val="00712A87"/>
    <w:rsid w:val="00713580"/>
    <w:rsid w:val="00714F58"/>
    <w:rsid w:val="00722FBF"/>
    <w:rsid w:val="00722FC2"/>
    <w:rsid w:val="0072416B"/>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108"/>
    <w:rsid w:val="0074548E"/>
    <w:rsid w:val="00745773"/>
    <w:rsid w:val="00746800"/>
    <w:rsid w:val="007501A8"/>
    <w:rsid w:val="00750D61"/>
    <w:rsid w:val="00750EE1"/>
    <w:rsid w:val="00752B4D"/>
    <w:rsid w:val="00753DF7"/>
    <w:rsid w:val="007545DB"/>
    <w:rsid w:val="00755402"/>
    <w:rsid w:val="00756B26"/>
    <w:rsid w:val="00756EDF"/>
    <w:rsid w:val="007575F8"/>
    <w:rsid w:val="007600E3"/>
    <w:rsid w:val="007652F4"/>
    <w:rsid w:val="007656BF"/>
    <w:rsid w:val="00765C43"/>
    <w:rsid w:val="00765EFB"/>
    <w:rsid w:val="007671CA"/>
    <w:rsid w:val="00767C61"/>
    <w:rsid w:val="0077008A"/>
    <w:rsid w:val="0077096B"/>
    <w:rsid w:val="007732C3"/>
    <w:rsid w:val="00773C1F"/>
    <w:rsid w:val="00774DA4"/>
    <w:rsid w:val="007756A7"/>
    <w:rsid w:val="00776599"/>
    <w:rsid w:val="00776DAC"/>
    <w:rsid w:val="0078114B"/>
    <w:rsid w:val="00781C8D"/>
    <w:rsid w:val="00781DD2"/>
    <w:rsid w:val="00783ECF"/>
    <w:rsid w:val="0078413A"/>
    <w:rsid w:val="00787BD4"/>
    <w:rsid w:val="00790763"/>
    <w:rsid w:val="00793E5A"/>
    <w:rsid w:val="007959E8"/>
    <w:rsid w:val="00795E9C"/>
    <w:rsid w:val="007A0521"/>
    <w:rsid w:val="007A2E12"/>
    <w:rsid w:val="007A3475"/>
    <w:rsid w:val="007A41C8"/>
    <w:rsid w:val="007A54CE"/>
    <w:rsid w:val="007A5811"/>
    <w:rsid w:val="007A6E4E"/>
    <w:rsid w:val="007A6FD9"/>
    <w:rsid w:val="007A7FFA"/>
    <w:rsid w:val="007B04EB"/>
    <w:rsid w:val="007B0D4F"/>
    <w:rsid w:val="007B4D39"/>
    <w:rsid w:val="007B5A3D"/>
    <w:rsid w:val="007B5B95"/>
    <w:rsid w:val="007B64F5"/>
    <w:rsid w:val="007B68EA"/>
    <w:rsid w:val="007B7453"/>
    <w:rsid w:val="007C1E8B"/>
    <w:rsid w:val="007C2D89"/>
    <w:rsid w:val="007C4593"/>
    <w:rsid w:val="007C5309"/>
    <w:rsid w:val="007C6069"/>
    <w:rsid w:val="007D06C4"/>
    <w:rsid w:val="007D1352"/>
    <w:rsid w:val="007D2508"/>
    <w:rsid w:val="007D346A"/>
    <w:rsid w:val="007D5129"/>
    <w:rsid w:val="007D6518"/>
    <w:rsid w:val="007D76BD"/>
    <w:rsid w:val="007E0BF1"/>
    <w:rsid w:val="007E711F"/>
    <w:rsid w:val="007F0ED8"/>
    <w:rsid w:val="007F0F63"/>
    <w:rsid w:val="007F6A0D"/>
    <w:rsid w:val="007F75CE"/>
    <w:rsid w:val="007F7DB6"/>
    <w:rsid w:val="008013A4"/>
    <w:rsid w:val="008027CE"/>
    <w:rsid w:val="00802F42"/>
    <w:rsid w:val="00804383"/>
    <w:rsid w:val="00804BB7"/>
    <w:rsid w:val="00804D41"/>
    <w:rsid w:val="00805140"/>
    <w:rsid w:val="00807A7D"/>
    <w:rsid w:val="00810257"/>
    <w:rsid w:val="008104F5"/>
    <w:rsid w:val="00811072"/>
    <w:rsid w:val="00811369"/>
    <w:rsid w:val="0081211F"/>
    <w:rsid w:val="00815419"/>
    <w:rsid w:val="008163C8"/>
    <w:rsid w:val="008164A1"/>
    <w:rsid w:val="00817325"/>
    <w:rsid w:val="008209E6"/>
    <w:rsid w:val="00821572"/>
    <w:rsid w:val="00823303"/>
    <w:rsid w:val="008233B2"/>
    <w:rsid w:val="008237C2"/>
    <w:rsid w:val="00823A9F"/>
    <w:rsid w:val="00823C85"/>
    <w:rsid w:val="00825138"/>
    <w:rsid w:val="008269DD"/>
    <w:rsid w:val="00827396"/>
    <w:rsid w:val="00827740"/>
    <w:rsid w:val="00830621"/>
    <w:rsid w:val="0083348C"/>
    <w:rsid w:val="00833B9F"/>
    <w:rsid w:val="008373D3"/>
    <w:rsid w:val="00840617"/>
    <w:rsid w:val="00840F84"/>
    <w:rsid w:val="00842A47"/>
    <w:rsid w:val="00843C13"/>
    <w:rsid w:val="008454F8"/>
    <w:rsid w:val="0085173A"/>
    <w:rsid w:val="00856316"/>
    <w:rsid w:val="008603CE"/>
    <w:rsid w:val="00861483"/>
    <w:rsid w:val="0086175F"/>
    <w:rsid w:val="008620FC"/>
    <w:rsid w:val="008627A5"/>
    <w:rsid w:val="00862D51"/>
    <w:rsid w:val="00863E05"/>
    <w:rsid w:val="00865ACA"/>
    <w:rsid w:val="00865D28"/>
    <w:rsid w:val="00865F85"/>
    <w:rsid w:val="00867C10"/>
    <w:rsid w:val="00870439"/>
    <w:rsid w:val="00870DA1"/>
    <w:rsid w:val="0087505E"/>
    <w:rsid w:val="008754E1"/>
    <w:rsid w:val="00880155"/>
    <w:rsid w:val="00883F93"/>
    <w:rsid w:val="00884DB3"/>
    <w:rsid w:val="00885A9D"/>
    <w:rsid w:val="008864F6"/>
    <w:rsid w:val="0089049D"/>
    <w:rsid w:val="00891F76"/>
    <w:rsid w:val="008928C9"/>
    <w:rsid w:val="008930CB"/>
    <w:rsid w:val="008938DC"/>
    <w:rsid w:val="00893FD1"/>
    <w:rsid w:val="00894836"/>
    <w:rsid w:val="00895172"/>
    <w:rsid w:val="00895680"/>
    <w:rsid w:val="00896DFF"/>
    <w:rsid w:val="0089762C"/>
    <w:rsid w:val="008A144D"/>
    <w:rsid w:val="008A1893"/>
    <w:rsid w:val="008A3215"/>
    <w:rsid w:val="008A57E6"/>
    <w:rsid w:val="008A6F81"/>
    <w:rsid w:val="008A769A"/>
    <w:rsid w:val="008A7CC9"/>
    <w:rsid w:val="008B009C"/>
    <w:rsid w:val="008B0C9C"/>
    <w:rsid w:val="008B166D"/>
    <w:rsid w:val="008B17F4"/>
    <w:rsid w:val="008B3615"/>
    <w:rsid w:val="008B4AC4"/>
    <w:rsid w:val="008B50C8"/>
    <w:rsid w:val="008B5281"/>
    <w:rsid w:val="008B720E"/>
    <w:rsid w:val="008B7E05"/>
    <w:rsid w:val="008B7F7E"/>
    <w:rsid w:val="008C1797"/>
    <w:rsid w:val="008C219C"/>
    <w:rsid w:val="008C475E"/>
    <w:rsid w:val="008C619A"/>
    <w:rsid w:val="008C6566"/>
    <w:rsid w:val="008D0CE8"/>
    <w:rsid w:val="008D21D1"/>
    <w:rsid w:val="008D2D1D"/>
    <w:rsid w:val="008D30B1"/>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6B1"/>
    <w:rsid w:val="008F0CDC"/>
    <w:rsid w:val="008F17A3"/>
    <w:rsid w:val="008F1ED3"/>
    <w:rsid w:val="008F23A5"/>
    <w:rsid w:val="008F4C29"/>
    <w:rsid w:val="008F70BD"/>
    <w:rsid w:val="008F788F"/>
    <w:rsid w:val="008F7EA2"/>
    <w:rsid w:val="00901064"/>
    <w:rsid w:val="00902722"/>
    <w:rsid w:val="00902736"/>
    <w:rsid w:val="009027BC"/>
    <w:rsid w:val="00902AA4"/>
    <w:rsid w:val="009062E6"/>
    <w:rsid w:val="00911BCE"/>
    <w:rsid w:val="00911BE5"/>
    <w:rsid w:val="00913CA9"/>
    <w:rsid w:val="009145AE"/>
    <w:rsid w:val="009146CE"/>
    <w:rsid w:val="00914CA7"/>
    <w:rsid w:val="00915C3E"/>
    <w:rsid w:val="009161A8"/>
    <w:rsid w:val="00920C02"/>
    <w:rsid w:val="00923403"/>
    <w:rsid w:val="009245F5"/>
    <w:rsid w:val="009249EC"/>
    <w:rsid w:val="009273B3"/>
    <w:rsid w:val="009305B5"/>
    <w:rsid w:val="00937552"/>
    <w:rsid w:val="009426A5"/>
    <w:rsid w:val="009429D5"/>
    <w:rsid w:val="00942BF1"/>
    <w:rsid w:val="00945180"/>
    <w:rsid w:val="00945428"/>
    <w:rsid w:val="00945C46"/>
    <w:rsid w:val="0094607B"/>
    <w:rsid w:val="00953604"/>
    <w:rsid w:val="0095496B"/>
    <w:rsid w:val="009552B5"/>
    <w:rsid w:val="009610DC"/>
    <w:rsid w:val="00961490"/>
    <w:rsid w:val="00961E1C"/>
    <w:rsid w:val="0096381A"/>
    <w:rsid w:val="009638EA"/>
    <w:rsid w:val="00965E04"/>
    <w:rsid w:val="009663BF"/>
    <w:rsid w:val="009674AD"/>
    <w:rsid w:val="00970CDC"/>
    <w:rsid w:val="00977010"/>
    <w:rsid w:val="00977D02"/>
    <w:rsid w:val="009809BB"/>
    <w:rsid w:val="00981AF3"/>
    <w:rsid w:val="0098364B"/>
    <w:rsid w:val="009870F1"/>
    <w:rsid w:val="009911AF"/>
    <w:rsid w:val="00991875"/>
    <w:rsid w:val="00991F92"/>
    <w:rsid w:val="009920A6"/>
    <w:rsid w:val="009928CD"/>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004"/>
    <w:rsid w:val="009B46F9"/>
    <w:rsid w:val="009B599C"/>
    <w:rsid w:val="009B6029"/>
    <w:rsid w:val="009B6971"/>
    <w:rsid w:val="009B6E3E"/>
    <w:rsid w:val="009C27F1"/>
    <w:rsid w:val="009C3152"/>
    <w:rsid w:val="009C4CFA"/>
    <w:rsid w:val="009C5070"/>
    <w:rsid w:val="009D112C"/>
    <w:rsid w:val="009D47FA"/>
    <w:rsid w:val="009D4C5B"/>
    <w:rsid w:val="009D50D2"/>
    <w:rsid w:val="009D6BCA"/>
    <w:rsid w:val="009D6D8C"/>
    <w:rsid w:val="009E0966"/>
    <w:rsid w:val="009E0F62"/>
    <w:rsid w:val="009E39A5"/>
    <w:rsid w:val="009E4A58"/>
    <w:rsid w:val="009E5A2D"/>
    <w:rsid w:val="009E5AB2"/>
    <w:rsid w:val="009E6219"/>
    <w:rsid w:val="009E7B1C"/>
    <w:rsid w:val="009F03B3"/>
    <w:rsid w:val="00A0096C"/>
    <w:rsid w:val="00A01757"/>
    <w:rsid w:val="00A028C0"/>
    <w:rsid w:val="00A02BAE"/>
    <w:rsid w:val="00A06A6B"/>
    <w:rsid w:val="00A077C5"/>
    <w:rsid w:val="00A07E47"/>
    <w:rsid w:val="00A129D0"/>
    <w:rsid w:val="00A12C33"/>
    <w:rsid w:val="00A138BA"/>
    <w:rsid w:val="00A13C0A"/>
    <w:rsid w:val="00A14C8E"/>
    <w:rsid w:val="00A153D9"/>
    <w:rsid w:val="00A15F09"/>
    <w:rsid w:val="00A169B6"/>
    <w:rsid w:val="00A21FAA"/>
    <w:rsid w:val="00A2271D"/>
    <w:rsid w:val="00A237D5"/>
    <w:rsid w:val="00A24FB8"/>
    <w:rsid w:val="00A26187"/>
    <w:rsid w:val="00A30EFC"/>
    <w:rsid w:val="00A31984"/>
    <w:rsid w:val="00A32D73"/>
    <w:rsid w:val="00A3367B"/>
    <w:rsid w:val="00A3597D"/>
    <w:rsid w:val="00A36DD1"/>
    <w:rsid w:val="00A4006C"/>
    <w:rsid w:val="00A40091"/>
    <w:rsid w:val="00A4030F"/>
    <w:rsid w:val="00A410F3"/>
    <w:rsid w:val="00A41C79"/>
    <w:rsid w:val="00A41CB5"/>
    <w:rsid w:val="00A42CDF"/>
    <w:rsid w:val="00A4452E"/>
    <w:rsid w:val="00A4472C"/>
    <w:rsid w:val="00A44CBB"/>
    <w:rsid w:val="00A44E69"/>
    <w:rsid w:val="00A4661E"/>
    <w:rsid w:val="00A51C0C"/>
    <w:rsid w:val="00A55B71"/>
    <w:rsid w:val="00A55BD6"/>
    <w:rsid w:val="00A55D50"/>
    <w:rsid w:val="00A57142"/>
    <w:rsid w:val="00A648CD"/>
    <w:rsid w:val="00A64F7C"/>
    <w:rsid w:val="00A6537A"/>
    <w:rsid w:val="00A67866"/>
    <w:rsid w:val="00A70B07"/>
    <w:rsid w:val="00A723F8"/>
    <w:rsid w:val="00A77CCB"/>
    <w:rsid w:val="00A77EF3"/>
    <w:rsid w:val="00A83D8D"/>
    <w:rsid w:val="00A8446B"/>
    <w:rsid w:val="00A8473F"/>
    <w:rsid w:val="00A862D6"/>
    <w:rsid w:val="00A8715E"/>
    <w:rsid w:val="00A9295B"/>
    <w:rsid w:val="00A93B09"/>
    <w:rsid w:val="00A94247"/>
    <w:rsid w:val="00A952D7"/>
    <w:rsid w:val="00A963F7"/>
    <w:rsid w:val="00A96AD8"/>
    <w:rsid w:val="00AA052C"/>
    <w:rsid w:val="00AA1E45"/>
    <w:rsid w:val="00AA3E7B"/>
    <w:rsid w:val="00AA4286"/>
    <w:rsid w:val="00AA456B"/>
    <w:rsid w:val="00AA57F5"/>
    <w:rsid w:val="00AA672E"/>
    <w:rsid w:val="00AA6EC9"/>
    <w:rsid w:val="00AB0630"/>
    <w:rsid w:val="00AB41D5"/>
    <w:rsid w:val="00AB6309"/>
    <w:rsid w:val="00AB6C5F"/>
    <w:rsid w:val="00AB7129"/>
    <w:rsid w:val="00AC27A6"/>
    <w:rsid w:val="00AC30F7"/>
    <w:rsid w:val="00AC3A5A"/>
    <w:rsid w:val="00AC4D95"/>
    <w:rsid w:val="00AC5B53"/>
    <w:rsid w:val="00AC5DF4"/>
    <w:rsid w:val="00AD0AEF"/>
    <w:rsid w:val="00AD11B7"/>
    <w:rsid w:val="00AD1A94"/>
    <w:rsid w:val="00AD1C05"/>
    <w:rsid w:val="00AD4126"/>
    <w:rsid w:val="00AD421C"/>
    <w:rsid w:val="00AD44FA"/>
    <w:rsid w:val="00AE070A"/>
    <w:rsid w:val="00AE101C"/>
    <w:rsid w:val="00AE32B1"/>
    <w:rsid w:val="00AE35C1"/>
    <w:rsid w:val="00AE37E5"/>
    <w:rsid w:val="00AE5EB4"/>
    <w:rsid w:val="00AF0C18"/>
    <w:rsid w:val="00AF42B9"/>
    <w:rsid w:val="00AF47C5"/>
    <w:rsid w:val="00AF5398"/>
    <w:rsid w:val="00B049AF"/>
    <w:rsid w:val="00B07242"/>
    <w:rsid w:val="00B10534"/>
    <w:rsid w:val="00B113DB"/>
    <w:rsid w:val="00B11D8A"/>
    <w:rsid w:val="00B12981"/>
    <w:rsid w:val="00B147DD"/>
    <w:rsid w:val="00B14F5C"/>
    <w:rsid w:val="00B156FD"/>
    <w:rsid w:val="00B171CD"/>
    <w:rsid w:val="00B21F61"/>
    <w:rsid w:val="00B261F1"/>
    <w:rsid w:val="00B265BC"/>
    <w:rsid w:val="00B267F0"/>
    <w:rsid w:val="00B30F93"/>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30F7"/>
    <w:rsid w:val="00B5328F"/>
    <w:rsid w:val="00B54ABC"/>
    <w:rsid w:val="00B54DDE"/>
    <w:rsid w:val="00B56FBE"/>
    <w:rsid w:val="00B57F58"/>
    <w:rsid w:val="00B60ACF"/>
    <w:rsid w:val="00B62B58"/>
    <w:rsid w:val="00B65149"/>
    <w:rsid w:val="00B66567"/>
    <w:rsid w:val="00B66F52"/>
    <w:rsid w:val="00B66FE5"/>
    <w:rsid w:val="00B72880"/>
    <w:rsid w:val="00B758BF"/>
    <w:rsid w:val="00B77EC8"/>
    <w:rsid w:val="00B827A6"/>
    <w:rsid w:val="00B82977"/>
    <w:rsid w:val="00B831CE"/>
    <w:rsid w:val="00B833E7"/>
    <w:rsid w:val="00B86677"/>
    <w:rsid w:val="00B87131"/>
    <w:rsid w:val="00B87AEC"/>
    <w:rsid w:val="00B87B7A"/>
    <w:rsid w:val="00B939B1"/>
    <w:rsid w:val="00B96D40"/>
    <w:rsid w:val="00B97386"/>
    <w:rsid w:val="00BA263B"/>
    <w:rsid w:val="00BA42B2"/>
    <w:rsid w:val="00BA47D6"/>
    <w:rsid w:val="00BA58D4"/>
    <w:rsid w:val="00BA5B9E"/>
    <w:rsid w:val="00BA7C9A"/>
    <w:rsid w:val="00BB203B"/>
    <w:rsid w:val="00BB3C09"/>
    <w:rsid w:val="00BB5F8F"/>
    <w:rsid w:val="00BB657A"/>
    <w:rsid w:val="00BC1A4E"/>
    <w:rsid w:val="00BC44EC"/>
    <w:rsid w:val="00BC4790"/>
    <w:rsid w:val="00BC5DC7"/>
    <w:rsid w:val="00BC6B8B"/>
    <w:rsid w:val="00BC73D8"/>
    <w:rsid w:val="00BC7BFC"/>
    <w:rsid w:val="00BD0450"/>
    <w:rsid w:val="00BD52D7"/>
    <w:rsid w:val="00BD5AD2"/>
    <w:rsid w:val="00BE1A03"/>
    <w:rsid w:val="00BE22F3"/>
    <w:rsid w:val="00BE5B52"/>
    <w:rsid w:val="00BE6C40"/>
    <w:rsid w:val="00BE7B8D"/>
    <w:rsid w:val="00BF0330"/>
    <w:rsid w:val="00BF0993"/>
    <w:rsid w:val="00BF10A9"/>
    <w:rsid w:val="00BF1703"/>
    <w:rsid w:val="00BF231C"/>
    <w:rsid w:val="00BF51E5"/>
    <w:rsid w:val="00BF74A6"/>
    <w:rsid w:val="00C00FCA"/>
    <w:rsid w:val="00C013AD"/>
    <w:rsid w:val="00C04904"/>
    <w:rsid w:val="00C056B3"/>
    <w:rsid w:val="00C103E5"/>
    <w:rsid w:val="00C11E58"/>
    <w:rsid w:val="00C13319"/>
    <w:rsid w:val="00C13EE9"/>
    <w:rsid w:val="00C16CEB"/>
    <w:rsid w:val="00C17A67"/>
    <w:rsid w:val="00C2067F"/>
    <w:rsid w:val="00C21540"/>
    <w:rsid w:val="00C21906"/>
    <w:rsid w:val="00C21BFA"/>
    <w:rsid w:val="00C22148"/>
    <w:rsid w:val="00C24C8D"/>
    <w:rsid w:val="00C25FE2"/>
    <w:rsid w:val="00C26B53"/>
    <w:rsid w:val="00C279B2"/>
    <w:rsid w:val="00C27B4E"/>
    <w:rsid w:val="00C33E50"/>
    <w:rsid w:val="00C34C20"/>
    <w:rsid w:val="00C35A3E"/>
    <w:rsid w:val="00C42130"/>
    <w:rsid w:val="00C423A4"/>
    <w:rsid w:val="00C44296"/>
    <w:rsid w:val="00C44BF5"/>
    <w:rsid w:val="00C521D6"/>
    <w:rsid w:val="00C55232"/>
    <w:rsid w:val="00C553A4"/>
    <w:rsid w:val="00C55A06"/>
    <w:rsid w:val="00C55D03"/>
    <w:rsid w:val="00C601BC"/>
    <w:rsid w:val="00C60C3D"/>
    <w:rsid w:val="00C6151F"/>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3F1"/>
    <w:rsid w:val="00C92D03"/>
    <w:rsid w:val="00C9319C"/>
    <w:rsid w:val="00C9435D"/>
    <w:rsid w:val="00C94DF2"/>
    <w:rsid w:val="00C96741"/>
    <w:rsid w:val="00CA27E4"/>
    <w:rsid w:val="00CA2D1B"/>
    <w:rsid w:val="00CA375D"/>
    <w:rsid w:val="00CA4B21"/>
    <w:rsid w:val="00CA662A"/>
    <w:rsid w:val="00CA7AFD"/>
    <w:rsid w:val="00CA7C3C"/>
    <w:rsid w:val="00CB0189"/>
    <w:rsid w:val="00CB0BA2"/>
    <w:rsid w:val="00CB1A42"/>
    <w:rsid w:val="00CB1B0C"/>
    <w:rsid w:val="00CB2C0B"/>
    <w:rsid w:val="00CB2F6B"/>
    <w:rsid w:val="00CB517D"/>
    <w:rsid w:val="00CC005F"/>
    <w:rsid w:val="00CC038D"/>
    <w:rsid w:val="00CC08DB"/>
    <w:rsid w:val="00CC39FF"/>
    <w:rsid w:val="00CC3C2F"/>
    <w:rsid w:val="00CC4AC8"/>
    <w:rsid w:val="00CC5233"/>
    <w:rsid w:val="00CC576C"/>
    <w:rsid w:val="00CC5DE6"/>
    <w:rsid w:val="00CC6E4E"/>
    <w:rsid w:val="00CC6FE8"/>
    <w:rsid w:val="00CC7202"/>
    <w:rsid w:val="00CD0599"/>
    <w:rsid w:val="00CD2808"/>
    <w:rsid w:val="00CD28BF"/>
    <w:rsid w:val="00CD4092"/>
    <w:rsid w:val="00CD4A20"/>
    <w:rsid w:val="00CD50A1"/>
    <w:rsid w:val="00CD519E"/>
    <w:rsid w:val="00CD561D"/>
    <w:rsid w:val="00CD59E7"/>
    <w:rsid w:val="00CE0C4F"/>
    <w:rsid w:val="00CE30EA"/>
    <w:rsid w:val="00CF048A"/>
    <w:rsid w:val="00CF155A"/>
    <w:rsid w:val="00CF23A2"/>
    <w:rsid w:val="00CF2947"/>
    <w:rsid w:val="00CF686F"/>
    <w:rsid w:val="00CF6E60"/>
    <w:rsid w:val="00CF7A5C"/>
    <w:rsid w:val="00CF7A87"/>
    <w:rsid w:val="00CF7BCA"/>
    <w:rsid w:val="00D008FD"/>
    <w:rsid w:val="00D020CC"/>
    <w:rsid w:val="00D02D67"/>
    <w:rsid w:val="00D0321C"/>
    <w:rsid w:val="00D035EC"/>
    <w:rsid w:val="00D06AB1"/>
    <w:rsid w:val="00D072ED"/>
    <w:rsid w:val="00D07A16"/>
    <w:rsid w:val="00D1067E"/>
    <w:rsid w:val="00D109A6"/>
    <w:rsid w:val="00D10F50"/>
    <w:rsid w:val="00D11272"/>
    <w:rsid w:val="00D126F5"/>
    <w:rsid w:val="00D12C02"/>
    <w:rsid w:val="00D1489E"/>
    <w:rsid w:val="00D201B9"/>
    <w:rsid w:val="00D20737"/>
    <w:rsid w:val="00D21E81"/>
    <w:rsid w:val="00D223DE"/>
    <w:rsid w:val="00D2363C"/>
    <w:rsid w:val="00D242D3"/>
    <w:rsid w:val="00D24841"/>
    <w:rsid w:val="00D25E37"/>
    <w:rsid w:val="00D2661A"/>
    <w:rsid w:val="00D26F48"/>
    <w:rsid w:val="00D27582"/>
    <w:rsid w:val="00D27EC4"/>
    <w:rsid w:val="00D32719"/>
    <w:rsid w:val="00D33333"/>
    <w:rsid w:val="00D33457"/>
    <w:rsid w:val="00D352A2"/>
    <w:rsid w:val="00D3660F"/>
    <w:rsid w:val="00D4162B"/>
    <w:rsid w:val="00D4514F"/>
    <w:rsid w:val="00D451E2"/>
    <w:rsid w:val="00D45E89"/>
    <w:rsid w:val="00D45E8D"/>
    <w:rsid w:val="00D466AE"/>
    <w:rsid w:val="00D4725A"/>
    <w:rsid w:val="00D4734F"/>
    <w:rsid w:val="00D51BF3"/>
    <w:rsid w:val="00D53214"/>
    <w:rsid w:val="00D5413B"/>
    <w:rsid w:val="00D64BD9"/>
    <w:rsid w:val="00D66846"/>
    <w:rsid w:val="00D675FB"/>
    <w:rsid w:val="00D71F25"/>
    <w:rsid w:val="00D72A9C"/>
    <w:rsid w:val="00D77031"/>
    <w:rsid w:val="00D7752D"/>
    <w:rsid w:val="00D84941"/>
    <w:rsid w:val="00D84FA1"/>
    <w:rsid w:val="00D851F0"/>
    <w:rsid w:val="00D86DB7"/>
    <w:rsid w:val="00D9045F"/>
    <w:rsid w:val="00D926D0"/>
    <w:rsid w:val="00D93030"/>
    <w:rsid w:val="00D950E1"/>
    <w:rsid w:val="00D952A6"/>
    <w:rsid w:val="00D97F99"/>
    <w:rsid w:val="00DA0247"/>
    <w:rsid w:val="00DA1E08"/>
    <w:rsid w:val="00DA24F8"/>
    <w:rsid w:val="00DA28E8"/>
    <w:rsid w:val="00DA38D3"/>
    <w:rsid w:val="00DA3932"/>
    <w:rsid w:val="00DA3AFC"/>
    <w:rsid w:val="00DA415B"/>
    <w:rsid w:val="00DA5191"/>
    <w:rsid w:val="00DA64F8"/>
    <w:rsid w:val="00DA6C15"/>
    <w:rsid w:val="00DB0258"/>
    <w:rsid w:val="00DB328B"/>
    <w:rsid w:val="00DB38EE"/>
    <w:rsid w:val="00DB498B"/>
    <w:rsid w:val="00DB66CA"/>
    <w:rsid w:val="00DB6BCA"/>
    <w:rsid w:val="00DB73F7"/>
    <w:rsid w:val="00DB7729"/>
    <w:rsid w:val="00DC0321"/>
    <w:rsid w:val="00DC3067"/>
    <w:rsid w:val="00DC370B"/>
    <w:rsid w:val="00DC5B90"/>
    <w:rsid w:val="00DD00FF"/>
    <w:rsid w:val="00DD0619"/>
    <w:rsid w:val="00DD07FB"/>
    <w:rsid w:val="00DD14AD"/>
    <w:rsid w:val="00DD25C6"/>
    <w:rsid w:val="00DD4FE5"/>
    <w:rsid w:val="00DD54B0"/>
    <w:rsid w:val="00DD57EE"/>
    <w:rsid w:val="00DD6BCC"/>
    <w:rsid w:val="00DE0A4B"/>
    <w:rsid w:val="00DE2410"/>
    <w:rsid w:val="00DE2939"/>
    <w:rsid w:val="00DE422A"/>
    <w:rsid w:val="00DE6E81"/>
    <w:rsid w:val="00DE703F"/>
    <w:rsid w:val="00DE7595"/>
    <w:rsid w:val="00DF1961"/>
    <w:rsid w:val="00DF235C"/>
    <w:rsid w:val="00DF44DE"/>
    <w:rsid w:val="00DF5F11"/>
    <w:rsid w:val="00E01138"/>
    <w:rsid w:val="00E02DFB"/>
    <w:rsid w:val="00E030F9"/>
    <w:rsid w:val="00E0311A"/>
    <w:rsid w:val="00E03138"/>
    <w:rsid w:val="00E05B04"/>
    <w:rsid w:val="00E06404"/>
    <w:rsid w:val="00E065D2"/>
    <w:rsid w:val="00E11A85"/>
    <w:rsid w:val="00E12495"/>
    <w:rsid w:val="00E15CCD"/>
    <w:rsid w:val="00E202EF"/>
    <w:rsid w:val="00E210B5"/>
    <w:rsid w:val="00E23D99"/>
    <w:rsid w:val="00E2552F"/>
    <w:rsid w:val="00E3137A"/>
    <w:rsid w:val="00E31B9D"/>
    <w:rsid w:val="00E32CCF"/>
    <w:rsid w:val="00E32D5C"/>
    <w:rsid w:val="00E33237"/>
    <w:rsid w:val="00E34A98"/>
    <w:rsid w:val="00E35D1E"/>
    <w:rsid w:val="00E364F9"/>
    <w:rsid w:val="00E365FA"/>
    <w:rsid w:val="00E36789"/>
    <w:rsid w:val="00E44A83"/>
    <w:rsid w:val="00E502C1"/>
    <w:rsid w:val="00E502DD"/>
    <w:rsid w:val="00E508F8"/>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72C5"/>
    <w:rsid w:val="00E90391"/>
    <w:rsid w:val="00E905F9"/>
    <w:rsid w:val="00E906C2"/>
    <w:rsid w:val="00E9311F"/>
    <w:rsid w:val="00E934D1"/>
    <w:rsid w:val="00E94AF0"/>
    <w:rsid w:val="00E95D13"/>
    <w:rsid w:val="00E95DD3"/>
    <w:rsid w:val="00E969D5"/>
    <w:rsid w:val="00EA58D1"/>
    <w:rsid w:val="00EA61BC"/>
    <w:rsid w:val="00EA681A"/>
    <w:rsid w:val="00EA6FE6"/>
    <w:rsid w:val="00EA735B"/>
    <w:rsid w:val="00EB17DE"/>
    <w:rsid w:val="00EB1E69"/>
    <w:rsid w:val="00EB2086"/>
    <w:rsid w:val="00EB5766"/>
    <w:rsid w:val="00EB5EDF"/>
    <w:rsid w:val="00EB60FE"/>
    <w:rsid w:val="00EB74DB"/>
    <w:rsid w:val="00EC5359"/>
    <w:rsid w:val="00EC562A"/>
    <w:rsid w:val="00EC5B82"/>
    <w:rsid w:val="00ED0253"/>
    <w:rsid w:val="00ED067A"/>
    <w:rsid w:val="00ED2B50"/>
    <w:rsid w:val="00ED7BA4"/>
    <w:rsid w:val="00EE0350"/>
    <w:rsid w:val="00EE0719"/>
    <w:rsid w:val="00EE0E80"/>
    <w:rsid w:val="00EE54A6"/>
    <w:rsid w:val="00EE613F"/>
    <w:rsid w:val="00EE65AE"/>
    <w:rsid w:val="00EE67F5"/>
    <w:rsid w:val="00EE7295"/>
    <w:rsid w:val="00EE7869"/>
    <w:rsid w:val="00EF054A"/>
    <w:rsid w:val="00EF3235"/>
    <w:rsid w:val="00EF7E72"/>
    <w:rsid w:val="00F00974"/>
    <w:rsid w:val="00F014AF"/>
    <w:rsid w:val="00F0436F"/>
    <w:rsid w:val="00F06D37"/>
    <w:rsid w:val="00F07B9D"/>
    <w:rsid w:val="00F11586"/>
    <w:rsid w:val="00F1183B"/>
    <w:rsid w:val="00F11C9F"/>
    <w:rsid w:val="00F12263"/>
    <w:rsid w:val="00F1409D"/>
    <w:rsid w:val="00F14214"/>
    <w:rsid w:val="00F157A9"/>
    <w:rsid w:val="00F25320"/>
    <w:rsid w:val="00F25BB6"/>
    <w:rsid w:val="00F2690F"/>
    <w:rsid w:val="00F26B7E"/>
    <w:rsid w:val="00F27A3B"/>
    <w:rsid w:val="00F33817"/>
    <w:rsid w:val="00F402A4"/>
    <w:rsid w:val="00F420D5"/>
    <w:rsid w:val="00F44F49"/>
    <w:rsid w:val="00F451EA"/>
    <w:rsid w:val="00F45447"/>
    <w:rsid w:val="00F456C6"/>
    <w:rsid w:val="00F4577B"/>
    <w:rsid w:val="00F46496"/>
    <w:rsid w:val="00F474D0"/>
    <w:rsid w:val="00F50179"/>
    <w:rsid w:val="00F5080A"/>
    <w:rsid w:val="00F515EE"/>
    <w:rsid w:val="00F56511"/>
    <w:rsid w:val="00F6194E"/>
    <w:rsid w:val="00F623AC"/>
    <w:rsid w:val="00F6412A"/>
    <w:rsid w:val="00F65893"/>
    <w:rsid w:val="00F66A4A"/>
    <w:rsid w:val="00F71E22"/>
    <w:rsid w:val="00F72142"/>
    <w:rsid w:val="00F72AE7"/>
    <w:rsid w:val="00F738C9"/>
    <w:rsid w:val="00F76223"/>
    <w:rsid w:val="00F81141"/>
    <w:rsid w:val="00F833BA"/>
    <w:rsid w:val="00F837DD"/>
    <w:rsid w:val="00F83AE7"/>
    <w:rsid w:val="00F84FD0"/>
    <w:rsid w:val="00F859A8"/>
    <w:rsid w:val="00F86D87"/>
    <w:rsid w:val="00F9108B"/>
    <w:rsid w:val="00F91349"/>
    <w:rsid w:val="00F93A8A"/>
    <w:rsid w:val="00F951E0"/>
    <w:rsid w:val="00F95248"/>
    <w:rsid w:val="00F956A9"/>
    <w:rsid w:val="00F963ED"/>
    <w:rsid w:val="00F966CF"/>
    <w:rsid w:val="00F96CAE"/>
    <w:rsid w:val="00F97137"/>
    <w:rsid w:val="00F97C99"/>
    <w:rsid w:val="00FA305E"/>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472"/>
    <w:rsid w:val="00FE1FBE"/>
    <w:rsid w:val="00FE3901"/>
    <w:rsid w:val="00FE39D3"/>
    <w:rsid w:val="00FE4BCE"/>
    <w:rsid w:val="00FE54AE"/>
    <w:rsid w:val="00FE576A"/>
    <w:rsid w:val="00FE613B"/>
    <w:rsid w:val="00FE7E79"/>
    <w:rsid w:val="00FF3E7D"/>
    <w:rsid w:val="00FF5B99"/>
    <w:rsid w:val="00FF730C"/>
    <w:rsid w:val="00FF73F4"/>
    <w:rsid w:val="00FF7CE4"/>
    <w:rsid w:val="00FF7E39"/>
    <w:rsid w:val="018909C7"/>
    <w:rsid w:val="02931A64"/>
    <w:rsid w:val="083E4778"/>
    <w:rsid w:val="08C82285"/>
    <w:rsid w:val="0CB70E77"/>
    <w:rsid w:val="0E004098"/>
    <w:rsid w:val="141C37E9"/>
    <w:rsid w:val="14832432"/>
    <w:rsid w:val="159B6284"/>
    <w:rsid w:val="15B21535"/>
    <w:rsid w:val="1A240213"/>
    <w:rsid w:val="1B495A57"/>
    <w:rsid w:val="1B5F3B86"/>
    <w:rsid w:val="1E8A43AA"/>
    <w:rsid w:val="1EAD4FE3"/>
    <w:rsid w:val="28BF11B8"/>
    <w:rsid w:val="2A7D4BD9"/>
    <w:rsid w:val="2B6568DD"/>
    <w:rsid w:val="2F5C75E0"/>
    <w:rsid w:val="2FE1058A"/>
    <w:rsid w:val="32266F64"/>
    <w:rsid w:val="37D9172C"/>
    <w:rsid w:val="3922196A"/>
    <w:rsid w:val="3B5B2508"/>
    <w:rsid w:val="3BEA06BD"/>
    <w:rsid w:val="3D7B7ACF"/>
    <w:rsid w:val="3D884184"/>
    <w:rsid w:val="3E46307D"/>
    <w:rsid w:val="3EAB5E39"/>
    <w:rsid w:val="47E349BA"/>
    <w:rsid w:val="485C4DEF"/>
    <w:rsid w:val="4B60614C"/>
    <w:rsid w:val="4E7C4A57"/>
    <w:rsid w:val="50E75A00"/>
    <w:rsid w:val="513804C7"/>
    <w:rsid w:val="531073AF"/>
    <w:rsid w:val="55F66D3F"/>
    <w:rsid w:val="57F2171B"/>
    <w:rsid w:val="5A0A1D57"/>
    <w:rsid w:val="5A494B51"/>
    <w:rsid w:val="5A7B6781"/>
    <w:rsid w:val="5DB926F2"/>
    <w:rsid w:val="631F28F3"/>
    <w:rsid w:val="63596C09"/>
    <w:rsid w:val="637644DD"/>
    <w:rsid w:val="65DC0990"/>
    <w:rsid w:val="69497E23"/>
    <w:rsid w:val="6BBB79B9"/>
    <w:rsid w:val="6DA476C3"/>
    <w:rsid w:val="6F9F225C"/>
    <w:rsid w:val="71630BFE"/>
    <w:rsid w:val="77281848"/>
    <w:rsid w:val="78AC0B1C"/>
    <w:rsid w:val="7E394D59"/>
    <w:rsid w:val="7ED76E0B"/>
    <w:rsid w:val="7FB753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9"/>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autoRedefine/>
    <w:qFormat/>
    <w:uiPriority w:val="0"/>
    <w:rPr>
      <w:rFonts w:ascii="Arial" w:hAnsi="Arial" w:eastAsia="黑体"/>
      <w:b/>
      <w:bCs/>
      <w:kern w:val="2"/>
      <w:sz w:val="32"/>
      <w:szCs w:val="32"/>
    </w:rPr>
  </w:style>
  <w:style w:type="character" w:customStyle="1" w:styleId="36">
    <w:name w:val="标题 3 字符"/>
    <w:link w:val="4"/>
    <w:autoRedefine/>
    <w:qFormat/>
    <w:uiPriority w:val="9"/>
    <w:rPr>
      <w:b/>
      <w:bCs/>
      <w:kern w:val="2"/>
      <w:sz w:val="32"/>
      <w:szCs w:val="32"/>
    </w:rPr>
  </w:style>
  <w:style w:type="character" w:customStyle="1" w:styleId="37">
    <w:name w:val="标题 4 字符"/>
    <w:link w:val="5"/>
    <w:autoRedefine/>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156" w:beforeLines="50" w:after="156"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156" w:beforeLines="50" w:after="156" w:afterLines="50"/>
      <w:ind w:left="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hAns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ind w:left="426" w:firstLine="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 w:type="paragraph" w:customStyle="1" w:styleId="230">
    <w:name w:val="正文1"/>
    <w:autoRedefine/>
    <w:qFormat/>
    <w:uiPriority w:val="0"/>
    <w:pPr>
      <w:jc w:val="both"/>
    </w:pPr>
    <w:rPr>
      <w:rFonts w:ascii="Calibri" w:hAnsi="Calibri" w:eastAsia="宋体" w:cs="Calibri"/>
      <w:kern w:val="2"/>
      <w:sz w:val="21"/>
      <w:szCs w:val="21"/>
      <w:lang w:val="en-US" w:eastAsia="zh-CN" w:bidi="ar-SA"/>
    </w:rPr>
  </w:style>
  <w:style w:type="paragraph" w:customStyle="1" w:styleId="231">
    <w:name w:val="正文2"/>
    <w:qFormat/>
    <w:uiPriority w:val="0"/>
    <w:pPr>
      <w:jc w:val="both"/>
    </w:pPr>
    <w:rPr>
      <w:rFonts w:ascii="Arial" w:hAnsi="Arial" w:eastAsia="宋体" w:cs="Arial"/>
      <w:kern w:val="2"/>
      <w:sz w:val="21"/>
      <w:szCs w:val="21"/>
      <w:lang w:val="en-US" w:eastAsia="zh-CN" w:bidi="ar-SA"/>
    </w:rPr>
  </w:style>
  <w:style w:type="paragraph" w:customStyle="1" w:styleId="232">
    <w:name w:val="正文3"/>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299CABC032C4A8EBA35B0D2E38A09E8"/>
        <w:style w:val=""/>
        <w:category>
          <w:name w:val="常规"/>
          <w:gallery w:val="placeholder"/>
        </w:category>
        <w:types>
          <w:type w:val="bbPlcHdr"/>
        </w:types>
        <w:behaviors>
          <w:behavior w:val="content"/>
        </w:behaviors>
        <w:description w:val=""/>
        <w:guid w:val="{FCC34A67-2D07-4F97-BE8C-6D83A873BAAB}"/>
      </w:docPartPr>
      <w:docPartBody>
        <w:p w14:paraId="10B7F4B7">
          <w:pPr>
            <w:pStyle w:val="5"/>
          </w:pPr>
          <w:r>
            <w:rPr>
              <w:rStyle w:val="4"/>
              <w:rFonts w:hint="eastAsia"/>
            </w:rPr>
            <w:t>单击或点击此处输入文字。</w:t>
          </w:r>
        </w:p>
      </w:docPartBody>
    </w:docPart>
    <w:docPart>
      <w:docPartPr>
        <w:name w:val="B9AA95CA7E3C4FD2869D11BA2F38BD78"/>
        <w:style w:val=""/>
        <w:category>
          <w:name w:val="常规"/>
          <w:gallery w:val="placeholder"/>
        </w:category>
        <w:types>
          <w:type w:val="bbPlcHdr"/>
        </w:types>
        <w:behaviors>
          <w:behavior w:val="content"/>
        </w:behaviors>
        <w:description w:val=""/>
        <w:guid w:val="{F7689A56-17DE-4FED-95B3-FC15551E0681}"/>
      </w:docPartPr>
      <w:docPartBody>
        <w:p w14:paraId="2795F59E">
          <w:pPr>
            <w:pStyle w:val="6"/>
          </w:pPr>
          <w:r>
            <w:rPr>
              <w:rStyle w:val="4"/>
              <w:rFonts w:hint="eastAsia"/>
            </w:rPr>
            <w:t>选择一项。</w:t>
          </w:r>
        </w:p>
      </w:docPartBody>
    </w:docPart>
    <w:docPart>
      <w:docPartPr>
        <w:name w:val="56FAD00D1FCC4700A0CE4C7B80CF7494"/>
        <w:style w:val=""/>
        <w:category>
          <w:name w:val="常规"/>
          <w:gallery w:val="placeholder"/>
        </w:category>
        <w:types>
          <w:type w:val="bbPlcHdr"/>
        </w:types>
        <w:behaviors>
          <w:behavior w:val="content"/>
        </w:behaviors>
        <w:description w:val=""/>
        <w:guid w:val="{EE610751-7F9E-49FF-AC4B-7DB8866179AE}"/>
      </w:docPartPr>
      <w:docPartBody>
        <w:p w14:paraId="3C10FEFE">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A96"/>
    <w:rsid w:val="0006751E"/>
    <w:rsid w:val="000B263C"/>
    <w:rsid w:val="00103976"/>
    <w:rsid w:val="002A43B9"/>
    <w:rsid w:val="002B4E63"/>
    <w:rsid w:val="00313332"/>
    <w:rsid w:val="0047187D"/>
    <w:rsid w:val="00490B68"/>
    <w:rsid w:val="004C10A3"/>
    <w:rsid w:val="00567213"/>
    <w:rsid w:val="00574256"/>
    <w:rsid w:val="005847BE"/>
    <w:rsid w:val="007804FB"/>
    <w:rsid w:val="00893FFB"/>
    <w:rsid w:val="00A45668"/>
    <w:rsid w:val="00A45D5C"/>
    <w:rsid w:val="00B83BB4"/>
    <w:rsid w:val="00C52A96"/>
    <w:rsid w:val="00CF344C"/>
    <w:rsid w:val="00D201B9"/>
    <w:rsid w:val="00D57CEC"/>
    <w:rsid w:val="00E613D2"/>
    <w:rsid w:val="00ED1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299CABC032C4A8EBA35B0D2E38A09E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9AA95CA7E3C4FD2869D11BA2F38BD7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6FAD00D1FCC4700A0CE4C7B80CF749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2E939D-63FB-4B5A-AFA3-805EF0D4CF5F}">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11</Pages>
  <Words>2149</Words>
  <Characters>2555</Characters>
  <Lines>54</Lines>
  <Paragraphs>15</Paragraphs>
  <TotalTime>8</TotalTime>
  <ScaleCrop>false</ScaleCrop>
  <LinksUpToDate>false</LinksUpToDate>
  <CharactersWithSpaces>2671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2024-10-22T11:30:00Z</dcterms:created>
  <dc:creator>Administrator</dc:creator>
  <dc:description>&lt;config cover="true" show_menu="true" version="1.0.0" doctype="SDKXY"&gt;_x000d_
&lt;/config&gt;</dc:description>
  <cp:lastModifiedBy>政科所</cp:lastModifiedBy>
  <cp:lastPrinted>2025-02-21T04:26:00Z</cp:lastPrinted>
  <dcterms:modified xsi:type="dcterms:W3CDTF">2025-06-13T06:38:06Z</dcterms:modified>
  <dc:title>地方标准</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0F2AACF00B684D288E1DF3A98FF2BBFF_13</vt:lpwstr>
  </property>
  <property fmtid="{D5CDD505-2E9C-101B-9397-08002B2CF9AE}" pid="16" name="DoublePage">
    <vt:lpwstr>true</vt:lpwstr>
  </property>
  <property fmtid="{D5CDD505-2E9C-101B-9397-08002B2CF9AE}" pid="17" name="KSOTemplateDocerSaveRecord">
    <vt:lpwstr>eyJoZGlkIjoiN2Y3NDJiNjllOGFlYTk4OTJjZTM4MmRlNzI0NzNiNzciLCJ1c2VySWQiOiI2MTc0MTMxNTcifQ==</vt:lpwstr>
  </property>
</Properties>
</file>