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w:t>
            </w:r>
            <w:r>
              <w:rPr>
                <w:rFonts w:ascii="黑体" w:hAnsi="黑体" w:eastAsia="黑体"/>
                <w:sz w:val="21"/>
                <w:szCs w:val="21"/>
              </w:rPr>
              <w:t xml:space="preserve">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2022</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壮药艾灸治疗剖宫产术后子宫复旧不全技术规范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specification for zhuang medicine moxibustion treatment of uterine involution after cesarean section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spacing w:val="320"/>
        </w:rPr>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bookmarkStart w:id="21" w:name="BookMark1"/>
      <w:bookmarkStart w:id="22" w:name="_Toc95648942"/>
      <w:bookmarkStart w:id="23" w:name="_Toc95648603"/>
    </w:p>
    <w:p>
      <w:pPr>
        <w:pStyle w:val="91"/>
        <w:spacing w:after="468"/>
      </w:pPr>
      <w:r>
        <w:rPr>
          <w:rFonts w:hint="eastAsia"/>
          <w:spacing w:val="320"/>
        </w:rPr>
        <w:t>目</w:t>
      </w:r>
      <w:r>
        <w:rPr>
          <w:rFonts w:hint="eastAsia"/>
        </w:rPr>
        <w:t>次</w:t>
      </w:r>
    </w:p>
    <w:p>
      <w:pPr>
        <w:pStyle w:val="19"/>
        <w:tabs>
          <w:tab w:val="right" w:leader="dot" w:pos="9354"/>
        </w:tabs>
      </w:pPr>
      <w:r>
        <w:fldChar w:fldCharType="begin"/>
      </w:r>
      <w:r>
        <w:instrText xml:space="preserve"> TOC \o "1-1" \h \t "标准文件_一级条标题,2,标准文件_二级条标题,3,标准文件_三级条标题,4,标准文件_四级条标题,5,标准文件_五级条标题,6,标准文件_附录一级条标题,2,标准文件_附录二级条标题,3,标准文件_附录三级条标题,4,标准文件_附录四级条标题,5,标准文件_附录五级条标题,6," </w:instrText>
      </w:r>
      <w:r>
        <w:fldChar w:fldCharType="separate"/>
      </w:r>
      <w:r>
        <w:fldChar w:fldCharType="begin"/>
      </w:r>
      <w:r>
        <w:instrText xml:space="preserve"> HYPERLINK \l _Toc18150 </w:instrText>
      </w:r>
      <w:r>
        <w:fldChar w:fldCharType="separate"/>
      </w:r>
      <w:r>
        <w:rPr>
          <w:spacing w:val="320"/>
        </w:rPr>
        <w:t>前</w:t>
      </w:r>
      <w:r>
        <w:t>言</w:t>
      </w:r>
      <w:r>
        <w:tab/>
      </w:r>
      <w:r>
        <w:fldChar w:fldCharType="begin"/>
      </w:r>
      <w:r>
        <w:instrText xml:space="preserve"> PAGEREF _Toc18150 \h </w:instrText>
      </w:r>
      <w:r>
        <w:fldChar w:fldCharType="separate"/>
      </w:r>
      <w:r>
        <w:t>II</w:t>
      </w:r>
      <w:r>
        <w:fldChar w:fldCharType="end"/>
      </w:r>
      <w:r>
        <w:fldChar w:fldCharType="end"/>
      </w:r>
    </w:p>
    <w:p>
      <w:pPr>
        <w:pStyle w:val="19"/>
        <w:tabs>
          <w:tab w:val="right" w:leader="dot" w:pos="9354"/>
        </w:tabs>
      </w:pPr>
      <w:r>
        <w:fldChar w:fldCharType="begin"/>
      </w:r>
      <w:r>
        <w:instrText xml:space="preserve"> HYPERLINK \l _Toc1831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_Toc1831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_Toc28606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_Toc28606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_Toc32090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_Toc32090 \h </w:instrText>
      </w:r>
      <w:r>
        <w:fldChar w:fldCharType="separate"/>
      </w:r>
      <w:r>
        <w:t>1</w:t>
      </w:r>
      <w:r>
        <w:fldChar w:fldCharType="end"/>
      </w:r>
      <w:r>
        <w:fldChar w:fldCharType="end"/>
      </w:r>
    </w:p>
    <w:p>
      <w:pPr>
        <w:pStyle w:val="24"/>
        <w:tabs>
          <w:tab w:val="right" w:leader="dot" w:pos="9354"/>
          <w:tab w:val="clear" w:pos="9344"/>
        </w:tabs>
      </w:pPr>
      <w:r>
        <w:fldChar w:fldCharType="begin"/>
      </w:r>
      <w:r>
        <w:instrText xml:space="preserve"> HYPERLINK \l _Toc29713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 </w:t>
      </w:r>
      <w:r>
        <w:rPr>
          <w:rFonts w:hint="eastAsia"/>
        </w:rPr>
        <w:t>子宫复旧不全</w:t>
      </w:r>
      <w:r>
        <w:tab/>
      </w:r>
      <w:r>
        <w:fldChar w:fldCharType="begin"/>
      </w:r>
      <w:r>
        <w:instrText xml:space="preserve"> PAGEREF _Toc29713 \h </w:instrText>
      </w:r>
      <w:r>
        <w:fldChar w:fldCharType="separate"/>
      </w:r>
      <w:r>
        <w:t>1</w:t>
      </w:r>
      <w:r>
        <w:fldChar w:fldCharType="end"/>
      </w:r>
      <w:r>
        <w:fldChar w:fldCharType="end"/>
      </w:r>
    </w:p>
    <w:p>
      <w:pPr>
        <w:pStyle w:val="24"/>
        <w:tabs>
          <w:tab w:val="right" w:leader="dot" w:pos="9354"/>
          <w:tab w:val="clear" w:pos="9344"/>
        </w:tabs>
      </w:pPr>
      <w:r>
        <w:fldChar w:fldCharType="begin"/>
      </w:r>
      <w:r>
        <w:instrText xml:space="preserve"> HYPERLINK \l _Toc4155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3.2 </w:t>
      </w:r>
      <w:r>
        <w:rPr>
          <w:rFonts w:hint="eastAsia"/>
        </w:rPr>
        <w:t>壮药艾灸疗法</w:t>
      </w:r>
      <w:r>
        <w:tab/>
      </w:r>
      <w:r>
        <w:fldChar w:fldCharType="begin"/>
      </w:r>
      <w:r>
        <w:instrText xml:space="preserve"> PAGEREF _Toc4155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_Toc24062 </w:instrText>
      </w:r>
      <w:r>
        <w:fldChar w:fldCharType="separate"/>
      </w:r>
      <w:r>
        <w:rPr>
          <w:rFonts w:hint="eastAsia" w:ascii="黑体" w:eastAsia="黑体"/>
          <w:i w:val="0"/>
        </w:rPr>
        <w:t xml:space="preserve">4 </w:t>
      </w:r>
      <w:r>
        <w:rPr>
          <w:rFonts w:hint="eastAsia"/>
        </w:rPr>
        <w:t>诊断标准</w:t>
      </w:r>
      <w:r>
        <w:tab/>
      </w:r>
      <w:r>
        <w:fldChar w:fldCharType="begin"/>
      </w:r>
      <w:r>
        <w:instrText xml:space="preserve"> PAGEREF _Toc24062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_Toc25693 </w:instrText>
      </w:r>
      <w:r>
        <w:fldChar w:fldCharType="separate"/>
      </w:r>
      <w:r>
        <w:rPr>
          <w:rFonts w:hint="eastAsia" w:ascii="黑体" w:eastAsia="黑体"/>
          <w:i w:val="0"/>
        </w:rPr>
        <w:t xml:space="preserve">5 </w:t>
      </w:r>
      <w:r>
        <w:rPr>
          <w:rFonts w:hint="eastAsia"/>
        </w:rPr>
        <w:t>治疗</w:t>
      </w:r>
      <w:r>
        <w:tab/>
      </w:r>
      <w:r>
        <w:fldChar w:fldCharType="begin"/>
      </w:r>
      <w:r>
        <w:instrText xml:space="preserve"> PAGEREF _Toc25693 \h </w:instrText>
      </w:r>
      <w:r>
        <w:fldChar w:fldCharType="separate"/>
      </w:r>
      <w:r>
        <w:t>1</w:t>
      </w:r>
      <w:r>
        <w:fldChar w:fldCharType="end"/>
      </w:r>
      <w:r>
        <w:fldChar w:fldCharType="end"/>
      </w:r>
    </w:p>
    <w:p>
      <w:pPr>
        <w:pStyle w:val="24"/>
        <w:tabs>
          <w:tab w:val="right" w:leader="dot" w:pos="9354"/>
          <w:tab w:val="clear" w:pos="9344"/>
        </w:tabs>
      </w:pPr>
      <w:r>
        <w:fldChar w:fldCharType="begin"/>
      </w:r>
      <w:r>
        <w:instrText xml:space="preserve"> HYPERLINK \l _Toc16123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rFonts w:hint="eastAsia"/>
        </w:rPr>
        <w:t>原则</w:t>
      </w:r>
      <w:r>
        <w:tab/>
      </w:r>
      <w:r>
        <w:fldChar w:fldCharType="begin"/>
      </w:r>
      <w:r>
        <w:instrText xml:space="preserve"> PAGEREF _Toc16123 \h </w:instrText>
      </w:r>
      <w:r>
        <w:fldChar w:fldCharType="separate"/>
      </w:r>
      <w:r>
        <w:t>1</w:t>
      </w:r>
      <w:r>
        <w:fldChar w:fldCharType="end"/>
      </w:r>
      <w:r>
        <w:fldChar w:fldCharType="end"/>
      </w:r>
    </w:p>
    <w:p>
      <w:pPr>
        <w:pStyle w:val="24"/>
        <w:tabs>
          <w:tab w:val="right" w:leader="dot" w:pos="9354"/>
          <w:tab w:val="clear" w:pos="9344"/>
        </w:tabs>
      </w:pPr>
      <w:r>
        <w:fldChar w:fldCharType="begin"/>
      </w:r>
      <w:r>
        <w:instrText xml:space="preserve"> HYPERLINK \l _Toc28642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rPr>
          <w:rFonts w:hint="eastAsia"/>
        </w:rPr>
        <w:t>方法</w:t>
      </w:r>
      <w:r>
        <w:tab/>
      </w:r>
      <w:r>
        <w:fldChar w:fldCharType="begin"/>
      </w:r>
      <w:r>
        <w:instrText xml:space="preserve"> PAGEREF _Toc28642 \h </w:instrText>
      </w:r>
      <w:r>
        <w:fldChar w:fldCharType="separate"/>
      </w:r>
      <w:r>
        <w:t>1</w:t>
      </w:r>
      <w:r>
        <w:fldChar w:fldCharType="end"/>
      </w:r>
      <w:r>
        <w:fldChar w:fldCharType="end"/>
      </w:r>
    </w:p>
    <w:p>
      <w:pPr>
        <w:pStyle w:val="24"/>
        <w:tabs>
          <w:tab w:val="right" w:leader="dot" w:pos="9354"/>
          <w:tab w:val="clear" w:pos="9344"/>
        </w:tabs>
      </w:pPr>
      <w:r>
        <w:fldChar w:fldCharType="begin"/>
      </w:r>
      <w:r>
        <w:instrText xml:space="preserve"> HYPERLINK \l _Toc15639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5.3 </w:t>
      </w:r>
      <w:r>
        <w:rPr>
          <w:rFonts w:hint="eastAsia"/>
        </w:rPr>
        <w:t>适应症</w:t>
      </w:r>
      <w:r>
        <w:tab/>
      </w:r>
      <w:r>
        <w:fldChar w:fldCharType="begin"/>
      </w:r>
      <w:r>
        <w:instrText xml:space="preserve"> PAGEREF _Toc15639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_Toc3889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5.4 </w:t>
      </w:r>
      <w:r>
        <w:rPr>
          <w:rFonts w:hint="eastAsia"/>
        </w:rPr>
        <w:t>禁忌症</w:t>
      </w:r>
      <w:r>
        <w:tab/>
      </w:r>
      <w:r>
        <w:fldChar w:fldCharType="begin"/>
      </w:r>
      <w:r>
        <w:instrText xml:space="preserve"> PAGEREF _Toc3889 \h </w:instrText>
      </w:r>
      <w:r>
        <w:fldChar w:fldCharType="separate"/>
      </w:r>
      <w:r>
        <w:t>2</w:t>
      </w:r>
      <w:r>
        <w:fldChar w:fldCharType="end"/>
      </w:r>
      <w:r>
        <w:fldChar w:fldCharType="end"/>
      </w:r>
    </w:p>
    <w:p>
      <w:pPr>
        <w:pStyle w:val="19"/>
        <w:tabs>
          <w:tab w:val="right" w:leader="dot" w:pos="9354"/>
        </w:tabs>
      </w:pPr>
      <w:r>
        <w:fldChar w:fldCharType="begin"/>
      </w:r>
      <w:r>
        <w:instrText xml:space="preserve"> HYPERLINK \l _Toc8038 </w:instrText>
      </w:r>
      <w:r>
        <w:fldChar w:fldCharType="separate"/>
      </w:r>
      <w:r>
        <w:rPr>
          <w:rFonts w:hint="eastAsia" w:ascii="黑体" w:eastAsia="黑体"/>
          <w:i w:val="0"/>
        </w:rPr>
        <w:t xml:space="preserve">6 </w:t>
      </w:r>
      <w:r>
        <w:rPr>
          <w:rFonts w:hint="eastAsia"/>
        </w:rPr>
        <w:t>壮药艾灸疗法</w:t>
      </w:r>
      <w:r>
        <w:tab/>
      </w:r>
      <w:r>
        <w:fldChar w:fldCharType="begin"/>
      </w:r>
      <w:r>
        <w:instrText xml:space="preserve"> PAGEREF _Toc8038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_Toc42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lang w:val="en-US" w:eastAsia="zh-CN"/>
        </w:rPr>
        <w:t>施灸者要求</w:t>
      </w:r>
      <w:r>
        <w:tab/>
      </w:r>
      <w:r>
        <w:fldChar w:fldCharType="begin"/>
      </w:r>
      <w:r>
        <w:instrText xml:space="preserve"> PAGEREF _Toc42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_Toc31463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rPr>
          <w:rFonts w:hint="eastAsia"/>
        </w:rPr>
        <w:t>材料准备</w:t>
      </w:r>
      <w:r>
        <w:tab/>
      </w:r>
      <w:r>
        <w:fldChar w:fldCharType="begin"/>
      </w:r>
      <w:r>
        <w:instrText xml:space="preserve"> PAGEREF _Toc31463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rPr>
          <w:rFonts w:hint="eastAsia"/>
        </w:rPr>
        <w:t>艾灸前准备</w:t>
      </w:r>
      <w:r>
        <w:tab/>
      </w:r>
      <w:r>
        <w:fldChar w:fldCharType="begin"/>
      </w:r>
      <w:r>
        <w:instrText xml:space="preserve"> PAGEREF _Toc5 \h </w:instrText>
      </w:r>
      <w:r>
        <w:fldChar w:fldCharType="separate"/>
      </w:r>
      <w:r>
        <w:t>2</w:t>
      </w:r>
      <w:r>
        <w:fldChar w:fldCharType="end"/>
      </w:r>
      <w:r>
        <w:fldChar w:fldCharType="end"/>
      </w:r>
    </w:p>
    <w:p>
      <w:pPr>
        <w:pStyle w:val="15"/>
        <w:tabs>
          <w:tab w:val="right" w:leader="dot" w:pos="9354"/>
        </w:tabs>
      </w:pPr>
      <w:r>
        <w:fldChar w:fldCharType="begin"/>
      </w:r>
      <w:r>
        <w:instrText xml:space="preserve"> HYPERLINK \l _Toc27479 </w:instrText>
      </w:r>
      <w:r>
        <w:fldChar w:fldCharType="separate"/>
      </w:r>
      <w:r>
        <w:rPr>
          <w:rFonts w:hint="eastAsia" w:ascii="黑体" w:eastAsia="黑体"/>
          <w:i w:val="0"/>
        </w:rPr>
        <w:t xml:space="preserve">6.3.1 </w:t>
      </w:r>
      <w:r>
        <w:rPr>
          <w:rFonts w:hint="eastAsia"/>
        </w:rPr>
        <w:t>施灸者准备</w:t>
      </w:r>
      <w:r>
        <w:tab/>
      </w:r>
      <w:r>
        <w:fldChar w:fldCharType="begin"/>
      </w:r>
      <w:r>
        <w:instrText xml:space="preserve"> PAGEREF _Toc27479 \h </w:instrText>
      </w:r>
      <w:r>
        <w:fldChar w:fldCharType="separate"/>
      </w:r>
      <w:r>
        <w:t>2</w:t>
      </w:r>
      <w:r>
        <w:fldChar w:fldCharType="end"/>
      </w:r>
      <w:r>
        <w:fldChar w:fldCharType="end"/>
      </w:r>
    </w:p>
    <w:p>
      <w:pPr>
        <w:pStyle w:val="15"/>
        <w:tabs>
          <w:tab w:val="right" w:leader="dot" w:pos="9354"/>
        </w:tabs>
      </w:pPr>
      <w:r>
        <w:fldChar w:fldCharType="begin"/>
      </w:r>
      <w:r>
        <w:instrText xml:space="preserve"> HYPERLINK \l _Toc26960 </w:instrText>
      </w:r>
      <w:r>
        <w:fldChar w:fldCharType="separate"/>
      </w:r>
      <w:r>
        <w:rPr>
          <w:rFonts w:hint="eastAsia" w:ascii="黑体" w:eastAsia="黑体"/>
          <w:i w:val="0"/>
        </w:rPr>
        <w:t xml:space="preserve">6.3.2 </w:t>
      </w:r>
      <w:r>
        <w:rPr>
          <w:rFonts w:hint="eastAsia"/>
        </w:rPr>
        <w:t>患者体位选择</w:t>
      </w:r>
      <w:r>
        <w:tab/>
      </w:r>
      <w:r>
        <w:fldChar w:fldCharType="begin"/>
      </w:r>
      <w:r>
        <w:instrText xml:space="preserve"> PAGEREF _Toc26960 \h </w:instrText>
      </w:r>
      <w:r>
        <w:fldChar w:fldCharType="separate"/>
      </w:r>
      <w:r>
        <w:t>2</w:t>
      </w:r>
      <w:r>
        <w:fldChar w:fldCharType="end"/>
      </w:r>
      <w:r>
        <w:fldChar w:fldCharType="end"/>
      </w:r>
    </w:p>
    <w:p>
      <w:pPr>
        <w:pStyle w:val="15"/>
        <w:tabs>
          <w:tab w:val="right" w:leader="dot" w:pos="9354"/>
        </w:tabs>
      </w:pPr>
      <w:r>
        <w:fldChar w:fldCharType="begin"/>
      </w:r>
      <w:r>
        <w:instrText xml:space="preserve"> HYPERLINK \l _Toc24521 </w:instrText>
      </w:r>
      <w:r>
        <w:fldChar w:fldCharType="separate"/>
      </w:r>
      <w:r>
        <w:rPr>
          <w:rFonts w:hint="eastAsia" w:ascii="黑体" w:eastAsia="黑体"/>
          <w:i w:val="0"/>
        </w:rPr>
        <w:t xml:space="preserve">6.3.3 </w:t>
      </w:r>
      <w:r>
        <w:rPr>
          <w:rFonts w:hint="eastAsia"/>
        </w:rPr>
        <w:t>施灸穴位</w:t>
      </w:r>
      <w:r>
        <w:tab/>
      </w:r>
      <w:r>
        <w:fldChar w:fldCharType="begin"/>
      </w:r>
      <w:r>
        <w:instrText xml:space="preserve"> PAGEREF _Toc24521 \h </w:instrText>
      </w:r>
      <w:r>
        <w:fldChar w:fldCharType="separate"/>
      </w:r>
      <w:r>
        <w:t>2</w:t>
      </w:r>
      <w:r>
        <w:fldChar w:fldCharType="end"/>
      </w:r>
      <w:r>
        <w:fldChar w:fldCharType="end"/>
      </w:r>
    </w:p>
    <w:p>
      <w:pPr>
        <w:pStyle w:val="15"/>
        <w:tabs>
          <w:tab w:val="right" w:leader="dot" w:pos="9354"/>
        </w:tabs>
      </w:pPr>
      <w:r>
        <w:fldChar w:fldCharType="begin"/>
      </w:r>
      <w:r>
        <w:instrText xml:space="preserve"> HYPERLINK \l _Toc23198 </w:instrText>
      </w:r>
      <w:r>
        <w:fldChar w:fldCharType="separate"/>
      </w:r>
      <w:r>
        <w:rPr>
          <w:rFonts w:hint="eastAsia" w:ascii="黑体" w:eastAsia="黑体"/>
          <w:i w:val="0"/>
        </w:rPr>
        <w:t xml:space="preserve">6.3.4 </w:t>
      </w:r>
      <w:r>
        <w:rPr>
          <w:rFonts w:hint="eastAsia"/>
          <w:lang w:val="en-US" w:eastAsia="zh-CN"/>
        </w:rPr>
        <w:t>环境要求</w:t>
      </w:r>
      <w:r>
        <w:tab/>
      </w:r>
      <w:r>
        <w:fldChar w:fldCharType="begin"/>
      </w:r>
      <w:r>
        <w:instrText xml:space="preserve"> PAGEREF _Toc23198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6.4 </w:t>
      </w:r>
      <w:r>
        <w:rPr>
          <w:rFonts w:hint="eastAsia"/>
        </w:rPr>
        <w:t>操作方法</w:t>
      </w:r>
      <w:r>
        <w:tab/>
      </w:r>
      <w:r>
        <w:fldChar w:fldCharType="begin"/>
      </w:r>
      <w:r>
        <w:instrText xml:space="preserve"> PAGEREF _Toc270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_Toc29667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6.5 </w:t>
      </w:r>
      <w:r>
        <w:rPr>
          <w:rFonts w:hint="eastAsia"/>
        </w:rPr>
        <w:t>治疗疗程</w:t>
      </w:r>
      <w:r>
        <w:tab/>
      </w:r>
      <w:r>
        <w:fldChar w:fldCharType="begin"/>
      </w:r>
      <w:r>
        <w:instrText xml:space="preserve"> PAGEREF _Toc29667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_Toc10274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6.6 </w:t>
      </w:r>
      <w:r>
        <w:rPr>
          <w:rFonts w:hint="eastAsia"/>
        </w:rPr>
        <w:t>注意事项</w:t>
      </w:r>
      <w:r>
        <w:tab/>
      </w:r>
      <w:r>
        <w:fldChar w:fldCharType="begin"/>
      </w:r>
      <w:r>
        <w:instrText xml:space="preserve"> PAGEREF _Toc10274 \h </w:instrText>
      </w:r>
      <w:r>
        <w:fldChar w:fldCharType="separate"/>
      </w:r>
      <w:r>
        <w:t>3</w:t>
      </w:r>
      <w:r>
        <w:fldChar w:fldCharType="end"/>
      </w:r>
      <w:r>
        <w:fldChar w:fldCharType="end"/>
      </w:r>
    </w:p>
    <w:p>
      <w:pPr>
        <w:pStyle w:val="24"/>
        <w:tabs>
          <w:tab w:val="right" w:leader="dot" w:pos="9354"/>
          <w:tab w:val="clear" w:pos="9344"/>
        </w:tabs>
      </w:pPr>
      <w:r>
        <w:fldChar w:fldCharType="begin"/>
      </w:r>
      <w:r>
        <w:instrText xml:space="preserve"> HYPERLINK \l _Toc26524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6.7 </w:t>
      </w:r>
      <w:r>
        <w:rPr>
          <w:rFonts w:hint="eastAsia"/>
        </w:rPr>
        <w:t>意外处理</w:t>
      </w:r>
      <w:r>
        <w:tab/>
      </w:r>
      <w:r>
        <w:fldChar w:fldCharType="begin"/>
      </w:r>
      <w:r>
        <w:instrText xml:space="preserve"> PAGEREF _Toc26524 \h </w:instrText>
      </w:r>
      <w:r>
        <w:fldChar w:fldCharType="separate"/>
      </w:r>
      <w:r>
        <w:t>3</w:t>
      </w:r>
      <w:r>
        <w:fldChar w:fldCharType="end"/>
      </w:r>
      <w:r>
        <w:fldChar w:fldCharType="end"/>
      </w:r>
    </w:p>
    <w:p>
      <w:pPr>
        <w:pStyle w:val="15"/>
        <w:tabs>
          <w:tab w:val="right" w:leader="dot" w:pos="9354"/>
        </w:tabs>
      </w:pPr>
      <w:r>
        <w:fldChar w:fldCharType="begin"/>
      </w:r>
      <w:r>
        <w:instrText xml:space="preserve"> HYPERLINK \l _Toc19771 </w:instrText>
      </w:r>
      <w:r>
        <w:fldChar w:fldCharType="separate"/>
      </w:r>
      <w:r>
        <w:rPr>
          <w:rFonts w:hint="eastAsia" w:ascii="黑体" w:eastAsia="黑体"/>
          <w:i w:val="0"/>
        </w:rPr>
        <w:t xml:space="preserve">6.7.1 </w:t>
      </w:r>
      <w:r>
        <w:rPr>
          <w:rFonts w:hint="eastAsia"/>
        </w:rPr>
        <w:t>晕灸</w:t>
      </w:r>
      <w:r>
        <w:tab/>
      </w:r>
      <w:r>
        <w:fldChar w:fldCharType="begin"/>
      </w:r>
      <w:r>
        <w:instrText xml:space="preserve"> PAGEREF _Toc19771 \h </w:instrText>
      </w:r>
      <w:r>
        <w:fldChar w:fldCharType="separate"/>
      </w:r>
      <w:r>
        <w:t>3</w:t>
      </w:r>
      <w:r>
        <w:fldChar w:fldCharType="end"/>
      </w:r>
      <w:r>
        <w:fldChar w:fldCharType="end"/>
      </w:r>
    </w:p>
    <w:p>
      <w:pPr>
        <w:pStyle w:val="15"/>
        <w:tabs>
          <w:tab w:val="right" w:leader="dot" w:pos="9354"/>
        </w:tabs>
      </w:pPr>
      <w:r>
        <w:fldChar w:fldCharType="begin"/>
      </w:r>
      <w:r>
        <w:instrText xml:space="preserve"> HYPERLINK \l _Toc17959 </w:instrText>
      </w:r>
      <w:r>
        <w:fldChar w:fldCharType="separate"/>
      </w:r>
      <w:r>
        <w:rPr>
          <w:rFonts w:hint="eastAsia" w:ascii="黑体" w:eastAsia="黑体"/>
          <w:i w:val="0"/>
        </w:rPr>
        <w:t xml:space="preserve">6.7.2 </w:t>
      </w:r>
      <w:r>
        <w:rPr>
          <w:rFonts w:hint="eastAsia"/>
        </w:rPr>
        <w:t>水泡</w:t>
      </w:r>
      <w:r>
        <w:tab/>
      </w:r>
      <w:r>
        <w:fldChar w:fldCharType="begin"/>
      </w:r>
      <w:r>
        <w:instrText xml:space="preserve"> PAGEREF _Toc17959 \h </w:instrText>
      </w:r>
      <w:r>
        <w:fldChar w:fldCharType="separate"/>
      </w:r>
      <w:r>
        <w:t>3</w:t>
      </w:r>
      <w:r>
        <w:fldChar w:fldCharType="end"/>
      </w:r>
      <w:r>
        <w:fldChar w:fldCharType="end"/>
      </w:r>
    </w:p>
    <w:p>
      <w:pPr>
        <w:pStyle w:val="15"/>
        <w:tabs>
          <w:tab w:val="right" w:leader="dot" w:pos="9354"/>
        </w:tabs>
      </w:pPr>
      <w:r>
        <w:fldChar w:fldCharType="begin"/>
      </w:r>
      <w:r>
        <w:instrText xml:space="preserve"> HYPERLINK \l _Toc23607 </w:instrText>
      </w:r>
      <w:r>
        <w:fldChar w:fldCharType="separate"/>
      </w:r>
      <w:r>
        <w:rPr>
          <w:rFonts w:hint="eastAsia" w:ascii="黑体" w:eastAsia="黑体"/>
          <w:i w:val="0"/>
        </w:rPr>
        <w:t xml:space="preserve">6.7.3 </w:t>
      </w:r>
      <w:r>
        <w:rPr>
          <w:rFonts w:hint="eastAsia"/>
        </w:rPr>
        <w:t>过敏</w:t>
      </w:r>
      <w:r>
        <w:tab/>
      </w:r>
      <w:r>
        <w:fldChar w:fldCharType="begin"/>
      </w:r>
      <w:r>
        <w:instrText xml:space="preserve"> PAGEREF _Toc23607 \h </w:instrText>
      </w:r>
      <w:r>
        <w:fldChar w:fldCharType="separate"/>
      </w:r>
      <w:r>
        <w:t>3</w:t>
      </w:r>
      <w:r>
        <w:fldChar w:fldCharType="end"/>
      </w:r>
      <w:r>
        <w:fldChar w:fldCharType="end"/>
      </w:r>
    </w:p>
    <w:p>
      <w:pPr>
        <w:pStyle w:val="91"/>
        <w:spacing w:after="468"/>
        <w:sectPr>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4" w:name="_Toc18150"/>
      <w:bookmarkStart w:id="25" w:name="BookMark2"/>
      <w:r>
        <w:rPr>
          <w:spacing w:val="320"/>
        </w:rPr>
        <w:t>前</w:t>
      </w:r>
      <w:r>
        <w:t>言</w:t>
      </w:r>
      <w:bookmarkEnd w:id="22"/>
      <w:bookmarkEnd w:id="23"/>
      <w:bookmarkEnd w:id="24"/>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本文件由广西壮族自治区中医药管理局提出</w:t>
      </w:r>
      <w:r>
        <w:rPr>
          <w:rFonts w:hint="eastAsia"/>
          <w:lang w:val="en-US" w:eastAsia="zh-CN"/>
        </w:rPr>
        <w:t>并</w:t>
      </w:r>
      <w:r>
        <w:rPr>
          <w:rFonts w:hint="eastAsia"/>
        </w:rPr>
        <w:t>归口。</w:t>
      </w:r>
    </w:p>
    <w:p>
      <w:pPr>
        <w:pStyle w:val="56"/>
        <w:ind w:firstLine="420"/>
      </w:pPr>
      <w:r>
        <w:rPr>
          <w:rFonts w:hint="eastAsia"/>
        </w:rPr>
        <w:t>本文件起草单位：广西中医药大学、</w:t>
      </w:r>
      <w:r>
        <w:rPr>
          <w:rFonts w:hint="eastAsia" w:hAnsi="宋体"/>
        </w:rPr>
        <w:t>广西中医药大学第一附属医院、广西中医药大学附属瑞康医院。</w:t>
      </w:r>
    </w:p>
    <w:p>
      <w:pPr>
        <w:pStyle w:val="56"/>
        <w:ind w:firstLine="420"/>
      </w:pPr>
      <w:r>
        <w:rPr>
          <w:rFonts w:hint="eastAsia"/>
        </w:rPr>
        <w:t>本文件主要起草人：方刚、杨美春、梁丹、刘姣、邢沙沙、黄安、付宇蕾、覃歆媛、徐凤梅。</w:t>
      </w:r>
    </w:p>
    <w:p>
      <w:pPr>
        <w:pStyle w:val="56"/>
        <w:ind w:firstLine="0" w:firstLineChars="0"/>
        <w:sectPr>
          <w:pgSz w:w="11906" w:h="16838"/>
          <w:pgMar w:top="2410" w:right="1134" w:bottom="1134" w:left="1134" w:header="1418" w:footer="1134" w:gutter="284"/>
          <w:pgNumType w:fmt="upperRoman"/>
          <w:cols w:space="425" w:num="1"/>
          <w:formProt w:val="0"/>
          <w:docGrid w:type="lines" w:linePitch="312" w:charSpace="0"/>
        </w:sectPr>
      </w:pPr>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F1E0586A53684BAE9AD0B0B8EF37648E"/>
        </w:placeholder>
      </w:sdtPr>
      <w:sdtContent>
        <w:sdt>
          <w:sdtPr>
            <w:tag w:val="NEW_STAND_NAME"/>
            <w:id w:val="1164669450"/>
            <w:placeholder>
              <w:docPart w:val="8AA9AB16C5C64910AA8BAC111D637F8A"/>
            </w:placeholder>
          </w:sdtPr>
          <w:sdtContent>
            <w:p>
              <w:pPr>
                <w:pStyle w:val="177"/>
                <w:spacing w:before="0" w:beforeLines="0" w:after="686" w:afterLines="220"/>
                <w:rPr>
                  <w:rFonts w:ascii="Calibri" w:hAnsi="Calibri" w:eastAsia="宋体"/>
                  <w:sz w:val="21"/>
                  <w:szCs w:val="21"/>
                </w:rPr>
              </w:pPr>
              <w:bookmarkStart w:id="27" w:name="NEW_STAND_NAME"/>
              <w:r>
                <w:rPr>
                  <w:rFonts w:hint="eastAsia"/>
                </w:rPr>
                <w:t>壮药艾灸治疗剖宫产术后子宫复旧不全技术规范</w:t>
              </w:r>
            </w:p>
          </w:sdtContent>
        </w:sdt>
      </w:sdtContent>
    </w:sdt>
    <w:bookmarkEnd w:id="27"/>
    <w:p>
      <w:pPr>
        <w:pStyle w:val="104"/>
        <w:spacing w:before="312" w:after="312"/>
      </w:pPr>
      <w:bookmarkStart w:id="28" w:name="_Toc95648943"/>
      <w:bookmarkStart w:id="29" w:name="_Toc26986771"/>
      <w:bookmarkStart w:id="30" w:name="_Toc24884218"/>
      <w:bookmarkStart w:id="31" w:name="_Toc17233325"/>
      <w:bookmarkStart w:id="32" w:name="_Toc26986530"/>
      <w:bookmarkStart w:id="33" w:name="_Toc95648604"/>
      <w:bookmarkStart w:id="34" w:name="_Toc24884211"/>
      <w:bookmarkStart w:id="35" w:name="_Toc1831"/>
      <w:bookmarkStart w:id="36" w:name="_Toc17233333"/>
      <w:bookmarkStart w:id="37" w:name="_Toc26648465"/>
      <w:bookmarkStart w:id="38" w:name="_Toc26718930"/>
      <w:r>
        <w:rPr>
          <w:rFonts w:hint="eastAsia"/>
        </w:rPr>
        <w:t>范围</w:t>
      </w:r>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17233326"/>
      <w:bookmarkStart w:id="40" w:name="_Toc24884219"/>
      <w:bookmarkStart w:id="41" w:name="_Toc17233334"/>
      <w:bookmarkStart w:id="42" w:name="_Toc26648466"/>
      <w:bookmarkStart w:id="43" w:name="_Toc24884212"/>
      <w:r>
        <w:rPr>
          <w:rFonts w:hint="eastAsia"/>
        </w:rPr>
        <w:t>本标准规定了壮药艾灸治疗剖宫产术后子宫复旧不全的术语和定义、诊断、治疗、壮药艾灸疗法。</w:t>
      </w:r>
    </w:p>
    <w:p>
      <w:pPr>
        <w:pStyle w:val="56"/>
        <w:ind w:firstLine="420"/>
      </w:pPr>
      <w:r>
        <w:rPr>
          <w:rFonts w:hint="eastAsia"/>
        </w:rPr>
        <w:t>本标准适用于壮药艾灸治疗剖宫产术后子宫复旧不全。</w:t>
      </w:r>
    </w:p>
    <w:p>
      <w:pPr>
        <w:pStyle w:val="104"/>
        <w:spacing w:before="312" w:after="312"/>
      </w:pPr>
      <w:bookmarkStart w:id="44" w:name="_Toc95648944"/>
      <w:bookmarkStart w:id="45" w:name="_Toc26986531"/>
      <w:bookmarkStart w:id="46" w:name="_Toc26986772"/>
      <w:bookmarkStart w:id="47" w:name="_Toc95648605"/>
      <w:bookmarkStart w:id="48" w:name="_Toc26718931"/>
      <w:bookmarkStart w:id="49" w:name="_Toc28606"/>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7A81D71A043A488282DC5D20E4737D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t xml:space="preserve">GB/T 21709.1-2008 </w:t>
      </w:r>
      <w:r>
        <w:rPr>
          <w:rFonts w:hint="eastAsia"/>
        </w:rPr>
        <w:t>针灸技术操作规范 第1部分：艾灸</w:t>
      </w:r>
    </w:p>
    <w:p>
      <w:pPr>
        <w:pStyle w:val="104"/>
        <w:spacing w:before="312" w:after="312"/>
      </w:pPr>
      <w:bookmarkStart w:id="50" w:name="_Toc32090"/>
      <w:bookmarkStart w:id="51" w:name="_Toc95648945"/>
      <w:bookmarkStart w:id="52" w:name="_Toc95648606"/>
      <w:r>
        <w:rPr>
          <w:rFonts w:hint="eastAsia"/>
          <w:szCs w:val="21"/>
        </w:rPr>
        <w:t>术语和定义</w:t>
      </w:r>
      <w:bookmarkEnd w:id="50"/>
      <w:bookmarkEnd w:id="51"/>
      <w:bookmarkEnd w:id="52"/>
    </w:p>
    <w:sdt>
      <w:sdtPr>
        <w:id w:val="-1909835108"/>
        <w:placeholder>
          <w:docPart w:val="940EAAAB27E545AB8B2277CC781EB7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3" w:name="_Toc26986532"/>
          <w:bookmarkEnd w:id="53"/>
          <w:r>
            <w:t>下列术语和定义适用于本文件。</w:t>
          </w:r>
        </w:p>
      </w:sdtContent>
    </w:sdt>
    <w:p>
      <w:pPr>
        <w:pStyle w:val="105"/>
        <w:spacing w:before="156" w:after="156"/>
      </w:pPr>
      <w:bookmarkStart w:id="54" w:name="_Toc95648946"/>
      <w:bookmarkStart w:id="55" w:name="_Toc95648607"/>
      <w:bookmarkStart w:id="56" w:name="_Toc29713"/>
    </w:p>
    <w:p>
      <w:pPr>
        <w:pStyle w:val="105"/>
        <w:numPr>
          <w:numId w:val="0"/>
        </w:numPr>
        <w:spacing w:before="156" w:after="156"/>
        <w:ind w:leftChars="0" w:firstLine="420" w:firstLineChars="200"/>
      </w:pPr>
      <w:r>
        <w:rPr>
          <w:rFonts w:hint="eastAsia"/>
        </w:rPr>
        <w:t>子宫复旧不全</w:t>
      </w:r>
      <w:bookmarkEnd w:id="54"/>
      <w:bookmarkEnd w:id="55"/>
      <w:r>
        <w:rPr>
          <w:rFonts w:hint="eastAsia"/>
          <w:lang w:val="en-US" w:eastAsia="zh-CN"/>
        </w:rPr>
        <w:t xml:space="preserve"> </w:t>
      </w:r>
      <w:r>
        <w:rPr>
          <w:rFonts w:hint="eastAsia"/>
          <w:lang w:val="en-US" w:eastAsia="zh-CN"/>
        </w:rPr>
        <w:fldChar w:fldCharType="begin"/>
      </w:r>
      <w:r>
        <w:rPr>
          <w:rFonts w:hint="eastAsia"/>
          <w:lang w:val="en-US" w:eastAsia="zh-CN"/>
        </w:rPr>
        <w:instrText xml:space="preserve"> HYPERLINK "javascript:;" </w:instrText>
      </w:r>
      <w:r>
        <w:rPr>
          <w:rFonts w:hint="eastAsia"/>
          <w:lang w:val="en-US" w:eastAsia="zh-CN"/>
        </w:rPr>
        <w:fldChar w:fldCharType="separate"/>
      </w:r>
      <w:r>
        <w:rPr>
          <w:rFonts w:hint="eastAsia"/>
          <w:lang w:val="en-US" w:eastAsia="zh-CN"/>
        </w:rPr>
        <w:t>subinvolution of uterus</w:t>
      </w:r>
      <w:r>
        <w:rPr>
          <w:rFonts w:hint="eastAsia"/>
          <w:lang w:val="en-US" w:eastAsia="zh-CN"/>
        </w:rPr>
        <w:fldChar w:fldCharType="end"/>
      </w:r>
      <w:bookmarkEnd w:id="56"/>
    </w:p>
    <w:p>
      <w:pPr>
        <w:pStyle w:val="56"/>
        <w:ind w:firstLine="420"/>
      </w:pPr>
      <w:r>
        <w:rPr>
          <w:rFonts w:hint="eastAsia"/>
          <w:lang w:eastAsia="zh-CN"/>
        </w:rPr>
        <w:t>壮医名为</w:t>
      </w:r>
      <w:r>
        <w:rPr>
          <w:rFonts w:hint="eastAsia"/>
          <w:lang w:val="en-US" w:eastAsia="zh-CN"/>
        </w:rPr>
        <w:t>canjgvaq raemxlwed mbouj dingz，</w:t>
      </w:r>
      <w:r>
        <w:rPr>
          <w:rFonts w:hint="eastAsia"/>
        </w:rPr>
        <w:t>是指产妇胎盘娩出后6周子宫大小未恢复至正常未孕状态。</w:t>
      </w:r>
    </w:p>
    <w:p>
      <w:pPr>
        <w:pStyle w:val="105"/>
        <w:spacing w:before="156" w:after="156"/>
      </w:pPr>
      <w:bookmarkStart w:id="57" w:name="_Toc95648608"/>
      <w:bookmarkStart w:id="58" w:name="_Toc95648947"/>
      <w:bookmarkStart w:id="59" w:name="_Toc4155"/>
    </w:p>
    <w:p>
      <w:pPr>
        <w:pStyle w:val="105"/>
        <w:numPr>
          <w:ilvl w:val="2"/>
          <w:numId w:val="0"/>
        </w:numPr>
        <w:spacing w:before="156" w:after="156"/>
        <w:ind w:leftChars="0" w:firstLine="420" w:firstLineChars="200"/>
        <w:rPr>
          <w:rFonts w:hint="eastAsia"/>
        </w:rPr>
      </w:pPr>
      <w:r>
        <w:rPr>
          <w:rFonts w:hint="eastAsia"/>
        </w:rPr>
        <w:t>壮药艾灸疗法</w:t>
      </w:r>
      <w:bookmarkEnd w:id="57"/>
      <w:bookmarkEnd w:id="58"/>
      <w:r>
        <w:rPr>
          <w:rFonts w:hint="eastAsia"/>
          <w:lang w:val="en-US" w:eastAsia="zh-CN"/>
        </w:rPr>
        <w:t xml:space="preserve">  moxibustion therapy of Zhuang medicine</w:t>
      </w:r>
      <w:bookmarkEnd w:id="59"/>
    </w:p>
    <w:p>
      <w:pPr>
        <w:pStyle w:val="56"/>
        <w:ind w:firstLine="420"/>
      </w:pPr>
      <w:r>
        <w:rPr>
          <w:rFonts w:hint="eastAsia"/>
          <w:lang w:eastAsia="zh-CN"/>
        </w:rPr>
        <w:t>壮医名为</w:t>
      </w:r>
      <w:r>
        <w:rPr>
          <w:rFonts w:hint="eastAsia"/>
          <w:lang w:val="en-US" w:eastAsia="zh-CN"/>
        </w:rPr>
        <w:t>ai gi</w:t>
      </w:r>
      <w:bookmarkStart w:id="114" w:name="_GoBack"/>
      <w:bookmarkEnd w:id="114"/>
      <w:r>
        <w:rPr>
          <w:rFonts w:hint="eastAsia"/>
          <w:lang w:val="en-US" w:eastAsia="zh-CN"/>
        </w:rPr>
        <w:t>uj yw bingh，</w:t>
      </w:r>
      <w:r>
        <w:rPr>
          <w:rFonts w:hint="eastAsia"/>
        </w:rPr>
        <w:t>是指将由艾绒和20％壮药添加剂（包括暖骨风30g、大风艾30g、肉桂30g、两面针30g、伸筋草30g、大红钻30g、薜荔20g、娃儿藤30g、姜黄20g、山苍子20g）混制而成的壮药艾条在体表的穴位上烧灼、温熨，借灸火的热力以及药物的作用，以起到通调龙路、火路，祛风毒，散寒毒，除湿毒，止疼痛，达到防治疾病的一种治法。</w:t>
      </w:r>
    </w:p>
    <w:p>
      <w:pPr>
        <w:pStyle w:val="104"/>
        <w:spacing w:before="312" w:after="312"/>
      </w:pPr>
      <w:bookmarkStart w:id="60" w:name="_Toc95648948"/>
      <w:bookmarkStart w:id="61" w:name="_Toc95648609"/>
      <w:bookmarkStart w:id="62" w:name="_Toc24062"/>
      <w:r>
        <w:rPr>
          <w:rFonts w:hint="eastAsia"/>
        </w:rPr>
        <w:t>诊断标准</w:t>
      </w:r>
      <w:bookmarkEnd w:id="60"/>
      <w:bookmarkEnd w:id="61"/>
      <w:bookmarkEnd w:id="62"/>
    </w:p>
    <w:p>
      <w:pPr>
        <w:pStyle w:val="56"/>
        <w:ind w:firstLine="420"/>
      </w:pPr>
      <w:r>
        <w:rPr>
          <w:rFonts w:hint="eastAsia"/>
        </w:rPr>
        <w:t>产后每天宫底下降幅度小于1～2cm或停止下降，产后14天内子宫未降至盆腔内，产后42天子宫大小未恢复至正常未孕状态，B超测量子宫三径之和大于18.0cm。血性恶露量或多或少，淋漓不尽，或反复出血，持续3周以上，伴产后腹痛等。</w:t>
      </w:r>
    </w:p>
    <w:p>
      <w:pPr>
        <w:pStyle w:val="104"/>
        <w:spacing w:before="312" w:after="312"/>
      </w:pPr>
      <w:bookmarkStart w:id="63" w:name="_Toc95648610"/>
      <w:bookmarkStart w:id="64" w:name="_Toc95648949"/>
      <w:bookmarkStart w:id="65" w:name="_Toc25693"/>
      <w:r>
        <w:rPr>
          <w:rFonts w:hint="eastAsia"/>
        </w:rPr>
        <w:t>治疗</w:t>
      </w:r>
      <w:bookmarkEnd w:id="63"/>
      <w:bookmarkEnd w:id="64"/>
      <w:bookmarkEnd w:id="65"/>
    </w:p>
    <w:p>
      <w:pPr>
        <w:pStyle w:val="105"/>
        <w:spacing w:before="156" w:after="156"/>
      </w:pPr>
      <w:bookmarkStart w:id="66" w:name="_Toc95648611"/>
      <w:bookmarkStart w:id="67" w:name="_Toc95648950"/>
      <w:bookmarkStart w:id="68" w:name="_Toc16123"/>
      <w:r>
        <w:rPr>
          <w:rFonts w:hint="eastAsia"/>
        </w:rPr>
        <w:t>原则</w:t>
      </w:r>
      <w:bookmarkEnd w:id="66"/>
      <w:bookmarkEnd w:id="67"/>
      <w:bookmarkEnd w:id="68"/>
    </w:p>
    <w:p>
      <w:pPr>
        <w:pStyle w:val="56"/>
        <w:ind w:firstLine="420"/>
      </w:pPr>
      <w:r>
        <w:rPr>
          <w:rFonts w:hint="eastAsia"/>
        </w:rPr>
        <w:t>解毒，补虚，祛瘀。</w:t>
      </w:r>
    </w:p>
    <w:p>
      <w:pPr>
        <w:pStyle w:val="105"/>
        <w:spacing w:before="156" w:after="156"/>
      </w:pPr>
      <w:bookmarkStart w:id="69" w:name="_Toc95648951"/>
      <w:bookmarkStart w:id="70" w:name="_Toc95648612"/>
      <w:bookmarkStart w:id="71" w:name="_Toc28642"/>
      <w:r>
        <w:rPr>
          <w:rFonts w:hint="eastAsia"/>
        </w:rPr>
        <w:t>方法</w:t>
      </w:r>
      <w:bookmarkEnd w:id="69"/>
      <w:bookmarkEnd w:id="70"/>
      <w:bookmarkEnd w:id="71"/>
    </w:p>
    <w:p>
      <w:pPr>
        <w:pStyle w:val="56"/>
        <w:ind w:firstLine="420"/>
      </w:pPr>
      <w:r>
        <w:rPr>
          <w:rFonts w:hint="eastAsia"/>
        </w:rPr>
        <w:t>壮药艾灸疗法。</w:t>
      </w:r>
    </w:p>
    <w:p>
      <w:pPr>
        <w:pStyle w:val="105"/>
        <w:spacing w:before="156" w:after="156"/>
      </w:pPr>
      <w:bookmarkStart w:id="72" w:name="_Toc95648613"/>
      <w:bookmarkStart w:id="73" w:name="_Toc95648952"/>
      <w:bookmarkStart w:id="74" w:name="_Toc15639"/>
      <w:r>
        <w:rPr>
          <w:rFonts w:hint="eastAsia"/>
        </w:rPr>
        <w:t>适应症</w:t>
      </w:r>
      <w:bookmarkEnd w:id="72"/>
      <w:bookmarkEnd w:id="73"/>
      <w:bookmarkEnd w:id="74"/>
    </w:p>
    <w:p>
      <w:pPr>
        <w:pStyle w:val="56"/>
        <w:ind w:firstLine="420"/>
      </w:pPr>
      <w:r>
        <w:rPr>
          <w:rFonts w:hint="eastAsia"/>
        </w:rPr>
        <w:t>剖宫产术后子宫复旧不全。</w:t>
      </w:r>
    </w:p>
    <w:p>
      <w:pPr>
        <w:pStyle w:val="105"/>
        <w:spacing w:before="156" w:after="156"/>
      </w:pPr>
      <w:bookmarkStart w:id="75" w:name="_Toc95648953"/>
      <w:bookmarkStart w:id="76" w:name="_Toc95648614"/>
      <w:bookmarkStart w:id="77" w:name="_Toc3889"/>
      <w:r>
        <w:rPr>
          <w:rFonts w:hint="eastAsia"/>
        </w:rPr>
        <w:t>禁忌症</w:t>
      </w:r>
      <w:bookmarkEnd w:id="75"/>
      <w:bookmarkEnd w:id="76"/>
      <w:bookmarkEnd w:id="77"/>
    </w:p>
    <w:p>
      <w:pPr>
        <w:pStyle w:val="165"/>
      </w:pPr>
      <w:r>
        <w:rPr>
          <w:rFonts w:hint="eastAsia"/>
        </w:rPr>
        <w:t>过饥、过饱、大渴、大惊、大恐、大怒者。</w:t>
      </w:r>
    </w:p>
    <w:p>
      <w:pPr>
        <w:pStyle w:val="165"/>
      </w:pPr>
      <w:r>
        <w:rPr>
          <w:rFonts w:hint="eastAsia"/>
        </w:rPr>
        <w:t>术口有炎症、化脓、溃烂等。</w:t>
      </w:r>
    </w:p>
    <w:p>
      <w:pPr>
        <w:pStyle w:val="165"/>
      </w:pPr>
      <w:r>
        <w:rPr>
          <w:rFonts w:hint="eastAsia"/>
        </w:rPr>
        <w:t>有严重的心、肺、脑、肝、肾及胃肠道疾病等。</w:t>
      </w:r>
    </w:p>
    <w:p>
      <w:pPr>
        <w:pStyle w:val="165"/>
      </w:pPr>
      <w:r>
        <w:rPr>
          <w:rFonts w:hint="eastAsia"/>
        </w:rPr>
        <w:t>有严重的妊娠合并症者。</w:t>
      </w:r>
    </w:p>
    <w:p>
      <w:pPr>
        <w:pStyle w:val="165"/>
      </w:pPr>
      <w:r>
        <w:rPr>
          <w:rFonts w:hint="eastAsia"/>
        </w:rPr>
        <w:t>有生殖道畸形或合并子宫器质性病变者。</w:t>
      </w:r>
    </w:p>
    <w:p>
      <w:pPr>
        <w:pStyle w:val="104"/>
        <w:spacing w:before="312" w:after="312"/>
      </w:pPr>
      <w:bookmarkStart w:id="78" w:name="_Toc95648615"/>
      <w:bookmarkStart w:id="79" w:name="_Toc95648954"/>
      <w:bookmarkStart w:id="80" w:name="_Toc8038"/>
      <w:r>
        <w:rPr>
          <w:rFonts w:hint="eastAsia"/>
        </w:rPr>
        <w:t>壮药艾灸疗法</w:t>
      </w:r>
      <w:bookmarkEnd w:id="78"/>
      <w:bookmarkEnd w:id="79"/>
      <w:bookmarkEnd w:id="80"/>
    </w:p>
    <w:p>
      <w:pPr>
        <w:pStyle w:val="105"/>
        <w:bidi w:val="0"/>
      </w:pPr>
      <w:bookmarkStart w:id="81" w:name="_Toc42"/>
      <w:r>
        <w:rPr>
          <w:rFonts w:hint="eastAsia"/>
          <w:lang w:val="en-US" w:eastAsia="zh-CN"/>
        </w:rPr>
        <w:t>施灸者要求</w:t>
      </w:r>
      <w:bookmarkEnd w:id="81"/>
    </w:p>
    <w:p>
      <w:pPr>
        <w:pStyle w:val="56"/>
        <w:rPr>
          <w:rFonts w:hint="eastAsia" w:eastAsia="宋体"/>
          <w:lang w:val="en-US" w:eastAsia="zh-CN"/>
        </w:rPr>
      </w:pPr>
      <w:r>
        <w:rPr>
          <w:rFonts w:hint="eastAsia"/>
          <w:lang w:val="en-US" w:eastAsia="zh-CN"/>
        </w:rPr>
        <w:t>操作者为取得医师资格证、医师执业证</w:t>
      </w:r>
      <w:r>
        <w:t>并经过相关</w:t>
      </w:r>
      <w:r>
        <w:rPr>
          <w:rFonts w:hint="eastAsia"/>
          <w:lang w:val="en-US" w:eastAsia="zh-CN"/>
        </w:rPr>
        <w:t>专业</w:t>
      </w:r>
      <w:r>
        <w:t>知识及操作技能培训</w:t>
      </w:r>
      <w:r>
        <w:rPr>
          <w:rFonts w:hint="eastAsia"/>
          <w:lang w:val="en-US" w:eastAsia="zh-CN"/>
        </w:rPr>
        <w:t>的专业人员。</w:t>
      </w:r>
    </w:p>
    <w:p>
      <w:pPr>
        <w:pStyle w:val="105"/>
        <w:spacing w:before="156" w:after="156"/>
      </w:pPr>
      <w:bookmarkStart w:id="82" w:name="_Toc95648616"/>
      <w:bookmarkStart w:id="83" w:name="_Toc95648955"/>
      <w:bookmarkStart w:id="84" w:name="_Toc31463"/>
      <w:r>
        <w:rPr>
          <w:rFonts w:hint="eastAsia"/>
        </w:rPr>
        <w:t>材料准备</w:t>
      </w:r>
      <w:bookmarkEnd w:id="82"/>
      <w:bookmarkEnd w:id="83"/>
      <w:bookmarkEnd w:id="84"/>
    </w:p>
    <w:p>
      <w:pPr>
        <w:pStyle w:val="56"/>
        <w:ind w:firstLine="420"/>
      </w:pPr>
      <w:r>
        <w:rPr>
          <w:rFonts w:hint="eastAsia"/>
        </w:rPr>
        <w:t>壮药艾条</w:t>
      </w:r>
      <w:r>
        <w:rPr>
          <w:rFonts w:hint="eastAsia"/>
          <w:lang w:val="en-US" w:eastAsia="zh-CN"/>
        </w:rPr>
        <w:t>(2*20cm)</w:t>
      </w:r>
      <w:r>
        <w:rPr>
          <w:rFonts w:hint="eastAsia"/>
        </w:rPr>
        <w:t>、温灸盒、95%酒精、酒精灯、打火机。</w:t>
      </w:r>
    </w:p>
    <w:p>
      <w:pPr>
        <w:pStyle w:val="105"/>
        <w:spacing w:before="156" w:after="156"/>
      </w:pPr>
      <w:bookmarkStart w:id="85" w:name="_Toc95648956"/>
      <w:bookmarkStart w:id="86" w:name="_Toc95648617"/>
      <w:bookmarkStart w:id="87" w:name="_Toc5"/>
      <w:r>
        <w:rPr>
          <w:rFonts w:hint="eastAsia"/>
        </w:rPr>
        <w:t>艾灸前准备</w:t>
      </w:r>
      <w:bookmarkEnd w:id="85"/>
      <w:bookmarkEnd w:id="86"/>
      <w:bookmarkEnd w:id="87"/>
    </w:p>
    <w:p>
      <w:pPr>
        <w:pStyle w:val="65"/>
        <w:spacing w:before="156" w:after="156"/>
      </w:pPr>
      <w:bookmarkStart w:id="88" w:name="_Toc27479"/>
      <w:bookmarkStart w:id="89" w:name="_Toc95648957"/>
      <w:r>
        <w:rPr>
          <w:rFonts w:hint="eastAsia"/>
        </w:rPr>
        <w:t>施灸者准备</w:t>
      </w:r>
      <w:bookmarkEnd w:id="88"/>
      <w:bookmarkEnd w:id="89"/>
    </w:p>
    <w:p>
      <w:pPr>
        <w:pStyle w:val="56"/>
        <w:ind w:firstLine="420"/>
      </w:pPr>
      <w:r>
        <w:rPr>
          <w:rFonts w:hint="eastAsia"/>
        </w:rPr>
        <w:t>施灸前对患者的病情进行科学评估，作出诊断并制定合理的治疗方案。对初次进行壮药艾灸疗法治疗的患者，应耐心解释，取得患者的配合。</w:t>
      </w:r>
    </w:p>
    <w:p>
      <w:pPr>
        <w:pStyle w:val="65"/>
        <w:spacing w:before="156" w:after="156"/>
      </w:pPr>
      <w:bookmarkStart w:id="90" w:name="_Toc95648958"/>
      <w:bookmarkStart w:id="91" w:name="_Toc26960"/>
      <w:r>
        <w:rPr>
          <w:rFonts w:hint="eastAsia"/>
        </w:rPr>
        <w:t>患者体位选择</w:t>
      </w:r>
      <w:bookmarkEnd w:id="90"/>
      <w:bookmarkEnd w:id="91"/>
    </w:p>
    <w:p>
      <w:pPr>
        <w:pStyle w:val="56"/>
        <w:ind w:firstLine="420"/>
      </w:pPr>
      <w:r>
        <w:rPr>
          <w:rFonts w:hint="eastAsia"/>
        </w:rPr>
        <w:t>患者取仰卧位，以舒适及便于施灸者操作为宜。</w:t>
      </w:r>
    </w:p>
    <w:p>
      <w:pPr>
        <w:pStyle w:val="65"/>
        <w:spacing w:before="156" w:after="156"/>
      </w:pPr>
      <w:bookmarkStart w:id="92" w:name="_Toc24521"/>
      <w:bookmarkStart w:id="93" w:name="_Toc95648959"/>
      <w:r>
        <w:rPr>
          <w:rFonts w:hint="eastAsia"/>
        </w:rPr>
        <w:t>施灸穴位</w:t>
      </w:r>
      <w:bookmarkEnd w:id="92"/>
      <w:bookmarkEnd w:id="93"/>
    </w:p>
    <w:p>
      <w:pPr>
        <w:pStyle w:val="56"/>
        <w:ind w:firstLine="420"/>
        <w:rPr>
          <w:rFonts w:hint="eastAsia"/>
        </w:rPr>
      </w:pPr>
      <w:r>
        <w:t>脐周四穴</w:t>
      </w:r>
      <w:r>
        <w:rPr>
          <w:rFonts w:hint="eastAsia"/>
        </w:rPr>
        <w:t>、</w:t>
      </w:r>
      <w:r>
        <w:t>关元穴</w:t>
      </w:r>
      <w:r>
        <w:rPr>
          <w:rFonts w:hint="eastAsia"/>
        </w:rPr>
        <w:t>。</w:t>
      </w:r>
    </w:p>
    <w:p>
      <w:pPr>
        <w:pStyle w:val="65"/>
        <w:bidi w:val="0"/>
        <w:rPr>
          <w:rFonts w:hint="eastAsia"/>
        </w:rPr>
      </w:pPr>
      <w:bookmarkStart w:id="94" w:name="_Toc23198"/>
      <w:r>
        <w:rPr>
          <w:rFonts w:hint="eastAsia"/>
          <w:lang w:val="en-US" w:eastAsia="zh-CN"/>
        </w:rPr>
        <w:t>环境要求</w:t>
      </w:r>
      <w:bookmarkEnd w:id="94"/>
    </w:p>
    <w:p>
      <w:pPr>
        <w:pStyle w:val="56"/>
        <w:rPr>
          <w:rFonts w:hint="eastAsia"/>
        </w:rPr>
      </w:pPr>
      <w:r>
        <w:rPr>
          <w:rFonts w:hint="eastAsia"/>
          <w:lang w:val="en-US" w:eastAsia="zh-CN"/>
        </w:rPr>
        <w:t>应注意环境清洁、卫生、安静，避免污染及避风。</w:t>
      </w:r>
    </w:p>
    <w:p>
      <w:pPr>
        <w:pStyle w:val="105"/>
        <w:spacing w:before="156" w:after="156"/>
      </w:pPr>
      <w:bookmarkStart w:id="95" w:name="_Toc270"/>
      <w:bookmarkStart w:id="96" w:name="_Toc95648618"/>
      <w:bookmarkStart w:id="97" w:name="_Toc95648960"/>
      <w:r>
        <w:rPr>
          <w:rFonts w:hint="eastAsia"/>
        </w:rPr>
        <w:t>操作方法</w:t>
      </w:r>
      <w:bookmarkEnd w:id="95"/>
      <w:bookmarkEnd w:id="96"/>
      <w:bookmarkEnd w:id="97"/>
    </w:p>
    <w:p>
      <w:pPr>
        <w:pStyle w:val="56"/>
        <w:ind w:firstLine="420"/>
      </w:pPr>
      <w:r>
        <w:t>取仰卧位，暴露局部皮肤，取穴定位后，点燃5段壮医药艾条分别置入灸盒，将温灸盒分别灸上述腹部穴位，每次灸20</w:t>
      </w:r>
      <w:r>
        <w:rPr>
          <w:rFonts w:hint="eastAsia"/>
        </w:rPr>
        <w:t>分</w:t>
      </w:r>
      <w:r>
        <w:t>，热力以产妇能承受、局部皮肤潮红微汗、不起泡为度</w:t>
      </w:r>
      <w:r>
        <w:rPr>
          <w:rFonts w:hint="eastAsia"/>
        </w:rPr>
        <w:t>。</w:t>
      </w:r>
    </w:p>
    <w:p>
      <w:pPr>
        <w:pStyle w:val="105"/>
        <w:spacing w:before="156" w:after="156"/>
      </w:pPr>
      <w:bookmarkStart w:id="98" w:name="_Toc95648619"/>
      <w:bookmarkStart w:id="99" w:name="_Toc95648961"/>
      <w:bookmarkStart w:id="100" w:name="_Toc29667"/>
      <w:r>
        <w:rPr>
          <w:rFonts w:hint="eastAsia"/>
        </w:rPr>
        <w:t>治疗疗程</w:t>
      </w:r>
      <w:bookmarkEnd w:id="98"/>
      <w:bookmarkEnd w:id="99"/>
      <w:bookmarkEnd w:id="100"/>
    </w:p>
    <w:p>
      <w:pPr>
        <w:pStyle w:val="56"/>
        <w:ind w:firstLine="420"/>
      </w:pPr>
      <w:r>
        <w:rPr>
          <w:rFonts w:hint="eastAsia"/>
        </w:rPr>
        <w:t>于剖宫产术后2小时开始行第一次艾灸，从术后第一天开始，以后每天进行2次施灸，早、晚各1次(上午9点，下午3点左右)，20分/次，持续6天。</w:t>
      </w:r>
    </w:p>
    <w:p>
      <w:pPr>
        <w:pStyle w:val="105"/>
        <w:spacing w:before="156" w:after="156"/>
      </w:pPr>
      <w:bookmarkStart w:id="101" w:name="_Toc95648620"/>
      <w:bookmarkStart w:id="102" w:name="_Toc95648962"/>
      <w:bookmarkStart w:id="103" w:name="_Toc10274"/>
      <w:r>
        <w:rPr>
          <w:rFonts w:hint="eastAsia"/>
        </w:rPr>
        <w:t>注意事项</w:t>
      </w:r>
      <w:bookmarkEnd w:id="101"/>
      <w:bookmarkEnd w:id="102"/>
      <w:bookmarkEnd w:id="103"/>
    </w:p>
    <w:p>
      <w:pPr>
        <w:pStyle w:val="165"/>
      </w:pPr>
      <w:r>
        <w:rPr>
          <w:rFonts w:hint="eastAsia"/>
        </w:rPr>
        <w:t>治疗前与患者说明操作过程，消除病人紧张心理。</w:t>
      </w:r>
    </w:p>
    <w:p>
      <w:pPr>
        <w:pStyle w:val="165"/>
      </w:pPr>
      <w:r>
        <w:rPr>
          <w:rFonts w:hint="eastAsia"/>
        </w:rPr>
        <w:t>注意操作室通风，防止艾烟引起病人不适。</w:t>
      </w:r>
    </w:p>
    <w:p>
      <w:pPr>
        <w:pStyle w:val="165"/>
      </w:pPr>
      <w:r>
        <w:rPr>
          <w:rFonts w:hint="eastAsia"/>
        </w:rPr>
        <w:t>治疗后嘱患者勿暴怒、劳累、饥饿、惊恐，要安静休息，清淡饮食，忌食油腻性、刺激性食品，以促使疾病的康复。</w:t>
      </w:r>
    </w:p>
    <w:p>
      <w:pPr>
        <w:pStyle w:val="105"/>
        <w:spacing w:before="156" w:after="156"/>
      </w:pPr>
      <w:bookmarkStart w:id="104" w:name="_Toc95648963"/>
      <w:bookmarkStart w:id="105" w:name="_Toc95648621"/>
      <w:bookmarkStart w:id="106" w:name="_Toc26524"/>
      <w:r>
        <w:rPr>
          <w:rFonts w:hint="eastAsia"/>
        </w:rPr>
        <w:t>意外处理</w:t>
      </w:r>
      <w:bookmarkEnd w:id="104"/>
      <w:bookmarkEnd w:id="105"/>
      <w:bookmarkEnd w:id="106"/>
    </w:p>
    <w:p>
      <w:pPr>
        <w:pStyle w:val="65"/>
        <w:spacing w:before="156" w:after="156"/>
      </w:pPr>
      <w:bookmarkStart w:id="107" w:name="_Toc95648964"/>
      <w:bookmarkStart w:id="108" w:name="_Toc19771"/>
      <w:r>
        <w:rPr>
          <w:rFonts w:hint="eastAsia"/>
        </w:rPr>
        <w:t>晕灸</w:t>
      </w:r>
      <w:bookmarkEnd w:id="107"/>
      <w:bookmarkEnd w:id="108"/>
    </w:p>
    <w:p>
      <w:pPr>
        <w:pStyle w:val="56"/>
        <w:ind w:firstLine="420"/>
      </w:pPr>
      <w:r>
        <w:rPr>
          <w:rFonts w:hint="eastAsia"/>
        </w:rPr>
        <w:t>如发生晕灸现象，应按</w:t>
      </w:r>
      <w:r>
        <w:t>GB/T 21709.1-2008</w:t>
      </w:r>
      <w:r>
        <w:rPr>
          <w:rFonts w:hint="eastAsia"/>
        </w:rPr>
        <w:t>规范进行处理。</w:t>
      </w:r>
    </w:p>
    <w:p>
      <w:pPr>
        <w:pStyle w:val="65"/>
        <w:spacing w:before="156" w:after="156"/>
      </w:pPr>
      <w:bookmarkStart w:id="109" w:name="_Toc95648965"/>
      <w:bookmarkStart w:id="110" w:name="_Toc17959"/>
      <w:r>
        <w:rPr>
          <w:rFonts w:hint="eastAsia"/>
        </w:rPr>
        <w:t>水</w:t>
      </w:r>
      <w:bookmarkEnd w:id="109"/>
      <w:r>
        <w:rPr>
          <w:rFonts w:hint="eastAsia"/>
        </w:rPr>
        <w:t>泡</w:t>
      </w:r>
      <w:bookmarkEnd w:id="110"/>
    </w:p>
    <w:p>
      <w:pPr>
        <w:pStyle w:val="56"/>
        <w:ind w:firstLine="420"/>
      </w:pPr>
      <w:r>
        <w:rPr>
          <w:rFonts w:hint="eastAsia"/>
        </w:rPr>
        <w:t>若发生水泡，水</w:t>
      </w:r>
      <w:r>
        <w:rPr>
          <w:rFonts w:hint="eastAsia"/>
          <w:lang w:val="en-US" w:eastAsia="zh-CN"/>
        </w:rPr>
        <w:t>泡</w:t>
      </w:r>
      <w:r>
        <w:rPr>
          <w:rFonts w:hint="eastAsia"/>
        </w:rPr>
        <w:t>较小时无需特殊处理，保护其不被弄破即可，3d～5d即可吸收自愈。若水</w:t>
      </w:r>
      <w:r>
        <w:rPr>
          <w:rFonts w:hint="eastAsia"/>
          <w:lang w:val="en-US" w:eastAsia="zh-CN"/>
        </w:rPr>
        <w:t>泡</w:t>
      </w:r>
      <w:r>
        <w:rPr>
          <w:rFonts w:hint="eastAsia"/>
        </w:rPr>
        <w:t>较大，宜消毒后用注射器从水</w:t>
      </w:r>
      <w:r>
        <w:rPr>
          <w:rFonts w:hint="eastAsia"/>
          <w:lang w:val="en-US" w:eastAsia="zh-CN"/>
        </w:rPr>
        <w:t>泡</w:t>
      </w:r>
      <w:r>
        <w:rPr>
          <w:rFonts w:hint="eastAsia"/>
        </w:rPr>
        <w:t>下方刺入将渗出液抽出，外敷干燥消毒方纱保护即可，3d</w:t>
      </w:r>
      <w:r>
        <w:rPr>
          <w:rFonts w:hint="eastAsia"/>
          <w:lang w:val="en-US" w:eastAsia="zh-CN"/>
        </w:rPr>
        <w:t>～</w:t>
      </w:r>
      <w:r>
        <w:rPr>
          <w:rFonts w:hint="eastAsia"/>
        </w:rPr>
        <w:t>5d可痊愈。</w:t>
      </w:r>
    </w:p>
    <w:p>
      <w:pPr>
        <w:pStyle w:val="65"/>
        <w:spacing w:before="156" w:after="156"/>
      </w:pPr>
      <w:bookmarkStart w:id="111" w:name="_Toc95648966"/>
      <w:bookmarkStart w:id="112" w:name="_Toc23607"/>
      <w:r>
        <w:rPr>
          <w:rFonts w:hint="eastAsia"/>
        </w:rPr>
        <w:t>过敏</w:t>
      </w:r>
      <w:bookmarkEnd w:id="111"/>
      <w:bookmarkEnd w:id="112"/>
    </w:p>
    <w:p>
      <w:pPr>
        <w:pStyle w:val="56"/>
        <w:ind w:firstLine="420"/>
      </w:pPr>
      <w:r>
        <w:t>过敏性皮疹者，停止艾灸后，一般几天内可自然消退。可服用抗组织胺，维生素C等药物，期间注意多饮水。如若兼见奇痒，发烧，烦燥不安，口干等症时，可选用皮质类激素，如氢化可的松，每日服20mg左右</w:t>
      </w:r>
      <w:r>
        <w:rPr>
          <w:rFonts w:hint="eastAsia"/>
        </w:rPr>
        <w:t>。</w:t>
      </w:r>
    </w:p>
    <w:bookmarkEnd w:id="26"/>
    <w:p>
      <w:pPr>
        <w:pStyle w:val="56"/>
        <w:ind w:firstLine="0" w:firstLineChars="0"/>
        <w:jc w:val="center"/>
      </w:pPr>
      <w:bookmarkStart w:id="11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3"/>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45/T XXXX—2022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45/T XXXX—2022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gbxY99Gt6dvoYGa4+E92242TbmeR0ZQiol6SAgSENQMFTU2hCujKY3x/Io3hPo3tLIsmm6Yiym7O23djhEEYsw==" w:salt="sFeRSZcoGS8Wexg6lomOx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iNmNjMmRjZmNmNTUzMjk1OTdiMzYxMTZkMDk1MjMifQ=="/>
    <w:docVar w:name="KY_MEDREF_DOCUID" w:val="{3308C78C-76BA-4A61-B8A9-D7597AA49E6E}"/>
    <w:docVar w:name="KY_MEDREF_VERSION" w:val="3"/>
  </w:docVars>
  <w:rsids>
    <w:rsidRoot w:val="002B14E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51F"/>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7232"/>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F60"/>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4E8"/>
    <w:rsid w:val="002B1966"/>
    <w:rsid w:val="002B4508"/>
    <w:rsid w:val="002B5779"/>
    <w:rsid w:val="002B7332"/>
    <w:rsid w:val="002B7F51"/>
    <w:rsid w:val="002C09E7"/>
    <w:rsid w:val="002C1E06"/>
    <w:rsid w:val="002C1E1C"/>
    <w:rsid w:val="002C3F07"/>
    <w:rsid w:val="002C5278"/>
    <w:rsid w:val="002C641A"/>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794"/>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3CA"/>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954"/>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5F3"/>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5613"/>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F83"/>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AC7"/>
    <w:rsid w:val="00695D22"/>
    <w:rsid w:val="006A07AA"/>
    <w:rsid w:val="006A0A9C"/>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8D9"/>
    <w:rsid w:val="007B5A3D"/>
    <w:rsid w:val="007B5B95"/>
    <w:rsid w:val="007B68EA"/>
    <w:rsid w:val="007B7453"/>
    <w:rsid w:val="007C1E8B"/>
    <w:rsid w:val="007C2D89"/>
    <w:rsid w:val="007C4593"/>
    <w:rsid w:val="007C5309"/>
    <w:rsid w:val="007C6069"/>
    <w:rsid w:val="007D06C4"/>
    <w:rsid w:val="007D1352"/>
    <w:rsid w:val="007D2508"/>
    <w:rsid w:val="007D346A"/>
    <w:rsid w:val="007D4600"/>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56D"/>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5E0E"/>
    <w:rsid w:val="009610DC"/>
    <w:rsid w:val="00961490"/>
    <w:rsid w:val="0096381A"/>
    <w:rsid w:val="00965E04"/>
    <w:rsid w:val="009674AD"/>
    <w:rsid w:val="00970CDC"/>
    <w:rsid w:val="00971B6B"/>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42D"/>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D59"/>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1D0"/>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A26"/>
    <w:rsid w:val="00C9435D"/>
    <w:rsid w:val="00C94DF2"/>
    <w:rsid w:val="00C9575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281E"/>
    <w:rsid w:val="00D33333"/>
    <w:rsid w:val="00D33457"/>
    <w:rsid w:val="00D352A2"/>
    <w:rsid w:val="00D4162B"/>
    <w:rsid w:val="00D4514F"/>
    <w:rsid w:val="00D451E2"/>
    <w:rsid w:val="00D45E89"/>
    <w:rsid w:val="00D45E8D"/>
    <w:rsid w:val="00D466AE"/>
    <w:rsid w:val="00D4734F"/>
    <w:rsid w:val="00D51BF3"/>
    <w:rsid w:val="00D61B29"/>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6BC3"/>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C5D"/>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7B5"/>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901"/>
    <w:rsid w:val="00FF5B99"/>
    <w:rsid w:val="00FF730C"/>
    <w:rsid w:val="00FF73F4"/>
    <w:rsid w:val="00FF7CE4"/>
    <w:rsid w:val="00FF7E39"/>
    <w:rsid w:val="02881E0B"/>
    <w:rsid w:val="03F434D0"/>
    <w:rsid w:val="05D13AC9"/>
    <w:rsid w:val="05DB677E"/>
    <w:rsid w:val="06561EEA"/>
    <w:rsid w:val="0687062B"/>
    <w:rsid w:val="06AB256C"/>
    <w:rsid w:val="073E518E"/>
    <w:rsid w:val="074A3B33"/>
    <w:rsid w:val="07AD40C1"/>
    <w:rsid w:val="0969226A"/>
    <w:rsid w:val="0B941820"/>
    <w:rsid w:val="0CDF4D1D"/>
    <w:rsid w:val="0FCC42A0"/>
    <w:rsid w:val="0FF860F6"/>
    <w:rsid w:val="143F2545"/>
    <w:rsid w:val="14A8633C"/>
    <w:rsid w:val="15916DD0"/>
    <w:rsid w:val="15C42FDC"/>
    <w:rsid w:val="16021A7C"/>
    <w:rsid w:val="166B5873"/>
    <w:rsid w:val="17710C68"/>
    <w:rsid w:val="178D1819"/>
    <w:rsid w:val="17F81389"/>
    <w:rsid w:val="1816180F"/>
    <w:rsid w:val="183C74C7"/>
    <w:rsid w:val="183D3240"/>
    <w:rsid w:val="1BE834C2"/>
    <w:rsid w:val="1E1862E1"/>
    <w:rsid w:val="1E21302E"/>
    <w:rsid w:val="1EB853CE"/>
    <w:rsid w:val="1F777037"/>
    <w:rsid w:val="1FB57B5F"/>
    <w:rsid w:val="1FD83CF0"/>
    <w:rsid w:val="20B16579"/>
    <w:rsid w:val="21DE15EF"/>
    <w:rsid w:val="2268710B"/>
    <w:rsid w:val="22F73B45"/>
    <w:rsid w:val="23307C29"/>
    <w:rsid w:val="268564DD"/>
    <w:rsid w:val="26E03714"/>
    <w:rsid w:val="272F2BBB"/>
    <w:rsid w:val="28BB61E6"/>
    <w:rsid w:val="28C037FD"/>
    <w:rsid w:val="29493649"/>
    <w:rsid w:val="2A0140CD"/>
    <w:rsid w:val="2A571F3F"/>
    <w:rsid w:val="2B7F799F"/>
    <w:rsid w:val="2CEA52EC"/>
    <w:rsid w:val="2D8A43D9"/>
    <w:rsid w:val="2E625356"/>
    <w:rsid w:val="2E7806D6"/>
    <w:rsid w:val="2EDA313F"/>
    <w:rsid w:val="2F234AE5"/>
    <w:rsid w:val="2F25085E"/>
    <w:rsid w:val="2F9E5D62"/>
    <w:rsid w:val="2FAF6379"/>
    <w:rsid w:val="30711881"/>
    <w:rsid w:val="31666F0B"/>
    <w:rsid w:val="31EA18EB"/>
    <w:rsid w:val="33294694"/>
    <w:rsid w:val="33EA3E24"/>
    <w:rsid w:val="34433534"/>
    <w:rsid w:val="34777DD3"/>
    <w:rsid w:val="35447564"/>
    <w:rsid w:val="355E0625"/>
    <w:rsid w:val="36D6068F"/>
    <w:rsid w:val="36E7464B"/>
    <w:rsid w:val="37353608"/>
    <w:rsid w:val="382A0C93"/>
    <w:rsid w:val="385C15A2"/>
    <w:rsid w:val="38EA0422"/>
    <w:rsid w:val="3A377697"/>
    <w:rsid w:val="3B3A743F"/>
    <w:rsid w:val="3D3879AE"/>
    <w:rsid w:val="3D6C58AA"/>
    <w:rsid w:val="3ED100BA"/>
    <w:rsid w:val="3EFE69D5"/>
    <w:rsid w:val="3F400D9C"/>
    <w:rsid w:val="41006A35"/>
    <w:rsid w:val="41200E85"/>
    <w:rsid w:val="423A5F76"/>
    <w:rsid w:val="42611755"/>
    <w:rsid w:val="42997141"/>
    <w:rsid w:val="43087E22"/>
    <w:rsid w:val="433B01F8"/>
    <w:rsid w:val="43EE511F"/>
    <w:rsid w:val="46001285"/>
    <w:rsid w:val="46C329DE"/>
    <w:rsid w:val="46CE1383"/>
    <w:rsid w:val="46DC3AA0"/>
    <w:rsid w:val="47AC2F7F"/>
    <w:rsid w:val="47E80223"/>
    <w:rsid w:val="48D16F09"/>
    <w:rsid w:val="49DE18DD"/>
    <w:rsid w:val="4A565917"/>
    <w:rsid w:val="4B2B0B52"/>
    <w:rsid w:val="4BEB7F7E"/>
    <w:rsid w:val="4C0575F5"/>
    <w:rsid w:val="4C194E4E"/>
    <w:rsid w:val="4D27359B"/>
    <w:rsid w:val="4D924EB8"/>
    <w:rsid w:val="4DA42E3E"/>
    <w:rsid w:val="4FAD422B"/>
    <w:rsid w:val="50081462"/>
    <w:rsid w:val="529E09B2"/>
    <w:rsid w:val="542474E3"/>
    <w:rsid w:val="55235183"/>
    <w:rsid w:val="55621614"/>
    <w:rsid w:val="55823A64"/>
    <w:rsid w:val="55FF50B5"/>
    <w:rsid w:val="56C8194B"/>
    <w:rsid w:val="588B0E82"/>
    <w:rsid w:val="5919648E"/>
    <w:rsid w:val="59A55F73"/>
    <w:rsid w:val="5AC16DDD"/>
    <w:rsid w:val="5C1F025F"/>
    <w:rsid w:val="5CA95D7B"/>
    <w:rsid w:val="5CBF734C"/>
    <w:rsid w:val="5E783C56"/>
    <w:rsid w:val="5F9A5E4E"/>
    <w:rsid w:val="5FC058B5"/>
    <w:rsid w:val="60701B30"/>
    <w:rsid w:val="60A76A75"/>
    <w:rsid w:val="636C7B02"/>
    <w:rsid w:val="63C96D02"/>
    <w:rsid w:val="658B24C1"/>
    <w:rsid w:val="65DD6A95"/>
    <w:rsid w:val="65DE4CE7"/>
    <w:rsid w:val="660356D2"/>
    <w:rsid w:val="66560D21"/>
    <w:rsid w:val="66611474"/>
    <w:rsid w:val="66E53E53"/>
    <w:rsid w:val="673F17B5"/>
    <w:rsid w:val="691B1DAE"/>
    <w:rsid w:val="692A1FF1"/>
    <w:rsid w:val="69715E72"/>
    <w:rsid w:val="6C0C1E82"/>
    <w:rsid w:val="6C691082"/>
    <w:rsid w:val="6CAE2F39"/>
    <w:rsid w:val="6CDD605D"/>
    <w:rsid w:val="6E4B4EE4"/>
    <w:rsid w:val="6E663ACB"/>
    <w:rsid w:val="70003AAC"/>
    <w:rsid w:val="703B2D36"/>
    <w:rsid w:val="708C4E37"/>
    <w:rsid w:val="719E357C"/>
    <w:rsid w:val="72C76B03"/>
    <w:rsid w:val="72EE22E1"/>
    <w:rsid w:val="755F1275"/>
    <w:rsid w:val="759E7FEF"/>
    <w:rsid w:val="76522B87"/>
    <w:rsid w:val="76C75323"/>
    <w:rsid w:val="786D3CA8"/>
    <w:rsid w:val="79863274"/>
    <w:rsid w:val="7A0348C4"/>
    <w:rsid w:val="7A5B64AE"/>
    <w:rsid w:val="7AB756AF"/>
    <w:rsid w:val="7C547659"/>
    <w:rsid w:val="7CF20C20"/>
    <w:rsid w:val="7D032E2D"/>
    <w:rsid w:val="7D0A41BC"/>
    <w:rsid w:val="7D5D078F"/>
    <w:rsid w:val="7E266DD3"/>
    <w:rsid w:val="7E5E6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E0586A53684BAE9AD0B0B8EF37648E"/>
        <w:style w:val=""/>
        <w:category>
          <w:name w:val="常规"/>
          <w:gallery w:val="placeholder"/>
        </w:category>
        <w:types>
          <w:type w:val="bbPlcHdr"/>
        </w:types>
        <w:behaviors>
          <w:behavior w:val="content"/>
        </w:behaviors>
        <w:description w:val=""/>
        <w:guid w:val="{D55646CA-2C48-49FC-94F5-C09AA933D29C}"/>
      </w:docPartPr>
      <w:docPartBody>
        <w:p>
          <w:pPr>
            <w:pStyle w:val="5"/>
          </w:pPr>
          <w:r>
            <w:rPr>
              <w:rStyle w:val="4"/>
              <w:rFonts w:hint="eastAsia"/>
            </w:rPr>
            <w:t>单击或点击此处输入文字。</w:t>
          </w:r>
        </w:p>
      </w:docPartBody>
    </w:docPart>
    <w:docPart>
      <w:docPartPr>
        <w:name w:val="7A81D71A043A488282DC5D20E4737D65"/>
        <w:style w:val=""/>
        <w:category>
          <w:name w:val="常规"/>
          <w:gallery w:val="placeholder"/>
        </w:category>
        <w:types>
          <w:type w:val="bbPlcHdr"/>
        </w:types>
        <w:behaviors>
          <w:behavior w:val="content"/>
        </w:behaviors>
        <w:description w:val=""/>
        <w:guid w:val="{6981777F-7D76-4C29-B764-DD5FD5B7C189}"/>
      </w:docPartPr>
      <w:docPartBody>
        <w:p>
          <w:pPr>
            <w:pStyle w:val="6"/>
          </w:pPr>
          <w:r>
            <w:rPr>
              <w:rStyle w:val="4"/>
              <w:rFonts w:hint="eastAsia"/>
            </w:rPr>
            <w:t>选择一项。</w:t>
          </w:r>
        </w:p>
      </w:docPartBody>
    </w:docPart>
    <w:docPart>
      <w:docPartPr>
        <w:name w:val="940EAAAB27E545AB8B2277CC781EB735"/>
        <w:style w:val=""/>
        <w:category>
          <w:name w:val="常规"/>
          <w:gallery w:val="placeholder"/>
        </w:category>
        <w:types>
          <w:type w:val="bbPlcHdr"/>
        </w:types>
        <w:behaviors>
          <w:behavior w:val="content"/>
        </w:behaviors>
        <w:description w:val=""/>
        <w:guid w:val="{91B54528-DEBE-444E-91F7-222D72A9B48B}"/>
      </w:docPartPr>
      <w:docPartBody>
        <w:p>
          <w:pPr>
            <w:pStyle w:val="7"/>
          </w:pPr>
          <w:r>
            <w:rPr>
              <w:rStyle w:val="4"/>
              <w:rFonts w:hint="eastAsia"/>
            </w:rPr>
            <w:t>选择一项。</w:t>
          </w:r>
        </w:p>
      </w:docPartBody>
    </w:docPart>
    <w:docPart>
      <w:docPartPr>
        <w:name w:val="8AA9AB16C5C64910AA8BAC111D637F8A"/>
        <w:style w:val=""/>
        <w:category>
          <w:name w:val="常规"/>
          <w:gallery w:val="placeholder"/>
        </w:category>
        <w:types>
          <w:type w:val="bbPlcHdr"/>
        </w:types>
        <w:behaviors>
          <w:behavior w:val="content"/>
        </w:behaviors>
        <w:description w:val=""/>
        <w:guid w:val="{86FA2205-5E52-4EC8-9B7B-E1FB640016DF}"/>
      </w:docPartPr>
      <w:docPartBody>
        <w:p>
          <w:pPr>
            <w:pStyle w:val="8"/>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5A0"/>
    <w:rsid w:val="00082BD5"/>
    <w:rsid w:val="001C376D"/>
    <w:rsid w:val="005B35A0"/>
    <w:rsid w:val="00640161"/>
    <w:rsid w:val="006F0934"/>
    <w:rsid w:val="00757078"/>
    <w:rsid w:val="00893203"/>
    <w:rsid w:val="008E09FB"/>
    <w:rsid w:val="00907B6B"/>
    <w:rsid w:val="00945F96"/>
    <w:rsid w:val="00B60A01"/>
    <w:rsid w:val="00DB71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1E0586A53684BAE9AD0B0B8EF3764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A81D71A043A488282DC5D20E4737D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40EAAAB27E545AB8B2277CC781EB73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8AA9AB16C5C64910AA8BAC111D637F8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1737</Words>
  <Characters>2127</Characters>
  <Lines>28</Lines>
  <Paragraphs>7</Paragraphs>
  <TotalTime>0</TotalTime>
  <ScaleCrop>false</ScaleCrop>
  <LinksUpToDate>false</LinksUpToDate>
  <CharactersWithSpaces>2239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2022-02-13T12:12:00Z</dcterms:created>
  <dc:creator>h'h</dc:creator>
  <dc:description>&lt;config cover="true" show_menu="true" version="1.0.0" doctype="SDKXY"&gt;_x000d_
&lt;/config&gt;</dc:description>
  <cp:lastModifiedBy>刘显</cp:lastModifiedBy>
  <cp:lastPrinted>2020-08-30T10:00:00Z</cp:lastPrinted>
  <dcterms:modified xsi:type="dcterms:W3CDTF">2023-03-21T07:54:07Z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2052-11.1.0.13703</vt:lpwstr>
  </property>
  <property fmtid="{D5CDD505-2E9C-101B-9397-08002B2CF9AE}" pid="15" name="ICV">
    <vt:lpwstr>D31C2D150E1944328C928EC7FC9E76ED</vt:lpwstr>
  </property>
</Properties>
</file>