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54B877">
      <w:pPr>
        <w:pStyle w:val="128"/>
        <w:framePr w:wrap="around"/>
        <w:rPr>
          <w:rFonts w:ascii="Times New Roman" w:eastAsiaTheme="minorEastAsia"/>
        </w:rPr>
      </w:pPr>
      <w:r>
        <w:rPr>
          <w:rFonts w:ascii="Times New Roman"/>
        </w:rPr>
        <w:t>ICS</w:t>
      </w:r>
      <w:r>
        <w:rPr>
          <w:rFonts w:ascii="Times New Roman" w:eastAsia="MS Mincho"/>
        </w:rPr>
        <w:t> </w:t>
      </w:r>
      <w:r>
        <w:rPr>
          <w:rFonts w:ascii="Times New Roman" w:eastAsiaTheme="minorEastAsia"/>
        </w:rPr>
        <w:t>03.220.20</w:t>
      </w:r>
    </w:p>
    <w:p w14:paraId="0F3564E8">
      <w:pPr>
        <w:pStyle w:val="128"/>
        <w:framePr w:wrap="around"/>
        <w:rPr>
          <w:rFonts w:ascii="Times New Roman"/>
        </w:rPr>
      </w:pPr>
      <w:r>
        <w:rPr>
          <w:rFonts w:ascii="Times New Roman"/>
        </w:rPr>
        <w:t>CCS R 12</w:t>
      </w:r>
    </w:p>
    <w:p w14:paraId="0E6CCA30">
      <w:pPr>
        <w:pStyle w:val="114"/>
        <w:framePr w:wrap="around"/>
      </w:pPr>
      <w:r>
        <w:t>DB34</w:t>
      </w:r>
    </w:p>
    <w:p w14:paraId="7E9545DC">
      <w:pPr>
        <w:pStyle w:val="115"/>
        <w:framePr w:wrap="around"/>
        <w:rPr>
          <w:rFonts w:ascii="Times New Roman" w:hAnsi="Times New Roman"/>
        </w:rPr>
      </w:pPr>
      <w:r>
        <w:rPr>
          <w:rFonts w:ascii="Times New Roman" w:hAnsi="Times New Roman"/>
        </w:rPr>
        <w:t>安徽省地方标准</w:t>
      </w:r>
    </w:p>
    <w:p w14:paraId="3FA6127E">
      <w:pPr>
        <w:pStyle w:val="53"/>
        <w:framePr w:wrap="around"/>
        <w:rPr>
          <w:rFonts w:ascii="Times New Roman"/>
        </w:rPr>
      </w:pPr>
      <w:r>
        <w:rPr>
          <w:rFonts w:ascii="Times New Roman"/>
        </w:rPr>
        <w:t>DB 34/ XXXXX—2025</w:t>
      </w:r>
    </w:p>
    <w:p w14:paraId="61203221">
      <w:pPr>
        <w:pStyle w:val="53"/>
        <w:framePr w:wrap="around"/>
        <w:rPr>
          <w:rFonts w:ascii="Times New Roman"/>
        </w:rPr>
      </w:pPr>
    </w:p>
    <w:p w14:paraId="2B300B55">
      <w:pPr>
        <w:pStyle w:val="53"/>
        <w:framePr w:wrap="around"/>
        <w:rPr>
          <w:rFonts w:ascii="Times New Roman"/>
        </w:rPr>
      </w:pPr>
    </w:p>
    <w:p w14:paraId="6D2F9292">
      <w:pPr>
        <w:pStyle w:val="83"/>
        <w:framePr w:wrap="around" w:x="1157" w:y="5075"/>
        <w:rPr>
          <w:rFonts w:ascii="Times New Roman"/>
        </w:rPr>
      </w:pPr>
      <w:r>
        <w:rPr>
          <w:rFonts w:hint="eastAsia" w:ascii="Times New Roman"/>
        </w:rPr>
        <w:t>危险货物道路运输企业专用停车场技术要求</w:t>
      </w:r>
    </w:p>
    <w:p w14:paraId="5516CAF2">
      <w:pPr>
        <w:pStyle w:val="84"/>
        <w:framePr w:wrap="around" w:x="1157" w:y="5075"/>
      </w:pPr>
      <w:r>
        <w:t>Technical requirements for specialized parking lots for vehicles of dangerous goods road transportation enterprises</w:t>
      </w:r>
    </w:p>
    <w:p w14:paraId="667492EF">
      <w:pPr>
        <w:pStyle w:val="85"/>
        <w:framePr w:wrap="around" w:x="1157" w:y="5075"/>
        <w:rPr>
          <w:rFonts w:ascii="Times New Roman"/>
        </w:rPr>
      </w:pPr>
    </w:p>
    <w:tbl>
      <w:tblPr>
        <w:tblStyle w:val="3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26073C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2135BFAE">
            <w:pPr>
              <w:pStyle w:val="86"/>
              <w:framePr w:wrap="around" w:x="1157" w:y="5075"/>
              <w:rPr>
                <w:rFonts w:ascii="Times New Roman"/>
              </w:rPr>
            </w:pPr>
            <w:r>
              <w:rPr>
                <w:sz w:val="48"/>
                <w:szCs w:val="48"/>
              </w:rPr>
              <mc:AlternateContent>
                <mc:Choice Requires="wps">
                  <w:drawing>
                    <wp:anchor distT="0" distB="0" distL="114300" distR="114300" simplePos="0" relativeHeight="251662336" behindDoc="1" locked="1" layoutInCell="1" allowOverlap="1">
                      <wp:simplePos x="0" y="0"/>
                      <wp:positionH relativeFrom="column">
                        <wp:posOffset>2200910</wp:posOffset>
                      </wp:positionH>
                      <wp:positionV relativeFrom="paragraph">
                        <wp:posOffset>573405</wp:posOffset>
                      </wp:positionV>
                      <wp:extent cx="1905000" cy="254000"/>
                      <wp:effectExtent l="0" t="0" r="0" b="12700"/>
                      <wp:wrapNone/>
                      <wp:docPr id="4"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bodyPr upright="1"/>
                          </wps:wsp>
                        </a:graphicData>
                      </a:graphic>
                    </wp:anchor>
                  </w:drawing>
                </mc:Choice>
                <mc:Fallback>
                  <w:pict>
                    <v:rect id="RQ" o:spid="_x0000_s1026" o:spt="1" style="position:absolute;left:0pt;margin-left:173.3pt;margin-top:45.15pt;height:20pt;width:150pt;z-index:-251654144;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AWJrpLVAAAACgEAAA8AAAAAAAAAAQAg&#10;AAAAIgAAAGRycy9kb3ducmV2LnhtbFBLAQIUABQAAAAIAIdO4kBhiHmPnwEAAFkDAAAOAAAAAAAA&#10;AAEAIAAAACQBAABkcnMvZTJvRG9jLnhtbFBLBQYAAAAABgAGAFkBAAA1BQAAAAA=&#10;">
                      <v:fill on="t" focussize="0,0"/>
                      <v:stroke on="f"/>
                      <v:imagedata o:title=""/>
                      <o:lock v:ext="edit" aspectratio="f"/>
                      <w10:anchorlock/>
                    </v:rect>
                  </w:pict>
                </mc:Fallback>
              </mc:AlternateContent>
            </w:r>
            <w:r>
              <w:rPr>
                <w:sz w:val="48"/>
                <w:szCs w:val="48"/>
              </w:rPr>
              <mc:AlternateContent>
                <mc:Choice Requires="wps">
                  <w:drawing>
                    <wp:anchor distT="0" distB="0" distL="114300" distR="114300" simplePos="0" relativeHeight="251661312" behindDoc="1" locked="0" layoutInCell="1" allowOverlap="1">
                      <wp:simplePos x="0" y="0"/>
                      <wp:positionH relativeFrom="column">
                        <wp:posOffset>2454910</wp:posOffset>
                      </wp:positionH>
                      <wp:positionV relativeFrom="paragraph">
                        <wp:posOffset>255905</wp:posOffset>
                      </wp:positionV>
                      <wp:extent cx="1270000" cy="304800"/>
                      <wp:effectExtent l="0" t="0" r="6350" b="0"/>
                      <wp:wrapNone/>
                      <wp:docPr id="3"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bodyPr upright="1"/>
                          </wps:wsp>
                        </a:graphicData>
                      </a:graphic>
                    </wp:anchor>
                  </w:drawing>
                </mc:Choice>
                <mc:Fallback>
                  <w:pict>
                    <v:rect id="LB" o:spid="_x0000_s1026" o:spt="1" style="position:absolute;left:0pt;margin-left:193.3pt;margin-top:20.15pt;height:24pt;width:100pt;z-index:-251655168;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A+GL5dYAAAAJAQAADwAAAAAAAAAB&#10;ACAAAAAiAAAAZHJzL2Rvd25yZXYueG1sUEsBAhQAFAAAAAgAh07iQDWdROOgAQAAWQMAAA4AAAAA&#10;AAAAAQAgAAAAJQEAAGRycy9lMm9Eb2MueG1sUEsFBgAAAAAGAAYAWQEAADcFAAAAAA==&#10;">
                      <v:fill on="t" focussize="0,0"/>
                      <v:stroke on="f"/>
                      <v:imagedata o:title=""/>
                      <o:lock v:ext="edit" aspectratio="f"/>
                    </v:rect>
                  </w:pict>
                </mc:Fallback>
              </mc:AlternateContent>
            </w:r>
            <w:r>
              <w:rPr>
                <w:rFonts w:ascii="Times New Roman"/>
                <w:sz w:val="48"/>
                <w:szCs w:val="48"/>
              </w:rPr>
              <w:t>（</w:t>
            </w:r>
            <w:r>
              <w:rPr>
                <w:rFonts w:hint="eastAsia" w:ascii="Times New Roman"/>
                <w:sz w:val="48"/>
                <w:szCs w:val="48"/>
              </w:rPr>
              <w:t>征求意见</w:t>
            </w:r>
            <w:r>
              <w:rPr>
                <w:rFonts w:ascii="Times New Roman"/>
                <w:sz w:val="48"/>
                <w:szCs w:val="48"/>
              </w:rPr>
              <w:t>稿）</w:t>
            </w:r>
          </w:p>
        </w:tc>
      </w:tr>
      <w:tr w14:paraId="364EA0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7EA5B646">
            <w:pPr>
              <w:pStyle w:val="87"/>
              <w:framePr w:wrap="around" w:x="1157" w:y="5075"/>
              <w:rPr>
                <w:rFonts w:ascii="Times New Roman"/>
              </w:rPr>
            </w:pPr>
          </w:p>
        </w:tc>
      </w:tr>
    </w:tbl>
    <w:p w14:paraId="0178DECF">
      <w:pPr>
        <w:pStyle w:val="135"/>
        <w:framePr w:w="8367" w:wrap="around" w:hAnchor="page" w:x="1033"/>
      </w:pPr>
      <w:bookmarkStart w:id="0" w:name="FY"/>
      <w:r>
        <w:fldChar w:fldCharType="begin">
          <w:ffData>
            <w:name w:val="FY"/>
            <w:enabled/>
            <w:calcOnExit w:val="0"/>
            <w:entryMacro w:val="ShowHelp8"/>
            <w:textInput>
              <w:default w:val="XXXX"/>
              <w:maxLength w:val="4"/>
            </w:textInput>
          </w:ffData>
        </w:fldChar>
      </w:r>
      <w:r>
        <w:instrText xml:space="preserve"> FORMTEXT </w:instrText>
      </w:r>
      <w:r>
        <w:fldChar w:fldCharType="separate"/>
      </w:r>
      <w:r>
        <w:t>XXXX</w:t>
      </w:r>
      <w:r>
        <w:fldChar w:fldCharType="end"/>
      </w:r>
      <w:bookmarkEnd w:id="0"/>
      <w:r>
        <w:t xml:space="preserve"> - </w:t>
      </w:r>
      <w:r>
        <w:fldChar w:fldCharType="begin">
          <w:ffData>
            <w:name w:val="FM"/>
            <w:enabled/>
            <w:calcOnExit w:val="0"/>
            <w:entryMacro w:val="ShowHelp8"/>
            <w:textInput>
              <w:default w:val="XX"/>
              <w:maxLength w:val="2"/>
            </w:textInput>
          </w:ffData>
        </w:fldChar>
      </w:r>
      <w:r>
        <w:instrText xml:space="preserve"> FORMTEXT </w:instrText>
      </w:r>
      <w:r>
        <w:fldChar w:fldCharType="separate"/>
      </w:r>
      <w:r>
        <w:t>XX</w:t>
      </w:r>
      <w:r>
        <w:fldChar w:fldCharType="end"/>
      </w:r>
      <w:r>
        <w:t xml:space="preserve"> - </w:t>
      </w:r>
      <w:bookmarkStart w:id="1" w:name="FD"/>
      <w:r>
        <w:fldChar w:fldCharType="begin">
          <w:ffData>
            <w:name w:val="FD"/>
            <w:enabled/>
            <w:calcOnExit w:val="0"/>
            <w:entryMacro w:val="ShowHelp8"/>
            <w:textInput>
              <w:default w:val="XX"/>
              <w:maxLength w:val="2"/>
            </w:textInput>
          </w:ffData>
        </w:fldChar>
      </w:r>
      <w:r>
        <w:instrText xml:space="preserve"> FORMTEXT </w:instrText>
      </w:r>
      <w:r>
        <w:fldChar w:fldCharType="separate"/>
      </w:r>
      <w:r>
        <w:t>XX</w:t>
      </w:r>
      <w:r>
        <w:fldChar w:fldCharType="end"/>
      </w:r>
      <w:bookmarkEnd w:id="1"/>
      <w:r>
        <w:t>发布</w:t>
      </w:r>
      <w:r>
        <mc:AlternateContent>
          <mc:Choice Requires="wps">
            <w:drawing>
              <wp:anchor distT="0" distB="0" distL="114300" distR="114300" simplePos="0" relativeHeight="251659264" behindDoc="0" locked="1" layoutInCell="1" allowOverlap="1">
                <wp:simplePos x="0" y="0"/>
                <wp:positionH relativeFrom="column">
                  <wp:posOffset>-635</wp:posOffset>
                </wp:positionH>
                <wp:positionV relativeFrom="page">
                  <wp:posOffset>9251950</wp:posOffset>
                </wp:positionV>
                <wp:extent cx="6120130" cy="0"/>
                <wp:effectExtent l="0" t="0" r="0" b="0"/>
                <wp:wrapNone/>
                <wp:docPr id="1" name="直线 3"/>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3"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lh2s81gAAAAsBAAAPAAAA&#10;AAAAAAEAIAAAACIAAABkcnMvZG93bnJldi54bWxQSwECFAAUAAAACACHTuJAXkBgnN4BAADPAwAA&#10;DgAAAAAAAAABACAAAAAlAQAAZHJzL2Uyb0RvYy54bWxQSwUGAAAAAAYABgBZAQAAdQUAAAAA&#10;">
                <v:fill on="f" focussize="0,0"/>
                <v:stroke color="#000000" joinstyle="round"/>
                <v:imagedata o:title=""/>
                <o:lock v:ext="edit" aspectratio="f"/>
                <w10:anchorlock/>
              </v:line>
            </w:pict>
          </mc:Fallback>
        </mc:AlternateContent>
      </w:r>
    </w:p>
    <w:p w14:paraId="15085982">
      <w:pPr>
        <w:pStyle w:val="136"/>
        <w:framePr w:wrap="around" w:hAnchor="page" w:x="6685" w:y="14089"/>
      </w:pPr>
      <w:bookmarkStart w:id="2" w:name="SY"/>
      <w:r>
        <w:fldChar w:fldCharType="begin">
          <w:ffData>
            <w:name w:val="SY"/>
            <w:enabled/>
            <w:calcOnExit w:val="0"/>
            <w:entryMacro w:val="ShowHelp9"/>
            <w:textInput>
              <w:default w:val="XXXX"/>
              <w:maxLength w:val="4"/>
            </w:textInput>
          </w:ffData>
        </w:fldChar>
      </w:r>
      <w:r>
        <w:instrText xml:space="preserve"> FORMTEXT </w:instrText>
      </w:r>
      <w:r>
        <w:fldChar w:fldCharType="separate"/>
      </w:r>
      <w:r>
        <w:t>XXXX</w:t>
      </w:r>
      <w:r>
        <w:fldChar w:fldCharType="end"/>
      </w:r>
      <w:bookmarkEnd w:id="2"/>
      <w:r>
        <w:t xml:space="preserve"> - </w:t>
      </w:r>
      <w:bookmarkStart w:id="3" w:name="SM"/>
      <w:r>
        <w:fldChar w:fldCharType="begin">
          <w:ffData>
            <w:name w:val="SM"/>
            <w:enabled/>
            <w:calcOnExit w:val="0"/>
            <w:entryMacro w:val="ShowHelp9"/>
            <w:textInput>
              <w:default w:val="XX"/>
              <w:maxLength w:val="2"/>
            </w:textInput>
          </w:ffData>
        </w:fldChar>
      </w:r>
      <w:r>
        <w:instrText xml:space="preserve"> FORMTEXT </w:instrText>
      </w:r>
      <w:r>
        <w:fldChar w:fldCharType="separate"/>
      </w:r>
      <w:r>
        <w:t>XX</w:t>
      </w:r>
      <w:r>
        <w:fldChar w:fldCharType="end"/>
      </w:r>
      <w:bookmarkEnd w:id="3"/>
      <w:r>
        <w:t xml:space="preserve"> - </w:t>
      </w:r>
      <w:bookmarkStart w:id="4" w:name="SD"/>
      <w:r>
        <w:fldChar w:fldCharType="begin">
          <w:ffData>
            <w:name w:val="SD"/>
            <w:enabled/>
            <w:calcOnExit w:val="0"/>
            <w:entryMacro w:val="ShowHelp9"/>
            <w:textInput>
              <w:default w:val="XX"/>
              <w:maxLength w:val="2"/>
            </w:textInput>
          </w:ffData>
        </w:fldChar>
      </w:r>
      <w:r>
        <w:instrText xml:space="preserve"> FORMTEXT </w:instrText>
      </w:r>
      <w:r>
        <w:fldChar w:fldCharType="separate"/>
      </w:r>
      <w:r>
        <w:t>XX</w:t>
      </w:r>
      <w:r>
        <w:fldChar w:fldCharType="end"/>
      </w:r>
      <w:bookmarkEnd w:id="4"/>
      <w:r>
        <w:t>实施</w:t>
      </w:r>
    </w:p>
    <w:p w14:paraId="7C5E8D71">
      <w:pPr>
        <w:pStyle w:val="116"/>
        <w:framePr w:wrap="around"/>
        <w:rPr>
          <w:rFonts w:ascii="Times New Roman" w:eastAsiaTheme="minorEastAsia"/>
        </w:rPr>
      </w:pPr>
      <w:r>
        <w:rPr>
          <w:rFonts w:ascii="Times New Roman"/>
          <w:spacing w:val="0"/>
          <w:w w:val="100"/>
        </w:rPr>
        <w:t>安徽省市场监督管理局    发  布</w:t>
      </w:r>
    </w:p>
    <w:p w14:paraId="52651CC0">
      <w:pPr>
        <w:pStyle w:val="27"/>
        <w:rPr>
          <w:rFonts w:ascii="Times New Roman"/>
        </w:rPr>
        <w:sectPr>
          <w:footerReference r:id="rId5" w:type="default"/>
          <w:pgSz w:w="11906" w:h="16838"/>
          <w:pgMar w:top="567" w:right="850" w:bottom="1134" w:left="1418" w:header="0" w:footer="0" w:gutter="0"/>
          <w:pgNumType w:start="1"/>
          <w:cols w:space="425" w:num="1"/>
          <w:docGrid w:type="lines" w:linePitch="312" w:charSpace="0"/>
        </w:sectPr>
      </w:pPr>
      <w: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2339975</wp:posOffset>
                </wp:positionV>
                <wp:extent cx="6120130" cy="0"/>
                <wp:effectExtent l="0" t="0" r="0" b="0"/>
                <wp:wrapNone/>
                <wp:docPr id="2" name="直线 2"/>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2" o:spid="_x0000_s1026" o:spt="20" style="position:absolute;left:0pt;margin-left:-0.05pt;margin-top:184.25pt;height:0pt;width:481.9pt;z-index:25166028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QkHiX9cAAAAJAQAADwAA&#10;AAAAAAABACAAAAAiAAAAZHJzL2Rvd25yZXYueG1sUEsBAhQAFAAAAAgAh07iQM18UVbeAQAAzwMA&#10;AA4AAAAAAAAAAQAgAAAAJgEAAGRycy9lMm9Eb2MueG1sUEsFBgAAAAAGAAYAWQEAAHYFAAAAAA==&#10;">
                <v:fill on="f" focussize="0,0"/>
                <v:stroke color="#000000" joinstyle="round"/>
                <v:imagedata o:title=""/>
                <o:lock v:ext="edit" aspectratio="f"/>
              </v:line>
            </w:pict>
          </mc:Fallback>
        </mc:AlternateContent>
      </w:r>
    </w:p>
    <w:p w14:paraId="0C0CDB2D">
      <w:pPr>
        <w:pStyle w:val="56"/>
        <w:rPr>
          <w:rFonts w:ascii="Times New Roman"/>
          <w:bCs/>
        </w:rPr>
      </w:pPr>
      <w:bookmarkStart w:id="5" w:name="_Toc212101634"/>
      <w:bookmarkStart w:id="6" w:name="_Toc87887107"/>
      <w:r>
        <w:rPr>
          <w:rFonts w:hint="eastAsia" w:ascii="Times New Roman"/>
          <w:bCs/>
        </w:rPr>
        <w:t xml:space="preserve">目 </w:t>
      </w:r>
      <w:r>
        <w:rPr>
          <w:rFonts w:ascii="Times New Roman"/>
          <w:bCs/>
        </w:rPr>
        <w:t xml:space="preserve"> </w:t>
      </w:r>
      <w:r>
        <w:rPr>
          <w:rFonts w:hint="eastAsia" w:ascii="Times New Roman"/>
          <w:bCs/>
        </w:rPr>
        <w:t>次</w:t>
      </w:r>
      <w:bookmarkEnd w:id="5"/>
    </w:p>
    <w:p w14:paraId="644116A0">
      <w:pPr>
        <w:pStyle w:val="23"/>
        <w:spacing w:before="78" w:after="78"/>
        <w:jc w:val="center"/>
        <w:rPr>
          <w:rStyle w:val="43"/>
          <w:rFonts w:ascii="Times New Roman"/>
          <w:bCs/>
          <w:color w:val="auto"/>
          <w:u w:val="none"/>
        </w:rPr>
      </w:pPr>
      <w:r>
        <w:rPr>
          <w:rStyle w:val="43"/>
          <w:rFonts w:hint="eastAsia" w:ascii="Times New Roman"/>
          <w:bCs/>
          <w:color w:val="auto"/>
          <w:u w:val="none"/>
        </w:rPr>
        <w:t>前  言</w:t>
      </w:r>
      <w:r>
        <w:rPr>
          <w:rStyle w:val="43"/>
          <w:rFonts w:hint="eastAsia" w:ascii="Times New Roman"/>
          <w:bCs/>
          <w:color w:val="auto"/>
          <w:u w:val="none"/>
        </w:rPr>
        <w:tab/>
      </w:r>
      <w:r>
        <w:rPr>
          <w:rStyle w:val="43"/>
          <w:rFonts w:hint="eastAsia" w:ascii="Times New Roman"/>
          <w:bCs/>
          <w:color w:val="auto"/>
          <w:u w:val="none"/>
        </w:rPr>
        <w:t>II</w:t>
      </w:r>
    </w:p>
    <w:p w14:paraId="300DEAB1">
      <w:pPr>
        <w:pStyle w:val="23"/>
        <w:spacing w:before="78" w:after="78"/>
        <w:rPr>
          <w:rStyle w:val="43"/>
          <w:rFonts w:ascii="Times New Roman"/>
          <w:bCs/>
          <w:color w:val="auto"/>
          <w:u w:val="none"/>
        </w:rPr>
      </w:pPr>
      <w:r>
        <w:rPr>
          <w:rStyle w:val="43"/>
          <w:rFonts w:hint="eastAsia" w:ascii="Times New Roman"/>
          <w:bCs/>
          <w:color w:val="auto"/>
          <w:u w:val="none"/>
        </w:rPr>
        <w:t>1 范围</w:t>
      </w:r>
      <w:r>
        <w:rPr>
          <w:rStyle w:val="43"/>
          <w:rFonts w:hint="eastAsia" w:ascii="Times New Roman"/>
          <w:bCs/>
          <w:color w:val="auto"/>
          <w:u w:val="none"/>
        </w:rPr>
        <w:tab/>
      </w:r>
      <w:r>
        <w:rPr>
          <w:rStyle w:val="43"/>
          <w:rFonts w:hint="eastAsia" w:ascii="Times New Roman"/>
          <w:bCs/>
          <w:color w:val="auto"/>
          <w:u w:val="none"/>
        </w:rPr>
        <w:t>1</w:t>
      </w:r>
    </w:p>
    <w:p w14:paraId="20F157BA">
      <w:pPr>
        <w:pStyle w:val="23"/>
        <w:spacing w:before="78" w:after="78"/>
        <w:rPr>
          <w:rStyle w:val="43"/>
          <w:rFonts w:ascii="Times New Roman"/>
          <w:bCs/>
          <w:color w:val="auto"/>
          <w:u w:val="none"/>
        </w:rPr>
      </w:pPr>
      <w:r>
        <w:rPr>
          <w:rStyle w:val="43"/>
          <w:rFonts w:hint="eastAsia" w:ascii="Times New Roman"/>
          <w:bCs/>
          <w:color w:val="auto"/>
          <w:u w:val="none"/>
        </w:rPr>
        <w:t>2 规范性引用文件</w:t>
      </w:r>
      <w:r>
        <w:rPr>
          <w:rStyle w:val="43"/>
          <w:rFonts w:hint="eastAsia" w:ascii="Times New Roman"/>
          <w:bCs/>
          <w:color w:val="auto"/>
          <w:u w:val="none"/>
        </w:rPr>
        <w:tab/>
      </w:r>
      <w:r>
        <w:rPr>
          <w:rStyle w:val="43"/>
          <w:rFonts w:hint="eastAsia" w:ascii="Times New Roman"/>
          <w:bCs/>
          <w:color w:val="auto"/>
          <w:u w:val="none"/>
        </w:rPr>
        <w:t>1</w:t>
      </w:r>
    </w:p>
    <w:p w14:paraId="65BF42B9">
      <w:pPr>
        <w:pStyle w:val="23"/>
        <w:spacing w:before="78" w:after="78"/>
        <w:rPr>
          <w:rStyle w:val="43"/>
          <w:rFonts w:ascii="Times New Roman"/>
          <w:bCs/>
          <w:color w:val="auto"/>
          <w:u w:val="none"/>
        </w:rPr>
      </w:pPr>
      <w:r>
        <w:rPr>
          <w:rStyle w:val="43"/>
          <w:rFonts w:hint="eastAsia" w:ascii="Times New Roman"/>
          <w:bCs/>
          <w:color w:val="auto"/>
          <w:u w:val="none"/>
        </w:rPr>
        <w:t>3 术语和定义</w:t>
      </w:r>
      <w:r>
        <w:rPr>
          <w:rStyle w:val="43"/>
          <w:rFonts w:hint="eastAsia" w:ascii="Times New Roman"/>
          <w:bCs/>
          <w:color w:val="auto"/>
          <w:u w:val="none"/>
        </w:rPr>
        <w:tab/>
      </w:r>
      <w:r>
        <w:rPr>
          <w:rStyle w:val="43"/>
          <w:rFonts w:hint="eastAsia" w:ascii="Times New Roman"/>
          <w:bCs/>
          <w:color w:val="auto"/>
          <w:u w:val="none"/>
        </w:rPr>
        <w:t>1</w:t>
      </w:r>
    </w:p>
    <w:p w14:paraId="756FB056">
      <w:pPr>
        <w:pStyle w:val="23"/>
        <w:spacing w:before="78" w:after="78"/>
        <w:rPr>
          <w:rStyle w:val="43"/>
          <w:rFonts w:ascii="Times New Roman"/>
          <w:bCs/>
          <w:color w:val="auto"/>
          <w:u w:val="none"/>
        </w:rPr>
      </w:pPr>
      <w:r>
        <w:rPr>
          <w:rStyle w:val="43"/>
          <w:rFonts w:hint="eastAsia" w:ascii="Times New Roman"/>
          <w:bCs/>
          <w:color w:val="auto"/>
          <w:u w:val="none"/>
        </w:rPr>
        <w:t>4 建设布局</w:t>
      </w:r>
      <w:r>
        <w:rPr>
          <w:rStyle w:val="43"/>
          <w:rFonts w:hint="eastAsia" w:ascii="Times New Roman"/>
          <w:bCs/>
          <w:color w:val="auto"/>
          <w:u w:val="none"/>
        </w:rPr>
        <w:tab/>
      </w:r>
      <w:r>
        <w:rPr>
          <w:rStyle w:val="43"/>
          <w:rFonts w:ascii="Times New Roman"/>
          <w:bCs/>
          <w:color w:val="auto"/>
          <w:u w:val="none"/>
        </w:rPr>
        <w:t>3</w:t>
      </w:r>
    </w:p>
    <w:p w14:paraId="58CCBA1E">
      <w:pPr>
        <w:pStyle w:val="23"/>
        <w:spacing w:before="78" w:after="78"/>
        <w:ind w:firstLine="210" w:firstLineChars="100"/>
        <w:rPr>
          <w:rStyle w:val="43"/>
          <w:rFonts w:ascii="Times New Roman"/>
          <w:bCs/>
          <w:color w:val="auto"/>
          <w:u w:val="none"/>
        </w:rPr>
      </w:pPr>
      <w:r>
        <w:rPr>
          <w:rStyle w:val="43"/>
          <w:rFonts w:hint="eastAsia" w:ascii="Times New Roman"/>
          <w:bCs/>
          <w:color w:val="auto"/>
          <w:u w:val="none"/>
        </w:rPr>
        <w:t>4.1 选址原则</w:t>
      </w:r>
      <w:r>
        <w:rPr>
          <w:rStyle w:val="43"/>
          <w:rFonts w:hint="eastAsia" w:ascii="Times New Roman"/>
          <w:bCs/>
          <w:color w:val="auto"/>
          <w:u w:val="none"/>
        </w:rPr>
        <w:tab/>
      </w:r>
      <w:r>
        <w:rPr>
          <w:rStyle w:val="43"/>
          <w:rFonts w:hint="eastAsia" w:ascii="Times New Roman"/>
          <w:bCs/>
          <w:color w:val="auto"/>
          <w:u w:val="none"/>
        </w:rPr>
        <w:t>3</w:t>
      </w:r>
    </w:p>
    <w:p w14:paraId="410CF9E0">
      <w:pPr>
        <w:pStyle w:val="23"/>
        <w:spacing w:before="78" w:after="78"/>
        <w:ind w:firstLine="210" w:firstLineChars="100"/>
        <w:rPr>
          <w:rStyle w:val="43"/>
          <w:rFonts w:ascii="Times New Roman"/>
          <w:bCs/>
          <w:color w:val="auto"/>
          <w:u w:val="none"/>
        </w:rPr>
      </w:pPr>
      <w:r>
        <w:rPr>
          <w:rStyle w:val="43"/>
          <w:rFonts w:hint="eastAsia" w:ascii="Times New Roman"/>
          <w:bCs/>
          <w:color w:val="auto"/>
          <w:u w:val="none"/>
        </w:rPr>
        <w:t>4.2 平面设置</w:t>
      </w:r>
      <w:r>
        <w:rPr>
          <w:rStyle w:val="43"/>
          <w:rFonts w:hint="eastAsia" w:ascii="Times New Roman"/>
          <w:bCs/>
          <w:color w:val="auto"/>
          <w:u w:val="none"/>
        </w:rPr>
        <w:tab/>
      </w:r>
      <w:r>
        <w:rPr>
          <w:rStyle w:val="43"/>
          <w:rFonts w:hint="eastAsia" w:ascii="Times New Roman"/>
          <w:bCs/>
          <w:color w:val="auto"/>
          <w:u w:val="none"/>
        </w:rPr>
        <w:t>3</w:t>
      </w:r>
    </w:p>
    <w:p w14:paraId="29DACC36">
      <w:pPr>
        <w:pStyle w:val="23"/>
        <w:spacing w:before="78" w:after="78"/>
        <w:ind w:firstLine="210" w:firstLineChars="100"/>
        <w:rPr>
          <w:rStyle w:val="43"/>
          <w:rFonts w:ascii="Times New Roman"/>
          <w:bCs/>
          <w:color w:val="auto"/>
          <w:u w:val="none"/>
        </w:rPr>
      </w:pPr>
      <w:r>
        <w:rPr>
          <w:rStyle w:val="43"/>
          <w:rFonts w:hint="eastAsia" w:ascii="Times New Roman"/>
          <w:bCs/>
          <w:color w:val="auto"/>
          <w:u w:val="none"/>
        </w:rPr>
        <w:t>4.3 出入口</w:t>
      </w:r>
      <w:r>
        <w:rPr>
          <w:rStyle w:val="43"/>
          <w:rFonts w:hint="eastAsia" w:ascii="Times New Roman"/>
          <w:bCs/>
          <w:color w:val="auto"/>
          <w:u w:val="none"/>
        </w:rPr>
        <w:tab/>
      </w:r>
      <w:r>
        <w:rPr>
          <w:rStyle w:val="43"/>
          <w:rFonts w:hint="eastAsia" w:ascii="Times New Roman"/>
          <w:bCs/>
          <w:color w:val="auto"/>
          <w:u w:val="none"/>
        </w:rPr>
        <w:t>3</w:t>
      </w:r>
    </w:p>
    <w:p w14:paraId="49D8F22F">
      <w:pPr>
        <w:pStyle w:val="23"/>
        <w:spacing w:before="78" w:after="78"/>
        <w:ind w:firstLine="210" w:firstLineChars="100"/>
        <w:rPr>
          <w:rStyle w:val="43"/>
          <w:rFonts w:ascii="Times New Roman"/>
          <w:bCs/>
          <w:color w:val="auto"/>
          <w:u w:val="none"/>
        </w:rPr>
      </w:pPr>
      <w:r>
        <w:rPr>
          <w:rStyle w:val="43"/>
          <w:rFonts w:hint="eastAsia" w:ascii="Times New Roman"/>
          <w:bCs/>
          <w:color w:val="auto"/>
          <w:u w:val="none"/>
        </w:rPr>
        <w:t>4.4 行车道</w:t>
      </w:r>
      <w:r>
        <w:rPr>
          <w:rStyle w:val="43"/>
          <w:rFonts w:hint="eastAsia" w:ascii="Times New Roman"/>
          <w:bCs/>
          <w:color w:val="auto"/>
          <w:u w:val="none"/>
        </w:rPr>
        <w:tab/>
      </w:r>
      <w:r>
        <w:rPr>
          <w:rStyle w:val="43"/>
          <w:rFonts w:ascii="Times New Roman"/>
          <w:bCs/>
          <w:color w:val="auto"/>
          <w:u w:val="none"/>
        </w:rPr>
        <w:t>4</w:t>
      </w:r>
    </w:p>
    <w:p w14:paraId="22CFC241">
      <w:pPr>
        <w:pStyle w:val="23"/>
        <w:spacing w:before="78" w:after="78"/>
        <w:ind w:firstLine="210" w:firstLineChars="100"/>
        <w:rPr>
          <w:rStyle w:val="43"/>
          <w:rFonts w:ascii="Times New Roman"/>
          <w:bCs/>
          <w:color w:val="auto"/>
          <w:u w:val="none"/>
        </w:rPr>
      </w:pPr>
      <w:r>
        <w:rPr>
          <w:rStyle w:val="43"/>
          <w:rFonts w:hint="eastAsia" w:ascii="Times New Roman"/>
          <w:bCs/>
          <w:color w:val="auto"/>
          <w:u w:val="none"/>
        </w:rPr>
        <w:t>4.5 停车区</w:t>
      </w:r>
      <w:r>
        <w:rPr>
          <w:rStyle w:val="43"/>
          <w:rFonts w:hint="eastAsia" w:ascii="Times New Roman"/>
          <w:bCs/>
          <w:color w:val="auto"/>
          <w:u w:val="none"/>
        </w:rPr>
        <w:tab/>
      </w:r>
      <w:r>
        <w:rPr>
          <w:rStyle w:val="43"/>
          <w:rFonts w:ascii="Times New Roman"/>
          <w:bCs/>
          <w:color w:val="auto"/>
          <w:u w:val="none"/>
        </w:rPr>
        <w:t>4</w:t>
      </w:r>
    </w:p>
    <w:p w14:paraId="175BEE8A">
      <w:pPr>
        <w:pStyle w:val="23"/>
        <w:spacing w:before="78" w:after="78"/>
        <w:ind w:firstLine="210" w:firstLineChars="100"/>
        <w:rPr>
          <w:rStyle w:val="43"/>
          <w:rFonts w:ascii="Times New Roman"/>
          <w:bCs/>
          <w:color w:val="auto"/>
          <w:u w:val="none"/>
        </w:rPr>
      </w:pPr>
      <w:r>
        <w:rPr>
          <w:rStyle w:val="43"/>
          <w:rFonts w:hint="eastAsia" w:ascii="Times New Roman"/>
          <w:bCs/>
          <w:color w:val="auto"/>
          <w:u w:val="none"/>
        </w:rPr>
        <w:t>4.6 管理区</w:t>
      </w:r>
      <w:r>
        <w:rPr>
          <w:rStyle w:val="43"/>
          <w:rFonts w:hint="eastAsia" w:ascii="Times New Roman"/>
          <w:bCs/>
          <w:color w:val="auto"/>
          <w:u w:val="none"/>
        </w:rPr>
        <w:tab/>
      </w:r>
      <w:r>
        <w:rPr>
          <w:rStyle w:val="43"/>
          <w:rFonts w:ascii="Times New Roman"/>
          <w:bCs/>
          <w:color w:val="auto"/>
          <w:u w:val="none"/>
        </w:rPr>
        <w:t>5</w:t>
      </w:r>
    </w:p>
    <w:p w14:paraId="3CDADD14">
      <w:pPr>
        <w:pStyle w:val="23"/>
        <w:spacing w:before="78" w:after="78"/>
        <w:rPr>
          <w:rStyle w:val="43"/>
          <w:rFonts w:ascii="Times New Roman"/>
          <w:bCs/>
          <w:color w:val="auto"/>
          <w:u w:val="none"/>
        </w:rPr>
      </w:pPr>
      <w:r>
        <w:rPr>
          <w:rStyle w:val="43"/>
          <w:rFonts w:hint="eastAsia" w:ascii="Times New Roman"/>
          <w:bCs/>
          <w:color w:val="auto"/>
          <w:u w:val="none"/>
        </w:rPr>
        <w:t>5 标志标线</w:t>
      </w:r>
      <w:r>
        <w:rPr>
          <w:rStyle w:val="43"/>
          <w:rFonts w:hint="eastAsia" w:ascii="Times New Roman"/>
          <w:bCs/>
          <w:color w:val="auto"/>
          <w:u w:val="none"/>
        </w:rPr>
        <w:tab/>
      </w:r>
      <w:r>
        <w:rPr>
          <w:rStyle w:val="43"/>
          <w:rFonts w:ascii="Times New Roman"/>
          <w:bCs/>
          <w:color w:val="auto"/>
          <w:u w:val="none"/>
        </w:rPr>
        <w:t>6</w:t>
      </w:r>
    </w:p>
    <w:p w14:paraId="336023E7">
      <w:pPr>
        <w:pStyle w:val="23"/>
        <w:spacing w:before="78" w:after="78"/>
        <w:rPr>
          <w:rStyle w:val="43"/>
          <w:rFonts w:ascii="Times New Roman"/>
          <w:bCs/>
          <w:color w:val="auto"/>
          <w:u w:val="none"/>
        </w:rPr>
      </w:pPr>
      <w:r>
        <w:rPr>
          <w:rStyle w:val="43"/>
          <w:rFonts w:ascii="Times New Roman"/>
          <w:bCs/>
          <w:color w:val="auto"/>
          <w:u w:val="none"/>
        </w:rPr>
        <w:t>6</w:t>
      </w:r>
      <w:r>
        <w:rPr>
          <w:rStyle w:val="43"/>
          <w:rFonts w:hint="eastAsia" w:ascii="Times New Roman"/>
          <w:bCs/>
          <w:color w:val="auto"/>
          <w:u w:val="none"/>
        </w:rPr>
        <w:t xml:space="preserve"> 安全防护</w:t>
      </w:r>
      <w:r>
        <w:rPr>
          <w:rStyle w:val="43"/>
          <w:rFonts w:hint="eastAsia" w:ascii="Times New Roman"/>
          <w:bCs/>
          <w:color w:val="auto"/>
          <w:u w:val="none"/>
        </w:rPr>
        <w:tab/>
      </w:r>
      <w:r>
        <w:rPr>
          <w:rStyle w:val="43"/>
          <w:rFonts w:hint="eastAsia" w:ascii="Times New Roman"/>
          <w:bCs/>
          <w:color w:val="auto"/>
          <w:u w:val="none"/>
        </w:rPr>
        <w:t>6</w:t>
      </w:r>
    </w:p>
    <w:p w14:paraId="0A4E3461">
      <w:pPr>
        <w:pStyle w:val="23"/>
        <w:spacing w:before="78" w:after="78"/>
        <w:rPr>
          <w:rStyle w:val="43"/>
          <w:rFonts w:ascii="Times New Roman"/>
          <w:bCs/>
          <w:color w:val="auto"/>
          <w:u w:val="none"/>
        </w:rPr>
      </w:pPr>
      <w:r>
        <w:rPr>
          <w:rStyle w:val="43"/>
          <w:rFonts w:ascii="Times New Roman"/>
          <w:bCs/>
          <w:color w:val="auto"/>
          <w:u w:val="none"/>
        </w:rPr>
        <w:t>7</w:t>
      </w:r>
      <w:r>
        <w:rPr>
          <w:rStyle w:val="43"/>
          <w:rFonts w:hint="eastAsia" w:ascii="Times New Roman"/>
          <w:bCs/>
          <w:color w:val="auto"/>
          <w:u w:val="none"/>
        </w:rPr>
        <w:t xml:space="preserve"> 消防应急设施</w:t>
      </w:r>
      <w:r>
        <w:rPr>
          <w:rStyle w:val="43"/>
          <w:rFonts w:hint="eastAsia" w:ascii="Times New Roman"/>
          <w:bCs/>
          <w:color w:val="auto"/>
          <w:u w:val="none"/>
        </w:rPr>
        <w:tab/>
      </w:r>
      <w:r>
        <w:rPr>
          <w:rStyle w:val="43"/>
          <w:rFonts w:ascii="Times New Roman"/>
          <w:bCs/>
          <w:color w:val="auto"/>
          <w:u w:val="none"/>
        </w:rPr>
        <w:t>6</w:t>
      </w:r>
    </w:p>
    <w:p w14:paraId="753C3072">
      <w:pPr>
        <w:pStyle w:val="23"/>
        <w:spacing w:before="78" w:after="78"/>
        <w:rPr>
          <w:rStyle w:val="43"/>
          <w:rFonts w:ascii="Times New Roman"/>
          <w:bCs/>
          <w:color w:val="auto"/>
          <w:u w:val="none"/>
        </w:rPr>
      </w:pPr>
      <w:r>
        <w:rPr>
          <w:rStyle w:val="43"/>
          <w:rFonts w:ascii="Times New Roman"/>
          <w:bCs/>
          <w:color w:val="auto"/>
          <w:u w:val="none"/>
        </w:rPr>
        <w:t>8</w:t>
      </w:r>
      <w:r>
        <w:rPr>
          <w:rStyle w:val="43"/>
          <w:rFonts w:hint="eastAsia" w:ascii="Times New Roman"/>
          <w:bCs/>
          <w:color w:val="auto"/>
          <w:u w:val="none"/>
        </w:rPr>
        <w:t xml:space="preserve"> 运行管理</w:t>
      </w:r>
      <w:r>
        <w:rPr>
          <w:rStyle w:val="43"/>
          <w:rFonts w:hint="eastAsia" w:ascii="Times New Roman"/>
          <w:bCs/>
          <w:color w:val="auto"/>
          <w:u w:val="none"/>
        </w:rPr>
        <w:tab/>
      </w:r>
      <w:r>
        <w:rPr>
          <w:rStyle w:val="43"/>
          <w:rFonts w:ascii="Times New Roman"/>
          <w:bCs/>
          <w:color w:val="auto"/>
          <w:u w:val="none"/>
        </w:rPr>
        <w:t>7</w:t>
      </w:r>
    </w:p>
    <w:p w14:paraId="211B82FF">
      <w:pPr>
        <w:pStyle w:val="23"/>
        <w:spacing w:before="78" w:after="78"/>
        <w:rPr>
          <w:rStyle w:val="43"/>
          <w:rFonts w:ascii="Times New Roman"/>
          <w:bCs/>
          <w:color w:val="auto"/>
          <w:u w:val="none"/>
        </w:rPr>
      </w:pPr>
      <w:r>
        <w:rPr>
          <w:rStyle w:val="43"/>
          <w:rFonts w:hint="eastAsia" w:ascii="Times New Roman"/>
          <w:bCs/>
          <w:color w:val="auto"/>
          <w:u w:val="none"/>
        </w:rPr>
        <w:t xml:space="preserve">附录A </w:t>
      </w:r>
      <w:r>
        <w:rPr>
          <w:rStyle w:val="43"/>
          <w:rFonts w:ascii="Times New Roman"/>
          <w:bCs/>
          <w:color w:val="auto"/>
          <w:u w:val="none"/>
        </w:rPr>
        <w:t xml:space="preserve"> </w:t>
      </w:r>
      <w:r>
        <w:rPr>
          <w:rStyle w:val="43"/>
          <w:rFonts w:hint="eastAsia" w:ascii="Times New Roman"/>
          <w:bCs/>
          <w:color w:val="auto"/>
          <w:u w:val="none"/>
        </w:rPr>
        <w:t>专用停车场标志牌示例</w:t>
      </w:r>
      <w:r>
        <w:rPr>
          <w:rStyle w:val="43"/>
          <w:rFonts w:hint="eastAsia" w:ascii="Times New Roman"/>
          <w:bCs/>
          <w:color w:val="auto"/>
          <w:u w:val="none"/>
        </w:rPr>
        <w:tab/>
      </w:r>
      <w:r>
        <w:rPr>
          <w:rStyle w:val="43"/>
          <w:rFonts w:ascii="Times New Roman"/>
          <w:bCs/>
          <w:color w:val="auto"/>
          <w:u w:val="none"/>
        </w:rPr>
        <w:t>8</w:t>
      </w:r>
    </w:p>
    <w:p w14:paraId="377D3499">
      <w:pPr>
        <w:pStyle w:val="23"/>
        <w:spacing w:before="78" w:after="78"/>
      </w:pPr>
      <w:r>
        <w:rPr>
          <w:rStyle w:val="43"/>
          <w:rFonts w:hint="eastAsia" w:ascii="Times New Roman"/>
          <w:bCs/>
          <w:color w:val="auto"/>
          <w:u w:val="none"/>
        </w:rPr>
        <w:t>附录</w:t>
      </w:r>
      <w:r>
        <w:rPr>
          <w:rStyle w:val="43"/>
          <w:rFonts w:ascii="Times New Roman"/>
          <w:bCs/>
          <w:color w:val="auto"/>
          <w:u w:val="none"/>
        </w:rPr>
        <w:t>B</w:t>
      </w:r>
      <w:r>
        <w:rPr>
          <w:rStyle w:val="43"/>
          <w:rFonts w:hint="eastAsia" w:ascii="Times New Roman"/>
          <w:bCs/>
          <w:color w:val="auto"/>
          <w:u w:val="none"/>
        </w:rPr>
        <w:t xml:space="preserve"> </w:t>
      </w:r>
      <w:r>
        <w:rPr>
          <w:rStyle w:val="43"/>
          <w:rFonts w:ascii="Times New Roman"/>
          <w:bCs/>
          <w:color w:val="auto"/>
          <w:u w:val="none"/>
        </w:rPr>
        <w:t xml:space="preserve"> </w:t>
      </w:r>
      <w:r>
        <w:rPr>
          <w:rStyle w:val="43"/>
          <w:rFonts w:hint="eastAsia" w:ascii="Times New Roman"/>
          <w:bCs/>
          <w:color w:val="auto"/>
          <w:u w:val="none"/>
        </w:rPr>
        <w:t>专用停车场车辆出入登记表</w:t>
      </w:r>
      <w:r>
        <w:rPr>
          <w:rStyle w:val="43"/>
          <w:rFonts w:hint="eastAsia" w:ascii="Times New Roman"/>
          <w:bCs/>
          <w:color w:val="auto"/>
          <w:u w:val="none"/>
        </w:rPr>
        <w:tab/>
      </w:r>
      <w:r>
        <w:rPr>
          <w:rStyle w:val="43"/>
          <w:rFonts w:ascii="Times New Roman"/>
          <w:bCs/>
          <w:color w:val="auto"/>
          <w:u w:val="none"/>
        </w:rPr>
        <w:t>9</w:t>
      </w:r>
    </w:p>
    <w:p w14:paraId="5957A1C1">
      <w:pPr>
        <w:ind w:firstLine="420" w:firstLineChars="200"/>
        <w:sectPr>
          <w:footerReference r:id="rId6" w:type="default"/>
          <w:pgSz w:w="11906" w:h="16838"/>
          <w:pgMar w:top="1440" w:right="1800" w:bottom="1440" w:left="1800" w:header="851" w:footer="992" w:gutter="0"/>
          <w:pgNumType w:fmt="upperRoman" w:start="1"/>
          <w:cols w:space="720" w:num="1"/>
          <w:docGrid w:type="lines" w:linePitch="312" w:charSpace="0"/>
        </w:sectPr>
      </w:pPr>
    </w:p>
    <w:bookmarkEnd w:id="6"/>
    <w:p w14:paraId="11E55098">
      <w:pPr>
        <w:pStyle w:val="56"/>
        <w:rPr>
          <w:rFonts w:ascii="Times New Roman"/>
        </w:rPr>
      </w:pPr>
      <w:r>
        <w:rPr>
          <w:rFonts w:hint="eastAsia" w:ascii="Times New Roman"/>
        </w:rPr>
        <w:t>前  言</w:t>
      </w:r>
    </w:p>
    <w:p w14:paraId="255184C7">
      <w:pPr>
        <w:pStyle w:val="148"/>
        <w:spacing w:afterLines="0" w:line="240" w:lineRule="auto"/>
        <w:ind w:firstLine="420" w:firstLineChars="200"/>
        <w:rPr>
          <w:rFonts w:hint="eastAsia" w:ascii="宋体" w:hAnsi="宋体"/>
          <w:sz w:val="21"/>
          <w:szCs w:val="21"/>
        </w:rPr>
      </w:pPr>
      <w:r>
        <w:rPr>
          <w:rFonts w:hint="eastAsia" w:ascii="宋体" w:hAnsi="宋体"/>
          <w:sz w:val="21"/>
          <w:szCs w:val="21"/>
        </w:rPr>
        <w:t>本文件按照GB/T 1.1—2020《标准化工作导则 第1部分：标准化文件的结构和起草规则》的规定起草。</w:t>
      </w:r>
    </w:p>
    <w:p w14:paraId="435F8A8E">
      <w:pPr>
        <w:pStyle w:val="148"/>
        <w:spacing w:afterLines="0" w:line="240" w:lineRule="auto"/>
        <w:ind w:firstLine="420" w:firstLineChars="200"/>
        <w:rPr>
          <w:rFonts w:hint="eastAsia" w:ascii="宋体" w:hAnsi="宋体"/>
          <w:sz w:val="21"/>
          <w:szCs w:val="21"/>
        </w:rPr>
      </w:pPr>
      <w:r>
        <w:rPr>
          <w:rFonts w:hint="eastAsia" w:ascii="宋体" w:hAnsi="宋体"/>
          <w:sz w:val="21"/>
          <w:szCs w:val="21"/>
        </w:rPr>
        <w:t>请注意本文件的某些内容可能涉及专利。本文件的发布机构不承担识别专利的责任。</w:t>
      </w:r>
    </w:p>
    <w:p w14:paraId="43532F45">
      <w:pPr>
        <w:pStyle w:val="148"/>
        <w:spacing w:afterLines="0" w:line="240" w:lineRule="auto"/>
        <w:ind w:firstLine="420" w:firstLineChars="200"/>
        <w:rPr>
          <w:rFonts w:hint="eastAsia" w:ascii="宋体" w:hAnsi="宋体"/>
          <w:sz w:val="21"/>
          <w:szCs w:val="21"/>
        </w:rPr>
      </w:pPr>
      <w:r>
        <w:rPr>
          <w:rFonts w:hint="eastAsia" w:ascii="宋体" w:hAnsi="宋体"/>
          <w:sz w:val="21"/>
          <w:szCs w:val="21"/>
        </w:rPr>
        <w:t>本文件由安徽省交通运输厅归口。</w:t>
      </w:r>
    </w:p>
    <w:p w14:paraId="6949410E">
      <w:pPr>
        <w:pStyle w:val="148"/>
        <w:spacing w:afterLines="0" w:line="240" w:lineRule="auto"/>
        <w:ind w:firstLine="420" w:firstLineChars="200"/>
        <w:rPr>
          <w:rFonts w:hint="eastAsia" w:ascii="宋体" w:hAnsi="宋体"/>
          <w:sz w:val="21"/>
          <w:szCs w:val="21"/>
        </w:rPr>
      </w:pPr>
      <w:r>
        <w:rPr>
          <w:rFonts w:hint="eastAsia" w:ascii="宋体" w:hAnsi="宋体"/>
          <w:sz w:val="21"/>
          <w:szCs w:val="21"/>
        </w:rPr>
        <w:t>本文件起草单位： 安徽省道路运输管理服务中心、合肥工业大学、安徽省交通运输厅、中铁二十四局集团安徽工程有限公司、合肥市道路运输管理服务中心。</w:t>
      </w:r>
    </w:p>
    <w:p w14:paraId="3A51B1DE">
      <w:pPr>
        <w:pStyle w:val="148"/>
        <w:spacing w:afterLines="0" w:line="240" w:lineRule="auto"/>
        <w:ind w:firstLine="420" w:firstLineChars="200"/>
        <w:rPr>
          <w:rFonts w:hint="eastAsia" w:ascii="宋体" w:hAnsi="宋体"/>
          <w:sz w:val="21"/>
          <w:szCs w:val="21"/>
        </w:rPr>
      </w:pPr>
      <w:r>
        <w:rPr>
          <w:rFonts w:hint="eastAsia" w:ascii="宋体" w:hAnsi="宋体"/>
          <w:sz w:val="21"/>
          <w:szCs w:val="21"/>
        </w:rPr>
        <w:t xml:space="preserve">本文件主要起草人： </w:t>
      </w:r>
    </w:p>
    <w:p w14:paraId="6B216E2F">
      <w:pPr>
        <w:pStyle w:val="56"/>
        <w:outlineLvl w:val="9"/>
        <w:rPr>
          <w:rFonts w:ascii="Times New Roman"/>
        </w:rPr>
      </w:pPr>
      <w:r>
        <w:rPr>
          <w:rFonts w:hint="eastAsia" w:ascii="Times New Roman"/>
        </w:rPr>
        <w:t>危险货物道路运输企业专用停车场技术要求</w:t>
      </w:r>
    </w:p>
    <w:p w14:paraId="7C8CE76C">
      <w:pPr>
        <w:pStyle w:val="50"/>
        <w:spacing w:before="312" w:after="312"/>
        <w:rPr>
          <w:rFonts w:ascii="Times New Roman" w:eastAsia="宋体"/>
        </w:rPr>
      </w:pPr>
      <w:bookmarkStart w:id="7" w:name="_Toc87887109"/>
      <w:bookmarkStart w:id="8" w:name="_Toc212101635"/>
      <w:bookmarkStart w:id="9" w:name="_Toc13238"/>
      <w:bookmarkStart w:id="10" w:name="_Toc120713756"/>
      <w:r>
        <w:rPr>
          <w:rFonts w:ascii="Times New Roman"/>
        </w:rPr>
        <w:t>范围</w:t>
      </w:r>
      <w:bookmarkEnd w:id="7"/>
      <w:bookmarkEnd w:id="8"/>
      <w:bookmarkEnd w:id="9"/>
      <w:bookmarkEnd w:id="10"/>
    </w:p>
    <w:p w14:paraId="44971F3B">
      <w:pPr>
        <w:pStyle w:val="27"/>
        <w:rPr>
          <w:rFonts w:ascii="Times New Roman"/>
        </w:rPr>
      </w:pPr>
      <w:r>
        <w:rPr>
          <w:rFonts w:hint="eastAsia" w:ascii="Times New Roman"/>
        </w:rPr>
        <w:t>本文件规定了危险货物道路运输企业专用停车场的建设布局、标志标线、安全防护、消防应急设施及运行管理的技术要求</w:t>
      </w:r>
      <w:r>
        <w:rPr>
          <w:rFonts w:ascii="Times New Roman"/>
        </w:rPr>
        <w:t>。</w:t>
      </w:r>
    </w:p>
    <w:p w14:paraId="74960428">
      <w:pPr>
        <w:pStyle w:val="27"/>
        <w:rPr>
          <w:rFonts w:ascii="Times New Roman"/>
        </w:rPr>
      </w:pPr>
      <w:r>
        <w:rPr>
          <w:rFonts w:hint="eastAsia" w:ascii="Times New Roman"/>
        </w:rPr>
        <w:t>本文件适用于危险货物道路运输企业专用停车场的建设和管理</w:t>
      </w:r>
      <w:r>
        <w:rPr>
          <w:rFonts w:ascii="Times New Roman"/>
        </w:rPr>
        <w:t>。</w:t>
      </w:r>
    </w:p>
    <w:p w14:paraId="3A2A57AF">
      <w:pPr>
        <w:pStyle w:val="50"/>
        <w:spacing w:before="312" w:after="312"/>
        <w:rPr>
          <w:rFonts w:ascii="Times New Roman"/>
        </w:rPr>
      </w:pPr>
      <w:bookmarkStart w:id="11" w:name="_Toc25166"/>
      <w:bookmarkStart w:id="12" w:name="_Toc120713757"/>
      <w:bookmarkStart w:id="13" w:name="_Toc87887110"/>
      <w:bookmarkStart w:id="14" w:name="_Toc212101636"/>
      <w:r>
        <w:rPr>
          <w:rFonts w:ascii="Times New Roman"/>
        </w:rPr>
        <w:t>规范性引用文件</w:t>
      </w:r>
      <w:bookmarkEnd w:id="11"/>
      <w:bookmarkEnd w:id="12"/>
      <w:bookmarkEnd w:id="13"/>
      <w:bookmarkEnd w:id="14"/>
    </w:p>
    <w:p w14:paraId="0572B6CF">
      <w:pPr>
        <w:pStyle w:val="27"/>
        <w:rPr>
          <w:rFonts w:ascii="Times New Roman"/>
        </w:rPr>
      </w:pPr>
      <w:r>
        <w:rPr>
          <w:rFonts w:hint="eastAsia" w:ascii="Times New Roman"/>
        </w:rPr>
        <w:t>下列文件中的内容通过文中的规范性引用而构成本文件必不可少的条款。其中，注日期的引用文件，仅该日期对应的版本适用于本文件；不注日期的引用文件，其最新版本适用于本文件</w:t>
      </w:r>
      <w:r>
        <w:rPr>
          <w:rFonts w:ascii="Times New Roman"/>
        </w:rPr>
        <w:t>。</w:t>
      </w:r>
    </w:p>
    <w:p w14:paraId="1CDBDBB3">
      <w:pPr>
        <w:pStyle w:val="27"/>
        <w:rPr>
          <w:rFonts w:ascii="Times New Roman"/>
        </w:rPr>
      </w:pPr>
      <w:r>
        <w:rPr>
          <w:rFonts w:ascii="Times New Roman"/>
        </w:rPr>
        <w:t xml:space="preserve">GB 1589  </w:t>
      </w:r>
      <w:r>
        <w:rPr>
          <w:rFonts w:hint="eastAsia" w:ascii="Times New Roman"/>
        </w:rPr>
        <w:t>汽车、挂车及汽车列车外廓尺寸、轴荷及质量限值</w:t>
      </w:r>
    </w:p>
    <w:p w14:paraId="398813DB">
      <w:pPr>
        <w:pStyle w:val="27"/>
        <w:rPr>
          <w:rFonts w:ascii="Times New Roman"/>
        </w:rPr>
      </w:pPr>
      <w:r>
        <w:rPr>
          <w:rFonts w:hint="eastAsia" w:ascii="Times New Roman"/>
        </w:rPr>
        <w:t>GB 2894  安全色和安全标志</w:t>
      </w:r>
    </w:p>
    <w:p w14:paraId="346E8A62">
      <w:pPr>
        <w:pStyle w:val="27"/>
        <w:rPr>
          <w:rFonts w:ascii="Times New Roman"/>
        </w:rPr>
      </w:pPr>
      <w:r>
        <w:rPr>
          <w:rFonts w:hint="eastAsia" w:ascii="Times New Roman"/>
        </w:rPr>
        <w:t>GB 30077  危险化学品单位应急救援</w:t>
      </w:r>
      <w:r>
        <w:rPr>
          <w:rFonts w:hint="eastAsia" w:ascii="Times New Roman"/>
          <w:lang w:eastAsia="zh-CN"/>
        </w:rPr>
        <w:t>物资</w:t>
      </w:r>
      <w:r>
        <w:rPr>
          <w:rFonts w:hint="eastAsia" w:ascii="Times New Roman"/>
        </w:rPr>
        <w:t>配备要求</w:t>
      </w:r>
    </w:p>
    <w:p w14:paraId="0FBF9291">
      <w:pPr>
        <w:pStyle w:val="27"/>
        <w:rPr>
          <w:rFonts w:ascii="Times New Roman"/>
        </w:rPr>
      </w:pPr>
      <w:r>
        <w:rPr>
          <w:rFonts w:hint="eastAsia" w:ascii="Times New Roman"/>
        </w:rPr>
        <w:t>GB 500</w:t>
      </w:r>
      <w:r>
        <w:rPr>
          <w:rFonts w:ascii="Times New Roman"/>
        </w:rPr>
        <w:t>1</w:t>
      </w:r>
      <w:r>
        <w:rPr>
          <w:rFonts w:hint="eastAsia" w:ascii="Times New Roman"/>
        </w:rPr>
        <w:t>6  建筑设计防火规范</w:t>
      </w:r>
    </w:p>
    <w:p w14:paraId="43668AA9">
      <w:pPr>
        <w:pStyle w:val="27"/>
        <w:rPr>
          <w:rFonts w:ascii="Times New Roman"/>
        </w:rPr>
      </w:pPr>
      <w:r>
        <w:rPr>
          <w:rFonts w:hint="eastAsia" w:ascii="Times New Roman"/>
        </w:rPr>
        <w:t>GB 50036  消防设施通用规范</w:t>
      </w:r>
    </w:p>
    <w:p w14:paraId="4FE241E5">
      <w:pPr>
        <w:pStyle w:val="27"/>
        <w:rPr>
          <w:rFonts w:ascii="Times New Roman"/>
        </w:rPr>
      </w:pPr>
      <w:r>
        <w:rPr>
          <w:rFonts w:hint="eastAsia" w:ascii="Times New Roman"/>
        </w:rPr>
        <w:t>GB 50067  汽车库、修车库、停车场设计防火规范</w:t>
      </w:r>
    </w:p>
    <w:p w14:paraId="3606D97D">
      <w:pPr>
        <w:pStyle w:val="27"/>
        <w:rPr>
          <w:rFonts w:ascii="Times New Roman"/>
        </w:rPr>
      </w:pPr>
      <w:r>
        <w:rPr>
          <w:rFonts w:hint="eastAsia" w:ascii="Times New Roman"/>
        </w:rPr>
        <w:t>GB 50352  民用建筑设计统一标准</w:t>
      </w:r>
    </w:p>
    <w:p w14:paraId="3FD26E72">
      <w:pPr>
        <w:pStyle w:val="27"/>
        <w:rPr>
          <w:rFonts w:ascii="Times New Roman"/>
        </w:rPr>
      </w:pPr>
      <w:r>
        <w:rPr>
          <w:rFonts w:hint="eastAsia" w:ascii="Times New Roman"/>
        </w:rPr>
        <w:t>GB 55037  建筑设计防火通用规范</w:t>
      </w:r>
    </w:p>
    <w:p w14:paraId="06E3E3AF">
      <w:pPr>
        <w:pStyle w:val="27"/>
        <w:rPr>
          <w:rFonts w:ascii="Times New Roman"/>
        </w:rPr>
      </w:pPr>
      <w:r>
        <w:rPr>
          <w:rFonts w:hint="eastAsia" w:ascii="Times New Roman"/>
        </w:rPr>
        <w:t>GB 5768（所有部分）  道路交通标志和标线</w:t>
      </w:r>
    </w:p>
    <w:p w14:paraId="6FA26300">
      <w:pPr>
        <w:pStyle w:val="27"/>
        <w:rPr>
          <w:rFonts w:ascii="Times New Roman"/>
        </w:rPr>
      </w:pPr>
      <w:r>
        <w:rPr>
          <w:rFonts w:hint="eastAsia" w:ascii="Times New Roman"/>
        </w:rPr>
        <w:t>CJJ37  城市道路工程设计规范</w:t>
      </w:r>
    </w:p>
    <w:p w14:paraId="43BCDA35">
      <w:pPr>
        <w:pStyle w:val="27"/>
        <w:rPr>
          <w:rFonts w:ascii="Times New Roman"/>
        </w:rPr>
      </w:pPr>
      <w:r>
        <w:rPr>
          <w:rFonts w:hint="eastAsia" w:ascii="Times New Roman"/>
        </w:rPr>
        <w:t>JGJ100—2015  车库建筑设计规范</w:t>
      </w:r>
    </w:p>
    <w:p w14:paraId="3F0BE99D">
      <w:pPr>
        <w:pStyle w:val="50"/>
        <w:spacing w:before="312" w:after="312"/>
        <w:rPr>
          <w:rFonts w:ascii="Times New Roman"/>
        </w:rPr>
      </w:pPr>
      <w:bookmarkStart w:id="15" w:name="_Toc212101637"/>
      <w:bookmarkStart w:id="16" w:name="_Toc120713758"/>
      <w:bookmarkStart w:id="17" w:name="_Toc87887111"/>
      <w:bookmarkStart w:id="18" w:name="_Toc23610"/>
      <w:r>
        <w:rPr>
          <w:rFonts w:ascii="Times New Roman"/>
        </w:rPr>
        <w:t>术语和定义</w:t>
      </w:r>
      <w:bookmarkEnd w:id="15"/>
      <w:bookmarkEnd w:id="16"/>
      <w:bookmarkEnd w:id="17"/>
      <w:bookmarkEnd w:id="18"/>
    </w:p>
    <w:p w14:paraId="470DF504">
      <w:pPr>
        <w:pStyle w:val="27"/>
      </w:pPr>
      <w:r>
        <w:rPr>
          <w:rFonts w:hint="eastAsia"/>
        </w:rPr>
        <w:t>下列术语和定义适用于本文件。</w:t>
      </w:r>
    </w:p>
    <w:p w14:paraId="7D7D7124">
      <w:pPr>
        <w:pStyle w:val="47"/>
        <w:spacing w:before="156" w:after="156"/>
        <w:rPr>
          <w:rFonts w:ascii="Times New Roman"/>
        </w:rPr>
      </w:pPr>
      <w:r>
        <w:rPr>
          <w:rFonts w:hint="eastAsia" w:ascii="Times New Roman"/>
        </w:rPr>
        <w:t xml:space="preserve">危险货物 </w:t>
      </w:r>
      <w:r>
        <w:rPr>
          <w:rFonts w:hAnsi="黑体"/>
        </w:rPr>
        <w:t>dangerous goods</w:t>
      </w:r>
    </w:p>
    <w:p w14:paraId="506A7859">
      <w:pPr>
        <w:spacing w:line="360" w:lineRule="auto"/>
        <w:ind w:firstLine="420" w:firstLineChars="200"/>
        <w:rPr>
          <w:szCs w:val="21"/>
        </w:rPr>
      </w:pPr>
      <w:r>
        <w:rPr>
          <w:rFonts w:hint="eastAsia"/>
          <w:szCs w:val="21"/>
        </w:rPr>
        <w:t>具有爆炸、易燃、毒害、感染、腐蚀等危险特性，在生产、经营、运输、储存、使用和处置中，容易造成人身伤亡、财产损毁或者污染环境而需要特别防护的物质和物品。</w:t>
      </w:r>
    </w:p>
    <w:p w14:paraId="1F97DB5B">
      <w:pPr>
        <w:pStyle w:val="47"/>
        <w:spacing w:before="156" w:after="156"/>
        <w:rPr>
          <w:rFonts w:ascii="Times New Roman"/>
        </w:rPr>
      </w:pPr>
      <w:bookmarkStart w:id="19" w:name="_Toc212101638"/>
      <w:bookmarkEnd w:id="19"/>
      <w:bookmarkStart w:id="20" w:name="_Toc119928012"/>
      <w:bookmarkStart w:id="21" w:name="_Toc120713536"/>
      <w:bookmarkStart w:id="22" w:name="_Toc120698373"/>
      <w:bookmarkStart w:id="23" w:name="_Toc120713759"/>
    </w:p>
    <w:p w14:paraId="1FC6F08D">
      <w:pPr>
        <w:spacing w:line="360" w:lineRule="auto"/>
        <w:ind w:firstLine="420" w:firstLineChars="200"/>
        <w:rPr>
          <w:rFonts w:hint="eastAsia" w:ascii="黑体" w:hAnsi="黑体" w:eastAsia="黑体"/>
          <w:szCs w:val="21"/>
        </w:rPr>
      </w:pPr>
      <w:r>
        <w:rPr>
          <w:rFonts w:hint="eastAsia" w:ascii="黑体" w:hAnsi="黑体" w:eastAsia="黑体"/>
          <w:szCs w:val="21"/>
        </w:rPr>
        <w:t xml:space="preserve">危险货物道路运输车辆 </w:t>
      </w:r>
      <w:r>
        <w:rPr>
          <w:rFonts w:ascii="黑体" w:hAnsi="黑体" w:eastAsia="黑体"/>
          <w:szCs w:val="21"/>
        </w:rPr>
        <w:t xml:space="preserve">dangerous goods transportation </w:t>
      </w:r>
      <w:r>
        <w:rPr>
          <w:rFonts w:hint="eastAsia" w:ascii="黑体" w:hAnsi="黑体" w:eastAsia="黑体"/>
          <w:szCs w:val="21"/>
        </w:rPr>
        <w:t>vehicles</w:t>
      </w:r>
      <w:r>
        <w:rPr>
          <w:rFonts w:ascii="黑体" w:hAnsi="黑体" w:eastAsia="黑体"/>
          <w:szCs w:val="21"/>
        </w:rPr>
        <w:t xml:space="preserve"> </w:t>
      </w:r>
    </w:p>
    <w:p w14:paraId="2E07176F">
      <w:pPr>
        <w:spacing w:line="360" w:lineRule="auto"/>
        <w:ind w:firstLine="420" w:firstLineChars="200"/>
        <w:rPr>
          <w:szCs w:val="21"/>
        </w:rPr>
      </w:pPr>
      <w:r>
        <w:rPr>
          <w:rFonts w:hint="eastAsia"/>
          <w:szCs w:val="21"/>
        </w:rPr>
        <w:t>满足特定技术条件和要求，从事危险货物道路运输的载货汽车。</w:t>
      </w:r>
    </w:p>
    <w:p w14:paraId="611AB85E">
      <w:pPr>
        <w:spacing w:line="360" w:lineRule="auto"/>
        <w:sectPr>
          <w:footerReference r:id="rId7" w:type="default"/>
          <w:pgSz w:w="11906" w:h="16838"/>
          <w:pgMar w:top="567" w:right="1134" w:bottom="1134" w:left="1418" w:header="1418" w:footer="1134" w:gutter="0"/>
          <w:cols w:space="425" w:num="1"/>
          <w:formProt w:val="0"/>
          <w:docGrid w:type="lines" w:linePitch="312" w:charSpace="0"/>
        </w:sectPr>
      </w:pPr>
      <w:bookmarkStart w:id="24" w:name="_Toc212101639"/>
      <w:bookmarkEnd w:id="24"/>
    </w:p>
    <w:p w14:paraId="591FCD15">
      <w:pPr>
        <w:pStyle w:val="47"/>
        <w:spacing w:before="156" w:after="156"/>
        <w:rPr>
          <w:rFonts w:ascii="Times New Roman"/>
        </w:rPr>
      </w:pPr>
    </w:p>
    <w:p w14:paraId="340B7DCA">
      <w:pPr>
        <w:spacing w:line="360" w:lineRule="auto"/>
        <w:ind w:firstLine="420" w:firstLineChars="200"/>
        <w:rPr>
          <w:rFonts w:hint="eastAsia" w:ascii="黑体" w:hAnsi="黑体" w:eastAsia="黑体"/>
          <w:szCs w:val="21"/>
        </w:rPr>
      </w:pPr>
      <w:r>
        <w:rPr>
          <w:rFonts w:hint="eastAsia" w:ascii="黑体" w:hAnsi="黑体" w:eastAsia="黑体"/>
          <w:szCs w:val="21"/>
        </w:rPr>
        <w:t xml:space="preserve">危险货物道路运输企业 </w:t>
      </w:r>
      <w:r>
        <w:rPr>
          <w:rFonts w:ascii="黑体" w:hAnsi="黑体" w:eastAsia="黑体"/>
          <w:szCs w:val="21"/>
        </w:rPr>
        <w:t>road transport enterprises of dangerous goods</w:t>
      </w:r>
    </w:p>
    <w:p w14:paraId="37E57C16">
      <w:pPr>
        <w:spacing w:line="360" w:lineRule="auto"/>
        <w:ind w:firstLine="420" w:firstLineChars="200"/>
        <w:rPr>
          <w:szCs w:val="21"/>
        </w:rPr>
      </w:pPr>
      <w:r>
        <w:rPr>
          <w:rFonts w:hint="eastAsia"/>
          <w:szCs w:val="21"/>
        </w:rPr>
        <w:t>从事危险货物道路运输经营活动的企业。</w:t>
      </w:r>
    </w:p>
    <w:p w14:paraId="79D61954">
      <w:pPr>
        <w:pStyle w:val="47"/>
        <w:spacing w:before="156" w:after="156"/>
        <w:rPr>
          <w:rFonts w:ascii="Times New Roman"/>
        </w:rPr>
      </w:pPr>
    </w:p>
    <w:p w14:paraId="25969458">
      <w:pPr>
        <w:spacing w:line="360" w:lineRule="auto"/>
        <w:ind w:firstLine="420" w:firstLineChars="200"/>
        <w:rPr>
          <w:rFonts w:hint="eastAsia" w:ascii="黑体" w:hAnsi="黑体" w:eastAsia="黑体"/>
          <w:szCs w:val="21"/>
        </w:rPr>
      </w:pPr>
      <w:r>
        <w:rPr>
          <w:rFonts w:hint="eastAsia" w:ascii="黑体" w:hAnsi="黑体" w:eastAsia="黑体"/>
          <w:szCs w:val="21"/>
        </w:rPr>
        <w:t>危险货物道路运输企业专用停车场 s</w:t>
      </w:r>
      <w:r>
        <w:rPr>
          <w:rFonts w:ascii="黑体" w:hAnsi="黑体" w:eastAsia="黑体"/>
          <w:szCs w:val="21"/>
        </w:rPr>
        <w:t xml:space="preserve">pecial </w:t>
      </w:r>
      <w:r>
        <w:rPr>
          <w:rFonts w:hint="eastAsia" w:ascii="黑体" w:hAnsi="黑体" w:eastAsia="黑体"/>
          <w:szCs w:val="21"/>
        </w:rPr>
        <w:t>p</w:t>
      </w:r>
      <w:r>
        <w:rPr>
          <w:rFonts w:ascii="黑体" w:hAnsi="黑体" w:eastAsia="黑体"/>
          <w:szCs w:val="21"/>
        </w:rPr>
        <w:t xml:space="preserve">arking </w:t>
      </w:r>
      <w:r>
        <w:rPr>
          <w:rFonts w:hint="eastAsia" w:ascii="黑体" w:hAnsi="黑体" w:eastAsia="黑体"/>
          <w:szCs w:val="21"/>
        </w:rPr>
        <w:t>l</w:t>
      </w:r>
      <w:r>
        <w:rPr>
          <w:rFonts w:ascii="黑体" w:hAnsi="黑体" w:eastAsia="黑体"/>
          <w:szCs w:val="21"/>
        </w:rPr>
        <w:t xml:space="preserve">ot for </w:t>
      </w:r>
      <w:r>
        <w:rPr>
          <w:rFonts w:hint="eastAsia" w:ascii="黑体" w:hAnsi="黑体" w:eastAsia="黑体"/>
          <w:szCs w:val="21"/>
        </w:rPr>
        <w:t>r</w:t>
      </w:r>
      <w:r>
        <w:rPr>
          <w:rFonts w:ascii="黑体" w:hAnsi="黑体" w:eastAsia="黑体"/>
          <w:szCs w:val="21"/>
        </w:rPr>
        <w:t xml:space="preserve">oad </w:t>
      </w:r>
      <w:r>
        <w:rPr>
          <w:rFonts w:hint="eastAsia" w:ascii="黑体" w:hAnsi="黑体" w:eastAsia="黑体"/>
          <w:szCs w:val="21"/>
        </w:rPr>
        <w:t>t</w:t>
      </w:r>
      <w:r>
        <w:rPr>
          <w:rFonts w:ascii="黑体" w:hAnsi="黑体" w:eastAsia="黑体"/>
          <w:szCs w:val="21"/>
        </w:rPr>
        <w:t xml:space="preserve">ransport </w:t>
      </w:r>
      <w:r>
        <w:rPr>
          <w:rFonts w:hint="eastAsia" w:ascii="黑体" w:hAnsi="黑体" w:eastAsia="黑体"/>
          <w:szCs w:val="21"/>
        </w:rPr>
        <w:t>e</w:t>
      </w:r>
      <w:r>
        <w:rPr>
          <w:rFonts w:ascii="黑体" w:hAnsi="黑体" w:eastAsia="黑体"/>
          <w:szCs w:val="21"/>
        </w:rPr>
        <w:t xml:space="preserve">nterprises of </w:t>
      </w:r>
      <w:r>
        <w:rPr>
          <w:rFonts w:hint="eastAsia" w:ascii="黑体" w:hAnsi="黑体" w:eastAsia="黑体"/>
          <w:szCs w:val="21"/>
        </w:rPr>
        <w:t>d</w:t>
      </w:r>
      <w:r>
        <w:rPr>
          <w:rFonts w:ascii="黑体" w:hAnsi="黑体" w:eastAsia="黑体"/>
          <w:szCs w:val="21"/>
        </w:rPr>
        <w:t xml:space="preserve">angerous </w:t>
      </w:r>
      <w:r>
        <w:rPr>
          <w:rFonts w:hint="eastAsia" w:ascii="黑体" w:hAnsi="黑体" w:eastAsia="黑体"/>
          <w:szCs w:val="21"/>
        </w:rPr>
        <w:t>g</w:t>
      </w:r>
      <w:r>
        <w:rPr>
          <w:rFonts w:ascii="黑体" w:hAnsi="黑体" w:eastAsia="黑体"/>
          <w:szCs w:val="21"/>
        </w:rPr>
        <w:t xml:space="preserve">oods </w:t>
      </w:r>
    </w:p>
    <w:p w14:paraId="1CC5ABF1">
      <w:pPr>
        <w:spacing w:line="360" w:lineRule="auto"/>
        <w:ind w:firstLine="420" w:firstLineChars="200"/>
        <w:rPr>
          <w:szCs w:val="21"/>
        </w:rPr>
      </w:pPr>
      <w:r>
        <w:rPr>
          <w:rFonts w:hint="eastAsia"/>
          <w:szCs w:val="21"/>
        </w:rPr>
        <w:t>危险货物道路运输企业专用于停放危险货物道路运输车辆的露天场地或构筑物，简称专用停车场。</w:t>
      </w:r>
    </w:p>
    <w:p w14:paraId="66620A53">
      <w:pPr>
        <w:pStyle w:val="47"/>
        <w:spacing w:before="156" w:after="156"/>
        <w:rPr>
          <w:rFonts w:ascii="Times New Roman"/>
        </w:rPr>
      </w:pPr>
      <w:bookmarkStart w:id="25" w:name="_Toc212101640"/>
      <w:bookmarkEnd w:id="25"/>
    </w:p>
    <w:p w14:paraId="5A3300D2">
      <w:pPr>
        <w:spacing w:line="360" w:lineRule="auto"/>
        <w:ind w:firstLine="420" w:firstLineChars="200"/>
        <w:rPr>
          <w:rFonts w:hint="eastAsia" w:ascii="黑体" w:hAnsi="黑体" w:eastAsia="黑体"/>
          <w:szCs w:val="21"/>
        </w:rPr>
      </w:pPr>
      <w:r>
        <w:rPr>
          <w:rFonts w:hint="eastAsia" w:ascii="黑体" w:hAnsi="黑体" w:eastAsia="黑体"/>
          <w:szCs w:val="21"/>
        </w:rPr>
        <w:t>停车位 p</w:t>
      </w:r>
      <w:r>
        <w:rPr>
          <w:rFonts w:ascii="黑体" w:hAnsi="黑体" w:eastAsia="黑体"/>
          <w:szCs w:val="21"/>
        </w:rPr>
        <w:t>arking stall</w:t>
      </w:r>
    </w:p>
    <w:p w14:paraId="71B35CFD">
      <w:pPr>
        <w:spacing w:line="360" w:lineRule="auto"/>
        <w:ind w:firstLine="420" w:firstLineChars="200"/>
        <w:rPr>
          <w:szCs w:val="21"/>
        </w:rPr>
      </w:pPr>
      <w:r>
        <w:rPr>
          <w:rFonts w:hint="eastAsia"/>
          <w:szCs w:val="21"/>
        </w:rPr>
        <w:t>专用停车场内为停放危险货物道路运输车辆划分的单个停车区域。</w:t>
      </w:r>
    </w:p>
    <w:p w14:paraId="09035AE9">
      <w:pPr>
        <w:pStyle w:val="47"/>
        <w:spacing w:before="156" w:after="156"/>
        <w:rPr>
          <w:rFonts w:ascii="Times New Roman"/>
        </w:rPr>
      </w:pPr>
    </w:p>
    <w:p w14:paraId="60C36001">
      <w:pPr>
        <w:spacing w:line="360" w:lineRule="auto"/>
        <w:ind w:firstLine="420" w:firstLineChars="200"/>
        <w:rPr>
          <w:rFonts w:hint="eastAsia" w:ascii="黑体" w:hAnsi="黑体" w:eastAsia="黑体"/>
          <w:szCs w:val="21"/>
        </w:rPr>
      </w:pPr>
      <w:r>
        <w:rPr>
          <w:rFonts w:hint="eastAsia" w:ascii="黑体" w:hAnsi="黑体" w:eastAsia="黑体"/>
          <w:szCs w:val="21"/>
        </w:rPr>
        <w:t>停车区 p</w:t>
      </w:r>
      <w:r>
        <w:rPr>
          <w:rFonts w:ascii="黑体" w:hAnsi="黑体" w:eastAsia="黑体"/>
          <w:szCs w:val="21"/>
        </w:rPr>
        <w:t xml:space="preserve">arking </w:t>
      </w:r>
      <w:r>
        <w:rPr>
          <w:rFonts w:hint="eastAsia" w:ascii="黑体" w:hAnsi="黑体" w:eastAsia="黑体"/>
          <w:szCs w:val="21"/>
        </w:rPr>
        <w:t>area</w:t>
      </w:r>
      <w:r>
        <w:rPr>
          <w:rFonts w:ascii="黑体" w:hAnsi="黑体" w:eastAsia="黑体"/>
          <w:szCs w:val="21"/>
        </w:rPr>
        <w:t xml:space="preserve"> </w:t>
      </w:r>
    </w:p>
    <w:p w14:paraId="4246EB84">
      <w:pPr>
        <w:spacing w:line="360" w:lineRule="auto"/>
        <w:ind w:firstLine="420" w:firstLineChars="200"/>
        <w:rPr>
          <w:szCs w:val="21"/>
        </w:rPr>
      </w:pPr>
      <w:r>
        <w:rPr>
          <w:rFonts w:hint="eastAsia"/>
          <w:szCs w:val="21"/>
        </w:rPr>
        <w:t>危险货物道路运输企业专用停车场内停放危险货物道路运输车辆的专用区域。</w:t>
      </w:r>
    </w:p>
    <w:p w14:paraId="35C60909">
      <w:pPr>
        <w:pStyle w:val="47"/>
        <w:spacing w:before="156" w:after="156"/>
        <w:rPr>
          <w:rFonts w:ascii="Times New Roman"/>
        </w:rPr>
      </w:pPr>
      <w:bookmarkStart w:id="26" w:name="_Toc212101642"/>
      <w:bookmarkEnd w:id="26"/>
      <w:bookmarkStart w:id="27" w:name="_Toc212101641"/>
      <w:bookmarkEnd w:id="27"/>
    </w:p>
    <w:p w14:paraId="09556F32">
      <w:pPr>
        <w:spacing w:line="360" w:lineRule="auto"/>
        <w:ind w:firstLine="420" w:firstLineChars="200"/>
        <w:rPr>
          <w:rFonts w:hint="eastAsia" w:ascii="黑体" w:hAnsi="黑体" w:eastAsia="黑体"/>
          <w:szCs w:val="21"/>
        </w:rPr>
      </w:pPr>
      <w:r>
        <w:rPr>
          <w:rFonts w:hint="eastAsia" w:ascii="黑体" w:hAnsi="黑体" w:eastAsia="黑体"/>
          <w:szCs w:val="21"/>
        </w:rPr>
        <w:t>停车组 p</w:t>
      </w:r>
      <w:r>
        <w:rPr>
          <w:rFonts w:ascii="黑体" w:hAnsi="黑体" w:eastAsia="黑体"/>
          <w:szCs w:val="21"/>
        </w:rPr>
        <w:t xml:space="preserve">arking section </w:t>
      </w:r>
    </w:p>
    <w:p w14:paraId="2D978B3C">
      <w:pPr>
        <w:spacing w:line="360" w:lineRule="auto"/>
        <w:ind w:firstLine="420" w:firstLineChars="200"/>
        <w:rPr>
          <w:szCs w:val="21"/>
        </w:rPr>
        <w:sectPr>
          <w:footerReference r:id="rId8" w:type="default"/>
          <w:pgSz w:w="11906" w:h="16838"/>
          <w:pgMar w:top="567" w:right="1134" w:bottom="1134" w:left="1418" w:header="1418" w:footer="1134" w:gutter="0"/>
          <w:cols w:space="425" w:num="1"/>
          <w:formProt w:val="0"/>
          <w:docGrid w:type="lines" w:linePitch="312" w:charSpace="0"/>
        </w:sectPr>
      </w:pPr>
      <w:r>
        <w:rPr>
          <w:rFonts w:hint="eastAsia"/>
          <w:szCs w:val="21"/>
        </w:rPr>
        <w:t>由若干个停车位组成的停车区的基本单元。</w:t>
      </w:r>
      <w:bookmarkEnd w:id="20"/>
      <w:bookmarkEnd w:id="21"/>
      <w:bookmarkEnd w:id="22"/>
      <w:bookmarkEnd w:id="23"/>
    </w:p>
    <w:p w14:paraId="29C54DDF">
      <w:pPr>
        <w:pStyle w:val="50"/>
        <w:spacing w:before="312" w:after="312"/>
        <w:rPr>
          <w:rFonts w:ascii="Times New Roman"/>
        </w:rPr>
      </w:pPr>
      <w:r>
        <w:rPr>
          <w:rFonts w:hint="eastAsia" w:ascii="Times New Roman"/>
        </w:rPr>
        <w:t>建设布局</w:t>
      </w:r>
    </w:p>
    <w:p w14:paraId="11492C05">
      <w:pPr>
        <w:pStyle w:val="47"/>
        <w:spacing w:before="156" w:after="156"/>
        <w:rPr>
          <w:rFonts w:ascii="Times New Roman"/>
          <w:b/>
          <w:bCs/>
        </w:rPr>
      </w:pPr>
      <w:bookmarkStart w:id="28" w:name="_Toc212101644"/>
      <w:r>
        <w:rPr>
          <w:rFonts w:hint="eastAsia" w:ascii="Times New Roman"/>
        </w:rPr>
        <w:t>选址原则</w:t>
      </w:r>
      <w:bookmarkEnd w:id="28"/>
    </w:p>
    <w:p w14:paraId="3F2A84A6">
      <w:pPr>
        <w:pStyle w:val="51"/>
        <w:rPr>
          <w:rFonts w:ascii="Times New Roman" w:eastAsia="宋体"/>
          <w:kern w:val="2"/>
          <w:szCs w:val="24"/>
        </w:rPr>
      </w:pPr>
      <w:r>
        <w:rPr>
          <w:rFonts w:hint="eastAsia" w:ascii="Times New Roman" w:eastAsia="宋体"/>
          <w:kern w:val="2"/>
          <w:szCs w:val="24"/>
        </w:rPr>
        <w:t>专用停车场应位于企业注册地市级行政区域范围内</w:t>
      </w:r>
      <w:r>
        <w:rPr>
          <w:rFonts w:ascii="Times New Roman" w:eastAsia="宋体"/>
          <w:kern w:val="2"/>
          <w:szCs w:val="24"/>
        </w:rPr>
        <w:t>。</w:t>
      </w:r>
    </w:p>
    <w:p w14:paraId="5D2F9D0F">
      <w:pPr>
        <w:pStyle w:val="51"/>
        <w:rPr>
          <w:rFonts w:ascii="Times New Roman" w:eastAsia="宋体"/>
          <w:kern w:val="2"/>
          <w:szCs w:val="24"/>
        </w:rPr>
      </w:pPr>
      <w:r>
        <w:rPr>
          <w:rFonts w:hint="eastAsia" w:ascii="Times New Roman" w:eastAsia="宋体"/>
          <w:kern w:val="2"/>
          <w:szCs w:val="24"/>
        </w:rPr>
        <w:t>专用停车场与人员密集场所的距离不应小于50米，与其他民用建筑的距离不应小于25米</w:t>
      </w:r>
      <w:r>
        <w:rPr>
          <w:rFonts w:ascii="Times New Roman" w:eastAsia="宋体"/>
          <w:kern w:val="2"/>
          <w:szCs w:val="24"/>
        </w:rPr>
        <w:t>。</w:t>
      </w:r>
    </w:p>
    <w:p w14:paraId="06A9309A">
      <w:pPr>
        <w:pStyle w:val="51"/>
        <w:rPr>
          <w:rFonts w:ascii="Times New Roman" w:eastAsia="宋体"/>
          <w:kern w:val="2"/>
          <w:szCs w:val="24"/>
        </w:rPr>
      </w:pPr>
      <w:r>
        <w:rPr>
          <w:rFonts w:hint="eastAsia" w:ascii="Times New Roman" w:eastAsia="宋体"/>
          <w:kern w:val="2"/>
          <w:szCs w:val="24"/>
        </w:rPr>
        <w:t>专用停车场出入口不宜设在主干路上，可设在次干路或支路上，并应保证其与交叉口的距离符合GB 50352的规定</w:t>
      </w:r>
      <w:r>
        <w:rPr>
          <w:rFonts w:ascii="Times New Roman" w:eastAsia="宋体"/>
          <w:kern w:val="2"/>
          <w:szCs w:val="24"/>
        </w:rPr>
        <w:t>。</w:t>
      </w:r>
    </w:p>
    <w:p w14:paraId="23BA49DB">
      <w:pPr>
        <w:pStyle w:val="47"/>
        <w:spacing w:before="156" w:after="156"/>
        <w:rPr>
          <w:rFonts w:ascii="Times New Roman"/>
        </w:rPr>
      </w:pPr>
      <w:bookmarkStart w:id="29" w:name="_Toc212101645"/>
      <w:bookmarkStart w:id="30" w:name="_Toc120713762"/>
      <w:r>
        <w:rPr>
          <w:rFonts w:ascii="Times New Roman"/>
        </w:rPr>
        <w:t>平面</w:t>
      </w:r>
      <w:r>
        <w:rPr>
          <w:rFonts w:hint="eastAsia" w:ascii="Times New Roman"/>
        </w:rPr>
        <w:t>设</w:t>
      </w:r>
      <w:r>
        <w:rPr>
          <w:rFonts w:ascii="Times New Roman"/>
        </w:rPr>
        <w:t>置</w:t>
      </w:r>
      <w:bookmarkEnd w:id="29"/>
      <w:bookmarkEnd w:id="30"/>
    </w:p>
    <w:p w14:paraId="3CB01C18">
      <w:pPr>
        <w:pStyle w:val="51"/>
        <w:rPr>
          <w:rFonts w:ascii="Times New Roman" w:eastAsia="宋体"/>
          <w:kern w:val="2"/>
          <w:szCs w:val="24"/>
        </w:rPr>
      </w:pPr>
      <w:r>
        <w:rPr>
          <w:rFonts w:hint="eastAsia" w:ascii="Times New Roman" w:eastAsia="宋体"/>
          <w:kern w:val="2"/>
          <w:szCs w:val="24"/>
        </w:rPr>
        <w:t>专用停车场应包括出入口、行车道、停车区、管理区及必要的配套设施等。</w:t>
      </w:r>
    </w:p>
    <w:p w14:paraId="4B328DC6">
      <w:pPr>
        <w:pStyle w:val="51"/>
        <w:rPr>
          <w:rFonts w:ascii="Times New Roman" w:eastAsia="宋体"/>
          <w:kern w:val="2"/>
          <w:szCs w:val="24"/>
        </w:rPr>
      </w:pPr>
      <w:r>
        <w:rPr>
          <w:rFonts w:hint="eastAsia" w:ascii="Times New Roman" w:eastAsia="宋体"/>
          <w:kern w:val="2"/>
          <w:szCs w:val="24"/>
        </w:rPr>
        <w:t>专用停车场地面应坚实平整、易于清扫，用于停放罐式危险货物运输车辆的停车区，应当做硬化处理。</w:t>
      </w:r>
    </w:p>
    <w:p w14:paraId="6D75C296">
      <w:pPr>
        <w:pStyle w:val="51"/>
        <w:rPr>
          <w:rFonts w:ascii="Times New Roman" w:eastAsia="宋体"/>
          <w:kern w:val="2"/>
          <w:szCs w:val="24"/>
        </w:rPr>
      </w:pPr>
      <w:r>
        <w:rPr>
          <w:rFonts w:hint="eastAsia" w:ascii="Times New Roman" w:eastAsia="宋体"/>
          <w:kern w:val="2"/>
          <w:szCs w:val="24"/>
        </w:rPr>
        <w:t>专用停车场面积应符合以下要求。</w:t>
      </w:r>
    </w:p>
    <w:p w14:paraId="59B6F6A4">
      <w:pPr>
        <w:pStyle w:val="36"/>
        <w:spacing w:after="0" w:line="360" w:lineRule="auto"/>
        <w:ind w:firstLineChars="200"/>
        <w:rPr>
          <w:rFonts w:hint="eastAsia" w:ascii="宋体" w:hAnsi="宋体" w:eastAsia="宋体" w:cs="Times New Roman"/>
          <w:szCs w:val="21"/>
        </w:rPr>
      </w:pPr>
      <w:r>
        <w:rPr>
          <w:rFonts w:hint="eastAsia" w:ascii="宋体" w:hAnsi="宋体" w:eastAsia="宋体" w:cs="Times New Roman"/>
          <w:szCs w:val="21"/>
        </w:rPr>
        <w:t>a）单个停车位的净面积应不低于该停车位停放车辆正投影面积，车辆正投影面积按车辆最大外廓尺寸（长×宽）计算。</w:t>
      </w:r>
    </w:p>
    <w:p w14:paraId="5B20DF0C">
      <w:pPr>
        <w:pStyle w:val="36"/>
        <w:spacing w:after="0" w:line="360" w:lineRule="auto"/>
        <w:ind w:firstLineChars="200"/>
        <w:rPr>
          <w:rFonts w:hint="eastAsia" w:ascii="宋体" w:hAnsi="宋体" w:eastAsia="宋体" w:cs="Times New Roman"/>
          <w:szCs w:val="21"/>
        </w:rPr>
      </w:pPr>
      <w:r>
        <w:rPr>
          <w:rFonts w:hint="eastAsia" w:ascii="宋体" w:hAnsi="宋体" w:eastAsia="宋体" w:cs="Times New Roman"/>
          <w:szCs w:val="21"/>
        </w:rPr>
        <w:t>b）危险货物道路运输车辆数量为2</w:t>
      </w:r>
      <w:r>
        <w:rPr>
          <w:rFonts w:ascii="宋体" w:hAnsi="宋体" w:eastAsia="宋体" w:cs="Times New Roman"/>
          <w:szCs w:val="21"/>
        </w:rPr>
        <w:t>0</w:t>
      </w:r>
      <w:r>
        <w:rPr>
          <w:rFonts w:hint="eastAsia" w:ascii="宋体" w:hAnsi="宋体" w:eastAsia="宋体" w:cs="Times New Roman"/>
          <w:szCs w:val="21"/>
        </w:rPr>
        <w:t>辆（含）以下的，专用停车场的总面积不低于车辆正投影面积的1</w:t>
      </w:r>
      <w:r>
        <w:rPr>
          <w:rFonts w:ascii="宋体" w:hAnsi="宋体" w:eastAsia="宋体" w:cs="Times New Roman"/>
          <w:szCs w:val="21"/>
        </w:rPr>
        <w:t>.5</w:t>
      </w:r>
      <w:r>
        <w:rPr>
          <w:rFonts w:hint="eastAsia" w:ascii="宋体" w:hAnsi="宋体" w:eastAsia="宋体" w:cs="Times New Roman"/>
          <w:szCs w:val="21"/>
        </w:rPr>
        <w:t>倍；数量为2</w:t>
      </w:r>
      <w:r>
        <w:rPr>
          <w:rFonts w:ascii="宋体" w:hAnsi="宋体" w:eastAsia="宋体" w:cs="Times New Roman"/>
          <w:szCs w:val="21"/>
        </w:rPr>
        <w:t>0</w:t>
      </w:r>
      <w:r>
        <w:rPr>
          <w:rFonts w:hint="eastAsia" w:ascii="宋体" w:hAnsi="宋体" w:eastAsia="宋体" w:cs="Times New Roman"/>
          <w:szCs w:val="21"/>
        </w:rPr>
        <w:t>辆以上的，超出部分，每辆车的停车场地面积不低于车辆的正投影面积。</w:t>
      </w:r>
    </w:p>
    <w:p w14:paraId="1719B7AA">
      <w:pPr>
        <w:pStyle w:val="47"/>
        <w:spacing w:before="156" w:after="156"/>
        <w:rPr>
          <w:rFonts w:ascii="Times New Roman"/>
        </w:rPr>
      </w:pPr>
      <w:r>
        <w:rPr>
          <w:rFonts w:hint="eastAsia" w:ascii="Times New Roman"/>
        </w:rPr>
        <w:t>出入口</w:t>
      </w:r>
    </w:p>
    <w:p w14:paraId="50A7A23D">
      <w:pPr>
        <w:pStyle w:val="51"/>
        <w:jc w:val="both"/>
        <w:rPr>
          <w:rFonts w:ascii="Times New Roman" w:eastAsia="宋体"/>
          <w:kern w:val="2"/>
          <w:szCs w:val="24"/>
        </w:rPr>
      </w:pPr>
      <w:r>
        <w:rPr>
          <w:rFonts w:hint="eastAsia" w:ascii="Times New Roman" w:eastAsia="宋体"/>
          <w:kern w:val="2"/>
          <w:szCs w:val="24"/>
        </w:rPr>
        <w:t>专用停车场的人员出入口与车辆出入口应分开设置，并应设置标识。</w:t>
      </w:r>
    </w:p>
    <w:p w14:paraId="4A07E1D1">
      <w:pPr>
        <w:pStyle w:val="51"/>
        <w:jc w:val="both"/>
        <w:rPr>
          <w:rFonts w:ascii="Times New Roman" w:eastAsia="宋体"/>
          <w:kern w:val="2"/>
          <w:szCs w:val="24"/>
        </w:rPr>
      </w:pPr>
      <w:r>
        <w:rPr>
          <w:rFonts w:hint="eastAsia" w:ascii="Times New Roman" w:eastAsia="宋体"/>
          <w:kern w:val="2"/>
          <w:szCs w:val="24"/>
        </w:rPr>
        <w:t>专用停车场的车辆出入口应符合行车视距要求，安全视角不得小于</w:t>
      </w:r>
      <w:r>
        <w:rPr>
          <w:rFonts w:ascii="Times New Roman" w:eastAsia="宋体"/>
          <w:kern w:val="2"/>
          <w:szCs w:val="24"/>
        </w:rPr>
        <w:t>120</w:t>
      </w:r>
      <w:r>
        <w:rPr>
          <w:rFonts w:hint="eastAsia" w:ascii="Times New Roman" w:eastAsia="宋体"/>
          <w:kern w:val="2"/>
          <w:szCs w:val="24"/>
        </w:rPr>
        <w:t>°，且不宜设置在陡坡区域。车辆出入口距离人行过街天桥、地道和桥梁、隧道引道应大于</w:t>
      </w:r>
      <w:r>
        <w:rPr>
          <w:rFonts w:ascii="Times New Roman" w:eastAsia="宋体"/>
          <w:kern w:val="2"/>
          <w:szCs w:val="24"/>
        </w:rPr>
        <w:t>50</w:t>
      </w:r>
      <w:r>
        <w:rPr>
          <w:rFonts w:hint="eastAsia" w:ascii="Times New Roman" w:eastAsia="宋体"/>
          <w:kern w:val="2"/>
          <w:szCs w:val="24"/>
        </w:rPr>
        <w:t>米，距离交叉路口宜大于</w:t>
      </w:r>
      <w:r>
        <w:rPr>
          <w:rFonts w:ascii="Times New Roman" w:eastAsia="宋体"/>
          <w:kern w:val="2"/>
          <w:szCs w:val="24"/>
        </w:rPr>
        <w:t>80</w:t>
      </w:r>
      <w:r>
        <w:rPr>
          <w:rFonts w:hint="eastAsia" w:ascii="Times New Roman" w:eastAsia="宋体"/>
          <w:kern w:val="2"/>
          <w:szCs w:val="24"/>
        </w:rPr>
        <w:t>米。</w:t>
      </w:r>
    </w:p>
    <w:p w14:paraId="2B6ED8BB">
      <w:pPr>
        <w:pStyle w:val="51"/>
        <w:jc w:val="both"/>
        <w:rPr>
          <w:rFonts w:ascii="Times New Roman" w:eastAsia="宋体"/>
          <w:kern w:val="2"/>
          <w:szCs w:val="24"/>
        </w:rPr>
      </w:pPr>
      <w:r>
        <w:rPr>
          <w:rFonts w:hint="eastAsia" w:ascii="Times New Roman" w:eastAsia="宋体"/>
          <w:kern w:val="2"/>
          <w:szCs w:val="24"/>
        </w:rPr>
        <w:t>单向通行的车辆出入口，单个出入口宽度不应小于5米。双向通行的车辆出入口，仅有一个出入口时，宽度不应小于9米；有两个及两个以上出入口时，宽度不应小于7米。</w:t>
      </w:r>
    </w:p>
    <w:p w14:paraId="567D548D">
      <w:pPr>
        <w:pStyle w:val="51"/>
        <w:jc w:val="both"/>
        <w:rPr>
          <w:rFonts w:ascii="Times New Roman" w:eastAsia="宋体"/>
          <w:kern w:val="2"/>
          <w:szCs w:val="24"/>
        </w:rPr>
      </w:pPr>
      <w:r>
        <w:rPr>
          <w:rFonts w:hint="eastAsia" w:ascii="Times New Roman" w:eastAsia="宋体"/>
          <w:kern w:val="2"/>
          <w:szCs w:val="24"/>
        </w:rPr>
        <w:t>相邻的车辆出入口间的净距不应小于20米，且必须大于通行车辆在各自出入口转弯所需半径之和。</w:t>
      </w:r>
    </w:p>
    <w:p w14:paraId="21217E2A">
      <w:pPr>
        <w:pStyle w:val="51"/>
        <w:jc w:val="both"/>
        <w:rPr>
          <w:rFonts w:ascii="Times New Roman" w:eastAsia="宋体"/>
          <w:kern w:val="2"/>
          <w:szCs w:val="24"/>
        </w:rPr>
      </w:pPr>
      <w:r>
        <w:rPr>
          <w:rFonts w:hint="eastAsia" w:ascii="Times New Roman" w:eastAsia="宋体"/>
          <w:kern w:val="2"/>
          <w:szCs w:val="24"/>
        </w:rPr>
        <w:t>专用停车场车辆出入口数量应符合表4</w:t>
      </w:r>
      <w:r>
        <w:rPr>
          <w:rFonts w:ascii="Times New Roman" w:eastAsia="宋体"/>
          <w:kern w:val="2"/>
          <w:szCs w:val="24"/>
        </w:rPr>
        <w:t>.2</w:t>
      </w:r>
      <w:r>
        <w:rPr>
          <w:rFonts w:hint="eastAsia" w:ascii="Times New Roman" w:eastAsia="宋体"/>
          <w:kern w:val="2"/>
          <w:szCs w:val="24"/>
        </w:rPr>
        <w:t>的规定。对于停车位数量不超过2</w:t>
      </w:r>
      <w:r>
        <w:rPr>
          <w:rFonts w:ascii="Times New Roman" w:eastAsia="宋体"/>
          <w:kern w:val="2"/>
          <w:szCs w:val="24"/>
        </w:rPr>
        <w:t>0</w:t>
      </w:r>
      <w:r>
        <w:rPr>
          <w:rFonts w:hint="eastAsia" w:ascii="Times New Roman" w:eastAsia="宋体"/>
          <w:kern w:val="2"/>
          <w:szCs w:val="24"/>
        </w:rPr>
        <w:t>个的专用停车场，出入口可设一个单车道，但应采取进出车辆的避让措施。</w:t>
      </w:r>
    </w:p>
    <w:p w14:paraId="1CF1DC0A">
      <w:pPr>
        <w:spacing w:line="360" w:lineRule="auto"/>
        <w:jc w:val="center"/>
        <w:rPr>
          <w:rFonts w:hint="eastAsia" w:ascii="黑体" w:hAnsi="黑体" w:eastAsia="黑体"/>
          <w:sz w:val="18"/>
          <w:szCs w:val="18"/>
        </w:rPr>
      </w:pPr>
      <w:r>
        <w:rPr>
          <w:rFonts w:hint="eastAsia" w:ascii="黑体" w:hAnsi="黑体" w:eastAsia="黑体"/>
          <w:sz w:val="18"/>
          <w:szCs w:val="18"/>
        </w:rPr>
        <w:t>表</w:t>
      </w:r>
      <w:r>
        <w:rPr>
          <w:rFonts w:ascii="黑体" w:hAnsi="黑体" w:eastAsia="黑体"/>
          <w:sz w:val="18"/>
          <w:szCs w:val="18"/>
        </w:rPr>
        <w:t xml:space="preserve">4.2  </w:t>
      </w:r>
      <w:r>
        <w:rPr>
          <w:rFonts w:hint="eastAsia" w:ascii="黑体" w:hAnsi="黑体" w:eastAsia="黑体"/>
          <w:sz w:val="18"/>
          <w:szCs w:val="18"/>
        </w:rPr>
        <w:t>车辆出入口数量</w:t>
      </w:r>
    </w:p>
    <w:tbl>
      <w:tblPr>
        <w:tblStyle w:val="38"/>
        <w:tblW w:w="920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31"/>
        <w:gridCol w:w="4678"/>
      </w:tblGrid>
      <w:tr w14:paraId="414262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1" w:type="dxa"/>
            <w:vAlign w:val="center"/>
          </w:tcPr>
          <w:p w14:paraId="059329C1">
            <w:pPr>
              <w:spacing w:line="360" w:lineRule="auto"/>
              <w:jc w:val="center"/>
              <w:rPr>
                <w:rFonts w:hint="eastAsia" w:ascii="宋体" w:hAnsi="宋体"/>
                <w:sz w:val="18"/>
                <w:szCs w:val="18"/>
              </w:rPr>
            </w:pPr>
            <w:r>
              <w:rPr>
                <w:rFonts w:hint="eastAsia" w:ascii="宋体" w:hAnsi="宋体"/>
                <w:sz w:val="18"/>
                <w:szCs w:val="18"/>
              </w:rPr>
              <w:t>停车位数量/个</w:t>
            </w:r>
          </w:p>
        </w:tc>
        <w:tc>
          <w:tcPr>
            <w:tcW w:w="4678" w:type="dxa"/>
            <w:vAlign w:val="center"/>
          </w:tcPr>
          <w:p w14:paraId="79B5747A">
            <w:pPr>
              <w:spacing w:line="360" w:lineRule="auto"/>
              <w:jc w:val="center"/>
              <w:rPr>
                <w:rFonts w:hint="eastAsia" w:ascii="宋体" w:hAnsi="宋体"/>
                <w:sz w:val="18"/>
                <w:szCs w:val="18"/>
              </w:rPr>
            </w:pPr>
            <w:r>
              <w:rPr>
                <w:rFonts w:hint="eastAsia" w:ascii="宋体" w:hAnsi="宋体"/>
                <w:sz w:val="18"/>
                <w:szCs w:val="18"/>
              </w:rPr>
              <w:t>车辆出入口数量/个</w:t>
            </w:r>
          </w:p>
        </w:tc>
      </w:tr>
      <w:tr w14:paraId="696FD8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1" w:type="dxa"/>
            <w:vAlign w:val="center"/>
          </w:tcPr>
          <w:p w14:paraId="2AC33404">
            <w:pPr>
              <w:pStyle w:val="36"/>
              <w:spacing w:after="0" w:line="360" w:lineRule="auto"/>
              <w:ind w:firstLine="0" w:firstLineChars="0"/>
              <w:jc w:val="center"/>
              <w:rPr>
                <w:rFonts w:hint="eastAsia" w:ascii="宋体" w:hAnsi="宋体" w:eastAsia="宋体" w:cs="Times New Roman"/>
                <w:sz w:val="18"/>
                <w:szCs w:val="18"/>
              </w:rPr>
            </w:pPr>
            <w:r>
              <w:rPr>
                <w:rFonts w:hint="eastAsia" w:ascii="宋体" w:hAnsi="宋体" w:eastAsia="宋体" w:cs="Times New Roman"/>
                <w:sz w:val="18"/>
                <w:szCs w:val="18"/>
              </w:rPr>
              <w:t>≤</w:t>
            </w:r>
            <w:r>
              <w:rPr>
                <w:rFonts w:ascii="宋体" w:hAnsi="宋体" w:eastAsia="宋体" w:cs="Times New Roman"/>
                <w:sz w:val="18"/>
                <w:szCs w:val="18"/>
              </w:rPr>
              <w:t>20</w:t>
            </w:r>
          </w:p>
        </w:tc>
        <w:tc>
          <w:tcPr>
            <w:tcW w:w="4678" w:type="dxa"/>
            <w:vAlign w:val="center"/>
          </w:tcPr>
          <w:p w14:paraId="1DAF4ED4">
            <w:pPr>
              <w:pStyle w:val="36"/>
              <w:spacing w:after="0" w:line="360" w:lineRule="auto"/>
              <w:ind w:firstLine="0" w:firstLineChars="0"/>
              <w:jc w:val="center"/>
              <w:rPr>
                <w:rFonts w:hint="eastAsia" w:ascii="宋体" w:hAnsi="宋体" w:eastAsia="宋体" w:cs="Times New Roman"/>
                <w:sz w:val="18"/>
                <w:szCs w:val="18"/>
              </w:rPr>
            </w:pPr>
            <w:r>
              <w:rPr>
                <w:rFonts w:ascii="宋体" w:hAnsi="宋体" w:eastAsia="宋体" w:cs="Times New Roman"/>
                <w:sz w:val="18"/>
                <w:szCs w:val="18"/>
              </w:rPr>
              <w:t>≥1</w:t>
            </w:r>
          </w:p>
        </w:tc>
      </w:tr>
      <w:tr w14:paraId="127AAF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1" w:type="dxa"/>
            <w:vAlign w:val="center"/>
          </w:tcPr>
          <w:p w14:paraId="02D2B81F">
            <w:pPr>
              <w:pStyle w:val="36"/>
              <w:spacing w:after="0" w:line="360" w:lineRule="auto"/>
              <w:ind w:firstLine="0" w:firstLineChars="0"/>
              <w:jc w:val="center"/>
              <w:rPr>
                <w:rFonts w:hint="eastAsia" w:ascii="宋体" w:hAnsi="宋体" w:eastAsia="宋体" w:cs="Times New Roman"/>
                <w:sz w:val="18"/>
                <w:szCs w:val="18"/>
              </w:rPr>
            </w:pPr>
            <w:r>
              <w:rPr>
                <w:rFonts w:ascii="宋体" w:hAnsi="宋体" w:eastAsia="宋体" w:cs="Times New Roman"/>
                <w:sz w:val="18"/>
                <w:szCs w:val="18"/>
              </w:rPr>
              <w:t>21-50</w:t>
            </w:r>
          </w:p>
        </w:tc>
        <w:tc>
          <w:tcPr>
            <w:tcW w:w="4678" w:type="dxa"/>
            <w:vAlign w:val="center"/>
          </w:tcPr>
          <w:p w14:paraId="68EE2126">
            <w:pPr>
              <w:pStyle w:val="36"/>
              <w:spacing w:after="0" w:line="360" w:lineRule="auto"/>
              <w:ind w:firstLine="0" w:firstLineChars="0"/>
              <w:jc w:val="center"/>
              <w:rPr>
                <w:rFonts w:hint="eastAsia" w:ascii="宋体" w:hAnsi="宋体" w:eastAsia="宋体" w:cs="Times New Roman"/>
                <w:sz w:val="18"/>
                <w:szCs w:val="18"/>
              </w:rPr>
            </w:pPr>
            <w:r>
              <w:rPr>
                <w:rFonts w:ascii="宋体" w:hAnsi="宋体" w:eastAsia="宋体" w:cs="Times New Roman"/>
                <w:sz w:val="18"/>
                <w:szCs w:val="18"/>
              </w:rPr>
              <w:t>≥1</w:t>
            </w:r>
          </w:p>
        </w:tc>
      </w:tr>
      <w:tr w14:paraId="2A4823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1" w:type="dxa"/>
            <w:vAlign w:val="center"/>
          </w:tcPr>
          <w:p w14:paraId="07A16804">
            <w:pPr>
              <w:pStyle w:val="36"/>
              <w:spacing w:after="0" w:line="360" w:lineRule="auto"/>
              <w:ind w:firstLine="0" w:firstLineChars="0"/>
              <w:jc w:val="center"/>
              <w:rPr>
                <w:rFonts w:hint="eastAsia" w:ascii="宋体" w:hAnsi="宋体" w:eastAsia="宋体" w:cs="Times New Roman"/>
                <w:sz w:val="18"/>
                <w:szCs w:val="18"/>
              </w:rPr>
            </w:pPr>
            <w:r>
              <w:rPr>
                <w:rFonts w:ascii="宋体" w:hAnsi="宋体" w:eastAsia="宋体" w:cs="Times New Roman"/>
                <w:sz w:val="18"/>
                <w:szCs w:val="18"/>
              </w:rPr>
              <w:t>51-500</w:t>
            </w:r>
          </w:p>
        </w:tc>
        <w:tc>
          <w:tcPr>
            <w:tcW w:w="4678" w:type="dxa"/>
            <w:vAlign w:val="center"/>
          </w:tcPr>
          <w:p w14:paraId="56202569">
            <w:pPr>
              <w:pStyle w:val="36"/>
              <w:spacing w:after="0" w:line="360" w:lineRule="auto"/>
              <w:ind w:firstLine="0" w:firstLineChars="0"/>
              <w:jc w:val="center"/>
              <w:rPr>
                <w:rFonts w:hint="eastAsia" w:ascii="宋体" w:hAnsi="宋体" w:eastAsia="宋体" w:cs="Times New Roman"/>
                <w:sz w:val="18"/>
                <w:szCs w:val="18"/>
              </w:rPr>
            </w:pPr>
            <w:r>
              <w:rPr>
                <w:rFonts w:ascii="宋体" w:hAnsi="宋体" w:eastAsia="宋体" w:cs="Times New Roman"/>
                <w:sz w:val="18"/>
                <w:szCs w:val="18"/>
              </w:rPr>
              <w:t>≥2</w:t>
            </w:r>
          </w:p>
        </w:tc>
      </w:tr>
      <w:tr w14:paraId="6FEA3C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1" w:type="dxa"/>
            <w:vAlign w:val="center"/>
          </w:tcPr>
          <w:p w14:paraId="2C8DB1B0">
            <w:pPr>
              <w:pStyle w:val="36"/>
              <w:spacing w:after="0" w:line="360" w:lineRule="auto"/>
              <w:ind w:firstLine="0" w:firstLineChars="0"/>
              <w:jc w:val="center"/>
              <w:rPr>
                <w:rFonts w:hint="eastAsia" w:ascii="宋体" w:hAnsi="宋体" w:eastAsia="宋体" w:cs="Times New Roman"/>
                <w:sz w:val="18"/>
                <w:szCs w:val="18"/>
              </w:rPr>
            </w:pPr>
            <w:r>
              <w:rPr>
                <w:rFonts w:ascii="宋体" w:hAnsi="宋体" w:eastAsia="宋体" w:cs="Times New Roman"/>
                <w:sz w:val="18"/>
                <w:szCs w:val="18"/>
              </w:rPr>
              <w:t>＞500</w:t>
            </w:r>
          </w:p>
        </w:tc>
        <w:tc>
          <w:tcPr>
            <w:tcW w:w="4678" w:type="dxa"/>
            <w:vAlign w:val="center"/>
          </w:tcPr>
          <w:p w14:paraId="52E680DB">
            <w:pPr>
              <w:pStyle w:val="36"/>
              <w:spacing w:after="0" w:line="360" w:lineRule="auto"/>
              <w:ind w:firstLine="0" w:firstLineChars="0"/>
              <w:jc w:val="center"/>
              <w:rPr>
                <w:rFonts w:hint="eastAsia" w:ascii="宋体" w:hAnsi="宋体" w:eastAsia="宋体" w:cs="Times New Roman"/>
                <w:sz w:val="18"/>
                <w:szCs w:val="18"/>
              </w:rPr>
            </w:pPr>
            <w:r>
              <w:rPr>
                <w:rFonts w:ascii="宋体" w:hAnsi="宋体" w:eastAsia="宋体" w:cs="Times New Roman"/>
                <w:sz w:val="18"/>
                <w:szCs w:val="18"/>
              </w:rPr>
              <w:t>≥3</w:t>
            </w:r>
          </w:p>
        </w:tc>
      </w:tr>
    </w:tbl>
    <w:p w14:paraId="08139CC3">
      <w:pPr>
        <w:pStyle w:val="47"/>
        <w:spacing w:before="156" w:after="156"/>
        <w:rPr>
          <w:rFonts w:ascii="Times New Roman"/>
        </w:rPr>
        <w:sectPr>
          <w:footerReference r:id="rId9" w:type="default"/>
          <w:pgSz w:w="11906" w:h="16838"/>
          <w:pgMar w:top="567" w:right="1134" w:bottom="1134" w:left="1418" w:header="1418" w:footer="1134" w:gutter="0"/>
          <w:cols w:space="425" w:num="1"/>
          <w:formProt w:val="0"/>
          <w:docGrid w:type="lines" w:linePitch="312" w:charSpace="0"/>
        </w:sectPr>
      </w:pPr>
    </w:p>
    <w:p w14:paraId="7371959E">
      <w:pPr>
        <w:pStyle w:val="47"/>
        <w:spacing w:before="156" w:after="156"/>
        <w:rPr>
          <w:rFonts w:ascii="Times New Roman"/>
        </w:rPr>
      </w:pPr>
      <w:r>
        <w:rPr>
          <w:rFonts w:hint="eastAsia" w:ascii="Times New Roman"/>
        </w:rPr>
        <w:t>行车道</w:t>
      </w:r>
    </w:p>
    <w:p w14:paraId="6785B1C0">
      <w:pPr>
        <w:pStyle w:val="51"/>
        <w:jc w:val="both"/>
        <w:rPr>
          <w:rFonts w:ascii="Times New Roman" w:eastAsia="宋体"/>
          <w:kern w:val="2"/>
          <w:szCs w:val="24"/>
        </w:rPr>
      </w:pPr>
      <w:r>
        <w:rPr>
          <w:rFonts w:hint="eastAsia" w:ascii="Times New Roman" w:eastAsia="宋体"/>
          <w:kern w:val="2"/>
          <w:szCs w:val="24"/>
        </w:rPr>
        <w:t>单向行驶的车道宽度不应小于5米，双向行驶的车道宽度不应小于7米。</w:t>
      </w:r>
    </w:p>
    <w:p w14:paraId="0F010D90">
      <w:pPr>
        <w:pStyle w:val="51"/>
        <w:jc w:val="both"/>
        <w:rPr>
          <w:rFonts w:ascii="Times New Roman" w:eastAsia="宋体"/>
          <w:kern w:val="2"/>
          <w:szCs w:val="24"/>
        </w:rPr>
      </w:pPr>
      <w:r>
        <w:rPr>
          <w:rFonts w:hint="eastAsia" w:ascii="Times New Roman" w:eastAsia="宋体"/>
          <w:kern w:val="2"/>
          <w:szCs w:val="24"/>
        </w:rPr>
        <w:t>道路的最小纵坡应大于</w:t>
      </w:r>
      <w:r>
        <w:rPr>
          <w:rFonts w:ascii="Times New Roman" w:eastAsia="宋体"/>
          <w:kern w:val="2"/>
          <w:szCs w:val="24"/>
        </w:rPr>
        <w:t>0.3</w:t>
      </w:r>
      <w:r>
        <w:rPr>
          <w:rFonts w:hint="eastAsia" w:ascii="Times New Roman" w:eastAsia="宋体"/>
          <w:kern w:val="2"/>
          <w:szCs w:val="24"/>
        </w:rPr>
        <w:t>%。与城市道路连接的出入口地面坡度应符合</w:t>
      </w:r>
      <w:r>
        <w:rPr>
          <w:rFonts w:ascii="Times New Roman" w:eastAsia="宋体"/>
          <w:kern w:val="2"/>
          <w:szCs w:val="24"/>
        </w:rPr>
        <w:t>CJJ 37</w:t>
      </w:r>
      <w:r>
        <w:rPr>
          <w:rFonts w:hint="eastAsia" w:ascii="Times New Roman" w:eastAsia="宋体"/>
          <w:kern w:val="2"/>
          <w:szCs w:val="24"/>
        </w:rPr>
        <w:t>的规定。</w:t>
      </w:r>
    </w:p>
    <w:p w14:paraId="3671F5A0">
      <w:pPr>
        <w:pStyle w:val="51"/>
        <w:jc w:val="both"/>
        <w:rPr>
          <w:rFonts w:ascii="Times New Roman" w:eastAsia="宋体"/>
          <w:kern w:val="2"/>
          <w:szCs w:val="24"/>
        </w:rPr>
      </w:pPr>
      <w:r>
        <w:rPr>
          <w:rFonts w:hint="eastAsia" w:ascii="Times New Roman" w:eastAsia="宋体"/>
          <w:kern w:val="2"/>
          <w:szCs w:val="24"/>
        </w:rPr>
        <w:t>道路转弯时，应保证良好的视线条件且转弯半径应综合考虑车型、车速和道路条件确定，不得小于停车区内最大停放车辆的车长。</w:t>
      </w:r>
    </w:p>
    <w:p w14:paraId="4CE8CA53">
      <w:pPr>
        <w:pStyle w:val="51"/>
        <w:jc w:val="both"/>
        <w:rPr>
          <w:rFonts w:ascii="Times New Roman" w:eastAsia="宋体"/>
          <w:kern w:val="2"/>
          <w:szCs w:val="24"/>
        </w:rPr>
      </w:pPr>
      <w:r>
        <w:rPr>
          <w:rFonts w:hint="eastAsia" w:ascii="Times New Roman" w:eastAsia="宋体"/>
          <w:kern w:val="2"/>
          <w:szCs w:val="24"/>
        </w:rPr>
        <w:t>应设置消防车道，消防车道的设置应符合GB 50067、GB 55037的规定。消防车道宽度不应小于</w:t>
      </w:r>
      <w:r>
        <w:rPr>
          <w:rFonts w:ascii="Times New Roman" w:eastAsia="宋体"/>
          <w:kern w:val="2"/>
          <w:szCs w:val="24"/>
        </w:rPr>
        <w:t>4</w:t>
      </w:r>
      <w:r>
        <w:rPr>
          <w:rFonts w:hint="eastAsia" w:ascii="Times New Roman" w:eastAsia="宋体"/>
          <w:kern w:val="2"/>
          <w:szCs w:val="24"/>
        </w:rPr>
        <w:t>米，转弯半径不应小于1</w:t>
      </w:r>
      <w:r>
        <w:rPr>
          <w:rFonts w:ascii="Times New Roman" w:eastAsia="宋体"/>
          <w:kern w:val="2"/>
          <w:szCs w:val="24"/>
        </w:rPr>
        <w:t>2</w:t>
      </w:r>
      <w:r>
        <w:rPr>
          <w:rFonts w:hint="eastAsia" w:ascii="Times New Roman" w:eastAsia="宋体"/>
          <w:kern w:val="2"/>
          <w:szCs w:val="24"/>
        </w:rPr>
        <w:t>米，并宜采用环形布置；当设置环形车道确有困难时，可设置尽头式消防车道，且必须设置回车场，回车场的面积不应小于12米×12米，同时应确保车道及回车场的路面荷载、净高与坡度均满足消防车安全通行与作业的要求。</w:t>
      </w:r>
    </w:p>
    <w:p w14:paraId="19A6ABC5">
      <w:pPr>
        <w:pStyle w:val="47"/>
        <w:spacing w:before="156" w:after="156"/>
        <w:rPr>
          <w:rFonts w:ascii="Times New Roman"/>
        </w:rPr>
      </w:pPr>
      <w:r>
        <w:rPr>
          <w:rFonts w:hint="eastAsia" w:ascii="Times New Roman"/>
        </w:rPr>
        <w:t>停车区</w:t>
      </w:r>
    </w:p>
    <w:p w14:paraId="2A186156">
      <w:pPr>
        <w:pStyle w:val="51"/>
        <w:jc w:val="both"/>
        <w:rPr>
          <w:rFonts w:ascii="Times New Roman" w:eastAsia="宋体"/>
          <w:kern w:val="2"/>
          <w:szCs w:val="24"/>
        </w:rPr>
      </w:pPr>
      <w:r>
        <w:rPr>
          <w:rFonts w:hint="eastAsia" w:ascii="Times New Roman" w:eastAsia="宋体"/>
          <w:kern w:val="2"/>
          <w:szCs w:val="24"/>
        </w:rPr>
        <w:t>停车区应包含停车位和行车道，应综合考虑场内布局、车辆进出流向和停车位最大数量等因素，设置停车组的位置和数量。</w:t>
      </w:r>
    </w:p>
    <w:p w14:paraId="045ADFA3">
      <w:pPr>
        <w:pStyle w:val="51"/>
        <w:jc w:val="both"/>
        <w:rPr>
          <w:rFonts w:ascii="Times New Roman" w:eastAsia="宋体"/>
          <w:kern w:val="2"/>
          <w:szCs w:val="24"/>
        </w:rPr>
      </w:pPr>
      <w:r>
        <w:rPr>
          <w:rFonts w:hint="eastAsia" w:ascii="Times New Roman" w:eastAsia="宋体"/>
          <w:kern w:val="2"/>
          <w:szCs w:val="24"/>
        </w:rPr>
        <w:t>运输第1类爆炸性物质和物品、剧毒化学品的车辆，应停放在不同停车组内，严禁将化学性质或扑救方法相抵触的车辆停放在同一停车组。</w:t>
      </w:r>
    </w:p>
    <w:p w14:paraId="2D4216F4">
      <w:pPr>
        <w:pStyle w:val="52"/>
        <w:jc w:val="both"/>
      </w:pPr>
      <w:r>
        <w:rPr>
          <w:rFonts w:hint="eastAsia"/>
        </w:rPr>
        <w:t>停车组之间应采用通道、围栏等方式进行分隔。</w:t>
      </w:r>
    </w:p>
    <w:p w14:paraId="5B7764F5">
      <w:pPr>
        <w:pStyle w:val="51"/>
        <w:jc w:val="both"/>
        <w:rPr>
          <w:rFonts w:ascii="Times New Roman" w:eastAsia="宋体"/>
          <w:kern w:val="2"/>
          <w:szCs w:val="24"/>
        </w:rPr>
      </w:pPr>
      <w:r>
        <w:rPr>
          <w:rFonts w:hint="eastAsia" w:ascii="Times New Roman" w:eastAsia="宋体"/>
          <w:kern w:val="2"/>
          <w:szCs w:val="24"/>
        </w:rPr>
        <w:t>停车位应排列整齐、出入便捷、保证安全。</w:t>
      </w:r>
    </w:p>
    <w:p w14:paraId="0E68EE70">
      <w:pPr>
        <w:pStyle w:val="51"/>
        <w:adjustRightInd w:val="0"/>
        <w:snapToGrid w:val="0"/>
        <w:spacing w:line="360" w:lineRule="auto"/>
        <w:jc w:val="both"/>
        <w:rPr>
          <w:rFonts w:ascii="Times New Roman" w:eastAsia="宋体"/>
          <w:sz w:val="24"/>
          <w:szCs w:val="24"/>
        </w:rPr>
      </w:pPr>
      <w:r>
        <w:rPr>
          <w:rFonts w:hint="eastAsia" w:ascii="Times New Roman" w:eastAsia="宋体"/>
          <w:kern w:val="2"/>
          <w:szCs w:val="24"/>
        </w:rPr>
        <w:t>同一停车组内的停车方式可采用垂直式后退停车（如图1所示）或45°斜列式后退停车（如图2所示）。</w:t>
      </w:r>
    </w:p>
    <w:p w14:paraId="6A8FF396">
      <w:pPr>
        <w:pStyle w:val="36"/>
        <w:adjustRightInd w:val="0"/>
        <w:snapToGrid w:val="0"/>
        <w:spacing w:after="0" w:line="360" w:lineRule="auto"/>
        <w:ind w:firstLine="0" w:firstLineChars="0"/>
        <w:jc w:val="center"/>
        <w:rPr>
          <w:rFonts w:hint="eastAsia" w:ascii="黑体" w:hAnsi="黑体" w:eastAsia="黑体" w:cs="Times New Roman"/>
          <w:szCs w:val="21"/>
        </w:rPr>
      </w:pPr>
      <w:r>
        <w:rPr>
          <w:rFonts w:ascii="黑体" w:hAnsi="黑体" w:eastAsia="黑体" w:cs="Times New Roman"/>
          <w:szCs w:val="21"/>
        </w:rPr>
        <w:drawing>
          <wp:inline distT="0" distB="0" distL="0" distR="0">
            <wp:extent cx="4815205" cy="2519680"/>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815357" cy="2520000"/>
                    </a:xfrm>
                    <a:prstGeom prst="rect">
                      <a:avLst/>
                    </a:prstGeom>
                    <a:noFill/>
                  </pic:spPr>
                </pic:pic>
              </a:graphicData>
            </a:graphic>
          </wp:inline>
        </w:drawing>
      </w:r>
    </w:p>
    <w:p w14:paraId="2F80A479">
      <w:pPr>
        <w:pStyle w:val="36"/>
        <w:adjustRightInd w:val="0"/>
        <w:snapToGrid w:val="0"/>
        <w:spacing w:after="0" w:line="360" w:lineRule="auto"/>
        <w:ind w:firstLine="0" w:firstLineChars="0"/>
        <w:jc w:val="center"/>
        <w:rPr>
          <w:rFonts w:hint="eastAsia" w:ascii="黑体" w:hAnsi="黑体" w:eastAsia="黑体" w:cs="Times New Roman"/>
          <w:szCs w:val="21"/>
        </w:rPr>
        <w:sectPr>
          <w:footerReference r:id="rId10" w:type="default"/>
          <w:pgSz w:w="11906" w:h="16838"/>
          <w:pgMar w:top="567" w:right="1134" w:bottom="1134" w:left="1418" w:header="1418" w:footer="1134" w:gutter="0"/>
          <w:cols w:space="425" w:num="1"/>
          <w:formProt w:val="0"/>
          <w:docGrid w:type="lines" w:linePitch="312" w:charSpace="0"/>
        </w:sectPr>
      </w:pPr>
      <w:r>
        <w:rPr>
          <w:rFonts w:hint="eastAsia" w:ascii="黑体" w:hAnsi="黑体" w:eastAsia="黑体" w:cs="Times New Roman"/>
          <w:szCs w:val="21"/>
        </w:rPr>
        <w:t>图1</w:t>
      </w:r>
      <w:r>
        <w:rPr>
          <w:rFonts w:ascii="黑体" w:hAnsi="黑体" w:eastAsia="黑体" w:cs="Times New Roman"/>
          <w:szCs w:val="21"/>
        </w:rPr>
        <w:t xml:space="preserve">  </w:t>
      </w:r>
      <w:r>
        <w:rPr>
          <w:rFonts w:hint="eastAsia" w:ascii="黑体" w:hAnsi="黑体" w:eastAsia="黑体" w:cs="Times New Roman"/>
          <w:szCs w:val="21"/>
        </w:rPr>
        <w:t>垂直式后退停车</w:t>
      </w:r>
    </w:p>
    <w:p w14:paraId="75328DC5">
      <w:pPr>
        <w:pStyle w:val="36"/>
        <w:adjustRightInd w:val="0"/>
        <w:snapToGrid w:val="0"/>
        <w:spacing w:after="0" w:line="360" w:lineRule="auto"/>
        <w:ind w:firstLine="0" w:firstLineChars="0"/>
        <w:jc w:val="center"/>
        <w:rPr>
          <w:rFonts w:hint="eastAsia" w:ascii="黑体" w:hAnsi="黑体" w:eastAsia="黑体" w:cs="Times New Roman"/>
          <w:szCs w:val="21"/>
        </w:rPr>
      </w:pPr>
    </w:p>
    <w:p w14:paraId="2F75BA46">
      <w:pPr>
        <w:pStyle w:val="36"/>
        <w:adjustRightInd w:val="0"/>
        <w:snapToGrid w:val="0"/>
        <w:spacing w:line="360" w:lineRule="auto"/>
        <w:ind w:firstLine="0" w:firstLineChars="0"/>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drawing>
          <wp:inline distT="0" distB="0" distL="0" distR="0">
            <wp:extent cx="3288030" cy="3419475"/>
            <wp:effectExtent l="0" t="0" r="762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9" cstate="print">
                      <a:extLst>
                        <a:ext uri="{28A0092B-C50C-407E-A947-70E740481C1C}">
                          <a14:useLocalDpi xmlns:a14="http://schemas.microsoft.com/office/drawing/2010/main" val="0"/>
                        </a:ext>
                      </a:extLst>
                    </a:blip>
                    <a:srcRect t="11957" b="14552"/>
                    <a:stretch>
                      <a:fillRect/>
                    </a:stretch>
                  </pic:blipFill>
                  <pic:spPr>
                    <a:xfrm>
                      <a:off x="0" y="0"/>
                      <a:ext cx="3288224" cy="3420000"/>
                    </a:xfrm>
                    <a:prstGeom prst="rect">
                      <a:avLst/>
                    </a:prstGeom>
                    <a:ln>
                      <a:noFill/>
                    </a:ln>
                  </pic:spPr>
                </pic:pic>
              </a:graphicData>
            </a:graphic>
          </wp:inline>
        </w:drawing>
      </w:r>
    </w:p>
    <w:p w14:paraId="5277E512">
      <w:pPr>
        <w:pStyle w:val="36"/>
        <w:adjustRightInd w:val="0"/>
        <w:snapToGrid w:val="0"/>
        <w:spacing w:after="0" w:line="360" w:lineRule="auto"/>
        <w:ind w:firstLine="0" w:firstLineChars="0"/>
        <w:jc w:val="center"/>
        <w:rPr>
          <w:rFonts w:hint="eastAsia" w:ascii="黑体" w:hAnsi="黑体" w:eastAsia="黑体" w:cs="Times New Roman"/>
          <w:szCs w:val="21"/>
        </w:rPr>
      </w:pPr>
      <w:r>
        <w:rPr>
          <w:rFonts w:hint="eastAsia" w:ascii="黑体" w:hAnsi="黑体" w:eastAsia="黑体" w:cs="Times New Roman"/>
          <w:szCs w:val="21"/>
        </w:rPr>
        <w:t>图</w:t>
      </w:r>
      <w:r>
        <w:rPr>
          <w:rFonts w:ascii="黑体" w:hAnsi="黑体" w:eastAsia="黑体" w:cs="Times New Roman"/>
          <w:szCs w:val="21"/>
        </w:rPr>
        <w:t>2  45</w:t>
      </w:r>
      <w:r>
        <w:rPr>
          <w:rFonts w:hint="eastAsia" w:ascii="黑体" w:hAnsi="黑体" w:eastAsia="黑体" w:cs="Times New Roman"/>
          <w:szCs w:val="21"/>
        </w:rPr>
        <w:t>°斜列式后退停车</w:t>
      </w:r>
    </w:p>
    <w:p w14:paraId="5C9BD4FB">
      <w:pPr>
        <w:pStyle w:val="51"/>
        <w:jc w:val="both"/>
        <w:rPr>
          <w:rFonts w:ascii="Times New Roman" w:eastAsia="宋体"/>
          <w:kern w:val="2"/>
          <w:szCs w:val="24"/>
        </w:rPr>
      </w:pPr>
      <w:r>
        <w:rPr>
          <w:rFonts w:hint="eastAsia" w:ascii="Times New Roman" w:eastAsia="宋体"/>
          <w:kern w:val="2"/>
          <w:szCs w:val="24"/>
        </w:rPr>
        <w:t>停车区设计参数应依据</w:t>
      </w:r>
      <w:bookmarkStart w:id="31" w:name="_Hlk211809465"/>
      <w:r>
        <w:rPr>
          <w:rFonts w:hint="eastAsia" w:ascii="Times New Roman" w:eastAsia="宋体"/>
          <w:kern w:val="2"/>
          <w:szCs w:val="24"/>
        </w:rPr>
        <w:t>GB 1589</w:t>
      </w:r>
      <w:bookmarkEnd w:id="31"/>
      <w:r>
        <w:rPr>
          <w:rFonts w:hint="eastAsia" w:ascii="Times New Roman" w:eastAsia="宋体"/>
          <w:kern w:val="2"/>
          <w:szCs w:val="24"/>
        </w:rPr>
        <w:t>车型外廓尺寸确定，停放整体式与铰接列车车辆的停车场，宜参照表4.1，若为电动危险货物运输车辆配建充电设施，其设计、安装与运行管理应符合相关标准。</w:t>
      </w:r>
    </w:p>
    <w:p w14:paraId="61467B2C">
      <w:pPr>
        <w:spacing w:line="360" w:lineRule="auto"/>
        <w:jc w:val="center"/>
        <w:rPr>
          <w:rFonts w:hint="eastAsia" w:ascii="黑体" w:hAnsi="黑体" w:eastAsia="黑体"/>
          <w:szCs w:val="21"/>
        </w:rPr>
      </w:pPr>
      <w:r>
        <w:rPr>
          <w:rFonts w:hint="eastAsia" w:ascii="黑体" w:hAnsi="黑体" w:eastAsia="黑体"/>
          <w:szCs w:val="21"/>
        </w:rPr>
        <w:t>表</w:t>
      </w:r>
      <w:r>
        <w:rPr>
          <w:rFonts w:ascii="黑体" w:hAnsi="黑体" w:eastAsia="黑体"/>
          <w:szCs w:val="21"/>
        </w:rPr>
        <w:t xml:space="preserve">4.1  </w:t>
      </w:r>
      <w:r>
        <w:rPr>
          <w:rFonts w:hint="eastAsia" w:ascii="黑体" w:hAnsi="黑体" w:eastAsia="黑体"/>
          <w:szCs w:val="21"/>
        </w:rPr>
        <w:t>专用停车场停车区设计参数</w:t>
      </w:r>
    </w:p>
    <w:tbl>
      <w:tblPr>
        <w:tblStyle w:val="38"/>
        <w:tblW w:w="934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38"/>
        <w:gridCol w:w="1038"/>
        <w:gridCol w:w="1039"/>
        <w:gridCol w:w="1039"/>
        <w:gridCol w:w="1039"/>
        <w:gridCol w:w="1039"/>
        <w:gridCol w:w="1039"/>
        <w:gridCol w:w="1039"/>
        <w:gridCol w:w="1039"/>
      </w:tblGrid>
      <w:tr w14:paraId="59A2B8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trPr>
        <w:tc>
          <w:tcPr>
            <w:tcW w:w="1038" w:type="dxa"/>
            <w:vMerge w:val="restart"/>
            <w:vAlign w:val="center"/>
          </w:tcPr>
          <w:p w14:paraId="67F02697">
            <w:pPr>
              <w:spacing w:line="288" w:lineRule="auto"/>
              <w:jc w:val="center"/>
              <w:rPr>
                <w:rFonts w:hint="eastAsia" w:ascii="宋体" w:hAnsi="宋体"/>
                <w:sz w:val="18"/>
                <w:szCs w:val="18"/>
              </w:rPr>
            </w:pPr>
            <w:r>
              <w:rPr>
                <w:rFonts w:hint="eastAsia" w:ascii="宋体" w:hAnsi="宋体"/>
                <w:sz w:val="18"/>
                <w:szCs w:val="18"/>
              </w:rPr>
              <w:t>停车方式</w:t>
            </w:r>
          </w:p>
        </w:tc>
        <w:tc>
          <w:tcPr>
            <w:tcW w:w="2077" w:type="dxa"/>
            <w:gridSpan w:val="2"/>
            <w:vAlign w:val="center"/>
          </w:tcPr>
          <w:p w14:paraId="0305665F">
            <w:pPr>
              <w:spacing w:line="288" w:lineRule="auto"/>
              <w:jc w:val="center"/>
              <w:rPr>
                <w:rFonts w:hint="eastAsia" w:ascii="宋体" w:hAnsi="宋体"/>
                <w:sz w:val="18"/>
                <w:szCs w:val="18"/>
              </w:rPr>
            </w:pPr>
            <w:r>
              <w:rPr>
                <w:rFonts w:ascii="宋体" w:hAnsi="宋体"/>
                <w:sz w:val="18"/>
                <w:szCs w:val="18"/>
              </w:rPr>
              <w:t>B（m）</w:t>
            </w:r>
          </w:p>
        </w:tc>
        <w:tc>
          <w:tcPr>
            <w:tcW w:w="2078" w:type="dxa"/>
            <w:gridSpan w:val="2"/>
            <w:vAlign w:val="center"/>
          </w:tcPr>
          <w:p w14:paraId="0134F321">
            <w:pPr>
              <w:spacing w:line="288" w:lineRule="auto"/>
              <w:jc w:val="center"/>
              <w:rPr>
                <w:rFonts w:hint="eastAsia" w:ascii="宋体" w:hAnsi="宋体"/>
                <w:sz w:val="18"/>
                <w:szCs w:val="18"/>
              </w:rPr>
            </w:pPr>
            <w:r>
              <w:rPr>
                <w:rFonts w:ascii="宋体" w:hAnsi="宋体"/>
                <w:sz w:val="18"/>
                <w:szCs w:val="18"/>
              </w:rPr>
              <w:t>L（m）</w:t>
            </w:r>
          </w:p>
        </w:tc>
        <w:tc>
          <w:tcPr>
            <w:tcW w:w="2078" w:type="dxa"/>
            <w:gridSpan w:val="2"/>
            <w:vAlign w:val="center"/>
          </w:tcPr>
          <w:p w14:paraId="675FD756">
            <w:pPr>
              <w:spacing w:line="288" w:lineRule="auto"/>
              <w:jc w:val="center"/>
              <w:rPr>
                <w:rFonts w:hint="eastAsia" w:ascii="宋体" w:hAnsi="宋体"/>
                <w:sz w:val="18"/>
                <w:szCs w:val="18"/>
              </w:rPr>
            </w:pPr>
            <w:r>
              <w:rPr>
                <w:rFonts w:ascii="宋体" w:hAnsi="宋体"/>
                <w:sz w:val="18"/>
                <w:szCs w:val="18"/>
              </w:rPr>
              <w:t>W（m）</w:t>
            </w:r>
          </w:p>
        </w:tc>
        <w:tc>
          <w:tcPr>
            <w:tcW w:w="1039" w:type="dxa"/>
            <w:vAlign w:val="center"/>
          </w:tcPr>
          <w:p w14:paraId="62D4DE5E">
            <w:pPr>
              <w:spacing w:line="288" w:lineRule="auto"/>
              <w:jc w:val="center"/>
              <w:rPr>
                <w:rFonts w:hint="eastAsia" w:ascii="宋体" w:hAnsi="宋体"/>
                <w:sz w:val="18"/>
                <w:szCs w:val="18"/>
              </w:rPr>
            </w:pPr>
            <w:r>
              <w:rPr>
                <w:rFonts w:ascii="宋体" w:hAnsi="宋体"/>
                <w:sz w:val="18"/>
                <w:szCs w:val="18"/>
              </w:rPr>
              <w:t>WB（m）</w:t>
            </w:r>
          </w:p>
        </w:tc>
        <w:tc>
          <w:tcPr>
            <w:tcW w:w="1039" w:type="dxa"/>
            <w:vAlign w:val="center"/>
          </w:tcPr>
          <w:p w14:paraId="1B63AAF8">
            <w:pPr>
              <w:spacing w:line="288" w:lineRule="auto"/>
              <w:jc w:val="center"/>
              <w:rPr>
                <w:rFonts w:hint="eastAsia" w:ascii="宋体" w:hAnsi="宋体"/>
                <w:sz w:val="18"/>
                <w:szCs w:val="18"/>
              </w:rPr>
            </w:pPr>
            <w:r>
              <w:rPr>
                <w:rFonts w:ascii="宋体" w:hAnsi="宋体"/>
                <w:sz w:val="18"/>
                <w:szCs w:val="18"/>
              </w:rPr>
              <w:t>WL（m）</w:t>
            </w:r>
          </w:p>
        </w:tc>
      </w:tr>
      <w:tr w14:paraId="3828D2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53" w:hRule="atLeast"/>
        </w:trPr>
        <w:tc>
          <w:tcPr>
            <w:tcW w:w="1038" w:type="dxa"/>
            <w:vMerge w:val="continue"/>
            <w:vAlign w:val="center"/>
          </w:tcPr>
          <w:p w14:paraId="5287EAE7">
            <w:pPr>
              <w:spacing w:line="288" w:lineRule="auto"/>
              <w:jc w:val="center"/>
              <w:rPr>
                <w:rFonts w:hint="eastAsia" w:ascii="宋体" w:hAnsi="宋体"/>
                <w:sz w:val="18"/>
                <w:szCs w:val="18"/>
              </w:rPr>
            </w:pPr>
          </w:p>
        </w:tc>
        <w:tc>
          <w:tcPr>
            <w:tcW w:w="1038" w:type="dxa"/>
            <w:vAlign w:val="center"/>
          </w:tcPr>
          <w:p w14:paraId="434B8A51">
            <w:pPr>
              <w:spacing w:line="288" w:lineRule="auto"/>
              <w:jc w:val="center"/>
              <w:rPr>
                <w:rFonts w:hint="eastAsia" w:ascii="宋体" w:hAnsi="宋体"/>
                <w:sz w:val="18"/>
                <w:szCs w:val="18"/>
              </w:rPr>
            </w:pPr>
            <w:r>
              <w:rPr>
                <w:rFonts w:hint="eastAsia" w:ascii="宋体" w:hAnsi="宋体"/>
                <w:sz w:val="18"/>
                <w:szCs w:val="18"/>
              </w:rPr>
              <w:t>整体式</w:t>
            </w:r>
          </w:p>
        </w:tc>
        <w:tc>
          <w:tcPr>
            <w:tcW w:w="1039" w:type="dxa"/>
            <w:vAlign w:val="center"/>
          </w:tcPr>
          <w:p w14:paraId="44061C91">
            <w:pPr>
              <w:spacing w:line="288" w:lineRule="auto"/>
              <w:jc w:val="center"/>
              <w:rPr>
                <w:rFonts w:hint="eastAsia" w:ascii="宋体" w:hAnsi="宋体"/>
                <w:sz w:val="18"/>
                <w:szCs w:val="18"/>
              </w:rPr>
            </w:pPr>
            <w:r>
              <w:rPr>
                <w:rFonts w:hint="eastAsia" w:ascii="宋体" w:hAnsi="宋体"/>
                <w:sz w:val="18"/>
                <w:szCs w:val="18"/>
              </w:rPr>
              <w:t>铰接列车</w:t>
            </w:r>
          </w:p>
        </w:tc>
        <w:tc>
          <w:tcPr>
            <w:tcW w:w="1039" w:type="dxa"/>
            <w:vAlign w:val="center"/>
          </w:tcPr>
          <w:p w14:paraId="3982CA08">
            <w:pPr>
              <w:spacing w:line="288" w:lineRule="auto"/>
              <w:jc w:val="center"/>
              <w:rPr>
                <w:rFonts w:hint="eastAsia" w:ascii="宋体" w:hAnsi="宋体"/>
                <w:sz w:val="18"/>
                <w:szCs w:val="18"/>
              </w:rPr>
            </w:pPr>
            <w:r>
              <w:rPr>
                <w:rFonts w:hint="eastAsia" w:ascii="宋体" w:hAnsi="宋体"/>
                <w:sz w:val="18"/>
                <w:szCs w:val="18"/>
              </w:rPr>
              <w:t>整体式</w:t>
            </w:r>
          </w:p>
        </w:tc>
        <w:tc>
          <w:tcPr>
            <w:tcW w:w="1039" w:type="dxa"/>
            <w:vAlign w:val="center"/>
          </w:tcPr>
          <w:p w14:paraId="698D6933">
            <w:pPr>
              <w:spacing w:line="288" w:lineRule="auto"/>
              <w:jc w:val="center"/>
              <w:rPr>
                <w:rFonts w:hint="eastAsia" w:ascii="宋体" w:hAnsi="宋体"/>
                <w:sz w:val="18"/>
                <w:szCs w:val="18"/>
              </w:rPr>
            </w:pPr>
            <w:r>
              <w:rPr>
                <w:rFonts w:ascii="宋体" w:hAnsi="宋体"/>
                <w:sz w:val="18"/>
                <w:szCs w:val="18"/>
              </w:rPr>
              <w:t>铰接列车</w:t>
            </w:r>
          </w:p>
        </w:tc>
        <w:tc>
          <w:tcPr>
            <w:tcW w:w="1039" w:type="dxa"/>
            <w:vAlign w:val="center"/>
          </w:tcPr>
          <w:p w14:paraId="7109B0A0">
            <w:pPr>
              <w:spacing w:line="288" w:lineRule="auto"/>
              <w:jc w:val="center"/>
              <w:rPr>
                <w:rFonts w:hint="eastAsia" w:ascii="宋体" w:hAnsi="宋体"/>
                <w:sz w:val="18"/>
                <w:szCs w:val="18"/>
              </w:rPr>
            </w:pPr>
            <w:r>
              <w:rPr>
                <w:rFonts w:hint="eastAsia" w:ascii="宋体" w:hAnsi="宋体"/>
                <w:sz w:val="18"/>
                <w:szCs w:val="18"/>
              </w:rPr>
              <w:t>整体式</w:t>
            </w:r>
          </w:p>
        </w:tc>
        <w:tc>
          <w:tcPr>
            <w:tcW w:w="1039" w:type="dxa"/>
            <w:vAlign w:val="center"/>
          </w:tcPr>
          <w:p w14:paraId="1BC9E7EF">
            <w:pPr>
              <w:spacing w:line="288" w:lineRule="auto"/>
              <w:jc w:val="center"/>
              <w:rPr>
                <w:rFonts w:hint="eastAsia" w:ascii="宋体" w:hAnsi="宋体"/>
                <w:sz w:val="18"/>
                <w:szCs w:val="18"/>
              </w:rPr>
            </w:pPr>
            <w:r>
              <w:rPr>
                <w:rFonts w:ascii="宋体" w:hAnsi="宋体"/>
                <w:sz w:val="18"/>
                <w:szCs w:val="18"/>
              </w:rPr>
              <w:t>铰接列车</w:t>
            </w:r>
          </w:p>
        </w:tc>
        <w:tc>
          <w:tcPr>
            <w:tcW w:w="1039" w:type="dxa"/>
            <w:vAlign w:val="center"/>
          </w:tcPr>
          <w:p w14:paraId="2BD36E67">
            <w:pPr>
              <w:spacing w:line="288" w:lineRule="auto"/>
              <w:jc w:val="center"/>
              <w:rPr>
                <w:rFonts w:hint="eastAsia" w:ascii="宋体" w:hAnsi="宋体"/>
                <w:sz w:val="18"/>
                <w:szCs w:val="18"/>
              </w:rPr>
            </w:pPr>
            <w:r>
              <w:rPr>
                <w:rFonts w:hint="eastAsia" w:ascii="宋体" w:hAnsi="宋体"/>
                <w:sz w:val="18"/>
                <w:szCs w:val="18"/>
              </w:rPr>
              <w:t>停车位横向间隔</w:t>
            </w:r>
          </w:p>
        </w:tc>
        <w:tc>
          <w:tcPr>
            <w:tcW w:w="1039" w:type="dxa"/>
            <w:vAlign w:val="center"/>
          </w:tcPr>
          <w:p w14:paraId="693F3032">
            <w:pPr>
              <w:spacing w:line="288" w:lineRule="auto"/>
              <w:jc w:val="center"/>
              <w:rPr>
                <w:rFonts w:hint="eastAsia" w:ascii="宋体" w:hAnsi="宋体"/>
                <w:sz w:val="18"/>
                <w:szCs w:val="18"/>
              </w:rPr>
            </w:pPr>
            <w:r>
              <w:rPr>
                <w:rFonts w:hint="eastAsia" w:ascii="宋体" w:hAnsi="宋体"/>
                <w:sz w:val="18"/>
                <w:szCs w:val="18"/>
              </w:rPr>
              <w:t>停车位纵向间隔</w:t>
            </w:r>
          </w:p>
        </w:tc>
      </w:tr>
      <w:tr w14:paraId="477325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trPr>
        <w:tc>
          <w:tcPr>
            <w:tcW w:w="1038" w:type="dxa"/>
            <w:vAlign w:val="center"/>
          </w:tcPr>
          <w:p w14:paraId="1125CDAD">
            <w:pPr>
              <w:spacing w:line="288" w:lineRule="auto"/>
              <w:jc w:val="center"/>
              <w:rPr>
                <w:rFonts w:hint="eastAsia" w:ascii="宋体" w:hAnsi="宋体"/>
                <w:sz w:val="18"/>
                <w:szCs w:val="18"/>
              </w:rPr>
            </w:pPr>
            <w:r>
              <w:rPr>
                <w:rFonts w:hint="eastAsia" w:ascii="宋体" w:hAnsi="宋体"/>
                <w:sz w:val="18"/>
                <w:szCs w:val="18"/>
              </w:rPr>
              <w:t>垂直式</w:t>
            </w:r>
          </w:p>
        </w:tc>
        <w:tc>
          <w:tcPr>
            <w:tcW w:w="1038" w:type="dxa"/>
            <w:vAlign w:val="center"/>
          </w:tcPr>
          <w:p w14:paraId="72500F21">
            <w:pPr>
              <w:spacing w:line="288" w:lineRule="auto"/>
              <w:jc w:val="center"/>
              <w:rPr>
                <w:rFonts w:hint="eastAsia" w:ascii="宋体" w:hAnsi="宋体"/>
                <w:sz w:val="18"/>
                <w:szCs w:val="18"/>
              </w:rPr>
            </w:pPr>
            <w:r>
              <w:rPr>
                <w:rFonts w:ascii="宋体" w:hAnsi="宋体"/>
                <w:sz w:val="18"/>
                <w:szCs w:val="18"/>
              </w:rPr>
              <w:t>3.5</w:t>
            </w:r>
          </w:p>
        </w:tc>
        <w:tc>
          <w:tcPr>
            <w:tcW w:w="1039" w:type="dxa"/>
            <w:vAlign w:val="center"/>
          </w:tcPr>
          <w:p w14:paraId="0461686B">
            <w:pPr>
              <w:spacing w:line="288" w:lineRule="auto"/>
              <w:jc w:val="center"/>
              <w:rPr>
                <w:rFonts w:hint="eastAsia" w:ascii="宋体" w:hAnsi="宋体"/>
                <w:sz w:val="18"/>
                <w:szCs w:val="18"/>
              </w:rPr>
            </w:pPr>
            <w:r>
              <w:rPr>
                <w:rFonts w:ascii="宋体" w:hAnsi="宋体"/>
                <w:sz w:val="18"/>
                <w:szCs w:val="18"/>
              </w:rPr>
              <w:t>3.5</w:t>
            </w:r>
          </w:p>
        </w:tc>
        <w:tc>
          <w:tcPr>
            <w:tcW w:w="1039" w:type="dxa"/>
            <w:vAlign w:val="center"/>
          </w:tcPr>
          <w:p w14:paraId="27EF7510">
            <w:pPr>
              <w:spacing w:line="288" w:lineRule="auto"/>
              <w:jc w:val="center"/>
              <w:rPr>
                <w:rFonts w:hint="eastAsia" w:ascii="宋体" w:hAnsi="宋体"/>
                <w:sz w:val="18"/>
                <w:szCs w:val="18"/>
              </w:rPr>
            </w:pPr>
            <w:r>
              <w:rPr>
                <w:rFonts w:ascii="宋体" w:hAnsi="宋体"/>
                <w:sz w:val="18"/>
                <w:szCs w:val="18"/>
              </w:rPr>
              <w:t>13.0</w:t>
            </w:r>
          </w:p>
        </w:tc>
        <w:tc>
          <w:tcPr>
            <w:tcW w:w="1039" w:type="dxa"/>
            <w:vAlign w:val="center"/>
          </w:tcPr>
          <w:p w14:paraId="286AB663">
            <w:pPr>
              <w:spacing w:line="288" w:lineRule="auto"/>
              <w:jc w:val="center"/>
              <w:rPr>
                <w:rFonts w:hint="eastAsia" w:ascii="宋体" w:hAnsi="宋体"/>
                <w:sz w:val="18"/>
                <w:szCs w:val="18"/>
              </w:rPr>
            </w:pPr>
            <w:r>
              <w:rPr>
                <w:rFonts w:ascii="宋体" w:hAnsi="宋体"/>
                <w:sz w:val="18"/>
                <w:szCs w:val="18"/>
              </w:rPr>
              <w:t>19.0</w:t>
            </w:r>
          </w:p>
        </w:tc>
        <w:tc>
          <w:tcPr>
            <w:tcW w:w="1039" w:type="dxa"/>
            <w:vAlign w:val="center"/>
          </w:tcPr>
          <w:p w14:paraId="20E3CA0F">
            <w:pPr>
              <w:spacing w:line="288" w:lineRule="auto"/>
              <w:jc w:val="center"/>
              <w:rPr>
                <w:rFonts w:hint="eastAsia" w:ascii="宋体" w:hAnsi="宋体"/>
                <w:sz w:val="18"/>
                <w:szCs w:val="18"/>
              </w:rPr>
            </w:pPr>
            <w:r>
              <w:rPr>
                <w:rFonts w:ascii="宋体" w:hAnsi="宋体"/>
                <w:sz w:val="18"/>
                <w:szCs w:val="18"/>
              </w:rPr>
              <w:t>16.0</w:t>
            </w:r>
          </w:p>
        </w:tc>
        <w:tc>
          <w:tcPr>
            <w:tcW w:w="1039" w:type="dxa"/>
            <w:vAlign w:val="center"/>
          </w:tcPr>
          <w:p w14:paraId="5DCB6FF9">
            <w:pPr>
              <w:spacing w:line="288" w:lineRule="auto"/>
              <w:jc w:val="center"/>
              <w:rPr>
                <w:rFonts w:hint="eastAsia" w:ascii="宋体" w:hAnsi="宋体"/>
                <w:sz w:val="18"/>
                <w:szCs w:val="18"/>
              </w:rPr>
            </w:pPr>
            <w:r>
              <w:rPr>
                <w:rFonts w:ascii="宋体" w:hAnsi="宋体"/>
                <w:sz w:val="18"/>
                <w:szCs w:val="18"/>
              </w:rPr>
              <w:t>19.0</w:t>
            </w:r>
          </w:p>
        </w:tc>
        <w:tc>
          <w:tcPr>
            <w:tcW w:w="1039" w:type="dxa"/>
            <w:vAlign w:val="center"/>
          </w:tcPr>
          <w:p w14:paraId="60938B15">
            <w:pPr>
              <w:spacing w:line="288" w:lineRule="auto"/>
              <w:jc w:val="center"/>
              <w:rPr>
                <w:rFonts w:hint="eastAsia" w:ascii="宋体" w:hAnsi="宋体"/>
                <w:sz w:val="18"/>
                <w:szCs w:val="18"/>
              </w:rPr>
            </w:pPr>
            <w:r>
              <w:rPr>
                <w:rFonts w:ascii="宋体" w:hAnsi="宋体"/>
                <w:sz w:val="18"/>
                <w:szCs w:val="18"/>
              </w:rPr>
              <w:t>0.7</w:t>
            </w:r>
          </w:p>
        </w:tc>
        <w:tc>
          <w:tcPr>
            <w:tcW w:w="1039" w:type="dxa"/>
            <w:vAlign w:val="center"/>
          </w:tcPr>
          <w:p w14:paraId="174B867D">
            <w:pPr>
              <w:spacing w:line="288" w:lineRule="auto"/>
              <w:jc w:val="center"/>
              <w:rPr>
                <w:rFonts w:hint="eastAsia" w:ascii="宋体" w:hAnsi="宋体"/>
                <w:sz w:val="18"/>
                <w:szCs w:val="18"/>
              </w:rPr>
            </w:pPr>
            <w:r>
              <w:rPr>
                <w:rFonts w:ascii="宋体" w:hAnsi="宋体"/>
                <w:sz w:val="18"/>
                <w:szCs w:val="18"/>
              </w:rPr>
              <w:t>1</w:t>
            </w:r>
          </w:p>
        </w:tc>
      </w:tr>
      <w:tr w14:paraId="228D7B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5" w:hRule="atLeast"/>
        </w:trPr>
        <w:tc>
          <w:tcPr>
            <w:tcW w:w="1038" w:type="dxa"/>
            <w:vAlign w:val="center"/>
          </w:tcPr>
          <w:p w14:paraId="276FB365">
            <w:pPr>
              <w:spacing w:line="288" w:lineRule="auto"/>
              <w:jc w:val="center"/>
              <w:rPr>
                <w:rFonts w:hint="eastAsia" w:ascii="宋体" w:hAnsi="宋体"/>
                <w:sz w:val="18"/>
                <w:szCs w:val="18"/>
              </w:rPr>
            </w:pPr>
            <w:r>
              <w:rPr>
                <w:rFonts w:ascii="宋体" w:hAnsi="宋体"/>
                <w:sz w:val="18"/>
                <w:szCs w:val="18"/>
              </w:rPr>
              <w:t>45°</w:t>
            </w:r>
            <w:r>
              <w:rPr>
                <w:rFonts w:hint="eastAsia" w:ascii="宋体" w:hAnsi="宋体"/>
                <w:sz w:val="18"/>
                <w:szCs w:val="18"/>
              </w:rPr>
              <w:t>斜</w:t>
            </w:r>
            <w:r>
              <w:rPr>
                <w:rFonts w:ascii="宋体" w:hAnsi="宋体"/>
                <w:sz w:val="18"/>
                <w:szCs w:val="18"/>
              </w:rPr>
              <w:t>列式</w:t>
            </w:r>
          </w:p>
        </w:tc>
        <w:tc>
          <w:tcPr>
            <w:tcW w:w="1038" w:type="dxa"/>
            <w:vAlign w:val="center"/>
          </w:tcPr>
          <w:p w14:paraId="0341F9A5">
            <w:pPr>
              <w:spacing w:line="288" w:lineRule="auto"/>
              <w:jc w:val="center"/>
              <w:rPr>
                <w:rFonts w:hint="eastAsia" w:ascii="宋体" w:hAnsi="宋体"/>
                <w:sz w:val="18"/>
                <w:szCs w:val="18"/>
              </w:rPr>
            </w:pPr>
            <w:r>
              <w:rPr>
                <w:rFonts w:ascii="宋体" w:hAnsi="宋体"/>
                <w:sz w:val="18"/>
                <w:szCs w:val="18"/>
              </w:rPr>
              <w:t>5.0</w:t>
            </w:r>
          </w:p>
        </w:tc>
        <w:tc>
          <w:tcPr>
            <w:tcW w:w="1039" w:type="dxa"/>
            <w:vAlign w:val="center"/>
          </w:tcPr>
          <w:p w14:paraId="1512DB27">
            <w:pPr>
              <w:spacing w:line="288" w:lineRule="auto"/>
              <w:jc w:val="center"/>
              <w:rPr>
                <w:rFonts w:hint="eastAsia" w:ascii="宋体" w:hAnsi="宋体"/>
                <w:sz w:val="18"/>
                <w:szCs w:val="18"/>
              </w:rPr>
            </w:pPr>
            <w:r>
              <w:rPr>
                <w:rFonts w:ascii="宋体" w:hAnsi="宋体"/>
                <w:sz w:val="18"/>
                <w:szCs w:val="18"/>
              </w:rPr>
              <w:t>5.0</w:t>
            </w:r>
          </w:p>
        </w:tc>
        <w:tc>
          <w:tcPr>
            <w:tcW w:w="1039" w:type="dxa"/>
            <w:vAlign w:val="center"/>
          </w:tcPr>
          <w:p w14:paraId="0F6E2118">
            <w:pPr>
              <w:spacing w:line="288" w:lineRule="auto"/>
              <w:jc w:val="center"/>
              <w:rPr>
                <w:rFonts w:hint="eastAsia" w:ascii="宋体" w:hAnsi="宋体"/>
                <w:sz w:val="18"/>
                <w:szCs w:val="18"/>
              </w:rPr>
            </w:pPr>
            <w:r>
              <w:rPr>
                <w:rFonts w:ascii="宋体" w:hAnsi="宋体"/>
                <w:sz w:val="18"/>
                <w:szCs w:val="18"/>
              </w:rPr>
              <w:t>10.5</w:t>
            </w:r>
          </w:p>
        </w:tc>
        <w:tc>
          <w:tcPr>
            <w:tcW w:w="1039" w:type="dxa"/>
            <w:vAlign w:val="center"/>
          </w:tcPr>
          <w:p w14:paraId="0EF8497F">
            <w:pPr>
              <w:spacing w:line="288" w:lineRule="auto"/>
              <w:jc w:val="center"/>
              <w:rPr>
                <w:rFonts w:hint="eastAsia" w:ascii="宋体" w:hAnsi="宋体"/>
                <w:sz w:val="18"/>
                <w:szCs w:val="18"/>
              </w:rPr>
            </w:pPr>
            <w:r>
              <w:rPr>
                <w:rFonts w:ascii="宋体" w:hAnsi="宋体"/>
                <w:sz w:val="18"/>
                <w:szCs w:val="18"/>
              </w:rPr>
              <w:t>15.0</w:t>
            </w:r>
          </w:p>
        </w:tc>
        <w:tc>
          <w:tcPr>
            <w:tcW w:w="1039" w:type="dxa"/>
            <w:vAlign w:val="center"/>
          </w:tcPr>
          <w:p w14:paraId="66285451">
            <w:pPr>
              <w:spacing w:line="288" w:lineRule="auto"/>
              <w:jc w:val="center"/>
              <w:rPr>
                <w:rFonts w:hint="eastAsia" w:ascii="宋体" w:hAnsi="宋体"/>
                <w:sz w:val="18"/>
                <w:szCs w:val="18"/>
              </w:rPr>
            </w:pPr>
            <w:r>
              <w:rPr>
                <w:rFonts w:ascii="宋体" w:hAnsi="宋体"/>
                <w:sz w:val="18"/>
                <w:szCs w:val="18"/>
              </w:rPr>
              <w:t>9.0</w:t>
            </w:r>
          </w:p>
        </w:tc>
        <w:tc>
          <w:tcPr>
            <w:tcW w:w="1039" w:type="dxa"/>
            <w:vAlign w:val="center"/>
          </w:tcPr>
          <w:p w14:paraId="343796B2">
            <w:pPr>
              <w:spacing w:line="288" w:lineRule="auto"/>
              <w:jc w:val="center"/>
              <w:rPr>
                <w:rFonts w:hint="eastAsia" w:ascii="宋体" w:hAnsi="宋体"/>
                <w:sz w:val="18"/>
                <w:szCs w:val="18"/>
              </w:rPr>
            </w:pPr>
            <w:r>
              <w:rPr>
                <w:rFonts w:ascii="宋体" w:hAnsi="宋体"/>
                <w:sz w:val="18"/>
                <w:szCs w:val="18"/>
              </w:rPr>
              <w:t>11.0</w:t>
            </w:r>
          </w:p>
        </w:tc>
        <w:tc>
          <w:tcPr>
            <w:tcW w:w="1039" w:type="dxa"/>
            <w:vAlign w:val="center"/>
          </w:tcPr>
          <w:p w14:paraId="539CFA63">
            <w:pPr>
              <w:spacing w:line="288" w:lineRule="auto"/>
              <w:jc w:val="center"/>
              <w:rPr>
                <w:rFonts w:hint="eastAsia" w:ascii="宋体" w:hAnsi="宋体"/>
                <w:sz w:val="18"/>
                <w:szCs w:val="18"/>
              </w:rPr>
            </w:pPr>
            <w:r>
              <w:rPr>
                <w:rFonts w:ascii="宋体" w:hAnsi="宋体"/>
                <w:sz w:val="18"/>
                <w:szCs w:val="18"/>
              </w:rPr>
              <w:t>1</w:t>
            </w:r>
          </w:p>
        </w:tc>
        <w:tc>
          <w:tcPr>
            <w:tcW w:w="1039" w:type="dxa"/>
            <w:vAlign w:val="center"/>
          </w:tcPr>
          <w:p w14:paraId="483E8BFE">
            <w:pPr>
              <w:spacing w:line="288" w:lineRule="auto"/>
              <w:jc w:val="center"/>
              <w:rPr>
                <w:rFonts w:hint="eastAsia" w:ascii="宋体" w:hAnsi="宋体"/>
                <w:sz w:val="18"/>
                <w:szCs w:val="18"/>
              </w:rPr>
            </w:pPr>
            <w:r>
              <w:rPr>
                <w:rFonts w:ascii="宋体" w:hAnsi="宋体"/>
                <w:sz w:val="18"/>
                <w:szCs w:val="18"/>
              </w:rPr>
              <w:t>1</w:t>
            </w:r>
          </w:p>
        </w:tc>
      </w:tr>
      <w:tr w14:paraId="7A2350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5" w:hRule="atLeast"/>
        </w:trPr>
        <w:tc>
          <w:tcPr>
            <w:tcW w:w="9349" w:type="dxa"/>
            <w:gridSpan w:val="9"/>
            <w:vAlign w:val="center"/>
          </w:tcPr>
          <w:p w14:paraId="28D7CEBF">
            <w:pPr>
              <w:pStyle w:val="36"/>
              <w:ind w:firstLine="360" w:firstLineChars="200"/>
              <w:rPr>
                <w:rFonts w:hint="eastAsia" w:ascii="黑体" w:hAnsi="黑体" w:eastAsia="黑体" w:cs="Times New Roman"/>
                <w:sz w:val="18"/>
                <w:szCs w:val="18"/>
              </w:rPr>
            </w:pPr>
            <w:r>
              <w:rPr>
                <w:rFonts w:hint="eastAsia" w:ascii="黑体" w:hAnsi="黑体" w:eastAsia="黑体" w:cs="Times New Roman"/>
                <w:sz w:val="18"/>
                <w:szCs w:val="18"/>
              </w:rPr>
              <w:t>注：B:平行通道方向的停车位宽度；L:垂直通道方向的停车位长度；W:通道宽度；WB:停车位横向间隔的长度；WL:停车位纵向间隔的长度。</w:t>
            </w:r>
          </w:p>
        </w:tc>
      </w:tr>
    </w:tbl>
    <w:p w14:paraId="37C89410">
      <w:pPr>
        <w:pStyle w:val="47"/>
        <w:spacing w:before="156" w:after="156"/>
        <w:rPr>
          <w:rFonts w:ascii="Times New Roman"/>
        </w:rPr>
      </w:pPr>
      <w:r>
        <w:rPr>
          <w:rFonts w:hint="eastAsia" w:ascii="Times New Roman"/>
        </w:rPr>
        <w:t>管理区</w:t>
      </w:r>
    </w:p>
    <w:p w14:paraId="24E4F412">
      <w:pPr>
        <w:pStyle w:val="51"/>
        <w:jc w:val="both"/>
        <w:rPr>
          <w:rFonts w:ascii="Times New Roman" w:eastAsia="宋体"/>
          <w:kern w:val="2"/>
          <w:szCs w:val="24"/>
        </w:rPr>
      </w:pPr>
      <w:r>
        <w:rPr>
          <w:rFonts w:hint="eastAsia" w:ascii="Times New Roman" w:eastAsia="宋体"/>
          <w:kern w:val="2"/>
          <w:szCs w:val="24"/>
        </w:rPr>
        <w:t>管理区与停车区之间采用高度不低于1</w:t>
      </w:r>
      <w:r>
        <w:rPr>
          <w:rFonts w:ascii="Times New Roman" w:eastAsia="宋体"/>
          <w:kern w:val="2"/>
          <w:szCs w:val="24"/>
        </w:rPr>
        <w:t>.8</w:t>
      </w:r>
      <w:r>
        <w:rPr>
          <w:rFonts w:hint="eastAsia" w:ascii="Times New Roman" w:eastAsia="宋体"/>
          <w:kern w:val="2"/>
          <w:szCs w:val="24"/>
        </w:rPr>
        <w:t>米的实体围墙或者金属护栏进行硬隔离，并设置明显标识，防止无关人员、车辆进入停车区。</w:t>
      </w:r>
    </w:p>
    <w:p w14:paraId="7E740A3C">
      <w:pPr>
        <w:pStyle w:val="51"/>
        <w:jc w:val="both"/>
        <w:rPr>
          <w:rFonts w:ascii="Times New Roman" w:eastAsia="宋体"/>
          <w:kern w:val="2"/>
          <w:szCs w:val="24"/>
        </w:rPr>
      </w:pPr>
      <w:r>
        <w:rPr>
          <w:rFonts w:hint="eastAsia" w:ascii="Times New Roman" w:eastAsia="宋体"/>
          <w:kern w:val="2"/>
          <w:szCs w:val="24"/>
        </w:rPr>
        <w:t>管理区应设置门卫值班室和独立对外的人行出入口，不得与停车区共用同一车辆出入口。</w:t>
      </w:r>
    </w:p>
    <w:p w14:paraId="44B9ACBD">
      <w:pPr>
        <w:pStyle w:val="51"/>
        <w:spacing w:before="312" w:after="312"/>
        <w:jc w:val="both"/>
        <w:sectPr>
          <w:footerReference r:id="rId11" w:type="default"/>
          <w:pgSz w:w="11906" w:h="16838"/>
          <w:pgMar w:top="567" w:right="1134" w:bottom="1134" w:left="1418" w:header="1418" w:footer="1134" w:gutter="0"/>
          <w:cols w:space="425" w:num="1"/>
          <w:formProt w:val="0"/>
          <w:docGrid w:type="lines" w:linePitch="312" w:charSpace="0"/>
        </w:sectPr>
      </w:pPr>
      <w:r>
        <w:rPr>
          <w:rFonts w:hint="eastAsia" w:ascii="Times New Roman" w:eastAsia="宋体"/>
          <w:kern w:val="2"/>
          <w:szCs w:val="24"/>
        </w:rPr>
        <w:t>专用停车场内的管理区与停车区应保持</w:t>
      </w:r>
      <w:r>
        <w:rPr>
          <w:rFonts w:ascii="Times New Roman" w:eastAsia="宋体"/>
          <w:kern w:val="2"/>
          <w:szCs w:val="24"/>
        </w:rPr>
        <w:t>12</w:t>
      </w:r>
      <w:r>
        <w:rPr>
          <w:rFonts w:hint="eastAsia" w:ascii="Times New Roman" w:eastAsia="宋体"/>
          <w:kern w:val="2"/>
          <w:szCs w:val="24"/>
        </w:rPr>
        <w:t>米的防火间距。</w:t>
      </w:r>
      <w:bookmarkStart w:id="32" w:name="_Toc212029704"/>
      <w:bookmarkStart w:id="33" w:name="_Toc212101649"/>
    </w:p>
    <w:p w14:paraId="22249BC3">
      <w:pPr>
        <w:pStyle w:val="50"/>
        <w:spacing w:before="312" w:after="312"/>
      </w:pPr>
      <w:r>
        <w:rPr>
          <w:rFonts w:hint="eastAsia"/>
        </w:rPr>
        <w:t>标志标线</w:t>
      </w:r>
      <w:bookmarkEnd w:id="32"/>
      <w:bookmarkEnd w:id="33"/>
    </w:p>
    <w:p w14:paraId="71785E28">
      <w:pPr>
        <w:pStyle w:val="51"/>
        <w:jc w:val="both"/>
        <w:rPr>
          <w:rFonts w:ascii="Times New Roman" w:eastAsia="宋体"/>
          <w:kern w:val="2"/>
          <w:szCs w:val="24"/>
        </w:rPr>
      </w:pPr>
      <w:r>
        <w:rPr>
          <w:rFonts w:hint="eastAsia" w:ascii="Times New Roman" w:eastAsia="宋体"/>
          <w:kern w:val="2"/>
          <w:szCs w:val="24"/>
        </w:rPr>
        <w:t>应按GB 5768(所有部分)在专用停车场出入口、交叉口、行车道等位置设置交通标志，施划交通标线。</w:t>
      </w:r>
    </w:p>
    <w:p w14:paraId="31C107F6">
      <w:pPr>
        <w:pStyle w:val="51"/>
        <w:jc w:val="both"/>
        <w:rPr>
          <w:rFonts w:ascii="Times New Roman" w:eastAsia="宋体"/>
          <w:kern w:val="2"/>
          <w:szCs w:val="24"/>
        </w:rPr>
      </w:pPr>
      <w:r>
        <w:rPr>
          <w:rFonts w:hint="eastAsia" w:ascii="Times New Roman" w:eastAsia="宋体"/>
          <w:kern w:val="2"/>
          <w:szCs w:val="24"/>
        </w:rPr>
        <w:t>专用停车场应在出入口处设置带有“危险货物运输车辆停车场”醒目字样的停车场标志，标志的颜色、型号、设置要求、使用要求等应按照</w:t>
      </w:r>
      <w:r>
        <w:rPr>
          <w:rFonts w:ascii="Times New Roman" w:eastAsia="宋体"/>
          <w:kern w:val="2"/>
          <w:szCs w:val="24"/>
        </w:rPr>
        <w:t>GB 5768.2</w:t>
      </w:r>
      <w:r>
        <w:rPr>
          <w:rFonts w:hint="eastAsia" w:ascii="Times New Roman" w:eastAsia="宋体"/>
          <w:kern w:val="2"/>
          <w:szCs w:val="24"/>
        </w:rPr>
        <w:t>规定的速度</w:t>
      </w:r>
      <w:r>
        <w:rPr>
          <w:rFonts w:ascii="Times New Roman" w:eastAsia="宋体"/>
          <w:kern w:val="2"/>
          <w:szCs w:val="24"/>
        </w:rPr>
        <w:t>40</w:t>
      </w:r>
      <w:r>
        <w:rPr>
          <w:rFonts w:hint="eastAsia" w:ascii="Times New Roman" w:eastAsia="宋体"/>
          <w:kern w:val="2"/>
          <w:szCs w:val="24"/>
        </w:rPr>
        <w:t>千米/小时至</w:t>
      </w:r>
      <w:r>
        <w:rPr>
          <w:rFonts w:ascii="Times New Roman" w:eastAsia="宋体"/>
          <w:kern w:val="2"/>
          <w:szCs w:val="24"/>
        </w:rPr>
        <w:t>80</w:t>
      </w:r>
      <w:r>
        <w:rPr>
          <w:rFonts w:hint="eastAsia" w:ascii="Times New Roman" w:eastAsia="宋体"/>
          <w:kern w:val="2"/>
          <w:szCs w:val="24"/>
        </w:rPr>
        <w:t>千米/小时情况确定，可参考附录A。</w:t>
      </w:r>
    </w:p>
    <w:p w14:paraId="555B43B4">
      <w:pPr>
        <w:pStyle w:val="51"/>
        <w:jc w:val="both"/>
        <w:rPr>
          <w:rFonts w:ascii="Times New Roman" w:eastAsia="宋体"/>
          <w:kern w:val="2"/>
          <w:szCs w:val="24"/>
        </w:rPr>
      </w:pPr>
      <w:r>
        <w:rPr>
          <w:rFonts w:hint="eastAsia" w:ascii="Times New Roman" w:eastAsia="宋体"/>
          <w:kern w:val="2"/>
          <w:szCs w:val="24"/>
        </w:rPr>
        <w:t>标志牌应采用坚固耐用材料制作，其标志面须使用具备高逆反射性能的材料，以确保视认清晰,不宜使用遇水变形、变质或易燃的材料,有触电危险的场所应使用绝缘材料。标志牌的图形、文字应清楚，应参照</w:t>
      </w:r>
      <w:r>
        <w:rPr>
          <w:rFonts w:ascii="Times New Roman" w:eastAsia="宋体"/>
          <w:kern w:val="2"/>
          <w:szCs w:val="24"/>
        </w:rPr>
        <w:t>GB 2894</w:t>
      </w:r>
      <w:r>
        <w:rPr>
          <w:rFonts w:hint="eastAsia" w:ascii="Times New Roman" w:eastAsia="宋体"/>
          <w:kern w:val="2"/>
          <w:szCs w:val="24"/>
        </w:rPr>
        <w:t>、GB 5768和</w:t>
      </w:r>
      <w:r>
        <w:rPr>
          <w:rFonts w:ascii="Times New Roman" w:eastAsia="宋体"/>
          <w:kern w:val="2"/>
          <w:szCs w:val="24"/>
        </w:rPr>
        <w:t>GB/T 2893.5</w:t>
      </w:r>
      <w:r>
        <w:rPr>
          <w:rFonts w:hint="eastAsia" w:ascii="Times New Roman" w:eastAsia="宋体"/>
          <w:kern w:val="2"/>
          <w:szCs w:val="24"/>
        </w:rPr>
        <w:t>。</w:t>
      </w:r>
    </w:p>
    <w:p w14:paraId="29413A57">
      <w:pPr>
        <w:pStyle w:val="51"/>
        <w:jc w:val="both"/>
        <w:rPr>
          <w:rFonts w:ascii="Times New Roman" w:eastAsia="宋体"/>
          <w:kern w:val="2"/>
          <w:szCs w:val="24"/>
        </w:rPr>
      </w:pPr>
      <w:r>
        <w:rPr>
          <w:rFonts w:hint="eastAsia" w:ascii="Times New Roman" w:eastAsia="宋体"/>
          <w:kern w:val="2"/>
          <w:szCs w:val="24"/>
        </w:rPr>
        <w:t>应在停车区、管理区明显位置设置禁火等禁令标志，标志的颜色、样式和符号按照</w:t>
      </w:r>
      <w:r>
        <w:rPr>
          <w:rFonts w:ascii="Times New Roman" w:eastAsia="宋体"/>
          <w:kern w:val="2"/>
          <w:szCs w:val="24"/>
        </w:rPr>
        <w:t>GB 2894</w:t>
      </w:r>
      <w:r>
        <w:rPr>
          <w:rFonts w:hint="eastAsia" w:ascii="Times New Roman" w:eastAsia="宋体"/>
          <w:kern w:val="2"/>
          <w:szCs w:val="24"/>
        </w:rPr>
        <w:t>的要求。</w:t>
      </w:r>
    </w:p>
    <w:p w14:paraId="4667EF4D">
      <w:pPr>
        <w:pStyle w:val="50"/>
        <w:spacing w:before="312" w:after="312"/>
        <w:rPr>
          <w:rFonts w:ascii="Times New Roman"/>
        </w:rPr>
      </w:pPr>
      <w:bookmarkStart w:id="34" w:name="_Toc212029706"/>
      <w:bookmarkStart w:id="35" w:name="_Toc212101651"/>
      <w:r>
        <w:rPr>
          <w:rFonts w:hint="eastAsia" w:ascii="Times New Roman"/>
        </w:rPr>
        <w:t>安全防护</w:t>
      </w:r>
      <w:bookmarkEnd w:id="34"/>
      <w:bookmarkEnd w:id="35"/>
    </w:p>
    <w:p w14:paraId="1C5432B1">
      <w:pPr>
        <w:pStyle w:val="47"/>
        <w:spacing w:before="156" w:after="156"/>
        <w:jc w:val="both"/>
        <w:rPr>
          <w:rFonts w:hint="eastAsia" w:asciiTheme="minorEastAsia" w:hAnsiTheme="minorEastAsia" w:eastAsiaTheme="minorEastAsia"/>
        </w:rPr>
      </w:pPr>
      <w:bookmarkStart w:id="36" w:name="_Toc212101652"/>
      <w:r>
        <w:rPr>
          <w:rFonts w:hint="eastAsia" w:asciiTheme="minorEastAsia" w:hAnsiTheme="minorEastAsia" w:eastAsiaTheme="minorEastAsia"/>
        </w:rPr>
        <w:t>专用停车场应制定并张贴安全制度及应急预案，实行封闭管理，应安排人员24小时进行值班。</w:t>
      </w:r>
      <w:bookmarkEnd w:id="36"/>
    </w:p>
    <w:p w14:paraId="65298258">
      <w:pPr>
        <w:pStyle w:val="47"/>
        <w:spacing w:before="156" w:after="156"/>
        <w:jc w:val="both"/>
        <w:rPr>
          <w:rFonts w:hint="eastAsia" w:asciiTheme="minorEastAsia" w:hAnsiTheme="minorEastAsia" w:eastAsiaTheme="minorEastAsia"/>
        </w:rPr>
      </w:pPr>
      <w:r>
        <w:rPr>
          <w:rFonts w:hint="eastAsia" w:asciiTheme="minorEastAsia" w:hAnsiTheme="minorEastAsia" w:eastAsiaTheme="minorEastAsia"/>
        </w:rPr>
        <w:t>专用停车场出入口应建立卡口,对车辆信息进行出入登记。登记方式可采取电子或人工方式。</w:t>
      </w:r>
    </w:p>
    <w:p w14:paraId="047A6634">
      <w:pPr>
        <w:pStyle w:val="47"/>
        <w:spacing w:before="156" w:after="156"/>
        <w:jc w:val="both"/>
        <w:rPr>
          <w:rFonts w:hint="eastAsia" w:asciiTheme="minorEastAsia" w:hAnsiTheme="minorEastAsia" w:eastAsiaTheme="minorEastAsia"/>
        </w:rPr>
      </w:pPr>
      <w:r>
        <w:rPr>
          <w:rFonts w:hint="eastAsia" w:asciiTheme="minorEastAsia" w:hAnsiTheme="minorEastAsia" w:eastAsiaTheme="minorEastAsia"/>
        </w:rPr>
        <w:t>专用停车场卡口登记信息应包括车辆号牌、出入时间。登记信息应至少保存30天。</w:t>
      </w:r>
    </w:p>
    <w:p w14:paraId="66AF9282">
      <w:pPr>
        <w:pStyle w:val="47"/>
        <w:spacing w:before="156" w:after="156"/>
        <w:jc w:val="both"/>
        <w:rPr>
          <w:rFonts w:hint="eastAsia" w:asciiTheme="minorEastAsia" w:hAnsiTheme="minorEastAsia" w:eastAsiaTheme="minorEastAsia"/>
        </w:rPr>
      </w:pPr>
      <w:r>
        <w:rPr>
          <w:rFonts w:hint="eastAsia" w:asciiTheme="minorEastAsia" w:hAnsiTheme="minorEastAsia" w:eastAsiaTheme="minorEastAsia"/>
        </w:rPr>
        <w:t>专用停车场应配置视频监控装置监控场内运行情况,视频监控应实现出入口、停车区全覆盖。</w:t>
      </w:r>
    </w:p>
    <w:p w14:paraId="78947936">
      <w:pPr>
        <w:pStyle w:val="47"/>
        <w:spacing w:before="156" w:after="156"/>
        <w:jc w:val="both"/>
        <w:rPr>
          <w:rFonts w:hint="eastAsia" w:asciiTheme="minorEastAsia" w:hAnsiTheme="minorEastAsia" w:eastAsiaTheme="minorEastAsia"/>
        </w:rPr>
      </w:pPr>
      <w:r>
        <w:rPr>
          <w:rFonts w:hint="eastAsia" w:asciiTheme="minorEastAsia" w:hAnsiTheme="minorEastAsia" w:eastAsiaTheme="minorEastAsia"/>
        </w:rPr>
        <w:t>视频监控装置应具备实时监控和回放功能。视频图像水平像素数应不低于1920像素,垂直像素数应不低于1080像素;存储图像的帧频率应不小于25帧/秒;监控视频信息记录保存时间应不少于30天；应设置视频应急UPS 断电保护,且应不少于30分钟。</w:t>
      </w:r>
    </w:p>
    <w:p w14:paraId="72FB13B6">
      <w:pPr>
        <w:pStyle w:val="47"/>
        <w:spacing w:before="156" w:after="156"/>
        <w:jc w:val="both"/>
        <w:rPr>
          <w:rFonts w:hint="eastAsia" w:asciiTheme="minorEastAsia" w:hAnsiTheme="minorEastAsia" w:eastAsiaTheme="minorEastAsia"/>
        </w:rPr>
      </w:pPr>
      <w:bookmarkStart w:id="37" w:name="_Toc212101653"/>
      <w:r>
        <w:rPr>
          <w:rFonts w:hint="eastAsia" w:asciiTheme="minorEastAsia" w:hAnsiTheme="minorEastAsia" w:eastAsiaTheme="minorEastAsia"/>
        </w:rPr>
        <w:t>专用停车场应配备夜间照明系统。夜间照明系统的安装高度和亮度应能满足车辆出入、停放及视频监控等要求。</w:t>
      </w:r>
      <w:bookmarkEnd w:id="37"/>
    </w:p>
    <w:p w14:paraId="25301A24">
      <w:pPr>
        <w:pStyle w:val="47"/>
        <w:spacing w:before="156" w:after="156"/>
        <w:rPr>
          <w:rFonts w:hint="eastAsia" w:asciiTheme="minorEastAsia" w:hAnsiTheme="minorEastAsia" w:eastAsiaTheme="minorEastAsia"/>
        </w:rPr>
      </w:pPr>
      <w:bookmarkStart w:id="38" w:name="_Toc212101654"/>
      <w:r>
        <w:rPr>
          <w:rFonts w:hint="eastAsia" w:asciiTheme="minorEastAsia" w:hAnsiTheme="minorEastAsia" w:eastAsiaTheme="minorEastAsia"/>
        </w:rPr>
        <w:t>专用停车场周围及内部应实现视频监控2</w:t>
      </w:r>
      <w:r>
        <w:rPr>
          <w:rFonts w:asciiTheme="minorEastAsia" w:hAnsiTheme="minorEastAsia" w:eastAsiaTheme="minorEastAsia"/>
        </w:rPr>
        <w:t>4</w:t>
      </w:r>
      <w:r>
        <w:rPr>
          <w:rFonts w:hint="eastAsia" w:asciiTheme="minorEastAsia" w:hAnsiTheme="minorEastAsia" w:eastAsiaTheme="minorEastAsia"/>
        </w:rPr>
        <w:t>小时全覆盖、无盲区，视频监控系统应接入管理区，视频图像质量应清晰可识别且储存时间不少于3</w:t>
      </w:r>
      <w:r>
        <w:rPr>
          <w:rFonts w:asciiTheme="minorEastAsia" w:hAnsiTheme="minorEastAsia" w:eastAsiaTheme="minorEastAsia"/>
        </w:rPr>
        <w:t>0</w:t>
      </w:r>
      <w:r>
        <w:rPr>
          <w:rFonts w:hint="eastAsia" w:asciiTheme="minorEastAsia" w:hAnsiTheme="minorEastAsia" w:eastAsiaTheme="minorEastAsia"/>
        </w:rPr>
        <w:t>天。</w:t>
      </w:r>
      <w:bookmarkEnd w:id="38"/>
    </w:p>
    <w:p w14:paraId="416795A5">
      <w:pPr>
        <w:pStyle w:val="47"/>
        <w:spacing w:before="156" w:after="156"/>
        <w:rPr>
          <w:rFonts w:hint="eastAsia" w:asciiTheme="minorEastAsia" w:hAnsiTheme="minorEastAsia" w:eastAsiaTheme="minorEastAsia"/>
        </w:rPr>
      </w:pPr>
      <w:r>
        <w:rPr>
          <w:rFonts w:hint="eastAsia" w:asciiTheme="minorEastAsia" w:hAnsiTheme="minorEastAsia" w:eastAsiaTheme="minorEastAsia"/>
        </w:rPr>
        <w:t>危险货物运输车辆在停车场内停放期间,车辆应关闭总电源,车内不应有人。</w:t>
      </w:r>
    </w:p>
    <w:p w14:paraId="3DE4A81E">
      <w:pPr>
        <w:pStyle w:val="50"/>
        <w:spacing w:before="312" w:after="312"/>
        <w:rPr>
          <w:rFonts w:ascii="Times New Roman"/>
        </w:rPr>
      </w:pPr>
      <w:r>
        <w:rPr>
          <w:rFonts w:hint="eastAsia" w:ascii="Times New Roman"/>
        </w:rPr>
        <w:t>消防应急设施</w:t>
      </w:r>
    </w:p>
    <w:p w14:paraId="08126430">
      <w:pPr>
        <w:pStyle w:val="47"/>
        <w:spacing w:before="156" w:after="156"/>
        <w:rPr>
          <w:rFonts w:hint="eastAsia" w:asciiTheme="minorEastAsia" w:hAnsiTheme="minorEastAsia" w:eastAsiaTheme="minorEastAsia"/>
        </w:rPr>
      </w:pPr>
      <w:bookmarkStart w:id="39" w:name="_Toc212101658"/>
      <w:r>
        <w:rPr>
          <w:rFonts w:hint="eastAsia" w:asciiTheme="minorEastAsia" w:hAnsiTheme="minorEastAsia" w:eastAsiaTheme="minorEastAsia"/>
        </w:rPr>
        <w:t>专用停车场应根据停放车辆运载危险货物的类别项别和可能发生的火灾类型合理配置干粉灭火器、泡沫灭火器的数量，并根据停车区规模配置灭火毯。在临近停车区处应设置消防沙池。</w:t>
      </w:r>
      <w:bookmarkEnd w:id="39"/>
    </w:p>
    <w:p w14:paraId="449A3E62">
      <w:pPr>
        <w:pStyle w:val="47"/>
        <w:spacing w:before="156" w:after="156"/>
        <w:rPr>
          <w:rFonts w:hint="eastAsia" w:asciiTheme="minorEastAsia" w:hAnsiTheme="minorEastAsia" w:eastAsiaTheme="minorEastAsia"/>
        </w:rPr>
      </w:pPr>
      <w:bookmarkStart w:id="40" w:name="_Toc212101660"/>
      <w:r>
        <w:rPr>
          <w:rFonts w:hint="eastAsia" w:asciiTheme="minorEastAsia" w:hAnsiTheme="minorEastAsia" w:eastAsiaTheme="minorEastAsia"/>
        </w:rPr>
        <w:t>应根据停放车辆运载危险货物的类</w:t>
      </w:r>
      <w:r>
        <w:rPr>
          <w:rFonts w:hint="eastAsia" w:asciiTheme="minorEastAsia" w:hAnsiTheme="minorEastAsia" w:eastAsiaTheme="minorEastAsia"/>
          <w:lang w:eastAsia="zh-CN"/>
        </w:rPr>
        <w:t>别和</w:t>
      </w:r>
      <w:r>
        <w:rPr>
          <w:rFonts w:hint="eastAsia" w:asciiTheme="minorEastAsia" w:hAnsiTheme="minorEastAsia" w:eastAsiaTheme="minorEastAsia"/>
        </w:rPr>
        <w:t>项别，按照</w:t>
      </w:r>
      <w:r>
        <w:rPr>
          <w:rFonts w:asciiTheme="minorEastAsia" w:hAnsiTheme="minorEastAsia" w:eastAsiaTheme="minorEastAsia"/>
        </w:rPr>
        <w:t>GB 30077</w:t>
      </w:r>
      <w:r>
        <w:rPr>
          <w:rFonts w:hint="eastAsia" w:asciiTheme="minorEastAsia" w:hAnsiTheme="minorEastAsia" w:eastAsiaTheme="minorEastAsia"/>
        </w:rPr>
        <w:t>的要求配备应急救援物资和个人防护装备，并保障其完好、有效。</w:t>
      </w:r>
      <w:bookmarkEnd w:id="40"/>
    </w:p>
    <w:p w14:paraId="6C58113D">
      <w:pPr>
        <w:pStyle w:val="47"/>
        <w:spacing w:before="156" w:after="156"/>
        <w:rPr>
          <w:rFonts w:hint="eastAsia" w:asciiTheme="minorEastAsia" w:hAnsiTheme="minorEastAsia" w:eastAsiaTheme="minorEastAsia"/>
        </w:rPr>
      </w:pPr>
      <w:bookmarkStart w:id="41" w:name="_Toc212101659"/>
      <w:r>
        <w:rPr>
          <w:rFonts w:hint="eastAsia" w:asciiTheme="minorEastAsia" w:hAnsiTheme="minorEastAsia" w:eastAsiaTheme="minorEastAsia"/>
        </w:rPr>
        <w:t>专用停车场消防应急器材宜放在专用柜、微型消防柜或者指定地点。</w:t>
      </w:r>
      <w:bookmarkEnd w:id="41"/>
    </w:p>
    <w:p w14:paraId="099A309F">
      <w:pPr>
        <w:pStyle w:val="50"/>
        <w:spacing w:before="312" w:after="312"/>
        <w:rPr>
          <w:rFonts w:ascii="Times New Roman"/>
        </w:rPr>
        <w:sectPr>
          <w:footerReference r:id="rId12" w:type="default"/>
          <w:pgSz w:w="11906" w:h="16838"/>
          <w:pgMar w:top="567" w:right="1134" w:bottom="1134" w:left="1418" w:header="1418" w:footer="1134" w:gutter="0"/>
          <w:cols w:space="425" w:num="1"/>
          <w:formProt w:val="0"/>
          <w:docGrid w:type="lines" w:linePitch="312" w:charSpace="0"/>
        </w:sectPr>
      </w:pPr>
      <w:bookmarkStart w:id="42" w:name="_Toc212101661"/>
      <w:bookmarkStart w:id="43" w:name="_Toc212029707"/>
    </w:p>
    <w:p w14:paraId="7B48071E">
      <w:pPr>
        <w:pStyle w:val="50"/>
        <w:spacing w:before="312" w:after="312"/>
        <w:rPr>
          <w:rFonts w:ascii="Times New Roman"/>
        </w:rPr>
      </w:pPr>
      <w:r>
        <w:rPr>
          <w:rFonts w:hint="eastAsia" w:ascii="Times New Roman"/>
        </w:rPr>
        <w:t>运行管理</w:t>
      </w:r>
      <w:bookmarkEnd w:id="42"/>
      <w:bookmarkEnd w:id="43"/>
    </w:p>
    <w:p w14:paraId="1546156B">
      <w:pPr>
        <w:pStyle w:val="47"/>
        <w:spacing w:before="156" w:after="156"/>
        <w:rPr>
          <w:rFonts w:hint="eastAsia" w:asciiTheme="minorEastAsia" w:hAnsiTheme="minorEastAsia" w:eastAsiaTheme="minorEastAsia"/>
        </w:rPr>
      </w:pPr>
      <w:bookmarkStart w:id="44" w:name="_Toc212101662"/>
      <w:r>
        <w:rPr>
          <w:rFonts w:hint="eastAsia" w:asciiTheme="minorEastAsia" w:hAnsiTheme="minorEastAsia" w:eastAsiaTheme="minorEastAsia"/>
        </w:rPr>
        <w:t>回场的危险货物运输车辆应卸货空车停放。</w:t>
      </w:r>
      <w:bookmarkEnd w:id="44"/>
    </w:p>
    <w:p w14:paraId="3CB065BD">
      <w:pPr>
        <w:pStyle w:val="47"/>
        <w:spacing w:before="156" w:after="156"/>
        <w:rPr>
          <w:rFonts w:hint="eastAsia" w:asciiTheme="minorEastAsia" w:hAnsiTheme="minorEastAsia" w:eastAsiaTheme="minorEastAsia"/>
        </w:rPr>
      </w:pPr>
      <w:bookmarkStart w:id="45" w:name="_Toc212101663"/>
      <w:r>
        <w:rPr>
          <w:rFonts w:hint="eastAsia" w:asciiTheme="minorEastAsia" w:hAnsiTheme="minorEastAsia" w:eastAsiaTheme="minorEastAsia"/>
        </w:rPr>
        <w:t>专用停车场内不应储存、堆放危险货物。</w:t>
      </w:r>
      <w:bookmarkEnd w:id="45"/>
    </w:p>
    <w:p w14:paraId="563BE285">
      <w:pPr>
        <w:pStyle w:val="47"/>
        <w:spacing w:before="156" w:after="156"/>
        <w:rPr>
          <w:rFonts w:hint="eastAsia" w:asciiTheme="minorEastAsia" w:hAnsiTheme="minorEastAsia" w:eastAsiaTheme="minorEastAsia"/>
        </w:rPr>
      </w:pPr>
      <w:bookmarkStart w:id="46" w:name="_Toc212101664"/>
      <w:r>
        <w:rPr>
          <w:rFonts w:hint="eastAsia" w:asciiTheme="minorEastAsia" w:hAnsiTheme="minorEastAsia" w:eastAsiaTheme="minorEastAsia"/>
        </w:rPr>
        <w:t>除应急处置等特殊情况外，专用停车场内不可开展装卸、保养维修(包括车辆及罐体)、动火、取样、泄压、排空等与危险货物道路运输车辆停放无关的作业行为。特殊情况下的作业，应严格遵守相关作业操作规程，确保作业安全。</w:t>
      </w:r>
      <w:bookmarkEnd w:id="46"/>
    </w:p>
    <w:p w14:paraId="526DE082">
      <w:pPr>
        <w:pStyle w:val="47"/>
        <w:spacing w:before="156" w:after="156"/>
        <w:rPr>
          <w:rFonts w:hint="eastAsia" w:asciiTheme="minorEastAsia" w:hAnsiTheme="minorEastAsia" w:eastAsiaTheme="minorEastAsia"/>
        </w:rPr>
      </w:pPr>
      <w:bookmarkStart w:id="47" w:name="_Toc212101665"/>
      <w:r>
        <w:rPr>
          <w:rFonts w:hint="eastAsia" w:asciiTheme="minorEastAsia" w:hAnsiTheme="minorEastAsia" w:eastAsiaTheme="minorEastAsia"/>
        </w:rPr>
        <w:t>专用停车场内不应建设维修保养车间、加油设施、泄压场所等可能妨碍危货车辆停车安全的建筑和设施。同时，场内严禁设立面向社会车辆或内部员工车辆的电动车充电站（桩）和换电站。</w:t>
      </w:r>
      <w:bookmarkEnd w:id="47"/>
    </w:p>
    <w:p w14:paraId="5C4AAD0C">
      <w:pPr>
        <w:pStyle w:val="47"/>
        <w:spacing w:before="156" w:after="156"/>
        <w:rPr>
          <w:rFonts w:hint="eastAsia" w:asciiTheme="minorEastAsia" w:hAnsiTheme="minorEastAsia" w:eastAsiaTheme="minorEastAsia"/>
        </w:rPr>
      </w:pPr>
      <w:bookmarkStart w:id="48" w:name="_Hlk161494041"/>
      <w:bookmarkStart w:id="49" w:name="_Toc212101666"/>
      <w:r>
        <w:rPr>
          <w:rFonts w:hint="eastAsia" w:asciiTheme="minorEastAsia" w:hAnsiTheme="minorEastAsia" w:eastAsiaTheme="minorEastAsia"/>
        </w:rPr>
        <w:t>专用停车场应建立车辆进出登记记录台账，可参考附录B。</w:t>
      </w:r>
      <w:bookmarkEnd w:id="48"/>
      <w:bookmarkEnd w:id="49"/>
      <w:bookmarkStart w:id="50" w:name="_Toc212101667"/>
    </w:p>
    <w:p w14:paraId="37DD8CB0">
      <w:pPr>
        <w:pStyle w:val="47"/>
        <w:spacing w:before="156" w:after="156"/>
        <w:rPr>
          <w:rFonts w:hint="eastAsia" w:asciiTheme="minorEastAsia" w:hAnsiTheme="minorEastAsia" w:eastAsiaTheme="minorEastAsia"/>
        </w:rPr>
        <w:sectPr>
          <w:footerReference r:id="rId13" w:type="default"/>
          <w:pgSz w:w="11906" w:h="16838"/>
          <w:pgMar w:top="567" w:right="1134" w:bottom="1134" w:left="1418" w:header="1418" w:footer="1134" w:gutter="0"/>
          <w:cols w:space="425" w:num="1"/>
          <w:formProt w:val="0"/>
          <w:docGrid w:type="lines" w:linePitch="312" w:charSpace="0"/>
        </w:sectPr>
      </w:pPr>
      <w:r>
        <w:rPr>
          <w:rFonts w:hint="eastAsia" w:asciiTheme="minorEastAsia" w:hAnsiTheme="minorEastAsia" w:eastAsiaTheme="minorEastAsia"/>
        </w:rPr>
        <w:t>专用停车场应建立并执行巡检、报告与处置的闭环管理制度。应对停车场进行例行与重点相结合的巡查，对所有异常情况予以记录、上报，并确保得到及时处理。</w:t>
      </w:r>
      <w:bookmarkEnd w:id="50"/>
    </w:p>
    <w:p w14:paraId="496B01EC">
      <w:pPr>
        <w:pStyle w:val="3"/>
        <w:spacing w:line="360" w:lineRule="auto"/>
        <w:rPr>
          <w:rFonts w:hint="eastAsia" w:ascii="黑体" w:hAnsi="黑体" w:eastAsia="黑体"/>
          <w:b w:val="0"/>
          <w:bCs w:val="0"/>
          <w:sz w:val="21"/>
          <w:szCs w:val="21"/>
        </w:rPr>
      </w:pPr>
      <w:r>
        <w:rPr>
          <w:rFonts w:ascii="黑体" w:hAnsi="黑体" w:eastAsia="黑体"/>
          <w:b w:val="0"/>
          <w:bCs w:val="0"/>
          <w:sz w:val="21"/>
          <w:szCs w:val="21"/>
        </w:rPr>
        <w:t>附录</w:t>
      </w:r>
      <w:r>
        <w:rPr>
          <w:rFonts w:hint="eastAsia" w:ascii="黑体" w:hAnsi="黑体" w:eastAsia="黑体"/>
          <w:b w:val="0"/>
          <w:bCs w:val="0"/>
          <w:sz w:val="21"/>
          <w:szCs w:val="21"/>
        </w:rPr>
        <w:t>A</w:t>
      </w:r>
      <w:r>
        <w:rPr>
          <w:rFonts w:ascii="黑体" w:hAnsi="黑体" w:eastAsia="黑体"/>
          <w:b w:val="0"/>
          <w:bCs w:val="0"/>
          <w:sz w:val="21"/>
          <w:szCs w:val="21"/>
        </w:rPr>
        <w:t xml:space="preserve"> </w:t>
      </w:r>
      <w:r>
        <w:rPr>
          <w:rFonts w:hint="eastAsia" w:ascii="黑体" w:hAnsi="黑体" w:eastAsia="黑体"/>
          <w:b w:val="0"/>
          <w:bCs w:val="0"/>
          <w:sz w:val="21"/>
          <w:szCs w:val="21"/>
        </w:rPr>
        <w:t>专用停车场标志牌示例</w:t>
      </w:r>
    </w:p>
    <w:p w14:paraId="2935873D">
      <w:r>
        <w:rPr>
          <w:rFonts w:hint="eastAsia"/>
        </w:rPr>
        <w:t>本文件只给出示例，具体参数</w:t>
      </w:r>
      <w:bookmarkStart w:id="51" w:name="_GoBack"/>
      <w:bookmarkEnd w:id="51"/>
      <w:r>
        <w:rPr>
          <w:rFonts w:hint="eastAsia"/>
        </w:rPr>
        <w:t>参考GB 2894、GB 5768和GB/T 2893.5。</w:t>
      </w:r>
    </w:p>
    <w:p w14:paraId="0591F419">
      <w:pPr>
        <w:spacing w:line="360" w:lineRule="auto"/>
        <w:jc w:val="left"/>
        <w:rPr>
          <w:rFonts w:hint="eastAsia" w:ascii="宋体" w:hAnsi="宋体"/>
          <w:szCs w:val="21"/>
        </w:rPr>
      </w:pPr>
      <w:r>
        <w:rPr>
          <w:rFonts w:ascii="宋体" w:hAnsi="宋体"/>
          <w:szCs w:val="21"/>
        </w:rPr>
        <w:t xml:space="preserve">A.1 </w:t>
      </w:r>
      <w:r>
        <w:rPr>
          <w:rFonts w:hint="eastAsia" w:ascii="宋体" w:hAnsi="宋体"/>
          <w:szCs w:val="21"/>
        </w:rPr>
        <w:t>图</w:t>
      </w:r>
      <w:r>
        <w:rPr>
          <w:rFonts w:ascii="宋体" w:hAnsi="宋体"/>
          <w:szCs w:val="21"/>
        </w:rPr>
        <w:t>A.1</w:t>
      </w:r>
      <w:r>
        <w:rPr>
          <w:rFonts w:hint="eastAsia" w:ascii="宋体" w:hAnsi="宋体"/>
          <w:szCs w:val="21"/>
        </w:rPr>
        <w:t>给出了专用停车场标志图</w:t>
      </w:r>
    </w:p>
    <w:p w14:paraId="4B4E1AC1">
      <w:pPr>
        <w:spacing w:line="360" w:lineRule="auto"/>
        <w:jc w:val="center"/>
        <w:rPr>
          <w:sz w:val="24"/>
        </w:rPr>
      </w:pPr>
      <w:r>
        <w:drawing>
          <wp:inline distT="0" distB="0" distL="0" distR="0">
            <wp:extent cx="1137920" cy="1664970"/>
            <wp:effectExtent l="0" t="0" r="508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138000" cy="1665226"/>
                    </a:xfrm>
                    <a:prstGeom prst="rect">
                      <a:avLst/>
                    </a:prstGeom>
                  </pic:spPr>
                </pic:pic>
              </a:graphicData>
            </a:graphic>
          </wp:inline>
        </w:drawing>
      </w:r>
    </w:p>
    <w:p w14:paraId="0E653662">
      <w:pPr>
        <w:spacing w:line="360" w:lineRule="auto"/>
        <w:jc w:val="center"/>
        <w:rPr>
          <w:rFonts w:hint="eastAsia" w:ascii="黑体" w:hAnsi="黑体" w:eastAsia="黑体"/>
          <w:szCs w:val="21"/>
        </w:rPr>
        <w:sectPr>
          <w:footerReference r:id="rId14" w:type="default"/>
          <w:pgSz w:w="11906" w:h="16838"/>
          <w:pgMar w:top="567" w:right="1134" w:bottom="1134" w:left="1418" w:header="1418" w:footer="1134" w:gutter="0"/>
          <w:cols w:space="425" w:num="1"/>
          <w:formProt w:val="0"/>
          <w:docGrid w:type="lines" w:linePitch="312" w:charSpace="0"/>
        </w:sectPr>
      </w:pPr>
      <w:r>
        <w:rPr>
          <w:rFonts w:hint="eastAsia" w:ascii="黑体" w:hAnsi="黑体" w:eastAsia="黑体"/>
          <w:szCs w:val="21"/>
        </w:rPr>
        <w:t>图</w:t>
      </w:r>
      <w:r>
        <w:rPr>
          <w:rFonts w:ascii="黑体" w:hAnsi="黑体" w:eastAsia="黑体"/>
          <w:szCs w:val="21"/>
        </w:rPr>
        <w:t xml:space="preserve">A.1 </w:t>
      </w:r>
      <w:r>
        <w:rPr>
          <w:rFonts w:hint="eastAsia" w:ascii="黑体" w:hAnsi="黑体" w:eastAsia="黑体"/>
          <w:szCs w:val="21"/>
        </w:rPr>
        <w:t>危险货物运输车辆停车场标志图</w:t>
      </w:r>
    </w:p>
    <w:p w14:paraId="5BE40007">
      <w:pPr>
        <w:pStyle w:val="3"/>
        <w:spacing w:line="360" w:lineRule="auto"/>
        <w:rPr>
          <w:rFonts w:hint="eastAsia" w:ascii="黑体" w:hAnsi="黑体" w:eastAsia="黑体"/>
          <w:b w:val="0"/>
          <w:bCs w:val="0"/>
          <w:sz w:val="21"/>
          <w:szCs w:val="21"/>
        </w:rPr>
      </w:pPr>
      <w:r>
        <w:rPr>
          <w:rFonts w:ascii="黑体" w:hAnsi="黑体" w:eastAsia="黑体"/>
          <w:b w:val="0"/>
          <w:bCs w:val="0"/>
          <w:sz w:val="21"/>
          <w:szCs w:val="21"/>
        </w:rPr>
        <w:t xml:space="preserve">附录B </w:t>
      </w:r>
      <w:r>
        <w:rPr>
          <w:rFonts w:hint="eastAsia" w:ascii="黑体" w:hAnsi="黑体" w:eastAsia="黑体"/>
          <w:b w:val="0"/>
          <w:bCs w:val="0"/>
          <w:sz w:val="21"/>
          <w:szCs w:val="21"/>
        </w:rPr>
        <w:t>专用停车场车辆出入登记表示例</w:t>
      </w:r>
    </w:p>
    <w:p w14:paraId="54E1EFBF">
      <w:pPr>
        <w:spacing w:line="360" w:lineRule="auto"/>
        <w:jc w:val="center"/>
        <w:rPr>
          <w:rFonts w:hint="eastAsia" w:ascii="黑体" w:hAnsi="黑体" w:eastAsia="黑体"/>
          <w:szCs w:val="21"/>
        </w:rPr>
      </w:pPr>
      <w:r>
        <w:rPr>
          <w:rFonts w:hint="eastAsia" w:ascii="黑体" w:hAnsi="黑体" w:eastAsia="黑体"/>
          <w:szCs w:val="21"/>
        </w:rPr>
        <w:t>专用停车场车辆出入登记表</w:t>
      </w:r>
    </w:p>
    <w:tbl>
      <w:tblPr>
        <w:tblStyle w:val="38"/>
        <w:tblW w:w="497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01"/>
        <w:gridCol w:w="801"/>
        <w:gridCol w:w="804"/>
        <w:gridCol w:w="802"/>
        <w:gridCol w:w="802"/>
        <w:gridCol w:w="802"/>
        <w:gridCol w:w="802"/>
        <w:gridCol w:w="810"/>
        <w:gridCol w:w="1352"/>
        <w:gridCol w:w="1716"/>
        <w:gridCol w:w="1307"/>
        <w:gridCol w:w="1871"/>
        <w:gridCol w:w="1442"/>
      </w:tblGrid>
      <w:tr w14:paraId="3B685A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4" w:type="pct"/>
            <w:vMerge w:val="restart"/>
            <w:vAlign w:val="center"/>
          </w:tcPr>
          <w:p w14:paraId="7AB75F1B">
            <w:pPr>
              <w:jc w:val="center"/>
              <w:rPr>
                <w:rFonts w:hint="eastAsia" w:ascii="宋体" w:hAnsi="宋体"/>
                <w:sz w:val="18"/>
                <w:szCs w:val="18"/>
              </w:rPr>
            </w:pPr>
            <w:r>
              <w:rPr>
                <w:rFonts w:hint="eastAsia" w:ascii="宋体" w:hAnsi="宋体"/>
                <w:sz w:val="18"/>
                <w:szCs w:val="18"/>
              </w:rPr>
              <w:t>日期</w:t>
            </w:r>
          </w:p>
        </w:tc>
        <w:tc>
          <w:tcPr>
            <w:tcW w:w="284" w:type="pct"/>
            <w:vMerge w:val="restart"/>
            <w:vAlign w:val="center"/>
          </w:tcPr>
          <w:p w14:paraId="67C87E26">
            <w:pPr>
              <w:jc w:val="center"/>
              <w:rPr>
                <w:rFonts w:hint="eastAsia" w:ascii="宋体" w:hAnsi="宋体"/>
                <w:sz w:val="18"/>
                <w:szCs w:val="18"/>
              </w:rPr>
            </w:pPr>
            <w:r>
              <w:rPr>
                <w:rFonts w:hint="eastAsia" w:ascii="宋体" w:hAnsi="宋体"/>
                <w:sz w:val="18"/>
                <w:szCs w:val="18"/>
              </w:rPr>
              <w:t>车牌号</w:t>
            </w:r>
          </w:p>
        </w:tc>
        <w:tc>
          <w:tcPr>
            <w:tcW w:w="285" w:type="pct"/>
            <w:vMerge w:val="restart"/>
            <w:vAlign w:val="center"/>
          </w:tcPr>
          <w:p w14:paraId="119C7503">
            <w:pPr>
              <w:jc w:val="center"/>
              <w:rPr>
                <w:rFonts w:hint="eastAsia" w:ascii="宋体" w:hAnsi="宋体"/>
                <w:sz w:val="18"/>
                <w:szCs w:val="18"/>
              </w:rPr>
            </w:pPr>
            <w:r>
              <w:rPr>
                <w:rFonts w:hint="eastAsia" w:ascii="宋体" w:hAnsi="宋体"/>
                <w:sz w:val="18"/>
                <w:szCs w:val="18"/>
              </w:rPr>
              <w:t>驾驶员姓名</w:t>
            </w:r>
          </w:p>
        </w:tc>
        <w:tc>
          <w:tcPr>
            <w:tcW w:w="284" w:type="pct"/>
            <w:vMerge w:val="restart"/>
            <w:vAlign w:val="center"/>
          </w:tcPr>
          <w:p w14:paraId="3A41BB92">
            <w:pPr>
              <w:jc w:val="center"/>
              <w:rPr>
                <w:rFonts w:hint="eastAsia" w:ascii="宋体" w:hAnsi="宋体"/>
                <w:sz w:val="18"/>
                <w:szCs w:val="18"/>
              </w:rPr>
            </w:pPr>
            <w:r>
              <w:rPr>
                <w:rFonts w:hint="eastAsia" w:ascii="宋体" w:hAnsi="宋体"/>
                <w:sz w:val="18"/>
                <w:szCs w:val="18"/>
              </w:rPr>
              <w:t>驾驶员联系电话</w:t>
            </w:r>
          </w:p>
        </w:tc>
        <w:tc>
          <w:tcPr>
            <w:tcW w:w="1139" w:type="pct"/>
            <w:gridSpan w:val="4"/>
            <w:vAlign w:val="center"/>
          </w:tcPr>
          <w:p w14:paraId="06C5B4D2">
            <w:pPr>
              <w:jc w:val="center"/>
              <w:rPr>
                <w:rFonts w:hint="eastAsia" w:ascii="宋体" w:hAnsi="宋体"/>
                <w:sz w:val="18"/>
                <w:szCs w:val="18"/>
              </w:rPr>
            </w:pPr>
            <w:r>
              <w:rPr>
                <w:rFonts w:hint="eastAsia" w:ascii="宋体" w:hAnsi="宋体"/>
                <w:sz w:val="18"/>
                <w:szCs w:val="18"/>
              </w:rPr>
              <w:t>证件</w:t>
            </w:r>
          </w:p>
        </w:tc>
        <w:tc>
          <w:tcPr>
            <w:tcW w:w="1087" w:type="pct"/>
            <w:gridSpan w:val="2"/>
            <w:vAlign w:val="center"/>
          </w:tcPr>
          <w:p w14:paraId="69B69B87">
            <w:pPr>
              <w:jc w:val="center"/>
              <w:rPr>
                <w:rFonts w:hint="eastAsia" w:ascii="宋体" w:hAnsi="宋体"/>
                <w:sz w:val="18"/>
                <w:szCs w:val="18"/>
              </w:rPr>
            </w:pPr>
            <w:r>
              <w:rPr>
                <w:rFonts w:hint="eastAsia" w:ascii="宋体" w:hAnsi="宋体"/>
                <w:sz w:val="18"/>
                <w:szCs w:val="18"/>
              </w:rPr>
              <w:t>进场</w:t>
            </w:r>
          </w:p>
        </w:tc>
        <w:tc>
          <w:tcPr>
            <w:tcW w:w="1126" w:type="pct"/>
            <w:gridSpan w:val="2"/>
            <w:vAlign w:val="center"/>
          </w:tcPr>
          <w:p w14:paraId="1D796F93">
            <w:pPr>
              <w:jc w:val="center"/>
              <w:rPr>
                <w:rFonts w:hint="eastAsia" w:ascii="宋体" w:hAnsi="宋体"/>
                <w:sz w:val="18"/>
                <w:szCs w:val="18"/>
              </w:rPr>
            </w:pPr>
            <w:r>
              <w:rPr>
                <w:rFonts w:hint="eastAsia" w:ascii="宋体" w:hAnsi="宋体"/>
                <w:sz w:val="18"/>
                <w:szCs w:val="18"/>
              </w:rPr>
              <w:t>出场</w:t>
            </w:r>
          </w:p>
        </w:tc>
        <w:tc>
          <w:tcPr>
            <w:tcW w:w="511" w:type="pct"/>
            <w:vMerge w:val="restart"/>
            <w:vAlign w:val="center"/>
          </w:tcPr>
          <w:p w14:paraId="56BA1299">
            <w:pPr>
              <w:jc w:val="center"/>
              <w:rPr>
                <w:rFonts w:hint="eastAsia" w:ascii="宋体" w:hAnsi="宋体"/>
                <w:sz w:val="18"/>
                <w:szCs w:val="18"/>
              </w:rPr>
            </w:pPr>
            <w:r>
              <w:rPr>
                <w:rFonts w:hint="eastAsia" w:ascii="宋体" w:hAnsi="宋体"/>
                <w:sz w:val="18"/>
                <w:szCs w:val="18"/>
              </w:rPr>
              <w:t>登记人员姓名</w:t>
            </w:r>
          </w:p>
        </w:tc>
      </w:tr>
      <w:tr w14:paraId="265254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4" w:type="pct"/>
            <w:vMerge w:val="continue"/>
            <w:vAlign w:val="center"/>
          </w:tcPr>
          <w:p w14:paraId="2D5B9EA6">
            <w:pPr>
              <w:spacing w:line="360" w:lineRule="auto"/>
              <w:jc w:val="center"/>
              <w:rPr>
                <w:rFonts w:hint="eastAsia" w:ascii="宋体" w:hAnsi="宋体"/>
                <w:sz w:val="18"/>
                <w:szCs w:val="18"/>
              </w:rPr>
            </w:pPr>
          </w:p>
        </w:tc>
        <w:tc>
          <w:tcPr>
            <w:tcW w:w="284" w:type="pct"/>
            <w:vMerge w:val="continue"/>
            <w:vAlign w:val="center"/>
          </w:tcPr>
          <w:p w14:paraId="2EE205C5">
            <w:pPr>
              <w:spacing w:line="360" w:lineRule="auto"/>
              <w:jc w:val="center"/>
              <w:rPr>
                <w:rFonts w:hint="eastAsia" w:ascii="宋体" w:hAnsi="宋体"/>
                <w:sz w:val="18"/>
                <w:szCs w:val="18"/>
              </w:rPr>
            </w:pPr>
          </w:p>
        </w:tc>
        <w:tc>
          <w:tcPr>
            <w:tcW w:w="285" w:type="pct"/>
            <w:vMerge w:val="continue"/>
            <w:vAlign w:val="center"/>
          </w:tcPr>
          <w:p w14:paraId="30042AA3">
            <w:pPr>
              <w:spacing w:line="360" w:lineRule="auto"/>
              <w:jc w:val="center"/>
              <w:rPr>
                <w:rFonts w:hint="eastAsia" w:ascii="宋体" w:hAnsi="宋体"/>
                <w:sz w:val="18"/>
                <w:szCs w:val="18"/>
              </w:rPr>
            </w:pPr>
          </w:p>
        </w:tc>
        <w:tc>
          <w:tcPr>
            <w:tcW w:w="284" w:type="pct"/>
            <w:vMerge w:val="continue"/>
            <w:vAlign w:val="center"/>
          </w:tcPr>
          <w:p w14:paraId="2AE4816A">
            <w:pPr>
              <w:spacing w:line="360" w:lineRule="auto"/>
              <w:jc w:val="center"/>
              <w:rPr>
                <w:rFonts w:hint="eastAsia" w:ascii="宋体" w:hAnsi="宋体"/>
                <w:sz w:val="18"/>
                <w:szCs w:val="18"/>
              </w:rPr>
            </w:pPr>
          </w:p>
        </w:tc>
        <w:tc>
          <w:tcPr>
            <w:tcW w:w="284" w:type="pct"/>
            <w:vAlign w:val="center"/>
          </w:tcPr>
          <w:p w14:paraId="1B457CF4">
            <w:pPr>
              <w:jc w:val="center"/>
              <w:rPr>
                <w:rFonts w:hint="eastAsia" w:ascii="宋体" w:hAnsi="宋体"/>
                <w:sz w:val="18"/>
                <w:szCs w:val="18"/>
              </w:rPr>
            </w:pPr>
            <w:r>
              <w:rPr>
                <w:rFonts w:hint="eastAsia" w:ascii="宋体" w:hAnsi="宋体"/>
                <w:sz w:val="18"/>
                <w:szCs w:val="18"/>
              </w:rPr>
              <w:t>道路运输证</w:t>
            </w:r>
          </w:p>
        </w:tc>
        <w:tc>
          <w:tcPr>
            <w:tcW w:w="284" w:type="pct"/>
            <w:vAlign w:val="center"/>
          </w:tcPr>
          <w:p w14:paraId="53D74E04">
            <w:pPr>
              <w:jc w:val="center"/>
              <w:rPr>
                <w:rFonts w:hint="eastAsia" w:ascii="宋体" w:hAnsi="宋体"/>
                <w:sz w:val="18"/>
                <w:szCs w:val="18"/>
              </w:rPr>
            </w:pPr>
            <w:r>
              <w:rPr>
                <w:rFonts w:hint="eastAsia" w:ascii="宋体" w:hAnsi="宋体"/>
                <w:sz w:val="18"/>
                <w:szCs w:val="18"/>
              </w:rPr>
              <w:t>驾驶员从业资格证</w:t>
            </w:r>
          </w:p>
        </w:tc>
        <w:tc>
          <w:tcPr>
            <w:tcW w:w="284" w:type="pct"/>
            <w:vAlign w:val="center"/>
          </w:tcPr>
          <w:p w14:paraId="05D8E432">
            <w:pPr>
              <w:jc w:val="center"/>
              <w:rPr>
                <w:rFonts w:hint="eastAsia" w:ascii="宋体" w:hAnsi="宋体"/>
                <w:sz w:val="18"/>
                <w:szCs w:val="18"/>
              </w:rPr>
            </w:pPr>
            <w:r>
              <w:rPr>
                <w:rFonts w:hint="eastAsia" w:ascii="宋体" w:hAnsi="宋体"/>
                <w:sz w:val="18"/>
                <w:szCs w:val="18"/>
              </w:rPr>
              <w:t>押运员从业资格证</w:t>
            </w:r>
          </w:p>
        </w:tc>
        <w:tc>
          <w:tcPr>
            <w:tcW w:w="287" w:type="pct"/>
            <w:vAlign w:val="center"/>
          </w:tcPr>
          <w:p w14:paraId="6CB7057D">
            <w:pPr>
              <w:jc w:val="center"/>
              <w:rPr>
                <w:rFonts w:hint="eastAsia" w:ascii="宋体" w:hAnsi="宋体"/>
                <w:sz w:val="18"/>
                <w:szCs w:val="18"/>
              </w:rPr>
            </w:pPr>
            <w:r>
              <w:rPr>
                <w:rFonts w:hint="eastAsia" w:ascii="宋体" w:hAnsi="宋体"/>
                <w:sz w:val="18"/>
                <w:szCs w:val="18"/>
              </w:rPr>
              <w:t>道路运输危险货物安全卡</w:t>
            </w:r>
          </w:p>
        </w:tc>
        <w:tc>
          <w:tcPr>
            <w:tcW w:w="479" w:type="pct"/>
            <w:vAlign w:val="center"/>
          </w:tcPr>
          <w:p w14:paraId="445A7682">
            <w:pPr>
              <w:jc w:val="center"/>
              <w:rPr>
                <w:rFonts w:hint="eastAsia" w:ascii="宋体" w:hAnsi="宋体"/>
                <w:sz w:val="18"/>
                <w:szCs w:val="18"/>
              </w:rPr>
            </w:pPr>
            <w:r>
              <w:rPr>
                <w:rFonts w:hint="eastAsia" w:ascii="宋体" w:hAnsi="宋体"/>
                <w:sz w:val="18"/>
                <w:szCs w:val="18"/>
              </w:rPr>
              <w:t>时间</w:t>
            </w:r>
          </w:p>
        </w:tc>
        <w:tc>
          <w:tcPr>
            <w:tcW w:w="608" w:type="pct"/>
            <w:vAlign w:val="center"/>
          </w:tcPr>
          <w:p w14:paraId="5D813ADB">
            <w:pPr>
              <w:jc w:val="center"/>
              <w:rPr>
                <w:rFonts w:hint="eastAsia" w:ascii="宋体" w:hAnsi="宋体"/>
                <w:sz w:val="18"/>
                <w:szCs w:val="18"/>
              </w:rPr>
            </w:pPr>
            <w:r>
              <w:rPr>
                <w:rFonts w:hint="eastAsia" w:ascii="宋体" w:hAnsi="宋体"/>
                <w:sz w:val="18"/>
                <w:szCs w:val="18"/>
              </w:rPr>
              <w:t>是否为空车（是或者否）</w:t>
            </w:r>
          </w:p>
        </w:tc>
        <w:tc>
          <w:tcPr>
            <w:tcW w:w="463" w:type="pct"/>
            <w:vAlign w:val="center"/>
          </w:tcPr>
          <w:p w14:paraId="41BBD766">
            <w:pPr>
              <w:jc w:val="center"/>
              <w:rPr>
                <w:rFonts w:hint="eastAsia" w:ascii="宋体" w:hAnsi="宋体"/>
                <w:sz w:val="18"/>
                <w:szCs w:val="18"/>
              </w:rPr>
            </w:pPr>
            <w:r>
              <w:rPr>
                <w:rFonts w:hint="eastAsia" w:ascii="宋体" w:hAnsi="宋体"/>
                <w:sz w:val="18"/>
                <w:szCs w:val="18"/>
              </w:rPr>
              <w:t>时间</w:t>
            </w:r>
          </w:p>
        </w:tc>
        <w:tc>
          <w:tcPr>
            <w:tcW w:w="663" w:type="pct"/>
            <w:vAlign w:val="center"/>
          </w:tcPr>
          <w:p w14:paraId="5E4336D9">
            <w:pPr>
              <w:jc w:val="center"/>
              <w:rPr>
                <w:rFonts w:hint="eastAsia" w:ascii="宋体" w:hAnsi="宋体"/>
                <w:sz w:val="18"/>
                <w:szCs w:val="18"/>
              </w:rPr>
            </w:pPr>
            <w:r>
              <w:rPr>
                <w:rFonts w:hint="eastAsia" w:ascii="宋体" w:hAnsi="宋体"/>
                <w:sz w:val="18"/>
                <w:szCs w:val="18"/>
              </w:rPr>
              <w:t>是否为空车（是或者否）</w:t>
            </w:r>
          </w:p>
        </w:tc>
        <w:tc>
          <w:tcPr>
            <w:tcW w:w="511" w:type="pct"/>
            <w:vMerge w:val="continue"/>
          </w:tcPr>
          <w:p w14:paraId="539C1805">
            <w:pPr>
              <w:widowControl/>
              <w:jc w:val="center"/>
              <w:rPr>
                <w:rFonts w:hint="eastAsia" w:ascii="宋体" w:hAnsi="宋体"/>
                <w:sz w:val="18"/>
                <w:szCs w:val="18"/>
              </w:rPr>
            </w:pPr>
          </w:p>
        </w:tc>
      </w:tr>
      <w:tr w14:paraId="5A3887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4" w:type="pct"/>
            <w:vAlign w:val="center"/>
          </w:tcPr>
          <w:p w14:paraId="3F91E603">
            <w:pPr>
              <w:widowControl/>
              <w:jc w:val="center"/>
              <w:rPr>
                <w:rFonts w:hint="eastAsia" w:ascii="宋体" w:hAnsi="宋体"/>
                <w:sz w:val="18"/>
                <w:szCs w:val="18"/>
              </w:rPr>
            </w:pPr>
          </w:p>
        </w:tc>
        <w:tc>
          <w:tcPr>
            <w:tcW w:w="284" w:type="pct"/>
            <w:vAlign w:val="center"/>
          </w:tcPr>
          <w:p w14:paraId="5B31E4F8">
            <w:pPr>
              <w:widowControl/>
              <w:jc w:val="center"/>
              <w:rPr>
                <w:rFonts w:hint="eastAsia" w:ascii="宋体" w:hAnsi="宋体"/>
                <w:sz w:val="18"/>
                <w:szCs w:val="18"/>
              </w:rPr>
            </w:pPr>
          </w:p>
        </w:tc>
        <w:tc>
          <w:tcPr>
            <w:tcW w:w="285" w:type="pct"/>
            <w:vAlign w:val="center"/>
          </w:tcPr>
          <w:p w14:paraId="2429DCCE">
            <w:pPr>
              <w:widowControl/>
              <w:jc w:val="center"/>
              <w:rPr>
                <w:rFonts w:hint="eastAsia" w:ascii="宋体" w:hAnsi="宋体"/>
                <w:sz w:val="18"/>
                <w:szCs w:val="18"/>
              </w:rPr>
            </w:pPr>
          </w:p>
        </w:tc>
        <w:tc>
          <w:tcPr>
            <w:tcW w:w="284" w:type="pct"/>
            <w:vAlign w:val="center"/>
          </w:tcPr>
          <w:p w14:paraId="75089516">
            <w:pPr>
              <w:widowControl/>
              <w:jc w:val="center"/>
              <w:rPr>
                <w:rFonts w:hint="eastAsia" w:ascii="宋体" w:hAnsi="宋体"/>
                <w:sz w:val="18"/>
                <w:szCs w:val="18"/>
              </w:rPr>
            </w:pPr>
          </w:p>
        </w:tc>
        <w:tc>
          <w:tcPr>
            <w:tcW w:w="284" w:type="pct"/>
            <w:vAlign w:val="center"/>
          </w:tcPr>
          <w:p w14:paraId="654C6D6B">
            <w:pPr>
              <w:widowControl/>
              <w:jc w:val="center"/>
              <w:rPr>
                <w:rFonts w:hint="eastAsia" w:ascii="宋体" w:hAnsi="宋体"/>
                <w:sz w:val="18"/>
                <w:szCs w:val="18"/>
              </w:rPr>
            </w:pPr>
          </w:p>
        </w:tc>
        <w:tc>
          <w:tcPr>
            <w:tcW w:w="284" w:type="pct"/>
            <w:vAlign w:val="center"/>
          </w:tcPr>
          <w:p w14:paraId="400E8899">
            <w:pPr>
              <w:widowControl/>
              <w:jc w:val="center"/>
              <w:rPr>
                <w:rFonts w:hint="eastAsia" w:ascii="宋体" w:hAnsi="宋体"/>
                <w:sz w:val="18"/>
                <w:szCs w:val="18"/>
              </w:rPr>
            </w:pPr>
          </w:p>
        </w:tc>
        <w:tc>
          <w:tcPr>
            <w:tcW w:w="284" w:type="pct"/>
            <w:vAlign w:val="center"/>
          </w:tcPr>
          <w:p w14:paraId="089B308C">
            <w:pPr>
              <w:widowControl/>
              <w:jc w:val="center"/>
              <w:rPr>
                <w:rFonts w:hint="eastAsia" w:ascii="宋体" w:hAnsi="宋体"/>
                <w:sz w:val="18"/>
                <w:szCs w:val="18"/>
              </w:rPr>
            </w:pPr>
          </w:p>
        </w:tc>
        <w:tc>
          <w:tcPr>
            <w:tcW w:w="287" w:type="pct"/>
            <w:vAlign w:val="center"/>
          </w:tcPr>
          <w:p w14:paraId="44A231F7">
            <w:pPr>
              <w:widowControl/>
              <w:jc w:val="center"/>
              <w:rPr>
                <w:rFonts w:hint="eastAsia" w:ascii="宋体" w:hAnsi="宋体"/>
                <w:sz w:val="18"/>
                <w:szCs w:val="18"/>
              </w:rPr>
            </w:pPr>
          </w:p>
        </w:tc>
        <w:tc>
          <w:tcPr>
            <w:tcW w:w="479" w:type="pct"/>
            <w:vAlign w:val="center"/>
          </w:tcPr>
          <w:p w14:paraId="1D63B908">
            <w:pPr>
              <w:widowControl/>
              <w:jc w:val="center"/>
              <w:rPr>
                <w:rFonts w:hint="eastAsia" w:ascii="宋体" w:hAnsi="宋体"/>
                <w:sz w:val="18"/>
                <w:szCs w:val="18"/>
              </w:rPr>
            </w:pPr>
          </w:p>
        </w:tc>
        <w:tc>
          <w:tcPr>
            <w:tcW w:w="608" w:type="pct"/>
            <w:vAlign w:val="center"/>
          </w:tcPr>
          <w:p w14:paraId="15BE3BC1">
            <w:pPr>
              <w:widowControl/>
              <w:jc w:val="center"/>
              <w:rPr>
                <w:rFonts w:hint="eastAsia" w:ascii="宋体" w:hAnsi="宋体"/>
                <w:sz w:val="18"/>
                <w:szCs w:val="18"/>
              </w:rPr>
            </w:pPr>
          </w:p>
        </w:tc>
        <w:tc>
          <w:tcPr>
            <w:tcW w:w="463" w:type="pct"/>
            <w:vAlign w:val="center"/>
          </w:tcPr>
          <w:p w14:paraId="3E071868">
            <w:pPr>
              <w:widowControl/>
              <w:jc w:val="center"/>
              <w:rPr>
                <w:rFonts w:hint="eastAsia" w:ascii="宋体" w:hAnsi="宋体"/>
                <w:sz w:val="18"/>
                <w:szCs w:val="18"/>
              </w:rPr>
            </w:pPr>
          </w:p>
        </w:tc>
        <w:tc>
          <w:tcPr>
            <w:tcW w:w="663" w:type="pct"/>
            <w:vAlign w:val="center"/>
          </w:tcPr>
          <w:p w14:paraId="31401796">
            <w:pPr>
              <w:widowControl/>
              <w:jc w:val="center"/>
              <w:rPr>
                <w:rFonts w:hint="eastAsia" w:ascii="宋体" w:hAnsi="宋体"/>
                <w:sz w:val="18"/>
                <w:szCs w:val="18"/>
              </w:rPr>
            </w:pPr>
          </w:p>
        </w:tc>
        <w:tc>
          <w:tcPr>
            <w:tcW w:w="511" w:type="pct"/>
            <w:vAlign w:val="center"/>
          </w:tcPr>
          <w:p w14:paraId="02D5AC1D">
            <w:pPr>
              <w:widowControl/>
              <w:jc w:val="center"/>
              <w:rPr>
                <w:rFonts w:hint="eastAsia" w:ascii="宋体" w:hAnsi="宋体"/>
                <w:sz w:val="18"/>
                <w:szCs w:val="18"/>
              </w:rPr>
            </w:pPr>
          </w:p>
        </w:tc>
      </w:tr>
      <w:tr w14:paraId="2E5DFA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4" w:type="pct"/>
            <w:vAlign w:val="center"/>
          </w:tcPr>
          <w:p w14:paraId="45A42E51">
            <w:pPr>
              <w:widowControl/>
              <w:jc w:val="center"/>
              <w:rPr>
                <w:rFonts w:hint="eastAsia" w:ascii="宋体" w:hAnsi="宋体"/>
                <w:sz w:val="18"/>
                <w:szCs w:val="18"/>
              </w:rPr>
            </w:pPr>
          </w:p>
        </w:tc>
        <w:tc>
          <w:tcPr>
            <w:tcW w:w="284" w:type="pct"/>
            <w:vAlign w:val="center"/>
          </w:tcPr>
          <w:p w14:paraId="4691AE8B">
            <w:pPr>
              <w:widowControl/>
              <w:jc w:val="center"/>
              <w:rPr>
                <w:rFonts w:hint="eastAsia" w:ascii="宋体" w:hAnsi="宋体"/>
                <w:sz w:val="18"/>
                <w:szCs w:val="18"/>
              </w:rPr>
            </w:pPr>
          </w:p>
        </w:tc>
        <w:tc>
          <w:tcPr>
            <w:tcW w:w="285" w:type="pct"/>
            <w:vAlign w:val="center"/>
          </w:tcPr>
          <w:p w14:paraId="5DE1F185">
            <w:pPr>
              <w:widowControl/>
              <w:jc w:val="center"/>
              <w:rPr>
                <w:rFonts w:hint="eastAsia" w:ascii="宋体" w:hAnsi="宋体"/>
                <w:sz w:val="18"/>
                <w:szCs w:val="18"/>
              </w:rPr>
            </w:pPr>
          </w:p>
        </w:tc>
        <w:tc>
          <w:tcPr>
            <w:tcW w:w="284" w:type="pct"/>
            <w:vAlign w:val="center"/>
          </w:tcPr>
          <w:p w14:paraId="3FFB7227">
            <w:pPr>
              <w:widowControl/>
              <w:jc w:val="center"/>
              <w:rPr>
                <w:rFonts w:hint="eastAsia" w:ascii="宋体" w:hAnsi="宋体"/>
                <w:sz w:val="18"/>
                <w:szCs w:val="18"/>
              </w:rPr>
            </w:pPr>
          </w:p>
        </w:tc>
        <w:tc>
          <w:tcPr>
            <w:tcW w:w="284" w:type="pct"/>
            <w:vAlign w:val="center"/>
          </w:tcPr>
          <w:p w14:paraId="2C571F28">
            <w:pPr>
              <w:widowControl/>
              <w:jc w:val="center"/>
              <w:rPr>
                <w:rFonts w:hint="eastAsia" w:ascii="宋体" w:hAnsi="宋体"/>
                <w:sz w:val="18"/>
                <w:szCs w:val="18"/>
              </w:rPr>
            </w:pPr>
          </w:p>
        </w:tc>
        <w:tc>
          <w:tcPr>
            <w:tcW w:w="284" w:type="pct"/>
            <w:vAlign w:val="center"/>
          </w:tcPr>
          <w:p w14:paraId="255304F8">
            <w:pPr>
              <w:widowControl/>
              <w:jc w:val="center"/>
              <w:rPr>
                <w:rFonts w:hint="eastAsia" w:ascii="宋体" w:hAnsi="宋体"/>
                <w:sz w:val="18"/>
                <w:szCs w:val="18"/>
              </w:rPr>
            </w:pPr>
          </w:p>
        </w:tc>
        <w:tc>
          <w:tcPr>
            <w:tcW w:w="284" w:type="pct"/>
            <w:vAlign w:val="center"/>
          </w:tcPr>
          <w:p w14:paraId="7CF263D9">
            <w:pPr>
              <w:widowControl/>
              <w:jc w:val="center"/>
              <w:rPr>
                <w:rFonts w:hint="eastAsia" w:ascii="宋体" w:hAnsi="宋体"/>
                <w:sz w:val="18"/>
                <w:szCs w:val="18"/>
              </w:rPr>
            </w:pPr>
          </w:p>
        </w:tc>
        <w:tc>
          <w:tcPr>
            <w:tcW w:w="287" w:type="pct"/>
            <w:vAlign w:val="center"/>
          </w:tcPr>
          <w:p w14:paraId="79ED8027">
            <w:pPr>
              <w:widowControl/>
              <w:jc w:val="center"/>
              <w:rPr>
                <w:rFonts w:hint="eastAsia" w:ascii="宋体" w:hAnsi="宋体"/>
                <w:sz w:val="18"/>
                <w:szCs w:val="18"/>
              </w:rPr>
            </w:pPr>
          </w:p>
        </w:tc>
        <w:tc>
          <w:tcPr>
            <w:tcW w:w="479" w:type="pct"/>
            <w:vAlign w:val="center"/>
          </w:tcPr>
          <w:p w14:paraId="275A4FFB">
            <w:pPr>
              <w:widowControl/>
              <w:jc w:val="center"/>
              <w:rPr>
                <w:rFonts w:hint="eastAsia" w:ascii="宋体" w:hAnsi="宋体"/>
                <w:sz w:val="18"/>
                <w:szCs w:val="18"/>
              </w:rPr>
            </w:pPr>
          </w:p>
        </w:tc>
        <w:tc>
          <w:tcPr>
            <w:tcW w:w="608" w:type="pct"/>
            <w:vAlign w:val="center"/>
          </w:tcPr>
          <w:p w14:paraId="4EBB14BE">
            <w:pPr>
              <w:widowControl/>
              <w:jc w:val="center"/>
              <w:rPr>
                <w:rFonts w:hint="eastAsia" w:ascii="宋体" w:hAnsi="宋体"/>
                <w:sz w:val="18"/>
                <w:szCs w:val="18"/>
              </w:rPr>
            </w:pPr>
          </w:p>
        </w:tc>
        <w:tc>
          <w:tcPr>
            <w:tcW w:w="463" w:type="pct"/>
            <w:vAlign w:val="center"/>
          </w:tcPr>
          <w:p w14:paraId="7A179E94">
            <w:pPr>
              <w:widowControl/>
              <w:jc w:val="center"/>
              <w:rPr>
                <w:rFonts w:hint="eastAsia" w:ascii="宋体" w:hAnsi="宋体"/>
                <w:sz w:val="18"/>
                <w:szCs w:val="18"/>
              </w:rPr>
            </w:pPr>
          </w:p>
        </w:tc>
        <w:tc>
          <w:tcPr>
            <w:tcW w:w="663" w:type="pct"/>
            <w:vAlign w:val="center"/>
          </w:tcPr>
          <w:p w14:paraId="772B80A2">
            <w:pPr>
              <w:widowControl/>
              <w:jc w:val="center"/>
              <w:rPr>
                <w:rFonts w:hint="eastAsia" w:ascii="宋体" w:hAnsi="宋体"/>
                <w:sz w:val="18"/>
                <w:szCs w:val="18"/>
              </w:rPr>
            </w:pPr>
          </w:p>
        </w:tc>
        <w:tc>
          <w:tcPr>
            <w:tcW w:w="511" w:type="pct"/>
            <w:vAlign w:val="center"/>
          </w:tcPr>
          <w:p w14:paraId="5AF2C435">
            <w:pPr>
              <w:widowControl/>
              <w:jc w:val="center"/>
              <w:rPr>
                <w:rFonts w:hint="eastAsia" w:ascii="宋体" w:hAnsi="宋体"/>
                <w:sz w:val="18"/>
                <w:szCs w:val="18"/>
              </w:rPr>
            </w:pPr>
          </w:p>
        </w:tc>
      </w:tr>
      <w:tr w14:paraId="6ED2DF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4" w:type="pct"/>
            <w:vAlign w:val="center"/>
          </w:tcPr>
          <w:p w14:paraId="666954E4">
            <w:pPr>
              <w:widowControl/>
              <w:jc w:val="center"/>
              <w:rPr>
                <w:rFonts w:hint="eastAsia" w:ascii="宋体" w:hAnsi="宋体"/>
                <w:sz w:val="18"/>
                <w:szCs w:val="18"/>
              </w:rPr>
            </w:pPr>
          </w:p>
        </w:tc>
        <w:tc>
          <w:tcPr>
            <w:tcW w:w="284" w:type="pct"/>
            <w:vAlign w:val="center"/>
          </w:tcPr>
          <w:p w14:paraId="71EA910E">
            <w:pPr>
              <w:widowControl/>
              <w:jc w:val="center"/>
              <w:rPr>
                <w:rFonts w:hint="eastAsia" w:ascii="宋体" w:hAnsi="宋体"/>
                <w:sz w:val="18"/>
                <w:szCs w:val="18"/>
              </w:rPr>
            </w:pPr>
          </w:p>
        </w:tc>
        <w:tc>
          <w:tcPr>
            <w:tcW w:w="285" w:type="pct"/>
            <w:vAlign w:val="center"/>
          </w:tcPr>
          <w:p w14:paraId="4ECBCB4F">
            <w:pPr>
              <w:widowControl/>
              <w:jc w:val="center"/>
              <w:rPr>
                <w:rFonts w:hint="eastAsia" w:ascii="宋体" w:hAnsi="宋体"/>
                <w:sz w:val="18"/>
                <w:szCs w:val="18"/>
              </w:rPr>
            </w:pPr>
          </w:p>
        </w:tc>
        <w:tc>
          <w:tcPr>
            <w:tcW w:w="284" w:type="pct"/>
            <w:vAlign w:val="center"/>
          </w:tcPr>
          <w:p w14:paraId="7B436E09">
            <w:pPr>
              <w:widowControl/>
              <w:jc w:val="center"/>
              <w:rPr>
                <w:rFonts w:hint="eastAsia" w:ascii="宋体" w:hAnsi="宋体"/>
                <w:sz w:val="18"/>
                <w:szCs w:val="18"/>
              </w:rPr>
            </w:pPr>
          </w:p>
        </w:tc>
        <w:tc>
          <w:tcPr>
            <w:tcW w:w="284" w:type="pct"/>
            <w:vAlign w:val="center"/>
          </w:tcPr>
          <w:p w14:paraId="64E15564">
            <w:pPr>
              <w:widowControl/>
              <w:jc w:val="center"/>
              <w:rPr>
                <w:rFonts w:hint="eastAsia" w:ascii="宋体" w:hAnsi="宋体"/>
                <w:sz w:val="18"/>
                <w:szCs w:val="18"/>
              </w:rPr>
            </w:pPr>
          </w:p>
        </w:tc>
        <w:tc>
          <w:tcPr>
            <w:tcW w:w="284" w:type="pct"/>
            <w:vAlign w:val="center"/>
          </w:tcPr>
          <w:p w14:paraId="3395BC90">
            <w:pPr>
              <w:widowControl/>
              <w:jc w:val="center"/>
              <w:rPr>
                <w:rFonts w:hint="eastAsia" w:ascii="宋体" w:hAnsi="宋体"/>
                <w:sz w:val="18"/>
                <w:szCs w:val="18"/>
              </w:rPr>
            </w:pPr>
          </w:p>
        </w:tc>
        <w:tc>
          <w:tcPr>
            <w:tcW w:w="284" w:type="pct"/>
            <w:vAlign w:val="center"/>
          </w:tcPr>
          <w:p w14:paraId="126FB4FC">
            <w:pPr>
              <w:widowControl/>
              <w:jc w:val="center"/>
              <w:rPr>
                <w:rFonts w:hint="eastAsia" w:ascii="宋体" w:hAnsi="宋体"/>
                <w:sz w:val="18"/>
                <w:szCs w:val="18"/>
              </w:rPr>
            </w:pPr>
          </w:p>
        </w:tc>
        <w:tc>
          <w:tcPr>
            <w:tcW w:w="287" w:type="pct"/>
            <w:vAlign w:val="center"/>
          </w:tcPr>
          <w:p w14:paraId="627EE4C3">
            <w:pPr>
              <w:widowControl/>
              <w:jc w:val="center"/>
              <w:rPr>
                <w:rFonts w:hint="eastAsia" w:ascii="宋体" w:hAnsi="宋体"/>
                <w:sz w:val="18"/>
                <w:szCs w:val="18"/>
              </w:rPr>
            </w:pPr>
          </w:p>
        </w:tc>
        <w:tc>
          <w:tcPr>
            <w:tcW w:w="479" w:type="pct"/>
            <w:vAlign w:val="center"/>
          </w:tcPr>
          <w:p w14:paraId="391AF60A">
            <w:pPr>
              <w:widowControl/>
              <w:jc w:val="center"/>
              <w:rPr>
                <w:rFonts w:hint="eastAsia" w:ascii="宋体" w:hAnsi="宋体"/>
                <w:sz w:val="18"/>
                <w:szCs w:val="18"/>
              </w:rPr>
            </w:pPr>
          </w:p>
        </w:tc>
        <w:tc>
          <w:tcPr>
            <w:tcW w:w="608" w:type="pct"/>
            <w:vAlign w:val="center"/>
          </w:tcPr>
          <w:p w14:paraId="5A5DB85F">
            <w:pPr>
              <w:widowControl/>
              <w:jc w:val="center"/>
              <w:rPr>
                <w:rFonts w:hint="eastAsia" w:ascii="宋体" w:hAnsi="宋体"/>
                <w:sz w:val="18"/>
                <w:szCs w:val="18"/>
              </w:rPr>
            </w:pPr>
          </w:p>
        </w:tc>
        <w:tc>
          <w:tcPr>
            <w:tcW w:w="463" w:type="pct"/>
            <w:vAlign w:val="center"/>
          </w:tcPr>
          <w:p w14:paraId="5876ED13">
            <w:pPr>
              <w:widowControl/>
              <w:jc w:val="center"/>
              <w:rPr>
                <w:rFonts w:hint="eastAsia" w:ascii="宋体" w:hAnsi="宋体"/>
                <w:sz w:val="18"/>
                <w:szCs w:val="18"/>
              </w:rPr>
            </w:pPr>
          </w:p>
        </w:tc>
        <w:tc>
          <w:tcPr>
            <w:tcW w:w="663" w:type="pct"/>
            <w:vAlign w:val="center"/>
          </w:tcPr>
          <w:p w14:paraId="6571E690">
            <w:pPr>
              <w:widowControl/>
              <w:jc w:val="center"/>
              <w:rPr>
                <w:rFonts w:hint="eastAsia" w:ascii="宋体" w:hAnsi="宋体"/>
                <w:sz w:val="18"/>
                <w:szCs w:val="18"/>
              </w:rPr>
            </w:pPr>
          </w:p>
        </w:tc>
        <w:tc>
          <w:tcPr>
            <w:tcW w:w="511" w:type="pct"/>
            <w:vAlign w:val="center"/>
          </w:tcPr>
          <w:p w14:paraId="5DA71B65">
            <w:pPr>
              <w:widowControl/>
              <w:jc w:val="center"/>
              <w:rPr>
                <w:rFonts w:hint="eastAsia" w:ascii="宋体" w:hAnsi="宋体"/>
                <w:sz w:val="18"/>
                <w:szCs w:val="18"/>
              </w:rPr>
            </w:pPr>
          </w:p>
        </w:tc>
      </w:tr>
      <w:tr w14:paraId="07B9C3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4" w:type="pct"/>
            <w:vAlign w:val="center"/>
          </w:tcPr>
          <w:p w14:paraId="2AE4CEE7">
            <w:pPr>
              <w:widowControl/>
              <w:jc w:val="center"/>
              <w:rPr>
                <w:rFonts w:hint="eastAsia" w:ascii="宋体" w:hAnsi="宋体"/>
                <w:sz w:val="18"/>
                <w:szCs w:val="18"/>
              </w:rPr>
            </w:pPr>
          </w:p>
        </w:tc>
        <w:tc>
          <w:tcPr>
            <w:tcW w:w="284" w:type="pct"/>
            <w:vAlign w:val="center"/>
          </w:tcPr>
          <w:p w14:paraId="26E24511">
            <w:pPr>
              <w:widowControl/>
              <w:jc w:val="center"/>
              <w:rPr>
                <w:rFonts w:hint="eastAsia" w:ascii="宋体" w:hAnsi="宋体"/>
                <w:sz w:val="18"/>
                <w:szCs w:val="18"/>
              </w:rPr>
            </w:pPr>
          </w:p>
        </w:tc>
        <w:tc>
          <w:tcPr>
            <w:tcW w:w="285" w:type="pct"/>
            <w:vAlign w:val="center"/>
          </w:tcPr>
          <w:p w14:paraId="51806C26">
            <w:pPr>
              <w:widowControl/>
              <w:jc w:val="center"/>
              <w:rPr>
                <w:rFonts w:hint="eastAsia" w:ascii="宋体" w:hAnsi="宋体"/>
                <w:sz w:val="18"/>
                <w:szCs w:val="18"/>
              </w:rPr>
            </w:pPr>
          </w:p>
        </w:tc>
        <w:tc>
          <w:tcPr>
            <w:tcW w:w="284" w:type="pct"/>
            <w:vAlign w:val="center"/>
          </w:tcPr>
          <w:p w14:paraId="46C1D8E1">
            <w:pPr>
              <w:widowControl/>
              <w:jc w:val="center"/>
              <w:rPr>
                <w:rFonts w:hint="eastAsia" w:ascii="宋体" w:hAnsi="宋体"/>
                <w:sz w:val="18"/>
                <w:szCs w:val="18"/>
              </w:rPr>
            </w:pPr>
          </w:p>
        </w:tc>
        <w:tc>
          <w:tcPr>
            <w:tcW w:w="284" w:type="pct"/>
            <w:vAlign w:val="center"/>
          </w:tcPr>
          <w:p w14:paraId="15A9F8DF">
            <w:pPr>
              <w:widowControl/>
              <w:jc w:val="center"/>
              <w:rPr>
                <w:rFonts w:hint="eastAsia" w:ascii="宋体" w:hAnsi="宋体"/>
                <w:sz w:val="18"/>
                <w:szCs w:val="18"/>
              </w:rPr>
            </w:pPr>
          </w:p>
        </w:tc>
        <w:tc>
          <w:tcPr>
            <w:tcW w:w="284" w:type="pct"/>
            <w:vAlign w:val="center"/>
          </w:tcPr>
          <w:p w14:paraId="34BD4147">
            <w:pPr>
              <w:widowControl/>
              <w:jc w:val="center"/>
              <w:rPr>
                <w:rFonts w:hint="eastAsia" w:ascii="宋体" w:hAnsi="宋体"/>
                <w:sz w:val="18"/>
                <w:szCs w:val="18"/>
              </w:rPr>
            </w:pPr>
          </w:p>
        </w:tc>
        <w:tc>
          <w:tcPr>
            <w:tcW w:w="284" w:type="pct"/>
            <w:vAlign w:val="center"/>
          </w:tcPr>
          <w:p w14:paraId="5B7E1875">
            <w:pPr>
              <w:widowControl/>
              <w:jc w:val="center"/>
              <w:rPr>
                <w:rFonts w:hint="eastAsia" w:ascii="宋体" w:hAnsi="宋体"/>
                <w:sz w:val="18"/>
                <w:szCs w:val="18"/>
              </w:rPr>
            </w:pPr>
          </w:p>
        </w:tc>
        <w:tc>
          <w:tcPr>
            <w:tcW w:w="287" w:type="pct"/>
            <w:vAlign w:val="center"/>
          </w:tcPr>
          <w:p w14:paraId="0F7D2E47">
            <w:pPr>
              <w:widowControl/>
              <w:jc w:val="center"/>
              <w:rPr>
                <w:rFonts w:hint="eastAsia" w:ascii="宋体" w:hAnsi="宋体"/>
                <w:sz w:val="18"/>
                <w:szCs w:val="18"/>
              </w:rPr>
            </w:pPr>
          </w:p>
        </w:tc>
        <w:tc>
          <w:tcPr>
            <w:tcW w:w="479" w:type="pct"/>
            <w:vAlign w:val="center"/>
          </w:tcPr>
          <w:p w14:paraId="5065113D">
            <w:pPr>
              <w:widowControl/>
              <w:jc w:val="center"/>
              <w:rPr>
                <w:rFonts w:hint="eastAsia" w:ascii="宋体" w:hAnsi="宋体"/>
                <w:sz w:val="18"/>
                <w:szCs w:val="18"/>
              </w:rPr>
            </w:pPr>
          </w:p>
        </w:tc>
        <w:tc>
          <w:tcPr>
            <w:tcW w:w="608" w:type="pct"/>
            <w:vAlign w:val="center"/>
          </w:tcPr>
          <w:p w14:paraId="50533AE2">
            <w:pPr>
              <w:widowControl/>
              <w:jc w:val="center"/>
              <w:rPr>
                <w:rFonts w:hint="eastAsia" w:ascii="宋体" w:hAnsi="宋体"/>
                <w:sz w:val="18"/>
                <w:szCs w:val="18"/>
              </w:rPr>
            </w:pPr>
          </w:p>
        </w:tc>
        <w:tc>
          <w:tcPr>
            <w:tcW w:w="463" w:type="pct"/>
            <w:vAlign w:val="center"/>
          </w:tcPr>
          <w:p w14:paraId="2406D542">
            <w:pPr>
              <w:widowControl/>
              <w:jc w:val="center"/>
              <w:rPr>
                <w:rFonts w:hint="eastAsia" w:ascii="宋体" w:hAnsi="宋体"/>
                <w:sz w:val="18"/>
                <w:szCs w:val="18"/>
              </w:rPr>
            </w:pPr>
          </w:p>
        </w:tc>
        <w:tc>
          <w:tcPr>
            <w:tcW w:w="663" w:type="pct"/>
            <w:vAlign w:val="center"/>
          </w:tcPr>
          <w:p w14:paraId="353000B2">
            <w:pPr>
              <w:widowControl/>
              <w:jc w:val="center"/>
              <w:rPr>
                <w:rFonts w:hint="eastAsia" w:ascii="宋体" w:hAnsi="宋体"/>
                <w:sz w:val="18"/>
                <w:szCs w:val="18"/>
              </w:rPr>
            </w:pPr>
          </w:p>
        </w:tc>
        <w:tc>
          <w:tcPr>
            <w:tcW w:w="511" w:type="pct"/>
            <w:vAlign w:val="center"/>
          </w:tcPr>
          <w:p w14:paraId="0D977D97">
            <w:pPr>
              <w:widowControl/>
              <w:jc w:val="center"/>
              <w:rPr>
                <w:rFonts w:hint="eastAsia" w:ascii="宋体" w:hAnsi="宋体"/>
                <w:sz w:val="18"/>
                <w:szCs w:val="18"/>
              </w:rPr>
            </w:pPr>
          </w:p>
        </w:tc>
      </w:tr>
      <w:tr w14:paraId="34CAB9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4" w:type="pct"/>
            <w:vAlign w:val="center"/>
          </w:tcPr>
          <w:p w14:paraId="7C9E2C2B">
            <w:pPr>
              <w:widowControl/>
              <w:jc w:val="center"/>
              <w:rPr>
                <w:rFonts w:hint="eastAsia" w:ascii="宋体" w:hAnsi="宋体"/>
                <w:sz w:val="18"/>
                <w:szCs w:val="18"/>
              </w:rPr>
            </w:pPr>
          </w:p>
        </w:tc>
        <w:tc>
          <w:tcPr>
            <w:tcW w:w="284" w:type="pct"/>
            <w:vAlign w:val="center"/>
          </w:tcPr>
          <w:p w14:paraId="5B115BFD">
            <w:pPr>
              <w:widowControl/>
              <w:jc w:val="center"/>
              <w:rPr>
                <w:rFonts w:hint="eastAsia" w:ascii="宋体" w:hAnsi="宋体"/>
                <w:sz w:val="18"/>
                <w:szCs w:val="18"/>
              </w:rPr>
            </w:pPr>
          </w:p>
        </w:tc>
        <w:tc>
          <w:tcPr>
            <w:tcW w:w="285" w:type="pct"/>
            <w:vAlign w:val="center"/>
          </w:tcPr>
          <w:p w14:paraId="4402E82E">
            <w:pPr>
              <w:widowControl/>
              <w:jc w:val="center"/>
              <w:rPr>
                <w:rFonts w:hint="eastAsia" w:ascii="宋体" w:hAnsi="宋体"/>
                <w:sz w:val="18"/>
                <w:szCs w:val="18"/>
              </w:rPr>
            </w:pPr>
          </w:p>
        </w:tc>
        <w:tc>
          <w:tcPr>
            <w:tcW w:w="284" w:type="pct"/>
            <w:vAlign w:val="center"/>
          </w:tcPr>
          <w:p w14:paraId="3E91FC6F">
            <w:pPr>
              <w:widowControl/>
              <w:jc w:val="center"/>
              <w:rPr>
                <w:rFonts w:hint="eastAsia" w:ascii="宋体" w:hAnsi="宋体"/>
                <w:sz w:val="18"/>
                <w:szCs w:val="18"/>
              </w:rPr>
            </w:pPr>
          </w:p>
        </w:tc>
        <w:tc>
          <w:tcPr>
            <w:tcW w:w="284" w:type="pct"/>
            <w:vAlign w:val="center"/>
          </w:tcPr>
          <w:p w14:paraId="018E125C">
            <w:pPr>
              <w:widowControl/>
              <w:jc w:val="center"/>
              <w:rPr>
                <w:rFonts w:hint="eastAsia" w:ascii="宋体" w:hAnsi="宋体"/>
                <w:sz w:val="18"/>
                <w:szCs w:val="18"/>
              </w:rPr>
            </w:pPr>
          </w:p>
        </w:tc>
        <w:tc>
          <w:tcPr>
            <w:tcW w:w="284" w:type="pct"/>
            <w:vAlign w:val="center"/>
          </w:tcPr>
          <w:p w14:paraId="4262F357">
            <w:pPr>
              <w:widowControl/>
              <w:jc w:val="center"/>
              <w:rPr>
                <w:rFonts w:hint="eastAsia" w:ascii="宋体" w:hAnsi="宋体"/>
                <w:sz w:val="18"/>
                <w:szCs w:val="18"/>
              </w:rPr>
            </w:pPr>
          </w:p>
        </w:tc>
        <w:tc>
          <w:tcPr>
            <w:tcW w:w="284" w:type="pct"/>
            <w:vAlign w:val="center"/>
          </w:tcPr>
          <w:p w14:paraId="691E38FB">
            <w:pPr>
              <w:widowControl/>
              <w:jc w:val="center"/>
              <w:rPr>
                <w:rFonts w:hint="eastAsia" w:ascii="宋体" w:hAnsi="宋体"/>
                <w:sz w:val="18"/>
                <w:szCs w:val="18"/>
              </w:rPr>
            </w:pPr>
          </w:p>
        </w:tc>
        <w:tc>
          <w:tcPr>
            <w:tcW w:w="287" w:type="pct"/>
            <w:vAlign w:val="center"/>
          </w:tcPr>
          <w:p w14:paraId="477CDB76">
            <w:pPr>
              <w:widowControl/>
              <w:jc w:val="center"/>
              <w:rPr>
                <w:rFonts w:hint="eastAsia" w:ascii="宋体" w:hAnsi="宋体"/>
                <w:sz w:val="18"/>
                <w:szCs w:val="18"/>
              </w:rPr>
            </w:pPr>
          </w:p>
        </w:tc>
        <w:tc>
          <w:tcPr>
            <w:tcW w:w="479" w:type="pct"/>
            <w:vAlign w:val="center"/>
          </w:tcPr>
          <w:p w14:paraId="1BFC1563">
            <w:pPr>
              <w:widowControl/>
              <w:jc w:val="center"/>
              <w:rPr>
                <w:rFonts w:hint="eastAsia" w:ascii="宋体" w:hAnsi="宋体"/>
                <w:sz w:val="18"/>
                <w:szCs w:val="18"/>
              </w:rPr>
            </w:pPr>
          </w:p>
        </w:tc>
        <w:tc>
          <w:tcPr>
            <w:tcW w:w="608" w:type="pct"/>
            <w:vAlign w:val="center"/>
          </w:tcPr>
          <w:p w14:paraId="30CD3070">
            <w:pPr>
              <w:widowControl/>
              <w:jc w:val="center"/>
              <w:rPr>
                <w:rFonts w:hint="eastAsia" w:ascii="宋体" w:hAnsi="宋体"/>
                <w:sz w:val="18"/>
                <w:szCs w:val="18"/>
              </w:rPr>
            </w:pPr>
          </w:p>
        </w:tc>
        <w:tc>
          <w:tcPr>
            <w:tcW w:w="463" w:type="pct"/>
            <w:vAlign w:val="center"/>
          </w:tcPr>
          <w:p w14:paraId="4AC7F860">
            <w:pPr>
              <w:widowControl/>
              <w:jc w:val="center"/>
              <w:rPr>
                <w:rFonts w:hint="eastAsia" w:ascii="宋体" w:hAnsi="宋体"/>
                <w:sz w:val="18"/>
                <w:szCs w:val="18"/>
              </w:rPr>
            </w:pPr>
          </w:p>
        </w:tc>
        <w:tc>
          <w:tcPr>
            <w:tcW w:w="663" w:type="pct"/>
            <w:vAlign w:val="center"/>
          </w:tcPr>
          <w:p w14:paraId="749063D9">
            <w:pPr>
              <w:widowControl/>
              <w:jc w:val="center"/>
              <w:rPr>
                <w:rFonts w:hint="eastAsia" w:ascii="宋体" w:hAnsi="宋体"/>
                <w:sz w:val="18"/>
                <w:szCs w:val="18"/>
              </w:rPr>
            </w:pPr>
          </w:p>
        </w:tc>
        <w:tc>
          <w:tcPr>
            <w:tcW w:w="511" w:type="pct"/>
            <w:vAlign w:val="center"/>
          </w:tcPr>
          <w:p w14:paraId="62536807">
            <w:pPr>
              <w:widowControl/>
              <w:jc w:val="center"/>
              <w:rPr>
                <w:rFonts w:hint="eastAsia" w:ascii="宋体" w:hAnsi="宋体"/>
                <w:sz w:val="18"/>
                <w:szCs w:val="18"/>
              </w:rPr>
            </w:pPr>
          </w:p>
        </w:tc>
      </w:tr>
      <w:tr w14:paraId="318909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5000" w:type="pct"/>
            <w:gridSpan w:val="13"/>
            <w:vAlign w:val="center"/>
          </w:tcPr>
          <w:p w14:paraId="603A2422">
            <w:pPr>
              <w:widowControl/>
              <w:jc w:val="center"/>
              <w:rPr>
                <w:rFonts w:hint="eastAsia" w:ascii="黑体" w:hAnsi="黑体" w:eastAsia="黑体"/>
                <w:sz w:val="18"/>
                <w:szCs w:val="18"/>
              </w:rPr>
            </w:pPr>
            <w:r>
              <w:rPr>
                <w:rFonts w:hint="eastAsia" w:ascii="黑体" w:hAnsi="黑体" w:eastAsia="黑体"/>
                <w:sz w:val="18"/>
                <w:szCs w:val="18"/>
              </w:rPr>
              <w:t>注：1车辆状态是否为空车填写是或者否；2证件若持有，请在对应位置打 √，证件若缺失，请在对应位置打入×。</w:t>
            </w:r>
          </w:p>
        </w:tc>
      </w:tr>
    </w:tbl>
    <w:p w14:paraId="71439185">
      <w:pPr>
        <w:spacing w:line="360" w:lineRule="auto"/>
        <w:rPr>
          <w:sz w:val="24"/>
        </w:rPr>
        <w:sectPr>
          <w:footerReference r:id="rId15" w:type="default"/>
          <w:pgSz w:w="16838" w:h="11906" w:orient="landscape"/>
          <w:pgMar w:top="1797" w:right="1440" w:bottom="1797" w:left="1440" w:header="851" w:footer="992" w:gutter="0"/>
          <w:cols w:space="425" w:num="1"/>
          <w:docGrid w:type="lines" w:linePitch="312" w:charSpace="0"/>
        </w:sectPr>
      </w:pPr>
    </w:p>
    <w:p w14:paraId="48329D51">
      <w:pPr>
        <w:spacing w:line="360" w:lineRule="auto"/>
        <w:jc w:val="center"/>
        <w:rPr>
          <w:rFonts w:hint="eastAsia" w:ascii="黑体" w:hAnsi="黑体" w:eastAsia="黑体"/>
          <w:b/>
          <w:bCs/>
          <w:szCs w:val="21"/>
        </w:rPr>
      </w:pPr>
      <w:r>
        <w:rPr>
          <w:rFonts w:hint="eastAsia" w:ascii="黑体" w:hAnsi="黑体" w:eastAsia="黑体"/>
          <w:szCs w:val="21"/>
        </w:rPr>
        <w:t>参考文献</w:t>
      </w:r>
    </w:p>
    <w:p w14:paraId="58CA0BF5">
      <w:pPr>
        <w:ind w:firstLine="420" w:firstLineChars="200"/>
        <w:rPr>
          <w:rFonts w:hint="eastAsia" w:asciiTheme="minorEastAsia" w:hAnsiTheme="minorEastAsia"/>
          <w:szCs w:val="21"/>
        </w:rPr>
      </w:pPr>
      <w:r>
        <w:rPr>
          <w:rFonts w:hint="eastAsia" w:asciiTheme="minorEastAsia" w:hAnsiTheme="minorEastAsia"/>
          <w:szCs w:val="21"/>
        </w:rPr>
        <w:t>[</w:t>
      </w:r>
      <w:r>
        <w:rPr>
          <w:rFonts w:asciiTheme="minorEastAsia" w:hAnsiTheme="minorEastAsia"/>
          <w:szCs w:val="21"/>
        </w:rPr>
        <w:t>1</w:t>
      </w:r>
      <w:r>
        <w:rPr>
          <w:rFonts w:hint="eastAsia" w:asciiTheme="minorEastAsia" w:hAnsiTheme="minorEastAsia"/>
          <w:szCs w:val="21"/>
        </w:rPr>
        <w:t>]</w:t>
      </w:r>
      <w:r>
        <w:rPr>
          <w:rFonts w:asciiTheme="minorEastAsia" w:hAnsiTheme="minorEastAsia"/>
          <w:szCs w:val="21"/>
        </w:rPr>
        <w:t xml:space="preserve">  </w:t>
      </w:r>
      <w:r>
        <w:rPr>
          <w:rFonts w:hint="eastAsia" w:asciiTheme="minorEastAsia" w:hAnsiTheme="minorEastAsia"/>
          <w:szCs w:val="21"/>
        </w:rPr>
        <w:t>GB/T 45236 化工园区危险品运输车辆停车场建设规范</w:t>
      </w:r>
    </w:p>
    <w:p w14:paraId="5A39A68C">
      <w:pPr>
        <w:ind w:firstLine="420" w:firstLineChars="200"/>
        <w:rPr>
          <w:rFonts w:hint="eastAsia" w:asciiTheme="minorEastAsia" w:hAnsiTheme="minorEastAsia"/>
          <w:szCs w:val="21"/>
        </w:rPr>
      </w:pPr>
      <w:r>
        <w:rPr>
          <w:rFonts w:hint="eastAsia" w:asciiTheme="minorEastAsia" w:hAnsiTheme="minorEastAsia"/>
          <w:szCs w:val="21"/>
        </w:rPr>
        <w:t>[</w:t>
      </w:r>
      <w:r>
        <w:rPr>
          <w:rFonts w:asciiTheme="minorEastAsia" w:hAnsiTheme="minorEastAsia"/>
          <w:szCs w:val="21"/>
        </w:rPr>
        <w:t>2</w:t>
      </w:r>
      <w:r>
        <w:rPr>
          <w:rFonts w:hint="eastAsia" w:asciiTheme="minorEastAsia" w:hAnsiTheme="minorEastAsia"/>
          <w:szCs w:val="21"/>
        </w:rPr>
        <w:t>]</w:t>
      </w:r>
      <w:r>
        <w:rPr>
          <w:rFonts w:asciiTheme="minorEastAsia" w:hAnsiTheme="minorEastAsia"/>
          <w:szCs w:val="21"/>
        </w:rPr>
        <w:t xml:space="preserve">  GB/T50034-2024</w:t>
      </w:r>
      <w:r>
        <w:rPr>
          <w:rFonts w:hint="eastAsia" w:asciiTheme="minorEastAsia" w:hAnsiTheme="minorEastAsia"/>
          <w:szCs w:val="21"/>
        </w:rPr>
        <w:t xml:space="preserve"> 建筑照明设计标准</w:t>
      </w:r>
    </w:p>
    <w:p w14:paraId="70B71BF4">
      <w:pPr>
        <w:ind w:firstLine="420" w:firstLineChars="200"/>
        <w:rPr>
          <w:rFonts w:hint="eastAsia" w:asciiTheme="minorEastAsia" w:hAnsiTheme="minorEastAsia"/>
          <w:szCs w:val="21"/>
        </w:rPr>
      </w:pPr>
      <w:r>
        <w:rPr>
          <w:rFonts w:hint="eastAsia" w:asciiTheme="minorEastAsia" w:hAnsiTheme="minorEastAsia"/>
          <w:szCs w:val="21"/>
        </w:rPr>
        <w:t>[</w:t>
      </w:r>
      <w:r>
        <w:rPr>
          <w:rFonts w:asciiTheme="minorEastAsia" w:hAnsiTheme="minorEastAsia"/>
          <w:szCs w:val="21"/>
        </w:rPr>
        <w:t>3</w:t>
      </w:r>
      <w:r>
        <w:rPr>
          <w:rFonts w:hint="eastAsia" w:asciiTheme="minorEastAsia" w:hAnsiTheme="minorEastAsia"/>
          <w:szCs w:val="21"/>
        </w:rPr>
        <w:t>]</w:t>
      </w:r>
      <w:r>
        <w:rPr>
          <w:rFonts w:asciiTheme="minorEastAsia" w:hAnsiTheme="minorEastAsia"/>
          <w:szCs w:val="21"/>
        </w:rPr>
        <w:t xml:space="preserve">  </w:t>
      </w:r>
      <w:r>
        <w:rPr>
          <w:rFonts w:hint="eastAsia" w:asciiTheme="minorEastAsia" w:hAnsiTheme="minorEastAsia"/>
          <w:szCs w:val="21"/>
        </w:rPr>
        <w:t>JT/T 1285-2020</w:t>
      </w:r>
      <w:r>
        <w:rPr>
          <w:rFonts w:asciiTheme="minorEastAsia" w:hAnsiTheme="minorEastAsia"/>
          <w:szCs w:val="21"/>
        </w:rPr>
        <w:t xml:space="preserve"> </w:t>
      </w:r>
      <w:r>
        <w:rPr>
          <w:rFonts w:hint="eastAsia" w:asciiTheme="minorEastAsia" w:hAnsiTheme="minorEastAsia"/>
          <w:szCs w:val="21"/>
        </w:rPr>
        <w:t>危险货物道路运输营运车辆安全技术</w:t>
      </w:r>
    </w:p>
    <w:sectPr>
      <w:footerReference r:id="rId16" w:type="default"/>
      <w:pgSz w:w="11906" w:h="16838"/>
      <w:pgMar w:top="567" w:right="1134" w:bottom="1134" w:left="1418" w:header="1418" w:footer="1134" w:gutter="0"/>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86679305"/>
    </w:sdtPr>
    <w:sdtContent>
      <w:p w14:paraId="0B559F7D">
        <w:pPr>
          <w:pStyle w:val="21"/>
        </w:pPr>
      </w:p>
    </w:sdtContent>
  </w:sdt>
  <w:p w14:paraId="6ED42359">
    <w:pPr>
      <w:pStyle w:val="21"/>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F78E26">
    <w:pPr>
      <w:pStyle w:val="21"/>
      <w:jc w:val="left"/>
    </w:pPr>
    <w:r>
      <w:t>8</w:t>
    </w:r>
  </w:p>
  <w:p w14:paraId="2F151FEC">
    <w:pPr>
      <w:pStyle w:val="48"/>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0A44F0">
    <w:pPr>
      <w:pStyle w:val="21"/>
      <w:jc w:val="left"/>
    </w:pPr>
    <w:r>
      <w:rPr>
        <w:rFonts w:hint="eastAsia"/>
      </w:rPr>
      <w:t>9</w:t>
    </w:r>
  </w:p>
  <w:p w14:paraId="6F039728">
    <w:pPr>
      <w:pStyle w:val="48"/>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743E9">
    <w:pPr>
      <w:pStyle w:val="21"/>
      <w:jc w:val="left"/>
    </w:pPr>
    <w:r>
      <w:t>10</w:t>
    </w:r>
  </w:p>
  <w:p w14:paraId="58151DE1">
    <w:pPr>
      <w:pStyle w:val="4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2133644"/>
      <w:docPartObj>
        <w:docPartGallery w:val="autotext"/>
      </w:docPartObj>
    </w:sdtPr>
    <w:sdtContent>
      <w:p w14:paraId="19451051">
        <w:pPr>
          <w:pStyle w:val="21"/>
        </w:pPr>
        <w:r>
          <w:fldChar w:fldCharType="begin"/>
        </w:r>
        <w:r>
          <w:instrText xml:space="preserve">PAGE   \* MERGEFORMAT</w:instrText>
        </w:r>
        <w:r>
          <w:fldChar w:fldCharType="separate"/>
        </w:r>
        <w:r>
          <w:rPr>
            <w:lang w:val="zh-CN"/>
          </w:rPr>
          <w:t>2</w:t>
        </w:r>
        <w:r>
          <w:fldChar w:fldCharType="end"/>
        </w:r>
      </w:p>
    </w:sdtContent>
  </w:sdt>
  <w:p w14:paraId="098FC5B3">
    <w:pPr>
      <w:pStyle w:val="21"/>
    </w:pPr>
  </w:p>
  <w:p w14:paraId="6BA0286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40261350"/>
      <w:docPartObj>
        <w:docPartGallery w:val="autotext"/>
      </w:docPartObj>
    </w:sdtPr>
    <w:sdtContent>
      <w:p w14:paraId="7049B972">
        <w:pPr>
          <w:pStyle w:val="21"/>
          <w:jc w:val="left"/>
        </w:pPr>
        <w:r>
          <w:t>Ⅱ</w:t>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D675B">
    <w:pPr>
      <w:pStyle w:val="21"/>
      <w:jc w:val="left"/>
    </w:pPr>
    <w:r>
      <w:t>2</w:t>
    </w:r>
  </w:p>
  <w:p w14:paraId="2512CE0D">
    <w:pPr>
      <w:pStyle w:val="4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96BA2E">
    <w:pPr>
      <w:pStyle w:val="21"/>
    </w:pPr>
    <w:r>
      <w:rPr>
        <w:rFonts w:hint="eastAsia"/>
      </w:rPr>
      <w:t>3</w:t>
    </w:r>
  </w:p>
  <w:p w14:paraId="4D715D23">
    <w:pPr>
      <w:pStyle w:val="4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AD6237">
    <w:pPr>
      <w:pStyle w:val="21"/>
      <w:jc w:val="left"/>
    </w:pPr>
    <w:r>
      <w:t>4</w:t>
    </w:r>
  </w:p>
  <w:p w14:paraId="0A9D986C">
    <w:pPr>
      <w:pStyle w:val="4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CFBD2">
    <w:pPr>
      <w:pStyle w:val="21"/>
    </w:pPr>
    <w:r>
      <w:t>5</w:t>
    </w:r>
  </w:p>
  <w:p w14:paraId="48358FF7">
    <w:pPr>
      <w:pStyle w:val="48"/>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413322">
    <w:pPr>
      <w:pStyle w:val="21"/>
      <w:jc w:val="left"/>
    </w:pPr>
    <w:r>
      <w:t>6</w:t>
    </w:r>
  </w:p>
  <w:p w14:paraId="13539165">
    <w:pPr>
      <w:pStyle w:val="48"/>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3E7C08">
    <w:pPr>
      <w:pStyle w:val="21"/>
    </w:pPr>
    <w:r>
      <w:t>7</w:t>
    </w:r>
  </w:p>
  <w:p w14:paraId="4629130D">
    <w:pPr>
      <w:pStyle w:val="4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BF583A"/>
    <w:multiLevelType w:val="multilevel"/>
    <w:tmpl w:val="1DBF583A"/>
    <w:lvl w:ilvl="0" w:tentative="0">
      <w:start w:val="1"/>
      <w:numFmt w:val="decimal"/>
      <w:pStyle w:val="70"/>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
    <w:nsid w:val="1FC91163"/>
    <w:multiLevelType w:val="multilevel"/>
    <w:tmpl w:val="1FC91163"/>
    <w:lvl w:ilvl="0" w:tentative="0">
      <w:start w:val="1"/>
      <w:numFmt w:val="decimal"/>
      <w:pStyle w:val="5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7"/>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51"/>
      <w:suff w:val="nothing"/>
      <w:lvlText w:val="%1.%2.%3　"/>
      <w:lvlJc w:val="left"/>
      <w:pPr>
        <w:ind w:left="0" w:firstLine="0"/>
      </w:pPr>
      <w:rPr>
        <w:rFonts w:hint="eastAsia" w:ascii="黑体" w:hAnsi="Times New Roman" w:eastAsia="黑体"/>
        <w:b w:val="0"/>
        <w:i w:val="0"/>
        <w:sz w:val="21"/>
      </w:rPr>
    </w:lvl>
    <w:lvl w:ilvl="3" w:tentative="0">
      <w:start w:val="1"/>
      <w:numFmt w:val="decimal"/>
      <w:pStyle w:val="57"/>
      <w:suff w:val="nothing"/>
      <w:lvlText w:val="%1.%2.%3.%4　"/>
      <w:lvlJc w:val="left"/>
      <w:pPr>
        <w:ind w:left="0" w:firstLine="0"/>
      </w:pPr>
      <w:rPr>
        <w:rFonts w:hint="default" w:ascii="黑体" w:hAnsi="Times New Roman" w:eastAsia="黑体"/>
        <w:b w:val="0"/>
        <w:i w:val="0"/>
        <w:color w:val="auto"/>
        <w:sz w:val="21"/>
      </w:rPr>
    </w:lvl>
    <w:lvl w:ilvl="4" w:tentative="0">
      <w:start w:val="1"/>
      <w:numFmt w:val="decimal"/>
      <w:pStyle w:val="61"/>
      <w:suff w:val="nothing"/>
      <w:lvlText w:val="%1.%2.%3.%4.%5　"/>
      <w:lvlJc w:val="left"/>
      <w:pPr>
        <w:ind w:left="0" w:firstLine="0"/>
      </w:pPr>
      <w:rPr>
        <w:rFonts w:hint="eastAsia" w:ascii="黑体" w:hAnsi="Times New Roman" w:eastAsia="黑体"/>
        <w:b w:val="0"/>
        <w:i w:val="0"/>
        <w:sz w:val="21"/>
      </w:rPr>
    </w:lvl>
    <w:lvl w:ilvl="5" w:tentative="0">
      <w:start w:val="1"/>
      <w:numFmt w:val="decimal"/>
      <w:pStyle w:val="62"/>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2A8F7113"/>
    <w:multiLevelType w:val="multilevel"/>
    <w:tmpl w:val="2A8F7113"/>
    <w:lvl w:ilvl="0" w:tentative="0">
      <w:start w:val="1"/>
      <w:numFmt w:val="upperLetter"/>
      <w:pStyle w:val="103"/>
      <w:suff w:val="space"/>
      <w:lvlText w:val="%1"/>
      <w:lvlJc w:val="left"/>
      <w:pPr>
        <w:ind w:left="623" w:hanging="425"/>
      </w:pPr>
      <w:rPr>
        <w:rFonts w:hint="eastAsia"/>
      </w:rPr>
    </w:lvl>
    <w:lvl w:ilvl="1" w:tentative="0">
      <w:start w:val="1"/>
      <w:numFmt w:val="decimal"/>
      <w:pStyle w:val="104"/>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3">
    <w:nsid w:val="2C5917C3"/>
    <w:multiLevelType w:val="multilevel"/>
    <w:tmpl w:val="2C5917C3"/>
    <w:lvl w:ilvl="0" w:tentative="0">
      <w:start w:val="1"/>
      <w:numFmt w:val="none"/>
      <w:pStyle w:val="54"/>
      <w:suff w:val="nothing"/>
      <w:lvlText w:val="%1——"/>
      <w:lvlJc w:val="left"/>
      <w:pPr>
        <w:ind w:left="833" w:hanging="408"/>
      </w:pPr>
      <w:rPr>
        <w:rFonts w:hint="eastAsia"/>
      </w:rPr>
    </w:lvl>
    <w:lvl w:ilvl="1" w:tentative="0">
      <w:start w:val="1"/>
      <w:numFmt w:val="bullet"/>
      <w:pStyle w:val="55"/>
      <w:lvlText w:val=""/>
      <w:lvlJc w:val="left"/>
      <w:pPr>
        <w:tabs>
          <w:tab w:val="left" w:pos="760"/>
        </w:tabs>
        <w:ind w:left="1264" w:hanging="413"/>
      </w:pPr>
      <w:rPr>
        <w:rFonts w:hint="default" w:ascii="Symbol" w:hAnsi="Symbol"/>
        <w:color w:val="auto"/>
      </w:rPr>
    </w:lvl>
    <w:lvl w:ilvl="2" w:tentative="0">
      <w:start w:val="1"/>
      <w:numFmt w:val="bullet"/>
      <w:pStyle w:val="66"/>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4">
    <w:nsid w:val="3D733618"/>
    <w:multiLevelType w:val="multilevel"/>
    <w:tmpl w:val="3D733618"/>
    <w:lvl w:ilvl="0" w:tentative="0">
      <w:start w:val="1"/>
      <w:numFmt w:val="decimal"/>
      <w:pStyle w:val="28"/>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5">
    <w:nsid w:val="44C50F90"/>
    <w:multiLevelType w:val="multilevel"/>
    <w:tmpl w:val="44C50F90"/>
    <w:lvl w:ilvl="0" w:tentative="0">
      <w:start w:val="1"/>
      <w:numFmt w:val="lowerLetter"/>
      <w:pStyle w:val="65"/>
      <w:lvlText w:val="%1)"/>
      <w:lvlJc w:val="left"/>
      <w:pPr>
        <w:tabs>
          <w:tab w:val="left" w:pos="840"/>
        </w:tabs>
        <w:ind w:left="839" w:hanging="419"/>
      </w:pPr>
      <w:rPr>
        <w:rFonts w:hint="eastAsia" w:ascii="宋体" w:eastAsia="宋体"/>
        <w:b w:val="0"/>
        <w:i w:val="0"/>
        <w:sz w:val="21"/>
        <w:szCs w:val="21"/>
      </w:rPr>
    </w:lvl>
    <w:lvl w:ilvl="1" w:tentative="0">
      <w:start w:val="1"/>
      <w:numFmt w:val="decimal"/>
      <w:pStyle w:val="60"/>
      <w:lvlText w:val="%2)"/>
      <w:lvlJc w:val="left"/>
      <w:pPr>
        <w:tabs>
          <w:tab w:val="left" w:pos="1260"/>
        </w:tabs>
        <w:ind w:left="1259" w:hanging="419"/>
      </w:pPr>
      <w:rPr>
        <w:rFonts w:hint="eastAsia"/>
      </w:rPr>
    </w:lvl>
    <w:lvl w:ilvl="2" w:tentative="0">
      <w:start w:val="1"/>
      <w:numFmt w:val="decimal"/>
      <w:pStyle w:val="67"/>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6">
    <w:nsid w:val="60B55DC2"/>
    <w:multiLevelType w:val="multilevel"/>
    <w:tmpl w:val="60B55DC2"/>
    <w:lvl w:ilvl="0" w:tentative="0">
      <w:start w:val="1"/>
      <w:numFmt w:val="upperLetter"/>
      <w:pStyle w:val="91"/>
      <w:lvlText w:val="%1"/>
      <w:lvlJc w:val="left"/>
      <w:pPr>
        <w:tabs>
          <w:tab w:val="left" w:pos="0"/>
        </w:tabs>
        <w:ind w:left="0" w:hanging="425"/>
      </w:pPr>
      <w:rPr>
        <w:rFonts w:hint="eastAsia"/>
      </w:rPr>
    </w:lvl>
    <w:lvl w:ilvl="1" w:tentative="0">
      <w:start w:val="1"/>
      <w:numFmt w:val="decimal"/>
      <w:pStyle w:val="92"/>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7">
    <w:nsid w:val="657D3FBC"/>
    <w:multiLevelType w:val="multilevel"/>
    <w:tmpl w:val="657D3FBC"/>
    <w:lvl w:ilvl="0" w:tentative="0">
      <w:start w:val="1"/>
      <w:numFmt w:val="upperLetter"/>
      <w:pStyle w:val="89"/>
      <w:suff w:val="nothing"/>
      <w:lvlText w:val="附　录　%1"/>
      <w:lvlJc w:val="left"/>
      <w:pPr>
        <w:ind w:left="4679" w:firstLine="0"/>
      </w:pPr>
      <w:rPr>
        <w:rFonts w:hint="eastAsia" w:ascii="黑体" w:hAnsi="Times New Roman" w:eastAsia="黑体"/>
        <w:b w:val="0"/>
        <w:i w:val="0"/>
        <w:spacing w:val="0"/>
        <w:w w:val="100"/>
        <w:sz w:val="21"/>
      </w:rPr>
    </w:lvl>
    <w:lvl w:ilvl="1" w:tentative="0">
      <w:start w:val="1"/>
      <w:numFmt w:val="decimal"/>
      <w:pStyle w:val="107"/>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8"/>
      <w:suff w:val="nothing"/>
      <w:lvlText w:val="%1.%2.%3　"/>
      <w:lvlJc w:val="left"/>
      <w:pPr>
        <w:ind w:left="0" w:firstLine="0"/>
      </w:pPr>
      <w:rPr>
        <w:rFonts w:hint="eastAsia" w:ascii="黑体" w:hAnsi="Times New Roman" w:eastAsia="黑体"/>
        <w:b w:val="0"/>
        <w:i w:val="0"/>
        <w:sz w:val="21"/>
      </w:rPr>
    </w:lvl>
    <w:lvl w:ilvl="3" w:tentative="0">
      <w:start w:val="1"/>
      <w:numFmt w:val="decimal"/>
      <w:pStyle w:val="93"/>
      <w:suff w:val="nothing"/>
      <w:lvlText w:val="%1.%2.%3.%4　"/>
      <w:lvlJc w:val="left"/>
      <w:pPr>
        <w:ind w:left="0" w:firstLine="0"/>
      </w:pPr>
      <w:rPr>
        <w:rFonts w:hint="eastAsia" w:ascii="黑体" w:hAnsi="Times New Roman" w:eastAsia="黑体"/>
        <w:b w:val="0"/>
        <w:i w:val="0"/>
        <w:sz w:val="21"/>
      </w:rPr>
    </w:lvl>
    <w:lvl w:ilvl="4" w:tentative="0">
      <w:start w:val="1"/>
      <w:numFmt w:val="decimal"/>
      <w:pStyle w:val="98"/>
      <w:suff w:val="nothing"/>
      <w:lvlText w:val="%1.%2.%3.%4.%5　"/>
      <w:lvlJc w:val="left"/>
      <w:pPr>
        <w:ind w:left="0" w:firstLine="0"/>
      </w:pPr>
      <w:rPr>
        <w:rFonts w:hint="eastAsia" w:ascii="黑体" w:hAnsi="Times New Roman" w:eastAsia="黑体"/>
        <w:b w:val="0"/>
        <w:i w:val="0"/>
        <w:sz w:val="21"/>
      </w:rPr>
    </w:lvl>
    <w:lvl w:ilvl="5" w:tentative="0">
      <w:start w:val="1"/>
      <w:numFmt w:val="decimal"/>
      <w:pStyle w:val="101"/>
      <w:suff w:val="nothing"/>
      <w:lvlText w:val="%1.%2.%3.%4.%5.%6　"/>
      <w:lvlJc w:val="left"/>
      <w:pPr>
        <w:ind w:left="0" w:firstLine="0"/>
      </w:pPr>
      <w:rPr>
        <w:rFonts w:hint="eastAsia" w:ascii="黑体" w:hAnsi="Times New Roman" w:eastAsia="黑体"/>
        <w:b w:val="0"/>
        <w:i w:val="0"/>
        <w:sz w:val="21"/>
      </w:rPr>
    </w:lvl>
    <w:lvl w:ilvl="6" w:tentative="0">
      <w:start w:val="1"/>
      <w:numFmt w:val="decimal"/>
      <w:pStyle w:val="105"/>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8">
    <w:nsid w:val="6D6C07CD"/>
    <w:multiLevelType w:val="multilevel"/>
    <w:tmpl w:val="6D6C07CD"/>
    <w:lvl w:ilvl="0" w:tentative="0">
      <w:start w:val="1"/>
      <w:numFmt w:val="lowerLetter"/>
      <w:pStyle w:val="110"/>
      <w:lvlText w:val="%1)"/>
      <w:lvlJc w:val="left"/>
      <w:pPr>
        <w:tabs>
          <w:tab w:val="left" w:pos="839"/>
        </w:tabs>
        <w:ind w:left="839" w:hanging="419"/>
      </w:pPr>
      <w:rPr>
        <w:rFonts w:hint="eastAsia" w:ascii="宋体" w:eastAsia="宋体"/>
        <w:b w:val="0"/>
        <w:i w:val="0"/>
        <w:sz w:val="21"/>
      </w:rPr>
    </w:lvl>
    <w:lvl w:ilvl="1" w:tentative="0">
      <w:start w:val="1"/>
      <w:numFmt w:val="decimal"/>
      <w:pStyle w:val="100"/>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num w:numId="1">
    <w:abstractNumId w:val="4"/>
  </w:num>
  <w:num w:numId="2">
    <w:abstractNumId w:val="1"/>
  </w:num>
  <w:num w:numId="3">
    <w:abstractNumId w:val="3"/>
  </w:num>
  <w:num w:numId="4">
    <w:abstractNumId w:val="5"/>
  </w:num>
  <w:num w:numId="5">
    <w:abstractNumId w:val="0"/>
  </w:num>
  <w:num w:numId="6">
    <w:abstractNumId w:val="7"/>
  </w:num>
  <w:num w:numId="7">
    <w:abstractNumId w:val="6"/>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dit="forms" w:enforcement="0"/>
  <w:defaultTabStop w:val="420"/>
  <w:drawingGridHorizontalSpacing w:val="105"/>
  <w:drawingGridVerticalSpacing w:val="156"/>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ExZGZhYzQ2ZjJmMGM4NWNlOWNhMTY4N2ZiNjhlN2MifQ=="/>
  </w:docVars>
  <w:rsids>
    <w:rsidRoot w:val="006858CC"/>
    <w:rsid w:val="00000244"/>
    <w:rsid w:val="00000312"/>
    <w:rsid w:val="000011F4"/>
    <w:rsid w:val="0000185F"/>
    <w:rsid w:val="00003768"/>
    <w:rsid w:val="0000586F"/>
    <w:rsid w:val="00006605"/>
    <w:rsid w:val="0001179B"/>
    <w:rsid w:val="000133F0"/>
    <w:rsid w:val="00013D86"/>
    <w:rsid w:val="00013E02"/>
    <w:rsid w:val="0001493A"/>
    <w:rsid w:val="00014DBA"/>
    <w:rsid w:val="000152B8"/>
    <w:rsid w:val="0001596C"/>
    <w:rsid w:val="0002143C"/>
    <w:rsid w:val="00021462"/>
    <w:rsid w:val="00021F0A"/>
    <w:rsid w:val="00024A36"/>
    <w:rsid w:val="00025A1C"/>
    <w:rsid w:val="00025A65"/>
    <w:rsid w:val="00025D97"/>
    <w:rsid w:val="000265DD"/>
    <w:rsid w:val="00026C31"/>
    <w:rsid w:val="00027280"/>
    <w:rsid w:val="000319C0"/>
    <w:rsid w:val="00031F32"/>
    <w:rsid w:val="000320A7"/>
    <w:rsid w:val="00032885"/>
    <w:rsid w:val="00032DA3"/>
    <w:rsid w:val="00033CA6"/>
    <w:rsid w:val="000346E6"/>
    <w:rsid w:val="00035925"/>
    <w:rsid w:val="000378C3"/>
    <w:rsid w:val="000404DD"/>
    <w:rsid w:val="000406AA"/>
    <w:rsid w:val="0004175A"/>
    <w:rsid w:val="00041995"/>
    <w:rsid w:val="000430BB"/>
    <w:rsid w:val="00044C5D"/>
    <w:rsid w:val="000472F7"/>
    <w:rsid w:val="000537B5"/>
    <w:rsid w:val="000546E0"/>
    <w:rsid w:val="00054743"/>
    <w:rsid w:val="00055BA1"/>
    <w:rsid w:val="00055E36"/>
    <w:rsid w:val="00055F46"/>
    <w:rsid w:val="00056501"/>
    <w:rsid w:val="0006124E"/>
    <w:rsid w:val="00061679"/>
    <w:rsid w:val="00062D31"/>
    <w:rsid w:val="000648D5"/>
    <w:rsid w:val="000653FD"/>
    <w:rsid w:val="000676AB"/>
    <w:rsid w:val="00067CDF"/>
    <w:rsid w:val="000709FB"/>
    <w:rsid w:val="000712C4"/>
    <w:rsid w:val="00071BD4"/>
    <w:rsid w:val="00071ECF"/>
    <w:rsid w:val="00072ECE"/>
    <w:rsid w:val="00073477"/>
    <w:rsid w:val="00074399"/>
    <w:rsid w:val="00074FBE"/>
    <w:rsid w:val="00075E2F"/>
    <w:rsid w:val="00076965"/>
    <w:rsid w:val="00076C0D"/>
    <w:rsid w:val="000801CB"/>
    <w:rsid w:val="00080B88"/>
    <w:rsid w:val="00083A09"/>
    <w:rsid w:val="00085EC5"/>
    <w:rsid w:val="000860BE"/>
    <w:rsid w:val="000868F0"/>
    <w:rsid w:val="0009005E"/>
    <w:rsid w:val="00090B38"/>
    <w:rsid w:val="00091C80"/>
    <w:rsid w:val="00091CE2"/>
    <w:rsid w:val="00092857"/>
    <w:rsid w:val="00092AE2"/>
    <w:rsid w:val="00092B11"/>
    <w:rsid w:val="00092BAC"/>
    <w:rsid w:val="00093889"/>
    <w:rsid w:val="00096796"/>
    <w:rsid w:val="00096AA2"/>
    <w:rsid w:val="000A0696"/>
    <w:rsid w:val="000A20A9"/>
    <w:rsid w:val="000A2885"/>
    <w:rsid w:val="000A2BBA"/>
    <w:rsid w:val="000A348D"/>
    <w:rsid w:val="000A48B1"/>
    <w:rsid w:val="000A4B75"/>
    <w:rsid w:val="000A673C"/>
    <w:rsid w:val="000A7C0B"/>
    <w:rsid w:val="000B0377"/>
    <w:rsid w:val="000B0448"/>
    <w:rsid w:val="000B084F"/>
    <w:rsid w:val="000B1353"/>
    <w:rsid w:val="000B21C3"/>
    <w:rsid w:val="000B23ED"/>
    <w:rsid w:val="000B3143"/>
    <w:rsid w:val="000B3388"/>
    <w:rsid w:val="000B3475"/>
    <w:rsid w:val="000B58BB"/>
    <w:rsid w:val="000B5C73"/>
    <w:rsid w:val="000B6C05"/>
    <w:rsid w:val="000C09F2"/>
    <w:rsid w:val="000C25BC"/>
    <w:rsid w:val="000C56A7"/>
    <w:rsid w:val="000C57DD"/>
    <w:rsid w:val="000C5C3B"/>
    <w:rsid w:val="000C6216"/>
    <w:rsid w:val="000C6B05"/>
    <w:rsid w:val="000C6DD6"/>
    <w:rsid w:val="000C73D4"/>
    <w:rsid w:val="000C7ACD"/>
    <w:rsid w:val="000D14BA"/>
    <w:rsid w:val="000D22C2"/>
    <w:rsid w:val="000D3705"/>
    <w:rsid w:val="000D3D4C"/>
    <w:rsid w:val="000D4F51"/>
    <w:rsid w:val="000D67F0"/>
    <w:rsid w:val="000D714E"/>
    <w:rsid w:val="000D718B"/>
    <w:rsid w:val="000D7DF0"/>
    <w:rsid w:val="000E0C46"/>
    <w:rsid w:val="000E1A3D"/>
    <w:rsid w:val="000E28FE"/>
    <w:rsid w:val="000E302F"/>
    <w:rsid w:val="000E4435"/>
    <w:rsid w:val="000E5B82"/>
    <w:rsid w:val="000E5E67"/>
    <w:rsid w:val="000F030C"/>
    <w:rsid w:val="000F129C"/>
    <w:rsid w:val="000F518D"/>
    <w:rsid w:val="000F69CA"/>
    <w:rsid w:val="0010502F"/>
    <w:rsid w:val="001056DE"/>
    <w:rsid w:val="00107627"/>
    <w:rsid w:val="00110998"/>
    <w:rsid w:val="00110E93"/>
    <w:rsid w:val="001124C0"/>
    <w:rsid w:val="001124F7"/>
    <w:rsid w:val="001126D9"/>
    <w:rsid w:val="00113271"/>
    <w:rsid w:val="001151A6"/>
    <w:rsid w:val="00115B93"/>
    <w:rsid w:val="00115C7C"/>
    <w:rsid w:val="00116387"/>
    <w:rsid w:val="00123F30"/>
    <w:rsid w:val="0012486D"/>
    <w:rsid w:val="00125952"/>
    <w:rsid w:val="00126371"/>
    <w:rsid w:val="00127201"/>
    <w:rsid w:val="0013175F"/>
    <w:rsid w:val="00131F62"/>
    <w:rsid w:val="0013246C"/>
    <w:rsid w:val="00134851"/>
    <w:rsid w:val="001352AB"/>
    <w:rsid w:val="00135AED"/>
    <w:rsid w:val="00136C68"/>
    <w:rsid w:val="00136CA4"/>
    <w:rsid w:val="00137A8B"/>
    <w:rsid w:val="00141E78"/>
    <w:rsid w:val="00142C62"/>
    <w:rsid w:val="0014340E"/>
    <w:rsid w:val="001438D6"/>
    <w:rsid w:val="001441A6"/>
    <w:rsid w:val="00146639"/>
    <w:rsid w:val="00146E39"/>
    <w:rsid w:val="001472BC"/>
    <w:rsid w:val="0014745D"/>
    <w:rsid w:val="001512B4"/>
    <w:rsid w:val="00152B9D"/>
    <w:rsid w:val="00154BC4"/>
    <w:rsid w:val="00154D5A"/>
    <w:rsid w:val="00155C36"/>
    <w:rsid w:val="001574EA"/>
    <w:rsid w:val="00157982"/>
    <w:rsid w:val="00157F10"/>
    <w:rsid w:val="00160675"/>
    <w:rsid w:val="00160EE4"/>
    <w:rsid w:val="001620A5"/>
    <w:rsid w:val="00164E53"/>
    <w:rsid w:val="00166735"/>
    <w:rsid w:val="0016699D"/>
    <w:rsid w:val="00167074"/>
    <w:rsid w:val="00167E8E"/>
    <w:rsid w:val="00170115"/>
    <w:rsid w:val="001712CF"/>
    <w:rsid w:val="00172507"/>
    <w:rsid w:val="00175159"/>
    <w:rsid w:val="00176208"/>
    <w:rsid w:val="00176887"/>
    <w:rsid w:val="00180060"/>
    <w:rsid w:val="00181579"/>
    <w:rsid w:val="0018211B"/>
    <w:rsid w:val="00183687"/>
    <w:rsid w:val="001840D3"/>
    <w:rsid w:val="00184422"/>
    <w:rsid w:val="001846F5"/>
    <w:rsid w:val="001900F8"/>
    <w:rsid w:val="00190372"/>
    <w:rsid w:val="001903C3"/>
    <w:rsid w:val="00191258"/>
    <w:rsid w:val="00192680"/>
    <w:rsid w:val="00193037"/>
    <w:rsid w:val="00193A2C"/>
    <w:rsid w:val="0019520E"/>
    <w:rsid w:val="00196957"/>
    <w:rsid w:val="001A08F9"/>
    <w:rsid w:val="001A13AD"/>
    <w:rsid w:val="001A1902"/>
    <w:rsid w:val="001A288E"/>
    <w:rsid w:val="001A48AF"/>
    <w:rsid w:val="001A4A33"/>
    <w:rsid w:val="001A5BD5"/>
    <w:rsid w:val="001A6126"/>
    <w:rsid w:val="001A6958"/>
    <w:rsid w:val="001B0E6F"/>
    <w:rsid w:val="001B2746"/>
    <w:rsid w:val="001B3126"/>
    <w:rsid w:val="001B336B"/>
    <w:rsid w:val="001B4569"/>
    <w:rsid w:val="001B46FF"/>
    <w:rsid w:val="001B48A9"/>
    <w:rsid w:val="001B543E"/>
    <w:rsid w:val="001B6CDF"/>
    <w:rsid w:val="001B6DC2"/>
    <w:rsid w:val="001B6F14"/>
    <w:rsid w:val="001C0328"/>
    <w:rsid w:val="001C04EB"/>
    <w:rsid w:val="001C12BE"/>
    <w:rsid w:val="001C149C"/>
    <w:rsid w:val="001C21AC"/>
    <w:rsid w:val="001C2B67"/>
    <w:rsid w:val="001C37B8"/>
    <w:rsid w:val="001C39F2"/>
    <w:rsid w:val="001C442E"/>
    <w:rsid w:val="001C47BA"/>
    <w:rsid w:val="001C5427"/>
    <w:rsid w:val="001C59EA"/>
    <w:rsid w:val="001C5B1A"/>
    <w:rsid w:val="001C6123"/>
    <w:rsid w:val="001C7F6A"/>
    <w:rsid w:val="001D02CF"/>
    <w:rsid w:val="001D0335"/>
    <w:rsid w:val="001D260E"/>
    <w:rsid w:val="001D3D93"/>
    <w:rsid w:val="001D406C"/>
    <w:rsid w:val="001D41EE"/>
    <w:rsid w:val="001D6CD4"/>
    <w:rsid w:val="001E0380"/>
    <w:rsid w:val="001E078D"/>
    <w:rsid w:val="001E11A0"/>
    <w:rsid w:val="001E13B1"/>
    <w:rsid w:val="001E33A4"/>
    <w:rsid w:val="001E415A"/>
    <w:rsid w:val="001F0DD7"/>
    <w:rsid w:val="001F18C4"/>
    <w:rsid w:val="001F19B5"/>
    <w:rsid w:val="001F2A87"/>
    <w:rsid w:val="001F3A02"/>
    <w:rsid w:val="001F3A19"/>
    <w:rsid w:val="001F46AE"/>
    <w:rsid w:val="001F6EC2"/>
    <w:rsid w:val="0020021B"/>
    <w:rsid w:val="00203BAE"/>
    <w:rsid w:val="00203F50"/>
    <w:rsid w:val="00204904"/>
    <w:rsid w:val="00205A5A"/>
    <w:rsid w:val="002101F6"/>
    <w:rsid w:val="0021041C"/>
    <w:rsid w:val="002105C9"/>
    <w:rsid w:val="00210656"/>
    <w:rsid w:val="00210AF8"/>
    <w:rsid w:val="00213165"/>
    <w:rsid w:val="0021706C"/>
    <w:rsid w:val="00217E05"/>
    <w:rsid w:val="00217F9C"/>
    <w:rsid w:val="00220327"/>
    <w:rsid w:val="0022107B"/>
    <w:rsid w:val="00221327"/>
    <w:rsid w:val="00221A55"/>
    <w:rsid w:val="00222254"/>
    <w:rsid w:val="002237D4"/>
    <w:rsid w:val="0022573D"/>
    <w:rsid w:val="00226276"/>
    <w:rsid w:val="0022732F"/>
    <w:rsid w:val="00227512"/>
    <w:rsid w:val="00227614"/>
    <w:rsid w:val="002278FE"/>
    <w:rsid w:val="00227B24"/>
    <w:rsid w:val="00231AB1"/>
    <w:rsid w:val="00234467"/>
    <w:rsid w:val="00234C29"/>
    <w:rsid w:val="00235286"/>
    <w:rsid w:val="0023781A"/>
    <w:rsid w:val="00237D8D"/>
    <w:rsid w:val="002402CF"/>
    <w:rsid w:val="00241A0C"/>
    <w:rsid w:val="00241DA2"/>
    <w:rsid w:val="00243201"/>
    <w:rsid w:val="00244A3E"/>
    <w:rsid w:val="00245CA9"/>
    <w:rsid w:val="00247FEE"/>
    <w:rsid w:val="00250547"/>
    <w:rsid w:val="00250E7D"/>
    <w:rsid w:val="0025379E"/>
    <w:rsid w:val="00255BD5"/>
    <w:rsid w:val="002565D5"/>
    <w:rsid w:val="00256D63"/>
    <w:rsid w:val="00256E41"/>
    <w:rsid w:val="00257FB3"/>
    <w:rsid w:val="00261326"/>
    <w:rsid w:val="002622C0"/>
    <w:rsid w:val="0026303A"/>
    <w:rsid w:val="002650FB"/>
    <w:rsid w:val="00270D9D"/>
    <w:rsid w:val="00270FCB"/>
    <w:rsid w:val="00271DE3"/>
    <w:rsid w:val="00274A7B"/>
    <w:rsid w:val="00274B54"/>
    <w:rsid w:val="00275CE3"/>
    <w:rsid w:val="00275F8B"/>
    <w:rsid w:val="002764E2"/>
    <w:rsid w:val="002778AE"/>
    <w:rsid w:val="00281170"/>
    <w:rsid w:val="0028269A"/>
    <w:rsid w:val="00283190"/>
    <w:rsid w:val="002831C0"/>
    <w:rsid w:val="00283590"/>
    <w:rsid w:val="00285610"/>
    <w:rsid w:val="00286973"/>
    <w:rsid w:val="002870DF"/>
    <w:rsid w:val="002907A2"/>
    <w:rsid w:val="00290A34"/>
    <w:rsid w:val="002914D3"/>
    <w:rsid w:val="00292568"/>
    <w:rsid w:val="00292CAB"/>
    <w:rsid w:val="00293ECF"/>
    <w:rsid w:val="00294E70"/>
    <w:rsid w:val="002957E1"/>
    <w:rsid w:val="002979C2"/>
    <w:rsid w:val="00297A47"/>
    <w:rsid w:val="002A1027"/>
    <w:rsid w:val="002A178B"/>
    <w:rsid w:val="002A1924"/>
    <w:rsid w:val="002A219D"/>
    <w:rsid w:val="002A2662"/>
    <w:rsid w:val="002A3277"/>
    <w:rsid w:val="002A352E"/>
    <w:rsid w:val="002A36B7"/>
    <w:rsid w:val="002A48A2"/>
    <w:rsid w:val="002A55E4"/>
    <w:rsid w:val="002A643B"/>
    <w:rsid w:val="002A6B56"/>
    <w:rsid w:val="002A7420"/>
    <w:rsid w:val="002B0F12"/>
    <w:rsid w:val="002B1308"/>
    <w:rsid w:val="002B4554"/>
    <w:rsid w:val="002B65AC"/>
    <w:rsid w:val="002B70C6"/>
    <w:rsid w:val="002C162E"/>
    <w:rsid w:val="002C17A7"/>
    <w:rsid w:val="002C1D66"/>
    <w:rsid w:val="002C283B"/>
    <w:rsid w:val="002C3367"/>
    <w:rsid w:val="002C4108"/>
    <w:rsid w:val="002C4AC7"/>
    <w:rsid w:val="002C72D8"/>
    <w:rsid w:val="002C7B20"/>
    <w:rsid w:val="002D0AB6"/>
    <w:rsid w:val="002D11FA"/>
    <w:rsid w:val="002D1336"/>
    <w:rsid w:val="002D1B0C"/>
    <w:rsid w:val="002D201F"/>
    <w:rsid w:val="002D373C"/>
    <w:rsid w:val="002D3B09"/>
    <w:rsid w:val="002D3FC2"/>
    <w:rsid w:val="002D57B1"/>
    <w:rsid w:val="002D5C0D"/>
    <w:rsid w:val="002E040A"/>
    <w:rsid w:val="002E0DDF"/>
    <w:rsid w:val="002E1C13"/>
    <w:rsid w:val="002E1F60"/>
    <w:rsid w:val="002E2906"/>
    <w:rsid w:val="002E3368"/>
    <w:rsid w:val="002E4035"/>
    <w:rsid w:val="002E430F"/>
    <w:rsid w:val="002E5635"/>
    <w:rsid w:val="002E5F23"/>
    <w:rsid w:val="002E64C3"/>
    <w:rsid w:val="002E6A2C"/>
    <w:rsid w:val="002F0680"/>
    <w:rsid w:val="002F110D"/>
    <w:rsid w:val="002F1294"/>
    <w:rsid w:val="002F1D8C"/>
    <w:rsid w:val="002F21DA"/>
    <w:rsid w:val="002F2948"/>
    <w:rsid w:val="002F64ED"/>
    <w:rsid w:val="00301063"/>
    <w:rsid w:val="00301125"/>
    <w:rsid w:val="00301F39"/>
    <w:rsid w:val="00302412"/>
    <w:rsid w:val="00302CB9"/>
    <w:rsid w:val="003033FB"/>
    <w:rsid w:val="00303975"/>
    <w:rsid w:val="003058CF"/>
    <w:rsid w:val="00305BC4"/>
    <w:rsid w:val="00305E9A"/>
    <w:rsid w:val="00306AC7"/>
    <w:rsid w:val="00306FF7"/>
    <w:rsid w:val="00307667"/>
    <w:rsid w:val="0030773B"/>
    <w:rsid w:val="003079FA"/>
    <w:rsid w:val="00310A06"/>
    <w:rsid w:val="00311625"/>
    <w:rsid w:val="003118CC"/>
    <w:rsid w:val="00312826"/>
    <w:rsid w:val="00313517"/>
    <w:rsid w:val="00314119"/>
    <w:rsid w:val="00316ED7"/>
    <w:rsid w:val="003178D4"/>
    <w:rsid w:val="00320116"/>
    <w:rsid w:val="003214D9"/>
    <w:rsid w:val="00321EEA"/>
    <w:rsid w:val="00322B4D"/>
    <w:rsid w:val="00325926"/>
    <w:rsid w:val="00325A66"/>
    <w:rsid w:val="0032743D"/>
    <w:rsid w:val="00327A8A"/>
    <w:rsid w:val="003300C1"/>
    <w:rsid w:val="003301DA"/>
    <w:rsid w:val="00330745"/>
    <w:rsid w:val="00333BC1"/>
    <w:rsid w:val="00334925"/>
    <w:rsid w:val="0033513D"/>
    <w:rsid w:val="00335491"/>
    <w:rsid w:val="003358DF"/>
    <w:rsid w:val="00336610"/>
    <w:rsid w:val="00343F73"/>
    <w:rsid w:val="00345060"/>
    <w:rsid w:val="003454C6"/>
    <w:rsid w:val="003468B3"/>
    <w:rsid w:val="0034740D"/>
    <w:rsid w:val="003515E4"/>
    <w:rsid w:val="00352C4E"/>
    <w:rsid w:val="0035323B"/>
    <w:rsid w:val="00353E9E"/>
    <w:rsid w:val="003549E5"/>
    <w:rsid w:val="00355187"/>
    <w:rsid w:val="0035539A"/>
    <w:rsid w:val="00355CB2"/>
    <w:rsid w:val="00356497"/>
    <w:rsid w:val="003577D1"/>
    <w:rsid w:val="00357CCE"/>
    <w:rsid w:val="00360692"/>
    <w:rsid w:val="003609D2"/>
    <w:rsid w:val="0036299D"/>
    <w:rsid w:val="0036335C"/>
    <w:rsid w:val="003635C5"/>
    <w:rsid w:val="00363F22"/>
    <w:rsid w:val="0037145A"/>
    <w:rsid w:val="003726CF"/>
    <w:rsid w:val="003729E2"/>
    <w:rsid w:val="00373D70"/>
    <w:rsid w:val="00375564"/>
    <w:rsid w:val="00375C86"/>
    <w:rsid w:val="0037600D"/>
    <w:rsid w:val="00376A42"/>
    <w:rsid w:val="00380D7A"/>
    <w:rsid w:val="00381CB2"/>
    <w:rsid w:val="00383191"/>
    <w:rsid w:val="0038348F"/>
    <w:rsid w:val="00384122"/>
    <w:rsid w:val="00384E3B"/>
    <w:rsid w:val="00385182"/>
    <w:rsid w:val="00386DED"/>
    <w:rsid w:val="003903A7"/>
    <w:rsid w:val="003912E7"/>
    <w:rsid w:val="0039194C"/>
    <w:rsid w:val="0039336C"/>
    <w:rsid w:val="003938B7"/>
    <w:rsid w:val="00393947"/>
    <w:rsid w:val="00394788"/>
    <w:rsid w:val="003951DD"/>
    <w:rsid w:val="003962C0"/>
    <w:rsid w:val="003A033E"/>
    <w:rsid w:val="003A105A"/>
    <w:rsid w:val="003A115E"/>
    <w:rsid w:val="003A1753"/>
    <w:rsid w:val="003A2275"/>
    <w:rsid w:val="003A2BA3"/>
    <w:rsid w:val="003A2C7B"/>
    <w:rsid w:val="003A5765"/>
    <w:rsid w:val="003A68E9"/>
    <w:rsid w:val="003A6A4F"/>
    <w:rsid w:val="003A7088"/>
    <w:rsid w:val="003A7793"/>
    <w:rsid w:val="003A7FE2"/>
    <w:rsid w:val="003B0069"/>
    <w:rsid w:val="003B00DF"/>
    <w:rsid w:val="003B1275"/>
    <w:rsid w:val="003B1778"/>
    <w:rsid w:val="003B1866"/>
    <w:rsid w:val="003B37EE"/>
    <w:rsid w:val="003B616C"/>
    <w:rsid w:val="003B63AF"/>
    <w:rsid w:val="003C0ADE"/>
    <w:rsid w:val="003C11CB"/>
    <w:rsid w:val="003C1A85"/>
    <w:rsid w:val="003C27E5"/>
    <w:rsid w:val="003C2FC2"/>
    <w:rsid w:val="003C326E"/>
    <w:rsid w:val="003C36DB"/>
    <w:rsid w:val="003C4C6C"/>
    <w:rsid w:val="003C5341"/>
    <w:rsid w:val="003C75F3"/>
    <w:rsid w:val="003C78A3"/>
    <w:rsid w:val="003C7C8D"/>
    <w:rsid w:val="003C7CEC"/>
    <w:rsid w:val="003C7EE1"/>
    <w:rsid w:val="003D083E"/>
    <w:rsid w:val="003D28F2"/>
    <w:rsid w:val="003D6284"/>
    <w:rsid w:val="003D6A16"/>
    <w:rsid w:val="003D6A26"/>
    <w:rsid w:val="003D6B37"/>
    <w:rsid w:val="003E0402"/>
    <w:rsid w:val="003E14CA"/>
    <w:rsid w:val="003E1646"/>
    <w:rsid w:val="003E1867"/>
    <w:rsid w:val="003E27CA"/>
    <w:rsid w:val="003E53CD"/>
    <w:rsid w:val="003E5729"/>
    <w:rsid w:val="003E5FC7"/>
    <w:rsid w:val="003E6B51"/>
    <w:rsid w:val="003F09BF"/>
    <w:rsid w:val="003F1C42"/>
    <w:rsid w:val="003F2580"/>
    <w:rsid w:val="003F44A4"/>
    <w:rsid w:val="003F4EE0"/>
    <w:rsid w:val="003F54D3"/>
    <w:rsid w:val="003F5736"/>
    <w:rsid w:val="003F5D7B"/>
    <w:rsid w:val="00402153"/>
    <w:rsid w:val="00402FC1"/>
    <w:rsid w:val="004041BE"/>
    <w:rsid w:val="00404EC4"/>
    <w:rsid w:val="00405C6E"/>
    <w:rsid w:val="004060FF"/>
    <w:rsid w:val="0040734B"/>
    <w:rsid w:val="0041047F"/>
    <w:rsid w:val="0041265D"/>
    <w:rsid w:val="00412C91"/>
    <w:rsid w:val="0041371C"/>
    <w:rsid w:val="00414664"/>
    <w:rsid w:val="00421FD2"/>
    <w:rsid w:val="004242CC"/>
    <w:rsid w:val="004243BC"/>
    <w:rsid w:val="00425082"/>
    <w:rsid w:val="004251A8"/>
    <w:rsid w:val="00425A5F"/>
    <w:rsid w:val="0043137E"/>
    <w:rsid w:val="00431DEB"/>
    <w:rsid w:val="00432327"/>
    <w:rsid w:val="00432C4E"/>
    <w:rsid w:val="00433719"/>
    <w:rsid w:val="00436696"/>
    <w:rsid w:val="0044078B"/>
    <w:rsid w:val="0044283C"/>
    <w:rsid w:val="004443FE"/>
    <w:rsid w:val="00446B29"/>
    <w:rsid w:val="00450E02"/>
    <w:rsid w:val="00451A41"/>
    <w:rsid w:val="00453AC4"/>
    <w:rsid w:val="00453F9A"/>
    <w:rsid w:val="00455E42"/>
    <w:rsid w:val="00455EFC"/>
    <w:rsid w:val="00456A5F"/>
    <w:rsid w:val="0046244A"/>
    <w:rsid w:val="004628A5"/>
    <w:rsid w:val="0046330F"/>
    <w:rsid w:val="00464966"/>
    <w:rsid w:val="00464C5B"/>
    <w:rsid w:val="00466CB0"/>
    <w:rsid w:val="00470583"/>
    <w:rsid w:val="00470626"/>
    <w:rsid w:val="004718C0"/>
    <w:rsid w:val="00471E91"/>
    <w:rsid w:val="004727CA"/>
    <w:rsid w:val="00473BA0"/>
    <w:rsid w:val="0047401D"/>
    <w:rsid w:val="00474675"/>
    <w:rsid w:val="0047470C"/>
    <w:rsid w:val="00474E8B"/>
    <w:rsid w:val="00480F1F"/>
    <w:rsid w:val="00482800"/>
    <w:rsid w:val="00484ABF"/>
    <w:rsid w:val="004867C0"/>
    <w:rsid w:val="004868F1"/>
    <w:rsid w:val="0049025B"/>
    <w:rsid w:val="004948CE"/>
    <w:rsid w:val="00494CF1"/>
    <w:rsid w:val="00494F30"/>
    <w:rsid w:val="00496B26"/>
    <w:rsid w:val="004A1767"/>
    <w:rsid w:val="004A1D91"/>
    <w:rsid w:val="004A1ED2"/>
    <w:rsid w:val="004A2CF7"/>
    <w:rsid w:val="004A3273"/>
    <w:rsid w:val="004A35F9"/>
    <w:rsid w:val="004A368D"/>
    <w:rsid w:val="004A3792"/>
    <w:rsid w:val="004A3A0E"/>
    <w:rsid w:val="004A3B24"/>
    <w:rsid w:val="004A4F4E"/>
    <w:rsid w:val="004A5A7F"/>
    <w:rsid w:val="004A5C11"/>
    <w:rsid w:val="004A6326"/>
    <w:rsid w:val="004A6E7C"/>
    <w:rsid w:val="004A75AA"/>
    <w:rsid w:val="004A7A7D"/>
    <w:rsid w:val="004B01A8"/>
    <w:rsid w:val="004B0420"/>
    <w:rsid w:val="004B0979"/>
    <w:rsid w:val="004B24C1"/>
    <w:rsid w:val="004B2E8B"/>
    <w:rsid w:val="004B66C5"/>
    <w:rsid w:val="004B76C4"/>
    <w:rsid w:val="004C18F8"/>
    <w:rsid w:val="004C292F"/>
    <w:rsid w:val="004C3098"/>
    <w:rsid w:val="004C5060"/>
    <w:rsid w:val="004C65ED"/>
    <w:rsid w:val="004C6BA3"/>
    <w:rsid w:val="004C71C6"/>
    <w:rsid w:val="004C7D64"/>
    <w:rsid w:val="004D005C"/>
    <w:rsid w:val="004D1FFB"/>
    <w:rsid w:val="004D272F"/>
    <w:rsid w:val="004D311C"/>
    <w:rsid w:val="004D4F88"/>
    <w:rsid w:val="004D5D3D"/>
    <w:rsid w:val="004D6C0F"/>
    <w:rsid w:val="004E2927"/>
    <w:rsid w:val="004E51BC"/>
    <w:rsid w:val="004E55D4"/>
    <w:rsid w:val="004E7559"/>
    <w:rsid w:val="004E77F3"/>
    <w:rsid w:val="004F0E8B"/>
    <w:rsid w:val="004F1C03"/>
    <w:rsid w:val="004F222B"/>
    <w:rsid w:val="004F26C3"/>
    <w:rsid w:val="004F2E0F"/>
    <w:rsid w:val="004F2FF0"/>
    <w:rsid w:val="004F39FA"/>
    <w:rsid w:val="004F3E70"/>
    <w:rsid w:val="004F73BF"/>
    <w:rsid w:val="00500BEF"/>
    <w:rsid w:val="00501427"/>
    <w:rsid w:val="005021DD"/>
    <w:rsid w:val="00503DE0"/>
    <w:rsid w:val="00505768"/>
    <w:rsid w:val="00510280"/>
    <w:rsid w:val="0051171C"/>
    <w:rsid w:val="00513732"/>
    <w:rsid w:val="00513D73"/>
    <w:rsid w:val="00514A43"/>
    <w:rsid w:val="00515B21"/>
    <w:rsid w:val="00517262"/>
    <w:rsid w:val="005174E5"/>
    <w:rsid w:val="0051765D"/>
    <w:rsid w:val="005205BD"/>
    <w:rsid w:val="00522393"/>
    <w:rsid w:val="00522620"/>
    <w:rsid w:val="00522E16"/>
    <w:rsid w:val="00523630"/>
    <w:rsid w:val="00523BCF"/>
    <w:rsid w:val="00523CB5"/>
    <w:rsid w:val="00524B67"/>
    <w:rsid w:val="00525656"/>
    <w:rsid w:val="00526C72"/>
    <w:rsid w:val="00527000"/>
    <w:rsid w:val="005302E0"/>
    <w:rsid w:val="00530356"/>
    <w:rsid w:val="00530686"/>
    <w:rsid w:val="00532842"/>
    <w:rsid w:val="00532CD5"/>
    <w:rsid w:val="00534C02"/>
    <w:rsid w:val="00536DED"/>
    <w:rsid w:val="00536E2C"/>
    <w:rsid w:val="0054067B"/>
    <w:rsid w:val="005415C9"/>
    <w:rsid w:val="0054264B"/>
    <w:rsid w:val="00543786"/>
    <w:rsid w:val="00543E9B"/>
    <w:rsid w:val="00543F9B"/>
    <w:rsid w:val="00543FEA"/>
    <w:rsid w:val="005446B6"/>
    <w:rsid w:val="005450E3"/>
    <w:rsid w:val="005454DD"/>
    <w:rsid w:val="00546681"/>
    <w:rsid w:val="00546A92"/>
    <w:rsid w:val="00547DBC"/>
    <w:rsid w:val="00547DC1"/>
    <w:rsid w:val="00550D66"/>
    <w:rsid w:val="00553234"/>
    <w:rsid w:val="005533D7"/>
    <w:rsid w:val="00557BE9"/>
    <w:rsid w:val="005613C0"/>
    <w:rsid w:val="00561FBE"/>
    <w:rsid w:val="0056272D"/>
    <w:rsid w:val="00563432"/>
    <w:rsid w:val="005645C4"/>
    <w:rsid w:val="00565A98"/>
    <w:rsid w:val="00565FDA"/>
    <w:rsid w:val="00566057"/>
    <w:rsid w:val="0056619E"/>
    <w:rsid w:val="00566C63"/>
    <w:rsid w:val="00567C3F"/>
    <w:rsid w:val="005703DE"/>
    <w:rsid w:val="00571C88"/>
    <w:rsid w:val="00573AE3"/>
    <w:rsid w:val="00573D34"/>
    <w:rsid w:val="005742F2"/>
    <w:rsid w:val="0057486A"/>
    <w:rsid w:val="00575D81"/>
    <w:rsid w:val="00576412"/>
    <w:rsid w:val="00576EEC"/>
    <w:rsid w:val="00577AED"/>
    <w:rsid w:val="005806B3"/>
    <w:rsid w:val="00581336"/>
    <w:rsid w:val="0058320D"/>
    <w:rsid w:val="0058464E"/>
    <w:rsid w:val="00584B38"/>
    <w:rsid w:val="005853D4"/>
    <w:rsid w:val="00590525"/>
    <w:rsid w:val="00591369"/>
    <w:rsid w:val="00592B98"/>
    <w:rsid w:val="005943D4"/>
    <w:rsid w:val="00594C61"/>
    <w:rsid w:val="00594CA1"/>
    <w:rsid w:val="00596B84"/>
    <w:rsid w:val="00597731"/>
    <w:rsid w:val="005A01CB"/>
    <w:rsid w:val="005A0BBF"/>
    <w:rsid w:val="005A21FA"/>
    <w:rsid w:val="005A2C7F"/>
    <w:rsid w:val="005A30E0"/>
    <w:rsid w:val="005A33E2"/>
    <w:rsid w:val="005A5239"/>
    <w:rsid w:val="005A58FF"/>
    <w:rsid w:val="005A5EAF"/>
    <w:rsid w:val="005A64C0"/>
    <w:rsid w:val="005B0C2D"/>
    <w:rsid w:val="005B3C11"/>
    <w:rsid w:val="005B518D"/>
    <w:rsid w:val="005B5C0A"/>
    <w:rsid w:val="005B5ECC"/>
    <w:rsid w:val="005B77A7"/>
    <w:rsid w:val="005C0954"/>
    <w:rsid w:val="005C10F4"/>
    <w:rsid w:val="005C1C28"/>
    <w:rsid w:val="005C2AB6"/>
    <w:rsid w:val="005C3973"/>
    <w:rsid w:val="005C3CBF"/>
    <w:rsid w:val="005C3EDD"/>
    <w:rsid w:val="005C6DB5"/>
    <w:rsid w:val="005D017E"/>
    <w:rsid w:val="005D248B"/>
    <w:rsid w:val="005D26DE"/>
    <w:rsid w:val="005D4C67"/>
    <w:rsid w:val="005D63D1"/>
    <w:rsid w:val="005D7384"/>
    <w:rsid w:val="005E0B23"/>
    <w:rsid w:val="005E19E7"/>
    <w:rsid w:val="005E1BB2"/>
    <w:rsid w:val="005E40EB"/>
    <w:rsid w:val="005F003F"/>
    <w:rsid w:val="005F1AE2"/>
    <w:rsid w:val="005F20E0"/>
    <w:rsid w:val="00600630"/>
    <w:rsid w:val="006019CD"/>
    <w:rsid w:val="00602C6B"/>
    <w:rsid w:val="00602F57"/>
    <w:rsid w:val="00603665"/>
    <w:rsid w:val="00603A76"/>
    <w:rsid w:val="00604385"/>
    <w:rsid w:val="00606996"/>
    <w:rsid w:val="00610681"/>
    <w:rsid w:val="00610A2C"/>
    <w:rsid w:val="00611481"/>
    <w:rsid w:val="00611DBB"/>
    <w:rsid w:val="006125E9"/>
    <w:rsid w:val="00612929"/>
    <w:rsid w:val="006137EE"/>
    <w:rsid w:val="00613853"/>
    <w:rsid w:val="00613890"/>
    <w:rsid w:val="0061544B"/>
    <w:rsid w:val="0061559A"/>
    <w:rsid w:val="00616ACA"/>
    <w:rsid w:val="0061716C"/>
    <w:rsid w:val="006172A3"/>
    <w:rsid w:val="006173D8"/>
    <w:rsid w:val="00617FBA"/>
    <w:rsid w:val="006208EA"/>
    <w:rsid w:val="006210D3"/>
    <w:rsid w:val="006218A3"/>
    <w:rsid w:val="00621A89"/>
    <w:rsid w:val="00623285"/>
    <w:rsid w:val="006232AA"/>
    <w:rsid w:val="006243A1"/>
    <w:rsid w:val="00624DCA"/>
    <w:rsid w:val="0062536C"/>
    <w:rsid w:val="00625E68"/>
    <w:rsid w:val="006310D8"/>
    <w:rsid w:val="00631C5D"/>
    <w:rsid w:val="00632D10"/>
    <w:rsid w:val="00632E56"/>
    <w:rsid w:val="00635CBA"/>
    <w:rsid w:val="00637379"/>
    <w:rsid w:val="00637DD2"/>
    <w:rsid w:val="00641790"/>
    <w:rsid w:val="00642734"/>
    <w:rsid w:val="00642DD4"/>
    <w:rsid w:val="00642EDE"/>
    <w:rsid w:val="0064338B"/>
    <w:rsid w:val="006445D2"/>
    <w:rsid w:val="006445EC"/>
    <w:rsid w:val="0064467B"/>
    <w:rsid w:val="00645501"/>
    <w:rsid w:val="00645625"/>
    <w:rsid w:val="00646542"/>
    <w:rsid w:val="00647023"/>
    <w:rsid w:val="00647626"/>
    <w:rsid w:val="00647C08"/>
    <w:rsid w:val="006504F4"/>
    <w:rsid w:val="00652E33"/>
    <w:rsid w:val="00654308"/>
    <w:rsid w:val="00654BC9"/>
    <w:rsid w:val="006552FD"/>
    <w:rsid w:val="006564DB"/>
    <w:rsid w:val="0065654D"/>
    <w:rsid w:val="0065691B"/>
    <w:rsid w:val="0065731A"/>
    <w:rsid w:val="00657B29"/>
    <w:rsid w:val="00661A11"/>
    <w:rsid w:val="006623F2"/>
    <w:rsid w:val="006628B4"/>
    <w:rsid w:val="00662CE6"/>
    <w:rsid w:val="006631AB"/>
    <w:rsid w:val="00663AF3"/>
    <w:rsid w:val="00663BFB"/>
    <w:rsid w:val="00664080"/>
    <w:rsid w:val="00664A4F"/>
    <w:rsid w:val="00666B6C"/>
    <w:rsid w:val="00670EEB"/>
    <w:rsid w:val="0067293A"/>
    <w:rsid w:val="00675BFF"/>
    <w:rsid w:val="006801DD"/>
    <w:rsid w:val="00680EFE"/>
    <w:rsid w:val="00681EEE"/>
    <w:rsid w:val="006823CE"/>
    <w:rsid w:val="00682682"/>
    <w:rsid w:val="00682702"/>
    <w:rsid w:val="006836A6"/>
    <w:rsid w:val="006858CC"/>
    <w:rsid w:val="00686606"/>
    <w:rsid w:val="00687213"/>
    <w:rsid w:val="006877FF"/>
    <w:rsid w:val="00691108"/>
    <w:rsid w:val="006913EA"/>
    <w:rsid w:val="0069153B"/>
    <w:rsid w:val="00691923"/>
    <w:rsid w:val="00692368"/>
    <w:rsid w:val="00692ADF"/>
    <w:rsid w:val="006931D4"/>
    <w:rsid w:val="006946F4"/>
    <w:rsid w:val="0069722D"/>
    <w:rsid w:val="006976A8"/>
    <w:rsid w:val="006A000C"/>
    <w:rsid w:val="006A2EBC"/>
    <w:rsid w:val="006A5EA0"/>
    <w:rsid w:val="006A5ECC"/>
    <w:rsid w:val="006A6DC1"/>
    <w:rsid w:val="006A74FB"/>
    <w:rsid w:val="006A764E"/>
    <w:rsid w:val="006A783B"/>
    <w:rsid w:val="006A7871"/>
    <w:rsid w:val="006A7B33"/>
    <w:rsid w:val="006A7C86"/>
    <w:rsid w:val="006B0043"/>
    <w:rsid w:val="006B0245"/>
    <w:rsid w:val="006B0F2E"/>
    <w:rsid w:val="006B4E13"/>
    <w:rsid w:val="006B523E"/>
    <w:rsid w:val="006B59E4"/>
    <w:rsid w:val="006B6FD4"/>
    <w:rsid w:val="006B7030"/>
    <w:rsid w:val="006B75DD"/>
    <w:rsid w:val="006C20F6"/>
    <w:rsid w:val="006C2A76"/>
    <w:rsid w:val="006C2C69"/>
    <w:rsid w:val="006C58F2"/>
    <w:rsid w:val="006C67E0"/>
    <w:rsid w:val="006C775E"/>
    <w:rsid w:val="006C7ABA"/>
    <w:rsid w:val="006C7DC5"/>
    <w:rsid w:val="006D09C0"/>
    <w:rsid w:val="006D0D60"/>
    <w:rsid w:val="006D1122"/>
    <w:rsid w:val="006D3097"/>
    <w:rsid w:val="006D3C00"/>
    <w:rsid w:val="006D4354"/>
    <w:rsid w:val="006D4BC1"/>
    <w:rsid w:val="006D5282"/>
    <w:rsid w:val="006D5543"/>
    <w:rsid w:val="006D6D43"/>
    <w:rsid w:val="006E18F1"/>
    <w:rsid w:val="006E3675"/>
    <w:rsid w:val="006E36C3"/>
    <w:rsid w:val="006E38EB"/>
    <w:rsid w:val="006E46D3"/>
    <w:rsid w:val="006E4A7F"/>
    <w:rsid w:val="006E5846"/>
    <w:rsid w:val="006E7392"/>
    <w:rsid w:val="006F074E"/>
    <w:rsid w:val="006F0DA1"/>
    <w:rsid w:val="006F4530"/>
    <w:rsid w:val="006F4C2C"/>
    <w:rsid w:val="006F4E4E"/>
    <w:rsid w:val="006F5C4D"/>
    <w:rsid w:val="006F6D78"/>
    <w:rsid w:val="007002E5"/>
    <w:rsid w:val="0070079A"/>
    <w:rsid w:val="00704DF6"/>
    <w:rsid w:val="00705072"/>
    <w:rsid w:val="00705723"/>
    <w:rsid w:val="00706109"/>
    <w:rsid w:val="0070651C"/>
    <w:rsid w:val="0070732C"/>
    <w:rsid w:val="00710F58"/>
    <w:rsid w:val="007132A3"/>
    <w:rsid w:val="00716421"/>
    <w:rsid w:val="00717717"/>
    <w:rsid w:val="0072056D"/>
    <w:rsid w:val="00720AAF"/>
    <w:rsid w:val="007212E6"/>
    <w:rsid w:val="00721C9D"/>
    <w:rsid w:val="00721FC6"/>
    <w:rsid w:val="00723A11"/>
    <w:rsid w:val="00723C58"/>
    <w:rsid w:val="00723FEE"/>
    <w:rsid w:val="00724EFB"/>
    <w:rsid w:val="0072561F"/>
    <w:rsid w:val="00731FAD"/>
    <w:rsid w:val="00732B7B"/>
    <w:rsid w:val="007353DB"/>
    <w:rsid w:val="0073737A"/>
    <w:rsid w:val="0073772B"/>
    <w:rsid w:val="00737F53"/>
    <w:rsid w:val="007414DF"/>
    <w:rsid w:val="007419C3"/>
    <w:rsid w:val="007423B1"/>
    <w:rsid w:val="007430B7"/>
    <w:rsid w:val="007467A7"/>
    <w:rsid w:val="007469DD"/>
    <w:rsid w:val="0074741B"/>
    <w:rsid w:val="0074759E"/>
    <w:rsid w:val="007478EA"/>
    <w:rsid w:val="00750B45"/>
    <w:rsid w:val="00752D9F"/>
    <w:rsid w:val="0075415C"/>
    <w:rsid w:val="00755834"/>
    <w:rsid w:val="00757CDF"/>
    <w:rsid w:val="00761F9C"/>
    <w:rsid w:val="007629B9"/>
    <w:rsid w:val="00762BE3"/>
    <w:rsid w:val="007630BF"/>
    <w:rsid w:val="00763502"/>
    <w:rsid w:val="00764C6E"/>
    <w:rsid w:val="0076630A"/>
    <w:rsid w:val="007722B2"/>
    <w:rsid w:val="00774FF5"/>
    <w:rsid w:val="0077509E"/>
    <w:rsid w:val="00776BA0"/>
    <w:rsid w:val="00776C3D"/>
    <w:rsid w:val="00777017"/>
    <w:rsid w:val="0077780D"/>
    <w:rsid w:val="0078046C"/>
    <w:rsid w:val="007811E8"/>
    <w:rsid w:val="00782F20"/>
    <w:rsid w:val="00783E86"/>
    <w:rsid w:val="0078472D"/>
    <w:rsid w:val="007855C9"/>
    <w:rsid w:val="0078586B"/>
    <w:rsid w:val="00786A1E"/>
    <w:rsid w:val="00786EE7"/>
    <w:rsid w:val="007913AB"/>
    <w:rsid w:val="007914F7"/>
    <w:rsid w:val="00791896"/>
    <w:rsid w:val="007946BC"/>
    <w:rsid w:val="0079499A"/>
    <w:rsid w:val="00795C9D"/>
    <w:rsid w:val="00796274"/>
    <w:rsid w:val="0079797C"/>
    <w:rsid w:val="007A08BD"/>
    <w:rsid w:val="007A0E50"/>
    <w:rsid w:val="007A288E"/>
    <w:rsid w:val="007A334F"/>
    <w:rsid w:val="007A33CC"/>
    <w:rsid w:val="007A4D24"/>
    <w:rsid w:val="007A5C23"/>
    <w:rsid w:val="007A639F"/>
    <w:rsid w:val="007A66EC"/>
    <w:rsid w:val="007A73D5"/>
    <w:rsid w:val="007B01F3"/>
    <w:rsid w:val="007B150C"/>
    <w:rsid w:val="007B1625"/>
    <w:rsid w:val="007B18BA"/>
    <w:rsid w:val="007B47A8"/>
    <w:rsid w:val="007B543F"/>
    <w:rsid w:val="007B5A1F"/>
    <w:rsid w:val="007B5B60"/>
    <w:rsid w:val="007B605C"/>
    <w:rsid w:val="007B60B0"/>
    <w:rsid w:val="007B706E"/>
    <w:rsid w:val="007B71EB"/>
    <w:rsid w:val="007C095B"/>
    <w:rsid w:val="007C3F97"/>
    <w:rsid w:val="007C4B4A"/>
    <w:rsid w:val="007C605B"/>
    <w:rsid w:val="007C6205"/>
    <w:rsid w:val="007C686A"/>
    <w:rsid w:val="007C6D28"/>
    <w:rsid w:val="007C728E"/>
    <w:rsid w:val="007D1EC4"/>
    <w:rsid w:val="007D2C53"/>
    <w:rsid w:val="007D30A3"/>
    <w:rsid w:val="007D3D60"/>
    <w:rsid w:val="007D449A"/>
    <w:rsid w:val="007D57F2"/>
    <w:rsid w:val="007D60EE"/>
    <w:rsid w:val="007D640E"/>
    <w:rsid w:val="007D6FEF"/>
    <w:rsid w:val="007D77FE"/>
    <w:rsid w:val="007E03F6"/>
    <w:rsid w:val="007E166B"/>
    <w:rsid w:val="007E1703"/>
    <w:rsid w:val="007E1980"/>
    <w:rsid w:val="007E4B76"/>
    <w:rsid w:val="007E4EF9"/>
    <w:rsid w:val="007E5EA8"/>
    <w:rsid w:val="007E60BD"/>
    <w:rsid w:val="007E6C88"/>
    <w:rsid w:val="007F00CC"/>
    <w:rsid w:val="007F0CF1"/>
    <w:rsid w:val="007F12A5"/>
    <w:rsid w:val="007F1B73"/>
    <w:rsid w:val="007F415F"/>
    <w:rsid w:val="007F4CF1"/>
    <w:rsid w:val="007F732D"/>
    <w:rsid w:val="007F758D"/>
    <w:rsid w:val="007F789A"/>
    <w:rsid w:val="007F7A35"/>
    <w:rsid w:val="007F7A86"/>
    <w:rsid w:val="007F7CF7"/>
    <w:rsid w:val="007F7D52"/>
    <w:rsid w:val="008003EA"/>
    <w:rsid w:val="0080192D"/>
    <w:rsid w:val="008020C7"/>
    <w:rsid w:val="00802584"/>
    <w:rsid w:val="008033C2"/>
    <w:rsid w:val="00804D0C"/>
    <w:rsid w:val="0080654C"/>
    <w:rsid w:val="008071C6"/>
    <w:rsid w:val="0081041F"/>
    <w:rsid w:val="00812034"/>
    <w:rsid w:val="00812EC5"/>
    <w:rsid w:val="008133EB"/>
    <w:rsid w:val="00813AF6"/>
    <w:rsid w:val="00814819"/>
    <w:rsid w:val="008155A3"/>
    <w:rsid w:val="008164AF"/>
    <w:rsid w:val="008169F5"/>
    <w:rsid w:val="00817A00"/>
    <w:rsid w:val="008203BD"/>
    <w:rsid w:val="008247DC"/>
    <w:rsid w:val="008253FA"/>
    <w:rsid w:val="00825EE9"/>
    <w:rsid w:val="008265D0"/>
    <w:rsid w:val="00827603"/>
    <w:rsid w:val="00830034"/>
    <w:rsid w:val="00833549"/>
    <w:rsid w:val="008335DF"/>
    <w:rsid w:val="008341E8"/>
    <w:rsid w:val="00834776"/>
    <w:rsid w:val="00835DB3"/>
    <w:rsid w:val="0083617B"/>
    <w:rsid w:val="008371BD"/>
    <w:rsid w:val="00837346"/>
    <w:rsid w:val="008378AE"/>
    <w:rsid w:val="008409C5"/>
    <w:rsid w:val="00841BA0"/>
    <w:rsid w:val="00843782"/>
    <w:rsid w:val="0084425B"/>
    <w:rsid w:val="008468B9"/>
    <w:rsid w:val="00846E5C"/>
    <w:rsid w:val="00847233"/>
    <w:rsid w:val="0085015F"/>
    <w:rsid w:val="008504A8"/>
    <w:rsid w:val="00850DE3"/>
    <w:rsid w:val="00850F03"/>
    <w:rsid w:val="00850F48"/>
    <w:rsid w:val="00850F4D"/>
    <w:rsid w:val="0085282E"/>
    <w:rsid w:val="008537B0"/>
    <w:rsid w:val="008606D7"/>
    <w:rsid w:val="00861B9A"/>
    <w:rsid w:val="0086391B"/>
    <w:rsid w:val="00863DEF"/>
    <w:rsid w:val="00864088"/>
    <w:rsid w:val="00864AF4"/>
    <w:rsid w:val="008714E3"/>
    <w:rsid w:val="0087198C"/>
    <w:rsid w:val="0087202A"/>
    <w:rsid w:val="00872C1F"/>
    <w:rsid w:val="00873B42"/>
    <w:rsid w:val="008758B2"/>
    <w:rsid w:val="00877760"/>
    <w:rsid w:val="00881134"/>
    <w:rsid w:val="0088197F"/>
    <w:rsid w:val="00882A6B"/>
    <w:rsid w:val="00883030"/>
    <w:rsid w:val="00883C4E"/>
    <w:rsid w:val="0088555C"/>
    <w:rsid w:val="008856D8"/>
    <w:rsid w:val="0088682F"/>
    <w:rsid w:val="00887224"/>
    <w:rsid w:val="008911B7"/>
    <w:rsid w:val="00892E82"/>
    <w:rsid w:val="008957D5"/>
    <w:rsid w:val="00896ABD"/>
    <w:rsid w:val="00896BF4"/>
    <w:rsid w:val="00897E54"/>
    <w:rsid w:val="008A021A"/>
    <w:rsid w:val="008A0C9F"/>
    <w:rsid w:val="008A27DE"/>
    <w:rsid w:val="008A2DD2"/>
    <w:rsid w:val="008A2EF8"/>
    <w:rsid w:val="008A3FC4"/>
    <w:rsid w:val="008A48C6"/>
    <w:rsid w:val="008A4DBC"/>
    <w:rsid w:val="008A5DA0"/>
    <w:rsid w:val="008A684C"/>
    <w:rsid w:val="008A6BF3"/>
    <w:rsid w:val="008A7939"/>
    <w:rsid w:val="008B0730"/>
    <w:rsid w:val="008B247B"/>
    <w:rsid w:val="008B26B1"/>
    <w:rsid w:val="008B2ECD"/>
    <w:rsid w:val="008B604A"/>
    <w:rsid w:val="008B7F5F"/>
    <w:rsid w:val="008C0CC7"/>
    <w:rsid w:val="008C1B58"/>
    <w:rsid w:val="008C22D7"/>
    <w:rsid w:val="008C384D"/>
    <w:rsid w:val="008C39AE"/>
    <w:rsid w:val="008C590D"/>
    <w:rsid w:val="008C64D1"/>
    <w:rsid w:val="008C6C51"/>
    <w:rsid w:val="008D04AF"/>
    <w:rsid w:val="008D1734"/>
    <w:rsid w:val="008D337E"/>
    <w:rsid w:val="008D374D"/>
    <w:rsid w:val="008D4126"/>
    <w:rsid w:val="008D5908"/>
    <w:rsid w:val="008D61EB"/>
    <w:rsid w:val="008D7313"/>
    <w:rsid w:val="008D7658"/>
    <w:rsid w:val="008E031B"/>
    <w:rsid w:val="008E045F"/>
    <w:rsid w:val="008E0463"/>
    <w:rsid w:val="008E0464"/>
    <w:rsid w:val="008E068B"/>
    <w:rsid w:val="008E0C17"/>
    <w:rsid w:val="008E15B4"/>
    <w:rsid w:val="008E352D"/>
    <w:rsid w:val="008E4C5E"/>
    <w:rsid w:val="008E7029"/>
    <w:rsid w:val="008E7818"/>
    <w:rsid w:val="008E7EF6"/>
    <w:rsid w:val="008F04D4"/>
    <w:rsid w:val="008F0A59"/>
    <w:rsid w:val="008F1A54"/>
    <w:rsid w:val="008F1F98"/>
    <w:rsid w:val="008F22FD"/>
    <w:rsid w:val="008F2B44"/>
    <w:rsid w:val="008F2CA8"/>
    <w:rsid w:val="008F3CFE"/>
    <w:rsid w:val="008F5172"/>
    <w:rsid w:val="008F6758"/>
    <w:rsid w:val="008F6869"/>
    <w:rsid w:val="008F70BE"/>
    <w:rsid w:val="008F7B42"/>
    <w:rsid w:val="008F7FCA"/>
    <w:rsid w:val="00900CF0"/>
    <w:rsid w:val="00901A1E"/>
    <w:rsid w:val="009030A7"/>
    <w:rsid w:val="009030AD"/>
    <w:rsid w:val="009040DD"/>
    <w:rsid w:val="00904859"/>
    <w:rsid w:val="0090514A"/>
    <w:rsid w:val="00905B47"/>
    <w:rsid w:val="00907C71"/>
    <w:rsid w:val="0091103F"/>
    <w:rsid w:val="009117B9"/>
    <w:rsid w:val="00912D55"/>
    <w:rsid w:val="0091331C"/>
    <w:rsid w:val="0091365C"/>
    <w:rsid w:val="00915A93"/>
    <w:rsid w:val="009165D2"/>
    <w:rsid w:val="00916ACD"/>
    <w:rsid w:val="0091746E"/>
    <w:rsid w:val="00917D30"/>
    <w:rsid w:val="009229C8"/>
    <w:rsid w:val="009274E4"/>
    <w:rsid w:val="009279DE"/>
    <w:rsid w:val="00930116"/>
    <w:rsid w:val="00930C4D"/>
    <w:rsid w:val="00930DD1"/>
    <w:rsid w:val="00931FCC"/>
    <w:rsid w:val="00932822"/>
    <w:rsid w:val="009328AC"/>
    <w:rsid w:val="00932B58"/>
    <w:rsid w:val="0093332F"/>
    <w:rsid w:val="0093436B"/>
    <w:rsid w:val="009367CC"/>
    <w:rsid w:val="00937569"/>
    <w:rsid w:val="00937ABF"/>
    <w:rsid w:val="00940154"/>
    <w:rsid w:val="00940A25"/>
    <w:rsid w:val="00940C7B"/>
    <w:rsid w:val="00941FF0"/>
    <w:rsid w:val="0094212C"/>
    <w:rsid w:val="00942393"/>
    <w:rsid w:val="00942825"/>
    <w:rsid w:val="00942968"/>
    <w:rsid w:val="0094347B"/>
    <w:rsid w:val="0094499F"/>
    <w:rsid w:val="00945311"/>
    <w:rsid w:val="0094565C"/>
    <w:rsid w:val="00946F5B"/>
    <w:rsid w:val="00951234"/>
    <w:rsid w:val="0095290F"/>
    <w:rsid w:val="00952DD9"/>
    <w:rsid w:val="00953636"/>
    <w:rsid w:val="00954689"/>
    <w:rsid w:val="00954F9A"/>
    <w:rsid w:val="00955382"/>
    <w:rsid w:val="00956467"/>
    <w:rsid w:val="0096048A"/>
    <w:rsid w:val="009610D6"/>
    <w:rsid w:val="009617C9"/>
    <w:rsid w:val="00961817"/>
    <w:rsid w:val="00961C93"/>
    <w:rsid w:val="0096293D"/>
    <w:rsid w:val="00965324"/>
    <w:rsid w:val="00965AA8"/>
    <w:rsid w:val="00967BB3"/>
    <w:rsid w:val="0097091E"/>
    <w:rsid w:val="00971BC3"/>
    <w:rsid w:val="009728C8"/>
    <w:rsid w:val="0097438E"/>
    <w:rsid w:val="009760D3"/>
    <w:rsid w:val="00976A65"/>
    <w:rsid w:val="00977132"/>
    <w:rsid w:val="0098068B"/>
    <w:rsid w:val="009806FA"/>
    <w:rsid w:val="00981633"/>
    <w:rsid w:val="00981A4B"/>
    <w:rsid w:val="00982501"/>
    <w:rsid w:val="0098317E"/>
    <w:rsid w:val="00983485"/>
    <w:rsid w:val="009848E9"/>
    <w:rsid w:val="00985986"/>
    <w:rsid w:val="0098742A"/>
    <w:rsid w:val="009877D3"/>
    <w:rsid w:val="00990BBA"/>
    <w:rsid w:val="009917A5"/>
    <w:rsid w:val="00994E8F"/>
    <w:rsid w:val="009951DC"/>
    <w:rsid w:val="009957B8"/>
    <w:rsid w:val="009959BB"/>
    <w:rsid w:val="00995F32"/>
    <w:rsid w:val="00996497"/>
    <w:rsid w:val="009968B2"/>
    <w:rsid w:val="00996DDC"/>
    <w:rsid w:val="00997158"/>
    <w:rsid w:val="0099719C"/>
    <w:rsid w:val="0099781E"/>
    <w:rsid w:val="009A02B8"/>
    <w:rsid w:val="009A0950"/>
    <w:rsid w:val="009A1550"/>
    <w:rsid w:val="009A1A30"/>
    <w:rsid w:val="009A20C9"/>
    <w:rsid w:val="009A2FB8"/>
    <w:rsid w:val="009A3A7C"/>
    <w:rsid w:val="009A41B1"/>
    <w:rsid w:val="009A5EFE"/>
    <w:rsid w:val="009B0BC0"/>
    <w:rsid w:val="009B0DE2"/>
    <w:rsid w:val="009B221E"/>
    <w:rsid w:val="009B2258"/>
    <w:rsid w:val="009B2ADB"/>
    <w:rsid w:val="009B3857"/>
    <w:rsid w:val="009B5D91"/>
    <w:rsid w:val="009B5F14"/>
    <w:rsid w:val="009B603A"/>
    <w:rsid w:val="009B67C0"/>
    <w:rsid w:val="009B6B3E"/>
    <w:rsid w:val="009B6C98"/>
    <w:rsid w:val="009B7587"/>
    <w:rsid w:val="009B7781"/>
    <w:rsid w:val="009B78CE"/>
    <w:rsid w:val="009C122D"/>
    <w:rsid w:val="009C1610"/>
    <w:rsid w:val="009C26DC"/>
    <w:rsid w:val="009C2D0E"/>
    <w:rsid w:val="009C3288"/>
    <w:rsid w:val="009C3DAC"/>
    <w:rsid w:val="009C42E0"/>
    <w:rsid w:val="009C47B3"/>
    <w:rsid w:val="009C48B7"/>
    <w:rsid w:val="009C6FC6"/>
    <w:rsid w:val="009D1EF7"/>
    <w:rsid w:val="009D2DE5"/>
    <w:rsid w:val="009D4C0F"/>
    <w:rsid w:val="009D4C11"/>
    <w:rsid w:val="009D5362"/>
    <w:rsid w:val="009E0681"/>
    <w:rsid w:val="009E11C1"/>
    <w:rsid w:val="009E1415"/>
    <w:rsid w:val="009E2044"/>
    <w:rsid w:val="009E6116"/>
    <w:rsid w:val="009E6F01"/>
    <w:rsid w:val="009E786F"/>
    <w:rsid w:val="009E7E72"/>
    <w:rsid w:val="009F076B"/>
    <w:rsid w:val="009F0F3C"/>
    <w:rsid w:val="009F23CA"/>
    <w:rsid w:val="009F2D6C"/>
    <w:rsid w:val="009F4A41"/>
    <w:rsid w:val="00A0153B"/>
    <w:rsid w:val="00A02E43"/>
    <w:rsid w:val="00A04A37"/>
    <w:rsid w:val="00A065F9"/>
    <w:rsid w:val="00A06F94"/>
    <w:rsid w:val="00A07F34"/>
    <w:rsid w:val="00A14813"/>
    <w:rsid w:val="00A162B0"/>
    <w:rsid w:val="00A16672"/>
    <w:rsid w:val="00A1762E"/>
    <w:rsid w:val="00A20C22"/>
    <w:rsid w:val="00A21810"/>
    <w:rsid w:val="00A21A05"/>
    <w:rsid w:val="00A22154"/>
    <w:rsid w:val="00A22D25"/>
    <w:rsid w:val="00A22F5B"/>
    <w:rsid w:val="00A23E0B"/>
    <w:rsid w:val="00A246B3"/>
    <w:rsid w:val="00A25C38"/>
    <w:rsid w:val="00A2742D"/>
    <w:rsid w:val="00A30AE5"/>
    <w:rsid w:val="00A3228E"/>
    <w:rsid w:val="00A330F1"/>
    <w:rsid w:val="00A332C2"/>
    <w:rsid w:val="00A34B39"/>
    <w:rsid w:val="00A34BCB"/>
    <w:rsid w:val="00A36917"/>
    <w:rsid w:val="00A36BBE"/>
    <w:rsid w:val="00A40E85"/>
    <w:rsid w:val="00A41724"/>
    <w:rsid w:val="00A41CDB"/>
    <w:rsid w:val="00A425D6"/>
    <w:rsid w:val="00A4307A"/>
    <w:rsid w:val="00A460FD"/>
    <w:rsid w:val="00A46270"/>
    <w:rsid w:val="00A47312"/>
    <w:rsid w:val="00A4739E"/>
    <w:rsid w:val="00A47B64"/>
    <w:rsid w:val="00A47EBB"/>
    <w:rsid w:val="00A51CDD"/>
    <w:rsid w:val="00A52458"/>
    <w:rsid w:val="00A5692C"/>
    <w:rsid w:val="00A603C7"/>
    <w:rsid w:val="00A6062E"/>
    <w:rsid w:val="00A6175A"/>
    <w:rsid w:val="00A61C1C"/>
    <w:rsid w:val="00A630DB"/>
    <w:rsid w:val="00A632E9"/>
    <w:rsid w:val="00A645E4"/>
    <w:rsid w:val="00A6614B"/>
    <w:rsid w:val="00A668F9"/>
    <w:rsid w:val="00A670DF"/>
    <w:rsid w:val="00A6730D"/>
    <w:rsid w:val="00A70560"/>
    <w:rsid w:val="00A71625"/>
    <w:rsid w:val="00A71B9B"/>
    <w:rsid w:val="00A71F59"/>
    <w:rsid w:val="00A72D19"/>
    <w:rsid w:val="00A751C7"/>
    <w:rsid w:val="00A756BC"/>
    <w:rsid w:val="00A7653E"/>
    <w:rsid w:val="00A77365"/>
    <w:rsid w:val="00A77822"/>
    <w:rsid w:val="00A77DFC"/>
    <w:rsid w:val="00A802AA"/>
    <w:rsid w:val="00A80C41"/>
    <w:rsid w:val="00A82D04"/>
    <w:rsid w:val="00A83B57"/>
    <w:rsid w:val="00A8445C"/>
    <w:rsid w:val="00A8488A"/>
    <w:rsid w:val="00A84F64"/>
    <w:rsid w:val="00A86110"/>
    <w:rsid w:val="00A8619C"/>
    <w:rsid w:val="00A87844"/>
    <w:rsid w:val="00A911D5"/>
    <w:rsid w:val="00A9183A"/>
    <w:rsid w:val="00A928A8"/>
    <w:rsid w:val="00A93BF6"/>
    <w:rsid w:val="00A9483A"/>
    <w:rsid w:val="00AA038C"/>
    <w:rsid w:val="00AA1BC1"/>
    <w:rsid w:val="00AA1EA1"/>
    <w:rsid w:val="00AA2AA8"/>
    <w:rsid w:val="00AA4740"/>
    <w:rsid w:val="00AA528A"/>
    <w:rsid w:val="00AA59E4"/>
    <w:rsid w:val="00AA5C01"/>
    <w:rsid w:val="00AA6EC6"/>
    <w:rsid w:val="00AA737F"/>
    <w:rsid w:val="00AA7A09"/>
    <w:rsid w:val="00AB098E"/>
    <w:rsid w:val="00AB2D89"/>
    <w:rsid w:val="00AB3B50"/>
    <w:rsid w:val="00AB5F1E"/>
    <w:rsid w:val="00AB6B30"/>
    <w:rsid w:val="00AC05B1"/>
    <w:rsid w:val="00AC0746"/>
    <w:rsid w:val="00AC0A4C"/>
    <w:rsid w:val="00AC0AEE"/>
    <w:rsid w:val="00AC1224"/>
    <w:rsid w:val="00AC1A14"/>
    <w:rsid w:val="00AC1A21"/>
    <w:rsid w:val="00AC223C"/>
    <w:rsid w:val="00AC2906"/>
    <w:rsid w:val="00AC2BD2"/>
    <w:rsid w:val="00AC3036"/>
    <w:rsid w:val="00AC3D77"/>
    <w:rsid w:val="00AC4699"/>
    <w:rsid w:val="00AC5A87"/>
    <w:rsid w:val="00AC5AF4"/>
    <w:rsid w:val="00AD0984"/>
    <w:rsid w:val="00AD1805"/>
    <w:rsid w:val="00AD1A34"/>
    <w:rsid w:val="00AD2488"/>
    <w:rsid w:val="00AD261A"/>
    <w:rsid w:val="00AD356C"/>
    <w:rsid w:val="00AD4F87"/>
    <w:rsid w:val="00AD6879"/>
    <w:rsid w:val="00AD7316"/>
    <w:rsid w:val="00AD7755"/>
    <w:rsid w:val="00AD77DE"/>
    <w:rsid w:val="00AE0110"/>
    <w:rsid w:val="00AE0B6E"/>
    <w:rsid w:val="00AE0F09"/>
    <w:rsid w:val="00AE100F"/>
    <w:rsid w:val="00AE2914"/>
    <w:rsid w:val="00AE6B43"/>
    <w:rsid w:val="00AE6D15"/>
    <w:rsid w:val="00AE7509"/>
    <w:rsid w:val="00AF012A"/>
    <w:rsid w:val="00AF01CA"/>
    <w:rsid w:val="00AF232E"/>
    <w:rsid w:val="00AF3346"/>
    <w:rsid w:val="00B0237B"/>
    <w:rsid w:val="00B03CB0"/>
    <w:rsid w:val="00B04182"/>
    <w:rsid w:val="00B05A38"/>
    <w:rsid w:val="00B06002"/>
    <w:rsid w:val="00B07A9D"/>
    <w:rsid w:val="00B07AE3"/>
    <w:rsid w:val="00B07C2C"/>
    <w:rsid w:val="00B108E8"/>
    <w:rsid w:val="00B11430"/>
    <w:rsid w:val="00B11B48"/>
    <w:rsid w:val="00B11C69"/>
    <w:rsid w:val="00B1325D"/>
    <w:rsid w:val="00B13360"/>
    <w:rsid w:val="00B150B5"/>
    <w:rsid w:val="00B1693C"/>
    <w:rsid w:val="00B21F01"/>
    <w:rsid w:val="00B23DE2"/>
    <w:rsid w:val="00B26D07"/>
    <w:rsid w:val="00B27FDE"/>
    <w:rsid w:val="00B31776"/>
    <w:rsid w:val="00B323EB"/>
    <w:rsid w:val="00B33089"/>
    <w:rsid w:val="00B353EB"/>
    <w:rsid w:val="00B36082"/>
    <w:rsid w:val="00B360A5"/>
    <w:rsid w:val="00B36DEE"/>
    <w:rsid w:val="00B36FF6"/>
    <w:rsid w:val="00B40EA2"/>
    <w:rsid w:val="00B434D5"/>
    <w:rsid w:val="00B439C4"/>
    <w:rsid w:val="00B4535E"/>
    <w:rsid w:val="00B4538F"/>
    <w:rsid w:val="00B462CD"/>
    <w:rsid w:val="00B464A9"/>
    <w:rsid w:val="00B46740"/>
    <w:rsid w:val="00B467A7"/>
    <w:rsid w:val="00B5110E"/>
    <w:rsid w:val="00B52A8C"/>
    <w:rsid w:val="00B53CAD"/>
    <w:rsid w:val="00B53DBE"/>
    <w:rsid w:val="00B54633"/>
    <w:rsid w:val="00B553C7"/>
    <w:rsid w:val="00B57724"/>
    <w:rsid w:val="00B60B7B"/>
    <w:rsid w:val="00B6142C"/>
    <w:rsid w:val="00B61F5D"/>
    <w:rsid w:val="00B636A8"/>
    <w:rsid w:val="00B64E8F"/>
    <w:rsid w:val="00B663A4"/>
    <w:rsid w:val="00B665C6"/>
    <w:rsid w:val="00B67CDB"/>
    <w:rsid w:val="00B71205"/>
    <w:rsid w:val="00B713AB"/>
    <w:rsid w:val="00B71C56"/>
    <w:rsid w:val="00B72781"/>
    <w:rsid w:val="00B7499B"/>
    <w:rsid w:val="00B7535D"/>
    <w:rsid w:val="00B75849"/>
    <w:rsid w:val="00B75FA6"/>
    <w:rsid w:val="00B76EBD"/>
    <w:rsid w:val="00B802AC"/>
    <w:rsid w:val="00B805AF"/>
    <w:rsid w:val="00B869EC"/>
    <w:rsid w:val="00B90303"/>
    <w:rsid w:val="00B90C0E"/>
    <w:rsid w:val="00B914EB"/>
    <w:rsid w:val="00B9397A"/>
    <w:rsid w:val="00B93F61"/>
    <w:rsid w:val="00B9566D"/>
    <w:rsid w:val="00B9633D"/>
    <w:rsid w:val="00BA18FD"/>
    <w:rsid w:val="00BA2863"/>
    <w:rsid w:val="00BA2EBE"/>
    <w:rsid w:val="00BA31E8"/>
    <w:rsid w:val="00BA4D33"/>
    <w:rsid w:val="00BA5F77"/>
    <w:rsid w:val="00BA6759"/>
    <w:rsid w:val="00BB0529"/>
    <w:rsid w:val="00BB0F28"/>
    <w:rsid w:val="00BB1FC9"/>
    <w:rsid w:val="00BB3A87"/>
    <w:rsid w:val="00BB4074"/>
    <w:rsid w:val="00BB458A"/>
    <w:rsid w:val="00BB5E96"/>
    <w:rsid w:val="00BB6507"/>
    <w:rsid w:val="00BB6F06"/>
    <w:rsid w:val="00BC312A"/>
    <w:rsid w:val="00BC48C5"/>
    <w:rsid w:val="00BC48EA"/>
    <w:rsid w:val="00BC4975"/>
    <w:rsid w:val="00BC58FC"/>
    <w:rsid w:val="00BC5BCE"/>
    <w:rsid w:val="00BC7B8E"/>
    <w:rsid w:val="00BD00D3"/>
    <w:rsid w:val="00BD0327"/>
    <w:rsid w:val="00BD1659"/>
    <w:rsid w:val="00BD1740"/>
    <w:rsid w:val="00BD2099"/>
    <w:rsid w:val="00BD306C"/>
    <w:rsid w:val="00BD32DB"/>
    <w:rsid w:val="00BD3AA9"/>
    <w:rsid w:val="00BD4A18"/>
    <w:rsid w:val="00BD5496"/>
    <w:rsid w:val="00BD588E"/>
    <w:rsid w:val="00BD615D"/>
    <w:rsid w:val="00BD6713"/>
    <w:rsid w:val="00BD6819"/>
    <w:rsid w:val="00BD6DB2"/>
    <w:rsid w:val="00BD71E3"/>
    <w:rsid w:val="00BD7AE6"/>
    <w:rsid w:val="00BE01A6"/>
    <w:rsid w:val="00BE07A7"/>
    <w:rsid w:val="00BE11CF"/>
    <w:rsid w:val="00BE120A"/>
    <w:rsid w:val="00BE1767"/>
    <w:rsid w:val="00BE1E34"/>
    <w:rsid w:val="00BE21AB"/>
    <w:rsid w:val="00BE55CB"/>
    <w:rsid w:val="00BE5CC3"/>
    <w:rsid w:val="00BE5DC9"/>
    <w:rsid w:val="00BE605D"/>
    <w:rsid w:val="00BE79E9"/>
    <w:rsid w:val="00BF0989"/>
    <w:rsid w:val="00BF1DF5"/>
    <w:rsid w:val="00BF3264"/>
    <w:rsid w:val="00BF4080"/>
    <w:rsid w:val="00BF5AFF"/>
    <w:rsid w:val="00BF617A"/>
    <w:rsid w:val="00BF75A5"/>
    <w:rsid w:val="00C000A3"/>
    <w:rsid w:val="00C01C34"/>
    <w:rsid w:val="00C01FCF"/>
    <w:rsid w:val="00C02E83"/>
    <w:rsid w:val="00C0303C"/>
    <w:rsid w:val="00C0379D"/>
    <w:rsid w:val="00C03931"/>
    <w:rsid w:val="00C049A8"/>
    <w:rsid w:val="00C053FD"/>
    <w:rsid w:val="00C05450"/>
    <w:rsid w:val="00C05FE3"/>
    <w:rsid w:val="00C06B23"/>
    <w:rsid w:val="00C07CE2"/>
    <w:rsid w:val="00C1001B"/>
    <w:rsid w:val="00C10DFF"/>
    <w:rsid w:val="00C12836"/>
    <w:rsid w:val="00C13565"/>
    <w:rsid w:val="00C14CFA"/>
    <w:rsid w:val="00C15C2E"/>
    <w:rsid w:val="00C163E0"/>
    <w:rsid w:val="00C17C69"/>
    <w:rsid w:val="00C202FE"/>
    <w:rsid w:val="00C20678"/>
    <w:rsid w:val="00C20A5C"/>
    <w:rsid w:val="00C2136D"/>
    <w:rsid w:val="00C214EE"/>
    <w:rsid w:val="00C21806"/>
    <w:rsid w:val="00C22A64"/>
    <w:rsid w:val="00C2314B"/>
    <w:rsid w:val="00C24971"/>
    <w:rsid w:val="00C26BE5"/>
    <w:rsid w:val="00C26DE0"/>
    <w:rsid w:val="00C26E4D"/>
    <w:rsid w:val="00C27874"/>
    <w:rsid w:val="00C27909"/>
    <w:rsid w:val="00C27B03"/>
    <w:rsid w:val="00C3059D"/>
    <w:rsid w:val="00C314E1"/>
    <w:rsid w:val="00C34397"/>
    <w:rsid w:val="00C363AC"/>
    <w:rsid w:val="00C37155"/>
    <w:rsid w:val="00C37F77"/>
    <w:rsid w:val="00C4095D"/>
    <w:rsid w:val="00C439D2"/>
    <w:rsid w:val="00C43A7B"/>
    <w:rsid w:val="00C45BC4"/>
    <w:rsid w:val="00C50576"/>
    <w:rsid w:val="00C507CC"/>
    <w:rsid w:val="00C53102"/>
    <w:rsid w:val="00C53200"/>
    <w:rsid w:val="00C5372C"/>
    <w:rsid w:val="00C54822"/>
    <w:rsid w:val="00C5500F"/>
    <w:rsid w:val="00C5524A"/>
    <w:rsid w:val="00C55EF1"/>
    <w:rsid w:val="00C601D2"/>
    <w:rsid w:val="00C60B32"/>
    <w:rsid w:val="00C6155C"/>
    <w:rsid w:val="00C62B74"/>
    <w:rsid w:val="00C62BA8"/>
    <w:rsid w:val="00C635C6"/>
    <w:rsid w:val="00C65BCC"/>
    <w:rsid w:val="00C66970"/>
    <w:rsid w:val="00C700F4"/>
    <w:rsid w:val="00C71094"/>
    <w:rsid w:val="00C7151A"/>
    <w:rsid w:val="00C723BE"/>
    <w:rsid w:val="00C72CBC"/>
    <w:rsid w:val="00C76373"/>
    <w:rsid w:val="00C76CB0"/>
    <w:rsid w:val="00C801B7"/>
    <w:rsid w:val="00C8144E"/>
    <w:rsid w:val="00C818A3"/>
    <w:rsid w:val="00C82A77"/>
    <w:rsid w:val="00C845F9"/>
    <w:rsid w:val="00C855A2"/>
    <w:rsid w:val="00C8691C"/>
    <w:rsid w:val="00C90B91"/>
    <w:rsid w:val="00C92194"/>
    <w:rsid w:val="00C927ED"/>
    <w:rsid w:val="00C947C1"/>
    <w:rsid w:val="00C959A4"/>
    <w:rsid w:val="00C96F08"/>
    <w:rsid w:val="00C97BB7"/>
    <w:rsid w:val="00C97C88"/>
    <w:rsid w:val="00CA0322"/>
    <w:rsid w:val="00CA168A"/>
    <w:rsid w:val="00CA1AA9"/>
    <w:rsid w:val="00CA2DCA"/>
    <w:rsid w:val="00CA3414"/>
    <w:rsid w:val="00CA341A"/>
    <w:rsid w:val="00CA357E"/>
    <w:rsid w:val="00CA44F9"/>
    <w:rsid w:val="00CA4A69"/>
    <w:rsid w:val="00CA514B"/>
    <w:rsid w:val="00CA651A"/>
    <w:rsid w:val="00CA671C"/>
    <w:rsid w:val="00CA7A57"/>
    <w:rsid w:val="00CB096D"/>
    <w:rsid w:val="00CB1FF5"/>
    <w:rsid w:val="00CB2F4F"/>
    <w:rsid w:val="00CB4C22"/>
    <w:rsid w:val="00CB5D1E"/>
    <w:rsid w:val="00CB5F51"/>
    <w:rsid w:val="00CB6DE7"/>
    <w:rsid w:val="00CC10E3"/>
    <w:rsid w:val="00CC1D23"/>
    <w:rsid w:val="00CC2C20"/>
    <w:rsid w:val="00CC3035"/>
    <w:rsid w:val="00CC3E0C"/>
    <w:rsid w:val="00CC415C"/>
    <w:rsid w:val="00CC46BC"/>
    <w:rsid w:val="00CC58D3"/>
    <w:rsid w:val="00CC6CD7"/>
    <w:rsid w:val="00CC784D"/>
    <w:rsid w:val="00CD100D"/>
    <w:rsid w:val="00CD13AD"/>
    <w:rsid w:val="00CD266C"/>
    <w:rsid w:val="00CD2770"/>
    <w:rsid w:val="00CD5F7D"/>
    <w:rsid w:val="00CD74A1"/>
    <w:rsid w:val="00CE09D9"/>
    <w:rsid w:val="00CE2241"/>
    <w:rsid w:val="00CE535D"/>
    <w:rsid w:val="00CE5E86"/>
    <w:rsid w:val="00CE64A1"/>
    <w:rsid w:val="00CE664A"/>
    <w:rsid w:val="00CE6D8A"/>
    <w:rsid w:val="00CF0DF0"/>
    <w:rsid w:val="00CF160C"/>
    <w:rsid w:val="00CF1AD8"/>
    <w:rsid w:val="00CF2C87"/>
    <w:rsid w:val="00CF31CE"/>
    <w:rsid w:val="00CF5975"/>
    <w:rsid w:val="00CF6F0C"/>
    <w:rsid w:val="00CF7AAE"/>
    <w:rsid w:val="00D01A4E"/>
    <w:rsid w:val="00D031AD"/>
    <w:rsid w:val="00D0337B"/>
    <w:rsid w:val="00D03437"/>
    <w:rsid w:val="00D0345C"/>
    <w:rsid w:val="00D04BFF"/>
    <w:rsid w:val="00D0727C"/>
    <w:rsid w:val="00D079B2"/>
    <w:rsid w:val="00D10B5F"/>
    <w:rsid w:val="00D114E9"/>
    <w:rsid w:val="00D12145"/>
    <w:rsid w:val="00D12444"/>
    <w:rsid w:val="00D1266F"/>
    <w:rsid w:val="00D12A62"/>
    <w:rsid w:val="00D12D9F"/>
    <w:rsid w:val="00D12F55"/>
    <w:rsid w:val="00D14D34"/>
    <w:rsid w:val="00D205A2"/>
    <w:rsid w:val="00D2063B"/>
    <w:rsid w:val="00D21689"/>
    <w:rsid w:val="00D257CD"/>
    <w:rsid w:val="00D27347"/>
    <w:rsid w:val="00D31AA8"/>
    <w:rsid w:val="00D31D39"/>
    <w:rsid w:val="00D32FE5"/>
    <w:rsid w:val="00D35562"/>
    <w:rsid w:val="00D35ED2"/>
    <w:rsid w:val="00D37515"/>
    <w:rsid w:val="00D40B0F"/>
    <w:rsid w:val="00D4234A"/>
    <w:rsid w:val="00D429C6"/>
    <w:rsid w:val="00D43AA7"/>
    <w:rsid w:val="00D43C03"/>
    <w:rsid w:val="00D43E46"/>
    <w:rsid w:val="00D44F92"/>
    <w:rsid w:val="00D45123"/>
    <w:rsid w:val="00D4530C"/>
    <w:rsid w:val="00D47530"/>
    <w:rsid w:val="00D47748"/>
    <w:rsid w:val="00D478F1"/>
    <w:rsid w:val="00D47913"/>
    <w:rsid w:val="00D47C21"/>
    <w:rsid w:val="00D50771"/>
    <w:rsid w:val="00D50AD9"/>
    <w:rsid w:val="00D5141D"/>
    <w:rsid w:val="00D51BF3"/>
    <w:rsid w:val="00D543A0"/>
    <w:rsid w:val="00D5452D"/>
    <w:rsid w:val="00D54B6B"/>
    <w:rsid w:val="00D54CC3"/>
    <w:rsid w:val="00D56B8A"/>
    <w:rsid w:val="00D57BBE"/>
    <w:rsid w:val="00D6041A"/>
    <w:rsid w:val="00D60600"/>
    <w:rsid w:val="00D60B6D"/>
    <w:rsid w:val="00D62E2B"/>
    <w:rsid w:val="00D633EB"/>
    <w:rsid w:val="00D63C24"/>
    <w:rsid w:val="00D653B3"/>
    <w:rsid w:val="00D70B0F"/>
    <w:rsid w:val="00D71700"/>
    <w:rsid w:val="00D72B48"/>
    <w:rsid w:val="00D738E0"/>
    <w:rsid w:val="00D73DC7"/>
    <w:rsid w:val="00D742CD"/>
    <w:rsid w:val="00D8029A"/>
    <w:rsid w:val="00D81099"/>
    <w:rsid w:val="00D819D4"/>
    <w:rsid w:val="00D82793"/>
    <w:rsid w:val="00D82FF7"/>
    <w:rsid w:val="00D842C4"/>
    <w:rsid w:val="00D847FE"/>
    <w:rsid w:val="00D86340"/>
    <w:rsid w:val="00D8692B"/>
    <w:rsid w:val="00D915CD"/>
    <w:rsid w:val="00D91C28"/>
    <w:rsid w:val="00D94518"/>
    <w:rsid w:val="00D94633"/>
    <w:rsid w:val="00D9525F"/>
    <w:rsid w:val="00D964EA"/>
    <w:rsid w:val="00D966D0"/>
    <w:rsid w:val="00D96997"/>
    <w:rsid w:val="00DA0C59"/>
    <w:rsid w:val="00DA0EF4"/>
    <w:rsid w:val="00DA0F01"/>
    <w:rsid w:val="00DA279A"/>
    <w:rsid w:val="00DA3991"/>
    <w:rsid w:val="00DA4C3F"/>
    <w:rsid w:val="00DA6358"/>
    <w:rsid w:val="00DA7061"/>
    <w:rsid w:val="00DB0DAA"/>
    <w:rsid w:val="00DB26F4"/>
    <w:rsid w:val="00DB2ED7"/>
    <w:rsid w:val="00DB5617"/>
    <w:rsid w:val="00DB586E"/>
    <w:rsid w:val="00DB7265"/>
    <w:rsid w:val="00DB7E6C"/>
    <w:rsid w:val="00DC3084"/>
    <w:rsid w:val="00DC479C"/>
    <w:rsid w:val="00DC6CCE"/>
    <w:rsid w:val="00DC7077"/>
    <w:rsid w:val="00DC72CD"/>
    <w:rsid w:val="00DD0059"/>
    <w:rsid w:val="00DD0A02"/>
    <w:rsid w:val="00DD1122"/>
    <w:rsid w:val="00DD3948"/>
    <w:rsid w:val="00DD5A29"/>
    <w:rsid w:val="00DD5D9D"/>
    <w:rsid w:val="00DD6914"/>
    <w:rsid w:val="00DE03F6"/>
    <w:rsid w:val="00DE05ED"/>
    <w:rsid w:val="00DE157E"/>
    <w:rsid w:val="00DE1AF8"/>
    <w:rsid w:val="00DE35CB"/>
    <w:rsid w:val="00DE4E2E"/>
    <w:rsid w:val="00DE7937"/>
    <w:rsid w:val="00DF177C"/>
    <w:rsid w:val="00DF21E9"/>
    <w:rsid w:val="00DF2C3F"/>
    <w:rsid w:val="00DF4EF5"/>
    <w:rsid w:val="00DF532A"/>
    <w:rsid w:val="00E004F1"/>
    <w:rsid w:val="00E00F14"/>
    <w:rsid w:val="00E02927"/>
    <w:rsid w:val="00E03F05"/>
    <w:rsid w:val="00E04BE8"/>
    <w:rsid w:val="00E0603F"/>
    <w:rsid w:val="00E062EB"/>
    <w:rsid w:val="00E06386"/>
    <w:rsid w:val="00E06CFF"/>
    <w:rsid w:val="00E11234"/>
    <w:rsid w:val="00E1433A"/>
    <w:rsid w:val="00E1673F"/>
    <w:rsid w:val="00E21B00"/>
    <w:rsid w:val="00E220B9"/>
    <w:rsid w:val="00E22A29"/>
    <w:rsid w:val="00E23A72"/>
    <w:rsid w:val="00E23FFF"/>
    <w:rsid w:val="00E24B03"/>
    <w:rsid w:val="00E24EB4"/>
    <w:rsid w:val="00E26228"/>
    <w:rsid w:val="00E26F40"/>
    <w:rsid w:val="00E30AA1"/>
    <w:rsid w:val="00E30C3B"/>
    <w:rsid w:val="00E30E6C"/>
    <w:rsid w:val="00E3177A"/>
    <w:rsid w:val="00E320ED"/>
    <w:rsid w:val="00E3381D"/>
    <w:rsid w:val="00E33A17"/>
    <w:rsid w:val="00E33AFB"/>
    <w:rsid w:val="00E3408F"/>
    <w:rsid w:val="00E34218"/>
    <w:rsid w:val="00E40882"/>
    <w:rsid w:val="00E41A53"/>
    <w:rsid w:val="00E41C87"/>
    <w:rsid w:val="00E431F9"/>
    <w:rsid w:val="00E438DE"/>
    <w:rsid w:val="00E44CF7"/>
    <w:rsid w:val="00E45EDE"/>
    <w:rsid w:val="00E461FA"/>
    <w:rsid w:val="00E46282"/>
    <w:rsid w:val="00E46FA5"/>
    <w:rsid w:val="00E51C36"/>
    <w:rsid w:val="00E5216E"/>
    <w:rsid w:val="00E52F8E"/>
    <w:rsid w:val="00E5346F"/>
    <w:rsid w:val="00E5439B"/>
    <w:rsid w:val="00E57060"/>
    <w:rsid w:val="00E6009D"/>
    <w:rsid w:val="00E6088D"/>
    <w:rsid w:val="00E609B6"/>
    <w:rsid w:val="00E62438"/>
    <w:rsid w:val="00E63285"/>
    <w:rsid w:val="00E639FE"/>
    <w:rsid w:val="00E63FAE"/>
    <w:rsid w:val="00E64F44"/>
    <w:rsid w:val="00E655BB"/>
    <w:rsid w:val="00E65EF7"/>
    <w:rsid w:val="00E67F9D"/>
    <w:rsid w:val="00E7008C"/>
    <w:rsid w:val="00E73F43"/>
    <w:rsid w:val="00E744F8"/>
    <w:rsid w:val="00E74F5B"/>
    <w:rsid w:val="00E76C8C"/>
    <w:rsid w:val="00E77F32"/>
    <w:rsid w:val="00E80D14"/>
    <w:rsid w:val="00E81822"/>
    <w:rsid w:val="00E82344"/>
    <w:rsid w:val="00E82ADF"/>
    <w:rsid w:val="00E84341"/>
    <w:rsid w:val="00E84C13"/>
    <w:rsid w:val="00E84C82"/>
    <w:rsid w:val="00E84D64"/>
    <w:rsid w:val="00E865AA"/>
    <w:rsid w:val="00E87408"/>
    <w:rsid w:val="00E87595"/>
    <w:rsid w:val="00E87913"/>
    <w:rsid w:val="00E87999"/>
    <w:rsid w:val="00E909F6"/>
    <w:rsid w:val="00E914C4"/>
    <w:rsid w:val="00E934F5"/>
    <w:rsid w:val="00E94997"/>
    <w:rsid w:val="00E95DFC"/>
    <w:rsid w:val="00E9672A"/>
    <w:rsid w:val="00E96961"/>
    <w:rsid w:val="00E96FC9"/>
    <w:rsid w:val="00EA2882"/>
    <w:rsid w:val="00EA3A6A"/>
    <w:rsid w:val="00EA4739"/>
    <w:rsid w:val="00EA5770"/>
    <w:rsid w:val="00EA5C33"/>
    <w:rsid w:val="00EA69ED"/>
    <w:rsid w:val="00EA72EC"/>
    <w:rsid w:val="00EA735B"/>
    <w:rsid w:val="00EB11CB"/>
    <w:rsid w:val="00EB1D5C"/>
    <w:rsid w:val="00EB22CB"/>
    <w:rsid w:val="00EB24A4"/>
    <w:rsid w:val="00EB26E9"/>
    <w:rsid w:val="00EB275A"/>
    <w:rsid w:val="00EB3749"/>
    <w:rsid w:val="00EB38A5"/>
    <w:rsid w:val="00EB3C20"/>
    <w:rsid w:val="00EB3CE8"/>
    <w:rsid w:val="00EB3DCE"/>
    <w:rsid w:val="00EB5E5E"/>
    <w:rsid w:val="00EB6444"/>
    <w:rsid w:val="00EB6A8A"/>
    <w:rsid w:val="00EB786A"/>
    <w:rsid w:val="00EC0EAF"/>
    <w:rsid w:val="00EC1578"/>
    <w:rsid w:val="00EC1C72"/>
    <w:rsid w:val="00EC1FC4"/>
    <w:rsid w:val="00EC2926"/>
    <w:rsid w:val="00EC37F7"/>
    <w:rsid w:val="00EC3CC9"/>
    <w:rsid w:val="00EC4BC8"/>
    <w:rsid w:val="00EC5C9A"/>
    <w:rsid w:val="00EC680A"/>
    <w:rsid w:val="00EC7CB5"/>
    <w:rsid w:val="00ED09D9"/>
    <w:rsid w:val="00ED320A"/>
    <w:rsid w:val="00ED39CB"/>
    <w:rsid w:val="00ED3E7B"/>
    <w:rsid w:val="00ED3F11"/>
    <w:rsid w:val="00ED5142"/>
    <w:rsid w:val="00ED6C52"/>
    <w:rsid w:val="00ED7305"/>
    <w:rsid w:val="00EE0C28"/>
    <w:rsid w:val="00EE245D"/>
    <w:rsid w:val="00EE2BED"/>
    <w:rsid w:val="00EE374B"/>
    <w:rsid w:val="00EE375D"/>
    <w:rsid w:val="00EF0EDC"/>
    <w:rsid w:val="00EF3BF3"/>
    <w:rsid w:val="00EF3E79"/>
    <w:rsid w:val="00EF3EDA"/>
    <w:rsid w:val="00EF43A9"/>
    <w:rsid w:val="00EF55C8"/>
    <w:rsid w:val="00EF5743"/>
    <w:rsid w:val="00EF6190"/>
    <w:rsid w:val="00EF6C53"/>
    <w:rsid w:val="00F00756"/>
    <w:rsid w:val="00F00CFD"/>
    <w:rsid w:val="00F00D25"/>
    <w:rsid w:val="00F02EEE"/>
    <w:rsid w:val="00F05F5B"/>
    <w:rsid w:val="00F0617C"/>
    <w:rsid w:val="00F10DD4"/>
    <w:rsid w:val="00F11BB5"/>
    <w:rsid w:val="00F123D8"/>
    <w:rsid w:val="00F12807"/>
    <w:rsid w:val="00F128FA"/>
    <w:rsid w:val="00F1417B"/>
    <w:rsid w:val="00F1491B"/>
    <w:rsid w:val="00F15765"/>
    <w:rsid w:val="00F17BA9"/>
    <w:rsid w:val="00F2043F"/>
    <w:rsid w:val="00F204EF"/>
    <w:rsid w:val="00F215C8"/>
    <w:rsid w:val="00F23520"/>
    <w:rsid w:val="00F23F55"/>
    <w:rsid w:val="00F24A13"/>
    <w:rsid w:val="00F25797"/>
    <w:rsid w:val="00F2603C"/>
    <w:rsid w:val="00F27694"/>
    <w:rsid w:val="00F30E09"/>
    <w:rsid w:val="00F31562"/>
    <w:rsid w:val="00F3294C"/>
    <w:rsid w:val="00F32CDD"/>
    <w:rsid w:val="00F34B99"/>
    <w:rsid w:val="00F34CE5"/>
    <w:rsid w:val="00F36750"/>
    <w:rsid w:val="00F41A4C"/>
    <w:rsid w:val="00F43E4C"/>
    <w:rsid w:val="00F45C82"/>
    <w:rsid w:val="00F47FEB"/>
    <w:rsid w:val="00F52588"/>
    <w:rsid w:val="00F52949"/>
    <w:rsid w:val="00F52DAB"/>
    <w:rsid w:val="00F543F0"/>
    <w:rsid w:val="00F5490E"/>
    <w:rsid w:val="00F55EA9"/>
    <w:rsid w:val="00F564BE"/>
    <w:rsid w:val="00F564C7"/>
    <w:rsid w:val="00F56D38"/>
    <w:rsid w:val="00F57F8D"/>
    <w:rsid w:val="00F61A71"/>
    <w:rsid w:val="00F64856"/>
    <w:rsid w:val="00F64D8D"/>
    <w:rsid w:val="00F64DE0"/>
    <w:rsid w:val="00F650C1"/>
    <w:rsid w:val="00F654AF"/>
    <w:rsid w:val="00F6550B"/>
    <w:rsid w:val="00F660CA"/>
    <w:rsid w:val="00F6776E"/>
    <w:rsid w:val="00F701A3"/>
    <w:rsid w:val="00F70C4E"/>
    <w:rsid w:val="00F72C93"/>
    <w:rsid w:val="00F74162"/>
    <w:rsid w:val="00F7676C"/>
    <w:rsid w:val="00F7724A"/>
    <w:rsid w:val="00F81D29"/>
    <w:rsid w:val="00F82902"/>
    <w:rsid w:val="00F85339"/>
    <w:rsid w:val="00F8777F"/>
    <w:rsid w:val="00F902C9"/>
    <w:rsid w:val="00F90390"/>
    <w:rsid w:val="00F912F9"/>
    <w:rsid w:val="00F913D2"/>
    <w:rsid w:val="00F91C4D"/>
    <w:rsid w:val="00F92C66"/>
    <w:rsid w:val="00F92FD9"/>
    <w:rsid w:val="00F9316F"/>
    <w:rsid w:val="00F9651E"/>
    <w:rsid w:val="00FA3411"/>
    <w:rsid w:val="00FA3E06"/>
    <w:rsid w:val="00FA6651"/>
    <w:rsid w:val="00FA6684"/>
    <w:rsid w:val="00FA731E"/>
    <w:rsid w:val="00FA751A"/>
    <w:rsid w:val="00FB0233"/>
    <w:rsid w:val="00FB0B2A"/>
    <w:rsid w:val="00FB194B"/>
    <w:rsid w:val="00FB2A97"/>
    <w:rsid w:val="00FB2B38"/>
    <w:rsid w:val="00FB3645"/>
    <w:rsid w:val="00FB3FDC"/>
    <w:rsid w:val="00FB4916"/>
    <w:rsid w:val="00FC12D3"/>
    <w:rsid w:val="00FC1817"/>
    <w:rsid w:val="00FC34A5"/>
    <w:rsid w:val="00FC3653"/>
    <w:rsid w:val="00FC3833"/>
    <w:rsid w:val="00FC6358"/>
    <w:rsid w:val="00FD1683"/>
    <w:rsid w:val="00FD16B4"/>
    <w:rsid w:val="00FD22FF"/>
    <w:rsid w:val="00FD308F"/>
    <w:rsid w:val="00FD320D"/>
    <w:rsid w:val="00FD3523"/>
    <w:rsid w:val="00FD36AF"/>
    <w:rsid w:val="00FD3EC8"/>
    <w:rsid w:val="00FD3F9E"/>
    <w:rsid w:val="00FD43C9"/>
    <w:rsid w:val="00FD56FD"/>
    <w:rsid w:val="00FD618B"/>
    <w:rsid w:val="00FD6294"/>
    <w:rsid w:val="00FD6A73"/>
    <w:rsid w:val="00FD7AB2"/>
    <w:rsid w:val="00FE0077"/>
    <w:rsid w:val="00FE044E"/>
    <w:rsid w:val="00FE23DE"/>
    <w:rsid w:val="00FE3E15"/>
    <w:rsid w:val="00FE528C"/>
    <w:rsid w:val="00FF1B75"/>
    <w:rsid w:val="00FF2DA2"/>
    <w:rsid w:val="00FF3471"/>
    <w:rsid w:val="00FF5BD0"/>
    <w:rsid w:val="00FF7A34"/>
    <w:rsid w:val="070C5561"/>
    <w:rsid w:val="0C923886"/>
    <w:rsid w:val="171B5A80"/>
    <w:rsid w:val="1A504C5E"/>
    <w:rsid w:val="1EEC3595"/>
    <w:rsid w:val="20A2041A"/>
    <w:rsid w:val="31700807"/>
    <w:rsid w:val="37BE2D67"/>
    <w:rsid w:val="37EB686D"/>
    <w:rsid w:val="3A541E91"/>
    <w:rsid w:val="3BF9DB8C"/>
    <w:rsid w:val="3C1F7CB0"/>
    <w:rsid w:val="3C843F26"/>
    <w:rsid w:val="4429550F"/>
    <w:rsid w:val="45B90B5F"/>
    <w:rsid w:val="46C63A54"/>
    <w:rsid w:val="48C44C71"/>
    <w:rsid w:val="4F022783"/>
    <w:rsid w:val="52833022"/>
    <w:rsid w:val="583D25D5"/>
    <w:rsid w:val="5ABB5540"/>
    <w:rsid w:val="5B7E5C3C"/>
    <w:rsid w:val="5F395ED9"/>
    <w:rsid w:val="63152D43"/>
    <w:rsid w:val="65325C0B"/>
    <w:rsid w:val="66380A24"/>
    <w:rsid w:val="69A84818"/>
    <w:rsid w:val="6B1765E8"/>
    <w:rsid w:val="6E013C27"/>
    <w:rsid w:val="6FE87048"/>
    <w:rsid w:val="7E1C6D76"/>
    <w:rsid w:val="7ED42BC7"/>
    <w:rsid w:val="815F92AF"/>
    <w:rsid w:val="BD5F52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iPriority="0" w:semiHidden="0" w:name="index 1"/>
    <w:lsdException w:qFormat="1"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iPriority="0" w:semiHidden="0" w:name="footnote text"/>
    <w:lsdException w:qFormat="1" w:uiPriority="0" w:semiHidden="0" w:name="annotation text"/>
    <w:lsdException w:qFormat="1" w:uiPriority="99" w:semiHidden="0" w:name="header"/>
    <w:lsdException w:qFormat="1" w:uiPriority="99" w:semiHidden="0" w:name="footer"/>
    <w:lsdException w:qFormat="1"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0" w:name="annotation reference"/>
    <w:lsdException w:uiPriority="0" w:name="line number"/>
    <w:lsdException w:qFormat="1"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1"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iPriority="0" w:name="Date"/>
    <w:lsdException w:qFormat="1" w:uiPriority="99"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6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63"/>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character" w:default="1" w:styleId="39">
    <w:name w:val="Default Paragraph Font"/>
    <w:semiHidden/>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semiHidden/>
    <w:qFormat/>
    <w:uiPriority w:val="0"/>
    <w:pPr>
      <w:tabs>
        <w:tab w:val="right" w:leader="dot" w:pos="9241"/>
      </w:tabs>
      <w:ind w:firstLine="500" w:firstLineChars="500"/>
      <w:jc w:val="left"/>
    </w:pPr>
    <w:rPr>
      <w:rFonts w:ascii="宋体"/>
      <w:szCs w:val="21"/>
    </w:rPr>
  </w:style>
  <w:style w:type="paragraph" w:styleId="6">
    <w:name w:val="index 8"/>
    <w:basedOn w:val="1"/>
    <w:next w:val="1"/>
    <w:unhideWhenUsed/>
    <w:qFormat/>
    <w:uiPriority w:val="0"/>
    <w:pPr>
      <w:ind w:left="1680" w:hanging="210"/>
      <w:jc w:val="left"/>
    </w:pPr>
    <w:rPr>
      <w:rFonts w:ascii="Calibri" w:hAnsi="Calibri"/>
      <w:sz w:val="20"/>
      <w:szCs w:val="20"/>
    </w:rPr>
  </w:style>
  <w:style w:type="paragraph" w:styleId="7">
    <w:name w:val="caption"/>
    <w:basedOn w:val="1"/>
    <w:next w:val="1"/>
    <w:unhideWhenUsed/>
    <w:qFormat/>
    <w:uiPriority w:val="0"/>
    <w:pPr>
      <w:spacing w:before="152"/>
    </w:pPr>
    <w:rPr>
      <w:rFonts w:ascii="Arial" w:hAnsi="Arial" w:eastAsia="黑体" w:cs="Arial"/>
      <w:sz w:val="20"/>
      <w:szCs w:val="20"/>
    </w:rPr>
  </w:style>
  <w:style w:type="paragraph" w:styleId="8">
    <w:name w:val="index 5"/>
    <w:basedOn w:val="1"/>
    <w:next w:val="1"/>
    <w:unhideWhenUsed/>
    <w:qFormat/>
    <w:uiPriority w:val="0"/>
    <w:pPr>
      <w:ind w:left="1050" w:hanging="210"/>
      <w:jc w:val="left"/>
    </w:pPr>
    <w:rPr>
      <w:rFonts w:ascii="Calibri" w:hAnsi="Calibri"/>
      <w:sz w:val="20"/>
      <w:szCs w:val="20"/>
    </w:rPr>
  </w:style>
  <w:style w:type="paragraph" w:styleId="9">
    <w:name w:val="Document Map"/>
    <w:basedOn w:val="1"/>
    <w:semiHidden/>
    <w:qFormat/>
    <w:uiPriority w:val="0"/>
    <w:pPr>
      <w:shd w:val="clear" w:color="auto" w:fill="000080"/>
    </w:pPr>
  </w:style>
  <w:style w:type="paragraph" w:styleId="10">
    <w:name w:val="annotation text"/>
    <w:basedOn w:val="1"/>
    <w:link w:val="146"/>
    <w:unhideWhenUsed/>
    <w:qFormat/>
    <w:uiPriority w:val="0"/>
    <w:pPr>
      <w:jc w:val="left"/>
    </w:pPr>
  </w:style>
  <w:style w:type="paragraph" w:styleId="11">
    <w:name w:val="index 6"/>
    <w:basedOn w:val="1"/>
    <w:next w:val="1"/>
    <w:unhideWhenUsed/>
    <w:qFormat/>
    <w:uiPriority w:val="0"/>
    <w:pPr>
      <w:ind w:left="1260" w:hanging="210"/>
      <w:jc w:val="left"/>
    </w:pPr>
    <w:rPr>
      <w:rFonts w:ascii="Calibri" w:hAnsi="Calibri"/>
      <w:sz w:val="20"/>
      <w:szCs w:val="20"/>
    </w:rPr>
  </w:style>
  <w:style w:type="paragraph" w:styleId="12">
    <w:name w:val="Body Text"/>
    <w:basedOn w:val="1"/>
    <w:link w:val="160"/>
    <w:unhideWhenUsed/>
    <w:qFormat/>
    <w:uiPriority w:val="1"/>
    <w:rPr>
      <w:rFonts w:ascii="宋体" w:hAnsi="宋体" w:cs="宋体"/>
      <w:sz w:val="24"/>
      <w:lang w:val="zh-CN" w:bidi="zh-CN"/>
    </w:rPr>
  </w:style>
  <w:style w:type="paragraph" w:styleId="13">
    <w:name w:val="index 4"/>
    <w:basedOn w:val="1"/>
    <w:next w:val="1"/>
    <w:unhideWhenUsed/>
    <w:qFormat/>
    <w:uiPriority w:val="0"/>
    <w:pPr>
      <w:ind w:left="840" w:hanging="210"/>
      <w:jc w:val="left"/>
    </w:pPr>
    <w:rPr>
      <w:rFonts w:ascii="Calibri" w:hAnsi="Calibri"/>
      <w:sz w:val="20"/>
      <w:szCs w:val="20"/>
    </w:rPr>
  </w:style>
  <w:style w:type="paragraph" w:styleId="14">
    <w:name w:val="toc 5"/>
    <w:basedOn w:val="1"/>
    <w:next w:val="1"/>
    <w:semiHidden/>
    <w:qFormat/>
    <w:uiPriority w:val="0"/>
    <w:pPr>
      <w:tabs>
        <w:tab w:val="right" w:leader="dot" w:pos="9241"/>
      </w:tabs>
      <w:ind w:firstLine="300" w:firstLineChars="300"/>
      <w:jc w:val="left"/>
    </w:pPr>
    <w:rPr>
      <w:rFonts w:ascii="宋体"/>
      <w:szCs w:val="21"/>
    </w:rPr>
  </w:style>
  <w:style w:type="paragraph" w:styleId="15">
    <w:name w:val="toc 3"/>
    <w:basedOn w:val="1"/>
    <w:next w:val="1"/>
    <w:qFormat/>
    <w:uiPriority w:val="39"/>
    <w:pPr>
      <w:tabs>
        <w:tab w:val="right" w:leader="dot" w:pos="9241"/>
      </w:tabs>
      <w:ind w:firstLine="100" w:firstLineChars="100"/>
      <w:jc w:val="left"/>
    </w:pPr>
    <w:rPr>
      <w:rFonts w:ascii="宋体"/>
      <w:szCs w:val="21"/>
    </w:rPr>
  </w:style>
  <w:style w:type="paragraph" w:styleId="16">
    <w:name w:val="toc 8"/>
    <w:basedOn w:val="1"/>
    <w:next w:val="1"/>
    <w:semiHidden/>
    <w:qFormat/>
    <w:uiPriority w:val="0"/>
    <w:pPr>
      <w:tabs>
        <w:tab w:val="right" w:leader="dot" w:pos="9241"/>
      </w:tabs>
      <w:ind w:firstLine="607" w:firstLineChars="600"/>
      <w:jc w:val="left"/>
    </w:pPr>
    <w:rPr>
      <w:rFonts w:ascii="宋体"/>
      <w:szCs w:val="21"/>
    </w:rPr>
  </w:style>
  <w:style w:type="paragraph" w:styleId="17">
    <w:name w:val="index 3"/>
    <w:basedOn w:val="1"/>
    <w:next w:val="1"/>
    <w:unhideWhenUsed/>
    <w:qFormat/>
    <w:uiPriority w:val="0"/>
    <w:pPr>
      <w:ind w:left="630" w:hanging="210"/>
      <w:jc w:val="left"/>
    </w:pPr>
    <w:rPr>
      <w:rFonts w:ascii="Calibri" w:hAnsi="Calibri"/>
      <w:sz w:val="20"/>
      <w:szCs w:val="20"/>
    </w:rPr>
  </w:style>
  <w:style w:type="paragraph" w:styleId="18">
    <w:name w:val="Date"/>
    <w:basedOn w:val="1"/>
    <w:next w:val="1"/>
    <w:link w:val="159"/>
    <w:semiHidden/>
    <w:unhideWhenUsed/>
    <w:qFormat/>
    <w:uiPriority w:val="0"/>
    <w:pPr>
      <w:ind w:left="100" w:leftChars="2500"/>
    </w:pPr>
  </w:style>
  <w:style w:type="paragraph" w:styleId="19">
    <w:name w:val="endnote text"/>
    <w:basedOn w:val="1"/>
    <w:semiHidden/>
    <w:qFormat/>
    <w:uiPriority w:val="0"/>
    <w:pPr>
      <w:snapToGrid w:val="0"/>
      <w:jc w:val="left"/>
    </w:pPr>
  </w:style>
  <w:style w:type="paragraph" w:styleId="20">
    <w:name w:val="Balloon Text"/>
    <w:basedOn w:val="1"/>
    <w:link w:val="154"/>
    <w:semiHidden/>
    <w:unhideWhenUsed/>
    <w:qFormat/>
    <w:uiPriority w:val="0"/>
    <w:rPr>
      <w:sz w:val="18"/>
      <w:szCs w:val="18"/>
    </w:rPr>
  </w:style>
  <w:style w:type="paragraph" w:styleId="21">
    <w:name w:val="footer"/>
    <w:basedOn w:val="1"/>
    <w:link w:val="151"/>
    <w:unhideWhenUsed/>
    <w:qFormat/>
    <w:uiPriority w:val="99"/>
    <w:pPr>
      <w:snapToGrid w:val="0"/>
      <w:ind w:right="210" w:rightChars="100"/>
      <w:jc w:val="right"/>
    </w:pPr>
    <w:rPr>
      <w:sz w:val="18"/>
      <w:szCs w:val="18"/>
    </w:rPr>
  </w:style>
  <w:style w:type="paragraph" w:styleId="22">
    <w:name w:val="header"/>
    <w:basedOn w:val="1"/>
    <w:link w:val="166"/>
    <w:unhideWhenUsed/>
    <w:qFormat/>
    <w:uiPriority w:val="99"/>
    <w:pPr>
      <w:snapToGrid w:val="0"/>
      <w:jc w:val="left"/>
    </w:pPr>
    <w:rPr>
      <w:sz w:val="18"/>
      <w:szCs w:val="18"/>
    </w:rPr>
  </w:style>
  <w:style w:type="paragraph" w:styleId="23">
    <w:name w:val="toc 1"/>
    <w:basedOn w:val="1"/>
    <w:next w:val="1"/>
    <w:qFormat/>
    <w:uiPriority w:val="39"/>
    <w:pPr>
      <w:tabs>
        <w:tab w:val="right" w:leader="dot" w:pos="9242"/>
      </w:tabs>
      <w:spacing w:beforeLines="25" w:afterLines="25"/>
      <w:jc w:val="left"/>
    </w:pPr>
    <w:rPr>
      <w:rFonts w:ascii="宋体"/>
      <w:szCs w:val="21"/>
    </w:rPr>
  </w:style>
  <w:style w:type="paragraph" w:styleId="24">
    <w:name w:val="toc 4"/>
    <w:basedOn w:val="1"/>
    <w:next w:val="1"/>
    <w:qFormat/>
    <w:uiPriority w:val="39"/>
    <w:pPr>
      <w:tabs>
        <w:tab w:val="right" w:leader="dot" w:pos="9241"/>
      </w:tabs>
      <w:ind w:firstLine="200" w:firstLineChars="200"/>
      <w:jc w:val="left"/>
    </w:pPr>
    <w:rPr>
      <w:rFonts w:ascii="宋体"/>
      <w:szCs w:val="21"/>
    </w:rPr>
  </w:style>
  <w:style w:type="paragraph" w:styleId="25">
    <w:name w:val="index heading"/>
    <w:basedOn w:val="1"/>
    <w:next w:val="26"/>
    <w:unhideWhenUsed/>
    <w:qFormat/>
    <w:uiPriority w:val="0"/>
    <w:pPr>
      <w:spacing w:before="120" w:after="120"/>
      <w:jc w:val="center"/>
    </w:pPr>
    <w:rPr>
      <w:rFonts w:ascii="Calibri" w:hAnsi="Calibri"/>
      <w:b/>
      <w:bCs/>
      <w:iCs/>
      <w:szCs w:val="20"/>
    </w:rPr>
  </w:style>
  <w:style w:type="paragraph" w:styleId="26">
    <w:name w:val="index 1"/>
    <w:basedOn w:val="1"/>
    <w:next w:val="27"/>
    <w:unhideWhenUsed/>
    <w:qFormat/>
    <w:uiPriority w:val="0"/>
    <w:pPr>
      <w:tabs>
        <w:tab w:val="right" w:leader="dot" w:pos="9299"/>
      </w:tabs>
      <w:jc w:val="left"/>
    </w:pPr>
    <w:rPr>
      <w:rFonts w:ascii="宋体"/>
      <w:szCs w:val="21"/>
    </w:rPr>
  </w:style>
  <w:style w:type="paragraph" w:customStyle="1" w:styleId="27">
    <w:name w:val="段"/>
    <w:link w:val="46"/>
    <w:unhideWhenUsed/>
    <w:qFormat/>
    <w:uiPriority w:val="0"/>
    <w:pPr>
      <w:tabs>
        <w:tab w:val="center" w:pos="4201"/>
        <w:tab w:val="right" w:leader="dot" w:pos="9298"/>
      </w:tabs>
      <w:autoSpaceDE w:val="0"/>
      <w:autoSpaceDN w:val="0"/>
      <w:spacing w:after="160" w:line="278" w:lineRule="auto"/>
      <w:ind w:firstLine="420" w:firstLineChars="200"/>
      <w:jc w:val="both"/>
    </w:pPr>
    <w:rPr>
      <w:rFonts w:ascii="宋体" w:hAnsi="Times New Roman" w:eastAsia="宋体" w:cs="Times New Roman"/>
      <w:sz w:val="21"/>
      <w:lang w:val="en-US" w:eastAsia="zh-CN" w:bidi="ar-SA"/>
    </w:rPr>
  </w:style>
  <w:style w:type="paragraph" w:styleId="28">
    <w:name w:val="footnote text"/>
    <w:basedOn w:val="1"/>
    <w:unhideWhenUsed/>
    <w:qFormat/>
    <w:uiPriority w:val="0"/>
    <w:pPr>
      <w:numPr>
        <w:ilvl w:val="0"/>
        <w:numId w:val="1"/>
      </w:numPr>
      <w:snapToGrid w:val="0"/>
      <w:jc w:val="left"/>
    </w:pPr>
    <w:rPr>
      <w:rFonts w:ascii="宋体"/>
      <w:sz w:val="18"/>
      <w:szCs w:val="18"/>
    </w:rPr>
  </w:style>
  <w:style w:type="paragraph" w:styleId="29">
    <w:name w:val="toc 6"/>
    <w:basedOn w:val="1"/>
    <w:next w:val="1"/>
    <w:semiHidden/>
    <w:qFormat/>
    <w:uiPriority w:val="0"/>
    <w:pPr>
      <w:tabs>
        <w:tab w:val="right" w:leader="dot" w:pos="9241"/>
      </w:tabs>
      <w:ind w:firstLine="400" w:firstLineChars="400"/>
      <w:jc w:val="left"/>
    </w:pPr>
    <w:rPr>
      <w:rFonts w:ascii="宋体"/>
      <w:szCs w:val="21"/>
    </w:rPr>
  </w:style>
  <w:style w:type="paragraph" w:styleId="30">
    <w:name w:val="index 7"/>
    <w:basedOn w:val="1"/>
    <w:next w:val="1"/>
    <w:unhideWhenUsed/>
    <w:qFormat/>
    <w:uiPriority w:val="0"/>
    <w:pPr>
      <w:ind w:left="1470" w:hanging="210"/>
      <w:jc w:val="left"/>
    </w:pPr>
    <w:rPr>
      <w:rFonts w:ascii="Calibri" w:hAnsi="Calibri"/>
      <w:sz w:val="20"/>
      <w:szCs w:val="20"/>
    </w:rPr>
  </w:style>
  <w:style w:type="paragraph" w:styleId="31">
    <w:name w:val="index 9"/>
    <w:basedOn w:val="1"/>
    <w:next w:val="1"/>
    <w:unhideWhenUsed/>
    <w:qFormat/>
    <w:uiPriority w:val="0"/>
    <w:pPr>
      <w:ind w:left="1890" w:hanging="210"/>
      <w:jc w:val="left"/>
    </w:pPr>
    <w:rPr>
      <w:rFonts w:ascii="Calibri" w:hAnsi="Calibri"/>
      <w:sz w:val="20"/>
      <w:szCs w:val="20"/>
    </w:rPr>
  </w:style>
  <w:style w:type="paragraph" w:styleId="32">
    <w:name w:val="toc 2"/>
    <w:basedOn w:val="1"/>
    <w:next w:val="1"/>
    <w:qFormat/>
    <w:uiPriority w:val="39"/>
    <w:pPr>
      <w:tabs>
        <w:tab w:val="right" w:leader="dot" w:pos="9242"/>
      </w:tabs>
    </w:pPr>
    <w:rPr>
      <w:rFonts w:ascii="宋体"/>
      <w:szCs w:val="21"/>
    </w:rPr>
  </w:style>
  <w:style w:type="paragraph" w:styleId="33">
    <w:name w:val="toc 9"/>
    <w:basedOn w:val="1"/>
    <w:next w:val="1"/>
    <w:semiHidden/>
    <w:qFormat/>
    <w:uiPriority w:val="0"/>
    <w:pPr>
      <w:ind w:left="1470"/>
      <w:jc w:val="left"/>
    </w:pPr>
    <w:rPr>
      <w:sz w:val="20"/>
      <w:szCs w:val="20"/>
    </w:rPr>
  </w:style>
  <w:style w:type="paragraph" w:styleId="34">
    <w:name w:val="index 2"/>
    <w:basedOn w:val="1"/>
    <w:next w:val="1"/>
    <w:unhideWhenUsed/>
    <w:qFormat/>
    <w:uiPriority w:val="0"/>
    <w:pPr>
      <w:ind w:left="420" w:hanging="210"/>
      <w:jc w:val="left"/>
    </w:pPr>
    <w:rPr>
      <w:rFonts w:ascii="Calibri" w:hAnsi="Calibri"/>
      <w:sz w:val="20"/>
      <w:szCs w:val="20"/>
    </w:rPr>
  </w:style>
  <w:style w:type="paragraph" w:styleId="35">
    <w:name w:val="annotation subject"/>
    <w:basedOn w:val="10"/>
    <w:next w:val="10"/>
    <w:link w:val="147"/>
    <w:semiHidden/>
    <w:unhideWhenUsed/>
    <w:qFormat/>
    <w:uiPriority w:val="0"/>
    <w:rPr>
      <w:b/>
      <w:bCs/>
    </w:rPr>
  </w:style>
  <w:style w:type="paragraph" w:styleId="36">
    <w:name w:val="Body Text First Indent"/>
    <w:basedOn w:val="12"/>
    <w:link w:val="161"/>
    <w:unhideWhenUsed/>
    <w:qFormat/>
    <w:uiPriority w:val="99"/>
    <w:pPr>
      <w:spacing w:after="120"/>
      <w:ind w:firstLine="420" w:firstLineChars="100"/>
    </w:pPr>
    <w:rPr>
      <w:rFonts w:asciiTheme="minorHAnsi" w:hAnsiTheme="minorHAnsi" w:eastAsiaTheme="minorEastAsia" w:cstheme="minorBidi"/>
      <w:sz w:val="21"/>
      <w:szCs w:val="22"/>
      <w:lang w:val="en-US" w:bidi="ar-SA"/>
    </w:rPr>
  </w:style>
  <w:style w:type="table" w:styleId="38">
    <w:name w:val="Table Grid"/>
    <w:basedOn w:val="37"/>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0">
    <w:name w:val="endnote reference"/>
    <w:basedOn w:val="39"/>
    <w:semiHidden/>
    <w:qFormat/>
    <w:uiPriority w:val="0"/>
    <w:rPr>
      <w:vertAlign w:val="superscript"/>
    </w:rPr>
  </w:style>
  <w:style w:type="character" w:styleId="41">
    <w:name w:val="page number"/>
    <w:basedOn w:val="39"/>
    <w:unhideWhenUsed/>
    <w:qFormat/>
    <w:uiPriority w:val="0"/>
    <w:rPr>
      <w:rFonts w:ascii="Times New Roman" w:hAnsi="Times New Roman" w:eastAsia="宋体"/>
      <w:sz w:val="18"/>
    </w:rPr>
  </w:style>
  <w:style w:type="character" w:styleId="42">
    <w:name w:val="FollowedHyperlink"/>
    <w:basedOn w:val="39"/>
    <w:unhideWhenUsed/>
    <w:qFormat/>
    <w:uiPriority w:val="0"/>
    <w:rPr>
      <w:color w:val="800080"/>
      <w:u w:val="single"/>
    </w:rPr>
  </w:style>
  <w:style w:type="character" w:styleId="43">
    <w:name w:val="Hyperlink"/>
    <w:basedOn w:val="39"/>
    <w:unhideWhenUsed/>
    <w:qFormat/>
    <w:uiPriority w:val="99"/>
    <w:rPr>
      <w:color w:val="0000FF"/>
      <w:spacing w:val="0"/>
      <w:w w:val="100"/>
      <w:szCs w:val="21"/>
      <w:u w:val="single"/>
    </w:rPr>
  </w:style>
  <w:style w:type="character" w:styleId="44">
    <w:name w:val="annotation reference"/>
    <w:basedOn w:val="39"/>
    <w:semiHidden/>
    <w:unhideWhenUsed/>
    <w:qFormat/>
    <w:uiPriority w:val="0"/>
    <w:rPr>
      <w:sz w:val="21"/>
      <w:szCs w:val="21"/>
    </w:rPr>
  </w:style>
  <w:style w:type="character" w:styleId="45">
    <w:name w:val="footnote reference"/>
    <w:basedOn w:val="39"/>
    <w:semiHidden/>
    <w:qFormat/>
    <w:uiPriority w:val="0"/>
    <w:rPr>
      <w:vertAlign w:val="superscript"/>
    </w:rPr>
  </w:style>
  <w:style w:type="character" w:customStyle="1" w:styleId="46">
    <w:name w:val="段 Char"/>
    <w:basedOn w:val="39"/>
    <w:link w:val="27"/>
    <w:qFormat/>
    <w:uiPriority w:val="0"/>
    <w:rPr>
      <w:rFonts w:ascii="宋体" w:hAnsi="Times New Roman" w:eastAsia="宋体" w:cs="Times New Roman"/>
      <w:sz w:val="21"/>
    </w:rPr>
  </w:style>
  <w:style w:type="paragraph" w:customStyle="1" w:styleId="47">
    <w:name w:val="一级条标题"/>
    <w:next w:val="27"/>
    <w:unhideWhenUsed/>
    <w:qFormat/>
    <w:uiPriority w:val="0"/>
    <w:pPr>
      <w:numPr>
        <w:ilvl w:val="1"/>
        <w:numId w:val="2"/>
      </w:numPr>
      <w:spacing w:beforeLines="50" w:after="160" w:afterLines="50" w:line="278" w:lineRule="auto"/>
      <w:outlineLvl w:val="2"/>
    </w:pPr>
    <w:rPr>
      <w:rFonts w:ascii="黑体" w:hAnsi="Times New Roman" w:eastAsia="黑体" w:cs="Times New Roman"/>
      <w:sz w:val="21"/>
      <w:szCs w:val="21"/>
      <w:lang w:val="en-US" w:eastAsia="zh-CN" w:bidi="ar-SA"/>
    </w:rPr>
  </w:style>
  <w:style w:type="paragraph" w:customStyle="1" w:styleId="48">
    <w:name w:val="标准书脚_奇数页"/>
    <w:unhideWhenUsed/>
    <w:qFormat/>
    <w:uiPriority w:val="0"/>
    <w:pPr>
      <w:spacing w:before="120" w:after="160" w:line="278" w:lineRule="auto"/>
      <w:ind w:right="198"/>
      <w:jc w:val="right"/>
    </w:pPr>
    <w:rPr>
      <w:rFonts w:ascii="宋体" w:hAnsi="Times New Roman" w:eastAsia="宋体" w:cs="Times New Roman"/>
      <w:sz w:val="18"/>
      <w:szCs w:val="18"/>
      <w:lang w:val="en-US" w:eastAsia="zh-CN" w:bidi="ar-SA"/>
    </w:rPr>
  </w:style>
  <w:style w:type="paragraph" w:customStyle="1" w:styleId="49">
    <w:name w:val="标准书眉_奇数页"/>
    <w:next w:val="1"/>
    <w:unhideWhenUsed/>
    <w:qFormat/>
    <w:uiPriority w:val="0"/>
    <w:pPr>
      <w:tabs>
        <w:tab w:val="center" w:pos="4154"/>
        <w:tab w:val="right" w:pos="8306"/>
      </w:tabs>
      <w:spacing w:after="220" w:line="278" w:lineRule="auto"/>
      <w:jc w:val="right"/>
    </w:pPr>
    <w:rPr>
      <w:rFonts w:ascii="黑体" w:hAnsi="Times New Roman" w:eastAsia="黑体" w:cs="Times New Roman"/>
      <w:sz w:val="21"/>
      <w:szCs w:val="21"/>
      <w:lang w:val="en-US" w:eastAsia="zh-CN" w:bidi="ar-SA"/>
    </w:rPr>
  </w:style>
  <w:style w:type="paragraph" w:customStyle="1" w:styleId="50">
    <w:name w:val="章标题"/>
    <w:next w:val="27"/>
    <w:unhideWhenUsed/>
    <w:qFormat/>
    <w:uiPriority w:val="0"/>
    <w:pPr>
      <w:numPr>
        <w:ilvl w:val="0"/>
        <w:numId w:val="2"/>
      </w:numPr>
      <w:spacing w:beforeLines="100" w:after="160" w:afterLines="100" w:line="278" w:lineRule="auto"/>
      <w:jc w:val="both"/>
      <w:outlineLvl w:val="1"/>
    </w:pPr>
    <w:rPr>
      <w:rFonts w:ascii="黑体" w:hAnsi="Times New Roman" w:eastAsia="黑体" w:cs="Times New Roman"/>
      <w:sz w:val="21"/>
      <w:lang w:val="en-US" w:eastAsia="zh-CN" w:bidi="ar-SA"/>
    </w:rPr>
  </w:style>
  <w:style w:type="paragraph" w:customStyle="1" w:styleId="51">
    <w:name w:val="二级条标题"/>
    <w:basedOn w:val="47"/>
    <w:next w:val="52"/>
    <w:unhideWhenUsed/>
    <w:qFormat/>
    <w:uiPriority w:val="0"/>
    <w:pPr>
      <w:numPr>
        <w:ilvl w:val="2"/>
      </w:numPr>
      <w:spacing w:before="50" w:beforeLines="0" w:after="50" w:afterLines="0"/>
      <w:outlineLvl w:val="3"/>
    </w:pPr>
  </w:style>
  <w:style w:type="paragraph" w:customStyle="1" w:styleId="52">
    <w:name w:val="二级无"/>
    <w:basedOn w:val="51"/>
    <w:unhideWhenUsed/>
    <w:qFormat/>
    <w:uiPriority w:val="0"/>
    <w:rPr>
      <w:rFonts w:ascii="宋体" w:eastAsia="宋体"/>
    </w:rPr>
  </w:style>
  <w:style w:type="paragraph" w:customStyle="1" w:styleId="53">
    <w:name w:val="封面标准号2"/>
    <w:unhideWhenUsed/>
    <w:qFormat/>
    <w:uiPriority w:val="0"/>
    <w:pPr>
      <w:framePr w:w="9140" w:h="1242" w:hRule="exact" w:hSpace="284" w:wrap="around" w:vAnchor="page" w:hAnchor="page" w:x="1645" w:y="2910" w:anchorLock="1"/>
      <w:spacing w:before="357" w:after="160" w:line="280" w:lineRule="exact"/>
      <w:jc w:val="right"/>
    </w:pPr>
    <w:rPr>
      <w:rFonts w:ascii="黑体" w:hAnsi="Times New Roman" w:eastAsia="黑体" w:cs="Times New Roman"/>
      <w:sz w:val="28"/>
      <w:szCs w:val="28"/>
      <w:lang w:val="en-US" w:eastAsia="zh-CN" w:bidi="ar-SA"/>
    </w:rPr>
  </w:style>
  <w:style w:type="paragraph" w:customStyle="1" w:styleId="54">
    <w:name w:val="列项——（一级）"/>
    <w:unhideWhenUsed/>
    <w:qFormat/>
    <w:uiPriority w:val="0"/>
    <w:pPr>
      <w:widowControl w:val="0"/>
      <w:numPr>
        <w:ilvl w:val="0"/>
        <w:numId w:val="3"/>
      </w:numPr>
      <w:spacing w:after="160" w:line="278" w:lineRule="auto"/>
      <w:jc w:val="both"/>
    </w:pPr>
    <w:rPr>
      <w:rFonts w:ascii="宋体" w:hAnsi="Times New Roman" w:eastAsia="宋体" w:cs="Times New Roman"/>
      <w:sz w:val="21"/>
      <w:lang w:val="en-US" w:eastAsia="zh-CN" w:bidi="ar-SA"/>
    </w:rPr>
  </w:style>
  <w:style w:type="paragraph" w:customStyle="1" w:styleId="55">
    <w:name w:val="列项●（二级）"/>
    <w:unhideWhenUsed/>
    <w:qFormat/>
    <w:uiPriority w:val="0"/>
    <w:pPr>
      <w:numPr>
        <w:ilvl w:val="1"/>
        <w:numId w:val="3"/>
      </w:numPr>
      <w:tabs>
        <w:tab w:val="left" w:pos="840"/>
      </w:tabs>
      <w:spacing w:after="160" w:line="278" w:lineRule="auto"/>
      <w:jc w:val="both"/>
    </w:pPr>
    <w:rPr>
      <w:rFonts w:ascii="宋体" w:hAnsi="Times New Roman" w:eastAsia="宋体" w:cs="Times New Roman"/>
      <w:sz w:val="21"/>
      <w:lang w:val="en-US" w:eastAsia="zh-CN" w:bidi="ar-SA"/>
    </w:rPr>
  </w:style>
  <w:style w:type="paragraph" w:customStyle="1" w:styleId="56">
    <w:name w:val="目次、标准名称标题"/>
    <w:basedOn w:val="1"/>
    <w:next w:val="27"/>
    <w:unhideWhenUsed/>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7">
    <w:name w:val="三级条标题"/>
    <w:basedOn w:val="51"/>
    <w:next w:val="27"/>
    <w:unhideWhenUsed/>
    <w:qFormat/>
    <w:uiPriority w:val="0"/>
    <w:pPr>
      <w:numPr>
        <w:ilvl w:val="3"/>
      </w:numPr>
      <w:outlineLvl w:val="4"/>
    </w:pPr>
  </w:style>
  <w:style w:type="paragraph" w:customStyle="1" w:styleId="58">
    <w:name w:val="示例"/>
    <w:next w:val="59"/>
    <w:unhideWhenUsed/>
    <w:qFormat/>
    <w:uiPriority w:val="0"/>
    <w:pPr>
      <w:widowControl w:val="0"/>
      <w:spacing w:after="160" w:line="278" w:lineRule="auto"/>
      <w:ind w:firstLine="363"/>
      <w:jc w:val="both"/>
    </w:pPr>
    <w:rPr>
      <w:rFonts w:ascii="宋体" w:hAnsi="Times New Roman" w:eastAsia="宋体" w:cs="Times New Roman"/>
      <w:sz w:val="18"/>
      <w:szCs w:val="18"/>
      <w:lang w:val="en-US" w:eastAsia="zh-CN" w:bidi="ar-SA"/>
    </w:rPr>
  </w:style>
  <w:style w:type="paragraph" w:customStyle="1" w:styleId="59">
    <w:name w:val="示例内容"/>
    <w:unhideWhenUsed/>
    <w:qFormat/>
    <w:uiPriority w:val="0"/>
    <w:pPr>
      <w:spacing w:after="160" w:line="278" w:lineRule="auto"/>
      <w:ind w:firstLine="200" w:firstLineChars="200"/>
    </w:pPr>
    <w:rPr>
      <w:rFonts w:ascii="宋体" w:hAnsi="Times New Roman" w:eastAsia="宋体" w:cs="Times New Roman"/>
      <w:sz w:val="18"/>
      <w:szCs w:val="18"/>
      <w:lang w:val="en-US" w:eastAsia="zh-CN" w:bidi="ar-SA"/>
    </w:rPr>
  </w:style>
  <w:style w:type="paragraph" w:customStyle="1" w:styleId="60">
    <w:name w:val="数字编号列项（二级）"/>
    <w:unhideWhenUsed/>
    <w:qFormat/>
    <w:uiPriority w:val="0"/>
    <w:pPr>
      <w:numPr>
        <w:ilvl w:val="1"/>
        <w:numId w:val="4"/>
      </w:numPr>
      <w:spacing w:after="160" w:line="278" w:lineRule="auto"/>
      <w:jc w:val="both"/>
    </w:pPr>
    <w:rPr>
      <w:rFonts w:ascii="宋体" w:hAnsi="Times New Roman" w:eastAsia="宋体" w:cs="Times New Roman"/>
      <w:sz w:val="21"/>
      <w:lang w:val="en-US" w:eastAsia="zh-CN" w:bidi="ar-SA"/>
    </w:rPr>
  </w:style>
  <w:style w:type="paragraph" w:customStyle="1" w:styleId="61">
    <w:name w:val="四级条标题"/>
    <w:basedOn w:val="57"/>
    <w:next w:val="27"/>
    <w:unhideWhenUsed/>
    <w:qFormat/>
    <w:uiPriority w:val="0"/>
    <w:pPr>
      <w:numPr>
        <w:ilvl w:val="4"/>
      </w:numPr>
      <w:outlineLvl w:val="5"/>
    </w:pPr>
  </w:style>
  <w:style w:type="paragraph" w:customStyle="1" w:styleId="62">
    <w:name w:val="五级条标题"/>
    <w:basedOn w:val="61"/>
    <w:next w:val="27"/>
    <w:unhideWhenUsed/>
    <w:qFormat/>
    <w:uiPriority w:val="0"/>
    <w:pPr>
      <w:numPr>
        <w:ilvl w:val="5"/>
      </w:numPr>
      <w:outlineLvl w:val="6"/>
    </w:pPr>
  </w:style>
  <w:style w:type="paragraph" w:customStyle="1" w:styleId="63">
    <w:name w:val="注："/>
    <w:next w:val="27"/>
    <w:unhideWhenUsed/>
    <w:qFormat/>
    <w:uiPriority w:val="0"/>
    <w:pPr>
      <w:widowControl w:val="0"/>
      <w:autoSpaceDE w:val="0"/>
      <w:autoSpaceDN w:val="0"/>
      <w:spacing w:after="160" w:line="278" w:lineRule="auto"/>
      <w:ind w:left="726" w:hanging="363"/>
      <w:jc w:val="both"/>
    </w:pPr>
    <w:rPr>
      <w:rFonts w:ascii="宋体" w:hAnsi="Times New Roman" w:eastAsia="宋体" w:cs="Times New Roman"/>
      <w:sz w:val="18"/>
      <w:szCs w:val="18"/>
      <w:lang w:val="en-US" w:eastAsia="zh-CN" w:bidi="ar-SA"/>
    </w:rPr>
  </w:style>
  <w:style w:type="paragraph" w:customStyle="1" w:styleId="64">
    <w:name w:val="注×："/>
    <w:unhideWhenUsed/>
    <w:qFormat/>
    <w:uiPriority w:val="0"/>
    <w:pPr>
      <w:widowControl w:val="0"/>
      <w:autoSpaceDE w:val="0"/>
      <w:autoSpaceDN w:val="0"/>
      <w:spacing w:after="160" w:line="278" w:lineRule="auto"/>
      <w:ind w:left="811" w:hanging="448"/>
      <w:jc w:val="both"/>
    </w:pPr>
    <w:rPr>
      <w:rFonts w:ascii="宋体" w:hAnsi="Times New Roman" w:eastAsia="宋体" w:cs="Times New Roman"/>
      <w:sz w:val="18"/>
      <w:szCs w:val="18"/>
      <w:lang w:val="en-US" w:eastAsia="zh-CN" w:bidi="ar-SA"/>
    </w:rPr>
  </w:style>
  <w:style w:type="paragraph" w:customStyle="1" w:styleId="65">
    <w:name w:val="字母编号列项（一级）"/>
    <w:unhideWhenUsed/>
    <w:qFormat/>
    <w:uiPriority w:val="0"/>
    <w:pPr>
      <w:numPr>
        <w:ilvl w:val="0"/>
        <w:numId w:val="4"/>
      </w:numPr>
      <w:spacing w:after="160" w:line="278" w:lineRule="auto"/>
      <w:jc w:val="both"/>
    </w:pPr>
    <w:rPr>
      <w:rFonts w:ascii="宋体" w:hAnsi="Times New Roman" w:eastAsia="宋体" w:cs="Times New Roman"/>
      <w:sz w:val="21"/>
      <w:lang w:val="en-US" w:eastAsia="zh-CN" w:bidi="ar-SA"/>
    </w:rPr>
  </w:style>
  <w:style w:type="paragraph" w:customStyle="1" w:styleId="66">
    <w:name w:val="列项◆（三级）"/>
    <w:basedOn w:val="1"/>
    <w:unhideWhenUsed/>
    <w:qFormat/>
    <w:uiPriority w:val="0"/>
    <w:pPr>
      <w:numPr>
        <w:ilvl w:val="2"/>
        <w:numId w:val="3"/>
      </w:numPr>
    </w:pPr>
    <w:rPr>
      <w:rFonts w:ascii="宋体"/>
      <w:szCs w:val="21"/>
    </w:rPr>
  </w:style>
  <w:style w:type="paragraph" w:customStyle="1" w:styleId="67">
    <w:name w:val="编号列项（三级）"/>
    <w:unhideWhenUsed/>
    <w:qFormat/>
    <w:uiPriority w:val="0"/>
    <w:pPr>
      <w:numPr>
        <w:ilvl w:val="2"/>
        <w:numId w:val="4"/>
      </w:numPr>
      <w:spacing w:after="160" w:line="278" w:lineRule="auto"/>
    </w:pPr>
    <w:rPr>
      <w:rFonts w:ascii="宋体" w:hAnsi="Times New Roman" w:eastAsia="宋体" w:cs="Times New Roman"/>
      <w:sz w:val="21"/>
      <w:lang w:val="en-US" w:eastAsia="zh-CN" w:bidi="ar-SA"/>
    </w:rPr>
  </w:style>
  <w:style w:type="paragraph" w:customStyle="1" w:styleId="68">
    <w:name w:val="示例×："/>
    <w:basedOn w:val="50"/>
    <w:unhideWhenUsed/>
    <w:qFormat/>
    <w:uiPriority w:val="0"/>
    <w:pPr>
      <w:numPr>
        <w:numId w:val="0"/>
      </w:numPr>
      <w:spacing w:beforeLines="0" w:afterLines="0"/>
      <w:ind w:firstLine="363"/>
      <w:outlineLvl w:val="9"/>
    </w:pPr>
    <w:rPr>
      <w:rFonts w:ascii="宋体" w:eastAsia="宋体"/>
      <w:sz w:val="18"/>
      <w:szCs w:val="18"/>
    </w:rPr>
  </w:style>
  <w:style w:type="paragraph" w:customStyle="1" w:styleId="69">
    <w:name w:val="注：（正文）"/>
    <w:basedOn w:val="63"/>
    <w:next w:val="27"/>
    <w:unhideWhenUsed/>
    <w:qFormat/>
    <w:uiPriority w:val="0"/>
  </w:style>
  <w:style w:type="paragraph" w:customStyle="1" w:styleId="70">
    <w:name w:val="注×：（正文）"/>
    <w:unhideWhenUsed/>
    <w:qFormat/>
    <w:uiPriority w:val="0"/>
    <w:pPr>
      <w:numPr>
        <w:ilvl w:val="0"/>
        <w:numId w:val="5"/>
      </w:numPr>
      <w:spacing w:after="160" w:line="278" w:lineRule="auto"/>
      <w:jc w:val="both"/>
    </w:pPr>
    <w:rPr>
      <w:rFonts w:ascii="宋体" w:hAnsi="Times New Roman" w:eastAsia="宋体" w:cs="Times New Roman"/>
      <w:sz w:val="18"/>
      <w:szCs w:val="18"/>
      <w:lang w:val="en-US" w:eastAsia="zh-CN" w:bidi="ar-SA"/>
    </w:rPr>
  </w:style>
  <w:style w:type="paragraph" w:customStyle="1" w:styleId="71">
    <w:name w:val="标准标志"/>
    <w:next w:val="1"/>
    <w:unhideWhenUsed/>
    <w:qFormat/>
    <w:uiPriority w:val="0"/>
    <w:pPr>
      <w:framePr w:w="2546" w:h="1389" w:hRule="exact" w:hSpace="181" w:vSpace="181" w:wrap="around" w:vAnchor="margin" w:hAnchor="margin" w:x="6522" w:y="398" w:anchorLock="1"/>
      <w:shd w:val="solid" w:color="FFFFFF" w:fill="FFFFFF"/>
      <w:spacing w:after="160" w:line="0" w:lineRule="atLeast"/>
      <w:jc w:val="right"/>
    </w:pPr>
    <w:rPr>
      <w:rFonts w:ascii="Times New Roman" w:hAnsi="Times New Roman" w:eastAsia="宋体" w:cs="Times New Roman"/>
      <w:b/>
      <w:w w:val="170"/>
      <w:sz w:val="96"/>
      <w:szCs w:val="96"/>
      <w:lang w:val="en-US" w:eastAsia="zh-CN" w:bidi="ar-SA"/>
    </w:rPr>
  </w:style>
  <w:style w:type="paragraph" w:customStyle="1" w:styleId="72">
    <w:name w:val="标准称谓"/>
    <w:next w:val="1"/>
    <w:unhideWhenUsed/>
    <w:qFormat/>
    <w:uiPriority w:val="0"/>
    <w:pPr>
      <w:framePr w:w="9639" w:h="624" w:hRule="exact" w:hSpace="181" w:vSpace="181" w:wrap="around" w:vAnchor="page" w:hAnchor="page" w:x="1419" w:y="2286" w:anchorLock="1"/>
      <w:widowControl w:val="0"/>
      <w:kinsoku w:val="0"/>
      <w:overflowPunct w:val="0"/>
      <w:autoSpaceDE w:val="0"/>
      <w:autoSpaceDN w:val="0"/>
      <w:spacing w:after="160" w:line="0" w:lineRule="atLeast"/>
      <w:jc w:val="distribute"/>
    </w:pPr>
    <w:rPr>
      <w:rFonts w:ascii="宋体" w:hAnsi="Times New Roman" w:eastAsia="宋体" w:cs="Times New Roman"/>
      <w:b/>
      <w:bCs/>
      <w:spacing w:val="20"/>
      <w:w w:val="148"/>
      <w:sz w:val="48"/>
      <w:lang w:val="en-US" w:eastAsia="zh-CN" w:bidi="ar-SA"/>
    </w:rPr>
  </w:style>
  <w:style w:type="paragraph" w:customStyle="1" w:styleId="73">
    <w:name w:val="标准书脚_偶数页"/>
    <w:unhideWhenUsed/>
    <w:qFormat/>
    <w:uiPriority w:val="0"/>
    <w:pPr>
      <w:spacing w:before="120" w:after="160" w:line="278" w:lineRule="auto"/>
      <w:ind w:left="221"/>
    </w:pPr>
    <w:rPr>
      <w:rFonts w:ascii="宋体" w:hAnsi="Times New Roman" w:eastAsia="宋体" w:cs="Times New Roman"/>
      <w:sz w:val="18"/>
      <w:szCs w:val="18"/>
      <w:lang w:val="en-US" w:eastAsia="zh-CN" w:bidi="ar-SA"/>
    </w:rPr>
  </w:style>
  <w:style w:type="paragraph" w:customStyle="1" w:styleId="74">
    <w:name w:val="标准书眉_偶数页"/>
    <w:basedOn w:val="49"/>
    <w:next w:val="1"/>
    <w:unhideWhenUsed/>
    <w:qFormat/>
    <w:uiPriority w:val="0"/>
    <w:pPr>
      <w:jc w:val="left"/>
    </w:pPr>
  </w:style>
  <w:style w:type="paragraph" w:customStyle="1" w:styleId="75">
    <w:name w:val="标准书眉一"/>
    <w:unhideWhenUsed/>
    <w:qFormat/>
    <w:uiPriority w:val="0"/>
    <w:pPr>
      <w:spacing w:after="160" w:line="278" w:lineRule="auto"/>
      <w:jc w:val="both"/>
    </w:pPr>
    <w:rPr>
      <w:rFonts w:ascii="Times New Roman" w:hAnsi="Times New Roman" w:eastAsia="宋体" w:cs="Times New Roman"/>
      <w:lang w:val="en-US" w:eastAsia="zh-CN" w:bidi="ar-SA"/>
    </w:rPr>
  </w:style>
  <w:style w:type="paragraph" w:customStyle="1" w:styleId="76">
    <w:name w:val="参考文献"/>
    <w:basedOn w:val="1"/>
    <w:next w:val="27"/>
    <w:unhideWhenUsed/>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7">
    <w:name w:val="参考文献、索引标题"/>
    <w:basedOn w:val="1"/>
    <w:next w:val="27"/>
    <w:unhideWhenUsed/>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8">
    <w:name w:val="发布"/>
    <w:basedOn w:val="39"/>
    <w:unhideWhenUsed/>
    <w:qFormat/>
    <w:uiPriority w:val="0"/>
    <w:rPr>
      <w:rFonts w:ascii="黑体" w:eastAsia="黑体"/>
      <w:spacing w:val="85"/>
      <w:w w:val="100"/>
      <w:position w:val="3"/>
      <w:sz w:val="28"/>
      <w:szCs w:val="28"/>
    </w:rPr>
  </w:style>
  <w:style w:type="paragraph" w:customStyle="1" w:styleId="79">
    <w:name w:val="发布部门"/>
    <w:next w:val="27"/>
    <w:unhideWhenUsed/>
    <w:qFormat/>
    <w:uiPriority w:val="0"/>
    <w:pPr>
      <w:framePr w:w="7938" w:h="1134" w:hRule="exact" w:hSpace="125" w:vSpace="181" w:wrap="around" w:vAnchor="page" w:hAnchor="page" w:x="2150" w:y="14630" w:anchorLock="1"/>
      <w:spacing w:after="160" w:line="278" w:lineRule="auto"/>
      <w:jc w:val="center"/>
    </w:pPr>
    <w:rPr>
      <w:rFonts w:ascii="宋体" w:hAnsi="Times New Roman" w:eastAsia="宋体" w:cs="Times New Roman"/>
      <w:b/>
      <w:spacing w:val="20"/>
      <w:w w:val="135"/>
      <w:sz w:val="28"/>
      <w:lang w:val="en-US" w:eastAsia="zh-CN" w:bidi="ar-SA"/>
    </w:rPr>
  </w:style>
  <w:style w:type="paragraph" w:customStyle="1" w:styleId="80">
    <w:name w:val="发布日期"/>
    <w:unhideWhenUsed/>
    <w:qFormat/>
    <w:uiPriority w:val="0"/>
    <w:pPr>
      <w:framePr w:w="3997" w:h="471" w:hRule="exact" w:vSpace="181" w:wrap="around" w:vAnchor="margin" w:hAnchor="page" w:x="7089" w:y="14097" w:anchorLock="1"/>
      <w:spacing w:after="160" w:line="278" w:lineRule="auto"/>
    </w:pPr>
    <w:rPr>
      <w:rFonts w:ascii="Times New Roman" w:hAnsi="Times New Roman" w:eastAsia="黑体" w:cs="Times New Roman"/>
      <w:sz w:val="28"/>
      <w:lang w:val="en-US" w:eastAsia="zh-CN" w:bidi="ar-SA"/>
    </w:rPr>
  </w:style>
  <w:style w:type="paragraph" w:customStyle="1" w:styleId="81">
    <w:name w:val="封面标准代替信息"/>
    <w:unhideWhenUsed/>
    <w:qFormat/>
    <w:uiPriority w:val="0"/>
    <w:pPr>
      <w:framePr w:w="9140" w:h="1242" w:hRule="exact" w:hSpace="284" w:wrap="around" w:vAnchor="page" w:hAnchor="page" w:x="1645" w:y="2910" w:anchorLock="1"/>
      <w:spacing w:before="57" w:after="160" w:line="280" w:lineRule="exact"/>
      <w:jc w:val="right"/>
    </w:pPr>
    <w:rPr>
      <w:rFonts w:ascii="宋体" w:hAnsi="Times New Roman" w:eastAsia="宋体" w:cs="Times New Roman"/>
      <w:sz w:val="21"/>
      <w:szCs w:val="21"/>
      <w:lang w:val="en-US" w:eastAsia="zh-CN" w:bidi="ar-SA"/>
    </w:rPr>
  </w:style>
  <w:style w:type="paragraph" w:customStyle="1" w:styleId="82">
    <w:name w:val="封面标准号1"/>
    <w:unhideWhenUsed/>
    <w:qFormat/>
    <w:uiPriority w:val="0"/>
    <w:pPr>
      <w:widowControl w:val="0"/>
      <w:kinsoku w:val="0"/>
      <w:overflowPunct w:val="0"/>
      <w:autoSpaceDE w:val="0"/>
      <w:autoSpaceDN w:val="0"/>
      <w:spacing w:before="308" w:after="160" w:line="278" w:lineRule="auto"/>
      <w:jc w:val="right"/>
      <w:textAlignment w:val="center"/>
    </w:pPr>
    <w:rPr>
      <w:rFonts w:ascii="Times New Roman" w:hAnsi="Times New Roman" w:eastAsia="宋体" w:cs="Times New Roman"/>
      <w:sz w:val="28"/>
      <w:lang w:val="en-US" w:eastAsia="zh-CN" w:bidi="ar-SA"/>
    </w:rPr>
  </w:style>
  <w:style w:type="paragraph" w:customStyle="1" w:styleId="83">
    <w:name w:val="封面标准名称"/>
    <w:unhideWhenUsed/>
    <w:qFormat/>
    <w:uiPriority w:val="0"/>
    <w:pPr>
      <w:framePr w:w="9639" w:h="6917" w:hRule="exact" w:wrap="around" w:vAnchor="page" w:hAnchor="page" w:xAlign="center" w:y="6408" w:anchorLock="1"/>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84">
    <w:name w:val="封面标准英文名称"/>
    <w:basedOn w:val="83"/>
    <w:unhideWhenUsed/>
    <w:qFormat/>
    <w:uiPriority w:val="0"/>
    <w:pPr>
      <w:framePr w:wrap="around"/>
      <w:spacing w:before="370" w:line="400" w:lineRule="exact"/>
    </w:pPr>
    <w:rPr>
      <w:rFonts w:ascii="Times New Roman"/>
      <w:sz w:val="28"/>
      <w:szCs w:val="28"/>
    </w:rPr>
  </w:style>
  <w:style w:type="paragraph" w:customStyle="1" w:styleId="85">
    <w:name w:val="封面一致性程度标识"/>
    <w:basedOn w:val="84"/>
    <w:unhideWhenUsed/>
    <w:qFormat/>
    <w:uiPriority w:val="0"/>
    <w:pPr>
      <w:framePr w:wrap="around"/>
      <w:spacing w:before="440"/>
    </w:pPr>
    <w:rPr>
      <w:rFonts w:ascii="宋体" w:eastAsia="宋体"/>
    </w:rPr>
  </w:style>
  <w:style w:type="paragraph" w:customStyle="1" w:styleId="86">
    <w:name w:val="封面标准文稿类别"/>
    <w:basedOn w:val="85"/>
    <w:unhideWhenUsed/>
    <w:qFormat/>
    <w:uiPriority w:val="0"/>
    <w:pPr>
      <w:framePr w:wrap="around"/>
      <w:spacing w:line="240" w:lineRule="auto"/>
    </w:pPr>
    <w:rPr>
      <w:sz w:val="24"/>
    </w:rPr>
  </w:style>
  <w:style w:type="paragraph" w:customStyle="1" w:styleId="87">
    <w:name w:val="封面标准文稿编辑信息"/>
    <w:basedOn w:val="86"/>
    <w:unhideWhenUsed/>
    <w:qFormat/>
    <w:uiPriority w:val="0"/>
    <w:pPr>
      <w:framePr w:wrap="around"/>
      <w:spacing w:before="180" w:line="180" w:lineRule="exact"/>
    </w:pPr>
    <w:rPr>
      <w:sz w:val="21"/>
    </w:rPr>
  </w:style>
  <w:style w:type="paragraph" w:customStyle="1" w:styleId="88">
    <w:name w:val="封面正文"/>
    <w:unhideWhenUsed/>
    <w:qFormat/>
    <w:uiPriority w:val="0"/>
    <w:pPr>
      <w:spacing w:after="160" w:line="278" w:lineRule="auto"/>
      <w:jc w:val="both"/>
    </w:pPr>
    <w:rPr>
      <w:rFonts w:ascii="Times New Roman" w:hAnsi="Times New Roman" w:eastAsia="宋体" w:cs="Times New Roman"/>
      <w:lang w:val="en-US" w:eastAsia="zh-CN" w:bidi="ar-SA"/>
    </w:rPr>
  </w:style>
  <w:style w:type="paragraph" w:customStyle="1" w:styleId="89">
    <w:name w:val="附录标识"/>
    <w:basedOn w:val="1"/>
    <w:next w:val="27"/>
    <w:unhideWhenUsed/>
    <w:qFormat/>
    <w:uiPriority w:val="0"/>
    <w:pPr>
      <w:keepNext/>
      <w:widowControl/>
      <w:numPr>
        <w:ilvl w:val="0"/>
        <w:numId w:val="6"/>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90">
    <w:name w:val="附录标题"/>
    <w:basedOn w:val="27"/>
    <w:next w:val="27"/>
    <w:unhideWhenUsed/>
    <w:qFormat/>
    <w:uiPriority w:val="0"/>
    <w:pPr>
      <w:ind w:firstLine="0" w:firstLineChars="0"/>
      <w:jc w:val="center"/>
    </w:pPr>
    <w:rPr>
      <w:rFonts w:ascii="黑体" w:eastAsia="黑体"/>
    </w:rPr>
  </w:style>
  <w:style w:type="paragraph" w:customStyle="1" w:styleId="91">
    <w:name w:val="附录表标号"/>
    <w:basedOn w:val="1"/>
    <w:next w:val="27"/>
    <w:unhideWhenUsed/>
    <w:qFormat/>
    <w:uiPriority w:val="0"/>
    <w:pPr>
      <w:numPr>
        <w:ilvl w:val="0"/>
        <w:numId w:val="7"/>
      </w:numPr>
      <w:tabs>
        <w:tab w:val="clear" w:pos="0"/>
      </w:tabs>
      <w:spacing w:line="14" w:lineRule="exact"/>
      <w:ind w:left="811" w:hanging="448"/>
      <w:jc w:val="center"/>
      <w:outlineLvl w:val="0"/>
    </w:pPr>
    <w:rPr>
      <w:color w:val="FFFFFF"/>
    </w:rPr>
  </w:style>
  <w:style w:type="paragraph" w:customStyle="1" w:styleId="92">
    <w:name w:val="附录表标题"/>
    <w:basedOn w:val="1"/>
    <w:next w:val="27"/>
    <w:unhideWhenUsed/>
    <w:qFormat/>
    <w:uiPriority w:val="0"/>
    <w:pPr>
      <w:numPr>
        <w:ilvl w:val="1"/>
        <w:numId w:val="7"/>
      </w:numPr>
      <w:tabs>
        <w:tab w:val="left" w:pos="180"/>
      </w:tabs>
      <w:spacing w:beforeLines="50" w:afterLines="50"/>
      <w:ind w:left="0" w:firstLine="0"/>
      <w:jc w:val="center"/>
    </w:pPr>
    <w:rPr>
      <w:rFonts w:ascii="黑体" w:eastAsia="黑体"/>
      <w:szCs w:val="21"/>
    </w:rPr>
  </w:style>
  <w:style w:type="paragraph" w:customStyle="1" w:styleId="93">
    <w:name w:val="附录二级条标题"/>
    <w:basedOn w:val="1"/>
    <w:next w:val="27"/>
    <w:unhideWhenUsed/>
    <w:qFormat/>
    <w:uiPriority w:val="0"/>
    <w:pPr>
      <w:widowControl/>
      <w:numPr>
        <w:ilvl w:val="3"/>
        <w:numId w:val="6"/>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94">
    <w:name w:val="附录二级无"/>
    <w:basedOn w:val="93"/>
    <w:unhideWhenUsed/>
    <w:qFormat/>
    <w:uiPriority w:val="0"/>
    <w:pPr>
      <w:tabs>
        <w:tab w:val="clear" w:pos="360"/>
      </w:tabs>
      <w:spacing w:beforeLines="0" w:afterLines="0"/>
    </w:pPr>
    <w:rPr>
      <w:rFonts w:ascii="宋体" w:eastAsia="宋体"/>
      <w:szCs w:val="21"/>
    </w:rPr>
  </w:style>
  <w:style w:type="paragraph" w:customStyle="1" w:styleId="95">
    <w:name w:val="附录公式"/>
    <w:basedOn w:val="27"/>
    <w:next w:val="27"/>
    <w:link w:val="96"/>
    <w:unhideWhenUsed/>
    <w:qFormat/>
    <w:uiPriority w:val="0"/>
  </w:style>
  <w:style w:type="character" w:customStyle="1" w:styleId="96">
    <w:name w:val="附录公式 Char"/>
    <w:basedOn w:val="46"/>
    <w:link w:val="95"/>
    <w:qFormat/>
    <w:uiPriority w:val="0"/>
    <w:rPr>
      <w:rFonts w:ascii="宋体" w:hAnsi="Times New Roman" w:eastAsia="宋体" w:cs="Times New Roman"/>
      <w:sz w:val="21"/>
    </w:rPr>
  </w:style>
  <w:style w:type="paragraph" w:customStyle="1" w:styleId="97">
    <w:name w:val="附录公式编号制表符"/>
    <w:basedOn w:val="1"/>
    <w:next w:val="27"/>
    <w:unhideWhenUsed/>
    <w:qFormat/>
    <w:uiPriority w:val="0"/>
    <w:pPr>
      <w:widowControl/>
      <w:tabs>
        <w:tab w:val="center" w:pos="4201"/>
        <w:tab w:val="right" w:leader="dot" w:pos="9298"/>
      </w:tabs>
      <w:autoSpaceDE w:val="0"/>
      <w:autoSpaceDN w:val="0"/>
    </w:pPr>
    <w:rPr>
      <w:rFonts w:ascii="宋体"/>
      <w:kern w:val="0"/>
      <w:szCs w:val="20"/>
    </w:rPr>
  </w:style>
  <w:style w:type="paragraph" w:customStyle="1" w:styleId="98">
    <w:name w:val="附录三级条标题"/>
    <w:basedOn w:val="93"/>
    <w:next w:val="27"/>
    <w:unhideWhenUsed/>
    <w:qFormat/>
    <w:uiPriority w:val="0"/>
    <w:pPr>
      <w:numPr>
        <w:ilvl w:val="4"/>
      </w:numPr>
      <w:outlineLvl w:val="4"/>
    </w:pPr>
  </w:style>
  <w:style w:type="paragraph" w:customStyle="1" w:styleId="99">
    <w:name w:val="附录三级无"/>
    <w:basedOn w:val="98"/>
    <w:unhideWhenUsed/>
    <w:qFormat/>
    <w:uiPriority w:val="0"/>
    <w:pPr>
      <w:tabs>
        <w:tab w:val="clear" w:pos="360"/>
      </w:tabs>
      <w:spacing w:beforeLines="0" w:afterLines="0"/>
    </w:pPr>
    <w:rPr>
      <w:rFonts w:ascii="宋体" w:eastAsia="宋体"/>
      <w:szCs w:val="21"/>
    </w:rPr>
  </w:style>
  <w:style w:type="paragraph" w:customStyle="1" w:styleId="100">
    <w:name w:val="附录数字编号列项（二级）"/>
    <w:unhideWhenUsed/>
    <w:qFormat/>
    <w:uiPriority w:val="0"/>
    <w:pPr>
      <w:numPr>
        <w:ilvl w:val="1"/>
        <w:numId w:val="8"/>
      </w:numPr>
      <w:spacing w:after="160" w:line="278" w:lineRule="auto"/>
    </w:pPr>
    <w:rPr>
      <w:rFonts w:ascii="宋体" w:hAnsi="Times New Roman" w:eastAsia="宋体" w:cs="Times New Roman"/>
      <w:sz w:val="21"/>
      <w:lang w:val="en-US" w:eastAsia="zh-CN" w:bidi="ar-SA"/>
    </w:rPr>
  </w:style>
  <w:style w:type="paragraph" w:customStyle="1" w:styleId="101">
    <w:name w:val="附录四级条标题"/>
    <w:basedOn w:val="98"/>
    <w:next w:val="27"/>
    <w:unhideWhenUsed/>
    <w:qFormat/>
    <w:uiPriority w:val="0"/>
    <w:pPr>
      <w:numPr>
        <w:ilvl w:val="5"/>
      </w:numPr>
      <w:outlineLvl w:val="5"/>
    </w:pPr>
  </w:style>
  <w:style w:type="paragraph" w:customStyle="1" w:styleId="102">
    <w:name w:val="附录四级无"/>
    <w:basedOn w:val="101"/>
    <w:unhideWhenUsed/>
    <w:qFormat/>
    <w:uiPriority w:val="0"/>
    <w:pPr>
      <w:tabs>
        <w:tab w:val="clear" w:pos="360"/>
      </w:tabs>
      <w:spacing w:beforeLines="0" w:afterLines="0"/>
    </w:pPr>
    <w:rPr>
      <w:rFonts w:ascii="宋体" w:eastAsia="宋体"/>
      <w:szCs w:val="21"/>
    </w:rPr>
  </w:style>
  <w:style w:type="paragraph" w:customStyle="1" w:styleId="103">
    <w:name w:val="附录图标号"/>
    <w:basedOn w:val="1"/>
    <w:unhideWhenUsed/>
    <w:qFormat/>
    <w:uiPriority w:val="0"/>
    <w:pPr>
      <w:keepNext/>
      <w:pageBreakBefore/>
      <w:widowControl/>
      <w:numPr>
        <w:ilvl w:val="0"/>
        <w:numId w:val="9"/>
      </w:numPr>
      <w:spacing w:line="14" w:lineRule="exact"/>
      <w:ind w:left="0" w:firstLine="363"/>
      <w:jc w:val="center"/>
      <w:outlineLvl w:val="0"/>
    </w:pPr>
    <w:rPr>
      <w:color w:val="FFFFFF"/>
    </w:rPr>
  </w:style>
  <w:style w:type="paragraph" w:customStyle="1" w:styleId="104">
    <w:name w:val="附录图标题"/>
    <w:basedOn w:val="1"/>
    <w:next w:val="27"/>
    <w:unhideWhenUsed/>
    <w:qFormat/>
    <w:uiPriority w:val="0"/>
    <w:pPr>
      <w:numPr>
        <w:ilvl w:val="1"/>
        <w:numId w:val="9"/>
      </w:numPr>
      <w:tabs>
        <w:tab w:val="left" w:pos="363"/>
      </w:tabs>
      <w:spacing w:beforeLines="50" w:afterLines="50"/>
      <w:ind w:left="0" w:firstLine="0"/>
      <w:jc w:val="center"/>
    </w:pPr>
    <w:rPr>
      <w:rFonts w:ascii="黑体" w:eastAsia="黑体"/>
      <w:szCs w:val="21"/>
    </w:rPr>
  </w:style>
  <w:style w:type="paragraph" w:customStyle="1" w:styleId="105">
    <w:name w:val="附录五级条标题"/>
    <w:basedOn w:val="101"/>
    <w:next w:val="27"/>
    <w:unhideWhenUsed/>
    <w:qFormat/>
    <w:uiPriority w:val="0"/>
    <w:pPr>
      <w:numPr>
        <w:ilvl w:val="6"/>
      </w:numPr>
      <w:outlineLvl w:val="6"/>
    </w:pPr>
  </w:style>
  <w:style w:type="paragraph" w:customStyle="1" w:styleId="106">
    <w:name w:val="附录五级无"/>
    <w:basedOn w:val="105"/>
    <w:unhideWhenUsed/>
    <w:qFormat/>
    <w:uiPriority w:val="0"/>
    <w:pPr>
      <w:tabs>
        <w:tab w:val="clear" w:pos="360"/>
      </w:tabs>
      <w:spacing w:beforeLines="0" w:afterLines="0"/>
    </w:pPr>
    <w:rPr>
      <w:rFonts w:ascii="宋体" w:eastAsia="宋体"/>
      <w:szCs w:val="21"/>
    </w:rPr>
  </w:style>
  <w:style w:type="paragraph" w:customStyle="1" w:styleId="107">
    <w:name w:val="附录章标题"/>
    <w:next w:val="27"/>
    <w:unhideWhenUsed/>
    <w:qFormat/>
    <w:uiPriority w:val="0"/>
    <w:pPr>
      <w:numPr>
        <w:ilvl w:val="1"/>
        <w:numId w:val="6"/>
      </w:numPr>
      <w:tabs>
        <w:tab w:val="left" w:pos="360"/>
      </w:tabs>
      <w:wordWrap w:val="0"/>
      <w:overflowPunct w:val="0"/>
      <w:autoSpaceDE w:val="0"/>
      <w:spacing w:beforeLines="100" w:after="160" w:afterLines="100" w:line="278" w:lineRule="auto"/>
      <w:jc w:val="both"/>
      <w:textAlignment w:val="baseline"/>
      <w:outlineLvl w:val="1"/>
    </w:pPr>
    <w:rPr>
      <w:rFonts w:ascii="黑体" w:hAnsi="Times New Roman" w:eastAsia="黑体" w:cs="Times New Roman"/>
      <w:kern w:val="21"/>
      <w:sz w:val="21"/>
      <w:lang w:val="en-US" w:eastAsia="zh-CN" w:bidi="ar-SA"/>
    </w:rPr>
  </w:style>
  <w:style w:type="paragraph" w:customStyle="1" w:styleId="108">
    <w:name w:val="附录一级条标题"/>
    <w:basedOn w:val="107"/>
    <w:next w:val="27"/>
    <w:unhideWhenUsed/>
    <w:qFormat/>
    <w:uiPriority w:val="0"/>
    <w:pPr>
      <w:numPr>
        <w:ilvl w:val="2"/>
      </w:numPr>
      <w:autoSpaceDN w:val="0"/>
      <w:spacing w:beforeLines="50" w:afterLines="50"/>
      <w:outlineLvl w:val="2"/>
    </w:pPr>
  </w:style>
  <w:style w:type="paragraph" w:customStyle="1" w:styleId="109">
    <w:name w:val="附录一级无"/>
    <w:basedOn w:val="108"/>
    <w:unhideWhenUsed/>
    <w:qFormat/>
    <w:uiPriority w:val="0"/>
    <w:pPr>
      <w:tabs>
        <w:tab w:val="clear" w:pos="360"/>
      </w:tabs>
      <w:spacing w:beforeLines="0" w:afterLines="0"/>
    </w:pPr>
    <w:rPr>
      <w:rFonts w:ascii="宋体" w:eastAsia="宋体"/>
      <w:szCs w:val="21"/>
    </w:rPr>
  </w:style>
  <w:style w:type="paragraph" w:customStyle="1" w:styleId="110">
    <w:name w:val="附录字母编号列项（一级）"/>
    <w:unhideWhenUsed/>
    <w:qFormat/>
    <w:uiPriority w:val="0"/>
    <w:pPr>
      <w:numPr>
        <w:ilvl w:val="0"/>
        <w:numId w:val="8"/>
      </w:numPr>
      <w:spacing w:after="160" w:line="278" w:lineRule="auto"/>
    </w:pPr>
    <w:rPr>
      <w:rFonts w:ascii="宋体" w:hAnsi="Times New Roman" w:eastAsia="宋体" w:cs="Times New Roman"/>
      <w:sz w:val="21"/>
      <w:lang w:val="en-US" w:eastAsia="zh-CN" w:bidi="ar-SA"/>
    </w:rPr>
  </w:style>
  <w:style w:type="paragraph" w:customStyle="1" w:styleId="111">
    <w:name w:val="列项说明"/>
    <w:basedOn w:val="1"/>
    <w:unhideWhenUsed/>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2">
    <w:name w:val="列项说明数字编号"/>
    <w:unhideWhenUsed/>
    <w:qFormat/>
    <w:uiPriority w:val="0"/>
    <w:pPr>
      <w:spacing w:after="160" w:line="278" w:lineRule="auto"/>
      <w:ind w:left="600" w:leftChars="400" w:hanging="200" w:hangingChars="200"/>
    </w:pPr>
    <w:rPr>
      <w:rFonts w:ascii="宋体" w:hAnsi="Times New Roman" w:eastAsia="宋体" w:cs="Times New Roman"/>
      <w:sz w:val="21"/>
      <w:lang w:val="en-US" w:eastAsia="zh-CN" w:bidi="ar-SA"/>
    </w:rPr>
  </w:style>
  <w:style w:type="paragraph" w:customStyle="1" w:styleId="113">
    <w:name w:val="目次、索引正文"/>
    <w:unhideWhenUsed/>
    <w:qFormat/>
    <w:uiPriority w:val="0"/>
    <w:pPr>
      <w:spacing w:after="160" w:line="320" w:lineRule="exact"/>
      <w:jc w:val="both"/>
    </w:pPr>
    <w:rPr>
      <w:rFonts w:ascii="宋体" w:hAnsi="Times New Roman" w:eastAsia="宋体" w:cs="Times New Roman"/>
      <w:sz w:val="21"/>
      <w:lang w:val="en-US" w:eastAsia="zh-CN" w:bidi="ar-SA"/>
    </w:rPr>
  </w:style>
  <w:style w:type="paragraph" w:customStyle="1" w:styleId="114">
    <w:name w:val="其他标准标志"/>
    <w:basedOn w:val="71"/>
    <w:unhideWhenUsed/>
    <w:qFormat/>
    <w:uiPriority w:val="0"/>
    <w:pPr>
      <w:framePr w:w="6101" w:wrap="around" w:vAnchor="page" w:hAnchor="page" w:x="4673" w:y="942"/>
    </w:pPr>
    <w:rPr>
      <w:w w:val="130"/>
    </w:rPr>
  </w:style>
  <w:style w:type="paragraph" w:customStyle="1" w:styleId="115">
    <w:name w:val="其他标准称谓"/>
    <w:next w:val="1"/>
    <w:unhideWhenUsed/>
    <w:qFormat/>
    <w:uiPriority w:val="0"/>
    <w:pPr>
      <w:framePr w:hSpace="181" w:vSpace="181" w:wrap="around" w:vAnchor="page" w:hAnchor="page" w:x="1419" w:y="2286" w:anchorLock="1"/>
      <w:spacing w:after="160" w:line="0" w:lineRule="atLeast"/>
      <w:jc w:val="distribute"/>
    </w:pPr>
    <w:rPr>
      <w:rFonts w:ascii="黑体" w:hAnsi="宋体" w:eastAsia="黑体" w:cs="Times New Roman"/>
      <w:spacing w:val="-40"/>
      <w:sz w:val="48"/>
      <w:szCs w:val="52"/>
      <w:lang w:val="en-US" w:eastAsia="zh-CN" w:bidi="ar-SA"/>
    </w:rPr>
  </w:style>
  <w:style w:type="paragraph" w:customStyle="1" w:styleId="116">
    <w:name w:val="其他发布部门"/>
    <w:basedOn w:val="79"/>
    <w:unhideWhenUsed/>
    <w:qFormat/>
    <w:uiPriority w:val="0"/>
    <w:pPr>
      <w:framePr w:wrap="around" w:y="15310"/>
      <w:spacing w:line="0" w:lineRule="atLeast"/>
    </w:pPr>
    <w:rPr>
      <w:rFonts w:ascii="黑体" w:eastAsia="黑体"/>
      <w:b w:val="0"/>
    </w:rPr>
  </w:style>
  <w:style w:type="paragraph" w:customStyle="1" w:styleId="117">
    <w:name w:val="前言、引言标题"/>
    <w:next w:val="27"/>
    <w:unhideWhenUsed/>
    <w:qFormat/>
    <w:uiPriority w:val="0"/>
    <w:pPr>
      <w:keepNext/>
      <w:pageBreakBefore/>
      <w:shd w:val="clear" w:color="FFFFFF" w:fill="FFFFFF"/>
      <w:spacing w:before="640" w:after="560" w:line="278" w:lineRule="auto"/>
      <w:jc w:val="center"/>
      <w:outlineLvl w:val="0"/>
    </w:pPr>
    <w:rPr>
      <w:rFonts w:ascii="黑体" w:hAnsi="Times New Roman" w:eastAsia="黑体" w:cs="Times New Roman"/>
      <w:sz w:val="32"/>
      <w:lang w:val="en-US" w:eastAsia="zh-CN" w:bidi="ar-SA"/>
    </w:rPr>
  </w:style>
  <w:style w:type="paragraph" w:customStyle="1" w:styleId="118">
    <w:name w:val="三级无"/>
    <w:basedOn w:val="57"/>
    <w:link w:val="152"/>
    <w:unhideWhenUsed/>
    <w:qFormat/>
    <w:uiPriority w:val="0"/>
    <w:rPr>
      <w:rFonts w:ascii="宋体" w:eastAsia="宋体"/>
    </w:rPr>
  </w:style>
  <w:style w:type="paragraph" w:customStyle="1" w:styleId="119">
    <w:name w:val="实施日期"/>
    <w:basedOn w:val="80"/>
    <w:unhideWhenUsed/>
    <w:qFormat/>
    <w:uiPriority w:val="0"/>
    <w:pPr>
      <w:framePr w:wrap="around" w:vAnchor="page" w:hAnchor="text"/>
      <w:jc w:val="right"/>
    </w:pPr>
  </w:style>
  <w:style w:type="paragraph" w:customStyle="1" w:styleId="120">
    <w:name w:val="示例后文字"/>
    <w:basedOn w:val="27"/>
    <w:next w:val="27"/>
    <w:unhideWhenUsed/>
    <w:qFormat/>
    <w:uiPriority w:val="0"/>
    <w:pPr>
      <w:ind w:firstLine="360"/>
    </w:pPr>
    <w:rPr>
      <w:sz w:val="18"/>
    </w:rPr>
  </w:style>
  <w:style w:type="paragraph" w:customStyle="1" w:styleId="121">
    <w:name w:val="首示例"/>
    <w:next w:val="27"/>
    <w:link w:val="122"/>
    <w:unhideWhenUsed/>
    <w:qFormat/>
    <w:uiPriority w:val="0"/>
    <w:pPr>
      <w:tabs>
        <w:tab w:val="left" w:pos="360"/>
      </w:tabs>
      <w:spacing w:after="160" w:line="278" w:lineRule="auto"/>
    </w:pPr>
    <w:rPr>
      <w:rFonts w:ascii="宋体" w:hAnsi="宋体" w:eastAsia="宋体" w:cs="Times New Roman"/>
      <w:kern w:val="2"/>
      <w:sz w:val="18"/>
      <w:szCs w:val="18"/>
      <w:lang w:val="en-US" w:eastAsia="zh-CN" w:bidi="ar-SA"/>
    </w:rPr>
  </w:style>
  <w:style w:type="character" w:customStyle="1" w:styleId="122">
    <w:name w:val="首示例 Char"/>
    <w:basedOn w:val="39"/>
    <w:link w:val="121"/>
    <w:qFormat/>
    <w:uiPriority w:val="0"/>
    <w:rPr>
      <w:rFonts w:ascii="宋体" w:hAnsi="宋体" w:eastAsia="宋体" w:cs="Times New Roman"/>
      <w:kern w:val="2"/>
      <w:sz w:val="18"/>
      <w:szCs w:val="18"/>
    </w:rPr>
  </w:style>
  <w:style w:type="paragraph" w:customStyle="1" w:styleId="123">
    <w:name w:val="四级无"/>
    <w:basedOn w:val="61"/>
    <w:unhideWhenUsed/>
    <w:qFormat/>
    <w:uiPriority w:val="0"/>
    <w:rPr>
      <w:rFonts w:ascii="宋体" w:eastAsia="宋体"/>
    </w:rPr>
  </w:style>
  <w:style w:type="paragraph" w:customStyle="1" w:styleId="124">
    <w:name w:val="条文脚注"/>
    <w:basedOn w:val="28"/>
    <w:unhideWhenUsed/>
    <w:qFormat/>
    <w:uiPriority w:val="0"/>
    <w:pPr>
      <w:numPr>
        <w:numId w:val="0"/>
      </w:numPr>
      <w:jc w:val="both"/>
    </w:pPr>
  </w:style>
  <w:style w:type="paragraph" w:customStyle="1" w:styleId="125">
    <w:name w:val="图标脚注说明"/>
    <w:basedOn w:val="27"/>
    <w:unhideWhenUsed/>
    <w:qFormat/>
    <w:uiPriority w:val="0"/>
    <w:pPr>
      <w:ind w:left="840" w:hanging="420" w:firstLineChars="0"/>
    </w:pPr>
    <w:rPr>
      <w:sz w:val="18"/>
      <w:szCs w:val="18"/>
    </w:rPr>
  </w:style>
  <w:style w:type="paragraph" w:customStyle="1" w:styleId="126">
    <w:name w:val="图表脚注说明"/>
    <w:basedOn w:val="1"/>
    <w:unhideWhenUsed/>
    <w:qFormat/>
    <w:uiPriority w:val="0"/>
    <w:pPr>
      <w:ind w:left="544" w:hanging="181"/>
    </w:pPr>
    <w:rPr>
      <w:rFonts w:ascii="宋体"/>
      <w:sz w:val="18"/>
      <w:szCs w:val="18"/>
    </w:rPr>
  </w:style>
  <w:style w:type="paragraph" w:customStyle="1" w:styleId="127">
    <w:name w:val="图的脚注"/>
    <w:next w:val="27"/>
    <w:unhideWhenUsed/>
    <w:qFormat/>
    <w:uiPriority w:val="0"/>
    <w:pPr>
      <w:widowControl w:val="0"/>
      <w:spacing w:after="160" w:line="278" w:lineRule="auto"/>
      <w:ind w:left="840" w:leftChars="200" w:hanging="420" w:hangingChars="200"/>
      <w:jc w:val="both"/>
    </w:pPr>
    <w:rPr>
      <w:rFonts w:ascii="宋体" w:hAnsi="Times New Roman" w:eastAsia="宋体" w:cs="Times New Roman"/>
      <w:sz w:val="18"/>
      <w:lang w:val="en-US" w:eastAsia="zh-CN" w:bidi="ar-SA"/>
    </w:rPr>
  </w:style>
  <w:style w:type="paragraph" w:customStyle="1" w:styleId="128">
    <w:name w:val="文献分类号"/>
    <w:unhideWhenUsed/>
    <w:qFormat/>
    <w:uiPriority w:val="0"/>
    <w:pPr>
      <w:framePr w:hSpace="180" w:vSpace="180" w:wrap="around" w:vAnchor="margin" w:hAnchor="margin" w:y="1" w:anchorLock="1"/>
      <w:widowControl w:val="0"/>
      <w:spacing w:after="160" w:line="278" w:lineRule="auto"/>
      <w:textAlignment w:val="center"/>
    </w:pPr>
    <w:rPr>
      <w:rFonts w:ascii="黑体" w:hAnsi="Times New Roman" w:eastAsia="黑体" w:cs="Times New Roman"/>
      <w:sz w:val="21"/>
      <w:szCs w:val="21"/>
      <w:lang w:val="en-US" w:eastAsia="zh-CN" w:bidi="ar-SA"/>
    </w:rPr>
  </w:style>
  <w:style w:type="paragraph" w:customStyle="1" w:styleId="129">
    <w:name w:val="五级无"/>
    <w:basedOn w:val="62"/>
    <w:unhideWhenUsed/>
    <w:qFormat/>
    <w:uiPriority w:val="0"/>
    <w:rPr>
      <w:rFonts w:ascii="宋体" w:eastAsia="宋体"/>
    </w:rPr>
  </w:style>
  <w:style w:type="paragraph" w:customStyle="1" w:styleId="130">
    <w:name w:val="一级无"/>
    <w:basedOn w:val="47"/>
    <w:unhideWhenUsed/>
    <w:qFormat/>
    <w:uiPriority w:val="0"/>
    <w:pPr>
      <w:spacing w:beforeLines="0" w:afterLines="0"/>
    </w:pPr>
    <w:rPr>
      <w:rFonts w:ascii="宋体" w:eastAsia="宋体"/>
    </w:rPr>
  </w:style>
  <w:style w:type="paragraph" w:customStyle="1" w:styleId="131">
    <w:name w:val="正文表标题"/>
    <w:next w:val="27"/>
    <w:unhideWhenUsed/>
    <w:qFormat/>
    <w:uiPriority w:val="0"/>
    <w:pPr>
      <w:tabs>
        <w:tab w:val="left" w:pos="360"/>
      </w:tabs>
      <w:spacing w:beforeLines="50" w:after="160" w:afterLines="50" w:line="278" w:lineRule="auto"/>
      <w:jc w:val="center"/>
    </w:pPr>
    <w:rPr>
      <w:rFonts w:ascii="黑体" w:hAnsi="Times New Roman" w:eastAsia="黑体" w:cs="Times New Roman"/>
      <w:sz w:val="21"/>
      <w:lang w:val="en-US" w:eastAsia="zh-CN" w:bidi="ar-SA"/>
    </w:rPr>
  </w:style>
  <w:style w:type="paragraph" w:customStyle="1" w:styleId="132">
    <w:name w:val="正文公式编号制表符"/>
    <w:basedOn w:val="27"/>
    <w:next w:val="27"/>
    <w:unhideWhenUsed/>
    <w:qFormat/>
    <w:uiPriority w:val="0"/>
    <w:pPr>
      <w:ind w:firstLine="0" w:firstLineChars="0"/>
    </w:pPr>
  </w:style>
  <w:style w:type="paragraph" w:customStyle="1" w:styleId="133">
    <w:name w:val="正文图标题"/>
    <w:next w:val="27"/>
    <w:unhideWhenUsed/>
    <w:qFormat/>
    <w:uiPriority w:val="0"/>
    <w:pPr>
      <w:tabs>
        <w:tab w:val="left" w:pos="360"/>
      </w:tabs>
      <w:spacing w:beforeLines="50" w:after="160" w:afterLines="50" w:line="278" w:lineRule="auto"/>
      <w:jc w:val="center"/>
    </w:pPr>
    <w:rPr>
      <w:rFonts w:ascii="黑体" w:hAnsi="Times New Roman" w:eastAsia="黑体" w:cs="Times New Roman"/>
      <w:sz w:val="21"/>
      <w:lang w:val="en-US" w:eastAsia="zh-CN" w:bidi="ar-SA"/>
    </w:rPr>
  </w:style>
  <w:style w:type="paragraph" w:customStyle="1" w:styleId="134">
    <w:name w:val="终结线"/>
    <w:basedOn w:val="1"/>
    <w:unhideWhenUsed/>
    <w:qFormat/>
    <w:uiPriority w:val="0"/>
    <w:pPr>
      <w:framePr w:hSpace="181" w:vSpace="181" w:wrap="around" w:vAnchor="text" w:hAnchor="margin" w:xAlign="center" w:y="285"/>
    </w:pPr>
  </w:style>
  <w:style w:type="paragraph" w:customStyle="1" w:styleId="135">
    <w:name w:val="其他发布日期"/>
    <w:basedOn w:val="80"/>
    <w:unhideWhenUsed/>
    <w:qFormat/>
    <w:uiPriority w:val="0"/>
    <w:pPr>
      <w:framePr w:wrap="around" w:vAnchor="page" w:hAnchor="text" w:x="1419"/>
    </w:pPr>
  </w:style>
  <w:style w:type="paragraph" w:customStyle="1" w:styleId="136">
    <w:name w:val="其他实施日期"/>
    <w:basedOn w:val="119"/>
    <w:unhideWhenUsed/>
    <w:qFormat/>
    <w:uiPriority w:val="0"/>
    <w:pPr>
      <w:framePr w:wrap="around"/>
    </w:pPr>
  </w:style>
  <w:style w:type="paragraph" w:customStyle="1" w:styleId="137">
    <w:name w:val="封面标准名称2"/>
    <w:basedOn w:val="83"/>
    <w:unhideWhenUsed/>
    <w:qFormat/>
    <w:uiPriority w:val="0"/>
    <w:pPr>
      <w:framePr w:wrap="around" w:y="4469"/>
      <w:spacing w:beforeLines="630"/>
    </w:pPr>
  </w:style>
  <w:style w:type="paragraph" w:customStyle="1" w:styleId="138">
    <w:name w:val="封面标准英文名称2"/>
    <w:basedOn w:val="84"/>
    <w:unhideWhenUsed/>
    <w:qFormat/>
    <w:uiPriority w:val="0"/>
    <w:pPr>
      <w:framePr w:wrap="around" w:y="4469"/>
    </w:pPr>
  </w:style>
  <w:style w:type="paragraph" w:customStyle="1" w:styleId="139">
    <w:name w:val="封面一致性程度标识2"/>
    <w:basedOn w:val="85"/>
    <w:unhideWhenUsed/>
    <w:qFormat/>
    <w:uiPriority w:val="0"/>
    <w:pPr>
      <w:framePr w:wrap="around" w:y="4469"/>
    </w:pPr>
  </w:style>
  <w:style w:type="paragraph" w:customStyle="1" w:styleId="140">
    <w:name w:val="封面标准文稿类别2"/>
    <w:basedOn w:val="86"/>
    <w:unhideWhenUsed/>
    <w:qFormat/>
    <w:uiPriority w:val="0"/>
    <w:pPr>
      <w:framePr w:wrap="around" w:y="4469"/>
    </w:pPr>
  </w:style>
  <w:style w:type="paragraph" w:customStyle="1" w:styleId="141">
    <w:name w:val="封面标准文稿编辑信息2"/>
    <w:basedOn w:val="87"/>
    <w:unhideWhenUsed/>
    <w:qFormat/>
    <w:uiPriority w:val="0"/>
    <w:pPr>
      <w:framePr w:wrap="around" w:y="4469"/>
    </w:pPr>
  </w:style>
  <w:style w:type="paragraph" w:customStyle="1" w:styleId="142">
    <w:name w:val="Table Paragraph"/>
    <w:basedOn w:val="1"/>
    <w:unhideWhenUsed/>
    <w:qFormat/>
    <w:uiPriority w:val="1"/>
    <w:rPr>
      <w:rFonts w:ascii="宋体" w:hAnsi="宋体" w:cs="宋体"/>
      <w:lang w:val="zh-CN" w:bidi="zh-CN"/>
    </w:rPr>
  </w:style>
  <w:style w:type="paragraph" w:styleId="143">
    <w:name w:val="List Paragraph"/>
    <w:basedOn w:val="1"/>
    <w:unhideWhenUsed/>
    <w:qFormat/>
    <w:uiPriority w:val="34"/>
    <w:pPr>
      <w:ind w:left="1420" w:hanging="602"/>
    </w:pPr>
    <w:rPr>
      <w:rFonts w:ascii="宋体" w:hAnsi="宋体" w:cs="宋体"/>
      <w:lang w:val="zh-CN" w:bidi="zh-CN"/>
    </w:rPr>
  </w:style>
  <w:style w:type="paragraph" w:customStyle="1" w:styleId="144">
    <w:name w:val="A00 表格文字"/>
    <w:qFormat/>
    <w:uiPriority w:val="0"/>
    <w:pPr>
      <w:spacing w:after="160" w:line="278" w:lineRule="auto"/>
      <w:jc w:val="center"/>
    </w:pPr>
    <w:rPr>
      <w:rFonts w:ascii="Times New Roman" w:hAnsi="Times New Roman" w:eastAsia="宋体" w:cs="Times New Roman"/>
      <w:sz w:val="21"/>
      <w:szCs w:val="21"/>
      <w:lang w:val="en-US" w:eastAsia="zh-CN" w:bidi="ar-SA"/>
    </w:rPr>
  </w:style>
  <w:style w:type="paragraph" w:customStyle="1" w:styleId="145">
    <w:name w:val="Default"/>
    <w:qFormat/>
    <w:uiPriority w:val="0"/>
    <w:pPr>
      <w:widowControl w:val="0"/>
      <w:autoSpaceDE w:val="0"/>
      <w:autoSpaceDN w:val="0"/>
      <w:adjustRightInd w:val="0"/>
      <w:spacing w:after="160" w:line="278" w:lineRule="auto"/>
    </w:pPr>
    <w:rPr>
      <w:rFonts w:ascii="黑体" w:eastAsia="黑体" w:cs="黑体" w:hAnsiTheme="minorHAnsi"/>
      <w:color w:val="000000"/>
      <w:sz w:val="24"/>
      <w:szCs w:val="24"/>
      <w:lang w:val="en-US" w:eastAsia="zh-CN" w:bidi="ar-SA"/>
    </w:rPr>
  </w:style>
  <w:style w:type="character" w:customStyle="1" w:styleId="146">
    <w:name w:val="批注文字 字符"/>
    <w:basedOn w:val="39"/>
    <w:link w:val="10"/>
    <w:qFormat/>
    <w:uiPriority w:val="0"/>
    <w:rPr>
      <w:rFonts w:ascii="Times New Roman" w:hAnsi="Times New Roman" w:eastAsia="宋体" w:cs="Times New Roman"/>
      <w:kern w:val="2"/>
      <w:sz w:val="21"/>
      <w:szCs w:val="24"/>
    </w:rPr>
  </w:style>
  <w:style w:type="character" w:customStyle="1" w:styleId="147">
    <w:name w:val="批注主题 字符"/>
    <w:basedOn w:val="146"/>
    <w:link w:val="35"/>
    <w:semiHidden/>
    <w:qFormat/>
    <w:uiPriority w:val="0"/>
    <w:rPr>
      <w:rFonts w:ascii="Times New Roman" w:hAnsi="Times New Roman" w:eastAsia="宋体" w:cs="Times New Roman"/>
      <w:b/>
      <w:bCs/>
      <w:kern w:val="2"/>
      <w:sz w:val="21"/>
      <w:szCs w:val="24"/>
    </w:rPr>
  </w:style>
  <w:style w:type="paragraph" w:customStyle="1" w:styleId="148">
    <w:name w:val="A 正文"/>
    <w:link w:val="149"/>
    <w:qFormat/>
    <w:uiPriority w:val="0"/>
    <w:pPr>
      <w:spacing w:after="160" w:afterLines="50" w:line="400" w:lineRule="exact"/>
      <w:ind w:firstLine="482"/>
      <w:jc w:val="both"/>
    </w:pPr>
    <w:rPr>
      <w:rFonts w:ascii="Times New Roman" w:hAnsi="Times New Roman" w:eastAsia="宋体" w:cs="宋体"/>
      <w:kern w:val="2"/>
      <w:sz w:val="24"/>
      <w:szCs w:val="24"/>
      <w:lang w:val="en-US" w:eastAsia="zh-CN" w:bidi="ar-SA"/>
    </w:rPr>
  </w:style>
  <w:style w:type="character" w:customStyle="1" w:styleId="149">
    <w:name w:val="A 正文 Char1"/>
    <w:basedOn w:val="39"/>
    <w:link w:val="148"/>
    <w:qFormat/>
    <w:uiPriority w:val="0"/>
    <w:rPr>
      <w:rFonts w:ascii="Times New Roman" w:hAnsi="Times New Roman" w:eastAsia="宋体" w:cs="宋体"/>
      <w:kern w:val="2"/>
      <w:sz w:val="24"/>
      <w:szCs w:val="24"/>
    </w:rPr>
  </w:style>
  <w:style w:type="paragraph" w:customStyle="1" w:styleId="150">
    <w:name w:val="修订1"/>
    <w:hidden/>
    <w:unhideWhenUsed/>
    <w:qFormat/>
    <w:uiPriority w:val="99"/>
    <w:pPr>
      <w:spacing w:after="160" w:line="278" w:lineRule="auto"/>
    </w:pPr>
    <w:rPr>
      <w:rFonts w:ascii="Times New Roman" w:hAnsi="Times New Roman" w:eastAsia="宋体" w:cs="Times New Roman"/>
      <w:kern w:val="2"/>
      <w:sz w:val="21"/>
      <w:szCs w:val="24"/>
      <w:lang w:val="en-US" w:eastAsia="zh-CN" w:bidi="ar-SA"/>
    </w:rPr>
  </w:style>
  <w:style w:type="character" w:customStyle="1" w:styleId="151">
    <w:name w:val="页脚 字符"/>
    <w:basedOn w:val="39"/>
    <w:link w:val="21"/>
    <w:qFormat/>
    <w:uiPriority w:val="99"/>
    <w:rPr>
      <w:rFonts w:ascii="Times New Roman" w:hAnsi="Times New Roman" w:eastAsia="宋体" w:cs="Times New Roman"/>
      <w:kern w:val="2"/>
      <w:sz w:val="18"/>
      <w:szCs w:val="18"/>
    </w:rPr>
  </w:style>
  <w:style w:type="character" w:customStyle="1" w:styleId="152">
    <w:name w:val="三级无 Char"/>
    <w:link w:val="118"/>
    <w:qFormat/>
    <w:uiPriority w:val="0"/>
    <w:rPr>
      <w:rFonts w:ascii="宋体" w:hAnsi="Times New Roman" w:eastAsia="宋体" w:cs="Times New Roman"/>
      <w:sz w:val="21"/>
      <w:szCs w:val="21"/>
    </w:rPr>
  </w:style>
  <w:style w:type="paragraph" w:customStyle="1" w:styleId="153">
    <w:name w:val="修订2"/>
    <w:hidden/>
    <w:semiHidden/>
    <w:qFormat/>
    <w:uiPriority w:val="99"/>
    <w:pPr>
      <w:spacing w:after="160" w:line="278" w:lineRule="auto"/>
    </w:pPr>
    <w:rPr>
      <w:rFonts w:ascii="Times New Roman" w:hAnsi="Times New Roman" w:eastAsia="宋体" w:cs="Times New Roman"/>
      <w:kern w:val="2"/>
      <w:sz w:val="21"/>
      <w:szCs w:val="24"/>
      <w:lang w:val="en-US" w:eastAsia="zh-CN" w:bidi="ar-SA"/>
    </w:rPr>
  </w:style>
  <w:style w:type="character" w:customStyle="1" w:styleId="154">
    <w:name w:val="批注框文本 字符"/>
    <w:basedOn w:val="39"/>
    <w:link w:val="20"/>
    <w:semiHidden/>
    <w:qFormat/>
    <w:uiPriority w:val="0"/>
    <w:rPr>
      <w:rFonts w:ascii="Times New Roman" w:hAnsi="Times New Roman" w:eastAsia="宋体" w:cs="Times New Roman"/>
      <w:kern w:val="2"/>
      <w:sz w:val="18"/>
      <w:szCs w:val="18"/>
    </w:rPr>
  </w:style>
  <w:style w:type="character" w:customStyle="1" w:styleId="155">
    <w:name w:val="标题 1 字符"/>
    <w:basedOn w:val="39"/>
    <w:link w:val="2"/>
    <w:qFormat/>
    <w:uiPriority w:val="0"/>
    <w:rPr>
      <w:rFonts w:ascii="Times New Roman" w:hAnsi="Times New Roman" w:eastAsia="宋体" w:cs="Times New Roman"/>
      <w:b/>
      <w:bCs/>
      <w:kern w:val="44"/>
      <w:sz w:val="44"/>
      <w:szCs w:val="44"/>
    </w:rPr>
  </w:style>
  <w:style w:type="paragraph" w:customStyle="1" w:styleId="156">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paragraph" w:customStyle="1" w:styleId="157">
    <w:name w:val="表内"/>
    <w:basedOn w:val="1"/>
    <w:link w:val="158"/>
    <w:qFormat/>
    <w:uiPriority w:val="0"/>
    <w:pPr>
      <w:jc w:val="center"/>
    </w:pPr>
    <w:rPr>
      <w:rFonts w:cstheme="minorBidi"/>
      <w:sz w:val="18"/>
      <w:szCs w:val="21"/>
    </w:rPr>
  </w:style>
  <w:style w:type="character" w:customStyle="1" w:styleId="158">
    <w:name w:val="表内 字符"/>
    <w:basedOn w:val="39"/>
    <w:link w:val="157"/>
    <w:qFormat/>
    <w:uiPriority w:val="0"/>
    <w:rPr>
      <w:rFonts w:ascii="Times New Roman" w:hAnsi="Times New Roman" w:eastAsia="宋体"/>
      <w:kern w:val="2"/>
      <w:sz w:val="18"/>
      <w:szCs w:val="21"/>
    </w:rPr>
  </w:style>
  <w:style w:type="character" w:customStyle="1" w:styleId="159">
    <w:name w:val="日期 字符"/>
    <w:basedOn w:val="39"/>
    <w:link w:val="18"/>
    <w:semiHidden/>
    <w:qFormat/>
    <w:uiPriority w:val="0"/>
    <w:rPr>
      <w:rFonts w:ascii="Times New Roman" w:hAnsi="Times New Roman" w:eastAsia="宋体" w:cs="Times New Roman"/>
      <w:kern w:val="2"/>
      <w:sz w:val="21"/>
      <w:szCs w:val="24"/>
    </w:rPr>
  </w:style>
  <w:style w:type="character" w:customStyle="1" w:styleId="160">
    <w:name w:val="正文文本 字符"/>
    <w:basedOn w:val="39"/>
    <w:link w:val="12"/>
    <w:qFormat/>
    <w:uiPriority w:val="1"/>
    <w:rPr>
      <w:rFonts w:ascii="宋体" w:hAnsi="宋体" w:eastAsia="宋体" w:cs="宋体"/>
      <w:kern w:val="2"/>
      <w:sz w:val="24"/>
      <w:szCs w:val="24"/>
      <w:lang w:val="zh-CN" w:bidi="zh-CN"/>
    </w:rPr>
  </w:style>
  <w:style w:type="character" w:customStyle="1" w:styleId="161">
    <w:name w:val="正文文本首行缩进 字符"/>
    <w:basedOn w:val="160"/>
    <w:link w:val="36"/>
    <w:qFormat/>
    <w:uiPriority w:val="99"/>
    <w:rPr>
      <w:rFonts w:ascii="宋体" w:hAnsi="宋体" w:eastAsia="宋体" w:cs="宋体"/>
      <w:kern w:val="2"/>
      <w:sz w:val="21"/>
      <w:szCs w:val="22"/>
      <w:lang w:val="zh-CN" w:bidi="zh-CN"/>
    </w:rPr>
  </w:style>
  <w:style w:type="character" w:customStyle="1" w:styleId="162">
    <w:name w:val="标题 2 字符"/>
    <w:basedOn w:val="39"/>
    <w:link w:val="3"/>
    <w:qFormat/>
    <w:uiPriority w:val="9"/>
    <w:rPr>
      <w:rFonts w:asciiTheme="majorHAnsi" w:hAnsiTheme="majorHAnsi" w:eastAsiaTheme="majorEastAsia" w:cstheme="majorBidi"/>
      <w:b/>
      <w:bCs/>
      <w:kern w:val="2"/>
      <w:sz w:val="32"/>
      <w:szCs w:val="32"/>
    </w:rPr>
  </w:style>
  <w:style w:type="character" w:customStyle="1" w:styleId="163">
    <w:name w:val="标题 3 字符"/>
    <w:basedOn w:val="39"/>
    <w:link w:val="4"/>
    <w:qFormat/>
    <w:uiPriority w:val="9"/>
    <w:rPr>
      <w:b/>
      <w:bCs/>
      <w:kern w:val="2"/>
      <w:sz w:val="32"/>
      <w:szCs w:val="32"/>
    </w:rPr>
  </w:style>
  <w:style w:type="paragraph" w:customStyle="1" w:styleId="164">
    <w:name w:val="修订3"/>
    <w:hidden/>
    <w:semiHidden/>
    <w:qFormat/>
    <w:uiPriority w:val="99"/>
    <w:pPr>
      <w:spacing w:after="160" w:line="278" w:lineRule="auto"/>
    </w:pPr>
    <w:rPr>
      <w:rFonts w:asciiTheme="minorHAnsi" w:hAnsiTheme="minorHAnsi" w:eastAsiaTheme="minorEastAsia" w:cstheme="minorBidi"/>
      <w:kern w:val="2"/>
      <w:sz w:val="21"/>
      <w:szCs w:val="22"/>
      <w:lang w:val="en-US" w:eastAsia="zh-CN" w:bidi="ar-SA"/>
    </w:rPr>
  </w:style>
  <w:style w:type="paragraph" w:customStyle="1" w:styleId="165">
    <w:name w:val="TOC 标题2"/>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166">
    <w:name w:val="页眉 字符"/>
    <w:basedOn w:val="39"/>
    <w:link w:val="22"/>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3.png"/><Relationship Id="rId2" Type="http://schemas.openxmlformats.org/officeDocument/2006/relationships/settings" Target="settings.xml"/><Relationship Id="rId19" Type="http://schemas.openxmlformats.org/officeDocument/2006/relationships/image" Target="media/image2.jpeg"/><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zle</Company>
  <Pages>17</Pages>
  <Words>2946</Words>
  <Characters>3450</Characters>
  <Lines>203</Lines>
  <Paragraphs>210</Paragraphs>
  <TotalTime>4</TotalTime>
  <ScaleCrop>false</ScaleCrop>
  <LinksUpToDate>false</LinksUpToDate>
  <CharactersWithSpaces>3608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2025-10-23T02:13:00Z</dcterms:created>
  <dc:creator>冯毅</dc:creator>
  <cp:lastModifiedBy>忐忑</cp:lastModifiedBy>
  <cp:lastPrinted>2022-11-21T16:09:00Z</cp:lastPrinted>
  <dcterms:modified xsi:type="dcterms:W3CDTF">2025-11-12T08:11:04Z</dcterms:modified>
  <dc:title>标准名称</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AMWinEqns">
    <vt:bool>true</vt:bool>
  </property>
  <property fmtid="{D5CDD505-2E9C-101B-9397-08002B2CF9AE}" pid="4" name="ICV">
    <vt:lpwstr>D86543688FDC41DDB765CED4348CF4E5</vt:lpwstr>
  </property>
  <property fmtid="{D5CDD505-2E9C-101B-9397-08002B2CF9AE}" pid="5" name="KSOTemplateDocerSaveRecord">
    <vt:lpwstr>eyJoZGlkIjoiMjE1MGZmOTRhZjllMGExZDlkZTMzYmYzNTljMTkwODUiLCJ1c2VySWQiOiI0MzYwMTU0NjQifQ==</vt:lpwstr>
  </property>
</Properties>
</file>