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D8B62">
      <w:pPr>
        <w:pStyle w:val="108"/>
        <w:rPr>
          <w:color w:val="000000" w:themeColor="text1"/>
          <w14:textFill>
            <w14:solidFill>
              <w14:schemeClr w14:val="tx1"/>
            </w14:solidFill>
          </w14:textFill>
        </w:rPr>
      </w:pPr>
    </w:p>
    <w:tbl>
      <w:tblPr>
        <w:tblStyle w:val="36"/>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41BB2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757918D9">
            <w:pPr>
              <w:pStyle w:val="68"/>
              <w:framePr w:wrap="around"/>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4445" b="3810"/>
                      <wp:wrapNone/>
                      <wp:docPr id="32"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txbx>
                              <w:txbxContent>
                                <w:p w14:paraId="41C61F7C"/>
                              </w:txbxContent>
                            </wps:txbx>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iuL+zVAAAABwEAAA8AAAAAAAAA&#10;AQAgAAAAIgAAAGRycy9kb3ducmV2LnhtbFBLAQIUABQAAAAIAIdO4kAQRi6KFAIAACwEAAAOAAAA&#10;AAAAAAEAIAAAACQBAABkcnMvZTJvRG9jLnhtbFBLBQYAAAAABgAGAFkBAACqBQAAAAA=&#10;">
                      <v:fill on="t" focussize="0,0"/>
                      <v:stroke on="f"/>
                      <v:imagedata o:title=""/>
                      <o:lock v:ext="edit" aspectratio="f"/>
                      <v:textbox>
                        <w:txbxContent>
                          <w:p w14:paraId="41C61F7C"/>
                        </w:txbxContent>
                      </v:textbox>
                    </v:rect>
                  </w:pict>
                </mc:Fallback>
              </mc:AlternateContent>
            </w:r>
          </w:p>
        </w:tc>
      </w:tr>
    </w:tbl>
    <w:p w14:paraId="44A330BA">
      <w:pPr>
        <w:pStyle w:val="151"/>
        <w:framePr w:wrap="around"/>
        <w:rPr>
          <w:b w:val="0"/>
          <w:color w:val="000000" w:themeColor="text1"/>
          <w14:textFill>
            <w14:solidFill>
              <w14:schemeClr w14:val="tx1"/>
            </w14:solidFill>
          </w14:textFill>
        </w:rPr>
      </w:pPr>
      <w:r>
        <w:rPr>
          <w:b w:val="0"/>
          <w:color w:val="000000" w:themeColor="text1"/>
          <w14:textFill>
            <w14:solidFill>
              <w14:schemeClr w14:val="tx1"/>
            </w14:solidFill>
          </w14:textFill>
        </w:rPr>
        <w:t>DB</w:t>
      </w:r>
      <w:r>
        <w:rPr>
          <w:rFonts w:hint="eastAsia"/>
          <w:b w:val="0"/>
          <w:color w:val="000000" w:themeColor="text1"/>
          <w14:textFill>
            <w14:solidFill>
              <w14:schemeClr w14:val="tx1"/>
            </w14:solidFill>
          </w14:textFill>
        </w:rPr>
        <w:t>34</w:t>
      </w:r>
    </w:p>
    <w:p w14:paraId="43912A15">
      <w:pPr>
        <w:pStyle w:val="112"/>
        <w:framePr w:wrap="around"/>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安徽省地方标准</w:t>
      </w:r>
    </w:p>
    <w:p w14:paraId="330851A7">
      <w:pPr>
        <w:pStyle w:val="96"/>
        <w:framePr w:wrap="around"/>
        <w:rPr>
          <w:rFonts w:hint="eastAsia" w:hAnsi="黑体"/>
          <w:color w:val="000000" w:themeColor="text1"/>
          <w14:textFill>
            <w14:solidFill>
              <w14:schemeClr w14:val="tx1"/>
            </w14:solidFill>
          </w14:textFill>
        </w:rPr>
      </w:pPr>
      <w:r>
        <w:rPr>
          <w:rFonts w:ascii="Times New Roman"/>
          <w:color w:val="000000" w:themeColor="text1"/>
          <w14:textFill>
            <w14:solidFill>
              <w14:schemeClr w14:val="tx1"/>
            </w14:solidFill>
          </w14:textFill>
        </w:rPr>
        <w:t xml:space="preserve">DB </w:t>
      </w:r>
      <w:r>
        <w:rPr>
          <w:rFonts w:hint="eastAsia" w:hAnsi="黑体"/>
          <w:color w:val="000000" w:themeColor="text1"/>
          <w14:textFill>
            <w14:solidFill>
              <w14:schemeClr w14:val="tx1"/>
            </w14:solidFill>
          </w14:textFill>
        </w:rPr>
        <w:t>34</w:t>
      </w:r>
      <w:r>
        <w:rPr>
          <w:rFonts w:hAnsi="黑体"/>
          <w:color w:val="000000" w:themeColor="text1"/>
          <w14:textFill>
            <w14:solidFill>
              <w14:schemeClr w14:val="tx1"/>
            </w14:solidFill>
          </w14:textFill>
        </w:rPr>
        <w:t>/</w:t>
      </w:r>
      <w:r>
        <w:rPr>
          <w:rFonts w:hint="eastAsia" w:hAnsi="黑体"/>
          <w:color w:val="000000" w:themeColor="text1"/>
          <w14:textFill>
            <w14:solidFill>
              <w14:schemeClr w14:val="tx1"/>
            </w14:solidFill>
          </w14:textFill>
        </w:rPr>
        <w:t>T</w:t>
      </w:r>
      <w:r>
        <w:rPr>
          <w:rFonts w:hAnsi="黑体"/>
          <w:color w:val="000000" w:themeColor="text1"/>
          <w14:textFill>
            <w14:solidFill>
              <w14:schemeClr w14:val="tx1"/>
            </w14:solidFill>
          </w14:textFill>
        </w:rPr>
        <w:t xml:space="preserve"> </w:t>
      </w:r>
      <w:r>
        <w:rPr>
          <w:rFonts w:hint="eastAsia" w:hAnsi="黑体"/>
          <w:color w:val="000000" w:themeColor="text1"/>
          <w14:textFill>
            <w14:solidFill>
              <w14:schemeClr w14:val="tx1"/>
            </w14:solidFill>
          </w14:textFill>
        </w:rPr>
        <w:t>XXXXX</w:t>
      </w:r>
      <w:r>
        <w:rPr>
          <w:rFonts w:hAnsi="黑体"/>
          <w:color w:val="000000" w:themeColor="text1"/>
          <w14:textFill>
            <w14:solidFill>
              <w14:schemeClr w14:val="tx1"/>
            </w14:solidFill>
          </w14:textFill>
        </w:rPr>
        <w:t>—</w:t>
      </w:r>
      <w:r>
        <w:rPr>
          <w:rFonts w:hint="eastAsia" w:hAnsi="黑体"/>
          <w:color w:val="000000" w:themeColor="text1"/>
          <w14:textFill>
            <w14:solidFill>
              <w14:schemeClr w14:val="tx1"/>
            </w14:solidFill>
          </w14:textFill>
        </w:rPr>
        <w:t>2020</w:t>
      </w:r>
    </w:p>
    <w:tbl>
      <w:tblPr>
        <w:tblStyle w:val="36"/>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3B96E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61314E54">
            <w:pPr>
              <w:pStyle w:val="60"/>
              <w:framePr w:wrap="around"/>
              <w:rPr>
                <w:color w:val="000000" w:themeColor="text1"/>
                <w14:textFill>
                  <w14:solidFill>
                    <w14:schemeClr w14:val="tx1"/>
                  </w14:solidFill>
                </w14:textFill>
              </w:rPr>
            </w:pPr>
            <w:bookmarkStart w:id="0" w:name="DT"/>
            <w:r>
              <w:rPr>
                <w:color w:val="000000" w:themeColor="text1"/>
                <w14:textFill>
                  <w14:solidFill>
                    <w14:schemeClr w14:val="tx1"/>
                  </w14:solidFill>
                </w14:textFill>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31"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txbx>
                              <w:txbxContent>
                                <w:p w14:paraId="291A51C1"/>
                              </w:txbxContent>
                            </wps:txbx>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mDyy9YAAAAIAQAADwAAAAAAAAABACAA&#10;AAAiAAAAZHJzL2Rvd25yZXYueG1sUEsBAhQAFAAAAAgAh07iQPSCoAMPAgAALAQAAA4AAAAAAAAA&#10;AQAgAAAAJQEAAGRycy9lMm9Eb2MueG1sUEsFBgAAAAAGAAYAWQEAAKYFAAAAAA==&#10;">
                      <v:fill on="t" focussize="0,0"/>
                      <v:stroke on="f"/>
                      <v:imagedata o:title=""/>
                      <o:lock v:ext="edit" aspectratio="f"/>
                      <v:textbox>
                        <w:txbxContent>
                          <w:p w14:paraId="291A51C1"/>
                        </w:txbxContent>
                      </v:textbox>
                    </v:rect>
                  </w:pict>
                </mc:Fallback>
              </mc:AlternateContent>
            </w:r>
            <w:bookmarkEnd w:id="0"/>
          </w:p>
        </w:tc>
      </w:tr>
    </w:tbl>
    <w:p w14:paraId="26C7EEBE">
      <w:pPr>
        <w:pStyle w:val="96"/>
        <w:framePr w:wrap="around"/>
        <w:rPr>
          <w:rFonts w:hint="eastAsia" w:hAnsi="黑体"/>
          <w:color w:val="000000" w:themeColor="text1"/>
          <w14:textFill>
            <w14:solidFill>
              <w14:schemeClr w14:val="tx1"/>
            </w14:solidFill>
          </w14:textFill>
        </w:rPr>
      </w:pPr>
    </w:p>
    <w:p w14:paraId="5F1EC15E">
      <w:pPr>
        <w:pStyle w:val="96"/>
        <w:framePr w:wrap="around"/>
        <w:rPr>
          <w:rFonts w:hint="eastAsia" w:hAnsi="黑体"/>
          <w:color w:val="000000" w:themeColor="text1"/>
          <w14:textFill>
            <w14:solidFill>
              <w14:schemeClr w14:val="tx1"/>
            </w14:solidFill>
          </w14:textFill>
        </w:rPr>
      </w:pPr>
    </w:p>
    <w:p w14:paraId="39ED24E4">
      <w:pPr>
        <w:pStyle w:val="86"/>
        <w:framePr w:wrap="around"/>
        <w:rPr>
          <w:rFonts w:hint="eastAsia" w:hAnsi="黑体" w:cs="黑体"/>
          <w:color w:val="000000" w:themeColor="text1"/>
          <w:szCs w:val="52"/>
          <w14:textFill>
            <w14:solidFill>
              <w14:schemeClr w14:val="tx1"/>
            </w14:solidFill>
          </w14:textFill>
        </w:rPr>
      </w:pPr>
      <w:r>
        <w:rPr>
          <w:rFonts w:hint="eastAsia" w:hAnsi="黑体" w:cs="黑体"/>
          <w:color w:val="000000" w:themeColor="text1"/>
          <w:szCs w:val="52"/>
          <w14:textFill>
            <w14:solidFill>
              <w14:schemeClr w14:val="tx1"/>
            </w14:solidFill>
          </w14:textFill>
        </w:rPr>
        <w:t>钢结构渡槽设计技术规范</w:t>
      </w:r>
    </w:p>
    <w:p w14:paraId="59AD0E53">
      <w:pPr>
        <w:pStyle w:val="86"/>
        <w:framePr w:wrap="around"/>
        <w:rPr>
          <w:rFonts w:hint="eastAsia" w:hAnsi="黑体" w:cs="黑体"/>
          <w:color w:val="000000" w:themeColor="text1"/>
          <w:sz w:val="28"/>
          <w:szCs w:val="28"/>
          <w14:textFill>
            <w14:solidFill>
              <w14:schemeClr w14:val="tx1"/>
            </w14:solidFill>
          </w14:textFill>
        </w:rPr>
      </w:pPr>
    </w:p>
    <w:tbl>
      <w:tblPr>
        <w:tblStyle w:val="36"/>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63A212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5F0B7BA3">
            <w:pPr>
              <w:pStyle w:val="122"/>
              <w:framePr w:wrap="around"/>
              <w:rPr>
                <w:rFonts w:ascii="Times New Roman"/>
                <w:color w:val="000000" w:themeColor="text1"/>
                <w:sz w:val="28"/>
                <w14:textFill>
                  <w14:solidFill>
                    <w14:schemeClr w14:val="tx1"/>
                  </w14:solidFill>
                </w14:textFill>
              </w:rPr>
            </w:pPr>
            <w:r>
              <w:rPr>
                <w:rFonts w:hint="eastAsia" w:ascii="Times New Roman"/>
                <w:color w:val="000000" w:themeColor="text1"/>
                <w:sz w:val="28"/>
                <w14:textFill>
                  <w14:solidFill>
                    <w14:schemeClr w14:val="tx1"/>
                  </w14:solidFill>
                </w14:textFill>
              </w:rPr>
              <w:t>Technical Standard</w:t>
            </w:r>
            <w:r>
              <w:rPr>
                <w:rFonts w:ascii="Times New Roman"/>
                <w:color w:val="000000" w:themeColor="text1"/>
                <w:sz w:val="28"/>
                <w14:textFill>
                  <w14:solidFill>
                    <w14:schemeClr w14:val="tx1"/>
                  </w14:solidFill>
                </w14:textFill>
              </w:rPr>
              <w:t xml:space="preserve"> for design of steel structure aqueduct </w:t>
            </w:r>
          </w:p>
          <w:p w14:paraId="56931539">
            <w:pPr>
              <w:pStyle w:val="122"/>
              <w:framePr w:wrap="around"/>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30"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txbx>
                              <w:txbxContent>
                                <w:p w14:paraId="4A0DA61F"/>
                              </w:txbxContent>
                            </wps:txbx>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WJrpLVAAAACgEAAA8AAAAAAAAAAQAgAAAA&#10;IgAAAGRycy9kb3ducmV2LnhtbFBLAQIUABQAAAAIAIdO4kAghpa8DgIAACwEAAAOAAAAAAAAAAEA&#10;IAAAACQBAABkcnMvZTJvRG9jLnhtbFBLBQYAAAAABgAGAFkBAACkBQAAAAA=&#10;">
                      <v:fill on="t" focussize="0,0"/>
                      <v:stroke on="f"/>
                      <v:imagedata o:title=""/>
                      <o:lock v:ext="edit" aspectratio="f"/>
                      <v:textbox>
                        <w:txbxContent>
                          <w:p w14:paraId="4A0DA61F"/>
                        </w:txbxContent>
                      </v:textbox>
                      <w10:anchorlock/>
                    </v:rect>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29"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txbx>
                              <w:txbxContent>
                                <w:p w14:paraId="1B96AF9A"/>
                              </w:txbxContent>
                            </wps:txbx>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D4Yvl1gAAAAkBAAAPAAAAAAAAAAEAIAAA&#10;ACIAAABkcnMvZG93bnJldi54bWxQSwECFAAUAAAACACHTuJA3l/vDg4CAAAsBAAADgAAAAAAAAAB&#10;ACAAAAAlAQAAZHJzL2Uyb0RvYy54bWxQSwUGAAAAAAYABgBZAQAApQUAAAAA&#10;">
                      <v:fill on="t" focussize="0,0"/>
                      <v:stroke on="f"/>
                      <v:imagedata o:title=""/>
                      <o:lock v:ext="edit" aspectratio="f"/>
                      <v:textbox>
                        <w:txbxContent>
                          <w:p w14:paraId="1B96AF9A"/>
                        </w:txbxContent>
                      </v:textbox>
                    </v:rect>
                  </w:pict>
                </mc:Fallback>
              </mc:AlternateContent>
            </w:r>
            <w:r>
              <w:rPr>
                <w:rFonts w:hint="eastAsia"/>
                <w:color w:val="000000" w:themeColor="text1"/>
                <w14:textFill>
                  <w14:solidFill>
                    <w14:schemeClr w14:val="tx1"/>
                  </w14:solidFill>
                </w14:textFill>
              </w:rPr>
              <w:t>（征求意见稿）</w:t>
            </w:r>
          </w:p>
        </w:tc>
      </w:tr>
      <w:tr w14:paraId="28D34E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5BBE2661">
            <w:pPr>
              <w:pStyle w:val="121"/>
              <w:framePr w:wrap="around"/>
              <w:rPr>
                <w:color w:val="000000" w:themeColor="text1"/>
                <w14:textFill>
                  <w14:solidFill>
                    <w14:schemeClr w14:val="tx1"/>
                  </w14:solidFill>
                </w14:textFill>
              </w:rPr>
            </w:pPr>
          </w:p>
        </w:tc>
      </w:tr>
      <w:tr w14:paraId="61CCC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4D6CCBA1">
            <w:pPr>
              <w:pStyle w:val="121"/>
              <w:framePr w:wrap="around"/>
              <w:jc w:val="both"/>
              <w:rPr>
                <w:rFonts w:hint="eastAsia"/>
                <w:color w:val="000000" w:themeColor="text1"/>
                <w14:textFill>
                  <w14:solidFill>
                    <w14:schemeClr w14:val="tx1"/>
                  </w14:solidFill>
                </w14:textFill>
              </w:rPr>
            </w:pPr>
          </w:p>
        </w:tc>
      </w:tr>
    </w:tbl>
    <w:p w14:paraId="0716AFDF">
      <w:pPr>
        <w:pStyle w:val="143"/>
        <w:framePr w:wrap="around" w:hAnchor="page" w:x="1341" w:y="14175"/>
        <w:rPr>
          <w:color w:val="000000" w:themeColor="text1"/>
          <w14:textFill>
            <w14:solidFill>
              <w14:schemeClr w14:val="tx1"/>
            </w14:solidFill>
          </w14:textFill>
        </w:rPr>
      </w:pPr>
      <w:r>
        <w:rPr>
          <w:rFonts w:hint="eastAsia" w:ascii="黑体"/>
          <w:color w:val="000000" w:themeColor="text1"/>
          <w14:textFill>
            <w14:solidFill>
              <w14:schemeClr w14:val="tx1"/>
            </w14:solidFill>
          </w14:textFill>
        </w:rPr>
        <w:t>202x</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FM"/>
            <w:enabled/>
            <w:calcOnExit w:val="0"/>
            <w:textInput>
              <w:default w:val="XX"/>
              <w:maxLength w:val="2"/>
            </w:textInput>
          </w:ffData>
        </w:fldChar>
      </w:r>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bookmarkStart w:id="1" w:name="FD"/>
      <w:r>
        <w:rPr>
          <w:rFonts w:ascii="黑体"/>
          <w:color w:val="000000" w:themeColor="text1"/>
          <w14:textFill>
            <w14:solidFill>
              <w14:schemeClr w14:val="tx1"/>
            </w14:solidFill>
          </w14:textFill>
        </w:rPr>
        <w:fldChar w:fldCharType="begin">
          <w:ffData>
            <w:name w:val="FD"/>
            <w:enabled/>
            <w:calcOnExit w:val="0"/>
            <w:textInput>
              <w:default w:val="XX"/>
              <w:maxLength w:val="2"/>
            </w:textInput>
          </w:ffData>
        </w:fldChar>
      </w:r>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
      <w:r>
        <w:rPr>
          <w:rFonts w:hint="eastAsia"/>
          <w:color w:val="000000" w:themeColor="text1"/>
          <w14:textFill>
            <w14:solidFill>
              <w14:schemeClr w14:val="tx1"/>
            </w14:solidFill>
          </w14:textFill>
        </w:rPr>
        <w:t>发布</w:t>
      </w:r>
      <w:r>
        <w:rPr>
          <w:color w:val="000000" w:themeColor="text1"/>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28" name="直线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0"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h2s81gAAAAsBAAAPAAAAAAAAAAEA&#10;IAAAACIAAABkcnMvZG93bnJldi54bWxQSwECFAAUAAAACACHTuJAaKUuHdgBAACjAwAADgAAAAAA&#10;AAABACAAAAAlAQAAZHJzL2Uyb0RvYy54bWxQSwUGAAAAAAYABgBZAQAAbwUAAAAA&#10;">
                <v:fill on="f" focussize="0,0"/>
                <v:stroke color="#000000" joinstyle="round"/>
                <v:imagedata o:title=""/>
                <o:lock v:ext="edit" aspectratio="f"/>
                <w10:anchorlock/>
              </v:line>
            </w:pict>
          </mc:Fallback>
        </mc:AlternateContent>
      </w:r>
    </w:p>
    <w:p w14:paraId="0C65AE92">
      <w:pPr>
        <w:pStyle w:val="99"/>
        <w:framePr w:wrap="around" w:hAnchor="page" w:x="6800" w:y="14087"/>
        <w:rPr>
          <w:color w:val="000000" w:themeColor="text1"/>
          <w14:textFill>
            <w14:solidFill>
              <w14:schemeClr w14:val="tx1"/>
            </w14:solidFill>
          </w14:textFill>
        </w:rPr>
      </w:pPr>
      <w:r>
        <w:rPr>
          <w:rFonts w:hint="eastAsia" w:ascii="黑体"/>
          <w:color w:val="000000" w:themeColor="text1"/>
          <w14:textFill>
            <w14:solidFill>
              <w14:schemeClr w14:val="tx1"/>
            </w14:solidFill>
          </w14:textFill>
        </w:rPr>
        <w:t>202</w:t>
      </w:r>
      <w:r>
        <w:rPr>
          <w:rFonts w:ascii="黑体"/>
          <w:color w:val="000000" w:themeColor="text1"/>
          <w14:textFill>
            <w14:solidFill>
              <w14:schemeClr w14:val="tx1"/>
            </w14:solidFill>
          </w14:textFill>
        </w:rPr>
        <w:t>x</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bookmarkStart w:id="2" w:name="SM"/>
      <w:r>
        <w:rPr>
          <w:rFonts w:ascii="黑体"/>
          <w:color w:val="000000" w:themeColor="text1"/>
          <w14:textFill>
            <w14:solidFill>
              <w14:schemeClr w14:val="tx1"/>
            </w14:solidFill>
          </w14:textFill>
        </w:rPr>
        <w:fldChar w:fldCharType="begin">
          <w:ffData>
            <w:name w:val="SM"/>
            <w:enabled/>
            <w:calcOnExit w:val="0"/>
            <w:textInput>
              <w:default w:val="XX"/>
              <w:maxLength w:val="2"/>
            </w:textInput>
          </w:ffData>
        </w:fldChar>
      </w:r>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2"/>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bookmarkStart w:id="3" w:name="SD"/>
      <w:r>
        <w:rPr>
          <w:rFonts w:ascii="黑体"/>
          <w:color w:val="000000" w:themeColor="text1"/>
          <w14:textFill>
            <w14:solidFill>
              <w14:schemeClr w14:val="tx1"/>
            </w14:solidFill>
          </w14:textFill>
        </w:rPr>
        <w:fldChar w:fldCharType="begin">
          <w:ffData>
            <w:name w:val="SD"/>
            <w:enabled/>
            <w:calcOnExit w:val="0"/>
            <w:textInput>
              <w:default w:val="XX"/>
              <w:maxLength w:val="2"/>
            </w:textInput>
          </w:ffData>
        </w:fldChar>
      </w:r>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3"/>
      <w:r>
        <w:rPr>
          <w:rFonts w:hint="eastAsia"/>
          <w:color w:val="000000" w:themeColor="text1"/>
          <w14:textFill>
            <w14:solidFill>
              <w14:schemeClr w14:val="tx1"/>
            </w14:solidFill>
          </w14:textFill>
        </w:rPr>
        <w:t>实施</w:t>
      </w:r>
    </w:p>
    <w:p w14:paraId="33E6BF20">
      <w:pPr>
        <w:pStyle w:val="123"/>
        <w:framePr w:wrap="around" w:y="14843"/>
        <w:rPr>
          <w:rStyle w:val="47"/>
          <w:color w:val="000000" w:themeColor="text1"/>
          <w14:textFill>
            <w14:solidFill>
              <w14:schemeClr w14:val="tx1"/>
            </w14:solidFill>
          </w14:textFill>
        </w:rPr>
      </w:pPr>
      <w:r>
        <w:rPr>
          <w:rFonts w:hint="eastAsia"/>
          <w:color w:val="000000" w:themeColor="text1"/>
          <w14:textFill>
            <w14:solidFill>
              <w14:schemeClr w14:val="tx1"/>
            </w14:solidFill>
          </w14:textFill>
        </w:rPr>
        <w:t>安徽省</w:t>
      </w:r>
      <w:r>
        <w:rPr>
          <w:rFonts w:hint="eastAsia"/>
          <w:color w:val="000000" w:themeColor="text1"/>
          <w:lang w:val="en-US" w:eastAsia="zh-CN"/>
          <w14:textFill>
            <w14:solidFill>
              <w14:schemeClr w14:val="tx1"/>
            </w14:solidFill>
          </w14:textFill>
        </w:rPr>
        <w:t>市场监督管理</w:t>
      </w:r>
      <w:bookmarkStart w:id="63" w:name="_GoBack"/>
      <w:bookmarkEnd w:id="63"/>
      <w:r>
        <w:rPr>
          <w:rFonts w:hint="eastAsia"/>
          <w:color w:val="000000" w:themeColor="text1"/>
          <w14:textFill>
            <w14:solidFill>
              <w14:schemeClr w14:val="tx1"/>
            </w14:solidFill>
          </w14:textFill>
        </w:rPr>
        <w:t>局</w:t>
      </w:r>
      <w:r>
        <w:rPr>
          <w:rFonts w:hint="eastAsia" w:ascii="MS Mincho" w:hAnsi="MS Mincho" w:eastAsia="MS Mincho" w:cs="MS Mincho"/>
          <w:color w:val="000000" w:themeColor="text1"/>
          <w14:textFill>
            <w14:solidFill>
              <w14:schemeClr w14:val="tx1"/>
            </w14:solidFill>
          </w14:textFill>
        </w:rPr>
        <w:t>   </w:t>
      </w:r>
      <w:r>
        <w:rPr>
          <w:rStyle w:val="47"/>
          <w:rFonts w:hint="eastAsia"/>
          <w:color w:val="000000" w:themeColor="text1"/>
          <w14:textFill>
            <w14:solidFill>
              <w14:schemeClr w14:val="tx1"/>
            </w14:solidFill>
          </w14:textFill>
        </w:rPr>
        <w:t>发布</w:t>
      </w:r>
    </w:p>
    <w:p w14:paraId="13B840A9">
      <w:pPr>
        <w:pStyle w:val="26"/>
        <w:ind w:firstLine="0" w:firstLineChars="0"/>
      </w:pPr>
      <w:r>
        <mc:AlternateContent>
          <mc:Choice Requires="wps">
            <w:drawing>
              <wp:anchor distT="0" distB="0" distL="114300" distR="114300" simplePos="0" relativeHeight="251663360" behindDoc="0" locked="0" layoutInCell="1" allowOverlap="1">
                <wp:simplePos x="0" y="0"/>
                <wp:positionH relativeFrom="column">
                  <wp:posOffset>-635</wp:posOffset>
                </wp:positionH>
                <wp:positionV relativeFrom="paragraph">
                  <wp:posOffset>2339975</wp:posOffset>
                </wp:positionV>
                <wp:extent cx="6120130" cy="0"/>
                <wp:effectExtent l="13970" t="8255" r="9525" b="10795"/>
                <wp:wrapNone/>
                <wp:docPr id="27" name="直线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1" o:spid="_x0000_s1026" o:spt="20" style="position:absolute;left:0pt;margin-left:-0.05pt;margin-top:184.25pt;height:0pt;width:481.9pt;z-index:251663360;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CQeJf1wAAAAkBAAAPAAAAAAAAAAEA&#10;IAAAACIAAABkcnMvZG93bnJldi54bWxQSwECFAAUAAAACACHTuJAko7IedcBAACjAwAADgAAAAAA&#10;AAABACAAAAAmAQAAZHJzL2Uyb0RvYy54bWxQSwUGAAAAAAYABgBZAQAAbwUAAAAA&#10;">
                <v:fill on="f" focussize="0,0"/>
                <v:stroke color="#000000" joinstyle="round"/>
                <v:imagedata o:title=""/>
                <o:lock v:ext="edit" aspectratio="f"/>
              </v:line>
            </w:pict>
          </mc:Fallback>
        </mc:AlternateContent>
      </w:r>
    </w:p>
    <w:p w14:paraId="62CA1676"/>
    <w:p w14:paraId="45958334">
      <w:pPr>
        <w:rPr>
          <w:rFonts w:hint="eastAsia"/>
        </w:rPr>
        <w:sectPr>
          <w:footerReference r:id="rId3" w:type="default"/>
          <w:footerReference r:id="rId4" w:type="even"/>
          <w:pgSz w:w="11906" w:h="16838"/>
          <w:pgMar w:top="567" w:right="850" w:bottom="1134" w:left="1418" w:header="0" w:footer="0" w:gutter="0"/>
          <w:pgNumType w:fmt="upperRoman" w:start="1"/>
          <w:cols w:space="720" w:num="1"/>
          <w:docGrid w:type="lines" w:linePitch="312" w:charSpace="0"/>
        </w:sectPr>
      </w:pPr>
    </w:p>
    <w:p w14:paraId="5A31DB1D">
      <w:pPr>
        <w:pStyle w:val="22"/>
        <w:spacing w:before="78" w:after="78"/>
        <w:jc w:val="center"/>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目   次</w:t>
      </w:r>
    </w:p>
    <w:p w14:paraId="45AFC26C">
      <w:pPr>
        <w:rPr>
          <w:color w:val="000000" w:themeColor="text1"/>
          <w14:textFill>
            <w14:solidFill>
              <w14:schemeClr w14:val="tx1"/>
            </w14:solidFill>
          </w14:textFill>
        </w:rPr>
      </w:pPr>
    </w:p>
    <w:p w14:paraId="63C3B377">
      <w:pPr>
        <w:pStyle w:val="31"/>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前言</w:t>
      </w:r>
      <w:r>
        <w:rPr>
          <w:rFonts w:ascii="Times New Roman"/>
          <w:color w:val="000000" w:themeColor="text1"/>
          <w14:textFill>
            <w14:solidFill>
              <w14:schemeClr w14:val="tx1"/>
            </w14:solidFill>
          </w14:textFill>
        </w:rPr>
        <w:tab/>
      </w:r>
      <w:r>
        <w:rPr>
          <w:rFonts w:hint="eastAsia"/>
        </w:rPr>
        <w:t>Ⅲ</w:t>
      </w:r>
    </w:p>
    <w:p w14:paraId="0ABBED97">
      <w:pPr>
        <w:pStyle w:val="31"/>
        <w:rPr>
          <w:rFonts w:hint="eastAsia" w:asciiTheme="minorHAnsi" w:hAnsiTheme="minorHAnsi" w:eastAsiaTheme="minorEastAsia" w:cstheme="minorBidi"/>
          <w:sz w:val="22"/>
          <w:szCs w:val="24"/>
          <w14:ligatures w14:val="standardContextual"/>
        </w:rPr>
      </w:pPr>
      <w:r>
        <w:rPr>
          <w:rFonts w:ascii="Times New Roman"/>
          <w:color w:val="000000" w:themeColor="text1"/>
          <w14:textFill>
            <w14:solidFill>
              <w14:schemeClr w14:val="tx1"/>
            </w14:solidFill>
          </w14:textFill>
        </w:rPr>
        <w:fldChar w:fldCharType="begin"/>
      </w:r>
      <w:r>
        <w:rPr>
          <w:rFonts w:ascii="Times New Roman"/>
          <w:color w:val="000000" w:themeColor="text1"/>
          <w14:textFill>
            <w14:solidFill>
              <w14:schemeClr w14:val="tx1"/>
            </w14:solidFill>
          </w14:textFill>
        </w:rPr>
        <w:instrText xml:space="preserve"> TOC \o "1-2" \h \z \u </w:instrText>
      </w:r>
      <w:r>
        <w:rPr>
          <w:rFonts w:ascii="Times New Roman"/>
          <w:color w:val="000000" w:themeColor="text1"/>
          <w14:textFill>
            <w14:solidFill>
              <w14:schemeClr w14:val="tx1"/>
            </w14:solidFill>
          </w14:textFill>
        </w:rPr>
        <w:fldChar w:fldCharType="separate"/>
      </w:r>
      <w:r>
        <w:fldChar w:fldCharType="begin"/>
      </w:r>
      <w:r>
        <w:instrText xml:space="preserve"> HYPERLINK \l "_Toc212642126" </w:instrText>
      </w:r>
      <w:r>
        <w:fldChar w:fldCharType="separate"/>
      </w:r>
      <w:r>
        <w:rPr>
          <w:rStyle w:val="43"/>
          <w:rFonts w:hint="eastAsia"/>
        </w:rPr>
        <w:t>1</w:t>
      </w:r>
      <w:r>
        <w:rPr>
          <w:rStyle w:val="43"/>
          <w:rFonts w:hint="eastAsia" w:hAnsi="黑体"/>
        </w:rPr>
        <w:t xml:space="preserve"> 范围</w:t>
      </w:r>
      <w:r>
        <w:rPr>
          <w:rFonts w:hint="eastAsia"/>
        </w:rPr>
        <w:tab/>
      </w:r>
      <w:r>
        <w:rPr>
          <w:rFonts w:hint="eastAsia"/>
        </w:rPr>
        <w:fldChar w:fldCharType="begin"/>
      </w:r>
      <w:r>
        <w:rPr>
          <w:rFonts w:hint="eastAsia"/>
        </w:rPr>
        <w:instrText xml:space="preserve"> </w:instrText>
      </w:r>
      <w:r>
        <w:instrText xml:space="preserve">PAGEREF _Toc212642126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6965F18">
      <w:pPr>
        <w:pStyle w:val="31"/>
        <w:rPr>
          <w:rFonts w:hint="eastAsia" w:asciiTheme="minorHAnsi" w:hAnsiTheme="minorHAnsi" w:eastAsiaTheme="minorEastAsia" w:cstheme="minorBidi"/>
          <w:sz w:val="22"/>
          <w:szCs w:val="24"/>
          <w14:ligatures w14:val="standardContextual"/>
        </w:rPr>
      </w:pPr>
      <w:r>
        <w:fldChar w:fldCharType="begin"/>
      </w:r>
      <w:r>
        <w:instrText xml:space="preserve"> HYPERLINK \l "_Toc212642127" </w:instrText>
      </w:r>
      <w:r>
        <w:fldChar w:fldCharType="separate"/>
      </w:r>
      <w:r>
        <w:rPr>
          <w:rStyle w:val="43"/>
          <w:rFonts w:hint="eastAsia"/>
        </w:rPr>
        <w:t>2</w:t>
      </w:r>
      <w:r>
        <w:rPr>
          <w:rStyle w:val="43"/>
          <w:rFonts w:hint="eastAsia" w:hAnsi="黑体"/>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_Toc212642127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1CB0020">
      <w:pPr>
        <w:pStyle w:val="31"/>
        <w:rPr>
          <w:rFonts w:hint="eastAsia" w:asciiTheme="minorHAnsi" w:hAnsiTheme="minorHAnsi" w:eastAsiaTheme="minorEastAsia" w:cstheme="minorBidi"/>
          <w:sz w:val="22"/>
          <w:szCs w:val="24"/>
          <w14:ligatures w14:val="standardContextual"/>
        </w:rPr>
      </w:pPr>
      <w:r>
        <w:fldChar w:fldCharType="begin"/>
      </w:r>
      <w:r>
        <w:instrText xml:space="preserve"> HYPERLINK \l "_Toc212642128" </w:instrText>
      </w:r>
      <w:r>
        <w:fldChar w:fldCharType="separate"/>
      </w:r>
      <w:r>
        <w:rPr>
          <w:rStyle w:val="43"/>
          <w:rFonts w:hint="eastAsia"/>
        </w:rPr>
        <w:t>3</w:t>
      </w:r>
      <w:r>
        <w:rPr>
          <w:rStyle w:val="43"/>
          <w:rFonts w:hint="eastAsia" w:hAnsi="黑体"/>
        </w:rPr>
        <w:t xml:space="preserve"> 术语和定义</w:t>
      </w:r>
      <w:r>
        <w:rPr>
          <w:rFonts w:hint="eastAsia"/>
        </w:rPr>
        <w:tab/>
      </w:r>
      <w:r>
        <w:rPr>
          <w:rFonts w:hint="eastAsia"/>
        </w:rPr>
        <w:fldChar w:fldCharType="begin"/>
      </w:r>
      <w:r>
        <w:rPr>
          <w:rFonts w:hint="eastAsia"/>
        </w:rPr>
        <w:instrText xml:space="preserve"> </w:instrText>
      </w:r>
      <w:r>
        <w:instrText xml:space="preserve">PAGEREF _Toc212642128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3D08E63">
      <w:pPr>
        <w:pStyle w:val="31"/>
        <w:rPr>
          <w:rFonts w:hint="eastAsia" w:asciiTheme="minorHAnsi" w:hAnsiTheme="minorHAnsi" w:eastAsiaTheme="minorEastAsia" w:cstheme="minorBidi"/>
          <w:sz w:val="22"/>
          <w:szCs w:val="24"/>
          <w14:ligatures w14:val="standardContextual"/>
        </w:rPr>
      </w:pPr>
      <w:r>
        <w:fldChar w:fldCharType="begin"/>
      </w:r>
      <w:r>
        <w:instrText xml:space="preserve"> HYPERLINK \l "_Toc212642129" </w:instrText>
      </w:r>
      <w:r>
        <w:fldChar w:fldCharType="separate"/>
      </w:r>
      <w:r>
        <w:rPr>
          <w:rStyle w:val="43"/>
          <w:rFonts w:hint="eastAsia"/>
        </w:rPr>
        <w:t>4 材料</w:t>
      </w:r>
      <w:r>
        <w:rPr>
          <w:rFonts w:hint="eastAsia"/>
        </w:rPr>
        <w:tab/>
      </w:r>
      <w:r>
        <w:rPr>
          <w:rFonts w:hint="eastAsia"/>
        </w:rPr>
        <w:fldChar w:fldCharType="begin"/>
      </w:r>
      <w:r>
        <w:rPr>
          <w:rFonts w:hint="eastAsia"/>
        </w:rPr>
        <w:instrText xml:space="preserve"> </w:instrText>
      </w:r>
      <w:r>
        <w:instrText xml:space="preserve">PAGEREF _Toc212642129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2F33FBD">
      <w:pPr>
        <w:pStyle w:val="31"/>
        <w:rPr>
          <w:rFonts w:hint="eastAsia" w:asciiTheme="minorHAnsi" w:hAnsiTheme="minorHAnsi" w:eastAsiaTheme="minorEastAsia" w:cstheme="minorBidi"/>
          <w:sz w:val="22"/>
          <w:szCs w:val="24"/>
          <w14:ligatures w14:val="standardContextual"/>
        </w:rPr>
      </w:pPr>
      <w:r>
        <w:fldChar w:fldCharType="begin"/>
      </w:r>
      <w:r>
        <w:instrText xml:space="preserve"> HYPERLINK \l "_Toc212642130" </w:instrText>
      </w:r>
      <w:r>
        <w:fldChar w:fldCharType="separate"/>
      </w:r>
      <w:r>
        <w:rPr>
          <w:rStyle w:val="43"/>
          <w:rFonts w:hint="eastAsia"/>
        </w:rPr>
        <w:t>5 基本要求</w:t>
      </w:r>
      <w:r>
        <w:rPr>
          <w:rFonts w:hint="eastAsia"/>
        </w:rPr>
        <w:tab/>
      </w:r>
      <w:r>
        <w:rPr>
          <w:rFonts w:hint="eastAsia"/>
        </w:rPr>
        <w:fldChar w:fldCharType="begin"/>
      </w:r>
      <w:r>
        <w:rPr>
          <w:rFonts w:hint="eastAsia"/>
        </w:rPr>
        <w:instrText xml:space="preserve"> </w:instrText>
      </w:r>
      <w:r>
        <w:instrText xml:space="preserve">PAGEREF _Toc212642130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8E0EBFC">
      <w:pPr>
        <w:pStyle w:val="31"/>
        <w:rPr>
          <w:rFonts w:hint="eastAsia" w:asciiTheme="minorHAnsi" w:hAnsiTheme="minorHAnsi" w:eastAsiaTheme="minorEastAsia" w:cstheme="minorBidi"/>
          <w:sz w:val="22"/>
          <w:szCs w:val="24"/>
          <w14:ligatures w14:val="standardContextual"/>
        </w:rPr>
      </w:pPr>
      <w:r>
        <w:fldChar w:fldCharType="begin"/>
      </w:r>
      <w:r>
        <w:instrText xml:space="preserve"> HYPERLINK \l "_Toc212642131" </w:instrText>
      </w:r>
      <w:r>
        <w:fldChar w:fldCharType="separate"/>
      </w:r>
      <w:r>
        <w:rPr>
          <w:rStyle w:val="43"/>
          <w:rFonts w:hint="eastAsia"/>
        </w:rPr>
        <w:t>6 结构设计</w:t>
      </w:r>
      <w:r>
        <w:rPr>
          <w:rFonts w:hint="eastAsia"/>
        </w:rPr>
        <w:tab/>
      </w:r>
      <w:r>
        <w:rPr>
          <w:rFonts w:hint="eastAsia"/>
        </w:rPr>
        <w:fldChar w:fldCharType="begin"/>
      </w:r>
      <w:r>
        <w:rPr>
          <w:rFonts w:hint="eastAsia"/>
        </w:rPr>
        <w:instrText xml:space="preserve"> </w:instrText>
      </w:r>
      <w:r>
        <w:instrText xml:space="preserve">PAGEREF _Toc212642131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7C9F079">
      <w:pPr>
        <w:pStyle w:val="31"/>
        <w:rPr>
          <w:rFonts w:hint="eastAsia" w:asciiTheme="minorHAnsi" w:hAnsiTheme="minorHAnsi" w:eastAsiaTheme="minorEastAsia" w:cstheme="minorBidi"/>
          <w:sz w:val="22"/>
          <w:szCs w:val="24"/>
          <w14:ligatures w14:val="standardContextual"/>
        </w:rPr>
      </w:pPr>
      <w:r>
        <w:fldChar w:fldCharType="begin"/>
      </w:r>
      <w:r>
        <w:instrText xml:space="preserve"> HYPERLINK \l "_Toc212642132" </w:instrText>
      </w:r>
      <w:r>
        <w:fldChar w:fldCharType="separate"/>
      </w:r>
      <w:r>
        <w:rPr>
          <w:rStyle w:val="43"/>
          <w:rFonts w:hint="eastAsia"/>
          <w:bCs/>
        </w:rPr>
        <w:t>7</w:t>
      </w:r>
      <w:r>
        <w:rPr>
          <w:rStyle w:val="43"/>
          <w:rFonts w:hint="eastAsia"/>
        </w:rPr>
        <w:t xml:space="preserve"> 结构</w:t>
      </w:r>
      <w:r>
        <w:rPr>
          <w:rStyle w:val="43"/>
          <w:rFonts w:hint="eastAsia" w:hAnsi="黑体"/>
        </w:rPr>
        <w:t>计算</w:t>
      </w:r>
      <w:r>
        <w:rPr>
          <w:rFonts w:hint="eastAsia"/>
        </w:rPr>
        <w:tab/>
      </w:r>
      <w:r>
        <w:rPr>
          <w:rFonts w:hint="eastAsia"/>
        </w:rPr>
        <w:fldChar w:fldCharType="begin"/>
      </w:r>
      <w:r>
        <w:rPr>
          <w:rFonts w:hint="eastAsia"/>
        </w:rPr>
        <w:instrText xml:space="preserve"> </w:instrText>
      </w:r>
      <w:r>
        <w:instrText xml:space="preserve">PAGEREF _Toc212642132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191B3F35">
      <w:pPr>
        <w:pStyle w:val="31"/>
        <w:rPr>
          <w:rFonts w:hint="eastAsia" w:asciiTheme="minorHAnsi" w:hAnsiTheme="minorHAnsi" w:eastAsiaTheme="minorEastAsia" w:cstheme="minorBidi"/>
          <w:sz w:val="22"/>
          <w:szCs w:val="24"/>
          <w14:ligatures w14:val="standardContextual"/>
        </w:rPr>
      </w:pPr>
      <w:r>
        <w:fldChar w:fldCharType="begin"/>
      </w:r>
      <w:r>
        <w:instrText xml:space="preserve"> HYPERLINK \l "_Toc212642133" </w:instrText>
      </w:r>
      <w:r>
        <w:fldChar w:fldCharType="separate"/>
      </w:r>
      <w:r>
        <w:rPr>
          <w:rStyle w:val="43"/>
          <w:rFonts w:hint="eastAsia"/>
        </w:rPr>
        <w:t>8 构造要求</w:t>
      </w:r>
      <w:r>
        <w:rPr>
          <w:rFonts w:hint="eastAsia"/>
        </w:rPr>
        <w:tab/>
      </w:r>
      <w:r>
        <w:rPr>
          <w:rFonts w:hint="eastAsia"/>
        </w:rPr>
        <w:fldChar w:fldCharType="begin"/>
      </w:r>
      <w:r>
        <w:rPr>
          <w:rFonts w:hint="eastAsia"/>
        </w:rPr>
        <w:instrText xml:space="preserve"> </w:instrText>
      </w:r>
      <w:r>
        <w:instrText xml:space="preserve">PAGEREF _Toc212642133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45548170">
      <w:pPr>
        <w:pStyle w:val="31"/>
      </w:pPr>
      <w:r>
        <w:fldChar w:fldCharType="begin"/>
      </w:r>
      <w:r>
        <w:instrText xml:space="preserve"> HYPERLINK \l "_Toc212642134" </w:instrText>
      </w:r>
      <w:r>
        <w:fldChar w:fldCharType="separate"/>
      </w:r>
      <w:r>
        <w:rPr>
          <w:rStyle w:val="43"/>
          <w:rFonts w:hint="eastAsia"/>
        </w:rPr>
        <w:t>9 耐久性</w:t>
      </w:r>
      <w:r>
        <w:rPr>
          <w:rStyle w:val="43"/>
          <w:rFonts w:hint="eastAsia" w:hAnsi="黑体"/>
        </w:rPr>
        <w:t>设计</w:t>
      </w:r>
      <w:r>
        <w:rPr>
          <w:rFonts w:hint="eastAsia"/>
        </w:rPr>
        <w:tab/>
      </w:r>
      <w:r>
        <w:rPr>
          <w:rFonts w:hint="eastAsia"/>
        </w:rPr>
        <w:fldChar w:fldCharType="begin"/>
      </w:r>
      <w:r>
        <w:rPr>
          <w:rFonts w:hint="eastAsia"/>
        </w:rPr>
        <w:instrText xml:space="preserve"> </w:instrText>
      </w:r>
      <w:r>
        <w:instrText xml:space="preserve">PAGEREF _Toc212642134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7B2E9537">
      <w:pPr>
        <w:pStyle w:val="141"/>
        <w:rPr>
          <w:rFonts w:hint="eastAsia" w:hAnsi="黑体" w:cs="黑体"/>
          <w:szCs w:val="32"/>
        </w:rPr>
      </w:pPr>
      <w:bookmarkStart w:id="4" w:name="_Toc464905594"/>
      <w:bookmarkStart w:id="5" w:name="_Toc203051520"/>
      <w:bookmarkStart w:id="6" w:name="_Toc464905790"/>
      <w:bookmarkStart w:id="7" w:name="_Toc40730876"/>
      <w:bookmarkStart w:id="8" w:name="_Toc464905538"/>
      <w:bookmarkStart w:id="9" w:name="_Toc486614340"/>
      <w:bookmarkStart w:id="10" w:name="_Toc464902837"/>
      <w:bookmarkStart w:id="11" w:name="_Toc465074243"/>
      <w:bookmarkStart w:id="12" w:name="_Toc55591728"/>
      <w:r>
        <w:rPr>
          <w:rFonts w:hint="eastAsia" w:hAnsi="黑体" w:cs="黑体"/>
          <w:szCs w:val="32"/>
        </w:rPr>
        <w:t>前</w:t>
      </w:r>
      <w:bookmarkStart w:id="13" w:name="BKQY"/>
      <w:r>
        <w:rPr>
          <w:rFonts w:hint="eastAsia" w:hAnsi="黑体" w:cs="黑体"/>
          <w:szCs w:val="32"/>
        </w:rPr>
        <w:t>  言</w:t>
      </w:r>
      <w:bookmarkEnd w:id="4"/>
      <w:bookmarkEnd w:id="5"/>
      <w:bookmarkEnd w:id="6"/>
      <w:bookmarkEnd w:id="7"/>
      <w:bookmarkEnd w:id="8"/>
      <w:bookmarkEnd w:id="9"/>
      <w:bookmarkEnd w:id="10"/>
      <w:bookmarkEnd w:id="11"/>
      <w:bookmarkEnd w:id="12"/>
      <w:bookmarkEnd w:id="13"/>
    </w:p>
    <w:p w14:paraId="451F481B">
      <w:pPr>
        <w:pStyle w:val="26"/>
        <w:rPr>
          <w:rFonts w:hint="eastAsia" w:hAnsi="宋体" w:cs="宋体"/>
        </w:rPr>
      </w:pPr>
      <w:r>
        <w:rPr>
          <w:rFonts w:hint="eastAsia" w:hAnsi="宋体" w:cs="宋体"/>
        </w:rPr>
        <w:t>本标准按照 GB/T 1.1-2020《标准化工作导则 第1部分：标准化文件的结构和起草规定》给出的规则起草。</w:t>
      </w:r>
    </w:p>
    <w:p w14:paraId="5C1E07A7">
      <w:pPr>
        <w:pStyle w:val="26"/>
        <w:rPr>
          <w:rFonts w:hint="eastAsia" w:hAnsi="宋体" w:cs="宋体"/>
        </w:rPr>
      </w:pPr>
      <w:r>
        <w:rPr>
          <w:rFonts w:hint="eastAsia" w:hAnsi="宋体" w:cs="宋体"/>
        </w:rPr>
        <w:t>请注意本文件的某些内容可能涉及专利。本文件的发布机构不承担识别专利的责任。</w:t>
      </w:r>
    </w:p>
    <w:p w14:paraId="07187554">
      <w:pPr>
        <w:ind w:firstLine="420"/>
      </w:pPr>
      <w:r>
        <w:rPr>
          <w:rFonts w:hint="eastAsia"/>
        </w:rPr>
        <w:t>本文件由安徽省交通运输厅归口</w:t>
      </w:r>
      <w:r>
        <w:t>。</w:t>
      </w:r>
    </w:p>
    <w:p w14:paraId="5059BAF5">
      <w:pPr>
        <w:pStyle w:val="26"/>
        <w:rPr>
          <w:rFonts w:hint="eastAsia" w:hAnsi="宋体" w:cs="宋体"/>
          <w:szCs w:val="22"/>
        </w:rPr>
      </w:pPr>
      <w:r>
        <w:rPr>
          <w:rFonts w:hint="eastAsia" w:hAnsi="宋体" w:cs="宋体"/>
        </w:rPr>
        <w:t>本文件起草单位：安徽省交通规划设计研究总院股份有限公司、</w:t>
      </w:r>
      <w:r>
        <w:fldChar w:fldCharType="begin"/>
      </w:r>
      <w:r>
        <w:instrText xml:space="preserve"> HYPERLINK "https://www.so.com/link?m=uoDs7g9k0SfU9EXEcg2U/5fkFtZiQGkqw1Ew2HGhr3LhmTyHuUGJcX0tvtcKsBNwYlJWcz+KivgNRnyrM9rlw6PrK3OFoPBdIjxU4zHUXAvhnbWAFxdXYI0/pFU6CHkjpk7LY4zsY1UNKbJi0jyE3rV9TNBlh8nXad+iq+xzHXB7mqTdvQXTurUAqS5NOmDzbmWrLunBUG8aXc0QY" \t "https://www.so.com/_blank" </w:instrText>
      </w:r>
      <w:r>
        <w:fldChar w:fldCharType="separate"/>
      </w:r>
      <w:r>
        <w:rPr>
          <w:rFonts w:hAnsi="宋体" w:cs="宋体"/>
          <w:szCs w:val="22"/>
        </w:rPr>
        <w:t>安徽省水利水电勘测设计研究总院股份有限公司</w:t>
      </w:r>
      <w:r>
        <w:rPr>
          <w:rFonts w:hAnsi="宋体" w:cs="宋体"/>
          <w:szCs w:val="22"/>
        </w:rPr>
        <w:fldChar w:fldCharType="end"/>
      </w:r>
      <w:r>
        <w:rPr>
          <w:rFonts w:hint="eastAsia" w:hAnsi="宋体" w:cs="宋体"/>
          <w:szCs w:val="22"/>
        </w:rPr>
        <w:t>、</w:t>
      </w:r>
      <w:r>
        <w:fldChar w:fldCharType="begin"/>
      </w:r>
      <w:r>
        <w:instrText xml:space="preserve"> HYPERLINK "https://www.so.com/link?m=u71WjGDoMlEqslwuqKxARRMq3Xc0ApakeYFDrRz8axMY8zpunbsr/3ynC2i7qgcMeArydcL+2oG3Do/QdjwlKY9YD8rBgeIgBQAAQEeCtMATGdgaBa/KD07Xv0QEzLXSRpcoy8HKZdnNNhJYX5NMcMySYA0f6hDb9wLsOPfT71PqvUVKjEBZ32t6ZENS3XtXBJkGC0+UhznSi00twNkJurd/7gaATwE7sqbidu1rjQg69ZcyE4ZTAcL0Nc9yern/RPBFrJOKjjRd7ZlTTFnhdeA2XUHK6koCs8RGx2w==" \t "https://www.so.com/_blank" </w:instrText>
      </w:r>
      <w:r>
        <w:fldChar w:fldCharType="separate"/>
      </w:r>
      <w:r>
        <w:rPr>
          <w:rFonts w:hAnsi="宋体" w:cs="宋体"/>
          <w:szCs w:val="22"/>
        </w:rPr>
        <w:t>安徽省交通勘察设计院有限公司</w:t>
      </w:r>
      <w:r>
        <w:rPr>
          <w:rFonts w:hAnsi="宋体" w:cs="宋体"/>
          <w:szCs w:val="22"/>
        </w:rPr>
        <w:fldChar w:fldCharType="end"/>
      </w:r>
      <w:r>
        <w:rPr>
          <w:rFonts w:hint="eastAsia" w:hAnsi="宋体" w:cs="宋体"/>
          <w:szCs w:val="22"/>
        </w:rPr>
        <w:t>、安徽省交规院工程智慧养护科技有限公司</w:t>
      </w:r>
    </w:p>
    <w:p w14:paraId="1D661FA0">
      <w:pPr>
        <w:pStyle w:val="26"/>
        <w:rPr>
          <w:rFonts w:hint="eastAsia" w:hAnsi="宋体" w:cs="宋体"/>
        </w:rPr>
      </w:pPr>
      <w:r>
        <w:rPr>
          <w:rFonts w:hint="eastAsia" w:hAnsi="宋体" w:cs="宋体"/>
        </w:rPr>
        <w:t xml:space="preserve">本文件主要起草人： </w:t>
      </w:r>
    </w:p>
    <w:p w14:paraId="4BB149FB"/>
    <w:p w14:paraId="5F906114">
      <w:pPr>
        <w:pStyle w:val="26"/>
        <w:ind w:firstLine="0" w:firstLineChars="0"/>
        <w:rPr>
          <w:rFonts w:eastAsia="黑体"/>
          <w:color w:val="000000" w:themeColor="text1"/>
          <w:sz w:val="32"/>
          <w:szCs w:val="32"/>
          <w14:textFill>
            <w14:solidFill>
              <w14:schemeClr w14:val="tx1"/>
            </w14:solidFill>
          </w14:textFill>
        </w:rPr>
        <w:sectPr>
          <w:headerReference r:id="rId5" w:type="default"/>
          <w:footerReference r:id="rId7" w:type="default"/>
          <w:headerReference r:id="rId6" w:type="even"/>
          <w:footerReference r:id="rId8" w:type="even"/>
          <w:pgSz w:w="11906" w:h="16838"/>
          <w:pgMar w:top="567" w:right="1134" w:bottom="1134" w:left="1418" w:header="1418" w:footer="1134" w:gutter="0"/>
          <w:pgNumType w:fmt="upperRoman"/>
          <w:cols w:space="720" w:num="1"/>
          <w:formProt w:val="0"/>
          <w:docGrid w:type="lines" w:linePitch="312" w:charSpace="0"/>
        </w:sectPr>
      </w:pPr>
      <w:r>
        <w:rPr>
          <w:rFonts w:ascii="Times New Roman"/>
          <w:color w:val="000000" w:themeColor="text1"/>
          <w14:textFill>
            <w14:solidFill>
              <w14:schemeClr w14:val="tx1"/>
            </w14:solidFill>
          </w14:textFill>
        </w:rPr>
        <w:fldChar w:fldCharType="end"/>
      </w:r>
    </w:p>
    <w:p w14:paraId="6E201AD6">
      <w:pPr>
        <w:pStyle w:val="109"/>
        <w:spacing w:before="312" w:after="312"/>
        <w:rPr>
          <w:rFonts w:hint="eastAsia" w:hAnsi="黑体"/>
          <w:color w:val="000000" w:themeColor="text1"/>
          <w14:textFill>
            <w14:solidFill>
              <w14:schemeClr w14:val="tx1"/>
            </w14:solidFill>
          </w14:textFill>
        </w:rPr>
      </w:pPr>
      <w:bookmarkStart w:id="14" w:name="_Toc212642126"/>
      <w:r>
        <w:rPr>
          <w:rFonts w:hint="eastAsia" w:hAnsi="黑体"/>
          <w:color w:val="000000" w:themeColor="text1"/>
          <w14:textFill>
            <w14:solidFill>
              <w14:schemeClr w14:val="tx1"/>
            </w14:solidFill>
          </w14:textFill>
        </w:rPr>
        <w:t>范围</w:t>
      </w:r>
      <w:bookmarkEnd w:id="14"/>
    </w:p>
    <w:p w14:paraId="0A36ECEC">
      <w:pPr>
        <w:pStyle w:val="26"/>
        <w:rPr>
          <w:rFonts w:hint="eastAsia" w:hAnsi="黑体"/>
          <w:b/>
          <w:bCs/>
          <w:color w:val="000000" w:themeColor="text1"/>
          <w14:textFill>
            <w14:solidFill>
              <w14:schemeClr w14:val="tx1"/>
            </w14:solidFill>
          </w14:textFill>
        </w:rPr>
      </w:pPr>
      <w:r>
        <w:rPr>
          <w:rFonts w:hint="eastAsia"/>
          <w:color w:val="000000" w:themeColor="text1"/>
          <w:szCs w:val="22"/>
          <w14:textFill>
            <w14:solidFill>
              <w14:schemeClr w14:val="tx1"/>
            </w14:solidFill>
          </w14:textFill>
        </w:rPr>
        <w:t>本文件规定了钢结构渡槽的术语、材料、基本要求、结构设计、结构计算、构造要求、耐久性设计等要求。</w:t>
      </w:r>
    </w:p>
    <w:p w14:paraId="44AABC16">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本文件适用于钢结构渡槽设计</w:t>
      </w:r>
      <w:r>
        <w:rPr>
          <w:rFonts w:hint="eastAsia"/>
          <w:color w:val="000000" w:themeColor="text1"/>
          <w:szCs w:val="22"/>
          <w14:textFill>
            <w14:solidFill>
              <w14:schemeClr w14:val="tx1"/>
            </w14:solidFill>
          </w14:textFill>
        </w:rPr>
        <w:t>。</w:t>
      </w:r>
    </w:p>
    <w:p w14:paraId="039835C8">
      <w:pPr>
        <w:pStyle w:val="109"/>
        <w:spacing w:before="312" w:after="312"/>
        <w:rPr>
          <w:rFonts w:hint="eastAsia" w:hAnsi="黑体"/>
          <w:color w:val="000000" w:themeColor="text1"/>
          <w14:textFill>
            <w14:solidFill>
              <w14:schemeClr w14:val="tx1"/>
            </w14:solidFill>
          </w14:textFill>
        </w:rPr>
      </w:pPr>
      <w:bookmarkStart w:id="15" w:name="_Toc212642127"/>
      <w:r>
        <w:rPr>
          <w:rFonts w:hint="eastAsia" w:hAnsi="黑体"/>
          <w:color w:val="000000" w:themeColor="text1"/>
          <w14:textFill>
            <w14:solidFill>
              <w14:schemeClr w14:val="tx1"/>
            </w14:solidFill>
          </w14:textFill>
        </w:rPr>
        <w:t>规范性引用文件</w:t>
      </w:r>
      <w:bookmarkEnd w:id="15"/>
    </w:p>
    <w:p w14:paraId="17934004">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下列文件对于本文件的应用是必不可少的。凡是注日期的引用文件，仅所注日期的版本适用于本文件。凡是不注日期的引用文件，其最新版本（包括所有的修改单）适用于本文件。</w:t>
      </w:r>
    </w:p>
    <w:p w14:paraId="3B6AF4B2">
      <w:pPr>
        <w:pStyle w:val="26"/>
        <w:rPr>
          <w:color w:val="000000" w:themeColor="text1"/>
          <w14:textFill>
            <w14:solidFill>
              <w14:schemeClr w14:val="tx1"/>
            </w14:solidFill>
          </w14:textFill>
        </w:rPr>
      </w:pPr>
      <w:r>
        <w:rPr>
          <w:color w:val="000000" w:themeColor="text1"/>
          <w14:textFill>
            <w14:solidFill>
              <w14:schemeClr w14:val="tx1"/>
            </w14:solidFill>
          </w14:textFill>
        </w:rPr>
        <w:t xml:space="preserve">GB/T 700 </w:t>
      </w:r>
      <w:r>
        <w:rPr>
          <w:rFonts w:hint="eastAsia"/>
          <w:color w:val="000000" w:themeColor="text1"/>
          <w14:textFill>
            <w14:solidFill>
              <w14:schemeClr w14:val="tx1"/>
            </w14:solidFill>
          </w14:textFill>
        </w:rPr>
        <w:t>碳素结构钢</w:t>
      </w:r>
    </w:p>
    <w:p w14:paraId="0425F029">
      <w:pPr>
        <w:pStyle w:val="26"/>
        <w:rPr>
          <w:color w:val="000000" w:themeColor="text1"/>
          <w14:textFill>
            <w14:solidFill>
              <w14:schemeClr w14:val="tx1"/>
            </w14:solidFill>
          </w14:textFill>
        </w:rPr>
      </w:pPr>
      <w:r>
        <w:rPr>
          <w:color w:val="000000" w:themeColor="text1"/>
          <w14:textFill>
            <w14:solidFill>
              <w14:schemeClr w14:val="tx1"/>
            </w14:solidFill>
          </w14:textFill>
        </w:rPr>
        <w:t>GB/T 7</w:t>
      </w:r>
      <w:r>
        <w:rPr>
          <w:rFonts w:hint="eastAsia"/>
          <w:color w:val="000000" w:themeColor="text1"/>
          <w14:textFill>
            <w14:solidFill>
              <w14:schemeClr w14:val="tx1"/>
            </w14:solidFill>
          </w14:textFill>
        </w:rPr>
        <w:t>14</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桥梁用结构钢</w:t>
      </w:r>
    </w:p>
    <w:p w14:paraId="1E221AC8">
      <w:pPr>
        <w:pStyle w:val="26"/>
        <w:rPr>
          <w:color w:val="000000" w:themeColor="text1"/>
          <w14:textFill>
            <w14:solidFill>
              <w14:schemeClr w14:val="tx1"/>
            </w14:solidFill>
          </w14:textFill>
        </w:rPr>
      </w:pPr>
      <w:r>
        <w:rPr>
          <w:rFonts w:hint="eastAsia"/>
          <w:color w:val="000000" w:themeColor="text1"/>
          <w:szCs w:val="22"/>
          <w14:textFill>
            <w14:solidFill>
              <w14:schemeClr w14:val="tx1"/>
            </w14:solidFill>
          </w14:textFill>
        </w:rPr>
        <w:t xml:space="preserve">GB/T 983 </w:t>
      </w:r>
      <w:r>
        <w:rPr>
          <w:rFonts w:hint="eastAsia"/>
          <w:color w:val="000000" w:themeColor="text1"/>
          <w14:textFill>
            <w14:solidFill>
              <w14:schemeClr w14:val="tx1"/>
            </w14:solidFill>
          </w14:textFill>
        </w:rPr>
        <w:t>不锈钢焊条</w:t>
      </w:r>
    </w:p>
    <w:p w14:paraId="657FE080">
      <w:pPr>
        <w:pStyle w:val="26"/>
        <w:rPr>
          <w:color w:val="000000" w:themeColor="text1"/>
          <w14:textFill>
            <w14:solidFill>
              <w14:schemeClr w14:val="tx1"/>
            </w14:solidFill>
          </w14:textFill>
        </w:rPr>
      </w:pPr>
      <w:r>
        <w:rPr>
          <w:color w:val="000000" w:themeColor="text1"/>
          <w14:textFill>
            <w14:solidFill>
              <w14:schemeClr w14:val="tx1"/>
            </w14:solidFill>
          </w14:textFill>
        </w:rPr>
        <w:t xml:space="preserve">GB/T 1591 </w:t>
      </w:r>
      <w:r>
        <w:rPr>
          <w:rFonts w:hint="eastAsia"/>
          <w:color w:val="000000" w:themeColor="text1"/>
          <w14:textFill>
            <w14:solidFill>
              <w14:schemeClr w14:val="tx1"/>
            </w14:solidFill>
          </w14:textFill>
        </w:rPr>
        <w:t>低合金高强度结构钢</w:t>
      </w:r>
    </w:p>
    <w:p w14:paraId="540EBFF8">
      <w:pPr>
        <w:pStyle w:val="2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GB/T 1231 钢结构用高强度大六角头螺栓连接副</w:t>
      </w:r>
    </w:p>
    <w:p w14:paraId="667DF071">
      <w:pPr>
        <w:pStyle w:val="2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GB/T 5117 非合金钢及细晶粒钢焊条</w:t>
      </w:r>
    </w:p>
    <w:p w14:paraId="4FB8255B">
      <w:pPr>
        <w:pStyle w:val="26"/>
        <w:rPr>
          <w:color w:val="000000" w:themeColor="text1"/>
          <w14:textFill>
            <w14:solidFill>
              <w14:schemeClr w14:val="tx1"/>
            </w14:solidFill>
          </w14:textFill>
        </w:rPr>
      </w:pPr>
      <w:r>
        <w:rPr>
          <w:rFonts w:hint="eastAsia"/>
          <w:color w:val="000000" w:themeColor="text1"/>
          <w:szCs w:val="22"/>
          <w14:textFill>
            <w14:solidFill>
              <w14:schemeClr w14:val="tx1"/>
            </w14:solidFill>
          </w14:textFill>
        </w:rPr>
        <w:t xml:space="preserve">GB/T 5118 </w:t>
      </w:r>
      <w:r>
        <w:rPr>
          <w:rFonts w:hint="eastAsia"/>
          <w:color w:val="000000" w:themeColor="text1"/>
          <w14:textFill>
            <w14:solidFill>
              <w14:schemeClr w14:val="tx1"/>
            </w14:solidFill>
          </w14:textFill>
        </w:rPr>
        <w:t>热强钢焊条</w:t>
      </w:r>
    </w:p>
    <w:p w14:paraId="08241A98">
      <w:pPr>
        <w:pStyle w:val="26"/>
        <w:rPr>
          <w:color w:val="000000" w:themeColor="text1"/>
          <w14:textFill>
            <w14:solidFill>
              <w14:schemeClr w14:val="tx1"/>
            </w14:solidFill>
          </w14:textFill>
        </w:rPr>
      </w:pPr>
      <w:r>
        <w:rPr>
          <w:color w:val="000000" w:themeColor="text1"/>
          <w14:textFill>
            <w14:solidFill>
              <w14:schemeClr w14:val="tx1"/>
            </w14:solidFill>
          </w14:textFill>
        </w:rPr>
        <w:t>GB/T 8165</w:t>
      </w:r>
      <w:r>
        <w:rPr>
          <w:rFonts w:hint="eastAsia"/>
          <w:color w:val="000000" w:themeColor="text1"/>
          <w14:textFill>
            <w14:solidFill>
              <w14:schemeClr w14:val="tx1"/>
            </w14:solidFill>
          </w14:textFill>
        </w:rPr>
        <w:t xml:space="preserve"> 不锈钢复合钢板和钢带</w:t>
      </w:r>
    </w:p>
    <w:p w14:paraId="567FF60F">
      <w:pPr>
        <w:pStyle w:val="26"/>
        <w:rPr>
          <w:color w:val="000000" w:themeColor="text1"/>
          <w14:textFill>
            <w14:solidFill>
              <w14:schemeClr w14:val="tx1"/>
            </w14:solidFill>
          </w14:textFill>
        </w:rPr>
      </w:pPr>
      <w:r>
        <w:rPr>
          <w:color w:val="000000" w:themeColor="text1"/>
          <w14:textFill>
            <w14:solidFill>
              <w14:schemeClr w14:val="tx1"/>
            </w14:solidFill>
          </w14:textFill>
        </w:rPr>
        <w:t>GB 50288 灌溉与排水工程设计标准</w:t>
      </w:r>
    </w:p>
    <w:p w14:paraId="0DE1BE29">
      <w:pPr>
        <w:pStyle w:val="26"/>
        <w:rPr>
          <w:color w:val="000000" w:themeColor="text1"/>
          <w14:textFill>
            <w14:solidFill>
              <w14:schemeClr w14:val="tx1"/>
            </w14:solidFill>
          </w14:textFill>
        </w:rPr>
      </w:pPr>
      <w:r>
        <w:rPr>
          <w:color w:val="000000" w:themeColor="text1"/>
          <w14:textFill>
            <w14:solidFill>
              <w14:schemeClr w14:val="tx1"/>
            </w14:solidFill>
          </w14:textFill>
        </w:rPr>
        <w:t>GB 50917</w:t>
      </w:r>
      <w:r>
        <w:rPr>
          <w:rFonts w:hint="eastAsia"/>
          <w:color w:val="000000" w:themeColor="text1"/>
          <w14:textFill>
            <w14:solidFill>
              <w14:schemeClr w14:val="tx1"/>
            </w14:solidFill>
          </w14:textFill>
        </w:rPr>
        <w:t xml:space="preserve"> 钢-混凝土组合桥梁设计规范</w:t>
      </w:r>
    </w:p>
    <w:p w14:paraId="060F7558">
      <w:pPr>
        <w:pStyle w:val="26"/>
        <w:rPr>
          <w:color w:val="000000" w:themeColor="text1"/>
          <w14:textFill>
            <w14:solidFill>
              <w14:schemeClr w14:val="tx1"/>
            </w14:solidFill>
          </w14:textFill>
        </w:rPr>
      </w:pPr>
      <w:r>
        <w:rPr>
          <w:color w:val="000000" w:themeColor="text1"/>
          <w14:textFill>
            <w14:solidFill>
              <w14:schemeClr w14:val="tx1"/>
            </w14:solidFill>
          </w14:textFill>
        </w:rPr>
        <w:t>GB 51247 水工建筑物抗震设计标准</w:t>
      </w:r>
    </w:p>
    <w:p w14:paraId="6FE48DD6">
      <w:pPr>
        <w:pStyle w:val="26"/>
        <w:rPr>
          <w:color w:val="000000" w:themeColor="text1"/>
          <w14:textFill>
            <w14:solidFill>
              <w14:schemeClr w14:val="tx1"/>
            </w14:solidFill>
          </w14:textFill>
        </w:rPr>
      </w:pPr>
      <w:r>
        <w:rPr>
          <w:color w:val="000000" w:themeColor="text1"/>
          <w14:textFill>
            <w14:solidFill>
              <w14:schemeClr w14:val="tx1"/>
            </w14:solidFill>
          </w14:textFill>
        </w:rPr>
        <w:t xml:space="preserve">GB/T </w:t>
      </w:r>
      <w:r>
        <w:rPr>
          <w:rFonts w:hint="eastAsia"/>
          <w:color w:val="000000" w:themeColor="text1"/>
          <w14:textFill>
            <w14:solidFill>
              <w14:schemeClr w14:val="tx1"/>
            </w14:solidFill>
          </w14:textFill>
        </w:rPr>
        <w:t>51394 水工建筑物荷载标准</w:t>
      </w:r>
    </w:p>
    <w:p w14:paraId="3F475EA1">
      <w:pPr>
        <w:pStyle w:val="26"/>
        <w:rPr>
          <w:color w:val="000000" w:themeColor="text1"/>
          <w14:textFill>
            <w14:solidFill>
              <w14:schemeClr w14:val="tx1"/>
            </w14:solidFill>
          </w14:textFill>
        </w:rPr>
      </w:pPr>
      <w:r>
        <w:rPr>
          <w:color w:val="000000" w:themeColor="text1"/>
          <w14:textFill>
            <w14:solidFill>
              <w14:schemeClr w14:val="tx1"/>
            </w14:solidFill>
          </w14:textFill>
        </w:rPr>
        <w:t>JTG D60 公路桥涵设计通用规范</w:t>
      </w:r>
    </w:p>
    <w:p w14:paraId="354BDF8E">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J</w:t>
      </w:r>
      <w:r>
        <w:rPr>
          <w:color w:val="000000" w:themeColor="text1"/>
          <w14:textFill>
            <w14:solidFill>
              <w14:schemeClr w14:val="tx1"/>
            </w14:solidFill>
          </w14:textFill>
        </w:rPr>
        <w:t xml:space="preserve">TG D64 </w:t>
      </w:r>
      <w:r>
        <w:rPr>
          <w:rFonts w:hint="eastAsia"/>
          <w:color w:val="000000" w:themeColor="text1"/>
          <w14:textFill>
            <w14:solidFill>
              <w14:schemeClr w14:val="tx1"/>
            </w14:solidFill>
          </w14:textFill>
        </w:rPr>
        <w:t>公路钢结构桥梁设计规范</w:t>
      </w:r>
    </w:p>
    <w:p w14:paraId="3ACC118B">
      <w:pPr>
        <w:pStyle w:val="26"/>
        <w:rPr>
          <w:color w:val="000000" w:themeColor="text1"/>
          <w14:textFill>
            <w14:solidFill>
              <w14:schemeClr w14:val="tx1"/>
            </w14:solidFill>
          </w14:textFill>
        </w:rPr>
      </w:pPr>
      <w:r>
        <w:rPr>
          <w:color w:val="000000" w:themeColor="text1"/>
          <w14:textFill>
            <w14:solidFill>
              <w14:schemeClr w14:val="tx1"/>
            </w14:solidFill>
          </w14:textFill>
        </w:rPr>
        <w:t>JTG/T 2231-0</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公路桥梁抗震设计规范</w:t>
      </w:r>
    </w:p>
    <w:p w14:paraId="41C9DBDC">
      <w:pPr>
        <w:pStyle w:val="26"/>
        <w:rPr>
          <w:color w:val="000000" w:themeColor="text1"/>
          <w14:textFill>
            <w14:solidFill>
              <w14:schemeClr w14:val="tx1"/>
            </w14:solidFill>
          </w14:textFill>
        </w:rPr>
      </w:pPr>
      <w:r>
        <w:rPr>
          <w:color w:val="000000" w:themeColor="text1"/>
          <w14:textFill>
            <w14:solidFill>
              <w14:schemeClr w14:val="tx1"/>
            </w14:solidFill>
          </w14:textFill>
        </w:rPr>
        <w:t>JTG/T D3360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01 公路桥梁抗风设计规范</w:t>
      </w:r>
    </w:p>
    <w:p w14:paraId="5B5726A1">
      <w:pPr>
        <w:pStyle w:val="26"/>
        <w:rPr>
          <w:color w:val="000000" w:themeColor="text1"/>
          <w14:textFill>
            <w14:solidFill>
              <w14:schemeClr w14:val="tx1"/>
            </w14:solidFill>
          </w14:textFill>
        </w:rPr>
      </w:pPr>
      <w:r>
        <w:rPr>
          <w:color w:val="000000" w:themeColor="text1"/>
          <w14:textFill>
            <w14:solidFill>
              <w14:schemeClr w14:val="tx1"/>
            </w14:solidFill>
          </w14:textFill>
        </w:rPr>
        <w:t>JTG 3363 公路桥涵地基与基础设计规范</w:t>
      </w:r>
    </w:p>
    <w:p w14:paraId="093B9992">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JT/T 722 公路桥梁钢结构防腐涂装技术条件</w:t>
      </w:r>
    </w:p>
    <w:p w14:paraId="5EDCE32C">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SL 105 水工金属结构防腐蚀技术规范</w:t>
      </w:r>
    </w:p>
    <w:p w14:paraId="1A1566EB">
      <w:pPr>
        <w:pStyle w:val="26"/>
        <w:rPr>
          <w:color w:val="000000" w:themeColor="text1"/>
          <w14:textFill>
            <w14:solidFill>
              <w14:schemeClr w14:val="tx1"/>
            </w14:solidFill>
          </w14:textFill>
        </w:rPr>
      </w:pPr>
      <w:r>
        <w:rPr>
          <w:color w:val="000000" w:themeColor="text1"/>
          <w14:textFill>
            <w14:solidFill>
              <w14:schemeClr w14:val="tx1"/>
            </w14:solidFill>
          </w14:textFill>
        </w:rPr>
        <w:t>SL 191 水工混凝土结构设计规范</w:t>
      </w:r>
    </w:p>
    <w:p w14:paraId="421A16D1">
      <w:pPr>
        <w:pStyle w:val="26"/>
        <w:rPr>
          <w:color w:val="000000" w:themeColor="text1"/>
          <w14:textFill>
            <w14:solidFill>
              <w14:schemeClr w14:val="tx1"/>
            </w14:solidFill>
          </w14:textFill>
        </w:rPr>
      </w:pPr>
      <w:r>
        <w:rPr>
          <w:color w:val="000000" w:themeColor="text1"/>
          <w14:textFill>
            <w14:solidFill>
              <w14:schemeClr w14:val="tx1"/>
            </w14:solidFill>
          </w14:textFill>
        </w:rPr>
        <w:t>SL 252 水利水电工程等级划分及洪水标准</w:t>
      </w:r>
    </w:p>
    <w:p w14:paraId="7DEA3AC5">
      <w:pPr>
        <w:pStyle w:val="26"/>
        <w:rPr>
          <w:color w:val="000000" w:themeColor="text1"/>
          <w14:textFill>
            <w14:solidFill>
              <w14:schemeClr w14:val="tx1"/>
            </w14:solidFill>
          </w14:textFill>
        </w:rPr>
      </w:pPr>
      <w:r>
        <w:rPr>
          <w:color w:val="000000" w:themeColor="text1"/>
          <w14:textFill>
            <w14:solidFill>
              <w14:schemeClr w14:val="tx1"/>
            </w14:solidFill>
          </w14:textFill>
        </w:rPr>
        <w:t>SL 482 灌溉与排水渠系建筑物设计规范</w:t>
      </w:r>
    </w:p>
    <w:p w14:paraId="1DDD9885">
      <w:pPr>
        <w:pStyle w:val="26"/>
        <w:rPr>
          <w:color w:val="000000" w:themeColor="text1"/>
          <w14:textFill>
            <w14:solidFill>
              <w14:schemeClr w14:val="tx1"/>
            </w14:solidFill>
          </w14:textFill>
        </w:rPr>
      </w:pPr>
      <w:r>
        <w:rPr>
          <w:color w:val="000000" w:themeColor="text1"/>
          <w14:textFill>
            <w14:solidFill>
              <w14:schemeClr w14:val="tx1"/>
            </w14:solidFill>
          </w14:textFill>
        </w:rPr>
        <w:t>SL 654 水利水电工程合理使用年限及耐久性设计规范</w:t>
      </w:r>
    </w:p>
    <w:p w14:paraId="5930F105">
      <w:pPr>
        <w:pStyle w:val="26"/>
        <w:rPr>
          <w:color w:val="000000" w:themeColor="text1"/>
          <w14:textFill>
            <w14:solidFill>
              <w14:schemeClr w14:val="tx1"/>
            </w14:solidFill>
          </w14:textFill>
        </w:rPr>
      </w:pPr>
      <w:r>
        <w:rPr>
          <w:color w:val="000000" w:themeColor="text1"/>
          <w14:textFill>
            <w14:solidFill>
              <w14:schemeClr w14:val="tx1"/>
            </w14:solidFill>
          </w14:textFill>
        </w:rPr>
        <w:t>SL 725 水利水电工程安全监测设计规范</w:t>
      </w:r>
    </w:p>
    <w:p w14:paraId="6CB3A65D">
      <w:pPr>
        <w:pStyle w:val="26"/>
        <w:rPr>
          <w:color w:val="000000" w:themeColor="text1"/>
          <w14:textFill>
            <w14:solidFill>
              <w14:schemeClr w14:val="tx1"/>
            </w14:solidFill>
          </w14:textFill>
        </w:rPr>
      </w:pPr>
      <w:r>
        <w:rPr>
          <w:color w:val="000000" w:themeColor="text1"/>
          <w14:textFill>
            <w14:solidFill>
              <w14:schemeClr w14:val="tx1"/>
            </w14:solidFill>
          </w14:textFill>
        </w:rPr>
        <w:t>DL/T 521</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 xml:space="preserve"> 水工建筑物止水带技术规范</w:t>
      </w:r>
    </w:p>
    <w:p w14:paraId="1F572195">
      <w:pPr>
        <w:pStyle w:val="109"/>
        <w:spacing w:before="312" w:after="312"/>
        <w:rPr>
          <w:rFonts w:hint="eastAsia" w:hAnsi="黑体"/>
          <w:color w:val="000000" w:themeColor="text1"/>
          <w:szCs w:val="32"/>
          <w14:textFill>
            <w14:solidFill>
              <w14:schemeClr w14:val="tx1"/>
            </w14:solidFill>
          </w14:textFill>
        </w:rPr>
      </w:pPr>
      <w:bookmarkStart w:id="16" w:name="_Toc40730878"/>
      <w:bookmarkStart w:id="17" w:name="_Toc212642128"/>
      <w:bookmarkStart w:id="18" w:name="_Toc466471656"/>
      <w:bookmarkStart w:id="19" w:name="_Toc464905795"/>
      <w:bookmarkStart w:id="20" w:name="_Toc465074252"/>
      <w:bookmarkStart w:id="21" w:name="_Toc464902841"/>
      <w:bookmarkStart w:id="22" w:name="_Toc464905543"/>
      <w:bookmarkStart w:id="23" w:name="_Toc466472458"/>
      <w:bookmarkStart w:id="24" w:name="_Toc464905599"/>
      <w:r>
        <w:rPr>
          <w:rFonts w:hint="eastAsia" w:hAnsi="黑体"/>
          <w:color w:val="000000" w:themeColor="text1"/>
          <w14:textFill>
            <w14:solidFill>
              <w14:schemeClr w14:val="tx1"/>
            </w14:solidFill>
          </w14:textFill>
        </w:rPr>
        <w:t>术语</w:t>
      </w:r>
      <w:bookmarkEnd w:id="16"/>
      <w:r>
        <w:rPr>
          <w:rFonts w:hint="eastAsia" w:hAnsi="黑体"/>
          <w:color w:val="000000" w:themeColor="text1"/>
          <w:szCs w:val="32"/>
          <w14:textFill>
            <w14:solidFill>
              <w14:schemeClr w14:val="tx1"/>
            </w14:solidFill>
          </w14:textFill>
        </w:rPr>
        <w:t>和定义</w:t>
      </w:r>
      <w:bookmarkEnd w:id="17"/>
    </w:p>
    <w:p w14:paraId="12C9C909">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下列术语和定义适用于本文件。</w:t>
      </w:r>
    </w:p>
    <w:p w14:paraId="2B43E522">
      <w:pPr>
        <w:pStyle w:val="77"/>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钢结构渡槽 steel aqueduct</w:t>
      </w:r>
    </w:p>
    <w:p w14:paraId="45728222">
      <w:pPr>
        <w:pStyle w:val="2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槽体主要承载结构为钢材的</w:t>
      </w:r>
      <w:bookmarkStart w:id="25" w:name="OLE_LINK4"/>
      <w:bookmarkStart w:id="26" w:name="OLE_LINK3"/>
      <w:r>
        <w:rPr>
          <w:rFonts w:hint="eastAsia"/>
          <w:color w:val="000000" w:themeColor="text1"/>
          <w:szCs w:val="22"/>
          <w14:textFill>
            <w14:solidFill>
              <w14:schemeClr w14:val="tx1"/>
            </w14:solidFill>
          </w14:textFill>
        </w:rPr>
        <w:t>渡槽。</w:t>
      </w:r>
      <w:bookmarkEnd w:id="25"/>
      <w:bookmarkEnd w:id="26"/>
    </w:p>
    <w:p w14:paraId="66676400">
      <w:pPr>
        <w:pStyle w:val="77"/>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 xml:space="preserve">槽体 </w:t>
      </w:r>
      <w:r>
        <w:rPr>
          <w:color w:val="000000" w:themeColor="text1"/>
          <w:szCs w:val="22"/>
          <w14:textFill>
            <w14:solidFill>
              <w14:schemeClr w14:val="tx1"/>
            </w14:solidFill>
          </w14:textFill>
        </w:rPr>
        <w:t>aqueduct superstructure</w:t>
      </w:r>
    </w:p>
    <w:p w14:paraId="274BA448">
      <w:pPr>
        <w:pStyle w:val="26"/>
        <w:spacing w:line="400" w:lineRule="exact"/>
        <w:rPr>
          <w:color w:val="000000" w:themeColor="text1"/>
          <w:szCs w:val="22"/>
          <w14:textFill>
            <w14:solidFill>
              <w14:schemeClr w14:val="tx1"/>
            </w14:solidFill>
          </w14:textFill>
        </w:rPr>
      </w:pPr>
      <w:bookmarkStart w:id="27" w:name="_Toc456894243"/>
      <w:bookmarkStart w:id="28" w:name="_Toc486614345"/>
      <w:r>
        <w:rPr>
          <w:rFonts w:hint="eastAsia"/>
          <w:color w:val="000000" w:themeColor="text1"/>
          <w:szCs w:val="22"/>
          <w14:textFill>
            <w14:solidFill>
              <w14:schemeClr w14:val="tx1"/>
            </w14:solidFill>
          </w14:textFill>
        </w:rPr>
        <w:t>梁式渡槽支座以上或拱式渡槽拱圈起拱线以上的用于输水跨越结构。</w:t>
      </w:r>
    </w:p>
    <w:p w14:paraId="25858A97">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通航渡槽 navigable aqueduct</w:t>
      </w:r>
    </w:p>
    <w:p w14:paraId="0F228519">
      <w:pPr>
        <w:pStyle w:val="2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槽体内具有通航要求的渡槽。</w:t>
      </w:r>
    </w:p>
    <w:p w14:paraId="37DEF1DA">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钢箱梁渡槽  beam-type aqueduct</w:t>
      </w:r>
    </w:p>
    <w:p w14:paraId="684953BD">
      <w:pPr>
        <w:pStyle w:val="26"/>
      </w:pPr>
      <w:r>
        <w:rPr>
          <w:rFonts w:hint="eastAsia"/>
        </w:rPr>
        <w:t>以钢箱</w:t>
      </w:r>
      <w:r>
        <w:rPr>
          <w:rFonts w:hint="eastAsia" w:ascii="Times New Roman"/>
          <w:color w:val="000000" w:themeColor="text1"/>
          <w:szCs w:val="22"/>
          <w14:textFill>
            <w14:solidFill>
              <w14:schemeClr w14:val="tx1"/>
            </w14:solidFill>
          </w14:textFill>
        </w:rPr>
        <w:t>梁</w:t>
      </w:r>
      <w:r>
        <w:rPr>
          <w:rFonts w:hint="eastAsia"/>
        </w:rPr>
        <w:t>为主要承重结构的渡槽。</w:t>
      </w:r>
    </w:p>
    <w:p w14:paraId="124414BC">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钢桁梁渡槽  truss aqueduct</w:t>
      </w:r>
    </w:p>
    <w:p w14:paraId="282919F5">
      <w:pPr>
        <w:pStyle w:val="26"/>
      </w:pPr>
      <w:r>
        <w:rPr>
          <w:rFonts w:hint="eastAsia"/>
        </w:rPr>
        <w:t>以钢桁</w:t>
      </w:r>
      <w:r>
        <w:rPr>
          <w:rFonts w:hint="eastAsia" w:ascii="Times New Roman"/>
          <w:color w:val="000000" w:themeColor="text1"/>
          <w:szCs w:val="22"/>
          <w14:textFill>
            <w14:solidFill>
              <w14:schemeClr w14:val="tx1"/>
            </w14:solidFill>
          </w14:textFill>
        </w:rPr>
        <w:t>梁</w:t>
      </w:r>
      <w:r>
        <w:rPr>
          <w:rFonts w:hint="eastAsia"/>
        </w:rPr>
        <w:t>为主要承重结构的渡槽。</w:t>
      </w:r>
    </w:p>
    <w:p w14:paraId="0AC2CE5F">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钢拱渡槽  arch-truss aqueduct</w:t>
      </w:r>
    </w:p>
    <w:p w14:paraId="082F94D8">
      <w:pPr>
        <w:pStyle w:val="26"/>
      </w:pPr>
      <w:r>
        <w:rPr>
          <w:rFonts w:hint="eastAsia"/>
        </w:rPr>
        <w:t>以钢拱为主要承重结构的渡槽。</w:t>
      </w:r>
    </w:p>
    <w:p w14:paraId="6BE4FD7B">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不锈钢复合钢板 s</w:t>
      </w:r>
      <w:r>
        <w:rPr>
          <w:rFonts w:ascii="Times New Roman"/>
          <w:color w:val="000000" w:themeColor="text1"/>
          <w:szCs w:val="22"/>
          <w14:textFill>
            <w14:solidFill>
              <w14:schemeClr w14:val="tx1"/>
            </w14:solidFill>
          </w14:textFill>
        </w:rPr>
        <w:t xml:space="preserve">tainless </w:t>
      </w:r>
      <w:r>
        <w:rPr>
          <w:rFonts w:hint="eastAsia" w:ascii="Times New Roman"/>
          <w:color w:val="000000" w:themeColor="text1"/>
          <w:szCs w:val="22"/>
          <w14:textFill>
            <w14:solidFill>
              <w14:schemeClr w14:val="tx1"/>
            </w14:solidFill>
          </w14:textFill>
        </w:rPr>
        <w:t>s</w:t>
      </w:r>
      <w:r>
        <w:rPr>
          <w:rFonts w:ascii="Times New Roman"/>
          <w:color w:val="000000" w:themeColor="text1"/>
          <w:szCs w:val="22"/>
          <w14:textFill>
            <w14:solidFill>
              <w14:schemeClr w14:val="tx1"/>
            </w14:solidFill>
          </w14:textFill>
        </w:rPr>
        <w:t xml:space="preserve">teel </w:t>
      </w:r>
      <w:r>
        <w:rPr>
          <w:rFonts w:hint="eastAsia" w:ascii="Times New Roman"/>
          <w:color w:val="000000" w:themeColor="text1"/>
          <w:szCs w:val="22"/>
          <w14:textFill>
            <w14:solidFill>
              <w14:schemeClr w14:val="tx1"/>
            </w14:solidFill>
          </w14:textFill>
        </w:rPr>
        <w:t>c</w:t>
      </w:r>
      <w:r>
        <w:rPr>
          <w:rFonts w:ascii="Times New Roman"/>
          <w:color w:val="000000" w:themeColor="text1"/>
          <w:szCs w:val="22"/>
          <w14:textFill>
            <w14:solidFill>
              <w14:schemeClr w14:val="tx1"/>
            </w14:solidFill>
          </w14:textFill>
        </w:rPr>
        <w:t xml:space="preserve">lad </w:t>
      </w:r>
      <w:r>
        <w:rPr>
          <w:rFonts w:hint="eastAsia" w:ascii="Times New Roman"/>
          <w:color w:val="000000" w:themeColor="text1"/>
          <w:szCs w:val="22"/>
          <w14:textFill>
            <w14:solidFill>
              <w14:schemeClr w14:val="tx1"/>
            </w14:solidFill>
          </w14:textFill>
        </w:rPr>
        <w:t>p</w:t>
      </w:r>
      <w:r>
        <w:rPr>
          <w:rFonts w:ascii="Times New Roman"/>
          <w:color w:val="000000" w:themeColor="text1"/>
          <w:szCs w:val="22"/>
          <w14:textFill>
            <w14:solidFill>
              <w14:schemeClr w14:val="tx1"/>
            </w14:solidFill>
          </w14:textFill>
        </w:rPr>
        <w:t>late</w:t>
      </w:r>
    </w:p>
    <w:p w14:paraId="51CCDD31">
      <w:pPr>
        <w:pStyle w:val="2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以低合金钢或桥梁用结构钢为基层，采用轧制法、爆破法或其他方法，在其一面或两面整体连续地包覆一定厚度不锈钢的复合材料。</w:t>
      </w:r>
    </w:p>
    <w:p w14:paraId="0B76B122">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波折板水槽 c</w:t>
      </w:r>
      <w:r>
        <w:rPr>
          <w:rFonts w:ascii="Times New Roman"/>
          <w:color w:val="000000" w:themeColor="text1"/>
          <w:szCs w:val="22"/>
          <w14:textFill>
            <w14:solidFill>
              <w14:schemeClr w14:val="tx1"/>
            </w14:solidFill>
          </w14:textFill>
        </w:rPr>
        <w:t xml:space="preserve">orrugated </w:t>
      </w:r>
      <w:r>
        <w:rPr>
          <w:rFonts w:hint="eastAsia" w:ascii="Times New Roman"/>
          <w:color w:val="000000" w:themeColor="text1"/>
          <w:szCs w:val="22"/>
          <w14:textFill>
            <w14:solidFill>
              <w14:schemeClr w14:val="tx1"/>
            </w14:solidFill>
          </w14:textFill>
        </w:rPr>
        <w:t>f</w:t>
      </w:r>
      <w:r>
        <w:rPr>
          <w:rFonts w:ascii="Times New Roman"/>
          <w:color w:val="000000" w:themeColor="text1"/>
          <w:szCs w:val="22"/>
          <w14:textFill>
            <w14:solidFill>
              <w14:schemeClr w14:val="tx1"/>
            </w14:solidFill>
          </w14:textFill>
        </w:rPr>
        <w:t>lume</w:t>
      </w:r>
      <w:r>
        <w:rPr>
          <w:rFonts w:hint="eastAsia" w:ascii="Times New Roman"/>
          <w:color w:val="000000" w:themeColor="text1"/>
          <w:szCs w:val="22"/>
          <w14:textFill>
            <w14:solidFill>
              <w14:schemeClr w14:val="tx1"/>
            </w14:solidFill>
          </w14:textFill>
        </w:rPr>
        <w:t xml:space="preserve"> aqueduct</w:t>
      </w:r>
    </w:p>
    <w:p w14:paraId="0AA6FC70">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槽壁采用波形钢板的水槽。</w:t>
      </w:r>
    </w:p>
    <w:p w14:paraId="117604A8">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 xml:space="preserve">槽体横向拉杆 aqueduct </w:t>
      </w:r>
      <w:r>
        <w:rPr>
          <w:rFonts w:hint="eastAsia" w:ascii="Times New Roman"/>
          <w:szCs w:val="22"/>
        </w:rPr>
        <w:t>tie-rod</w:t>
      </w:r>
    </w:p>
    <w:p w14:paraId="1A2781C6">
      <w:pPr>
        <w:pStyle w:val="26"/>
        <w:rPr>
          <w:color w:val="000000" w:themeColor="text1"/>
          <w:szCs w:val="22"/>
          <w14:textFill>
            <w14:solidFill>
              <w14:schemeClr w14:val="tx1"/>
            </w14:solidFill>
          </w14:textFill>
        </w:rPr>
      </w:pPr>
      <w:r>
        <w:rPr>
          <w:rFonts w:hint="eastAsia"/>
          <w:color w:val="000000" w:themeColor="text1"/>
          <w14:textFill>
            <w14:solidFill>
              <w14:schemeClr w14:val="tx1"/>
            </w14:solidFill>
          </w14:textFill>
        </w:rPr>
        <w:t>矩形或U形渡槽顶部横向连接两侧槽壁的构件，用于限制槽壁侧向变形，增强槽体整体稳定性。</w:t>
      </w:r>
      <w:bookmarkStart w:id="29" w:name="_Toc40730879"/>
      <w:r>
        <w:rPr>
          <w:color w:val="000000" w:themeColor="text1"/>
          <w14:textFill>
            <w14:solidFill>
              <w14:schemeClr w14:val="tx1"/>
            </w14:solidFill>
          </w14:textFill>
        </w:rPr>
        <w:br w:type="page"/>
      </w:r>
    </w:p>
    <w:bookmarkEnd w:id="29"/>
    <w:p w14:paraId="78AA36DC">
      <w:pPr>
        <w:pStyle w:val="109"/>
        <w:spacing w:before="312" w:after="312"/>
        <w:rPr>
          <w:color w:val="000000" w:themeColor="text1"/>
          <w14:textFill>
            <w14:solidFill>
              <w14:schemeClr w14:val="tx1"/>
            </w14:solidFill>
          </w14:textFill>
        </w:rPr>
      </w:pPr>
      <w:bookmarkStart w:id="30" w:name="_Toc212642129"/>
      <w:r>
        <w:rPr>
          <w:rFonts w:hint="eastAsia"/>
          <w:color w:val="000000" w:themeColor="text1"/>
          <w14:textFill>
            <w14:solidFill>
              <w14:schemeClr w14:val="tx1"/>
            </w14:solidFill>
          </w14:textFill>
        </w:rPr>
        <w:t>材料</w:t>
      </w:r>
      <w:bookmarkEnd w:id="30"/>
    </w:p>
    <w:p w14:paraId="35077D06">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钢材</w:t>
      </w:r>
    </w:p>
    <w:p w14:paraId="7B54269E">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应根据结构形式、受力状态、连接方法及所处环境条件，合理地选用材料。</w:t>
      </w:r>
    </w:p>
    <w:p w14:paraId="630714F8">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槽体钢材牌号不宜低于Q355D或Q345qD,</w:t>
      </w:r>
      <w:r>
        <w:rPr>
          <w:rFonts w:hint="eastAsia"/>
          <w:color w:val="000000" w:themeColor="text1"/>
          <w14:textFill>
            <w14:solidFill>
              <w14:schemeClr w14:val="tx1"/>
            </w14:solidFill>
          </w14:textFill>
        </w:rPr>
        <w:t xml:space="preserve"> </w:t>
      </w:r>
      <w:r>
        <w:rPr>
          <w:rFonts w:hint="eastAsia"/>
          <w:color w:val="000000" w:themeColor="text1"/>
          <w:szCs w:val="22"/>
          <w14:textFill>
            <w14:solidFill>
              <w14:schemeClr w14:val="tx1"/>
            </w14:solidFill>
          </w14:textFill>
        </w:rPr>
        <w:t xml:space="preserve">交货状态宜为TMCP，质量应符合GB/T 1591、GB/T </w:t>
      </w:r>
      <w:r>
        <w:rPr>
          <w:color w:val="000000" w:themeColor="text1"/>
          <w:szCs w:val="22"/>
          <w14:textFill>
            <w14:solidFill>
              <w14:schemeClr w14:val="tx1"/>
            </w14:solidFill>
          </w14:textFill>
        </w:rPr>
        <w:t>714</w:t>
      </w:r>
      <w:r>
        <w:rPr>
          <w:rFonts w:hint="eastAsia"/>
          <w:color w:val="000000" w:themeColor="text1"/>
          <w:szCs w:val="22"/>
          <w14:textFill>
            <w14:solidFill>
              <w14:schemeClr w14:val="tx1"/>
            </w14:solidFill>
          </w14:textFill>
        </w:rPr>
        <w:t>的规定。</w:t>
      </w:r>
    </w:p>
    <w:p w14:paraId="6094ABE9">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当焊接结构采用Z向钢时，其材质应符合GB/T 5313的规定。</w:t>
      </w:r>
    </w:p>
    <w:p w14:paraId="42BEC1FE">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当采用不锈钢复合钢板时,其质量应符合GB/T 8165的规定。</w:t>
      </w:r>
    </w:p>
    <w:p w14:paraId="5CED5594">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高强度螺栓、螺母垫的技术条件应符合GB/T 1231的规定。</w:t>
      </w:r>
    </w:p>
    <w:p w14:paraId="155A8132">
      <w:pPr>
        <w:pStyle w:val="76"/>
        <w:spacing w:line="400" w:lineRule="exact"/>
        <w:rPr>
          <w:color w:val="000000" w:themeColor="text1"/>
          <w:szCs w:val="22"/>
          <w14:textFill>
            <w14:solidFill>
              <w14:schemeClr w14:val="tx1"/>
            </w14:solidFill>
          </w14:textFill>
        </w:rPr>
      </w:pPr>
      <w:r>
        <w:rPr>
          <w:rFonts w:hint="eastAsia"/>
          <w:color w:val="000000" w:themeColor="text1"/>
          <w14:textFill>
            <w14:solidFill>
              <w14:schemeClr w14:val="tx1"/>
            </w14:solidFill>
          </w14:textFill>
        </w:rPr>
        <w:t>焊接材料应采用与母材金属强度相适应的焊丝和焊剂，</w:t>
      </w:r>
      <w:r>
        <w:rPr>
          <w:rFonts w:hint="eastAsia"/>
          <w:color w:val="000000" w:themeColor="text1"/>
          <w:szCs w:val="22"/>
          <w14:textFill>
            <w14:solidFill>
              <w14:schemeClr w14:val="tx1"/>
            </w14:solidFill>
          </w14:textFill>
        </w:rPr>
        <w:t>且应符合GB/T 5117、GB/T 5118、GB/T 983的规定。</w:t>
      </w:r>
    </w:p>
    <w:p w14:paraId="103D1694">
      <w:pPr>
        <w:pStyle w:val="77"/>
        <w:rPr>
          <w:rFonts w:ascii="Times New Roman"/>
          <w:color w:val="000000" w:themeColor="text1"/>
          <w:szCs w:val="22"/>
          <w14:textFill>
            <w14:solidFill>
              <w14:schemeClr w14:val="tx1"/>
            </w14:solidFill>
          </w14:textFill>
        </w:rPr>
      </w:pPr>
      <w:bookmarkStart w:id="31" w:name="_Toc17143"/>
      <w:r>
        <w:rPr>
          <w:rFonts w:hint="eastAsia" w:ascii="Times New Roman"/>
          <w:color w:val="000000" w:themeColor="text1"/>
          <w:szCs w:val="22"/>
          <w14:textFill>
            <w14:solidFill>
              <w14:schemeClr w14:val="tx1"/>
            </w14:solidFill>
          </w14:textFill>
        </w:rPr>
        <w:t>设计指标</w:t>
      </w:r>
      <w:bookmarkEnd w:id="31"/>
    </w:p>
    <w:p w14:paraId="48F71461">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低合金高强度结构钢的设计指标应符合JTG D64的规定。桥梁结构钢的设计指标应符合GB 50917的规定。</w:t>
      </w:r>
    </w:p>
    <w:p w14:paraId="422BCB67">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不锈钢复合钢板的设计指标与基层钢板一致，不应计入覆层的影响。</w:t>
      </w:r>
    </w:p>
    <w:p w14:paraId="09CD1E6A">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高强度螺栓预拉力设计值</w:t>
      </w:r>
      <m:oMath>
        <m:sSub>
          <m:sSubPr>
            <m:ctrlPr>
              <w:rPr>
                <w:rFonts w:hint="eastAsia" w:ascii="Cambria Math" w:hAnsi="Cambria Math"/>
                <w:color w:val="000000" w:themeColor="text1"/>
                <w:szCs w:val="22"/>
                <w14:textFill>
                  <w14:solidFill>
                    <w14:schemeClr w14:val="tx1"/>
                  </w14:solidFill>
                </w14:textFill>
              </w:rPr>
            </m:ctrlPr>
          </m:sSubPr>
          <m:e>
            <m:r>
              <m:rPr>
                <m:sty m:val="p"/>
              </m:rPr>
              <w:rPr>
                <w:rFonts w:hint="eastAsia" w:ascii="Cambria Math" w:hAnsi="Cambria Math"/>
                <w:color w:val="000000" w:themeColor="text1"/>
                <w:szCs w:val="22"/>
                <w14:textFill>
                  <w14:solidFill>
                    <w14:schemeClr w14:val="tx1"/>
                  </w14:solidFill>
                </w14:textFill>
              </w:rPr>
              <m:t>P</m:t>
            </m:r>
            <m:ctrlPr>
              <w:rPr>
                <w:rFonts w:hint="eastAsia" w:ascii="Cambria Math" w:hAnsi="Cambria Math"/>
                <w:color w:val="000000" w:themeColor="text1"/>
                <w:szCs w:val="22"/>
                <w14:textFill>
                  <w14:solidFill>
                    <w14:schemeClr w14:val="tx1"/>
                  </w14:solidFill>
                </w14:textFill>
              </w:rPr>
            </m:ctrlPr>
          </m:e>
          <m:sub>
            <m:r>
              <m:rPr>
                <m:sty m:val="p"/>
              </m:rPr>
              <w:rPr>
                <w:rFonts w:hint="eastAsia" w:ascii="Cambria Math" w:hAnsi="Cambria Math"/>
                <w:color w:val="000000" w:themeColor="text1"/>
                <w:szCs w:val="22"/>
                <w14:textFill>
                  <w14:solidFill>
                    <w14:schemeClr w14:val="tx1"/>
                  </w14:solidFill>
                </w14:textFill>
              </w:rPr>
              <m:t>d</m:t>
            </m:r>
            <m:ctrlPr>
              <w:rPr>
                <w:rFonts w:hint="eastAsia" w:ascii="Cambria Math" w:hAnsi="Cambria Math"/>
                <w:color w:val="000000" w:themeColor="text1"/>
                <w:szCs w:val="22"/>
                <w14:textFill>
                  <w14:solidFill>
                    <w14:schemeClr w14:val="tx1"/>
                  </w14:solidFill>
                </w14:textFill>
              </w:rPr>
            </m:ctrlPr>
          </m:sub>
        </m:sSub>
      </m:oMath>
      <w:r>
        <w:rPr>
          <w:rFonts w:hint="eastAsia"/>
          <w:color w:val="000000" w:themeColor="text1"/>
          <w:szCs w:val="22"/>
          <w14:textFill>
            <w14:solidFill>
              <w14:schemeClr w14:val="tx1"/>
            </w14:solidFill>
          </w14:textFill>
        </w:rPr>
        <w:t>应按表1的规定采用。</w:t>
      </w:r>
    </w:p>
    <w:p w14:paraId="1D146C7A">
      <w:pPr>
        <w:pStyle w:val="147"/>
        <w:rPr>
          <w:color w:val="000000" w:themeColor="text1"/>
          <w14:textFill>
            <w14:solidFill>
              <w14:schemeClr w14:val="tx1"/>
            </w14:solidFill>
          </w14:textFill>
        </w:rPr>
      </w:pPr>
      <w:r>
        <w:rPr>
          <w:rFonts w:hint="eastAsia"/>
          <w:color w:val="000000" w:themeColor="text1"/>
          <w14:textFill>
            <w14:solidFill>
              <w14:schemeClr w14:val="tx1"/>
            </w14:solidFill>
          </w14:textFill>
        </w:rPr>
        <w:t>高强度螺栓的预拉力设计值P</w:t>
      </w:r>
      <w:r>
        <w:rPr>
          <w:color w:val="000000" w:themeColor="text1"/>
          <w:vertAlign w:val="subscript"/>
          <w14:textFill>
            <w14:solidFill>
              <w14:schemeClr w14:val="tx1"/>
            </w14:solidFill>
          </w14:textFill>
        </w:rPr>
        <w:t>d</w:t>
      </w:r>
      <w:r>
        <w:rPr>
          <w:rFonts w:hint="eastAsia"/>
          <w:color w:val="000000" w:themeColor="text1"/>
          <w14:textFill>
            <w14:solidFill>
              <w14:schemeClr w14:val="tx1"/>
            </w14:solidFill>
          </w14:textFill>
        </w:rPr>
        <w:t>（kN）</w:t>
      </w:r>
    </w:p>
    <w:tbl>
      <w:tblPr>
        <w:tblStyle w:val="159"/>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1469"/>
        <w:gridCol w:w="1468"/>
        <w:gridCol w:w="1469"/>
        <w:gridCol w:w="1469"/>
        <w:gridCol w:w="1471"/>
      </w:tblGrid>
      <w:tr w14:paraId="3E6FA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1469" w:type="dxa"/>
            <w:vMerge w:val="restart"/>
            <w:vAlign w:val="center"/>
          </w:tcPr>
          <w:p w14:paraId="33923EFE">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性能等级</w:t>
            </w:r>
          </w:p>
        </w:tc>
        <w:tc>
          <w:tcPr>
            <w:tcW w:w="7346" w:type="dxa"/>
            <w:gridSpan w:val="5"/>
            <w:vAlign w:val="center"/>
          </w:tcPr>
          <w:p w14:paraId="0C87525F">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螺纹规格</w:t>
            </w:r>
          </w:p>
        </w:tc>
      </w:tr>
      <w:tr w14:paraId="4AD5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1469" w:type="dxa"/>
            <w:vMerge w:val="continue"/>
            <w:vAlign w:val="center"/>
          </w:tcPr>
          <w:p w14:paraId="5D61C60C">
            <w:pPr>
              <w:jc w:val="center"/>
              <w:rPr>
                <w:color w:val="000000" w:themeColor="text1"/>
                <w:kern w:val="0"/>
                <w14:textFill>
                  <w14:solidFill>
                    <w14:schemeClr w14:val="tx1"/>
                  </w14:solidFill>
                </w14:textFill>
              </w:rPr>
            </w:pPr>
          </w:p>
        </w:tc>
        <w:tc>
          <w:tcPr>
            <w:tcW w:w="1469" w:type="dxa"/>
            <w:vAlign w:val="center"/>
          </w:tcPr>
          <w:p w14:paraId="0AF7B3AC">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M20</w:t>
            </w:r>
          </w:p>
        </w:tc>
        <w:tc>
          <w:tcPr>
            <w:tcW w:w="1468" w:type="dxa"/>
            <w:vAlign w:val="center"/>
          </w:tcPr>
          <w:p w14:paraId="5BB483E2">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M22</w:t>
            </w:r>
          </w:p>
        </w:tc>
        <w:tc>
          <w:tcPr>
            <w:tcW w:w="1469" w:type="dxa"/>
            <w:vAlign w:val="center"/>
          </w:tcPr>
          <w:p w14:paraId="373449FF">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M24</w:t>
            </w:r>
          </w:p>
        </w:tc>
        <w:tc>
          <w:tcPr>
            <w:tcW w:w="1469" w:type="dxa"/>
            <w:vAlign w:val="center"/>
          </w:tcPr>
          <w:p w14:paraId="6C078DC1">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M27</w:t>
            </w:r>
          </w:p>
        </w:tc>
        <w:tc>
          <w:tcPr>
            <w:tcW w:w="1471" w:type="dxa"/>
            <w:vAlign w:val="center"/>
          </w:tcPr>
          <w:p w14:paraId="78D6284F">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M30</w:t>
            </w:r>
          </w:p>
        </w:tc>
      </w:tr>
      <w:tr w14:paraId="0993E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1469" w:type="dxa"/>
            <w:vAlign w:val="center"/>
          </w:tcPr>
          <w:p w14:paraId="76F7120A">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8.8S</w:t>
            </w:r>
          </w:p>
        </w:tc>
        <w:tc>
          <w:tcPr>
            <w:tcW w:w="1469" w:type="dxa"/>
            <w:vAlign w:val="center"/>
          </w:tcPr>
          <w:p w14:paraId="7F7C100D">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125</w:t>
            </w:r>
          </w:p>
        </w:tc>
        <w:tc>
          <w:tcPr>
            <w:tcW w:w="1468" w:type="dxa"/>
            <w:vAlign w:val="center"/>
          </w:tcPr>
          <w:p w14:paraId="5580BDD4">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150</w:t>
            </w:r>
          </w:p>
        </w:tc>
        <w:tc>
          <w:tcPr>
            <w:tcW w:w="1469" w:type="dxa"/>
            <w:vAlign w:val="center"/>
          </w:tcPr>
          <w:p w14:paraId="46FF58A3">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175</w:t>
            </w:r>
          </w:p>
        </w:tc>
        <w:tc>
          <w:tcPr>
            <w:tcW w:w="1469" w:type="dxa"/>
            <w:vAlign w:val="center"/>
          </w:tcPr>
          <w:p w14:paraId="4CF85143">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230</w:t>
            </w:r>
          </w:p>
        </w:tc>
        <w:tc>
          <w:tcPr>
            <w:tcW w:w="1471" w:type="dxa"/>
            <w:vAlign w:val="center"/>
          </w:tcPr>
          <w:p w14:paraId="6D524E54">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280</w:t>
            </w:r>
          </w:p>
        </w:tc>
      </w:tr>
      <w:tr w14:paraId="50828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469" w:type="dxa"/>
            <w:vAlign w:val="center"/>
          </w:tcPr>
          <w:p w14:paraId="0A438826">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10.9S</w:t>
            </w:r>
          </w:p>
        </w:tc>
        <w:tc>
          <w:tcPr>
            <w:tcW w:w="1469" w:type="dxa"/>
            <w:vAlign w:val="center"/>
          </w:tcPr>
          <w:p w14:paraId="5BCAD9CB">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155</w:t>
            </w:r>
          </w:p>
        </w:tc>
        <w:tc>
          <w:tcPr>
            <w:tcW w:w="1468" w:type="dxa"/>
            <w:vAlign w:val="center"/>
          </w:tcPr>
          <w:p w14:paraId="10121F3C">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190</w:t>
            </w:r>
          </w:p>
        </w:tc>
        <w:tc>
          <w:tcPr>
            <w:tcW w:w="1469" w:type="dxa"/>
            <w:vAlign w:val="center"/>
          </w:tcPr>
          <w:p w14:paraId="2244F626">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225</w:t>
            </w:r>
          </w:p>
        </w:tc>
        <w:tc>
          <w:tcPr>
            <w:tcW w:w="1469" w:type="dxa"/>
            <w:vAlign w:val="center"/>
          </w:tcPr>
          <w:p w14:paraId="4AA3CFDE">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290</w:t>
            </w:r>
          </w:p>
        </w:tc>
        <w:tc>
          <w:tcPr>
            <w:tcW w:w="1471" w:type="dxa"/>
            <w:vAlign w:val="center"/>
          </w:tcPr>
          <w:p w14:paraId="096A5D1B">
            <w:pPr>
              <w:jc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355</w:t>
            </w:r>
          </w:p>
        </w:tc>
      </w:tr>
    </w:tbl>
    <w:p w14:paraId="358898A9">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焊缝的设计指标应符合JTG D64的规定。</w:t>
      </w:r>
    </w:p>
    <w:p w14:paraId="5C6D48A0">
      <w:pPr>
        <w:pStyle w:val="109"/>
        <w:spacing w:before="312" w:after="312"/>
        <w:rPr>
          <w:color w:val="000000" w:themeColor="text1"/>
          <w14:textFill>
            <w14:solidFill>
              <w14:schemeClr w14:val="tx1"/>
            </w14:solidFill>
          </w14:textFill>
        </w:rPr>
      </w:pPr>
      <w:bookmarkStart w:id="32" w:name="_Toc212642130"/>
      <w:r>
        <w:rPr>
          <w:rFonts w:hint="eastAsia"/>
          <w:color w:val="000000" w:themeColor="text1"/>
          <w14:textFill>
            <w14:solidFill>
              <w14:schemeClr w14:val="tx1"/>
            </w14:solidFill>
          </w14:textFill>
        </w:rPr>
        <w:t>基本要求</w:t>
      </w:r>
      <w:bookmarkEnd w:id="32"/>
    </w:p>
    <w:p w14:paraId="67881B82">
      <w:pPr>
        <w:pStyle w:val="77"/>
        <w:spacing w:before="312" w:beforeLines="100" w:after="312" w:afterLines="100"/>
        <w:rPr>
          <w:color w:val="000000" w:themeColor="text1"/>
          <w14:textFill>
            <w14:solidFill>
              <w14:schemeClr w14:val="tx1"/>
            </w14:solidFill>
          </w14:textFill>
        </w:rPr>
      </w:pPr>
      <w:r>
        <w:rPr>
          <w:rFonts w:hint="eastAsia"/>
          <w:color w:val="000000" w:themeColor="text1"/>
          <w14:textFill>
            <w14:solidFill>
              <w14:schemeClr w14:val="tx1"/>
            </w14:solidFill>
          </w14:textFill>
        </w:rPr>
        <w:t>一般规定</w:t>
      </w:r>
    </w:p>
    <w:p w14:paraId="673607AD">
      <w:pPr>
        <w:pStyle w:val="76"/>
        <w:rPr>
          <w:rFonts w:ascii="宋体"/>
          <w:szCs w:val="20"/>
        </w:rPr>
      </w:pPr>
      <w:r>
        <w:rPr>
          <w:rFonts w:hint="eastAsia"/>
        </w:rPr>
        <w:t>渡槽建筑物级别和洪水标准应根据工程任务及设计流量按表2确定。当渡槽跨度不小于120m时，其建筑物级别不宜低于2级。</w:t>
      </w:r>
    </w:p>
    <w:p w14:paraId="2EB3E0C7">
      <w:pPr>
        <w:pStyle w:val="147"/>
        <w:rPr>
          <w:color w:val="000000" w:themeColor="text1"/>
          <w14:textFill>
            <w14:solidFill>
              <w14:schemeClr w14:val="tx1"/>
            </w14:solidFill>
          </w14:textFill>
        </w:rPr>
      </w:pPr>
      <w:r>
        <w:rPr>
          <w:rFonts w:hint="eastAsia"/>
          <w:color w:val="000000" w:themeColor="text1"/>
          <w14:textFill>
            <w14:solidFill>
              <w14:schemeClr w14:val="tx1"/>
            </w14:solidFill>
          </w14:textFill>
        </w:rPr>
        <w:t>渡槽建筑物级别及洪水标准</w:t>
      </w:r>
    </w:p>
    <w:tbl>
      <w:tblPr>
        <w:tblStyle w:val="37"/>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367"/>
        <w:gridCol w:w="1367"/>
        <w:gridCol w:w="1367"/>
        <w:gridCol w:w="1367"/>
        <w:gridCol w:w="1367"/>
        <w:gridCol w:w="1368"/>
      </w:tblGrid>
      <w:tr w14:paraId="0F14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Merge w:val="restart"/>
            <w:vAlign w:val="center"/>
          </w:tcPr>
          <w:p w14:paraId="45C304F0">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设计流量Q/(m</w:t>
            </w:r>
            <w:r>
              <w:rPr>
                <w:rFonts w:hint="eastAsia" w:ascii="宋体" w:hAnsi="宋体" w:cs="宋体"/>
                <w:color w:val="000000" w:themeColor="text1"/>
                <w:szCs w:val="21"/>
                <w:vertAlign w:val="superscript"/>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/s)</w:t>
            </w:r>
          </w:p>
        </w:tc>
        <w:tc>
          <w:tcPr>
            <w:tcW w:w="1367" w:type="dxa"/>
            <w:vAlign w:val="center"/>
          </w:tcPr>
          <w:p w14:paraId="65A15270">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供水工程</w:t>
            </w:r>
          </w:p>
        </w:tc>
        <w:tc>
          <w:tcPr>
            <w:tcW w:w="1367" w:type="dxa"/>
            <w:vAlign w:val="center"/>
          </w:tcPr>
          <w:p w14:paraId="78E47810">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Q≥50</w:t>
            </w:r>
          </w:p>
        </w:tc>
        <w:tc>
          <w:tcPr>
            <w:tcW w:w="1367" w:type="dxa"/>
            <w:vAlign w:val="center"/>
          </w:tcPr>
          <w:p w14:paraId="6FDEF4CC">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10≤Q&lt;50</w:t>
            </w:r>
          </w:p>
        </w:tc>
        <w:tc>
          <w:tcPr>
            <w:tcW w:w="1367" w:type="dxa"/>
            <w:vAlign w:val="center"/>
          </w:tcPr>
          <w:p w14:paraId="57622108">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3≤Q&lt;10</w:t>
            </w:r>
          </w:p>
        </w:tc>
        <w:tc>
          <w:tcPr>
            <w:tcW w:w="1367" w:type="dxa"/>
            <w:vAlign w:val="center"/>
          </w:tcPr>
          <w:p w14:paraId="6A9A1189">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1≤Q&lt;3</w:t>
            </w:r>
          </w:p>
        </w:tc>
        <w:tc>
          <w:tcPr>
            <w:tcW w:w="1368" w:type="dxa"/>
            <w:vAlign w:val="center"/>
          </w:tcPr>
          <w:p w14:paraId="339FA89C">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Q&lt;1</w:t>
            </w:r>
          </w:p>
        </w:tc>
      </w:tr>
      <w:tr w14:paraId="6FE39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Merge w:val="continue"/>
            <w:vAlign w:val="center"/>
          </w:tcPr>
          <w:p w14:paraId="163A396C">
            <w:pPr>
              <w:jc w:val="center"/>
              <w:rPr>
                <w:rFonts w:hint="eastAsia" w:ascii="宋体" w:hAnsi="宋体" w:cs="宋体"/>
                <w:color w:val="000000" w:themeColor="text1"/>
                <w:szCs w:val="21"/>
                <w14:textFill>
                  <w14:solidFill>
                    <w14:schemeClr w14:val="tx1"/>
                  </w14:solidFill>
                </w14:textFill>
              </w:rPr>
            </w:pPr>
          </w:p>
        </w:tc>
        <w:tc>
          <w:tcPr>
            <w:tcW w:w="1367" w:type="dxa"/>
            <w:vAlign w:val="center"/>
          </w:tcPr>
          <w:p w14:paraId="52B99B02">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灌溉、</w:t>
            </w:r>
          </w:p>
          <w:p w14:paraId="357C6D1A">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排水工程</w:t>
            </w:r>
          </w:p>
        </w:tc>
        <w:tc>
          <w:tcPr>
            <w:tcW w:w="1367" w:type="dxa"/>
            <w:vAlign w:val="center"/>
          </w:tcPr>
          <w:p w14:paraId="01723BF7">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Q≥300</w:t>
            </w:r>
          </w:p>
        </w:tc>
        <w:tc>
          <w:tcPr>
            <w:tcW w:w="1367" w:type="dxa"/>
            <w:vAlign w:val="center"/>
          </w:tcPr>
          <w:p w14:paraId="16732B14">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100≤Q&lt;300</w:t>
            </w:r>
          </w:p>
        </w:tc>
        <w:tc>
          <w:tcPr>
            <w:tcW w:w="1367" w:type="dxa"/>
            <w:vAlign w:val="center"/>
          </w:tcPr>
          <w:p w14:paraId="5B486885">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20≤Q&lt;100</w:t>
            </w:r>
          </w:p>
        </w:tc>
        <w:tc>
          <w:tcPr>
            <w:tcW w:w="1367" w:type="dxa"/>
            <w:vAlign w:val="center"/>
          </w:tcPr>
          <w:p w14:paraId="03DE9BE3">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5≤Q&lt;20</w:t>
            </w:r>
          </w:p>
        </w:tc>
        <w:tc>
          <w:tcPr>
            <w:tcW w:w="1368" w:type="dxa"/>
            <w:vAlign w:val="center"/>
          </w:tcPr>
          <w:p w14:paraId="0E0EFBEE">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Q&lt;5</w:t>
            </w:r>
          </w:p>
        </w:tc>
      </w:tr>
      <w:tr w14:paraId="61F68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Merge w:val="restart"/>
            <w:vAlign w:val="center"/>
          </w:tcPr>
          <w:p w14:paraId="08211F2C">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建筑物</w:t>
            </w:r>
          </w:p>
          <w:p w14:paraId="79B598A6">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级别</w:t>
            </w:r>
          </w:p>
        </w:tc>
        <w:tc>
          <w:tcPr>
            <w:tcW w:w="1367" w:type="dxa"/>
            <w:vAlign w:val="center"/>
          </w:tcPr>
          <w:p w14:paraId="46AE04F3">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主要</w:t>
            </w:r>
          </w:p>
          <w:p w14:paraId="1D00C6CE">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建筑物</w:t>
            </w:r>
          </w:p>
        </w:tc>
        <w:tc>
          <w:tcPr>
            <w:tcW w:w="1367" w:type="dxa"/>
            <w:vAlign w:val="center"/>
          </w:tcPr>
          <w:p w14:paraId="41D78F39">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367" w:type="dxa"/>
            <w:vAlign w:val="center"/>
          </w:tcPr>
          <w:p w14:paraId="059E5501">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367" w:type="dxa"/>
            <w:vAlign w:val="center"/>
          </w:tcPr>
          <w:p w14:paraId="262FABEE">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p>
        </w:tc>
        <w:tc>
          <w:tcPr>
            <w:tcW w:w="1367" w:type="dxa"/>
            <w:vAlign w:val="center"/>
          </w:tcPr>
          <w:p w14:paraId="0DE39584">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c>
          <w:tcPr>
            <w:tcW w:w="1368" w:type="dxa"/>
            <w:vAlign w:val="center"/>
          </w:tcPr>
          <w:p w14:paraId="6EEBAA70">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p>
        </w:tc>
      </w:tr>
      <w:tr w14:paraId="3EF1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Merge w:val="continue"/>
            <w:vAlign w:val="center"/>
          </w:tcPr>
          <w:p w14:paraId="48D0EEDF">
            <w:pPr>
              <w:jc w:val="center"/>
              <w:rPr>
                <w:rFonts w:hint="eastAsia" w:ascii="宋体" w:hAnsi="宋体" w:cs="宋体"/>
                <w:color w:val="000000" w:themeColor="text1"/>
                <w:szCs w:val="21"/>
                <w14:textFill>
                  <w14:solidFill>
                    <w14:schemeClr w14:val="tx1"/>
                  </w14:solidFill>
                </w14:textFill>
              </w:rPr>
            </w:pPr>
          </w:p>
        </w:tc>
        <w:tc>
          <w:tcPr>
            <w:tcW w:w="1367" w:type="dxa"/>
            <w:vAlign w:val="center"/>
          </w:tcPr>
          <w:p w14:paraId="1268AF8A">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次要</w:t>
            </w:r>
          </w:p>
          <w:p w14:paraId="55230265">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建筑物</w:t>
            </w:r>
          </w:p>
        </w:tc>
        <w:tc>
          <w:tcPr>
            <w:tcW w:w="1367" w:type="dxa"/>
            <w:vAlign w:val="center"/>
          </w:tcPr>
          <w:p w14:paraId="3B1FBE8C">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c>
          <w:tcPr>
            <w:tcW w:w="1367" w:type="dxa"/>
            <w:vAlign w:val="center"/>
          </w:tcPr>
          <w:p w14:paraId="4BDDE33D">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p>
        </w:tc>
        <w:tc>
          <w:tcPr>
            <w:tcW w:w="1367" w:type="dxa"/>
            <w:vAlign w:val="center"/>
          </w:tcPr>
          <w:p w14:paraId="1A6387F5">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p>
        </w:tc>
        <w:tc>
          <w:tcPr>
            <w:tcW w:w="1367" w:type="dxa"/>
            <w:vAlign w:val="center"/>
          </w:tcPr>
          <w:p w14:paraId="776391F3">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p>
        </w:tc>
        <w:tc>
          <w:tcPr>
            <w:tcW w:w="1368" w:type="dxa"/>
            <w:vAlign w:val="center"/>
          </w:tcPr>
          <w:p w14:paraId="41E31036">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w:t>
            </w:r>
          </w:p>
        </w:tc>
      </w:tr>
      <w:tr w14:paraId="78A3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4" w:type="dxa"/>
            <w:gridSpan w:val="2"/>
            <w:vAlign w:val="center"/>
          </w:tcPr>
          <w:p w14:paraId="5C946BCB">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设计洪水标准</w:t>
            </w:r>
          </w:p>
          <w:p w14:paraId="44F8391E">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[重现期(年)]</w:t>
            </w:r>
          </w:p>
        </w:tc>
        <w:tc>
          <w:tcPr>
            <w:tcW w:w="1367" w:type="dxa"/>
            <w:vAlign w:val="center"/>
          </w:tcPr>
          <w:p w14:paraId="01B3FCBC">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100~50</w:t>
            </w:r>
          </w:p>
        </w:tc>
        <w:tc>
          <w:tcPr>
            <w:tcW w:w="1367" w:type="dxa"/>
            <w:vAlign w:val="center"/>
          </w:tcPr>
          <w:p w14:paraId="70F35AB0">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50~30</w:t>
            </w:r>
          </w:p>
        </w:tc>
        <w:tc>
          <w:tcPr>
            <w:tcW w:w="1367" w:type="dxa"/>
            <w:vAlign w:val="center"/>
          </w:tcPr>
          <w:p w14:paraId="42EAFA17">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30~20</w:t>
            </w:r>
          </w:p>
        </w:tc>
        <w:tc>
          <w:tcPr>
            <w:tcW w:w="1367" w:type="dxa"/>
            <w:vAlign w:val="center"/>
          </w:tcPr>
          <w:p w14:paraId="4B892157">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20~10</w:t>
            </w:r>
          </w:p>
        </w:tc>
        <w:tc>
          <w:tcPr>
            <w:tcW w:w="1368" w:type="dxa"/>
            <w:vAlign w:val="center"/>
          </w:tcPr>
          <w:p w14:paraId="66D0F067">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w:t>
            </w:r>
          </w:p>
        </w:tc>
      </w:tr>
      <w:tr w14:paraId="0FD03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4" w:type="dxa"/>
            <w:gridSpan w:val="2"/>
            <w:vAlign w:val="center"/>
          </w:tcPr>
          <w:p w14:paraId="352D0B18">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校核洪水标准</w:t>
            </w:r>
          </w:p>
          <w:p w14:paraId="1C0F692B">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[重现期(年)]</w:t>
            </w:r>
          </w:p>
        </w:tc>
        <w:tc>
          <w:tcPr>
            <w:tcW w:w="1367" w:type="dxa"/>
            <w:vAlign w:val="center"/>
          </w:tcPr>
          <w:p w14:paraId="16425B1C">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300~200</w:t>
            </w:r>
          </w:p>
        </w:tc>
        <w:tc>
          <w:tcPr>
            <w:tcW w:w="1367" w:type="dxa"/>
            <w:vAlign w:val="center"/>
          </w:tcPr>
          <w:p w14:paraId="0AADF567">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200~100</w:t>
            </w:r>
          </w:p>
        </w:tc>
        <w:tc>
          <w:tcPr>
            <w:tcW w:w="1367" w:type="dxa"/>
            <w:vAlign w:val="center"/>
          </w:tcPr>
          <w:p w14:paraId="4EAC14AF">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100~50</w:t>
            </w:r>
          </w:p>
        </w:tc>
        <w:tc>
          <w:tcPr>
            <w:tcW w:w="1367" w:type="dxa"/>
            <w:vAlign w:val="center"/>
          </w:tcPr>
          <w:p w14:paraId="3AA2541E">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50~30</w:t>
            </w:r>
          </w:p>
        </w:tc>
        <w:tc>
          <w:tcPr>
            <w:tcW w:w="1368" w:type="dxa"/>
            <w:vAlign w:val="center"/>
          </w:tcPr>
          <w:p w14:paraId="0081D4E0">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30~20</w:t>
            </w:r>
          </w:p>
        </w:tc>
      </w:tr>
      <w:tr w14:paraId="420A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0" w:type="dxa"/>
            <w:gridSpan w:val="7"/>
          </w:tcPr>
          <w:p w14:paraId="42E3F7C0">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注1：具有综合运用功能的渡槽，其级别按SL 252确定。</w:t>
            </w:r>
          </w:p>
          <w:p w14:paraId="52AFC5A1">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注2：与其他行业建筑物交叉布置的渡槽，其级别按GB 50288确定。</w:t>
            </w:r>
          </w:p>
          <w:p w14:paraId="3EA45981">
            <w:pP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注3：大跨度渡槽（单孔跨径≥40m），经论证后建筑物级别可提高一级，但洪水标准不予提高。</w:t>
            </w:r>
          </w:p>
        </w:tc>
      </w:tr>
    </w:tbl>
    <w:p w14:paraId="285D374F">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渡槽</w:t>
      </w:r>
      <w:r>
        <w:rPr>
          <w:rFonts w:hint="eastAsia"/>
          <w:color w:val="000000" w:themeColor="text1"/>
          <w14:textFill>
            <w14:solidFill>
              <w14:schemeClr w14:val="tx1"/>
            </w14:solidFill>
          </w14:textFill>
        </w:rPr>
        <w:t>主体</w:t>
      </w:r>
      <w:r>
        <w:rPr>
          <w:rFonts w:hint="eastAsia"/>
          <w:color w:val="000000" w:themeColor="text1"/>
          <w:szCs w:val="22"/>
          <w14:textFill>
            <w14:solidFill>
              <w14:schemeClr w14:val="tx1"/>
            </w14:solidFill>
          </w14:textFill>
        </w:rPr>
        <w:t>结构的合理使用年限应根据建筑物级别按表3确定。可修复、可更换构件的合理使用年限可比主体结构的合理使用年限短。</w:t>
      </w:r>
      <w:r>
        <w:rPr>
          <w:rFonts w:hint="eastAsia" w:ascii="宋体" w:hAnsi="宋体" w:cs="宋体"/>
          <w:color w:val="000000" w:themeColor="text1"/>
          <w:kern w:val="2"/>
          <w14:textFill>
            <w14:solidFill>
              <w14:schemeClr w14:val="tx1"/>
            </w14:solidFill>
          </w14:textFill>
        </w:rPr>
        <w:t>大跨度渡槽合理使用年限应按照提高后的建筑物级别确定。</w:t>
      </w:r>
    </w:p>
    <w:p w14:paraId="7BEEA28D">
      <w:pPr>
        <w:pStyle w:val="147"/>
        <w:rPr>
          <w:color w:val="000000" w:themeColor="text1"/>
          <w14:textFill>
            <w14:solidFill>
              <w14:schemeClr w14:val="tx1"/>
            </w14:solidFill>
          </w14:textFill>
        </w:rPr>
      </w:pPr>
      <w:r>
        <w:rPr>
          <w:rFonts w:hint="eastAsia"/>
          <w:color w:val="000000" w:themeColor="text1"/>
          <w14:textFill>
            <w14:solidFill>
              <w14:schemeClr w14:val="tx1"/>
            </w14:solidFill>
          </w14:textFill>
        </w:rPr>
        <w:t>渡槽合理使用年限</w:t>
      </w:r>
    </w:p>
    <w:tbl>
      <w:tblPr>
        <w:tblStyle w:val="37"/>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1276"/>
        <w:gridCol w:w="1276"/>
        <w:gridCol w:w="1417"/>
        <w:gridCol w:w="1418"/>
        <w:gridCol w:w="1418"/>
      </w:tblGrid>
      <w:tr w14:paraId="19C1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548" w:type="dxa"/>
            <w:vAlign w:val="center"/>
          </w:tcPr>
          <w:p w14:paraId="0CDEFA3B">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建筑物级别</w:t>
            </w:r>
          </w:p>
        </w:tc>
        <w:tc>
          <w:tcPr>
            <w:tcW w:w="1276" w:type="dxa"/>
            <w:vAlign w:val="center"/>
          </w:tcPr>
          <w:p w14:paraId="61325869">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1</w:t>
            </w:r>
          </w:p>
        </w:tc>
        <w:tc>
          <w:tcPr>
            <w:tcW w:w="1276" w:type="dxa"/>
            <w:vAlign w:val="center"/>
          </w:tcPr>
          <w:p w14:paraId="6376B013">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2</w:t>
            </w:r>
          </w:p>
        </w:tc>
        <w:tc>
          <w:tcPr>
            <w:tcW w:w="1417" w:type="dxa"/>
            <w:vAlign w:val="center"/>
          </w:tcPr>
          <w:p w14:paraId="5B4DB360">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3</w:t>
            </w:r>
          </w:p>
        </w:tc>
        <w:tc>
          <w:tcPr>
            <w:tcW w:w="1418" w:type="dxa"/>
            <w:vAlign w:val="center"/>
          </w:tcPr>
          <w:p w14:paraId="773FB370">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4</w:t>
            </w:r>
          </w:p>
        </w:tc>
        <w:tc>
          <w:tcPr>
            <w:tcW w:w="1418" w:type="dxa"/>
          </w:tcPr>
          <w:p w14:paraId="7165D384">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5</w:t>
            </w:r>
          </w:p>
        </w:tc>
      </w:tr>
      <w:tr w14:paraId="11CBB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2548" w:type="dxa"/>
            <w:vAlign w:val="center"/>
          </w:tcPr>
          <w:p w14:paraId="2C9D6654">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合理使用年限（年）</w:t>
            </w:r>
          </w:p>
        </w:tc>
        <w:tc>
          <w:tcPr>
            <w:tcW w:w="1276" w:type="dxa"/>
            <w:vAlign w:val="center"/>
          </w:tcPr>
          <w:p w14:paraId="2D6B61BC">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1</w:t>
            </w:r>
            <w:r>
              <w:rPr>
                <w:rFonts w:ascii="宋体"/>
                <w:color w:val="000000" w:themeColor="text1"/>
                <w:szCs w:val="21"/>
                <w14:textFill>
                  <w14:solidFill>
                    <w14:schemeClr w14:val="tx1"/>
                  </w14:solidFill>
                </w14:textFill>
              </w:rPr>
              <w:t>00</w:t>
            </w:r>
          </w:p>
        </w:tc>
        <w:tc>
          <w:tcPr>
            <w:tcW w:w="1276" w:type="dxa"/>
            <w:vAlign w:val="center"/>
          </w:tcPr>
          <w:p w14:paraId="0B912C23">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1</w:t>
            </w:r>
            <w:r>
              <w:rPr>
                <w:rFonts w:ascii="宋体"/>
                <w:color w:val="000000" w:themeColor="text1"/>
                <w:szCs w:val="21"/>
                <w14:textFill>
                  <w14:solidFill>
                    <w14:schemeClr w14:val="tx1"/>
                  </w14:solidFill>
                </w14:textFill>
              </w:rPr>
              <w:t>00</w:t>
            </w:r>
          </w:p>
        </w:tc>
        <w:tc>
          <w:tcPr>
            <w:tcW w:w="1417" w:type="dxa"/>
            <w:vAlign w:val="center"/>
          </w:tcPr>
          <w:p w14:paraId="5B56EF17">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5</w:t>
            </w:r>
            <w:r>
              <w:rPr>
                <w:rFonts w:ascii="宋体"/>
                <w:color w:val="000000" w:themeColor="text1"/>
                <w:szCs w:val="21"/>
                <w14:textFill>
                  <w14:solidFill>
                    <w14:schemeClr w14:val="tx1"/>
                  </w14:solidFill>
                </w14:textFill>
              </w:rPr>
              <w:t>0</w:t>
            </w:r>
          </w:p>
        </w:tc>
        <w:tc>
          <w:tcPr>
            <w:tcW w:w="1418" w:type="dxa"/>
            <w:vAlign w:val="center"/>
          </w:tcPr>
          <w:p w14:paraId="15C150D1">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5</w:t>
            </w:r>
            <w:r>
              <w:rPr>
                <w:rFonts w:ascii="宋体"/>
                <w:color w:val="000000" w:themeColor="text1"/>
                <w:szCs w:val="21"/>
                <w14:textFill>
                  <w14:solidFill>
                    <w14:schemeClr w14:val="tx1"/>
                  </w14:solidFill>
                </w14:textFill>
              </w:rPr>
              <w:t>0</w:t>
            </w:r>
          </w:p>
        </w:tc>
        <w:tc>
          <w:tcPr>
            <w:tcW w:w="1418" w:type="dxa"/>
          </w:tcPr>
          <w:p w14:paraId="73C4818A">
            <w:pPr>
              <w:jc w:val="center"/>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30</w:t>
            </w:r>
          </w:p>
        </w:tc>
      </w:tr>
    </w:tbl>
    <w:p w14:paraId="4EECECFD">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设计烈度Ⅶ度及以上的渡槽，以及设计烈度Ⅵ度的1级、2级渡槽应进行抗震设计。设计烈度Ⅵ度及以下且建筑物级别3级及以下的渡槽可不进行抗震计算，但应采取抗震措施。</w:t>
      </w:r>
    </w:p>
    <w:p w14:paraId="724C9420">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总体布置</w:t>
      </w:r>
    </w:p>
    <w:p w14:paraId="7EDB973E">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跨河渡槽宜根据工程需要调查研究槽址河段的历史、现状，以及建槽后的河势演变。</w:t>
      </w:r>
    </w:p>
    <w:p w14:paraId="1AC3968A">
      <w:pPr>
        <w:pStyle w:val="7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槽线布置应与输水总体线路相协调。槽址选择应综合地形地貌、水文、地质、交通施工等条件，和行洪、交通及其他行业的要求，经技术经济比选确定。</w:t>
      </w:r>
    </w:p>
    <w:p w14:paraId="063DE258">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渡槽一般采用单线单槽布置，对可靠性要求较高、输水流量大或地质条件较复杂的渡槽，可采用单线多槽或多线单槽、多线多槽布置。</w:t>
      </w:r>
    </w:p>
    <w:p w14:paraId="2E4CF00A">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渡槽进、出口建筑物布置应满足GB 50288的规定，渐变段与槽体之间可根据需要设连接段，以布置交通桥、节制闸、检修闸、检修门库等设施。连接段断面尺寸同槽体，长度应根据具体情况由布置确定。</w:t>
      </w:r>
    </w:p>
    <w:p w14:paraId="78858B07">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渡槽可根据需要在进口或出口处设安全泄水建筑物。</w:t>
      </w:r>
    </w:p>
    <w:p w14:paraId="6DA4B47C">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伸缩缝。</w:t>
      </w:r>
    </w:p>
    <w:p w14:paraId="5DBFC9BD">
      <w:pPr>
        <w:pStyle w:val="76"/>
        <w:spacing w:line="400" w:lineRule="exact"/>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渡槽应结合检修需要，设人员检查巡视、养护车辆通道以及必要的防撞隔离安全设施。</w:t>
      </w:r>
    </w:p>
    <w:p w14:paraId="6FD6B0C5">
      <w:pPr>
        <w:pStyle w:val="77"/>
        <w:rPr>
          <w:color w:val="000000" w:themeColor="text1"/>
          <w14:textFill>
            <w14:solidFill>
              <w14:schemeClr w14:val="tx1"/>
            </w14:solidFill>
          </w14:textFill>
        </w:rPr>
      </w:pPr>
      <w:r>
        <w:rPr>
          <w:rFonts w:hint="eastAsia"/>
          <w:color w:val="000000" w:themeColor="text1"/>
          <w14:textFill>
            <w14:solidFill>
              <w14:schemeClr w14:val="tx1"/>
            </w14:solidFill>
          </w14:textFill>
        </w:rPr>
        <w:t>水力计算</w:t>
      </w:r>
    </w:p>
    <w:p w14:paraId="624D7534">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水力计算应按G</w:t>
      </w:r>
      <w:r>
        <w:rPr>
          <w:color w:val="000000" w:themeColor="text1"/>
          <w14:textFill>
            <w14:solidFill>
              <w14:schemeClr w14:val="tx1"/>
            </w14:solidFill>
          </w14:textFill>
        </w:rPr>
        <w:t>B 50288</w:t>
      </w:r>
      <w:r>
        <w:rPr>
          <w:rFonts w:hint="eastAsia"/>
          <w:color w:val="000000" w:themeColor="text1"/>
          <w14:textFill>
            <w14:solidFill>
              <w14:schemeClr w14:val="tx1"/>
            </w14:solidFill>
          </w14:textFill>
        </w:rPr>
        <w:t>附录K计算。槽身纵向底坡、过水断面尺寸应考虑预拱度的影响。</w:t>
      </w:r>
    </w:p>
    <w:p w14:paraId="5195DE24">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建筑物级别1级、2级渡槽的过水能力、水头损失、水面衔接状态以及采用的消除槽内涌浪、漩涡、壅水、落水等各种措施，宜经水工模型试验验证。</w:t>
      </w:r>
    </w:p>
    <w:p w14:paraId="509626C7">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槽体迎水面采用特殊结构型式或材料时，糙率应通过工程类比或试验确定。</w:t>
      </w:r>
    </w:p>
    <w:p w14:paraId="1D65B6F8">
      <w:pPr>
        <w:pStyle w:val="109"/>
        <w:spacing w:before="312" w:after="312"/>
        <w:rPr>
          <w:color w:val="000000" w:themeColor="text1"/>
          <w14:textFill>
            <w14:solidFill>
              <w14:schemeClr w14:val="tx1"/>
            </w14:solidFill>
          </w14:textFill>
        </w:rPr>
      </w:pPr>
      <w:bookmarkStart w:id="33" w:name="_Toc212642131"/>
      <w:r>
        <w:rPr>
          <w:rFonts w:hint="eastAsia"/>
          <w:color w:val="000000" w:themeColor="text1"/>
          <w14:textFill>
            <w14:solidFill>
              <w14:schemeClr w14:val="tx1"/>
            </w14:solidFill>
          </w14:textFill>
        </w:rPr>
        <w:t>结构设计</w:t>
      </w:r>
      <w:bookmarkEnd w:id="33"/>
    </w:p>
    <w:p w14:paraId="62290C34">
      <w:pPr>
        <w:pStyle w:val="77"/>
        <w:spacing w:before="312" w:beforeLines="100" w:after="312" w:afterLines="100"/>
        <w:rPr>
          <w:color w:val="000000" w:themeColor="text1"/>
          <w14:textFill>
            <w14:solidFill>
              <w14:schemeClr w14:val="tx1"/>
            </w14:solidFill>
          </w14:textFill>
        </w:rPr>
      </w:pPr>
      <w:r>
        <w:rPr>
          <w:rFonts w:hint="eastAsia"/>
          <w:color w:val="000000" w:themeColor="text1"/>
          <w14:textFill>
            <w14:solidFill>
              <w14:schemeClr w14:val="tx1"/>
            </w14:solidFill>
          </w14:textFill>
        </w:rPr>
        <w:t>一般规定</w:t>
      </w:r>
    </w:p>
    <w:p w14:paraId="2DF61866">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槽跨布置应考虑地基条件、基础和支承结构、槽体结构型式及跨度等因素，满足行洪、流冰、排漂、通航、跨越建筑物等要求。</w:t>
      </w:r>
    </w:p>
    <w:p w14:paraId="5512DBCB">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槽下净空应符合下列规定;</w:t>
      </w:r>
    </w:p>
    <w:p w14:paraId="4F86D350">
      <w:pPr>
        <w:pStyle w:val="2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1 跨越铁路、公路以及有通航要求河流时的槽下净空，以及与电力、通信等设施的安全距离应符合相关行业标准要求。</w:t>
      </w:r>
    </w:p>
    <w:p w14:paraId="5D6C5FE4">
      <w:pPr>
        <w:pStyle w:val="26"/>
        <w:spacing w:line="400" w:lineRule="exact"/>
        <w:rPr>
          <w:color w:val="000000" w:themeColor="text1"/>
          <w:szCs w:val="22"/>
          <w:u w:val="single"/>
          <w14:textFill>
            <w14:solidFill>
              <w14:schemeClr w14:val="tx1"/>
            </w14:solidFill>
          </w14:textFill>
        </w:rPr>
      </w:pPr>
      <w:r>
        <w:rPr>
          <w:rFonts w:hint="eastAsia"/>
          <w:color w:val="000000" w:themeColor="text1"/>
          <w:szCs w:val="22"/>
          <w14:textFill>
            <w14:solidFill>
              <w14:schemeClr w14:val="tx1"/>
            </w14:solidFill>
          </w14:textFill>
        </w:rPr>
        <w:t>2 跨越无通航要求河流时，槽体底面至校核洪水位的净高不应小于1.0m。拱式渡槽的拱脚高程宜高于河流校核或最高洪水位0.5m。</w:t>
      </w:r>
    </w:p>
    <w:p w14:paraId="3DDF5415">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槽体应根据槽身受力要求选用适宜的横断面形式， </w:t>
      </w:r>
      <w:r>
        <w:rPr>
          <w:rFonts w:hint="eastAsia"/>
        </w:rPr>
        <w:t>多槽时可采用分离式或整体式，通航渡槽宜采用矩形截面或U形断面。</w:t>
      </w:r>
    </w:p>
    <w:p w14:paraId="7AEC0383">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通航渡槽可采用波形钢板作为槽壁，同时槽壁高度需要考虑船行波的影响。</w:t>
      </w:r>
    </w:p>
    <w:p w14:paraId="67BF146F">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钢渡槽应设置预拱度，预拱度大小应视实际需要而定，宜为结构自重标准值加1/2设计水位荷载产生的挠度值。预拱度应保持槽底曲线平顺。</w:t>
      </w:r>
    </w:p>
    <w:p w14:paraId="2FD42F32">
      <w:pPr>
        <w:pStyle w:val="76"/>
      </w:pPr>
      <w:r>
        <w:rPr>
          <w:rFonts w:hint="eastAsia"/>
        </w:rPr>
        <w:t>槽身顶部宜设拉杆，拉杆间距应与槽身侧墙的刚度相适应。</w:t>
      </w:r>
    </w:p>
    <w:p w14:paraId="49AC5E5C">
      <w:pPr>
        <w:pStyle w:val="76"/>
      </w:pPr>
      <w:r>
        <w:rPr>
          <w:rFonts w:hint="eastAsia"/>
        </w:rPr>
        <w:t>应对钢结构桥梁进行防腐、防火和养护设计。</w:t>
      </w:r>
    </w:p>
    <w:p w14:paraId="4A0151A2">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钢箱梁渡槽</w:t>
      </w:r>
    </w:p>
    <w:p w14:paraId="2FA580BB">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简支钢箱梁渡槽跨度不宜大于60m，连续梁式渡槽跨度宜为40m～100m。</w:t>
      </w:r>
    </w:p>
    <w:p w14:paraId="088ED94D">
      <w:pPr>
        <w:pStyle w:val="76"/>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钢箱梁渡槽宜采用单箱多室结构，输水槽身应为主体受力结构的组成部分。</w:t>
      </w:r>
    </w:p>
    <w:p w14:paraId="1EE5EAC4">
      <w:pPr>
        <w:pStyle w:val="76"/>
        <w:rPr>
          <w:rFonts w:hint="eastAsia" w:ascii="宋体" w:hAnsi="宋体"/>
          <w:color w:val="000000" w:themeColor="text1"/>
          <w14:textFill>
            <w14:solidFill>
              <w14:schemeClr w14:val="tx1"/>
            </w14:solidFill>
          </w14:textFill>
        </w:rPr>
      </w:pPr>
      <w:r>
        <w:rPr>
          <w:rFonts w:hint="eastAsia" w:ascii="宋体" w:hAnsi="宋体"/>
          <w:bCs/>
          <w:color w:val="000000" w:themeColor="text1"/>
          <w:szCs w:val="32"/>
          <w14:textFill>
            <w14:solidFill>
              <w14:schemeClr w14:val="tx1"/>
            </w14:solidFill>
          </w14:textFill>
        </w:rPr>
        <w:t>连续钢箱梁渡槽</w:t>
      </w:r>
      <w:r>
        <w:rPr>
          <w:rFonts w:ascii="宋体" w:hAnsi="宋体"/>
          <w:bCs/>
          <w:color w:val="000000" w:themeColor="text1"/>
          <w:szCs w:val="32"/>
          <w14:textFill>
            <w14:solidFill>
              <w14:schemeClr w14:val="tx1"/>
            </w14:solidFill>
          </w14:textFill>
        </w:rPr>
        <w:t>设计应符合下列规定</w:t>
      </w:r>
      <w:r>
        <w:rPr>
          <w:rFonts w:hint="eastAsia" w:ascii="宋体" w:hAnsi="宋体"/>
          <w:bCs/>
          <w:color w:val="000000" w:themeColor="text1"/>
          <w:szCs w:val="32"/>
          <w14:textFill>
            <w14:solidFill>
              <w14:schemeClr w14:val="tx1"/>
            </w14:solidFill>
          </w14:textFill>
        </w:rPr>
        <w:t>：</w:t>
      </w:r>
    </w:p>
    <w:p w14:paraId="756C14FA">
      <w:pPr>
        <w:pStyle w:val="26"/>
        <w:spacing w:line="360" w:lineRule="auto"/>
        <w:rPr>
          <w:rFonts w:hint="eastAsia" w:hAnsi="宋体"/>
          <w:color w:val="000000" w:themeColor="text1"/>
          <w:szCs w:val="32"/>
          <w14:textFill>
            <w14:solidFill>
              <w14:schemeClr w14:val="tx1"/>
            </w14:solidFill>
          </w14:textFill>
        </w:rPr>
      </w:pPr>
      <w:r>
        <w:rPr>
          <w:rFonts w:hAnsi="宋体"/>
          <w:color w:val="000000" w:themeColor="text1"/>
          <w:szCs w:val="32"/>
          <w14:textFill>
            <w14:solidFill>
              <w14:schemeClr w14:val="tx1"/>
            </w14:solidFill>
          </w14:textFill>
        </w:rPr>
        <w:t xml:space="preserve">1  </w:t>
      </w:r>
      <w:r>
        <w:rPr>
          <w:rFonts w:hint="eastAsia" w:hAnsi="宋体"/>
          <w:color w:val="000000" w:themeColor="text1"/>
          <w:szCs w:val="32"/>
          <w14:textFill>
            <w14:solidFill>
              <w14:schemeClr w14:val="tx1"/>
            </w14:solidFill>
          </w14:textFill>
        </w:rPr>
        <w:t>连续梁的边跨一般为中跨的0.6~1.0倍，边跨小于中跨0.5倍时，应设置拉力支座或压重。</w:t>
      </w:r>
    </w:p>
    <w:p w14:paraId="4E6DA85D">
      <w:pPr>
        <w:spacing w:line="360" w:lineRule="auto"/>
        <w:ind w:firstLine="420" w:firstLineChars="200"/>
        <w:rPr>
          <w:rFonts w:hint="eastAsia" w:ascii="宋体" w:hAnsi="宋体"/>
          <w:color w:val="000000" w:themeColor="text1"/>
          <w:szCs w:val="32"/>
          <w14:textFill>
            <w14:solidFill>
              <w14:schemeClr w14:val="tx1"/>
            </w14:solidFill>
          </w14:textFill>
        </w:rPr>
      </w:pPr>
      <w:r>
        <w:rPr>
          <w:rFonts w:hint="eastAsia" w:ascii="宋体" w:hAnsi="宋体"/>
          <w:color w:val="000000" w:themeColor="text1"/>
          <w:szCs w:val="32"/>
          <w14:textFill>
            <w14:solidFill>
              <w14:schemeClr w14:val="tx1"/>
            </w14:solidFill>
          </w14:textFill>
        </w:rPr>
        <w:t>2</w:t>
      </w:r>
      <w:r>
        <w:rPr>
          <w:rFonts w:ascii="宋体" w:hAnsi="宋体"/>
          <w:color w:val="000000" w:themeColor="text1"/>
          <w:szCs w:val="32"/>
          <w14:textFill>
            <w14:solidFill>
              <w14:schemeClr w14:val="tx1"/>
            </w14:solidFill>
          </w14:textFill>
        </w:rPr>
        <w:t xml:space="preserve">  槽体高度沿纵向宜采用抛物线实现连续变化</w:t>
      </w:r>
      <w:r>
        <w:rPr>
          <w:rFonts w:hint="eastAsia" w:ascii="宋体" w:hAnsi="宋体"/>
          <w:color w:val="000000" w:themeColor="text1"/>
          <w:szCs w:val="32"/>
          <w14:textFill>
            <w14:solidFill>
              <w14:schemeClr w14:val="tx1"/>
            </w14:solidFill>
          </w14:textFill>
        </w:rPr>
        <w:t>。</w:t>
      </w:r>
    </w:p>
    <w:p w14:paraId="1A471914">
      <w:pPr>
        <w:pStyle w:val="76"/>
        <w:rPr>
          <w:rFonts w:hint="eastAsia" w:ascii="宋体" w:hAnsi="宋体"/>
          <w:color w:val="000000" w:themeColor="text1"/>
          <w:szCs w:val="32"/>
          <w14:textFill>
            <w14:solidFill>
              <w14:schemeClr w14:val="tx1"/>
            </w14:solidFill>
          </w14:textFill>
        </w:rPr>
      </w:pPr>
      <w:r>
        <w:rPr>
          <w:rFonts w:hint="eastAsia" w:ascii="宋体" w:hAnsi="宋体"/>
          <w:color w:val="000000" w:themeColor="text1"/>
          <w:szCs w:val="32"/>
          <w14:textFill>
            <w14:solidFill>
              <w14:schemeClr w14:val="tx1"/>
            </w14:solidFill>
          </w14:textFill>
        </w:rPr>
        <w:t>钢箱梁应设置进入箱内的检修通道和排水孔。</w:t>
      </w:r>
    </w:p>
    <w:p w14:paraId="6637E4BD">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钢桁梁渡槽</w:t>
      </w:r>
    </w:p>
    <w:p w14:paraId="094F0DC4">
      <w:pPr>
        <w:pStyle w:val="76"/>
        <w:spacing w:line="400" w:lineRule="exact"/>
        <w:rPr>
          <w:rFonts w:ascii="Helvetica" w:hAnsi="Helvetica"/>
          <w:color w:val="000000" w:themeColor="text1"/>
          <w:shd w:val="clear" w:color="auto" w:fill="FFFFFF"/>
          <w14:textFill>
            <w14:solidFill>
              <w14:schemeClr w14:val="tx1"/>
            </w14:solidFill>
          </w14:textFill>
        </w:rPr>
      </w:pPr>
      <w:r>
        <w:rPr>
          <w:rFonts w:hint="eastAsia" w:ascii="Helvetica" w:hAnsi="Helvetica"/>
          <w:color w:val="000000" w:themeColor="text1"/>
          <w:shd w:val="clear" w:color="auto" w:fill="FFFFFF"/>
          <w14:textFill>
            <w14:solidFill>
              <w14:schemeClr w14:val="tx1"/>
            </w14:solidFill>
          </w14:textFill>
        </w:rPr>
        <w:t>简支桁架渡槽跨度不宜大于80m，连续钢桁架渡槽跨度宜为60m~120m；</w:t>
      </w:r>
      <w:r>
        <w:rPr>
          <w:rFonts w:ascii="Helvetica" w:hAnsi="Helvetica"/>
          <w:color w:val="000000" w:themeColor="text1"/>
          <w:shd w:val="clear" w:color="auto" w:fill="FFFFFF"/>
          <w14:textFill>
            <w14:solidFill>
              <w14:schemeClr w14:val="tx1"/>
            </w14:solidFill>
          </w14:textFill>
        </w:rPr>
        <w:t>需</w:t>
      </w:r>
      <w:r>
        <w:rPr>
          <w:color w:val="000000" w:themeColor="text1"/>
          <w:szCs w:val="22"/>
          <w14:textFill>
            <w14:solidFill>
              <w14:schemeClr w14:val="tx1"/>
            </w14:solidFill>
          </w14:textFill>
        </w:rPr>
        <w:t>根据</w:t>
      </w:r>
      <w:r>
        <w:rPr>
          <w:rFonts w:ascii="Helvetica" w:hAnsi="Helvetica"/>
          <w:color w:val="000000" w:themeColor="text1"/>
          <w:shd w:val="clear" w:color="auto" w:fill="FFFFFF"/>
          <w14:textFill>
            <w14:solidFill>
              <w14:schemeClr w14:val="tx1"/>
            </w14:solidFill>
          </w14:textFill>
        </w:rPr>
        <w:t>跨度、地形、荷载条件选择合适桁架类型。</w:t>
      </w:r>
    </w:p>
    <w:p w14:paraId="11D8B8EE">
      <w:pPr>
        <w:pStyle w:val="76"/>
        <w:spacing w:line="400" w:lineRule="exact"/>
        <w:rPr>
          <w:rFonts w:ascii="Helvetica" w:hAnsi="Helvetica"/>
          <w:color w:val="000000" w:themeColor="text1"/>
          <w:shd w:val="clear" w:color="auto" w:fill="FFFFFF"/>
          <w14:textFill>
            <w14:solidFill>
              <w14:schemeClr w14:val="tx1"/>
            </w14:solidFill>
          </w14:textFill>
        </w:rPr>
      </w:pPr>
      <w:r>
        <w:rPr>
          <w:rFonts w:hint="eastAsia" w:ascii="Helvetica" w:hAnsi="Helvetica"/>
          <w:color w:val="000000" w:themeColor="text1"/>
          <w:shd w:val="clear" w:color="auto" w:fill="FFFFFF"/>
          <w14:textFill>
            <w14:solidFill>
              <w14:schemeClr w14:val="tx1"/>
            </w14:solidFill>
          </w14:textFill>
        </w:rPr>
        <w:t>等高简支桁梁桁高宜为跨径的1/5~1/10，等高连续桁梁桁高宜为跨径的1/7~1/10。节间长度宜取桁高的0.8~1.2倍。</w:t>
      </w:r>
    </w:p>
    <w:p w14:paraId="38CFC948">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各榀桁架之间应采用横向联系杆刚性连接成整体结构。</w:t>
      </w:r>
    </w:p>
    <w:p w14:paraId="13419EE3">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简支桁梁及连续桁梁的边跨，其宽度与跨度之比不宜小于1/20，连续桁梁中跨的宽跨比不宜小于l/25。</w:t>
      </w:r>
    </w:p>
    <w:p w14:paraId="74E32B9C">
      <w:pPr>
        <w:pStyle w:val="76"/>
      </w:pPr>
      <w:r>
        <w:rPr>
          <w:rFonts w:hint="eastAsia"/>
        </w:rPr>
        <w:t>输水槽身应与桁架连接成整体结构。</w:t>
      </w:r>
    </w:p>
    <w:p w14:paraId="5A8D0D93">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桁架杆件重心线应在各节点处</w:t>
      </w:r>
      <w:r>
        <w:rPr>
          <w:rFonts w:hint="eastAsia"/>
          <w:color w:val="000000" w:themeColor="text1"/>
          <w:lang w:eastAsia="zh-CN"/>
          <w14:textFill>
            <w14:solidFill>
              <w14:schemeClr w14:val="tx1"/>
            </w14:solidFill>
          </w14:textFill>
        </w:rPr>
        <w:t>交汇</w:t>
      </w:r>
      <w:r>
        <w:rPr>
          <w:rFonts w:hint="eastAsia"/>
          <w:color w:val="000000" w:themeColor="text1"/>
          <w14:textFill>
            <w14:solidFill>
              <w14:schemeClr w14:val="tx1"/>
            </w14:solidFill>
          </w14:textFill>
        </w:rPr>
        <w:t>于节点中心，否则应考虑偏心影响。支座铰点和弦杆中心线不在同一高程时，应考虑纵向力对节点的偏心影响。</w:t>
      </w:r>
    </w:p>
    <w:p w14:paraId="704EAC5F">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钢拱渡槽</w:t>
      </w:r>
    </w:p>
    <w:p w14:paraId="4CAF8173">
      <w:pPr>
        <w:pStyle w:val="76"/>
        <w:rPr>
          <w:rFonts w:hint="eastAsia" w:ascii="宋体" w:hAnsi="宋体"/>
          <w:bCs/>
          <w:color w:val="000000" w:themeColor="text1"/>
          <w:szCs w:val="32"/>
          <w14:textFill>
            <w14:solidFill>
              <w14:schemeClr w14:val="tx1"/>
            </w14:solidFill>
          </w14:textFill>
        </w:rPr>
      </w:pPr>
      <w:r>
        <w:rPr>
          <w:rFonts w:hint="eastAsia" w:ascii="宋体" w:hAnsi="宋体"/>
          <w:bCs/>
          <w:color w:val="000000" w:themeColor="text1"/>
          <w:szCs w:val="32"/>
          <w14:textFill>
            <w14:solidFill>
              <w14:schemeClr w14:val="tx1"/>
            </w14:solidFill>
          </w14:textFill>
        </w:rPr>
        <w:t>应根据槽位地形、 地质、水文条件和使用要求，合理选择拱桥结构体系；拱肋可选用钢桁架、钢管、钢箱及钢管混凝土结构。</w:t>
      </w:r>
    </w:p>
    <w:p w14:paraId="6210C338">
      <w:pPr>
        <w:pStyle w:val="76"/>
        <w:rPr>
          <w:rFonts w:hint="eastAsia" w:ascii="宋体" w:hAnsi="宋体"/>
          <w:bCs/>
          <w:color w:val="000000" w:themeColor="text1"/>
          <w:szCs w:val="32"/>
          <w14:textFill>
            <w14:solidFill>
              <w14:schemeClr w14:val="tx1"/>
            </w14:solidFill>
          </w14:textFill>
        </w:rPr>
      </w:pPr>
      <w:r>
        <w:rPr>
          <w:rFonts w:hint="eastAsia" w:ascii="宋体" w:hAnsi="宋体"/>
          <w:bCs/>
          <w:color w:val="000000" w:themeColor="text1"/>
          <w:szCs w:val="32"/>
          <w14:textFill>
            <w14:solidFill>
              <w14:schemeClr w14:val="tx1"/>
            </w14:solidFill>
          </w14:textFill>
        </w:rPr>
        <w:t>多跨连拱渡槽跨度宜为</w:t>
      </w:r>
      <w:r>
        <w:rPr>
          <w:rFonts w:hint="eastAsia" w:ascii="Helvetica" w:hAnsi="Helvetica"/>
          <w:color w:val="000000" w:themeColor="text1"/>
          <w:shd w:val="clear" w:color="auto" w:fill="FFFFFF"/>
          <w14:textFill>
            <w14:solidFill>
              <w14:schemeClr w14:val="tx1"/>
            </w14:solidFill>
          </w14:textFill>
        </w:rPr>
        <w:t>40m~100</w:t>
      </w:r>
      <w:r>
        <w:rPr>
          <w:rFonts w:hint="eastAsia" w:ascii="宋体" w:hAnsi="宋体"/>
          <w:bCs/>
          <w:color w:val="000000" w:themeColor="text1"/>
          <w:szCs w:val="32"/>
          <w14:textFill>
            <w14:solidFill>
              <w14:schemeClr w14:val="tx1"/>
            </w14:solidFill>
          </w14:textFill>
        </w:rPr>
        <w:t>m，均适用于墩基地质条件较好的宽缓山(河)谷；单跨拱式渡槽跨度宜为40m</w:t>
      </w:r>
      <w:r>
        <w:rPr>
          <w:rFonts w:hint="eastAsia" w:ascii="Helvetica" w:hAnsi="Helvetica"/>
          <w:color w:val="000000" w:themeColor="text1"/>
          <w:shd w:val="clear" w:color="auto" w:fill="FFFFFF"/>
          <w14:textFill>
            <w14:solidFill>
              <w14:schemeClr w14:val="tx1"/>
            </w14:solidFill>
          </w14:textFill>
        </w:rPr>
        <w:t>~</w:t>
      </w:r>
      <w:r>
        <w:rPr>
          <w:rFonts w:hint="eastAsia" w:ascii="宋体" w:hAnsi="宋体"/>
          <w:bCs/>
          <w:color w:val="000000" w:themeColor="text1"/>
          <w:szCs w:val="32"/>
          <w14:textFill>
            <w14:solidFill>
              <w14:schemeClr w14:val="tx1"/>
            </w14:solidFill>
          </w14:textFill>
        </w:rPr>
        <w:t>200m，适用于拱座地质条件较好的狭窄山(河)谷。</w:t>
      </w:r>
    </w:p>
    <w:p w14:paraId="5C62FB02">
      <w:pPr>
        <w:pStyle w:val="76"/>
      </w:pPr>
      <w:r>
        <w:rPr>
          <w:rFonts w:hint="eastAsia"/>
        </w:rPr>
        <w:t>主拱矢跨比取值范围宜为:上承式1/4 ~1/6， 中承式1/3.5 ~ 1/5， 下承式1/4.5~1/5.5。</w:t>
      </w:r>
    </w:p>
    <w:p w14:paraId="143D8719">
      <w:pPr>
        <w:pStyle w:val="76"/>
        <w:rPr>
          <w:rFonts w:hint="eastAsia" w:ascii="宋体" w:hAnsi="宋体"/>
          <w:bCs/>
          <w:color w:val="000000" w:themeColor="text1"/>
          <w:szCs w:val="32"/>
          <w14:textFill>
            <w14:solidFill>
              <w14:schemeClr w14:val="tx1"/>
            </w14:solidFill>
          </w14:textFill>
        </w:rPr>
      </w:pPr>
      <w:r>
        <w:rPr>
          <w:rFonts w:hint="eastAsia" w:ascii="宋体" w:hAnsi="宋体"/>
          <w:bCs/>
          <w:color w:val="000000" w:themeColor="text1"/>
          <w:szCs w:val="32"/>
          <w14:textFill>
            <w14:solidFill>
              <w14:schemeClr w14:val="tx1"/>
            </w14:solidFill>
          </w14:textFill>
        </w:rPr>
        <w:t>拱轴线宜采用抛物线或悬链线；当采用悬链线拱轴线时，上承式的拱轴系数m宜为1.2-2.8，中承式的拱轴系数不宜大于1.9,下承式的拱轴系数不宜大于1.5。</w:t>
      </w:r>
    </w:p>
    <w:p w14:paraId="6B5AC49C">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拱上建筑物应采用空腹式结构，跨度应根据主拱受力条件确定，并能适应拱圈的变形，其构造应满足如下规定：</w:t>
      </w:r>
    </w:p>
    <w:p w14:paraId="143587C4">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拱上通水槽身宜采用连续钢箱梁结构。</w:t>
      </w:r>
    </w:p>
    <w:p w14:paraId="64A61DAD">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拱上排架应根据高度合理设置横系梁。</w:t>
      </w:r>
    </w:p>
    <w:p w14:paraId="53CD6DE2">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当考虑拱上建筑物与拱联合受力时，相应的结构构造应符合计算预设条件。</w:t>
      </w:r>
    </w:p>
    <w:p w14:paraId="0AFD507F">
      <w:pPr>
        <w:pStyle w:val="76"/>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连拱渡槽设计应满足下列规定：</w:t>
      </w:r>
    </w:p>
    <w:p w14:paraId="3305C000">
      <w:pPr>
        <w:pStyle w:val="26"/>
        <w:spacing w:line="400" w:lineRule="exact"/>
        <w:rPr>
          <w:color w:val="000000" w:themeColor="text1"/>
          <w14:textFill>
            <w14:solidFill>
              <w14:schemeClr w14:val="tx1"/>
            </w14:solidFill>
          </w14:textFill>
        </w:rPr>
      </w:pPr>
      <w:r>
        <w:rPr>
          <w:color w:val="000000" w:themeColor="text1"/>
          <w14:textFill>
            <w14:solidFill>
              <w14:schemeClr w14:val="tx1"/>
            </w14:solidFill>
          </w14:textFill>
        </w:rPr>
        <w:t>1 多跨无铰拱的拱式渡槽应按连拱计算。</w:t>
      </w:r>
      <w:r>
        <w:rPr>
          <w:rFonts w:hint="eastAsia"/>
          <w:color w:val="000000" w:themeColor="text1"/>
          <w14:textFill>
            <w14:solidFill>
              <w14:schemeClr w14:val="tx1"/>
            </w14:solidFill>
          </w14:textFill>
        </w:rPr>
        <w:t>当中拱座</w:t>
      </w:r>
      <w:r>
        <w:rPr>
          <w:color w:val="000000" w:themeColor="text1"/>
          <w14:textFill>
            <w14:solidFill>
              <w14:schemeClr w14:val="tx1"/>
            </w14:solidFill>
          </w14:textFill>
        </w:rPr>
        <w:t>与主拱的抗推刚度之比大于37时，可按单拱计算。</w:t>
      </w:r>
    </w:p>
    <w:p w14:paraId="7EA38BC0">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拱</w:t>
      </w:r>
      <w:r>
        <w:rPr>
          <w:color w:val="000000" w:themeColor="text1"/>
          <w14:textFill>
            <w14:solidFill>
              <w14:schemeClr w14:val="tx1"/>
            </w14:solidFill>
          </w14:textFill>
        </w:rPr>
        <w:t>墩应结合拱跨施工顺序进行防连续倒塌设计。</w:t>
      </w:r>
    </w:p>
    <w:p w14:paraId="1669A806">
      <w:pPr>
        <w:pStyle w:val="76"/>
        <w:rPr>
          <w:color w:val="000000" w:themeColor="text1"/>
          <w14:textFill>
            <w14:solidFill>
              <w14:schemeClr w14:val="tx1"/>
            </w14:solidFill>
          </w14:textFill>
        </w:rPr>
      </w:pPr>
      <w:r>
        <w:rPr>
          <w:color w:val="000000" w:themeColor="text1"/>
          <w:szCs w:val="22"/>
          <w14:textFill>
            <w14:solidFill>
              <w14:schemeClr w14:val="tx1"/>
            </w14:solidFill>
          </w14:textFill>
        </w:rPr>
        <w:br w:type="page"/>
      </w:r>
    </w:p>
    <w:p w14:paraId="6E5FB1FD">
      <w:pPr>
        <w:pStyle w:val="109"/>
        <w:spacing w:before="312" w:after="312"/>
        <w:rPr>
          <w:rFonts w:hint="eastAsia" w:hAnsi="黑体"/>
          <w:b/>
          <w:bCs/>
          <w:color w:val="000000" w:themeColor="text1"/>
          <w:szCs w:val="32"/>
          <w14:textFill>
            <w14:solidFill>
              <w14:schemeClr w14:val="tx1"/>
            </w14:solidFill>
          </w14:textFill>
        </w:rPr>
      </w:pPr>
      <w:bookmarkStart w:id="34" w:name="_Toc212642132"/>
      <w:bookmarkStart w:id="35" w:name="_Toc40730880"/>
      <w:r>
        <w:rPr>
          <w:rFonts w:hint="eastAsia"/>
          <w:color w:val="000000" w:themeColor="text1"/>
          <w14:textFill>
            <w14:solidFill>
              <w14:schemeClr w14:val="tx1"/>
            </w14:solidFill>
          </w14:textFill>
        </w:rPr>
        <w:t>结构</w:t>
      </w:r>
      <w:r>
        <w:rPr>
          <w:rFonts w:hint="eastAsia" w:hAnsi="黑体"/>
          <w:color w:val="000000" w:themeColor="text1"/>
          <w:szCs w:val="32"/>
          <w14:textFill>
            <w14:solidFill>
              <w14:schemeClr w14:val="tx1"/>
            </w14:solidFill>
          </w14:textFill>
        </w:rPr>
        <w:t>计算</w:t>
      </w:r>
      <w:bookmarkEnd w:id="34"/>
    </w:p>
    <w:p w14:paraId="683C1F82">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一般规定</w:t>
      </w:r>
    </w:p>
    <w:p w14:paraId="6591ADF1">
      <w:pPr>
        <w:pStyle w:val="76"/>
        <w:spacing w:line="400" w:lineRule="exact"/>
        <w:rPr>
          <w:color w:val="000000" w:themeColor="text1"/>
          <w14:textFill>
            <w14:solidFill>
              <w14:schemeClr w14:val="tx1"/>
            </w14:solidFill>
          </w14:textFill>
        </w:rPr>
      </w:pPr>
      <w:r>
        <w:rPr>
          <w:rFonts w:hint="eastAsia"/>
          <w:color w:val="000000" w:themeColor="text1"/>
          <w:szCs w:val="22"/>
          <w14:textFill>
            <w14:solidFill>
              <w14:schemeClr w14:val="tx1"/>
            </w14:solidFill>
          </w14:textFill>
        </w:rPr>
        <w:t>渡槽</w:t>
      </w:r>
      <w:r>
        <w:rPr>
          <w:rFonts w:hint="eastAsia"/>
          <w:color w:val="000000" w:themeColor="text1"/>
          <w14:textFill>
            <w14:solidFill>
              <w14:schemeClr w14:val="tx1"/>
            </w14:solidFill>
          </w14:textFill>
        </w:rPr>
        <w:t>计算应包括以下内容：</w:t>
      </w:r>
    </w:p>
    <w:p w14:paraId="20CAF016">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  运行期承载能力极限状态和正常使用极限状态计算。 </w:t>
      </w:r>
    </w:p>
    <w:p w14:paraId="2469474C">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2  施工期承载能力极限状态计算。</w:t>
      </w:r>
    </w:p>
    <w:p w14:paraId="5275F353">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结构计算应</w:t>
      </w:r>
      <w:r>
        <w:rPr>
          <w:rFonts w:hint="eastAsia"/>
          <w:color w:val="000000" w:themeColor="text1"/>
          <w:szCs w:val="22"/>
          <w14:textFill>
            <w14:solidFill>
              <w14:schemeClr w14:val="tx1"/>
            </w14:solidFill>
          </w14:textFill>
        </w:rPr>
        <w:t>根据</w:t>
      </w:r>
      <w:r>
        <w:rPr>
          <w:rFonts w:hint="eastAsia"/>
          <w:color w:val="000000" w:themeColor="text1"/>
          <w14:textFill>
            <w14:solidFill>
              <w14:schemeClr w14:val="tx1"/>
            </w14:solidFill>
          </w14:textFill>
        </w:rPr>
        <w:t>力的传递关系和各部分的结构特点，并考虑施工方法、施工步骤及施工荷载的影响，选取合适的结构模型。</w:t>
      </w:r>
    </w:p>
    <w:p w14:paraId="1A4ED4B7">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结构受力分析可按线弹性理论进行，当极限状态条件下结构的变形不能被忽略时，应考虑几何非线性对结构受力的影响。</w:t>
      </w:r>
    </w:p>
    <w:p w14:paraId="5219D0E2">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结构动力分析应考虑下列因素:</w:t>
      </w:r>
    </w:p>
    <w:p w14:paraId="436F3DAD">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所有相关的结构构件质量、刚度和阻尼特性。</w:t>
      </w:r>
    </w:p>
    <w:p w14:paraId="5CCD6758">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模型的边界条件应反映结构的固有特性。</w:t>
      </w:r>
    </w:p>
    <w:p w14:paraId="12048980">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渡槽结构分析可采用结构力学法、杆系有限元法进行设计计算，必要时采用三维有限元法进行复核和局部应力应变分析。</w:t>
      </w:r>
    </w:p>
    <w:p w14:paraId="5D824037">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桁架杆件的轴向力可按节点为铰接的假定计算。当主桁杆件截面高度与节长之比在连续桁梁中大于1/15，简支桁梁中大于1/10 时，应计算由于节点刚性引起的次应力。</w:t>
      </w:r>
    </w:p>
    <w:p w14:paraId="044DA504">
      <w:pPr>
        <w:pStyle w:val="26"/>
        <w:ind w:firstLine="0" w:firstLineChars="0"/>
        <w:jc w:val="center"/>
        <w:rPr>
          <w:color w:val="000000" w:themeColor="text1"/>
          <w14:textFill>
            <w14:solidFill>
              <w14:schemeClr w14:val="tx1"/>
            </w14:solidFill>
          </w14:textFill>
        </w:rPr>
      </w:pPr>
    </w:p>
    <w:p w14:paraId="531BBEE1">
      <w:pPr>
        <w:pStyle w:val="77"/>
        <w:rPr>
          <w:rFonts w:ascii="Times New Roman"/>
          <w:color w:val="000000" w:themeColor="text1"/>
          <w:szCs w:val="22"/>
          <w14:textFill>
            <w14:solidFill>
              <w14:schemeClr w14:val="tx1"/>
            </w14:solidFill>
          </w14:textFill>
        </w:rPr>
      </w:pPr>
      <w:bookmarkStart w:id="36" w:name="_Toc287362975"/>
      <w:bookmarkStart w:id="37" w:name="_Toc287362809"/>
      <w:bookmarkStart w:id="38" w:name="_Toc285902294"/>
      <w:bookmarkStart w:id="39" w:name="_Toc287363705"/>
      <w:bookmarkStart w:id="40" w:name="_Toc287363076"/>
      <w:bookmarkStart w:id="41" w:name="_Toc287363143"/>
      <w:bookmarkStart w:id="42" w:name="_Toc285902112"/>
      <w:bookmarkStart w:id="43" w:name="_Toc282691274"/>
      <w:r>
        <w:rPr>
          <w:rFonts w:hint="eastAsia" w:ascii="Times New Roman"/>
          <w:color w:val="000000" w:themeColor="text1"/>
          <w:szCs w:val="22"/>
          <w14:textFill>
            <w14:solidFill>
              <w14:schemeClr w14:val="tx1"/>
            </w14:solidFill>
          </w14:textFill>
        </w:rPr>
        <w:t>作用</w:t>
      </w:r>
    </w:p>
    <w:p w14:paraId="59D1F401">
      <w:pPr>
        <w:pStyle w:val="7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钢结构渡槽设计采用的作用分为永久作用、可变作用、偶然作用和地震作用四类，规定于表</w:t>
      </w:r>
      <w:r>
        <w:rPr>
          <w:color w:val="000000" w:themeColor="text1"/>
          <w:szCs w:val="22"/>
          <w14:textFill>
            <w14:solidFill>
              <w14:schemeClr w14:val="tx1"/>
            </w14:solidFill>
          </w14:textFill>
        </w:rPr>
        <w:t>4</w:t>
      </w:r>
      <w:r>
        <w:rPr>
          <w:rFonts w:hint="eastAsia"/>
          <w:color w:val="000000" w:themeColor="text1"/>
          <w:szCs w:val="22"/>
          <w14:textFill>
            <w14:solidFill>
              <w14:schemeClr w14:val="tx1"/>
            </w14:solidFill>
          </w14:textFill>
        </w:rPr>
        <w:t>。</w:t>
      </w:r>
    </w:p>
    <w:p w14:paraId="7A4EF995">
      <w:pPr>
        <w:pStyle w:val="147"/>
        <w:rPr>
          <w:color w:val="000000" w:themeColor="text1"/>
          <w14:textFill>
            <w14:solidFill>
              <w14:schemeClr w14:val="tx1"/>
            </w14:solidFill>
          </w14:textFill>
        </w:rPr>
      </w:pPr>
      <w:r>
        <w:rPr>
          <w:rFonts w:hint="eastAsia"/>
          <w:color w:val="000000" w:themeColor="text1"/>
          <w14:textFill>
            <w14:solidFill>
              <w14:schemeClr w14:val="tx1"/>
            </w14:solidFill>
          </w14:textFill>
        </w:rPr>
        <w:t>作用分类</w:t>
      </w:r>
    </w:p>
    <w:tbl>
      <w:tblPr>
        <w:tblStyle w:val="36"/>
        <w:tblW w:w="94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1985"/>
        <w:gridCol w:w="6172"/>
      </w:tblGrid>
      <w:tr w14:paraId="0D4E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251" w:type="dxa"/>
            <w:vAlign w:val="center"/>
          </w:tcPr>
          <w:p w14:paraId="41568CAC">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序 号</w:t>
            </w:r>
          </w:p>
        </w:tc>
        <w:tc>
          <w:tcPr>
            <w:tcW w:w="1985" w:type="dxa"/>
            <w:vAlign w:val="center"/>
          </w:tcPr>
          <w:p w14:paraId="305F72BC">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分 类</w:t>
            </w:r>
          </w:p>
        </w:tc>
        <w:tc>
          <w:tcPr>
            <w:tcW w:w="6172" w:type="dxa"/>
            <w:vAlign w:val="center"/>
          </w:tcPr>
          <w:p w14:paraId="58C15E60">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名 称</w:t>
            </w:r>
          </w:p>
        </w:tc>
      </w:tr>
      <w:tr w14:paraId="2AE8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51" w:type="dxa"/>
            <w:vAlign w:val="center"/>
          </w:tcPr>
          <w:p w14:paraId="176C6745">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1</w:t>
            </w:r>
          </w:p>
        </w:tc>
        <w:tc>
          <w:tcPr>
            <w:tcW w:w="1985" w:type="dxa"/>
            <w:vMerge w:val="restart"/>
            <w:vAlign w:val="center"/>
          </w:tcPr>
          <w:p w14:paraId="34C2843B">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永久作用</w:t>
            </w:r>
          </w:p>
        </w:tc>
        <w:tc>
          <w:tcPr>
            <w:tcW w:w="6172" w:type="dxa"/>
            <w:vAlign w:val="center"/>
          </w:tcPr>
          <w:p w14:paraId="25578DD2">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结构重力(包括结构附加重力)</w:t>
            </w:r>
          </w:p>
        </w:tc>
      </w:tr>
      <w:tr w14:paraId="636B9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51" w:type="dxa"/>
            <w:vAlign w:val="center"/>
          </w:tcPr>
          <w:p w14:paraId="35CC870F">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2</w:t>
            </w:r>
          </w:p>
        </w:tc>
        <w:tc>
          <w:tcPr>
            <w:tcW w:w="1985" w:type="dxa"/>
            <w:vMerge w:val="continue"/>
            <w:vAlign w:val="center"/>
          </w:tcPr>
          <w:p w14:paraId="02661681">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217A145A">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预加力</w:t>
            </w:r>
          </w:p>
        </w:tc>
      </w:tr>
      <w:tr w14:paraId="3554C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51" w:type="dxa"/>
            <w:vAlign w:val="center"/>
          </w:tcPr>
          <w:p w14:paraId="30AA32BE">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3</w:t>
            </w:r>
          </w:p>
        </w:tc>
        <w:tc>
          <w:tcPr>
            <w:tcW w:w="1985" w:type="dxa"/>
            <w:vMerge w:val="continue"/>
            <w:vAlign w:val="center"/>
          </w:tcPr>
          <w:p w14:paraId="0C696184">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41CECB29">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土压力</w:t>
            </w:r>
          </w:p>
        </w:tc>
      </w:tr>
      <w:tr w14:paraId="2CEE1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51" w:type="dxa"/>
            <w:vAlign w:val="center"/>
          </w:tcPr>
          <w:p w14:paraId="5F77562F">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5</w:t>
            </w:r>
          </w:p>
        </w:tc>
        <w:tc>
          <w:tcPr>
            <w:tcW w:w="1985" w:type="dxa"/>
            <w:vMerge w:val="continue"/>
            <w:vAlign w:val="center"/>
          </w:tcPr>
          <w:p w14:paraId="0032295D">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1F697D06">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基础变位作用</w:t>
            </w:r>
          </w:p>
        </w:tc>
      </w:tr>
      <w:tr w14:paraId="1FFB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51" w:type="dxa"/>
            <w:vAlign w:val="center"/>
          </w:tcPr>
          <w:p w14:paraId="45050344">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6</w:t>
            </w:r>
          </w:p>
        </w:tc>
        <w:tc>
          <w:tcPr>
            <w:tcW w:w="1985" w:type="dxa"/>
            <w:vMerge w:val="restart"/>
            <w:vAlign w:val="center"/>
          </w:tcPr>
          <w:p w14:paraId="6C5B25A9">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可变作用</w:t>
            </w:r>
          </w:p>
        </w:tc>
        <w:tc>
          <w:tcPr>
            <w:tcW w:w="6172" w:type="dxa"/>
            <w:vAlign w:val="center"/>
          </w:tcPr>
          <w:p w14:paraId="7FC0BC0D">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水重及静水压力</w:t>
            </w:r>
          </w:p>
        </w:tc>
      </w:tr>
      <w:tr w14:paraId="7893A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51" w:type="dxa"/>
            <w:vAlign w:val="center"/>
          </w:tcPr>
          <w:p w14:paraId="0522966B">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7</w:t>
            </w:r>
          </w:p>
        </w:tc>
        <w:tc>
          <w:tcPr>
            <w:tcW w:w="1985" w:type="dxa"/>
            <w:vMerge w:val="continue"/>
            <w:vAlign w:val="center"/>
          </w:tcPr>
          <w:p w14:paraId="1AF12D3D">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316130A3">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温度(均匀温度和</w:t>
            </w:r>
            <w:r>
              <w:rPr>
                <w:rFonts w:hint="eastAsia" w:ascii="仿宋" w:hAnsi="仿宋" w:eastAsia="仿宋" w:cs="宋体"/>
                <w:color w:val="000000" w:themeColor="text1"/>
                <w:kern w:val="0"/>
                <w:szCs w:val="21"/>
                <w14:textFill>
                  <w14:solidFill>
                    <w14:schemeClr w14:val="tx1"/>
                  </w14:solidFill>
                </w14:textFill>
              </w:rPr>
              <w:t>内外温差</w:t>
            </w:r>
            <w:r>
              <w:rPr>
                <w:rFonts w:ascii="仿宋" w:hAnsi="仿宋" w:eastAsia="仿宋" w:cs="宋体"/>
                <w:color w:val="000000" w:themeColor="text1"/>
                <w:kern w:val="0"/>
                <w:szCs w:val="21"/>
                <w14:textFill>
                  <w14:solidFill>
                    <w14:schemeClr w14:val="tx1"/>
                  </w14:solidFill>
                </w14:textFill>
              </w:rPr>
              <w:t>)作用</w:t>
            </w:r>
          </w:p>
        </w:tc>
      </w:tr>
      <w:tr w14:paraId="541E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51" w:type="dxa"/>
            <w:vAlign w:val="center"/>
          </w:tcPr>
          <w:p w14:paraId="54A913DA">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8</w:t>
            </w:r>
          </w:p>
        </w:tc>
        <w:tc>
          <w:tcPr>
            <w:tcW w:w="1985" w:type="dxa"/>
            <w:vMerge w:val="continue"/>
            <w:vAlign w:val="center"/>
          </w:tcPr>
          <w:p w14:paraId="756B86DB">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392178A5">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动水压力</w:t>
            </w:r>
          </w:p>
        </w:tc>
      </w:tr>
      <w:tr w14:paraId="56C99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251" w:type="dxa"/>
            <w:vAlign w:val="center"/>
          </w:tcPr>
          <w:p w14:paraId="21D0885E">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9</w:t>
            </w:r>
          </w:p>
        </w:tc>
        <w:tc>
          <w:tcPr>
            <w:tcW w:w="1985" w:type="dxa"/>
            <w:vMerge w:val="continue"/>
            <w:vAlign w:val="center"/>
          </w:tcPr>
          <w:p w14:paraId="580C4F25">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6B4525D7">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风荷载</w:t>
            </w:r>
          </w:p>
        </w:tc>
      </w:tr>
      <w:tr w14:paraId="66B1E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51" w:type="dxa"/>
            <w:vAlign w:val="center"/>
          </w:tcPr>
          <w:p w14:paraId="0F82A3B1">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10</w:t>
            </w:r>
          </w:p>
        </w:tc>
        <w:tc>
          <w:tcPr>
            <w:tcW w:w="1985" w:type="dxa"/>
            <w:vMerge w:val="continue"/>
            <w:vAlign w:val="center"/>
          </w:tcPr>
          <w:p w14:paraId="21CE8994">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0B80C929">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冰雪荷载</w:t>
            </w:r>
          </w:p>
        </w:tc>
      </w:tr>
      <w:tr w14:paraId="03D52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51" w:type="dxa"/>
            <w:vAlign w:val="center"/>
          </w:tcPr>
          <w:p w14:paraId="53019A9A">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11</w:t>
            </w:r>
          </w:p>
        </w:tc>
        <w:tc>
          <w:tcPr>
            <w:tcW w:w="1985" w:type="dxa"/>
            <w:vMerge w:val="continue"/>
            <w:vAlign w:val="center"/>
          </w:tcPr>
          <w:p w14:paraId="7F94E94C">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0EC70345">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人群荷载</w:t>
            </w:r>
          </w:p>
        </w:tc>
      </w:tr>
      <w:tr w14:paraId="23D3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51" w:type="dxa"/>
            <w:vAlign w:val="center"/>
          </w:tcPr>
          <w:p w14:paraId="2F5456E0">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12</w:t>
            </w:r>
          </w:p>
        </w:tc>
        <w:tc>
          <w:tcPr>
            <w:tcW w:w="1985" w:type="dxa"/>
            <w:vMerge w:val="continue"/>
            <w:vAlign w:val="center"/>
          </w:tcPr>
          <w:p w14:paraId="51958B8B">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71173EDE">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汽车荷载</w:t>
            </w:r>
          </w:p>
        </w:tc>
      </w:tr>
      <w:tr w14:paraId="3F54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51" w:type="dxa"/>
            <w:vAlign w:val="center"/>
          </w:tcPr>
          <w:p w14:paraId="6DEE1D19">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13</w:t>
            </w:r>
          </w:p>
        </w:tc>
        <w:tc>
          <w:tcPr>
            <w:tcW w:w="1985" w:type="dxa"/>
            <w:vMerge w:val="continue"/>
            <w:vAlign w:val="center"/>
          </w:tcPr>
          <w:p w14:paraId="62DF2DAF">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26E8781B">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波浪力</w:t>
            </w:r>
          </w:p>
        </w:tc>
      </w:tr>
      <w:tr w14:paraId="3D11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51" w:type="dxa"/>
            <w:vAlign w:val="center"/>
          </w:tcPr>
          <w:p w14:paraId="24E56970">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14</w:t>
            </w:r>
          </w:p>
        </w:tc>
        <w:tc>
          <w:tcPr>
            <w:tcW w:w="1985" w:type="dxa"/>
            <w:vMerge w:val="continue"/>
            <w:vAlign w:val="center"/>
          </w:tcPr>
          <w:p w14:paraId="100AC249">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07CC20C5">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支座摩阻力</w:t>
            </w:r>
          </w:p>
        </w:tc>
      </w:tr>
      <w:tr w14:paraId="14778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51" w:type="dxa"/>
            <w:vAlign w:val="center"/>
          </w:tcPr>
          <w:p w14:paraId="73ABAB0A">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15</w:t>
            </w:r>
          </w:p>
        </w:tc>
        <w:tc>
          <w:tcPr>
            <w:tcW w:w="1985" w:type="dxa"/>
            <w:vMerge w:val="continue"/>
            <w:vAlign w:val="center"/>
          </w:tcPr>
          <w:p w14:paraId="1BCDA116">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3AA9859C">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施工荷载</w:t>
            </w:r>
          </w:p>
        </w:tc>
      </w:tr>
      <w:tr w14:paraId="1A18F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51" w:type="dxa"/>
            <w:vAlign w:val="center"/>
          </w:tcPr>
          <w:p w14:paraId="2B05AACE">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16</w:t>
            </w:r>
          </w:p>
        </w:tc>
        <w:tc>
          <w:tcPr>
            <w:tcW w:w="1985" w:type="dxa"/>
            <w:vMerge w:val="restart"/>
            <w:vAlign w:val="center"/>
          </w:tcPr>
          <w:p w14:paraId="1376797B">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偶然作用</w:t>
            </w:r>
          </w:p>
        </w:tc>
        <w:tc>
          <w:tcPr>
            <w:tcW w:w="6172" w:type="dxa"/>
            <w:vAlign w:val="center"/>
          </w:tcPr>
          <w:p w14:paraId="431F1297">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满槽情况下水重和静水压力</w:t>
            </w:r>
          </w:p>
        </w:tc>
      </w:tr>
      <w:tr w14:paraId="43B2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51" w:type="dxa"/>
            <w:vAlign w:val="center"/>
          </w:tcPr>
          <w:p w14:paraId="6DE5870D">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17</w:t>
            </w:r>
          </w:p>
        </w:tc>
        <w:tc>
          <w:tcPr>
            <w:tcW w:w="1985" w:type="dxa"/>
            <w:vMerge w:val="continue"/>
            <w:vAlign w:val="center"/>
          </w:tcPr>
          <w:p w14:paraId="197AF7EF">
            <w:pPr>
              <w:widowControl/>
              <w:jc w:val="center"/>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1D864931">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船舶的撞击作用</w:t>
            </w:r>
          </w:p>
        </w:tc>
      </w:tr>
      <w:tr w14:paraId="3CA69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51" w:type="dxa"/>
            <w:vAlign w:val="center"/>
          </w:tcPr>
          <w:p w14:paraId="4B26C5BC">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18</w:t>
            </w:r>
          </w:p>
        </w:tc>
        <w:tc>
          <w:tcPr>
            <w:tcW w:w="1985" w:type="dxa"/>
            <w:vMerge w:val="continue"/>
            <w:vAlign w:val="center"/>
          </w:tcPr>
          <w:p w14:paraId="297C9B09">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2C5464AA">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漂流物的撞击作用</w:t>
            </w:r>
          </w:p>
        </w:tc>
      </w:tr>
      <w:tr w14:paraId="1ACC4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251" w:type="dxa"/>
            <w:vAlign w:val="center"/>
          </w:tcPr>
          <w:p w14:paraId="38D5BD19">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19</w:t>
            </w:r>
          </w:p>
        </w:tc>
        <w:tc>
          <w:tcPr>
            <w:tcW w:w="1985" w:type="dxa"/>
            <w:vMerge w:val="continue"/>
            <w:vAlign w:val="center"/>
          </w:tcPr>
          <w:p w14:paraId="7AC4460A">
            <w:pPr>
              <w:widowControl/>
              <w:jc w:val="left"/>
              <w:rPr>
                <w:rFonts w:hint="eastAsia" w:ascii="仿宋" w:hAnsi="仿宋" w:eastAsia="仿宋" w:cs="宋体"/>
                <w:color w:val="000000" w:themeColor="text1"/>
                <w:kern w:val="0"/>
                <w:szCs w:val="21"/>
                <w14:textFill>
                  <w14:solidFill>
                    <w14:schemeClr w14:val="tx1"/>
                  </w14:solidFill>
                </w14:textFill>
              </w:rPr>
            </w:pPr>
          </w:p>
        </w:tc>
        <w:tc>
          <w:tcPr>
            <w:tcW w:w="6172" w:type="dxa"/>
            <w:vAlign w:val="center"/>
          </w:tcPr>
          <w:p w14:paraId="56BFE54B">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汽车撞击作用</w:t>
            </w:r>
          </w:p>
        </w:tc>
      </w:tr>
      <w:tr w14:paraId="5C699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251" w:type="dxa"/>
            <w:vAlign w:val="center"/>
          </w:tcPr>
          <w:p w14:paraId="1F7B8048">
            <w:pPr>
              <w:widowControl/>
              <w:jc w:val="center"/>
              <w:rPr>
                <w:rFonts w:hint="eastAsia" w:ascii="仿宋" w:hAnsi="仿宋" w:eastAsia="仿宋" w:cs="宋体"/>
                <w:color w:val="000000" w:themeColor="text1"/>
                <w:kern w:val="0"/>
                <w:szCs w:val="21"/>
                <w14:textFill>
                  <w14:solidFill>
                    <w14:schemeClr w14:val="tx1"/>
                  </w14:solidFill>
                </w14:textFill>
              </w:rPr>
            </w:pPr>
            <w:r>
              <w:rPr>
                <w:rFonts w:hint="eastAsia" w:ascii="仿宋" w:hAnsi="仿宋" w:eastAsia="仿宋" w:cs="宋体"/>
                <w:color w:val="000000" w:themeColor="text1"/>
                <w:kern w:val="0"/>
                <w:szCs w:val="21"/>
                <w14:textFill>
                  <w14:solidFill>
                    <w14:schemeClr w14:val="tx1"/>
                  </w14:solidFill>
                </w14:textFill>
              </w:rPr>
              <w:t>20</w:t>
            </w:r>
          </w:p>
        </w:tc>
        <w:tc>
          <w:tcPr>
            <w:tcW w:w="1985" w:type="dxa"/>
            <w:vAlign w:val="center"/>
          </w:tcPr>
          <w:p w14:paraId="5FF506EC">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地震作用</w:t>
            </w:r>
          </w:p>
        </w:tc>
        <w:tc>
          <w:tcPr>
            <w:tcW w:w="6172" w:type="dxa"/>
            <w:vAlign w:val="center"/>
          </w:tcPr>
          <w:p w14:paraId="5617717C">
            <w:pPr>
              <w:widowControl/>
              <w:jc w:val="center"/>
              <w:rPr>
                <w:rFonts w:hint="eastAsia" w:ascii="仿宋" w:hAnsi="仿宋" w:eastAsia="仿宋" w:cs="宋体"/>
                <w:color w:val="000000" w:themeColor="text1"/>
                <w:kern w:val="0"/>
                <w:szCs w:val="21"/>
                <w14:textFill>
                  <w14:solidFill>
                    <w14:schemeClr w14:val="tx1"/>
                  </w14:solidFill>
                </w14:textFill>
              </w:rPr>
            </w:pPr>
            <w:r>
              <w:rPr>
                <w:rFonts w:ascii="仿宋" w:hAnsi="仿宋" w:eastAsia="仿宋" w:cs="宋体"/>
                <w:color w:val="000000" w:themeColor="text1"/>
                <w:kern w:val="0"/>
                <w:szCs w:val="21"/>
                <w14:textFill>
                  <w14:solidFill>
                    <w14:schemeClr w14:val="tx1"/>
                  </w14:solidFill>
                </w14:textFill>
              </w:rPr>
              <w:t>地震作用</w:t>
            </w:r>
          </w:p>
        </w:tc>
      </w:tr>
    </w:tbl>
    <w:p w14:paraId="70059B83">
      <w:pPr>
        <w:pStyle w:val="7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常用材料的重度按JTG D60的规定进行计算。</w:t>
      </w:r>
    </w:p>
    <w:p w14:paraId="13C7038E">
      <w:pPr>
        <w:pStyle w:val="7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土压力应按GB/T 51394的规定进行计算。</w:t>
      </w:r>
    </w:p>
    <w:p w14:paraId="6C75DB60">
      <w:pPr>
        <w:pStyle w:val="76"/>
        <w:rPr>
          <w:color w:val="000000" w:themeColor="text1"/>
          <w14:textFill>
            <w14:solidFill>
              <w14:schemeClr w14:val="tx1"/>
            </w14:solidFill>
          </w14:textFill>
        </w:rPr>
      </w:pPr>
      <w:r>
        <w:rPr>
          <w:rFonts w:hint="eastAsia"/>
          <w:color w:val="000000" w:themeColor="text1"/>
          <w:szCs w:val="22"/>
          <w14:textFill>
            <w14:solidFill>
              <w14:schemeClr w14:val="tx1"/>
            </w14:solidFill>
          </w14:textFill>
        </w:rPr>
        <w:t>超静定结构</w:t>
      </w:r>
      <w:r>
        <w:rPr>
          <w:rFonts w:hint="eastAsia"/>
          <w:color w:val="000000" w:themeColor="text1"/>
          <w14:textFill>
            <w14:solidFill>
              <w14:schemeClr w14:val="tx1"/>
            </w14:solidFill>
          </w14:textFill>
        </w:rPr>
        <w:t>当考虑由于地基压密等引起的长期变形影响时，应根据最终位移量计算构件的效应。</w:t>
      </w:r>
    </w:p>
    <w:p w14:paraId="6E5B9F68">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可变作用应符合如下规定:</w:t>
      </w:r>
    </w:p>
    <w:p w14:paraId="79614595">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水重与静水压力:水重应按其实际体积及水的重度计算确定，水体中含泥沙较多的渡槽，还应考虑含沙量对水的重度的影响；静水压力应根据不同运行工况时的运行水位确定。</w:t>
      </w:r>
    </w:p>
    <w:p w14:paraId="23B76914">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温度荷载包括均匀温度荷载、内外温差荷载，并符合下列规定:</w:t>
      </w:r>
    </w:p>
    <w:p w14:paraId="13D16C05">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均匀温度荷载应根据结构受到约束时的温度，以及当地最高、最低日平均温度确定。</w:t>
      </w:r>
    </w:p>
    <w:p w14:paraId="2EA99CBF">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槽壁内外温差荷载宜根据渡槽的地理位置、朝向、保温措施，以及当地的日照变化、骤然降温变化以及水温特点等。</w:t>
      </w:r>
    </w:p>
    <w:p w14:paraId="3BEF1963">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钢材线膨胀系数宜取12×10</w:t>
      </w:r>
      <w:r>
        <w:rPr>
          <w:rFonts w:hint="eastAsia"/>
          <w:color w:val="000000" w:themeColor="text1"/>
          <w:vertAlign w:val="superscript"/>
          <w14:textFill>
            <w14:solidFill>
              <w14:schemeClr w14:val="tx1"/>
            </w14:solidFill>
          </w14:textFill>
        </w:rPr>
        <w:t>-6</w:t>
      </w:r>
      <w:r>
        <w:rPr>
          <w:rFonts w:hint="eastAsia"/>
          <w:color w:val="000000" w:themeColor="text1"/>
          <w14:textFill>
            <w14:solidFill>
              <w14:schemeClr w14:val="tx1"/>
            </w14:solidFill>
          </w14:textFill>
        </w:rPr>
        <w:t>/℃.</w:t>
      </w:r>
    </w:p>
    <w:p w14:paraId="5EADC82D">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动水压力、风荷载与雪荷载均应按</w:t>
      </w:r>
      <w:r>
        <w:rPr>
          <w:rFonts w:hint="eastAsia"/>
          <w:color w:val="000000" w:themeColor="text1"/>
          <w:szCs w:val="22"/>
          <w14:textFill>
            <w14:solidFill>
              <w14:schemeClr w14:val="tx1"/>
            </w14:solidFill>
          </w14:textFill>
        </w:rPr>
        <w:t>GB/T 51394的规定进行</w:t>
      </w:r>
      <w:r>
        <w:rPr>
          <w:rFonts w:hint="eastAsia"/>
          <w:color w:val="000000" w:themeColor="text1"/>
          <w14:textFill>
            <w14:solidFill>
              <w14:schemeClr w14:val="tx1"/>
            </w14:solidFill>
          </w14:textFill>
        </w:rPr>
        <w:t>计算。</w:t>
      </w:r>
    </w:p>
    <w:p w14:paraId="63871CBF">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人群荷载宜取2.5kN/m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p>
    <w:p w14:paraId="0F3A123F">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5 汽车荷载按JTG D60计算。</w:t>
      </w:r>
    </w:p>
    <w:p w14:paraId="5166B87B">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支座摩阻力应按J</w:t>
      </w:r>
      <w:r>
        <w:rPr>
          <w:color w:val="000000" w:themeColor="text1"/>
          <w14:textFill>
            <w14:solidFill>
              <w14:schemeClr w14:val="tx1"/>
            </w14:solidFill>
          </w14:textFill>
        </w:rPr>
        <w:t>TG D60</w:t>
      </w:r>
      <w:r>
        <w:rPr>
          <w:rFonts w:hint="eastAsia"/>
          <w:color w:val="000000" w:themeColor="text1"/>
          <w14:textFill>
            <w14:solidFill>
              <w14:schemeClr w14:val="tx1"/>
            </w14:solidFill>
          </w14:textFill>
        </w:rPr>
        <w:t>计算。</w:t>
      </w:r>
    </w:p>
    <w:p w14:paraId="245E6751">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7</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施工荷载:在进行施工情况计算时，应考虑施工设备的重量及吊装时的动力荷载。动力荷载可按静荷载(起吊构件的重力)乘以动力系数1.1(手动)或1.3(机动)取值。</w:t>
      </w:r>
    </w:p>
    <w:p w14:paraId="07FC2CE2">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其他出现机会较多的荷载等。</w:t>
      </w:r>
    </w:p>
    <w:p w14:paraId="124E5275">
      <w:pPr>
        <w:pStyle w:val="26"/>
        <w:rPr>
          <w:color w:val="000000" w:themeColor="text1"/>
          <w14:textFill>
            <w14:solidFill>
              <w14:schemeClr w14:val="tx1"/>
            </w14:solidFill>
          </w14:textFill>
        </w:rPr>
      </w:pPr>
      <w:bookmarkStart w:id="44" w:name="_Toc287362971"/>
      <w:bookmarkStart w:id="45" w:name="_Toc287363139"/>
      <w:bookmarkStart w:id="46" w:name="_Toc285902108"/>
      <w:bookmarkStart w:id="47" w:name="_Toc282691270"/>
      <w:bookmarkStart w:id="48" w:name="_Toc287363072"/>
      <w:bookmarkStart w:id="49" w:name="_Toc285902290"/>
      <w:bookmarkStart w:id="50" w:name="_Toc287362805"/>
      <w:bookmarkStart w:id="51" w:name="_Toc287363701"/>
      <w:r>
        <w:rPr>
          <w:rFonts w:hint="eastAsia"/>
          <w:color w:val="000000" w:themeColor="text1"/>
          <w:szCs w:val="22"/>
          <w14:textFill>
            <w14:solidFill>
              <w14:schemeClr w14:val="tx1"/>
            </w14:solidFill>
          </w14:textFill>
        </w:rPr>
        <w:t xml:space="preserve">9 </w:t>
      </w:r>
      <w:r>
        <w:rPr>
          <w:rFonts w:hint="eastAsia"/>
          <w:color w:val="000000" w:themeColor="text1"/>
          <w14:textFill>
            <w14:solidFill>
              <w14:schemeClr w14:val="tx1"/>
            </w14:solidFill>
          </w14:textFill>
        </w:rPr>
        <w:t>船舶、漂浮物和汽车撞击作用可按JTG D60计算。</w:t>
      </w:r>
    </w:p>
    <w:p w14:paraId="550DFCCD">
      <w:pPr>
        <w:pStyle w:val="7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地震作用主要为地震惯性力、地震动水压力及地震动土压力，地震荷载应满足G</w:t>
      </w:r>
      <w:r>
        <w:rPr>
          <w:color w:val="000000" w:themeColor="text1"/>
          <w:szCs w:val="22"/>
          <w14:textFill>
            <w14:solidFill>
              <w14:schemeClr w14:val="tx1"/>
            </w14:solidFill>
          </w14:textFill>
        </w:rPr>
        <w:t>B 51247</w:t>
      </w:r>
      <w:r>
        <w:rPr>
          <w:rFonts w:hint="eastAsia"/>
          <w:color w:val="000000" w:themeColor="text1"/>
          <w:szCs w:val="22"/>
          <w14:textFill>
            <w14:solidFill>
              <w14:schemeClr w14:val="tx1"/>
            </w14:solidFill>
          </w14:textFill>
        </w:rPr>
        <w:t>有关规定。</w:t>
      </w:r>
    </w:p>
    <w:bookmarkEnd w:id="44"/>
    <w:bookmarkEnd w:id="45"/>
    <w:bookmarkEnd w:id="46"/>
    <w:bookmarkEnd w:id="47"/>
    <w:bookmarkEnd w:id="48"/>
    <w:bookmarkEnd w:id="49"/>
    <w:bookmarkEnd w:id="50"/>
    <w:bookmarkEnd w:id="51"/>
    <w:p w14:paraId="13ABB7EE">
      <w:pPr>
        <w:pStyle w:val="77"/>
        <w:rPr>
          <w:rFonts w:ascii="Times New Roman"/>
          <w:color w:val="000000" w:themeColor="text1"/>
          <w:szCs w:val="22"/>
          <w14:textFill>
            <w14:solidFill>
              <w14:schemeClr w14:val="tx1"/>
            </w14:solidFill>
          </w14:textFill>
        </w:rPr>
      </w:pPr>
      <w:bookmarkStart w:id="52" w:name="_Toc31147"/>
      <w:bookmarkStart w:id="53" w:name="_Toc282691271"/>
      <w:bookmarkStart w:id="54" w:name="_Toc287362806"/>
      <w:bookmarkStart w:id="55" w:name="_Toc287363140"/>
      <w:bookmarkStart w:id="56" w:name="_Toc287363702"/>
      <w:bookmarkStart w:id="57" w:name="_Toc287362972"/>
      <w:bookmarkStart w:id="58" w:name="_Toc285902109"/>
      <w:bookmarkStart w:id="59" w:name="_Toc285902291"/>
      <w:bookmarkStart w:id="60" w:name="_Toc287363073"/>
      <w:r>
        <w:rPr>
          <w:rFonts w:hint="eastAsia" w:ascii="Times New Roman"/>
          <w:color w:val="000000" w:themeColor="text1"/>
          <w:szCs w:val="22"/>
          <w14:textFill>
            <w14:solidFill>
              <w14:schemeClr w14:val="tx1"/>
            </w14:solidFill>
          </w14:textFill>
        </w:rPr>
        <w:t>作用组合</w:t>
      </w:r>
      <w:bookmarkEnd w:id="52"/>
    </w:p>
    <w:p w14:paraId="4587166C">
      <w:pPr>
        <w:pStyle w:val="7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钢结构渡槽按承载能力极限状态设计时，对持久设计状况和短暂设计状况应采用作用的基本组合，对偶然设计状况应采用作用的偶然组合，对地震设计状况应采用作用的地震组合。</w:t>
      </w:r>
    </w:p>
    <w:p w14:paraId="561E046A">
      <w:pPr>
        <w:pStyle w:val="7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钢结构渡槽设计应考虑结构上可能同时出现的作用，按承载能力极限状态、正常使用极限状态进行作用组合，均应按下列原则取其最不利组合效应进行设计:</w:t>
      </w:r>
    </w:p>
    <w:p w14:paraId="589C2B53">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只有在结构上可能同时出现的作用，</w:t>
      </w:r>
      <w:r>
        <w:rPr>
          <w:rFonts w:hint="eastAsia"/>
          <w:color w:val="000000" w:themeColor="text1"/>
          <w:lang w:eastAsia="zh-CN"/>
          <w14:textFill>
            <w14:solidFill>
              <w14:schemeClr w14:val="tx1"/>
            </w14:solidFill>
          </w14:textFill>
        </w:rPr>
        <w:t>才能</w:t>
      </w:r>
      <w:r>
        <w:rPr>
          <w:rFonts w:hint="eastAsia"/>
          <w:color w:val="000000" w:themeColor="text1"/>
          <w14:textFill>
            <w14:solidFill>
              <w14:schemeClr w14:val="tx1"/>
            </w14:solidFill>
          </w14:textFill>
        </w:rPr>
        <w:t>进行组合。当结构或结构构件需做不同受力方向的验算时，则应以不同方向的最不利的作用组合效应进行计算。</w:t>
      </w:r>
    </w:p>
    <w:p w14:paraId="7A3700AA">
      <w:pPr>
        <w:pStyle w:val="26"/>
        <w:rPr>
          <w:color w:val="000000" w:themeColor="text1"/>
          <w:szCs w:val="22"/>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当可变作用的出现对结构或结构构件产生有利影响时，该作用不应参与组合。</w:t>
      </w:r>
      <w:r>
        <w:rPr>
          <w:rFonts w:hint="eastAsia"/>
          <w:color w:val="000000" w:themeColor="text1"/>
          <w:szCs w:val="22"/>
          <w14:textFill>
            <w14:solidFill>
              <w14:schemeClr w14:val="tx1"/>
            </w14:solidFill>
          </w14:textFill>
        </w:rPr>
        <w:t>实际不可能同时出现的作用或同时参与组合概率很小的作用，不考虑其参与组合。</w:t>
      </w:r>
    </w:p>
    <w:p w14:paraId="2B218114">
      <w:pPr>
        <w:pStyle w:val="2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3</w:t>
      </w:r>
      <w:r>
        <w:rPr>
          <w:color w:val="000000" w:themeColor="text1"/>
          <w:szCs w:val="22"/>
          <w14:textFill>
            <w14:solidFill>
              <w14:schemeClr w14:val="tx1"/>
            </w14:solidFill>
          </w14:textFill>
        </w:rPr>
        <w:t xml:space="preserve"> </w:t>
      </w:r>
      <w:r>
        <w:rPr>
          <w:rFonts w:hint="eastAsia"/>
          <w:color w:val="000000" w:themeColor="text1"/>
          <w:szCs w:val="22"/>
          <w14:textFill>
            <w14:solidFill>
              <w14:schemeClr w14:val="tx1"/>
            </w14:solidFill>
          </w14:textFill>
        </w:rPr>
        <w:t>施工阶段的作用组合，应按计算需要及结构所处条件而定，结构上的施工人员和施工机具设备均应作为可变作用加以考虑。</w:t>
      </w:r>
    </w:p>
    <w:p w14:paraId="3F61B7E7">
      <w:pPr>
        <w:pStyle w:val="2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4</w:t>
      </w:r>
      <w:r>
        <w:rPr>
          <w:color w:val="000000" w:themeColor="text1"/>
          <w:szCs w:val="22"/>
          <w14:textFill>
            <w14:solidFill>
              <w14:schemeClr w14:val="tx1"/>
            </w14:solidFill>
          </w14:textFill>
        </w:rPr>
        <w:t xml:space="preserve"> </w:t>
      </w:r>
      <w:r>
        <w:rPr>
          <w:rFonts w:hint="eastAsia"/>
          <w:color w:val="000000" w:themeColor="text1"/>
          <w:szCs w:val="22"/>
          <w14:textFill>
            <w14:solidFill>
              <w14:schemeClr w14:val="tx1"/>
            </w14:solidFill>
          </w14:textFill>
        </w:rPr>
        <w:t>多个偶然作用不同时参与组合。</w:t>
      </w:r>
    </w:p>
    <w:p w14:paraId="22D8F861">
      <w:pPr>
        <w:pStyle w:val="26"/>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5</w:t>
      </w:r>
      <w:r>
        <w:rPr>
          <w:color w:val="000000" w:themeColor="text1"/>
          <w:szCs w:val="22"/>
          <w14:textFill>
            <w14:solidFill>
              <w14:schemeClr w14:val="tx1"/>
            </w14:solidFill>
          </w14:textFill>
        </w:rPr>
        <w:t xml:space="preserve"> </w:t>
      </w:r>
      <w:r>
        <w:rPr>
          <w:rFonts w:hint="eastAsia"/>
          <w:color w:val="000000" w:themeColor="text1"/>
          <w:szCs w:val="22"/>
          <w14:textFill>
            <w14:solidFill>
              <w14:schemeClr w14:val="tx1"/>
            </w14:solidFill>
          </w14:textFill>
        </w:rPr>
        <w:t>地震作用不与偶然作用同时参与组合。</w:t>
      </w:r>
    </w:p>
    <w:p w14:paraId="0D2B83CB">
      <w:pPr>
        <w:pStyle w:val="26"/>
        <w:ind w:firstLine="0" w:firstLineChars="0"/>
        <w:rPr>
          <w:color w:val="000000" w:themeColor="text1"/>
          <w:szCs w:val="22"/>
          <w14:textFill>
            <w14:solidFill>
              <w14:schemeClr w14:val="tx1"/>
            </w14:solidFill>
          </w14:textFill>
        </w:rPr>
      </w:pPr>
    </w:p>
    <w:p w14:paraId="135B7D92">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基本组合:永久作用设计值与可变作用设计值相组合。</w:t>
      </w:r>
    </w:p>
    <w:p w14:paraId="5666B14A">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作用基本组合的效应设计值可</w:t>
      </w:r>
      <w:r>
        <w:rPr>
          <w:rFonts w:hint="eastAsia"/>
          <w:color w:val="000000" w:themeColor="text1"/>
          <w:lang w:eastAsia="zh-CN"/>
          <w14:textFill>
            <w14:solidFill>
              <w14:schemeClr w14:val="tx1"/>
            </w14:solidFill>
          </w14:textFill>
        </w:rPr>
        <w:t>按</w:t>
      </w:r>
      <w:r>
        <w:rPr>
          <w:rFonts w:hint="eastAsia"/>
          <w:color w:val="000000" w:themeColor="text1"/>
          <w14:textFill>
            <w14:solidFill>
              <w14:schemeClr w14:val="tx1"/>
            </w14:solidFill>
          </w14:textFill>
        </w:rPr>
        <w:t>下式计算:</w:t>
      </w:r>
    </w:p>
    <w:p w14:paraId="61772CC9">
      <w:pPr>
        <w:pStyle w:val="26"/>
        <w:ind w:firstLine="0" w:firstLineChars="0"/>
        <w:jc w:val="right"/>
        <w:rPr>
          <w:iCs/>
          <w:color w:val="000000" w:themeColor="text1"/>
          <w14:textFill>
            <w14:solidFill>
              <w14:schemeClr w14:val="tx1"/>
            </w14:solidFill>
          </w14:textFill>
        </w:rPr>
      </w:pPr>
      <m:oMath>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S</m:t>
            </m:r>
            <m:ctrlPr>
              <w:rPr>
                <w:rFonts w:ascii="Cambria Math" w:hAnsi="Cambria Math"/>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ud</m:t>
            </m:r>
            <m:ctrlPr>
              <w:rPr>
                <w:rFonts w:ascii="Cambria Math" w:hAnsi="Cambria Math"/>
                <w:color w:val="000000" w:themeColor="text1"/>
                <w:sz w:val="24"/>
                <w:szCs w:val="24"/>
                <w14:textFill>
                  <w14:solidFill>
                    <w14:schemeClr w14:val="tx1"/>
                  </w14:solidFill>
                </w14:textFill>
              </w:rPr>
            </m:ctrlPr>
          </m:sub>
        </m:sSub>
        <m:r>
          <m:rPr/>
          <w:rPr>
            <w:rFonts w:ascii="Cambria Math" w:hAnsi="Cambria Math"/>
            <w:color w:val="000000" w:themeColor="text1"/>
            <w:sz w:val="24"/>
            <w:szCs w:val="24"/>
            <w14:textFill>
              <w14:solidFill>
                <w14:schemeClr w14:val="tx1"/>
              </w14:solidFill>
            </w14:textFill>
          </w:rPr>
          <m:t>=</m:t>
        </m:r>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γ</m:t>
            </m:r>
            <m:ctrlPr>
              <w:rPr>
                <w:rFonts w:ascii="Cambria Math" w:hAnsi="Cambria Math"/>
                <w:color w:val="000000" w:themeColor="text1"/>
                <w:sz w:val="24"/>
                <w:szCs w:val="24"/>
                <w14:textFill>
                  <w14:solidFill>
                    <w14:schemeClr w14:val="tx1"/>
                  </w14:solidFill>
                </w14:textFill>
              </w:rPr>
            </m:ctrlPr>
          </m:e>
          <m:sub>
            <m:r>
              <m:rPr/>
              <w:rPr>
                <w:rFonts w:ascii="Cambria Math" w:hAnsi="Cambria Math"/>
                <w:color w:val="000000" w:themeColor="text1"/>
                <w:sz w:val="24"/>
                <w:szCs w:val="24"/>
                <w14:textFill>
                  <w14:solidFill>
                    <w14:schemeClr w14:val="tx1"/>
                  </w14:solidFill>
                </w14:textFill>
              </w:rPr>
              <m:t>0</m:t>
            </m:r>
            <m:ctrlPr>
              <w:rPr>
                <w:rFonts w:ascii="Cambria Math" w:hAnsi="Cambria Math"/>
                <w:color w:val="000000" w:themeColor="text1"/>
                <w:sz w:val="24"/>
                <w:szCs w:val="24"/>
                <w14:textFill>
                  <w14:solidFill>
                    <w14:schemeClr w14:val="tx1"/>
                  </w14:solidFill>
                </w14:textFill>
              </w:rPr>
            </m:ctrlPr>
          </m:sub>
        </m:sSub>
        <m:r>
          <m:rPr/>
          <w:rPr>
            <w:rFonts w:ascii="Cambria Math" w:hAnsi="Cambria Math"/>
            <w:color w:val="000000" w:themeColor="text1"/>
            <w:sz w:val="24"/>
            <w:szCs w:val="24"/>
            <w14:textFill>
              <w14:solidFill>
                <w14:schemeClr w14:val="tx1"/>
              </w14:solidFill>
            </w14:textFill>
          </w:rPr>
          <m:t>S(</m:t>
        </m:r>
        <m:nary>
          <m:naryPr>
            <m:chr m:val="∑"/>
            <m:grow m:val="1"/>
            <m:limLoc m:val="undOvr"/>
            <m:ctrlPr>
              <w:rPr>
                <w:rFonts w:ascii="Cambria Math" w:hAnsi="Cambria Math"/>
                <w:color w:val="000000" w:themeColor="text1"/>
                <w:sz w:val="24"/>
                <w:szCs w:val="24"/>
                <w14:textFill>
                  <w14:solidFill>
                    <w14:schemeClr w14:val="tx1"/>
                  </w14:solidFill>
                </w14:textFill>
              </w:rPr>
            </m:ctrlPr>
          </m:naryPr>
          <m:sub>
            <m:r>
              <m:rPr/>
              <w:rPr>
                <w:rFonts w:ascii="Cambria Math" w:hAnsi="Cambria Math"/>
                <w:color w:val="000000" w:themeColor="text1"/>
                <w:sz w:val="24"/>
                <w:szCs w:val="24"/>
                <w14:textFill>
                  <w14:solidFill>
                    <w14:schemeClr w14:val="tx1"/>
                  </w14:solidFill>
                </w14:textFill>
              </w:rPr>
              <m:t>i=1</m:t>
            </m:r>
            <m:ctrlPr>
              <w:rPr>
                <w:rFonts w:ascii="Cambria Math" w:hAnsi="Cambria Math"/>
                <w:color w:val="000000" w:themeColor="text1"/>
                <w:sz w:val="24"/>
                <w:szCs w:val="24"/>
                <w14:textFill>
                  <w14:solidFill>
                    <w14:schemeClr w14:val="tx1"/>
                  </w14:solidFill>
                </w14:textFill>
              </w:rPr>
            </m:ctrlPr>
          </m:sub>
          <m:sup>
            <m:r>
              <m:rPr/>
              <w:rPr>
                <w:rFonts w:ascii="Cambria Math" w:hAnsi="Cambria Math"/>
                <w:color w:val="000000" w:themeColor="text1"/>
                <w:sz w:val="24"/>
                <w:szCs w:val="24"/>
                <w14:textFill>
                  <w14:solidFill>
                    <w14:schemeClr w14:val="tx1"/>
                  </w14:solidFill>
                </w14:textFill>
              </w:rPr>
              <m:t>m</m:t>
            </m:r>
            <m:ctrlPr>
              <w:rPr>
                <w:rFonts w:ascii="Cambria Math" w:hAnsi="Cambria Math"/>
                <w:color w:val="000000" w:themeColor="text1"/>
                <w:sz w:val="24"/>
                <w:szCs w:val="24"/>
                <w14:textFill>
                  <w14:solidFill>
                    <w14:schemeClr w14:val="tx1"/>
                  </w14:solidFill>
                </w14:textFill>
              </w:rPr>
            </m:ctrlPr>
          </m:sup>
          <m:e>
            <m:r>
              <m:rPr/>
              <w:rPr>
                <w:rFonts w:ascii="Cambria Math" w:hAnsi="Cambria Math"/>
                <w:color w:val="000000" w:themeColor="text1"/>
                <w:sz w:val="24"/>
                <w:szCs w:val="24"/>
                <w14:textFill>
                  <w14:solidFill>
                    <w14:schemeClr w14:val="tx1"/>
                  </w14:solidFill>
                </w14:textFill>
              </w:rPr>
              <m:t> </m:t>
            </m:r>
            <m:ctrlPr>
              <w:rPr>
                <w:rFonts w:ascii="Cambria Math" w:hAnsi="Cambria Math"/>
                <w:color w:val="000000" w:themeColor="text1"/>
                <w:sz w:val="24"/>
                <w:szCs w:val="24"/>
                <w14:textFill>
                  <w14:solidFill>
                    <w14:schemeClr w14:val="tx1"/>
                  </w14:solidFill>
                </w14:textFill>
              </w:rPr>
            </m:ctrlPr>
          </m:e>
        </m:nary>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γ</m:t>
            </m:r>
            <m:ctrlPr>
              <w:rPr>
                <w:rFonts w:ascii="Cambria Math" w:hAnsi="Cambria Math"/>
                <w:color w:val="000000" w:themeColor="text1"/>
                <w:sz w:val="24"/>
                <w:szCs w:val="24"/>
                <w14:textFill>
                  <w14:solidFill>
                    <w14:schemeClr w14:val="tx1"/>
                  </w14:solidFill>
                </w14:textFill>
              </w:rPr>
            </m:ctrlPr>
          </m:e>
          <m:sub>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G</m:t>
                </m:r>
                <m:ctrlPr>
                  <w:rPr>
                    <w:rFonts w:ascii="Cambria Math" w:hAnsi="Cambria Math"/>
                    <w:color w:val="000000" w:themeColor="text1"/>
                    <w:sz w:val="24"/>
                    <w:szCs w:val="24"/>
                    <w14:textFill>
                      <w14:solidFill>
                        <w14:schemeClr w14:val="tx1"/>
                      </w14:solidFill>
                    </w14:textFill>
                  </w:rPr>
                </m:ctrlPr>
              </m:e>
              <m:sub>
                <m:r>
                  <m:rPr/>
                  <w:rPr>
                    <w:rFonts w:ascii="Cambria Math" w:hAnsi="Cambria Math"/>
                    <w:color w:val="000000" w:themeColor="text1"/>
                    <w:sz w:val="24"/>
                    <w:szCs w:val="24"/>
                    <w14:textFill>
                      <w14:solidFill>
                        <w14:schemeClr w14:val="tx1"/>
                      </w14:solidFill>
                    </w14:textFill>
                  </w:rPr>
                  <m:t>i</m:t>
                </m:r>
                <m:ctrlPr>
                  <w:rPr>
                    <w:rFonts w:ascii="Cambria Math" w:hAnsi="Cambria Math"/>
                    <w:color w:val="000000" w:themeColor="text1"/>
                    <w:sz w:val="24"/>
                    <w:szCs w:val="24"/>
                    <w14:textFill>
                      <w14:solidFill>
                        <w14:schemeClr w14:val="tx1"/>
                      </w14:solidFill>
                    </w14:textFill>
                  </w:rPr>
                </m:ctrlPr>
              </m:sub>
            </m:sSub>
            <m:ctrlPr>
              <w:rPr>
                <w:rFonts w:ascii="Cambria Math" w:hAnsi="Cambria Math"/>
                <w:color w:val="000000" w:themeColor="text1"/>
                <w:sz w:val="24"/>
                <w:szCs w:val="24"/>
                <w14:textFill>
                  <w14:solidFill>
                    <w14:schemeClr w14:val="tx1"/>
                  </w14:solidFill>
                </w14:textFill>
              </w:rPr>
            </m:ctrlPr>
          </m:sub>
        </m:sSub>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G</m:t>
            </m:r>
            <m:ctrlPr>
              <w:rPr>
                <w:rFonts w:ascii="Cambria Math" w:hAnsi="Cambria Math"/>
                <w:color w:val="000000" w:themeColor="text1"/>
                <w:sz w:val="24"/>
                <w:szCs w:val="24"/>
                <w14:textFill>
                  <w14:solidFill>
                    <w14:schemeClr w14:val="tx1"/>
                  </w14:solidFill>
                </w14:textFill>
              </w:rPr>
            </m:ctrlPr>
          </m:e>
          <m:sub>
            <m:r>
              <m:rPr/>
              <w:rPr>
                <w:rFonts w:ascii="Cambria Math" w:hAnsi="Cambria Math"/>
                <w:color w:val="000000" w:themeColor="text1"/>
                <w:sz w:val="24"/>
                <w:szCs w:val="24"/>
                <w14:textFill>
                  <w14:solidFill>
                    <w14:schemeClr w14:val="tx1"/>
                  </w14:solidFill>
                </w14:textFill>
              </w:rPr>
              <m:t>i</m:t>
            </m:r>
            <m:r>
              <m:rPr>
                <m:sty m:val="p"/>
              </m:rPr>
              <w:rPr>
                <w:rFonts w:ascii="Cambria Math" w:hAnsi="Cambria Math"/>
                <w:color w:val="000000" w:themeColor="text1"/>
                <w:sz w:val="24"/>
                <w:szCs w:val="24"/>
                <w14:textFill>
                  <w14:solidFill>
                    <w14:schemeClr w14:val="tx1"/>
                  </w14:solidFill>
                </w14:textFill>
              </w:rPr>
              <m:t>k</m:t>
            </m:r>
            <m:ctrlPr>
              <w:rPr>
                <w:rFonts w:ascii="Cambria Math" w:hAnsi="Cambria Math"/>
                <w:color w:val="000000" w:themeColor="text1"/>
                <w:sz w:val="24"/>
                <w:szCs w:val="24"/>
                <w14:textFill>
                  <w14:solidFill>
                    <w14:schemeClr w14:val="tx1"/>
                  </w14:solidFill>
                </w14:textFill>
              </w:rPr>
            </m:ctrlPr>
          </m:sub>
        </m:sSub>
        <m:r>
          <m:rPr/>
          <w:rPr>
            <w:rFonts w:ascii="Cambria Math" w:hAnsi="Cambria Math"/>
            <w:color w:val="000000" w:themeColor="text1"/>
            <w:sz w:val="24"/>
            <w:szCs w:val="24"/>
            <w14:textFill>
              <w14:solidFill>
                <w14:schemeClr w14:val="tx1"/>
              </w14:solidFill>
            </w14:textFill>
          </w:rPr>
          <m:t>,</m:t>
        </m:r>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γ</m:t>
            </m:r>
            <m:ctrlPr>
              <w:rPr>
                <w:rFonts w:ascii="Cambria Math" w:hAnsi="Cambria Math"/>
                <w:color w:val="000000" w:themeColor="text1"/>
                <w:sz w:val="24"/>
                <w:szCs w:val="24"/>
                <w14:textFill>
                  <w14:solidFill>
                    <w14:schemeClr w14:val="tx1"/>
                  </w14:solidFill>
                </w14:textFill>
              </w:rPr>
            </m:ctrlPr>
          </m:e>
          <m:sub>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Q</m:t>
                </m:r>
                <m:ctrlPr>
                  <w:rPr>
                    <w:rFonts w:ascii="Cambria Math" w:hAnsi="Cambria Math"/>
                    <w:color w:val="000000" w:themeColor="text1"/>
                    <w:sz w:val="24"/>
                    <w:szCs w:val="24"/>
                    <w14:textFill>
                      <w14:solidFill>
                        <w14:schemeClr w14:val="tx1"/>
                      </w14:solidFill>
                    </w14:textFill>
                  </w:rPr>
                </m:ctrlPr>
              </m:e>
              <m:sub>
                <m:r>
                  <m:rPr/>
                  <w:rPr>
                    <w:rFonts w:ascii="Cambria Math" w:hAnsi="Cambria Math"/>
                    <w:color w:val="000000" w:themeColor="text1"/>
                    <w:sz w:val="24"/>
                    <w:szCs w:val="24"/>
                    <w14:textFill>
                      <w14:solidFill>
                        <w14:schemeClr w14:val="tx1"/>
                      </w14:solidFill>
                    </w14:textFill>
                  </w:rPr>
                  <m:t>1</m:t>
                </m:r>
                <m:ctrlPr>
                  <w:rPr>
                    <w:rFonts w:ascii="Cambria Math" w:hAnsi="Cambria Math"/>
                    <w:color w:val="000000" w:themeColor="text1"/>
                    <w:sz w:val="24"/>
                    <w:szCs w:val="24"/>
                    <w14:textFill>
                      <w14:solidFill>
                        <w14:schemeClr w14:val="tx1"/>
                      </w14:solidFill>
                    </w14:textFill>
                  </w:rPr>
                </m:ctrlPr>
              </m:sub>
            </m:sSub>
            <m:ctrlPr>
              <w:rPr>
                <w:rFonts w:ascii="Cambria Math" w:hAnsi="Cambria Math"/>
                <w:color w:val="000000" w:themeColor="text1"/>
                <w:sz w:val="24"/>
                <w:szCs w:val="24"/>
                <w14:textFill>
                  <w14:solidFill>
                    <w14:schemeClr w14:val="tx1"/>
                  </w14:solidFill>
                </w14:textFill>
              </w:rPr>
            </m:ctrlPr>
          </m:sub>
        </m:sSub>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Q</m:t>
            </m:r>
            <m:ctrlPr>
              <w:rPr>
                <w:rFonts w:ascii="Cambria Math" w:hAnsi="Cambria Math"/>
                <w:color w:val="000000" w:themeColor="text1"/>
                <w:sz w:val="24"/>
                <w:szCs w:val="24"/>
                <w14:textFill>
                  <w14:solidFill>
                    <w14:schemeClr w14:val="tx1"/>
                  </w14:solidFill>
                </w14:textFill>
              </w:rPr>
            </m:ctrlPr>
          </m:e>
          <m:sub>
            <m:r>
              <m:rPr/>
              <w:rPr>
                <w:rFonts w:ascii="Cambria Math" w:hAnsi="Cambria Math"/>
                <w:color w:val="000000" w:themeColor="text1"/>
                <w:sz w:val="24"/>
                <w:szCs w:val="24"/>
                <w14:textFill>
                  <w14:solidFill>
                    <w14:schemeClr w14:val="tx1"/>
                  </w14:solidFill>
                </w14:textFill>
              </w:rPr>
              <m:t>1</m:t>
            </m:r>
            <m:r>
              <m:rPr>
                <m:sty m:val="p"/>
              </m:rPr>
              <w:rPr>
                <w:rFonts w:ascii="Cambria Math" w:hAnsi="Cambria Math"/>
                <w:color w:val="000000" w:themeColor="text1"/>
                <w:sz w:val="24"/>
                <w:szCs w:val="24"/>
                <w14:textFill>
                  <w14:solidFill>
                    <w14:schemeClr w14:val="tx1"/>
                  </w14:solidFill>
                </w14:textFill>
              </w:rPr>
              <m:t>k</m:t>
            </m:r>
            <m:ctrlPr>
              <w:rPr>
                <w:rFonts w:ascii="Cambria Math" w:hAnsi="Cambria Math"/>
                <w:color w:val="000000" w:themeColor="text1"/>
                <w:sz w:val="24"/>
                <w:szCs w:val="24"/>
                <w14:textFill>
                  <w14:solidFill>
                    <w14:schemeClr w14:val="tx1"/>
                  </w14:solidFill>
                </w14:textFill>
              </w:rPr>
            </m:ctrlPr>
          </m:sub>
        </m:sSub>
        <m:r>
          <m:rPr/>
          <w:rPr>
            <w:rFonts w:ascii="Cambria Math" w:hAnsi="Cambria Math"/>
            <w:color w:val="000000" w:themeColor="text1"/>
            <w:sz w:val="24"/>
            <w:szCs w:val="24"/>
            <w14:textFill>
              <w14:solidFill>
                <w14:schemeClr w14:val="tx1"/>
              </w14:solidFill>
            </w14:textFill>
          </w:rPr>
          <m:t>,</m:t>
        </m:r>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ψ</m:t>
            </m:r>
            <m:ctrlPr>
              <w:rPr>
                <w:rFonts w:ascii="Cambria Math" w:hAnsi="Cambria Math"/>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c</m:t>
            </m:r>
            <m:ctrlPr>
              <w:rPr>
                <w:rFonts w:ascii="Cambria Math" w:hAnsi="Cambria Math"/>
                <w:color w:val="000000" w:themeColor="text1"/>
                <w:sz w:val="24"/>
                <w:szCs w:val="24"/>
                <w14:textFill>
                  <w14:solidFill>
                    <w14:schemeClr w14:val="tx1"/>
                  </w14:solidFill>
                </w14:textFill>
              </w:rPr>
            </m:ctrlPr>
          </m:sub>
        </m:sSub>
        <m:nary>
          <m:naryPr>
            <m:chr m:val="∑"/>
            <m:grow m:val="1"/>
            <m:limLoc m:val="undOvr"/>
            <m:ctrlPr>
              <w:rPr>
                <w:rFonts w:ascii="Cambria Math" w:hAnsi="Cambria Math"/>
                <w:color w:val="000000" w:themeColor="text1"/>
                <w:sz w:val="24"/>
                <w:szCs w:val="24"/>
                <w14:textFill>
                  <w14:solidFill>
                    <w14:schemeClr w14:val="tx1"/>
                  </w14:solidFill>
                </w14:textFill>
              </w:rPr>
            </m:ctrlPr>
          </m:naryPr>
          <m:sub>
            <m:r>
              <m:rPr/>
              <w:rPr>
                <w:rFonts w:ascii="Cambria Math" w:hAnsi="Cambria Math"/>
                <w:color w:val="000000" w:themeColor="text1"/>
                <w:sz w:val="24"/>
                <w:szCs w:val="24"/>
                <w14:textFill>
                  <w14:solidFill>
                    <w14:schemeClr w14:val="tx1"/>
                  </w14:solidFill>
                </w14:textFill>
              </w:rPr>
              <m:t>j=2</m:t>
            </m:r>
            <m:ctrlPr>
              <w:rPr>
                <w:rFonts w:ascii="Cambria Math" w:hAnsi="Cambria Math"/>
                <w:color w:val="000000" w:themeColor="text1"/>
                <w:sz w:val="24"/>
                <w:szCs w:val="24"/>
                <w14:textFill>
                  <w14:solidFill>
                    <w14:schemeClr w14:val="tx1"/>
                  </w14:solidFill>
                </w14:textFill>
              </w:rPr>
            </m:ctrlPr>
          </m:sub>
          <m:sup>
            <m:r>
              <m:rPr/>
              <w:rPr>
                <w:rFonts w:ascii="Cambria Math" w:hAnsi="Cambria Math"/>
                <w:color w:val="000000" w:themeColor="text1"/>
                <w:sz w:val="24"/>
                <w:szCs w:val="24"/>
                <w14:textFill>
                  <w14:solidFill>
                    <w14:schemeClr w14:val="tx1"/>
                  </w14:solidFill>
                </w14:textFill>
              </w:rPr>
              <m:t>n</m:t>
            </m:r>
            <m:ctrlPr>
              <w:rPr>
                <w:rFonts w:ascii="Cambria Math" w:hAnsi="Cambria Math"/>
                <w:color w:val="000000" w:themeColor="text1"/>
                <w:sz w:val="24"/>
                <w:szCs w:val="24"/>
                <w14:textFill>
                  <w14:solidFill>
                    <w14:schemeClr w14:val="tx1"/>
                  </w14:solidFill>
                </w14:textFill>
              </w:rPr>
            </m:ctrlPr>
          </m:sup>
          <m:e>
            <m:r>
              <m:rPr/>
              <w:rPr>
                <w:rFonts w:ascii="Cambria Math" w:hAnsi="Cambria Math"/>
                <w:color w:val="000000" w:themeColor="text1"/>
                <w:sz w:val="24"/>
                <w:szCs w:val="24"/>
                <w14:textFill>
                  <w14:solidFill>
                    <w14:schemeClr w14:val="tx1"/>
                  </w14:solidFill>
                </w14:textFill>
              </w:rPr>
              <m:t> </m:t>
            </m:r>
            <m:ctrlPr>
              <w:rPr>
                <w:rFonts w:ascii="Cambria Math" w:hAnsi="Cambria Math"/>
                <w:color w:val="000000" w:themeColor="text1"/>
                <w:sz w:val="24"/>
                <w:szCs w:val="24"/>
                <w14:textFill>
                  <w14:solidFill>
                    <w14:schemeClr w14:val="tx1"/>
                  </w14:solidFill>
                </w14:textFill>
              </w:rPr>
            </m:ctrlPr>
          </m:e>
        </m:nary>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γ</m:t>
            </m:r>
            <m:ctrlPr>
              <w:rPr>
                <w:rFonts w:ascii="Cambria Math" w:hAnsi="Cambria Math"/>
                <w:color w:val="000000" w:themeColor="text1"/>
                <w:sz w:val="24"/>
                <w:szCs w:val="24"/>
                <w14:textFill>
                  <w14:solidFill>
                    <w14:schemeClr w14:val="tx1"/>
                  </w14:solidFill>
                </w14:textFill>
              </w:rPr>
            </m:ctrlPr>
          </m:e>
          <m:sub>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Q</m:t>
                </m:r>
                <m:ctrlPr>
                  <w:rPr>
                    <w:rFonts w:ascii="Cambria Math" w:hAnsi="Cambria Math"/>
                    <w:color w:val="000000" w:themeColor="text1"/>
                    <w:sz w:val="24"/>
                    <w:szCs w:val="24"/>
                    <w14:textFill>
                      <w14:solidFill>
                        <w14:schemeClr w14:val="tx1"/>
                      </w14:solidFill>
                    </w14:textFill>
                  </w:rPr>
                </m:ctrlPr>
              </m:e>
              <m:sub>
                <m:r>
                  <m:rPr/>
                  <w:rPr>
                    <w:rFonts w:ascii="Cambria Math" w:hAnsi="Cambria Math"/>
                    <w:color w:val="000000" w:themeColor="text1"/>
                    <w:sz w:val="24"/>
                    <w:szCs w:val="24"/>
                    <w14:textFill>
                      <w14:solidFill>
                        <w14:schemeClr w14:val="tx1"/>
                      </w14:solidFill>
                    </w14:textFill>
                  </w:rPr>
                  <m:t>j</m:t>
                </m:r>
                <m:ctrlPr>
                  <w:rPr>
                    <w:rFonts w:ascii="Cambria Math" w:hAnsi="Cambria Math"/>
                    <w:color w:val="000000" w:themeColor="text1"/>
                    <w:sz w:val="24"/>
                    <w:szCs w:val="24"/>
                    <w14:textFill>
                      <w14:solidFill>
                        <w14:schemeClr w14:val="tx1"/>
                      </w14:solidFill>
                    </w14:textFill>
                  </w:rPr>
                </m:ctrlPr>
              </m:sub>
            </m:sSub>
            <m:ctrlPr>
              <w:rPr>
                <w:rFonts w:ascii="Cambria Math" w:hAnsi="Cambria Math"/>
                <w:color w:val="000000" w:themeColor="text1"/>
                <w:sz w:val="24"/>
                <w:szCs w:val="24"/>
                <w14:textFill>
                  <w14:solidFill>
                    <w14:schemeClr w14:val="tx1"/>
                  </w14:solidFill>
                </w14:textFill>
              </w:rPr>
            </m:ctrlPr>
          </m:sub>
        </m:sSub>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Q</m:t>
            </m:r>
            <m:ctrlPr>
              <w:rPr>
                <w:rFonts w:ascii="Cambria Math" w:hAnsi="Cambria Math"/>
                <w:color w:val="000000" w:themeColor="text1"/>
                <w:sz w:val="24"/>
                <w:szCs w:val="24"/>
                <w14:textFill>
                  <w14:solidFill>
                    <w14:schemeClr w14:val="tx1"/>
                  </w14:solidFill>
                </w14:textFill>
              </w:rPr>
            </m:ctrlPr>
          </m:e>
          <m:sub>
            <m:r>
              <m:rPr/>
              <w:rPr>
                <w:rFonts w:ascii="Cambria Math" w:hAnsi="Cambria Math"/>
                <w:color w:val="000000" w:themeColor="text1"/>
                <w:sz w:val="24"/>
                <w:szCs w:val="24"/>
                <w14:textFill>
                  <w14:solidFill>
                    <w14:schemeClr w14:val="tx1"/>
                  </w14:solidFill>
                </w14:textFill>
              </w:rPr>
              <m:t>j</m:t>
            </m:r>
            <m:r>
              <m:rPr>
                <m:sty m:val="p"/>
              </m:rPr>
              <w:rPr>
                <w:rFonts w:ascii="Cambria Math" w:hAnsi="Cambria Math"/>
                <w:color w:val="000000" w:themeColor="text1"/>
                <w:sz w:val="24"/>
                <w:szCs w:val="24"/>
                <w14:textFill>
                  <w14:solidFill>
                    <w14:schemeClr w14:val="tx1"/>
                  </w14:solidFill>
                </w14:textFill>
              </w:rPr>
              <m:t>k</m:t>
            </m:r>
            <m:ctrlPr>
              <w:rPr>
                <w:rFonts w:ascii="Cambria Math" w:hAnsi="Cambria Math"/>
                <w:color w:val="000000" w:themeColor="text1"/>
                <w:sz w:val="24"/>
                <w:szCs w:val="24"/>
                <w14:textFill>
                  <w14:solidFill>
                    <w14:schemeClr w14:val="tx1"/>
                  </w14:solidFill>
                </w14:textFill>
              </w:rPr>
            </m:ctrlPr>
          </m:sub>
        </m:sSub>
        <m:r>
          <m:rPr/>
          <w:rPr>
            <w:rFonts w:ascii="Cambria Math" w:hAnsi="Cambria Math"/>
            <w:color w:val="000000" w:themeColor="text1"/>
            <w:sz w:val="24"/>
            <w:szCs w:val="24"/>
            <w14:textFill>
              <w14:solidFill>
                <w14:schemeClr w14:val="tx1"/>
              </w14:solidFill>
            </w14:textFill>
          </w:rPr>
          <m:t>)</m:t>
        </m:r>
      </m:oMath>
      <w:r>
        <w:rPr>
          <w:iCs/>
          <w:color w:val="000000" w:themeColor="text1"/>
          <w14:textFill>
            <w14:solidFill>
              <w14:schemeClr w14:val="tx1"/>
            </w14:solidFill>
          </w14:textFill>
        </w:rPr>
        <w:t xml:space="preserve"> ………………………</w:t>
      </w:r>
      <w:r>
        <w:rPr>
          <w:rFonts w:hint="eastAsia"/>
          <w:iCs/>
          <w:color w:val="000000" w:themeColor="text1"/>
          <w14:textFill>
            <w14:solidFill>
              <w14:schemeClr w14:val="tx1"/>
            </w14:solidFill>
          </w14:textFill>
        </w:rPr>
        <w:t>(1)</w:t>
      </w:r>
    </w:p>
    <w:tbl>
      <w:tblPr>
        <w:tblStyle w:val="3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7"/>
        <w:gridCol w:w="709"/>
        <w:gridCol w:w="709"/>
        <w:gridCol w:w="7335"/>
      </w:tblGrid>
      <w:tr w14:paraId="305CE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15132A9E">
            <w:pPr>
              <w:pStyle w:val="26"/>
              <w:ind w:firstLine="0" w:firstLineChars="0"/>
              <w:rPr>
                <w:color w:val="000000" w:themeColor="text1"/>
                <w:szCs w:val="18"/>
                <w14:textFill>
                  <w14:solidFill>
                    <w14:schemeClr w14:val="tx1"/>
                  </w14:solidFill>
                </w14:textFill>
              </w:rPr>
            </w:pPr>
            <w:r>
              <w:rPr>
                <w:rFonts w:hint="eastAsia"/>
                <w:color w:val="000000" w:themeColor="text1"/>
                <w:szCs w:val="20"/>
                <w14:textFill>
                  <w14:solidFill>
                    <w14:schemeClr w14:val="tx1"/>
                  </w14:solidFill>
                </w14:textFill>
              </w:rPr>
              <w:t>式中：</w:t>
            </w:r>
          </w:p>
        </w:tc>
        <w:tc>
          <w:tcPr>
            <w:tcW w:w="709" w:type="dxa"/>
          </w:tcPr>
          <w:p w14:paraId="1B56A8B9">
            <w:pPr>
              <w:pStyle w:val="26"/>
              <w:ind w:firstLine="0" w:firstLineChars="0"/>
              <w:rPr>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S</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18"/>
                        <w14:textFill>
                          <w14:solidFill>
                            <w14:schemeClr w14:val="tx1"/>
                          </w14:solidFill>
                        </w14:textFill>
                      </w:rPr>
                      <m:t>ud</m:t>
                    </m:r>
                    <m:ctrlPr>
                      <w:rPr>
                        <w:rFonts w:ascii="Cambria Math" w:hAnsi="Cambria Math"/>
                        <w:color w:val="000000" w:themeColor="text1"/>
                        <w:szCs w:val="18"/>
                        <w14:textFill>
                          <w14:solidFill>
                            <w14:schemeClr w14:val="tx1"/>
                          </w14:solidFill>
                        </w14:textFill>
                      </w:rPr>
                    </m:ctrlPr>
                  </m:sub>
                </m:sSub>
              </m:oMath>
            </m:oMathPara>
          </w:p>
        </w:tc>
        <w:tc>
          <w:tcPr>
            <w:tcW w:w="709" w:type="dxa"/>
            <w:vAlign w:val="center"/>
          </w:tcPr>
          <w:p w14:paraId="669372F5">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7335" w:type="dxa"/>
          </w:tcPr>
          <w:p w14:paraId="41AE1239">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承载能力极限状态下作用基本组合的效应设计值；</w:t>
            </w:r>
          </w:p>
        </w:tc>
      </w:tr>
      <w:tr w14:paraId="0121E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1E99065B">
            <w:pPr>
              <w:pStyle w:val="26"/>
              <w:ind w:firstLine="0" w:firstLineChars="0"/>
              <w:jc w:val="right"/>
              <w:rPr>
                <w:rFonts w:hint="eastAsia" w:ascii="黑体" w:hAnsi="黑体" w:eastAsia="黑体"/>
                <w:color w:val="000000" w:themeColor="text1"/>
                <w:szCs w:val="18"/>
                <w14:textFill>
                  <w14:solidFill>
                    <w14:schemeClr w14:val="tx1"/>
                  </w14:solidFill>
                </w14:textFill>
              </w:rPr>
            </w:pPr>
          </w:p>
        </w:tc>
        <w:tc>
          <w:tcPr>
            <w:tcW w:w="709" w:type="dxa"/>
          </w:tcPr>
          <w:p w14:paraId="6F95A114">
            <w:pPr>
              <w:pStyle w:val="26"/>
              <w:ind w:firstLine="0" w:firstLineChars="0"/>
              <w:jc w:val="right"/>
              <w:rPr>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γ</m:t>
                    </m:r>
                    <m:ctrlPr>
                      <w:rPr>
                        <w:rFonts w:ascii="Cambria Math" w:hAnsi="Cambria Math"/>
                        <w:color w:val="000000" w:themeColor="text1"/>
                        <w:szCs w:val="18"/>
                        <w14:textFill>
                          <w14:solidFill>
                            <w14:schemeClr w14:val="tx1"/>
                          </w14:solidFill>
                        </w14:textFill>
                      </w:rPr>
                    </m:ctrlPr>
                  </m:e>
                  <m:sub>
                    <m:r>
                      <m:rPr/>
                      <w:rPr>
                        <w:rFonts w:ascii="Cambria Math" w:hAnsi="Cambria Math"/>
                        <w:color w:val="000000" w:themeColor="text1"/>
                        <w:szCs w:val="18"/>
                        <w14:textFill>
                          <w14:solidFill>
                            <w14:schemeClr w14:val="tx1"/>
                          </w14:solidFill>
                        </w14:textFill>
                      </w:rPr>
                      <m:t>0</m:t>
                    </m:r>
                    <m:ctrlPr>
                      <w:rPr>
                        <w:rFonts w:ascii="Cambria Math" w:hAnsi="Cambria Math"/>
                        <w:color w:val="000000" w:themeColor="text1"/>
                        <w:szCs w:val="18"/>
                        <w14:textFill>
                          <w14:solidFill>
                            <w14:schemeClr w14:val="tx1"/>
                          </w14:solidFill>
                        </w14:textFill>
                      </w:rPr>
                    </m:ctrlPr>
                  </m:sub>
                </m:sSub>
              </m:oMath>
            </m:oMathPara>
          </w:p>
        </w:tc>
        <w:tc>
          <w:tcPr>
            <w:tcW w:w="709" w:type="dxa"/>
          </w:tcPr>
          <w:p w14:paraId="5A517C2B">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7335" w:type="dxa"/>
          </w:tcPr>
          <w:p w14:paraId="031559DD">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结构重要性系数，按持久状况和短暂状况承载能力极限状态设计时，对应于设计安全等级Ⅰ级、Ⅱ级和Ⅲ级分别取1. 1 ，1. 0 和0.9；</w:t>
            </w:r>
          </w:p>
        </w:tc>
      </w:tr>
      <w:tr w14:paraId="7216D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5AFF9306">
            <w:pPr>
              <w:pStyle w:val="26"/>
              <w:ind w:firstLine="0" w:firstLineChars="0"/>
              <w:jc w:val="right"/>
              <w:rPr>
                <w:rFonts w:ascii="Times New Roman"/>
                <w:color w:val="000000" w:themeColor="text1"/>
                <w:sz w:val="24"/>
                <w:szCs w:val="24"/>
                <w14:textFill>
                  <w14:solidFill>
                    <w14:schemeClr w14:val="tx1"/>
                  </w14:solidFill>
                </w14:textFill>
              </w:rPr>
            </w:pPr>
          </w:p>
        </w:tc>
        <w:tc>
          <w:tcPr>
            <w:tcW w:w="709" w:type="dxa"/>
          </w:tcPr>
          <w:p w14:paraId="19B83E66">
            <w:pPr>
              <w:pStyle w:val="26"/>
              <w:ind w:firstLine="0" w:firstLineChars="0"/>
              <w:jc w:val="right"/>
              <w:rPr>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γ</m:t>
                    </m:r>
                    <m:ctrlPr>
                      <w:rPr>
                        <w:rFonts w:ascii="Cambria Math" w:hAnsi="Cambria Math"/>
                        <w:color w:val="000000" w:themeColor="text1"/>
                        <w:szCs w:val="18"/>
                        <w14:textFill>
                          <w14:solidFill>
                            <w14:schemeClr w14:val="tx1"/>
                          </w14:solidFill>
                        </w14:textFill>
                      </w:rPr>
                    </m:ctrlPr>
                  </m:e>
                  <m:sub>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G</m:t>
                        </m:r>
                        <m:ctrlPr>
                          <w:rPr>
                            <w:rFonts w:ascii="Cambria Math" w:hAnsi="Cambria Math"/>
                            <w:color w:val="000000" w:themeColor="text1"/>
                            <w:szCs w:val="18"/>
                            <w14:textFill>
                              <w14:solidFill>
                                <w14:schemeClr w14:val="tx1"/>
                              </w14:solidFill>
                            </w14:textFill>
                          </w:rPr>
                        </m:ctrlPr>
                      </m:e>
                      <m:sub>
                        <m:r>
                          <m:rPr/>
                          <w:rPr>
                            <w:rFonts w:ascii="Cambria Math" w:hAnsi="Cambria Math"/>
                            <w:color w:val="000000" w:themeColor="text1"/>
                            <w:szCs w:val="18"/>
                            <w14:textFill>
                              <w14:solidFill>
                                <w14:schemeClr w14:val="tx1"/>
                              </w14:solidFill>
                            </w14:textFill>
                          </w:rPr>
                          <m:t>i</m:t>
                        </m:r>
                        <m:ctrlPr>
                          <w:rPr>
                            <w:rFonts w:ascii="Cambria Math" w:hAnsi="Cambria Math"/>
                            <w:color w:val="000000" w:themeColor="text1"/>
                            <w:szCs w:val="18"/>
                            <w14:textFill>
                              <w14:solidFill>
                                <w14:schemeClr w14:val="tx1"/>
                              </w14:solidFill>
                            </w14:textFill>
                          </w:rPr>
                        </m:ctrlPr>
                      </m:sub>
                    </m:sSub>
                    <m:ctrlPr>
                      <w:rPr>
                        <w:rFonts w:ascii="Cambria Math" w:hAnsi="Cambria Math"/>
                        <w:color w:val="000000" w:themeColor="text1"/>
                        <w:szCs w:val="18"/>
                        <w14:textFill>
                          <w14:solidFill>
                            <w14:schemeClr w14:val="tx1"/>
                          </w14:solidFill>
                        </w14:textFill>
                      </w:rPr>
                    </m:ctrlPr>
                  </m:sub>
                </m:sSub>
              </m:oMath>
            </m:oMathPara>
          </w:p>
        </w:tc>
        <w:tc>
          <w:tcPr>
            <w:tcW w:w="709" w:type="dxa"/>
          </w:tcPr>
          <w:p w14:paraId="4C3E9423">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7335" w:type="dxa"/>
          </w:tcPr>
          <w:p w14:paraId="17C5EEB0">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第i个永久作用的分项系数；</w:t>
            </w:r>
          </w:p>
        </w:tc>
      </w:tr>
      <w:tr w14:paraId="48F73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2685A7E9">
            <w:pPr>
              <w:pStyle w:val="26"/>
              <w:ind w:firstLine="0" w:firstLineChars="0"/>
              <w:jc w:val="right"/>
              <w:rPr>
                <w:rFonts w:ascii="黑体" w:eastAsia="黑体"/>
                <w:color w:val="000000" w:themeColor="text1"/>
                <w:szCs w:val="18"/>
                <w14:textFill>
                  <w14:solidFill>
                    <w14:schemeClr w14:val="tx1"/>
                  </w14:solidFill>
                </w14:textFill>
              </w:rPr>
            </w:pPr>
          </w:p>
        </w:tc>
        <w:tc>
          <w:tcPr>
            <w:tcW w:w="709" w:type="dxa"/>
            <w:vAlign w:val="center"/>
          </w:tcPr>
          <w:p w14:paraId="70874B71">
            <w:pPr>
              <w:pStyle w:val="26"/>
              <w:ind w:firstLine="0" w:firstLineChars="0"/>
              <w:jc w:val="right"/>
              <w:rPr>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G</m:t>
                    </m:r>
                    <m:ctrlPr>
                      <w:rPr>
                        <w:rFonts w:ascii="Cambria Math" w:hAnsi="Cambria Math"/>
                        <w:color w:val="000000" w:themeColor="text1"/>
                        <w:szCs w:val="18"/>
                        <w14:textFill>
                          <w14:solidFill>
                            <w14:schemeClr w14:val="tx1"/>
                          </w14:solidFill>
                        </w14:textFill>
                      </w:rPr>
                    </m:ctrlPr>
                  </m:e>
                  <m:sub>
                    <m:r>
                      <m:rPr/>
                      <w:rPr>
                        <w:rFonts w:ascii="Cambria Math" w:hAnsi="Cambria Math"/>
                        <w:color w:val="000000" w:themeColor="text1"/>
                        <w:szCs w:val="18"/>
                        <w14:textFill>
                          <w14:solidFill>
                            <w14:schemeClr w14:val="tx1"/>
                          </w14:solidFill>
                        </w14:textFill>
                      </w:rPr>
                      <m:t>i</m:t>
                    </m:r>
                    <m:r>
                      <m:rPr>
                        <m:sty m:val="p"/>
                      </m:rPr>
                      <w:rPr>
                        <w:rFonts w:ascii="Cambria Math" w:hAnsi="Cambria Math"/>
                        <w:color w:val="000000" w:themeColor="text1"/>
                        <w:szCs w:val="18"/>
                        <w14:textFill>
                          <w14:solidFill>
                            <w14:schemeClr w14:val="tx1"/>
                          </w14:solidFill>
                        </w14:textFill>
                      </w:rPr>
                      <m:t>k</m:t>
                    </m:r>
                    <m:ctrlPr>
                      <w:rPr>
                        <w:rFonts w:ascii="Cambria Math" w:hAnsi="Cambria Math"/>
                        <w:color w:val="000000" w:themeColor="text1"/>
                        <w:szCs w:val="18"/>
                        <w14:textFill>
                          <w14:solidFill>
                            <w14:schemeClr w14:val="tx1"/>
                          </w14:solidFill>
                        </w14:textFill>
                      </w:rPr>
                    </m:ctrlPr>
                  </m:sub>
                </m:sSub>
              </m:oMath>
            </m:oMathPara>
          </w:p>
        </w:tc>
        <w:tc>
          <w:tcPr>
            <w:tcW w:w="709" w:type="dxa"/>
            <w:vAlign w:val="center"/>
          </w:tcPr>
          <w:p w14:paraId="116617ED">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7335" w:type="dxa"/>
          </w:tcPr>
          <w:p w14:paraId="14B0ABE7">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第i个永久作用的标准值；</w:t>
            </w:r>
          </w:p>
        </w:tc>
      </w:tr>
      <w:tr w14:paraId="1AC48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4452F856">
            <w:pPr>
              <w:pStyle w:val="26"/>
              <w:ind w:firstLine="0" w:firstLineChars="0"/>
              <w:jc w:val="right"/>
              <w:rPr>
                <w:rFonts w:ascii="黑体" w:eastAsia="黑体"/>
                <w:color w:val="000000" w:themeColor="text1"/>
                <w:szCs w:val="18"/>
                <w14:textFill>
                  <w14:solidFill>
                    <w14:schemeClr w14:val="tx1"/>
                  </w14:solidFill>
                </w14:textFill>
              </w:rPr>
            </w:pPr>
          </w:p>
        </w:tc>
        <w:tc>
          <w:tcPr>
            <w:tcW w:w="709" w:type="dxa"/>
          </w:tcPr>
          <w:p w14:paraId="3E0DD502">
            <w:pPr>
              <w:pStyle w:val="26"/>
              <w:ind w:firstLine="0" w:firstLineChars="0"/>
              <w:jc w:val="right"/>
              <w:rPr>
                <w:rFonts w:ascii="Times New Roman"/>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γ</m:t>
                    </m:r>
                    <m:ctrlPr>
                      <w:rPr>
                        <w:rFonts w:ascii="Cambria Math" w:hAnsi="Cambria Math"/>
                        <w:color w:val="000000" w:themeColor="text1"/>
                        <w:szCs w:val="18"/>
                        <w14:textFill>
                          <w14:solidFill>
                            <w14:schemeClr w14:val="tx1"/>
                          </w14:solidFill>
                        </w14:textFill>
                      </w:rPr>
                    </m:ctrlPr>
                  </m:e>
                  <m:sub>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e>
                      <m:sub>
                        <m:r>
                          <m:rPr/>
                          <w:rPr>
                            <w:rFonts w:ascii="Cambria Math" w:hAnsi="Cambria Math"/>
                            <w:color w:val="000000" w:themeColor="text1"/>
                            <w:szCs w:val="18"/>
                            <w14:textFill>
                              <w14:solidFill>
                                <w14:schemeClr w14:val="tx1"/>
                              </w14:solidFill>
                            </w14:textFill>
                          </w:rPr>
                          <m:t>1</m:t>
                        </m:r>
                        <m:ctrlPr>
                          <w:rPr>
                            <w:rFonts w:ascii="Cambria Math" w:hAnsi="Cambria Math"/>
                            <w:color w:val="000000" w:themeColor="text1"/>
                            <w:szCs w:val="18"/>
                            <w14:textFill>
                              <w14:solidFill>
                                <w14:schemeClr w14:val="tx1"/>
                              </w14:solidFill>
                            </w14:textFill>
                          </w:rPr>
                        </m:ctrlPr>
                      </m:sub>
                    </m:sSub>
                    <m:ctrlPr>
                      <w:rPr>
                        <w:rFonts w:ascii="Cambria Math" w:hAnsi="Cambria Math"/>
                        <w:color w:val="000000" w:themeColor="text1"/>
                        <w:szCs w:val="18"/>
                        <w14:textFill>
                          <w14:solidFill>
                            <w14:schemeClr w14:val="tx1"/>
                          </w14:solidFill>
                        </w14:textFill>
                      </w:rPr>
                    </m:ctrlPr>
                  </m:sub>
                </m:sSub>
              </m:oMath>
            </m:oMathPara>
          </w:p>
        </w:tc>
        <w:tc>
          <w:tcPr>
            <w:tcW w:w="709" w:type="dxa"/>
          </w:tcPr>
          <w:p w14:paraId="33B1786E">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7335" w:type="dxa"/>
          </w:tcPr>
          <w:p w14:paraId="3A65F179">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设计水深的水重及槽内水压力的分项系数取</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γ</m:t>
                  </m:r>
                  <m:ctrlPr>
                    <w:rPr>
                      <w:rFonts w:ascii="Cambria Math" w:hAnsi="Cambria Math"/>
                      <w:color w:val="000000" w:themeColor="text1"/>
                      <w:szCs w:val="18"/>
                      <w14:textFill>
                        <w14:solidFill>
                          <w14:schemeClr w14:val="tx1"/>
                        </w14:solidFill>
                      </w14:textFill>
                    </w:rPr>
                  </m:ctrlPr>
                </m:e>
                <m:sub>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e>
                    <m:sub>
                      <m:r>
                        <m:rPr/>
                        <w:rPr>
                          <w:rFonts w:ascii="Cambria Math" w:hAnsi="Cambria Math"/>
                          <w:color w:val="000000" w:themeColor="text1"/>
                          <w:szCs w:val="18"/>
                          <w14:textFill>
                            <w14:solidFill>
                              <w14:schemeClr w14:val="tx1"/>
                            </w14:solidFill>
                          </w14:textFill>
                        </w:rPr>
                        <m:t>1</m:t>
                      </m:r>
                      <m:ctrlPr>
                        <w:rPr>
                          <w:rFonts w:ascii="Cambria Math" w:hAnsi="Cambria Math"/>
                          <w:color w:val="000000" w:themeColor="text1"/>
                          <w:szCs w:val="18"/>
                          <w14:textFill>
                            <w14:solidFill>
                              <w14:schemeClr w14:val="tx1"/>
                            </w14:solidFill>
                          </w14:textFill>
                        </w:rPr>
                      </m:ctrlPr>
                    </m:sub>
                  </m:sSub>
                  <m:ctrlPr>
                    <w:rPr>
                      <w:rFonts w:ascii="Cambria Math" w:hAnsi="Cambria Math"/>
                      <w:color w:val="000000" w:themeColor="text1"/>
                      <w:szCs w:val="18"/>
                      <w14:textFill>
                        <w14:solidFill>
                          <w14:schemeClr w14:val="tx1"/>
                        </w14:solidFill>
                      </w14:textFill>
                    </w:rPr>
                  </m:ctrlPr>
                </m:sub>
              </m:sSub>
            </m:oMath>
            <w:r>
              <w:rPr>
                <w:rFonts w:hint="eastAsia"/>
                <w:color w:val="000000" w:themeColor="text1"/>
                <w:szCs w:val="18"/>
                <w14:textFill>
                  <w14:solidFill>
                    <w14:schemeClr w14:val="tx1"/>
                  </w14:solidFill>
                </w14:textFill>
              </w:rPr>
              <w:t>=1.4</w:t>
            </w:r>
            <w:r>
              <w:rPr>
                <w:color w:val="000000" w:themeColor="text1"/>
                <w:szCs w:val="18"/>
                <w14:textFill>
                  <w14:solidFill>
                    <w14:schemeClr w14:val="tx1"/>
                  </w14:solidFill>
                </w14:textFill>
              </w:rPr>
              <w:t>~1.5</w:t>
            </w:r>
            <w:r>
              <w:rPr>
                <w:rFonts w:hint="eastAsia"/>
                <w:color w:val="000000" w:themeColor="text1"/>
                <w:szCs w:val="18"/>
                <w14:textFill>
                  <w14:solidFill>
                    <w14:schemeClr w14:val="tx1"/>
                  </w14:solidFill>
                </w14:textFill>
              </w:rPr>
              <w:t>，根据水重占比进行计算，但不应超过满槽水深计算的荷载；</w:t>
            </w:r>
            <w:r>
              <w:rPr>
                <w:color w:val="000000" w:themeColor="text1"/>
                <w:szCs w:val="18"/>
                <w14:textFill>
                  <w14:solidFill>
                    <w14:schemeClr w14:val="tx1"/>
                  </w14:solidFill>
                </w14:textFill>
              </w:rPr>
              <w:t xml:space="preserve"> </w:t>
            </w:r>
          </w:p>
        </w:tc>
      </w:tr>
      <w:tr w14:paraId="5B61B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78D9E078">
            <w:pPr>
              <w:pStyle w:val="26"/>
              <w:ind w:firstLine="0" w:firstLineChars="0"/>
              <w:jc w:val="right"/>
              <w:rPr>
                <w:rFonts w:hint="eastAsia" w:hAnsi="黑体"/>
                <w:color w:val="000000" w:themeColor="text1"/>
                <w:szCs w:val="18"/>
                <w14:textFill>
                  <w14:solidFill>
                    <w14:schemeClr w14:val="tx1"/>
                  </w14:solidFill>
                </w14:textFill>
              </w:rPr>
            </w:pPr>
          </w:p>
        </w:tc>
        <w:tc>
          <w:tcPr>
            <w:tcW w:w="709" w:type="dxa"/>
          </w:tcPr>
          <w:p w14:paraId="598562B0">
            <w:pPr>
              <w:pStyle w:val="26"/>
              <w:ind w:firstLine="0" w:firstLineChars="0"/>
              <w:jc w:val="right"/>
              <w:rPr>
                <w:rFonts w:ascii="Times New Roman"/>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e>
                  <m:sub>
                    <m:r>
                      <m:rPr/>
                      <w:rPr>
                        <w:rFonts w:ascii="Cambria Math" w:hAnsi="Cambria Math"/>
                        <w:color w:val="000000" w:themeColor="text1"/>
                        <w:szCs w:val="18"/>
                        <w14:textFill>
                          <w14:solidFill>
                            <w14:schemeClr w14:val="tx1"/>
                          </w14:solidFill>
                        </w14:textFill>
                      </w:rPr>
                      <m:t>1</m:t>
                    </m:r>
                    <m:r>
                      <m:rPr>
                        <m:sty m:val="p"/>
                      </m:rPr>
                      <w:rPr>
                        <w:rFonts w:ascii="Cambria Math" w:hAnsi="Cambria Math"/>
                        <w:color w:val="000000" w:themeColor="text1"/>
                        <w:szCs w:val="18"/>
                        <w14:textFill>
                          <w14:solidFill>
                            <w14:schemeClr w14:val="tx1"/>
                          </w14:solidFill>
                        </w14:textFill>
                      </w:rPr>
                      <m:t>k</m:t>
                    </m:r>
                    <m:ctrlPr>
                      <w:rPr>
                        <w:rFonts w:ascii="Cambria Math" w:hAnsi="Cambria Math"/>
                        <w:color w:val="000000" w:themeColor="text1"/>
                        <w:szCs w:val="18"/>
                        <w14:textFill>
                          <w14:solidFill>
                            <w14:schemeClr w14:val="tx1"/>
                          </w14:solidFill>
                        </w14:textFill>
                      </w:rPr>
                    </m:ctrlPr>
                  </m:sub>
                </m:sSub>
              </m:oMath>
            </m:oMathPara>
          </w:p>
        </w:tc>
        <w:tc>
          <w:tcPr>
            <w:tcW w:w="709" w:type="dxa"/>
          </w:tcPr>
          <w:p w14:paraId="6D27E6F5">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7335" w:type="dxa"/>
          </w:tcPr>
          <w:p w14:paraId="2ED429DC">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设计水深的水重及槽内水压力的标准值；</w:t>
            </w:r>
          </w:p>
        </w:tc>
      </w:tr>
      <w:tr w14:paraId="0324F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5C90E3C5">
            <w:pPr>
              <w:pStyle w:val="26"/>
              <w:ind w:firstLine="0" w:firstLineChars="0"/>
              <w:jc w:val="right"/>
              <w:rPr>
                <w:rFonts w:hint="eastAsia" w:hAnsi="黑体"/>
                <w:color w:val="000000" w:themeColor="text1"/>
                <w:szCs w:val="18"/>
                <w14:textFill>
                  <w14:solidFill>
                    <w14:schemeClr w14:val="tx1"/>
                  </w14:solidFill>
                </w14:textFill>
              </w:rPr>
            </w:pPr>
          </w:p>
        </w:tc>
        <w:tc>
          <w:tcPr>
            <w:tcW w:w="709" w:type="dxa"/>
          </w:tcPr>
          <w:p w14:paraId="3D7EEF5B">
            <w:pPr>
              <w:pStyle w:val="26"/>
              <w:ind w:firstLine="0" w:firstLineChars="0"/>
              <w:jc w:val="right"/>
              <w:rPr>
                <w:rFonts w:hint="eastAsia" w:hAnsi="黑体"/>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γ</m:t>
                    </m:r>
                    <m:ctrlPr>
                      <w:rPr>
                        <w:rFonts w:ascii="Cambria Math" w:hAnsi="Cambria Math"/>
                        <w:color w:val="000000" w:themeColor="text1"/>
                        <w:szCs w:val="18"/>
                        <w14:textFill>
                          <w14:solidFill>
                            <w14:schemeClr w14:val="tx1"/>
                          </w14:solidFill>
                        </w14:textFill>
                      </w:rPr>
                    </m:ctrlPr>
                  </m:e>
                  <m:sub>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e>
                      <m:sub>
                        <m:r>
                          <m:rPr/>
                          <w:rPr>
                            <w:rFonts w:ascii="Cambria Math" w:hAnsi="Cambria Math"/>
                            <w:color w:val="000000" w:themeColor="text1"/>
                            <w:szCs w:val="18"/>
                            <w14:textFill>
                              <w14:solidFill>
                                <w14:schemeClr w14:val="tx1"/>
                              </w14:solidFill>
                            </w14:textFill>
                          </w:rPr>
                          <m:t>j</m:t>
                        </m:r>
                        <m:ctrlPr>
                          <w:rPr>
                            <w:rFonts w:ascii="Cambria Math" w:hAnsi="Cambria Math"/>
                            <w:color w:val="000000" w:themeColor="text1"/>
                            <w:szCs w:val="18"/>
                            <w14:textFill>
                              <w14:solidFill>
                                <w14:schemeClr w14:val="tx1"/>
                              </w14:solidFill>
                            </w14:textFill>
                          </w:rPr>
                        </m:ctrlPr>
                      </m:sub>
                    </m:sSub>
                    <m:ctrlPr>
                      <w:rPr>
                        <w:rFonts w:ascii="Cambria Math" w:hAnsi="Cambria Math"/>
                        <w:color w:val="000000" w:themeColor="text1"/>
                        <w:szCs w:val="18"/>
                        <w14:textFill>
                          <w14:solidFill>
                            <w14:schemeClr w14:val="tx1"/>
                          </w14:solidFill>
                        </w14:textFill>
                      </w:rPr>
                    </m:ctrlPr>
                  </m:sub>
                </m:sSub>
              </m:oMath>
            </m:oMathPara>
          </w:p>
        </w:tc>
        <w:tc>
          <w:tcPr>
            <w:tcW w:w="709" w:type="dxa"/>
          </w:tcPr>
          <w:p w14:paraId="49B15A63">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7335" w:type="dxa"/>
          </w:tcPr>
          <w:p w14:paraId="33E56A1F">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在作用组合中除设计水深的水重及槽内水压力、风荷载外的其他第j个可变作用的分项系数，取</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γ</m:t>
                  </m:r>
                  <m:ctrlPr>
                    <w:rPr>
                      <w:rFonts w:ascii="Cambria Math" w:hAnsi="Cambria Math"/>
                      <w:color w:val="000000" w:themeColor="text1"/>
                      <w:szCs w:val="18"/>
                      <w14:textFill>
                        <w14:solidFill>
                          <w14:schemeClr w14:val="tx1"/>
                        </w14:solidFill>
                      </w14:textFill>
                    </w:rPr>
                  </m:ctrlPr>
                </m:e>
                <m:sub>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e>
                    <m:sub>
                      <m:r>
                        <m:rPr/>
                        <w:rPr>
                          <w:rFonts w:ascii="Cambria Math" w:hAnsi="Cambria Math"/>
                          <w:color w:val="000000" w:themeColor="text1"/>
                          <w:szCs w:val="18"/>
                          <w14:textFill>
                            <w14:solidFill>
                              <w14:schemeClr w14:val="tx1"/>
                            </w14:solidFill>
                          </w14:textFill>
                        </w:rPr>
                        <m:t>j</m:t>
                      </m:r>
                      <m:ctrlPr>
                        <w:rPr>
                          <w:rFonts w:ascii="Cambria Math" w:hAnsi="Cambria Math"/>
                          <w:color w:val="000000" w:themeColor="text1"/>
                          <w:szCs w:val="18"/>
                          <w14:textFill>
                            <w14:solidFill>
                              <w14:schemeClr w14:val="tx1"/>
                            </w14:solidFill>
                          </w14:textFill>
                        </w:rPr>
                      </m:ctrlPr>
                    </m:sub>
                  </m:sSub>
                  <m:ctrlPr>
                    <w:rPr>
                      <w:rFonts w:ascii="Cambria Math" w:hAnsi="Cambria Math"/>
                      <w:color w:val="000000" w:themeColor="text1"/>
                      <w:szCs w:val="18"/>
                      <w14:textFill>
                        <w14:solidFill>
                          <w14:schemeClr w14:val="tx1"/>
                        </w14:solidFill>
                      </w14:textFill>
                    </w:rPr>
                  </m:ctrlPr>
                </m:sub>
              </m:sSub>
              <m:r>
                <m:rPr/>
                <w:rPr>
                  <w:rFonts w:hint="eastAsia" w:ascii="Cambria Math" w:hAnsi="Cambria Math"/>
                  <w:color w:val="000000" w:themeColor="text1"/>
                  <w:szCs w:val="18"/>
                  <w14:textFill>
                    <w14:solidFill>
                      <w14:schemeClr w14:val="tx1"/>
                    </w14:solidFill>
                  </w14:textFill>
                </w:rPr>
                <m:t>=1.4</m:t>
              </m:r>
            </m:oMath>
            <w:r>
              <w:rPr>
                <w:rFonts w:hint="eastAsia"/>
                <w:color w:val="000000" w:themeColor="text1"/>
                <w:szCs w:val="18"/>
                <w14:textFill>
                  <w14:solidFill>
                    <w14:schemeClr w14:val="tx1"/>
                  </w14:solidFill>
                </w14:textFill>
              </w:rPr>
              <w:t>，但风荷载的分项系数取</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γ</m:t>
                  </m:r>
                  <m:ctrlPr>
                    <w:rPr>
                      <w:rFonts w:ascii="Cambria Math" w:hAnsi="Cambria Math"/>
                      <w:color w:val="000000" w:themeColor="text1"/>
                      <w:szCs w:val="18"/>
                      <w14:textFill>
                        <w14:solidFill>
                          <w14:schemeClr w14:val="tx1"/>
                        </w14:solidFill>
                      </w14:textFill>
                    </w:rPr>
                  </m:ctrlPr>
                </m:e>
                <m:sub>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e>
                    <m:sub>
                      <m:r>
                        <m:rPr/>
                        <w:rPr>
                          <w:rFonts w:ascii="Cambria Math" w:hAnsi="Cambria Math"/>
                          <w:color w:val="000000" w:themeColor="text1"/>
                          <w:szCs w:val="18"/>
                          <w14:textFill>
                            <w14:solidFill>
                              <w14:schemeClr w14:val="tx1"/>
                            </w14:solidFill>
                          </w14:textFill>
                        </w:rPr>
                        <m:t>j</m:t>
                      </m:r>
                      <m:ctrlPr>
                        <w:rPr>
                          <w:rFonts w:ascii="Cambria Math" w:hAnsi="Cambria Math"/>
                          <w:color w:val="000000" w:themeColor="text1"/>
                          <w:szCs w:val="18"/>
                          <w14:textFill>
                            <w14:solidFill>
                              <w14:schemeClr w14:val="tx1"/>
                            </w14:solidFill>
                          </w14:textFill>
                        </w:rPr>
                      </m:ctrlPr>
                    </m:sub>
                  </m:sSub>
                  <m:ctrlPr>
                    <w:rPr>
                      <w:rFonts w:ascii="Cambria Math" w:hAnsi="Cambria Math"/>
                      <w:color w:val="000000" w:themeColor="text1"/>
                      <w:szCs w:val="18"/>
                      <w14:textFill>
                        <w14:solidFill>
                          <w14:schemeClr w14:val="tx1"/>
                        </w14:solidFill>
                      </w14:textFill>
                    </w:rPr>
                  </m:ctrlPr>
                </m:sub>
              </m:sSub>
              <m:r>
                <m:rPr/>
                <w:rPr>
                  <w:rFonts w:hint="eastAsia" w:ascii="Cambria Math" w:hAnsi="Cambria Math"/>
                  <w:color w:val="000000" w:themeColor="text1"/>
                  <w:szCs w:val="18"/>
                  <w14:textFill>
                    <w14:solidFill>
                      <w14:schemeClr w14:val="tx1"/>
                    </w14:solidFill>
                  </w14:textFill>
                </w:rPr>
                <m:t>=1.1</m:t>
              </m:r>
            </m:oMath>
            <w:r>
              <w:rPr>
                <w:rFonts w:hint="eastAsia"/>
                <w:color w:val="000000" w:themeColor="text1"/>
                <w:szCs w:val="18"/>
                <w14:textFill>
                  <w14:solidFill>
                    <w14:schemeClr w14:val="tx1"/>
                  </w14:solidFill>
                </w14:textFill>
              </w:rPr>
              <w:t>；</w:t>
            </w:r>
          </w:p>
        </w:tc>
      </w:tr>
      <w:tr w14:paraId="49FB3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397B02BB">
            <w:pPr>
              <w:pStyle w:val="26"/>
              <w:ind w:firstLine="0" w:firstLineChars="0"/>
              <w:jc w:val="right"/>
              <w:rPr>
                <w:rFonts w:hint="eastAsia" w:hAnsi="黑体"/>
                <w:color w:val="000000" w:themeColor="text1"/>
                <w:szCs w:val="18"/>
                <w14:textFill>
                  <w14:solidFill>
                    <w14:schemeClr w14:val="tx1"/>
                  </w14:solidFill>
                </w14:textFill>
              </w:rPr>
            </w:pPr>
          </w:p>
        </w:tc>
        <w:tc>
          <w:tcPr>
            <w:tcW w:w="709" w:type="dxa"/>
          </w:tcPr>
          <w:p w14:paraId="3F249773">
            <w:pPr>
              <w:pStyle w:val="26"/>
              <w:ind w:firstLine="0" w:firstLineChars="0"/>
              <w:jc w:val="right"/>
              <w:rPr>
                <w:rFonts w:hint="eastAsia" w:hAnsi="黑体"/>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e>
                  <m:sub>
                    <m:r>
                      <m:rPr/>
                      <w:rPr>
                        <w:rFonts w:ascii="Cambria Math" w:hAnsi="Cambria Math"/>
                        <w:color w:val="000000" w:themeColor="text1"/>
                        <w:szCs w:val="18"/>
                        <w14:textFill>
                          <w14:solidFill>
                            <w14:schemeClr w14:val="tx1"/>
                          </w14:solidFill>
                        </w14:textFill>
                      </w:rPr>
                      <m:t>j</m:t>
                    </m:r>
                    <m:r>
                      <m:rPr>
                        <m:sty m:val="p"/>
                      </m:rPr>
                      <w:rPr>
                        <w:rFonts w:ascii="Cambria Math" w:hAnsi="Cambria Math"/>
                        <w:color w:val="000000" w:themeColor="text1"/>
                        <w:szCs w:val="18"/>
                        <w14:textFill>
                          <w14:solidFill>
                            <w14:schemeClr w14:val="tx1"/>
                          </w14:solidFill>
                        </w14:textFill>
                      </w:rPr>
                      <m:t>k</m:t>
                    </m:r>
                    <m:ctrlPr>
                      <w:rPr>
                        <w:rFonts w:ascii="Cambria Math" w:hAnsi="Cambria Math"/>
                        <w:color w:val="000000" w:themeColor="text1"/>
                        <w:szCs w:val="18"/>
                        <w14:textFill>
                          <w14:solidFill>
                            <w14:schemeClr w14:val="tx1"/>
                          </w14:solidFill>
                        </w14:textFill>
                      </w:rPr>
                    </m:ctrlPr>
                  </m:sub>
                </m:sSub>
              </m:oMath>
            </m:oMathPara>
          </w:p>
        </w:tc>
        <w:tc>
          <w:tcPr>
            <w:tcW w:w="709" w:type="dxa"/>
          </w:tcPr>
          <w:p w14:paraId="79D2F69C">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7335" w:type="dxa"/>
          </w:tcPr>
          <w:p w14:paraId="2D4BA4BA">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第j个变作用的标准值；</w:t>
            </w:r>
          </w:p>
        </w:tc>
      </w:tr>
      <w:tr w14:paraId="44DBE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17" w:type="dxa"/>
          </w:tcPr>
          <w:p w14:paraId="09FC27ED">
            <w:pPr>
              <w:pStyle w:val="26"/>
              <w:ind w:firstLine="0" w:firstLineChars="0"/>
              <w:jc w:val="right"/>
              <w:rPr>
                <w:rFonts w:hint="eastAsia" w:hAnsi="黑体"/>
                <w:color w:val="000000" w:themeColor="text1"/>
                <w:szCs w:val="18"/>
                <w14:textFill>
                  <w14:solidFill>
                    <w14:schemeClr w14:val="tx1"/>
                  </w14:solidFill>
                </w14:textFill>
              </w:rPr>
            </w:pPr>
          </w:p>
        </w:tc>
        <w:tc>
          <w:tcPr>
            <w:tcW w:w="709" w:type="dxa"/>
          </w:tcPr>
          <w:p w14:paraId="29945A2F">
            <w:pPr>
              <w:pStyle w:val="26"/>
              <w:ind w:firstLine="0" w:firstLineChars="0"/>
              <w:jc w:val="right"/>
              <w:rPr>
                <w:rFonts w:ascii="Times New Roman"/>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18"/>
                        <w14:textFill>
                          <w14:solidFill>
                            <w14:schemeClr w14:val="tx1"/>
                          </w14:solidFill>
                        </w14:textFill>
                      </w:rPr>
                      <m:t>c</m:t>
                    </m:r>
                    <m:ctrlPr>
                      <w:rPr>
                        <w:rFonts w:ascii="Cambria Math" w:hAnsi="Cambria Math"/>
                        <w:color w:val="000000" w:themeColor="text1"/>
                        <w:szCs w:val="18"/>
                        <w14:textFill>
                          <w14:solidFill>
                            <w14:schemeClr w14:val="tx1"/>
                          </w14:solidFill>
                        </w14:textFill>
                      </w:rPr>
                    </m:ctrlPr>
                  </m:sub>
                </m:sSub>
              </m:oMath>
            </m:oMathPara>
          </w:p>
        </w:tc>
        <w:tc>
          <w:tcPr>
            <w:tcW w:w="709" w:type="dxa"/>
          </w:tcPr>
          <w:p w14:paraId="3B54818F">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7335" w:type="dxa"/>
          </w:tcPr>
          <w:p w14:paraId="33FB258A">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在作用组合中除设计水深的水重及槽内水压力外的其他可变作用的组合值系数，取0.75。</w:t>
            </w:r>
          </w:p>
        </w:tc>
      </w:tr>
    </w:tbl>
    <w:p w14:paraId="30E3084F">
      <w:pPr>
        <w:pStyle w:val="147"/>
        <w:rPr>
          <w:color w:val="000000" w:themeColor="text1"/>
          <w14:textFill>
            <w14:solidFill>
              <w14:schemeClr w14:val="tx1"/>
            </w14:solidFill>
          </w14:textFill>
        </w:rPr>
      </w:pPr>
      <w:r>
        <w:rPr>
          <w:rFonts w:hint="eastAsia"/>
          <w:color w:val="000000" w:themeColor="text1"/>
          <w14:textFill>
            <w14:solidFill>
              <w14:schemeClr w14:val="tx1"/>
            </w14:solidFill>
          </w14:textFill>
        </w:rPr>
        <w:t>永久作用的分项系数</w:t>
      </w:r>
    </w:p>
    <w:tbl>
      <w:tblPr>
        <w:tblStyle w:val="36"/>
        <w:tblW w:w="8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3080"/>
        <w:gridCol w:w="2472"/>
        <w:gridCol w:w="2473"/>
      </w:tblGrid>
      <w:tr w14:paraId="04732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0" w:type="auto"/>
            <w:vMerge w:val="restart"/>
            <w:vAlign w:val="center"/>
          </w:tcPr>
          <w:p w14:paraId="0FB8A2C9">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序号</w:t>
            </w:r>
          </w:p>
        </w:tc>
        <w:tc>
          <w:tcPr>
            <w:tcW w:w="0" w:type="auto"/>
            <w:vMerge w:val="restart"/>
            <w:vAlign w:val="center"/>
          </w:tcPr>
          <w:p w14:paraId="3949A4C7">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作用类别</w:t>
            </w:r>
          </w:p>
        </w:tc>
        <w:tc>
          <w:tcPr>
            <w:tcW w:w="0" w:type="auto"/>
            <w:gridSpan w:val="2"/>
            <w:vAlign w:val="center"/>
          </w:tcPr>
          <w:p w14:paraId="59434321">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永久作用分项系数</w:t>
            </w:r>
          </w:p>
        </w:tc>
      </w:tr>
      <w:tr w14:paraId="2C67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0" w:type="auto"/>
            <w:vMerge w:val="continue"/>
            <w:vAlign w:val="center"/>
          </w:tcPr>
          <w:p w14:paraId="50598D32">
            <w:pPr>
              <w:widowControl/>
              <w:jc w:val="left"/>
              <w:rPr>
                <w:rFonts w:hint="eastAsia" w:ascii="宋体" w:hAnsi="宋体" w:cs="Courier New"/>
                <w:color w:val="000000" w:themeColor="text1"/>
                <w:kern w:val="0"/>
                <w:sz w:val="18"/>
                <w:szCs w:val="18"/>
                <w14:textFill>
                  <w14:solidFill>
                    <w14:schemeClr w14:val="tx1"/>
                  </w14:solidFill>
                </w14:textFill>
              </w:rPr>
            </w:pPr>
          </w:p>
        </w:tc>
        <w:tc>
          <w:tcPr>
            <w:tcW w:w="0" w:type="auto"/>
            <w:vMerge w:val="continue"/>
            <w:vAlign w:val="center"/>
          </w:tcPr>
          <w:p w14:paraId="168A9461">
            <w:pPr>
              <w:widowControl/>
              <w:jc w:val="left"/>
              <w:rPr>
                <w:rFonts w:hint="eastAsia" w:ascii="宋体" w:hAnsi="宋体" w:cs="Courier New"/>
                <w:color w:val="000000" w:themeColor="text1"/>
                <w:kern w:val="0"/>
                <w:sz w:val="18"/>
                <w:szCs w:val="18"/>
                <w14:textFill>
                  <w14:solidFill>
                    <w14:schemeClr w14:val="tx1"/>
                  </w14:solidFill>
                </w14:textFill>
              </w:rPr>
            </w:pPr>
          </w:p>
        </w:tc>
        <w:tc>
          <w:tcPr>
            <w:tcW w:w="0" w:type="auto"/>
            <w:vAlign w:val="center"/>
          </w:tcPr>
          <w:p w14:paraId="5D6AFF37">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对结构的承载能力不利时</w:t>
            </w:r>
          </w:p>
        </w:tc>
        <w:tc>
          <w:tcPr>
            <w:tcW w:w="0" w:type="auto"/>
            <w:vAlign w:val="center"/>
          </w:tcPr>
          <w:p w14:paraId="6CCDC0BD">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对结构的承载能力有利时</w:t>
            </w:r>
          </w:p>
        </w:tc>
      </w:tr>
      <w:tr w14:paraId="5CD70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0" w:type="auto"/>
            <w:noWrap/>
            <w:vAlign w:val="center"/>
          </w:tcPr>
          <w:p w14:paraId="2AB1F332">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0" w:type="auto"/>
            <w:vAlign w:val="center"/>
          </w:tcPr>
          <w:p w14:paraId="07CB9198">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钢结构重力(包括结构附加重力)</w:t>
            </w:r>
          </w:p>
        </w:tc>
        <w:tc>
          <w:tcPr>
            <w:tcW w:w="0" w:type="auto"/>
            <w:noWrap/>
            <w:vAlign w:val="center"/>
          </w:tcPr>
          <w:p w14:paraId="279D3230">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1.1</w:t>
            </w:r>
          </w:p>
        </w:tc>
        <w:tc>
          <w:tcPr>
            <w:tcW w:w="0" w:type="auto"/>
            <w:noWrap/>
            <w:vAlign w:val="center"/>
          </w:tcPr>
          <w:p w14:paraId="549B173B">
            <w:pPr>
              <w:widowControl/>
              <w:jc w:val="center"/>
              <w:rPr>
                <w:rFonts w:hint="eastAsia" w:ascii="宋体" w:hAnsi="宋体" w:cs="宋体"/>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1.0</w:t>
            </w:r>
          </w:p>
        </w:tc>
      </w:tr>
      <w:tr w14:paraId="00A6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0" w:type="auto"/>
            <w:vAlign w:val="center"/>
          </w:tcPr>
          <w:p w14:paraId="40B3EE77">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2</w:t>
            </w:r>
          </w:p>
        </w:tc>
        <w:tc>
          <w:tcPr>
            <w:tcW w:w="0" w:type="auto"/>
            <w:vAlign w:val="center"/>
          </w:tcPr>
          <w:p w14:paraId="51D01CAD">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预加力</w:t>
            </w:r>
          </w:p>
        </w:tc>
        <w:tc>
          <w:tcPr>
            <w:tcW w:w="0" w:type="auto"/>
            <w:vAlign w:val="center"/>
          </w:tcPr>
          <w:p w14:paraId="37E903B2">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1.2</w:t>
            </w:r>
          </w:p>
        </w:tc>
        <w:tc>
          <w:tcPr>
            <w:tcW w:w="0" w:type="auto"/>
            <w:vAlign w:val="center"/>
          </w:tcPr>
          <w:p w14:paraId="013F9E42">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1.0</w:t>
            </w:r>
          </w:p>
        </w:tc>
      </w:tr>
      <w:tr w14:paraId="3C7B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0" w:type="auto"/>
            <w:vAlign w:val="center"/>
          </w:tcPr>
          <w:p w14:paraId="08A23E49">
            <w:pPr>
              <w:widowControl/>
              <w:jc w:val="center"/>
              <w:rPr>
                <w:rFonts w:hint="eastAsia" w:ascii="宋体" w:hAnsi="宋体" w:cs="Courier New"/>
                <w:color w:val="000000" w:themeColor="text1"/>
                <w:kern w:val="0"/>
                <w:sz w:val="18"/>
                <w:szCs w:val="18"/>
                <w14:textFill>
                  <w14:solidFill>
                    <w14:schemeClr w14:val="tx1"/>
                  </w14:solidFill>
                </w14:textFill>
              </w:rPr>
            </w:pPr>
            <w:r>
              <w:rPr>
                <w:rFonts w:hint="eastAsia" w:ascii="宋体" w:hAnsi="宋体" w:cs="Courier New"/>
                <w:color w:val="000000" w:themeColor="text1"/>
                <w:kern w:val="0"/>
                <w:sz w:val="18"/>
                <w:szCs w:val="18"/>
                <w14:textFill>
                  <w14:solidFill>
                    <w14:schemeClr w14:val="tx1"/>
                  </w14:solidFill>
                </w14:textFill>
              </w:rPr>
              <w:t>3</w:t>
            </w:r>
          </w:p>
        </w:tc>
        <w:tc>
          <w:tcPr>
            <w:tcW w:w="0" w:type="auto"/>
            <w:vAlign w:val="center"/>
          </w:tcPr>
          <w:p w14:paraId="533C2845">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土压力</w:t>
            </w:r>
          </w:p>
        </w:tc>
        <w:tc>
          <w:tcPr>
            <w:tcW w:w="0" w:type="auto"/>
            <w:vAlign w:val="center"/>
          </w:tcPr>
          <w:p w14:paraId="45E1D048">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1.4</w:t>
            </w:r>
          </w:p>
        </w:tc>
        <w:tc>
          <w:tcPr>
            <w:tcW w:w="0" w:type="auto"/>
            <w:vAlign w:val="center"/>
          </w:tcPr>
          <w:p w14:paraId="0300459C">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1.0</w:t>
            </w:r>
          </w:p>
        </w:tc>
      </w:tr>
      <w:tr w14:paraId="2738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0" w:type="auto"/>
            <w:noWrap/>
            <w:vAlign w:val="center"/>
          </w:tcPr>
          <w:p w14:paraId="59C62589">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0" w:type="auto"/>
            <w:vAlign w:val="center"/>
          </w:tcPr>
          <w:p w14:paraId="219ACE91">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基础变位作用</w:t>
            </w:r>
          </w:p>
        </w:tc>
        <w:tc>
          <w:tcPr>
            <w:tcW w:w="0" w:type="auto"/>
            <w:vAlign w:val="center"/>
          </w:tcPr>
          <w:p w14:paraId="4AF34354">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1.0</w:t>
            </w:r>
          </w:p>
        </w:tc>
        <w:tc>
          <w:tcPr>
            <w:tcW w:w="0" w:type="auto"/>
            <w:vAlign w:val="center"/>
          </w:tcPr>
          <w:p w14:paraId="716ABF42">
            <w:pPr>
              <w:widowControl/>
              <w:jc w:val="center"/>
              <w:rPr>
                <w:rFonts w:hint="eastAsia" w:ascii="宋体" w:hAnsi="宋体" w:cs="Courier New"/>
                <w:color w:val="000000" w:themeColor="text1"/>
                <w:kern w:val="0"/>
                <w:sz w:val="18"/>
                <w:szCs w:val="18"/>
                <w14:textFill>
                  <w14:solidFill>
                    <w14:schemeClr w14:val="tx1"/>
                  </w14:solidFill>
                </w14:textFill>
              </w:rPr>
            </w:pPr>
            <w:r>
              <w:rPr>
                <w:rFonts w:ascii="宋体" w:hAnsi="宋体" w:cs="Courier New"/>
                <w:color w:val="000000" w:themeColor="text1"/>
                <w:kern w:val="0"/>
                <w:sz w:val="18"/>
                <w:szCs w:val="18"/>
                <w14:textFill>
                  <w14:solidFill>
                    <w14:schemeClr w14:val="tx1"/>
                  </w14:solidFill>
                </w14:textFill>
              </w:rPr>
              <w:t>1.0</w:t>
            </w:r>
          </w:p>
        </w:tc>
      </w:tr>
    </w:tbl>
    <w:p w14:paraId="553E93CF">
      <w:pPr>
        <w:pStyle w:val="26"/>
        <w:rPr>
          <w:color w:val="000000" w:themeColor="text1"/>
          <w14:textFill>
            <w14:solidFill>
              <w14:schemeClr w14:val="tx1"/>
            </w14:solidFill>
          </w14:textFill>
        </w:rPr>
      </w:pPr>
    </w:p>
    <w:p w14:paraId="6946CE74">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当作用与作用效应可按线性关系考虑时，作用基本组合的效应设计值</w:t>
      </w:r>
      <m:oMath>
        <m:sSub>
          <m:sSubPr>
            <m:ctrlPr>
              <w:rPr>
                <w:rFonts w:ascii="Cambria Math" w:hAnsi="Cambria Math"/>
                <w:color w:val="000000" w:themeColor="text1"/>
                <w14:textFill>
                  <w14:solidFill>
                    <w14:schemeClr w14:val="tx1"/>
                  </w14:solidFill>
                </w14:textFill>
              </w:rPr>
            </m:ctrlPr>
          </m:sSubPr>
          <m:e>
            <m:r>
              <m:rPr>
                <m:sty m:val="p"/>
              </m:rPr>
              <w:rPr>
                <w:rFonts w:ascii="Cambria Math" w:hAnsi="Cambria Math"/>
                <w:color w:val="000000" w:themeColor="text1"/>
                <w14:textFill>
                  <w14:solidFill>
                    <w14:schemeClr w14:val="tx1"/>
                  </w14:solidFill>
                </w14:textFill>
              </w:rPr>
              <m:t>S</m:t>
            </m:r>
            <m:ctrlPr>
              <w:rPr>
                <w:rFonts w:ascii="Cambria Math" w:hAnsi="Cambria Math"/>
                <w:color w:val="000000" w:themeColor="text1"/>
                <w14:textFill>
                  <w14:solidFill>
                    <w14:schemeClr w14:val="tx1"/>
                  </w14:solidFill>
                </w14:textFill>
              </w:rPr>
            </m:ctrlPr>
          </m:e>
          <m:sub>
            <m:r>
              <m:rPr>
                <m:sty m:val="p"/>
              </m:rPr>
              <w:rPr>
                <w:rFonts w:ascii="Cambria Math" w:hAnsi="Cambria Math"/>
                <w:color w:val="000000" w:themeColor="text1"/>
                <w14:textFill>
                  <w14:solidFill>
                    <w14:schemeClr w14:val="tx1"/>
                  </w14:solidFill>
                </w14:textFill>
              </w:rPr>
              <m:t>ud</m:t>
            </m:r>
            <m:ctrlPr>
              <w:rPr>
                <w:rFonts w:ascii="Cambria Math" w:hAnsi="Cambria Math"/>
                <w:color w:val="000000" w:themeColor="text1"/>
                <w14:textFill>
                  <w14:solidFill>
                    <w14:schemeClr w14:val="tx1"/>
                  </w14:solidFill>
                </w14:textFill>
              </w:rPr>
            </m:ctrlPr>
          </m:sub>
        </m:sSub>
      </m:oMath>
      <w:r>
        <w:rPr>
          <w:rFonts w:hint="eastAsia"/>
          <w:color w:val="000000" w:themeColor="text1"/>
          <w14:textFill>
            <w14:solidFill>
              <w14:schemeClr w14:val="tx1"/>
            </w14:solidFill>
          </w14:textFill>
        </w:rPr>
        <w:t>可通过作用效应代数相加计算。</w:t>
      </w:r>
    </w:p>
    <w:p w14:paraId="418433F9">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偶然组合: 永久作用标准值与可变作用某种代表值、一种偶然作用设计值相组合；与偶然作用同时出现的可变作用，可根据观测资料和工程经验取用频遇值或准永久值。</w:t>
      </w:r>
    </w:p>
    <w:p w14:paraId="3BB23A28">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作用偶然组合的效应设计值可按下式计算:</w:t>
      </w:r>
    </w:p>
    <w:p w14:paraId="0F20FAE2">
      <w:pPr>
        <w:pStyle w:val="26"/>
        <w:ind w:firstLine="0" w:firstLineChars="0"/>
        <w:jc w:val="right"/>
        <w:rPr>
          <w:iCs/>
          <w:color w:val="000000" w:themeColor="text1"/>
          <w14:textFill>
            <w14:solidFill>
              <w14:schemeClr w14:val="tx1"/>
            </w14:solidFill>
          </w14:textFill>
        </w:rPr>
      </w:pPr>
      <m:oMath>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S</m:t>
            </m:r>
            <m:ctrlPr>
              <w:rPr>
                <w:rFonts w:ascii="Cambria Math" w:hAnsi="Cambria Math"/>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ad</m:t>
            </m:r>
            <m:ctrlPr>
              <w:rPr>
                <w:rFonts w:ascii="Cambria Math" w:hAnsi="Cambria Math"/>
                <w:color w:val="000000" w:themeColor="text1"/>
                <w:sz w:val="24"/>
                <w:szCs w:val="24"/>
                <w14:textFill>
                  <w14:solidFill>
                    <w14:schemeClr w14:val="tx1"/>
                  </w14:solidFill>
                </w14:textFill>
              </w:rPr>
            </m:ctrlPr>
          </m:sub>
        </m:sSub>
        <m:r>
          <m:rPr/>
          <w:rPr>
            <w:rFonts w:ascii="Cambria Math" w:hAnsi="Cambria Math"/>
            <w:color w:val="000000" w:themeColor="text1"/>
            <w:sz w:val="24"/>
            <w:szCs w:val="24"/>
            <w14:textFill>
              <w14:solidFill>
                <w14:schemeClr w14:val="tx1"/>
              </w14:solidFill>
            </w14:textFill>
          </w:rPr>
          <m:t>=S(</m:t>
        </m:r>
        <m:nary>
          <m:naryPr>
            <m:chr m:val="∑"/>
            <m:grow m:val="1"/>
            <m:limLoc m:val="undOvr"/>
            <m:ctrlPr>
              <w:rPr>
                <w:rFonts w:ascii="Cambria Math" w:hAnsi="Cambria Math"/>
                <w:color w:val="000000" w:themeColor="text1"/>
                <w:sz w:val="24"/>
                <w:szCs w:val="24"/>
                <w14:textFill>
                  <w14:solidFill>
                    <w14:schemeClr w14:val="tx1"/>
                  </w14:solidFill>
                </w14:textFill>
              </w:rPr>
            </m:ctrlPr>
          </m:naryPr>
          <m:sub>
            <m:r>
              <m:rPr/>
              <w:rPr>
                <w:rFonts w:ascii="Cambria Math" w:hAnsi="Cambria Math"/>
                <w:color w:val="000000" w:themeColor="text1"/>
                <w:sz w:val="24"/>
                <w:szCs w:val="24"/>
                <w14:textFill>
                  <w14:solidFill>
                    <w14:schemeClr w14:val="tx1"/>
                  </w14:solidFill>
                </w14:textFill>
              </w:rPr>
              <m:t>i=1</m:t>
            </m:r>
            <m:ctrlPr>
              <w:rPr>
                <w:rFonts w:ascii="Cambria Math" w:hAnsi="Cambria Math"/>
                <w:color w:val="000000" w:themeColor="text1"/>
                <w:sz w:val="24"/>
                <w:szCs w:val="24"/>
                <w14:textFill>
                  <w14:solidFill>
                    <w14:schemeClr w14:val="tx1"/>
                  </w14:solidFill>
                </w14:textFill>
              </w:rPr>
            </m:ctrlPr>
          </m:sub>
          <m:sup>
            <m:r>
              <m:rPr/>
              <w:rPr>
                <w:rFonts w:ascii="Cambria Math" w:hAnsi="Cambria Math"/>
                <w:color w:val="000000" w:themeColor="text1"/>
                <w:sz w:val="24"/>
                <w:szCs w:val="24"/>
                <w14:textFill>
                  <w14:solidFill>
                    <w14:schemeClr w14:val="tx1"/>
                  </w14:solidFill>
                </w14:textFill>
              </w:rPr>
              <m:t>m</m:t>
            </m:r>
            <m:ctrlPr>
              <w:rPr>
                <w:rFonts w:ascii="Cambria Math" w:hAnsi="Cambria Math"/>
                <w:color w:val="000000" w:themeColor="text1"/>
                <w:sz w:val="24"/>
                <w:szCs w:val="24"/>
                <w14:textFill>
                  <w14:solidFill>
                    <w14:schemeClr w14:val="tx1"/>
                  </w14:solidFill>
                </w14:textFill>
              </w:rPr>
            </m:ctrlPr>
          </m:sup>
          <m:e>
            <m:r>
              <m:rPr/>
              <w:rPr>
                <w:rFonts w:ascii="Cambria Math" w:hAnsi="Cambria Math"/>
                <w:color w:val="000000" w:themeColor="text1"/>
                <w:sz w:val="24"/>
                <w:szCs w:val="24"/>
                <w14:textFill>
                  <w14:solidFill>
                    <w14:schemeClr w14:val="tx1"/>
                  </w14:solidFill>
                </w14:textFill>
              </w:rPr>
              <m:t> </m:t>
            </m:r>
            <m:ctrlPr>
              <w:rPr>
                <w:rFonts w:ascii="Cambria Math" w:hAnsi="Cambria Math"/>
                <w:color w:val="000000" w:themeColor="text1"/>
                <w:sz w:val="24"/>
                <w:szCs w:val="24"/>
                <w14:textFill>
                  <w14:solidFill>
                    <w14:schemeClr w14:val="tx1"/>
                  </w14:solidFill>
                </w14:textFill>
              </w:rPr>
            </m:ctrlPr>
          </m:e>
        </m:nary>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G</m:t>
            </m:r>
            <m:ctrlPr>
              <w:rPr>
                <w:rFonts w:ascii="Cambria Math" w:hAnsi="Cambria Math"/>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ik</m:t>
            </m:r>
            <m:ctrlPr>
              <w:rPr>
                <w:rFonts w:ascii="Cambria Math" w:hAnsi="Cambria Math"/>
                <w:color w:val="000000" w:themeColor="text1"/>
                <w:sz w:val="24"/>
                <w:szCs w:val="24"/>
                <w14:textFill>
                  <w14:solidFill>
                    <w14:schemeClr w14:val="tx1"/>
                  </w14:solidFill>
                </w14:textFill>
              </w:rPr>
            </m:ctrlPr>
          </m:sub>
        </m:sSub>
        <m:r>
          <m:rPr/>
          <w:rPr>
            <w:rFonts w:ascii="Cambria Math" w:hAnsi="Cambria Math"/>
            <w:color w:val="000000" w:themeColor="text1"/>
            <w:sz w:val="24"/>
            <w:szCs w:val="24"/>
            <w14:textFill>
              <w14:solidFill>
                <w14:schemeClr w14:val="tx1"/>
              </w14:solidFill>
            </w14:textFill>
          </w:rPr>
          <m:t>,</m:t>
        </m:r>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A</m:t>
            </m:r>
            <m:ctrlPr>
              <w:rPr>
                <w:rFonts w:ascii="Cambria Math" w:hAnsi="Cambria Math"/>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d</m:t>
            </m:r>
            <m:ctrlPr>
              <w:rPr>
                <w:rFonts w:ascii="Cambria Math" w:hAnsi="Cambria Math"/>
                <w:color w:val="000000" w:themeColor="text1"/>
                <w:sz w:val="24"/>
                <w:szCs w:val="24"/>
                <w14:textFill>
                  <w14:solidFill>
                    <w14:schemeClr w14:val="tx1"/>
                  </w14:solidFill>
                </w14:textFill>
              </w:rPr>
            </m:ctrlPr>
          </m:sub>
        </m:sSub>
        <m:r>
          <m:rPr/>
          <w:rPr>
            <w:rFonts w:ascii="Cambria Math" w:hAnsi="Cambria Math"/>
            <w:color w:val="000000" w:themeColor="text1"/>
            <w:sz w:val="24"/>
            <w:szCs w:val="24"/>
            <w14:textFill>
              <w14:solidFill>
                <w14:schemeClr w14:val="tx1"/>
              </w14:solidFill>
            </w14:textFill>
          </w:rPr>
          <m:t>,</m:t>
        </m:r>
        <m:d>
          <m:dPr>
            <m:ctrlPr>
              <w:rPr>
                <w:rFonts w:ascii="Cambria Math" w:hAnsi="Cambria Math"/>
                <w:i/>
                <w:color w:val="000000" w:themeColor="text1"/>
                <w:sz w:val="24"/>
                <w:szCs w:val="24"/>
                <w14:textFill>
                  <w14:solidFill>
                    <w14:schemeClr w14:val="tx1"/>
                  </w14:solidFill>
                </w14:textFill>
              </w:rPr>
            </m:ctrlPr>
          </m:dPr>
          <m:e>
            <m:sSub>
              <m:sSubPr>
                <m:ctrlPr>
                  <w:rPr>
                    <w:rFonts w:ascii="Cambria Math" w:hAnsi="Cambria Math"/>
                    <w:i/>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ψ</m:t>
                </m:r>
                <m:ctrlPr>
                  <w:rPr>
                    <w:rFonts w:ascii="Cambria Math" w:hAnsi="Cambria Math"/>
                    <w:i/>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f1</m:t>
                </m:r>
                <m:ctrlPr>
                  <w:rPr>
                    <w:rFonts w:ascii="Cambria Math" w:hAnsi="Cambria Math"/>
                    <w:i/>
                    <w:color w:val="000000" w:themeColor="text1"/>
                    <w:sz w:val="24"/>
                    <w:szCs w:val="24"/>
                    <w14:textFill>
                      <w14:solidFill>
                        <w14:schemeClr w14:val="tx1"/>
                      </w14:solidFill>
                    </w14:textFill>
                  </w:rPr>
                </m:ctrlPr>
              </m:sub>
            </m:sSub>
            <m:r>
              <m:rPr>
                <m:sty m:val="p"/>
              </m:rPr>
              <w:rPr>
                <w:rFonts w:hint="eastAsia" w:ascii="Cambria Math" w:hAnsi="Cambria Math"/>
                <w:color w:val="000000" w:themeColor="text1"/>
                <w:sz w:val="24"/>
                <w:szCs w:val="24"/>
                <w14:textFill>
                  <w14:solidFill>
                    <w14:schemeClr w14:val="tx1"/>
                  </w14:solidFill>
                </w14:textFill>
              </w:rPr>
              <m:t>或</m:t>
            </m:r>
            <m:sSub>
              <m:sSubPr>
                <m:ctrlPr>
                  <w:rPr>
                    <w:rFonts w:ascii="Cambria Math" w:hAnsi="Cambria Math"/>
                    <w:i/>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ψ</m:t>
                </m:r>
                <m:ctrlPr>
                  <w:rPr>
                    <w:rFonts w:ascii="Cambria Math" w:hAnsi="Cambria Math"/>
                    <w:i/>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q1</m:t>
                </m:r>
                <m:ctrlPr>
                  <w:rPr>
                    <w:rFonts w:ascii="Cambria Math" w:hAnsi="Cambria Math"/>
                    <w:i/>
                    <w:color w:val="000000" w:themeColor="text1"/>
                    <w:sz w:val="24"/>
                    <w:szCs w:val="24"/>
                    <w14:textFill>
                      <w14:solidFill>
                        <w14:schemeClr w14:val="tx1"/>
                      </w14:solidFill>
                    </w14:textFill>
                  </w:rPr>
                </m:ctrlPr>
              </m:sub>
            </m:sSub>
            <m:ctrlPr>
              <w:rPr>
                <w:rFonts w:ascii="Cambria Math" w:hAnsi="Cambria Math"/>
                <w:i/>
                <w:color w:val="000000" w:themeColor="text1"/>
                <w:sz w:val="24"/>
                <w:szCs w:val="24"/>
                <w14:textFill>
                  <w14:solidFill>
                    <w14:schemeClr w14:val="tx1"/>
                  </w14:solidFill>
                </w14:textFill>
              </w:rPr>
            </m:ctrlPr>
          </m:e>
        </m:d>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Q</m:t>
            </m:r>
            <m:ctrlPr>
              <w:rPr>
                <w:rFonts w:ascii="Cambria Math" w:hAnsi="Cambria Math"/>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1k</m:t>
            </m:r>
            <m:ctrlPr>
              <w:rPr>
                <w:rFonts w:ascii="Cambria Math" w:hAnsi="Cambria Math"/>
                <w:color w:val="000000" w:themeColor="text1"/>
                <w:sz w:val="24"/>
                <w:szCs w:val="24"/>
                <w14:textFill>
                  <w14:solidFill>
                    <w14:schemeClr w14:val="tx1"/>
                  </w14:solidFill>
                </w14:textFill>
              </w:rPr>
            </m:ctrlPr>
          </m:sub>
        </m:sSub>
        <m:r>
          <m:rPr/>
          <w:rPr>
            <w:rFonts w:ascii="Cambria Math" w:hAnsi="Cambria Math"/>
            <w:color w:val="000000" w:themeColor="text1"/>
            <w:sz w:val="24"/>
            <w:szCs w:val="24"/>
            <w14:textFill>
              <w14:solidFill>
                <w14:schemeClr w14:val="tx1"/>
              </w14:solidFill>
            </w14:textFill>
          </w:rPr>
          <m:t>,</m:t>
        </m:r>
        <m:nary>
          <m:naryPr>
            <m:chr m:val="∑"/>
            <m:limLoc m:val="undOvr"/>
            <m:ctrlPr>
              <w:rPr>
                <w:rFonts w:ascii="Cambria Math" w:hAnsi="Cambria Math"/>
                <w:i/>
                <w:color w:val="000000" w:themeColor="text1"/>
                <w:sz w:val="24"/>
                <w:szCs w:val="24"/>
                <w14:textFill>
                  <w14:solidFill>
                    <w14:schemeClr w14:val="tx1"/>
                  </w14:solidFill>
                </w14:textFill>
              </w:rPr>
            </m:ctrlPr>
          </m:naryPr>
          <m:sub>
            <m:r>
              <m:rPr/>
              <w:rPr>
                <w:rFonts w:ascii="Cambria Math" w:hAnsi="Cambria Math"/>
                <w:color w:val="000000" w:themeColor="text1"/>
                <w:sz w:val="24"/>
                <w:szCs w:val="24"/>
                <w14:textFill>
                  <w14:solidFill>
                    <w14:schemeClr w14:val="tx1"/>
                  </w14:solidFill>
                </w14:textFill>
              </w:rPr>
              <m:t>j=2</m:t>
            </m:r>
            <m:ctrlPr>
              <w:rPr>
                <w:rFonts w:ascii="Cambria Math" w:hAnsi="Cambria Math"/>
                <w:i/>
                <w:color w:val="000000" w:themeColor="text1"/>
                <w:sz w:val="24"/>
                <w:szCs w:val="24"/>
                <w14:textFill>
                  <w14:solidFill>
                    <w14:schemeClr w14:val="tx1"/>
                  </w14:solidFill>
                </w14:textFill>
              </w:rPr>
            </m:ctrlPr>
          </m:sub>
          <m:sup>
            <m:r>
              <m:rPr/>
              <w:rPr>
                <w:rFonts w:ascii="Cambria Math" w:hAnsi="Cambria Math"/>
                <w:color w:val="000000" w:themeColor="text1"/>
                <w:sz w:val="24"/>
                <w:szCs w:val="24"/>
                <w14:textFill>
                  <w14:solidFill>
                    <w14:schemeClr w14:val="tx1"/>
                  </w14:solidFill>
                </w14:textFill>
              </w:rPr>
              <m:t>n</m:t>
            </m:r>
            <m:ctrlPr>
              <w:rPr>
                <w:rFonts w:ascii="Cambria Math" w:hAnsi="Cambria Math"/>
                <w:i/>
                <w:color w:val="000000" w:themeColor="text1"/>
                <w:sz w:val="24"/>
                <w:szCs w:val="24"/>
                <w14:textFill>
                  <w14:solidFill>
                    <w14:schemeClr w14:val="tx1"/>
                  </w14:solidFill>
                </w14:textFill>
              </w:rPr>
            </m:ctrlPr>
          </m:sup>
          <m:e>
            <m:sSub>
              <m:sSubPr>
                <m:ctrlPr>
                  <w:rPr>
                    <w:rFonts w:ascii="Cambria Math" w:hAnsi="Cambria Math"/>
                    <w:color w:val="000000" w:themeColor="text1"/>
                    <w:sz w:val="24"/>
                    <w:szCs w:val="24"/>
                    <w14:textFill>
                      <w14:solidFill>
                        <w14:schemeClr w14:val="tx1"/>
                      </w14:solidFill>
                    </w14:textFill>
                  </w:rPr>
                </m:ctrlPr>
              </m:sSubPr>
              <m:e>
                <m:sSub>
                  <m:sSubPr>
                    <m:ctrlPr>
                      <w:rPr>
                        <w:rFonts w:ascii="Cambria Math" w:hAnsi="Cambria Math"/>
                        <w:i/>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ψ</m:t>
                    </m:r>
                    <m:ctrlPr>
                      <w:rPr>
                        <w:rFonts w:ascii="Cambria Math" w:hAnsi="Cambria Math"/>
                        <w:i/>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qj</m:t>
                    </m:r>
                    <m:ctrlPr>
                      <w:rPr>
                        <w:rFonts w:ascii="Cambria Math" w:hAnsi="Cambria Math"/>
                        <w:i/>
                        <w:color w:val="000000" w:themeColor="text1"/>
                        <w:sz w:val="24"/>
                        <w:szCs w:val="24"/>
                        <w14:textFill>
                          <w14:solidFill>
                            <w14:schemeClr w14:val="tx1"/>
                          </w14:solidFill>
                        </w14:textFill>
                      </w:rPr>
                    </m:ctrlPr>
                  </m:sub>
                </m:sSub>
                <m:r>
                  <m:rPr/>
                  <w:rPr>
                    <w:rFonts w:ascii="Cambria Math" w:hAnsi="Cambria Math"/>
                    <w:color w:val="000000" w:themeColor="text1"/>
                    <w:sz w:val="24"/>
                    <w:szCs w:val="24"/>
                    <w14:textFill>
                      <w14:solidFill>
                        <w14:schemeClr w14:val="tx1"/>
                      </w14:solidFill>
                    </w14:textFill>
                  </w:rPr>
                  <m:t>Q</m:t>
                </m:r>
                <m:ctrlPr>
                  <w:rPr>
                    <w:rFonts w:ascii="Cambria Math" w:hAnsi="Cambria Math"/>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jk</m:t>
                </m:r>
                <m:ctrlPr>
                  <w:rPr>
                    <w:rFonts w:ascii="Cambria Math" w:hAnsi="Cambria Math"/>
                    <w:color w:val="000000" w:themeColor="text1"/>
                    <w:sz w:val="24"/>
                    <w:szCs w:val="24"/>
                    <w14:textFill>
                      <w14:solidFill>
                        <w14:schemeClr w14:val="tx1"/>
                      </w14:solidFill>
                    </w14:textFill>
                  </w:rPr>
                </m:ctrlPr>
              </m:sub>
            </m:sSub>
            <m:ctrlPr>
              <w:rPr>
                <w:rFonts w:ascii="Cambria Math" w:hAnsi="Cambria Math"/>
                <w:i/>
                <w:color w:val="000000" w:themeColor="text1"/>
                <w:sz w:val="24"/>
                <w:szCs w:val="24"/>
                <w14:textFill>
                  <w14:solidFill>
                    <w14:schemeClr w14:val="tx1"/>
                  </w14:solidFill>
                </w14:textFill>
              </w:rPr>
            </m:ctrlPr>
          </m:e>
        </m:nary>
        <m:r>
          <m:rPr/>
          <w:rPr>
            <w:rFonts w:ascii="Cambria Math" w:hAnsi="Cambria Math"/>
            <w:color w:val="000000" w:themeColor="text1"/>
            <w:sz w:val="24"/>
            <w:szCs w:val="24"/>
            <w14:textFill>
              <w14:solidFill>
                <w14:schemeClr w14:val="tx1"/>
              </w14:solidFill>
            </w14:textFill>
          </w:rPr>
          <m:t>)</m:t>
        </m:r>
      </m:oMath>
      <w:r>
        <w:rPr>
          <w:iCs/>
          <w:color w:val="000000" w:themeColor="text1"/>
          <w14:textFill>
            <w14:solidFill>
              <w14:schemeClr w14:val="tx1"/>
            </w14:solidFill>
          </w14:textFill>
        </w:rPr>
        <w:t xml:space="preserve"> ……………………………</w:t>
      </w:r>
      <w:r>
        <w:rPr>
          <w:rFonts w:hint="eastAsia"/>
          <w:iCs/>
          <w:color w:val="000000" w:themeColor="text1"/>
          <w14:textFill>
            <w14:solidFill>
              <w14:schemeClr w14:val="tx1"/>
            </w14:solidFill>
          </w14:textFill>
        </w:rPr>
        <w:t>(3)</w:t>
      </w:r>
    </w:p>
    <w:tbl>
      <w:tblPr>
        <w:tblStyle w:val="3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8"/>
        <w:gridCol w:w="2332"/>
        <w:gridCol w:w="694"/>
        <w:gridCol w:w="5776"/>
      </w:tblGrid>
      <w:tr w14:paraId="2A309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 w:type="dxa"/>
          </w:tcPr>
          <w:p w14:paraId="519CBBBF">
            <w:pPr>
              <w:pStyle w:val="26"/>
              <w:ind w:firstLine="0" w:firstLineChars="0"/>
              <w:rPr>
                <w:color w:val="000000" w:themeColor="text1"/>
                <w:szCs w:val="18"/>
                <w14:textFill>
                  <w14:solidFill>
                    <w14:schemeClr w14:val="tx1"/>
                  </w14:solidFill>
                </w14:textFill>
              </w:rPr>
            </w:pPr>
            <w:r>
              <w:rPr>
                <w:rFonts w:hint="eastAsia"/>
                <w:color w:val="000000" w:themeColor="text1"/>
                <w:szCs w:val="20"/>
                <w14:textFill>
                  <w14:solidFill>
                    <w14:schemeClr w14:val="tx1"/>
                  </w14:solidFill>
                </w14:textFill>
              </w:rPr>
              <w:t>式中：</w:t>
            </w:r>
          </w:p>
        </w:tc>
        <w:tc>
          <w:tcPr>
            <w:tcW w:w="2332" w:type="dxa"/>
          </w:tcPr>
          <w:p w14:paraId="2BDE73DF">
            <w:pPr>
              <w:pStyle w:val="26"/>
              <w:ind w:firstLine="0" w:firstLineChars="0"/>
              <w:rPr>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S</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18"/>
                        <w14:textFill>
                          <w14:solidFill>
                            <w14:schemeClr w14:val="tx1"/>
                          </w14:solidFill>
                        </w14:textFill>
                      </w:rPr>
                      <m:t>ad</m:t>
                    </m:r>
                    <m:ctrlPr>
                      <w:rPr>
                        <w:rFonts w:ascii="Cambria Math" w:hAnsi="Cambria Math"/>
                        <w:color w:val="000000" w:themeColor="text1"/>
                        <w:szCs w:val="18"/>
                        <w14:textFill>
                          <w14:solidFill>
                            <w14:schemeClr w14:val="tx1"/>
                          </w14:solidFill>
                        </w14:textFill>
                      </w:rPr>
                    </m:ctrlPr>
                  </m:sub>
                </m:sSub>
              </m:oMath>
            </m:oMathPara>
          </w:p>
        </w:tc>
        <w:tc>
          <w:tcPr>
            <w:tcW w:w="694" w:type="dxa"/>
            <w:vAlign w:val="center"/>
          </w:tcPr>
          <w:p w14:paraId="100FFA3F">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5776" w:type="dxa"/>
          </w:tcPr>
          <w:p w14:paraId="4FFFFA42">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承载能力极限状态下作用偶然组合的效应设计值；</w:t>
            </w:r>
          </w:p>
        </w:tc>
      </w:tr>
      <w:tr w14:paraId="2B3AE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 w:type="dxa"/>
          </w:tcPr>
          <w:p w14:paraId="71767C83">
            <w:pPr>
              <w:pStyle w:val="26"/>
              <w:ind w:firstLine="0" w:firstLineChars="0"/>
              <w:jc w:val="right"/>
              <w:rPr>
                <w:rFonts w:hint="eastAsia" w:ascii="黑体" w:hAnsi="黑体" w:eastAsia="黑体"/>
                <w:color w:val="000000" w:themeColor="text1"/>
                <w:szCs w:val="18"/>
                <w14:textFill>
                  <w14:solidFill>
                    <w14:schemeClr w14:val="tx1"/>
                  </w14:solidFill>
                </w14:textFill>
              </w:rPr>
            </w:pPr>
          </w:p>
        </w:tc>
        <w:tc>
          <w:tcPr>
            <w:tcW w:w="2332" w:type="dxa"/>
          </w:tcPr>
          <w:p w14:paraId="25602736">
            <w:pPr>
              <w:pStyle w:val="26"/>
              <w:ind w:firstLine="0" w:firstLineChars="0"/>
              <w:jc w:val="right"/>
              <w:rPr>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A</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18"/>
                        <w14:textFill>
                          <w14:solidFill>
                            <w14:schemeClr w14:val="tx1"/>
                          </w14:solidFill>
                        </w14:textFill>
                      </w:rPr>
                      <m:t>d</m:t>
                    </m:r>
                    <m:ctrlPr>
                      <w:rPr>
                        <w:rFonts w:ascii="Cambria Math" w:hAnsi="Cambria Math"/>
                        <w:color w:val="000000" w:themeColor="text1"/>
                        <w:szCs w:val="18"/>
                        <w14:textFill>
                          <w14:solidFill>
                            <w14:schemeClr w14:val="tx1"/>
                          </w14:solidFill>
                        </w14:textFill>
                      </w:rPr>
                    </m:ctrlPr>
                  </m:sub>
                </m:sSub>
              </m:oMath>
            </m:oMathPara>
          </w:p>
        </w:tc>
        <w:tc>
          <w:tcPr>
            <w:tcW w:w="694" w:type="dxa"/>
          </w:tcPr>
          <w:p w14:paraId="74CCFDF5">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5776" w:type="dxa"/>
          </w:tcPr>
          <w:p w14:paraId="77379ACF">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偶然作用的设计值；</w:t>
            </w:r>
          </w:p>
        </w:tc>
      </w:tr>
      <w:tr w14:paraId="0ABCF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 w:type="dxa"/>
          </w:tcPr>
          <w:p w14:paraId="627C0B1C">
            <w:pPr>
              <w:pStyle w:val="26"/>
              <w:ind w:firstLine="0" w:firstLineChars="0"/>
              <w:jc w:val="right"/>
              <w:rPr>
                <w:rFonts w:ascii="Times New Roman"/>
                <w:color w:val="000000" w:themeColor="text1"/>
                <w:sz w:val="24"/>
                <w:szCs w:val="24"/>
                <w14:textFill>
                  <w14:solidFill>
                    <w14:schemeClr w14:val="tx1"/>
                  </w14:solidFill>
                </w14:textFill>
              </w:rPr>
            </w:pPr>
          </w:p>
        </w:tc>
        <w:tc>
          <w:tcPr>
            <w:tcW w:w="2332" w:type="dxa"/>
          </w:tcPr>
          <w:p w14:paraId="0E888F4F">
            <w:pPr>
              <w:pStyle w:val="26"/>
              <w:ind w:firstLine="0" w:firstLineChars="0"/>
              <w:jc w:val="right"/>
              <w:rPr>
                <w:color w:val="000000" w:themeColor="text1"/>
                <w:szCs w:val="18"/>
                <w14:textFill>
                  <w14:solidFill>
                    <w14:schemeClr w14:val="tx1"/>
                  </w14:solidFill>
                </w14:textFill>
              </w:rPr>
            </w:pPr>
            <m:oMathPara>
              <m:oMathParaPr>
                <m:jc m:val="right"/>
              </m:oMathParaPr>
              <m:oMath>
                <m:sSub>
                  <m:sSubPr>
                    <m:ctrlPr>
                      <w:rPr>
                        <w:rFonts w:ascii="Cambria Math" w:hAnsi="Cambria Math"/>
                        <w:i/>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ψ</m:t>
                    </m:r>
                    <m:ctrlPr>
                      <w:rPr>
                        <w:rFonts w:ascii="Cambria Math" w:hAnsi="Cambria Math"/>
                        <w:i/>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f1</m:t>
                    </m:r>
                    <m:ctrlPr>
                      <w:rPr>
                        <w:rFonts w:ascii="Cambria Math" w:hAnsi="Cambria Math"/>
                        <w:i/>
                        <w:color w:val="000000" w:themeColor="text1"/>
                        <w:sz w:val="24"/>
                        <w:szCs w:val="24"/>
                        <w14:textFill>
                          <w14:solidFill>
                            <w14:schemeClr w14:val="tx1"/>
                          </w14:solidFill>
                        </w14:textFill>
                      </w:rPr>
                    </m:ctrlPr>
                  </m:sub>
                </m:sSub>
              </m:oMath>
            </m:oMathPara>
          </w:p>
        </w:tc>
        <w:tc>
          <w:tcPr>
            <w:tcW w:w="694" w:type="dxa"/>
          </w:tcPr>
          <w:p w14:paraId="27EE7FCD">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5776" w:type="dxa"/>
          </w:tcPr>
          <w:p w14:paraId="03A9947F">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汽车荷载(含汽车冲击力、离心力)的频遇值系数，取</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18"/>
                      <w14:textFill>
                        <w14:solidFill>
                          <w14:schemeClr w14:val="tx1"/>
                        </w14:solidFill>
                      </w14:textFill>
                    </w:rPr>
                    <m:t>f</m:t>
                  </m:r>
                  <m:r>
                    <m:rPr>
                      <m:sty m:val="p"/>
                    </m:rPr>
                    <w:rPr>
                      <w:rFonts w:hint="eastAsia" w:ascii="Cambria Math" w:hAnsi="Cambria Math"/>
                      <w:color w:val="000000" w:themeColor="text1"/>
                      <w:szCs w:val="18"/>
                      <w14:textFill>
                        <w14:solidFill>
                          <w14:schemeClr w14:val="tx1"/>
                        </w14:solidFill>
                      </w14:textFill>
                    </w:rPr>
                    <m:t>1</m:t>
                  </m:r>
                  <m:ctrlPr>
                    <w:rPr>
                      <w:rFonts w:ascii="Cambria Math" w:hAnsi="Cambria Math"/>
                      <w:color w:val="000000" w:themeColor="text1"/>
                      <w:szCs w:val="18"/>
                      <w14:textFill>
                        <w14:solidFill>
                          <w14:schemeClr w14:val="tx1"/>
                        </w14:solidFill>
                      </w14:textFill>
                    </w:rPr>
                  </m:ctrlPr>
                </m:sub>
              </m:sSub>
              <m:r>
                <m:rPr/>
                <w:rPr>
                  <w:rFonts w:hint="eastAsia" w:ascii="Cambria Math" w:hAnsi="Cambria Math"/>
                  <w:color w:val="000000" w:themeColor="text1"/>
                  <w:szCs w:val="18"/>
                  <w14:textFill>
                    <w14:solidFill>
                      <w14:schemeClr w14:val="tx1"/>
                    </w14:solidFill>
                  </w14:textFill>
                </w:rPr>
                <m:t>=0.7</m:t>
              </m:r>
            </m:oMath>
            <w:r>
              <w:rPr>
                <w:rFonts w:hint="eastAsia"/>
                <w:color w:val="000000" w:themeColor="text1"/>
                <w:szCs w:val="18"/>
                <w14:textFill>
                  <w14:solidFill>
                    <w14:schemeClr w14:val="tx1"/>
                  </w14:solidFill>
                </w14:textFill>
              </w:rPr>
              <w:t>；当某个可变作用在组合中其效应值超过汽车荷载效应时，则该作用取代汽车荷载，人群荷载</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18"/>
                      <w14:textFill>
                        <w14:solidFill>
                          <w14:schemeClr w14:val="tx1"/>
                        </w14:solidFill>
                      </w14:textFill>
                    </w:rPr>
                    <m:t>f</m:t>
                  </m:r>
                  <m:ctrlPr>
                    <w:rPr>
                      <w:rFonts w:ascii="Cambria Math" w:hAnsi="Cambria Math"/>
                      <w:color w:val="000000" w:themeColor="text1"/>
                      <w:szCs w:val="18"/>
                      <w14:textFill>
                        <w14:solidFill>
                          <w14:schemeClr w14:val="tx1"/>
                        </w14:solidFill>
                      </w14:textFill>
                    </w:rPr>
                  </m:ctrlPr>
                </m:sub>
              </m:sSub>
              <m:r>
                <m:rPr/>
                <w:rPr>
                  <w:rFonts w:hint="eastAsia" w:ascii="Cambria Math" w:hAnsi="Cambria Math"/>
                  <w:color w:val="000000" w:themeColor="text1"/>
                  <w:szCs w:val="18"/>
                  <w14:textFill>
                    <w14:solidFill>
                      <w14:schemeClr w14:val="tx1"/>
                    </w14:solidFill>
                  </w14:textFill>
                </w:rPr>
                <m:t>=1.0</m:t>
              </m:r>
            </m:oMath>
            <w:r>
              <w:rPr>
                <w:rFonts w:hint="eastAsia"/>
                <w:color w:val="000000" w:themeColor="text1"/>
                <w:szCs w:val="18"/>
                <w14:textFill>
                  <w14:solidFill>
                    <w14:schemeClr w14:val="tx1"/>
                  </w14:solidFill>
                </w14:textFill>
              </w:rPr>
              <w:t>，风荷载</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18"/>
                      <w14:textFill>
                        <w14:solidFill>
                          <w14:schemeClr w14:val="tx1"/>
                        </w14:solidFill>
                      </w14:textFill>
                    </w:rPr>
                    <m:t>f</m:t>
                  </m:r>
                  <m:ctrlPr>
                    <w:rPr>
                      <w:rFonts w:ascii="Cambria Math" w:hAnsi="Cambria Math"/>
                      <w:color w:val="000000" w:themeColor="text1"/>
                      <w:szCs w:val="18"/>
                      <w14:textFill>
                        <w14:solidFill>
                          <w14:schemeClr w14:val="tx1"/>
                        </w14:solidFill>
                      </w14:textFill>
                    </w:rPr>
                  </m:ctrlPr>
                </m:sub>
              </m:sSub>
              <m:r>
                <m:rPr/>
                <w:rPr>
                  <w:rFonts w:hint="eastAsia" w:ascii="Cambria Math" w:hAnsi="Cambria Math"/>
                  <w:color w:val="000000" w:themeColor="text1"/>
                  <w:szCs w:val="18"/>
                  <w14:textFill>
                    <w14:solidFill>
                      <w14:schemeClr w14:val="tx1"/>
                    </w14:solidFill>
                  </w14:textFill>
                </w:rPr>
                <m:t>=0.75</m:t>
              </m:r>
            </m:oMath>
            <w:r>
              <w:rPr>
                <w:rFonts w:hint="eastAsia"/>
                <w:color w:val="000000" w:themeColor="text1"/>
                <w:szCs w:val="18"/>
                <w14:textFill>
                  <w14:solidFill>
                    <w14:schemeClr w14:val="tx1"/>
                  </w14:solidFill>
                </w14:textFill>
              </w:rPr>
              <w:t>，温度梯度作用</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18"/>
                      <w14:textFill>
                        <w14:solidFill>
                          <w14:schemeClr w14:val="tx1"/>
                        </w14:solidFill>
                      </w14:textFill>
                    </w:rPr>
                    <m:t>f</m:t>
                  </m:r>
                  <m:ctrlPr>
                    <w:rPr>
                      <w:rFonts w:ascii="Cambria Math" w:hAnsi="Cambria Math"/>
                      <w:color w:val="000000" w:themeColor="text1"/>
                      <w:szCs w:val="18"/>
                      <w14:textFill>
                        <w14:solidFill>
                          <w14:schemeClr w14:val="tx1"/>
                        </w14:solidFill>
                      </w14:textFill>
                    </w:rPr>
                  </m:ctrlPr>
                </m:sub>
              </m:sSub>
              <m:r>
                <m:rPr/>
                <w:rPr>
                  <w:rFonts w:hint="eastAsia" w:ascii="Cambria Math" w:hAnsi="Cambria Math"/>
                  <w:color w:val="000000" w:themeColor="text1"/>
                  <w:szCs w:val="18"/>
                  <w14:textFill>
                    <w14:solidFill>
                      <w14:schemeClr w14:val="tx1"/>
                    </w14:solidFill>
                  </w14:textFill>
                </w:rPr>
                <m:t>=0.8</m:t>
              </m:r>
            </m:oMath>
            <w:r>
              <w:rPr>
                <w:rFonts w:hint="eastAsia"/>
                <w:color w:val="000000" w:themeColor="text1"/>
                <w:szCs w:val="18"/>
                <w14:textFill>
                  <w14:solidFill>
                    <w14:schemeClr w14:val="tx1"/>
                  </w14:solidFill>
                </w14:textFill>
              </w:rPr>
              <w:t>，其他作用</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18"/>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18"/>
                      <w14:textFill>
                        <w14:solidFill>
                          <w14:schemeClr w14:val="tx1"/>
                        </w14:solidFill>
                      </w14:textFill>
                    </w:rPr>
                    <m:t>f</m:t>
                  </m:r>
                  <m:ctrlPr>
                    <w:rPr>
                      <w:rFonts w:ascii="Cambria Math" w:hAnsi="Cambria Math"/>
                      <w:color w:val="000000" w:themeColor="text1"/>
                      <w:szCs w:val="18"/>
                      <w14:textFill>
                        <w14:solidFill>
                          <w14:schemeClr w14:val="tx1"/>
                        </w14:solidFill>
                      </w14:textFill>
                    </w:rPr>
                  </m:ctrlPr>
                </m:sub>
              </m:sSub>
              <m:r>
                <m:rPr/>
                <w:rPr>
                  <w:rFonts w:hint="eastAsia" w:ascii="Cambria Math" w:hAnsi="Cambria Math"/>
                  <w:color w:val="000000" w:themeColor="text1"/>
                  <w:szCs w:val="18"/>
                  <w14:textFill>
                    <w14:solidFill>
                      <w14:schemeClr w14:val="tx1"/>
                    </w14:solidFill>
                  </w14:textFill>
                </w:rPr>
                <m:t>=1.0</m:t>
              </m:r>
            </m:oMath>
            <w:r>
              <w:rPr>
                <w:rFonts w:hint="eastAsia"/>
                <w:color w:val="000000" w:themeColor="text1"/>
                <w:szCs w:val="18"/>
                <w14:textFill>
                  <w14:solidFill>
                    <w14:schemeClr w14:val="tx1"/>
                  </w14:solidFill>
                </w14:textFill>
              </w:rPr>
              <w:t>；</w:t>
            </w:r>
          </w:p>
        </w:tc>
      </w:tr>
      <w:tr w14:paraId="10091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 w:type="dxa"/>
          </w:tcPr>
          <w:p w14:paraId="18A9344D">
            <w:pPr>
              <w:pStyle w:val="26"/>
              <w:ind w:firstLine="0" w:firstLineChars="0"/>
              <w:jc w:val="right"/>
              <w:rPr>
                <w:rFonts w:ascii="黑体" w:eastAsia="黑体"/>
                <w:color w:val="000000" w:themeColor="text1"/>
                <w:szCs w:val="18"/>
                <w14:textFill>
                  <w14:solidFill>
                    <w14:schemeClr w14:val="tx1"/>
                  </w14:solidFill>
                </w14:textFill>
              </w:rPr>
            </w:pPr>
          </w:p>
        </w:tc>
        <w:tc>
          <w:tcPr>
            <w:tcW w:w="2332" w:type="dxa"/>
            <w:vAlign w:val="center"/>
          </w:tcPr>
          <w:p w14:paraId="2B26CC94">
            <w:pPr>
              <w:pStyle w:val="26"/>
              <w:ind w:firstLine="0" w:firstLineChars="0"/>
              <w:jc w:val="right"/>
              <w:rPr>
                <w:color w:val="000000" w:themeColor="text1"/>
                <w:szCs w:val="18"/>
                <w14:textFill>
                  <w14:solidFill>
                    <w14:schemeClr w14:val="tx1"/>
                  </w14:solidFill>
                </w14:textFill>
              </w:rPr>
            </w:pPr>
            <m:oMathPara>
              <m:oMathParaPr>
                <m:jc m:val="right"/>
              </m:oMathParaP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20"/>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20"/>
                        <w14:textFill>
                          <w14:solidFill>
                            <w14:schemeClr w14:val="tx1"/>
                          </w14:solidFill>
                        </w14:textFill>
                      </w:rPr>
                      <m:t>f1</m:t>
                    </m:r>
                    <m:ctrlPr>
                      <w:rPr>
                        <w:rFonts w:ascii="Cambria Math" w:hAnsi="Cambria Math"/>
                        <w:color w:val="000000" w:themeColor="text1"/>
                        <w:szCs w:val="18"/>
                        <w14:textFill>
                          <w14:solidFill>
                            <w14:schemeClr w14:val="tx1"/>
                          </w14:solidFill>
                        </w14:textFill>
                      </w:rPr>
                    </m:ctrlPr>
                  </m:sub>
                </m:sSub>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20"/>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20"/>
                        <w14:textFill>
                          <w14:solidFill>
                            <w14:schemeClr w14:val="tx1"/>
                          </w14:solidFill>
                        </w14:textFill>
                      </w:rPr>
                      <m:t>1k</m:t>
                    </m:r>
                    <m:ctrlPr>
                      <w:rPr>
                        <w:rFonts w:ascii="Cambria Math" w:hAnsi="Cambria Math"/>
                        <w:color w:val="000000" w:themeColor="text1"/>
                        <w:szCs w:val="18"/>
                        <w14:textFill>
                          <w14:solidFill>
                            <w14:schemeClr w14:val="tx1"/>
                          </w14:solidFill>
                        </w14:textFill>
                      </w:rPr>
                    </m:ctrlPr>
                  </m:sub>
                </m:sSub>
              </m:oMath>
            </m:oMathPara>
          </w:p>
        </w:tc>
        <w:tc>
          <w:tcPr>
            <w:tcW w:w="694" w:type="dxa"/>
            <w:vAlign w:val="center"/>
          </w:tcPr>
          <w:p w14:paraId="0A830D5B">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5776" w:type="dxa"/>
          </w:tcPr>
          <w:p w14:paraId="60A40963">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汽车荷载的频遇值；</w:t>
            </w:r>
          </w:p>
        </w:tc>
      </w:tr>
      <w:tr w14:paraId="536B1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 w:type="dxa"/>
          </w:tcPr>
          <w:p w14:paraId="2376C513">
            <w:pPr>
              <w:pStyle w:val="26"/>
              <w:ind w:firstLine="0" w:firstLineChars="0"/>
              <w:jc w:val="right"/>
              <w:rPr>
                <w:rFonts w:ascii="黑体" w:eastAsia="黑体"/>
                <w:color w:val="000000" w:themeColor="text1"/>
                <w:szCs w:val="18"/>
                <w14:textFill>
                  <w14:solidFill>
                    <w14:schemeClr w14:val="tx1"/>
                  </w14:solidFill>
                </w14:textFill>
              </w:rPr>
            </w:pPr>
          </w:p>
        </w:tc>
        <w:tc>
          <w:tcPr>
            <w:tcW w:w="2332" w:type="dxa"/>
          </w:tcPr>
          <w:p w14:paraId="64795155">
            <w:pPr>
              <w:pStyle w:val="26"/>
              <w:ind w:firstLine="0" w:firstLineChars="0"/>
              <w:jc w:val="right"/>
              <w:rPr>
                <w:rFonts w:ascii="Times New Roman"/>
                <w:color w:val="000000" w:themeColor="text1"/>
                <w:szCs w:val="18"/>
                <w14:textFill>
                  <w14:solidFill>
                    <w14:schemeClr w14:val="tx1"/>
                  </w14:solidFill>
                </w14:textFill>
              </w:rPr>
            </w:pPr>
            <m:oMathPara>
              <m:oMathParaPr>
                <m:jc m:val="right"/>
              </m:oMathParaPr>
              <m:oMath>
                <m:r>
                  <m:rPr/>
                  <w:rPr>
                    <w:rFonts w:ascii="Cambria Math" w:hAnsi="Cambria Math"/>
                    <w:color w:val="000000" w:themeColor="text1"/>
                    <w:szCs w:val="20"/>
                    <w14:textFill>
                      <w14:solidFill>
                        <w14:schemeClr w14:val="tx1"/>
                      </w14:solidFill>
                    </w14:textFill>
                  </w:rPr>
                  <m:t>ψ</m:t>
                </m:r>
                <m:r>
                  <m:rPr>
                    <m:sty m:val="p"/>
                  </m:rPr>
                  <w:rPr>
                    <w:rFonts w:ascii="Cambria Math" w:hAnsi="Cambria Math"/>
                    <w:color w:val="000000" w:themeColor="text1"/>
                    <w:szCs w:val="20"/>
                    <w14:textFill>
                      <w14:solidFill>
                        <w14:schemeClr w14:val="tx1"/>
                      </w14:solidFill>
                    </w14:textFill>
                  </w:rPr>
                  <m:t>q1</m:t>
                </m:r>
                <m:r>
                  <m:rPr>
                    <m:sty m:val="p"/>
                  </m:rPr>
                  <w:rPr>
                    <w:rFonts w:ascii="Cambria Math" w:hAnsi="Cambria Math"/>
                    <w:color w:val="000000" w:themeColor="text1"/>
                    <w:szCs w:val="18"/>
                    <w14:textFill>
                      <w14:solidFill>
                        <w14:schemeClr w14:val="tx1"/>
                      </w14:solidFill>
                    </w14:textFill>
                  </w:rPr>
                  <m:t xml:space="preserve"> </m:t>
                </m:r>
                <m:r>
                  <m:rPr>
                    <m:sty m:val="p"/>
                  </m:rPr>
                  <w:rPr>
                    <w:rFonts w:hint="eastAsia" w:ascii="Cambria Math" w:hAnsi="Cambria Math"/>
                    <w:color w:val="000000" w:themeColor="text1"/>
                    <w:szCs w:val="20"/>
                    <w14:textFill>
                      <w14:solidFill>
                        <w14:schemeClr w14:val="tx1"/>
                      </w14:solidFill>
                    </w14:textFill>
                  </w:rPr>
                  <m:t>、</m:t>
                </m:r>
                <m:r>
                  <m:rPr/>
                  <w:rPr>
                    <w:rFonts w:ascii="Cambria Math" w:hAnsi="Cambria Math"/>
                    <w:color w:val="000000" w:themeColor="text1"/>
                    <w:szCs w:val="20"/>
                    <w14:textFill>
                      <w14:solidFill>
                        <w14:schemeClr w14:val="tx1"/>
                      </w14:solidFill>
                    </w14:textFill>
                  </w:rPr>
                  <m:t>ψ</m:t>
                </m:r>
                <m:r>
                  <m:rPr>
                    <m:sty m:val="p"/>
                  </m:rPr>
                  <w:rPr>
                    <w:rFonts w:ascii="Cambria Math" w:hAnsi="Cambria Math"/>
                    <w:color w:val="000000" w:themeColor="text1"/>
                    <w:szCs w:val="20"/>
                    <w14:textFill>
                      <w14:solidFill>
                        <w14:schemeClr w14:val="tx1"/>
                      </w14:solidFill>
                    </w14:textFill>
                  </w:rPr>
                  <m:t>qj</m:t>
                </m:r>
              </m:oMath>
            </m:oMathPara>
          </w:p>
        </w:tc>
        <w:tc>
          <w:tcPr>
            <w:tcW w:w="694" w:type="dxa"/>
          </w:tcPr>
          <w:p w14:paraId="1D321BC6">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5776" w:type="dxa"/>
          </w:tcPr>
          <w:p w14:paraId="26603201">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第1个和第j个可变作用的准永久值系数，汽车荷载（含汽车冲击力、离心力）</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20"/>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20"/>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sub>
              </m:sSub>
              <m:r>
                <m:rPr>
                  <m:sty m:val="p"/>
                </m:rPr>
                <w:rPr>
                  <w:rFonts w:ascii="Cambria Math" w:hAnsi="Cambria Math"/>
                  <w:color w:val="000000" w:themeColor="text1"/>
                  <w:szCs w:val="20"/>
                  <w14:textFill>
                    <w14:solidFill>
                      <w14:schemeClr w14:val="tx1"/>
                    </w14:solidFill>
                  </w14:textFill>
                </w:rPr>
                <m:t>=0.4</m:t>
              </m:r>
            </m:oMath>
            <w:r>
              <w:rPr>
                <w:rFonts w:hint="eastAsia"/>
                <w:color w:val="000000" w:themeColor="text1"/>
                <w:szCs w:val="20"/>
                <w14:textFill>
                  <w14:solidFill>
                    <w14:schemeClr w14:val="tx1"/>
                  </w14:solidFill>
                </w14:textFill>
              </w:rPr>
              <w:t>，人群荷载</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20"/>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20"/>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sub>
              </m:sSub>
              <m:r>
                <m:rPr>
                  <m:sty m:val="p"/>
                </m:rPr>
                <w:rPr>
                  <w:rFonts w:ascii="Cambria Math" w:hAnsi="Cambria Math"/>
                  <w:color w:val="000000" w:themeColor="text1"/>
                  <w:szCs w:val="20"/>
                  <w14:textFill>
                    <w14:solidFill>
                      <w14:schemeClr w14:val="tx1"/>
                    </w14:solidFill>
                  </w14:textFill>
                </w:rPr>
                <m:t>=0.4</m:t>
              </m:r>
            </m:oMath>
            <w:r>
              <w:rPr>
                <w:rFonts w:hint="eastAsia"/>
                <w:color w:val="000000" w:themeColor="text1"/>
                <w:szCs w:val="20"/>
                <w14:textFill>
                  <w14:solidFill>
                    <w14:schemeClr w14:val="tx1"/>
                  </w14:solidFill>
                </w14:textFill>
              </w:rPr>
              <w:t>，风荷载</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20"/>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20"/>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sub>
              </m:sSub>
              <m:r>
                <m:rPr>
                  <m:sty m:val="p"/>
                </m:rPr>
                <w:rPr>
                  <w:rFonts w:ascii="Cambria Math" w:hAnsi="Cambria Math"/>
                  <w:color w:val="000000" w:themeColor="text1"/>
                  <w:szCs w:val="20"/>
                  <w14:textFill>
                    <w14:solidFill>
                      <w14:schemeClr w14:val="tx1"/>
                    </w14:solidFill>
                  </w14:textFill>
                </w:rPr>
                <m:t>=0.4</m:t>
              </m:r>
            </m:oMath>
            <w:r>
              <w:rPr>
                <w:rFonts w:hint="eastAsia"/>
                <w:color w:val="000000" w:themeColor="text1"/>
                <w:szCs w:val="20"/>
                <w14:textFill>
                  <w14:solidFill>
                    <w14:schemeClr w14:val="tx1"/>
                  </w14:solidFill>
                </w14:textFill>
              </w:rPr>
              <w:t>，温度梯度作用</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20"/>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20"/>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sub>
              </m:sSub>
              <m:r>
                <m:rPr>
                  <m:sty m:val="p"/>
                </m:rPr>
                <w:rPr>
                  <w:rFonts w:ascii="Cambria Math" w:hAnsi="Cambria Math"/>
                  <w:color w:val="000000" w:themeColor="text1"/>
                  <w:szCs w:val="20"/>
                  <w14:textFill>
                    <w14:solidFill>
                      <w14:schemeClr w14:val="tx1"/>
                    </w14:solidFill>
                  </w14:textFill>
                </w:rPr>
                <m:t>=0.8</m:t>
              </m:r>
            </m:oMath>
            <w:r>
              <w:rPr>
                <w:rFonts w:hint="eastAsia"/>
                <w:color w:val="000000" w:themeColor="text1"/>
                <w:szCs w:val="20"/>
                <w14:textFill>
                  <w14:solidFill>
                    <w14:schemeClr w14:val="tx1"/>
                  </w14:solidFill>
                </w14:textFill>
              </w:rPr>
              <w:t>，温度梯度作用</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20"/>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20"/>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sub>
              </m:sSub>
              <m:r>
                <m:rPr>
                  <m:sty m:val="p"/>
                </m:rPr>
                <w:rPr>
                  <w:rFonts w:ascii="Cambria Math" w:hAnsi="Cambria Math"/>
                  <w:color w:val="000000" w:themeColor="text1"/>
                  <w:szCs w:val="20"/>
                  <w14:textFill>
                    <w14:solidFill>
                      <w14:schemeClr w14:val="tx1"/>
                    </w14:solidFill>
                  </w14:textFill>
                </w:rPr>
                <m:t>=0.8</m:t>
              </m:r>
            </m:oMath>
            <w:r>
              <w:rPr>
                <w:rFonts w:hint="eastAsia"/>
                <w:color w:val="000000" w:themeColor="text1"/>
                <w:szCs w:val="20"/>
                <w14:textFill>
                  <w14:solidFill>
                    <w14:schemeClr w14:val="tx1"/>
                  </w14:solidFill>
                </w14:textFill>
              </w:rPr>
              <w:t>，</w:t>
            </w:r>
            <w:r>
              <w:rPr>
                <w:rFonts w:hint="eastAsia"/>
                <w:color w:val="000000" w:themeColor="text1"/>
                <w:szCs w:val="18"/>
                <w14:textFill>
                  <w14:solidFill>
                    <w14:schemeClr w14:val="tx1"/>
                  </w14:solidFill>
                </w14:textFill>
              </w:rPr>
              <w:t>其他作用</w:t>
            </w:r>
            <m:oMath>
              <m:sSub>
                <m:sSubPr>
                  <m:ctrlPr>
                    <w:rPr>
                      <w:rFonts w:ascii="Cambria Math" w:hAnsi="Cambria Math"/>
                      <w:color w:val="000000" w:themeColor="text1"/>
                      <w:szCs w:val="18"/>
                      <w14:textFill>
                        <w14:solidFill>
                          <w14:schemeClr w14:val="tx1"/>
                        </w14:solidFill>
                      </w14:textFill>
                    </w:rPr>
                  </m:ctrlPr>
                </m:sSubPr>
                <m:e>
                  <m:r>
                    <m:rPr/>
                    <w:rPr>
                      <w:rFonts w:ascii="Cambria Math" w:hAnsi="Cambria Math"/>
                      <w:color w:val="000000" w:themeColor="text1"/>
                      <w:szCs w:val="20"/>
                      <w14:textFill>
                        <w14:solidFill>
                          <w14:schemeClr w14:val="tx1"/>
                        </w14:solidFill>
                      </w14:textFill>
                    </w:rPr>
                    <m:t>ψ</m:t>
                  </m:r>
                  <m:ctrlPr>
                    <w:rPr>
                      <w:rFonts w:ascii="Cambria Math" w:hAnsi="Cambria Math"/>
                      <w:color w:val="000000" w:themeColor="text1"/>
                      <w:szCs w:val="18"/>
                      <w14:textFill>
                        <w14:solidFill>
                          <w14:schemeClr w14:val="tx1"/>
                        </w14:solidFill>
                      </w14:textFill>
                    </w:rPr>
                  </m:ctrlPr>
                </m:e>
                <m:sub>
                  <m:r>
                    <m:rPr>
                      <m:sty m:val="p"/>
                    </m:rPr>
                    <w:rPr>
                      <w:rFonts w:ascii="Cambria Math" w:hAnsi="Cambria Math"/>
                      <w:color w:val="000000" w:themeColor="text1"/>
                      <w:szCs w:val="20"/>
                      <w14:textFill>
                        <w14:solidFill>
                          <w14:schemeClr w14:val="tx1"/>
                        </w14:solidFill>
                      </w14:textFill>
                    </w:rPr>
                    <m:t>q</m:t>
                  </m:r>
                  <m:ctrlPr>
                    <w:rPr>
                      <w:rFonts w:ascii="Cambria Math" w:hAnsi="Cambria Math"/>
                      <w:color w:val="000000" w:themeColor="text1"/>
                      <w:szCs w:val="18"/>
                      <w14:textFill>
                        <w14:solidFill>
                          <w14:schemeClr w14:val="tx1"/>
                        </w14:solidFill>
                      </w14:textFill>
                    </w:rPr>
                  </m:ctrlPr>
                </m:sub>
              </m:sSub>
              <m:r>
                <m:rPr>
                  <m:sty m:val="p"/>
                </m:rPr>
                <w:rPr>
                  <w:rFonts w:ascii="Cambria Math" w:hAnsi="Cambria Math"/>
                  <w:color w:val="000000" w:themeColor="text1"/>
                  <w:szCs w:val="20"/>
                  <w14:textFill>
                    <w14:solidFill>
                      <w14:schemeClr w14:val="tx1"/>
                    </w14:solidFill>
                  </w14:textFill>
                </w:rPr>
                <m:t>=1.0</m:t>
              </m:r>
            </m:oMath>
            <w:r>
              <w:rPr>
                <w:rFonts w:hint="eastAsia"/>
                <w:color w:val="000000" w:themeColor="text1"/>
                <w:szCs w:val="20"/>
                <w14:textFill>
                  <w14:solidFill>
                    <w14:schemeClr w14:val="tx1"/>
                  </w14:solidFill>
                </w14:textFill>
              </w:rPr>
              <w:t>；</w:t>
            </w:r>
          </w:p>
        </w:tc>
      </w:tr>
      <w:tr w14:paraId="29985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8" w:type="dxa"/>
          </w:tcPr>
          <w:p w14:paraId="46A74572">
            <w:pPr>
              <w:pStyle w:val="26"/>
              <w:ind w:firstLine="0" w:firstLineChars="0"/>
              <w:jc w:val="right"/>
              <w:rPr>
                <w:rFonts w:hint="eastAsia" w:hAnsi="黑体"/>
                <w:color w:val="000000" w:themeColor="text1"/>
                <w:szCs w:val="18"/>
                <w14:textFill>
                  <w14:solidFill>
                    <w14:schemeClr w14:val="tx1"/>
                  </w14:solidFill>
                </w14:textFill>
              </w:rPr>
            </w:pPr>
          </w:p>
        </w:tc>
        <w:tc>
          <w:tcPr>
            <w:tcW w:w="2332" w:type="dxa"/>
          </w:tcPr>
          <w:p w14:paraId="2C328E32">
            <w:pPr>
              <w:pStyle w:val="26"/>
              <w:ind w:firstLine="0" w:firstLineChars="0"/>
              <w:jc w:val="right"/>
              <w:rPr>
                <w:rFonts w:ascii="Times New Roman"/>
                <w:color w:val="000000" w:themeColor="text1"/>
                <w:szCs w:val="18"/>
                <w14:textFill>
                  <w14:solidFill>
                    <w14:schemeClr w14:val="tx1"/>
                  </w14:solidFill>
                </w14:textFill>
              </w:rPr>
            </w:pPr>
            <m:oMath>
              <m:r>
                <m:rPr/>
                <w:rPr>
                  <w:rFonts w:ascii="Cambria Math" w:hAnsi="Cambria Math"/>
                  <w:color w:val="000000" w:themeColor="text1"/>
                  <w:szCs w:val="20"/>
                  <w14:textFill>
                    <w14:solidFill>
                      <w14:schemeClr w14:val="tx1"/>
                    </w14:solidFill>
                  </w14:textFill>
                </w:rPr>
                <m:t>ψ</m:t>
              </m:r>
              <m:r>
                <m:rPr>
                  <m:sty m:val="p"/>
                </m:rPr>
                <w:rPr>
                  <w:rFonts w:ascii="Cambria Math" w:hAnsi="Cambria Math"/>
                  <w:color w:val="000000" w:themeColor="text1"/>
                  <w:szCs w:val="20"/>
                  <w14:textFill>
                    <w14:solidFill>
                      <w14:schemeClr w14:val="tx1"/>
                    </w14:solidFill>
                  </w14:textFill>
                </w:rPr>
                <m:t>q1</m:t>
              </m:r>
              <m:r>
                <m:rPr>
                  <m:sty m:val="p"/>
                </m:rPr>
                <w:rPr>
                  <w:rFonts w:ascii="Cambria Math" w:hAnsi="Cambria Math"/>
                  <w:color w:val="000000" w:themeColor="text1"/>
                  <w:szCs w:val="18"/>
                  <w14:textFill>
                    <w14:solidFill>
                      <w14:schemeClr w14:val="tx1"/>
                    </w14:solidFill>
                  </w14:textFill>
                </w:rPr>
                <m:t xml:space="preserve"> </m:t>
              </m:r>
              <m:r>
                <m:rPr/>
                <w:rPr>
                  <w:rFonts w:ascii="Cambria Math" w:hAnsi="Cambria Math"/>
                  <w:color w:val="000000" w:themeColor="text1"/>
                  <w:szCs w:val="20"/>
                  <w14:textFill>
                    <w14:solidFill>
                      <w14:schemeClr w14:val="tx1"/>
                    </w14:solidFill>
                  </w14:textFill>
                </w:rPr>
                <m:t>Q</m:t>
              </m:r>
              <m:r>
                <m:rPr>
                  <m:sty m:val="p"/>
                </m:rPr>
                <w:rPr>
                  <w:rFonts w:ascii="Cambria Math" w:hAnsi="Cambria Math"/>
                  <w:color w:val="000000" w:themeColor="text1"/>
                  <w:szCs w:val="20"/>
                  <w14:textFill>
                    <w14:solidFill>
                      <w14:schemeClr w14:val="tx1"/>
                    </w14:solidFill>
                  </w14:textFill>
                </w:rPr>
                <m:t>1k</m:t>
              </m:r>
              <m:r>
                <m:rPr>
                  <m:sty m:val="p"/>
                </m:rPr>
                <w:rPr>
                  <w:rFonts w:ascii="Cambria Math" w:hAnsi="Cambria Math"/>
                  <w:color w:val="000000" w:themeColor="text1"/>
                  <w:szCs w:val="18"/>
                  <w14:textFill>
                    <w14:solidFill>
                      <w14:schemeClr w14:val="tx1"/>
                    </w14:solidFill>
                  </w14:textFill>
                </w:rPr>
                <m:t xml:space="preserve"> </m:t>
              </m:r>
              <m:r>
                <m:rPr>
                  <m:sty m:val="p"/>
                </m:rPr>
                <w:rPr>
                  <w:rFonts w:hint="eastAsia" w:ascii="Cambria Math" w:hAnsi="Cambria Math"/>
                  <w:color w:val="000000" w:themeColor="text1"/>
                  <w:szCs w:val="20"/>
                  <w14:textFill>
                    <w14:solidFill>
                      <w14:schemeClr w14:val="tx1"/>
                    </w14:solidFill>
                  </w14:textFill>
                </w:rPr>
                <m:t>、</m:t>
              </m:r>
              <m:r>
                <m:rPr/>
                <w:rPr>
                  <w:rFonts w:ascii="Cambria Math" w:hAnsi="Cambria Math"/>
                  <w:color w:val="000000" w:themeColor="text1"/>
                  <w:szCs w:val="20"/>
                  <w14:textFill>
                    <w14:solidFill>
                      <w14:schemeClr w14:val="tx1"/>
                    </w14:solidFill>
                  </w14:textFill>
                </w:rPr>
                <m:t>ψ</m:t>
              </m:r>
              <m:r>
                <m:rPr>
                  <m:sty m:val="p"/>
                </m:rPr>
                <w:rPr>
                  <w:rFonts w:ascii="Cambria Math" w:hAnsi="Cambria Math"/>
                  <w:color w:val="000000" w:themeColor="text1"/>
                  <w:szCs w:val="20"/>
                  <w14:textFill>
                    <w14:solidFill>
                      <w14:schemeClr w14:val="tx1"/>
                    </w14:solidFill>
                  </w14:textFill>
                </w:rPr>
                <m:t>qj</m:t>
              </m:r>
              <m:r>
                <m:rPr>
                  <m:sty m:val="p"/>
                </m:rPr>
                <w:rPr>
                  <w:rFonts w:ascii="Cambria Math" w:hAnsi="Cambria Math"/>
                  <w:color w:val="000000" w:themeColor="text1"/>
                  <w:szCs w:val="18"/>
                  <w14:textFill>
                    <w14:solidFill>
                      <w14:schemeClr w14:val="tx1"/>
                    </w14:solidFill>
                  </w14:textFill>
                </w:rPr>
                <m:t xml:space="preserve"> </m:t>
              </m:r>
              <m:r>
                <m:rPr/>
                <w:rPr>
                  <w:rFonts w:ascii="Cambria Math" w:hAnsi="Cambria Math"/>
                  <w:color w:val="000000" w:themeColor="text1"/>
                  <w:szCs w:val="20"/>
                  <w14:textFill>
                    <w14:solidFill>
                      <w14:schemeClr w14:val="tx1"/>
                    </w14:solidFill>
                  </w14:textFill>
                </w:rPr>
                <m:t>Q</m:t>
              </m:r>
              <m:r>
                <m:rPr>
                  <m:sty m:val="p"/>
                </m:rPr>
                <w:rPr>
                  <w:rFonts w:ascii="Cambria Math" w:hAnsi="Cambria Math"/>
                  <w:color w:val="000000" w:themeColor="text1"/>
                  <w:szCs w:val="20"/>
                  <w14:textFill>
                    <w14:solidFill>
                      <w14:schemeClr w14:val="tx1"/>
                    </w14:solidFill>
                  </w14:textFill>
                </w:rPr>
                <m:t>jk</m:t>
              </m:r>
            </m:oMath>
            <w:r>
              <w:rPr>
                <w:rFonts w:ascii="Times New Roman"/>
                <w:color w:val="000000" w:themeColor="text1"/>
                <w:szCs w:val="18"/>
                <w14:textFill>
                  <w14:solidFill>
                    <w14:schemeClr w14:val="tx1"/>
                  </w14:solidFill>
                </w14:textFill>
              </w:rPr>
              <w:t xml:space="preserve"> </w:t>
            </w:r>
          </w:p>
        </w:tc>
        <w:tc>
          <w:tcPr>
            <w:tcW w:w="694" w:type="dxa"/>
          </w:tcPr>
          <w:p w14:paraId="2A85ECF5">
            <w:pPr>
              <w:pStyle w:val="26"/>
              <w:ind w:firstLine="0" w:firstLineChars="0"/>
              <w:jc w:val="center"/>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w:t>
            </w:r>
          </w:p>
        </w:tc>
        <w:tc>
          <w:tcPr>
            <w:tcW w:w="5776" w:type="dxa"/>
          </w:tcPr>
          <w:p w14:paraId="6EE02FD8">
            <w:pPr>
              <w:pStyle w:val="26"/>
              <w:ind w:firstLine="0" w:firstLineChars="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第1个和第j个可变作用的准永久值</w:t>
            </w:r>
            <w:r>
              <w:rPr>
                <w:rFonts w:hint="eastAsia"/>
                <w:color w:val="000000" w:themeColor="text1"/>
                <w:szCs w:val="20"/>
                <w14:textFill>
                  <w14:solidFill>
                    <w14:schemeClr w14:val="tx1"/>
                  </w14:solidFill>
                </w14:textFill>
              </w:rPr>
              <w:t>。</w:t>
            </w:r>
          </w:p>
        </w:tc>
      </w:tr>
    </w:tbl>
    <w:p w14:paraId="0F62EBBE">
      <w:pPr>
        <w:pStyle w:val="26"/>
        <w:ind w:firstLine="0" w:firstLineChars="0"/>
        <w:jc w:val="left"/>
        <w:rPr>
          <w:color w:val="000000" w:themeColor="text1"/>
          <w14:textFill>
            <w14:solidFill>
              <w14:schemeClr w14:val="tx1"/>
            </w14:solidFill>
          </w14:textFill>
        </w:rPr>
      </w:pPr>
    </w:p>
    <w:p w14:paraId="14B4716B">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当作用与作用效应可接线性关系考虑时，作用偶然组合的效应设计值</w:t>
      </w:r>
      <m:oMath>
        <m:sSub>
          <m:sSubPr>
            <m:ctrlPr>
              <w:rPr>
                <w:rFonts w:ascii="Cambria Math" w:hAnsi="Cambria Math"/>
                <w:color w:val="000000" w:themeColor="text1"/>
                <w14:textFill>
                  <w14:solidFill>
                    <w14:schemeClr w14:val="tx1"/>
                  </w14:solidFill>
                </w14:textFill>
              </w:rPr>
            </m:ctrlPr>
          </m:sSubPr>
          <m:e>
            <m:r>
              <m:rPr>
                <m:sty m:val="p"/>
              </m:rPr>
              <w:rPr>
                <w:rFonts w:ascii="Cambria Math" w:hAnsi="Cambria Math"/>
                <w:color w:val="000000" w:themeColor="text1"/>
                <w14:textFill>
                  <w14:solidFill>
                    <w14:schemeClr w14:val="tx1"/>
                  </w14:solidFill>
                </w14:textFill>
              </w:rPr>
              <m:t>S</m:t>
            </m:r>
            <m:ctrlPr>
              <w:rPr>
                <w:rFonts w:ascii="Cambria Math" w:hAnsi="Cambria Math"/>
                <w:color w:val="000000" w:themeColor="text1"/>
                <w14:textFill>
                  <w14:solidFill>
                    <w14:schemeClr w14:val="tx1"/>
                  </w14:solidFill>
                </w14:textFill>
              </w:rPr>
            </m:ctrlPr>
          </m:e>
          <m:sub>
            <m:r>
              <m:rPr>
                <m:sty m:val="p"/>
              </m:rPr>
              <w:rPr>
                <w:rFonts w:hint="eastAsia" w:ascii="Cambria Math" w:hAnsi="Cambria Math"/>
                <w:color w:val="000000" w:themeColor="text1"/>
                <w14:textFill>
                  <w14:solidFill>
                    <w14:schemeClr w14:val="tx1"/>
                  </w14:solidFill>
                </w14:textFill>
              </w:rPr>
              <m:t>a</m:t>
            </m:r>
            <m:r>
              <m:rPr>
                <m:sty m:val="p"/>
              </m:rPr>
              <w:rPr>
                <w:rFonts w:ascii="Cambria Math" w:hAnsi="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sub>
        </m:sSub>
      </m:oMath>
      <w:r>
        <w:rPr>
          <w:rFonts w:hint="eastAsia"/>
          <w:color w:val="000000" w:themeColor="text1"/>
          <w14:textFill>
            <w14:solidFill>
              <w14:schemeClr w14:val="tx1"/>
            </w14:solidFill>
          </w14:textFill>
        </w:rPr>
        <w:t>可通过作用效应代数相加计算。</w:t>
      </w:r>
    </w:p>
    <w:p w14:paraId="4127A7DB">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作用地震组合的效应设计值应按现行</w:t>
      </w:r>
      <w:r>
        <w:rPr>
          <w:color w:val="000000" w:themeColor="text1"/>
          <w14:textFill>
            <w14:solidFill>
              <w14:schemeClr w14:val="tx1"/>
            </w14:solidFill>
          </w14:textFill>
        </w:rPr>
        <w:t>JTG/T 2231</w:t>
      </w:r>
      <w:r>
        <w:rPr>
          <w:rFonts w:hint="eastAsia"/>
          <w:color w:val="000000" w:themeColor="text1"/>
          <w14:textFill>
            <w14:solidFill>
              <w14:schemeClr w14:val="tx1"/>
            </w14:solidFill>
          </w14:textFill>
        </w:rPr>
        <w:t>的有关规定计算。</w:t>
      </w:r>
    </w:p>
    <w:p w14:paraId="0A017900">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钢结构构件抗疲劳设计时，除特别指明外，各作用应采用标准值，作用分项系数应取为1.0。</w:t>
      </w:r>
    </w:p>
    <w:p w14:paraId="1AAE93F1">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应根据水工建筑物级别，采用不同的结构安全级别。水工建筑物结构安全级别的划分见表6。</w:t>
      </w:r>
    </w:p>
    <w:p w14:paraId="366E44B1">
      <w:pPr>
        <w:pStyle w:val="147"/>
        <w:rPr>
          <w:color w:val="000000" w:themeColor="text1"/>
          <w14:textFill>
            <w14:solidFill>
              <w14:schemeClr w14:val="tx1"/>
            </w14:solidFill>
          </w14:textFill>
        </w:rPr>
      </w:pPr>
      <w:r>
        <w:rPr>
          <w:rFonts w:hint="eastAsia"/>
          <w:color w:val="000000" w:themeColor="text1"/>
          <w14:textFill>
            <w14:solidFill>
              <w14:schemeClr w14:val="tx1"/>
            </w14:solidFill>
          </w14:textFill>
        </w:rPr>
        <w:t>设计安全等级</w:t>
      </w:r>
    </w:p>
    <w:tbl>
      <w:tblPr>
        <w:tblStyle w:val="37"/>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5"/>
        <w:gridCol w:w="4785"/>
      </w:tblGrid>
      <w:tr w14:paraId="313F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F4E005C">
            <w:pPr>
              <w:pStyle w:val="148"/>
              <w:spacing w:before="62" w:after="62"/>
              <w:ind w:firstLine="21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水工建筑物的结构安全级别</w:t>
            </w:r>
          </w:p>
        </w:tc>
        <w:tc>
          <w:tcPr>
            <w:tcW w:w="4785" w:type="dxa"/>
          </w:tcPr>
          <w:p w14:paraId="2E709CE5">
            <w:pPr>
              <w:pStyle w:val="148"/>
              <w:spacing w:before="62" w:after="62"/>
              <w:ind w:firstLine="21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水工建筑物级别</w:t>
            </w:r>
          </w:p>
        </w:tc>
      </w:tr>
      <w:tr w14:paraId="7A72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5690AC5">
            <w:pPr>
              <w:pStyle w:val="148"/>
              <w:spacing w:before="62" w:after="62"/>
              <w:ind w:firstLine="21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Ⅰ</w:t>
            </w:r>
          </w:p>
        </w:tc>
        <w:tc>
          <w:tcPr>
            <w:tcW w:w="4785" w:type="dxa"/>
          </w:tcPr>
          <w:p w14:paraId="59CF22AC">
            <w:pPr>
              <w:pStyle w:val="148"/>
              <w:spacing w:before="62" w:after="62"/>
              <w:ind w:firstLine="21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p>
        </w:tc>
      </w:tr>
      <w:tr w14:paraId="5F2CE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420F6DC">
            <w:pPr>
              <w:pStyle w:val="148"/>
              <w:spacing w:before="62" w:after="62"/>
              <w:ind w:firstLine="21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Ⅱ</w:t>
            </w:r>
          </w:p>
        </w:tc>
        <w:tc>
          <w:tcPr>
            <w:tcW w:w="4785" w:type="dxa"/>
          </w:tcPr>
          <w:p w14:paraId="7FAB06B2">
            <w:pPr>
              <w:pStyle w:val="148"/>
              <w:spacing w:before="62" w:after="62"/>
              <w:ind w:firstLine="21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2、3</w:t>
            </w:r>
          </w:p>
        </w:tc>
      </w:tr>
      <w:tr w14:paraId="096D8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842580B">
            <w:pPr>
              <w:pStyle w:val="148"/>
              <w:spacing w:before="62" w:after="62"/>
              <w:ind w:firstLine="21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Ⅲ</w:t>
            </w:r>
          </w:p>
        </w:tc>
        <w:tc>
          <w:tcPr>
            <w:tcW w:w="4785" w:type="dxa"/>
          </w:tcPr>
          <w:p w14:paraId="0438930A">
            <w:pPr>
              <w:pStyle w:val="148"/>
              <w:spacing w:before="62" w:after="62"/>
              <w:ind w:firstLine="21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4、5</w:t>
            </w:r>
          </w:p>
        </w:tc>
      </w:tr>
    </w:tbl>
    <w:p w14:paraId="7E635EBE">
      <w:pPr>
        <w:pStyle w:val="26"/>
        <w:rPr>
          <w:color w:val="000000" w:themeColor="text1"/>
          <w14:textFill>
            <w14:solidFill>
              <w14:schemeClr w14:val="tx1"/>
            </w14:solidFill>
          </w14:textFill>
        </w:rPr>
      </w:pPr>
    </w:p>
    <w:bookmarkEnd w:id="36"/>
    <w:bookmarkEnd w:id="37"/>
    <w:bookmarkEnd w:id="38"/>
    <w:bookmarkEnd w:id="39"/>
    <w:bookmarkEnd w:id="40"/>
    <w:bookmarkEnd w:id="41"/>
    <w:bookmarkEnd w:id="42"/>
    <w:bookmarkEnd w:id="43"/>
    <w:bookmarkEnd w:id="53"/>
    <w:bookmarkEnd w:id="54"/>
    <w:bookmarkEnd w:id="55"/>
    <w:bookmarkEnd w:id="56"/>
    <w:bookmarkEnd w:id="57"/>
    <w:bookmarkEnd w:id="58"/>
    <w:bookmarkEnd w:id="59"/>
    <w:bookmarkEnd w:id="60"/>
    <w:p w14:paraId="48080299">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结构验算</w:t>
      </w:r>
    </w:p>
    <w:p w14:paraId="7AEEA0D8">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钢结构渡槽静力验算应包括施工阶段验算、运营阶段验算，</w:t>
      </w:r>
      <w:r>
        <w:rPr>
          <w:rFonts w:hint="eastAsia"/>
          <w:color w:val="000000" w:themeColor="text1"/>
          <w:szCs w:val="22"/>
          <w14:textFill>
            <w14:solidFill>
              <w14:schemeClr w14:val="tx1"/>
            </w14:solidFill>
          </w14:textFill>
        </w:rPr>
        <w:t>按JTG D64结构强度、稳定与变形计算。</w:t>
      </w:r>
    </w:p>
    <w:p w14:paraId="7C3AF59A">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结构</w:t>
      </w:r>
      <w:r>
        <w:rPr>
          <w:rFonts w:hint="eastAsia"/>
          <w:color w:val="000000" w:themeColor="text1"/>
          <w:szCs w:val="22"/>
          <w14:textFill>
            <w14:solidFill>
              <w14:schemeClr w14:val="tx1"/>
            </w14:solidFill>
          </w14:textFill>
        </w:rPr>
        <w:t>构件</w:t>
      </w:r>
      <w:r>
        <w:rPr>
          <w:rFonts w:hint="eastAsia"/>
          <w:color w:val="000000" w:themeColor="text1"/>
          <w14:textFill>
            <w14:solidFill>
              <w14:schemeClr w14:val="tx1"/>
            </w14:solidFill>
          </w14:textFill>
        </w:rPr>
        <w:t>的内力应按弹性受力阶段确定，变形应按杆件的毛截面计算，不考虑栓（钉）孔削弱的影响。</w:t>
      </w:r>
    </w:p>
    <w:p w14:paraId="53E2AAED">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桁架结构应考虑水槽和主桁杆件日照温度变化不同步的影响。（不均匀温差引起的作用效应）</w:t>
      </w:r>
    </w:p>
    <w:p w14:paraId="35B0CBD5">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钢结构渡槽承载能力极限状态应按下式要求进行验算：</w:t>
      </w:r>
    </w:p>
    <w:p w14:paraId="23D15B3D">
      <w:pPr>
        <w:pStyle w:val="26"/>
        <w:ind w:firstLine="0" w:firstLineChars="0"/>
        <w:jc w:val="right"/>
        <w:rPr>
          <w:color w:val="000000" w:themeColor="text1"/>
          <w14:textFill>
            <w14:solidFill>
              <w14:schemeClr w14:val="tx1"/>
            </w14:solidFill>
          </w14:textFill>
        </w:rPr>
      </w:pPr>
      <m:oMath>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γ</m:t>
            </m:r>
            <m:ctrlPr>
              <w:rPr>
                <w:rFonts w:ascii="Cambria Math" w:hAnsi="Cambria Math"/>
                <w:color w:val="000000" w:themeColor="text1"/>
                <w:sz w:val="24"/>
                <w:szCs w:val="24"/>
                <w14:textFill>
                  <w14:solidFill>
                    <w14:schemeClr w14:val="tx1"/>
                  </w14:solidFill>
                </w14:textFill>
              </w:rPr>
            </m:ctrlPr>
          </m:e>
          <m:sub>
            <m:r>
              <m:rPr/>
              <w:rPr>
                <w:rFonts w:ascii="Cambria Math" w:hAnsi="Cambria Math"/>
                <w:color w:val="000000" w:themeColor="text1"/>
                <w:sz w:val="24"/>
                <w:szCs w:val="24"/>
                <w14:textFill>
                  <w14:solidFill>
                    <w14:schemeClr w14:val="tx1"/>
                  </w14:solidFill>
                </w14:textFill>
              </w:rPr>
              <m:t>0</m:t>
            </m:r>
            <m:ctrlPr>
              <w:rPr>
                <w:rFonts w:ascii="Cambria Math" w:hAnsi="Cambria Math"/>
                <w:color w:val="000000" w:themeColor="text1"/>
                <w:sz w:val="24"/>
                <w:szCs w:val="24"/>
                <w14:textFill>
                  <w14:solidFill>
                    <w14:schemeClr w14:val="tx1"/>
                  </w14:solidFill>
                </w14:textFill>
              </w:rPr>
            </m:ctrlPr>
          </m:sub>
        </m:sSub>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S</m:t>
            </m:r>
            <m:ctrlPr>
              <w:rPr>
                <w:rFonts w:ascii="Cambria Math" w:hAnsi="Cambria Math"/>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d</m:t>
            </m:r>
            <m:ctrlPr>
              <w:rPr>
                <w:rFonts w:ascii="Cambria Math" w:hAnsi="Cambria Math"/>
                <w:color w:val="000000" w:themeColor="text1"/>
                <w:sz w:val="24"/>
                <w:szCs w:val="24"/>
                <w14:textFill>
                  <w14:solidFill>
                    <w14:schemeClr w14:val="tx1"/>
                  </w14:solidFill>
                </w14:textFill>
              </w:rPr>
            </m:ctrlPr>
          </m:sub>
        </m:sSub>
        <m:r>
          <m:rPr/>
          <w:rPr>
            <w:rFonts w:ascii="Cambria Math" w:hAnsi="Cambria Math"/>
            <w:color w:val="000000" w:themeColor="text1"/>
            <w:sz w:val="24"/>
            <w:szCs w:val="24"/>
            <w14:textFill>
              <w14:solidFill>
                <w14:schemeClr w14:val="tx1"/>
              </w14:solidFill>
            </w14:textFill>
          </w:rPr>
          <m:t>⩽</m:t>
        </m:r>
        <m:sSub>
          <m:sSubPr>
            <m:ctrlPr>
              <w:rPr>
                <w:rFonts w:ascii="Cambria Math" w:hAnsi="Cambria Math"/>
                <w:color w:val="000000" w:themeColor="text1"/>
                <w:sz w:val="24"/>
                <w:szCs w:val="24"/>
                <w14:textFill>
                  <w14:solidFill>
                    <w14:schemeClr w14:val="tx1"/>
                  </w14:solidFill>
                </w14:textFill>
              </w:rPr>
            </m:ctrlPr>
          </m:sSubPr>
          <m:e>
            <m:r>
              <m:rPr/>
              <w:rPr>
                <w:rFonts w:ascii="Cambria Math" w:hAnsi="Cambria Math"/>
                <w:color w:val="000000" w:themeColor="text1"/>
                <w:sz w:val="24"/>
                <w:szCs w:val="24"/>
                <w14:textFill>
                  <w14:solidFill>
                    <w14:schemeClr w14:val="tx1"/>
                  </w14:solidFill>
                </w14:textFill>
              </w:rPr>
              <m:t>R</m:t>
            </m:r>
            <m:ctrlPr>
              <w:rPr>
                <w:rFonts w:ascii="Cambria Math" w:hAnsi="Cambria Math"/>
                <w:color w:val="000000" w:themeColor="text1"/>
                <w:sz w:val="24"/>
                <w:szCs w:val="24"/>
                <w14:textFill>
                  <w14:solidFill>
                    <w14:schemeClr w14:val="tx1"/>
                  </w14:solidFill>
                </w14:textFill>
              </w:rPr>
            </m:ctrlPr>
          </m:e>
          <m:sub>
            <m:r>
              <m:rPr>
                <m:sty m:val="p"/>
              </m:rPr>
              <w:rPr>
                <w:rFonts w:ascii="Cambria Math" w:hAnsi="Cambria Math"/>
                <w:color w:val="000000" w:themeColor="text1"/>
                <w:sz w:val="24"/>
                <w:szCs w:val="24"/>
                <w14:textFill>
                  <w14:solidFill>
                    <w14:schemeClr w14:val="tx1"/>
                  </w14:solidFill>
                </w14:textFill>
              </w:rPr>
              <m:t>d</m:t>
            </m:r>
            <m:ctrlPr>
              <w:rPr>
                <w:rFonts w:ascii="Cambria Math" w:hAnsi="Cambria Math"/>
                <w:color w:val="000000" w:themeColor="text1"/>
                <w:sz w:val="24"/>
                <w:szCs w:val="24"/>
                <w14:textFill>
                  <w14:solidFill>
                    <w14:schemeClr w14:val="tx1"/>
                  </w14:solidFill>
                </w14:textFill>
              </w:rPr>
            </m:ctrlPr>
          </m:sub>
        </m:sSub>
      </m:oMath>
      <w:r>
        <w:rPr>
          <w:iCs/>
          <w:color w:val="000000" w:themeColor="text1"/>
          <w14:textFill>
            <w14:solidFill>
              <w14:schemeClr w14:val="tx1"/>
            </w14:solidFill>
          </w14:textFill>
        </w:rPr>
        <w:t>…………………………………………………</w:t>
      </w:r>
      <w:r>
        <w:rPr>
          <w:rFonts w:hint="eastAsia"/>
          <w:iCs/>
          <w:color w:val="000000" w:themeColor="text1"/>
          <w14:textFill>
            <w14:solidFill>
              <w14:schemeClr w14:val="tx1"/>
            </w14:solidFill>
          </w14:textFill>
        </w:rPr>
        <w:t>(4)</w:t>
      </w:r>
    </w:p>
    <w:p w14:paraId="2EE83815">
      <w:pPr>
        <w:pStyle w:val="26"/>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式中：</w:t>
      </w:r>
      <m:oMath>
        <m:sSub>
          <m:sSubPr>
            <m:ctrlPr>
              <w:rPr>
                <w:rFonts w:ascii="Cambria Math" w:hAnsi="Cambria Math"/>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γ</m:t>
            </m:r>
            <m:ctrlPr>
              <w:rPr>
                <w:rFonts w:ascii="Cambria Math" w:hAnsi="Cambria Math"/>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oMath>
      <w:r>
        <w:rPr>
          <w:rFonts w:hint="eastAsia"/>
          <w:color w:val="000000" w:themeColor="text1"/>
          <w14:textFill>
            <w14:solidFill>
              <w14:schemeClr w14:val="tx1"/>
            </w14:solidFill>
          </w14:textFill>
        </w:rPr>
        <w:t>-结构重要性系数；</w:t>
      </w:r>
    </w:p>
    <w:p w14:paraId="66D6BF8C">
      <w:pPr>
        <w:pStyle w:val="26"/>
        <w:jc w:val="left"/>
        <w:rPr>
          <w:color w:val="000000" w:themeColor="text1"/>
          <w14:textFill>
            <w14:solidFill>
              <w14:schemeClr w14:val="tx1"/>
            </w14:solidFill>
          </w14:textFill>
        </w:rPr>
      </w:pPr>
      <m:oMath>
        <m:sSub>
          <m:sSubPr>
            <m:ctrlPr>
              <w:rPr>
                <w:rFonts w:ascii="Cambria Math" w:hAnsi="Cambria Math"/>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S</m:t>
            </m:r>
            <m:ctrlPr>
              <w:rPr>
                <w:rFonts w:ascii="Cambria Math" w:hAnsi="Cambria Math"/>
                <w:color w:val="000000" w:themeColor="text1"/>
                <w14:textFill>
                  <w14:solidFill>
                    <w14:schemeClr w14:val="tx1"/>
                  </w14:solidFill>
                </w14:textFill>
              </w:rPr>
            </m:ctrlPr>
          </m:e>
          <m:sub>
            <m:r>
              <m:rPr>
                <m:sty m:val="p"/>
              </m:rPr>
              <w:rPr>
                <w:rFonts w:ascii="Cambria Math" w:hAnsi="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sub>
        </m:sSub>
      </m:oMath>
      <w:r>
        <w:rPr>
          <w:rFonts w:hint="eastAsia"/>
          <w:color w:val="000000" w:themeColor="text1"/>
          <w14:textFill>
            <w14:solidFill>
              <w14:schemeClr w14:val="tx1"/>
            </w14:solidFill>
          </w14:textFill>
        </w:rPr>
        <w:t>-作用组合的效应（如轴力、弯矩或表示几个轴力、弯矩的向量）设计值；</w:t>
      </w:r>
    </w:p>
    <w:p w14:paraId="2E23C32E">
      <w:pPr>
        <w:pStyle w:val="26"/>
        <w:jc w:val="left"/>
        <w:rPr>
          <w:color w:val="000000" w:themeColor="text1"/>
          <w14:textFill>
            <w14:solidFill>
              <w14:schemeClr w14:val="tx1"/>
            </w14:solidFill>
          </w14:textFill>
        </w:rPr>
      </w:pPr>
      <m:oMath>
        <m:sSub>
          <m:sSubPr>
            <m:ctrlPr>
              <w:rPr>
                <w:rFonts w:ascii="Cambria Math" w:hAnsi="Cambria Math"/>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R</m:t>
            </m:r>
            <m:ctrlPr>
              <w:rPr>
                <w:rFonts w:ascii="Cambria Math" w:hAnsi="Cambria Math"/>
                <w:color w:val="000000" w:themeColor="text1"/>
                <w14:textFill>
                  <w14:solidFill>
                    <w14:schemeClr w14:val="tx1"/>
                  </w14:solidFill>
                </w14:textFill>
              </w:rPr>
            </m:ctrlPr>
          </m:e>
          <m:sub>
            <m:r>
              <m:rPr>
                <m:sty m:val="p"/>
              </m:rPr>
              <w:rPr>
                <w:rFonts w:ascii="Cambria Math" w:hAnsi="Cambria Math"/>
                <w:color w:val="000000" w:themeColor="text1"/>
                <w14:textFill>
                  <w14:solidFill>
                    <w14:schemeClr w14:val="tx1"/>
                  </w14:solidFill>
                </w14:textFill>
              </w:rPr>
              <m:t>d</m:t>
            </m:r>
            <m:ctrlPr>
              <w:rPr>
                <w:rFonts w:ascii="Cambria Math" w:hAnsi="Cambria Math"/>
                <w:color w:val="000000" w:themeColor="text1"/>
                <w14:textFill>
                  <w14:solidFill>
                    <w14:schemeClr w14:val="tx1"/>
                  </w14:solidFill>
                </w14:textFill>
              </w:rPr>
            </m:ctrlPr>
          </m:sub>
        </m:sSub>
      </m:oMath>
      <w:r>
        <w:rPr>
          <w:rFonts w:hint="eastAsia"/>
          <w:color w:val="000000" w:themeColor="text1"/>
          <w14:textFill>
            <w14:solidFill>
              <w14:schemeClr w14:val="tx1"/>
            </w14:solidFill>
          </w14:textFill>
        </w:rPr>
        <w:t>-结构或结构构件的抗力设计值。</w:t>
      </w:r>
    </w:p>
    <w:p w14:paraId="716E84C0">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钢结构渡槽不同构件类型应按</w:t>
      </w:r>
      <w:r>
        <w:rPr>
          <w:color w:val="000000" w:themeColor="text1"/>
          <w:szCs w:val="22"/>
          <w14:textFill>
            <w14:solidFill>
              <w14:schemeClr w14:val="tx1"/>
            </w14:solidFill>
          </w14:textFill>
        </w:rPr>
        <w:t>J</w:t>
      </w:r>
      <w:r>
        <w:rPr>
          <w:rFonts w:hint="eastAsia"/>
          <w:color w:val="000000" w:themeColor="text1"/>
          <w:szCs w:val="22"/>
          <w14:textFill>
            <w14:solidFill>
              <w14:schemeClr w14:val="tx1"/>
            </w14:solidFill>
          </w14:textFill>
        </w:rPr>
        <w:t>TG D64的要求进行强度与整体稳定的验算，见表7。</w:t>
      </w:r>
    </w:p>
    <w:p w14:paraId="7FEDEF2B">
      <w:pPr>
        <w:pStyle w:val="147"/>
        <w:rPr>
          <w:color w:val="000000" w:themeColor="text1"/>
          <w14:textFill>
            <w14:solidFill>
              <w14:schemeClr w14:val="tx1"/>
            </w14:solidFill>
          </w14:textFill>
        </w:rPr>
      </w:pPr>
      <w:r>
        <w:rPr>
          <w:rFonts w:hint="eastAsia"/>
          <w:color w:val="000000" w:themeColor="text1"/>
          <w14:textFill>
            <w14:solidFill>
              <w14:schemeClr w14:val="tx1"/>
            </w14:solidFill>
          </w14:textFill>
        </w:rPr>
        <w:t>构件验算内容</w:t>
      </w:r>
    </w:p>
    <w:tbl>
      <w:tblPr>
        <w:tblStyle w:val="37"/>
        <w:tblW w:w="6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280"/>
        <w:gridCol w:w="4268"/>
      </w:tblGrid>
      <w:tr w14:paraId="469F9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jc w:val="center"/>
        </w:trPr>
        <w:tc>
          <w:tcPr>
            <w:tcW w:w="0" w:type="auto"/>
          </w:tcPr>
          <w:p w14:paraId="3D8255F8">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构件类型</w:t>
            </w:r>
          </w:p>
        </w:tc>
        <w:tc>
          <w:tcPr>
            <w:tcW w:w="0" w:type="auto"/>
          </w:tcPr>
          <w:p w14:paraId="4C28DCD7">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验算内容</w:t>
            </w:r>
          </w:p>
        </w:tc>
      </w:tr>
      <w:tr w14:paraId="725F4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jc w:val="center"/>
        </w:trPr>
        <w:tc>
          <w:tcPr>
            <w:tcW w:w="0" w:type="auto"/>
          </w:tcPr>
          <w:p w14:paraId="735882F7">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轴心受拉构件</w:t>
            </w:r>
          </w:p>
        </w:tc>
        <w:tc>
          <w:tcPr>
            <w:tcW w:w="0" w:type="auto"/>
          </w:tcPr>
          <w:p w14:paraId="25A5305F">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轴心受拉承载力</w:t>
            </w:r>
          </w:p>
        </w:tc>
      </w:tr>
      <w:tr w14:paraId="1E4EF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jc w:val="center"/>
        </w:trPr>
        <w:tc>
          <w:tcPr>
            <w:tcW w:w="0" w:type="auto"/>
            <w:vMerge w:val="restart"/>
          </w:tcPr>
          <w:p w14:paraId="3081102F">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轴心受压构件</w:t>
            </w:r>
          </w:p>
        </w:tc>
        <w:tc>
          <w:tcPr>
            <w:tcW w:w="0" w:type="auto"/>
          </w:tcPr>
          <w:p w14:paraId="62569810">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轴心受压承载力</w:t>
            </w:r>
          </w:p>
        </w:tc>
      </w:tr>
      <w:tr w14:paraId="716B7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jc w:val="center"/>
        </w:trPr>
        <w:tc>
          <w:tcPr>
            <w:tcW w:w="0" w:type="auto"/>
            <w:vMerge w:val="continue"/>
          </w:tcPr>
          <w:p w14:paraId="3B63E700">
            <w:pPr>
              <w:pStyle w:val="26"/>
              <w:ind w:firstLine="0" w:firstLineChars="0"/>
              <w:rPr>
                <w:color w:val="000000" w:themeColor="text1"/>
                <w:szCs w:val="18"/>
                <w14:textFill>
                  <w14:solidFill>
                    <w14:schemeClr w14:val="tx1"/>
                  </w14:solidFill>
                </w14:textFill>
              </w:rPr>
            </w:pPr>
          </w:p>
        </w:tc>
        <w:tc>
          <w:tcPr>
            <w:tcW w:w="0" w:type="auto"/>
          </w:tcPr>
          <w:p w14:paraId="02A1C119">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轴心受压构件的整体稳定</w:t>
            </w:r>
          </w:p>
        </w:tc>
      </w:tr>
      <w:tr w14:paraId="5B073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jc w:val="center"/>
        </w:trPr>
        <w:tc>
          <w:tcPr>
            <w:tcW w:w="0" w:type="auto"/>
            <w:vMerge w:val="restart"/>
          </w:tcPr>
          <w:p w14:paraId="34094EA1">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受弯构件</w:t>
            </w:r>
          </w:p>
        </w:tc>
        <w:tc>
          <w:tcPr>
            <w:tcW w:w="0" w:type="auto"/>
          </w:tcPr>
          <w:p w14:paraId="641A526C">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主平面内受弯构件的弯曲正应力</w:t>
            </w:r>
          </w:p>
        </w:tc>
      </w:tr>
      <w:tr w14:paraId="60E572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jc w:val="center"/>
        </w:trPr>
        <w:tc>
          <w:tcPr>
            <w:tcW w:w="0" w:type="auto"/>
            <w:vMerge w:val="continue"/>
          </w:tcPr>
          <w:p w14:paraId="594E3C89">
            <w:pPr>
              <w:pStyle w:val="26"/>
              <w:ind w:firstLine="0" w:firstLineChars="0"/>
              <w:rPr>
                <w:color w:val="000000" w:themeColor="text1"/>
                <w:szCs w:val="18"/>
                <w14:textFill>
                  <w14:solidFill>
                    <w14:schemeClr w14:val="tx1"/>
                  </w14:solidFill>
                </w14:textFill>
              </w:rPr>
            </w:pPr>
          </w:p>
        </w:tc>
        <w:tc>
          <w:tcPr>
            <w:tcW w:w="0" w:type="auto"/>
          </w:tcPr>
          <w:p w14:paraId="29754C55">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双向受弯构件的弯曲正应力</w:t>
            </w:r>
          </w:p>
        </w:tc>
      </w:tr>
      <w:tr w14:paraId="26C1E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jc w:val="center"/>
        </w:trPr>
        <w:tc>
          <w:tcPr>
            <w:tcW w:w="0" w:type="auto"/>
            <w:vMerge w:val="continue"/>
          </w:tcPr>
          <w:p w14:paraId="560F22A9">
            <w:pPr>
              <w:pStyle w:val="26"/>
              <w:ind w:firstLine="0" w:firstLineChars="0"/>
              <w:rPr>
                <w:color w:val="000000" w:themeColor="text1"/>
                <w:szCs w:val="18"/>
                <w14:textFill>
                  <w14:solidFill>
                    <w14:schemeClr w14:val="tx1"/>
                  </w14:solidFill>
                </w14:textFill>
              </w:rPr>
            </w:pPr>
          </w:p>
        </w:tc>
        <w:tc>
          <w:tcPr>
            <w:tcW w:w="0" w:type="auto"/>
          </w:tcPr>
          <w:p w14:paraId="1DB182F7">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腹板剪应力</w:t>
            </w:r>
          </w:p>
        </w:tc>
      </w:tr>
      <w:tr w14:paraId="5710C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 w:hRule="atLeast"/>
          <w:jc w:val="center"/>
        </w:trPr>
        <w:tc>
          <w:tcPr>
            <w:tcW w:w="0" w:type="auto"/>
            <w:vMerge w:val="continue"/>
          </w:tcPr>
          <w:p w14:paraId="19919E7B">
            <w:pPr>
              <w:pStyle w:val="26"/>
              <w:ind w:firstLine="0" w:firstLineChars="0"/>
              <w:rPr>
                <w:color w:val="000000" w:themeColor="text1"/>
                <w:szCs w:val="18"/>
                <w14:textFill>
                  <w14:solidFill>
                    <w14:schemeClr w14:val="tx1"/>
                  </w14:solidFill>
                </w14:textFill>
              </w:rPr>
            </w:pPr>
          </w:p>
        </w:tc>
        <w:tc>
          <w:tcPr>
            <w:tcW w:w="0" w:type="auto"/>
          </w:tcPr>
          <w:p w14:paraId="02798A43">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腹板正应力与剪应力共同作用</w:t>
            </w:r>
          </w:p>
        </w:tc>
      </w:tr>
      <w:tr w14:paraId="01958F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jc w:val="center"/>
        </w:trPr>
        <w:tc>
          <w:tcPr>
            <w:tcW w:w="0" w:type="auto"/>
            <w:vMerge w:val="continue"/>
          </w:tcPr>
          <w:p w14:paraId="20D5FB97">
            <w:pPr>
              <w:pStyle w:val="26"/>
              <w:ind w:firstLine="0" w:firstLineChars="0"/>
              <w:rPr>
                <w:color w:val="000000" w:themeColor="text1"/>
                <w:szCs w:val="18"/>
                <w14:textFill>
                  <w14:solidFill>
                    <w14:schemeClr w14:val="tx1"/>
                  </w14:solidFill>
                </w14:textFill>
              </w:rPr>
            </w:pPr>
          </w:p>
        </w:tc>
        <w:tc>
          <w:tcPr>
            <w:tcW w:w="0" w:type="auto"/>
          </w:tcPr>
          <w:p w14:paraId="4C219371">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受弯构件的整体稳定</w:t>
            </w:r>
          </w:p>
        </w:tc>
      </w:tr>
      <w:tr w14:paraId="1E034A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jc w:val="center"/>
        </w:trPr>
        <w:tc>
          <w:tcPr>
            <w:tcW w:w="0" w:type="auto"/>
            <w:vMerge w:val="restart"/>
          </w:tcPr>
          <w:p w14:paraId="62BAD049">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拉弯、压弯构件</w:t>
            </w:r>
          </w:p>
        </w:tc>
        <w:tc>
          <w:tcPr>
            <w:tcW w:w="0" w:type="auto"/>
          </w:tcPr>
          <w:p w14:paraId="33D56EAA">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拉弯、压弯构件强度</w:t>
            </w:r>
          </w:p>
        </w:tc>
      </w:tr>
      <w:tr w14:paraId="6657A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 w:hRule="atLeast"/>
          <w:jc w:val="center"/>
        </w:trPr>
        <w:tc>
          <w:tcPr>
            <w:tcW w:w="0" w:type="auto"/>
            <w:vMerge w:val="continue"/>
          </w:tcPr>
          <w:p w14:paraId="34C680E2">
            <w:pPr>
              <w:pStyle w:val="26"/>
              <w:ind w:firstLine="0" w:firstLineChars="0"/>
              <w:rPr>
                <w:color w:val="000000" w:themeColor="text1"/>
                <w:szCs w:val="18"/>
                <w14:textFill>
                  <w14:solidFill>
                    <w14:schemeClr w14:val="tx1"/>
                  </w14:solidFill>
                </w14:textFill>
              </w:rPr>
            </w:pPr>
          </w:p>
        </w:tc>
        <w:tc>
          <w:tcPr>
            <w:tcW w:w="0" w:type="auto"/>
          </w:tcPr>
          <w:p w14:paraId="3E4B35B1">
            <w:pPr>
              <w:pStyle w:val="26"/>
              <w:ind w:firstLine="0" w:firstLineChars="0"/>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压弯构件整体稳定</w:t>
            </w:r>
          </w:p>
        </w:tc>
      </w:tr>
    </w:tbl>
    <w:p w14:paraId="049B9663">
      <w:pPr>
        <w:pStyle w:val="26"/>
        <w:ind w:firstLine="0" w:firstLineChars="0"/>
        <w:rPr>
          <w:color w:val="000000" w:themeColor="text1"/>
          <w14:textFill>
            <w14:solidFill>
              <w14:schemeClr w14:val="tx1"/>
            </w14:solidFill>
          </w14:textFill>
        </w:rPr>
      </w:pPr>
    </w:p>
    <w:p w14:paraId="376F56D4">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钢结构渡槽受压板件、腹板应按</w:t>
      </w:r>
      <w:r>
        <w:rPr>
          <w:color w:val="000000" w:themeColor="text1"/>
          <w:szCs w:val="22"/>
          <w14:textFill>
            <w14:solidFill>
              <w14:schemeClr w14:val="tx1"/>
            </w14:solidFill>
          </w14:textFill>
        </w:rPr>
        <w:t>J</w:t>
      </w:r>
      <w:r>
        <w:rPr>
          <w:rFonts w:hint="eastAsia"/>
          <w:color w:val="000000" w:themeColor="text1"/>
          <w:szCs w:val="22"/>
          <w14:textFill>
            <w14:solidFill>
              <w14:schemeClr w14:val="tx1"/>
            </w14:solidFill>
          </w14:textFill>
        </w:rPr>
        <w:t>TG D64的要求进行局部稳定的验算。</w:t>
      </w:r>
    </w:p>
    <w:p w14:paraId="7AB5741F">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钢结构渡槽支承加劲肋应按</w:t>
      </w:r>
      <w:r>
        <w:rPr>
          <w:color w:val="000000" w:themeColor="text1"/>
          <w:szCs w:val="22"/>
          <w14:textFill>
            <w14:solidFill>
              <w14:schemeClr w14:val="tx1"/>
            </w14:solidFill>
          </w14:textFill>
        </w:rPr>
        <w:t>J</w:t>
      </w:r>
      <w:r>
        <w:rPr>
          <w:rFonts w:hint="eastAsia"/>
          <w:color w:val="000000" w:themeColor="text1"/>
          <w:szCs w:val="22"/>
          <w14:textFill>
            <w14:solidFill>
              <w14:schemeClr w14:val="tx1"/>
            </w14:solidFill>
          </w14:textFill>
        </w:rPr>
        <w:t>TG D64的要求进行强度与稳定的验算。</w:t>
      </w:r>
    </w:p>
    <w:p w14:paraId="5A425F42">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钢结构渡槽槽身的最大挠度应按满槽水工况进行计算，最大挠度宜小于L</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 xml:space="preserve">。 </w:t>
      </w:r>
    </w:p>
    <w:p w14:paraId="57E095A5">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计算整体稳定时，渡槽自身恒载作为常量，水荷载等活载作为变量，计算渡槽槽身整体稳定系数，稳定系数宜不小于4。</w:t>
      </w:r>
    </w:p>
    <w:p w14:paraId="39BDFB10">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持久状况下，渡槽不应发生结构体系改变；且在作用基本组合下，支座不得出现受拉，按作用标准值进行组合时，渡槽横桥向的抗倾覆稳定系数不应小于2.5。</w:t>
      </w:r>
    </w:p>
    <w:p w14:paraId="489BA42A">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支座结构应满足强度要求，并应适应槽体因温度变化及荷载作用而引起的线位移和角位移。支座结构的设计、计算方法宜按桥梁工程的支座设计。</w:t>
      </w:r>
    </w:p>
    <w:p w14:paraId="357E818D">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抗震验算</w:t>
      </w:r>
    </w:p>
    <w:p w14:paraId="4E4EDAD1">
      <w:pPr>
        <w:pStyle w:val="76"/>
        <w:spacing w:line="400" w:lineRule="exact"/>
        <w:rPr>
          <w:rFonts w:ascii="宋体"/>
          <w:szCs w:val="20"/>
        </w:rPr>
      </w:pPr>
      <w:r>
        <w:rPr>
          <w:rFonts w:hint="eastAsia" w:ascii="宋体" w:hAnsi="宋体" w:cs="宋体"/>
          <w:color w:val="000000" w:themeColor="text1"/>
          <w14:textFill>
            <w14:solidFill>
              <w14:schemeClr w14:val="tx1"/>
            </w14:solidFill>
          </w14:textFill>
        </w:rPr>
        <w:t>钢结构渡槽抗震应按GB 51247的规定进行计算，</w:t>
      </w:r>
      <w:r>
        <w:rPr>
          <w:rFonts w:hint="eastAsia"/>
        </w:rPr>
        <w:t>应考虑桩土及动水压力作用的影响。</w:t>
      </w:r>
    </w:p>
    <w:p w14:paraId="50DAE450">
      <w:pPr>
        <w:pStyle w:val="76"/>
        <w:spacing w:line="400" w:lineRule="exac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渡槽的动力分析一般可采用振型分解反应谱法求解。对于1级渡槽，应采用时程分析法进行计算。</w:t>
      </w:r>
    </w:p>
    <w:p w14:paraId="173FBB21">
      <w:pPr>
        <w:pStyle w:val="76"/>
        <w:spacing w:line="400" w:lineRule="exact"/>
        <w:rPr>
          <w:rFonts w:hint="eastAsia" w:ascii="宋体" w:hAnsi="宋体" w:cs="宋体"/>
          <w:color w:val="000000" w:themeColor="text1"/>
          <w14:textFill>
            <w14:solidFill>
              <w14:schemeClr w14:val="tx1"/>
            </w14:solidFill>
          </w14:textFill>
        </w:rPr>
      </w:pPr>
      <w:r>
        <w:rPr>
          <w:rFonts w:hAnsi="黑体"/>
          <w:color w:val="000000" w:themeColor="text1"/>
          <w:szCs w:val="32"/>
          <w14:textFill>
            <w14:solidFill>
              <w14:schemeClr w14:val="tx1"/>
            </w14:solidFill>
          </w14:textFill>
        </w:rPr>
        <w:br w:type="page"/>
      </w:r>
    </w:p>
    <w:p w14:paraId="02FAA7CD">
      <w:pPr>
        <w:pStyle w:val="109"/>
        <w:spacing w:before="312" w:after="312"/>
        <w:rPr>
          <w:color w:val="000000" w:themeColor="text1"/>
          <w14:textFill>
            <w14:solidFill>
              <w14:schemeClr w14:val="tx1"/>
            </w14:solidFill>
          </w14:textFill>
        </w:rPr>
      </w:pPr>
      <w:bookmarkStart w:id="61" w:name="_Toc212642133"/>
      <w:r>
        <w:rPr>
          <w:rFonts w:hint="eastAsia"/>
          <w:color w:val="000000" w:themeColor="text1"/>
          <w14:textFill>
            <w14:solidFill>
              <w14:schemeClr w14:val="tx1"/>
            </w14:solidFill>
          </w14:textFill>
        </w:rPr>
        <w:t>构造要求</w:t>
      </w:r>
      <w:bookmarkEnd w:id="61"/>
    </w:p>
    <w:p w14:paraId="0898C2EE">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一般规定</w:t>
      </w:r>
    </w:p>
    <w:p w14:paraId="5DDE475C">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钢构件的构造与细节设计除满足本标准外，还应满足JTG D64的相关规定。</w:t>
      </w:r>
    </w:p>
    <w:p w14:paraId="4C08EF0B">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除</w:t>
      </w:r>
      <w:r>
        <w:rPr>
          <w:rFonts w:hint="eastAsia"/>
          <w:color w:val="000000" w:themeColor="text1"/>
          <w:szCs w:val="22"/>
          <w14:textFill>
            <w14:solidFill>
              <w14:schemeClr w14:val="tx1"/>
            </w14:solidFill>
          </w14:textFill>
        </w:rPr>
        <w:t>轧制</w:t>
      </w:r>
      <w:r>
        <w:rPr>
          <w:rFonts w:hint="eastAsia"/>
          <w:color w:val="000000" w:themeColor="text1"/>
          <w14:textFill>
            <w14:solidFill>
              <w14:schemeClr w14:val="tx1"/>
            </w14:solidFill>
          </w14:textFill>
        </w:rPr>
        <w:t>型钢、正交异性板的闭口加劲肋、填板外，其他受力钢构件的板厚不应小于8mm。不锈钢复合板的不锈钢层厚度宜为2</w:t>
      </w:r>
      <w:r>
        <w:rPr>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4mm</w:t>
      </w:r>
      <w:r>
        <w:rPr>
          <w:rFonts w:hint="eastAsia"/>
          <w:color w:val="000000" w:themeColor="text1"/>
          <w14:textFill>
            <w14:solidFill>
              <w14:schemeClr w14:val="tx1"/>
            </w14:solidFill>
          </w14:textFill>
        </w:rPr>
        <w:t>。</w:t>
      </w:r>
    </w:p>
    <w:p w14:paraId="1CBBF9A1">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波形钢板的几何尺寸与技术要求可参照J</w:t>
      </w:r>
      <w:r>
        <w:rPr>
          <w:color w:val="000000" w:themeColor="text1"/>
          <w14:textFill>
            <w14:solidFill>
              <w14:schemeClr w14:val="tx1"/>
            </w14:solidFill>
          </w14:textFill>
        </w:rPr>
        <w:t>T/T 784</w:t>
      </w:r>
      <w:r>
        <w:rPr>
          <w:rFonts w:hint="eastAsia"/>
          <w:color w:val="000000" w:themeColor="text1"/>
          <w14:textFill>
            <w14:solidFill>
              <w14:schemeClr w14:val="tx1"/>
            </w14:solidFill>
          </w14:textFill>
        </w:rPr>
        <w:t>的相关要求。</w:t>
      </w:r>
    </w:p>
    <w:p w14:paraId="23DBBD9C">
      <w:pPr>
        <w:pStyle w:val="76"/>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槽墩顶部应设置防止槽体的横向跌落的挡块。槽体端部在墩台上应留有防止槽体纵向滑脱的足够搭接长度。</w:t>
      </w:r>
    </w:p>
    <w:p w14:paraId="46970C17">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设计应从以下方面</w:t>
      </w:r>
      <w:r>
        <w:rPr>
          <w:rFonts w:hint="eastAsia"/>
          <w:color w:val="000000" w:themeColor="text1"/>
          <w:lang w:eastAsia="zh-CN"/>
          <w14:textFill>
            <w14:solidFill>
              <w14:schemeClr w14:val="tx1"/>
            </w14:solidFill>
          </w14:textFill>
        </w:rPr>
        <w:t>对</w:t>
      </w:r>
      <w:r>
        <w:rPr>
          <w:rFonts w:hint="eastAsia"/>
          <w:color w:val="000000" w:themeColor="text1"/>
          <w14:textFill>
            <w14:solidFill>
              <w14:schemeClr w14:val="tx1"/>
            </w14:solidFill>
          </w14:textFill>
        </w:rPr>
        <w:t>钢结构的制造、运输和安装提出要求:</w:t>
      </w:r>
    </w:p>
    <w:p w14:paraId="2BB7B35C">
      <w:pPr>
        <w:pStyle w:val="26"/>
        <w:tabs>
          <w:tab w:val="clear" w:pos="4201"/>
        </w:tabs>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应合理分割，以便于运输、组装、焊接及检修；</w:t>
      </w:r>
    </w:p>
    <w:p w14:paraId="4168A491">
      <w:pPr>
        <w:pStyle w:val="26"/>
        <w:tabs>
          <w:tab w:val="clear" w:pos="4201"/>
        </w:tabs>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应规定焊缝类型和尺寸；</w:t>
      </w:r>
    </w:p>
    <w:p w14:paraId="667E27D7">
      <w:pPr>
        <w:pStyle w:val="26"/>
        <w:tabs>
          <w:tab w:val="clear" w:pos="4201"/>
        </w:tabs>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应针对焊接工艺、组装精度、焊接顺序和加工提出原则性要求；</w:t>
      </w:r>
    </w:p>
    <w:p w14:paraId="10CB42CB">
      <w:pPr>
        <w:pStyle w:val="26"/>
        <w:tabs>
          <w:tab w:val="clear" w:pos="4201"/>
        </w:tabs>
        <w:spacing w:line="44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应采取措施防止钢结构在制作</w:t>
      </w:r>
      <w:r>
        <w:rPr>
          <w:rFonts w:hint="eastAsia"/>
          <w:color w:val="000000" w:themeColor="text1"/>
          <w:lang w:eastAsia="zh-CN"/>
          <w14:textFill>
            <w14:solidFill>
              <w14:schemeClr w14:val="tx1"/>
            </w14:solidFill>
          </w14:textFill>
        </w:rPr>
        <w:t>、运输和</w:t>
      </w:r>
      <w:r>
        <w:rPr>
          <w:rFonts w:hint="eastAsia"/>
          <w:color w:val="000000" w:themeColor="text1"/>
          <w14:textFill>
            <w14:solidFill>
              <w14:schemeClr w14:val="tx1"/>
            </w14:solidFill>
          </w14:textFill>
        </w:rPr>
        <w:t>安装架设阶段出现过大变形或丧失稳定。</w:t>
      </w:r>
    </w:p>
    <w:p w14:paraId="1994B160">
      <w:pPr>
        <w:pStyle w:val="76"/>
      </w:pPr>
      <w:r>
        <w:rPr>
          <w:rFonts w:hint="eastAsia"/>
        </w:rPr>
        <w:t>支座应预留安装或检修时的操作空间，并应预设可供顶起用的结构，起顶结构应按实际顶起重量超载30%验算。</w:t>
      </w:r>
    </w:p>
    <w:p w14:paraId="76BCF900">
      <w:pPr>
        <w:pStyle w:val="76"/>
      </w:pPr>
      <w:r>
        <w:rPr>
          <w:rFonts w:hint="eastAsia"/>
        </w:rPr>
        <w:t>渡槽伸缩装置应选用止水型，在伸缩变位及槽内水压力作用下，不应发生渗漏。</w:t>
      </w:r>
    </w:p>
    <w:p w14:paraId="35748BC7">
      <w:pPr>
        <w:pStyle w:val="77"/>
        <w:rPr>
          <w:color w:val="000000" w:themeColor="text1"/>
          <w14:textFill>
            <w14:solidFill>
              <w14:schemeClr w14:val="tx1"/>
            </w14:solidFill>
          </w14:textFill>
        </w:rPr>
      </w:pPr>
      <w:r>
        <w:rPr>
          <w:rFonts w:hint="eastAsia"/>
          <w:color w:val="000000" w:themeColor="text1"/>
          <w14:textFill>
            <w14:solidFill>
              <w14:schemeClr w14:val="tx1"/>
            </w14:solidFill>
          </w14:textFill>
        </w:rPr>
        <w:t>构件</w:t>
      </w:r>
    </w:p>
    <w:p w14:paraId="47DD317D">
      <w:pPr>
        <w:pStyle w:val="76"/>
      </w:pPr>
      <w:r>
        <w:rPr>
          <w:rFonts w:hint="eastAsia"/>
        </w:rPr>
        <w:t>钢箱梁顶板、底板、腹板板厚可根据受力要求，沿桥梁纵向或横向采用不同的厚度，也可采用相同的厚度、不同的钢材牌号。</w:t>
      </w:r>
    </w:p>
    <w:p w14:paraId="0E27DCBA">
      <w:pPr>
        <w:pStyle w:val="76"/>
      </w:pPr>
      <w:r>
        <w:rPr>
          <w:rFonts w:hint="eastAsia"/>
        </w:rPr>
        <w:t>正交异性钢板的构造应符合下列规定：</w:t>
      </w:r>
    </w:p>
    <w:p w14:paraId="4C6FC2BA">
      <w:pPr>
        <w:pStyle w:val="26"/>
      </w:pPr>
      <w:r>
        <w:rPr>
          <w:rFonts w:hint="eastAsia"/>
        </w:rPr>
        <w:t>1 应选用疲劳抗力较高的构造细节；</w:t>
      </w:r>
    </w:p>
    <w:p w14:paraId="768E483D">
      <w:pPr>
        <w:pStyle w:val="26"/>
      </w:pPr>
      <w:r>
        <w:rPr>
          <w:rFonts w:hint="eastAsia"/>
        </w:rPr>
        <w:t>2 应选用可避免或减少面外变形的构造细节；</w:t>
      </w:r>
    </w:p>
    <w:p w14:paraId="72E75E0E">
      <w:pPr>
        <w:pStyle w:val="26"/>
      </w:pPr>
      <w:r>
        <w:rPr>
          <w:rFonts w:hint="eastAsia"/>
        </w:rPr>
        <w:t>3 纵向加劲肋宜选用开口加劲肋；</w:t>
      </w:r>
    </w:p>
    <w:p w14:paraId="65F36509">
      <w:pPr>
        <w:pStyle w:val="26"/>
      </w:pPr>
      <w:r>
        <w:rPr>
          <w:rFonts w:hint="eastAsia"/>
        </w:rPr>
        <w:t>3 应选用便于组装、焊接和检修的构造细节。</w:t>
      </w:r>
    </w:p>
    <w:p w14:paraId="587ED50B">
      <w:pPr>
        <w:pStyle w:val="76"/>
      </w:pPr>
      <w:r>
        <w:rPr>
          <w:rFonts w:hint="eastAsia"/>
        </w:rPr>
        <w:t>钢板纵向加劲肋布置间距、几何尺寸与焊缝构造应符合JTG D64的规定。</w:t>
      </w:r>
    </w:p>
    <w:p w14:paraId="25C05A59">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钢箱梁横向加劲肋间距及构造应满足下列要求:</w:t>
      </w:r>
    </w:p>
    <w:p w14:paraId="5F56E0F8">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对闭口纵向加劲肋，横向加劲肋或横隔板的间距不宜大于4m。</w:t>
      </w:r>
    </w:p>
    <w:p w14:paraId="7DE8D7DB">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对开口纵向加劲肋，横向加劲肋或横隔板的间距不宜大于3m。</w:t>
      </w:r>
    </w:p>
    <w:p w14:paraId="6289B674">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横向加劲肋最小厚度不应小于10mm。</w:t>
      </w:r>
    </w:p>
    <w:p w14:paraId="5D5E9064">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钢箱梁腹板的厚度应根据截面抗剪需要确定，腹板最小厚度应满足J</w:t>
      </w:r>
      <w:r>
        <w:rPr>
          <w:color w:val="000000" w:themeColor="text1"/>
          <w14:textFill>
            <w14:solidFill>
              <w14:schemeClr w14:val="tx1"/>
            </w14:solidFill>
          </w14:textFill>
        </w:rPr>
        <w:t>TG D64</w:t>
      </w:r>
      <w:r>
        <w:rPr>
          <w:rFonts w:hint="eastAsia"/>
          <w:color w:val="000000" w:themeColor="text1"/>
          <w14:textFill>
            <w14:solidFill>
              <w14:schemeClr w14:val="tx1"/>
            </w14:solidFill>
          </w14:textFill>
        </w:rPr>
        <w:t>的要求；同时考虑腐蚀及后期涂层养护的需要，最小厚度不宜小于12mm，厚度变化时，宜采用箱梁内侧平齐方式。</w:t>
      </w:r>
    </w:p>
    <w:p w14:paraId="608E38A9">
      <w:pPr>
        <w:pStyle w:val="76"/>
        <w:rPr>
          <w:color w:val="000000" w:themeColor="text1"/>
          <w14:textFill>
            <w14:solidFill>
              <w14:schemeClr w14:val="tx1"/>
            </w14:solidFill>
          </w14:textFill>
        </w:rPr>
      </w:pPr>
      <w:r>
        <w:rPr>
          <w:rFonts w:hint="eastAsia"/>
          <w:color w:val="000000" w:themeColor="text1"/>
          <w14:textFill>
            <w14:solidFill>
              <w14:schemeClr w14:val="tx1"/>
            </w14:solidFill>
          </w14:textFill>
        </w:rPr>
        <w:t>钢箱梁腹板横向加劲肋的间距及惯性矩、纵向加劲肋的惯性矩应满足J</w:t>
      </w:r>
      <w:r>
        <w:rPr>
          <w:color w:val="000000" w:themeColor="text1"/>
          <w14:textFill>
            <w14:solidFill>
              <w14:schemeClr w14:val="tx1"/>
            </w14:solidFill>
          </w14:textFill>
        </w:rPr>
        <w:t>TG D64</w:t>
      </w:r>
      <w:r>
        <w:rPr>
          <w:rFonts w:hint="eastAsia"/>
          <w:color w:val="000000" w:themeColor="text1"/>
          <w14:textFill>
            <w14:solidFill>
              <w14:schemeClr w14:val="tx1"/>
            </w14:solidFill>
          </w14:textFill>
        </w:rPr>
        <w:t>的要求。</w:t>
      </w:r>
    </w:p>
    <w:p w14:paraId="65116760">
      <w:pPr>
        <w:pStyle w:val="76"/>
      </w:pPr>
      <w:r>
        <w:rPr>
          <w:rFonts w:hint="eastAsia"/>
        </w:rPr>
        <w:t>当采用斜腹板钢箱梁时，应验算斜腹板与底板、横隔板相交位置的应力，必要时应在该位置设置角点加劲肋。</w:t>
      </w:r>
    </w:p>
    <w:p w14:paraId="7088A292">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钢箱梁底板厚度应根据计算确定并尽量减少板厚类型，并应符合以下规定：</w:t>
      </w:r>
    </w:p>
    <w:p w14:paraId="7CEFD961">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最小厚度不宜小于12mm，厚度变化时，宜采用箱梁内侧平齐方式。</w:t>
      </w:r>
    </w:p>
    <w:p w14:paraId="366B3D33">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对于受压底板，加劲肋间距不宜大于底板厚度的40倍，应力很小和由构造控制设计的情况下可以放宽到80倍；对于受拉底板，其加劲肋间距应小于底板厚度的80倍。</w:t>
      </w:r>
    </w:p>
    <w:p w14:paraId="424FC559">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底板纵向加劲肋应连续通过跨间横隔板或横肋，受拉底板纵向加劲肋与跨间横隔板不焊接，受压底板纵向加劲肋（板肋）与跨间横隔板或横肋单侧焊接。</w:t>
      </w:r>
    </w:p>
    <w:p w14:paraId="18A2938D">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受压底板纵、横向加劲肋宜采用刚性加劲肋，且纵、横向加劲肋的相对刚度应满足J</w:t>
      </w:r>
      <w:r>
        <w:rPr>
          <w:color w:val="000000" w:themeColor="text1"/>
          <w14:textFill>
            <w14:solidFill>
              <w14:schemeClr w14:val="tx1"/>
            </w14:solidFill>
          </w14:textFill>
        </w:rPr>
        <w:t>TG D64</w:t>
      </w:r>
      <w:r>
        <w:rPr>
          <w:rFonts w:hint="eastAsia"/>
          <w:color w:val="000000" w:themeColor="text1"/>
          <w14:textFill>
            <w14:solidFill>
              <w14:schemeClr w14:val="tx1"/>
            </w14:solidFill>
          </w14:textFill>
        </w:rPr>
        <w:t>的要求。</w:t>
      </w:r>
    </w:p>
    <w:p w14:paraId="53885B6A">
      <w:pPr>
        <w:pStyle w:val="76"/>
      </w:pPr>
      <w:r>
        <w:rPr>
          <w:rFonts w:hint="eastAsia"/>
        </w:rPr>
        <w:t>主桁与拱肋的截面可采用H形或箱形；H 型杆件的排水孔直径不宜小于50mm，箱型杆件盖板宜与腹板顶面齐平，端隔板外易积水处应设置排水孔。</w:t>
      </w:r>
    </w:p>
    <w:p w14:paraId="6F79F009">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节点板应与杆件的接触面全部密贴。在支承处，节点板宜低于桁梁下弦10~15mm，下缘应磨光并与支承垫板顶紧。</w:t>
      </w:r>
    </w:p>
    <w:p w14:paraId="2A7FFBD5">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主桁拼接板的总净截面面积应较被拼接杆件的净截面面积大10%。被拼接的两弦杆的截面不等时，拼接板应按截面较大的弦杆来计算。</w:t>
      </w:r>
    </w:p>
    <w:p w14:paraId="664B55F0">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整体节点构造应满足下列要求:</w:t>
      </w:r>
    </w:p>
    <w:p w14:paraId="732CCD26">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节点板圆弧半径宜大于1/2弦杆高度。</w:t>
      </w:r>
    </w:p>
    <w:p w14:paraId="29263BCB">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节点板与弦杆竖板对接焊缝宜在弧端以外100mm以上,该对接焊缝与相邻横隔板的间距也应大于100mm。</w:t>
      </w:r>
    </w:p>
    <w:p w14:paraId="3999D7C9">
      <w:pPr>
        <w:pStyle w:val="26"/>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节点内应设置横隔板，当存在横梁时应与横梁腹板相对应。</w:t>
      </w:r>
    </w:p>
    <w:p w14:paraId="26794D77">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桁架桥采用整体焊接节点时，可将节点板与一侧弦杆直接焊连，其余杆件在节点外拼接。</w:t>
      </w:r>
    </w:p>
    <w:p w14:paraId="1B9DC0D3">
      <w:pPr>
        <w:pStyle w:val="77"/>
        <w:rPr>
          <w:rFonts w:ascii="Times New Roman"/>
          <w:color w:val="000000" w:themeColor="text1"/>
          <w:szCs w:val="22"/>
          <w14:textFill>
            <w14:solidFill>
              <w14:schemeClr w14:val="tx1"/>
            </w14:solidFill>
          </w14:textFill>
        </w:rPr>
      </w:pPr>
      <w:r>
        <w:rPr>
          <w:rFonts w:hint="eastAsia" w:ascii="Times New Roman"/>
          <w:color w:val="000000" w:themeColor="text1"/>
          <w:szCs w:val="22"/>
          <w14:textFill>
            <w14:solidFill>
              <w14:schemeClr w14:val="tx1"/>
            </w14:solidFill>
          </w14:textFill>
        </w:rPr>
        <w:t>连接</w:t>
      </w:r>
    </w:p>
    <w:p w14:paraId="0DFB1667">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连接的构造和计算应符合J</w:t>
      </w:r>
      <w:r>
        <w:rPr>
          <w:color w:val="000000" w:themeColor="text1"/>
          <w14:textFill>
            <w14:solidFill>
              <w14:schemeClr w14:val="tx1"/>
            </w14:solidFill>
          </w14:textFill>
        </w:rPr>
        <w:t xml:space="preserve">TG </w:t>
      </w:r>
      <w:r>
        <w:rPr>
          <w:rFonts w:hint="eastAsia"/>
          <w:color w:val="000000" w:themeColor="text1"/>
          <w14:textFill>
            <w14:solidFill>
              <w14:schemeClr w14:val="tx1"/>
            </w14:solidFill>
          </w14:textFill>
        </w:rPr>
        <w:t>D</w:t>
      </w:r>
      <w:r>
        <w:rPr>
          <w:color w:val="000000" w:themeColor="text1"/>
          <w14:textFill>
            <w14:solidFill>
              <w14:schemeClr w14:val="tx1"/>
            </w14:solidFill>
          </w14:textFill>
        </w:rPr>
        <w:t>64</w:t>
      </w:r>
      <w:r>
        <w:rPr>
          <w:rFonts w:hint="eastAsia"/>
          <w:color w:val="000000" w:themeColor="text1"/>
          <w14:textFill>
            <w14:solidFill>
              <w14:schemeClr w14:val="tx1"/>
            </w14:solidFill>
          </w14:textFill>
        </w:rPr>
        <w:t>的规定。</w:t>
      </w:r>
    </w:p>
    <w:p w14:paraId="74972649">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钢结构连接可采用焊接和螺栓连接，并应符合下列规定:</w:t>
      </w:r>
    </w:p>
    <w:p w14:paraId="65A4B98D">
      <w:pPr>
        <w:pStyle w:val="26"/>
        <w:tabs>
          <w:tab w:val="clear" w:pos="4201"/>
        </w:tabs>
        <w:spacing w:line="44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1</w:t>
      </w:r>
      <w:r>
        <w:rPr>
          <w:color w:val="000000" w:themeColor="text1"/>
          <w:szCs w:val="22"/>
          <w14:textFill>
            <w14:solidFill>
              <w14:schemeClr w14:val="tx1"/>
            </w14:solidFill>
          </w14:textFill>
        </w:rPr>
        <w:t xml:space="preserve"> </w:t>
      </w:r>
      <w:r>
        <w:rPr>
          <w:rFonts w:hint="eastAsia"/>
          <w:color w:val="000000" w:themeColor="text1"/>
          <w:szCs w:val="22"/>
          <w14:textFill>
            <w14:solidFill>
              <w14:schemeClr w14:val="tx1"/>
            </w14:solidFill>
          </w14:textFill>
        </w:rPr>
        <w:t>板件间的连接应优先选用焊接，杆件或梁段之间的连接可选用焊接、螺栓连接或焊接与螺栓的混合连接。</w:t>
      </w:r>
    </w:p>
    <w:p w14:paraId="7B6F39F3">
      <w:pPr>
        <w:pStyle w:val="26"/>
        <w:spacing w:line="44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2 对主要受力结构应采用高强度螺栓摩擦型连接。</w:t>
      </w:r>
    </w:p>
    <w:p w14:paraId="5EDBB327">
      <w:pPr>
        <w:pStyle w:val="76"/>
        <w:spacing w:line="400" w:lineRule="exact"/>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焊接和高强度螺栓摩擦型连接同时并存的连接应慎用；当必须使用时，其所采用的工艺应保证接触面不变形。该混合连接所传递的力应由两种连接按各自的承载力依比例分担，且使混合接头的内力设计值不</w:t>
      </w:r>
      <w:r>
        <w:rPr>
          <w:rFonts w:hint="eastAsia"/>
          <w:color w:val="000000" w:themeColor="text1"/>
          <w:szCs w:val="22"/>
          <w:lang w:eastAsia="zh-CN"/>
          <w14:textFill>
            <w14:solidFill>
              <w14:schemeClr w14:val="tx1"/>
            </w14:solidFill>
          </w14:textFill>
        </w:rPr>
        <w:t>大于</w:t>
      </w:r>
      <w:r>
        <w:rPr>
          <w:rFonts w:hint="eastAsia"/>
          <w:color w:val="000000" w:themeColor="text1"/>
          <w:szCs w:val="22"/>
          <w14:textFill>
            <w14:solidFill>
              <w14:schemeClr w14:val="tx1"/>
            </w14:solidFill>
          </w14:textFill>
        </w:rPr>
        <w:t>二者承载力总和的90%。</w:t>
      </w:r>
    </w:p>
    <w:p w14:paraId="55C53452">
      <w:pPr>
        <w:pStyle w:val="76"/>
      </w:pPr>
      <w:r>
        <w:rPr>
          <w:rFonts w:hint="eastAsia"/>
        </w:rPr>
        <w:t>对于主要构件，不应使用间断焊接、塞焊和槽焊。</w:t>
      </w:r>
    </w:p>
    <w:p w14:paraId="2E0E49B4">
      <w:pPr>
        <w:pStyle w:val="76"/>
      </w:pPr>
      <w:r>
        <w:rPr>
          <w:rFonts w:hint="eastAsia"/>
        </w:rPr>
        <w:t>焊缝的坡口形式及焊缝尺寸应根据钢材材质、接头形式和受力状态进行设计，并应针对焊接方法、工艺措施等提出要求。</w:t>
      </w:r>
    </w:p>
    <w:p w14:paraId="7702E213">
      <w:pPr>
        <w:pStyle w:val="76"/>
      </w:pPr>
      <w:r>
        <w:rPr>
          <w:rFonts w:hint="eastAsia"/>
        </w:rPr>
        <w:t>焊缝应布置在焊工便于到达和施焊的位置，并应有合适的焊条运转空间和角度，且应尽量避免仰焊。</w:t>
      </w:r>
    </w:p>
    <w:p w14:paraId="3EBAC997">
      <w:pPr>
        <w:pStyle w:val="76"/>
        <w:rPr>
          <w:rFonts w:eastAsia="黑体"/>
          <w:kern w:val="44"/>
          <w:sz w:val="32"/>
        </w:rPr>
      </w:pPr>
      <w:r>
        <w:rPr>
          <w:rFonts w:hint="eastAsia"/>
          <w:color w:val="000000" w:themeColor="text1"/>
          <w:szCs w:val="22"/>
          <w14:textFill>
            <w14:solidFill>
              <w14:schemeClr w14:val="tx1"/>
            </w14:solidFill>
          </w14:textFill>
        </w:rPr>
        <w:t>不锈复合钢板采用角焊缝连接时，须先去除其表层，使基层可直接焊接，形成牢靠有效的焊接接头。</w:t>
      </w:r>
    </w:p>
    <w:p w14:paraId="5C074CBF">
      <w:pPr>
        <w:pStyle w:val="76"/>
        <w:rPr>
          <w:rFonts w:eastAsia="黑体"/>
          <w:kern w:val="44"/>
          <w:sz w:val="32"/>
        </w:rPr>
      </w:pPr>
      <w:r>
        <w:br w:type="page"/>
      </w:r>
    </w:p>
    <w:bookmarkEnd w:id="18"/>
    <w:bookmarkEnd w:id="19"/>
    <w:bookmarkEnd w:id="20"/>
    <w:bookmarkEnd w:id="21"/>
    <w:bookmarkEnd w:id="22"/>
    <w:bookmarkEnd w:id="23"/>
    <w:bookmarkEnd w:id="24"/>
    <w:bookmarkEnd w:id="27"/>
    <w:bookmarkEnd w:id="28"/>
    <w:bookmarkEnd w:id="35"/>
    <w:p w14:paraId="679F4A13">
      <w:pPr>
        <w:pStyle w:val="109"/>
        <w:spacing w:before="312" w:after="312"/>
        <w:rPr>
          <w:rFonts w:hint="eastAsia" w:hAnsi="黑体"/>
          <w:color w:val="000000" w:themeColor="text1"/>
          <w:szCs w:val="32"/>
          <w14:textFill>
            <w14:solidFill>
              <w14:schemeClr w14:val="tx1"/>
            </w14:solidFill>
          </w14:textFill>
        </w:rPr>
      </w:pPr>
      <w:bookmarkStart w:id="62" w:name="_Toc212642134"/>
      <w:r>
        <w:rPr>
          <w:rFonts w:hint="eastAsia"/>
          <w:color w:val="000000" w:themeColor="text1"/>
          <w14:textFill>
            <w14:solidFill>
              <w14:schemeClr w14:val="tx1"/>
            </w14:solidFill>
          </w14:textFill>
        </w:rPr>
        <w:t>耐久性</w:t>
      </w:r>
      <w:r>
        <w:rPr>
          <w:rFonts w:hint="eastAsia" w:hAnsi="黑体"/>
          <w:color w:val="000000" w:themeColor="text1"/>
          <w:szCs w:val="32"/>
          <w14:textFill>
            <w14:solidFill>
              <w14:schemeClr w14:val="tx1"/>
            </w14:solidFill>
          </w14:textFill>
        </w:rPr>
        <w:t>设计</w:t>
      </w:r>
      <w:bookmarkEnd w:id="62"/>
    </w:p>
    <w:p w14:paraId="41128E47">
      <w:pPr>
        <w:pStyle w:val="76"/>
        <w:spacing w:line="400" w:lineRule="exact"/>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渡槽应进行防腐和养护设计，采取可靠措施</w:t>
      </w:r>
      <w:r>
        <w:rPr>
          <w:rFonts w:hint="eastAsia"/>
          <w:color w:val="000000" w:themeColor="text1"/>
          <w14:textFill>
            <w14:solidFill>
              <w14:schemeClr w14:val="tx1"/>
            </w14:solidFill>
          </w14:textFill>
        </w:rPr>
        <w:t>降低老化、腐蚀和设计年限内发生偶然作用导致的损伤。</w:t>
      </w:r>
    </w:p>
    <w:p w14:paraId="720B30E3">
      <w:pPr>
        <w:pStyle w:val="76"/>
      </w:pPr>
      <w:r>
        <w:rPr>
          <w:rFonts w:hint="eastAsia" w:ascii="宋体" w:hAnsi="宋体" w:cs="宋体"/>
        </w:rPr>
        <w:t>渡槽</w:t>
      </w:r>
      <w:r>
        <w:rPr>
          <w:rFonts w:hint="eastAsia"/>
        </w:rPr>
        <w:t>槽体迎水面应按SL105进行防腐涂装，供水渡槽宜采用不锈钢或不锈复合钢板。其它部位</w:t>
      </w:r>
      <w:r>
        <w:rPr>
          <w:rFonts w:hint="eastAsia" w:ascii="宋体" w:hAnsi="宋体" w:cs="宋体"/>
        </w:rPr>
        <w:t>应按JT/T 722进行防腐涂装。</w:t>
      </w:r>
    </w:p>
    <w:p w14:paraId="7FE920BE">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受侵蚀介质作用的结构以及在使用年限内不能重新涂装的结构部位的防腐措施应进行论证。</w:t>
      </w:r>
    </w:p>
    <w:p w14:paraId="65824B80">
      <w:pPr>
        <w:pStyle w:val="76"/>
        <w:spacing w:line="40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构造设计应避免积留湿气和灰尘的死角或凹槽，便于养护检查。密闭环境且空间狭小的构件内部表面可不进行涂装，结构密闭之前其表面应无水。</w:t>
      </w:r>
    </w:p>
    <w:p w14:paraId="386101E4">
      <w:pPr>
        <w:pStyle w:val="76"/>
      </w:pPr>
      <w:r>
        <w:rPr>
          <w:rFonts w:hint="eastAsia"/>
          <w:color w:val="000000" w:themeColor="text1"/>
          <w14:textFill>
            <w14:solidFill>
              <w14:schemeClr w14:val="tx1"/>
            </w14:solidFill>
          </w14:textFill>
        </w:rPr>
        <w:t>建筑物级别1级、2级渡槽应设置养护检查车。</w:t>
      </w:r>
    </w:p>
    <w:p w14:paraId="1755BCBC">
      <w:pPr>
        <w:widowControl/>
        <w:jc w:val="left"/>
        <w:rPr>
          <w:color w:val="000000" w:themeColor="text1"/>
          <w:kern w:val="0"/>
          <w:szCs w:val="21"/>
          <w14:textFill>
            <w14:solidFill>
              <w14:schemeClr w14:val="tx1"/>
            </w14:solidFill>
          </w14:textFill>
        </w:rPr>
      </w:pPr>
    </w:p>
    <w:sectPr>
      <w:footerReference r:id="rId9" w:type="default"/>
      <w:footerReference r:id="rId10" w:type="even"/>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AFFC3">
    <w:pPr>
      <w:pStyle w:val="20"/>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71450" cy="131445"/>
              <wp:effectExtent l="0" t="0" r="3175" b="4445"/>
              <wp:wrapNone/>
              <wp:docPr id="24" name="文本框 1122"/>
              <wp:cNvGraphicFramePr/>
              <a:graphic xmlns:a="http://schemas.openxmlformats.org/drawingml/2006/main">
                <a:graphicData uri="http://schemas.microsoft.com/office/word/2010/wordprocessingShape">
                  <wps:wsp>
                    <wps:cNvSpPr txBox="1">
                      <a:spLocks noChangeArrowheads="1"/>
                    </wps:cNvSpPr>
                    <wps:spPr bwMode="auto">
                      <a:xfrm>
                        <a:off x="0" y="0"/>
                        <a:ext cx="171450" cy="131445"/>
                      </a:xfrm>
                      <a:prstGeom prst="rect">
                        <a:avLst/>
                      </a:prstGeom>
                      <a:noFill/>
                      <a:ln>
                        <a:noFill/>
                      </a:ln>
                    </wps:spPr>
                    <wps:txbx>
                      <w:txbxContent>
                        <w:p w14:paraId="7DAD79CB">
                          <w:pPr>
                            <w:pStyle w:val="20"/>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122" o:spid="_x0000_s1026" o:spt="202" type="#_x0000_t202" style="position:absolute;left:0pt;margin-top:0pt;height:10.35pt;width:13.5pt;mso-position-horizontal:center;mso-position-horizontal-relative:margin;mso-wrap-style:none;z-index:251669504;mso-width-relative:page;mso-height-relative:page;" filled="f" stroked="f" coordsize="21600,21600" o:gfxdata="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VjlyLzwAAAAMBAAAPAAAAAAAAAAEAIAAAACIAAABkcnMv&#10;ZG93bnJldi54bWxQSwECFAAUAAAACACHTuJAnuLWwQwCAAAGBAAADgAAAAAAAAABACAAAAAeAQAA&#10;ZHJzL2Uyb0RvYy54bWxQSwUGAAAAAAYABgBZAQAAnAUAAAAA&#10;">
              <v:fill on="f" focussize="0,0"/>
              <v:stroke on="f"/>
              <v:imagedata o:title=""/>
              <o:lock v:ext="edit" aspectratio="f"/>
              <v:textbox inset="0mm,0mm,0mm,0mm" style="mso-fit-shape-to-text:t;">
                <w:txbxContent>
                  <w:p w14:paraId="7DAD79CB">
                    <w:pPr>
                      <w:pStyle w:val="20"/>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14935" cy="153035"/>
              <wp:effectExtent l="0" t="0" r="0" b="1905"/>
              <wp:wrapNone/>
              <wp:docPr id="23" name="文本框 1028"/>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70F7EC51"/>
                      </w:txbxContent>
                    </wps:txbx>
                    <wps:bodyPr rot="0" vert="horz" wrap="none" lIns="0" tIns="0" rIns="0" bIns="0" anchor="t" anchorCtr="0" upright="1">
                      <a:spAutoFit/>
                    </wps:bodyPr>
                  </wps:wsp>
                </a:graphicData>
              </a:graphic>
            </wp:anchor>
          </w:drawing>
        </mc:Choice>
        <mc:Fallback>
          <w:pict>
            <v:shape id="文本框 1028" o:spid="_x0000_s1026" o:spt="202" type="#_x0000_t202" style="position:absolute;left:0pt;margin-top:0pt;height:12.05pt;width:9.05pt;mso-position-horizontal:right;mso-position-horizontal-relative:margin;mso-wrap-style:none;z-index:251663360;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&#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kFT5rQAAAAAwEAAA8AAAAAAAAAAQAgAAAAIgAAAGRy&#10;cy9kb3ducmV2LnhtbFBLAQIUABQAAAAIAIdO4kDEN/dNDQIAAAYEAAAOAAAAAAAAAAEAIAAAAB8B&#10;AABkcnMvZTJvRG9jLnhtbFBLBQYAAAAABgAGAFkBAACeBQAAAAA=&#10;">
              <v:fill on="f" focussize="0,0"/>
              <v:stroke on="f"/>
              <v:imagedata o:title=""/>
              <o:lock v:ext="edit" aspectratio="f"/>
              <v:textbox inset="0mm,0mm,0mm,0mm" style="mso-fit-shape-to-text:t;">
                <w:txbxContent>
                  <w:p w14:paraId="70F7EC51"/>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9FE86">
    <w:pPr>
      <w:pStyle w:val="20"/>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1123"/>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3FC2624E">
                          <w:pPr>
                            <w:pStyle w:val="20"/>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123"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6pebnPAAAABQEAAA8AAAAAAAAAAQAgAAAAIgAAAGRycy9kb3du&#10;cmV2LnhtbFBLAQIUABQAAAAIAIdO4kCytKv/CAIAAAgEAAAOAAAAAAAAAAEAIAAAAB4BAABkcnMv&#10;ZTJvRG9jLnhtbFBLBQYAAAAABgAGAFkBAACYBQAAAAA=&#10;">
              <v:fill on="f" focussize="0,0"/>
              <v:stroke on="f"/>
              <v:imagedata o:title=""/>
              <o:lock v:ext="edit" aspectratio="f"/>
              <v:textbox inset="0mm,0mm,0mm,0mm" style="mso-fit-shape-to-text:t;">
                <w:txbxContent>
                  <w:p w14:paraId="3FC2624E">
                    <w:pPr>
                      <w:pStyle w:val="20"/>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margin">
                <wp:align>left</wp:align>
              </wp:positionH>
              <wp:positionV relativeFrom="paragraph">
                <wp:posOffset>0</wp:posOffset>
              </wp:positionV>
              <wp:extent cx="1828800" cy="1828800"/>
              <wp:effectExtent l="0" t="0" r="0" b="0"/>
              <wp:wrapNone/>
              <wp:docPr id="25" name="文本框 1029"/>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4602B493">
                          <w:pPr>
                            <w:pStyle w:val="20"/>
                          </w:pPr>
                        </w:p>
                      </w:txbxContent>
                    </wps:txbx>
                    <wps:bodyPr rot="0" vert="horz" wrap="none" lIns="0" tIns="0" rIns="0" bIns="0" anchor="t" anchorCtr="0" upright="1">
                      <a:spAutoFit/>
                    </wps:bodyPr>
                  </wps:wsp>
                </a:graphicData>
              </a:graphic>
            </wp:anchor>
          </w:drawing>
        </mc:Choice>
        <mc:Fallback>
          <w:pict>
            <v:shape id="文本框 1029" o:spid="_x0000_s1026" o:spt="202" type="#_x0000_t202" style="position:absolute;left:0pt;margin-top:0pt;height:144pt;width:144pt;mso-position-horizontal:left;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qXm5zwAAAAUBAAAPAAAAAAAAAAEAIAAAACIAAABkcnMvZG93&#10;bnJldi54bWxQSwECFAAUAAAACACHTuJACXE+MQkCAAAIBAAADgAAAAAAAAABACAAAAAeAQAAZHJz&#10;L2Uyb0RvYy54bWxQSwUGAAAAAAYABgBZAQAAmQUAAAAA&#10;">
              <v:fill on="f" focussize="0,0"/>
              <v:stroke on="f"/>
              <v:imagedata o:title=""/>
              <o:lock v:ext="edit" aspectratio="f"/>
              <v:textbox inset="0mm,0mm,0mm,0mm" style="mso-fit-shape-to-text:t;">
                <w:txbxContent>
                  <w:p w14:paraId="4602B493">
                    <w:pPr>
                      <w:pStyle w:val="20"/>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117D5">
    <w:pPr>
      <w:pStyle w:val="119"/>
      <w:jc w:val="both"/>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247650" cy="131445"/>
              <wp:effectExtent l="1270" t="3810" r="0" b="0"/>
              <wp:wrapNone/>
              <wp:docPr id="15" name="文本框 1103"/>
              <wp:cNvGraphicFramePr/>
              <a:graphic xmlns:a="http://schemas.openxmlformats.org/drawingml/2006/main">
                <a:graphicData uri="http://schemas.microsoft.com/office/word/2010/wordprocessingShape">
                  <wps:wsp>
                    <wps:cNvSpPr txBox="1">
                      <a:spLocks noChangeArrowheads="1"/>
                    </wps:cNvSpPr>
                    <wps:spPr bwMode="auto">
                      <a:xfrm>
                        <a:off x="0" y="0"/>
                        <a:ext cx="247650" cy="131445"/>
                      </a:xfrm>
                      <a:prstGeom prst="rect">
                        <a:avLst/>
                      </a:prstGeom>
                      <a:noFill/>
                      <a:ln>
                        <a:noFill/>
                      </a:ln>
                    </wps:spPr>
                    <wps:txbx>
                      <w:txbxContent>
                        <w:p w14:paraId="16D02AB6">
                          <w:pPr>
                            <w:pStyle w:val="20"/>
                          </w:pPr>
                          <w:r>
                            <w:rPr>
                              <w:rFonts w:hint="eastAsia"/>
                            </w:rPr>
                            <w:fldChar w:fldCharType="begin"/>
                          </w:r>
                          <w:r>
                            <w:rPr>
                              <w:rFonts w:hint="eastAsia"/>
                            </w:rPr>
                            <w:instrText xml:space="preserve"> PAGE  \* MERGEFORMAT </w:instrText>
                          </w:r>
                          <w:r>
                            <w:rPr>
                              <w:rFonts w:hint="eastAsia"/>
                            </w:rPr>
                            <w:fldChar w:fldCharType="separate"/>
                          </w:r>
                          <w:r>
                            <w:t>III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103" o:spid="_x0000_s1026" o:spt="202" type="#_x0000_t202" style="position:absolute;left:0pt;margin-top:0pt;height:10.35pt;width:19.5pt;mso-position-horizontal:outside;mso-position-horizontal-relative:margin;mso-wrap-style:none;z-index:251666432;mso-width-relative:page;mso-height-relative:page;" filled="f" stroked="f" coordsize="21600,21600" o:gfxdata="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&#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exSODQAAAAAwEAAA8AAAAAAAAAAQAgAAAAIgAAAGRy&#10;cy9kb3ducmV2LnhtbFBLAQIUABQAAAAIAIdO4kBhLfToDQIAAAYEAAAOAAAAAAAAAAEAIAAAAB8B&#10;AABkcnMvZTJvRG9jLnhtbFBLBQYAAAAABgAGAFkBAACeBQAAAAA=&#10;">
              <v:fill on="f" focussize="0,0"/>
              <v:stroke on="f"/>
              <v:imagedata o:title=""/>
              <o:lock v:ext="edit" aspectratio="f"/>
              <v:textbox inset="0mm,0mm,0mm,0mm" style="mso-fit-shape-to-text:t;">
                <w:txbxContent>
                  <w:p w14:paraId="16D02AB6">
                    <w:pPr>
                      <w:pStyle w:val="20"/>
                    </w:pPr>
                    <w:r>
                      <w:rPr>
                        <w:rFonts w:hint="eastAsia"/>
                      </w:rPr>
                      <w:fldChar w:fldCharType="begin"/>
                    </w:r>
                    <w:r>
                      <w:rPr>
                        <w:rFonts w:hint="eastAsia"/>
                      </w:rPr>
                      <w:instrText xml:space="preserve"> PAGE  \* MERGEFORMAT </w:instrText>
                    </w:r>
                    <w:r>
                      <w:rPr>
                        <w:rFonts w:hint="eastAsia"/>
                      </w:rPr>
                      <w:fldChar w:fldCharType="separate"/>
                    </w:r>
                    <w:r>
                      <w:t>III</w:t>
                    </w:r>
                    <w:r>
                      <w:rPr>
                        <w:rFonts w:hint="eastAsia"/>
                      </w:rP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14935" cy="153035"/>
              <wp:effectExtent l="635" t="3810" r="0" b="0"/>
              <wp:wrapNone/>
              <wp:docPr id="14" name="文本框 105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5A47F764"/>
                      </w:txbxContent>
                    </wps:txbx>
                    <wps:bodyPr rot="0" vert="horz" wrap="none" lIns="0" tIns="0" rIns="0" bIns="0" anchor="t" anchorCtr="0" upright="1">
                      <a:spAutoFit/>
                    </wps:bodyPr>
                  </wps:wsp>
                </a:graphicData>
              </a:graphic>
            </wp:anchor>
          </w:drawing>
        </mc:Choice>
        <mc:Fallback>
          <w:pict>
            <v:shape id="文本框 1052" o:spid="_x0000_s1026" o:spt="202" type="#_x0000_t202" style="position:absolute;left:0pt;margin-top:0pt;height:12.05pt;width:9.05pt;mso-position-horizontal:right;mso-position-horizontal-relative:margin;mso-wrap-style:none;z-index:251662336;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QVPmtAAAAADAQAADwAAAAAAAAABACAAAAAiAAAAZHJz&#10;L2Rvd25yZXYueG1sUEsBAhQAFAAAAAgAh07iQKR9K+EMAgAABgQAAA4AAAAAAAAAAQAgAAAAHwEA&#10;AGRycy9lMm9Eb2MueG1sUEsFBgAAAAAGAAYAWQEAAJ0FAAAAAA==&#10;">
              <v:fill on="f" focussize="0,0"/>
              <v:stroke on="f"/>
              <v:imagedata o:title=""/>
              <o:lock v:ext="edit" aspectratio="f"/>
              <v:textbox inset="0mm,0mm,0mm,0mm" style="mso-fit-shape-to-text:t;">
                <w:txbxContent>
                  <w:p w14:paraId="5A47F764"/>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14935" cy="153035"/>
              <wp:effectExtent l="635" t="3810" r="0" b="0"/>
              <wp:wrapNone/>
              <wp:docPr id="13" name="文本框 1053"/>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66DDA19B"/>
                      </w:txbxContent>
                    </wps:txbx>
                    <wps:bodyPr rot="0" vert="horz" wrap="none" lIns="0" tIns="0" rIns="0" bIns="0" anchor="t" anchorCtr="0" upright="1">
                      <a:spAutoFit/>
                    </wps:bodyPr>
                  </wps:wsp>
                </a:graphicData>
              </a:graphic>
            </wp:anchor>
          </w:drawing>
        </mc:Choice>
        <mc:Fallback>
          <w:pict>
            <v:shape id="文本框 1053" o:spid="_x0000_s1026" o:spt="202" type="#_x0000_t202" style="position:absolute;left:0pt;margin-top:0pt;height:12.05pt;width:9.05pt;mso-position-horizontal:right;mso-position-horizontal-relative:margin;mso-wrap-style:none;z-index:251659264;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JBU+a0AAAAAMBAAAPAAAAAAAAAAEAIAAAACIAAABkcnMv&#10;ZG93bnJldi54bWxQSwECFAAUAAAACACHTuJABGymOgsCAAAGBAAADgAAAAAAAAABACAAAAAfAQAA&#10;ZHJzL2Uyb0RvYy54bWxQSwUGAAAAAAYABgBZAQAAnAUAAAAA&#10;">
              <v:fill on="f" focussize="0,0"/>
              <v:stroke on="f"/>
              <v:imagedata o:title=""/>
              <o:lock v:ext="edit" aspectratio="f"/>
              <v:textbox inset="0mm,0mm,0mm,0mm" style="mso-fit-shape-to-text:t;">
                <w:txbxContent>
                  <w:p w14:paraId="66DDA19B"/>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97A4A">
    <w:pPr>
      <w:pStyle w:val="20"/>
    </w:pPr>
  </w:p>
  <w:p w14:paraId="13C52833">
    <w:pPr>
      <w:pStyle w:val="20"/>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209550" cy="131445"/>
              <wp:effectExtent l="0" t="1270" r="4445" b="635"/>
              <wp:wrapNone/>
              <wp:docPr id="18" name="文本框 1104"/>
              <wp:cNvGraphicFramePr/>
              <a:graphic xmlns:a="http://schemas.openxmlformats.org/drawingml/2006/main">
                <a:graphicData uri="http://schemas.microsoft.com/office/word/2010/wordprocessingShape">
                  <wps:wsp>
                    <wps:cNvSpPr txBox="1">
                      <a:spLocks noChangeArrowheads="1"/>
                    </wps:cNvSpPr>
                    <wps:spPr bwMode="auto">
                      <a:xfrm>
                        <a:off x="0" y="0"/>
                        <a:ext cx="209550" cy="131445"/>
                      </a:xfrm>
                      <a:prstGeom prst="rect">
                        <a:avLst/>
                      </a:prstGeom>
                      <a:noFill/>
                      <a:ln>
                        <a:noFill/>
                      </a:ln>
                    </wps:spPr>
                    <wps:txbx>
                      <w:txbxContent>
                        <w:p w14:paraId="6DE9B20E">
                          <w:pPr>
                            <w:pStyle w:val="20"/>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104" o:spid="_x0000_s1026" o:spt="202" type="#_x0000_t202" style="position:absolute;left:0pt;margin-top:0pt;height:10.35pt;width:16.5pt;mso-position-horizontal:outside;mso-position-horizontal-relative:margin;mso-wrap-style:none;z-index:251667456;mso-width-relative:page;mso-height-relative:page;" filled="f" stroked="f" coordsize="21600,21600" o:gfxdata="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&#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WjjO7QAAAAAwEAAA8AAAAAAAAAAQAgAAAAIgAAAGRy&#10;cy9kb3ducmV2LnhtbFBLAQIUABQAAAAIAIdO4kATBY7fDQIAAAYEAAAOAAAAAAAAAAEAIAAAAB8B&#10;AABkcnMvZTJvRG9jLnhtbFBLBQYAAAAABgAGAFkBAACeBQAAAAA=&#10;">
              <v:fill on="f" focussize="0,0"/>
              <v:stroke on="f"/>
              <v:imagedata o:title=""/>
              <o:lock v:ext="edit" aspectratio="f"/>
              <v:textbox inset="0mm,0mm,0mm,0mm" style="mso-fit-shape-to-text:t;">
                <w:txbxContent>
                  <w:p w14:paraId="6DE9B20E">
                    <w:pPr>
                      <w:pStyle w:val="20"/>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14935" cy="153035"/>
              <wp:effectExtent l="635" t="1270" r="0" b="0"/>
              <wp:wrapNone/>
              <wp:docPr id="17" name="文本框 1055"/>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4D735F2F"/>
                      </w:txbxContent>
                    </wps:txbx>
                    <wps:bodyPr rot="0" vert="horz" wrap="none" lIns="0" tIns="0" rIns="0" bIns="0" anchor="t" anchorCtr="0" upright="1">
                      <a:spAutoFit/>
                    </wps:bodyPr>
                  </wps:wsp>
                </a:graphicData>
              </a:graphic>
            </wp:anchor>
          </w:drawing>
        </mc:Choice>
        <mc:Fallback>
          <w:pict>
            <v:shape id="文本框 1055" o:spid="_x0000_s1026" o:spt="202" type="#_x0000_t202" style="position:absolute;left:0pt;margin-top:0pt;height:12.05pt;width:9.05pt;mso-position-horizontal:right;mso-position-horizontal-relative:margin;mso-wrap-style:none;z-index:251665408;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QVPmtAAAAADAQAADwAAAAAAAAABACAAAAAiAAAAZHJz&#10;L2Rvd25yZXYueG1sUEsBAhQAFAAAAAgAh07iQEGGCyMMAgAABgQAAA4AAAAAAAAAAQAgAAAAHwEA&#10;AGRycy9lMm9Eb2MueG1sUEsFBgAAAAAGAAYAWQEAAJ0FAAAAAA==&#10;">
              <v:fill on="f" focussize="0,0"/>
              <v:stroke on="f"/>
              <v:imagedata o:title=""/>
              <o:lock v:ext="edit" aspectratio="f"/>
              <v:textbox inset="0mm,0mm,0mm,0mm" style="mso-fit-shape-to-text:t;">
                <w:txbxContent>
                  <w:p w14:paraId="4D735F2F"/>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248285" cy="131445"/>
              <wp:effectExtent l="0" t="1270" r="3810" b="635"/>
              <wp:wrapNone/>
              <wp:docPr id="16" name="文本框 1056"/>
              <wp:cNvGraphicFramePr/>
              <a:graphic xmlns:a="http://schemas.openxmlformats.org/drawingml/2006/main">
                <a:graphicData uri="http://schemas.microsoft.com/office/word/2010/wordprocessingShape">
                  <wps:wsp>
                    <wps:cNvSpPr txBox="1">
                      <a:spLocks noChangeArrowheads="1"/>
                    </wps:cNvSpPr>
                    <wps:spPr bwMode="auto">
                      <a:xfrm>
                        <a:off x="0" y="0"/>
                        <a:ext cx="248285" cy="131445"/>
                      </a:xfrm>
                      <a:prstGeom prst="rect">
                        <a:avLst/>
                      </a:prstGeom>
                      <a:noFill/>
                      <a:ln>
                        <a:noFill/>
                      </a:ln>
                    </wps:spPr>
                    <wps:txbx>
                      <w:txbxContent>
                        <w:p w14:paraId="452AD476">
                          <w:pPr>
                            <w:pStyle w:val="20"/>
                          </w:pPr>
                        </w:p>
                      </w:txbxContent>
                    </wps:txbx>
                    <wps:bodyPr rot="0" vert="horz" wrap="none" lIns="0" tIns="0" rIns="0" bIns="0" anchor="t" anchorCtr="0" upright="1">
                      <a:spAutoFit/>
                    </wps:bodyPr>
                  </wps:wsp>
                </a:graphicData>
              </a:graphic>
            </wp:anchor>
          </w:drawing>
        </mc:Choice>
        <mc:Fallback>
          <w:pict>
            <v:shape id="文本框 1056" o:spid="_x0000_s1026" o:spt="202" type="#_x0000_t202" style="position:absolute;left:0pt;margin-top:0pt;height:10.35pt;width:19.55pt;mso-position-horizontal:left;mso-position-horizontal-relative:margin;mso-wrap-style:none;z-index:251664384;mso-width-relative:page;mso-height-relative:page;" filled="f" stroked="f" coordsize="21600,21600" o:gfxdata="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WqsSO0QAAAAMBAAAPAAAAAAAAAAEAIAAAACIAAABk&#10;cnMvZG93bnJldi54bWxQSwECFAAUAAAACACHTuJATd9W6g0CAAAGBAAADgAAAAAAAAABACAAAAAg&#10;AQAAZHJzL2Uyb0RvYy54bWxQSwUGAAAAAAYABgBZAQAAnwUAAAAA&#10;">
              <v:fill on="f" focussize="0,0"/>
              <v:stroke on="f"/>
              <v:imagedata o:title=""/>
              <o:lock v:ext="edit" aspectratio="f"/>
              <v:textbox inset="0mm,0mm,0mm,0mm" style="mso-fit-shape-to-text:t;">
                <w:txbxContent>
                  <w:p w14:paraId="452AD476">
                    <w:pPr>
                      <w:pStyle w:val="20"/>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B0581">
    <w:pPr>
      <w:pStyle w:val="20"/>
      <w:jc w:val="left"/>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91135" cy="131445"/>
              <wp:effectExtent l="3175" t="0" r="0" b="0"/>
              <wp:wrapNone/>
              <wp:docPr id="1" name="文本框 1110"/>
              <wp:cNvGraphicFramePr/>
              <a:graphic xmlns:a="http://schemas.openxmlformats.org/drawingml/2006/main">
                <a:graphicData uri="http://schemas.microsoft.com/office/word/2010/wordprocessingShape">
                  <wps:wsp>
                    <wps:cNvSpPr txBox="1">
                      <a:spLocks noChangeArrowheads="1"/>
                    </wps:cNvSpPr>
                    <wps:spPr bwMode="auto">
                      <a:xfrm>
                        <a:off x="0" y="0"/>
                        <a:ext cx="191135" cy="131445"/>
                      </a:xfrm>
                      <a:prstGeom prst="rect">
                        <a:avLst/>
                      </a:prstGeom>
                      <a:noFill/>
                      <a:ln>
                        <a:noFill/>
                      </a:ln>
                    </wps:spPr>
                    <wps:txbx>
                      <w:txbxContent>
                        <w:p w14:paraId="188E470B">
                          <w:pPr>
                            <w:pStyle w:val="20"/>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110" o:spid="_x0000_s1026" o:spt="202" type="#_x0000_t202" style="position:absolute;left:0pt;margin-top:0pt;height:10.35pt;width:15.05pt;mso-position-horizontal:outside;mso-position-horizontal-relative:margin;mso-wrap-style:none;z-index:251660288;mso-width-relative:page;mso-height-relative:page;" filled="f" stroked="f" coordsize="21600,21600" o:gfxdata="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&#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O/3oLRAAAAAwEAAA8AAAAAAAAAAQAgAAAAIgAAAGRy&#10;cy9kb3ducmV2LnhtbFBLAQIUABQAAAAIAIdO4kAIO7Z1DAIAAAUEAAAOAAAAAAAAAAEAIAAAACAB&#10;AABkcnMvZTJvRG9jLnhtbFBLBQYAAAAABgAGAFkBAACeBQAAAAA=&#10;">
              <v:fill on="f" focussize="0,0"/>
              <v:stroke on="f"/>
              <v:imagedata o:title=""/>
              <o:lock v:ext="edit" aspectratio="f"/>
              <v:textbox inset="0mm,0mm,0mm,0mm" style="mso-fit-shape-to-text:t;">
                <w:txbxContent>
                  <w:p w14:paraId="188E470B">
                    <w:pPr>
                      <w:pStyle w:val="20"/>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p w14:paraId="78CF08B1">
    <w:pPr>
      <w:pStyle w:val="20"/>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121590"/>
      <w:docPartObj>
        <w:docPartGallery w:val="autotext"/>
      </w:docPartObj>
    </w:sdtPr>
    <w:sdtContent>
      <w:p w14:paraId="4C15A3FA">
        <w:pPr>
          <w:pStyle w:val="20"/>
          <w:jc w:val="center"/>
        </w:pPr>
        <w:r>
          <w:fldChar w:fldCharType="begin"/>
        </w:r>
        <w:r>
          <w:instrText xml:space="preserve">PAGE   \* MERGEFORMAT</w:instrText>
        </w:r>
        <w:r>
          <w:fldChar w:fldCharType="separate"/>
        </w:r>
        <w:r>
          <w:rPr>
            <w:lang w:val="zh-CN"/>
          </w:rPr>
          <w:t>2</w:t>
        </w:r>
        <w:r>
          <w:fldChar w:fldCharType="end"/>
        </w:r>
      </w:p>
    </w:sdtContent>
  </w:sdt>
  <w:p w14:paraId="036E661D">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2F831">
    <w:pPr>
      <w:pStyle w:val="87"/>
      <w:ind w:firstLine="7980" w:firstLineChars="3800"/>
      <w:jc w:val="both"/>
    </w:pPr>
    <w:r>
      <w:t>DB34/</w:t>
    </w:r>
    <w:r>
      <w:rPr>
        <w:rFonts w:hint="eastAsia"/>
      </w:rPr>
      <w:t>T</w:t>
    </w:r>
    <w:r>
      <w:t xml:space="preserve"> —XXXX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7869A">
    <w:pPr>
      <w:pStyle w:val="87"/>
      <w:jc w:val="left"/>
    </w:pPr>
    <w:r>
      <w:t>DB34/</w:t>
    </w:r>
    <w:r>
      <w:rPr>
        <w:rFonts w:hint="eastAsia"/>
      </w:rPr>
      <w:t>T</w:t>
    </w:r>
    <w:r>
      <w:t xml:space="preserve"> —XXXX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89"/>
      <w:suff w:val="nothing"/>
      <w:lvlText w:val="注%1："/>
      <w:lvlJc w:val="left"/>
      <w:pPr>
        <w:ind w:left="1095" w:hanging="448"/>
      </w:pPr>
      <w:rPr>
        <w:rFonts w:hint="eastAsia" w:ascii="黑体" w:eastAsia="黑体"/>
        <w:b w:val="0"/>
        <w:i w:val="0"/>
        <w:sz w:val="18"/>
        <w:lang w:val="en-US"/>
      </w:rPr>
    </w:lvl>
    <w:lvl w:ilvl="1" w:tentative="0">
      <w:start w:val="1"/>
      <w:numFmt w:val="lowerLetter"/>
      <w:lvlText w:val="%2)"/>
      <w:lvlJc w:val="left"/>
      <w:pPr>
        <w:tabs>
          <w:tab w:val="left" w:pos="284"/>
        </w:tabs>
        <w:ind w:left="1276" w:hanging="629"/>
      </w:pPr>
      <w:rPr>
        <w:rFonts w:hint="eastAsia"/>
      </w:rPr>
    </w:lvl>
    <w:lvl w:ilvl="2" w:tentative="0">
      <w:start w:val="1"/>
      <w:numFmt w:val="lowerRoman"/>
      <w:lvlText w:val="%3."/>
      <w:lvlJc w:val="right"/>
      <w:pPr>
        <w:tabs>
          <w:tab w:val="left" w:pos="284"/>
        </w:tabs>
        <w:ind w:left="1276" w:hanging="629"/>
      </w:pPr>
      <w:rPr>
        <w:rFonts w:hint="eastAsia"/>
      </w:rPr>
    </w:lvl>
    <w:lvl w:ilvl="3" w:tentative="0">
      <w:start w:val="1"/>
      <w:numFmt w:val="decimal"/>
      <w:lvlText w:val="%4."/>
      <w:lvlJc w:val="left"/>
      <w:pPr>
        <w:tabs>
          <w:tab w:val="left" w:pos="284"/>
        </w:tabs>
        <w:ind w:left="1276" w:hanging="629"/>
      </w:pPr>
      <w:rPr>
        <w:rFonts w:hint="eastAsia"/>
      </w:rPr>
    </w:lvl>
    <w:lvl w:ilvl="4" w:tentative="0">
      <w:start w:val="1"/>
      <w:numFmt w:val="lowerLetter"/>
      <w:lvlText w:val="%5)"/>
      <w:lvlJc w:val="left"/>
      <w:pPr>
        <w:tabs>
          <w:tab w:val="left" w:pos="284"/>
        </w:tabs>
        <w:ind w:left="1276" w:hanging="629"/>
      </w:pPr>
      <w:rPr>
        <w:rFonts w:hint="eastAsia"/>
      </w:rPr>
    </w:lvl>
    <w:lvl w:ilvl="5" w:tentative="0">
      <w:start w:val="1"/>
      <w:numFmt w:val="lowerRoman"/>
      <w:lvlText w:val="%6."/>
      <w:lvlJc w:val="right"/>
      <w:pPr>
        <w:tabs>
          <w:tab w:val="left" w:pos="284"/>
        </w:tabs>
        <w:ind w:left="1276" w:hanging="629"/>
      </w:pPr>
      <w:rPr>
        <w:rFonts w:hint="eastAsia"/>
      </w:rPr>
    </w:lvl>
    <w:lvl w:ilvl="6" w:tentative="0">
      <w:start w:val="1"/>
      <w:numFmt w:val="decimal"/>
      <w:lvlText w:val="%7."/>
      <w:lvlJc w:val="left"/>
      <w:pPr>
        <w:tabs>
          <w:tab w:val="left" w:pos="284"/>
        </w:tabs>
        <w:ind w:left="1276" w:hanging="629"/>
      </w:pPr>
      <w:rPr>
        <w:rFonts w:hint="eastAsia"/>
      </w:rPr>
    </w:lvl>
    <w:lvl w:ilvl="7" w:tentative="0">
      <w:start w:val="1"/>
      <w:numFmt w:val="lowerLetter"/>
      <w:lvlText w:val="%8)"/>
      <w:lvlJc w:val="left"/>
      <w:pPr>
        <w:tabs>
          <w:tab w:val="left" w:pos="284"/>
        </w:tabs>
        <w:ind w:left="1276" w:hanging="629"/>
      </w:pPr>
      <w:rPr>
        <w:rFonts w:hint="eastAsia"/>
      </w:rPr>
    </w:lvl>
    <w:lvl w:ilvl="8" w:tentative="0">
      <w:start w:val="1"/>
      <w:numFmt w:val="lowerRoman"/>
      <w:lvlText w:val="%9."/>
      <w:lvlJc w:val="right"/>
      <w:pPr>
        <w:tabs>
          <w:tab w:val="left" w:pos="284"/>
        </w:tabs>
        <w:ind w:left="1276" w:hanging="629"/>
      </w:pPr>
      <w:rPr>
        <w:rFonts w:hint="eastAsia"/>
      </w:rPr>
    </w:lvl>
  </w:abstractNum>
  <w:abstractNum w:abstractNumId="1">
    <w:nsid w:val="093C6778"/>
    <w:multiLevelType w:val="multilevel"/>
    <w:tmpl w:val="093C6778"/>
    <w:lvl w:ilvl="0" w:tentative="0">
      <w:start w:val="1"/>
      <w:numFmt w:val="decimal"/>
      <w:pStyle w:val="5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0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441211"/>
    <w:multiLevelType w:val="multilevel"/>
    <w:tmpl w:val="0D441211"/>
    <w:lvl w:ilvl="0" w:tentative="0">
      <w:start w:val="1"/>
      <w:numFmt w:val="lowerLetter"/>
      <w:pStyle w:val="8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7"/>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0D983844"/>
    <w:multiLevelType w:val="multilevel"/>
    <w:tmpl w:val="0D983844"/>
    <w:lvl w:ilvl="0" w:tentative="0">
      <w:start w:val="1"/>
      <w:numFmt w:val="decimal"/>
      <w:pStyle w:val="12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DDE2B46"/>
    <w:multiLevelType w:val="multilevel"/>
    <w:tmpl w:val="0DDE2B46"/>
    <w:lvl w:ilvl="0" w:tentative="0">
      <w:start w:val="1"/>
      <w:numFmt w:val="lowerLetter"/>
      <w:pStyle w:val="12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13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109"/>
      <w:suff w:val="nothing"/>
      <w:lvlText w:val="%1　"/>
      <w:lvlJc w:val="left"/>
      <w:pPr>
        <w:ind w:left="426" w:firstLine="0"/>
      </w:pPr>
      <w:rPr>
        <w:rFonts w:hint="eastAsia" w:ascii="黑体" w:hAnsi="Times New Roman" w:eastAsia="黑体"/>
        <w:b w:val="0"/>
        <w:i w:val="0"/>
        <w:sz w:val="21"/>
        <w:szCs w:val="21"/>
      </w:rPr>
    </w:lvl>
    <w:lvl w:ilvl="1" w:tentative="0">
      <w:start w:val="1"/>
      <w:numFmt w:val="decimal"/>
      <w:pStyle w:val="7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76"/>
      <w:suff w:val="nothing"/>
      <w:lvlText w:val="%1.%2.%3　"/>
      <w:lvlJc w:val="left"/>
      <w:pPr>
        <w:ind w:left="142"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74"/>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2827D5B"/>
    <w:multiLevelType w:val="multilevel"/>
    <w:tmpl w:val="22827D5B"/>
    <w:lvl w:ilvl="0" w:tentative="0">
      <w:start w:val="1"/>
      <w:numFmt w:val="none"/>
      <w:pStyle w:val="12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100"/>
      <w:suff w:val="space"/>
      <w:lvlText w:val="%1"/>
      <w:lvlJc w:val="left"/>
      <w:pPr>
        <w:ind w:left="623" w:hanging="425"/>
      </w:pPr>
      <w:rPr>
        <w:rFonts w:hint="eastAsia"/>
      </w:rPr>
    </w:lvl>
    <w:lvl w:ilvl="1" w:tentative="0">
      <w:start w:val="1"/>
      <w:numFmt w:val="decimal"/>
      <w:pStyle w:val="10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103"/>
      <w:suff w:val="nothing"/>
      <w:lvlText w:val="%1——"/>
      <w:lvlJc w:val="left"/>
      <w:pPr>
        <w:ind w:left="2677" w:hanging="408"/>
      </w:pPr>
      <w:rPr>
        <w:rFonts w:hint="eastAsia"/>
      </w:rPr>
    </w:lvl>
    <w:lvl w:ilvl="1" w:tentative="0">
      <w:start w:val="1"/>
      <w:numFmt w:val="bullet"/>
      <w:pStyle w:val="69"/>
      <w:lvlText w:val=""/>
      <w:lvlJc w:val="left"/>
      <w:pPr>
        <w:tabs>
          <w:tab w:val="left" w:pos="760"/>
        </w:tabs>
        <w:ind w:left="1264" w:hanging="413"/>
      </w:pPr>
      <w:rPr>
        <w:rFonts w:hint="default" w:ascii="Symbol" w:hAnsi="Symbol"/>
        <w:color w:val="auto"/>
      </w:rPr>
    </w:lvl>
    <w:lvl w:ilvl="2" w:tentative="0">
      <w:start w:val="1"/>
      <w:numFmt w:val="bullet"/>
      <w:pStyle w:val="13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B733A5F"/>
    <w:multiLevelType w:val="multilevel"/>
    <w:tmpl w:val="4B733A5F"/>
    <w:lvl w:ilvl="0" w:tentative="0">
      <w:start w:val="1"/>
      <w:numFmt w:val="decimal"/>
      <w:pStyle w:val="145"/>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110"/>
      <w:lvlText w:val="%1"/>
      <w:lvlJc w:val="left"/>
      <w:pPr>
        <w:tabs>
          <w:tab w:val="left" w:pos="0"/>
        </w:tabs>
        <w:ind w:left="0" w:hanging="425"/>
      </w:pPr>
      <w:rPr>
        <w:rFonts w:hint="eastAsia"/>
      </w:rPr>
    </w:lvl>
    <w:lvl w:ilvl="1" w:tentative="0">
      <w:start w:val="1"/>
      <w:numFmt w:val="decimal"/>
      <w:pStyle w:val="8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4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14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65"/>
      <w:suff w:val="nothing"/>
      <w:lvlText w:val="%1.%2.%3.%4　"/>
      <w:lvlJc w:val="left"/>
      <w:pPr>
        <w:ind w:left="0" w:firstLine="0"/>
      </w:pPr>
      <w:rPr>
        <w:rFonts w:hint="eastAsia" w:ascii="黑体" w:hAnsi="Times New Roman" w:eastAsia="黑体"/>
        <w:b w:val="0"/>
        <w:i w:val="0"/>
        <w:sz w:val="21"/>
      </w:rPr>
    </w:lvl>
    <w:lvl w:ilvl="4" w:tentative="0">
      <w:start w:val="1"/>
      <w:numFmt w:val="decimal"/>
      <w:pStyle w:val="64"/>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16"/>
      <w:lvlText w:val="%1)"/>
      <w:lvlJc w:val="left"/>
      <w:pPr>
        <w:tabs>
          <w:tab w:val="left" w:pos="839"/>
        </w:tabs>
        <w:ind w:left="839" w:hanging="419"/>
      </w:pPr>
      <w:rPr>
        <w:rFonts w:hint="eastAsia" w:ascii="宋体" w:eastAsia="宋体"/>
        <w:b w:val="0"/>
        <w:i w:val="0"/>
        <w:sz w:val="21"/>
      </w:rPr>
    </w:lvl>
    <w:lvl w:ilvl="1" w:tentative="0">
      <w:start w:val="1"/>
      <w:numFmt w:val="decimal"/>
      <w:pStyle w:val="8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9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1"/>
  </w:num>
  <w:num w:numId="2">
    <w:abstractNumId w:val="1"/>
  </w:num>
  <w:num w:numId="3">
    <w:abstractNumId w:val="15"/>
  </w:num>
  <w:num w:numId="4">
    <w:abstractNumId w:val="10"/>
  </w:num>
  <w:num w:numId="5">
    <w:abstractNumId w:val="7"/>
  </w:num>
  <w:num w:numId="6">
    <w:abstractNumId w:val="16"/>
  </w:num>
  <w:num w:numId="7">
    <w:abstractNumId w:val="13"/>
  </w:num>
  <w:num w:numId="8">
    <w:abstractNumId w:val="3"/>
  </w:num>
  <w:num w:numId="9">
    <w:abstractNumId w:val="0"/>
  </w:num>
  <w:num w:numId="10">
    <w:abstractNumId w:val="17"/>
  </w:num>
  <w:num w:numId="11">
    <w:abstractNumId w:val="9"/>
  </w:num>
  <w:num w:numId="12">
    <w:abstractNumId w:val="2"/>
  </w:num>
  <w:num w:numId="13">
    <w:abstractNumId w:val="5"/>
  </w:num>
  <w:num w:numId="14">
    <w:abstractNumId w:val="8"/>
  </w:num>
  <w:num w:numId="15">
    <w:abstractNumId w:val="4"/>
  </w:num>
  <w:num w:numId="16">
    <w:abstractNumId w:val="6"/>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0412"/>
    <w:rsid w:val="0000185F"/>
    <w:rsid w:val="000053B4"/>
    <w:rsid w:val="0000586F"/>
    <w:rsid w:val="0001018E"/>
    <w:rsid w:val="00010C95"/>
    <w:rsid w:val="00012959"/>
    <w:rsid w:val="000131CB"/>
    <w:rsid w:val="00013D86"/>
    <w:rsid w:val="00013E02"/>
    <w:rsid w:val="000154E5"/>
    <w:rsid w:val="00015678"/>
    <w:rsid w:val="00020B85"/>
    <w:rsid w:val="0002143C"/>
    <w:rsid w:val="00021E05"/>
    <w:rsid w:val="00022979"/>
    <w:rsid w:val="00023B02"/>
    <w:rsid w:val="00024A20"/>
    <w:rsid w:val="00025A65"/>
    <w:rsid w:val="00026C31"/>
    <w:rsid w:val="00026F2D"/>
    <w:rsid w:val="00027280"/>
    <w:rsid w:val="00030806"/>
    <w:rsid w:val="000320A7"/>
    <w:rsid w:val="00032715"/>
    <w:rsid w:val="00034077"/>
    <w:rsid w:val="00035925"/>
    <w:rsid w:val="000405C2"/>
    <w:rsid w:val="00044207"/>
    <w:rsid w:val="00046699"/>
    <w:rsid w:val="00046763"/>
    <w:rsid w:val="000528F0"/>
    <w:rsid w:val="00055DC5"/>
    <w:rsid w:val="0006183D"/>
    <w:rsid w:val="00061D24"/>
    <w:rsid w:val="00061E22"/>
    <w:rsid w:val="00062E35"/>
    <w:rsid w:val="0006304A"/>
    <w:rsid w:val="000635E6"/>
    <w:rsid w:val="00067CDF"/>
    <w:rsid w:val="0007060F"/>
    <w:rsid w:val="000739C2"/>
    <w:rsid w:val="00074FBE"/>
    <w:rsid w:val="000800E8"/>
    <w:rsid w:val="00083A09"/>
    <w:rsid w:val="00087056"/>
    <w:rsid w:val="00087379"/>
    <w:rsid w:val="0009005E"/>
    <w:rsid w:val="00092516"/>
    <w:rsid w:val="00092857"/>
    <w:rsid w:val="000A003B"/>
    <w:rsid w:val="000A17EA"/>
    <w:rsid w:val="000A20A9"/>
    <w:rsid w:val="000A3628"/>
    <w:rsid w:val="000A48B1"/>
    <w:rsid w:val="000A6691"/>
    <w:rsid w:val="000B142F"/>
    <w:rsid w:val="000B3143"/>
    <w:rsid w:val="000B7A94"/>
    <w:rsid w:val="000C05C3"/>
    <w:rsid w:val="000C18D5"/>
    <w:rsid w:val="000C2FF7"/>
    <w:rsid w:val="000C6B05"/>
    <w:rsid w:val="000C6DD6"/>
    <w:rsid w:val="000C73D4"/>
    <w:rsid w:val="000D046E"/>
    <w:rsid w:val="000D18E2"/>
    <w:rsid w:val="000D2CF3"/>
    <w:rsid w:val="000D3D4C"/>
    <w:rsid w:val="000D41C1"/>
    <w:rsid w:val="000D4F20"/>
    <w:rsid w:val="000D4F51"/>
    <w:rsid w:val="000D718B"/>
    <w:rsid w:val="000E0C46"/>
    <w:rsid w:val="000E2414"/>
    <w:rsid w:val="000E2798"/>
    <w:rsid w:val="000E2E97"/>
    <w:rsid w:val="000E521A"/>
    <w:rsid w:val="000F030C"/>
    <w:rsid w:val="000F0783"/>
    <w:rsid w:val="000F129C"/>
    <w:rsid w:val="000F4514"/>
    <w:rsid w:val="000F49AA"/>
    <w:rsid w:val="000F4A2C"/>
    <w:rsid w:val="0010015F"/>
    <w:rsid w:val="00100502"/>
    <w:rsid w:val="001039E1"/>
    <w:rsid w:val="00104221"/>
    <w:rsid w:val="001050EB"/>
    <w:rsid w:val="001056DE"/>
    <w:rsid w:val="001118CA"/>
    <w:rsid w:val="001124C0"/>
    <w:rsid w:val="00114FEA"/>
    <w:rsid w:val="0011732B"/>
    <w:rsid w:val="0012031F"/>
    <w:rsid w:val="001250EE"/>
    <w:rsid w:val="001259DF"/>
    <w:rsid w:val="00126615"/>
    <w:rsid w:val="00130CDE"/>
    <w:rsid w:val="0013175F"/>
    <w:rsid w:val="00134108"/>
    <w:rsid w:val="001346A7"/>
    <w:rsid w:val="001353F5"/>
    <w:rsid w:val="001421C0"/>
    <w:rsid w:val="00142C71"/>
    <w:rsid w:val="00143359"/>
    <w:rsid w:val="00146DCF"/>
    <w:rsid w:val="00147891"/>
    <w:rsid w:val="001512B4"/>
    <w:rsid w:val="0015292C"/>
    <w:rsid w:val="001529A9"/>
    <w:rsid w:val="00154526"/>
    <w:rsid w:val="00154C14"/>
    <w:rsid w:val="00160711"/>
    <w:rsid w:val="001620A5"/>
    <w:rsid w:val="00162E49"/>
    <w:rsid w:val="00164E53"/>
    <w:rsid w:val="0016699D"/>
    <w:rsid w:val="00170593"/>
    <w:rsid w:val="00170904"/>
    <w:rsid w:val="0017144B"/>
    <w:rsid w:val="00173FA1"/>
    <w:rsid w:val="00174600"/>
    <w:rsid w:val="00175159"/>
    <w:rsid w:val="00176208"/>
    <w:rsid w:val="00176E20"/>
    <w:rsid w:val="001806A8"/>
    <w:rsid w:val="001808AE"/>
    <w:rsid w:val="0018211B"/>
    <w:rsid w:val="001840D3"/>
    <w:rsid w:val="00184326"/>
    <w:rsid w:val="001855C6"/>
    <w:rsid w:val="00186122"/>
    <w:rsid w:val="00186B5C"/>
    <w:rsid w:val="0019007C"/>
    <w:rsid w:val="001900F8"/>
    <w:rsid w:val="00191258"/>
    <w:rsid w:val="001913AA"/>
    <w:rsid w:val="00191846"/>
    <w:rsid w:val="00192680"/>
    <w:rsid w:val="00193037"/>
    <w:rsid w:val="00193839"/>
    <w:rsid w:val="00193A2C"/>
    <w:rsid w:val="00195FB7"/>
    <w:rsid w:val="001963A1"/>
    <w:rsid w:val="00197D0B"/>
    <w:rsid w:val="001A05DD"/>
    <w:rsid w:val="001A11C8"/>
    <w:rsid w:val="001A288E"/>
    <w:rsid w:val="001A2FB1"/>
    <w:rsid w:val="001B0105"/>
    <w:rsid w:val="001B26B5"/>
    <w:rsid w:val="001B3101"/>
    <w:rsid w:val="001B482D"/>
    <w:rsid w:val="001B565E"/>
    <w:rsid w:val="001B6DC2"/>
    <w:rsid w:val="001B7303"/>
    <w:rsid w:val="001B7B96"/>
    <w:rsid w:val="001C003B"/>
    <w:rsid w:val="001C149C"/>
    <w:rsid w:val="001C21AC"/>
    <w:rsid w:val="001C3604"/>
    <w:rsid w:val="001C47BA"/>
    <w:rsid w:val="001C59EA"/>
    <w:rsid w:val="001D075F"/>
    <w:rsid w:val="001D406C"/>
    <w:rsid w:val="001D41EE"/>
    <w:rsid w:val="001D73DC"/>
    <w:rsid w:val="001E0380"/>
    <w:rsid w:val="001E13B1"/>
    <w:rsid w:val="001E5DF1"/>
    <w:rsid w:val="001E6EB1"/>
    <w:rsid w:val="001E7AD7"/>
    <w:rsid w:val="001F1DFD"/>
    <w:rsid w:val="001F3A19"/>
    <w:rsid w:val="001F712A"/>
    <w:rsid w:val="001F7CFA"/>
    <w:rsid w:val="0020260C"/>
    <w:rsid w:val="00203139"/>
    <w:rsid w:val="002052B3"/>
    <w:rsid w:val="002132FE"/>
    <w:rsid w:val="002148D9"/>
    <w:rsid w:val="00215AC9"/>
    <w:rsid w:val="0021601C"/>
    <w:rsid w:val="0022350C"/>
    <w:rsid w:val="00225ACC"/>
    <w:rsid w:val="0022638A"/>
    <w:rsid w:val="0022715C"/>
    <w:rsid w:val="00234467"/>
    <w:rsid w:val="00237D8D"/>
    <w:rsid w:val="00241DA2"/>
    <w:rsid w:val="00244C6D"/>
    <w:rsid w:val="00247CF5"/>
    <w:rsid w:val="00247FEE"/>
    <w:rsid w:val="00250E7D"/>
    <w:rsid w:val="00251270"/>
    <w:rsid w:val="002565D5"/>
    <w:rsid w:val="00260ECE"/>
    <w:rsid w:val="0026156A"/>
    <w:rsid w:val="002620F2"/>
    <w:rsid w:val="002622C0"/>
    <w:rsid w:val="00265DFC"/>
    <w:rsid w:val="00270206"/>
    <w:rsid w:val="002744AA"/>
    <w:rsid w:val="00275E32"/>
    <w:rsid w:val="002778AE"/>
    <w:rsid w:val="00277EB7"/>
    <w:rsid w:val="00280E4E"/>
    <w:rsid w:val="0028186F"/>
    <w:rsid w:val="0028269A"/>
    <w:rsid w:val="002833E9"/>
    <w:rsid w:val="00283590"/>
    <w:rsid w:val="00286973"/>
    <w:rsid w:val="00291633"/>
    <w:rsid w:val="00292EDA"/>
    <w:rsid w:val="00294E70"/>
    <w:rsid w:val="00295B93"/>
    <w:rsid w:val="002A1924"/>
    <w:rsid w:val="002A59BB"/>
    <w:rsid w:val="002A5A64"/>
    <w:rsid w:val="002A5CDB"/>
    <w:rsid w:val="002A63E0"/>
    <w:rsid w:val="002A7420"/>
    <w:rsid w:val="002B0F12"/>
    <w:rsid w:val="002B1308"/>
    <w:rsid w:val="002B4554"/>
    <w:rsid w:val="002C0ED4"/>
    <w:rsid w:val="002C1641"/>
    <w:rsid w:val="002C4350"/>
    <w:rsid w:val="002C6793"/>
    <w:rsid w:val="002C72D8"/>
    <w:rsid w:val="002D0D12"/>
    <w:rsid w:val="002D11FA"/>
    <w:rsid w:val="002D1C07"/>
    <w:rsid w:val="002D6AFB"/>
    <w:rsid w:val="002D7B1C"/>
    <w:rsid w:val="002E0C6B"/>
    <w:rsid w:val="002E0DDF"/>
    <w:rsid w:val="002E1265"/>
    <w:rsid w:val="002E1C30"/>
    <w:rsid w:val="002E2906"/>
    <w:rsid w:val="002E363B"/>
    <w:rsid w:val="002E5635"/>
    <w:rsid w:val="002E5F1E"/>
    <w:rsid w:val="002E64C3"/>
    <w:rsid w:val="002E6A2C"/>
    <w:rsid w:val="002E7AF4"/>
    <w:rsid w:val="002E7DF5"/>
    <w:rsid w:val="002F1010"/>
    <w:rsid w:val="002F1D8C"/>
    <w:rsid w:val="002F21DA"/>
    <w:rsid w:val="002F28E9"/>
    <w:rsid w:val="002F4C0F"/>
    <w:rsid w:val="002F6417"/>
    <w:rsid w:val="002F7B32"/>
    <w:rsid w:val="00301CCB"/>
    <w:rsid w:val="00301F39"/>
    <w:rsid w:val="0030605E"/>
    <w:rsid w:val="00325926"/>
    <w:rsid w:val="00327A8A"/>
    <w:rsid w:val="00333F39"/>
    <w:rsid w:val="00336610"/>
    <w:rsid w:val="00336669"/>
    <w:rsid w:val="0034319B"/>
    <w:rsid w:val="00343F73"/>
    <w:rsid w:val="00345060"/>
    <w:rsid w:val="00347E11"/>
    <w:rsid w:val="0035090D"/>
    <w:rsid w:val="00350E98"/>
    <w:rsid w:val="0035323B"/>
    <w:rsid w:val="0035591C"/>
    <w:rsid w:val="003609D2"/>
    <w:rsid w:val="0036229B"/>
    <w:rsid w:val="003623FD"/>
    <w:rsid w:val="00362854"/>
    <w:rsid w:val="00362B4E"/>
    <w:rsid w:val="00363F22"/>
    <w:rsid w:val="0037120C"/>
    <w:rsid w:val="003730FB"/>
    <w:rsid w:val="00375564"/>
    <w:rsid w:val="00376420"/>
    <w:rsid w:val="003811F0"/>
    <w:rsid w:val="00383191"/>
    <w:rsid w:val="00386DED"/>
    <w:rsid w:val="00387017"/>
    <w:rsid w:val="00387F10"/>
    <w:rsid w:val="003912E7"/>
    <w:rsid w:val="00391D8C"/>
    <w:rsid w:val="00393947"/>
    <w:rsid w:val="003A1C9D"/>
    <w:rsid w:val="003A217A"/>
    <w:rsid w:val="003A2275"/>
    <w:rsid w:val="003A6482"/>
    <w:rsid w:val="003A6A4F"/>
    <w:rsid w:val="003A7088"/>
    <w:rsid w:val="003B0076"/>
    <w:rsid w:val="003B00DF"/>
    <w:rsid w:val="003B1275"/>
    <w:rsid w:val="003B1778"/>
    <w:rsid w:val="003B4D60"/>
    <w:rsid w:val="003B5CC1"/>
    <w:rsid w:val="003C11CB"/>
    <w:rsid w:val="003C663F"/>
    <w:rsid w:val="003C75F3"/>
    <w:rsid w:val="003C78A3"/>
    <w:rsid w:val="003D3678"/>
    <w:rsid w:val="003D7885"/>
    <w:rsid w:val="003D79B1"/>
    <w:rsid w:val="003E109A"/>
    <w:rsid w:val="003E1867"/>
    <w:rsid w:val="003E5729"/>
    <w:rsid w:val="003F2E3C"/>
    <w:rsid w:val="003F3614"/>
    <w:rsid w:val="003F3B72"/>
    <w:rsid w:val="003F4EE0"/>
    <w:rsid w:val="003F6390"/>
    <w:rsid w:val="0040163C"/>
    <w:rsid w:val="00402153"/>
    <w:rsid w:val="00402FC1"/>
    <w:rsid w:val="00405B59"/>
    <w:rsid w:val="00405F36"/>
    <w:rsid w:val="00411B04"/>
    <w:rsid w:val="0041584C"/>
    <w:rsid w:val="00416C60"/>
    <w:rsid w:val="00416FC3"/>
    <w:rsid w:val="00421907"/>
    <w:rsid w:val="004230B9"/>
    <w:rsid w:val="00425082"/>
    <w:rsid w:val="00425827"/>
    <w:rsid w:val="00427F36"/>
    <w:rsid w:val="00430AD0"/>
    <w:rsid w:val="00430E08"/>
    <w:rsid w:val="00431DEB"/>
    <w:rsid w:val="00432CCB"/>
    <w:rsid w:val="00434004"/>
    <w:rsid w:val="00434A2A"/>
    <w:rsid w:val="00436E07"/>
    <w:rsid w:val="00441421"/>
    <w:rsid w:val="00441BE0"/>
    <w:rsid w:val="00444B28"/>
    <w:rsid w:val="00444EA5"/>
    <w:rsid w:val="00446B29"/>
    <w:rsid w:val="00446ED1"/>
    <w:rsid w:val="00451BAB"/>
    <w:rsid w:val="00453F9A"/>
    <w:rsid w:val="0045640F"/>
    <w:rsid w:val="004651A4"/>
    <w:rsid w:val="00465D72"/>
    <w:rsid w:val="004664EF"/>
    <w:rsid w:val="00466708"/>
    <w:rsid w:val="00467A9E"/>
    <w:rsid w:val="00470365"/>
    <w:rsid w:val="00470CCA"/>
    <w:rsid w:val="00471E91"/>
    <w:rsid w:val="00473CB0"/>
    <w:rsid w:val="00474675"/>
    <w:rsid w:val="0047470C"/>
    <w:rsid w:val="00474D45"/>
    <w:rsid w:val="00476701"/>
    <w:rsid w:val="00481AFF"/>
    <w:rsid w:val="004830F7"/>
    <w:rsid w:val="00484A07"/>
    <w:rsid w:val="004875CE"/>
    <w:rsid w:val="004A35F9"/>
    <w:rsid w:val="004A5DFE"/>
    <w:rsid w:val="004A7CF9"/>
    <w:rsid w:val="004B1D81"/>
    <w:rsid w:val="004B24C1"/>
    <w:rsid w:val="004C099B"/>
    <w:rsid w:val="004C15CF"/>
    <w:rsid w:val="004C292F"/>
    <w:rsid w:val="004C63B9"/>
    <w:rsid w:val="004D78A9"/>
    <w:rsid w:val="004E1B8B"/>
    <w:rsid w:val="004E2559"/>
    <w:rsid w:val="004E6C58"/>
    <w:rsid w:val="004F3AC4"/>
    <w:rsid w:val="004F5102"/>
    <w:rsid w:val="004F5662"/>
    <w:rsid w:val="00505DA1"/>
    <w:rsid w:val="005063E5"/>
    <w:rsid w:val="00510280"/>
    <w:rsid w:val="005114FD"/>
    <w:rsid w:val="0051162E"/>
    <w:rsid w:val="00511EF3"/>
    <w:rsid w:val="00511F62"/>
    <w:rsid w:val="005123F7"/>
    <w:rsid w:val="00512D91"/>
    <w:rsid w:val="00513D73"/>
    <w:rsid w:val="00514975"/>
    <w:rsid w:val="00514A43"/>
    <w:rsid w:val="00515485"/>
    <w:rsid w:val="005174E5"/>
    <w:rsid w:val="00522393"/>
    <w:rsid w:val="00522620"/>
    <w:rsid w:val="005253CE"/>
    <w:rsid w:val="00525656"/>
    <w:rsid w:val="00532A7C"/>
    <w:rsid w:val="00534C02"/>
    <w:rsid w:val="00535801"/>
    <w:rsid w:val="0053621F"/>
    <w:rsid w:val="00536538"/>
    <w:rsid w:val="00540AF1"/>
    <w:rsid w:val="00540B90"/>
    <w:rsid w:val="0054264B"/>
    <w:rsid w:val="00543786"/>
    <w:rsid w:val="005467F0"/>
    <w:rsid w:val="00546F0A"/>
    <w:rsid w:val="0054700D"/>
    <w:rsid w:val="00552632"/>
    <w:rsid w:val="005533D7"/>
    <w:rsid w:val="0055448A"/>
    <w:rsid w:val="00555FA6"/>
    <w:rsid w:val="00560B17"/>
    <w:rsid w:val="00561F57"/>
    <w:rsid w:val="005637BF"/>
    <w:rsid w:val="00564135"/>
    <w:rsid w:val="00564EB1"/>
    <w:rsid w:val="005703DE"/>
    <w:rsid w:val="00575421"/>
    <w:rsid w:val="00577D9D"/>
    <w:rsid w:val="0058390E"/>
    <w:rsid w:val="005839C1"/>
    <w:rsid w:val="0058464E"/>
    <w:rsid w:val="00591F9B"/>
    <w:rsid w:val="00593486"/>
    <w:rsid w:val="00593B48"/>
    <w:rsid w:val="00595C60"/>
    <w:rsid w:val="005973D7"/>
    <w:rsid w:val="005A01CB"/>
    <w:rsid w:val="005A3481"/>
    <w:rsid w:val="005A58FF"/>
    <w:rsid w:val="005A5EAF"/>
    <w:rsid w:val="005A64C0"/>
    <w:rsid w:val="005B0432"/>
    <w:rsid w:val="005B1F67"/>
    <w:rsid w:val="005B2A3C"/>
    <w:rsid w:val="005B35C9"/>
    <w:rsid w:val="005B3C11"/>
    <w:rsid w:val="005B4C29"/>
    <w:rsid w:val="005B6419"/>
    <w:rsid w:val="005C1C28"/>
    <w:rsid w:val="005C55E0"/>
    <w:rsid w:val="005C6DB5"/>
    <w:rsid w:val="005D01C5"/>
    <w:rsid w:val="005D15F6"/>
    <w:rsid w:val="005D1D2E"/>
    <w:rsid w:val="005E1086"/>
    <w:rsid w:val="005E19E7"/>
    <w:rsid w:val="005E3020"/>
    <w:rsid w:val="005E3B24"/>
    <w:rsid w:val="005E6558"/>
    <w:rsid w:val="005E6CFB"/>
    <w:rsid w:val="005F0790"/>
    <w:rsid w:val="005F0D35"/>
    <w:rsid w:val="005F29D7"/>
    <w:rsid w:val="005F4393"/>
    <w:rsid w:val="005F4E61"/>
    <w:rsid w:val="005F5375"/>
    <w:rsid w:val="005F543A"/>
    <w:rsid w:val="00603343"/>
    <w:rsid w:val="00606451"/>
    <w:rsid w:val="00606FD5"/>
    <w:rsid w:val="006136B2"/>
    <w:rsid w:val="006147B0"/>
    <w:rsid w:val="0061508D"/>
    <w:rsid w:val="006160C1"/>
    <w:rsid w:val="0061716C"/>
    <w:rsid w:val="00622BF4"/>
    <w:rsid w:val="00623FFA"/>
    <w:rsid w:val="006243A1"/>
    <w:rsid w:val="006328CE"/>
    <w:rsid w:val="00632E56"/>
    <w:rsid w:val="006348E8"/>
    <w:rsid w:val="00635CBA"/>
    <w:rsid w:val="00640FA7"/>
    <w:rsid w:val="00641776"/>
    <w:rsid w:val="0064277C"/>
    <w:rsid w:val="0064338B"/>
    <w:rsid w:val="0064405F"/>
    <w:rsid w:val="00646318"/>
    <w:rsid w:val="00646542"/>
    <w:rsid w:val="006504F4"/>
    <w:rsid w:val="00651B26"/>
    <w:rsid w:val="00654BC9"/>
    <w:rsid w:val="006552FD"/>
    <w:rsid w:val="00657C51"/>
    <w:rsid w:val="00663AF3"/>
    <w:rsid w:val="00666B6C"/>
    <w:rsid w:val="00671C32"/>
    <w:rsid w:val="0067445D"/>
    <w:rsid w:val="0067572C"/>
    <w:rsid w:val="006773F5"/>
    <w:rsid w:val="00682383"/>
    <w:rsid w:val="00682682"/>
    <w:rsid w:val="00682702"/>
    <w:rsid w:val="00682CAE"/>
    <w:rsid w:val="00686881"/>
    <w:rsid w:val="0069166C"/>
    <w:rsid w:val="00692368"/>
    <w:rsid w:val="00693504"/>
    <w:rsid w:val="006A295F"/>
    <w:rsid w:val="006A2EBC"/>
    <w:rsid w:val="006A5EA0"/>
    <w:rsid w:val="006A783B"/>
    <w:rsid w:val="006A7B33"/>
    <w:rsid w:val="006B4E13"/>
    <w:rsid w:val="006B6253"/>
    <w:rsid w:val="006B676A"/>
    <w:rsid w:val="006B75DD"/>
    <w:rsid w:val="006B7D0B"/>
    <w:rsid w:val="006C2804"/>
    <w:rsid w:val="006C5E05"/>
    <w:rsid w:val="006C5F16"/>
    <w:rsid w:val="006C67E0"/>
    <w:rsid w:val="006C7ABA"/>
    <w:rsid w:val="006D03BB"/>
    <w:rsid w:val="006D0D60"/>
    <w:rsid w:val="006D1122"/>
    <w:rsid w:val="006D3C00"/>
    <w:rsid w:val="006D6CF4"/>
    <w:rsid w:val="006E0332"/>
    <w:rsid w:val="006E3675"/>
    <w:rsid w:val="006E3906"/>
    <w:rsid w:val="006E4028"/>
    <w:rsid w:val="006E4A7F"/>
    <w:rsid w:val="006E5419"/>
    <w:rsid w:val="006E5517"/>
    <w:rsid w:val="006F13FB"/>
    <w:rsid w:val="006F3161"/>
    <w:rsid w:val="006F64D3"/>
    <w:rsid w:val="006F6D09"/>
    <w:rsid w:val="006F76E9"/>
    <w:rsid w:val="006F7F49"/>
    <w:rsid w:val="00704DF6"/>
    <w:rsid w:val="00705E5C"/>
    <w:rsid w:val="0070651C"/>
    <w:rsid w:val="00706964"/>
    <w:rsid w:val="00707F18"/>
    <w:rsid w:val="00710243"/>
    <w:rsid w:val="00710C77"/>
    <w:rsid w:val="00712CF8"/>
    <w:rsid w:val="007132A3"/>
    <w:rsid w:val="00713369"/>
    <w:rsid w:val="00715F7B"/>
    <w:rsid w:val="00716421"/>
    <w:rsid w:val="00721740"/>
    <w:rsid w:val="00722961"/>
    <w:rsid w:val="00724520"/>
    <w:rsid w:val="00724EFB"/>
    <w:rsid w:val="00731A0E"/>
    <w:rsid w:val="00735581"/>
    <w:rsid w:val="007419C3"/>
    <w:rsid w:val="0074479F"/>
    <w:rsid w:val="00744F22"/>
    <w:rsid w:val="00745C78"/>
    <w:rsid w:val="007467A7"/>
    <w:rsid w:val="007469DD"/>
    <w:rsid w:val="0074741B"/>
    <w:rsid w:val="0074759E"/>
    <w:rsid w:val="007478EA"/>
    <w:rsid w:val="0075415C"/>
    <w:rsid w:val="00754FD9"/>
    <w:rsid w:val="00757F99"/>
    <w:rsid w:val="0076227C"/>
    <w:rsid w:val="00763502"/>
    <w:rsid w:val="00763979"/>
    <w:rsid w:val="007648DD"/>
    <w:rsid w:val="00766DCD"/>
    <w:rsid w:val="0077661D"/>
    <w:rsid w:val="0077773D"/>
    <w:rsid w:val="0078179E"/>
    <w:rsid w:val="0078331F"/>
    <w:rsid w:val="00784A23"/>
    <w:rsid w:val="00785DB8"/>
    <w:rsid w:val="00786177"/>
    <w:rsid w:val="007902C1"/>
    <w:rsid w:val="007913AB"/>
    <w:rsid w:val="007914F7"/>
    <w:rsid w:val="00791BBB"/>
    <w:rsid w:val="00792250"/>
    <w:rsid w:val="007927C6"/>
    <w:rsid w:val="00792822"/>
    <w:rsid w:val="007A272F"/>
    <w:rsid w:val="007B0777"/>
    <w:rsid w:val="007B1625"/>
    <w:rsid w:val="007B2B29"/>
    <w:rsid w:val="007B4E9D"/>
    <w:rsid w:val="007B706E"/>
    <w:rsid w:val="007B71EB"/>
    <w:rsid w:val="007C0842"/>
    <w:rsid w:val="007C0C12"/>
    <w:rsid w:val="007C5856"/>
    <w:rsid w:val="007C6205"/>
    <w:rsid w:val="007C686A"/>
    <w:rsid w:val="007C728E"/>
    <w:rsid w:val="007D2C53"/>
    <w:rsid w:val="007D3D60"/>
    <w:rsid w:val="007E0B18"/>
    <w:rsid w:val="007E1980"/>
    <w:rsid w:val="007E4B76"/>
    <w:rsid w:val="007E5EA8"/>
    <w:rsid w:val="007E7FE4"/>
    <w:rsid w:val="007F0CF1"/>
    <w:rsid w:val="007F12A5"/>
    <w:rsid w:val="007F3C3B"/>
    <w:rsid w:val="007F4015"/>
    <w:rsid w:val="007F4CF1"/>
    <w:rsid w:val="007F758D"/>
    <w:rsid w:val="007F7D52"/>
    <w:rsid w:val="0080654C"/>
    <w:rsid w:val="008071C6"/>
    <w:rsid w:val="008107BE"/>
    <w:rsid w:val="008136A1"/>
    <w:rsid w:val="00816160"/>
    <w:rsid w:val="00817353"/>
    <w:rsid w:val="00817A00"/>
    <w:rsid w:val="00824EBA"/>
    <w:rsid w:val="00827137"/>
    <w:rsid w:val="00832524"/>
    <w:rsid w:val="00834C35"/>
    <w:rsid w:val="00835DB3"/>
    <w:rsid w:val="0083617B"/>
    <w:rsid w:val="00836247"/>
    <w:rsid w:val="00837186"/>
    <w:rsid w:val="008371BD"/>
    <w:rsid w:val="008445C4"/>
    <w:rsid w:val="008451D8"/>
    <w:rsid w:val="00845755"/>
    <w:rsid w:val="00846FD9"/>
    <w:rsid w:val="008504A8"/>
    <w:rsid w:val="0085282E"/>
    <w:rsid w:val="00853D77"/>
    <w:rsid w:val="00855975"/>
    <w:rsid w:val="0085739F"/>
    <w:rsid w:val="0086068F"/>
    <w:rsid w:val="00860DDF"/>
    <w:rsid w:val="00863197"/>
    <w:rsid w:val="008648A2"/>
    <w:rsid w:val="008654ED"/>
    <w:rsid w:val="00865749"/>
    <w:rsid w:val="00865930"/>
    <w:rsid w:val="0086693E"/>
    <w:rsid w:val="0087198C"/>
    <w:rsid w:val="008726E9"/>
    <w:rsid w:val="00872C1F"/>
    <w:rsid w:val="00873B42"/>
    <w:rsid w:val="00873F7B"/>
    <w:rsid w:val="0087738D"/>
    <w:rsid w:val="008803F2"/>
    <w:rsid w:val="00880E00"/>
    <w:rsid w:val="00884C56"/>
    <w:rsid w:val="008856D8"/>
    <w:rsid w:val="0089084E"/>
    <w:rsid w:val="008911C1"/>
    <w:rsid w:val="00892E82"/>
    <w:rsid w:val="008A43E7"/>
    <w:rsid w:val="008A4B19"/>
    <w:rsid w:val="008A4BA3"/>
    <w:rsid w:val="008B12BF"/>
    <w:rsid w:val="008C1B58"/>
    <w:rsid w:val="008C2617"/>
    <w:rsid w:val="008C35B8"/>
    <w:rsid w:val="008C39AE"/>
    <w:rsid w:val="008C590D"/>
    <w:rsid w:val="008D2C61"/>
    <w:rsid w:val="008D2E4D"/>
    <w:rsid w:val="008D397B"/>
    <w:rsid w:val="008D44BA"/>
    <w:rsid w:val="008D7B9C"/>
    <w:rsid w:val="008E031B"/>
    <w:rsid w:val="008E2B4F"/>
    <w:rsid w:val="008E376C"/>
    <w:rsid w:val="008E3B2D"/>
    <w:rsid w:val="008E42A3"/>
    <w:rsid w:val="008E7029"/>
    <w:rsid w:val="008E7EF6"/>
    <w:rsid w:val="008F1F98"/>
    <w:rsid w:val="008F3353"/>
    <w:rsid w:val="008F3FC3"/>
    <w:rsid w:val="008F6758"/>
    <w:rsid w:val="00900561"/>
    <w:rsid w:val="00903008"/>
    <w:rsid w:val="009040DD"/>
    <w:rsid w:val="00905B47"/>
    <w:rsid w:val="0090646D"/>
    <w:rsid w:val="009108F9"/>
    <w:rsid w:val="00911DDC"/>
    <w:rsid w:val="0091331C"/>
    <w:rsid w:val="00916DAA"/>
    <w:rsid w:val="009279DE"/>
    <w:rsid w:val="00930116"/>
    <w:rsid w:val="00931DA9"/>
    <w:rsid w:val="00935046"/>
    <w:rsid w:val="009351FA"/>
    <w:rsid w:val="009358DE"/>
    <w:rsid w:val="00936B78"/>
    <w:rsid w:val="0094212C"/>
    <w:rsid w:val="009421B6"/>
    <w:rsid w:val="00942690"/>
    <w:rsid w:val="00942A2A"/>
    <w:rsid w:val="00942C53"/>
    <w:rsid w:val="009431D6"/>
    <w:rsid w:val="0094506A"/>
    <w:rsid w:val="00945784"/>
    <w:rsid w:val="00954689"/>
    <w:rsid w:val="00955ADB"/>
    <w:rsid w:val="00955FCF"/>
    <w:rsid w:val="009608AD"/>
    <w:rsid w:val="00960DCC"/>
    <w:rsid w:val="009617C9"/>
    <w:rsid w:val="00961C93"/>
    <w:rsid w:val="00963CA5"/>
    <w:rsid w:val="00964EED"/>
    <w:rsid w:val="00964F76"/>
    <w:rsid w:val="00965324"/>
    <w:rsid w:val="0097091E"/>
    <w:rsid w:val="00970AC2"/>
    <w:rsid w:val="00971C3A"/>
    <w:rsid w:val="00974F4F"/>
    <w:rsid w:val="009760D3"/>
    <w:rsid w:val="00977132"/>
    <w:rsid w:val="00980846"/>
    <w:rsid w:val="00980E9D"/>
    <w:rsid w:val="0098127D"/>
    <w:rsid w:val="00981A4B"/>
    <w:rsid w:val="00982501"/>
    <w:rsid w:val="00983290"/>
    <w:rsid w:val="009861E2"/>
    <w:rsid w:val="009877D3"/>
    <w:rsid w:val="00987BB5"/>
    <w:rsid w:val="00987C1D"/>
    <w:rsid w:val="00987F11"/>
    <w:rsid w:val="0099036B"/>
    <w:rsid w:val="00990913"/>
    <w:rsid w:val="00994D46"/>
    <w:rsid w:val="00994E8F"/>
    <w:rsid w:val="00995125"/>
    <w:rsid w:val="009951DC"/>
    <w:rsid w:val="009959BB"/>
    <w:rsid w:val="009963B8"/>
    <w:rsid w:val="00997158"/>
    <w:rsid w:val="009A3610"/>
    <w:rsid w:val="009A39E3"/>
    <w:rsid w:val="009A3A7C"/>
    <w:rsid w:val="009A69AB"/>
    <w:rsid w:val="009A6F6C"/>
    <w:rsid w:val="009B2ADB"/>
    <w:rsid w:val="009B3FB0"/>
    <w:rsid w:val="009B603A"/>
    <w:rsid w:val="009B61F4"/>
    <w:rsid w:val="009B789D"/>
    <w:rsid w:val="009B7A56"/>
    <w:rsid w:val="009C182E"/>
    <w:rsid w:val="009C2D0E"/>
    <w:rsid w:val="009C3DAC"/>
    <w:rsid w:val="009C42E0"/>
    <w:rsid w:val="009C5DCB"/>
    <w:rsid w:val="009D1ADF"/>
    <w:rsid w:val="009D5362"/>
    <w:rsid w:val="009E0A6F"/>
    <w:rsid w:val="009E1415"/>
    <w:rsid w:val="009E2285"/>
    <w:rsid w:val="009E2C01"/>
    <w:rsid w:val="009E3A87"/>
    <w:rsid w:val="009E6116"/>
    <w:rsid w:val="009F5A8E"/>
    <w:rsid w:val="009F6045"/>
    <w:rsid w:val="009F7B45"/>
    <w:rsid w:val="00A025A9"/>
    <w:rsid w:val="00A02E43"/>
    <w:rsid w:val="00A02E5C"/>
    <w:rsid w:val="00A065F9"/>
    <w:rsid w:val="00A07E05"/>
    <w:rsid w:val="00A07F34"/>
    <w:rsid w:val="00A14E93"/>
    <w:rsid w:val="00A161F2"/>
    <w:rsid w:val="00A1702E"/>
    <w:rsid w:val="00A17C59"/>
    <w:rsid w:val="00A2181B"/>
    <w:rsid w:val="00A22154"/>
    <w:rsid w:val="00A235B8"/>
    <w:rsid w:val="00A2521B"/>
    <w:rsid w:val="00A25C38"/>
    <w:rsid w:val="00A25C85"/>
    <w:rsid w:val="00A269F3"/>
    <w:rsid w:val="00A27C76"/>
    <w:rsid w:val="00A30517"/>
    <w:rsid w:val="00A332AE"/>
    <w:rsid w:val="00A33F78"/>
    <w:rsid w:val="00A36BBE"/>
    <w:rsid w:val="00A407CB"/>
    <w:rsid w:val="00A4307A"/>
    <w:rsid w:val="00A45332"/>
    <w:rsid w:val="00A46ABC"/>
    <w:rsid w:val="00A47EBB"/>
    <w:rsid w:val="00A504DB"/>
    <w:rsid w:val="00A50BEA"/>
    <w:rsid w:val="00A51CDD"/>
    <w:rsid w:val="00A64BCB"/>
    <w:rsid w:val="00A654FB"/>
    <w:rsid w:val="00A667BF"/>
    <w:rsid w:val="00A6730D"/>
    <w:rsid w:val="00A70AFF"/>
    <w:rsid w:val="00A70C7A"/>
    <w:rsid w:val="00A71625"/>
    <w:rsid w:val="00A71B9B"/>
    <w:rsid w:val="00A72AA1"/>
    <w:rsid w:val="00A73CC0"/>
    <w:rsid w:val="00A751C7"/>
    <w:rsid w:val="00A87361"/>
    <w:rsid w:val="00A87844"/>
    <w:rsid w:val="00A9064A"/>
    <w:rsid w:val="00A91BF1"/>
    <w:rsid w:val="00A92A50"/>
    <w:rsid w:val="00A93BE4"/>
    <w:rsid w:val="00A943F9"/>
    <w:rsid w:val="00A96271"/>
    <w:rsid w:val="00A96522"/>
    <w:rsid w:val="00AA038C"/>
    <w:rsid w:val="00AA4149"/>
    <w:rsid w:val="00AA5024"/>
    <w:rsid w:val="00AA52DA"/>
    <w:rsid w:val="00AA7A09"/>
    <w:rsid w:val="00AA7C08"/>
    <w:rsid w:val="00AB13AA"/>
    <w:rsid w:val="00AB3B50"/>
    <w:rsid w:val="00AB53AC"/>
    <w:rsid w:val="00AC050B"/>
    <w:rsid w:val="00AC05B1"/>
    <w:rsid w:val="00AC112F"/>
    <w:rsid w:val="00AC1B52"/>
    <w:rsid w:val="00AC4DF3"/>
    <w:rsid w:val="00AD356C"/>
    <w:rsid w:val="00AD3C95"/>
    <w:rsid w:val="00AD52E6"/>
    <w:rsid w:val="00AD5E6A"/>
    <w:rsid w:val="00AE06B7"/>
    <w:rsid w:val="00AE19DB"/>
    <w:rsid w:val="00AE2914"/>
    <w:rsid w:val="00AE377B"/>
    <w:rsid w:val="00AE3F7C"/>
    <w:rsid w:val="00AE6D15"/>
    <w:rsid w:val="00AE6FA4"/>
    <w:rsid w:val="00AE7C6B"/>
    <w:rsid w:val="00B02A34"/>
    <w:rsid w:val="00B04182"/>
    <w:rsid w:val="00B05434"/>
    <w:rsid w:val="00B06FE5"/>
    <w:rsid w:val="00B07AE3"/>
    <w:rsid w:val="00B11430"/>
    <w:rsid w:val="00B17459"/>
    <w:rsid w:val="00B1770D"/>
    <w:rsid w:val="00B2086A"/>
    <w:rsid w:val="00B20BBD"/>
    <w:rsid w:val="00B328FC"/>
    <w:rsid w:val="00B3524F"/>
    <w:rsid w:val="00B353EB"/>
    <w:rsid w:val="00B36434"/>
    <w:rsid w:val="00B37E10"/>
    <w:rsid w:val="00B439C4"/>
    <w:rsid w:val="00B44CFE"/>
    <w:rsid w:val="00B4535E"/>
    <w:rsid w:val="00B52A8C"/>
    <w:rsid w:val="00B54C98"/>
    <w:rsid w:val="00B636A8"/>
    <w:rsid w:val="00B660D7"/>
    <w:rsid w:val="00B665C6"/>
    <w:rsid w:val="00B66A35"/>
    <w:rsid w:val="00B70D50"/>
    <w:rsid w:val="00B71219"/>
    <w:rsid w:val="00B7124C"/>
    <w:rsid w:val="00B713EC"/>
    <w:rsid w:val="00B74DA3"/>
    <w:rsid w:val="00B805A4"/>
    <w:rsid w:val="00B805AF"/>
    <w:rsid w:val="00B8443A"/>
    <w:rsid w:val="00B84460"/>
    <w:rsid w:val="00B85806"/>
    <w:rsid w:val="00B869EC"/>
    <w:rsid w:val="00B86DD7"/>
    <w:rsid w:val="00B92F1C"/>
    <w:rsid w:val="00B9397A"/>
    <w:rsid w:val="00B95466"/>
    <w:rsid w:val="00B9633D"/>
    <w:rsid w:val="00B96730"/>
    <w:rsid w:val="00BA0B75"/>
    <w:rsid w:val="00BA0BBB"/>
    <w:rsid w:val="00BA1223"/>
    <w:rsid w:val="00BA129F"/>
    <w:rsid w:val="00BA2EBE"/>
    <w:rsid w:val="00BB06E3"/>
    <w:rsid w:val="00BB0F28"/>
    <w:rsid w:val="00BB3276"/>
    <w:rsid w:val="00BB406F"/>
    <w:rsid w:val="00BB458A"/>
    <w:rsid w:val="00BB7275"/>
    <w:rsid w:val="00BC7DE0"/>
    <w:rsid w:val="00BD00D3"/>
    <w:rsid w:val="00BD1659"/>
    <w:rsid w:val="00BD397D"/>
    <w:rsid w:val="00BD3AA9"/>
    <w:rsid w:val="00BD4A18"/>
    <w:rsid w:val="00BD6DB2"/>
    <w:rsid w:val="00BE11CF"/>
    <w:rsid w:val="00BE1A75"/>
    <w:rsid w:val="00BE1D2E"/>
    <w:rsid w:val="00BE21AB"/>
    <w:rsid w:val="00BE21B2"/>
    <w:rsid w:val="00BE2B06"/>
    <w:rsid w:val="00BE4720"/>
    <w:rsid w:val="00BE55CB"/>
    <w:rsid w:val="00BE5F37"/>
    <w:rsid w:val="00BE5F9B"/>
    <w:rsid w:val="00BF617A"/>
    <w:rsid w:val="00BF6FCE"/>
    <w:rsid w:val="00C01857"/>
    <w:rsid w:val="00C02B1E"/>
    <w:rsid w:val="00C02F74"/>
    <w:rsid w:val="00C0379D"/>
    <w:rsid w:val="00C03931"/>
    <w:rsid w:val="00C05FE3"/>
    <w:rsid w:val="00C101F1"/>
    <w:rsid w:val="00C10C87"/>
    <w:rsid w:val="00C1391D"/>
    <w:rsid w:val="00C143F4"/>
    <w:rsid w:val="00C15F46"/>
    <w:rsid w:val="00C164B4"/>
    <w:rsid w:val="00C1731A"/>
    <w:rsid w:val="00C2136D"/>
    <w:rsid w:val="00C214EE"/>
    <w:rsid w:val="00C22B28"/>
    <w:rsid w:val="00C2314B"/>
    <w:rsid w:val="00C24971"/>
    <w:rsid w:val="00C267D6"/>
    <w:rsid w:val="00C26BE5"/>
    <w:rsid w:val="00C26E4D"/>
    <w:rsid w:val="00C27536"/>
    <w:rsid w:val="00C27909"/>
    <w:rsid w:val="00C27B03"/>
    <w:rsid w:val="00C314E1"/>
    <w:rsid w:val="00C3240C"/>
    <w:rsid w:val="00C32BAA"/>
    <w:rsid w:val="00C33336"/>
    <w:rsid w:val="00C33BE8"/>
    <w:rsid w:val="00C34397"/>
    <w:rsid w:val="00C3788B"/>
    <w:rsid w:val="00C4095D"/>
    <w:rsid w:val="00C40F0C"/>
    <w:rsid w:val="00C42A5E"/>
    <w:rsid w:val="00C43E1D"/>
    <w:rsid w:val="00C46166"/>
    <w:rsid w:val="00C50A8B"/>
    <w:rsid w:val="00C528B3"/>
    <w:rsid w:val="00C56A02"/>
    <w:rsid w:val="00C57A71"/>
    <w:rsid w:val="00C601D2"/>
    <w:rsid w:val="00C65BCC"/>
    <w:rsid w:val="00C66045"/>
    <w:rsid w:val="00C66970"/>
    <w:rsid w:val="00C712DC"/>
    <w:rsid w:val="00C743A0"/>
    <w:rsid w:val="00C748E5"/>
    <w:rsid w:val="00C74DDE"/>
    <w:rsid w:val="00C75F13"/>
    <w:rsid w:val="00C852B1"/>
    <w:rsid w:val="00C85CE4"/>
    <w:rsid w:val="00C8691C"/>
    <w:rsid w:val="00C90B7A"/>
    <w:rsid w:val="00C91241"/>
    <w:rsid w:val="00C91EEF"/>
    <w:rsid w:val="00C928B3"/>
    <w:rsid w:val="00C92D15"/>
    <w:rsid w:val="00C97A8C"/>
    <w:rsid w:val="00CA168A"/>
    <w:rsid w:val="00CA357E"/>
    <w:rsid w:val="00CA44F9"/>
    <w:rsid w:val="00CA4A69"/>
    <w:rsid w:val="00CB0153"/>
    <w:rsid w:val="00CB237A"/>
    <w:rsid w:val="00CB4041"/>
    <w:rsid w:val="00CB4332"/>
    <w:rsid w:val="00CC348F"/>
    <w:rsid w:val="00CC36EF"/>
    <w:rsid w:val="00CC384D"/>
    <w:rsid w:val="00CC3E0C"/>
    <w:rsid w:val="00CC437A"/>
    <w:rsid w:val="00CC58D3"/>
    <w:rsid w:val="00CC73A9"/>
    <w:rsid w:val="00CC784D"/>
    <w:rsid w:val="00CC7BDD"/>
    <w:rsid w:val="00CD63CA"/>
    <w:rsid w:val="00CD7BCB"/>
    <w:rsid w:val="00CE27B4"/>
    <w:rsid w:val="00CE37D0"/>
    <w:rsid w:val="00CF55CE"/>
    <w:rsid w:val="00CF5F74"/>
    <w:rsid w:val="00CF7FB0"/>
    <w:rsid w:val="00D01697"/>
    <w:rsid w:val="00D0337B"/>
    <w:rsid w:val="00D0448C"/>
    <w:rsid w:val="00D05600"/>
    <w:rsid w:val="00D079B2"/>
    <w:rsid w:val="00D10FC1"/>
    <w:rsid w:val="00D114E9"/>
    <w:rsid w:val="00D13DC5"/>
    <w:rsid w:val="00D14EB3"/>
    <w:rsid w:val="00D150E8"/>
    <w:rsid w:val="00D20657"/>
    <w:rsid w:val="00D21185"/>
    <w:rsid w:val="00D26075"/>
    <w:rsid w:val="00D27F1C"/>
    <w:rsid w:val="00D33305"/>
    <w:rsid w:val="00D35DE1"/>
    <w:rsid w:val="00D41683"/>
    <w:rsid w:val="00D429C6"/>
    <w:rsid w:val="00D430D5"/>
    <w:rsid w:val="00D44A83"/>
    <w:rsid w:val="00D4564E"/>
    <w:rsid w:val="00D47748"/>
    <w:rsid w:val="00D51B23"/>
    <w:rsid w:val="00D54502"/>
    <w:rsid w:val="00D54CC3"/>
    <w:rsid w:val="00D55065"/>
    <w:rsid w:val="00D55480"/>
    <w:rsid w:val="00D6041A"/>
    <w:rsid w:val="00D61E11"/>
    <w:rsid w:val="00D633EB"/>
    <w:rsid w:val="00D63910"/>
    <w:rsid w:val="00D65687"/>
    <w:rsid w:val="00D72CC7"/>
    <w:rsid w:val="00D73AFF"/>
    <w:rsid w:val="00D7551D"/>
    <w:rsid w:val="00D76F58"/>
    <w:rsid w:val="00D779E5"/>
    <w:rsid w:val="00D82FF7"/>
    <w:rsid w:val="00D847FE"/>
    <w:rsid w:val="00D84C41"/>
    <w:rsid w:val="00D86F37"/>
    <w:rsid w:val="00D90668"/>
    <w:rsid w:val="00D91499"/>
    <w:rsid w:val="00D93B8E"/>
    <w:rsid w:val="00D964EA"/>
    <w:rsid w:val="00D966D0"/>
    <w:rsid w:val="00D972A1"/>
    <w:rsid w:val="00D97B15"/>
    <w:rsid w:val="00DA0BFB"/>
    <w:rsid w:val="00DA0C59"/>
    <w:rsid w:val="00DA0CEC"/>
    <w:rsid w:val="00DA3991"/>
    <w:rsid w:val="00DA5743"/>
    <w:rsid w:val="00DA5E06"/>
    <w:rsid w:val="00DB0990"/>
    <w:rsid w:val="00DB11E7"/>
    <w:rsid w:val="00DB47ED"/>
    <w:rsid w:val="00DB5145"/>
    <w:rsid w:val="00DB7E6C"/>
    <w:rsid w:val="00DC16A7"/>
    <w:rsid w:val="00DC193A"/>
    <w:rsid w:val="00DC19DF"/>
    <w:rsid w:val="00DC2F05"/>
    <w:rsid w:val="00DC5562"/>
    <w:rsid w:val="00DC7E32"/>
    <w:rsid w:val="00DD0B28"/>
    <w:rsid w:val="00DD22DE"/>
    <w:rsid w:val="00DD472A"/>
    <w:rsid w:val="00DD5A29"/>
    <w:rsid w:val="00DD5D9D"/>
    <w:rsid w:val="00DE3247"/>
    <w:rsid w:val="00DE35A0"/>
    <w:rsid w:val="00DE35CB"/>
    <w:rsid w:val="00DE3645"/>
    <w:rsid w:val="00DE48D3"/>
    <w:rsid w:val="00DE5AD1"/>
    <w:rsid w:val="00DE6957"/>
    <w:rsid w:val="00DE71F7"/>
    <w:rsid w:val="00DE7776"/>
    <w:rsid w:val="00DF0BB1"/>
    <w:rsid w:val="00DF21E9"/>
    <w:rsid w:val="00DF7E9C"/>
    <w:rsid w:val="00E00F14"/>
    <w:rsid w:val="00E01C5B"/>
    <w:rsid w:val="00E0305D"/>
    <w:rsid w:val="00E049B8"/>
    <w:rsid w:val="00E06386"/>
    <w:rsid w:val="00E07663"/>
    <w:rsid w:val="00E171B9"/>
    <w:rsid w:val="00E20CA6"/>
    <w:rsid w:val="00E229C2"/>
    <w:rsid w:val="00E244E7"/>
    <w:rsid w:val="00E24C47"/>
    <w:rsid w:val="00E24EB4"/>
    <w:rsid w:val="00E25F77"/>
    <w:rsid w:val="00E27C6B"/>
    <w:rsid w:val="00E31948"/>
    <w:rsid w:val="00E320ED"/>
    <w:rsid w:val="00E33AFB"/>
    <w:rsid w:val="00E34218"/>
    <w:rsid w:val="00E345D8"/>
    <w:rsid w:val="00E365C9"/>
    <w:rsid w:val="00E368BB"/>
    <w:rsid w:val="00E42284"/>
    <w:rsid w:val="00E423FF"/>
    <w:rsid w:val="00E4470F"/>
    <w:rsid w:val="00E46282"/>
    <w:rsid w:val="00E47671"/>
    <w:rsid w:val="00E5216E"/>
    <w:rsid w:val="00E55ACF"/>
    <w:rsid w:val="00E575A5"/>
    <w:rsid w:val="00E65B6F"/>
    <w:rsid w:val="00E72C37"/>
    <w:rsid w:val="00E74ADF"/>
    <w:rsid w:val="00E82344"/>
    <w:rsid w:val="00E83270"/>
    <w:rsid w:val="00E84C82"/>
    <w:rsid w:val="00E84D64"/>
    <w:rsid w:val="00E86B3F"/>
    <w:rsid w:val="00E87408"/>
    <w:rsid w:val="00E914C4"/>
    <w:rsid w:val="00E934F5"/>
    <w:rsid w:val="00E96961"/>
    <w:rsid w:val="00EA1A8D"/>
    <w:rsid w:val="00EA2011"/>
    <w:rsid w:val="00EA271F"/>
    <w:rsid w:val="00EA4323"/>
    <w:rsid w:val="00EA6058"/>
    <w:rsid w:val="00EA6D77"/>
    <w:rsid w:val="00EA6F4D"/>
    <w:rsid w:val="00EA72EC"/>
    <w:rsid w:val="00EB11CB"/>
    <w:rsid w:val="00EB275A"/>
    <w:rsid w:val="00EB2E60"/>
    <w:rsid w:val="00EB786A"/>
    <w:rsid w:val="00EB7E89"/>
    <w:rsid w:val="00EC1578"/>
    <w:rsid w:val="00EC1C72"/>
    <w:rsid w:val="00EC3CC9"/>
    <w:rsid w:val="00EC680A"/>
    <w:rsid w:val="00ED1B3F"/>
    <w:rsid w:val="00ED7185"/>
    <w:rsid w:val="00EE2BED"/>
    <w:rsid w:val="00EE374B"/>
    <w:rsid w:val="00EE383D"/>
    <w:rsid w:val="00EE554B"/>
    <w:rsid w:val="00EF4E55"/>
    <w:rsid w:val="00F016DA"/>
    <w:rsid w:val="00F02968"/>
    <w:rsid w:val="00F04467"/>
    <w:rsid w:val="00F05903"/>
    <w:rsid w:val="00F06A6E"/>
    <w:rsid w:val="00F06DAD"/>
    <w:rsid w:val="00F118DC"/>
    <w:rsid w:val="00F11BB5"/>
    <w:rsid w:val="00F13CCB"/>
    <w:rsid w:val="00F1417B"/>
    <w:rsid w:val="00F142E5"/>
    <w:rsid w:val="00F23105"/>
    <w:rsid w:val="00F268BF"/>
    <w:rsid w:val="00F31E8F"/>
    <w:rsid w:val="00F34B99"/>
    <w:rsid w:val="00F36573"/>
    <w:rsid w:val="00F369ED"/>
    <w:rsid w:val="00F36FE8"/>
    <w:rsid w:val="00F37EC8"/>
    <w:rsid w:val="00F41356"/>
    <w:rsid w:val="00F43AE8"/>
    <w:rsid w:val="00F50D4B"/>
    <w:rsid w:val="00F5238C"/>
    <w:rsid w:val="00F52DAB"/>
    <w:rsid w:val="00F543F0"/>
    <w:rsid w:val="00F56B13"/>
    <w:rsid w:val="00F60746"/>
    <w:rsid w:val="00F646E6"/>
    <w:rsid w:val="00F66111"/>
    <w:rsid w:val="00F67A8D"/>
    <w:rsid w:val="00F71F0C"/>
    <w:rsid w:val="00F755B3"/>
    <w:rsid w:val="00F76930"/>
    <w:rsid w:val="00F772BC"/>
    <w:rsid w:val="00F81D29"/>
    <w:rsid w:val="00F83C73"/>
    <w:rsid w:val="00F849A6"/>
    <w:rsid w:val="00F863D9"/>
    <w:rsid w:val="00F86B7F"/>
    <w:rsid w:val="00F91C4D"/>
    <w:rsid w:val="00F92FD9"/>
    <w:rsid w:val="00F93B50"/>
    <w:rsid w:val="00F9450A"/>
    <w:rsid w:val="00FA003E"/>
    <w:rsid w:val="00FA11E8"/>
    <w:rsid w:val="00FA4C2A"/>
    <w:rsid w:val="00FA6684"/>
    <w:rsid w:val="00FA731E"/>
    <w:rsid w:val="00FA743C"/>
    <w:rsid w:val="00FB0A3D"/>
    <w:rsid w:val="00FB2B38"/>
    <w:rsid w:val="00FB6398"/>
    <w:rsid w:val="00FB699A"/>
    <w:rsid w:val="00FC6358"/>
    <w:rsid w:val="00FC7BAA"/>
    <w:rsid w:val="00FD01CF"/>
    <w:rsid w:val="00FD0E71"/>
    <w:rsid w:val="00FD109F"/>
    <w:rsid w:val="00FD2AAA"/>
    <w:rsid w:val="00FD320D"/>
    <w:rsid w:val="00FD48C8"/>
    <w:rsid w:val="00FD53A3"/>
    <w:rsid w:val="00FD58FA"/>
    <w:rsid w:val="00FE0A77"/>
    <w:rsid w:val="00FE138F"/>
    <w:rsid w:val="00FE23DE"/>
    <w:rsid w:val="00FE2EFC"/>
    <w:rsid w:val="00FE483E"/>
    <w:rsid w:val="00FE79A8"/>
    <w:rsid w:val="00FF0534"/>
    <w:rsid w:val="00FF25D1"/>
    <w:rsid w:val="00FF4869"/>
    <w:rsid w:val="00FF6DFF"/>
    <w:rsid w:val="00FF742A"/>
    <w:rsid w:val="011D736E"/>
    <w:rsid w:val="017101FF"/>
    <w:rsid w:val="018711AD"/>
    <w:rsid w:val="0208387B"/>
    <w:rsid w:val="021A56E1"/>
    <w:rsid w:val="021F7DE4"/>
    <w:rsid w:val="02BF3827"/>
    <w:rsid w:val="02DC59B4"/>
    <w:rsid w:val="02F6136E"/>
    <w:rsid w:val="03485BA2"/>
    <w:rsid w:val="04011F1D"/>
    <w:rsid w:val="047A0F18"/>
    <w:rsid w:val="047B1C45"/>
    <w:rsid w:val="048F1CA8"/>
    <w:rsid w:val="05121743"/>
    <w:rsid w:val="05C40203"/>
    <w:rsid w:val="063E3BE7"/>
    <w:rsid w:val="066E67C6"/>
    <w:rsid w:val="06EC398D"/>
    <w:rsid w:val="07001A2A"/>
    <w:rsid w:val="07114AE6"/>
    <w:rsid w:val="073D05D8"/>
    <w:rsid w:val="07801191"/>
    <w:rsid w:val="080A2A2C"/>
    <w:rsid w:val="08D6334C"/>
    <w:rsid w:val="08E46983"/>
    <w:rsid w:val="093C3614"/>
    <w:rsid w:val="09BB14DC"/>
    <w:rsid w:val="09DB3A4C"/>
    <w:rsid w:val="09F216E2"/>
    <w:rsid w:val="0A6A7C91"/>
    <w:rsid w:val="0B455081"/>
    <w:rsid w:val="0B7E2571"/>
    <w:rsid w:val="0C3C74BC"/>
    <w:rsid w:val="0C6B09F3"/>
    <w:rsid w:val="0CBE51EE"/>
    <w:rsid w:val="0CD14E64"/>
    <w:rsid w:val="0CF73F0B"/>
    <w:rsid w:val="0DB66121"/>
    <w:rsid w:val="0DBD41D7"/>
    <w:rsid w:val="0ECF1201"/>
    <w:rsid w:val="0F314F7A"/>
    <w:rsid w:val="0F81332A"/>
    <w:rsid w:val="107C4044"/>
    <w:rsid w:val="109B7FA1"/>
    <w:rsid w:val="10E23D5D"/>
    <w:rsid w:val="115B01C1"/>
    <w:rsid w:val="117E6C9B"/>
    <w:rsid w:val="11EE3475"/>
    <w:rsid w:val="120772DB"/>
    <w:rsid w:val="131C4C70"/>
    <w:rsid w:val="133E171D"/>
    <w:rsid w:val="13945ECF"/>
    <w:rsid w:val="13E94F87"/>
    <w:rsid w:val="13FE3636"/>
    <w:rsid w:val="14066F8F"/>
    <w:rsid w:val="140846F8"/>
    <w:rsid w:val="144B00FF"/>
    <w:rsid w:val="1475759D"/>
    <w:rsid w:val="150F2857"/>
    <w:rsid w:val="155A12E5"/>
    <w:rsid w:val="15B72BBD"/>
    <w:rsid w:val="16303A43"/>
    <w:rsid w:val="166377E0"/>
    <w:rsid w:val="16B335DE"/>
    <w:rsid w:val="17243AB0"/>
    <w:rsid w:val="179F49B8"/>
    <w:rsid w:val="18CC7CA0"/>
    <w:rsid w:val="190702F5"/>
    <w:rsid w:val="1A364008"/>
    <w:rsid w:val="1A53019C"/>
    <w:rsid w:val="1AB06C39"/>
    <w:rsid w:val="1AD37E82"/>
    <w:rsid w:val="1AD54A7C"/>
    <w:rsid w:val="1BC82E20"/>
    <w:rsid w:val="1BDC0517"/>
    <w:rsid w:val="1C181D5A"/>
    <w:rsid w:val="1CB25CB8"/>
    <w:rsid w:val="1DD1475F"/>
    <w:rsid w:val="1E335AA7"/>
    <w:rsid w:val="1E6D1071"/>
    <w:rsid w:val="1F3349F8"/>
    <w:rsid w:val="1F3D7AD9"/>
    <w:rsid w:val="1FA76034"/>
    <w:rsid w:val="1FEB3937"/>
    <w:rsid w:val="20486A63"/>
    <w:rsid w:val="20836C71"/>
    <w:rsid w:val="20AA47BD"/>
    <w:rsid w:val="20DE48E5"/>
    <w:rsid w:val="21E3320A"/>
    <w:rsid w:val="226A7914"/>
    <w:rsid w:val="22C25899"/>
    <w:rsid w:val="23042E9A"/>
    <w:rsid w:val="23526843"/>
    <w:rsid w:val="238C0BD7"/>
    <w:rsid w:val="25004F8B"/>
    <w:rsid w:val="25166E25"/>
    <w:rsid w:val="25806CEC"/>
    <w:rsid w:val="25983900"/>
    <w:rsid w:val="25D4250D"/>
    <w:rsid w:val="260742CB"/>
    <w:rsid w:val="266C5273"/>
    <w:rsid w:val="271F0105"/>
    <w:rsid w:val="273152D7"/>
    <w:rsid w:val="275E6F07"/>
    <w:rsid w:val="27B91FCD"/>
    <w:rsid w:val="28F94D58"/>
    <w:rsid w:val="29144B48"/>
    <w:rsid w:val="2A9A4CC2"/>
    <w:rsid w:val="2AA56539"/>
    <w:rsid w:val="2AD24852"/>
    <w:rsid w:val="2ADB42B9"/>
    <w:rsid w:val="2AF179C8"/>
    <w:rsid w:val="2B0E14CA"/>
    <w:rsid w:val="2B1E480B"/>
    <w:rsid w:val="2B51170F"/>
    <w:rsid w:val="2B555334"/>
    <w:rsid w:val="2BBE55AE"/>
    <w:rsid w:val="2BC50988"/>
    <w:rsid w:val="2BEF5C1C"/>
    <w:rsid w:val="2C050E9B"/>
    <w:rsid w:val="2C3D2EAE"/>
    <w:rsid w:val="2C69621E"/>
    <w:rsid w:val="2C7E12A7"/>
    <w:rsid w:val="2CD33941"/>
    <w:rsid w:val="2CF23379"/>
    <w:rsid w:val="2D1058F4"/>
    <w:rsid w:val="2D2B2091"/>
    <w:rsid w:val="2D48638D"/>
    <w:rsid w:val="2D895BC8"/>
    <w:rsid w:val="2DB86C8F"/>
    <w:rsid w:val="2DC81D71"/>
    <w:rsid w:val="2DD626FE"/>
    <w:rsid w:val="2E930FD5"/>
    <w:rsid w:val="2EAE6619"/>
    <w:rsid w:val="304B4E38"/>
    <w:rsid w:val="31601379"/>
    <w:rsid w:val="316B59DA"/>
    <w:rsid w:val="3170769D"/>
    <w:rsid w:val="31EB6A09"/>
    <w:rsid w:val="32282AF7"/>
    <w:rsid w:val="3299150E"/>
    <w:rsid w:val="32E27122"/>
    <w:rsid w:val="32FD2697"/>
    <w:rsid w:val="337517CA"/>
    <w:rsid w:val="338E6EEF"/>
    <w:rsid w:val="33E136A3"/>
    <w:rsid w:val="344A2DB1"/>
    <w:rsid w:val="34740C75"/>
    <w:rsid w:val="34AD12AD"/>
    <w:rsid w:val="35AE7C02"/>
    <w:rsid w:val="35CE1922"/>
    <w:rsid w:val="36A21A3B"/>
    <w:rsid w:val="37055C1D"/>
    <w:rsid w:val="38452EF0"/>
    <w:rsid w:val="387D355A"/>
    <w:rsid w:val="388C3840"/>
    <w:rsid w:val="38D1493A"/>
    <w:rsid w:val="39541AC8"/>
    <w:rsid w:val="39830B60"/>
    <w:rsid w:val="3A2D50FE"/>
    <w:rsid w:val="3A816990"/>
    <w:rsid w:val="3AE50EA1"/>
    <w:rsid w:val="3BD41AAE"/>
    <w:rsid w:val="3C0473B1"/>
    <w:rsid w:val="3C4219A4"/>
    <w:rsid w:val="3C4922D5"/>
    <w:rsid w:val="3D4C1082"/>
    <w:rsid w:val="3E075C67"/>
    <w:rsid w:val="3EA21121"/>
    <w:rsid w:val="3F2A152B"/>
    <w:rsid w:val="3F445238"/>
    <w:rsid w:val="3F8A6036"/>
    <w:rsid w:val="4000129A"/>
    <w:rsid w:val="400575B4"/>
    <w:rsid w:val="401948AC"/>
    <w:rsid w:val="404D02BF"/>
    <w:rsid w:val="407B52D5"/>
    <w:rsid w:val="408C04A3"/>
    <w:rsid w:val="40C2042C"/>
    <w:rsid w:val="41DD6B33"/>
    <w:rsid w:val="41E111CE"/>
    <w:rsid w:val="41FB20DA"/>
    <w:rsid w:val="421E3072"/>
    <w:rsid w:val="429D5044"/>
    <w:rsid w:val="42CB2B14"/>
    <w:rsid w:val="42E15F21"/>
    <w:rsid w:val="435A3B42"/>
    <w:rsid w:val="435A585F"/>
    <w:rsid w:val="43B9368E"/>
    <w:rsid w:val="45B2630E"/>
    <w:rsid w:val="45CE3F94"/>
    <w:rsid w:val="45F84582"/>
    <w:rsid w:val="461C4844"/>
    <w:rsid w:val="4636447B"/>
    <w:rsid w:val="4667568E"/>
    <w:rsid w:val="46D946DB"/>
    <w:rsid w:val="46F25BD0"/>
    <w:rsid w:val="47786C86"/>
    <w:rsid w:val="477F02CC"/>
    <w:rsid w:val="47AE0CB2"/>
    <w:rsid w:val="48244BC4"/>
    <w:rsid w:val="48924168"/>
    <w:rsid w:val="48957AC0"/>
    <w:rsid w:val="49201EB4"/>
    <w:rsid w:val="492A4864"/>
    <w:rsid w:val="4A1C5F58"/>
    <w:rsid w:val="4ADE7E21"/>
    <w:rsid w:val="4B7A5428"/>
    <w:rsid w:val="4BCD6A4E"/>
    <w:rsid w:val="4C5C6FE8"/>
    <w:rsid w:val="4C604669"/>
    <w:rsid w:val="4C68615C"/>
    <w:rsid w:val="4C7F3DEF"/>
    <w:rsid w:val="4CE976AF"/>
    <w:rsid w:val="4CFF31D3"/>
    <w:rsid w:val="4CFF3793"/>
    <w:rsid w:val="4D5802E3"/>
    <w:rsid w:val="4E411725"/>
    <w:rsid w:val="4E5543E7"/>
    <w:rsid w:val="4E6543BE"/>
    <w:rsid w:val="4E884CB8"/>
    <w:rsid w:val="4EA46F5C"/>
    <w:rsid w:val="4EEB6A18"/>
    <w:rsid w:val="4F02197B"/>
    <w:rsid w:val="4FDE1159"/>
    <w:rsid w:val="500C6ED2"/>
    <w:rsid w:val="50CE449B"/>
    <w:rsid w:val="50D136E9"/>
    <w:rsid w:val="511C2F1E"/>
    <w:rsid w:val="524F2B79"/>
    <w:rsid w:val="52842BD3"/>
    <w:rsid w:val="529E5FED"/>
    <w:rsid w:val="5318167B"/>
    <w:rsid w:val="53426F51"/>
    <w:rsid w:val="5359298E"/>
    <w:rsid w:val="537900A1"/>
    <w:rsid w:val="5379661E"/>
    <w:rsid w:val="53CB5F11"/>
    <w:rsid w:val="541263DF"/>
    <w:rsid w:val="54332825"/>
    <w:rsid w:val="54641DFF"/>
    <w:rsid w:val="549A714A"/>
    <w:rsid w:val="54C842AE"/>
    <w:rsid w:val="55F856B5"/>
    <w:rsid w:val="560D0BDE"/>
    <w:rsid w:val="571E21C5"/>
    <w:rsid w:val="57263685"/>
    <w:rsid w:val="576B6355"/>
    <w:rsid w:val="57832C2A"/>
    <w:rsid w:val="578968DD"/>
    <w:rsid w:val="58695EC5"/>
    <w:rsid w:val="58900685"/>
    <w:rsid w:val="58D52D51"/>
    <w:rsid w:val="58E0782B"/>
    <w:rsid w:val="590A0998"/>
    <w:rsid w:val="594358F8"/>
    <w:rsid w:val="597F514C"/>
    <w:rsid w:val="5A3016D7"/>
    <w:rsid w:val="5A3B6F6D"/>
    <w:rsid w:val="5AD06145"/>
    <w:rsid w:val="5B22565C"/>
    <w:rsid w:val="5B48169E"/>
    <w:rsid w:val="5B817E69"/>
    <w:rsid w:val="5B9D3A21"/>
    <w:rsid w:val="5B9F1572"/>
    <w:rsid w:val="5BAB3687"/>
    <w:rsid w:val="5BB2432F"/>
    <w:rsid w:val="5BFF0D4A"/>
    <w:rsid w:val="5C3519E9"/>
    <w:rsid w:val="5C80667E"/>
    <w:rsid w:val="5C9A0B56"/>
    <w:rsid w:val="5CDB76EE"/>
    <w:rsid w:val="5D1E6ACC"/>
    <w:rsid w:val="5D351EC6"/>
    <w:rsid w:val="5EEE5753"/>
    <w:rsid w:val="5F2C1C1C"/>
    <w:rsid w:val="5F4051EF"/>
    <w:rsid w:val="5F4C79BB"/>
    <w:rsid w:val="5FB339D7"/>
    <w:rsid w:val="5FE14EC9"/>
    <w:rsid w:val="60785D60"/>
    <w:rsid w:val="60B05C7F"/>
    <w:rsid w:val="60CD789C"/>
    <w:rsid w:val="61005B89"/>
    <w:rsid w:val="610577A4"/>
    <w:rsid w:val="611F521E"/>
    <w:rsid w:val="617A1083"/>
    <w:rsid w:val="62D04DE5"/>
    <w:rsid w:val="634A36E8"/>
    <w:rsid w:val="63560B42"/>
    <w:rsid w:val="63981BC6"/>
    <w:rsid w:val="641D1FE2"/>
    <w:rsid w:val="642378CF"/>
    <w:rsid w:val="64505750"/>
    <w:rsid w:val="647D70EF"/>
    <w:rsid w:val="6480211B"/>
    <w:rsid w:val="64837F44"/>
    <w:rsid w:val="655737DE"/>
    <w:rsid w:val="655D2111"/>
    <w:rsid w:val="665610B2"/>
    <w:rsid w:val="66B97F29"/>
    <w:rsid w:val="67993103"/>
    <w:rsid w:val="67B20421"/>
    <w:rsid w:val="681355D5"/>
    <w:rsid w:val="688D42F1"/>
    <w:rsid w:val="699A2765"/>
    <w:rsid w:val="6ABE57B5"/>
    <w:rsid w:val="6AC07333"/>
    <w:rsid w:val="6AF43C00"/>
    <w:rsid w:val="6B6D29CC"/>
    <w:rsid w:val="6B77633F"/>
    <w:rsid w:val="6C0C0683"/>
    <w:rsid w:val="6C231652"/>
    <w:rsid w:val="6C585C83"/>
    <w:rsid w:val="6C631931"/>
    <w:rsid w:val="6D2819E4"/>
    <w:rsid w:val="6D4E12C1"/>
    <w:rsid w:val="6EAC7D84"/>
    <w:rsid w:val="6ED570A9"/>
    <w:rsid w:val="6F161B71"/>
    <w:rsid w:val="700B0EE6"/>
    <w:rsid w:val="70780B6E"/>
    <w:rsid w:val="70BD1EB0"/>
    <w:rsid w:val="70F829B8"/>
    <w:rsid w:val="72534DB7"/>
    <w:rsid w:val="731D6252"/>
    <w:rsid w:val="73456613"/>
    <w:rsid w:val="73615F3D"/>
    <w:rsid w:val="739D6372"/>
    <w:rsid w:val="73A475F2"/>
    <w:rsid w:val="745C3F0D"/>
    <w:rsid w:val="75357766"/>
    <w:rsid w:val="762D22EE"/>
    <w:rsid w:val="7635383F"/>
    <w:rsid w:val="76504095"/>
    <w:rsid w:val="76E42ED3"/>
    <w:rsid w:val="77516071"/>
    <w:rsid w:val="77953AB9"/>
    <w:rsid w:val="781F7A87"/>
    <w:rsid w:val="7821514C"/>
    <w:rsid w:val="784A45D3"/>
    <w:rsid w:val="79621A54"/>
    <w:rsid w:val="7968194E"/>
    <w:rsid w:val="79730E10"/>
    <w:rsid w:val="79921A6B"/>
    <w:rsid w:val="7A16547F"/>
    <w:rsid w:val="7A691E13"/>
    <w:rsid w:val="7A797AC9"/>
    <w:rsid w:val="7AAA1A3C"/>
    <w:rsid w:val="7BCE1D0A"/>
    <w:rsid w:val="7BD92D8F"/>
    <w:rsid w:val="7BF6638B"/>
    <w:rsid w:val="7C5820DA"/>
    <w:rsid w:val="7C680E26"/>
    <w:rsid w:val="7CCD74FB"/>
    <w:rsid w:val="7D4F5404"/>
    <w:rsid w:val="7DC45A7D"/>
    <w:rsid w:val="7E0A2E58"/>
    <w:rsid w:val="7E55081F"/>
    <w:rsid w:val="7E7264D0"/>
    <w:rsid w:val="7EA23334"/>
    <w:rsid w:val="7FF03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8"/>
    <w:qFormat/>
    <w:uiPriority w:val="0"/>
    <w:pPr>
      <w:keepNext/>
      <w:keepLines/>
      <w:spacing w:before="340" w:after="330"/>
      <w:jc w:val="center"/>
      <w:outlineLvl w:val="0"/>
    </w:pPr>
    <w:rPr>
      <w:rFonts w:eastAsia="黑体"/>
      <w:b/>
      <w:bCs/>
      <w:kern w:val="44"/>
      <w:sz w:val="32"/>
      <w:szCs w:val="44"/>
    </w:rPr>
  </w:style>
  <w:style w:type="paragraph" w:styleId="3">
    <w:name w:val="heading 2"/>
    <w:next w:val="1"/>
    <w:unhideWhenUsed/>
    <w:qFormat/>
    <w:uiPriority w:val="9"/>
    <w:pPr>
      <w:keepNext/>
      <w:keepLines/>
      <w:spacing w:before="120" w:after="120"/>
      <w:jc w:val="center"/>
      <w:outlineLvl w:val="1"/>
    </w:pPr>
    <w:rPr>
      <w:rFonts w:ascii="Times New Roman" w:hAnsi="Times New Roman" w:eastAsia="黑体" w:cstheme="majorBidi"/>
      <w:bCs/>
      <w:kern w:val="2"/>
      <w:sz w:val="32"/>
      <w:szCs w:val="32"/>
      <w:lang w:val="en-US" w:eastAsia="zh-CN" w:bidi="ar-SA"/>
    </w:rPr>
  </w:style>
  <w:style w:type="paragraph" w:styleId="4">
    <w:name w:val="heading 3"/>
    <w:basedOn w:val="1"/>
    <w:next w:val="1"/>
    <w:link w:val="46"/>
    <w:qFormat/>
    <w:uiPriority w:val="0"/>
    <w:pPr>
      <w:keepNext/>
      <w:keepLines/>
      <w:spacing w:before="260" w:after="260" w:line="416" w:lineRule="auto"/>
      <w:outlineLvl w:val="2"/>
    </w:pPr>
    <w:rPr>
      <w:b/>
      <w:bCs/>
      <w:sz w:val="32"/>
      <w:szCs w:val="32"/>
    </w:rPr>
  </w:style>
  <w:style w:type="character" w:default="1" w:styleId="38">
    <w:name w:val="Default Paragraph Font"/>
    <w:semiHidden/>
    <w:unhideWhenUsed/>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164"/>
    <w:qFormat/>
    <w:uiPriority w:val="0"/>
    <w:pPr>
      <w:jc w:val="left"/>
    </w:p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index 4"/>
    <w:basedOn w:val="1"/>
    <w:next w:val="1"/>
    <w:qFormat/>
    <w:uiPriority w:val="0"/>
    <w:pPr>
      <w:ind w:left="840" w:hanging="210"/>
      <w:jc w:val="left"/>
    </w:pPr>
    <w:rPr>
      <w:rFonts w:ascii="Calibri" w:hAnsi="Calibri"/>
      <w:sz w:val="20"/>
      <w:szCs w:val="20"/>
    </w:rPr>
  </w:style>
  <w:style w:type="paragraph" w:styleId="13">
    <w:name w:val="toc 5"/>
    <w:basedOn w:val="1"/>
    <w:next w:val="1"/>
    <w:semiHidden/>
    <w:qFormat/>
    <w:uiPriority w:val="0"/>
    <w:pPr>
      <w:tabs>
        <w:tab w:val="right" w:leader="dot" w:pos="9241"/>
      </w:tabs>
      <w:ind w:firstLine="300" w:firstLineChars="300"/>
      <w:jc w:val="left"/>
    </w:pPr>
    <w:rPr>
      <w:rFonts w:ascii="宋体"/>
      <w:szCs w:val="21"/>
    </w:rPr>
  </w:style>
  <w:style w:type="paragraph" w:styleId="14">
    <w:name w:val="toc 3"/>
    <w:basedOn w:val="1"/>
    <w:next w:val="1"/>
    <w:qFormat/>
    <w:uiPriority w:val="39"/>
    <w:pPr>
      <w:tabs>
        <w:tab w:val="right" w:leader="dot" w:pos="9241"/>
      </w:tabs>
      <w:ind w:firstLine="102" w:firstLineChars="100"/>
      <w:jc w:val="left"/>
    </w:pPr>
    <w:rPr>
      <w:rFonts w:ascii="宋体"/>
      <w:szCs w:val="21"/>
    </w:rPr>
  </w:style>
  <w:style w:type="paragraph" w:styleId="15">
    <w:name w:val="toc 8"/>
    <w:basedOn w:val="1"/>
    <w:next w:val="1"/>
    <w:semiHidden/>
    <w:qFormat/>
    <w:uiPriority w:val="0"/>
    <w:pPr>
      <w:tabs>
        <w:tab w:val="right" w:leader="dot" w:pos="9241"/>
      </w:tabs>
      <w:ind w:firstLine="607" w:firstLineChars="600"/>
      <w:jc w:val="left"/>
    </w:pPr>
    <w:rPr>
      <w:rFonts w:ascii="宋体"/>
      <w:szCs w:val="21"/>
    </w:rPr>
  </w:style>
  <w:style w:type="paragraph" w:styleId="16">
    <w:name w:val="index 3"/>
    <w:basedOn w:val="1"/>
    <w:next w:val="1"/>
    <w:qFormat/>
    <w:uiPriority w:val="0"/>
    <w:pPr>
      <w:ind w:left="630" w:hanging="210"/>
      <w:jc w:val="left"/>
    </w:pPr>
    <w:rPr>
      <w:rFonts w:ascii="Calibri" w:hAnsi="Calibri"/>
      <w:sz w:val="20"/>
      <w:szCs w:val="20"/>
    </w:rPr>
  </w:style>
  <w:style w:type="paragraph" w:styleId="17">
    <w:name w:val="Date"/>
    <w:basedOn w:val="1"/>
    <w:next w:val="1"/>
    <w:link w:val="51"/>
    <w:qFormat/>
    <w:uiPriority w:val="0"/>
    <w:pPr>
      <w:ind w:left="100" w:leftChars="2500"/>
    </w:pPr>
  </w:style>
  <w:style w:type="paragraph" w:styleId="18">
    <w:name w:val="endnote text"/>
    <w:basedOn w:val="1"/>
    <w:semiHidden/>
    <w:qFormat/>
    <w:uiPriority w:val="0"/>
    <w:pPr>
      <w:snapToGrid w:val="0"/>
      <w:jc w:val="left"/>
    </w:pPr>
  </w:style>
  <w:style w:type="paragraph" w:styleId="19">
    <w:name w:val="Balloon Text"/>
    <w:basedOn w:val="1"/>
    <w:link w:val="52"/>
    <w:qFormat/>
    <w:uiPriority w:val="0"/>
    <w:rPr>
      <w:sz w:val="18"/>
      <w:szCs w:val="18"/>
    </w:rPr>
  </w:style>
  <w:style w:type="paragraph" w:styleId="20">
    <w:name w:val="footer"/>
    <w:basedOn w:val="1"/>
    <w:link w:val="54"/>
    <w:qFormat/>
    <w:uiPriority w:val="99"/>
    <w:pPr>
      <w:snapToGrid w:val="0"/>
      <w:ind w:right="210" w:rightChars="100"/>
      <w:jc w:val="right"/>
    </w:pPr>
    <w:rPr>
      <w:sz w:val="18"/>
      <w:szCs w:val="18"/>
    </w:rPr>
  </w:style>
  <w:style w:type="paragraph" w:styleId="21">
    <w:name w:val="header"/>
    <w:basedOn w:val="1"/>
    <w:link w:val="48"/>
    <w:qFormat/>
    <w:uiPriority w:val="99"/>
    <w:pPr>
      <w:snapToGrid w:val="0"/>
      <w:jc w:val="left"/>
    </w:pPr>
    <w:rPr>
      <w:sz w:val="18"/>
      <w:szCs w:val="18"/>
    </w:rPr>
  </w:style>
  <w:style w:type="paragraph" w:styleId="22">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3">
    <w:name w:val="toc 4"/>
    <w:basedOn w:val="1"/>
    <w:next w:val="1"/>
    <w:semiHidden/>
    <w:qFormat/>
    <w:uiPriority w:val="0"/>
    <w:pPr>
      <w:tabs>
        <w:tab w:val="right" w:leader="dot" w:pos="9241"/>
      </w:tabs>
      <w:ind w:firstLine="198" w:firstLineChars="200"/>
      <w:jc w:val="left"/>
    </w:pPr>
    <w:rPr>
      <w:rFonts w:ascii="宋体"/>
      <w:szCs w:val="21"/>
    </w:rPr>
  </w:style>
  <w:style w:type="paragraph" w:styleId="24">
    <w:name w:val="index heading"/>
    <w:basedOn w:val="1"/>
    <w:next w:val="25"/>
    <w:qFormat/>
    <w:uiPriority w:val="0"/>
    <w:pPr>
      <w:spacing w:before="120" w:after="120"/>
      <w:jc w:val="center"/>
    </w:pPr>
    <w:rPr>
      <w:rFonts w:ascii="Calibri" w:hAnsi="Calibri"/>
      <w:b/>
      <w:bCs/>
      <w:iCs/>
      <w:szCs w:val="20"/>
    </w:rPr>
  </w:style>
  <w:style w:type="paragraph" w:styleId="25">
    <w:name w:val="index 1"/>
    <w:basedOn w:val="1"/>
    <w:next w:val="26"/>
    <w:qFormat/>
    <w:uiPriority w:val="0"/>
    <w:pPr>
      <w:tabs>
        <w:tab w:val="right" w:leader="dot" w:pos="9299"/>
      </w:tabs>
      <w:jc w:val="left"/>
    </w:pPr>
    <w:rPr>
      <w:rFonts w:ascii="宋体"/>
      <w:szCs w:val="21"/>
    </w:rPr>
  </w:style>
  <w:style w:type="paragraph" w:customStyle="1" w:styleId="26">
    <w:name w:val="段"/>
    <w:link w:val="5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7">
    <w:name w:val="footnote text"/>
    <w:basedOn w:val="1"/>
    <w:qFormat/>
    <w:uiPriority w:val="0"/>
    <w:pPr>
      <w:numPr>
        <w:ilvl w:val="0"/>
        <w:numId w:val="1"/>
      </w:numPr>
      <w:snapToGrid w:val="0"/>
      <w:jc w:val="left"/>
    </w:pPr>
    <w:rPr>
      <w:rFonts w:ascii="宋体"/>
      <w:sz w:val="18"/>
      <w:szCs w:val="18"/>
    </w:rPr>
  </w:style>
  <w:style w:type="paragraph" w:styleId="28">
    <w:name w:val="toc 6"/>
    <w:basedOn w:val="1"/>
    <w:next w:val="1"/>
    <w:semiHidden/>
    <w:qFormat/>
    <w:uiPriority w:val="0"/>
    <w:pPr>
      <w:tabs>
        <w:tab w:val="right" w:leader="dot" w:pos="9241"/>
      </w:tabs>
      <w:ind w:firstLine="403" w:firstLineChars="400"/>
      <w:jc w:val="left"/>
    </w:pPr>
    <w:rPr>
      <w:rFonts w:ascii="宋体"/>
      <w:szCs w:val="21"/>
    </w:rPr>
  </w:style>
  <w:style w:type="paragraph" w:styleId="29">
    <w:name w:val="index 7"/>
    <w:basedOn w:val="1"/>
    <w:next w:val="1"/>
    <w:qFormat/>
    <w:uiPriority w:val="0"/>
    <w:pPr>
      <w:ind w:left="1470" w:hanging="210"/>
      <w:jc w:val="left"/>
    </w:pPr>
    <w:rPr>
      <w:rFonts w:ascii="Calibri" w:hAnsi="Calibri"/>
      <w:sz w:val="20"/>
      <w:szCs w:val="20"/>
    </w:rPr>
  </w:style>
  <w:style w:type="paragraph" w:styleId="30">
    <w:name w:val="index 9"/>
    <w:basedOn w:val="1"/>
    <w:next w:val="1"/>
    <w:qFormat/>
    <w:uiPriority w:val="0"/>
    <w:pPr>
      <w:ind w:left="1890" w:hanging="210"/>
      <w:jc w:val="left"/>
    </w:pPr>
    <w:rPr>
      <w:rFonts w:ascii="Calibri" w:hAnsi="Calibri"/>
      <w:sz w:val="20"/>
      <w:szCs w:val="20"/>
    </w:rPr>
  </w:style>
  <w:style w:type="paragraph" w:styleId="31">
    <w:name w:val="toc 2"/>
    <w:basedOn w:val="1"/>
    <w:next w:val="1"/>
    <w:qFormat/>
    <w:uiPriority w:val="39"/>
    <w:pPr>
      <w:tabs>
        <w:tab w:val="right" w:leader="dot" w:pos="9241"/>
      </w:tabs>
    </w:pPr>
    <w:rPr>
      <w:rFonts w:ascii="宋体"/>
      <w:szCs w:val="21"/>
    </w:rPr>
  </w:style>
  <w:style w:type="paragraph" w:styleId="32">
    <w:name w:val="toc 9"/>
    <w:basedOn w:val="1"/>
    <w:next w:val="1"/>
    <w:semiHidden/>
    <w:qFormat/>
    <w:uiPriority w:val="0"/>
    <w:pPr>
      <w:ind w:left="1470"/>
      <w:jc w:val="left"/>
    </w:pPr>
    <w:rPr>
      <w:sz w:val="20"/>
      <w:szCs w:val="20"/>
    </w:rPr>
  </w:style>
  <w:style w:type="paragraph" w:styleId="3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4">
    <w:name w:val="index 2"/>
    <w:basedOn w:val="1"/>
    <w:next w:val="1"/>
    <w:qFormat/>
    <w:uiPriority w:val="0"/>
    <w:pPr>
      <w:ind w:left="420" w:hanging="210"/>
      <w:jc w:val="left"/>
    </w:pPr>
    <w:rPr>
      <w:rFonts w:ascii="Calibri" w:hAnsi="Calibri"/>
      <w:sz w:val="20"/>
      <w:szCs w:val="20"/>
    </w:rPr>
  </w:style>
  <w:style w:type="paragraph" w:styleId="35">
    <w:name w:val="annotation subject"/>
    <w:basedOn w:val="10"/>
    <w:next w:val="10"/>
    <w:link w:val="165"/>
    <w:qFormat/>
    <w:uiPriority w:val="0"/>
    <w:rPr>
      <w:b/>
      <w:bCs/>
    </w:rPr>
  </w:style>
  <w:style w:type="table" w:styleId="37">
    <w:name w:val="Table Grid"/>
    <w:basedOn w:val="36"/>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endnote reference"/>
    <w:semiHidden/>
    <w:qFormat/>
    <w:uiPriority w:val="0"/>
    <w:rPr>
      <w:vertAlign w:val="superscript"/>
    </w:rPr>
  </w:style>
  <w:style w:type="character" w:styleId="40">
    <w:name w:val="page number"/>
    <w:qFormat/>
    <w:uiPriority w:val="0"/>
    <w:rPr>
      <w:rFonts w:ascii="Times New Roman" w:hAnsi="Times New Roman" w:eastAsia="宋体"/>
      <w:sz w:val="18"/>
    </w:rPr>
  </w:style>
  <w:style w:type="character" w:styleId="41">
    <w:name w:val="FollowedHyperlink"/>
    <w:qFormat/>
    <w:uiPriority w:val="0"/>
    <w:rPr>
      <w:color w:val="800080"/>
      <w:u w:val="single"/>
    </w:rPr>
  </w:style>
  <w:style w:type="character" w:styleId="42">
    <w:name w:val="Emphasis"/>
    <w:qFormat/>
    <w:uiPriority w:val="20"/>
    <w:rPr>
      <w:i/>
      <w:iCs/>
    </w:rPr>
  </w:style>
  <w:style w:type="character" w:styleId="43">
    <w:name w:val="Hyperlink"/>
    <w:qFormat/>
    <w:uiPriority w:val="99"/>
    <w:rPr>
      <w:color w:val="0000FF"/>
      <w:spacing w:val="0"/>
      <w:w w:val="100"/>
      <w:szCs w:val="21"/>
      <w:u w:val="single"/>
      <w:lang w:val="en-US" w:eastAsia="zh-CN"/>
    </w:rPr>
  </w:style>
  <w:style w:type="character" w:styleId="44">
    <w:name w:val="annotation reference"/>
    <w:basedOn w:val="38"/>
    <w:qFormat/>
    <w:uiPriority w:val="0"/>
    <w:rPr>
      <w:sz w:val="21"/>
      <w:szCs w:val="21"/>
    </w:rPr>
  </w:style>
  <w:style w:type="character" w:styleId="45">
    <w:name w:val="footnote reference"/>
    <w:semiHidden/>
    <w:qFormat/>
    <w:uiPriority w:val="0"/>
    <w:rPr>
      <w:vertAlign w:val="superscript"/>
    </w:rPr>
  </w:style>
  <w:style w:type="character" w:customStyle="1" w:styleId="46">
    <w:name w:val="标题 3 字符"/>
    <w:link w:val="4"/>
    <w:qFormat/>
    <w:uiPriority w:val="0"/>
    <w:rPr>
      <w:b/>
      <w:bCs/>
      <w:kern w:val="2"/>
      <w:sz w:val="32"/>
      <w:szCs w:val="32"/>
    </w:rPr>
  </w:style>
  <w:style w:type="character" w:customStyle="1" w:styleId="47">
    <w:name w:val="发布"/>
    <w:qFormat/>
    <w:uiPriority w:val="0"/>
    <w:rPr>
      <w:rFonts w:ascii="黑体" w:eastAsia="黑体"/>
      <w:spacing w:val="85"/>
      <w:w w:val="100"/>
      <w:position w:val="3"/>
      <w:sz w:val="28"/>
      <w:szCs w:val="28"/>
    </w:rPr>
  </w:style>
  <w:style w:type="character" w:customStyle="1" w:styleId="48">
    <w:name w:val="页眉 字符"/>
    <w:link w:val="21"/>
    <w:qFormat/>
    <w:uiPriority w:val="99"/>
    <w:rPr>
      <w:kern w:val="2"/>
      <w:sz w:val="18"/>
      <w:szCs w:val="18"/>
    </w:rPr>
  </w:style>
  <w:style w:type="character" w:customStyle="1" w:styleId="49">
    <w:name w:val="首示例 Char"/>
    <w:link w:val="50"/>
    <w:qFormat/>
    <w:uiPriority w:val="0"/>
    <w:rPr>
      <w:rFonts w:ascii="宋体" w:hAnsi="宋体"/>
      <w:kern w:val="2"/>
      <w:sz w:val="18"/>
      <w:szCs w:val="18"/>
    </w:rPr>
  </w:style>
  <w:style w:type="paragraph" w:customStyle="1" w:styleId="50">
    <w:name w:val="首示例"/>
    <w:next w:val="26"/>
    <w:link w:val="49"/>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character" w:customStyle="1" w:styleId="51">
    <w:name w:val="日期 字符"/>
    <w:link w:val="17"/>
    <w:qFormat/>
    <w:uiPriority w:val="0"/>
    <w:rPr>
      <w:kern w:val="2"/>
      <w:sz w:val="21"/>
      <w:szCs w:val="24"/>
    </w:rPr>
  </w:style>
  <w:style w:type="character" w:customStyle="1" w:styleId="52">
    <w:name w:val="批注框文本 字符"/>
    <w:link w:val="19"/>
    <w:qFormat/>
    <w:uiPriority w:val="0"/>
    <w:rPr>
      <w:kern w:val="2"/>
      <w:sz w:val="18"/>
      <w:szCs w:val="18"/>
    </w:rPr>
  </w:style>
  <w:style w:type="character" w:customStyle="1" w:styleId="53">
    <w:name w:val="font11"/>
    <w:qFormat/>
    <w:uiPriority w:val="0"/>
    <w:rPr>
      <w:rFonts w:hint="eastAsia" w:ascii="宋体" w:hAnsi="宋体" w:eastAsia="宋体" w:cs="宋体"/>
      <w:color w:val="000000"/>
      <w:sz w:val="24"/>
      <w:szCs w:val="24"/>
      <w:u w:val="none"/>
    </w:rPr>
  </w:style>
  <w:style w:type="character" w:customStyle="1" w:styleId="54">
    <w:name w:val="页脚 字符"/>
    <w:link w:val="20"/>
    <w:qFormat/>
    <w:uiPriority w:val="99"/>
    <w:rPr>
      <w:kern w:val="2"/>
      <w:sz w:val="18"/>
      <w:szCs w:val="18"/>
    </w:rPr>
  </w:style>
  <w:style w:type="character" w:customStyle="1" w:styleId="55">
    <w:name w:val="段 Char"/>
    <w:link w:val="26"/>
    <w:qFormat/>
    <w:uiPriority w:val="0"/>
    <w:rPr>
      <w:rFonts w:ascii="宋体"/>
      <w:sz w:val="21"/>
      <w:lang w:val="en-US" w:eastAsia="zh-CN" w:bidi="ar-SA"/>
    </w:rPr>
  </w:style>
  <w:style w:type="character" w:customStyle="1" w:styleId="56">
    <w:name w:val="附录公式 Char"/>
    <w:basedOn w:val="55"/>
    <w:link w:val="57"/>
    <w:qFormat/>
    <w:uiPriority w:val="0"/>
    <w:rPr>
      <w:rFonts w:ascii="宋体"/>
      <w:sz w:val="21"/>
      <w:lang w:val="en-US" w:eastAsia="zh-CN" w:bidi="ar-SA"/>
    </w:rPr>
  </w:style>
  <w:style w:type="paragraph" w:customStyle="1" w:styleId="57">
    <w:name w:val="附录公式"/>
    <w:basedOn w:val="26"/>
    <w:next w:val="26"/>
    <w:link w:val="56"/>
    <w:qFormat/>
    <w:uiPriority w:val="0"/>
  </w:style>
  <w:style w:type="character" w:customStyle="1" w:styleId="58">
    <w:name w:val="标题 1 字符"/>
    <w:link w:val="2"/>
    <w:qFormat/>
    <w:uiPriority w:val="0"/>
    <w:rPr>
      <w:rFonts w:eastAsia="黑体"/>
      <w:b/>
      <w:bCs/>
      <w:kern w:val="44"/>
      <w:sz w:val="32"/>
      <w:szCs w:val="44"/>
    </w:rPr>
  </w:style>
  <w:style w:type="character" w:customStyle="1" w:styleId="59">
    <w:name w:val="apple-converted-space"/>
    <w:basedOn w:val="38"/>
    <w:qFormat/>
    <w:uiPriority w:val="0"/>
  </w:style>
  <w:style w:type="paragraph" w:customStyle="1" w:styleId="6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61">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2">
    <w:name w:val="参考文献、索引标题"/>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4">
    <w:name w:val="附录三级条标题"/>
    <w:basedOn w:val="65"/>
    <w:next w:val="26"/>
    <w:qFormat/>
    <w:uiPriority w:val="0"/>
    <w:pPr>
      <w:numPr>
        <w:ilvl w:val="4"/>
      </w:numPr>
      <w:tabs>
        <w:tab w:val="left" w:pos="360"/>
      </w:tabs>
      <w:outlineLvl w:val="4"/>
    </w:pPr>
  </w:style>
  <w:style w:type="paragraph" w:customStyle="1" w:styleId="65">
    <w:name w:val="附录二级条标题"/>
    <w:basedOn w:val="1"/>
    <w:next w:val="26"/>
    <w:qFormat/>
    <w:uiPriority w:val="0"/>
    <w:pPr>
      <w:widowControl/>
      <w:numPr>
        <w:ilvl w:val="3"/>
        <w:numId w:val="3"/>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66">
    <w:name w:val="正文公式编号制表符"/>
    <w:basedOn w:val="26"/>
    <w:next w:val="26"/>
    <w:qFormat/>
    <w:uiPriority w:val="0"/>
    <w:pPr>
      <w:ind w:firstLine="0" w:firstLineChars="0"/>
    </w:pPr>
  </w:style>
  <w:style w:type="paragraph" w:customStyle="1" w:styleId="67">
    <w:name w:val="标准书眉一"/>
    <w:qFormat/>
    <w:uiPriority w:val="0"/>
    <w:pPr>
      <w:jc w:val="both"/>
    </w:pPr>
    <w:rPr>
      <w:rFonts w:ascii="Times New Roman" w:hAnsi="Times New Roman" w:eastAsia="宋体" w:cs="Times New Roman"/>
      <w:lang w:val="en-US" w:eastAsia="zh-CN" w:bidi="ar-SA"/>
    </w:rPr>
  </w:style>
  <w:style w:type="paragraph" w:customStyle="1" w:styleId="6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69">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70">
    <w:name w:val="图的脚注"/>
    <w:next w:val="2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71">
    <w:name w:val="终结线"/>
    <w:basedOn w:val="1"/>
    <w:qFormat/>
    <w:uiPriority w:val="0"/>
    <w:pPr>
      <w:framePr w:hSpace="181" w:vSpace="181" w:wrap="around" w:vAnchor="text" w:hAnchor="margin" w:xAlign="center" w:y="285"/>
    </w:pPr>
  </w:style>
  <w:style w:type="paragraph" w:customStyle="1" w:styleId="72">
    <w:name w:val="五级无"/>
    <w:basedOn w:val="73"/>
    <w:qFormat/>
    <w:uiPriority w:val="0"/>
    <w:rPr>
      <w:rFonts w:ascii="宋体"/>
    </w:rPr>
  </w:style>
  <w:style w:type="paragraph" w:customStyle="1" w:styleId="73">
    <w:name w:val="五级条标题"/>
    <w:basedOn w:val="74"/>
    <w:next w:val="26"/>
    <w:qFormat/>
    <w:uiPriority w:val="0"/>
    <w:pPr>
      <w:numPr>
        <w:ilvl w:val="0"/>
        <w:numId w:val="0"/>
      </w:numPr>
      <w:outlineLvl w:val="6"/>
    </w:pPr>
  </w:style>
  <w:style w:type="paragraph" w:customStyle="1" w:styleId="74">
    <w:name w:val="四级条标题"/>
    <w:basedOn w:val="75"/>
    <w:next w:val="26"/>
    <w:qFormat/>
    <w:uiPriority w:val="0"/>
    <w:pPr>
      <w:numPr>
        <w:ilvl w:val="4"/>
        <w:numId w:val="5"/>
      </w:numPr>
      <w:outlineLvl w:val="5"/>
    </w:pPr>
  </w:style>
  <w:style w:type="paragraph" w:customStyle="1" w:styleId="75">
    <w:name w:val="三级条标题"/>
    <w:basedOn w:val="76"/>
    <w:next w:val="26"/>
    <w:qFormat/>
    <w:uiPriority w:val="0"/>
    <w:pPr>
      <w:numPr>
        <w:ilvl w:val="0"/>
        <w:numId w:val="0"/>
      </w:numPr>
      <w:outlineLvl w:val="4"/>
    </w:pPr>
  </w:style>
  <w:style w:type="paragraph" w:customStyle="1" w:styleId="76">
    <w:name w:val="二级条标题"/>
    <w:basedOn w:val="77"/>
    <w:next w:val="26"/>
    <w:qFormat/>
    <w:uiPriority w:val="0"/>
    <w:pPr>
      <w:numPr>
        <w:ilvl w:val="2"/>
      </w:numPr>
      <w:snapToGrid w:val="0"/>
      <w:spacing w:before="0" w:beforeLines="0" w:after="0" w:afterLines="0" w:line="360" w:lineRule="auto"/>
      <w:ind w:left="0"/>
      <w:outlineLvl w:val="3"/>
    </w:pPr>
    <w:rPr>
      <w:rFonts w:eastAsia="宋体"/>
    </w:rPr>
  </w:style>
  <w:style w:type="paragraph" w:customStyle="1" w:styleId="77">
    <w:name w:val="一级条标题"/>
    <w:next w:val="26"/>
    <w:qFormat/>
    <w:uiPriority w:val="0"/>
    <w:pPr>
      <w:numPr>
        <w:ilvl w:val="1"/>
        <w:numId w:val="5"/>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78">
    <w:name w:val="实施日期"/>
    <w:basedOn w:val="79"/>
    <w:qFormat/>
    <w:uiPriority w:val="0"/>
    <w:pPr>
      <w:framePr w:wrap="around" w:vAnchor="page" w:hAnchor="text"/>
      <w:jc w:val="right"/>
    </w:pPr>
  </w:style>
  <w:style w:type="paragraph" w:customStyle="1" w:styleId="79">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81">
    <w:name w:val="附录数字编号列项（二级）"/>
    <w:qFormat/>
    <w:uiPriority w:val="0"/>
    <w:pPr>
      <w:numPr>
        <w:ilvl w:val="1"/>
        <w:numId w:val="6"/>
      </w:numPr>
    </w:pPr>
    <w:rPr>
      <w:rFonts w:ascii="宋体" w:hAnsi="Times New Roman" w:eastAsia="宋体" w:cs="Times New Roman"/>
      <w:sz w:val="21"/>
      <w:lang w:val="en-US" w:eastAsia="zh-CN" w:bidi="ar-SA"/>
    </w:rPr>
  </w:style>
  <w:style w:type="paragraph" w:customStyle="1" w:styleId="82">
    <w:name w:val="附录五级无"/>
    <w:basedOn w:val="83"/>
    <w:qFormat/>
    <w:uiPriority w:val="0"/>
    <w:pPr>
      <w:tabs>
        <w:tab w:val="left" w:pos="360"/>
      </w:tabs>
      <w:spacing w:before="0" w:beforeLines="0" w:after="0" w:afterLines="0"/>
    </w:pPr>
    <w:rPr>
      <w:rFonts w:ascii="宋体" w:eastAsia="宋体"/>
      <w:szCs w:val="21"/>
    </w:rPr>
  </w:style>
  <w:style w:type="paragraph" w:customStyle="1" w:styleId="83">
    <w:name w:val="附录五级条标题"/>
    <w:basedOn w:val="84"/>
    <w:next w:val="26"/>
    <w:qFormat/>
    <w:uiPriority w:val="0"/>
    <w:pPr>
      <w:tabs>
        <w:tab w:val="left" w:pos="360"/>
      </w:tabs>
      <w:outlineLvl w:val="6"/>
    </w:pPr>
  </w:style>
  <w:style w:type="paragraph" w:customStyle="1" w:styleId="84">
    <w:name w:val="附录四级条标题"/>
    <w:basedOn w:val="64"/>
    <w:next w:val="26"/>
    <w:qFormat/>
    <w:uiPriority w:val="0"/>
    <w:pPr>
      <w:numPr>
        <w:ilvl w:val="0"/>
        <w:numId w:val="0"/>
      </w:numPr>
      <w:outlineLvl w:val="5"/>
    </w:pPr>
  </w:style>
  <w:style w:type="paragraph" w:customStyle="1" w:styleId="85">
    <w:name w:val="附录表标题"/>
    <w:basedOn w:val="1"/>
    <w:next w:val="26"/>
    <w:qFormat/>
    <w:uiPriority w:val="0"/>
    <w:pPr>
      <w:numPr>
        <w:ilvl w:val="1"/>
        <w:numId w:val="7"/>
      </w:numPr>
      <w:tabs>
        <w:tab w:val="left" w:pos="180"/>
      </w:tabs>
      <w:spacing w:before="50" w:beforeLines="50" w:after="50" w:afterLines="50"/>
      <w:ind w:left="0" w:firstLine="0"/>
      <w:jc w:val="center"/>
    </w:pPr>
    <w:rPr>
      <w:rFonts w:ascii="黑体" w:eastAsia="黑体"/>
      <w:szCs w:val="21"/>
    </w:rPr>
  </w:style>
  <w:style w:type="paragraph" w:customStyle="1" w:styleId="8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8">
    <w:name w:val="字母编号列项（一级）"/>
    <w:qFormat/>
    <w:uiPriority w:val="0"/>
    <w:pPr>
      <w:numPr>
        <w:ilvl w:val="0"/>
        <w:numId w:val="8"/>
      </w:numPr>
      <w:jc w:val="both"/>
    </w:pPr>
    <w:rPr>
      <w:rFonts w:ascii="宋体" w:hAnsi="Times New Roman" w:eastAsia="宋体" w:cs="Times New Roman"/>
      <w:sz w:val="21"/>
      <w:lang w:val="en-US" w:eastAsia="zh-CN" w:bidi="ar-SA"/>
    </w:rPr>
  </w:style>
  <w:style w:type="paragraph" w:customStyle="1" w:styleId="89">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9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91">
    <w:name w:val="注："/>
    <w:next w:val="26"/>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9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93">
    <w:name w:val="条文脚注"/>
    <w:basedOn w:val="27"/>
    <w:qFormat/>
    <w:uiPriority w:val="0"/>
    <w:pPr>
      <w:numPr>
        <w:numId w:val="0"/>
      </w:numPr>
      <w:jc w:val="both"/>
    </w:pPr>
  </w:style>
  <w:style w:type="paragraph" w:customStyle="1" w:styleId="94">
    <w:name w:val="目次、标准名称标题"/>
    <w:basedOn w:val="1"/>
    <w:next w:val="2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95">
    <w:name w:val="附录章标题"/>
    <w:next w:val="26"/>
    <w:qFormat/>
    <w:uiPriority w:val="0"/>
    <w:pPr>
      <w:numPr>
        <w:ilvl w:val="1"/>
        <w:numId w:val="3"/>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97">
    <w:name w:val="数字编号列项（二级）"/>
    <w:qFormat/>
    <w:uiPriority w:val="0"/>
    <w:pPr>
      <w:numPr>
        <w:ilvl w:val="1"/>
        <w:numId w:val="8"/>
      </w:numPr>
      <w:jc w:val="both"/>
    </w:pPr>
    <w:rPr>
      <w:rFonts w:ascii="宋体" w:hAnsi="Times New Roman" w:eastAsia="宋体" w:cs="Times New Roman"/>
      <w:sz w:val="21"/>
      <w:lang w:val="en-US" w:eastAsia="zh-CN" w:bidi="ar-SA"/>
    </w:rPr>
  </w:style>
  <w:style w:type="paragraph" w:customStyle="1" w:styleId="9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99">
    <w:name w:val="其他实施日期"/>
    <w:basedOn w:val="78"/>
    <w:qFormat/>
    <w:uiPriority w:val="0"/>
    <w:pPr>
      <w:framePr w:wrap="around"/>
    </w:pPr>
  </w:style>
  <w:style w:type="paragraph" w:customStyle="1" w:styleId="100">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101">
    <w:name w:val="编号列项（三级）"/>
    <w:qFormat/>
    <w:uiPriority w:val="0"/>
    <w:rPr>
      <w:rFonts w:ascii="宋体" w:hAnsi="Times New Roman" w:eastAsia="宋体" w:cs="Times New Roman"/>
      <w:sz w:val="21"/>
      <w:lang w:val="en-US" w:eastAsia="zh-CN" w:bidi="ar-SA"/>
    </w:rPr>
  </w:style>
  <w:style w:type="paragraph" w:customStyle="1" w:styleId="102">
    <w:name w:val="示例"/>
    <w:next w:val="61"/>
    <w:qFormat/>
    <w:uiPriority w:val="0"/>
    <w:pPr>
      <w:widowControl w:val="0"/>
      <w:numPr>
        <w:ilvl w:val="0"/>
        <w:numId w:val="12"/>
      </w:numPr>
      <w:jc w:val="both"/>
    </w:pPr>
    <w:rPr>
      <w:rFonts w:ascii="宋体" w:hAnsi="Times New Roman" w:eastAsia="宋体" w:cs="Times New Roman"/>
      <w:sz w:val="18"/>
      <w:szCs w:val="18"/>
      <w:lang w:val="en-US" w:eastAsia="zh-CN" w:bidi="ar-SA"/>
    </w:rPr>
  </w:style>
  <w:style w:type="paragraph" w:customStyle="1" w:styleId="103">
    <w:name w:val="列项——（一级）"/>
    <w:qFormat/>
    <w:uiPriority w:val="0"/>
    <w:pPr>
      <w:widowControl w:val="0"/>
      <w:numPr>
        <w:ilvl w:val="0"/>
        <w:numId w:val="4"/>
      </w:numPr>
      <w:ind w:left="833"/>
      <w:jc w:val="both"/>
    </w:pPr>
    <w:rPr>
      <w:rFonts w:ascii="宋体" w:hAnsi="Times New Roman" w:eastAsia="宋体" w:cs="Times New Roman"/>
      <w:sz w:val="21"/>
      <w:lang w:val="en-US" w:eastAsia="zh-CN" w:bidi="ar-SA"/>
    </w:rPr>
  </w:style>
  <w:style w:type="paragraph" w:customStyle="1" w:styleId="104">
    <w:name w:val="封面正文"/>
    <w:qFormat/>
    <w:uiPriority w:val="0"/>
    <w:pPr>
      <w:jc w:val="both"/>
    </w:pPr>
    <w:rPr>
      <w:rFonts w:ascii="Times New Roman" w:hAnsi="Times New Roman" w:eastAsia="宋体" w:cs="Times New Roman"/>
      <w:lang w:val="en-US" w:eastAsia="zh-CN" w:bidi="ar-SA"/>
    </w:rPr>
  </w:style>
  <w:style w:type="paragraph" w:customStyle="1" w:styleId="105">
    <w:name w:val="图标脚注说明"/>
    <w:basedOn w:val="26"/>
    <w:qFormat/>
    <w:uiPriority w:val="0"/>
    <w:pPr>
      <w:ind w:left="840" w:hanging="420" w:firstLineChars="0"/>
    </w:pPr>
    <w:rPr>
      <w:sz w:val="18"/>
      <w:szCs w:val="18"/>
    </w:rPr>
  </w:style>
  <w:style w:type="paragraph" w:customStyle="1" w:styleId="106">
    <w:name w:val="标准书眉_偶数页"/>
    <w:basedOn w:val="87"/>
    <w:next w:val="1"/>
    <w:qFormat/>
    <w:uiPriority w:val="0"/>
    <w:pPr>
      <w:jc w:val="left"/>
    </w:pPr>
  </w:style>
  <w:style w:type="paragraph" w:customStyle="1" w:styleId="107">
    <w:name w:val="附录图标题"/>
    <w:basedOn w:val="1"/>
    <w:next w:val="26"/>
    <w:qFormat/>
    <w:uiPriority w:val="0"/>
    <w:pPr>
      <w:numPr>
        <w:ilvl w:val="1"/>
        <w:numId w:val="11"/>
      </w:numPr>
      <w:tabs>
        <w:tab w:val="left" w:pos="363"/>
      </w:tabs>
      <w:spacing w:before="50" w:beforeLines="50" w:after="50" w:afterLines="50"/>
      <w:ind w:left="0" w:firstLine="0"/>
      <w:jc w:val="center"/>
    </w:pPr>
    <w:rPr>
      <w:rFonts w:ascii="黑体" w:eastAsia="黑体"/>
      <w:szCs w:val="21"/>
    </w:rPr>
  </w:style>
  <w:style w:type="paragraph" w:customStyle="1" w:styleId="108">
    <w:name w:val="附录公式编号制表符"/>
    <w:basedOn w:val="1"/>
    <w:next w:val="26"/>
    <w:qFormat/>
    <w:uiPriority w:val="0"/>
    <w:pPr>
      <w:widowControl/>
      <w:tabs>
        <w:tab w:val="center" w:pos="4201"/>
        <w:tab w:val="right" w:leader="dot" w:pos="9298"/>
      </w:tabs>
      <w:autoSpaceDE w:val="0"/>
      <w:autoSpaceDN w:val="0"/>
    </w:pPr>
    <w:rPr>
      <w:rFonts w:ascii="宋体"/>
      <w:kern w:val="0"/>
      <w:szCs w:val="20"/>
    </w:rPr>
  </w:style>
  <w:style w:type="paragraph" w:customStyle="1" w:styleId="109">
    <w:name w:val="章标题"/>
    <w:next w:val="26"/>
    <w:qFormat/>
    <w:uiPriority w:val="0"/>
    <w:pPr>
      <w:numPr>
        <w:ilvl w:val="0"/>
        <w:numId w:val="5"/>
      </w:numPr>
      <w:spacing w:before="100" w:beforeLines="100" w:after="100" w:afterLines="100"/>
      <w:ind w:left="0"/>
      <w:jc w:val="both"/>
      <w:outlineLvl w:val="1"/>
    </w:pPr>
    <w:rPr>
      <w:rFonts w:ascii="黑体" w:hAnsi="Times New Roman" w:eastAsia="黑体" w:cs="Times New Roman"/>
      <w:sz w:val="21"/>
      <w:lang w:val="en-US" w:eastAsia="zh-CN" w:bidi="ar-SA"/>
    </w:rPr>
  </w:style>
  <w:style w:type="paragraph" w:customStyle="1" w:styleId="110">
    <w:name w:val="附录表标号"/>
    <w:basedOn w:val="1"/>
    <w:next w:val="26"/>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11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1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3">
    <w:name w:val="封面一致性程度标识2"/>
    <w:basedOn w:val="114"/>
    <w:qFormat/>
    <w:uiPriority w:val="0"/>
    <w:pPr>
      <w:framePr w:wrap="around" w:y="4469"/>
    </w:pPr>
  </w:style>
  <w:style w:type="paragraph" w:customStyle="1" w:styleId="114">
    <w:name w:val="封面一致性程度标识"/>
    <w:basedOn w:val="115"/>
    <w:qFormat/>
    <w:uiPriority w:val="0"/>
    <w:pPr>
      <w:framePr w:wrap="around"/>
      <w:spacing w:before="440"/>
    </w:pPr>
    <w:rPr>
      <w:rFonts w:ascii="宋体" w:eastAsia="宋体"/>
    </w:rPr>
  </w:style>
  <w:style w:type="paragraph" w:customStyle="1" w:styleId="115">
    <w:name w:val="封面标准英文名称"/>
    <w:basedOn w:val="86"/>
    <w:qFormat/>
    <w:uiPriority w:val="0"/>
    <w:pPr>
      <w:framePr w:wrap="around"/>
      <w:spacing w:before="370" w:line="400" w:lineRule="exact"/>
    </w:pPr>
    <w:rPr>
      <w:rFonts w:ascii="Times New Roman"/>
      <w:sz w:val="28"/>
      <w:szCs w:val="28"/>
    </w:rPr>
  </w:style>
  <w:style w:type="paragraph" w:customStyle="1" w:styleId="116">
    <w:name w:val="附录字母编号列项（一级）"/>
    <w:qFormat/>
    <w:uiPriority w:val="0"/>
    <w:pPr>
      <w:numPr>
        <w:ilvl w:val="0"/>
        <w:numId w:val="6"/>
      </w:numPr>
    </w:pPr>
    <w:rPr>
      <w:rFonts w:ascii="宋体" w:hAnsi="Times New Roman" w:eastAsia="宋体" w:cs="Times New Roman"/>
      <w:sz w:val="21"/>
      <w:lang w:val="en-US" w:eastAsia="zh-CN" w:bidi="ar-SA"/>
    </w:rPr>
  </w:style>
  <w:style w:type="paragraph" w:customStyle="1" w:styleId="117">
    <w:name w:val="三级无"/>
    <w:basedOn w:val="75"/>
    <w:qFormat/>
    <w:uiPriority w:val="0"/>
    <w:rPr>
      <w:rFonts w:ascii="宋体"/>
    </w:rPr>
  </w:style>
  <w:style w:type="paragraph" w:customStyle="1" w:styleId="118">
    <w:name w:val="附录三级无"/>
    <w:basedOn w:val="64"/>
    <w:qFormat/>
    <w:uiPriority w:val="0"/>
    <w:pPr>
      <w:tabs>
        <w:tab w:val="clear" w:pos="360"/>
      </w:tabs>
      <w:spacing w:before="0" w:beforeLines="0" w:after="0" w:afterLines="0"/>
    </w:pPr>
    <w:rPr>
      <w:rFonts w:ascii="宋体" w:eastAsia="宋体"/>
      <w:szCs w:val="21"/>
    </w:rPr>
  </w:style>
  <w:style w:type="paragraph" w:customStyle="1" w:styleId="11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20">
    <w:name w:val="图表脚注说明"/>
    <w:basedOn w:val="1"/>
    <w:qFormat/>
    <w:uiPriority w:val="0"/>
    <w:pPr>
      <w:numPr>
        <w:ilvl w:val="0"/>
        <w:numId w:val="13"/>
      </w:numPr>
    </w:pPr>
    <w:rPr>
      <w:rFonts w:ascii="宋体"/>
      <w:sz w:val="18"/>
      <w:szCs w:val="18"/>
    </w:rPr>
  </w:style>
  <w:style w:type="paragraph" w:customStyle="1" w:styleId="121">
    <w:name w:val="封面标准文稿编辑信息"/>
    <w:basedOn w:val="122"/>
    <w:qFormat/>
    <w:uiPriority w:val="0"/>
    <w:pPr>
      <w:framePr w:wrap="around"/>
      <w:spacing w:before="180" w:line="180" w:lineRule="exact"/>
    </w:pPr>
    <w:rPr>
      <w:sz w:val="21"/>
    </w:rPr>
  </w:style>
  <w:style w:type="paragraph" w:customStyle="1" w:styleId="122">
    <w:name w:val="封面标准文稿类别"/>
    <w:basedOn w:val="114"/>
    <w:qFormat/>
    <w:uiPriority w:val="0"/>
    <w:pPr>
      <w:framePr w:wrap="around"/>
      <w:spacing w:after="160" w:line="240" w:lineRule="auto"/>
    </w:pPr>
    <w:rPr>
      <w:sz w:val="24"/>
    </w:rPr>
  </w:style>
  <w:style w:type="paragraph" w:customStyle="1" w:styleId="123">
    <w:name w:val="其他发布部门"/>
    <w:basedOn w:val="124"/>
    <w:qFormat/>
    <w:uiPriority w:val="0"/>
    <w:pPr>
      <w:framePr w:wrap="around" w:y="15310"/>
      <w:spacing w:line="0" w:lineRule="atLeast"/>
    </w:pPr>
    <w:rPr>
      <w:rFonts w:ascii="黑体" w:eastAsia="黑体"/>
      <w:b w:val="0"/>
    </w:rPr>
  </w:style>
  <w:style w:type="paragraph" w:customStyle="1" w:styleId="124">
    <w:name w:val="发布部门"/>
    <w:next w:val="2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25">
    <w:name w:val="二级无"/>
    <w:basedOn w:val="76"/>
    <w:qFormat/>
    <w:uiPriority w:val="0"/>
    <w:rPr>
      <w:rFonts w:ascii="宋体"/>
    </w:rPr>
  </w:style>
  <w:style w:type="paragraph" w:customStyle="1" w:styleId="126">
    <w:name w:val="封面标准文稿编辑信息2"/>
    <w:basedOn w:val="121"/>
    <w:qFormat/>
    <w:uiPriority w:val="0"/>
    <w:pPr>
      <w:framePr w:wrap="around" w:y="4469"/>
    </w:pPr>
  </w:style>
  <w:style w:type="paragraph" w:customStyle="1" w:styleId="127">
    <w:name w:val="注：（正文）"/>
    <w:basedOn w:val="91"/>
    <w:next w:val="26"/>
    <w:qFormat/>
    <w:uiPriority w:val="0"/>
    <w:pPr>
      <w:numPr>
        <w:ilvl w:val="0"/>
        <w:numId w:val="14"/>
      </w:numPr>
    </w:pPr>
  </w:style>
  <w:style w:type="paragraph" w:customStyle="1" w:styleId="128">
    <w:name w:val="一级无"/>
    <w:basedOn w:val="77"/>
    <w:qFormat/>
    <w:uiPriority w:val="0"/>
    <w:pPr>
      <w:spacing w:before="0" w:beforeLines="0" w:after="0" w:afterLines="0"/>
    </w:pPr>
    <w:rPr>
      <w:rFonts w:ascii="宋体" w:eastAsia="宋体"/>
    </w:rPr>
  </w:style>
  <w:style w:type="paragraph" w:customStyle="1" w:styleId="129">
    <w:name w:val="正文图标题"/>
    <w:next w:val="26"/>
    <w:qFormat/>
    <w:uiPriority w:val="0"/>
    <w:pPr>
      <w:numPr>
        <w:ilvl w:val="0"/>
        <w:numId w:val="15"/>
      </w:numPr>
      <w:spacing w:before="156" w:beforeLines="50" w:after="156" w:afterLines="50"/>
      <w:jc w:val="center"/>
    </w:pPr>
    <w:rPr>
      <w:rFonts w:ascii="黑体" w:hAnsi="Times New Roman" w:eastAsia="黑体" w:cs="Times New Roman"/>
      <w:sz w:val="21"/>
      <w:lang w:val="en-US" w:eastAsia="zh-CN" w:bidi="ar-SA"/>
    </w:rPr>
  </w:style>
  <w:style w:type="paragraph" w:customStyle="1" w:styleId="130">
    <w:name w:val="注×：（正文）"/>
    <w:qFormat/>
    <w:uiPriority w:val="0"/>
    <w:pPr>
      <w:numPr>
        <w:ilvl w:val="0"/>
        <w:numId w:val="16"/>
      </w:numPr>
      <w:jc w:val="both"/>
    </w:pPr>
    <w:rPr>
      <w:rFonts w:ascii="宋体" w:hAnsi="Times New Roman" w:eastAsia="宋体" w:cs="Times New Roman"/>
      <w:sz w:val="18"/>
      <w:szCs w:val="18"/>
      <w:lang w:val="en-US" w:eastAsia="zh-CN" w:bidi="ar-SA"/>
    </w:rPr>
  </w:style>
  <w:style w:type="paragraph" w:customStyle="1" w:styleId="131">
    <w:name w:val="TOC 标题1"/>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132">
    <w:name w:val="列项◆（三级）"/>
    <w:basedOn w:val="1"/>
    <w:qFormat/>
    <w:uiPriority w:val="0"/>
    <w:pPr>
      <w:numPr>
        <w:ilvl w:val="2"/>
        <w:numId w:val="4"/>
      </w:numPr>
    </w:pPr>
    <w:rPr>
      <w:rFonts w:ascii="宋体"/>
      <w:szCs w:val="21"/>
    </w:rPr>
  </w:style>
  <w:style w:type="paragraph" w:customStyle="1" w:styleId="133">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34">
    <w:name w:val="封面标准名称2"/>
    <w:basedOn w:val="86"/>
    <w:qFormat/>
    <w:uiPriority w:val="0"/>
    <w:pPr>
      <w:framePr w:wrap="around" w:y="4469"/>
      <w:spacing w:before="630" w:beforeLines="630"/>
    </w:pPr>
  </w:style>
  <w:style w:type="paragraph" w:customStyle="1" w:styleId="135">
    <w:name w:val="参考文献"/>
    <w:basedOn w:val="1"/>
    <w:next w:val="2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3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37">
    <w:name w:val="附录标题"/>
    <w:basedOn w:val="26"/>
    <w:next w:val="26"/>
    <w:qFormat/>
    <w:uiPriority w:val="0"/>
    <w:pPr>
      <w:ind w:firstLine="0" w:firstLineChars="0"/>
      <w:jc w:val="center"/>
    </w:pPr>
    <w:rPr>
      <w:rFonts w:ascii="黑体" w:eastAsia="黑体"/>
    </w:rPr>
  </w:style>
  <w:style w:type="paragraph" w:customStyle="1" w:styleId="138">
    <w:name w:val="附录四级无"/>
    <w:basedOn w:val="84"/>
    <w:qFormat/>
    <w:uiPriority w:val="0"/>
    <w:pPr>
      <w:tabs>
        <w:tab w:val="clear" w:pos="360"/>
      </w:tabs>
      <w:spacing w:before="0" w:beforeLines="0" w:after="0" w:afterLines="0"/>
    </w:pPr>
    <w:rPr>
      <w:rFonts w:ascii="宋体" w:eastAsia="宋体"/>
      <w:szCs w:val="21"/>
    </w:rPr>
  </w:style>
  <w:style w:type="paragraph" w:customStyle="1" w:styleId="139">
    <w:name w:val="附录一级无"/>
    <w:basedOn w:val="140"/>
    <w:qFormat/>
    <w:uiPriority w:val="0"/>
    <w:pPr>
      <w:tabs>
        <w:tab w:val="left" w:pos="360"/>
      </w:tabs>
      <w:spacing w:before="0" w:beforeLines="0" w:after="0" w:afterLines="0"/>
    </w:pPr>
    <w:rPr>
      <w:rFonts w:ascii="宋体" w:eastAsia="宋体"/>
      <w:szCs w:val="21"/>
    </w:rPr>
  </w:style>
  <w:style w:type="paragraph" w:customStyle="1" w:styleId="140">
    <w:name w:val="附录一级条标题"/>
    <w:basedOn w:val="95"/>
    <w:next w:val="26"/>
    <w:qFormat/>
    <w:uiPriority w:val="0"/>
    <w:pPr>
      <w:numPr>
        <w:ilvl w:val="0"/>
        <w:numId w:val="0"/>
      </w:numPr>
      <w:autoSpaceDN w:val="0"/>
      <w:spacing w:before="50" w:beforeLines="50" w:after="50" w:afterLines="50"/>
      <w:outlineLvl w:val="2"/>
    </w:pPr>
  </w:style>
  <w:style w:type="paragraph" w:customStyle="1" w:styleId="141">
    <w:name w:val="前言、引言标题"/>
    <w:next w:val="2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42">
    <w:name w:val="附录二级无"/>
    <w:basedOn w:val="65"/>
    <w:qFormat/>
    <w:uiPriority w:val="0"/>
    <w:pPr>
      <w:tabs>
        <w:tab w:val="clear" w:pos="360"/>
      </w:tabs>
      <w:spacing w:before="0" w:beforeLines="0" w:after="0" w:afterLines="0"/>
    </w:pPr>
    <w:rPr>
      <w:rFonts w:ascii="宋体" w:eastAsia="宋体"/>
      <w:szCs w:val="21"/>
    </w:rPr>
  </w:style>
  <w:style w:type="paragraph" w:customStyle="1" w:styleId="143">
    <w:name w:val="其他发布日期"/>
    <w:basedOn w:val="79"/>
    <w:qFormat/>
    <w:uiPriority w:val="0"/>
    <w:pPr>
      <w:framePr w:wrap="around" w:vAnchor="page" w:hAnchor="text" w:x="1419"/>
    </w:pPr>
  </w:style>
  <w:style w:type="paragraph" w:customStyle="1" w:styleId="144">
    <w:name w:val="示例后文字"/>
    <w:basedOn w:val="26"/>
    <w:next w:val="26"/>
    <w:qFormat/>
    <w:uiPriority w:val="0"/>
    <w:pPr>
      <w:ind w:firstLine="360"/>
    </w:pPr>
    <w:rPr>
      <w:sz w:val="18"/>
    </w:rPr>
  </w:style>
  <w:style w:type="paragraph" w:customStyle="1" w:styleId="145">
    <w:name w:val="示例×："/>
    <w:basedOn w:val="109"/>
    <w:qFormat/>
    <w:uiPriority w:val="0"/>
    <w:pPr>
      <w:numPr>
        <w:numId w:val="17"/>
      </w:numPr>
      <w:spacing w:before="0" w:beforeLines="0" w:after="0" w:afterLines="0"/>
      <w:outlineLvl w:val="9"/>
    </w:pPr>
    <w:rPr>
      <w:rFonts w:ascii="宋体" w:eastAsia="宋体"/>
      <w:sz w:val="18"/>
      <w:szCs w:val="18"/>
    </w:rPr>
  </w:style>
  <w:style w:type="paragraph" w:customStyle="1" w:styleId="146">
    <w:name w:val="附录标识"/>
    <w:basedOn w:val="1"/>
    <w:next w:val="26"/>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47">
    <w:name w:val="正文表标题"/>
    <w:next w:val="26"/>
    <w:qFormat/>
    <w:uiPriority w:val="0"/>
    <w:pPr>
      <w:numPr>
        <w:ilvl w:val="0"/>
        <w:numId w:val="18"/>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48">
    <w:name w:val="表格文字"/>
    <w:basedOn w:val="1"/>
    <w:qFormat/>
    <w:uiPriority w:val="0"/>
    <w:pPr>
      <w:snapToGrid w:val="0"/>
      <w:spacing w:beforeLines="20" w:afterLines="20"/>
      <w:jc w:val="center"/>
    </w:pPr>
  </w:style>
  <w:style w:type="paragraph" w:customStyle="1" w:styleId="149">
    <w:name w:val="列出段落1"/>
    <w:basedOn w:val="1"/>
    <w:qFormat/>
    <w:uiPriority w:val="34"/>
    <w:pPr>
      <w:ind w:firstLine="420" w:firstLineChars="200"/>
    </w:pPr>
    <w:rPr>
      <w:rFonts w:ascii="Calibri" w:hAnsi="Calibri"/>
      <w:szCs w:val="22"/>
    </w:rPr>
  </w:style>
  <w:style w:type="paragraph" w:customStyle="1" w:styleId="150">
    <w:name w:val="封面标准文稿类别2"/>
    <w:basedOn w:val="122"/>
    <w:qFormat/>
    <w:uiPriority w:val="0"/>
    <w:pPr>
      <w:framePr w:wrap="around" w:y="4469"/>
    </w:pPr>
  </w:style>
  <w:style w:type="paragraph" w:customStyle="1" w:styleId="151">
    <w:name w:val="其他标准标志"/>
    <w:basedOn w:val="98"/>
    <w:qFormat/>
    <w:uiPriority w:val="0"/>
    <w:pPr>
      <w:framePr w:w="6101" w:wrap="around" w:vAnchor="page" w:hAnchor="page" w:x="4673" w:y="942"/>
    </w:pPr>
    <w:rPr>
      <w:w w:val="130"/>
    </w:rPr>
  </w:style>
  <w:style w:type="paragraph" w:customStyle="1" w:styleId="152">
    <w:name w:val="封面标准英文名称2"/>
    <w:basedOn w:val="115"/>
    <w:qFormat/>
    <w:uiPriority w:val="0"/>
    <w:pPr>
      <w:framePr w:wrap="around" w:y="4469"/>
    </w:pPr>
  </w:style>
  <w:style w:type="paragraph" w:customStyle="1" w:styleId="153">
    <w:name w:val="四级无"/>
    <w:basedOn w:val="74"/>
    <w:qFormat/>
    <w:uiPriority w:val="0"/>
    <w:rPr>
      <w:rFonts w:ascii="宋体"/>
    </w:rPr>
  </w:style>
  <w:style w:type="character" w:styleId="154">
    <w:name w:val="Placeholder Text"/>
    <w:basedOn w:val="38"/>
    <w:semiHidden/>
    <w:qFormat/>
    <w:uiPriority w:val="99"/>
    <w:rPr>
      <w:color w:val="808080"/>
    </w:rPr>
  </w:style>
  <w:style w:type="paragraph" w:styleId="155">
    <w:name w:val="List Paragraph"/>
    <w:basedOn w:val="1"/>
    <w:qFormat/>
    <w:uiPriority w:val="34"/>
    <w:pPr>
      <w:ind w:firstLine="420" w:firstLineChars="200"/>
    </w:pPr>
  </w:style>
  <w:style w:type="table" w:customStyle="1" w:styleId="156">
    <w:name w:val="网格型1"/>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型2"/>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网格型3"/>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网格型4"/>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网格型5"/>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
    <w:name w:val="网格型6"/>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AMDisplayEquation"/>
    <w:basedOn w:val="1"/>
    <w:next w:val="1"/>
    <w:qFormat/>
    <w:uiPriority w:val="0"/>
    <w:pPr>
      <w:tabs>
        <w:tab w:val="center" w:pos="4160"/>
        <w:tab w:val="right" w:pos="8300"/>
      </w:tabs>
      <w:spacing w:before="120" w:after="120"/>
    </w:pPr>
  </w:style>
  <w:style w:type="character" w:customStyle="1" w:styleId="163">
    <w:name w:val="AMEquationSection"/>
    <w:basedOn w:val="38"/>
    <w:qFormat/>
    <w:uiPriority w:val="0"/>
    <w:rPr>
      <w:vanish/>
      <w:color w:val="FF0000"/>
    </w:rPr>
  </w:style>
  <w:style w:type="character" w:customStyle="1" w:styleId="164">
    <w:name w:val="批注文字 字符"/>
    <w:basedOn w:val="38"/>
    <w:link w:val="10"/>
    <w:qFormat/>
    <w:uiPriority w:val="0"/>
    <w:rPr>
      <w:kern w:val="2"/>
      <w:sz w:val="21"/>
      <w:szCs w:val="24"/>
    </w:rPr>
  </w:style>
  <w:style w:type="character" w:customStyle="1" w:styleId="165">
    <w:name w:val="批注主题 字符"/>
    <w:basedOn w:val="164"/>
    <w:link w:val="35"/>
    <w:qFormat/>
    <w:uiPriority w:val="0"/>
    <w:rPr>
      <w:b/>
      <w:bCs/>
      <w:kern w:val="2"/>
      <w:sz w:val="21"/>
      <w:szCs w:val="24"/>
    </w:rPr>
  </w:style>
  <w:style w:type="character" w:customStyle="1" w:styleId="166">
    <w:name w:val="mord"/>
    <w:basedOn w:val="38"/>
    <w:qFormat/>
    <w:uiPriority w:val="0"/>
  </w:style>
  <w:style w:type="character" w:customStyle="1" w:styleId="167">
    <w:name w:val="vlist-s"/>
    <w:basedOn w:val="38"/>
    <w:qFormat/>
    <w:uiPriority w:val="0"/>
  </w:style>
  <w:style w:type="character" w:customStyle="1" w:styleId="168">
    <w:name w:val="container-x_whzc"/>
    <w:basedOn w:val="38"/>
    <w:qFormat/>
    <w:uiPriority w:val="0"/>
  </w:style>
  <w:style w:type="paragraph" w:customStyle="1" w:styleId="169">
    <w:name w:val="Revision"/>
    <w:hidden/>
    <w:semiHidden/>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57A8BA-30E0-434B-AD61-7690B4D2CF35}">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18</Pages>
  <Words>3553</Words>
  <Characters>4231</Characters>
  <Lines>411</Lines>
  <Paragraphs>492</Paragraphs>
  <TotalTime>23710</TotalTime>
  <ScaleCrop>false</ScaleCrop>
  <LinksUpToDate>false</LinksUpToDate>
  <CharactersWithSpaces>4383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2022-03-20T07:24:00Z</dcterms:created>
  <dc:creator>CNIS</dc:creator>
  <cp:lastModifiedBy>忐忑</cp:lastModifiedBy>
  <cp:lastPrinted>2022-04-02T08:40:00Z</cp:lastPrinted>
  <dcterms:modified xsi:type="dcterms:W3CDTF">2025-11-12T08:19:59Z</dcterms:modified>
  <dc:title>标准名称</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eyJoZGlkIjoiMjE1MGZmOTRhZjllMGExZDlkZTMzYmYzNTljMTkwODUiLCJ1c2VySWQiOiI0MzYwMTU0NjQifQ==</vt:lpwstr>
  </property>
  <property fmtid="{D5CDD505-2E9C-101B-9397-08002B2CF9AE}" pid="4" name="ICV">
    <vt:lpwstr>3B62D14E62BE4429B2E160E787F94712_12</vt:lpwstr>
  </property>
</Properties>
</file>