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E223D8">
      <w:pPr>
        <w:pStyle w:val="121"/>
        <w:framePr w:wrap="around"/>
      </w:pPr>
      <w:r>
        <w:rPr>
          <w:rFonts w:ascii="Times New Roman"/>
        </w:rPr>
        <w:t>ICS</w:t>
      </w:r>
      <w:r>
        <w:rPr>
          <w:rFonts w:hint="eastAsia" w:ascii="MS Mincho" w:hAnsi="MS Mincho" w:eastAsia="MS Mincho" w:cs="MS Mincho"/>
        </w:rPr>
        <w:t> </w:t>
      </w:r>
      <w:bookmarkStart w:id="0" w:name="ICS"/>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r>
        <w:t>65.020.20</w:t>
      </w:r>
      <w:r>
        <w:fldChar w:fldCharType="end"/>
      </w:r>
      <w:bookmarkEnd w:id="0"/>
    </w:p>
    <w:p w14:paraId="278C797D">
      <w:pPr>
        <w:pStyle w:val="121"/>
        <w:framePr w:wrap="around"/>
      </w:pPr>
      <w:bookmarkStart w:id="1" w:name="WXFLH"/>
      <w:r>
        <w:fldChar w:fldCharType="begin">
          <w:ffData>
            <w:name w:val="WXFLH"/>
            <w:enabled/>
            <w:calcOnExit w:val="0"/>
            <w:helpText w:type="text" w:val="请输入中国标准文献分类号："/>
            <w:textInput>
              <w:default w:val="点击此处添加中国标准文献分类号"/>
            </w:textInput>
          </w:ffData>
        </w:fldChar>
      </w:r>
      <w:r>
        <w:instrText xml:space="preserve"> FORMTEXT </w:instrText>
      </w:r>
      <w:r>
        <w:fldChar w:fldCharType="separate"/>
      </w:r>
      <w:r>
        <w:t>B05</w:t>
      </w:r>
      <w:r>
        <w:fldChar w:fldCharType="end"/>
      </w:r>
      <w:bookmarkEnd w:id="1"/>
    </w:p>
    <w:tbl>
      <w:tblPr>
        <w:tblStyle w:val="3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14:paraId="48894C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shd w:val="clear" w:color="auto" w:fill="auto"/>
          </w:tcPr>
          <w:p w14:paraId="3164B347">
            <w:pPr>
              <w:pStyle w:val="121"/>
              <w:framePr w:wrap="around"/>
            </w:pPr>
            <w:r>
              <mc:AlternateContent>
                <mc:Choice Requires="wps">
                  <w:drawing>
                    <wp:anchor distT="0" distB="0" distL="114300" distR="114300" simplePos="0" relativeHeight="251664384" behindDoc="1" locked="0" layoutInCell="1" allowOverlap="1">
                      <wp:simplePos x="0" y="0"/>
                      <wp:positionH relativeFrom="column">
                        <wp:posOffset>-66675</wp:posOffset>
                      </wp:positionH>
                      <wp:positionV relativeFrom="paragraph">
                        <wp:posOffset>0</wp:posOffset>
                      </wp:positionV>
                      <wp:extent cx="866775" cy="198120"/>
                      <wp:effectExtent l="0" t="0" r="0" b="1905"/>
                      <wp:wrapNone/>
                      <wp:docPr id="6"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bodyPr upright="1"/>
                          </wps:wsp>
                        </a:graphicData>
                      </a:graphic>
                    </wp:anchor>
                  </w:drawing>
                </mc:Choice>
                <mc:Fallback>
                  <w:pict>
                    <v:rect id="BAH" o:spid="_x0000_s1026" o:spt="1" style="position:absolute;left:0pt;margin-left:-5.25pt;margin-top:0pt;height:15.6pt;width:68.25pt;z-index:-251652096;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MiuL+zVAAAABwEAAA8AAAAA&#10;AAAAAQAgAAAAIgAAAGRycy9kb3ducmV2LnhtbFBLAQIUABQAAAAIAIdO4kCz0S6vpQEAAFkDAAAO&#10;AAAAAAAAAAEAIAAAACQBAABkcnMvZTJvRG9jLnhtbFBLBQYAAAAABgAGAFkBAAA7BQAAAAA=&#10;">
                      <v:fill on="t" focussize="0,0"/>
                      <v:stroke on="f"/>
                      <v:imagedata o:title=""/>
                      <o:lock v:ext="edit" aspectratio="f"/>
                    </v:rect>
                  </w:pict>
                </mc:Fallback>
              </mc:AlternateContent>
            </w: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14:paraId="074CDE7A">
      <w:pPr>
        <w:pStyle w:val="107"/>
        <w:framePr w:wrap="around"/>
      </w:pPr>
      <w:r>
        <w:t>DB</w:t>
      </w:r>
      <w:bookmarkStart w:id="3" w:name="c3"/>
      <w:r>
        <w:fldChar w:fldCharType="begin">
          <w:ffData>
            <w:name w:val="c3"/>
            <w:enabled/>
            <w:calcOnExit w:val="0"/>
            <w:entryMacro w:val="ShowHelp16"/>
            <w:textInput>
              <w:maxLength w:val="2"/>
            </w:textInput>
          </w:ffData>
        </w:fldChar>
      </w:r>
      <w:r>
        <w:instrText xml:space="preserve"> FORMTEXT </w:instrText>
      </w:r>
      <w:r>
        <w:fldChar w:fldCharType="separate"/>
      </w:r>
      <w:r>
        <w:rPr>
          <w:rFonts w:hint="eastAsia"/>
        </w:rPr>
        <w:t>34</w:t>
      </w:r>
      <w:r>
        <w:fldChar w:fldCharType="end"/>
      </w:r>
      <w:bookmarkEnd w:id="3"/>
    </w:p>
    <w:p w14:paraId="1A8F3817">
      <w:pPr>
        <w:pStyle w:val="108"/>
        <w:framePr w:wrap="around"/>
      </w:pPr>
      <w:bookmarkStart w:id="4" w:name="c4"/>
      <w:r>
        <w:fldChar w:fldCharType="begin">
          <w:ffData>
            <w:name w:val="c4"/>
            <w:enabled/>
            <w:calcOnExit w:val="0"/>
            <w:entryMacro w:val="showhelp12"/>
            <w:textInput/>
          </w:ffData>
        </w:fldChar>
      </w:r>
      <w:r>
        <w:instrText xml:space="preserve"> FORMTEXT </w:instrText>
      </w:r>
      <w:r>
        <w:fldChar w:fldCharType="separate"/>
      </w:r>
      <w:r>
        <w:rPr>
          <w:rFonts w:hint="eastAsia"/>
        </w:rPr>
        <w:t>安徽省</w:t>
      </w:r>
      <w:r>
        <w:fldChar w:fldCharType="end"/>
      </w:r>
      <w:bookmarkEnd w:id="4"/>
      <w:r>
        <w:rPr>
          <w:rFonts w:hint="eastAsia"/>
        </w:rPr>
        <w:t>地方标准</w:t>
      </w:r>
    </w:p>
    <w:p w14:paraId="568C747E">
      <w:pPr>
        <w:pStyle w:val="45"/>
        <w:framePr w:wrap="around"/>
        <w:rPr>
          <w:rFonts w:hAnsi="黑体"/>
        </w:rPr>
      </w:pPr>
      <w:r>
        <w:rPr>
          <w:rFonts w:ascii="Times New Roman"/>
        </w:rPr>
        <w:t xml:space="preserve">DB </w:t>
      </w:r>
      <w:bookmarkStart w:id="5" w:name="StdNo0"/>
      <w:r>
        <w:rPr>
          <w:rFonts w:hAnsi="黑体"/>
        </w:rPr>
        <w:fldChar w:fldCharType="begin">
          <w:ffData>
            <w:name w:val="StdNo0"/>
            <w:enabled/>
            <w:calcOnExit w:val="0"/>
            <w:textInput>
              <w:default w:val="XX"/>
              <w:maxLength w:val="2"/>
            </w:textInput>
          </w:ffData>
        </w:fldChar>
      </w:r>
      <w:r>
        <w:rPr>
          <w:rFonts w:hAnsi="黑体"/>
        </w:rPr>
        <w:instrText xml:space="preserve"> FORMTEXT </w:instrText>
      </w:r>
      <w:r>
        <w:rPr>
          <w:rFonts w:hAnsi="黑体"/>
        </w:rPr>
        <w:fldChar w:fldCharType="separate"/>
      </w:r>
      <w:r>
        <w:rPr>
          <w:rFonts w:hint="eastAsia" w:hAnsi="黑体"/>
        </w:rPr>
        <w:t>34</w:t>
      </w:r>
      <w:r>
        <w:rPr>
          <w:rFonts w:hAnsi="黑体"/>
        </w:rPr>
        <w:fldChar w:fldCharType="end"/>
      </w:r>
      <w:bookmarkEnd w:id="5"/>
      <w:r>
        <w:rPr>
          <w:rFonts w:hAnsi="黑体"/>
        </w:rPr>
        <w:t xml:space="preserve">/ </w:t>
      </w:r>
      <w:bookmarkStart w:id="6" w:name="StdNo1"/>
      <w:r>
        <w:rPr>
          <w:rFonts w:hAnsi="黑体"/>
        </w:rPr>
        <w:fldChar w:fldCharType="begin">
          <w:ffData>
            <w:name w:val="StdNo1"/>
            <w:enabled/>
            <w:calcOnExit w:val="0"/>
            <w:textInput>
              <w:default w:val="XXXXX"/>
            </w:textInput>
          </w:ffData>
        </w:fldChar>
      </w:r>
      <w:r>
        <w:rPr>
          <w:rFonts w:hAnsi="黑体"/>
        </w:rPr>
        <w:instrText xml:space="preserve"> FORMTEXT </w:instrText>
      </w:r>
      <w:r>
        <w:rPr>
          <w:rFonts w:hAnsi="黑体"/>
        </w:rPr>
        <w:fldChar w:fldCharType="separate"/>
      </w:r>
      <w:r>
        <w:rPr>
          <w:rFonts w:hAnsi="黑体"/>
        </w:rPr>
        <w:t>XXXXX</w:t>
      </w:r>
      <w:r>
        <w:rPr>
          <w:rFonts w:hAnsi="黑体"/>
        </w:rPr>
        <w:fldChar w:fldCharType="end"/>
      </w:r>
      <w:bookmarkEnd w:id="6"/>
      <w:r>
        <w:rPr>
          <w:rFonts w:hAnsi="黑体"/>
        </w:rPr>
        <w:t>—</w:t>
      </w:r>
      <w:bookmarkStart w:id="7" w:name="StdNo2"/>
      <w:r>
        <w:rPr>
          <w:rFonts w:hAnsi="黑体"/>
        </w:rPr>
        <w:fldChar w:fldCharType="begin">
          <w:ffData>
            <w:name w:val="StdNo2"/>
            <w:enabled/>
            <w:calcOnExit w:val="0"/>
            <w:textInput>
              <w:default w:val="XXXX"/>
              <w:maxLength w:val="4"/>
            </w:textInput>
          </w:ffData>
        </w:fldChar>
      </w:r>
      <w:r>
        <w:rPr>
          <w:rFonts w:hAnsi="黑体"/>
        </w:rPr>
        <w:instrText xml:space="preserve"> FORMTEXT </w:instrText>
      </w:r>
      <w:r>
        <w:rPr>
          <w:rFonts w:hAnsi="黑体"/>
        </w:rPr>
        <w:fldChar w:fldCharType="separate"/>
      </w:r>
      <w:r>
        <w:rPr>
          <w:rFonts w:hAnsi="黑体"/>
        </w:rPr>
        <w:t>XXXX</w:t>
      </w:r>
      <w:r>
        <w:rPr>
          <w:rFonts w:hAnsi="黑体"/>
        </w:rPr>
        <w:fldChar w:fldCharType="end"/>
      </w:r>
      <w:bookmarkEnd w:id="7"/>
    </w:p>
    <w:tbl>
      <w:tblPr>
        <w:tblStyle w:val="3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74EF5E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shd w:val="clear" w:color="auto" w:fill="auto"/>
          </w:tcPr>
          <w:p w14:paraId="43F823DE">
            <w:pPr>
              <w:pStyle w:val="74"/>
              <w:framePr w:wrap="around"/>
            </w:pPr>
            <w:bookmarkStart w:id="8" w:name="DT"/>
            <w:r>
              <mc:AlternateContent>
                <mc:Choice Requires="wps">
                  <w:drawing>
                    <wp:anchor distT="0" distB="0" distL="114300" distR="114300" simplePos="0" relativeHeight="251661312"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3"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bodyPr upright="1"/>
                          </wps:wsp>
                        </a:graphicData>
                      </a:graphic>
                    </wp:anchor>
                  </w:drawing>
                </mc:Choice>
                <mc:Fallback>
                  <w:pict>
                    <v:rect id="DT" o:spid="_x0000_s1026" o:spt="1" style="position:absolute;left:0pt;margin-left:372.8pt;margin-top:2.7pt;height:18pt;width:90pt;z-index:-251655168;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">
                      <v:fill on="t" focussize="0,0"/>
                      <v:stroke on="f"/>
                      <v:imagedata o:title=""/>
                      <o:lock v:ext="edit" aspectratio="f"/>
                    </v:rect>
                  </w:pict>
                </mc:Fallback>
              </mc:AlternateContent>
            </w:r>
            <w:r>
              <w:fldChar w:fldCharType="begin">
                <w:ffData>
                  <w:name w:val="DT"/>
                  <w:enabled/>
                  <w:calcOnExit w:val="0"/>
                  <w:entryMacro w:val="ShowHelp4"/>
                  <w:textInput/>
                </w:ffData>
              </w:fldChar>
            </w:r>
            <w:r>
              <w:instrText xml:space="preserve"> FORMTEXT </w:instrText>
            </w:r>
            <w:r>
              <w:fldChar w:fldCharType="separate"/>
            </w:r>
            <w:r>
              <w:t>     </w:t>
            </w:r>
            <w:r>
              <w:fldChar w:fldCharType="end"/>
            </w:r>
            <w:bookmarkEnd w:id="8"/>
          </w:p>
        </w:tc>
      </w:tr>
    </w:tbl>
    <w:p w14:paraId="23F56522">
      <w:pPr>
        <w:pStyle w:val="45"/>
        <w:framePr w:wrap="around"/>
        <w:rPr>
          <w:rFonts w:hAnsi="黑体"/>
        </w:rPr>
      </w:pPr>
    </w:p>
    <w:p w14:paraId="2F0BA0FD">
      <w:pPr>
        <w:pStyle w:val="45"/>
        <w:framePr w:wrap="around"/>
        <w:rPr>
          <w:rFonts w:hAnsi="黑体"/>
        </w:rPr>
      </w:pPr>
    </w:p>
    <w:p w14:paraId="19ECAEBA">
      <w:pPr>
        <w:pStyle w:val="76"/>
        <w:framePr w:wrap="around"/>
      </w:pPr>
      <w:bookmarkStart w:id="9" w:name="StdName"/>
      <w:r>
        <w:fldChar w:fldCharType="begin">
          <w:ffData>
            <w:name w:val="StdName"/>
            <w:enabled/>
            <w:calcOnExit w:val="0"/>
            <w:textInput>
              <w:default w:val="点击此处添加标准名称"/>
            </w:textInput>
          </w:ffData>
        </w:fldChar>
      </w:r>
      <w:r>
        <w:instrText xml:space="preserve"> FORMTEXT </w:instrText>
      </w:r>
      <w:r>
        <w:fldChar w:fldCharType="separate"/>
      </w:r>
      <w:r>
        <w:rPr>
          <w:rFonts w:hint="eastAsia"/>
        </w:rPr>
        <w:t>油菜化肥农药减施增效技术规程</w:t>
      </w:r>
      <w:r>
        <w:fldChar w:fldCharType="end"/>
      </w:r>
      <w:bookmarkEnd w:id="9"/>
    </w:p>
    <w:p w14:paraId="22C31BBF">
      <w:pPr>
        <w:pStyle w:val="77"/>
        <w:framePr w:wrap="around"/>
      </w:pPr>
      <w:bookmarkStart w:id="10" w:name="StdEnglishName"/>
      <w:r>
        <w:fldChar w:fldCharType="begin">
          <w:ffData>
            <w:name w:val="StdEnglishName"/>
            <w:enabled/>
            <w:calcOnExit w:val="0"/>
            <w:textInput>
              <w:default w:val="点击此处添加标准英文译名"/>
            </w:textInput>
          </w:ffData>
        </w:fldChar>
      </w:r>
      <w:r>
        <w:instrText xml:space="preserve"> FORMTEXT </w:instrText>
      </w:r>
      <w:r>
        <w:fldChar w:fldCharType="separate"/>
      </w:r>
      <w:r>
        <w:t xml:space="preserve">Technical specification for the reduction and synergism of fertilizer and pesticide in rapeseed  </w:t>
      </w:r>
      <w:r>
        <w:fldChar w:fldCharType="end"/>
      </w:r>
      <w:bookmarkEnd w:id="10"/>
    </w:p>
    <w:p w14:paraId="70966552">
      <w:pPr>
        <w:pStyle w:val="78"/>
        <w:framePr w:wrap="around"/>
      </w:pPr>
      <w:bookmarkStart w:id="11" w:name="YZBS"/>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t>     </w:t>
      </w:r>
      <w:r>
        <w:fldChar w:fldCharType="end"/>
      </w:r>
      <w:bookmarkEnd w:id="11"/>
    </w:p>
    <w:tbl>
      <w:tblPr>
        <w:tblStyle w:val="3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14:paraId="53B90B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855" w:type="dxa"/>
            <w:tcBorders>
              <w:top w:val="nil"/>
              <w:left w:val="nil"/>
              <w:bottom w:val="nil"/>
              <w:right w:val="nil"/>
            </w:tcBorders>
            <w:shd w:val="clear" w:color="auto" w:fill="auto"/>
          </w:tcPr>
          <w:p w14:paraId="76F05051">
            <w:pPr>
              <w:pStyle w:val="79"/>
              <w:framePr w:wrap="around"/>
            </w:pPr>
            <w:r>
              <mc:AlternateContent>
                <mc:Choice Requires="wps">
                  <w:drawing>
                    <wp:anchor distT="0" distB="0" distL="114300" distR="114300" simplePos="0" relativeHeight="251663360" behindDoc="1" locked="1" layoutInCell="1" allowOverlap="1">
                      <wp:simplePos x="0" y="0"/>
                      <wp:positionH relativeFrom="column">
                        <wp:posOffset>2200910</wp:posOffset>
                      </wp:positionH>
                      <wp:positionV relativeFrom="paragraph">
                        <wp:posOffset>573405</wp:posOffset>
                      </wp:positionV>
                      <wp:extent cx="1905000" cy="254000"/>
                      <wp:effectExtent l="0" t="0" r="0" b="3175"/>
                      <wp:wrapNone/>
                      <wp:docPr id="5"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bodyPr upright="1"/>
                          </wps:wsp>
                        </a:graphicData>
                      </a:graphic>
                    </wp:anchor>
                  </w:drawing>
                </mc:Choice>
                <mc:Fallback>
                  <w:pict>
                    <v:rect id="RQ" o:spid="_x0000_s1026" o:spt="1" style="position:absolute;left:0pt;margin-left:173.3pt;margin-top:45.15pt;height:20pt;width:150pt;z-index:-251653120;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">
                      <v:fill on="t" focussize="0,0"/>
                      <v:stroke on="f"/>
                      <v:imagedata o:title=""/>
                      <o:lock v:ext="edit" aspectratio="f"/>
                      <w10:anchorlock/>
                    </v:rect>
                  </w:pict>
                </mc:Fallback>
              </mc:AlternateContent>
            </w:r>
            <w:r>
              <mc:AlternateContent>
                <mc:Choice Requires="wps">
                  <w:drawing>
                    <wp:anchor distT="0" distB="0" distL="114300" distR="114300" simplePos="0" relativeHeight="251662336" behindDoc="1" locked="0" layoutInCell="1" allowOverlap="1">
                      <wp:simplePos x="0" y="0"/>
                      <wp:positionH relativeFrom="column">
                        <wp:posOffset>2454910</wp:posOffset>
                      </wp:positionH>
                      <wp:positionV relativeFrom="paragraph">
                        <wp:posOffset>255905</wp:posOffset>
                      </wp:positionV>
                      <wp:extent cx="1270000" cy="304800"/>
                      <wp:effectExtent l="0" t="0" r="6350" b="0"/>
                      <wp:wrapNone/>
                      <wp:docPr id="4"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bodyPr upright="1"/>
                          </wps:wsp>
                        </a:graphicData>
                      </a:graphic>
                    </wp:anchor>
                  </w:drawing>
                </mc:Choice>
                <mc:Fallback>
                  <w:pict>
                    <v:rect id="LB" o:spid="_x0000_s1026" o:spt="1" style="position:absolute;left:0pt;margin-left:193.3pt;margin-top:20.15pt;height:24pt;width:100pt;z-index:-251654144;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A+GL5dYAAAAJAQAADwAAAAAAAAAB&#10;ACAAAAAiAAAAZHJzL2Rvd25yZXYueG1sUEsBAhQAFAAAAAgAh07iQFG0h8qgAQAAWQMAAA4AAAAA&#10;AAAAAQAgAAAAJQEAAGRycy9lMm9Eb2MueG1sUEsFBgAAAAAGAAYAWQEAADcFAAAAAA==&#10;">
                      <v:fill on="t" focussize="0,0"/>
                      <v:stroke on="f"/>
                      <v:imagedata o:title=""/>
                      <o:lock v:ext="edit" aspectratio="f"/>
                    </v:rect>
                  </w:pict>
                </mc:Fallback>
              </mc:AlternateContent>
            </w:r>
            <w:r>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12" w:name="LB"/>
            <w:r>
              <w:instrText xml:space="preserve"> FORMDROPDOWN </w:instrText>
            </w:r>
            <w:r>
              <w:fldChar w:fldCharType="separate"/>
            </w:r>
            <w:r>
              <w:fldChar w:fldCharType="end"/>
            </w:r>
            <w:bookmarkEnd w:id="12"/>
          </w:p>
        </w:tc>
      </w:tr>
      <w:tr w14:paraId="3A5524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14:paraId="58B6C80F">
            <w:pPr>
              <w:pStyle w:val="80"/>
              <w:framePr w:wrap="around"/>
            </w:pPr>
            <w:bookmarkStart w:id="13" w:name="WCRQ"/>
            <w:r>
              <w:fldChar w:fldCharType="begin">
                <w:ffData>
                  <w:name w:val="WCRQ"/>
                  <w:enabled/>
                  <w:calcOnExit w:val="0"/>
                  <w:textInput/>
                </w:ffData>
              </w:fldChar>
            </w:r>
            <w:r>
              <w:instrText xml:space="preserve"> FORMTEXT </w:instrText>
            </w:r>
            <w:r>
              <w:fldChar w:fldCharType="separate"/>
            </w:r>
            <w:r>
              <w:t>     </w:t>
            </w:r>
            <w:r>
              <w:fldChar w:fldCharType="end"/>
            </w:r>
            <w:bookmarkEnd w:id="13"/>
          </w:p>
        </w:tc>
      </w:tr>
    </w:tbl>
    <w:p w14:paraId="461A6C3B">
      <w:pPr>
        <w:pStyle w:val="128"/>
        <w:framePr w:wrap="around"/>
      </w:pPr>
      <w:bookmarkStart w:id="14" w:name="FY"/>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fldChar w:fldCharType="separate"/>
      </w:r>
      <w:r>
        <w:rPr>
          <w:rFonts w:hint="eastAsia" w:ascii="黑体"/>
          <w:lang w:val="en-US" w:eastAsia="zh-CN"/>
        </w:rPr>
        <w:t>2024</w:t>
      </w:r>
      <w:r>
        <w:rPr>
          <w:rFonts w:ascii="黑体"/>
        </w:rPr>
        <w:fldChar w:fldCharType="end"/>
      </w:r>
      <w:bookmarkEnd w:id="14"/>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15"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r>
        <mc:AlternateContent>
          <mc:Choice Requires="wps">
            <w:drawing>
              <wp:anchor distT="0" distB="0" distL="114300" distR="114300" simplePos="0" relativeHeight="251659264" behindDoc="0" locked="1" layoutInCell="1" allowOverlap="1">
                <wp:simplePos x="0" y="0"/>
                <wp:positionH relativeFrom="column">
                  <wp:posOffset>-635</wp:posOffset>
                </wp:positionH>
                <wp:positionV relativeFrom="page">
                  <wp:posOffset>9251950</wp:posOffset>
                </wp:positionV>
                <wp:extent cx="6120130" cy="0"/>
                <wp:effectExtent l="0" t="4445" r="4445" b="5080"/>
                <wp:wrapNone/>
                <wp:docPr id="1"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0" o:spid="_x0000_s1026" o:spt="20" style="position:absolute;left:0pt;margin-left:-0.05pt;margin-top:728.5pt;height:0pt;width:481.9pt;mso-position-vertical-relative:page;z-index:25165926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WHazzWAAAA&#10;CwEAAA8AAAAAAAAAAQAgAAAAIgAAAGRycy9kb3ducmV2LnhtbFBLAQIUABQAAAAIAIdO4kCpFE+I&#10;5gEAANwDAAAOAAAAAAAAAAEAIAAAACUBAABkcnMvZTJvRG9jLnhtbFBLBQYAAAAABgAGAFkBAAB9&#10;BQAAAAA=&#10;">
                <v:fill on="f" focussize="0,0"/>
                <v:stroke color="#000000" joinstyle="round"/>
                <v:imagedata o:title=""/>
                <o:lock v:ext="edit" aspectratio="f"/>
                <w10:anchorlock/>
              </v:line>
            </w:pict>
          </mc:Fallback>
        </mc:AlternateContent>
      </w:r>
    </w:p>
    <w:p w14:paraId="7672E616">
      <w:pPr>
        <w:pStyle w:val="129"/>
        <w:framePr w:wrap="around"/>
      </w:pPr>
      <w:bookmarkStart w:id="16" w:name="SY"/>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fldChar w:fldCharType="separate"/>
      </w:r>
      <w:r>
        <w:rPr>
          <w:rFonts w:hint="eastAsia" w:ascii="黑体"/>
          <w:lang w:eastAsia="zh-CN"/>
        </w:rPr>
        <w:t>2</w:t>
      </w:r>
      <w:r>
        <w:rPr>
          <w:rFonts w:hint="eastAsia" w:ascii="黑体"/>
          <w:lang w:val="en-US" w:eastAsia="zh-CN"/>
        </w:rPr>
        <w:t>024</w:t>
      </w:r>
      <w:r>
        <w:rPr>
          <w:rFonts w:ascii="黑体"/>
        </w:rPr>
        <w:fldChar w:fldCharType="end"/>
      </w:r>
      <w:bookmarkEnd w:id="16"/>
      <w:r>
        <w:t xml:space="preserve"> </w:t>
      </w:r>
      <w:r>
        <w:rPr>
          <w:rFonts w:ascii="黑体"/>
        </w:rPr>
        <w:t>-</w:t>
      </w:r>
      <w:r>
        <w:t xml:space="preserve"> </w:t>
      </w:r>
      <w:bookmarkStart w:id="17"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bookmarkStart w:id="18"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77ACFB1C">
      <w:pPr>
        <w:pStyle w:val="109"/>
        <w:framePr w:wrap="around"/>
      </w:pPr>
      <w:bookmarkStart w:id="19" w:name="fm"/>
      <w:r>
        <w:fldChar w:fldCharType="begin">
          <w:ffData>
            <w:name w:val="fm"/>
            <w:enabled/>
            <w:calcOnExit w:val="0"/>
            <w:textInput/>
          </w:ffData>
        </w:fldChar>
      </w:r>
      <w:r>
        <w:instrText xml:space="preserve"> FORMTEXT </w:instrText>
      </w:r>
      <w:r>
        <w:fldChar w:fldCharType="separate"/>
      </w:r>
      <w:r>
        <w:rPr>
          <w:rFonts w:hint="eastAsia"/>
        </w:rPr>
        <w:t>安徽省</w:t>
      </w:r>
      <w:r>
        <w:t>市场监督管理局</w:t>
      </w:r>
      <w:r>
        <w:fldChar w:fldCharType="end"/>
      </w:r>
      <w:bookmarkEnd w:id="19"/>
      <w:r>
        <w:rPr>
          <w:rFonts w:hint="eastAsia" w:ascii="MS Mincho" w:hAnsi="MS Mincho" w:eastAsia="MS Mincho" w:cs="MS Mincho"/>
        </w:rPr>
        <w:t>   </w:t>
      </w:r>
      <w:r>
        <w:rPr>
          <w:rStyle w:val="71"/>
          <w:rFonts w:hint="eastAsia"/>
        </w:rPr>
        <w:t>发布</w:t>
      </w:r>
    </w:p>
    <w:p w14:paraId="10C6F451">
      <w:pPr>
        <w:pStyle w:val="21"/>
        <w:sectPr>
          <w:headerReference r:id="rId5" w:type="first"/>
          <w:footerReference r:id="rId8" w:type="first"/>
          <w:headerReference r:id="rId3" w:type="default"/>
          <w:footerReference r:id="rId6" w:type="default"/>
          <w:headerReference r:id="rId4" w:type="even"/>
          <w:footerReference r:id="rId7" w:type="even"/>
          <w:pgSz w:w="11906" w:h="16838"/>
          <w:pgMar w:top="567" w:right="850" w:bottom="1134" w:left="1418" w:header="0" w:footer="0" w:gutter="0"/>
          <w:pgNumType w:start="1"/>
          <w:cols w:space="425" w:num="1"/>
          <w:docGrid w:type="lines" w:linePitch="312" w:charSpace="0"/>
        </w:sectPr>
      </w:pPr>
      <w: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2339975</wp:posOffset>
                </wp:positionV>
                <wp:extent cx="6120130" cy="0"/>
                <wp:effectExtent l="0" t="4445" r="4445" b="5080"/>
                <wp:wrapNone/>
                <wp:docPr id="2"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1" o:spid="_x0000_s1026" o:spt="20" style="position:absolute;left:0pt;margin-left:-0.05pt;margin-top:184.25pt;height:0pt;width:481.9pt;z-index:251660288;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QkHiX9cA&#10;AAAJAQAADwAAAAAAAAABACAAAAAiAAAAZHJzL2Rvd25yZXYueG1sUEsBAhQAFAAAAAgAh07iQJ+u&#10;KxznAQAA3AMAAA4AAAAAAAAAAQAgAAAAJgEAAGRycy9lMm9Eb2MueG1sUEsFBgAAAAAGAAYAWQEA&#10;AH8FAAAAAA==&#10;">
                <v:fill on="f" focussize="0,0"/>
                <v:stroke color="#000000" joinstyle="round"/>
                <v:imagedata o:title=""/>
                <o:lock v:ext="edit" aspectratio="f"/>
              </v:line>
            </w:pict>
          </mc:Fallback>
        </mc:AlternateContent>
      </w:r>
    </w:p>
    <w:p w14:paraId="0EC26C6C">
      <w:pPr>
        <w:pStyle w:val="43"/>
        <w:numPr>
          <w:ilvl w:val="0"/>
          <w:numId w:val="0"/>
        </w:numPr>
        <w:spacing w:before="312" w:after="312"/>
        <w:ind w:leftChars="0"/>
        <w:jc w:val="center"/>
        <w:rPr>
          <w:rFonts w:hint="eastAsia"/>
          <w:sz w:val="32"/>
          <w:szCs w:val="32"/>
          <w:lang w:val="en-US" w:eastAsia="zh-CN"/>
        </w:rPr>
      </w:pPr>
      <w:r>
        <w:rPr>
          <w:rFonts w:hint="eastAsia"/>
          <w:sz w:val="32"/>
          <w:szCs w:val="32"/>
          <w:lang w:val="en-US" w:eastAsia="zh-CN"/>
        </w:rPr>
        <w:t>前  言</w:t>
      </w:r>
    </w:p>
    <w:p w14:paraId="74CB3813">
      <w:pPr>
        <w:spacing w:line="360" w:lineRule="exact"/>
        <w:ind w:firstLine="420" w:firstLineChars="200"/>
        <w:rPr>
          <w:rFonts w:ascii="宋体" w:hAnsi="宋体"/>
          <w:szCs w:val="21"/>
        </w:rPr>
      </w:pPr>
      <w:r>
        <w:rPr>
          <w:rFonts w:ascii="宋体" w:hAnsi="宋体"/>
          <w:szCs w:val="21"/>
        </w:rPr>
        <w:t>本</w:t>
      </w:r>
      <w:r>
        <w:rPr>
          <w:rFonts w:hint="eastAsia" w:ascii="宋体" w:hAnsi="宋体"/>
          <w:szCs w:val="21"/>
          <w:lang w:val="en-US" w:eastAsia="zh-CN"/>
        </w:rPr>
        <w:t>文件</w:t>
      </w:r>
      <w:r>
        <w:rPr>
          <w:rFonts w:ascii="宋体" w:hAnsi="宋体"/>
          <w:szCs w:val="21"/>
        </w:rPr>
        <w:t>按照GB/T</w:t>
      </w:r>
      <w:r>
        <w:rPr>
          <w:rFonts w:hint="eastAsia" w:ascii="宋体" w:hAnsi="宋体"/>
          <w:szCs w:val="21"/>
        </w:rPr>
        <w:t xml:space="preserve"> </w:t>
      </w:r>
      <w:r>
        <w:rPr>
          <w:rFonts w:ascii="宋体" w:hAnsi="宋体"/>
          <w:szCs w:val="21"/>
        </w:rPr>
        <w:t>1.1-20</w:t>
      </w:r>
      <w:r>
        <w:rPr>
          <w:rFonts w:hint="eastAsia" w:ascii="宋体" w:hAnsi="宋体"/>
          <w:szCs w:val="21"/>
        </w:rPr>
        <w:t>20《标准化工作导则 第1部分：标准化文件的结构和起草规则》的规定</w:t>
      </w:r>
      <w:r>
        <w:rPr>
          <w:rFonts w:ascii="宋体" w:hAnsi="宋体"/>
          <w:szCs w:val="21"/>
        </w:rPr>
        <w:t>起草。</w:t>
      </w:r>
    </w:p>
    <w:p w14:paraId="591F21BA">
      <w:pPr>
        <w:spacing w:line="400" w:lineRule="atLeast"/>
        <w:ind w:firstLine="420" w:firstLineChars="200"/>
        <w:rPr>
          <w:rFonts w:hint="eastAsia" w:eastAsia="宋体"/>
          <w:szCs w:val="21"/>
          <w:lang w:eastAsia="zh-CN"/>
        </w:rPr>
      </w:pPr>
      <w:r>
        <w:rPr>
          <w:rFonts w:hint="eastAsia"/>
          <w:szCs w:val="21"/>
        </w:rPr>
        <w:t>本</w:t>
      </w:r>
      <w:r>
        <w:rPr>
          <w:rFonts w:hint="eastAsia"/>
          <w:szCs w:val="21"/>
          <w:lang w:val="en-US" w:eastAsia="zh-CN"/>
        </w:rPr>
        <w:t>文件</w:t>
      </w:r>
      <w:r>
        <w:rPr>
          <w:rFonts w:hint="eastAsia"/>
          <w:szCs w:val="21"/>
        </w:rPr>
        <w:t>由</w:t>
      </w:r>
      <w:r>
        <w:rPr>
          <w:rFonts w:hint="eastAsia"/>
          <w:szCs w:val="21"/>
          <w:lang w:val="en-US" w:eastAsia="zh-CN"/>
        </w:rPr>
        <w:t>安徽省农业科学院作物研究所</w:t>
      </w:r>
      <w:r>
        <w:rPr>
          <w:rFonts w:hint="eastAsia"/>
          <w:szCs w:val="21"/>
        </w:rPr>
        <w:t>提出</w:t>
      </w:r>
      <w:r>
        <w:rPr>
          <w:rFonts w:hint="eastAsia"/>
          <w:szCs w:val="21"/>
          <w:lang w:eastAsia="zh-CN"/>
        </w:rPr>
        <w:t>。</w:t>
      </w:r>
    </w:p>
    <w:p w14:paraId="340FEF5C">
      <w:pPr>
        <w:spacing w:line="400" w:lineRule="atLeast"/>
        <w:ind w:firstLine="420" w:firstLineChars="200"/>
        <w:rPr>
          <w:szCs w:val="21"/>
        </w:rPr>
      </w:pPr>
      <w:r>
        <w:rPr>
          <w:rFonts w:hint="eastAsia"/>
          <w:szCs w:val="21"/>
          <w:lang w:val="en-US" w:eastAsia="zh-CN"/>
        </w:rPr>
        <w:t>本文件</w:t>
      </w:r>
      <w:r>
        <w:rPr>
          <w:rFonts w:hint="eastAsia"/>
          <w:szCs w:val="21"/>
        </w:rPr>
        <w:t>由安徽省农业标准化专业委员会归口。</w:t>
      </w:r>
    </w:p>
    <w:p w14:paraId="0BF06A42">
      <w:pPr>
        <w:spacing w:line="400" w:lineRule="atLeast"/>
        <w:ind w:firstLine="420" w:firstLineChars="200"/>
        <w:rPr>
          <w:szCs w:val="21"/>
        </w:rPr>
      </w:pPr>
      <w:r>
        <w:rPr>
          <w:rFonts w:hint="eastAsia"/>
          <w:szCs w:val="21"/>
        </w:rPr>
        <w:t>本</w:t>
      </w:r>
      <w:r>
        <w:rPr>
          <w:rFonts w:hint="eastAsia"/>
          <w:szCs w:val="21"/>
          <w:lang w:val="en-US" w:eastAsia="zh-CN"/>
        </w:rPr>
        <w:t>文件</w:t>
      </w:r>
      <w:r>
        <w:rPr>
          <w:rFonts w:hint="eastAsia"/>
          <w:szCs w:val="21"/>
        </w:rPr>
        <w:t>起草单位：</w:t>
      </w:r>
      <w:r>
        <w:rPr>
          <w:rFonts w:hint="eastAsia"/>
          <w:szCs w:val="21"/>
          <w:lang w:val="en-US" w:eastAsia="zh-CN"/>
        </w:rPr>
        <w:t>安徽省农业科学院作物研究所</w:t>
      </w:r>
      <w:r>
        <w:rPr>
          <w:rFonts w:hint="eastAsia"/>
          <w:szCs w:val="21"/>
        </w:rPr>
        <w:t>、</w:t>
      </w:r>
      <w:r>
        <w:rPr>
          <w:rFonts w:hint="eastAsia"/>
          <w:szCs w:val="21"/>
          <w:lang w:val="en-US" w:eastAsia="zh-CN"/>
        </w:rPr>
        <w:t>安徽省农业技术推广总站</w:t>
      </w:r>
      <w:r>
        <w:rPr>
          <w:rFonts w:hint="eastAsia" w:hAnsi="宋体"/>
          <w:szCs w:val="21"/>
        </w:rPr>
        <w:t>、当涂县农业技术推广中心</w:t>
      </w:r>
      <w:r>
        <w:rPr>
          <w:rFonts w:hint="eastAsia"/>
          <w:szCs w:val="21"/>
        </w:rPr>
        <w:t>。</w:t>
      </w:r>
      <w:r>
        <w:rPr>
          <w:szCs w:val="21"/>
        </w:rPr>
        <w:t xml:space="preserve">  </w:t>
      </w:r>
    </w:p>
    <w:p w14:paraId="6AC79513">
      <w:pPr>
        <w:pStyle w:val="21"/>
        <w:spacing w:line="400" w:lineRule="atLeast"/>
        <w:rPr>
          <w:rFonts w:ascii="Times New Roman"/>
        </w:rPr>
      </w:pPr>
      <w:r>
        <w:rPr>
          <w:rFonts w:hint="eastAsia" w:ascii="Times New Roman"/>
          <w:szCs w:val="21"/>
        </w:rPr>
        <w:t>本</w:t>
      </w:r>
      <w:r>
        <w:rPr>
          <w:rFonts w:hint="eastAsia" w:ascii="Times New Roman"/>
          <w:szCs w:val="21"/>
          <w:lang w:val="en-US" w:eastAsia="zh-CN"/>
        </w:rPr>
        <w:t>文件</w:t>
      </w:r>
      <w:r>
        <w:rPr>
          <w:rFonts w:hint="eastAsia" w:ascii="Times New Roman"/>
          <w:szCs w:val="21"/>
        </w:rPr>
        <w:t>主要起草人：</w:t>
      </w:r>
      <w:r>
        <w:rPr>
          <w:rFonts w:ascii="Times New Roman"/>
        </w:rPr>
        <w:t xml:space="preserve"> </w:t>
      </w:r>
      <w:r>
        <w:rPr>
          <w:rFonts w:hint="eastAsia" w:ascii="Times New Roman"/>
          <w:lang w:val="en-US" w:eastAsia="zh-CN"/>
        </w:rPr>
        <w:t>侯树敏</w:t>
      </w:r>
      <w:r>
        <w:rPr>
          <w:rFonts w:hint="eastAsia" w:ascii="Times New Roman"/>
        </w:rPr>
        <w:t>、</w:t>
      </w:r>
      <w:r>
        <w:rPr>
          <w:rFonts w:hint="eastAsia" w:ascii="Times New Roman"/>
          <w:lang w:val="en-US" w:eastAsia="zh-CN"/>
        </w:rPr>
        <w:t>刘磊</w:t>
      </w:r>
      <w:r>
        <w:rPr>
          <w:rFonts w:hint="eastAsia" w:ascii="Times New Roman"/>
        </w:rPr>
        <w:t>、</w:t>
      </w:r>
      <w:r>
        <w:rPr>
          <w:rFonts w:hint="eastAsia" w:ascii="Times New Roman"/>
          <w:lang w:val="en-US" w:eastAsia="zh-CN"/>
        </w:rPr>
        <w:t>黄秋生</w:t>
      </w:r>
      <w:r>
        <w:rPr>
          <w:rFonts w:hint="eastAsia" w:ascii="Times New Roman"/>
        </w:rPr>
        <w:t>、</w:t>
      </w:r>
      <w:r>
        <w:rPr>
          <w:rFonts w:hint="eastAsia" w:ascii="Times New Roman"/>
          <w:lang w:val="en-US" w:eastAsia="zh-CN"/>
        </w:rPr>
        <w:t>李成</w:t>
      </w:r>
      <w:r>
        <w:rPr>
          <w:rFonts w:hint="eastAsia" w:ascii="Times New Roman"/>
        </w:rPr>
        <w:t>、</w:t>
      </w:r>
      <w:r>
        <w:rPr>
          <w:rFonts w:hint="eastAsia" w:ascii="Times New Roman"/>
          <w:lang w:val="en-US" w:eastAsia="zh-CN"/>
        </w:rPr>
        <w:t>郝仲萍</w:t>
      </w:r>
      <w:r>
        <w:rPr>
          <w:rFonts w:hint="eastAsia" w:ascii="Times New Roman"/>
        </w:rPr>
        <w:t>、</w:t>
      </w:r>
      <w:r>
        <w:rPr>
          <w:rFonts w:hint="eastAsia" w:ascii="Times New Roman"/>
          <w:lang w:val="en-US" w:eastAsia="zh-CN"/>
        </w:rPr>
        <w:t>秦朦</w:t>
      </w:r>
      <w:r>
        <w:rPr>
          <w:rFonts w:hint="eastAsia" w:ascii="Times New Roman"/>
        </w:rPr>
        <w:t>、</w:t>
      </w:r>
      <w:r>
        <w:rPr>
          <w:rFonts w:hint="eastAsia" w:ascii="Times New Roman"/>
          <w:lang w:val="en-US" w:eastAsia="zh-CN"/>
        </w:rPr>
        <w:t>夏贵松</w:t>
      </w:r>
      <w:r>
        <w:rPr>
          <w:rFonts w:hint="eastAsia" w:ascii="Times New Roman"/>
        </w:rPr>
        <w:t>、</w:t>
      </w:r>
      <w:r>
        <w:rPr>
          <w:rFonts w:hint="eastAsia" w:ascii="Times New Roman"/>
          <w:lang w:val="en-US" w:eastAsia="zh-CN"/>
        </w:rPr>
        <w:t>冯增贝</w:t>
      </w:r>
      <w:r>
        <w:rPr>
          <w:rFonts w:hint="eastAsia" w:ascii="Times New Roman"/>
        </w:rPr>
        <w:t>、</w:t>
      </w:r>
      <w:r>
        <w:rPr>
          <w:rFonts w:hint="eastAsia" w:ascii="Times New Roman"/>
          <w:lang w:val="en-US" w:eastAsia="zh-CN"/>
        </w:rPr>
        <w:t>盛蕾</w:t>
      </w:r>
      <w:r>
        <w:rPr>
          <w:rFonts w:hint="eastAsia" w:ascii="Times New Roman"/>
        </w:rPr>
        <w:t>、</w:t>
      </w:r>
      <w:r>
        <w:rPr>
          <w:rFonts w:hint="eastAsia" w:ascii="Times New Roman"/>
          <w:lang w:val="en-US" w:eastAsia="zh-CN"/>
        </w:rPr>
        <w:t>伍潇俊</w:t>
      </w:r>
      <w:r>
        <w:rPr>
          <w:rFonts w:hint="eastAsia" w:ascii="Times New Roman"/>
        </w:rPr>
        <w:t>。</w:t>
      </w:r>
    </w:p>
    <w:p w14:paraId="1DB10288">
      <w:pPr>
        <w:spacing w:line="360" w:lineRule="exact"/>
        <w:ind w:firstLine="420" w:firstLineChars="200"/>
        <w:rPr>
          <w:rFonts w:ascii="宋体" w:hAnsi="宋体"/>
          <w:szCs w:val="21"/>
        </w:rPr>
      </w:pPr>
    </w:p>
    <w:p w14:paraId="40C80385">
      <w:pPr>
        <w:spacing w:line="360" w:lineRule="exact"/>
        <w:ind w:firstLine="420" w:firstLineChars="200"/>
        <w:rPr>
          <w:rFonts w:ascii="宋体" w:hAnsi="宋体"/>
          <w:szCs w:val="21"/>
        </w:rPr>
      </w:pPr>
    </w:p>
    <w:p w14:paraId="6756E345">
      <w:pPr>
        <w:spacing w:line="360" w:lineRule="exact"/>
        <w:ind w:firstLine="420" w:firstLineChars="200"/>
        <w:rPr>
          <w:rFonts w:ascii="宋体" w:hAnsi="宋体"/>
          <w:szCs w:val="21"/>
        </w:rPr>
      </w:pPr>
    </w:p>
    <w:p w14:paraId="28079407">
      <w:pPr>
        <w:spacing w:line="360" w:lineRule="exact"/>
        <w:ind w:firstLine="420" w:firstLineChars="200"/>
        <w:rPr>
          <w:rFonts w:ascii="宋体" w:hAnsi="宋体"/>
          <w:szCs w:val="21"/>
        </w:rPr>
      </w:pPr>
    </w:p>
    <w:p w14:paraId="600BD26E">
      <w:pPr>
        <w:spacing w:line="360" w:lineRule="exact"/>
        <w:ind w:firstLine="420" w:firstLineChars="200"/>
        <w:rPr>
          <w:rFonts w:ascii="宋体" w:hAnsi="宋体"/>
          <w:szCs w:val="21"/>
        </w:rPr>
      </w:pPr>
    </w:p>
    <w:p w14:paraId="6E212AE2">
      <w:pPr>
        <w:spacing w:line="360" w:lineRule="exact"/>
        <w:ind w:firstLine="420" w:firstLineChars="200"/>
        <w:rPr>
          <w:rFonts w:ascii="宋体" w:hAnsi="宋体"/>
          <w:szCs w:val="21"/>
        </w:rPr>
      </w:pPr>
    </w:p>
    <w:p w14:paraId="2E24A234">
      <w:pPr>
        <w:spacing w:line="360" w:lineRule="exact"/>
        <w:ind w:firstLine="420" w:firstLineChars="200"/>
        <w:rPr>
          <w:rFonts w:ascii="宋体" w:hAnsi="宋体"/>
          <w:szCs w:val="21"/>
        </w:rPr>
      </w:pPr>
    </w:p>
    <w:p w14:paraId="7C60D6E1">
      <w:pPr>
        <w:spacing w:line="360" w:lineRule="exact"/>
        <w:ind w:firstLine="420" w:firstLineChars="200"/>
        <w:rPr>
          <w:rFonts w:ascii="宋体" w:hAnsi="宋体"/>
          <w:szCs w:val="21"/>
        </w:rPr>
      </w:pPr>
    </w:p>
    <w:p w14:paraId="20855D3C">
      <w:pPr>
        <w:spacing w:line="360" w:lineRule="exact"/>
        <w:ind w:firstLine="420" w:firstLineChars="200"/>
        <w:rPr>
          <w:rFonts w:ascii="宋体" w:hAnsi="宋体"/>
          <w:szCs w:val="21"/>
        </w:rPr>
      </w:pPr>
    </w:p>
    <w:p w14:paraId="2E1F81FB">
      <w:pPr>
        <w:spacing w:line="360" w:lineRule="exact"/>
        <w:ind w:firstLine="420" w:firstLineChars="200"/>
        <w:rPr>
          <w:rFonts w:ascii="宋体" w:hAnsi="宋体"/>
          <w:szCs w:val="21"/>
        </w:rPr>
      </w:pPr>
    </w:p>
    <w:p w14:paraId="146202A0">
      <w:pPr>
        <w:spacing w:line="360" w:lineRule="exact"/>
        <w:ind w:firstLine="420" w:firstLineChars="200"/>
        <w:rPr>
          <w:rFonts w:ascii="宋体" w:hAnsi="宋体"/>
          <w:szCs w:val="21"/>
        </w:rPr>
      </w:pPr>
    </w:p>
    <w:p w14:paraId="507DEFF7">
      <w:pPr>
        <w:spacing w:line="360" w:lineRule="exact"/>
        <w:ind w:firstLine="420" w:firstLineChars="200"/>
        <w:rPr>
          <w:rFonts w:ascii="宋体" w:hAnsi="宋体"/>
          <w:szCs w:val="21"/>
        </w:rPr>
      </w:pPr>
    </w:p>
    <w:p w14:paraId="053EB190">
      <w:pPr>
        <w:spacing w:line="360" w:lineRule="exact"/>
        <w:ind w:firstLine="420" w:firstLineChars="200"/>
        <w:rPr>
          <w:rFonts w:ascii="宋体" w:hAnsi="宋体"/>
          <w:szCs w:val="21"/>
        </w:rPr>
      </w:pPr>
    </w:p>
    <w:p w14:paraId="162C42FB">
      <w:pPr>
        <w:spacing w:line="360" w:lineRule="exact"/>
        <w:ind w:firstLine="420" w:firstLineChars="200"/>
        <w:rPr>
          <w:rFonts w:ascii="宋体" w:hAnsi="宋体"/>
          <w:szCs w:val="21"/>
        </w:rPr>
      </w:pPr>
    </w:p>
    <w:p w14:paraId="6E59E76C">
      <w:pPr>
        <w:spacing w:line="360" w:lineRule="exact"/>
        <w:ind w:firstLine="420" w:firstLineChars="200"/>
        <w:rPr>
          <w:rFonts w:ascii="宋体" w:hAnsi="宋体"/>
          <w:szCs w:val="21"/>
        </w:rPr>
      </w:pPr>
    </w:p>
    <w:p w14:paraId="695E6355">
      <w:pPr>
        <w:spacing w:line="360" w:lineRule="exact"/>
        <w:ind w:firstLine="420" w:firstLineChars="200"/>
        <w:rPr>
          <w:rFonts w:ascii="宋体" w:hAnsi="宋体"/>
          <w:szCs w:val="21"/>
        </w:rPr>
      </w:pPr>
    </w:p>
    <w:p w14:paraId="3D1CAC98">
      <w:pPr>
        <w:spacing w:line="360" w:lineRule="exact"/>
        <w:ind w:firstLine="420" w:firstLineChars="200"/>
        <w:rPr>
          <w:rFonts w:ascii="宋体" w:hAnsi="宋体"/>
          <w:szCs w:val="21"/>
        </w:rPr>
      </w:pPr>
    </w:p>
    <w:p w14:paraId="65E1AD1D">
      <w:pPr>
        <w:spacing w:line="360" w:lineRule="exact"/>
        <w:ind w:firstLine="420" w:firstLineChars="200"/>
        <w:rPr>
          <w:rFonts w:ascii="宋体" w:hAnsi="宋体"/>
          <w:szCs w:val="21"/>
        </w:rPr>
      </w:pPr>
    </w:p>
    <w:p w14:paraId="139814C4">
      <w:pPr>
        <w:spacing w:line="360" w:lineRule="exact"/>
        <w:ind w:firstLine="420" w:firstLineChars="200"/>
        <w:rPr>
          <w:rFonts w:ascii="宋体" w:hAnsi="宋体"/>
          <w:szCs w:val="21"/>
        </w:rPr>
      </w:pPr>
    </w:p>
    <w:p w14:paraId="398968CA">
      <w:pPr>
        <w:spacing w:line="360" w:lineRule="exact"/>
        <w:ind w:firstLine="420" w:firstLineChars="200"/>
        <w:rPr>
          <w:rFonts w:ascii="宋体" w:hAnsi="宋体"/>
          <w:szCs w:val="21"/>
        </w:rPr>
      </w:pPr>
    </w:p>
    <w:p w14:paraId="00809896">
      <w:pPr>
        <w:spacing w:line="360" w:lineRule="exact"/>
        <w:ind w:firstLine="420" w:firstLineChars="200"/>
        <w:rPr>
          <w:rFonts w:ascii="宋体" w:hAnsi="宋体"/>
          <w:szCs w:val="21"/>
        </w:rPr>
      </w:pPr>
    </w:p>
    <w:p w14:paraId="1D8B6EE1">
      <w:pPr>
        <w:spacing w:line="360" w:lineRule="exact"/>
        <w:ind w:firstLine="420" w:firstLineChars="200"/>
        <w:rPr>
          <w:rFonts w:ascii="宋体" w:hAnsi="宋体"/>
          <w:szCs w:val="21"/>
        </w:rPr>
      </w:pPr>
    </w:p>
    <w:p w14:paraId="46A97E7A">
      <w:pPr>
        <w:spacing w:line="360" w:lineRule="exact"/>
        <w:ind w:firstLine="420" w:firstLineChars="200"/>
        <w:rPr>
          <w:rFonts w:ascii="宋体" w:hAnsi="宋体"/>
          <w:szCs w:val="21"/>
        </w:rPr>
      </w:pPr>
    </w:p>
    <w:p w14:paraId="188D3811">
      <w:pPr>
        <w:spacing w:line="360" w:lineRule="exact"/>
        <w:ind w:firstLine="420" w:firstLineChars="200"/>
        <w:rPr>
          <w:rFonts w:ascii="宋体" w:hAnsi="宋体"/>
          <w:szCs w:val="21"/>
        </w:rPr>
      </w:pPr>
    </w:p>
    <w:p w14:paraId="5436936A">
      <w:pPr>
        <w:spacing w:line="360" w:lineRule="exact"/>
        <w:ind w:firstLine="420" w:firstLineChars="200"/>
        <w:rPr>
          <w:rFonts w:ascii="宋体" w:hAnsi="宋体"/>
          <w:szCs w:val="21"/>
        </w:rPr>
      </w:pPr>
    </w:p>
    <w:p w14:paraId="3FAC7098">
      <w:pPr>
        <w:spacing w:line="360" w:lineRule="exact"/>
        <w:ind w:firstLine="420" w:firstLineChars="200"/>
        <w:rPr>
          <w:rFonts w:ascii="宋体" w:hAnsi="宋体"/>
          <w:szCs w:val="21"/>
        </w:rPr>
      </w:pPr>
    </w:p>
    <w:p w14:paraId="001D60B1">
      <w:pPr>
        <w:spacing w:line="360" w:lineRule="exact"/>
        <w:jc w:val="center"/>
        <w:rPr>
          <w:rFonts w:hint="default" w:ascii="宋体" w:hAnsi="宋体" w:eastAsia="宋体"/>
          <w:szCs w:val="21"/>
          <w:lang w:val="en-US" w:eastAsia="zh-CN"/>
        </w:rPr>
      </w:pPr>
      <w:r>
        <w:rPr>
          <w:rFonts w:hint="eastAsia" w:ascii="黑体" w:hAnsi="黑体" w:eastAsia="黑体" w:cs="黑体"/>
          <w:sz w:val="32"/>
          <w:szCs w:val="32"/>
          <w:lang w:val="en-US" w:eastAsia="zh-CN"/>
        </w:rPr>
        <w:t>油菜化肥农药减施增效技术规程</w:t>
      </w:r>
    </w:p>
    <w:p w14:paraId="7E63F2D5">
      <w:pPr>
        <w:spacing w:line="360" w:lineRule="exact"/>
        <w:ind w:firstLine="420" w:firstLineChars="200"/>
        <w:rPr>
          <w:rFonts w:ascii="宋体" w:hAnsi="宋体"/>
          <w:szCs w:val="21"/>
        </w:rPr>
      </w:pPr>
    </w:p>
    <w:p w14:paraId="67023798">
      <w:pPr>
        <w:pStyle w:val="43"/>
        <w:spacing w:before="312" w:after="312"/>
      </w:pPr>
      <w:r>
        <w:rPr>
          <w:rFonts w:hint="eastAsia"/>
        </w:rPr>
        <w:t>范围</w:t>
      </w:r>
    </w:p>
    <w:p w14:paraId="6F33F5D8">
      <w:pPr>
        <w:pStyle w:val="21"/>
      </w:pPr>
      <w:r>
        <w:rPr>
          <w:rFonts w:hint="eastAsia"/>
        </w:rPr>
        <w:t>本</w:t>
      </w:r>
      <w:r>
        <w:rPr>
          <w:rFonts w:hint="eastAsia"/>
          <w:lang w:eastAsia="zh-CN"/>
        </w:rPr>
        <w:t>文件</w:t>
      </w:r>
      <w:r>
        <w:rPr>
          <w:rFonts w:hint="eastAsia"/>
        </w:rPr>
        <w:t>规定了</w:t>
      </w:r>
      <w:r>
        <w:rPr>
          <w:rFonts w:hint="eastAsia"/>
          <w:color w:val="auto"/>
          <w:lang w:val="en-US" w:eastAsia="zh-CN"/>
        </w:rPr>
        <w:t>产量目标下的</w:t>
      </w:r>
      <w:r>
        <w:t>油菜化肥农药减施增效</w:t>
      </w:r>
      <w:r>
        <w:rPr>
          <w:rFonts w:hint="eastAsia"/>
        </w:rPr>
        <w:t>术语和定义、油菜品种选择、</w:t>
      </w:r>
      <w:r>
        <w:rPr>
          <w:rFonts w:hint="eastAsia" w:hAnsi="Times New Roman"/>
        </w:rPr>
        <w:t>播前准备及播种</w:t>
      </w:r>
      <w:r>
        <w:rPr>
          <w:rFonts w:hint="eastAsia" w:hAnsi="Times New Roman"/>
          <w:lang w:eastAsia="zh-CN"/>
        </w:rPr>
        <w:t>、</w:t>
      </w:r>
      <w:r>
        <w:rPr>
          <w:rFonts w:hint="eastAsia" w:hAnsi="Times New Roman"/>
        </w:rPr>
        <w:t>田间管理、适时收获</w:t>
      </w:r>
      <w:r>
        <w:rPr>
          <w:rFonts w:hint="eastAsia" w:hAnsi="Times New Roman"/>
          <w:lang w:val="en-US" w:eastAsia="zh-CN"/>
        </w:rPr>
        <w:t>等技术</w:t>
      </w:r>
      <w:r>
        <w:rPr>
          <w:rFonts w:hint="eastAsia" w:hAnsi="Times New Roman"/>
        </w:rPr>
        <w:t>方法。</w:t>
      </w:r>
    </w:p>
    <w:p w14:paraId="0006E78A">
      <w:pPr>
        <w:pStyle w:val="21"/>
      </w:pPr>
      <w:r>
        <w:rPr>
          <w:rFonts w:hint="eastAsia"/>
        </w:rPr>
        <w:t>本</w:t>
      </w:r>
      <w:r>
        <w:rPr>
          <w:rFonts w:hint="eastAsia"/>
          <w:lang w:eastAsia="zh-CN"/>
        </w:rPr>
        <w:t>文件</w:t>
      </w:r>
      <w:r>
        <w:rPr>
          <w:rFonts w:hint="eastAsia"/>
        </w:rPr>
        <w:t>适用于</w:t>
      </w:r>
      <w:r>
        <w:rPr>
          <w:rFonts w:hint="eastAsia"/>
          <w:lang w:val="en-US" w:eastAsia="zh-CN"/>
        </w:rPr>
        <w:t>安徽省适宜机械化作业一年二熟制油菜产区</w:t>
      </w:r>
      <w:r>
        <w:rPr>
          <w:rFonts w:hint="eastAsia"/>
        </w:rPr>
        <w:t>。</w:t>
      </w:r>
    </w:p>
    <w:p w14:paraId="25C78EDA">
      <w:pPr>
        <w:pStyle w:val="43"/>
        <w:spacing w:before="312" w:after="312"/>
      </w:pPr>
      <w:r>
        <w:rPr>
          <w:rFonts w:hint="eastAsia"/>
        </w:rPr>
        <w:t>规范性引用文件</w:t>
      </w:r>
    </w:p>
    <w:p w14:paraId="1A53B926">
      <w:pPr>
        <w:pStyle w:val="21"/>
      </w:pPr>
      <w:r>
        <w:rPr>
          <w:rFonts w:hint="eastAsia"/>
        </w:rPr>
        <w:t>下列文件对于本文件的应用是必不可少的。凡是注日期的引用文件，仅所注日期的版本适用于本文件。凡是不注日期的引用文件，其最新版本（包括所有的修改单）适用于本文件。</w:t>
      </w:r>
    </w:p>
    <w:p w14:paraId="776013C6">
      <w:pPr>
        <w:pStyle w:val="29"/>
        <w:spacing w:before="0" w:beforeAutospacing="0" w:after="0" w:afterAutospacing="0"/>
        <w:ind w:firstLine="420" w:firstLineChars="200"/>
        <w:jc w:val="both"/>
        <w:rPr>
          <w:rFonts w:cs="Times New Roman"/>
          <w:color w:val="auto"/>
          <w:kern w:val="2"/>
          <w:sz w:val="21"/>
          <w:szCs w:val="21"/>
        </w:rPr>
      </w:pPr>
      <w:r>
        <w:rPr>
          <w:rFonts w:hint="eastAsia" w:cs="Times New Roman"/>
          <w:color w:val="auto"/>
          <w:kern w:val="2"/>
          <w:sz w:val="21"/>
          <w:szCs w:val="21"/>
          <w:lang w:val="en-US" w:eastAsia="zh-CN"/>
        </w:rPr>
        <w:t>GB 4407.2 经济作物种子 第2部分：油料类</w:t>
      </w:r>
    </w:p>
    <w:p w14:paraId="26906B13">
      <w:pPr>
        <w:pStyle w:val="29"/>
        <w:spacing w:before="0" w:beforeAutospacing="0" w:after="0" w:afterAutospacing="0"/>
        <w:ind w:firstLine="420" w:firstLineChars="200"/>
        <w:jc w:val="both"/>
        <w:rPr>
          <w:rFonts w:hint="eastAsia" w:cs="Times New Roman"/>
          <w:color w:val="auto"/>
          <w:kern w:val="2"/>
          <w:sz w:val="21"/>
          <w:szCs w:val="21"/>
        </w:rPr>
      </w:pPr>
      <w:r>
        <w:rPr>
          <w:rFonts w:cs="Times New Roman"/>
          <w:color w:val="auto"/>
          <w:kern w:val="2"/>
          <w:sz w:val="21"/>
          <w:szCs w:val="21"/>
        </w:rPr>
        <w:t xml:space="preserve">GB/T 23348 </w:t>
      </w:r>
      <w:r>
        <w:rPr>
          <w:rFonts w:hint="eastAsia" w:cs="Times New Roman"/>
          <w:color w:val="auto"/>
          <w:kern w:val="2"/>
          <w:sz w:val="21"/>
          <w:szCs w:val="21"/>
        </w:rPr>
        <w:t>缓释肥料</w:t>
      </w:r>
    </w:p>
    <w:p w14:paraId="59B98EF7">
      <w:pPr>
        <w:pStyle w:val="29"/>
        <w:spacing w:before="0" w:beforeAutospacing="0" w:after="0" w:afterAutospacing="0"/>
        <w:ind w:firstLine="420" w:firstLineChars="200"/>
        <w:jc w:val="both"/>
        <w:rPr>
          <w:rFonts w:hint="eastAsia" w:cs="Times New Roman"/>
          <w:color w:val="auto"/>
          <w:kern w:val="2"/>
          <w:sz w:val="21"/>
          <w:szCs w:val="21"/>
          <w:lang w:val="en-US" w:eastAsia="zh-CN"/>
        </w:rPr>
      </w:pPr>
      <w:r>
        <w:rPr>
          <w:rFonts w:hint="eastAsia" w:cs="Times New Roman"/>
          <w:color w:val="auto"/>
          <w:kern w:val="2"/>
          <w:sz w:val="21"/>
          <w:szCs w:val="21"/>
          <w:lang w:val="en-US" w:eastAsia="zh-CN"/>
        </w:rPr>
        <w:t>GB/T 34319 硼镁肥料</w:t>
      </w:r>
    </w:p>
    <w:p w14:paraId="6C804C80">
      <w:pPr>
        <w:pStyle w:val="29"/>
        <w:spacing w:before="0" w:beforeAutospacing="0" w:after="0" w:afterAutospacing="0"/>
        <w:ind w:firstLine="420" w:firstLineChars="200"/>
        <w:jc w:val="both"/>
        <w:rPr>
          <w:rFonts w:cs="Times New Roman"/>
          <w:color w:val="auto"/>
          <w:kern w:val="2"/>
          <w:sz w:val="21"/>
          <w:szCs w:val="21"/>
        </w:rPr>
      </w:pPr>
      <w:r>
        <w:rPr>
          <w:rFonts w:cs="Times New Roman"/>
          <w:color w:val="auto"/>
          <w:kern w:val="2"/>
          <w:sz w:val="21"/>
          <w:szCs w:val="21"/>
        </w:rPr>
        <w:t>GB/T 8321 (</w:t>
      </w:r>
      <w:r>
        <w:rPr>
          <w:rFonts w:hint="eastAsia" w:cs="Times New Roman"/>
          <w:color w:val="auto"/>
          <w:kern w:val="2"/>
          <w:sz w:val="21"/>
          <w:szCs w:val="21"/>
        </w:rPr>
        <w:t>所有部分</w:t>
      </w:r>
      <w:r>
        <w:rPr>
          <w:rFonts w:cs="Times New Roman"/>
          <w:color w:val="auto"/>
          <w:kern w:val="2"/>
          <w:sz w:val="21"/>
          <w:szCs w:val="21"/>
        </w:rPr>
        <w:t xml:space="preserve">) </w:t>
      </w:r>
      <w:r>
        <w:rPr>
          <w:rFonts w:hint="eastAsia" w:cs="Times New Roman"/>
          <w:color w:val="auto"/>
          <w:kern w:val="2"/>
          <w:sz w:val="21"/>
          <w:szCs w:val="21"/>
        </w:rPr>
        <w:t>农药合理使用准则</w:t>
      </w:r>
    </w:p>
    <w:p w14:paraId="6396E328">
      <w:pPr>
        <w:pStyle w:val="29"/>
        <w:spacing w:before="0" w:beforeAutospacing="0" w:after="0" w:afterAutospacing="0"/>
        <w:ind w:firstLine="420" w:firstLineChars="200"/>
        <w:jc w:val="both"/>
        <w:rPr>
          <w:rFonts w:cs="Times New Roman"/>
          <w:color w:val="auto"/>
          <w:kern w:val="2"/>
          <w:sz w:val="21"/>
          <w:szCs w:val="21"/>
        </w:rPr>
      </w:pPr>
      <w:r>
        <w:rPr>
          <w:rFonts w:hint="eastAsia" w:cs="Times New Roman"/>
          <w:color w:val="auto"/>
          <w:kern w:val="2"/>
          <w:sz w:val="21"/>
          <w:szCs w:val="21"/>
        </w:rPr>
        <w:t>JB/T 12449 油菜籽联合收获机</w:t>
      </w:r>
    </w:p>
    <w:p w14:paraId="3C174FBD">
      <w:pPr>
        <w:pStyle w:val="29"/>
        <w:spacing w:before="0" w:beforeAutospacing="0" w:after="0" w:afterAutospacing="0"/>
        <w:ind w:firstLine="420" w:firstLineChars="200"/>
        <w:jc w:val="both"/>
        <w:rPr>
          <w:rFonts w:cs="Times New Roman"/>
          <w:color w:val="auto"/>
          <w:kern w:val="2"/>
          <w:sz w:val="21"/>
          <w:szCs w:val="21"/>
        </w:rPr>
      </w:pPr>
      <w:r>
        <w:rPr>
          <w:rFonts w:cs="Times New Roman"/>
          <w:color w:val="auto"/>
          <w:kern w:val="2"/>
          <w:sz w:val="21"/>
          <w:szCs w:val="21"/>
        </w:rPr>
        <w:t xml:space="preserve">NY 414 </w:t>
      </w:r>
      <w:r>
        <w:rPr>
          <w:rFonts w:hint="eastAsia" w:cs="Times New Roman"/>
          <w:color w:val="auto"/>
          <w:kern w:val="2"/>
          <w:sz w:val="21"/>
          <w:szCs w:val="21"/>
        </w:rPr>
        <w:t>低芥酸低硫苷油菜种子</w:t>
      </w:r>
    </w:p>
    <w:p w14:paraId="08868D2E">
      <w:pPr>
        <w:pStyle w:val="29"/>
        <w:spacing w:before="0" w:beforeAutospacing="0" w:after="0" w:afterAutospacing="0"/>
        <w:ind w:firstLine="420" w:firstLineChars="200"/>
        <w:jc w:val="both"/>
        <w:rPr>
          <w:rFonts w:cs="Times New Roman"/>
          <w:color w:val="auto"/>
          <w:kern w:val="2"/>
          <w:sz w:val="21"/>
          <w:szCs w:val="21"/>
        </w:rPr>
      </w:pPr>
      <w:r>
        <w:rPr>
          <w:rFonts w:cs="Times New Roman"/>
          <w:color w:val="auto"/>
          <w:kern w:val="2"/>
          <w:sz w:val="21"/>
          <w:szCs w:val="21"/>
        </w:rPr>
        <w:t xml:space="preserve">NY/T 496 </w:t>
      </w:r>
      <w:r>
        <w:rPr>
          <w:rFonts w:hint="eastAsia" w:cs="Times New Roman"/>
          <w:color w:val="auto"/>
          <w:kern w:val="2"/>
          <w:sz w:val="21"/>
          <w:szCs w:val="21"/>
        </w:rPr>
        <w:t>肥料合理使用准则</w:t>
      </w:r>
      <w:r>
        <w:rPr>
          <w:rFonts w:cs="Times New Roman"/>
          <w:color w:val="auto"/>
          <w:kern w:val="2"/>
          <w:sz w:val="21"/>
          <w:szCs w:val="21"/>
        </w:rPr>
        <w:t xml:space="preserve"> </w:t>
      </w:r>
      <w:r>
        <w:rPr>
          <w:rFonts w:hint="eastAsia" w:cs="Times New Roman"/>
          <w:color w:val="auto"/>
          <w:kern w:val="2"/>
          <w:sz w:val="21"/>
          <w:szCs w:val="21"/>
        </w:rPr>
        <w:t>通则</w:t>
      </w:r>
    </w:p>
    <w:p w14:paraId="1434FD43">
      <w:pPr>
        <w:pStyle w:val="29"/>
        <w:spacing w:before="0" w:beforeAutospacing="0" w:after="0" w:afterAutospacing="0"/>
        <w:ind w:firstLine="420" w:firstLineChars="200"/>
        <w:jc w:val="both"/>
        <w:rPr>
          <w:rFonts w:hint="eastAsia" w:cs="Times New Roman"/>
          <w:color w:val="auto"/>
          <w:kern w:val="2"/>
          <w:sz w:val="21"/>
          <w:szCs w:val="21"/>
        </w:rPr>
      </w:pPr>
      <w:r>
        <w:rPr>
          <w:rFonts w:cs="Times New Roman"/>
          <w:color w:val="auto"/>
          <w:kern w:val="2"/>
          <w:sz w:val="21"/>
          <w:szCs w:val="21"/>
        </w:rPr>
        <w:t xml:space="preserve">NY/T 794 </w:t>
      </w:r>
      <w:r>
        <w:rPr>
          <w:rFonts w:hint="eastAsia" w:cs="Times New Roman"/>
          <w:color w:val="auto"/>
          <w:kern w:val="2"/>
          <w:sz w:val="21"/>
          <w:szCs w:val="21"/>
        </w:rPr>
        <w:t>油菜菌核病防治技术规程</w:t>
      </w:r>
    </w:p>
    <w:p w14:paraId="18C1CBA2">
      <w:pPr>
        <w:pStyle w:val="29"/>
        <w:spacing w:before="0" w:beforeAutospacing="0" w:after="0" w:afterAutospacing="0"/>
        <w:ind w:firstLine="420" w:firstLineChars="200"/>
        <w:jc w:val="both"/>
        <w:rPr>
          <w:rFonts w:hint="default" w:eastAsia="宋体" w:cs="Times New Roman"/>
          <w:color w:val="auto"/>
          <w:kern w:val="2"/>
          <w:sz w:val="21"/>
          <w:szCs w:val="21"/>
          <w:lang w:val="en-US" w:eastAsia="zh-CN"/>
        </w:rPr>
      </w:pPr>
      <w:r>
        <w:rPr>
          <w:rFonts w:hint="eastAsia" w:cs="Times New Roman"/>
          <w:color w:val="auto"/>
          <w:kern w:val="2"/>
          <w:sz w:val="21"/>
          <w:szCs w:val="21"/>
          <w:lang w:val="en-US" w:eastAsia="zh-CN"/>
        </w:rPr>
        <w:t>NY/T 1868 肥料合理使用准则 有机肥料</w:t>
      </w:r>
    </w:p>
    <w:p w14:paraId="2750A564">
      <w:pPr>
        <w:pStyle w:val="29"/>
        <w:spacing w:before="0" w:beforeAutospacing="0" w:after="0" w:afterAutospacing="0"/>
        <w:ind w:firstLine="420" w:firstLineChars="200"/>
        <w:jc w:val="both"/>
        <w:rPr>
          <w:rFonts w:cs="Times New Roman"/>
          <w:kern w:val="2"/>
          <w:sz w:val="21"/>
          <w:szCs w:val="21"/>
        </w:rPr>
      </w:pPr>
      <w:r>
        <w:rPr>
          <w:rFonts w:hint="eastAsia" w:cs="Times New Roman"/>
          <w:kern w:val="2"/>
          <w:sz w:val="21"/>
          <w:szCs w:val="21"/>
        </w:rPr>
        <w:t>NY/T 2208 油菜全程机械化生产技术规范</w:t>
      </w:r>
    </w:p>
    <w:p w14:paraId="4E432653">
      <w:pPr>
        <w:pStyle w:val="29"/>
        <w:spacing w:before="0" w:beforeAutospacing="0" w:after="0" w:afterAutospacing="0"/>
        <w:ind w:firstLine="420" w:firstLineChars="200"/>
        <w:jc w:val="both"/>
        <w:rPr>
          <w:rFonts w:cs="Times New Roman"/>
          <w:kern w:val="2"/>
          <w:sz w:val="21"/>
          <w:szCs w:val="21"/>
        </w:rPr>
      </w:pPr>
      <w:r>
        <w:rPr>
          <w:rFonts w:cs="Times New Roman"/>
          <w:kern w:val="2"/>
          <w:sz w:val="21"/>
          <w:szCs w:val="21"/>
        </w:rPr>
        <w:t>NY/T 2709 油菜播种机 作业质量</w:t>
      </w:r>
    </w:p>
    <w:p w14:paraId="6D62F4ED">
      <w:pPr>
        <w:pStyle w:val="29"/>
        <w:spacing w:before="0" w:beforeAutospacing="0" w:after="0" w:afterAutospacing="0"/>
        <w:ind w:firstLine="420" w:firstLineChars="200"/>
        <w:jc w:val="both"/>
        <w:rPr>
          <w:rFonts w:cs="Times New Roman"/>
          <w:kern w:val="2"/>
          <w:sz w:val="21"/>
          <w:szCs w:val="21"/>
        </w:rPr>
      </w:pPr>
      <w:r>
        <w:rPr>
          <w:rFonts w:hint="eastAsia" w:cs="Times New Roman"/>
          <w:kern w:val="2"/>
          <w:sz w:val="21"/>
          <w:szCs w:val="21"/>
        </w:rPr>
        <w:t>NY/T 2199 油菜联合收割机 作业质量</w:t>
      </w:r>
    </w:p>
    <w:p w14:paraId="655A7204">
      <w:pPr>
        <w:pStyle w:val="29"/>
        <w:spacing w:before="0" w:beforeAutospacing="0" w:after="0" w:afterAutospacing="0"/>
        <w:ind w:firstLine="420" w:firstLineChars="200"/>
        <w:jc w:val="both"/>
        <w:rPr>
          <w:rFonts w:cs="Times New Roman"/>
          <w:kern w:val="2"/>
          <w:sz w:val="21"/>
          <w:szCs w:val="21"/>
        </w:rPr>
      </w:pPr>
      <w:r>
        <w:rPr>
          <w:rFonts w:hint="eastAsia" w:cs="Times New Roman"/>
          <w:kern w:val="2"/>
          <w:sz w:val="21"/>
          <w:szCs w:val="21"/>
        </w:rPr>
        <w:t>NY 1087 油菜籽干燥与储藏技术规程</w:t>
      </w:r>
    </w:p>
    <w:p w14:paraId="0CD9163C">
      <w:pPr>
        <w:pStyle w:val="29"/>
        <w:spacing w:before="0" w:beforeAutospacing="0" w:after="0" w:afterAutospacing="0"/>
        <w:ind w:firstLine="420" w:firstLineChars="200"/>
        <w:jc w:val="both"/>
        <w:rPr>
          <w:rFonts w:cs="Times New Roman"/>
          <w:kern w:val="2"/>
          <w:sz w:val="21"/>
          <w:szCs w:val="21"/>
        </w:rPr>
      </w:pPr>
      <w:r>
        <w:rPr>
          <w:rFonts w:cs="Times New Roman"/>
          <w:kern w:val="2"/>
          <w:sz w:val="21"/>
          <w:szCs w:val="21"/>
        </w:rPr>
        <w:t>DB34/T 2020</w:t>
      </w:r>
      <w:r>
        <w:rPr>
          <w:rFonts w:hint="eastAsia" w:cs="Times New Roman"/>
          <w:kern w:val="2"/>
          <w:sz w:val="21"/>
          <w:szCs w:val="21"/>
        </w:rPr>
        <w:t xml:space="preserve"> 油菜根肿病防治技术规程</w:t>
      </w:r>
    </w:p>
    <w:p w14:paraId="2A03BF38">
      <w:pPr>
        <w:pStyle w:val="29"/>
        <w:spacing w:before="0" w:beforeAutospacing="0" w:after="0" w:afterAutospacing="0"/>
        <w:ind w:firstLine="420" w:firstLineChars="200"/>
        <w:jc w:val="both"/>
        <w:rPr>
          <w:rFonts w:cs="Times New Roman"/>
          <w:kern w:val="2"/>
          <w:sz w:val="21"/>
          <w:szCs w:val="21"/>
        </w:rPr>
      </w:pPr>
      <w:r>
        <w:rPr>
          <w:rFonts w:cs="Times New Roman"/>
          <w:kern w:val="2"/>
          <w:sz w:val="21"/>
          <w:szCs w:val="21"/>
        </w:rPr>
        <w:t xml:space="preserve">DB34/T 1831 </w:t>
      </w:r>
      <w:r>
        <w:rPr>
          <w:rFonts w:hint="eastAsia" w:cs="Times New Roman"/>
          <w:kern w:val="2"/>
          <w:sz w:val="21"/>
          <w:szCs w:val="21"/>
        </w:rPr>
        <w:t>油菜收获与秸秆粉碎机械化联合作业技术规范</w:t>
      </w:r>
    </w:p>
    <w:p w14:paraId="1AF123D4">
      <w:pPr>
        <w:pStyle w:val="43"/>
        <w:spacing w:before="312" w:after="312"/>
      </w:pPr>
      <w:r>
        <w:rPr>
          <w:rFonts w:hint="eastAsia"/>
        </w:rPr>
        <w:t>术语和定义</w:t>
      </w:r>
    </w:p>
    <w:p w14:paraId="24B3B772">
      <w:pPr>
        <w:pStyle w:val="21"/>
      </w:pPr>
      <w:r>
        <w:rPr>
          <w:rFonts w:hint="eastAsia"/>
        </w:rPr>
        <w:t>下列术语和定义适用于本文件。</w:t>
      </w:r>
    </w:p>
    <w:p w14:paraId="2155B5E0">
      <w:pPr>
        <w:pStyle w:val="40"/>
        <w:spacing w:before="156" w:after="156"/>
        <w:rPr>
          <w:rFonts w:ascii="Times New Roman"/>
        </w:rPr>
      </w:pPr>
      <w:r>
        <w:rPr>
          <w:rFonts w:hint="eastAsia" w:ascii="黑体" w:eastAsia="黑体"/>
          <w:szCs w:val="21"/>
        </w:rPr>
        <w:t xml:space="preserve">油菜专用缓释肥料 </w:t>
      </w:r>
      <w:r>
        <w:rPr>
          <w:rFonts w:ascii="Times New Roman" w:eastAsia="黑体"/>
          <w:szCs w:val="21"/>
        </w:rPr>
        <w:t xml:space="preserve">Special </w:t>
      </w:r>
      <w:r>
        <w:rPr>
          <w:rFonts w:hint="eastAsia" w:ascii="Times New Roman" w:eastAsia="黑体"/>
          <w:szCs w:val="21"/>
        </w:rPr>
        <w:t xml:space="preserve">slow release </w:t>
      </w:r>
      <w:r>
        <w:rPr>
          <w:rFonts w:ascii="Times New Roman" w:eastAsia="黑体"/>
          <w:szCs w:val="21"/>
        </w:rPr>
        <w:t>fertilizer for rapeseed</w:t>
      </w:r>
    </w:p>
    <w:p w14:paraId="5E2EB0B4">
      <w:pPr>
        <w:pStyle w:val="21"/>
        <w:spacing w:beforeLines="50" w:afterLines="50"/>
        <w:rPr>
          <w:rFonts w:cs="宋体"/>
          <w:szCs w:val="21"/>
        </w:rPr>
      </w:pPr>
      <w:r>
        <w:rPr>
          <w:rFonts w:hint="eastAsia" w:cs="宋体"/>
          <w:szCs w:val="21"/>
        </w:rPr>
        <w:t>根据油菜的生长需肥特点和土壤养分状况进行科学配比，通过化学复合或物理作用（混合）使氮磷钾大量元素和中微量元素等有效态养分随着时间而缓慢释放的专供油菜在特定区域使用的化学肥料。</w:t>
      </w:r>
    </w:p>
    <w:p w14:paraId="5E5B1E1A">
      <w:pPr>
        <w:pStyle w:val="21"/>
        <w:spacing w:beforeLines="50" w:afterLines="50"/>
        <w:ind w:firstLine="0" w:firstLineChars="0"/>
        <w:rPr>
          <w:rFonts w:ascii="Times New Roman" w:eastAsia="黑体"/>
          <w:szCs w:val="21"/>
        </w:rPr>
      </w:pPr>
      <w:r>
        <w:rPr>
          <w:rFonts w:hint="eastAsia" w:ascii="黑体" w:eastAsia="黑体"/>
          <w:szCs w:val="21"/>
        </w:rPr>
        <w:t>3.</w:t>
      </w:r>
      <w:r>
        <w:rPr>
          <w:rFonts w:hint="eastAsia" w:ascii="黑体" w:eastAsia="黑体"/>
          <w:szCs w:val="21"/>
          <w:lang w:val="en-US" w:eastAsia="zh-CN"/>
        </w:rPr>
        <w:t>2</w:t>
      </w:r>
      <w:r>
        <w:rPr>
          <w:rFonts w:hint="eastAsia" w:ascii="黑体" w:eastAsia="黑体"/>
          <w:szCs w:val="21"/>
        </w:rPr>
        <w:t xml:space="preserve"> 油菜种肥药同施 </w:t>
      </w:r>
      <w:r>
        <w:rPr>
          <w:rFonts w:ascii="Times New Roman" w:eastAsia="黑体"/>
          <w:szCs w:val="21"/>
        </w:rPr>
        <w:t>Manuring</w:t>
      </w:r>
      <w:r>
        <w:rPr>
          <w:rFonts w:hint="eastAsia" w:ascii="Times New Roman" w:eastAsia="黑体"/>
          <w:szCs w:val="21"/>
        </w:rPr>
        <w:t xml:space="preserve">, </w:t>
      </w:r>
      <w:r>
        <w:rPr>
          <w:rFonts w:ascii="Times New Roman" w:eastAsia="黑体"/>
          <w:szCs w:val="21"/>
        </w:rPr>
        <w:t xml:space="preserve">sowing </w:t>
      </w:r>
      <w:r>
        <w:rPr>
          <w:rFonts w:hint="eastAsia" w:ascii="Times New Roman" w:eastAsia="黑体"/>
          <w:szCs w:val="21"/>
        </w:rPr>
        <w:t xml:space="preserve">and spraying </w:t>
      </w:r>
      <w:r>
        <w:rPr>
          <w:rFonts w:ascii="Times New Roman" w:eastAsia="黑体"/>
          <w:szCs w:val="21"/>
        </w:rPr>
        <w:t>simultaneously applied in rapeseed</w:t>
      </w:r>
    </w:p>
    <w:p w14:paraId="149A9F1C">
      <w:pPr>
        <w:autoSpaceDE w:val="0"/>
        <w:autoSpaceDN w:val="0"/>
        <w:adjustRightInd w:val="0"/>
        <w:spacing w:beforeLines="50" w:afterLines="50"/>
        <w:ind w:firstLine="420" w:firstLineChars="200"/>
        <w:jc w:val="left"/>
        <w:rPr>
          <w:rFonts w:ascii="宋体" w:cs="宋体"/>
          <w:color w:val="auto"/>
          <w:kern w:val="0"/>
          <w:szCs w:val="21"/>
        </w:rPr>
      </w:pPr>
      <w:r>
        <w:rPr>
          <w:rFonts w:hint="eastAsia" w:ascii="宋体" w:cs="宋体"/>
          <w:color w:val="auto"/>
          <w:kern w:val="0"/>
          <w:szCs w:val="21"/>
        </w:rPr>
        <w:t>油菜播种时同时实现施肥和喷施芽前除草剂封闭除草的一种油菜机械化作业方式。</w:t>
      </w:r>
    </w:p>
    <w:p w14:paraId="4F7CA661">
      <w:pPr>
        <w:pStyle w:val="43"/>
        <w:spacing w:before="312" w:after="312"/>
      </w:pPr>
      <w:r>
        <w:rPr>
          <w:rFonts w:hint="eastAsia"/>
          <w:lang w:val="en-US" w:eastAsia="zh-CN"/>
        </w:rPr>
        <w:t>产量目标</w:t>
      </w:r>
    </w:p>
    <w:p w14:paraId="34F6D199">
      <w:pPr>
        <w:pStyle w:val="21"/>
        <w:rPr>
          <w:rFonts w:hint="default" w:eastAsia="宋体"/>
          <w:lang w:val="en-US" w:eastAsia="zh-CN"/>
        </w:rPr>
      </w:pPr>
      <w:r>
        <w:rPr>
          <w:rFonts w:hint="eastAsia"/>
          <w:color w:val="auto"/>
        </w:rPr>
        <w:t>每</w:t>
      </w:r>
      <w:r>
        <w:rPr>
          <w:color w:val="auto"/>
        </w:rPr>
        <w:t>66</w:t>
      </w:r>
      <w:r>
        <w:rPr>
          <w:rFonts w:hint="eastAsia"/>
          <w:color w:val="auto"/>
          <w:lang w:val="en-US" w:eastAsia="zh-CN"/>
        </w:rPr>
        <w:t>6.</w:t>
      </w:r>
      <w:r>
        <w:rPr>
          <w:color w:val="auto"/>
        </w:rPr>
        <w:t>7m</w:t>
      </w:r>
      <w:r>
        <w:rPr>
          <w:color w:val="auto"/>
          <w:vertAlign w:val="superscript"/>
        </w:rPr>
        <w:t>2</w:t>
      </w:r>
      <w:r>
        <w:rPr>
          <w:color w:val="auto"/>
        </w:rPr>
        <w:t xml:space="preserve"> </w:t>
      </w:r>
      <w:r>
        <w:rPr>
          <w:rFonts w:hint="eastAsia"/>
          <w:color w:val="auto"/>
          <w:lang w:val="en-US" w:eastAsia="zh-CN"/>
        </w:rPr>
        <w:t>油菜籽产量200</w:t>
      </w:r>
      <w:r>
        <w:rPr>
          <w:color w:val="auto"/>
        </w:rPr>
        <w:t>kg</w:t>
      </w:r>
      <w:r>
        <w:rPr>
          <w:rFonts w:hint="eastAsia"/>
          <w:color w:val="auto"/>
          <w:lang w:val="en-US" w:eastAsia="zh-CN"/>
        </w:rPr>
        <w:t>及以上</w:t>
      </w:r>
      <w:r>
        <w:rPr>
          <w:rFonts w:hint="eastAsia"/>
          <w:lang w:val="en-US" w:eastAsia="zh-CN"/>
        </w:rPr>
        <w:t>。</w:t>
      </w:r>
    </w:p>
    <w:p w14:paraId="566BD43C">
      <w:pPr>
        <w:pStyle w:val="43"/>
        <w:spacing w:before="312" w:after="312"/>
      </w:pPr>
      <w:r>
        <w:rPr>
          <w:rFonts w:hint="eastAsia"/>
          <w:lang w:val="en-US" w:eastAsia="zh-CN"/>
        </w:rPr>
        <w:t>播种前准备</w:t>
      </w:r>
    </w:p>
    <w:p w14:paraId="23C276F0">
      <w:pPr>
        <w:pStyle w:val="61"/>
        <w:keepNext w:val="0"/>
        <w:keepLines w:val="0"/>
        <w:pageBreakBefore w:val="0"/>
        <w:widowControl/>
        <w:numPr>
          <w:ilvl w:val="0"/>
          <w:numId w:val="0"/>
        </w:numPr>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b w:val="0"/>
          <w:bCs w:val="0"/>
          <w:lang w:val="en-US" w:eastAsia="zh-CN"/>
        </w:rPr>
      </w:pPr>
      <w:r>
        <w:rPr>
          <w:rFonts w:hint="eastAsia" w:ascii="黑体" w:hAnsi="黑体" w:eastAsia="黑体" w:cs="黑体"/>
          <w:b w:val="0"/>
          <w:bCs w:val="0"/>
          <w:lang w:val="en-US" w:eastAsia="zh-CN"/>
        </w:rPr>
        <w:t>5.1品种选择</w:t>
      </w:r>
    </w:p>
    <w:p w14:paraId="08736BEC">
      <w:pPr>
        <w:pStyle w:val="61"/>
        <w:keepNext w:val="0"/>
        <w:keepLines w:val="0"/>
        <w:pageBreakBefore w:val="0"/>
        <w:widowControl/>
        <w:numPr>
          <w:ilvl w:val="0"/>
          <w:numId w:val="0"/>
        </w:numPr>
        <w:kinsoku/>
        <w:wordWrap/>
        <w:overflowPunct/>
        <w:topLinePunct w:val="0"/>
        <w:autoSpaceDE/>
        <w:autoSpaceDN/>
        <w:bidi w:val="0"/>
        <w:adjustRightInd/>
        <w:snapToGrid/>
        <w:ind w:firstLine="420" w:firstLineChars="200"/>
        <w:textAlignment w:val="auto"/>
      </w:pPr>
      <w:r>
        <w:rPr>
          <w:rFonts w:hint="eastAsia" w:cs="宋体"/>
          <w:color w:val="auto"/>
        </w:rPr>
        <w:t>选择优质、高产、高含油量、多抗（</w:t>
      </w:r>
      <w:r>
        <w:rPr>
          <w:rFonts w:hint="eastAsia" w:cs="宋体"/>
          <w:color w:val="auto"/>
          <w:lang w:val="en-US" w:eastAsia="zh-CN"/>
        </w:rPr>
        <w:t>抗旱、耐寒、</w:t>
      </w:r>
      <w:r>
        <w:rPr>
          <w:rFonts w:hint="eastAsia" w:cs="宋体"/>
          <w:color w:val="auto"/>
        </w:rPr>
        <w:t>抗病、抗裂角）、</w:t>
      </w:r>
      <w:r>
        <w:rPr>
          <w:rFonts w:hint="eastAsia" w:cs="宋体"/>
          <w:color w:val="auto"/>
          <w:lang w:val="en-US" w:eastAsia="zh-CN"/>
        </w:rPr>
        <w:t>耐密抗倒</w:t>
      </w:r>
      <w:r>
        <w:rPr>
          <w:rFonts w:hint="eastAsia" w:cs="宋体"/>
          <w:color w:val="auto"/>
        </w:rPr>
        <w:t>适宜本区域种植的已登记的甘蓝型油菜品种，种子质量应符合GB 4407.2 中的规定</w:t>
      </w:r>
      <w:r>
        <w:rPr>
          <w:rFonts w:hint="eastAsia" w:cs="宋体"/>
          <w:color w:val="auto"/>
          <w:lang w:eastAsia="zh-CN"/>
        </w:rPr>
        <w:t>，</w:t>
      </w:r>
      <w:r>
        <w:rPr>
          <w:rFonts w:hint="eastAsia" w:cs="宋体"/>
          <w:color w:val="auto"/>
        </w:rPr>
        <w:t>品质</w:t>
      </w:r>
      <w:r>
        <w:rPr>
          <w:rFonts w:hint="eastAsia" w:cs="宋体"/>
          <w:color w:val="auto"/>
          <w:lang w:val="en-US" w:eastAsia="zh-CN"/>
        </w:rPr>
        <w:t>应</w:t>
      </w:r>
      <w:r>
        <w:rPr>
          <w:rFonts w:hint="eastAsia" w:cs="宋体"/>
          <w:color w:val="auto"/>
        </w:rPr>
        <w:t>符合NY 414 要求</w:t>
      </w:r>
      <w:r>
        <w:rPr>
          <w:rFonts w:hint="eastAsia" w:cs="宋体"/>
        </w:rPr>
        <w:t>。</w:t>
      </w:r>
    </w:p>
    <w:p w14:paraId="23EB4D23">
      <w:pPr>
        <w:pStyle w:val="40"/>
        <w:numPr>
          <w:ilvl w:val="1"/>
          <w:numId w:val="0"/>
        </w:numPr>
        <w:spacing w:before="156" w:after="156"/>
        <w:ind w:leftChars="0"/>
      </w:pPr>
      <w:r>
        <w:rPr>
          <w:rFonts w:hint="eastAsia"/>
          <w:lang w:val="en-US" w:eastAsia="zh-CN"/>
        </w:rPr>
        <w:t>5.2</w:t>
      </w:r>
      <w:r>
        <w:rPr>
          <w:rFonts w:hint="eastAsia"/>
        </w:rPr>
        <w:t>种子处理</w:t>
      </w:r>
    </w:p>
    <w:p w14:paraId="175D6FC7">
      <w:pPr>
        <w:pStyle w:val="40"/>
        <w:keepNext w:val="0"/>
        <w:keepLines w:val="0"/>
        <w:pageBreakBefore w:val="0"/>
        <w:widowControl/>
        <w:numPr>
          <w:ilvl w:val="1"/>
          <w:numId w:val="0"/>
        </w:numPr>
        <w:kinsoku/>
        <w:wordWrap/>
        <w:overflowPunct/>
        <w:topLinePunct w:val="0"/>
        <w:autoSpaceDE/>
        <w:autoSpaceDN/>
        <w:bidi w:val="0"/>
        <w:adjustRightInd/>
        <w:snapToGrid/>
        <w:spacing w:before="156" w:after="156"/>
        <w:ind w:leftChars="0" w:firstLine="420" w:firstLineChars="200"/>
        <w:textAlignment w:val="auto"/>
        <w:rPr>
          <w:rFonts w:hint="eastAsia" w:ascii="宋体" w:hAnsi="Times New Roman" w:eastAsia="宋体" w:cs="宋体"/>
          <w:sz w:val="21"/>
          <w:szCs w:val="21"/>
          <w:lang w:val="en-US" w:eastAsia="zh-CN" w:bidi="ar-SA"/>
        </w:rPr>
      </w:pPr>
      <w:r>
        <w:rPr>
          <w:rFonts w:hint="eastAsia" w:ascii="宋体" w:hAnsi="Times New Roman" w:eastAsia="宋体" w:cs="宋体"/>
          <w:color w:val="auto"/>
          <w:sz w:val="21"/>
          <w:szCs w:val="21"/>
          <w:lang w:val="en-US" w:eastAsia="zh-CN" w:bidi="ar-SA"/>
        </w:rPr>
        <w:t>播种前1-2天晒种</w:t>
      </w:r>
      <w:r>
        <w:rPr>
          <w:rFonts w:hint="eastAsia" w:ascii="宋体" w:eastAsia="宋体" w:cs="宋体"/>
          <w:color w:val="auto"/>
          <w:sz w:val="21"/>
          <w:szCs w:val="21"/>
          <w:lang w:val="en-US" w:eastAsia="zh-CN" w:bidi="ar-SA"/>
        </w:rPr>
        <w:t>，</w:t>
      </w:r>
      <w:r>
        <w:rPr>
          <w:rFonts w:hint="eastAsia" w:ascii="宋体" w:hAnsi="Times New Roman" w:eastAsia="宋体" w:cs="宋体"/>
          <w:color w:val="auto"/>
          <w:sz w:val="21"/>
          <w:szCs w:val="21"/>
          <w:lang w:val="en-US" w:eastAsia="zh-CN" w:bidi="ar-SA"/>
        </w:rPr>
        <w:t>油菜种子在太阳下晒至少4–5小时，晒种时避免</w:t>
      </w:r>
      <w:r>
        <w:rPr>
          <w:rFonts w:hint="eastAsia" w:ascii="宋体" w:eastAsia="宋体" w:cs="宋体"/>
          <w:color w:val="auto"/>
          <w:sz w:val="21"/>
          <w:szCs w:val="21"/>
          <w:lang w:val="en-US" w:eastAsia="zh-CN" w:bidi="ar-SA"/>
        </w:rPr>
        <w:t>种子</w:t>
      </w:r>
      <w:r>
        <w:rPr>
          <w:rFonts w:hint="eastAsia" w:ascii="宋体" w:hAnsi="Times New Roman" w:eastAsia="宋体" w:cs="宋体"/>
          <w:color w:val="auto"/>
          <w:sz w:val="21"/>
          <w:szCs w:val="21"/>
          <w:lang w:val="en-US" w:eastAsia="zh-CN" w:bidi="ar-SA"/>
        </w:rPr>
        <w:t>与金属器具接触，也不要将种子直接放在水泥地上</w:t>
      </w:r>
      <w:r>
        <w:rPr>
          <w:rFonts w:hint="eastAsia" w:ascii="宋体" w:eastAsia="宋体" w:cs="宋体"/>
          <w:color w:val="auto"/>
          <w:sz w:val="21"/>
          <w:szCs w:val="21"/>
          <w:lang w:val="en-US" w:eastAsia="zh-CN" w:bidi="ar-SA"/>
        </w:rPr>
        <w:t>，</w:t>
      </w:r>
      <w:r>
        <w:rPr>
          <w:rFonts w:hint="eastAsia" w:ascii="宋体" w:hAnsi="Times New Roman" w:eastAsia="宋体" w:cs="宋体"/>
          <w:color w:val="auto"/>
          <w:sz w:val="21"/>
          <w:szCs w:val="21"/>
          <w:lang w:val="en-US" w:eastAsia="zh-CN" w:bidi="ar-SA"/>
        </w:rPr>
        <w:t>防止局部</w:t>
      </w:r>
      <w:r>
        <w:rPr>
          <w:rFonts w:hint="eastAsia" w:ascii="宋体" w:eastAsia="宋体" w:cs="宋体"/>
          <w:color w:val="auto"/>
          <w:sz w:val="21"/>
          <w:szCs w:val="21"/>
          <w:lang w:val="en-US" w:eastAsia="zh-CN" w:bidi="ar-SA"/>
        </w:rPr>
        <w:t>高温</w:t>
      </w:r>
      <w:r>
        <w:rPr>
          <w:rFonts w:hint="eastAsia" w:ascii="宋体" w:hAnsi="Times New Roman" w:eastAsia="宋体" w:cs="宋体"/>
          <w:color w:val="auto"/>
          <w:sz w:val="21"/>
          <w:szCs w:val="21"/>
          <w:lang w:val="en-US" w:eastAsia="zh-CN" w:bidi="ar-SA"/>
        </w:rPr>
        <w:t>烫伤种子，然后用吡虫啉（</w:t>
      </w:r>
      <w:r>
        <w:rPr>
          <w:rFonts w:hint="eastAsia" w:ascii="宋体" w:eastAsia="宋体" w:cs="宋体"/>
          <w:color w:val="auto"/>
          <w:sz w:val="21"/>
          <w:szCs w:val="21"/>
          <w:lang w:val="en-US" w:eastAsia="zh-CN" w:bidi="ar-SA"/>
        </w:rPr>
        <w:t>药种比</w:t>
      </w:r>
      <w:r>
        <w:rPr>
          <w:rFonts w:hint="eastAsia" w:ascii="宋体" w:hAnsi="Times New Roman" w:eastAsia="宋体" w:cs="宋体"/>
          <w:color w:val="auto"/>
          <w:sz w:val="21"/>
          <w:szCs w:val="21"/>
          <w:lang w:val="en-US" w:eastAsia="zh-CN" w:bidi="ar-SA"/>
        </w:rPr>
        <w:t>1:30）或噻虫嗪（</w:t>
      </w:r>
      <w:r>
        <w:rPr>
          <w:rFonts w:hint="eastAsia" w:ascii="宋体" w:eastAsia="宋体" w:cs="宋体"/>
          <w:color w:val="auto"/>
          <w:sz w:val="21"/>
          <w:szCs w:val="21"/>
          <w:lang w:val="en-US" w:eastAsia="zh-CN" w:bidi="ar-SA"/>
        </w:rPr>
        <w:t>药种比</w:t>
      </w:r>
      <w:r>
        <w:rPr>
          <w:rFonts w:hint="eastAsia" w:ascii="宋体" w:hAnsi="Times New Roman" w:eastAsia="宋体" w:cs="宋体"/>
          <w:color w:val="auto"/>
          <w:sz w:val="21"/>
          <w:szCs w:val="21"/>
          <w:lang w:val="en-US" w:eastAsia="zh-CN" w:bidi="ar-SA"/>
        </w:rPr>
        <w:t>1:50）杀虫剂，咯菌腈杀菌剂等进行包衣或拌种，晾干后用于播种</w:t>
      </w:r>
      <w:r>
        <w:rPr>
          <w:rFonts w:hint="eastAsia" w:ascii="宋体" w:hAnsi="Times New Roman" w:eastAsia="宋体" w:cs="宋体"/>
          <w:sz w:val="21"/>
          <w:szCs w:val="21"/>
          <w:lang w:val="en-US" w:eastAsia="zh-CN" w:bidi="ar-SA"/>
        </w:rPr>
        <w:t>。</w:t>
      </w:r>
    </w:p>
    <w:p w14:paraId="37632C1C">
      <w:pPr>
        <w:pStyle w:val="40"/>
        <w:numPr>
          <w:ilvl w:val="1"/>
          <w:numId w:val="0"/>
        </w:numPr>
        <w:spacing w:before="156" w:after="156"/>
        <w:ind w:leftChars="0"/>
      </w:pPr>
      <w:r>
        <w:rPr>
          <w:rFonts w:hint="eastAsia"/>
          <w:lang w:val="en-US" w:eastAsia="zh-CN"/>
        </w:rPr>
        <w:t>5.3大田准备</w:t>
      </w:r>
    </w:p>
    <w:p w14:paraId="318FC160">
      <w:pPr>
        <w:pStyle w:val="21"/>
        <w:rPr>
          <w:rFonts w:hint="eastAsia" w:ascii="宋体" w:hAnsi="Times New Roman" w:eastAsia="宋体" w:cs="宋体"/>
          <w:color w:val="auto"/>
          <w:szCs w:val="21"/>
          <w:lang w:val="en-US" w:eastAsia="zh-CN"/>
        </w:rPr>
      </w:pPr>
      <w:r>
        <w:rPr>
          <w:rFonts w:hint="eastAsia"/>
          <w:color w:val="auto"/>
        </w:rPr>
        <w:t>采用有切草</w:t>
      </w:r>
      <w:r>
        <w:rPr>
          <w:rFonts w:hint="eastAsia"/>
          <w:color w:val="auto"/>
          <w:lang w:val="en-US" w:eastAsia="zh-CN"/>
        </w:rPr>
        <w:t>喷草</w:t>
      </w:r>
      <w:r>
        <w:rPr>
          <w:rFonts w:hint="eastAsia"/>
          <w:color w:val="auto"/>
        </w:rPr>
        <w:t>装置的</w:t>
      </w:r>
      <w:r>
        <w:rPr>
          <w:rFonts w:hint="eastAsia"/>
          <w:color w:val="auto"/>
          <w:lang w:val="en-US" w:eastAsia="zh-CN"/>
        </w:rPr>
        <w:t>收获机械</w:t>
      </w:r>
      <w:r>
        <w:rPr>
          <w:rFonts w:hint="eastAsia"/>
          <w:color w:val="auto"/>
          <w:lang w:eastAsia="zh-CN"/>
        </w:rPr>
        <w:t>，</w:t>
      </w:r>
      <w:r>
        <w:rPr>
          <w:rFonts w:hint="eastAsia" w:cs="宋体"/>
          <w:color w:val="auto"/>
          <w:szCs w:val="21"/>
          <w:lang w:val="en-US" w:eastAsia="zh-CN"/>
        </w:rPr>
        <w:t>前茬作物</w:t>
      </w:r>
      <w:r>
        <w:rPr>
          <w:rFonts w:hint="eastAsia" w:ascii="宋体" w:hAnsi="Times New Roman" w:eastAsia="宋体" w:cs="宋体"/>
          <w:color w:val="auto"/>
          <w:szCs w:val="21"/>
          <w:lang w:val="en-US" w:eastAsia="zh-CN"/>
        </w:rPr>
        <w:t>留茬15cm以下</w:t>
      </w:r>
      <w:r>
        <w:rPr>
          <w:rFonts w:cs="宋体"/>
          <w:color w:val="auto"/>
          <w:szCs w:val="21"/>
        </w:rPr>
        <w:t>，</w:t>
      </w:r>
      <w:r>
        <w:rPr>
          <w:rFonts w:hint="eastAsia" w:cs="宋体"/>
          <w:color w:val="auto"/>
          <w:szCs w:val="21"/>
          <w:lang w:val="en-US" w:eastAsia="zh-CN"/>
        </w:rPr>
        <w:t>秸秆粉碎还田时，</w:t>
      </w:r>
      <w:r>
        <w:rPr>
          <w:rFonts w:hint="eastAsia"/>
          <w:color w:val="auto"/>
          <w:lang w:val="en-US" w:eastAsia="zh-CN"/>
        </w:rPr>
        <w:t>秸秆切段</w:t>
      </w:r>
      <w:r>
        <w:rPr>
          <w:rFonts w:cs="宋体"/>
          <w:color w:val="auto"/>
          <w:szCs w:val="21"/>
        </w:rPr>
        <w:t>小于10cm均匀抛洒在田间，</w:t>
      </w:r>
      <w:r>
        <w:rPr>
          <w:rFonts w:hint="eastAsia"/>
          <w:color w:val="auto"/>
        </w:rPr>
        <w:t>抛洒均匀性不小于80%</w:t>
      </w:r>
      <w:r>
        <w:rPr>
          <w:rFonts w:hint="eastAsia"/>
          <w:color w:val="auto"/>
          <w:lang w:eastAsia="zh-CN"/>
        </w:rPr>
        <w:t>；</w:t>
      </w:r>
      <w:r>
        <w:rPr>
          <w:rFonts w:hint="eastAsia" w:cs="宋体"/>
          <w:color w:val="auto"/>
          <w:szCs w:val="21"/>
        </w:rPr>
        <w:t>土壤墒情合适时，</w:t>
      </w:r>
      <w:r>
        <w:rPr>
          <w:rFonts w:cs="宋体"/>
          <w:color w:val="auto"/>
          <w:szCs w:val="21"/>
        </w:rPr>
        <w:t>采用</w:t>
      </w:r>
      <w:r>
        <w:rPr>
          <w:rFonts w:hint="eastAsia" w:cs="宋体"/>
          <w:color w:val="auto"/>
          <w:szCs w:val="21"/>
          <w:lang w:val="en-US" w:eastAsia="zh-CN"/>
        </w:rPr>
        <w:t>机械深翻或</w:t>
      </w:r>
      <w:r>
        <w:rPr>
          <w:rFonts w:cs="宋体"/>
          <w:color w:val="auto"/>
          <w:szCs w:val="21"/>
        </w:rPr>
        <w:t>旋耕，</w:t>
      </w:r>
      <w:r>
        <w:rPr>
          <w:rFonts w:hint="eastAsia"/>
          <w:color w:val="auto"/>
        </w:rPr>
        <w:t>旋耕深度保持在15cm左右，</w:t>
      </w:r>
      <w:r>
        <w:rPr>
          <w:rFonts w:hint="eastAsia"/>
          <w:color w:val="auto"/>
          <w:lang w:val="en-US" w:eastAsia="zh-CN"/>
        </w:rPr>
        <w:t>深翻</w:t>
      </w:r>
      <w:r>
        <w:rPr>
          <w:rFonts w:hint="eastAsia"/>
          <w:color w:val="auto"/>
        </w:rPr>
        <w:t>埋草率应达到85％以上</w:t>
      </w:r>
      <w:r>
        <w:rPr>
          <w:rFonts w:hint="eastAsia"/>
          <w:color w:val="auto"/>
          <w:lang w:eastAsia="zh-CN"/>
        </w:rPr>
        <w:t>，</w:t>
      </w:r>
      <w:r>
        <w:rPr>
          <w:rFonts w:hint="eastAsia" w:cs="宋体"/>
          <w:color w:val="auto"/>
          <w:szCs w:val="21"/>
          <w:lang w:val="en-US" w:eastAsia="zh-CN"/>
        </w:rPr>
        <w:t>旋耕将秸秆与土壤充分混合混匀或秸秆离田处理。</w:t>
      </w:r>
    </w:p>
    <w:p w14:paraId="2C88D474">
      <w:pPr>
        <w:pStyle w:val="40"/>
        <w:numPr>
          <w:ilvl w:val="1"/>
          <w:numId w:val="0"/>
        </w:numPr>
        <w:spacing w:before="156" w:after="156"/>
        <w:ind w:leftChars="0"/>
        <w:rPr>
          <w:rFonts w:hint="eastAsia" w:hAnsi="Times New Roman" w:cs="Times New Roman"/>
          <w:lang w:val="en-US" w:eastAsia="zh-CN"/>
        </w:rPr>
      </w:pPr>
      <w:r>
        <w:rPr>
          <w:rFonts w:hint="eastAsia" w:hAnsi="Times New Roman" w:cs="Times New Roman"/>
          <w:lang w:val="en-US" w:eastAsia="zh-CN"/>
        </w:rPr>
        <w:t>5.4 播种机选择</w:t>
      </w:r>
    </w:p>
    <w:p w14:paraId="1C72163F">
      <w:pPr>
        <w:pStyle w:val="21"/>
        <w:rPr>
          <w:rFonts w:hint="eastAsia" w:eastAsia="宋体"/>
          <w:color w:val="auto"/>
          <w:lang w:val="en-US" w:eastAsia="zh-CN"/>
        </w:rPr>
      </w:pPr>
      <w:r>
        <w:rPr>
          <w:rFonts w:hint="eastAsia"/>
          <w:color w:val="auto"/>
          <w:lang w:val="en-US" w:eastAsia="zh-CN"/>
        </w:rPr>
        <w:t>选择</w:t>
      </w:r>
      <w:r>
        <w:rPr>
          <w:rFonts w:hint="eastAsia"/>
          <w:color w:val="auto"/>
        </w:rPr>
        <w:t>具有旋耕、开沟、播种、施肥、镇压、喷药装置和功能</w:t>
      </w:r>
      <w:r>
        <w:rPr>
          <w:rFonts w:hint="eastAsia"/>
          <w:color w:val="auto"/>
          <w:lang w:eastAsia="zh-CN"/>
        </w:rPr>
        <w:t>的</w:t>
      </w:r>
      <w:r>
        <w:rPr>
          <w:rFonts w:hint="eastAsia"/>
          <w:color w:val="auto"/>
        </w:rPr>
        <w:t>油菜精量联合直播机</w:t>
      </w:r>
      <w:r>
        <w:rPr>
          <w:rFonts w:hint="eastAsia"/>
          <w:color w:val="auto"/>
          <w:lang w:eastAsia="zh-CN"/>
        </w:rPr>
        <w:t>。</w:t>
      </w:r>
    </w:p>
    <w:p w14:paraId="632620CF">
      <w:pPr>
        <w:pStyle w:val="43"/>
        <w:numPr>
          <w:ilvl w:val="0"/>
          <w:numId w:val="0"/>
        </w:numPr>
        <w:spacing w:before="312" w:after="312"/>
        <w:ind w:leftChars="0"/>
      </w:pPr>
      <w:r>
        <w:rPr>
          <w:rFonts w:hint="eastAsia"/>
          <w:lang w:val="en-US" w:eastAsia="zh-CN"/>
        </w:rPr>
        <w:t>6 机械精量播种</w:t>
      </w:r>
    </w:p>
    <w:p w14:paraId="21365935">
      <w:pPr>
        <w:pStyle w:val="21"/>
        <w:spacing w:beforeLines="50" w:afterLines="50"/>
        <w:ind w:firstLine="0" w:firstLineChars="0"/>
        <w:rPr>
          <w:rFonts w:ascii="黑体" w:eastAsia="黑体"/>
        </w:rPr>
      </w:pPr>
      <w:r>
        <w:rPr>
          <w:rFonts w:hint="eastAsia" w:ascii="黑体" w:eastAsia="黑体"/>
          <w:lang w:val="en-US" w:eastAsia="zh-CN"/>
        </w:rPr>
        <w:t>6</w:t>
      </w:r>
      <w:r>
        <w:rPr>
          <w:rFonts w:hint="eastAsia" w:ascii="黑体" w:eastAsia="黑体"/>
        </w:rPr>
        <w:t>.</w:t>
      </w:r>
      <w:r>
        <w:rPr>
          <w:rFonts w:hint="eastAsia" w:ascii="黑体" w:eastAsia="黑体"/>
          <w:lang w:val="en-US" w:eastAsia="zh-CN"/>
        </w:rPr>
        <w:t>1</w:t>
      </w:r>
      <w:r>
        <w:rPr>
          <w:rFonts w:hint="eastAsia" w:ascii="黑体" w:eastAsia="黑体"/>
        </w:rPr>
        <w:t xml:space="preserve"> 播种期</w:t>
      </w:r>
    </w:p>
    <w:p w14:paraId="21B0647C">
      <w:pPr>
        <w:pStyle w:val="21"/>
        <w:spacing w:beforeLines="50" w:afterLines="50"/>
        <w:rPr>
          <w:rFonts w:ascii="Times New Roman"/>
          <w:color w:val="auto"/>
        </w:rPr>
      </w:pPr>
      <w:r>
        <w:rPr>
          <w:rFonts w:hint="eastAsia" w:ascii="Times New Roman"/>
          <w:color w:val="auto"/>
          <w:lang w:val="en-US" w:eastAsia="zh-CN"/>
        </w:rPr>
        <w:t>适宜播种期为</w:t>
      </w:r>
      <w:r>
        <w:rPr>
          <w:rFonts w:ascii="Times New Roman"/>
          <w:color w:val="auto"/>
        </w:rPr>
        <w:t>9月25日</w:t>
      </w:r>
      <w:r>
        <w:rPr>
          <w:rFonts w:hint="eastAsia" w:ascii="Times New Roman"/>
          <w:color w:val="auto"/>
          <w:lang w:val="en-US" w:eastAsia="zh-CN"/>
        </w:rPr>
        <w:t>至</w:t>
      </w:r>
      <w:r>
        <w:rPr>
          <w:rFonts w:ascii="Times New Roman"/>
          <w:color w:val="auto"/>
        </w:rPr>
        <w:t>10月20日。</w:t>
      </w:r>
    </w:p>
    <w:p w14:paraId="5BA72E79">
      <w:pPr>
        <w:pStyle w:val="21"/>
        <w:spacing w:beforeLines="50" w:afterLines="50"/>
        <w:ind w:firstLine="0" w:firstLineChars="0"/>
        <w:rPr>
          <w:rFonts w:ascii="黑体" w:eastAsia="黑体"/>
        </w:rPr>
      </w:pPr>
      <w:r>
        <w:rPr>
          <w:rFonts w:hint="eastAsia" w:ascii="黑体" w:eastAsia="黑体"/>
          <w:lang w:val="en-US" w:eastAsia="zh-CN"/>
        </w:rPr>
        <w:t>6</w:t>
      </w:r>
      <w:r>
        <w:rPr>
          <w:rFonts w:hint="eastAsia" w:ascii="黑体" w:eastAsia="黑体"/>
        </w:rPr>
        <w:t>.</w:t>
      </w:r>
      <w:r>
        <w:rPr>
          <w:rFonts w:hint="eastAsia" w:ascii="黑体" w:eastAsia="黑体"/>
          <w:lang w:val="en-US" w:eastAsia="zh-CN"/>
        </w:rPr>
        <w:t>2</w:t>
      </w:r>
      <w:r>
        <w:rPr>
          <w:rFonts w:hint="eastAsia" w:ascii="黑体" w:eastAsia="黑体"/>
        </w:rPr>
        <w:t xml:space="preserve"> 播种量</w:t>
      </w:r>
    </w:p>
    <w:p w14:paraId="37967F72">
      <w:pPr>
        <w:pStyle w:val="21"/>
        <w:spacing w:beforeLines="50" w:afterLines="50"/>
        <w:rPr>
          <w:rFonts w:ascii="Times New Roman"/>
          <w:color w:val="auto"/>
        </w:rPr>
      </w:pPr>
      <w:r>
        <w:rPr>
          <w:rFonts w:ascii="Times New Roman"/>
          <w:color w:val="auto"/>
        </w:rPr>
        <w:t>每666.7m</w:t>
      </w:r>
      <w:r>
        <w:rPr>
          <w:rFonts w:ascii="Times New Roman"/>
          <w:color w:val="auto"/>
          <w:vertAlign w:val="superscript"/>
        </w:rPr>
        <w:t>2</w:t>
      </w:r>
      <w:r>
        <w:rPr>
          <w:rFonts w:ascii="Times New Roman"/>
          <w:color w:val="auto"/>
        </w:rPr>
        <w:t>播种300g-</w:t>
      </w:r>
      <w:r>
        <w:rPr>
          <w:rFonts w:hint="eastAsia" w:ascii="Times New Roman"/>
          <w:color w:val="auto"/>
          <w:lang w:val="en-US" w:eastAsia="zh-CN"/>
        </w:rPr>
        <w:t>5</w:t>
      </w:r>
      <w:r>
        <w:rPr>
          <w:rFonts w:ascii="Times New Roman"/>
          <w:color w:val="auto"/>
        </w:rPr>
        <w:t>00g, 播种量随播期的推迟适当增加</w:t>
      </w:r>
      <w:r>
        <w:rPr>
          <w:rFonts w:hint="eastAsia" w:ascii="Times New Roman"/>
          <w:color w:val="auto"/>
        </w:rPr>
        <w:t>；</w:t>
      </w:r>
      <w:r>
        <w:rPr>
          <w:rFonts w:hint="eastAsia" w:ascii="Times New Roman"/>
          <w:color w:val="auto"/>
          <w:lang w:val="en-US" w:eastAsia="zh-CN"/>
        </w:rPr>
        <w:t>秸秆还田量</w:t>
      </w:r>
      <w:r>
        <w:rPr>
          <w:rFonts w:ascii="Times New Roman"/>
          <w:color w:val="auto"/>
        </w:rPr>
        <w:t>大及土壤墒情不好时适当增加播种量</w:t>
      </w:r>
      <w:r>
        <w:rPr>
          <w:rFonts w:hint="eastAsia" w:ascii="Times New Roman"/>
          <w:color w:val="auto"/>
          <w:lang w:eastAsia="zh-CN"/>
        </w:rPr>
        <w:t>，</w:t>
      </w:r>
      <w:r>
        <w:rPr>
          <w:rFonts w:hint="eastAsia" w:ascii="Times New Roman"/>
          <w:color w:val="auto"/>
          <w:lang w:val="en-US" w:eastAsia="zh-CN"/>
        </w:rPr>
        <w:t>一般9月25日-10月5日播种量为300g-350g，10月5日-10月20日播种量为350g-500g</w:t>
      </w:r>
      <w:r>
        <w:rPr>
          <w:rFonts w:ascii="Times New Roman"/>
          <w:color w:val="auto"/>
        </w:rPr>
        <w:t>。</w:t>
      </w:r>
    </w:p>
    <w:p w14:paraId="1CECE827">
      <w:pPr>
        <w:pStyle w:val="21"/>
        <w:spacing w:beforeLines="50" w:afterLines="50"/>
        <w:ind w:firstLine="0" w:firstLineChars="0"/>
        <w:rPr>
          <w:rFonts w:ascii="黑体" w:eastAsia="黑体"/>
        </w:rPr>
      </w:pPr>
      <w:r>
        <w:rPr>
          <w:rFonts w:hint="eastAsia" w:ascii="黑体" w:eastAsia="黑体"/>
          <w:lang w:val="en-US" w:eastAsia="zh-CN"/>
        </w:rPr>
        <w:t>6.3</w:t>
      </w:r>
      <w:r>
        <w:rPr>
          <w:rFonts w:hint="eastAsia" w:ascii="黑体" w:eastAsia="黑体"/>
        </w:rPr>
        <w:t xml:space="preserve"> 播种质量</w:t>
      </w:r>
    </w:p>
    <w:p w14:paraId="476F05C8">
      <w:pPr>
        <w:pStyle w:val="29"/>
        <w:spacing w:beforeLines="50" w:beforeAutospacing="0" w:afterLines="50" w:afterAutospacing="0"/>
        <w:ind w:firstLine="420" w:firstLineChars="200"/>
        <w:jc w:val="both"/>
        <w:rPr>
          <w:rFonts w:hAnsi="Times New Roman" w:cs="Times New Roman"/>
          <w:color w:val="auto"/>
          <w:sz w:val="21"/>
          <w:szCs w:val="20"/>
        </w:rPr>
      </w:pPr>
      <w:r>
        <w:rPr>
          <w:rFonts w:hAnsi="Times New Roman" w:cs="Times New Roman"/>
          <w:color w:val="auto"/>
          <w:sz w:val="21"/>
          <w:szCs w:val="20"/>
        </w:rPr>
        <w:t>调整精量联合</w:t>
      </w:r>
      <w:r>
        <w:rPr>
          <w:rFonts w:hint="eastAsia" w:hAnsi="Times New Roman" w:cs="Times New Roman"/>
          <w:color w:val="auto"/>
          <w:sz w:val="21"/>
          <w:szCs w:val="20"/>
          <w:lang w:val="en-US" w:eastAsia="zh-CN"/>
        </w:rPr>
        <w:t>播种</w:t>
      </w:r>
      <w:r>
        <w:rPr>
          <w:rFonts w:hAnsi="Times New Roman" w:cs="Times New Roman"/>
          <w:color w:val="auto"/>
          <w:sz w:val="21"/>
          <w:szCs w:val="20"/>
        </w:rPr>
        <w:t>机，作业要求按NY/T 2709</w:t>
      </w:r>
      <w:r>
        <w:rPr>
          <w:rFonts w:hint="eastAsia" w:hAnsi="Times New Roman" w:cs="Times New Roman"/>
          <w:color w:val="auto"/>
          <w:sz w:val="21"/>
          <w:szCs w:val="20"/>
        </w:rPr>
        <w:t>和NY/T 2208</w:t>
      </w:r>
      <w:r>
        <w:rPr>
          <w:rFonts w:hAnsi="Times New Roman" w:cs="Times New Roman"/>
          <w:color w:val="auto"/>
          <w:sz w:val="21"/>
          <w:szCs w:val="20"/>
        </w:rPr>
        <w:t>规定执行</w:t>
      </w:r>
      <w:r>
        <w:rPr>
          <w:rFonts w:hint="eastAsia" w:hAnsi="Times New Roman" w:cs="Times New Roman"/>
          <w:color w:val="auto"/>
          <w:sz w:val="21"/>
          <w:szCs w:val="20"/>
        </w:rPr>
        <w:t>。</w:t>
      </w:r>
      <w:r>
        <w:rPr>
          <w:rFonts w:hint="eastAsia" w:hAnsi="Times New Roman" w:cs="Times New Roman"/>
          <w:color w:val="auto"/>
          <w:sz w:val="21"/>
          <w:szCs w:val="20"/>
          <w:lang w:val="en-US" w:eastAsia="zh-CN"/>
        </w:rPr>
        <w:t>种肥药同施</w:t>
      </w:r>
      <w:r>
        <w:rPr>
          <w:rFonts w:hAnsi="Times New Roman" w:cs="Times New Roman"/>
          <w:color w:val="auto"/>
          <w:sz w:val="21"/>
          <w:szCs w:val="20"/>
        </w:rPr>
        <w:t>机具作业时，要</w:t>
      </w:r>
      <w:r>
        <w:rPr>
          <w:rFonts w:hint="eastAsia" w:hAnsi="Times New Roman" w:cs="Times New Roman"/>
          <w:color w:val="auto"/>
          <w:sz w:val="21"/>
          <w:szCs w:val="20"/>
          <w:lang w:val="en-US" w:eastAsia="zh-CN"/>
        </w:rPr>
        <w:t>注意</w:t>
      </w:r>
      <w:r>
        <w:rPr>
          <w:rFonts w:hAnsi="Times New Roman" w:cs="Times New Roman"/>
          <w:color w:val="auto"/>
          <w:sz w:val="21"/>
          <w:szCs w:val="20"/>
        </w:rPr>
        <w:t>观察种、肥</w:t>
      </w:r>
      <w:r>
        <w:rPr>
          <w:rFonts w:hint="eastAsia" w:hAnsi="Times New Roman" w:cs="Times New Roman"/>
          <w:color w:val="auto"/>
          <w:sz w:val="21"/>
          <w:szCs w:val="20"/>
        </w:rPr>
        <w:t>、药箱</w:t>
      </w:r>
      <w:r>
        <w:rPr>
          <w:rFonts w:hAnsi="Times New Roman" w:cs="Times New Roman"/>
          <w:color w:val="auto"/>
          <w:sz w:val="21"/>
          <w:szCs w:val="20"/>
        </w:rPr>
        <w:t>内的种、肥</w:t>
      </w:r>
      <w:r>
        <w:rPr>
          <w:rFonts w:hint="eastAsia" w:hAnsi="Times New Roman" w:cs="Times New Roman"/>
          <w:color w:val="auto"/>
          <w:sz w:val="21"/>
          <w:szCs w:val="20"/>
        </w:rPr>
        <w:t>、药</w:t>
      </w:r>
      <w:r>
        <w:rPr>
          <w:rFonts w:hAnsi="Times New Roman" w:cs="Times New Roman"/>
          <w:color w:val="auto"/>
          <w:sz w:val="21"/>
          <w:szCs w:val="20"/>
        </w:rPr>
        <w:t>存量，</w:t>
      </w:r>
      <w:r>
        <w:rPr>
          <w:rFonts w:hint="eastAsia" w:hAnsi="Times New Roman" w:cs="Times New Roman"/>
          <w:color w:val="auto"/>
          <w:sz w:val="21"/>
          <w:szCs w:val="20"/>
          <w:lang w:val="en-US" w:eastAsia="zh-CN"/>
        </w:rPr>
        <w:t>不足时</w:t>
      </w:r>
      <w:r>
        <w:rPr>
          <w:rFonts w:hAnsi="Times New Roman" w:cs="Times New Roman"/>
          <w:color w:val="auto"/>
          <w:sz w:val="21"/>
          <w:szCs w:val="20"/>
        </w:rPr>
        <w:t>及时添加</w:t>
      </w:r>
      <w:r>
        <w:rPr>
          <w:rFonts w:hint="eastAsia" w:hAnsi="Times New Roman" w:cs="Times New Roman"/>
          <w:color w:val="auto"/>
          <w:sz w:val="21"/>
          <w:szCs w:val="20"/>
        </w:rPr>
        <w:t>。</w:t>
      </w:r>
    </w:p>
    <w:p w14:paraId="5F8A8ACD">
      <w:pPr>
        <w:pStyle w:val="21"/>
        <w:spacing w:beforeLines="50" w:afterLines="50"/>
        <w:ind w:firstLine="0" w:firstLineChars="0"/>
        <w:rPr>
          <w:rFonts w:ascii="黑体" w:eastAsia="黑体"/>
        </w:rPr>
      </w:pPr>
      <w:r>
        <w:rPr>
          <w:rFonts w:hint="eastAsia" w:ascii="黑体" w:eastAsia="黑体"/>
          <w:lang w:val="en-US" w:eastAsia="zh-CN"/>
        </w:rPr>
        <w:t>6.4</w:t>
      </w:r>
      <w:r>
        <w:rPr>
          <w:rFonts w:hint="eastAsia" w:ascii="黑体" w:eastAsia="黑体"/>
        </w:rPr>
        <w:t xml:space="preserve"> </w:t>
      </w:r>
      <w:r>
        <w:rPr>
          <w:rFonts w:hint="eastAsia" w:ascii="黑体" w:eastAsia="黑体"/>
          <w:lang w:val="en-US" w:eastAsia="zh-CN"/>
        </w:rPr>
        <w:t>精量</w:t>
      </w:r>
      <w:r>
        <w:rPr>
          <w:rFonts w:hint="eastAsia" w:ascii="黑体" w:eastAsia="黑体"/>
        </w:rPr>
        <w:t>施肥</w:t>
      </w:r>
    </w:p>
    <w:p w14:paraId="4A8A5AF8">
      <w:pPr>
        <w:pStyle w:val="29"/>
        <w:spacing w:beforeLines="50" w:beforeAutospacing="0" w:afterLines="50" w:afterAutospacing="0"/>
        <w:ind w:firstLine="420" w:firstLineChars="200"/>
        <w:jc w:val="both"/>
        <w:rPr>
          <w:rFonts w:cs="Times New Roman"/>
          <w:color w:val="auto"/>
          <w:kern w:val="2"/>
          <w:sz w:val="21"/>
          <w:szCs w:val="21"/>
        </w:rPr>
      </w:pPr>
      <w:r>
        <w:rPr>
          <w:rFonts w:ascii="宋体" w:hAnsi="Times New Roman" w:eastAsia="宋体" w:cs="Times New Roman"/>
          <w:color w:val="auto"/>
          <w:sz w:val="21"/>
          <w:szCs w:val="20"/>
        </w:rPr>
        <w:t>每</w:t>
      </w:r>
      <w:r>
        <w:rPr>
          <w:rFonts w:hint="eastAsia" w:ascii="宋体" w:hAnsi="Times New Roman" w:eastAsia="宋体" w:cs="Times New Roman"/>
          <w:color w:val="auto"/>
          <w:sz w:val="21"/>
          <w:szCs w:val="20"/>
        </w:rPr>
        <w:t>666.7m</w:t>
      </w:r>
      <w:r>
        <w:rPr>
          <w:rFonts w:hint="eastAsia" w:ascii="宋体" w:hAnsi="Times New Roman" w:eastAsia="宋体" w:cs="Times New Roman"/>
          <w:color w:val="auto"/>
          <w:sz w:val="21"/>
          <w:szCs w:val="20"/>
          <w:vertAlign w:val="superscript"/>
        </w:rPr>
        <w:t>2</w:t>
      </w:r>
      <w:r>
        <w:rPr>
          <w:rFonts w:hint="eastAsia" w:ascii="宋体" w:hAnsi="Times New Roman" w:eastAsia="宋体" w:cs="Times New Roman"/>
          <w:color w:val="auto"/>
          <w:sz w:val="21"/>
          <w:szCs w:val="20"/>
          <w:vertAlign w:val="baseline"/>
          <w:lang w:val="en-US" w:eastAsia="zh-CN"/>
        </w:rPr>
        <w:t>施</w:t>
      </w:r>
      <w:r>
        <w:rPr>
          <w:rFonts w:hAnsi="Times New Roman" w:cs="Times New Roman"/>
          <w:color w:val="auto"/>
          <w:sz w:val="21"/>
          <w:szCs w:val="20"/>
        </w:rPr>
        <w:t>油菜专用缓释肥（</w:t>
      </w:r>
      <w:r>
        <w:rPr>
          <w:rFonts w:hint="eastAsia" w:hAnsi="Times New Roman" w:cs="Times New Roman"/>
          <w:color w:val="auto"/>
          <w:sz w:val="21"/>
          <w:szCs w:val="20"/>
        </w:rPr>
        <w:t>N-P</w:t>
      </w:r>
      <w:r>
        <w:rPr>
          <w:rFonts w:hint="eastAsia" w:hAnsi="Times New Roman" w:cs="Times New Roman"/>
          <w:color w:val="auto"/>
          <w:sz w:val="21"/>
          <w:szCs w:val="20"/>
          <w:vertAlign w:val="subscript"/>
        </w:rPr>
        <w:t>2</w:t>
      </w:r>
      <w:r>
        <w:rPr>
          <w:rFonts w:hint="eastAsia" w:hAnsi="Times New Roman" w:cs="Times New Roman"/>
          <w:color w:val="auto"/>
          <w:sz w:val="21"/>
          <w:szCs w:val="20"/>
        </w:rPr>
        <w:t>O</w:t>
      </w:r>
      <w:r>
        <w:rPr>
          <w:rFonts w:hint="eastAsia" w:hAnsi="Times New Roman" w:cs="Times New Roman"/>
          <w:color w:val="auto"/>
          <w:sz w:val="21"/>
          <w:szCs w:val="20"/>
          <w:vertAlign w:val="subscript"/>
        </w:rPr>
        <w:t>5</w:t>
      </w:r>
      <w:r>
        <w:rPr>
          <w:rFonts w:hint="eastAsia" w:hAnsi="Times New Roman" w:cs="Times New Roman"/>
          <w:color w:val="auto"/>
          <w:sz w:val="21"/>
          <w:szCs w:val="20"/>
        </w:rPr>
        <w:t>-K</w:t>
      </w:r>
      <w:r>
        <w:rPr>
          <w:rFonts w:hint="eastAsia" w:hAnsi="Times New Roman" w:cs="Times New Roman"/>
          <w:color w:val="auto"/>
          <w:sz w:val="21"/>
          <w:szCs w:val="20"/>
          <w:vertAlign w:val="subscript"/>
        </w:rPr>
        <w:t>2</w:t>
      </w:r>
      <w:r>
        <w:rPr>
          <w:rFonts w:hint="eastAsia" w:hAnsi="Times New Roman" w:cs="Times New Roman"/>
          <w:color w:val="auto"/>
          <w:sz w:val="21"/>
          <w:szCs w:val="20"/>
        </w:rPr>
        <w:t xml:space="preserve">O-中微量元素 = </w:t>
      </w:r>
      <w:r>
        <w:rPr>
          <w:rFonts w:hAnsi="Times New Roman" w:cs="Times New Roman"/>
          <w:color w:val="auto"/>
          <w:sz w:val="21"/>
          <w:szCs w:val="20"/>
        </w:rPr>
        <w:t>25-7-8</w:t>
      </w:r>
      <w:r>
        <w:rPr>
          <w:rFonts w:hint="eastAsia" w:hAnsi="Times New Roman" w:cs="Times New Roman"/>
          <w:color w:val="auto"/>
          <w:sz w:val="21"/>
          <w:szCs w:val="20"/>
        </w:rPr>
        <w:t>-5</w:t>
      </w:r>
      <w:r>
        <w:rPr>
          <w:rFonts w:hAnsi="Times New Roman" w:cs="Times New Roman"/>
          <w:color w:val="auto"/>
          <w:sz w:val="21"/>
          <w:szCs w:val="20"/>
        </w:rPr>
        <w:t>）</w:t>
      </w:r>
      <w:r>
        <w:rPr>
          <w:rFonts w:hint="eastAsia" w:hAnsi="Times New Roman" w:cs="Times New Roman"/>
          <w:color w:val="auto"/>
          <w:sz w:val="21"/>
          <w:szCs w:val="20"/>
          <w:lang w:val="en-US" w:eastAsia="zh-CN"/>
        </w:rPr>
        <w:t>4</w:t>
      </w:r>
      <w:r>
        <w:rPr>
          <w:rFonts w:hint="eastAsia" w:hAnsi="Times New Roman" w:cs="Times New Roman"/>
          <w:color w:val="auto"/>
          <w:sz w:val="21"/>
          <w:szCs w:val="20"/>
        </w:rPr>
        <w:t>0Kg-</w:t>
      </w:r>
      <w:r>
        <w:rPr>
          <w:rFonts w:hint="eastAsia" w:hAnsi="Times New Roman" w:cs="Times New Roman"/>
          <w:color w:val="auto"/>
          <w:sz w:val="21"/>
          <w:szCs w:val="20"/>
          <w:lang w:val="en-US" w:eastAsia="zh-CN"/>
        </w:rPr>
        <w:t>5</w:t>
      </w:r>
      <w:r>
        <w:rPr>
          <w:rFonts w:hint="eastAsia" w:hAnsi="Times New Roman" w:cs="Times New Roman"/>
          <w:color w:val="auto"/>
          <w:sz w:val="21"/>
          <w:szCs w:val="20"/>
        </w:rPr>
        <w:t>0Kg,播种时，一次性基施，</w:t>
      </w:r>
      <w:r>
        <w:rPr>
          <w:rFonts w:hint="eastAsia" w:hAnsi="Times New Roman" w:cs="Times New Roman"/>
          <w:color w:val="auto"/>
          <w:sz w:val="21"/>
          <w:szCs w:val="20"/>
          <w:lang w:val="en-US" w:eastAsia="zh-CN"/>
        </w:rPr>
        <w:t>施肥深度10cm左右</w:t>
      </w:r>
      <w:r>
        <w:rPr>
          <w:rFonts w:hint="eastAsia" w:hAnsi="Times New Roman" w:cs="Times New Roman"/>
          <w:color w:val="auto"/>
          <w:sz w:val="21"/>
          <w:szCs w:val="20"/>
        </w:rPr>
        <w:t>。缓释肥质量</w:t>
      </w:r>
      <w:r>
        <w:rPr>
          <w:rFonts w:hint="eastAsia" w:hAnsi="Times New Roman" w:cs="Times New Roman"/>
          <w:color w:val="auto"/>
          <w:sz w:val="21"/>
          <w:szCs w:val="20"/>
          <w:lang w:val="en-US" w:eastAsia="zh-CN"/>
        </w:rPr>
        <w:t>应</w:t>
      </w:r>
      <w:r>
        <w:rPr>
          <w:rFonts w:hint="eastAsia" w:hAnsi="Times New Roman" w:cs="Times New Roman"/>
          <w:color w:val="auto"/>
          <w:sz w:val="21"/>
          <w:szCs w:val="20"/>
        </w:rPr>
        <w:t>符合</w:t>
      </w:r>
      <w:r>
        <w:rPr>
          <w:rFonts w:cs="Times New Roman"/>
          <w:color w:val="auto"/>
          <w:kern w:val="2"/>
          <w:sz w:val="21"/>
          <w:szCs w:val="21"/>
        </w:rPr>
        <w:t>GB/T 23348</w:t>
      </w:r>
      <w:r>
        <w:rPr>
          <w:rFonts w:hint="eastAsia" w:cs="Times New Roman"/>
          <w:color w:val="auto"/>
          <w:kern w:val="2"/>
          <w:sz w:val="21"/>
          <w:szCs w:val="21"/>
          <w:lang w:eastAsia="zh-CN"/>
        </w:rPr>
        <w:t>的</w:t>
      </w:r>
      <w:r>
        <w:rPr>
          <w:rFonts w:hint="eastAsia" w:cs="Times New Roman"/>
          <w:color w:val="auto"/>
          <w:kern w:val="2"/>
          <w:sz w:val="21"/>
          <w:szCs w:val="21"/>
          <w:lang w:val="en-US" w:eastAsia="zh-CN"/>
        </w:rPr>
        <w:t>要求，</w:t>
      </w:r>
      <w:r>
        <w:rPr>
          <w:rFonts w:hint="eastAsia" w:cs="Times New Roman"/>
          <w:color w:val="auto"/>
          <w:kern w:val="2"/>
          <w:sz w:val="21"/>
          <w:szCs w:val="21"/>
        </w:rPr>
        <w:t>中微量元素</w:t>
      </w:r>
      <w:r>
        <w:rPr>
          <w:rFonts w:hint="eastAsia" w:cs="Times New Roman"/>
          <w:color w:val="auto"/>
          <w:kern w:val="2"/>
          <w:sz w:val="21"/>
          <w:szCs w:val="21"/>
          <w:lang w:val="en-US" w:eastAsia="zh-CN"/>
        </w:rPr>
        <w:t>应</w:t>
      </w:r>
      <w:r>
        <w:rPr>
          <w:rFonts w:hint="eastAsia" w:cs="Times New Roman"/>
          <w:color w:val="auto"/>
          <w:kern w:val="2"/>
          <w:sz w:val="21"/>
          <w:szCs w:val="21"/>
        </w:rPr>
        <w:t>符合GB/T</w:t>
      </w:r>
      <w:r>
        <w:rPr>
          <w:rFonts w:hint="eastAsia" w:cs="Times New Roman"/>
          <w:color w:val="auto"/>
          <w:kern w:val="2"/>
          <w:sz w:val="21"/>
          <w:szCs w:val="21"/>
          <w:lang w:val="en-US" w:eastAsia="zh-CN"/>
        </w:rPr>
        <w:t xml:space="preserve"> </w:t>
      </w:r>
      <w:r>
        <w:rPr>
          <w:rFonts w:hint="eastAsia" w:cs="Times New Roman"/>
          <w:color w:val="auto"/>
          <w:kern w:val="2"/>
          <w:sz w:val="21"/>
          <w:szCs w:val="21"/>
        </w:rPr>
        <w:t>34319</w:t>
      </w:r>
      <w:r>
        <w:rPr>
          <w:rFonts w:hint="eastAsia" w:cs="Times New Roman"/>
          <w:color w:val="auto"/>
          <w:kern w:val="2"/>
          <w:sz w:val="21"/>
          <w:szCs w:val="21"/>
          <w:lang w:eastAsia="zh-CN"/>
        </w:rPr>
        <w:t>的</w:t>
      </w:r>
      <w:r>
        <w:rPr>
          <w:rFonts w:hint="eastAsia" w:cs="Times New Roman"/>
          <w:color w:val="auto"/>
          <w:kern w:val="2"/>
          <w:sz w:val="21"/>
          <w:szCs w:val="21"/>
          <w:lang w:val="en-US" w:eastAsia="zh-CN"/>
        </w:rPr>
        <w:t>要求</w:t>
      </w:r>
      <w:r>
        <w:rPr>
          <w:rFonts w:hint="eastAsia" w:cs="Times New Roman"/>
          <w:color w:val="auto"/>
          <w:kern w:val="2"/>
          <w:sz w:val="21"/>
          <w:szCs w:val="21"/>
        </w:rPr>
        <w:t>。施肥按NY/T 496和NY/T 1868 执行。</w:t>
      </w:r>
    </w:p>
    <w:p w14:paraId="7FC28C31">
      <w:pPr>
        <w:pStyle w:val="21"/>
        <w:spacing w:beforeLines="50" w:afterLines="50"/>
        <w:ind w:firstLine="0" w:firstLineChars="0"/>
        <w:rPr>
          <w:rFonts w:ascii="黑体" w:eastAsia="黑体"/>
        </w:rPr>
      </w:pPr>
      <w:r>
        <w:rPr>
          <w:rFonts w:hint="eastAsia" w:ascii="黑体" w:eastAsia="黑体"/>
          <w:lang w:val="en-US" w:eastAsia="zh-CN"/>
        </w:rPr>
        <w:t>6.5</w:t>
      </w:r>
      <w:r>
        <w:rPr>
          <w:rFonts w:hint="eastAsia" w:ascii="黑体" w:eastAsia="黑体"/>
        </w:rPr>
        <w:t xml:space="preserve"> 封闭除草</w:t>
      </w:r>
    </w:p>
    <w:p w14:paraId="7D09AD2A">
      <w:pPr>
        <w:pStyle w:val="29"/>
        <w:spacing w:beforeLines="50" w:beforeAutospacing="0" w:afterLines="50" w:afterAutospacing="0"/>
        <w:ind w:firstLine="420" w:firstLineChars="200"/>
        <w:jc w:val="both"/>
        <w:rPr>
          <w:rFonts w:hint="eastAsia" w:hAnsi="Times New Roman" w:cs="Times New Roman"/>
          <w:sz w:val="21"/>
          <w:szCs w:val="20"/>
        </w:rPr>
      </w:pPr>
      <w:r>
        <w:rPr>
          <w:rFonts w:hint="eastAsia" w:hAnsi="Times New Roman" w:cs="Times New Roman"/>
          <w:sz w:val="21"/>
          <w:szCs w:val="20"/>
        </w:rPr>
        <w:t>播种的同时</w:t>
      </w:r>
      <w:r>
        <w:rPr>
          <w:rFonts w:hAnsi="Times New Roman" w:cs="Times New Roman"/>
          <w:sz w:val="21"/>
          <w:szCs w:val="20"/>
        </w:rPr>
        <w:t>，每</w:t>
      </w:r>
      <w:r>
        <w:rPr>
          <w:rFonts w:hint="eastAsia" w:hAnsi="Times New Roman" w:cs="Times New Roman"/>
          <w:sz w:val="21"/>
          <w:szCs w:val="20"/>
        </w:rPr>
        <w:t>666.7m</w:t>
      </w:r>
      <w:r>
        <w:rPr>
          <w:rFonts w:hint="eastAsia" w:hAnsi="Times New Roman" w:cs="Times New Roman"/>
          <w:sz w:val="21"/>
          <w:szCs w:val="20"/>
          <w:vertAlign w:val="superscript"/>
        </w:rPr>
        <w:t>2</w:t>
      </w:r>
      <w:r>
        <w:rPr>
          <w:rFonts w:hint="eastAsia" w:hAnsi="Times New Roman" w:cs="Times New Roman"/>
          <w:sz w:val="21"/>
          <w:szCs w:val="20"/>
          <w:vertAlign w:val="baseline"/>
          <w:lang w:val="en-US" w:eastAsia="zh-CN"/>
        </w:rPr>
        <w:t>用</w:t>
      </w:r>
      <w:r>
        <w:rPr>
          <w:rFonts w:hAnsi="Times New Roman" w:cs="Times New Roman"/>
          <w:sz w:val="21"/>
          <w:szCs w:val="20"/>
        </w:rPr>
        <w:t>96%精异丙甲草胺（金都尔）50</w:t>
      </w:r>
      <w:r>
        <w:rPr>
          <w:rFonts w:hint="eastAsia" w:hAnsi="Times New Roman" w:cs="Times New Roman"/>
          <w:sz w:val="21"/>
          <w:szCs w:val="20"/>
        </w:rPr>
        <w:t>ml</w:t>
      </w:r>
      <w:r>
        <w:rPr>
          <w:rFonts w:hAnsi="Times New Roman" w:cs="Times New Roman"/>
          <w:sz w:val="21"/>
          <w:szCs w:val="20"/>
        </w:rPr>
        <w:t>–80m</w:t>
      </w:r>
      <w:r>
        <w:rPr>
          <w:rFonts w:hint="eastAsia" w:hAnsi="Times New Roman" w:cs="Times New Roman"/>
          <w:sz w:val="21"/>
          <w:szCs w:val="20"/>
        </w:rPr>
        <w:t>l</w:t>
      </w:r>
      <w:r>
        <w:rPr>
          <w:rFonts w:hint="eastAsia" w:hAnsi="Times New Roman" w:cs="Times New Roman"/>
          <w:sz w:val="21"/>
          <w:szCs w:val="20"/>
          <w:lang w:val="en-US" w:eastAsia="zh-CN"/>
        </w:rPr>
        <w:t>或</w:t>
      </w:r>
      <w:r>
        <w:rPr>
          <w:rFonts w:hAnsi="Times New Roman" w:cs="Times New Roman"/>
          <w:sz w:val="21"/>
          <w:szCs w:val="20"/>
        </w:rPr>
        <w:t>99%乙草胺乳油50</w:t>
      </w:r>
      <w:r>
        <w:rPr>
          <w:rFonts w:hint="eastAsia" w:hAnsi="Times New Roman" w:cs="Times New Roman"/>
          <w:sz w:val="21"/>
          <w:szCs w:val="20"/>
        </w:rPr>
        <w:t>ml</w:t>
      </w:r>
      <w:r>
        <w:rPr>
          <w:rFonts w:hAnsi="Times New Roman" w:cs="Times New Roman"/>
          <w:sz w:val="21"/>
          <w:szCs w:val="20"/>
        </w:rPr>
        <w:t>–80m</w:t>
      </w:r>
      <w:r>
        <w:rPr>
          <w:rFonts w:hint="eastAsia" w:hAnsi="Times New Roman" w:cs="Times New Roman"/>
          <w:sz w:val="21"/>
          <w:szCs w:val="20"/>
        </w:rPr>
        <w:t>l兑水50Kg</w:t>
      </w:r>
      <w:r>
        <w:rPr>
          <w:rFonts w:hAnsi="Times New Roman" w:cs="Times New Roman"/>
          <w:sz w:val="21"/>
          <w:szCs w:val="20"/>
        </w:rPr>
        <w:t>喷施</w:t>
      </w:r>
      <w:r>
        <w:rPr>
          <w:rFonts w:hint="eastAsia" w:hAnsi="Times New Roman" w:cs="Times New Roman"/>
          <w:sz w:val="21"/>
          <w:szCs w:val="20"/>
        </w:rPr>
        <w:t>,封闭除草。农药使用按GB/T 8321</w:t>
      </w:r>
      <w:r>
        <w:rPr>
          <w:rFonts w:hint="eastAsia" w:hAnsi="Times New Roman" w:cs="Times New Roman"/>
          <w:sz w:val="21"/>
          <w:szCs w:val="20"/>
          <w:lang w:eastAsia="zh-CN"/>
        </w:rPr>
        <w:t>（</w:t>
      </w:r>
      <w:r>
        <w:rPr>
          <w:rFonts w:hint="eastAsia" w:hAnsi="Times New Roman" w:cs="Times New Roman"/>
          <w:sz w:val="21"/>
          <w:szCs w:val="20"/>
          <w:lang w:val="en-US" w:eastAsia="zh-CN"/>
        </w:rPr>
        <w:t>所有部分</w:t>
      </w:r>
      <w:r>
        <w:rPr>
          <w:rFonts w:hint="eastAsia" w:hAnsi="Times New Roman" w:cs="Times New Roman"/>
          <w:sz w:val="21"/>
          <w:szCs w:val="20"/>
          <w:lang w:eastAsia="zh-CN"/>
        </w:rPr>
        <w:t>）</w:t>
      </w:r>
      <w:r>
        <w:rPr>
          <w:rFonts w:hint="eastAsia" w:hAnsi="Times New Roman" w:cs="Times New Roman"/>
          <w:sz w:val="21"/>
          <w:szCs w:val="20"/>
        </w:rPr>
        <w:t>执行。</w:t>
      </w:r>
    </w:p>
    <w:p w14:paraId="299DB205">
      <w:pPr>
        <w:pStyle w:val="29"/>
        <w:spacing w:beforeLines="50" w:beforeAutospacing="0" w:afterLines="50" w:afterAutospacing="0"/>
        <w:jc w:val="both"/>
        <w:rPr>
          <w:rFonts w:ascii="黑体" w:hAnsi="黑体" w:eastAsia="黑体" w:cs="Times New Roman"/>
          <w:kern w:val="2"/>
          <w:sz w:val="21"/>
          <w:szCs w:val="21"/>
        </w:rPr>
      </w:pPr>
      <w:r>
        <w:rPr>
          <w:rFonts w:hint="eastAsia" w:ascii="黑体" w:hAnsi="黑体" w:eastAsia="黑体" w:cs="Times New Roman"/>
          <w:kern w:val="2"/>
          <w:sz w:val="21"/>
          <w:szCs w:val="21"/>
          <w:lang w:val="en-US" w:eastAsia="zh-CN"/>
        </w:rPr>
        <w:t>7</w:t>
      </w:r>
      <w:r>
        <w:rPr>
          <w:rFonts w:hint="eastAsia" w:ascii="黑体" w:hAnsi="黑体" w:eastAsia="黑体" w:cs="Times New Roman"/>
          <w:kern w:val="2"/>
          <w:sz w:val="21"/>
          <w:szCs w:val="21"/>
        </w:rPr>
        <w:t xml:space="preserve"> 田间管理</w:t>
      </w:r>
    </w:p>
    <w:p w14:paraId="3D0AE5FC">
      <w:pPr>
        <w:autoSpaceDE w:val="0"/>
        <w:autoSpaceDN w:val="0"/>
        <w:adjustRightInd w:val="0"/>
        <w:spacing w:beforeLines="50" w:afterLines="50"/>
        <w:jc w:val="left"/>
        <w:rPr>
          <w:rFonts w:ascii="黑体" w:hAnsi="黑体" w:eastAsia="黑体"/>
          <w:szCs w:val="21"/>
        </w:rPr>
      </w:pPr>
      <w:r>
        <w:rPr>
          <w:rFonts w:hint="eastAsia" w:ascii="黑体" w:hAnsi="黑体" w:eastAsia="黑体"/>
          <w:szCs w:val="21"/>
          <w:lang w:val="en-US" w:eastAsia="zh-CN"/>
        </w:rPr>
        <w:t>7</w:t>
      </w:r>
      <w:r>
        <w:rPr>
          <w:rFonts w:hint="eastAsia" w:ascii="黑体" w:hAnsi="黑体" w:eastAsia="黑体"/>
          <w:szCs w:val="21"/>
        </w:rPr>
        <w:t>.1 开沟排灌</w:t>
      </w:r>
    </w:p>
    <w:p w14:paraId="3F2DD0A8">
      <w:pPr>
        <w:pStyle w:val="29"/>
        <w:spacing w:beforeLines="50" w:beforeAutospacing="0" w:afterLines="50" w:afterAutospacing="0"/>
        <w:ind w:firstLine="420" w:firstLineChars="200"/>
        <w:jc w:val="both"/>
        <w:rPr>
          <w:rFonts w:hint="eastAsia" w:ascii="宋体" w:hAnsi="Times New Roman" w:eastAsia="宋体" w:cs="Times New Roman"/>
          <w:sz w:val="21"/>
          <w:szCs w:val="20"/>
          <w:lang w:val="en-US" w:eastAsia="zh-CN"/>
        </w:rPr>
      </w:pPr>
      <w:r>
        <w:rPr>
          <w:rFonts w:hint="eastAsia" w:ascii="宋体" w:hAnsi="Times New Roman" w:eastAsia="宋体" w:cs="Times New Roman"/>
          <w:sz w:val="21"/>
          <w:szCs w:val="20"/>
          <w:lang w:val="en-US" w:eastAsia="zh-CN"/>
        </w:rPr>
        <w:t>田间“三沟”配套，沟沟相通，厢沟宽25-30cm，深20cm左右；腰沟宽30-35cm，深25cm左右；围沟宽35-40cm，深35cm左右。低洼田沟要深，厢要窄。油菜生长期间要保持“三沟”畅通，做到雨雪后田间无积水。</w:t>
      </w:r>
    </w:p>
    <w:p w14:paraId="68A9328D">
      <w:pPr>
        <w:autoSpaceDE w:val="0"/>
        <w:autoSpaceDN w:val="0"/>
        <w:adjustRightInd w:val="0"/>
        <w:spacing w:beforeLines="50" w:afterLines="50"/>
        <w:jc w:val="left"/>
        <w:rPr>
          <w:rFonts w:hint="eastAsia" w:ascii="黑体" w:hAnsi="黑体" w:eastAsia="黑体" w:cs="Times New Roman"/>
          <w:szCs w:val="21"/>
          <w:lang w:val="en-US" w:eastAsia="zh-CN"/>
        </w:rPr>
      </w:pPr>
      <w:r>
        <w:rPr>
          <w:rFonts w:hint="eastAsia" w:ascii="黑体" w:hAnsi="黑体" w:eastAsia="黑体" w:cs="Times New Roman"/>
          <w:szCs w:val="21"/>
          <w:lang w:val="en-US" w:eastAsia="zh-CN"/>
        </w:rPr>
        <w:t>7.2 促控结合，壮苗越冬</w:t>
      </w:r>
    </w:p>
    <w:p w14:paraId="69C8D423">
      <w:pPr>
        <w:keepNext w:val="0"/>
        <w:keepLines w:val="0"/>
        <w:pageBreakBefore w:val="0"/>
        <w:widowControl w:val="0"/>
        <w:kinsoku/>
        <w:wordWrap/>
        <w:overflowPunct/>
        <w:topLinePunct w:val="0"/>
        <w:autoSpaceDE w:val="0"/>
        <w:autoSpaceDN w:val="0"/>
        <w:bidi w:val="0"/>
        <w:adjustRightInd w:val="0"/>
        <w:snapToGrid/>
        <w:spacing w:beforeLines="50" w:afterLines="50"/>
        <w:ind w:firstLine="420" w:firstLineChars="200"/>
        <w:jc w:val="left"/>
        <w:textAlignment w:val="auto"/>
        <w:rPr>
          <w:rFonts w:hint="default" w:ascii="宋体" w:hAnsi="Times New Roman" w:eastAsia="宋体" w:cs="Times New Roman"/>
          <w:color w:val="auto"/>
          <w:kern w:val="0"/>
          <w:sz w:val="21"/>
          <w:szCs w:val="20"/>
          <w:lang w:val="en-US" w:eastAsia="zh-CN" w:bidi="ar-SA"/>
        </w:rPr>
      </w:pPr>
      <w:r>
        <w:rPr>
          <w:rFonts w:hint="eastAsia" w:ascii="宋体" w:hAnsi="Times New Roman" w:eastAsia="宋体" w:cs="Times New Roman"/>
          <w:color w:val="auto"/>
          <w:kern w:val="0"/>
          <w:sz w:val="21"/>
          <w:szCs w:val="20"/>
          <w:lang w:val="en-US" w:eastAsia="zh-CN" w:bidi="ar-SA"/>
        </w:rPr>
        <w:t>对于早播旺长的油菜在5-6叶期，</w:t>
      </w:r>
      <w:r>
        <w:rPr>
          <w:rFonts w:ascii="宋体" w:cs="宋体"/>
          <w:color w:val="auto"/>
          <w:kern w:val="0"/>
          <w:szCs w:val="21"/>
        </w:rPr>
        <w:t>每</w:t>
      </w:r>
      <w:r>
        <w:rPr>
          <w:rFonts w:hint="eastAsia" w:ascii="宋体" w:cs="宋体"/>
          <w:color w:val="auto"/>
          <w:kern w:val="0"/>
          <w:szCs w:val="21"/>
        </w:rPr>
        <w:t>666.7m</w:t>
      </w:r>
      <w:r>
        <w:rPr>
          <w:rFonts w:hint="eastAsia" w:ascii="宋体" w:cs="宋体"/>
          <w:color w:val="auto"/>
          <w:kern w:val="0"/>
          <w:szCs w:val="21"/>
          <w:vertAlign w:val="superscript"/>
        </w:rPr>
        <w:t>2</w:t>
      </w:r>
      <w:r>
        <w:rPr>
          <w:rFonts w:hint="eastAsia" w:ascii="宋体" w:hAnsi="Times New Roman" w:eastAsia="宋体" w:cs="Times New Roman"/>
          <w:color w:val="auto"/>
          <w:kern w:val="0"/>
          <w:sz w:val="21"/>
          <w:szCs w:val="20"/>
          <w:lang w:val="en-US" w:eastAsia="zh-CN" w:bidi="ar-SA"/>
        </w:rPr>
        <w:t>喷施15%多效唑30-50g或5%烯效唑30-40g，采用无人机喷施时，</w:t>
      </w:r>
      <w:r>
        <w:rPr>
          <w:rFonts w:ascii="宋体" w:cs="宋体"/>
          <w:color w:val="auto"/>
          <w:kern w:val="0"/>
          <w:szCs w:val="21"/>
        </w:rPr>
        <w:t>每</w:t>
      </w:r>
      <w:r>
        <w:rPr>
          <w:rFonts w:hint="eastAsia" w:ascii="宋体" w:cs="宋体"/>
          <w:color w:val="auto"/>
          <w:kern w:val="0"/>
          <w:szCs w:val="21"/>
        </w:rPr>
        <w:t>666.7m</w:t>
      </w:r>
      <w:r>
        <w:rPr>
          <w:rFonts w:hint="eastAsia" w:ascii="宋体" w:cs="宋体"/>
          <w:color w:val="auto"/>
          <w:kern w:val="0"/>
          <w:szCs w:val="21"/>
          <w:vertAlign w:val="superscript"/>
        </w:rPr>
        <w:t>2</w:t>
      </w:r>
      <w:r>
        <w:rPr>
          <w:rFonts w:hint="eastAsia" w:ascii="宋体" w:hAnsi="Times New Roman" w:eastAsia="宋体" w:cs="Times New Roman"/>
          <w:color w:val="auto"/>
          <w:kern w:val="0"/>
          <w:sz w:val="21"/>
          <w:szCs w:val="20"/>
          <w:lang w:val="en-US" w:eastAsia="zh-CN" w:bidi="ar-SA"/>
        </w:rPr>
        <w:t>喷施溶液不少于6L；</w:t>
      </w:r>
      <w:r>
        <w:rPr>
          <w:rFonts w:hint="eastAsia" w:ascii="宋体" w:cs="Times New Roman"/>
          <w:color w:val="auto"/>
          <w:kern w:val="0"/>
          <w:sz w:val="21"/>
          <w:szCs w:val="20"/>
          <w:lang w:val="en-US" w:eastAsia="zh-CN" w:bidi="ar-SA"/>
        </w:rPr>
        <w:t>小苗、弱苗及时追肥，油菜3-5叶期每</w:t>
      </w:r>
      <w:r>
        <w:rPr>
          <w:rFonts w:hint="eastAsia" w:ascii="宋体" w:hAnsi="Times New Roman" w:eastAsia="宋体" w:cs="Times New Roman"/>
          <w:color w:val="auto"/>
          <w:kern w:val="0"/>
          <w:sz w:val="21"/>
          <w:szCs w:val="20"/>
          <w:lang w:val="en-US" w:eastAsia="zh-CN" w:bidi="ar-SA"/>
        </w:rPr>
        <w:t>666.7m</w:t>
      </w:r>
      <w:r>
        <w:rPr>
          <w:rFonts w:hint="eastAsia" w:ascii="宋体" w:hAnsi="Times New Roman" w:eastAsia="宋体" w:cs="Times New Roman"/>
          <w:color w:val="auto"/>
          <w:kern w:val="0"/>
          <w:sz w:val="21"/>
          <w:szCs w:val="20"/>
          <w:vertAlign w:val="superscript"/>
          <w:lang w:val="en-US" w:eastAsia="zh-CN" w:bidi="ar-SA"/>
        </w:rPr>
        <w:t>2</w:t>
      </w:r>
      <w:r>
        <w:rPr>
          <w:rFonts w:hint="eastAsia" w:ascii="宋体" w:cs="Times New Roman"/>
          <w:color w:val="auto"/>
          <w:kern w:val="0"/>
          <w:sz w:val="21"/>
          <w:szCs w:val="20"/>
          <w:vertAlign w:val="baseline"/>
          <w:lang w:val="en-US" w:eastAsia="zh-CN" w:bidi="ar-SA"/>
        </w:rPr>
        <w:t>追施尿素</w:t>
      </w:r>
      <w:r>
        <w:rPr>
          <w:rFonts w:hint="eastAsia" w:ascii="宋体" w:hAnsi="Times New Roman" w:eastAsia="宋体" w:cs="Times New Roman"/>
          <w:color w:val="auto"/>
          <w:kern w:val="0"/>
          <w:sz w:val="21"/>
          <w:szCs w:val="20"/>
          <w:lang w:val="en-US" w:eastAsia="zh-CN" w:bidi="ar-SA"/>
        </w:rPr>
        <w:t>5-7.5Kg</w:t>
      </w:r>
      <w:r>
        <w:rPr>
          <w:rFonts w:hint="eastAsia" w:ascii="宋体" w:cs="Times New Roman"/>
          <w:color w:val="auto"/>
          <w:kern w:val="0"/>
          <w:sz w:val="21"/>
          <w:szCs w:val="20"/>
          <w:lang w:val="en-US" w:eastAsia="zh-CN" w:bidi="ar-SA"/>
        </w:rPr>
        <w:t>，</w:t>
      </w:r>
      <w:r>
        <w:rPr>
          <w:rFonts w:hint="eastAsia" w:ascii="宋体" w:hAnsi="Times New Roman" w:eastAsia="宋体" w:cs="Times New Roman"/>
          <w:color w:val="auto"/>
          <w:kern w:val="0"/>
          <w:sz w:val="21"/>
          <w:szCs w:val="20"/>
          <w:lang w:val="en-US" w:eastAsia="zh-CN" w:bidi="ar-SA"/>
        </w:rPr>
        <w:t>促进生长。</w:t>
      </w:r>
    </w:p>
    <w:p w14:paraId="432F28C4">
      <w:pPr>
        <w:adjustRightInd w:val="0"/>
        <w:snapToGrid w:val="0"/>
        <w:spacing w:before="50" w:after="50"/>
        <w:rPr>
          <w:rFonts w:hint="default" w:ascii="黑体" w:hAnsi="黑体" w:eastAsia="黑体"/>
          <w:szCs w:val="21"/>
          <w:lang w:val="en-US" w:eastAsia="zh-CN"/>
        </w:rPr>
      </w:pPr>
      <w:r>
        <w:rPr>
          <w:rFonts w:hint="eastAsia" w:ascii="黑体" w:hAnsi="黑体" w:eastAsia="黑体"/>
          <w:szCs w:val="21"/>
          <w:lang w:val="en-US" w:eastAsia="zh-CN"/>
        </w:rPr>
        <w:t>7</w:t>
      </w:r>
      <w:r>
        <w:rPr>
          <w:rFonts w:hint="eastAsia" w:ascii="黑体" w:hAnsi="黑体" w:eastAsia="黑体"/>
          <w:szCs w:val="21"/>
        </w:rPr>
        <w:t xml:space="preserve">.3  </w:t>
      </w:r>
      <w:r>
        <w:rPr>
          <w:rFonts w:hint="eastAsia" w:ascii="黑体" w:hAnsi="黑体" w:eastAsia="黑体"/>
          <w:szCs w:val="21"/>
          <w:lang w:val="en-US" w:eastAsia="zh-CN"/>
        </w:rPr>
        <w:t>病虫草害防治</w:t>
      </w:r>
    </w:p>
    <w:p w14:paraId="3C2513FF">
      <w:pPr>
        <w:keepNext w:val="0"/>
        <w:keepLines w:val="0"/>
        <w:pageBreakBefore w:val="0"/>
        <w:widowControl w:val="0"/>
        <w:kinsoku/>
        <w:wordWrap/>
        <w:overflowPunct/>
        <w:topLinePunct w:val="0"/>
        <w:autoSpaceDE/>
        <w:autoSpaceDN/>
        <w:bidi w:val="0"/>
        <w:adjustRightInd w:val="0"/>
        <w:snapToGrid w:val="0"/>
        <w:spacing w:before="157" w:beforeLines="50" w:after="157" w:afterLines="50"/>
        <w:textAlignment w:val="auto"/>
        <w:rPr>
          <w:rFonts w:hint="eastAsia" w:ascii="黑体" w:hAnsi="黑体" w:eastAsia="黑体" w:cs="Times New Roman"/>
          <w:szCs w:val="21"/>
          <w:lang w:val="en-US" w:eastAsia="zh-CN"/>
        </w:rPr>
      </w:pPr>
      <w:r>
        <w:rPr>
          <w:rFonts w:hint="eastAsia" w:ascii="黑体" w:hAnsi="黑体" w:eastAsia="黑体" w:cs="Times New Roman"/>
          <w:szCs w:val="21"/>
          <w:lang w:val="en-US" w:eastAsia="zh-CN"/>
        </w:rPr>
        <w:t>7.3.1苗期、青角期病虫草害防治</w:t>
      </w:r>
    </w:p>
    <w:p w14:paraId="0E4E809A">
      <w:pPr>
        <w:keepNext w:val="0"/>
        <w:keepLines w:val="0"/>
        <w:pageBreakBefore w:val="0"/>
        <w:widowControl w:val="0"/>
        <w:kinsoku/>
        <w:wordWrap/>
        <w:overflowPunct/>
        <w:topLinePunct w:val="0"/>
        <w:bidi w:val="0"/>
        <w:adjustRightInd w:val="0"/>
        <w:snapToGrid w:val="0"/>
        <w:ind w:firstLine="420" w:firstLineChars="200"/>
        <w:textAlignment w:val="auto"/>
        <w:rPr>
          <w:rFonts w:ascii="宋体" w:hAnsi="宋体"/>
          <w:szCs w:val="21"/>
        </w:rPr>
      </w:pPr>
      <w:r>
        <w:rPr>
          <w:rFonts w:hint="default" w:ascii="宋体" w:hAnsi="Times New Roman" w:eastAsia="宋体" w:cs="Times New Roman"/>
          <w:kern w:val="0"/>
          <w:sz w:val="21"/>
          <w:szCs w:val="20"/>
          <w:lang w:val="en-US" w:eastAsia="zh-CN" w:bidi="ar-SA"/>
        </w:rPr>
        <w:t>油菜苗期重点防控霜霉病、</w:t>
      </w:r>
      <w:r>
        <w:rPr>
          <w:rFonts w:hint="eastAsia" w:ascii="宋体" w:hAnsi="Times New Roman" w:eastAsia="宋体" w:cs="Times New Roman"/>
          <w:kern w:val="0"/>
          <w:sz w:val="21"/>
          <w:szCs w:val="20"/>
          <w:lang w:val="en-US" w:eastAsia="zh-CN" w:bidi="ar-SA"/>
        </w:rPr>
        <w:t>菌核病、根肿病、</w:t>
      </w:r>
      <w:r>
        <w:rPr>
          <w:rFonts w:hint="default" w:ascii="宋体" w:hAnsi="Times New Roman" w:eastAsia="宋体" w:cs="Times New Roman"/>
          <w:kern w:val="0"/>
          <w:sz w:val="21"/>
          <w:szCs w:val="20"/>
          <w:lang w:val="en-US" w:eastAsia="zh-CN" w:bidi="ar-SA"/>
        </w:rPr>
        <w:t>蚜虫、菜青虫、猿叶甲</w:t>
      </w:r>
      <w:r>
        <w:rPr>
          <w:rFonts w:hint="eastAsia" w:ascii="宋体" w:cs="Times New Roman"/>
          <w:kern w:val="0"/>
          <w:sz w:val="21"/>
          <w:szCs w:val="20"/>
          <w:lang w:val="en-US" w:eastAsia="zh-CN" w:bidi="ar-SA"/>
        </w:rPr>
        <w:t>、单子叶禾本科杂草和双子叶阔叶杂草。防治方法参照附录A，</w:t>
      </w:r>
      <w:r>
        <w:rPr>
          <w:szCs w:val="21"/>
        </w:rPr>
        <w:t>农药使用应符合</w:t>
      </w:r>
      <w:r>
        <w:rPr>
          <w:rFonts w:hint="eastAsia" w:ascii="宋体" w:hAnsi="宋体" w:eastAsia="宋体" w:cs="宋体"/>
          <w:szCs w:val="21"/>
        </w:rPr>
        <w:t>GB/T 832</w:t>
      </w:r>
      <w:r>
        <w:rPr>
          <w:rFonts w:hint="eastAsia" w:ascii="宋体" w:hAnsi="宋体" w:eastAsia="宋体" w:cs="宋体"/>
          <w:szCs w:val="21"/>
          <w:lang w:val="en-US" w:eastAsia="zh-CN"/>
        </w:rPr>
        <w:t>1</w:t>
      </w:r>
      <w:r>
        <w:rPr>
          <w:szCs w:val="21"/>
        </w:rPr>
        <w:t>及农业部相关公告的规定</w:t>
      </w:r>
      <w:r>
        <w:rPr>
          <w:rFonts w:hint="eastAsia"/>
          <w:szCs w:val="21"/>
          <w:lang w:eastAsia="zh-CN"/>
        </w:rPr>
        <w:t>。</w:t>
      </w:r>
    </w:p>
    <w:p w14:paraId="28D4AB29">
      <w:pPr>
        <w:keepNext w:val="0"/>
        <w:keepLines w:val="0"/>
        <w:pageBreakBefore w:val="0"/>
        <w:widowControl w:val="0"/>
        <w:kinsoku/>
        <w:wordWrap/>
        <w:overflowPunct/>
        <w:topLinePunct w:val="0"/>
        <w:autoSpaceDE/>
        <w:autoSpaceDN/>
        <w:bidi w:val="0"/>
        <w:adjustRightInd w:val="0"/>
        <w:snapToGrid w:val="0"/>
        <w:spacing w:before="157" w:beforeLines="50" w:after="157" w:afterLines="50"/>
        <w:textAlignment w:val="auto"/>
        <w:rPr>
          <w:rFonts w:hint="eastAsia" w:ascii="黑体" w:hAnsi="黑体" w:eastAsia="黑体" w:cs="Times New Roman"/>
          <w:szCs w:val="21"/>
          <w:lang w:val="en-US" w:eastAsia="zh-CN"/>
        </w:rPr>
      </w:pPr>
      <w:r>
        <w:rPr>
          <w:rFonts w:hint="eastAsia" w:ascii="黑体" w:hAnsi="黑体" w:eastAsia="黑体" w:cs="Times New Roman"/>
          <w:szCs w:val="21"/>
          <w:lang w:val="en-US" w:eastAsia="zh-CN"/>
        </w:rPr>
        <w:t>7.3.2花期病虫害防治</w:t>
      </w:r>
    </w:p>
    <w:p w14:paraId="256D9A6A">
      <w:pPr>
        <w:keepNext w:val="0"/>
        <w:keepLines w:val="0"/>
        <w:pageBreakBefore w:val="0"/>
        <w:widowControl w:val="0"/>
        <w:kinsoku/>
        <w:wordWrap/>
        <w:overflowPunct/>
        <w:topLinePunct w:val="0"/>
        <w:autoSpaceDE/>
        <w:autoSpaceDN/>
        <w:bidi w:val="0"/>
        <w:adjustRightInd w:val="0"/>
        <w:snapToGrid w:val="0"/>
        <w:spacing w:before="157" w:beforeLines="50" w:beforeAutospacing="0" w:after="157" w:afterLines="50" w:afterAutospacing="0"/>
        <w:ind w:firstLine="420" w:firstLineChars="200"/>
        <w:textAlignment w:val="auto"/>
        <w:rPr>
          <w:rFonts w:hint="eastAsia" w:ascii="宋体" w:eastAsia="宋体" w:cs="宋体"/>
          <w:kern w:val="0"/>
          <w:szCs w:val="21"/>
          <w:lang w:val="en-US" w:eastAsia="zh-CN"/>
        </w:rPr>
      </w:pPr>
      <w:r>
        <w:rPr>
          <w:rFonts w:hint="eastAsia" w:ascii="宋体" w:cs="宋体"/>
          <w:kern w:val="0"/>
          <w:szCs w:val="21"/>
          <w:lang w:val="en-US" w:eastAsia="zh-CN"/>
        </w:rPr>
        <w:t>油菜花期重点防控菌核病和蚜虫。</w:t>
      </w:r>
      <w:r>
        <w:rPr>
          <w:rFonts w:hint="eastAsia" w:ascii="宋体" w:cs="Times New Roman"/>
          <w:kern w:val="0"/>
          <w:sz w:val="21"/>
          <w:szCs w:val="20"/>
          <w:lang w:val="en-US" w:eastAsia="zh-CN" w:bidi="ar-SA"/>
        </w:rPr>
        <w:t>防治方法参照附录B，</w:t>
      </w:r>
      <w:r>
        <w:rPr>
          <w:rFonts w:ascii="宋体" w:cs="宋体"/>
          <w:kern w:val="0"/>
          <w:szCs w:val="21"/>
        </w:rPr>
        <w:t>无人机精准施药防治菌核病</w:t>
      </w:r>
      <w:r>
        <w:rPr>
          <w:rFonts w:hint="eastAsia" w:ascii="宋体" w:cs="宋体"/>
          <w:kern w:val="0"/>
          <w:szCs w:val="21"/>
        </w:rPr>
        <w:t>，参照NY/T 794</w:t>
      </w:r>
      <w:r>
        <w:rPr>
          <w:rFonts w:hint="eastAsia" w:ascii="宋体" w:cs="宋体"/>
          <w:kern w:val="0"/>
          <w:szCs w:val="21"/>
          <w:lang w:eastAsia="zh-CN"/>
        </w:rPr>
        <w:t>，</w:t>
      </w:r>
      <w:r>
        <w:rPr>
          <w:rFonts w:hint="eastAsia" w:ascii="宋体" w:cs="宋体"/>
          <w:kern w:val="0"/>
          <w:szCs w:val="21"/>
        </w:rPr>
        <w:t>农药使用按GB/T 8321执行</w:t>
      </w:r>
      <w:r>
        <w:rPr>
          <w:rFonts w:hint="eastAsia" w:ascii="宋体" w:cs="宋体"/>
          <w:kern w:val="0"/>
          <w:szCs w:val="21"/>
          <w:lang w:eastAsia="zh-CN"/>
        </w:rPr>
        <w:t>。</w:t>
      </w:r>
    </w:p>
    <w:p w14:paraId="319BAD77">
      <w:pPr>
        <w:pStyle w:val="29"/>
        <w:spacing w:beforeLines="100" w:beforeAutospacing="0" w:afterLines="50" w:afterAutospacing="0"/>
        <w:jc w:val="both"/>
        <w:rPr>
          <w:rFonts w:ascii="黑体" w:hAnsi="黑体" w:eastAsia="黑体" w:cs="Times New Roman"/>
          <w:kern w:val="2"/>
          <w:sz w:val="21"/>
          <w:szCs w:val="21"/>
        </w:rPr>
      </w:pPr>
      <w:r>
        <w:rPr>
          <w:rFonts w:hint="eastAsia" w:ascii="黑体" w:hAnsi="黑体" w:eastAsia="黑体" w:cs="Times New Roman"/>
          <w:kern w:val="2"/>
          <w:sz w:val="21"/>
          <w:szCs w:val="21"/>
          <w:lang w:val="en-US" w:eastAsia="zh-CN"/>
        </w:rPr>
        <w:t>8</w:t>
      </w:r>
      <w:r>
        <w:rPr>
          <w:rFonts w:hint="eastAsia" w:ascii="黑体" w:hAnsi="黑体" w:eastAsia="黑体" w:cs="Times New Roman"/>
          <w:kern w:val="2"/>
          <w:sz w:val="21"/>
          <w:szCs w:val="21"/>
        </w:rPr>
        <w:t xml:space="preserve"> </w:t>
      </w:r>
      <w:r>
        <w:rPr>
          <w:rFonts w:hint="eastAsia" w:ascii="黑体" w:hAnsi="黑体" w:eastAsia="黑体" w:cs="Times New Roman"/>
          <w:kern w:val="2"/>
          <w:sz w:val="21"/>
          <w:szCs w:val="21"/>
          <w:lang w:val="en-US" w:eastAsia="zh-CN"/>
        </w:rPr>
        <w:t>机械</w:t>
      </w:r>
      <w:r>
        <w:rPr>
          <w:rFonts w:hint="eastAsia" w:ascii="黑体" w:hAnsi="黑体" w:eastAsia="黑体" w:cs="Times New Roman"/>
          <w:kern w:val="2"/>
          <w:sz w:val="21"/>
          <w:szCs w:val="21"/>
        </w:rPr>
        <w:t>收获</w:t>
      </w:r>
    </w:p>
    <w:p w14:paraId="1C56E3B6">
      <w:pPr>
        <w:pStyle w:val="29"/>
        <w:adjustRightInd w:val="0"/>
        <w:snapToGrid w:val="0"/>
        <w:spacing w:before="0" w:beforeAutospacing="0" w:after="0" w:afterAutospacing="0" w:line="360" w:lineRule="auto"/>
        <w:jc w:val="both"/>
        <w:rPr>
          <w:rFonts w:hint="eastAsia" w:ascii="黑体" w:hAnsi="黑体" w:eastAsia="黑体" w:cs="Times New Roman"/>
          <w:kern w:val="2"/>
          <w:sz w:val="21"/>
          <w:szCs w:val="21"/>
        </w:rPr>
      </w:pPr>
      <w:r>
        <w:rPr>
          <w:rFonts w:hint="eastAsia" w:ascii="黑体" w:hAnsi="黑体" w:eastAsia="黑体" w:cs="Times New Roman"/>
          <w:kern w:val="2"/>
          <w:sz w:val="21"/>
          <w:szCs w:val="21"/>
          <w:lang w:val="en-US" w:eastAsia="zh-CN"/>
        </w:rPr>
        <w:t>8</w:t>
      </w:r>
      <w:r>
        <w:rPr>
          <w:rFonts w:hint="eastAsia" w:ascii="黑体" w:hAnsi="黑体" w:eastAsia="黑体" w:cs="Times New Roman"/>
          <w:kern w:val="2"/>
          <w:sz w:val="21"/>
          <w:szCs w:val="21"/>
        </w:rPr>
        <w:t>.1 分段收获</w:t>
      </w:r>
    </w:p>
    <w:p w14:paraId="1DBB1EC6">
      <w:pPr>
        <w:pStyle w:val="21"/>
        <w:rPr>
          <w:rFonts w:hint="eastAsia"/>
        </w:rPr>
      </w:pPr>
      <w:r>
        <w:rPr>
          <w:rFonts w:hint="eastAsia"/>
          <w:color w:val="000000"/>
          <w:kern w:val="2"/>
          <w:szCs w:val="21"/>
          <w:lang w:val="en-US" w:eastAsia="zh-CN"/>
        </w:rPr>
        <w:t>全田油菜有三分之二角果呈枇杷黄色，籽粒由青色转为黄褐</w:t>
      </w:r>
      <w:r>
        <w:rPr>
          <w:rFonts w:hint="eastAsia"/>
          <w:color w:val="auto"/>
          <w:kern w:val="2"/>
          <w:szCs w:val="21"/>
          <w:lang w:val="en-US" w:eastAsia="zh-CN"/>
        </w:rPr>
        <w:t>色时采用割晒机割倒，</w:t>
      </w:r>
      <w:r>
        <w:rPr>
          <w:rFonts w:hint="eastAsia"/>
          <w:color w:val="000000"/>
          <w:kern w:val="2"/>
          <w:szCs w:val="21"/>
          <w:lang w:val="en-US" w:eastAsia="zh-CN"/>
        </w:rPr>
        <w:t>晾晒后熟5-7d再用捡拾脱粒机脱粒.</w:t>
      </w:r>
    </w:p>
    <w:p w14:paraId="08DD0291">
      <w:pPr>
        <w:pStyle w:val="21"/>
        <w:rPr>
          <w:rFonts w:hint="eastAsia"/>
        </w:rPr>
      </w:pPr>
    </w:p>
    <w:p w14:paraId="7A9CD435">
      <w:pPr>
        <w:pStyle w:val="29"/>
        <w:adjustRightInd w:val="0"/>
        <w:snapToGrid w:val="0"/>
        <w:spacing w:before="0" w:beforeAutospacing="0" w:after="0" w:afterAutospacing="0" w:line="360" w:lineRule="auto"/>
        <w:jc w:val="both"/>
        <w:rPr>
          <w:rFonts w:ascii="黑体" w:hAnsi="黑体" w:eastAsia="黑体" w:cs="Times New Roman"/>
          <w:kern w:val="2"/>
          <w:sz w:val="21"/>
          <w:szCs w:val="21"/>
        </w:rPr>
      </w:pPr>
      <w:r>
        <w:rPr>
          <w:rFonts w:hint="eastAsia" w:ascii="黑体" w:hAnsi="黑体" w:eastAsia="黑体" w:cs="Times New Roman"/>
          <w:kern w:val="2"/>
          <w:sz w:val="21"/>
          <w:szCs w:val="21"/>
          <w:lang w:val="en-US" w:eastAsia="zh-CN"/>
        </w:rPr>
        <w:t>8</w:t>
      </w:r>
      <w:r>
        <w:rPr>
          <w:rFonts w:hint="eastAsia" w:ascii="黑体" w:hAnsi="黑体" w:eastAsia="黑体" w:cs="Times New Roman"/>
          <w:kern w:val="2"/>
          <w:sz w:val="21"/>
          <w:szCs w:val="21"/>
        </w:rPr>
        <w:t>.2.联合收获</w:t>
      </w:r>
    </w:p>
    <w:p w14:paraId="096EC68E">
      <w:pPr>
        <w:pStyle w:val="29"/>
        <w:spacing w:before="0" w:beforeAutospacing="0" w:after="0" w:afterAutospacing="0" w:line="360" w:lineRule="auto"/>
        <w:ind w:firstLine="420" w:firstLineChars="200"/>
        <w:jc w:val="both"/>
        <w:rPr>
          <w:rFonts w:hint="eastAsia" w:cs="Times New Roman"/>
          <w:bCs/>
          <w:sz w:val="21"/>
          <w:szCs w:val="21"/>
        </w:rPr>
      </w:pPr>
      <w:r>
        <w:rPr>
          <w:rFonts w:hint="eastAsia" w:hAnsi="Times New Roman" w:cs="Times New Roman"/>
          <w:color w:val="000000"/>
          <w:kern w:val="2"/>
          <w:sz w:val="21"/>
          <w:szCs w:val="21"/>
        </w:rPr>
        <w:t>油菜完熟期，即</w:t>
      </w:r>
      <w:r>
        <w:rPr>
          <w:rFonts w:hAnsi="Times New Roman" w:cs="Times New Roman"/>
          <w:color w:val="000000"/>
          <w:kern w:val="2"/>
          <w:sz w:val="21"/>
          <w:szCs w:val="21"/>
        </w:rPr>
        <w:t>全田</w:t>
      </w:r>
      <w:r>
        <w:rPr>
          <w:rFonts w:hint="eastAsia" w:hAnsi="Times New Roman" w:cs="Times New Roman"/>
          <w:color w:val="000000"/>
          <w:kern w:val="2"/>
          <w:sz w:val="21"/>
          <w:szCs w:val="21"/>
          <w:lang w:val="en-US" w:eastAsia="zh-CN"/>
        </w:rPr>
        <w:t>油菜95%以上的角果成熟枯黄时</w:t>
      </w:r>
      <w:r>
        <w:rPr>
          <w:rFonts w:hint="eastAsia" w:hAnsi="Times New Roman" w:cs="Times New Roman"/>
          <w:color w:val="000000"/>
          <w:kern w:val="2"/>
          <w:sz w:val="21"/>
          <w:szCs w:val="21"/>
        </w:rPr>
        <w:t>，油菜籽粒变黑，采用油菜联合收获机一次性收获。</w:t>
      </w:r>
      <w:r>
        <w:rPr>
          <w:rFonts w:hint="eastAsia" w:cs="Times New Roman"/>
          <w:bCs/>
          <w:sz w:val="21"/>
          <w:szCs w:val="21"/>
        </w:rPr>
        <w:t>作业要求</w:t>
      </w:r>
      <w:r>
        <w:rPr>
          <w:rFonts w:cs="Times New Roman"/>
          <w:bCs/>
          <w:sz w:val="21"/>
          <w:szCs w:val="21"/>
        </w:rPr>
        <w:t>参照</w:t>
      </w:r>
      <w:r>
        <w:rPr>
          <w:rFonts w:hint="eastAsia" w:cs="Times New Roman"/>
          <w:kern w:val="2"/>
          <w:sz w:val="21"/>
          <w:szCs w:val="21"/>
        </w:rPr>
        <w:t>NY</w:t>
      </w:r>
      <w:r>
        <w:rPr>
          <w:rFonts w:cs="Times New Roman"/>
          <w:kern w:val="2"/>
          <w:sz w:val="21"/>
          <w:szCs w:val="21"/>
        </w:rPr>
        <w:t xml:space="preserve">/T </w:t>
      </w:r>
      <w:r>
        <w:rPr>
          <w:rFonts w:hint="eastAsia" w:cs="Times New Roman"/>
          <w:kern w:val="2"/>
          <w:sz w:val="21"/>
          <w:szCs w:val="21"/>
        </w:rPr>
        <w:t>2199、</w:t>
      </w:r>
      <w:r>
        <w:rPr>
          <w:rFonts w:cs="Times New Roman"/>
          <w:sz w:val="21"/>
          <w:szCs w:val="21"/>
        </w:rPr>
        <w:t>NY/T 2546</w:t>
      </w:r>
      <w:r>
        <w:rPr>
          <w:rFonts w:hint="eastAsia" w:cs="Times New Roman"/>
          <w:sz w:val="21"/>
          <w:szCs w:val="21"/>
        </w:rPr>
        <w:t>、NY/T 2208、DB/T</w:t>
      </w:r>
      <w:r>
        <w:rPr>
          <w:rFonts w:hint="eastAsia" w:cs="Times New Roman"/>
          <w:sz w:val="21"/>
          <w:szCs w:val="21"/>
          <w:lang w:val="en-US" w:eastAsia="zh-CN"/>
        </w:rPr>
        <w:t xml:space="preserve"> </w:t>
      </w:r>
      <w:r>
        <w:rPr>
          <w:rFonts w:hint="eastAsia" w:cs="Times New Roman"/>
          <w:sz w:val="21"/>
          <w:szCs w:val="21"/>
        </w:rPr>
        <w:t>1831</w:t>
      </w:r>
      <w:r>
        <w:rPr>
          <w:rFonts w:cs="Times New Roman"/>
          <w:sz w:val="21"/>
          <w:szCs w:val="21"/>
        </w:rPr>
        <w:t>执行</w:t>
      </w:r>
      <w:r>
        <w:rPr>
          <w:rFonts w:cs="Times New Roman"/>
          <w:bCs/>
          <w:sz w:val="21"/>
          <w:szCs w:val="21"/>
        </w:rPr>
        <w:t>。</w:t>
      </w:r>
    </w:p>
    <w:p w14:paraId="1A2550DD">
      <w:pPr>
        <w:pStyle w:val="29"/>
        <w:spacing w:beforeLines="50" w:beforeAutospacing="0" w:afterLines="50" w:afterAutospacing="0"/>
        <w:jc w:val="both"/>
        <w:rPr>
          <w:rFonts w:hint="eastAsia" w:ascii="黑体" w:hAnsi="黑体" w:eastAsia="黑体" w:cs="Times New Roman"/>
          <w:kern w:val="2"/>
          <w:sz w:val="21"/>
          <w:szCs w:val="21"/>
        </w:rPr>
      </w:pPr>
      <w:r>
        <w:rPr>
          <w:rFonts w:hint="eastAsia" w:ascii="黑体" w:hAnsi="黑体" w:eastAsia="黑体" w:cs="Times New Roman"/>
          <w:kern w:val="2"/>
          <w:sz w:val="21"/>
          <w:szCs w:val="21"/>
          <w:lang w:val="en-US" w:eastAsia="zh-CN"/>
        </w:rPr>
        <w:t>9</w:t>
      </w:r>
      <w:r>
        <w:rPr>
          <w:rFonts w:hint="eastAsia" w:ascii="黑体" w:hAnsi="黑体" w:eastAsia="黑体" w:cs="Times New Roman"/>
          <w:kern w:val="2"/>
          <w:sz w:val="21"/>
          <w:szCs w:val="21"/>
        </w:rPr>
        <w:t xml:space="preserve"> 储藏</w:t>
      </w:r>
    </w:p>
    <w:p w14:paraId="3D9DED69">
      <w:pPr>
        <w:spacing w:line="360" w:lineRule="auto"/>
        <w:ind w:firstLine="420"/>
        <w:rPr>
          <w:kern w:val="0"/>
          <w:szCs w:val="21"/>
        </w:rPr>
      </w:pPr>
      <w:r>
        <w:rPr>
          <w:rFonts w:hint="eastAsia"/>
          <w:szCs w:val="21"/>
        </w:rPr>
        <w:t>油菜收获后，油菜籽及时晾晒、烘干，</w:t>
      </w:r>
      <w:r>
        <w:rPr>
          <w:szCs w:val="21"/>
        </w:rPr>
        <w:t>油菜籽含水量</w:t>
      </w:r>
      <w:r>
        <w:rPr>
          <w:rFonts w:hint="eastAsia"/>
          <w:color w:val="auto"/>
          <w:szCs w:val="21"/>
        </w:rPr>
        <w:t>达到</w:t>
      </w:r>
      <w:r>
        <w:rPr>
          <w:rFonts w:hint="eastAsia"/>
          <w:color w:val="auto"/>
          <w:szCs w:val="21"/>
          <w:lang w:val="en-US" w:eastAsia="zh-CN"/>
        </w:rPr>
        <w:t>9</w:t>
      </w:r>
      <w:r>
        <w:rPr>
          <w:color w:val="auto"/>
          <w:szCs w:val="21"/>
        </w:rPr>
        <w:t xml:space="preserve"> % 以</w:t>
      </w:r>
      <w:r>
        <w:rPr>
          <w:szCs w:val="21"/>
        </w:rPr>
        <w:t>下时入库</w:t>
      </w:r>
      <w:r>
        <w:rPr>
          <w:rFonts w:hint="eastAsia"/>
          <w:szCs w:val="21"/>
        </w:rPr>
        <w:t>储藏</w:t>
      </w:r>
      <w:r>
        <w:rPr>
          <w:szCs w:val="21"/>
        </w:rPr>
        <w:t>。</w:t>
      </w:r>
      <w:r>
        <w:rPr>
          <w:kern w:val="0"/>
          <w:szCs w:val="21"/>
        </w:rPr>
        <w:t>储藏技术按照NY/T 1087的规定执行。</w:t>
      </w:r>
    </w:p>
    <w:p w14:paraId="3A31ED8E">
      <w:pPr>
        <w:pStyle w:val="61"/>
        <w:numPr>
          <w:ilvl w:val="0"/>
          <w:numId w:val="0"/>
        </w:numPr>
        <w:jc w:val="center"/>
        <w:rPr>
          <w:rFonts w:hint="eastAsia"/>
          <w:lang w:val="en-US" w:eastAsia="zh-CN"/>
        </w:rPr>
      </w:pPr>
    </w:p>
    <w:p w14:paraId="153B7025">
      <w:pPr>
        <w:pStyle w:val="61"/>
        <w:numPr>
          <w:ilvl w:val="0"/>
          <w:numId w:val="0"/>
        </w:numPr>
        <w:jc w:val="center"/>
        <w:rPr>
          <w:rFonts w:hint="eastAsia"/>
          <w:lang w:val="en-US" w:eastAsia="zh-CN"/>
        </w:rPr>
      </w:pPr>
    </w:p>
    <w:p w14:paraId="7260B270">
      <w:pPr>
        <w:pStyle w:val="61"/>
        <w:numPr>
          <w:ilvl w:val="0"/>
          <w:numId w:val="0"/>
        </w:numPr>
        <w:jc w:val="center"/>
        <w:rPr>
          <w:rFonts w:hint="eastAsia"/>
          <w:lang w:val="en-US" w:eastAsia="zh-CN"/>
        </w:rPr>
      </w:pPr>
    </w:p>
    <w:p w14:paraId="3647E241">
      <w:pPr>
        <w:pStyle w:val="61"/>
        <w:numPr>
          <w:ilvl w:val="0"/>
          <w:numId w:val="0"/>
        </w:numPr>
        <w:jc w:val="center"/>
        <w:rPr>
          <w:rFonts w:hint="eastAsia"/>
          <w:lang w:val="en-US" w:eastAsia="zh-CN"/>
        </w:rPr>
      </w:pPr>
    </w:p>
    <w:p w14:paraId="5A77165D">
      <w:pPr>
        <w:pStyle w:val="61"/>
        <w:numPr>
          <w:ilvl w:val="0"/>
          <w:numId w:val="0"/>
        </w:numPr>
        <w:jc w:val="center"/>
        <w:rPr>
          <w:rFonts w:hint="eastAsia"/>
          <w:lang w:val="en-US" w:eastAsia="zh-CN"/>
        </w:rPr>
      </w:pPr>
    </w:p>
    <w:p w14:paraId="38157349">
      <w:pPr>
        <w:pStyle w:val="61"/>
        <w:numPr>
          <w:ilvl w:val="0"/>
          <w:numId w:val="0"/>
        </w:numPr>
        <w:jc w:val="center"/>
        <w:rPr>
          <w:rFonts w:hint="eastAsia"/>
          <w:lang w:val="en-US" w:eastAsia="zh-CN"/>
        </w:rPr>
      </w:pPr>
    </w:p>
    <w:p w14:paraId="27226CF9">
      <w:pPr>
        <w:pStyle w:val="61"/>
        <w:numPr>
          <w:ilvl w:val="0"/>
          <w:numId w:val="0"/>
        </w:numPr>
        <w:jc w:val="center"/>
        <w:rPr>
          <w:rFonts w:hint="eastAsia"/>
          <w:lang w:val="en-US" w:eastAsia="zh-CN"/>
        </w:rPr>
      </w:pPr>
      <w:r>
        <w:rPr>
          <w:rFonts w:hint="eastAsia"/>
          <w:lang w:val="en-US" w:eastAsia="zh-CN"/>
        </w:rPr>
        <w:t>附录A</w:t>
      </w:r>
    </w:p>
    <w:p w14:paraId="65B05F1A">
      <w:pPr>
        <w:pStyle w:val="61"/>
        <w:numPr>
          <w:ilvl w:val="0"/>
          <w:numId w:val="0"/>
        </w:numPr>
        <w:jc w:val="center"/>
        <w:rPr>
          <w:rFonts w:hint="eastAsia"/>
          <w:lang w:val="en-US" w:eastAsia="zh-CN"/>
        </w:rPr>
      </w:pPr>
      <w:r>
        <w:rPr>
          <w:rFonts w:hint="eastAsia"/>
          <w:lang w:val="en-US" w:eastAsia="zh-CN"/>
        </w:rPr>
        <w:t>（资料性）</w:t>
      </w:r>
    </w:p>
    <w:p w14:paraId="6D13A8D0">
      <w:pPr>
        <w:pStyle w:val="61"/>
        <w:numPr>
          <w:ilvl w:val="0"/>
          <w:numId w:val="0"/>
        </w:numPr>
        <w:jc w:val="center"/>
        <w:rPr>
          <w:rFonts w:hint="eastAsia" w:ascii="黑体" w:hAnsi="黑体" w:eastAsia="黑体" w:cs="Times New Roman"/>
          <w:szCs w:val="21"/>
          <w:lang w:val="en-US" w:eastAsia="zh-CN"/>
        </w:rPr>
      </w:pPr>
      <w:r>
        <w:rPr>
          <w:rFonts w:hint="eastAsia" w:ascii="黑体" w:hAnsi="黑体" w:eastAsia="黑体" w:cs="Times New Roman"/>
          <w:szCs w:val="21"/>
          <w:lang w:val="en-US" w:eastAsia="zh-CN"/>
        </w:rPr>
        <w:t>油菜苗期、青角期病虫草害防控</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1778"/>
        <w:gridCol w:w="4492"/>
        <w:gridCol w:w="1590"/>
      </w:tblGrid>
      <w:tr w14:paraId="5008E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Pr>
          <w:p w14:paraId="42705536">
            <w:pPr>
              <w:pStyle w:val="61"/>
              <w:numPr>
                <w:ilvl w:val="0"/>
                <w:numId w:val="0"/>
              </w:numPr>
              <w:jc w:val="center"/>
              <w:rPr>
                <w:rFonts w:hint="eastAsia" w:ascii="宋体" w:hAnsi="宋体" w:eastAsia="宋体" w:cs="宋体"/>
                <w:szCs w:val="21"/>
                <w:vertAlign w:val="baseline"/>
                <w:lang w:val="en-US" w:eastAsia="zh-CN"/>
              </w:rPr>
            </w:pPr>
            <w:r>
              <w:rPr>
                <w:rFonts w:hint="eastAsia" w:ascii="宋体" w:hAnsi="宋体" w:eastAsia="宋体" w:cs="宋体"/>
                <w:szCs w:val="21"/>
                <w:vertAlign w:val="baseline"/>
                <w:lang w:val="en-US" w:eastAsia="zh-CN"/>
              </w:rPr>
              <w:t>病虫草</w:t>
            </w:r>
          </w:p>
          <w:p w14:paraId="5A4C9E98">
            <w:pPr>
              <w:pStyle w:val="61"/>
              <w:numPr>
                <w:ilvl w:val="0"/>
                <w:numId w:val="0"/>
              </w:numPr>
              <w:jc w:val="center"/>
              <w:rPr>
                <w:rFonts w:hint="default" w:ascii="黑体" w:hAnsi="黑体" w:eastAsia="黑体" w:cs="Times New Roman"/>
                <w:szCs w:val="21"/>
                <w:vertAlign w:val="baseline"/>
                <w:lang w:val="en-US" w:eastAsia="zh-CN"/>
              </w:rPr>
            </w:pPr>
            <w:r>
              <w:rPr>
                <w:rFonts w:hint="eastAsia" w:ascii="宋体" w:hAnsi="宋体" w:eastAsia="宋体" w:cs="宋体"/>
                <w:szCs w:val="21"/>
                <w:vertAlign w:val="baseline"/>
                <w:lang w:val="en-US" w:eastAsia="zh-CN"/>
              </w:rPr>
              <w:t>害种类</w:t>
            </w:r>
          </w:p>
        </w:tc>
        <w:tc>
          <w:tcPr>
            <w:tcW w:w="1778" w:type="dxa"/>
            <w:shd w:val="clear" w:color="auto" w:fill="auto"/>
            <w:vAlign w:val="center"/>
          </w:tcPr>
          <w:p w14:paraId="7D21FDC2">
            <w:pPr>
              <w:widowControl/>
              <w:jc w:val="center"/>
              <w:rPr>
                <w:rFonts w:hint="eastAsia" w:ascii="Times New Roman" w:hAnsi="Times New Roman" w:eastAsia="宋体" w:cs="Times New Roman"/>
                <w:b w:val="0"/>
                <w:bCs/>
                <w:kern w:val="0"/>
                <w:sz w:val="21"/>
                <w:szCs w:val="21"/>
                <w:lang w:val="en-US" w:eastAsia="zh-CN" w:bidi="ar-SA"/>
              </w:rPr>
            </w:pPr>
            <w:r>
              <w:rPr>
                <w:b w:val="0"/>
                <w:bCs/>
                <w:kern w:val="0"/>
                <w:szCs w:val="21"/>
              </w:rPr>
              <w:t>防治时期</w:t>
            </w:r>
          </w:p>
        </w:tc>
        <w:tc>
          <w:tcPr>
            <w:tcW w:w="4492" w:type="dxa"/>
            <w:shd w:val="clear" w:color="auto" w:fill="auto"/>
            <w:vAlign w:val="center"/>
          </w:tcPr>
          <w:p w14:paraId="4013D711">
            <w:pPr>
              <w:widowControl/>
              <w:jc w:val="center"/>
              <w:rPr>
                <w:rFonts w:hint="eastAsia" w:ascii="Times New Roman" w:hAnsi="Times New Roman" w:eastAsia="宋体" w:cs="Times New Roman"/>
                <w:b w:val="0"/>
                <w:bCs/>
                <w:kern w:val="0"/>
                <w:sz w:val="21"/>
                <w:szCs w:val="21"/>
                <w:lang w:val="en-US" w:eastAsia="zh-CN" w:bidi="ar-SA"/>
              </w:rPr>
            </w:pPr>
            <w:r>
              <w:rPr>
                <w:b w:val="0"/>
                <w:bCs/>
                <w:kern w:val="0"/>
                <w:szCs w:val="21"/>
              </w:rPr>
              <w:t>防治药剂</w:t>
            </w:r>
            <w:r>
              <w:rPr>
                <w:rFonts w:hint="eastAsia"/>
                <w:b w:val="0"/>
                <w:bCs/>
                <w:kern w:val="0"/>
                <w:szCs w:val="21"/>
                <w:lang w:eastAsia="zh-CN"/>
              </w:rPr>
              <w:t>、</w:t>
            </w:r>
            <w:r>
              <w:rPr>
                <w:rFonts w:hint="eastAsia"/>
                <w:b w:val="0"/>
                <w:bCs/>
                <w:kern w:val="0"/>
                <w:szCs w:val="21"/>
                <w:lang w:val="en-US" w:eastAsia="zh-CN"/>
              </w:rPr>
              <w:t>浓度及</w:t>
            </w:r>
            <w:r>
              <w:rPr>
                <w:b w:val="0"/>
                <w:bCs/>
                <w:kern w:val="0"/>
                <w:szCs w:val="21"/>
              </w:rPr>
              <w:t>每667 m</w:t>
            </w:r>
            <w:r>
              <w:rPr>
                <w:b w:val="0"/>
                <w:bCs/>
                <w:kern w:val="0"/>
                <w:szCs w:val="21"/>
                <w:vertAlign w:val="superscript"/>
              </w:rPr>
              <w:t>2</w:t>
            </w:r>
            <w:r>
              <w:rPr>
                <w:b w:val="0"/>
                <w:bCs/>
                <w:kern w:val="0"/>
                <w:szCs w:val="21"/>
              </w:rPr>
              <w:t>用量</w:t>
            </w:r>
          </w:p>
        </w:tc>
        <w:tc>
          <w:tcPr>
            <w:tcW w:w="1590" w:type="dxa"/>
            <w:shd w:val="clear" w:color="auto" w:fill="auto"/>
            <w:vAlign w:val="center"/>
          </w:tcPr>
          <w:p w14:paraId="769CAA13">
            <w:pPr>
              <w:widowControl/>
              <w:jc w:val="center"/>
              <w:rPr>
                <w:rFonts w:hint="eastAsia" w:ascii="Times New Roman" w:hAnsi="Times New Roman" w:eastAsia="宋体" w:cs="Times New Roman"/>
                <w:b w:val="0"/>
                <w:bCs/>
                <w:kern w:val="0"/>
                <w:sz w:val="21"/>
                <w:szCs w:val="21"/>
                <w:lang w:val="en-US" w:eastAsia="zh-CN" w:bidi="ar-SA"/>
              </w:rPr>
            </w:pPr>
            <w:r>
              <w:rPr>
                <w:b w:val="0"/>
                <w:bCs/>
                <w:kern w:val="0"/>
                <w:szCs w:val="21"/>
              </w:rPr>
              <w:t>用药方法</w:t>
            </w:r>
          </w:p>
        </w:tc>
      </w:tr>
      <w:tr w14:paraId="07B80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vAlign w:val="center"/>
          </w:tcPr>
          <w:p w14:paraId="47B6B08F">
            <w:pPr>
              <w:pStyle w:val="61"/>
              <w:numPr>
                <w:ilvl w:val="0"/>
                <w:numId w:val="0"/>
              </w:numPr>
              <w:jc w:val="center"/>
              <w:rPr>
                <w:rFonts w:hint="eastAsia" w:ascii="宋体" w:hAnsi="宋体" w:eastAsia="宋体" w:cs="宋体"/>
                <w:szCs w:val="21"/>
                <w:vertAlign w:val="baseline"/>
                <w:lang w:val="en-US" w:eastAsia="zh-CN"/>
              </w:rPr>
            </w:pPr>
            <w:r>
              <w:rPr>
                <w:rFonts w:hint="eastAsia" w:ascii="宋体" w:hAnsi="宋体" w:eastAsia="宋体" w:cs="宋体"/>
                <w:szCs w:val="21"/>
                <w:vertAlign w:val="baseline"/>
                <w:lang w:val="en-US" w:eastAsia="zh-CN"/>
              </w:rPr>
              <w:t>霜霉病</w:t>
            </w:r>
          </w:p>
        </w:tc>
        <w:tc>
          <w:tcPr>
            <w:tcW w:w="1778" w:type="dxa"/>
            <w:vAlign w:val="center"/>
          </w:tcPr>
          <w:p w14:paraId="3C4454A3">
            <w:pPr>
              <w:pStyle w:val="61"/>
              <w:numPr>
                <w:ilvl w:val="0"/>
                <w:numId w:val="0"/>
              </w:numPr>
              <w:jc w:val="center"/>
              <w:rPr>
                <w:rFonts w:hint="eastAsia" w:ascii="宋体" w:hAnsi="宋体" w:eastAsia="宋体" w:cs="宋体"/>
                <w:szCs w:val="21"/>
                <w:vertAlign w:val="baseline"/>
                <w:lang w:val="en-US" w:eastAsia="zh-CN"/>
              </w:rPr>
            </w:pPr>
            <w:r>
              <w:rPr>
                <w:rFonts w:hint="eastAsia" w:ascii="宋体" w:hAnsi="宋体" w:eastAsia="宋体" w:cs="宋体"/>
                <w:szCs w:val="21"/>
                <w:vertAlign w:val="baseline"/>
                <w:lang w:val="en-US" w:eastAsia="zh-CN"/>
              </w:rPr>
              <w:t>苗期</w:t>
            </w:r>
          </w:p>
        </w:tc>
        <w:tc>
          <w:tcPr>
            <w:tcW w:w="4492" w:type="dxa"/>
            <w:vAlign w:val="center"/>
          </w:tcPr>
          <w:p w14:paraId="238129CD">
            <w:pPr>
              <w:pStyle w:val="61"/>
              <w:numPr>
                <w:ilvl w:val="0"/>
                <w:numId w:val="0"/>
              </w:numPr>
              <w:jc w:val="left"/>
              <w:rPr>
                <w:rFonts w:hint="eastAsia" w:ascii="黑体" w:hAnsi="黑体" w:eastAsia="黑体" w:cs="Times New Roman"/>
                <w:szCs w:val="21"/>
                <w:vertAlign w:val="baseline"/>
                <w:lang w:val="en-US" w:eastAsia="zh-CN"/>
              </w:rPr>
            </w:pPr>
            <w:r>
              <w:rPr>
                <w:rFonts w:hint="default" w:ascii="宋体" w:hAnsi="Times New Roman" w:eastAsia="宋体" w:cs="Times New Roman"/>
                <w:kern w:val="0"/>
                <w:sz w:val="21"/>
                <w:szCs w:val="20"/>
                <w:lang w:val="en-US" w:eastAsia="zh-CN" w:bidi="ar-SA"/>
              </w:rPr>
              <w:t>①25%甲霜灵可湿性粉剂750倍液</w:t>
            </w:r>
            <w:r>
              <w:rPr>
                <w:rFonts w:hint="eastAsia" w:cs="Times New Roman"/>
                <w:kern w:val="0"/>
                <w:sz w:val="21"/>
                <w:szCs w:val="20"/>
                <w:lang w:val="en-US" w:eastAsia="zh-CN" w:bidi="ar-SA"/>
              </w:rPr>
              <w:t>；</w:t>
            </w:r>
            <w:r>
              <w:rPr>
                <w:rFonts w:hint="eastAsia" w:ascii="宋体" w:hAnsi="Times New Roman" w:eastAsia="宋体" w:cs="Times New Roman"/>
                <w:kern w:val="0"/>
                <w:sz w:val="21"/>
                <w:szCs w:val="20"/>
                <w:lang w:val="en-US" w:eastAsia="zh-CN" w:bidi="ar-SA"/>
              </w:rPr>
              <w:t>②</w:t>
            </w:r>
            <w:r>
              <w:rPr>
                <w:rFonts w:hint="default" w:ascii="宋体" w:hAnsi="Times New Roman" w:eastAsia="宋体" w:cs="Times New Roman"/>
                <w:kern w:val="0"/>
                <w:sz w:val="21"/>
                <w:szCs w:val="20"/>
                <w:lang w:val="en-US" w:eastAsia="zh-CN" w:bidi="ar-SA"/>
              </w:rPr>
              <w:t>58%甲霜灵·锰锌可湿性粉剂600-800倍液</w:t>
            </w:r>
            <w:r>
              <w:rPr>
                <w:rFonts w:hint="eastAsia" w:cs="Times New Roman"/>
                <w:kern w:val="0"/>
                <w:sz w:val="21"/>
                <w:szCs w:val="20"/>
                <w:lang w:val="en-US" w:eastAsia="zh-CN" w:bidi="ar-SA"/>
              </w:rPr>
              <w:t>；</w:t>
            </w:r>
            <w:r>
              <w:rPr>
                <w:rFonts w:hint="eastAsia" w:ascii="宋体" w:hAnsi="Times New Roman" w:eastAsia="宋体" w:cs="Times New Roman"/>
                <w:kern w:val="0"/>
                <w:sz w:val="21"/>
                <w:szCs w:val="20"/>
                <w:lang w:val="en-US" w:eastAsia="zh-CN" w:bidi="ar-SA"/>
              </w:rPr>
              <w:t>③</w:t>
            </w:r>
            <w:r>
              <w:rPr>
                <w:rFonts w:hint="default" w:ascii="宋体" w:hAnsi="Times New Roman" w:eastAsia="宋体" w:cs="Times New Roman"/>
                <w:kern w:val="0"/>
                <w:sz w:val="21"/>
                <w:szCs w:val="20"/>
                <w:lang w:val="en-US" w:eastAsia="zh-CN" w:bidi="ar-SA"/>
              </w:rPr>
              <w:t>75%百菌清可湿性粉剂500-600倍液</w:t>
            </w:r>
            <w:r>
              <w:rPr>
                <w:rFonts w:hint="eastAsia" w:cs="Times New Roman"/>
                <w:kern w:val="0"/>
                <w:sz w:val="21"/>
                <w:szCs w:val="20"/>
                <w:lang w:val="en-US" w:eastAsia="zh-CN" w:bidi="ar-SA"/>
              </w:rPr>
              <w:t>。</w:t>
            </w:r>
          </w:p>
        </w:tc>
        <w:tc>
          <w:tcPr>
            <w:tcW w:w="1590" w:type="dxa"/>
            <w:vAlign w:val="center"/>
          </w:tcPr>
          <w:p w14:paraId="16EFE158">
            <w:pPr>
              <w:pStyle w:val="61"/>
              <w:numPr>
                <w:ilvl w:val="0"/>
                <w:numId w:val="0"/>
              </w:numPr>
              <w:jc w:val="center"/>
              <w:rPr>
                <w:rFonts w:hint="default" w:ascii="黑体" w:hAnsi="黑体" w:eastAsia="黑体" w:cs="Times New Roman"/>
                <w:szCs w:val="21"/>
                <w:vertAlign w:val="baseline"/>
                <w:lang w:val="en-US" w:eastAsia="zh-CN"/>
              </w:rPr>
            </w:pPr>
            <w:r>
              <w:rPr>
                <w:rFonts w:hint="eastAsia" w:ascii="宋体" w:hAnsi="宋体" w:eastAsia="宋体" w:cs="宋体"/>
                <w:szCs w:val="21"/>
                <w:vertAlign w:val="baseline"/>
                <w:lang w:val="en-US" w:eastAsia="zh-CN"/>
              </w:rPr>
              <w:t>喷雾</w:t>
            </w:r>
          </w:p>
        </w:tc>
      </w:tr>
      <w:tr w14:paraId="4E1BD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vAlign w:val="center"/>
          </w:tcPr>
          <w:p w14:paraId="3F66AFFD">
            <w:pPr>
              <w:pStyle w:val="61"/>
              <w:numPr>
                <w:ilvl w:val="0"/>
                <w:numId w:val="0"/>
              </w:numPr>
              <w:jc w:val="center"/>
              <w:rPr>
                <w:rFonts w:hint="eastAsia" w:ascii="宋体" w:hAnsi="宋体" w:eastAsia="宋体" w:cs="宋体"/>
                <w:szCs w:val="21"/>
                <w:vertAlign w:val="baseline"/>
                <w:lang w:val="en-US" w:eastAsia="zh-CN"/>
              </w:rPr>
            </w:pPr>
            <w:r>
              <w:rPr>
                <w:rFonts w:hint="eastAsia" w:ascii="宋体" w:hAnsi="宋体" w:eastAsia="宋体" w:cs="宋体"/>
                <w:szCs w:val="21"/>
                <w:vertAlign w:val="baseline"/>
                <w:lang w:val="en-US" w:eastAsia="zh-CN"/>
              </w:rPr>
              <w:t>菌核病</w:t>
            </w:r>
          </w:p>
        </w:tc>
        <w:tc>
          <w:tcPr>
            <w:tcW w:w="1778" w:type="dxa"/>
            <w:vAlign w:val="center"/>
          </w:tcPr>
          <w:p w14:paraId="40195218">
            <w:pPr>
              <w:pStyle w:val="61"/>
              <w:numPr>
                <w:ilvl w:val="0"/>
                <w:numId w:val="0"/>
              </w:numPr>
              <w:jc w:val="center"/>
              <w:rPr>
                <w:rFonts w:hint="default" w:ascii="宋体" w:hAnsi="宋体" w:eastAsia="宋体" w:cs="宋体"/>
                <w:szCs w:val="21"/>
                <w:vertAlign w:val="baseline"/>
                <w:lang w:val="en-US" w:eastAsia="zh-CN"/>
              </w:rPr>
            </w:pPr>
            <w:r>
              <w:rPr>
                <w:rFonts w:hint="eastAsia" w:ascii="宋体" w:hAnsi="宋体" w:eastAsia="宋体" w:cs="宋体"/>
                <w:szCs w:val="21"/>
                <w:vertAlign w:val="baseline"/>
                <w:lang w:val="en-US" w:eastAsia="zh-CN"/>
              </w:rPr>
              <w:t>播种期</w:t>
            </w:r>
          </w:p>
        </w:tc>
        <w:tc>
          <w:tcPr>
            <w:tcW w:w="4492" w:type="dxa"/>
            <w:vAlign w:val="center"/>
          </w:tcPr>
          <w:p w14:paraId="426D413A">
            <w:pPr>
              <w:pStyle w:val="61"/>
              <w:numPr>
                <w:ilvl w:val="0"/>
                <w:numId w:val="0"/>
              </w:numPr>
              <w:jc w:val="left"/>
              <w:rPr>
                <w:rFonts w:hint="eastAsia" w:ascii="宋体" w:hAnsi="宋体" w:eastAsia="宋体" w:cs="宋体"/>
                <w:szCs w:val="21"/>
                <w:vertAlign w:val="baseline"/>
                <w:lang w:val="en-US" w:eastAsia="zh-CN"/>
              </w:rPr>
            </w:pPr>
            <w:r>
              <w:rPr>
                <w:rFonts w:hint="eastAsia" w:ascii="宋体" w:hAnsi="宋体" w:eastAsia="宋体" w:cs="宋体"/>
                <w:kern w:val="0"/>
                <w:sz w:val="21"/>
                <w:szCs w:val="20"/>
                <w:lang w:val="en-US" w:eastAsia="zh-CN" w:bidi="ar-SA"/>
              </w:rPr>
              <w:t>播种时，每666.7m2采用盾壳霉50ml与封闭除草剂混合喷施，防治苗期菌核病；</w:t>
            </w:r>
          </w:p>
        </w:tc>
        <w:tc>
          <w:tcPr>
            <w:tcW w:w="1590" w:type="dxa"/>
            <w:vAlign w:val="center"/>
          </w:tcPr>
          <w:p w14:paraId="3E661E46">
            <w:pPr>
              <w:pStyle w:val="61"/>
              <w:numPr>
                <w:ilvl w:val="0"/>
                <w:numId w:val="0"/>
              </w:numPr>
              <w:jc w:val="center"/>
              <w:rPr>
                <w:rFonts w:hint="eastAsia" w:ascii="宋体" w:hAnsi="宋体" w:eastAsia="宋体" w:cs="宋体"/>
                <w:szCs w:val="21"/>
                <w:vertAlign w:val="baseline"/>
                <w:lang w:val="en-US" w:eastAsia="zh-CN"/>
              </w:rPr>
            </w:pPr>
            <w:r>
              <w:rPr>
                <w:rFonts w:hint="eastAsia" w:ascii="宋体" w:hAnsi="宋体" w:eastAsia="宋体" w:cs="宋体"/>
                <w:szCs w:val="21"/>
                <w:vertAlign w:val="baseline"/>
                <w:lang w:val="en-US" w:eastAsia="zh-CN"/>
              </w:rPr>
              <w:t>喷雾</w:t>
            </w:r>
          </w:p>
        </w:tc>
      </w:tr>
      <w:tr w14:paraId="0A127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vAlign w:val="center"/>
          </w:tcPr>
          <w:p w14:paraId="3B91EC28">
            <w:pPr>
              <w:pStyle w:val="61"/>
              <w:numPr>
                <w:ilvl w:val="0"/>
                <w:numId w:val="0"/>
              </w:numPr>
              <w:jc w:val="center"/>
              <w:rPr>
                <w:rFonts w:hint="default" w:ascii="宋体" w:hAnsi="宋体" w:eastAsia="宋体" w:cs="宋体"/>
                <w:kern w:val="0"/>
                <w:sz w:val="21"/>
                <w:szCs w:val="20"/>
                <w:lang w:val="en-US" w:eastAsia="zh-CN" w:bidi="ar-SA"/>
              </w:rPr>
            </w:pPr>
            <w:r>
              <w:rPr>
                <w:rFonts w:hint="eastAsia" w:ascii="宋体" w:hAnsi="宋体" w:eastAsia="宋体" w:cs="宋体"/>
                <w:kern w:val="0"/>
                <w:sz w:val="21"/>
                <w:szCs w:val="20"/>
                <w:lang w:val="en-US" w:eastAsia="zh-CN" w:bidi="ar-SA"/>
              </w:rPr>
              <w:t>根肿病</w:t>
            </w:r>
          </w:p>
        </w:tc>
        <w:tc>
          <w:tcPr>
            <w:tcW w:w="1778" w:type="dxa"/>
            <w:vAlign w:val="center"/>
          </w:tcPr>
          <w:p w14:paraId="554A9D0D">
            <w:pPr>
              <w:pStyle w:val="61"/>
              <w:numPr>
                <w:ilvl w:val="0"/>
                <w:numId w:val="0"/>
              </w:numPr>
              <w:jc w:val="center"/>
              <w:rPr>
                <w:rFonts w:hint="default" w:ascii="宋体" w:hAnsi="宋体" w:eastAsia="宋体" w:cs="宋体"/>
                <w:kern w:val="0"/>
                <w:sz w:val="21"/>
                <w:szCs w:val="20"/>
                <w:lang w:val="en-US" w:eastAsia="zh-CN" w:bidi="ar-SA"/>
              </w:rPr>
            </w:pPr>
            <w:r>
              <w:rPr>
                <w:rFonts w:hint="eastAsia" w:ascii="宋体" w:hAnsi="宋体" w:eastAsia="宋体" w:cs="宋体"/>
                <w:kern w:val="0"/>
                <w:sz w:val="21"/>
                <w:szCs w:val="20"/>
                <w:lang w:val="en-US" w:eastAsia="zh-CN" w:bidi="ar-SA"/>
              </w:rPr>
              <w:t>苗期</w:t>
            </w:r>
          </w:p>
        </w:tc>
        <w:tc>
          <w:tcPr>
            <w:tcW w:w="4492" w:type="dxa"/>
            <w:vAlign w:val="center"/>
          </w:tcPr>
          <w:p w14:paraId="41530611">
            <w:pPr>
              <w:pStyle w:val="61"/>
              <w:numPr>
                <w:ilvl w:val="0"/>
                <w:numId w:val="0"/>
              </w:numPr>
              <w:jc w:val="center"/>
              <w:rPr>
                <w:rFonts w:hint="eastAsia" w:ascii="宋体" w:hAnsi="宋体" w:eastAsia="宋体" w:cs="宋体"/>
                <w:kern w:val="0"/>
                <w:sz w:val="21"/>
                <w:szCs w:val="20"/>
                <w:lang w:val="en-US" w:eastAsia="zh-CN" w:bidi="ar-SA"/>
              </w:rPr>
            </w:pPr>
            <w:r>
              <w:rPr>
                <w:rFonts w:hint="eastAsia" w:ascii="宋体" w:hAnsi="宋体" w:eastAsia="宋体" w:cs="宋体"/>
                <w:kern w:val="0"/>
                <w:sz w:val="21"/>
                <w:szCs w:val="20"/>
                <w:lang w:val="en-US" w:eastAsia="zh-CN" w:bidi="ar-SA"/>
              </w:rPr>
              <w:t>按DB34/T 2020执行。</w:t>
            </w:r>
          </w:p>
        </w:tc>
        <w:tc>
          <w:tcPr>
            <w:tcW w:w="1590" w:type="dxa"/>
            <w:vAlign w:val="center"/>
          </w:tcPr>
          <w:p w14:paraId="4A59D43E">
            <w:pPr>
              <w:pStyle w:val="61"/>
              <w:numPr>
                <w:ilvl w:val="0"/>
                <w:numId w:val="0"/>
              </w:numPr>
              <w:jc w:val="center"/>
              <w:rPr>
                <w:rFonts w:hint="eastAsia" w:ascii="宋体" w:hAnsi="宋体" w:eastAsia="宋体" w:cs="宋体"/>
                <w:kern w:val="0"/>
                <w:sz w:val="21"/>
                <w:szCs w:val="20"/>
                <w:lang w:val="en-US" w:eastAsia="zh-CN" w:bidi="ar-SA"/>
              </w:rPr>
            </w:pPr>
          </w:p>
        </w:tc>
      </w:tr>
      <w:tr w14:paraId="45BEE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vAlign w:val="center"/>
          </w:tcPr>
          <w:p w14:paraId="73334244">
            <w:pPr>
              <w:pStyle w:val="61"/>
              <w:numPr>
                <w:ilvl w:val="0"/>
                <w:numId w:val="0"/>
              </w:numPr>
              <w:jc w:val="center"/>
              <w:rPr>
                <w:rFonts w:hint="default" w:ascii="宋体" w:hAnsi="宋体" w:eastAsia="宋体" w:cs="宋体"/>
                <w:kern w:val="0"/>
                <w:sz w:val="21"/>
                <w:szCs w:val="20"/>
                <w:lang w:val="en-US" w:eastAsia="zh-CN" w:bidi="ar-SA"/>
              </w:rPr>
            </w:pPr>
            <w:r>
              <w:rPr>
                <w:rFonts w:hint="eastAsia" w:ascii="宋体" w:hAnsi="宋体" w:eastAsia="宋体" w:cs="宋体"/>
                <w:kern w:val="0"/>
                <w:sz w:val="21"/>
                <w:szCs w:val="20"/>
                <w:lang w:val="en-US" w:eastAsia="zh-CN" w:bidi="ar-SA"/>
              </w:rPr>
              <w:t>蚜虫</w:t>
            </w:r>
          </w:p>
        </w:tc>
        <w:tc>
          <w:tcPr>
            <w:tcW w:w="1778" w:type="dxa"/>
            <w:vAlign w:val="center"/>
          </w:tcPr>
          <w:p w14:paraId="43F08809">
            <w:pPr>
              <w:pStyle w:val="61"/>
              <w:numPr>
                <w:ilvl w:val="0"/>
                <w:numId w:val="0"/>
              </w:numPr>
              <w:jc w:val="center"/>
              <w:rPr>
                <w:rFonts w:hint="default" w:ascii="宋体" w:hAnsi="宋体" w:eastAsia="宋体" w:cs="宋体"/>
                <w:kern w:val="0"/>
                <w:sz w:val="21"/>
                <w:szCs w:val="20"/>
                <w:lang w:val="en-US" w:eastAsia="zh-CN" w:bidi="ar-SA"/>
              </w:rPr>
            </w:pPr>
            <w:r>
              <w:rPr>
                <w:rFonts w:hint="eastAsia" w:ascii="宋体" w:hAnsi="宋体" w:eastAsia="宋体" w:cs="宋体"/>
                <w:kern w:val="0"/>
                <w:sz w:val="21"/>
                <w:szCs w:val="20"/>
                <w:lang w:val="en-US" w:eastAsia="zh-CN" w:bidi="ar-SA"/>
              </w:rPr>
              <w:t>苗期、青角期</w:t>
            </w:r>
          </w:p>
        </w:tc>
        <w:tc>
          <w:tcPr>
            <w:tcW w:w="4492" w:type="dxa"/>
            <w:vAlign w:val="center"/>
          </w:tcPr>
          <w:p w14:paraId="49AEFF34">
            <w:pPr>
              <w:pStyle w:val="61"/>
              <w:numPr>
                <w:ilvl w:val="0"/>
                <w:numId w:val="0"/>
              </w:numPr>
              <w:jc w:val="left"/>
              <w:rPr>
                <w:rFonts w:hint="eastAsia" w:ascii="宋体" w:hAnsi="宋体" w:eastAsia="宋体" w:cs="宋体"/>
                <w:kern w:val="0"/>
                <w:sz w:val="21"/>
                <w:szCs w:val="20"/>
                <w:lang w:val="en-US" w:eastAsia="zh-CN" w:bidi="ar-SA"/>
              </w:rPr>
            </w:pPr>
            <w:r>
              <w:rPr>
                <w:rFonts w:hint="default" w:ascii="宋体" w:hAnsi="Times New Roman" w:eastAsia="宋体" w:cs="Times New Roman"/>
                <w:kern w:val="0"/>
                <w:sz w:val="21"/>
                <w:szCs w:val="20"/>
                <w:lang w:val="en-US" w:eastAsia="zh-CN" w:bidi="ar-SA"/>
              </w:rPr>
              <w:t>①</w:t>
            </w:r>
            <w:r>
              <w:rPr>
                <w:rFonts w:hint="eastAsia" w:ascii="宋体" w:hAnsi="宋体" w:eastAsia="宋体" w:cs="宋体"/>
                <w:kern w:val="0"/>
                <w:sz w:val="21"/>
                <w:szCs w:val="20"/>
                <w:lang w:val="en-US" w:eastAsia="zh-CN" w:bidi="ar-SA"/>
              </w:rPr>
              <w:t>25%噻虫嗪5000倍液</w:t>
            </w:r>
            <w:r>
              <w:rPr>
                <w:rFonts w:hint="eastAsia" w:hAnsi="宋体" w:cs="宋体"/>
                <w:kern w:val="0"/>
                <w:sz w:val="21"/>
                <w:szCs w:val="20"/>
                <w:lang w:val="en-US" w:eastAsia="zh-CN" w:bidi="ar-SA"/>
              </w:rPr>
              <w:t>；</w:t>
            </w:r>
            <w:r>
              <w:rPr>
                <w:rFonts w:hint="eastAsia" w:ascii="宋体" w:hAnsi="Times New Roman" w:eastAsia="宋体" w:cs="Times New Roman"/>
                <w:kern w:val="0"/>
                <w:sz w:val="21"/>
                <w:szCs w:val="20"/>
                <w:lang w:val="en-US" w:eastAsia="zh-CN" w:bidi="ar-SA"/>
              </w:rPr>
              <w:t>②</w:t>
            </w:r>
            <w:r>
              <w:rPr>
                <w:rFonts w:hint="eastAsia" w:ascii="宋体" w:hAnsi="宋体" w:eastAsia="宋体" w:cs="宋体"/>
                <w:kern w:val="0"/>
                <w:sz w:val="21"/>
                <w:szCs w:val="20"/>
                <w:lang w:val="en-US" w:eastAsia="zh-CN" w:bidi="ar-SA"/>
              </w:rPr>
              <w:t>2.5％高效氯氟氰菊酯2500倍液</w:t>
            </w:r>
            <w:r>
              <w:rPr>
                <w:rFonts w:hint="eastAsia" w:hAnsi="宋体" w:cs="宋体"/>
                <w:kern w:val="0"/>
                <w:sz w:val="21"/>
                <w:szCs w:val="20"/>
                <w:lang w:val="en-US" w:eastAsia="zh-CN" w:bidi="ar-SA"/>
              </w:rPr>
              <w:t>；</w:t>
            </w:r>
            <w:r>
              <w:rPr>
                <w:rFonts w:hint="eastAsia" w:ascii="宋体" w:hAnsi="Times New Roman" w:eastAsia="宋体" w:cs="Times New Roman"/>
                <w:kern w:val="0"/>
                <w:sz w:val="21"/>
                <w:szCs w:val="20"/>
                <w:lang w:val="en-US" w:eastAsia="zh-CN" w:bidi="ar-SA"/>
              </w:rPr>
              <w:t>③</w:t>
            </w:r>
            <w:r>
              <w:rPr>
                <w:rFonts w:hint="eastAsia" w:ascii="宋体" w:hAnsi="宋体" w:eastAsia="宋体" w:cs="宋体"/>
                <w:kern w:val="0"/>
                <w:sz w:val="21"/>
                <w:szCs w:val="20"/>
                <w:lang w:val="en-US" w:eastAsia="zh-CN" w:bidi="ar-SA"/>
              </w:rPr>
              <w:t>10%氟啶虫酰胺1500-2000倍液</w:t>
            </w:r>
            <w:r>
              <w:rPr>
                <w:rFonts w:hint="eastAsia" w:hAnsi="宋体" w:cs="宋体"/>
                <w:kern w:val="0"/>
                <w:sz w:val="21"/>
                <w:szCs w:val="20"/>
                <w:lang w:val="en-US" w:eastAsia="zh-CN" w:bidi="ar-SA"/>
              </w:rPr>
              <w:t>。</w:t>
            </w:r>
          </w:p>
        </w:tc>
        <w:tc>
          <w:tcPr>
            <w:tcW w:w="1590" w:type="dxa"/>
            <w:vAlign w:val="center"/>
          </w:tcPr>
          <w:p w14:paraId="48305A33">
            <w:pPr>
              <w:pStyle w:val="61"/>
              <w:numPr>
                <w:ilvl w:val="0"/>
                <w:numId w:val="0"/>
              </w:numPr>
              <w:jc w:val="center"/>
              <w:rPr>
                <w:rFonts w:hint="default" w:ascii="宋体" w:hAnsi="宋体" w:eastAsia="宋体" w:cs="宋体"/>
                <w:kern w:val="0"/>
                <w:sz w:val="21"/>
                <w:szCs w:val="20"/>
                <w:lang w:val="en-US" w:eastAsia="zh-CN" w:bidi="ar-SA"/>
              </w:rPr>
            </w:pPr>
            <w:r>
              <w:rPr>
                <w:rFonts w:hint="eastAsia" w:hAnsi="宋体" w:cs="宋体"/>
                <w:kern w:val="0"/>
                <w:sz w:val="21"/>
                <w:szCs w:val="20"/>
                <w:lang w:val="en-US" w:eastAsia="zh-CN" w:bidi="ar-SA"/>
              </w:rPr>
              <w:t>喷雾</w:t>
            </w:r>
          </w:p>
        </w:tc>
      </w:tr>
      <w:tr w14:paraId="3523F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vAlign w:val="center"/>
          </w:tcPr>
          <w:p w14:paraId="7D586C96">
            <w:pPr>
              <w:pStyle w:val="61"/>
              <w:numPr>
                <w:ilvl w:val="0"/>
                <w:numId w:val="0"/>
              </w:numPr>
              <w:jc w:val="center"/>
              <w:rPr>
                <w:rFonts w:hint="eastAsia" w:ascii="宋体" w:hAnsi="宋体" w:eastAsia="宋体" w:cs="宋体"/>
                <w:szCs w:val="21"/>
                <w:vertAlign w:val="baseline"/>
                <w:lang w:val="en-US" w:eastAsia="zh-CN"/>
              </w:rPr>
            </w:pPr>
            <w:r>
              <w:rPr>
                <w:rFonts w:hint="eastAsia" w:ascii="宋体" w:hAnsi="宋体" w:eastAsia="宋体" w:cs="宋体"/>
                <w:szCs w:val="21"/>
                <w:vertAlign w:val="baseline"/>
                <w:lang w:val="en-US" w:eastAsia="zh-CN"/>
              </w:rPr>
              <w:t>菜青虫</w:t>
            </w:r>
          </w:p>
        </w:tc>
        <w:tc>
          <w:tcPr>
            <w:tcW w:w="1778" w:type="dxa"/>
            <w:vAlign w:val="center"/>
          </w:tcPr>
          <w:p w14:paraId="2438EDE5">
            <w:pPr>
              <w:pStyle w:val="61"/>
              <w:numPr>
                <w:ilvl w:val="0"/>
                <w:numId w:val="0"/>
              </w:numPr>
              <w:jc w:val="center"/>
              <w:rPr>
                <w:rFonts w:hint="eastAsia" w:ascii="宋体" w:hAnsi="宋体" w:eastAsia="宋体" w:cs="宋体"/>
                <w:szCs w:val="21"/>
                <w:vertAlign w:val="baseline"/>
                <w:lang w:val="en-US" w:eastAsia="zh-CN"/>
              </w:rPr>
            </w:pPr>
            <w:r>
              <w:rPr>
                <w:rFonts w:hint="eastAsia" w:ascii="宋体" w:hAnsi="宋体" w:eastAsia="宋体" w:cs="宋体"/>
                <w:szCs w:val="21"/>
                <w:vertAlign w:val="baseline"/>
                <w:lang w:val="en-US" w:eastAsia="zh-CN"/>
              </w:rPr>
              <w:t>苗期</w:t>
            </w:r>
          </w:p>
        </w:tc>
        <w:tc>
          <w:tcPr>
            <w:tcW w:w="4492" w:type="dxa"/>
            <w:vAlign w:val="center"/>
          </w:tcPr>
          <w:p w14:paraId="3BEA42BE">
            <w:pPr>
              <w:pStyle w:val="61"/>
              <w:numPr>
                <w:ilvl w:val="0"/>
                <w:numId w:val="0"/>
              </w:numPr>
              <w:jc w:val="both"/>
              <w:rPr>
                <w:rFonts w:hint="eastAsia" w:ascii="宋体" w:hAnsi="宋体" w:eastAsia="宋体" w:cs="宋体"/>
                <w:szCs w:val="21"/>
                <w:vertAlign w:val="baseline"/>
                <w:lang w:val="en-US" w:eastAsia="zh-CN"/>
              </w:rPr>
            </w:pPr>
            <w:r>
              <w:rPr>
                <w:rFonts w:hint="default" w:ascii="宋体" w:hAnsi="Times New Roman" w:eastAsia="宋体" w:cs="Times New Roman"/>
                <w:kern w:val="0"/>
                <w:sz w:val="21"/>
                <w:szCs w:val="20"/>
                <w:lang w:val="en-US" w:eastAsia="zh-CN" w:bidi="ar-SA"/>
              </w:rPr>
              <w:t>①</w:t>
            </w:r>
            <w:r>
              <w:rPr>
                <w:rFonts w:hint="eastAsia" w:ascii="宋体" w:hAnsi="宋体" w:eastAsia="宋体" w:cs="宋体"/>
                <w:kern w:val="0"/>
                <w:sz w:val="21"/>
                <w:szCs w:val="20"/>
                <w:lang w:val="en-US" w:eastAsia="zh-CN" w:bidi="ar-SA"/>
              </w:rPr>
              <w:t>10%溴虫氟苯双酰胺悬浮剂200-300倍液；</w:t>
            </w:r>
            <w:r>
              <w:rPr>
                <w:rFonts w:hint="eastAsia" w:ascii="宋体" w:hAnsi="Times New Roman" w:eastAsia="宋体" w:cs="Times New Roman"/>
                <w:kern w:val="0"/>
                <w:sz w:val="21"/>
                <w:szCs w:val="20"/>
                <w:lang w:val="en-US" w:eastAsia="zh-CN" w:bidi="ar-SA"/>
              </w:rPr>
              <w:t>②</w:t>
            </w:r>
            <w:r>
              <w:rPr>
                <w:rFonts w:hint="eastAsia" w:ascii="宋体" w:hAnsi="宋体" w:eastAsia="宋体" w:cs="宋体"/>
                <w:kern w:val="0"/>
                <w:sz w:val="21"/>
                <w:szCs w:val="20"/>
                <w:lang w:val="en-US" w:eastAsia="zh-CN" w:bidi="ar-SA"/>
              </w:rPr>
              <w:t>10%高效氯氰菊酯微胶囊悬浮剂</w:t>
            </w:r>
            <w:r>
              <w:rPr>
                <w:rFonts w:hint="default" w:ascii="宋体" w:hAnsi="Times New Roman" w:eastAsia="宋体" w:cs="Times New Roman"/>
                <w:kern w:val="0"/>
                <w:sz w:val="21"/>
                <w:szCs w:val="20"/>
                <w:lang w:val="en-US" w:eastAsia="zh-CN" w:bidi="ar-SA"/>
              </w:rPr>
              <w:t>2500-3000倍液</w:t>
            </w:r>
            <w:r>
              <w:rPr>
                <w:rFonts w:hint="eastAsia" w:cs="Times New Roman"/>
                <w:kern w:val="0"/>
                <w:sz w:val="21"/>
                <w:szCs w:val="20"/>
                <w:lang w:val="en-US" w:eastAsia="zh-CN" w:bidi="ar-SA"/>
              </w:rPr>
              <w:t>。</w:t>
            </w:r>
          </w:p>
        </w:tc>
        <w:tc>
          <w:tcPr>
            <w:tcW w:w="1590" w:type="dxa"/>
            <w:vAlign w:val="center"/>
          </w:tcPr>
          <w:p w14:paraId="1025A6A3">
            <w:pPr>
              <w:pStyle w:val="61"/>
              <w:numPr>
                <w:ilvl w:val="0"/>
                <w:numId w:val="0"/>
              </w:numPr>
              <w:jc w:val="center"/>
              <w:rPr>
                <w:rFonts w:hint="default" w:ascii="宋体" w:hAnsi="宋体" w:eastAsia="宋体" w:cs="宋体"/>
                <w:szCs w:val="21"/>
                <w:vertAlign w:val="baseline"/>
                <w:lang w:val="en-US" w:eastAsia="zh-CN"/>
              </w:rPr>
            </w:pPr>
            <w:r>
              <w:rPr>
                <w:rFonts w:hint="eastAsia" w:ascii="宋体" w:hAnsi="宋体" w:eastAsia="宋体" w:cs="宋体"/>
                <w:szCs w:val="21"/>
                <w:vertAlign w:val="baseline"/>
                <w:lang w:val="en-US" w:eastAsia="zh-CN"/>
              </w:rPr>
              <w:t>喷雾</w:t>
            </w:r>
          </w:p>
        </w:tc>
      </w:tr>
      <w:tr w14:paraId="73B0F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vAlign w:val="center"/>
          </w:tcPr>
          <w:p w14:paraId="794828A6">
            <w:pPr>
              <w:pStyle w:val="61"/>
              <w:numPr>
                <w:ilvl w:val="0"/>
                <w:numId w:val="0"/>
              </w:numPr>
              <w:jc w:val="center"/>
              <w:rPr>
                <w:rFonts w:hint="default" w:ascii="宋体" w:hAnsi="宋体" w:eastAsia="宋体" w:cs="宋体"/>
                <w:szCs w:val="21"/>
                <w:vertAlign w:val="baseline"/>
                <w:lang w:val="en-US" w:eastAsia="zh-CN"/>
              </w:rPr>
            </w:pPr>
            <w:r>
              <w:rPr>
                <w:rFonts w:hint="eastAsia" w:ascii="宋体" w:hAnsi="宋体" w:eastAsia="宋体" w:cs="宋体"/>
                <w:szCs w:val="21"/>
                <w:vertAlign w:val="baseline"/>
                <w:lang w:val="en-US" w:eastAsia="zh-CN"/>
              </w:rPr>
              <w:t>猿叶甲</w:t>
            </w:r>
          </w:p>
        </w:tc>
        <w:tc>
          <w:tcPr>
            <w:tcW w:w="1778" w:type="dxa"/>
            <w:vAlign w:val="center"/>
          </w:tcPr>
          <w:p w14:paraId="7BC40F81">
            <w:pPr>
              <w:pStyle w:val="61"/>
              <w:numPr>
                <w:ilvl w:val="0"/>
                <w:numId w:val="0"/>
              </w:numPr>
              <w:jc w:val="center"/>
              <w:rPr>
                <w:rFonts w:hint="default" w:ascii="宋体" w:hAnsi="宋体" w:eastAsia="宋体" w:cs="宋体"/>
                <w:szCs w:val="21"/>
                <w:vertAlign w:val="baseline"/>
                <w:lang w:val="en-US" w:eastAsia="zh-CN"/>
              </w:rPr>
            </w:pPr>
            <w:r>
              <w:rPr>
                <w:rFonts w:hint="eastAsia" w:ascii="宋体" w:hAnsi="宋体" w:eastAsia="宋体" w:cs="宋体"/>
                <w:szCs w:val="21"/>
                <w:vertAlign w:val="baseline"/>
                <w:lang w:val="en-US" w:eastAsia="zh-CN"/>
              </w:rPr>
              <w:t>苗期、青角期</w:t>
            </w:r>
          </w:p>
        </w:tc>
        <w:tc>
          <w:tcPr>
            <w:tcW w:w="4492" w:type="dxa"/>
            <w:vAlign w:val="center"/>
          </w:tcPr>
          <w:p w14:paraId="7BCEFF25">
            <w:pPr>
              <w:pStyle w:val="61"/>
              <w:numPr>
                <w:ilvl w:val="0"/>
                <w:numId w:val="0"/>
              </w:numPr>
              <w:jc w:val="left"/>
              <w:rPr>
                <w:rFonts w:hint="eastAsia" w:ascii="宋体" w:hAnsi="宋体" w:eastAsia="宋体" w:cs="宋体"/>
                <w:szCs w:val="21"/>
                <w:vertAlign w:val="baseline"/>
                <w:lang w:val="en-US" w:eastAsia="zh-CN"/>
              </w:rPr>
            </w:pPr>
            <w:r>
              <w:rPr>
                <w:rFonts w:hint="default" w:ascii="宋体" w:hAnsi="Times New Roman" w:eastAsia="宋体" w:cs="Times New Roman"/>
                <w:kern w:val="0"/>
                <w:sz w:val="21"/>
                <w:szCs w:val="20"/>
                <w:lang w:val="en-US" w:eastAsia="zh-CN" w:bidi="ar-SA"/>
              </w:rPr>
              <w:t>①</w:t>
            </w:r>
            <w:r>
              <w:rPr>
                <w:rFonts w:hint="default" w:ascii="宋体" w:hAnsi="宋体" w:eastAsia="宋体" w:cs="宋体"/>
                <w:szCs w:val="21"/>
                <w:vertAlign w:val="baseline"/>
                <w:lang w:val="en-US" w:eastAsia="zh-CN"/>
              </w:rPr>
              <w:t>28％杀虫·啶虫脒1500-2000倍液</w:t>
            </w:r>
            <w:r>
              <w:rPr>
                <w:rFonts w:hint="eastAsia" w:hAnsi="宋体" w:cs="宋体"/>
                <w:szCs w:val="21"/>
                <w:vertAlign w:val="baseline"/>
                <w:lang w:val="en-US" w:eastAsia="zh-CN"/>
              </w:rPr>
              <w:t>；</w:t>
            </w:r>
            <w:r>
              <w:rPr>
                <w:rFonts w:hint="eastAsia" w:ascii="宋体" w:hAnsi="Times New Roman" w:eastAsia="宋体" w:cs="Times New Roman"/>
                <w:kern w:val="0"/>
                <w:sz w:val="21"/>
                <w:szCs w:val="20"/>
                <w:lang w:val="en-US" w:eastAsia="zh-CN" w:bidi="ar-SA"/>
              </w:rPr>
              <w:t>②</w:t>
            </w:r>
            <w:r>
              <w:rPr>
                <w:rFonts w:hint="default" w:ascii="宋体" w:hAnsi="宋体" w:eastAsia="宋体" w:cs="宋体"/>
                <w:szCs w:val="21"/>
                <w:vertAlign w:val="baseline"/>
                <w:lang w:val="en-US" w:eastAsia="zh-CN"/>
              </w:rPr>
              <w:t>20%呋虫胺1200倍液。</w:t>
            </w:r>
          </w:p>
        </w:tc>
        <w:tc>
          <w:tcPr>
            <w:tcW w:w="1590" w:type="dxa"/>
            <w:vAlign w:val="center"/>
          </w:tcPr>
          <w:p w14:paraId="6DCDEFDC">
            <w:pPr>
              <w:pStyle w:val="61"/>
              <w:numPr>
                <w:ilvl w:val="0"/>
                <w:numId w:val="0"/>
              </w:numPr>
              <w:jc w:val="center"/>
              <w:rPr>
                <w:rFonts w:hint="default" w:ascii="宋体" w:hAnsi="宋体" w:eastAsia="宋体" w:cs="宋体"/>
                <w:szCs w:val="21"/>
                <w:vertAlign w:val="baseline"/>
                <w:lang w:val="en-US" w:eastAsia="zh-CN"/>
              </w:rPr>
            </w:pPr>
            <w:r>
              <w:rPr>
                <w:rFonts w:hint="eastAsia" w:hAnsi="宋体" w:cs="宋体"/>
                <w:szCs w:val="21"/>
                <w:vertAlign w:val="baseline"/>
                <w:lang w:val="en-US" w:eastAsia="zh-CN"/>
              </w:rPr>
              <w:t>喷雾</w:t>
            </w:r>
          </w:p>
        </w:tc>
      </w:tr>
      <w:tr w14:paraId="4F6F6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vAlign w:val="center"/>
          </w:tcPr>
          <w:p w14:paraId="0F48A78B">
            <w:pPr>
              <w:pStyle w:val="61"/>
              <w:numPr>
                <w:ilvl w:val="0"/>
                <w:numId w:val="0"/>
              </w:numPr>
              <w:jc w:val="center"/>
              <w:rPr>
                <w:rFonts w:hint="default" w:ascii="宋体" w:hAnsi="宋体" w:eastAsia="宋体" w:cs="宋体"/>
                <w:szCs w:val="21"/>
                <w:vertAlign w:val="baseline"/>
                <w:lang w:val="en-US" w:eastAsia="zh-CN"/>
              </w:rPr>
            </w:pPr>
            <w:r>
              <w:rPr>
                <w:rFonts w:hint="eastAsia" w:hAnsi="宋体" w:cs="宋体"/>
                <w:szCs w:val="21"/>
                <w:vertAlign w:val="baseline"/>
                <w:lang w:val="en-US" w:eastAsia="zh-CN"/>
              </w:rPr>
              <w:t>单子叶禾本科杂草</w:t>
            </w:r>
          </w:p>
        </w:tc>
        <w:tc>
          <w:tcPr>
            <w:tcW w:w="1778" w:type="dxa"/>
            <w:vAlign w:val="center"/>
          </w:tcPr>
          <w:p w14:paraId="5A4DC874">
            <w:pPr>
              <w:pStyle w:val="61"/>
              <w:numPr>
                <w:ilvl w:val="0"/>
                <w:numId w:val="0"/>
              </w:numPr>
              <w:jc w:val="center"/>
              <w:rPr>
                <w:rFonts w:hint="default" w:ascii="宋体" w:hAnsi="宋体" w:eastAsia="宋体" w:cs="宋体"/>
                <w:szCs w:val="21"/>
                <w:vertAlign w:val="baseline"/>
                <w:lang w:val="en-US" w:eastAsia="zh-CN"/>
              </w:rPr>
            </w:pPr>
            <w:r>
              <w:rPr>
                <w:rFonts w:hint="eastAsia" w:hAnsi="宋体" w:cs="宋体"/>
                <w:szCs w:val="21"/>
                <w:vertAlign w:val="baseline"/>
                <w:lang w:val="en-US" w:eastAsia="zh-CN"/>
              </w:rPr>
              <w:t>苗期</w:t>
            </w:r>
          </w:p>
        </w:tc>
        <w:tc>
          <w:tcPr>
            <w:tcW w:w="4492" w:type="dxa"/>
            <w:vAlign w:val="center"/>
          </w:tcPr>
          <w:p w14:paraId="11D470FC">
            <w:pPr>
              <w:pStyle w:val="61"/>
              <w:numPr>
                <w:ilvl w:val="0"/>
                <w:numId w:val="0"/>
              </w:numPr>
              <w:jc w:val="left"/>
              <w:rPr>
                <w:rFonts w:hint="default" w:ascii="宋体" w:hAnsi="Times New Roman" w:eastAsia="宋体" w:cs="Times New Roman"/>
                <w:kern w:val="0"/>
                <w:sz w:val="21"/>
                <w:szCs w:val="20"/>
                <w:lang w:val="en-US" w:eastAsia="zh-CN" w:bidi="ar-SA"/>
              </w:rPr>
            </w:pPr>
            <w:r>
              <w:rPr>
                <w:rFonts w:hint="eastAsia" w:ascii="宋体" w:hAnsi="宋体"/>
                <w:szCs w:val="21"/>
                <w:lang w:val="en-US" w:eastAsia="zh-CN"/>
              </w:rPr>
              <w:t>油菜4-5叶期、杂草2-3叶期</w:t>
            </w:r>
            <w:r>
              <w:rPr>
                <w:rFonts w:hint="eastAsia" w:hAnsi="宋体"/>
                <w:szCs w:val="21"/>
                <w:lang w:val="en-US" w:eastAsia="zh-CN"/>
              </w:rPr>
              <w:t>，</w:t>
            </w:r>
            <w:r>
              <w:rPr>
                <w:rFonts w:hint="default" w:ascii="宋体" w:hAnsi="Times New Roman" w:eastAsia="宋体" w:cs="Times New Roman"/>
                <w:kern w:val="0"/>
                <w:sz w:val="21"/>
                <w:szCs w:val="20"/>
                <w:lang w:val="en-US" w:eastAsia="zh-CN" w:bidi="ar-SA"/>
              </w:rPr>
              <w:t>①</w:t>
            </w:r>
            <w:r>
              <w:rPr>
                <w:rFonts w:hint="eastAsia" w:ascii="宋体" w:hAnsi="宋体"/>
                <w:szCs w:val="21"/>
                <w:lang w:val="en-US" w:eastAsia="zh-CN"/>
              </w:rPr>
              <w:t>10.8%氟吡甲禾灵乳油（高效盖草能）20-30ml/666.7m</w:t>
            </w:r>
            <w:r>
              <w:rPr>
                <w:rFonts w:hint="eastAsia" w:ascii="宋体" w:hAnsi="宋体"/>
                <w:szCs w:val="21"/>
                <w:vertAlign w:val="superscript"/>
                <w:lang w:val="en-US" w:eastAsia="zh-CN"/>
              </w:rPr>
              <w:t>2</w:t>
            </w:r>
            <w:r>
              <w:rPr>
                <w:rFonts w:hint="eastAsia" w:ascii="宋体" w:hAnsi="宋体"/>
                <w:szCs w:val="21"/>
                <w:lang w:val="en-US" w:eastAsia="zh-CN"/>
              </w:rPr>
              <w:t>兑水30-</w:t>
            </w:r>
            <w:r>
              <w:rPr>
                <w:rFonts w:hint="eastAsia" w:hAnsi="宋体"/>
                <w:szCs w:val="21"/>
                <w:lang w:val="en-US" w:eastAsia="zh-CN"/>
              </w:rPr>
              <w:t>4</w:t>
            </w:r>
            <w:r>
              <w:rPr>
                <w:rFonts w:hint="eastAsia" w:ascii="宋体" w:hAnsi="宋体"/>
                <w:szCs w:val="21"/>
                <w:lang w:val="en-US" w:eastAsia="zh-CN"/>
              </w:rPr>
              <w:t>0</w:t>
            </w:r>
            <w:r>
              <w:rPr>
                <w:rFonts w:hint="eastAsia" w:hAnsi="宋体"/>
                <w:szCs w:val="21"/>
                <w:lang w:val="en-US" w:eastAsia="zh-CN"/>
              </w:rPr>
              <w:t xml:space="preserve"> k</w:t>
            </w:r>
            <w:r>
              <w:rPr>
                <w:rFonts w:hint="eastAsia" w:ascii="宋体" w:hAnsi="宋体"/>
                <w:szCs w:val="21"/>
                <w:lang w:val="en-US" w:eastAsia="zh-CN"/>
              </w:rPr>
              <w:t>g</w:t>
            </w:r>
            <w:r>
              <w:rPr>
                <w:rFonts w:hint="eastAsia" w:hAnsi="宋体"/>
                <w:szCs w:val="21"/>
                <w:vertAlign w:val="baseline"/>
                <w:lang w:val="en-US" w:eastAsia="zh-CN"/>
              </w:rPr>
              <w:t>；</w:t>
            </w:r>
            <w:r>
              <w:rPr>
                <w:rFonts w:hint="eastAsia" w:ascii="宋体" w:hAnsi="Times New Roman" w:eastAsia="宋体" w:cs="Times New Roman"/>
                <w:kern w:val="0"/>
                <w:sz w:val="21"/>
                <w:szCs w:val="20"/>
                <w:lang w:val="en-US" w:eastAsia="zh-CN" w:bidi="ar-SA"/>
              </w:rPr>
              <w:t>②</w:t>
            </w:r>
            <w:r>
              <w:rPr>
                <w:rFonts w:hint="eastAsia" w:ascii="宋体" w:hAnsi="宋体"/>
                <w:szCs w:val="21"/>
                <w:lang w:val="en-US" w:eastAsia="zh-CN"/>
              </w:rPr>
              <w:t>24%烯草酮乳油20-40ml/666.7m</w:t>
            </w:r>
            <w:r>
              <w:rPr>
                <w:rFonts w:hint="eastAsia" w:ascii="宋体" w:hAnsi="宋体"/>
                <w:szCs w:val="21"/>
                <w:vertAlign w:val="superscript"/>
                <w:lang w:val="en-US" w:eastAsia="zh-CN"/>
              </w:rPr>
              <w:t>2</w:t>
            </w:r>
            <w:r>
              <w:rPr>
                <w:rFonts w:hint="eastAsia" w:ascii="宋体" w:hAnsi="宋体"/>
                <w:szCs w:val="21"/>
                <w:lang w:val="en-US" w:eastAsia="zh-CN"/>
              </w:rPr>
              <w:t>兑水30-</w:t>
            </w:r>
            <w:r>
              <w:rPr>
                <w:rFonts w:hint="eastAsia" w:hAnsi="宋体"/>
                <w:szCs w:val="21"/>
                <w:lang w:val="en-US" w:eastAsia="zh-CN"/>
              </w:rPr>
              <w:t>4</w:t>
            </w:r>
            <w:r>
              <w:rPr>
                <w:rFonts w:hint="eastAsia" w:ascii="宋体" w:hAnsi="宋体"/>
                <w:szCs w:val="21"/>
                <w:lang w:val="en-US" w:eastAsia="zh-CN"/>
              </w:rPr>
              <w:t>0</w:t>
            </w:r>
            <w:r>
              <w:rPr>
                <w:rFonts w:hint="eastAsia" w:hAnsi="宋体"/>
                <w:szCs w:val="21"/>
                <w:lang w:val="en-US" w:eastAsia="zh-CN"/>
              </w:rPr>
              <w:t xml:space="preserve"> k</w:t>
            </w:r>
            <w:r>
              <w:rPr>
                <w:rFonts w:hint="eastAsia" w:ascii="宋体" w:hAnsi="宋体"/>
                <w:szCs w:val="21"/>
                <w:lang w:val="en-US" w:eastAsia="zh-CN"/>
              </w:rPr>
              <w:t>g。无人机喷施时，每666.7m</w:t>
            </w:r>
            <w:r>
              <w:rPr>
                <w:rFonts w:hint="eastAsia" w:ascii="宋体" w:hAnsi="宋体"/>
                <w:szCs w:val="21"/>
                <w:vertAlign w:val="superscript"/>
                <w:lang w:val="en-US" w:eastAsia="zh-CN"/>
              </w:rPr>
              <w:t>2</w:t>
            </w:r>
            <w:r>
              <w:rPr>
                <w:rFonts w:hint="eastAsia" w:ascii="宋体" w:hAnsi="宋体"/>
                <w:szCs w:val="21"/>
                <w:lang w:val="en-US" w:eastAsia="zh-CN"/>
              </w:rPr>
              <w:t>药液用量不少于6L。</w:t>
            </w:r>
          </w:p>
        </w:tc>
        <w:tc>
          <w:tcPr>
            <w:tcW w:w="1590" w:type="dxa"/>
            <w:vAlign w:val="center"/>
          </w:tcPr>
          <w:p w14:paraId="7451AD9E">
            <w:pPr>
              <w:pStyle w:val="61"/>
              <w:numPr>
                <w:ilvl w:val="0"/>
                <w:numId w:val="0"/>
              </w:numPr>
              <w:jc w:val="center"/>
              <w:rPr>
                <w:rFonts w:hint="default" w:hAnsi="宋体" w:cs="宋体"/>
                <w:szCs w:val="21"/>
                <w:vertAlign w:val="baseline"/>
                <w:lang w:val="en-US" w:eastAsia="zh-CN"/>
              </w:rPr>
            </w:pPr>
            <w:r>
              <w:rPr>
                <w:rFonts w:hint="eastAsia" w:hAnsi="宋体" w:cs="宋体"/>
                <w:szCs w:val="21"/>
                <w:vertAlign w:val="baseline"/>
                <w:lang w:val="en-US" w:eastAsia="zh-CN"/>
              </w:rPr>
              <w:t>喷雾</w:t>
            </w:r>
          </w:p>
        </w:tc>
      </w:tr>
      <w:tr w14:paraId="6CAA0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vAlign w:val="center"/>
          </w:tcPr>
          <w:p w14:paraId="14E4D4CC">
            <w:pPr>
              <w:pStyle w:val="61"/>
              <w:numPr>
                <w:ilvl w:val="0"/>
                <w:numId w:val="0"/>
              </w:numPr>
              <w:jc w:val="center"/>
              <w:rPr>
                <w:rFonts w:hint="default" w:hAnsi="宋体" w:cs="宋体"/>
                <w:szCs w:val="21"/>
                <w:vertAlign w:val="baseline"/>
                <w:lang w:val="en-US" w:eastAsia="zh-CN"/>
              </w:rPr>
            </w:pPr>
            <w:r>
              <w:rPr>
                <w:rFonts w:hint="eastAsia" w:hAnsi="宋体" w:cs="宋体"/>
                <w:szCs w:val="21"/>
                <w:vertAlign w:val="baseline"/>
                <w:lang w:val="en-US" w:eastAsia="zh-CN"/>
              </w:rPr>
              <w:t>双子叶阔叶杂草</w:t>
            </w:r>
          </w:p>
        </w:tc>
        <w:tc>
          <w:tcPr>
            <w:tcW w:w="1778" w:type="dxa"/>
            <w:vAlign w:val="center"/>
          </w:tcPr>
          <w:p w14:paraId="5F3187A4">
            <w:pPr>
              <w:pStyle w:val="61"/>
              <w:numPr>
                <w:ilvl w:val="0"/>
                <w:numId w:val="0"/>
              </w:numPr>
              <w:jc w:val="center"/>
              <w:rPr>
                <w:rFonts w:hint="default" w:hAnsi="宋体" w:cs="宋体"/>
                <w:szCs w:val="21"/>
                <w:vertAlign w:val="baseline"/>
                <w:lang w:val="en-US" w:eastAsia="zh-CN"/>
              </w:rPr>
            </w:pPr>
            <w:r>
              <w:rPr>
                <w:rFonts w:hint="eastAsia" w:hAnsi="宋体" w:cs="宋体"/>
                <w:szCs w:val="21"/>
                <w:vertAlign w:val="baseline"/>
                <w:lang w:val="en-US" w:eastAsia="zh-CN"/>
              </w:rPr>
              <w:t>苗期</w:t>
            </w:r>
          </w:p>
        </w:tc>
        <w:tc>
          <w:tcPr>
            <w:tcW w:w="4492" w:type="dxa"/>
            <w:vAlign w:val="center"/>
          </w:tcPr>
          <w:p w14:paraId="1F6EF566">
            <w:pPr>
              <w:pStyle w:val="61"/>
              <w:numPr>
                <w:ilvl w:val="0"/>
                <w:numId w:val="0"/>
              </w:numPr>
              <w:jc w:val="left"/>
              <w:rPr>
                <w:rFonts w:hint="default" w:ascii="宋体" w:hAnsi="宋体"/>
                <w:szCs w:val="21"/>
                <w:lang w:val="en-US" w:eastAsia="zh-CN"/>
              </w:rPr>
            </w:pPr>
            <w:r>
              <w:rPr>
                <w:rFonts w:hint="eastAsia" w:ascii="宋体" w:hAnsi="宋体"/>
                <w:szCs w:val="21"/>
                <w:lang w:val="en-US" w:eastAsia="zh-CN"/>
              </w:rPr>
              <w:t>油菜4-5叶期、杂草2-3叶期</w:t>
            </w:r>
            <w:r>
              <w:rPr>
                <w:rFonts w:hint="eastAsia" w:hAnsi="宋体"/>
                <w:szCs w:val="21"/>
                <w:lang w:val="en-US" w:eastAsia="zh-CN"/>
              </w:rPr>
              <w:t>，</w:t>
            </w:r>
            <w:r>
              <w:rPr>
                <w:rFonts w:hint="default" w:ascii="宋体" w:hAnsi="Times New Roman" w:eastAsia="宋体" w:cs="Times New Roman"/>
                <w:kern w:val="0"/>
                <w:sz w:val="21"/>
                <w:szCs w:val="20"/>
                <w:lang w:val="en-US" w:eastAsia="zh-CN" w:bidi="ar-SA"/>
              </w:rPr>
              <w:t>①</w:t>
            </w:r>
            <w:r>
              <w:rPr>
                <w:rFonts w:hint="eastAsia" w:ascii="宋体" w:hAnsi="宋体"/>
                <w:szCs w:val="21"/>
                <w:lang w:val="en-US" w:eastAsia="zh-CN"/>
              </w:rPr>
              <w:t>50%草除灵悬浮剂30-50ml</w:t>
            </w:r>
            <w:r>
              <w:rPr>
                <w:rFonts w:hint="eastAsia" w:hAnsi="宋体"/>
                <w:szCs w:val="21"/>
                <w:lang w:val="en-US" w:eastAsia="zh-CN"/>
              </w:rPr>
              <w:t>/</w:t>
            </w:r>
            <w:r>
              <w:rPr>
                <w:rFonts w:hint="eastAsia" w:ascii="宋体" w:hAnsi="宋体"/>
                <w:szCs w:val="21"/>
                <w:lang w:val="en-US" w:eastAsia="zh-CN"/>
              </w:rPr>
              <w:t>666.7m</w:t>
            </w:r>
            <w:r>
              <w:rPr>
                <w:rFonts w:hint="eastAsia" w:ascii="宋体" w:hAnsi="宋体"/>
                <w:szCs w:val="21"/>
                <w:vertAlign w:val="superscript"/>
                <w:lang w:val="en-US" w:eastAsia="zh-CN"/>
              </w:rPr>
              <w:t>2</w:t>
            </w:r>
            <w:r>
              <w:rPr>
                <w:rFonts w:hint="eastAsia" w:ascii="宋体" w:hAnsi="宋体"/>
                <w:szCs w:val="21"/>
                <w:lang w:val="en-US" w:eastAsia="zh-CN"/>
              </w:rPr>
              <w:t>兑水30-40</w:t>
            </w:r>
            <w:r>
              <w:rPr>
                <w:rFonts w:hint="eastAsia" w:hAnsi="宋体"/>
                <w:szCs w:val="21"/>
                <w:lang w:val="en-US" w:eastAsia="zh-CN"/>
              </w:rPr>
              <w:t>k</w:t>
            </w:r>
            <w:r>
              <w:rPr>
                <w:rFonts w:hint="eastAsia" w:ascii="宋体" w:hAnsi="宋体"/>
                <w:szCs w:val="21"/>
                <w:lang w:val="en-US" w:eastAsia="zh-CN"/>
              </w:rPr>
              <w:t>g</w:t>
            </w:r>
            <w:r>
              <w:rPr>
                <w:rFonts w:hint="eastAsia" w:hAnsi="宋体"/>
                <w:szCs w:val="21"/>
                <w:lang w:val="en-US" w:eastAsia="zh-CN"/>
              </w:rPr>
              <w:t>；</w:t>
            </w:r>
            <w:r>
              <w:rPr>
                <w:rFonts w:hint="eastAsia" w:ascii="宋体" w:hAnsi="Times New Roman" w:eastAsia="宋体" w:cs="Times New Roman"/>
                <w:kern w:val="0"/>
                <w:sz w:val="21"/>
                <w:szCs w:val="20"/>
                <w:lang w:val="en-US" w:eastAsia="zh-CN" w:bidi="ar-SA"/>
              </w:rPr>
              <w:t>②</w:t>
            </w:r>
            <w:r>
              <w:rPr>
                <w:rFonts w:hint="eastAsia" w:ascii="宋体" w:hAnsi="宋体"/>
                <w:szCs w:val="21"/>
                <w:lang w:val="en-US" w:eastAsia="zh-CN"/>
              </w:rPr>
              <w:t>30%二氯吡啶酸水剂35-60ml</w:t>
            </w:r>
            <w:r>
              <w:rPr>
                <w:rFonts w:hint="eastAsia" w:hAnsi="宋体"/>
                <w:szCs w:val="21"/>
                <w:lang w:val="en-US" w:eastAsia="zh-CN"/>
              </w:rPr>
              <w:t>/</w:t>
            </w:r>
            <w:r>
              <w:rPr>
                <w:rFonts w:hint="eastAsia" w:ascii="宋体" w:hAnsi="宋体"/>
                <w:szCs w:val="21"/>
                <w:lang w:val="en-US" w:eastAsia="zh-CN"/>
              </w:rPr>
              <w:t>666.7m</w:t>
            </w:r>
            <w:r>
              <w:rPr>
                <w:rFonts w:hint="eastAsia" w:ascii="宋体" w:hAnsi="宋体"/>
                <w:szCs w:val="21"/>
                <w:vertAlign w:val="superscript"/>
                <w:lang w:val="en-US" w:eastAsia="zh-CN"/>
              </w:rPr>
              <w:t>2</w:t>
            </w:r>
            <w:r>
              <w:rPr>
                <w:rFonts w:hint="eastAsia" w:ascii="宋体" w:hAnsi="宋体"/>
                <w:szCs w:val="21"/>
                <w:lang w:val="en-US" w:eastAsia="zh-CN"/>
              </w:rPr>
              <w:t>兑水30-40</w:t>
            </w:r>
            <w:r>
              <w:rPr>
                <w:rFonts w:hint="eastAsia" w:hAnsi="宋体"/>
                <w:szCs w:val="21"/>
                <w:lang w:val="en-US" w:eastAsia="zh-CN"/>
              </w:rPr>
              <w:t>k</w:t>
            </w:r>
            <w:r>
              <w:rPr>
                <w:rFonts w:hint="eastAsia" w:ascii="宋体" w:hAnsi="宋体"/>
                <w:szCs w:val="21"/>
                <w:lang w:val="en-US" w:eastAsia="zh-CN"/>
              </w:rPr>
              <w:t>g</w:t>
            </w:r>
            <w:r>
              <w:rPr>
                <w:rFonts w:hint="eastAsia" w:hAnsi="宋体"/>
                <w:szCs w:val="21"/>
                <w:lang w:val="en-US" w:eastAsia="zh-CN"/>
              </w:rPr>
              <w:t>。</w:t>
            </w:r>
            <w:r>
              <w:rPr>
                <w:rFonts w:hint="eastAsia" w:ascii="宋体" w:hAnsi="宋体"/>
                <w:szCs w:val="21"/>
                <w:lang w:val="en-US" w:eastAsia="zh-CN"/>
              </w:rPr>
              <w:t>无人机喷施时，每666.7m</w:t>
            </w:r>
            <w:r>
              <w:rPr>
                <w:rFonts w:hint="eastAsia" w:ascii="宋体" w:hAnsi="宋体"/>
                <w:szCs w:val="21"/>
                <w:vertAlign w:val="superscript"/>
                <w:lang w:val="en-US" w:eastAsia="zh-CN"/>
              </w:rPr>
              <w:t>2</w:t>
            </w:r>
            <w:r>
              <w:rPr>
                <w:rFonts w:hint="eastAsia" w:ascii="宋体" w:hAnsi="宋体"/>
                <w:szCs w:val="21"/>
                <w:lang w:val="en-US" w:eastAsia="zh-CN"/>
              </w:rPr>
              <w:t>药液用量不少于6L。</w:t>
            </w:r>
          </w:p>
        </w:tc>
        <w:tc>
          <w:tcPr>
            <w:tcW w:w="1590" w:type="dxa"/>
            <w:vAlign w:val="center"/>
          </w:tcPr>
          <w:p w14:paraId="3DF4F58A">
            <w:pPr>
              <w:pStyle w:val="61"/>
              <w:numPr>
                <w:ilvl w:val="0"/>
                <w:numId w:val="0"/>
              </w:numPr>
              <w:jc w:val="center"/>
              <w:rPr>
                <w:rFonts w:hint="default" w:hAnsi="宋体" w:cs="宋体"/>
                <w:szCs w:val="21"/>
                <w:vertAlign w:val="baseline"/>
                <w:lang w:val="en-US" w:eastAsia="zh-CN"/>
              </w:rPr>
            </w:pPr>
            <w:r>
              <w:rPr>
                <w:rFonts w:hint="eastAsia" w:hAnsi="宋体" w:cs="宋体"/>
                <w:szCs w:val="21"/>
                <w:vertAlign w:val="baseline"/>
                <w:lang w:val="en-US" w:eastAsia="zh-CN"/>
              </w:rPr>
              <w:t>喷雾</w:t>
            </w:r>
          </w:p>
        </w:tc>
      </w:tr>
    </w:tbl>
    <w:p w14:paraId="5719DB8C">
      <w:pPr>
        <w:pStyle w:val="61"/>
        <w:numPr>
          <w:ilvl w:val="0"/>
          <w:numId w:val="0"/>
        </w:numPr>
        <w:jc w:val="center"/>
        <w:rPr>
          <w:rFonts w:hint="eastAsia" w:ascii="黑体" w:hAnsi="黑体" w:eastAsia="黑体" w:cs="Times New Roman"/>
          <w:szCs w:val="21"/>
          <w:lang w:val="en-US" w:eastAsia="zh-CN"/>
        </w:rPr>
      </w:pPr>
    </w:p>
    <w:p w14:paraId="322E37AB">
      <w:pPr>
        <w:pStyle w:val="61"/>
        <w:numPr>
          <w:ilvl w:val="0"/>
          <w:numId w:val="0"/>
        </w:numPr>
        <w:rPr>
          <w:rFonts w:hint="default"/>
          <w:lang w:val="en-US" w:eastAsia="zh-CN"/>
        </w:rPr>
      </w:pPr>
    </w:p>
    <w:p w14:paraId="48DBE57E">
      <w:pPr>
        <w:pStyle w:val="61"/>
        <w:numPr>
          <w:ilvl w:val="0"/>
          <w:numId w:val="0"/>
        </w:numPr>
        <w:rPr>
          <w:rFonts w:hint="default"/>
          <w:lang w:val="en-US" w:eastAsia="zh-CN"/>
        </w:rPr>
      </w:pPr>
    </w:p>
    <w:p w14:paraId="7DB85BD6">
      <w:pPr>
        <w:pStyle w:val="61"/>
        <w:numPr>
          <w:ilvl w:val="0"/>
          <w:numId w:val="0"/>
        </w:numPr>
        <w:rPr>
          <w:rFonts w:hint="default"/>
          <w:lang w:val="en-US" w:eastAsia="zh-CN"/>
        </w:rPr>
      </w:pPr>
    </w:p>
    <w:p w14:paraId="33CB9CC3">
      <w:pPr>
        <w:pStyle w:val="61"/>
        <w:numPr>
          <w:ilvl w:val="0"/>
          <w:numId w:val="0"/>
        </w:numPr>
        <w:rPr>
          <w:rFonts w:hint="default"/>
          <w:lang w:val="en-US" w:eastAsia="zh-CN"/>
        </w:rPr>
      </w:pPr>
    </w:p>
    <w:p w14:paraId="64373A47">
      <w:pPr>
        <w:pStyle w:val="61"/>
        <w:numPr>
          <w:ilvl w:val="0"/>
          <w:numId w:val="0"/>
        </w:numPr>
        <w:rPr>
          <w:rFonts w:hint="default"/>
          <w:lang w:val="en-US" w:eastAsia="zh-CN"/>
        </w:rPr>
      </w:pPr>
    </w:p>
    <w:p w14:paraId="2716D970">
      <w:pPr>
        <w:pStyle w:val="61"/>
        <w:numPr>
          <w:ilvl w:val="0"/>
          <w:numId w:val="0"/>
        </w:numPr>
        <w:rPr>
          <w:rFonts w:hint="default"/>
          <w:lang w:val="en-US" w:eastAsia="zh-CN"/>
        </w:rPr>
      </w:pPr>
    </w:p>
    <w:p w14:paraId="53619529">
      <w:pPr>
        <w:pStyle w:val="61"/>
        <w:numPr>
          <w:ilvl w:val="0"/>
          <w:numId w:val="0"/>
        </w:numPr>
        <w:rPr>
          <w:rFonts w:hint="default"/>
          <w:lang w:val="en-US" w:eastAsia="zh-CN"/>
        </w:rPr>
      </w:pPr>
    </w:p>
    <w:p w14:paraId="5CB565A1">
      <w:pPr>
        <w:pStyle w:val="61"/>
        <w:numPr>
          <w:ilvl w:val="0"/>
          <w:numId w:val="0"/>
        </w:numPr>
        <w:rPr>
          <w:rFonts w:hint="default"/>
          <w:lang w:val="en-US" w:eastAsia="zh-CN"/>
        </w:rPr>
      </w:pPr>
    </w:p>
    <w:p w14:paraId="4F5F7DB6">
      <w:pPr>
        <w:pStyle w:val="61"/>
        <w:numPr>
          <w:ilvl w:val="0"/>
          <w:numId w:val="0"/>
        </w:numPr>
        <w:jc w:val="center"/>
        <w:rPr>
          <w:rFonts w:hint="eastAsia"/>
          <w:lang w:val="en-US" w:eastAsia="zh-CN"/>
        </w:rPr>
      </w:pPr>
      <w:r>
        <w:rPr>
          <w:rFonts w:hint="eastAsia"/>
          <w:lang w:val="en-US" w:eastAsia="zh-CN"/>
        </w:rPr>
        <w:t>附录B</w:t>
      </w:r>
    </w:p>
    <w:p w14:paraId="165A29BA">
      <w:pPr>
        <w:pStyle w:val="61"/>
        <w:numPr>
          <w:ilvl w:val="0"/>
          <w:numId w:val="0"/>
        </w:numPr>
        <w:jc w:val="center"/>
        <w:rPr>
          <w:rFonts w:hint="eastAsia"/>
          <w:lang w:val="en-US" w:eastAsia="zh-CN"/>
        </w:rPr>
      </w:pPr>
      <w:r>
        <w:rPr>
          <w:rFonts w:hint="eastAsia"/>
          <w:lang w:val="en-US" w:eastAsia="zh-CN"/>
        </w:rPr>
        <w:t>（资料性）</w:t>
      </w:r>
    </w:p>
    <w:p w14:paraId="4E9C5DFE">
      <w:pPr>
        <w:pStyle w:val="61"/>
        <w:numPr>
          <w:ilvl w:val="0"/>
          <w:numId w:val="0"/>
        </w:numPr>
        <w:jc w:val="center"/>
        <w:rPr>
          <w:rFonts w:hint="eastAsia" w:ascii="黑体" w:hAnsi="黑体" w:eastAsia="黑体" w:cs="Times New Roman"/>
          <w:szCs w:val="21"/>
          <w:lang w:val="en-US" w:eastAsia="zh-CN"/>
        </w:rPr>
      </w:pPr>
      <w:r>
        <w:rPr>
          <w:rFonts w:hint="eastAsia" w:ascii="黑体" w:hAnsi="黑体" w:eastAsia="黑体" w:cs="Times New Roman"/>
          <w:szCs w:val="21"/>
          <w:lang w:val="en-US" w:eastAsia="zh-CN"/>
        </w:rPr>
        <w:t>油菜花期病虫害防控</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1770"/>
        <w:gridCol w:w="3990"/>
        <w:gridCol w:w="2168"/>
      </w:tblGrid>
      <w:tr w14:paraId="73BDA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Pr>
          <w:p w14:paraId="1504CF74">
            <w:pPr>
              <w:pStyle w:val="61"/>
              <w:numPr>
                <w:ilvl w:val="0"/>
                <w:numId w:val="0"/>
              </w:numPr>
              <w:jc w:val="center"/>
              <w:rPr>
                <w:rFonts w:hint="eastAsia" w:ascii="宋体" w:hAnsi="宋体" w:eastAsia="宋体" w:cs="宋体"/>
                <w:szCs w:val="21"/>
                <w:vertAlign w:val="baseline"/>
                <w:lang w:val="en-US" w:eastAsia="zh-CN"/>
              </w:rPr>
            </w:pPr>
            <w:r>
              <w:rPr>
                <w:rFonts w:hint="eastAsia" w:ascii="宋体" w:hAnsi="宋体" w:eastAsia="宋体" w:cs="宋体"/>
                <w:szCs w:val="21"/>
                <w:vertAlign w:val="baseline"/>
                <w:lang w:val="en-US" w:eastAsia="zh-CN"/>
              </w:rPr>
              <w:t>病虫草</w:t>
            </w:r>
          </w:p>
          <w:p w14:paraId="22D779CC">
            <w:pPr>
              <w:pStyle w:val="61"/>
              <w:numPr>
                <w:ilvl w:val="0"/>
                <w:numId w:val="0"/>
              </w:numPr>
              <w:jc w:val="center"/>
              <w:rPr>
                <w:rFonts w:hint="default" w:ascii="黑体" w:hAnsi="黑体" w:eastAsia="黑体" w:cs="Times New Roman"/>
                <w:szCs w:val="21"/>
                <w:vertAlign w:val="baseline"/>
                <w:lang w:val="en-US" w:eastAsia="zh-CN"/>
              </w:rPr>
            </w:pPr>
            <w:r>
              <w:rPr>
                <w:rFonts w:hint="eastAsia" w:ascii="宋体" w:hAnsi="宋体" w:eastAsia="宋体" w:cs="宋体"/>
                <w:szCs w:val="21"/>
                <w:vertAlign w:val="baseline"/>
                <w:lang w:val="en-US" w:eastAsia="zh-CN"/>
              </w:rPr>
              <w:t>害种类</w:t>
            </w:r>
          </w:p>
        </w:tc>
        <w:tc>
          <w:tcPr>
            <w:tcW w:w="1770" w:type="dxa"/>
            <w:shd w:val="clear" w:color="auto" w:fill="auto"/>
            <w:vAlign w:val="center"/>
          </w:tcPr>
          <w:p w14:paraId="247861D2">
            <w:pPr>
              <w:widowControl/>
              <w:jc w:val="center"/>
              <w:rPr>
                <w:rFonts w:hint="eastAsia" w:ascii="Times New Roman" w:hAnsi="Times New Roman" w:eastAsia="宋体" w:cs="Times New Roman"/>
                <w:b w:val="0"/>
                <w:bCs/>
                <w:kern w:val="0"/>
                <w:sz w:val="21"/>
                <w:szCs w:val="21"/>
                <w:lang w:val="en-US" w:eastAsia="zh-CN" w:bidi="ar-SA"/>
              </w:rPr>
            </w:pPr>
            <w:r>
              <w:rPr>
                <w:b w:val="0"/>
                <w:bCs/>
                <w:kern w:val="0"/>
                <w:szCs w:val="21"/>
              </w:rPr>
              <w:t>防治时期</w:t>
            </w:r>
          </w:p>
        </w:tc>
        <w:tc>
          <w:tcPr>
            <w:tcW w:w="3990" w:type="dxa"/>
            <w:shd w:val="clear" w:color="auto" w:fill="auto"/>
            <w:vAlign w:val="center"/>
          </w:tcPr>
          <w:p w14:paraId="32C4D75C">
            <w:pPr>
              <w:widowControl/>
              <w:jc w:val="center"/>
              <w:rPr>
                <w:rFonts w:hint="eastAsia" w:ascii="Times New Roman" w:hAnsi="Times New Roman" w:eastAsia="宋体" w:cs="Times New Roman"/>
                <w:b w:val="0"/>
                <w:bCs/>
                <w:kern w:val="0"/>
                <w:sz w:val="21"/>
                <w:szCs w:val="21"/>
                <w:lang w:val="en-US" w:eastAsia="zh-CN" w:bidi="ar-SA"/>
              </w:rPr>
            </w:pPr>
            <w:r>
              <w:rPr>
                <w:b w:val="0"/>
                <w:bCs/>
                <w:kern w:val="0"/>
                <w:szCs w:val="21"/>
              </w:rPr>
              <w:t>防治药剂</w:t>
            </w:r>
            <w:r>
              <w:rPr>
                <w:rFonts w:hint="eastAsia"/>
                <w:b w:val="0"/>
                <w:bCs/>
                <w:kern w:val="0"/>
                <w:szCs w:val="21"/>
                <w:lang w:eastAsia="zh-CN"/>
              </w:rPr>
              <w:t>、</w:t>
            </w:r>
            <w:r>
              <w:rPr>
                <w:rFonts w:hint="eastAsia"/>
                <w:b w:val="0"/>
                <w:bCs/>
                <w:kern w:val="0"/>
                <w:szCs w:val="21"/>
                <w:lang w:val="en-US" w:eastAsia="zh-CN"/>
              </w:rPr>
              <w:t>浓度及</w:t>
            </w:r>
            <w:r>
              <w:rPr>
                <w:b w:val="0"/>
                <w:bCs/>
                <w:kern w:val="0"/>
                <w:szCs w:val="21"/>
              </w:rPr>
              <w:t>每667 m</w:t>
            </w:r>
            <w:r>
              <w:rPr>
                <w:b w:val="0"/>
                <w:bCs/>
                <w:kern w:val="0"/>
                <w:szCs w:val="21"/>
                <w:vertAlign w:val="superscript"/>
              </w:rPr>
              <w:t>2</w:t>
            </w:r>
            <w:r>
              <w:rPr>
                <w:b w:val="0"/>
                <w:bCs/>
                <w:kern w:val="0"/>
                <w:szCs w:val="21"/>
              </w:rPr>
              <w:t>用量</w:t>
            </w:r>
          </w:p>
        </w:tc>
        <w:tc>
          <w:tcPr>
            <w:tcW w:w="2168" w:type="dxa"/>
            <w:shd w:val="clear" w:color="auto" w:fill="auto"/>
            <w:vAlign w:val="center"/>
          </w:tcPr>
          <w:p w14:paraId="631350E8">
            <w:pPr>
              <w:widowControl/>
              <w:jc w:val="center"/>
              <w:rPr>
                <w:rFonts w:hint="eastAsia" w:ascii="Times New Roman" w:hAnsi="Times New Roman" w:eastAsia="宋体" w:cs="Times New Roman"/>
                <w:b w:val="0"/>
                <w:bCs/>
                <w:kern w:val="0"/>
                <w:sz w:val="21"/>
                <w:szCs w:val="21"/>
                <w:lang w:val="en-US" w:eastAsia="zh-CN" w:bidi="ar-SA"/>
              </w:rPr>
            </w:pPr>
            <w:r>
              <w:rPr>
                <w:b w:val="0"/>
                <w:bCs/>
                <w:kern w:val="0"/>
                <w:szCs w:val="21"/>
              </w:rPr>
              <w:t>用药方法</w:t>
            </w:r>
          </w:p>
        </w:tc>
      </w:tr>
      <w:tr w14:paraId="45D96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vAlign w:val="center"/>
          </w:tcPr>
          <w:p w14:paraId="77D5C637">
            <w:pPr>
              <w:pStyle w:val="61"/>
              <w:numPr>
                <w:ilvl w:val="0"/>
                <w:numId w:val="0"/>
              </w:numPr>
              <w:jc w:val="center"/>
              <w:rPr>
                <w:rFonts w:hint="eastAsia" w:ascii="宋体" w:hAnsi="宋体" w:eastAsia="宋体" w:cs="宋体"/>
                <w:szCs w:val="21"/>
                <w:vertAlign w:val="baseline"/>
                <w:lang w:val="en-US" w:eastAsia="zh-CN"/>
              </w:rPr>
            </w:pPr>
            <w:r>
              <w:rPr>
                <w:rFonts w:hint="eastAsia" w:ascii="宋体" w:hAnsi="宋体" w:eastAsia="宋体" w:cs="宋体"/>
                <w:szCs w:val="21"/>
                <w:vertAlign w:val="baseline"/>
                <w:lang w:val="en-US" w:eastAsia="zh-CN"/>
              </w:rPr>
              <w:t>菌核病</w:t>
            </w:r>
          </w:p>
        </w:tc>
        <w:tc>
          <w:tcPr>
            <w:tcW w:w="1770" w:type="dxa"/>
            <w:vAlign w:val="center"/>
          </w:tcPr>
          <w:p w14:paraId="7EAEA024">
            <w:pPr>
              <w:pStyle w:val="61"/>
              <w:numPr>
                <w:ilvl w:val="0"/>
                <w:numId w:val="0"/>
              </w:numPr>
              <w:jc w:val="center"/>
              <w:rPr>
                <w:rFonts w:hint="default" w:ascii="宋体" w:hAnsi="宋体" w:eastAsia="宋体" w:cs="宋体"/>
                <w:szCs w:val="21"/>
                <w:vertAlign w:val="baseline"/>
                <w:lang w:val="en-US" w:eastAsia="zh-CN"/>
              </w:rPr>
            </w:pPr>
            <w:r>
              <w:rPr>
                <w:rFonts w:hint="eastAsia" w:hAnsi="宋体" w:cs="宋体"/>
                <w:szCs w:val="21"/>
                <w:vertAlign w:val="baseline"/>
                <w:lang w:val="en-US" w:eastAsia="zh-CN"/>
              </w:rPr>
              <w:t>花期</w:t>
            </w:r>
          </w:p>
        </w:tc>
        <w:tc>
          <w:tcPr>
            <w:tcW w:w="3990" w:type="dxa"/>
            <w:vAlign w:val="center"/>
          </w:tcPr>
          <w:p w14:paraId="30BC2D36">
            <w:pPr>
              <w:pStyle w:val="61"/>
              <w:numPr>
                <w:ilvl w:val="0"/>
                <w:numId w:val="0"/>
              </w:numPr>
              <w:jc w:val="left"/>
              <w:rPr>
                <w:rFonts w:hint="eastAsia" w:ascii="宋体" w:hAnsi="宋体" w:eastAsia="宋体" w:cs="宋体"/>
                <w:szCs w:val="21"/>
                <w:vertAlign w:val="baseline"/>
                <w:lang w:val="en-US" w:eastAsia="zh-CN"/>
              </w:rPr>
            </w:pPr>
            <w:r>
              <w:rPr>
                <w:rFonts w:ascii="宋体" w:cs="宋体"/>
                <w:kern w:val="0"/>
                <w:szCs w:val="21"/>
              </w:rPr>
              <w:t>在油菜初花和盛花期，</w:t>
            </w:r>
            <w:r>
              <w:rPr>
                <w:rFonts w:hint="default" w:ascii="宋体" w:hAnsi="Times New Roman" w:eastAsia="宋体" w:cs="Times New Roman"/>
                <w:kern w:val="0"/>
                <w:sz w:val="21"/>
                <w:szCs w:val="20"/>
                <w:lang w:val="en-US" w:eastAsia="zh-CN" w:bidi="ar-SA"/>
              </w:rPr>
              <w:t>①</w:t>
            </w:r>
            <w:r>
              <w:rPr>
                <w:rFonts w:hint="eastAsia" w:ascii="宋体" w:cs="宋体"/>
                <w:kern w:val="0"/>
                <w:szCs w:val="21"/>
                <w:lang w:val="en-US" w:eastAsia="zh-CN"/>
              </w:rPr>
              <w:t>200g/L氟唑菌酰羟胺悬浮剂50ml</w:t>
            </w:r>
            <w:r>
              <w:rPr>
                <w:rFonts w:hint="eastAsia" w:cs="宋体"/>
                <w:kern w:val="0"/>
                <w:szCs w:val="21"/>
                <w:lang w:val="en-US" w:eastAsia="zh-CN"/>
              </w:rPr>
              <w:t>/666.7m</w:t>
            </w:r>
            <w:r>
              <w:rPr>
                <w:rFonts w:hint="eastAsia" w:cs="宋体"/>
                <w:kern w:val="0"/>
                <w:szCs w:val="21"/>
                <w:vertAlign w:val="superscript"/>
                <w:lang w:val="en-US" w:eastAsia="zh-CN"/>
              </w:rPr>
              <w:t>2</w:t>
            </w:r>
            <w:r>
              <w:rPr>
                <w:rFonts w:hint="eastAsia" w:cs="宋体"/>
                <w:kern w:val="0"/>
                <w:szCs w:val="21"/>
                <w:lang w:val="en-US" w:eastAsia="zh-CN"/>
              </w:rPr>
              <w:t>；</w:t>
            </w:r>
            <w:r>
              <w:rPr>
                <w:rFonts w:hint="eastAsia" w:ascii="宋体" w:hAnsi="Times New Roman" w:eastAsia="宋体" w:cs="Times New Roman"/>
                <w:kern w:val="0"/>
                <w:sz w:val="21"/>
                <w:szCs w:val="20"/>
                <w:lang w:val="en-US" w:eastAsia="zh-CN" w:bidi="ar-SA"/>
              </w:rPr>
              <w:t>②</w:t>
            </w:r>
            <w:r>
              <w:rPr>
                <w:rFonts w:hint="eastAsia" w:ascii="宋体" w:cs="宋体"/>
                <w:kern w:val="0"/>
                <w:szCs w:val="21"/>
                <w:lang w:val="en-US" w:eastAsia="zh-CN"/>
              </w:rPr>
              <w:t>50%啶酰菌胺水分散粒剂30-50g</w:t>
            </w:r>
            <w:r>
              <w:rPr>
                <w:rFonts w:hint="eastAsia" w:cs="宋体"/>
                <w:kern w:val="0"/>
                <w:szCs w:val="21"/>
                <w:lang w:val="en-US" w:eastAsia="zh-CN"/>
              </w:rPr>
              <w:t>；</w:t>
            </w:r>
            <w:r>
              <w:rPr>
                <w:rFonts w:hint="eastAsia" w:ascii="宋体" w:hAnsi="Times New Roman" w:eastAsia="宋体" w:cs="Times New Roman"/>
                <w:kern w:val="0"/>
                <w:sz w:val="21"/>
                <w:szCs w:val="20"/>
                <w:lang w:val="en-US" w:eastAsia="zh-CN" w:bidi="ar-SA"/>
              </w:rPr>
              <w:t>③</w:t>
            </w:r>
            <w:r>
              <w:rPr>
                <w:rFonts w:hint="eastAsia" w:ascii="宋体" w:cs="宋体"/>
                <w:kern w:val="0"/>
                <w:szCs w:val="21"/>
                <w:lang w:val="en-US" w:eastAsia="zh-CN"/>
              </w:rPr>
              <w:t>50%腐霉利可湿性粉剂40-60g</w:t>
            </w:r>
            <w:r>
              <w:rPr>
                <w:rFonts w:hint="eastAsia" w:cs="宋体"/>
                <w:kern w:val="0"/>
                <w:szCs w:val="21"/>
                <w:lang w:val="en-US" w:eastAsia="zh-CN"/>
              </w:rPr>
              <w:t>/666.7m</w:t>
            </w:r>
            <w:r>
              <w:rPr>
                <w:rFonts w:hint="eastAsia" w:cs="宋体"/>
                <w:kern w:val="0"/>
                <w:szCs w:val="21"/>
                <w:vertAlign w:val="superscript"/>
                <w:lang w:val="en-US" w:eastAsia="zh-CN"/>
              </w:rPr>
              <w:t>2</w:t>
            </w:r>
            <w:r>
              <w:rPr>
                <w:rFonts w:hint="eastAsia" w:cs="宋体"/>
                <w:kern w:val="0"/>
                <w:szCs w:val="21"/>
                <w:vertAlign w:val="baseline"/>
                <w:lang w:val="en-US" w:eastAsia="zh-CN"/>
              </w:rPr>
              <w:t>。</w:t>
            </w:r>
          </w:p>
        </w:tc>
        <w:tc>
          <w:tcPr>
            <w:tcW w:w="2168" w:type="dxa"/>
            <w:vAlign w:val="center"/>
          </w:tcPr>
          <w:p w14:paraId="5AB479DA">
            <w:pPr>
              <w:pStyle w:val="61"/>
              <w:numPr>
                <w:ilvl w:val="0"/>
                <w:numId w:val="0"/>
              </w:numPr>
              <w:jc w:val="left"/>
              <w:rPr>
                <w:rFonts w:hint="eastAsia" w:ascii="宋体" w:hAnsi="宋体" w:eastAsia="宋体" w:cs="宋体"/>
                <w:szCs w:val="21"/>
                <w:vertAlign w:val="baseline"/>
                <w:lang w:val="en-US" w:eastAsia="zh-CN"/>
              </w:rPr>
            </w:pPr>
            <w:r>
              <w:rPr>
                <w:rFonts w:hint="eastAsia" w:hAnsi="宋体" w:cs="宋体"/>
                <w:szCs w:val="21"/>
                <w:vertAlign w:val="baseline"/>
                <w:lang w:val="en-US" w:eastAsia="zh-CN"/>
              </w:rPr>
              <w:t>无人机</w:t>
            </w:r>
            <w:r>
              <w:rPr>
                <w:rFonts w:hint="eastAsia" w:ascii="宋体" w:hAnsi="宋体" w:eastAsia="宋体" w:cs="宋体"/>
                <w:szCs w:val="21"/>
                <w:vertAlign w:val="baseline"/>
                <w:lang w:val="en-US" w:eastAsia="zh-CN"/>
              </w:rPr>
              <w:t>喷雾</w:t>
            </w:r>
            <w:r>
              <w:rPr>
                <w:rFonts w:hint="eastAsia" w:hAnsi="宋体" w:cs="宋体"/>
                <w:szCs w:val="21"/>
                <w:vertAlign w:val="baseline"/>
                <w:lang w:val="en-US" w:eastAsia="zh-CN"/>
              </w:rPr>
              <w:t>。</w:t>
            </w:r>
          </w:p>
          <w:p w14:paraId="1E0079A7">
            <w:pPr>
              <w:pStyle w:val="61"/>
              <w:numPr>
                <w:ilvl w:val="0"/>
                <w:numId w:val="0"/>
              </w:numPr>
              <w:jc w:val="left"/>
              <w:rPr>
                <w:rFonts w:hint="eastAsia" w:ascii="宋体" w:hAnsi="宋体" w:eastAsia="宋体" w:cs="宋体"/>
                <w:szCs w:val="21"/>
                <w:vertAlign w:val="baseline"/>
                <w:lang w:val="en-US" w:eastAsia="zh-CN"/>
              </w:rPr>
            </w:pPr>
            <w:r>
              <w:rPr>
                <w:rFonts w:hint="eastAsia" w:ascii="宋体" w:cs="宋体"/>
                <w:kern w:val="0"/>
                <w:szCs w:val="21"/>
                <w:lang w:val="en-US" w:eastAsia="zh-CN"/>
              </w:rPr>
              <w:t>无人机飞行高度距植株顶部高度2.0m，飞行速度为4m/s，雾滴粒径120µm。</w:t>
            </w:r>
            <w:r>
              <w:rPr>
                <w:rFonts w:hint="eastAsia" w:cs="宋体"/>
                <w:kern w:val="0"/>
                <w:szCs w:val="21"/>
                <w:lang w:val="en-US" w:eastAsia="zh-CN"/>
              </w:rPr>
              <w:t>于</w:t>
            </w:r>
            <w:r>
              <w:rPr>
                <w:rFonts w:hint="eastAsia" w:ascii="宋体" w:cs="宋体"/>
                <w:kern w:val="0"/>
                <w:szCs w:val="21"/>
                <w:lang w:val="en-US" w:eastAsia="zh-CN"/>
              </w:rPr>
              <w:t>晴天午后无人机喷施。</w:t>
            </w:r>
          </w:p>
        </w:tc>
      </w:tr>
      <w:tr w14:paraId="6707A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vAlign w:val="center"/>
          </w:tcPr>
          <w:p w14:paraId="1614C25C">
            <w:pPr>
              <w:pStyle w:val="61"/>
              <w:numPr>
                <w:ilvl w:val="0"/>
                <w:numId w:val="0"/>
              </w:numPr>
              <w:jc w:val="center"/>
              <w:rPr>
                <w:rFonts w:hint="default" w:ascii="宋体" w:hAnsi="宋体" w:eastAsia="宋体" w:cs="宋体"/>
                <w:kern w:val="0"/>
                <w:sz w:val="21"/>
                <w:szCs w:val="20"/>
                <w:lang w:val="en-US" w:eastAsia="zh-CN" w:bidi="ar-SA"/>
              </w:rPr>
            </w:pPr>
            <w:r>
              <w:rPr>
                <w:rFonts w:hint="eastAsia" w:ascii="宋体" w:hAnsi="宋体" w:eastAsia="宋体" w:cs="宋体"/>
                <w:kern w:val="0"/>
                <w:sz w:val="21"/>
                <w:szCs w:val="20"/>
                <w:lang w:val="en-US" w:eastAsia="zh-CN" w:bidi="ar-SA"/>
              </w:rPr>
              <w:t>蚜虫</w:t>
            </w:r>
          </w:p>
        </w:tc>
        <w:tc>
          <w:tcPr>
            <w:tcW w:w="1770" w:type="dxa"/>
            <w:vAlign w:val="center"/>
          </w:tcPr>
          <w:p w14:paraId="0B7FB776">
            <w:pPr>
              <w:pStyle w:val="61"/>
              <w:numPr>
                <w:ilvl w:val="0"/>
                <w:numId w:val="0"/>
              </w:numPr>
              <w:jc w:val="center"/>
              <w:rPr>
                <w:rFonts w:hint="default" w:ascii="宋体" w:hAnsi="宋体" w:eastAsia="宋体" w:cs="宋体"/>
                <w:kern w:val="0"/>
                <w:sz w:val="21"/>
                <w:szCs w:val="20"/>
                <w:lang w:val="en-US" w:eastAsia="zh-CN" w:bidi="ar-SA"/>
              </w:rPr>
            </w:pPr>
            <w:r>
              <w:rPr>
                <w:rFonts w:hint="eastAsia" w:hAnsi="宋体" w:cs="宋体"/>
                <w:kern w:val="0"/>
                <w:sz w:val="21"/>
                <w:szCs w:val="20"/>
                <w:lang w:val="en-US" w:eastAsia="zh-CN" w:bidi="ar-SA"/>
              </w:rPr>
              <w:t>花期</w:t>
            </w:r>
          </w:p>
        </w:tc>
        <w:tc>
          <w:tcPr>
            <w:tcW w:w="3990" w:type="dxa"/>
            <w:vAlign w:val="center"/>
          </w:tcPr>
          <w:p w14:paraId="4B699144">
            <w:pPr>
              <w:pStyle w:val="61"/>
              <w:numPr>
                <w:ilvl w:val="0"/>
                <w:numId w:val="0"/>
              </w:numPr>
              <w:jc w:val="left"/>
              <w:rPr>
                <w:rFonts w:hint="default" w:ascii="宋体" w:hAnsi="宋体" w:eastAsia="宋体" w:cs="宋体"/>
                <w:kern w:val="0"/>
                <w:sz w:val="21"/>
                <w:szCs w:val="20"/>
                <w:lang w:val="en-US" w:eastAsia="zh-CN" w:bidi="ar-SA"/>
              </w:rPr>
            </w:pPr>
            <w:bookmarkStart w:id="20" w:name="_GoBack"/>
            <w:bookmarkEnd w:id="20"/>
            <w:r>
              <w:rPr>
                <w:rFonts w:hint="eastAsia" w:ascii="宋体" w:cs="宋体"/>
                <w:kern w:val="0"/>
                <w:szCs w:val="21"/>
                <w:lang w:val="en-US" w:eastAsia="zh-CN"/>
              </w:rPr>
              <w:t>50%抗蚜威10-18g</w:t>
            </w:r>
            <w:r>
              <w:rPr>
                <w:rFonts w:hint="eastAsia" w:cs="宋体"/>
                <w:kern w:val="0"/>
                <w:szCs w:val="21"/>
                <w:lang w:val="en-US" w:eastAsia="zh-CN"/>
              </w:rPr>
              <w:t>/666.7m</w:t>
            </w:r>
            <w:r>
              <w:rPr>
                <w:rFonts w:hint="eastAsia" w:cs="宋体"/>
                <w:kern w:val="0"/>
                <w:szCs w:val="21"/>
                <w:vertAlign w:val="superscript"/>
                <w:lang w:val="en-US" w:eastAsia="zh-CN"/>
              </w:rPr>
              <w:t>2</w:t>
            </w:r>
            <w:r>
              <w:rPr>
                <w:rFonts w:hint="eastAsia" w:cs="宋体"/>
                <w:kern w:val="0"/>
                <w:szCs w:val="21"/>
                <w:lang w:val="en-US" w:eastAsia="zh-CN"/>
              </w:rPr>
              <w:t>；</w:t>
            </w:r>
            <w:r>
              <w:rPr>
                <w:rFonts w:hint="eastAsia" w:ascii="宋体" w:cs="宋体"/>
                <w:kern w:val="0"/>
                <w:szCs w:val="21"/>
                <w:lang w:val="en-US" w:eastAsia="zh-CN"/>
              </w:rPr>
              <w:t>50%可立施（50%氟啶虫胺腈）水分散粒剂3-5g</w:t>
            </w:r>
            <w:r>
              <w:rPr>
                <w:rFonts w:hint="eastAsia" w:cs="宋体"/>
                <w:kern w:val="0"/>
                <w:szCs w:val="21"/>
                <w:lang w:val="en-US" w:eastAsia="zh-CN"/>
              </w:rPr>
              <w:t>/666.7m</w:t>
            </w:r>
            <w:r>
              <w:rPr>
                <w:rFonts w:hint="eastAsia" w:cs="宋体"/>
                <w:kern w:val="0"/>
                <w:szCs w:val="21"/>
                <w:vertAlign w:val="superscript"/>
                <w:lang w:val="en-US" w:eastAsia="zh-CN"/>
              </w:rPr>
              <w:t>2.</w:t>
            </w:r>
          </w:p>
        </w:tc>
        <w:tc>
          <w:tcPr>
            <w:tcW w:w="2168" w:type="dxa"/>
            <w:vAlign w:val="center"/>
          </w:tcPr>
          <w:p w14:paraId="39B1902C">
            <w:pPr>
              <w:pStyle w:val="61"/>
              <w:numPr>
                <w:ilvl w:val="0"/>
                <w:numId w:val="0"/>
              </w:numPr>
              <w:jc w:val="both"/>
              <w:rPr>
                <w:rFonts w:hint="eastAsia" w:hAnsi="宋体" w:cs="宋体"/>
                <w:kern w:val="0"/>
                <w:sz w:val="21"/>
                <w:szCs w:val="20"/>
                <w:lang w:val="en-US" w:eastAsia="zh-CN" w:bidi="ar-SA"/>
              </w:rPr>
            </w:pPr>
            <w:r>
              <w:rPr>
                <w:rFonts w:hint="eastAsia" w:hAnsi="宋体" w:cs="宋体"/>
                <w:kern w:val="0"/>
                <w:sz w:val="21"/>
                <w:szCs w:val="20"/>
                <w:lang w:val="en-US" w:eastAsia="zh-CN" w:bidi="ar-SA"/>
              </w:rPr>
              <w:t>无人机喷雾。</w:t>
            </w:r>
          </w:p>
          <w:p w14:paraId="2E130BA5">
            <w:pPr>
              <w:pStyle w:val="61"/>
              <w:numPr>
                <w:ilvl w:val="0"/>
                <w:numId w:val="0"/>
              </w:numPr>
              <w:jc w:val="both"/>
              <w:rPr>
                <w:rFonts w:hint="default" w:hAnsi="宋体" w:cs="宋体"/>
                <w:kern w:val="0"/>
                <w:sz w:val="21"/>
                <w:szCs w:val="20"/>
                <w:lang w:val="en-US" w:eastAsia="zh-CN" w:bidi="ar-SA"/>
              </w:rPr>
            </w:pPr>
            <w:r>
              <w:rPr>
                <w:rFonts w:hint="eastAsia" w:hAnsi="宋体" w:cs="宋体"/>
                <w:kern w:val="0"/>
                <w:sz w:val="21"/>
                <w:szCs w:val="20"/>
                <w:lang w:val="en-US" w:eastAsia="zh-CN" w:bidi="ar-SA"/>
              </w:rPr>
              <w:t>可与防治菌核病药剂混合一起喷施</w:t>
            </w:r>
          </w:p>
        </w:tc>
      </w:tr>
    </w:tbl>
    <w:p w14:paraId="7BF27B89">
      <w:pPr>
        <w:pStyle w:val="61"/>
        <w:numPr>
          <w:ilvl w:val="0"/>
          <w:numId w:val="0"/>
        </w:numPr>
        <w:rPr>
          <w:rFonts w:hint="default"/>
          <w:lang w:val="en-US" w:eastAsia="zh-CN"/>
        </w:rPr>
      </w:pPr>
    </w:p>
    <w:p w14:paraId="2310FAE9">
      <w:pPr>
        <w:pStyle w:val="61"/>
        <w:numPr>
          <w:ilvl w:val="0"/>
          <w:numId w:val="0"/>
        </w:numPr>
        <w:rPr>
          <w:rFonts w:hint="default"/>
          <w:lang w:val="en-US" w:eastAsia="zh-CN"/>
        </w:rPr>
      </w:pPr>
    </w:p>
    <w:p w14:paraId="65C50804">
      <w:pPr>
        <w:pStyle w:val="61"/>
        <w:numPr>
          <w:ilvl w:val="0"/>
          <w:numId w:val="0"/>
        </w:numPr>
        <w:rPr>
          <w:rFonts w:hint="default"/>
          <w:lang w:val="en-US" w:eastAsia="zh-CN"/>
        </w:rPr>
      </w:pPr>
    </w:p>
    <w:p w14:paraId="22DC6725">
      <w:pPr>
        <w:pStyle w:val="61"/>
        <w:numPr>
          <w:ilvl w:val="0"/>
          <w:numId w:val="0"/>
        </w:numPr>
        <w:rPr>
          <w:rFonts w:hint="default"/>
          <w:lang w:val="en-US" w:eastAsia="zh-CN"/>
        </w:rPr>
      </w:pPr>
    </w:p>
    <w:p w14:paraId="30ACBCB5">
      <w:pPr>
        <w:pStyle w:val="127"/>
        <w:framePr w:wrap="around"/>
      </w:pPr>
      <w:r>
        <w:t>_________________________________</w:t>
      </w:r>
    </w:p>
    <w:sectPr>
      <w:headerReference r:id="rId9" w:type="default"/>
      <w:footerReference r:id="rId10" w:type="default"/>
      <w:pgSz w:w="11906" w:h="16838"/>
      <w:pgMar w:top="567" w:right="1134" w:bottom="1134" w:left="1418" w:header="1418" w:footer="1134" w:gutter="0"/>
      <w:pgNumType w:start="1"/>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91AC6">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766456">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BC64A">
    <w:pPr>
      <w:pStyle w:val="1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5B01DE">
    <w:pPr>
      <w:pStyle w:val="41"/>
    </w:pPr>
    <w:r>
      <w:fldChar w:fldCharType="begin"/>
    </w:r>
    <w:r>
      <w:instrText xml:space="preserve"> PAGE  \* MERGEFORMAT </w:instrText>
    </w:r>
    <w:r>
      <w:fldChar w:fldCharType="separate"/>
    </w:r>
    <w: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2E334">
    <w:pPr>
      <w:pStyle w:val="1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7E5C9">
    <w:pPr>
      <w:pStyle w:val="1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E4584">
    <w:pPr>
      <w:pStyle w:val="1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50EE64">
    <w:pPr>
      <w:pStyle w:val="42"/>
    </w:pPr>
    <w:r>
      <w:t>DB/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BF583A"/>
    <w:multiLevelType w:val="multilevel"/>
    <w:tmpl w:val="1DBF583A"/>
    <w:lvl w:ilvl="0" w:tentative="0">
      <w:start w:val="1"/>
      <w:numFmt w:val="decimal"/>
      <w:pStyle w:val="63"/>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
    <w:nsid w:val="1FC91163"/>
    <w:multiLevelType w:val="multilevel"/>
    <w:tmpl w:val="1FC91163"/>
    <w:lvl w:ilvl="0" w:tentative="0">
      <w:start w:val="1"/>
      <w:numFmt w:val="decimal"/>
      <w:pStyle w:val="43"/>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0"/>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44"/>
      <w:suff w:val="nothing"/>
      <w:lvlText w:val="%1.%2.%3　"/>
      <w:lvlJc w:val="left"/>
      <w:pPr>
        <w:ind w:left="426" w:firstLine="0"/>
      </w:pPr>
      <w:rPr>
        <w:rFonts w:hint="eastAsia" w:ascii="黑体" w:hAnsi="Times New Roman" w:eastAsia="黑体"/>
        <w:b w:val="0"/>
        <w:i w:val="0"/>
        <w:sz w:val="21"/>
      </w:rPr>
    </w:lvl>
    <w:lvl w:ilvl="3" w:tentative="0">
      <w:start w:val="1"/>
      <w:numFmt w:val="decimal"/>
      <w:pStyle w:val="49"/>
      <w:suff w:val="nothing"/>
      <w:lvlText w:val="%1.%2.%3.%4　"/>
      <w:lvlJc w:val="left"/>
      <w:pPr>
        <w:ind w:left="0" w:firstLine="0"/>
      </w:pPr>
      <w:rPr>
        <w:rFonts w:hint="eastAsia" w:ascii="黑体" w:hAnsi="Times New Roman" w:eastAsia="黑体"/>
        <w:b w:val="0"/>
        <w:i w:val="0"/>
        <w:sz w:val="21"/>
      </w:rPr>
    </w:lvl>
    <w:lvl w:ilvl="4" w:tentative="0">
      <w:start w:val="1"/>
      <w:numFmt w:val="decimal"/>
      <w:pStyle w:val="53"/>
      <w:suff w:val="nothing"/>
      <w:lvlText w:val="%1.%2.%3.%4.%5　"/>
      <w:lvlJc w:val="left"/>
      <w:pPr>
        <w:ind w:left="0" w:firstLine="0"/>
      </w:pPr>
      <w:rPr>
        <w:rFonts w:hint="eastAsia" w:ascii="黑体" w:hAnsi="Times New Roman" w:eastAsia="黑体"/>
        <w:b w:val="0"/>
        <w:i w:val="0"/>
        <w:sz w:val="21"/>
      </w:rPr>
    </w:lvl>
    <w:lvl w:ilvl="5" w:tentative="0">
      <w:start w:val="1"/>
      <w:numFmt w:val="decimal"/>
      <w:pStyle w:val="54"/>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2A8F7113"/>
    <w:multiLevelType w:val="multilevel"/>
    <w:tmpl w:val="2A8F7113"/>
    <w:lvl w:ilvl="0" w:tentative="0">
      <w:start w:val="1"/>
      <w:numFmt w:val="upperLetter"/>
      <w:pStyle w:val="96"/>
      <w:suff w:val="space"/>
      <w:lvlText w:val="%1"/>
      <w:lvlJc w:val="left"/>
      <w:pPr>
        <w:ind w:left="623" w:hanging="425"/>
      </w:pPr>
      <w:rPr>
        <w:rFonts w:hint="eastAsia"/>
      </w:rPr>
    </w:lvl>
    <w:lvl w:ilvl="1" w:tentative="0">
      <w:start w:val="1"/>
      <w:numFmt w:val="decimal"/>
      <w:pStyle w:val="97"/>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3">
    <w:nsid w:val="2C5917C3"/>
    <w:multiLevelType w:val="multilevel"/>
    <w:tmpl w:val="2C5917C3"/>
    <w:lvl w:ilvl="0" w:tentative="0">
      <w:start w:val="1"/>
      <w:numFmt w:val="none"/>
      <w:pStyle w:val="46"/>
      <w:suff w:val="nothing"/>
      <w:lvlText w:val="%1——"/>
      <w:lvlJc w:val="left"/>
      <w:pPr>
        <w:ind w:left="833" w:hanging="408"/>
      </w:pPr>
      <w:rPr>
        <w:rFonts w:hint="eastAsia"/>
      </w:rPr>
    </w:lvl>
    <w:lvl w:ilvl="1" w:tentative="0">
      <w:start w:val="1"/>
      <w:numFmt w:val="bullet"/>
      <w:pStyle w:val="47"/>
      <w:lvlText w:val=""/>
      <w:lvlJc w:val="left"/>
      <w:pPr>
        <w:tabs>
          <w:tab w:val="left" w:pos="760"/>
        </w:tabs>
        <w:ind w:left="1264" w:hanging="413"/>
      </w:pPr>
      <w:rPr>
        <w:rFonts w:hint="default" w:ascii="Symbol" w:hAnsi="Symbol"/>
        <w:color w:val="auto"/>
      </w:rPr>
    </w:lvl>
    <w:lvl w:ilvl="2" w:tentative="0">
      <w:start w:val="1"/>
      <w:numFmt w:val="bullet"/>
      <w:pStyle w:val="58"/>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4">
    <w:nsid w:val="3D733618"/>
    <w:multiLevelType w:val="multilevel"/>
    <w:tmpl w:val="3D733618"/>
    <w:lvl w:ilvl="0" w:tentative="0">
      <w:start w:val="1"/>
      <w:numFmt w:val="decimal"/>
      <w:pStyle w:val="23"/>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5">
    <w:nsid w:val="44C50F90"/>
    <w:multiLevelType w:val="multilevel"/>
    <w:tmpl w:val="44C50F90"/>
    <w:lvl w:ilvl="0" w:tentative="0">
      <w:start w:val="1"/>
      <w:numFmt w:val="lowerLetter"/>
      <w:pStyle w:val="57"/>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2"/>
      <w:lvlText w:val="%2)"/>
      <w:lvlJc w:val="left"/>
      <w:pPr>
        <w:tabs>
          <w:tab w:val="left" w:pos="1260"/>
        </w:tabs>
        <w:ind w:left="1259" w:hanging="419"/>
      </w:pPr>
      <w:rPr>
        <w:rFonts w:hint="eastAsia"/>
      </w:rPr>
    </w:lvl>
    <w:lvl w:ilvl="2" w:tentative="0">
      <w:start w:val="1"/>
      <w:numFmt w:val="decimal"/>
      <w:pStyle w:val="59"/>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6">
    <w:nsid w:val="60B55DC2"/>
    <w:multiLevelType w:val="multilevel"/>
    <w:tmpl w:val="60B55DC2"/>
    <w:lvl w:ilvl="0" w:tentative="0">
      <w:start w:val="1"/>
      <w:numFmt w:val="upperLetter"/>
      <w:pStyle w:val="84"/>
      <w:lvlText w:val="%1"/>
      <w:lvlJc w:val="left"/>
      <w:pPr>
        <w:tabs>
          <w:tab w:val="left" w:pos="0"/>
        </w:tabs>
        <w:ind w:left="0" w:hanging="425"/>
      </w:pPr>
      <w:rPr>
        <w:rFonts w:hint="eastAsia"/>
      </w:rPr>
    </w:lvl>
    <w:lvl w:ilvl="1" w:tentative="0">
      <w:start w:val="1"/>
      <w:numFmt w:val="decimal"/>
      <w:pStyle w:val="85"/>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7">
    <w:nsid w:val="657D3FBC"/>
    <w:multiLevelType w:val="multilevel"/>
    <w:tmpl w:val="657D3FBC"/>
    <w:lvl w:ilvl="0" w:tentative="0">
      <w:start w:val="1"/>
      <w:numFmt w:val="upperLetter"/>
      <w:pStyle w:val="82"/>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0"/>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1"/>
      <w:suff w:val="nothing"/>
      <w:lvlText w:val="%1.%2.%3　"/>
      <w:lvlJc w:val="left"/>
      <w:pPr>
        <w:ind w:left="0" w:firstLine="0"/>
      </w:pPr>
      <w:rPr>
        <w:rFonts w:hint="eastAsia" w:ascii="黑体" w:hAnsi="Times New Roman" w:eastAsia="黑体"/>
        <w:b w:val="0"/>
        <w:i w:val="0"/>
        <w:sz w:val="21"/>
      </w:rPr>
    </w:lvl>
    <w:lvl w:ilvl="3" w:tentative="0">
      <w:start w:val="1"/>
      <w:numFmt w:val="decimal"/>
      <w:pStyle w:val="86"/>
      <w:suff w:val="nothing"/>
      <w:lvlText w:val="%1.%2.%3.%4　"/>
      <w:lvlJc w:val="left"/>
      <w:pPr>
        <w:ind w:left="0" w:firstLine="0"/>
      </w:pPr>
      <w:rPr>
        <w:rFonts w:hint="eastAsia" w:ascii="黑体" w:hAnsi="Times New Roman" w:eastAsia="黑体"/>
        <w:b w:val="0"/>
        <w:i w:val="0"/>
        <w:sz w:val="21"/>
      </w:rPr>
    </w:lvl>
    <w:lvl w:ilvl="4" w:tentative="0">
      <w:start w:val="1"/>
      <w:numFmt w:val="decimal"/>
      <w:pStyle w:val="91"/>
      <w:suff w:val="nothing"/>
      <w:lvlText w:val="%1.%2.%3.%4.%5　"/>
      <w:lvlJc w:val="left"/>
      <w:pPr>
        <w:ind w:left="0" w:firstLine="0"/>
      </w:pPr>
      <w:rPr>
        <w:rFonts w:hint="eastAsia" w:ascii="黑体" w:hAnsi="Times New Roman" w:eastAsia="黑体"/>
        <w:b w:val="0"/>
        <w:i w:val="0"/>
        <w:sz w:val="21"/>
      </w:rPr>
    </w:lvl>
    <w:lvl w:ilvl="5" w:tentative="0">
      <w:start w:val="1"/>
      <w:numFmt w:val="decimal"/>
      <w:pStyle w:val="94"/>
      <w:suff w:val="nothing"/>
      <w:lvlText w:val="%1.%2.%3.%4.%5.%6　"/>
      <w:lvlJc w:val="left"/>
      <w:pPr>
        <w:ind w:left="0" w:firstLine="0"/>
      </w:pPr>
      <w:rPr>
        <w:rFonts w:hint="eastAsia" w:ascii="黑体" w:hAnsi="Times New Roman" w:eastAsia="黑体"/>
        <w:b w:val="0"/>
        <w:i w:val="0"/>
        <w:sz w:val="21"/>
      </w:rPr>
    </w:lvl>
    <w:lvl w:ilvl="6" w:tentative="0">
      <w:start w:val="1"/>
      <w:numFmt w:val="decimal"/>
      <w:pStyle w:val="98"/>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8">
    <w:nsid w:val="6D6C07CD"/>
    <w:multiLevelType w:val="multilevel"/>
    <w:tmpl w:val="6D6C07CD"/>
    <w:lvl w:ilvl="0" w:tentative="0">
      <w:start w:val="1"/>
      <w:numFmt w:val="lowerLetter"/>
      <w:pStyle w:val="103"/>
      <w:lvlText w:val="%1)"/>
      <w:lvlJc w:val="left"/>
      <w:pPr>
        <w:tabs>
          <w:tab w:val="left" w:pos="839"/>
        </w:tabs>
        <w:ind w:left="839" w:hanging="419"/>
      </w:pPr>
      <w:rPr>
        <w:rFonts w:hint="eastAsia" w:ascii="宋体" w:eastAsia="宋体"/>
        <w:b w:val="0"/>
        <w:i w:val="0"/>
        <w:sz w:val="21"/>
      </w:rPr>
    </w:lvl>
    <w:lvl w:ilvl="1" w:tentative="0">
      <w:start w:val="1"/>
      <w:numFmt w:val="decimal"/>
      <w:pStyle w:val="93"/>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num w:numId="1">
    <w:abstractNumId w:val="4"/>
  </w:num>
  <w:num w:numId="2">
    <w:abstractNumId w:val="1"/>
  </w:num>
  <w:num w:numId="3">
    <w:abstractNumId w:val="3"/>
  </w:num>
  <w:num w:numId="4">
    <w:abstractNumId w:val="5"/>
  </w:num>
  <w:num w:numId="5">
    <w:abstractNumId w:val="0"/>
  </w:num>
  <w:num w:numId="6">
    <w:abstractNumId w:val="7"/>
  </w:num>
  <w:num w:numId="7">
    <w:abstractNumId w:val="6"/>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attachedTemplate r:id="rId1"/>
  <w:documentProtection w:edit="forms" w:enforcement="1"/>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I3MTlhNjVjOWFiNDJiNTIxNDQ3ZjE4ZDIyZWQ0OWEifQ=="/>
  </w:docVars>
  <w:rsids>
    <w:rsidRoot w:val="006858CC"/>
    <w:rsid w:val="00000244"/>
    <w:rsid w:val="0000185F"/>
    <w:rsid w:val="0000586F"/>
    <w:rsid w:val="00013D86"/>
    <w:rsid w:val="00013E02"/>
    <w:rsid w:val="0002143C"/>
    <w:rsid w:val="00025A65"/>
    <w:rsid w:val="00026C31"/>
    <w:rsid w:val="00027280"/>
    <w:rsid w:val="000320A7"/>
    <w:rsid w:val="0003317E"/>
    <w:rsid w:val="00035925"/>
    <w:rsid w:val="00051FF4"/>
    <w:rsid w:val="00054E0E"/>
    <w:rsid w:val="000577B2"/>
    <w:rsid w:val="00067CDF"/>
    <w:rsid w:val="00074FBE"/>
    <w:rsid w:val="00083541"/>
    <w:rsid w:val="00083A09"/>
    <w:rsid w:val="0009005E"/>
    <w:rsid w:val="00091991"/>
    <w:rsid w:val="00092857"/>
    <w:rsid w:val="000A20A9"/>
    <w:rsid w:val="000A48B1"/>
    <w:rsid w:val="000B3143"/>
    <w:rsid w:val="000C6B05"/>
    <w:rsid w:val="000C6DD6"/>
    <w:rsid w:val="000C73D4"/>
    <w:rsid w:val="000D01E9"/>
    <w:rsid w:val="000D3D4C"/>
    <w:rsid w:val="000D4F51"/>
    <w:rsid w:val="000D718B"/>
    <w:rsid w:val="000E0C46"/>
    <w:rsid w:val="000E632B"/>
    <w:rsid w:val="000F030C"/>
    <w:rsid w:val="000F129C"/>
    <w:rsid w:val="000F4D24"/>
    <w:rsid w:val="001033C3"/>
    <w:rsid w:val="00104C85"/>
    <w:rsid w:val="001056DE"/>
    <w:rsid w:val="001124C0"/>
    <w:rsid w:val="0013175F"/>
    <w:rsid w:val="001512B4"/>
    <w:rsid w:val="001620A5"/>
    <w:rsid w:val="00164E53"/>
    <w:rsid w:val="0016699D"/>
    <w:rsid w:val="00175159"/>
    <w:rsid w:val="00176208"/>
    <w:rsid w:val="0018211B"/>
    <w:rsid w:val="001840D3"/>
    <w:rsid w:val="001900F8"/>
    <w:rsid w:val="00191258"/>
    <w:rsid w:val="00192680"/>
    <w:rsid w:val="00193037"/>
    <w:rsid w:val="00193A2C"/>
    <w:rsid w:val="00194854"/>
    <w:rsid w:val="001A288E"/>
    <w:rsid w:val="001B6DC2"/>
    <w:rsid w:val="001C149C"/>
    <w:rsid w:val="001C21AC"/>
    <w:rsid w:val="001C47BA"/>
    <w:rsid w:val="001C59EA"/>
    <w:rsid w:val="001C74A2"/>
    <w:rsid w:val="001D406C"/>
    <w:rsid w:val="001D41EE"/>
    <w:rsid w:val="001D4DAE"/>
    <w:rsid w:val="001D65E6"/>
    <w:rsid w:val="001E0380"/>
    <w:rsid w:val="001E13B1"/>
    <w:rsid w:val="001E23D3"/>
    <w:rsid w:val="001F3A19"/>
    <w:rsid w:val="001F4AC9"/>
    <w:rsid w:val="0022404C"/>
    <w:rsid w:val="00234467"/>
    <w:rsid w:val="00236C51"/>
    <w:rsid w:val="00237D8D"/>
    <w:rsid w:val="00241DA2"/>
    <w:rsid w:val="002433A1"/>
    <w:rsid w:val="00247FEE"/>
    <w:rsid w:val="00250E7D"/>
    <w:rsid w:val="002565D5"/>
    <w:rsid w:val="002622C0"/>
    <w:rsid w:val="00274A7B"/>
    <w:rsid w:val="002778AE"/>
    <w:rsid w:val="0028269A"/>
    <w:rsid w:val="00283590"/>
    <w:rsid w:val="00286973"/>
    <w:rsid w:val="00294E70"/>
    <w:rsid w:val="002A1924"/>
    <w:rsid w:val="002A7420"/>
    <w:rsid w:val="002B0F12"/>
    <w:rsid w:val="002B1308"/>
    <w:rsid w:val="002B4554"/>
    <w:rsid w:val="002C72D8"/>
    <w:rsid w:val="002D11FA"/>
    <w:rsid w:val="002E0DDF"/>
    <w:rsid w:val="002E2906"/>
    <w:rsid w:val="002E5635"/>
    <w:rsid w:val="002E64C3"/>
    <w:rsid w:val="002E6A2C"/>
    <w:rsid w:val="002E7BE2"/>
    <w:rsid w:val="002F1D8C"/>
    <w:rsid w:val="002F21DA"/>
    <w:rsid w:val="00301F39"/>
    <w:rsid w:val="00323FEC"/>
    <w:rsid w:val="003253E8"/>
    <w:rsid w:val="00325926"/>
    <w:rsid w:val="00327A8A"/>
    <w:rsid w:val="00336610"/>
    <w:rsid w:val="00343F73"/>
    <w:rsid w:val="00345060"/>
    <w:rsid w:val="0035323B"/>
    <w:rsid w:val="003609D2"/>
    <w:rsid w:val="00363F22"/>
    <w:rsid w:val="003724B6"/>
    <w:rsid w:val="00375564"/>
    <w:rsid w:val="00383191"/>
    <w:rsid w:val="00385182"/>
    <w:rsid w:val="00386DED"/>
    <w:rsid w:val="003912E7"/>
    <w:rsid w:val="00393947"/>
    <w:rsid w:val="003A2275"/>
    <w:rsid w:val="003A6A4F"/>
    <w:rsid w:val="003A7088"/>
    <w:rsid w:val="003B00DF"/>
    <w:rsid w:val="003B1275"/>
    <w:rsid w:val="003B1778"/>
    <w:rsid w:val="003C11CB"/>
    <w:rsid w:val="003C75F3"/>
    <w:rsid w:val="003C78A3"/>
    <w:rsid w:val="003D6A26"/>
    <w:rsid w:val="003E1867"/>
    <w:rsid w:val="003E5729"/>
    <w:rsid w:val="003F4EE0"/>
    <w:rsid w:val="00402153"/>
    <w:rsid w:val="00402FC1"/>
    <w:rsid w:val="0042210A"/>
    <w:rsid w:val="00425082"/>
    <w:rsid w:val="00431DEB"/>
    <w:rsid w:val="00446B29"/>
    <w:rsid w:val="00453F9A"/>
    <w:rsid w:val="00455C52"/>
    <w:rsid w:val="00471E91"/>
    <w:rsid w:val="00474675"/>
    <w:rsid w:val="0047470C"/>
    <w:rsid w:val="004A35F9"/>
    <w:rsid w:val="004B24C1"/>
    <w:rsid w:val="004C292F"/>
    <w:rsid w:val="004F584A"/>
    <w:rsid w:val="00510280"/>
    <w:rsid w:val="00513D73"/>
    <w:rsid w:val="00514A43"/>
    <w:rsid w:val="005174E5"/>
    <w:rsid w:val="00522393"/>
    <w:rsid w:val="00522620"/>
    <w:rsid w:val="005245C4"/>
    <w:rsid w:val="00525656"/>
    <w:rsid w:val="00534C02"/>
    <w:rsid w:val="0054264B"/>
    <w:rsid w:val="00543786"/>
    <w:rsid w:val="005533D7"/>
    <w:rsid w:val="005703DE"/>
    <w:rsid w:val="0058464E"/>
    <w:rsid w:val="005933C6"/>
    <w:rsid w:val="005A01CB"/>
    <w:rsid w:val="005A19E8"/>
    <w:rsid w:val="005A58FF"/>
    <w:rsid w:val="005A5EAF"/>
    <w:rsid w:val="005A64C0"/>
    <w:rsid w:val="005B3C11"/>
    <w:rsid w:val="005C1C28"/>
    <w:rsid w:val="005C6DB5"/>
    <w:rsid w:val="005E19E7"/>
    <w:rsid w:val="005E1BB2"/>
    <w:rsid w:val="00610681"/>
    <w:rsid w:val="00612108"/>
    <w:rsid w:val="0061323D"/>
    <w:rsid w:val="0061716C"/>
    <w:rsid w:val="006243A1"/>
    <w:rsid w:val="00632E56"/>
    <w:rsid w:val="00635CBA"/>
    <w:rsid w:val="0064338B"/>
    <w:rsid w:val="00646542"/>
    <w:rsid w:val="006504F4"/>
    <w:rsid w:val="00650FA3"/>
    <w:rsid w:val="00653A89"/>
    <w:rsid w:val="00654BC9"/>
    <w:rsid w:val="006552FD"/>
    <w:rsid w:val="00663AF3"/>
    <w:rsid w:val="00666B6C"/>
    <w:rsid w:val="00673C4F"/>
    <w:rsid w:val="00674B89"/>
    <w:rsid w:val="00682682"/>
    <w:rsid w:val="00682702"/>
    <w:rsid w:val="006858CC"/>
    <w:rsid w:val="00692368"/>
    <w:rsid w:val="006A2EBC"/>
    <w:rsid w:val="006A5EA0"/>
    <w:rsid w:val="006A783B"/>
    <w:rsid w:val="006A7B33"/>
    <w:rsid w:val="006B25EB"/>
    <w:rsid w:val="006B4E13"/>
    <w:rsid w:val="006B75DD"/>
    <w:rsid w:val="006B7ADF"/>
    <w:rsid w:val="006C67E0"/>
    <w:rsid w:val="006C7ABA"/>
    <w:rsid w:val="006D0D60"/>
    <w:rsid w:val="006D1122"/>
    <w:rsid w:val="006D3C00"/>
    <w:rsid w:val="006E0892"/>
    <w:rsid w:val="006E3675"/>
    <w:rsid w:val="006E4A7F"/>
    <w:rsid w:val="006F5C4D"/>
    <w:rsid w:val="00704DF6"/>
    <w:rsid w:val="0070651C"/>
    <w:rsid w:val="007132A3"/>
    <w:rsid w:val="00716421"/>
    <w:rsid w:val="00724EFB"/>
    <w:rsid w:val="007419C3"/>
    <w:rsid w:val="007467A7"/>
    <w:rsid w:val="007469DD"/>
    <w:rsid w:val="0074741B"/>
    <w:rsid w:val="0074759E"/>
    <w:rsid w:val="007478EA"/>
    <w:rsid w:val="007540CF"/>
    <w:rsid w:val="0075415C"/>
    <w:rsid w:val="00763502"/>
    <w:rsid w:val="00771144"/>
    <w:rsid w:val="007913AB"/>
    <w:rsid w:val="007914F7"/>
    <w:rsid w:val="007B1625"/>
    <w:rsid w:val="007B706E"/>
    <w:rsid w:val="007B71EB"/>
    <w:rsid w:val="007C3D40"/>
    <w:rsid w:val="007C6205"/>
    <w:rsid w:val="007C686A"/>
    <w:rsid w:val="007C728E"/>
    <w:rsid w:val="007D2C53"/>
    <w:rsid w:val="007D3D60"/>
    <w:rsid w:val="007E1980"/>
    <w:rsid w:val="007E4B76"/>
    <w:rsid w:val="007E5EA8"/>
    <w:rsid w:val="007E7B72"/>
    <w:rsid w:val="007F0CF1"/>
    <w:rsid w:val="007F12A5"/>
    <w:rsid w:val="007F4CF1"/>
    <w:rsid w:val="007F758D"/>
    <w:rsid w:val="007F7D52"/>
    <w:rsid w:val="0080654C"/>
    <w:rsid w:val="008071C6"/>
    <w:rsid w:val="008115AA"/>
    <w:rsid w:val="00817A00"/>
    <w:rsid w:val="00824BA7"/>
    <w:rsid w:val="00835DB3"/>
    <w:rsid w:val="0083617B"/>
    <w:rsid w:val="008371BD"/>
    <w:rsid w:val="008504A8"/>
    <w:rsid w:val="0085282E"/>
    <w:rsid w:val="0087198C"/>
    <w:rsid w:val="00872C1F"/>
    <w:rsid w:val="00873B42"/>
    <w:rsid w:val="008856D8"/>
    <w:rsid w:val="00892E82"/>
    <w:rsid w:val="008C1B58"/>
    <w:rsid w:val="008C39AE"/>
    <w:rsid w:val="008C590D"/>
    <w:rsid w:val="008E031B"/>
    <w:rsid w:val="008E7029"/>
    <w:rsid w:val="008E7EF6"/>
    <w:rsid w:val="008F1F98"/>
    <w:rsid w:val="008F6758"/>
    <w:rsid w:val="009040DD"/>
    <w:rsid w:val="00905B47"/>
    <w:rsid w:val="00906146"/>
    <w:rsid w:val="0091331C"/>
    <w:rsid w:val="00917854"/>
    <w:rsid w:val="009279DE"/>
    <w:rsid w:val="00930116"/>
    <w:rsid w:val="00932F6C"/>
    <w:rsid w:val="0094212C"/>
    <w:rsid w:val="0094748F"/>
    <w:rsid w:val="00953617"/>
    <w:rsid w:val="00954689"/>
    <w:rsid w:val="009617C9"/>
    <w:rsid w:val="00961C93"/>
    <w:rsid w:val="00965324"/>
    <w:rsid w:val="0097091E"/>
    <w:rsid w:val="009760D3"/>
    <w:rsid w:val="00977132"/>
    <w:rsid w:val="00981A4B"/>
    <w:rsid w:val="00982501"/>
    <w:rsid w:val="009877D3"/>
    <w:rsid w:val="00994E8F"/>
    <w:rsid w:val="009951DC"/>
    <w:rsid w:val="009959BB"/>
    <w:rsid w:val="00997158"/>
    <w:rsid w:val="009A0357"/>
    <w:rsid w:val="009A3A7C"/>
    <w:rsid w:val="009B2ADB"/>
    <w:rsid w:val="009B603A"/>
    <w:rsid w:val="009C2D0E"/>
    <w:rsid w:val="009C3DAC"/>
    <w:rsid w:val="009C42E0"/>
    <w:rsid w:val="009D5362"/>
    <w:rsid w:val="009D7410"/>
    <w:rsid w:val="009E1415"/>
    <w:rsid w:val="009E6116"/>
    <w:rsid w:val="009E6ACD"/>
    <w:rsid w:val="009E7DEA"/>
    <w:rsid w:val="00A02E43"/>
    <w:rsid w:val="00A065F9"/>
    <w:rsid w:val="00A07F34"/>
    <w:rsid w:val="00A20110"/>
    <w:rsid w:val="00A22154"/>
    <w:rsid w:val="00A25C38"/>
    <w:rsid w:val="00A36BBE"/>
    <w:rsid w:val="00A4307A"/>
    <w:rsid w:val="00A47EBB"/>
    <w:rsid w:val="00A51CDD"/>
    <w:rsid w:val="00A6730D"/>
    <w:rsid w:val="00A71625"/>
    <w:rsid w:val="00A71B9B"/>
    <w:rsid w:val="00A751C7"/>
    <w:rsid w:val="00A83B57"/>
    <w:rsid w:val="00A87844"/>
    <w:rsid w:val="00AA038C"/>
    <w:rsid w:val="00AA3A77"/>
    <w:rsid w:val="00AA7A09"/>
    <w:rsid w:val="00AB3B50"/>
    <w:rsid w:val="00AC05B1"/>
    <w:rsid w:val="00AD356C"/>
    <w:rsid w:val="00AE2914"/>
    <w:rsid w:val="00AE6D15"/>
    <w:rsid w:val="00AF1B49"/>
    <w:rsid w:val="00B04182"/>
    <w:rsid w:val="00B07AE3"/>
    <w:rsid w:val="00B11430"/>
    <w:rsid w:val="00B353EB"/>
    <w:rsid w:val="00B439C4"/>
    <w:rsid w:val="00B4535E"/>
    <w:rsid w:val="00B52A8C"/>
    <w:rsid w:val="00B54C35"/>
    <w:rsid w:val="00B636A8"/>
    <w:rsid w:val="00B63A77"/>
    <w:rsid w:val="00B665C6"/>
    <w:rsid w:val="00B805AF"/>
    <w:rsid w:val="00B869EC"/>
    <w:rsid w:val="00B9397A"/>
    <w:rsid w:val="00B9633D"/>
    <w:rsid w:val="00BA2EBE"/>
    <w:rsid w:val="00BB0F28"/>
    <w:rsid w:val="00BB458A"/>
    <w:rsid w:val="00BD00D3"/>
    <w:rsid w:val="00BD1659"/>
    <w:rsid w:val="00BD3AA9"/>
    <w:rsid w:val="00BD4A18"/>
    <w:rsid w:val="00BD6DB2"/>
    <w:rsid w:val="00BE11CF"/>
    <w:rsid w:val="00BE21AB"/>
    <w:rsid w:val="00BE55CB"/>
    <w:rsid w:val="00BF617A"/>
    <w:rsid w:val="00C0379D"/>
    <w:rsid w:val="00C03931"/>
    <w:rsid w:val="00C05FE3"/>
    <w:rsid w:val="00C2136D"/>
    <w:rsid w:val="00C214EE"/>
    <w:rsid w:val="00C2314B"/>
    <w:rsid w:val="00C24971"/>
    <w:rsid w:val="00C26BE5"/>
    <w:rsid w:val="00C26E4D"/>
    <w:rsid w:val="00C27909"/>
    <w:rsid w:val="00C27B03"/>
    <w:rsid w:val="00C314E1"/>
    <w:rsid w:val="00C34397"/>
    <w:rsid w:val="00C4095D"/>
    <w:rsid w:val="00C60131"/>
    <w:rsid w:val="00C601D2"/>
    <w:rsid w:val="00C65BCC"/>
    <w:rsid w:val="00C66970"/>
    <w:rsid w:val="00C8691C"/>
    <w:rsid w:val="00CA168A"/>
    <w:rsid w:val="00CA357E"/>
    <w:rsid w:val="00CA44F9"/>
    <w:rsid w:val="00CA4A69"/>
    <w:rsid w:val="00CC3E0C"/>
    <w:rsid w:val="00CC58D3"/>
    <w:rsid w:val="00CC632B"/>
    <w:rsid w:val="00CC784D"/>
    <w:rsid w:val="00CE03B2"/>
    <w:rsid w:val="00CE2563"/>
    <w:rsid w:val="00D0337B"/>
    <w:rsid w:val="00D079B2"/>
    <w:rsid w:val="00D114E9"/>
    <w:rsid w:val="00D27E1B"/>
    <w:rsid w:val="00D337B9"/>
    <w:rsid w:val="00D429C6"/>
    <w:rsid w:val="00D47748"/>
    <w:rsid w:val="00D54CC3"/>
    <w:rsid w:val="00D6041A"/>
    <w:rsid w:val="00D633EB"/>
    <w:rsid w:val="00D82FF7"/>
    <w:rsid w:val="00D847FE"/>
    <w:rsid w:val="00D87441"/>
    <w:rsid w:val="00D964EA"/>
    <w:rsid w:val="00D966D0"/>
    <w:rsid w:val="00DA0C59"/>
    <w:rsid w:val="00DA3991"/>
    <w:rsid w:val="00DB7E6C"/>
    <w:rsid w:val="00DD5A29"/>
    <w:rsid w:val="00DD5D9D"/>
    <w:rsid w:val="00DE35CB"/>
    <w:rsid w:val="00DF21E9"/>
    <w:rsid w:val="00DF5F08"/>
    <w:rsid w:val="00E00F14"/>
    <w:rsid w:val="00E06386"/>
    <w:rsid w:val="00E24EB4"/>
    <w:rsid w:val="00E320ED"/>
    <w:rsid w:val="00E33AFB"/>
    <w:rsid w:val="00E34218"/>
    <w:rsid w:val="00E46282"/>
    <w:rsid w:val="00E5027D"/>
    <w:rsid w:val="00E5216E"/>
    <w:rsid w:val="00E57EFE"/>
    <w:rsid w:val="00E6046B"/>
    <w:rsid w:val="00E82344"/>
    <w:rsid w:val="00E84C82"/>
    <w:rsid w:val="00E84D64"/>
    <w:rsid w:val="00E87408"/>
    <w:rsid w:val="00E914C4"/>
    <w:rsid w:val="00E934F5"/>
    <w:rsid w:val="00E96961"/>
    <w:rsid w:val="00EA2DA9"/>
    <w:rsid w:val="00EA72EC"/>
    <w:rsid w:val="00EB11CB"/>
    <w:rsid w:val="00EB275A"/>
    <w:rsid w:val="00EB3B83"/>
    <w:rsid w:val="00EB786A"/>
    <w:rsid w:val="00EC1578"/>
    <w:rsid w:val="00EC1C72"/>
    <w:rsid w:val="00EC3CC9"/>
    <w:rsid w:val="00EC680A"/>
    <w:rsid w:val="00EE2BED"/>
    <w:rsid w:val="00EE374B"/>
    <w:rsid w:val="00EF0098"/>
    <w:rsid w:val="00F11BB5"/>
    <w:rsid w:val="00F1417B"/>
    <w:rsid w:val="00F2311F"/>
    <w:rsid w:val="00F34B99"/>
    <w:rsid w:val="00F42038"/>
    <w:rsid w:val="00F52DAB"/>
    <w:rsid w:val="00F543F0"/>
    <w:rsid w:val="00F71EED"/>
    <w:rsid w:val="00F81D29"/>
    <w:rsid w:val="00F91C4D"/>
    <w:rsid w:val="00F92FD9"/>
    <w:rsid w:val="00FA6684"/>
    <w:rsid w:val="00FA731E"/>
    <w:rsid w:val="00FB2B38"/>
    <w:rsid w:val="00FB6D43"/>
    <w:rsid w:val="00FC14D5"/>
    <w:rsid w:val="00FC6358"/>
    <w:rsid w:val="00FD1373"/>
    <w:rsid w:val="00FD320D"/>
    <w:rsid w:val="00FE23DE"/>
    <w:rsid w:val="00FF1A27"/>
    <w:rsid w:val="019A7A7D"/>
    <w:rsid w:val="02BC641D"/>
    <w:rsid w:val="04706FFA"/>
    <w:rsid w:val="04BD3782"/>
    <w:rsid w:val="05332F78"/>
    <w:rsid w:val="066A1827"/>
    <w:rsid w:val="09DB4F16"/>
    <w:rsid w:val="0B9640E7"/>
    <w:rsid w:val="0DE46363"/>
    <w:rsid w:val="113F0EDA"/>
    <w:rsid w:val="1314070D"/>
    <w:rsid w:val="161C1A47"/>
    <w:rsid w:val="180F19A6"/>
    <w:rsid w:val="19502AFF"/>
    <w:rsid w:val="1CA7512B"/>
    <w:rsid w:val="1F9C190F"/>
    <w:rsid w:val="2107663E"/>
    <w:rsid w:val="22256E39"/>
    <w:rsid w:val="2A5B7B7F"/>
    <w:rsid w:val="2B7A3DB5"/>
    <w:rsid w:val="2C7F355C"/>
    <w:rsid w:val="2EFF4742"/>
    <w:rsid w:val="2F5007E6"/>
    <w:rsid w:val="303643A5"/>
    <w:rsid w:val="30C776F3"/>
    <w:rsid w:val="3DCC6A62"/>
    <w:rsid w:val="3DCE3E6E"/>
    <w:rsid w:val="43B76DFB"/>
    <w:rsid w:val="45682DFA"/>
    <w:rsid w:val="48651873"/>
    <w:rsid w:val="496F6F12"/>
    <w:rsid w:val="4A791A90"/>
    <w:rsid w:val="4BF94D4D"/>
    <w:rsid w:val="4E324D53"/>
    <w:rsid w:val="4F8A331E"/>
    <w:rsid w:val="4FB0687C"/>
    <w:rsid w:val="510E2892"/>
    <w:rsid w:val="52797F17"/>
    <w:rsid w:val="60216F95"/>
    <w:rsid w:val="64090D16"/>
    <w:rsid w:val="67CF09F2"/>
    <w:rsid w:val="6B623CC4"/>
    <w:rsid w:val="6E3919C5"/>
    <w:rsid w:val="75BA690B"/>
    <w:rsid w:val="75EB2B08"/>
    <w:rsid w:val="78397B5B"/>
    <w:rsid w:val="7D004F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3">
    <w:name w:val="Default Paragraph Font"/>
    <w:autoRedefine/>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2">
    <w:name w:val="toc 7"/>
    <w:basedOn w:val="1"/>
    <w:next w:val="1"/>
    <w:autoRedefine/>
    <w:semiHidden/>
    <w:qFormat/>
    <w:uiPriority w:val="0"/>
    <w:pPr>
      <w:tabs>
        <w:tab w:val="right" w:leader="dot" w:pos="9241"/>
      </w:tabs>
      <w:ind w:firstLine="500" w:firstLineChars="500"/>
      <w:jc w:val="left"/>
    </w:pPr>
    <w:rPr>
      <w:rFonts w:ascii="宋体"/>
      <w:szCs w:val="21"/>
    </w:rPr>
  </w:style>
  <w:style w:type="paragraph" w:styleId="3">
    <w:name w:val="index 8"/>
    <w:basedOn w:val="1"/>
    <w:next w:val="1"/>
    <w:autoRedefine/>
    <w:qFormat/>
    <w:uiPriority w:val="0"/>
    <w:pPr>
      <w:ind w:left="1680" w:hanging="210"/>
      <w:jc w:val="left"/>
    </w:pPr>
    <w:rPr>
      <w:rFonts w:ascii="Calibri" w:hAnsi="Calibri"/>
      <w:sz w:val="20"/>
      <w:szCs w:val="20"/>
    </w:rPr>
  </w:style>
  <w:style w:type="paragraph" w:styleId="4">
    <w:name w:val="caption"/>
    <w:basedOn w:val="1"/>
    <w:next w:val="1"/>
    <w:qFormat/>
    <w:uiPriority w:val="0"/>
    <w:pPr>
      <w:spacing w:before="152" w:after="160"/>
    </w:pPr>
    <w:rPr>
      <w:rFonts w:ascii="Arial" w:hAnsi="Arial" w:eastAsia="黑体" w:cs="Arial"/>
      <w:sz w:val="20"/>
      <w:szCs w:val="20"/>
    </w:rPr>
  </w:style>
  <w:style w:type="paragraph" w:styleId="5">
    <w:name w:val="index 5"/>
    <w:basedOn w:val="1"/>
    <w:next w:val="1"/>
    <w:autoRedefine/>
    <w:qFormat/>
    <w:uiPriority w:val="0"/>
    <w:pPr>
      <w:ind w:left="1050" w:hanging="210"/>
      <w:jc w:val="left"/>
    </w:pPr>
    <w:rPr>
      <w:rFonts w:ascii="Calibri" w:hAnsi="Calibri"/>
      <w:sz w:val="20"/>
      <w:szCs w:val="20"/>
    </w:rPr>
  </w:style>
  <w:style w:type="paragraph" w:styleId="6">
    <w:name w:val="Document Map"/>
    <w:basedOn w:val="1"/>
    <w:semiHidden/>
    <w:qFormat/>
    <w:uiPriority w:val="0"/>
    <w:pPr>
      <w:shd w:val="clear" w:color="auto" w:fill="000080"/>
    </w:pPr>
  </w:style>
  <w:style w:type="paragraph" w:styleId="7">
    <w:name w:val="index 6"/>
    <w:basedOn w:val="1"/>
    <w:next w:val="1"/>
    <w:autoRedefine/>
    <w:qFormat/>
    <w:uiPriority w:val="0"/>
    <w:pPr>
      <w:ind w:left="1260" w:hanging="210"/>
      <w:jc w:val="left"/>
    </w:pPr>
    <w:rPr>
      <w:rFonts w:ascii="Calibri" w:hAnsi="Calibri"/>
      <w:sz w:val="20"/>
      <w:szCs w:val="20"/>
    </w:rPr>
  </w:style>
  <w:style w:type="paragraph" w:styleId="8">
    <w:name w:val="Body Text Indent"/>
    <w:basedOn w:val="1"/>
    <w:link w:val="135"/>
    <w:qFormat/>
    <w:uiPriority w:val="0"/>
    <w:pPr>
      <w:spacing w:after="120"/>
      <w:ind w:left="420"/>
    </w:pPr>
  </w:style>
  <w:style w:type="paragraph" w:styleId="9">
    <w:name w:val="index 4"/>
    <w:basedOn w:val="1"/>
    <w:next w:val="1"/>
    <w:autoRedefine/>
    <w:qFormat/>
    <w:uiPriority w:val="0"/>
    <w:pPr>
      <w:ind w:left="840" w:hanging="210"/>
      <w:jc w:val="left"/>
    </w:pPr>
    <w:rPr>
      <w:rFonts w:ascii="Calibri" w:hAnsi="Calibri"/>
      <w:sz w:val="20"/>
      <w:szCs w:val="20"/>
    </w:rPr>
  </w:style>
  <w:style w:type="paragraph" w:styleId="10">
    <w:name w:val="toc 5"/>
    <w:basedOn w:val="1"/>
    <w:next w:val="1"/>
    <w:autoRedefine/>
    <w:semiHidden/>
    <w:qFormat/>
    <w:uiPriority w:val="0"/>
    <w:pPr>
      <w:tabs>
        <w:tab w:val="right" w:leader="dot" w:pos="9241"/>
      </w:tabs>
      <w:ind w:firstLine="300" w:firstLineChars="300"/>
      <w:jc w:val="left"/>
    </w:pPr>
    <w:rPr>
      <w:rFonts w:ascii="宋体"/>
      <w:szCs w:val="21"/>
    </w:rPr>
  </w:style>
  <w:style w:type="paragraph" w:styleId="11">
    <w:name w:val="toc 3"/>
    <w:basedOn w:val="1"/>
    <w:next w:val="1"/>
    <w:autoRedefine/>
    <w:semiHidden/>
    <w:qFormat/>
    <w:uiPriority w:val="0"/>
    <w:pPr>
      <w:tabs>
        <w:tab w:val="right" w:leader="dot" w:pos="9241"/>
      </w:tabs>
      <w:ind w:firstLine="100" w:firstLineChars="100"/>
      <w:jc w:val="left"/>
    </w:pPr>
    <w:rPr>
      <w:rFonts w:ascii="宋体"/>
      <w:szCs w:val="21"/>
    </w:rPr>
  </w:style>
  <w:style w:type="paragraph" w:styleId="12">
    <w:name w:val="toc 8"/>
    <w:basedOn w:val="1"/>
    <w:next w:val="1"/>
    <w:autoRedefine/>
    <w:semiHidden/>
    <w:qFormat/>
    <w:uiPriority w:val="0"/>
    <w:pPr>
      <w:tabs>
        <w:tab w:val="right" w:leader="dot" w:pos="9241"/>
      </w:tabs>
      <w:ind w:firstLine="607" w:firstLineChars="600"/>
      <w:jc w:val="left"/>
    </w:pPr>
    <w:rPr>
      <w:rFonts w:ascii="宋体"/>
      <w:szCs w:val="21"/>
    </w:rPr>
  </w:style>
  <w:style w:type="paragraph" w:styleId="13">
    <w:name w:val="index 3"/>
    <w:basedOn w:val="1"/>
    <w:next w:val="1"/>
    <w:autoRedefine/>
    <w:qFormat/>
    <w:uiPriority w:val="0"/>
    <w:pPr>
      <w:ind w:left="630" w:hanging="210"/>
      <w:jc w:val="left"/>
    </w:pPr>
    <w:rPr>
      <w:rFonts w:ascii="Calibri" w:hAnsi="Calibri"/>
      <w:sz w:val="20"/>
      <w:szCs w:val="20"/>
    </w:rPr>
  </w:style>
  <w:style w:type="paragraph" w:styleId="14">
    <w:name w:val="endnote text"/>
    <w:basedOn w:val="1"/>
    <w:autoRedefine/>
    <w:semiHidden/>
    <w:qFormat/>
    <w:uiPriority w:val="0"/>
    <w:pPr>
      <w:snapToGrid w:val="0"/>
      <w:jc w:val="left"/>
    </w:pPr>
  </w:style>
  <w:style w:type="paragraph" w:styleId="15">
    <w:name w:val="footer"/>
    <w:basedOn w:val="1"/>
    <w:qFormat/>
    <w:uiPriority w:val="0"/>
    <w:pPr>
      <w:snapToGrid w:val="0"/>
      <w:ind w:right="210" w:rightChars="100"/>
      <w:jc w:val="right"/>
    </w:pPr>
    <w:rPr>
      <w:sz w:val="18"/>
      <w:szCs w:val="18"/>
    </w:rPr>
  </w:style>
  <w:style w:type="paragraph" w:styleId="16">
    <w:name w:val="header"/>
    <w:basedOn w:val="1"/>
    <w:link w:val="137"/>
    <w:qFormat/>
    <w:uiPriority w:val="99"/>
    <w:pPr>
      <w:snapToGrid w:val="0"/>
      <w:jc w:val="left"/>
    </w:pPr>
    <w:rPr>
      <w:sz w:val="18"/>
      <w:szCs w:val="18"/>
    </w:rPr>
  </w:style>
  <w:style w:type="paragraph" w:styleId="17">
    <w:name w:val="toc 1"/>
    <w:basedOn w:val="1"/>
    <w:next w:val="1"/>
    <w:autoRedefine/>
    <w:semiHidden/>
    <w:qFormat/>
    <w:uiPriority w:val="0"/>
    <w:pPr>
      <w:tabs>
        <w:tab w:val="right" w:leader="dot" w:pos="9242"/>
      </w:tabs>
      <w:spacing w:beforeLines="25" w:afterLines="25"/>
      <w:jc w:val="left"/>
    </w:pPr>
    <w:rPr>
      <w:rFonts w:ascii="宋体"/>
      <w:szCs w:val="21"/>
    </w:rPr>
  </w:style>
  <w:style w:type="paragraph" w:styleId="18">
    <w:name w:val="toc 4"/>
    <w:basedOn w:val="1"/>
    <w:next w:val="1"/>
    <w:autoRedefine/>
    <w:semiHidden/>
    <w:qFormat/>
    <w:uiPriority w:val="0"/>
    <w:pPr>
      <w:tabs>
        <w:tab w:val="right" w:leader="dot" w:pos="9241"/>
      </w:tabs>
      <w:ind w:firstLine="200" w:firstLineChars="200"/>
      <w:jc w:val="left"/>
    </w:pPr>
    <w:rPr>
      <w:rFonts w:ascii="宋体"/>
      <w:szCs w:val="21"/>
    </w:rPr>
  </w:style>
  <w:style w:type="paragraph" w:styleId="19">
    <w:name w:val="index heading"/>
    <w:basedOn w:val="1"/>
    <w:next w:val="20"/>
    <w:qFormat/>
    <w:uiPriority w:val="0"/>
    <w:pPr>
      <w:spacing w:before="120" w:after="120"/>
      <w:jc w:val="center"/>
    </w:pPr>
    <w:rPr>
      <w:rFonts w:ascii="Calibri" w:hAnsi="Calibri"/>
      <w:b/>
      <w:bCs/>
      <w:iCs/>
      <w:szCs w:val="20"/>
    </w:rPr>
  </w:style>
  <w:style w:type="paragraph" w:styleId="20">
    <w:name w:val="index 1"/>
    <w:basedOn w:val="1"/>
    <w:next w:val="21"/>
    <w:qFormat/>
    <w:uiPriority w:val="0"/>
    <w:pPr>
      <w:tabs>
        <w:tab w:val="right" w:leader="dot" w:pos="9299"/>
      </w:tabs>
      <w:jc w:val="left"/>
    </w:pPr>
    <w:rPr>
      <w:rFonts w:ascii="宋体"/>
      <w:szCs w:val="21"/>
    </w:rPr>
  </w:style>
  <w:style w:type="paragraph" w:customStyle="1" w:styleId="21">
    <w:name w:val="段"/>
    <w:link w:val="39"/>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2">
    <w:name w:val="Subtitle"/>
    <w:basedOn w:val="1"/>
    <w:next w:val="1"/>
    <w:link w:val="136"/>
    <w:qFormat/>
    <w:uiPriority w:val="11"/>
    <w:pPr>
      <w:spacing w:before="240" w:after="60" w:line="312" w:lineRule="auto"/>
      <w:jc w:val="center"/>
      <w:outlineLvl w:val="1"/>
    </w:pPr>
    <w:rPr>
      <w:rFonts w:ascii="Cambria" w:hAnsi="Cambria"/>
      <w:b/>
      <w:bCs/>
      <w:kern w:val="28"/>
      <w:sz w:val="32"/>
      <w:szCs w:val="32"/>
    </w:rPr>
  </w:style>
  <w:style w:type="paragraph" w:styleId="23">
    <w:name w:val="footnote text"/>
    <w:basedOn w:val="1"/>
    <w:qFormat/>
    <w:uiPriority w:val="0"/>
    <w:pPr>
      <w:numPr>
        <w:ilvl w:val="0"/>
        <w:numId w:val="1"/>
      </w:numPr>
      <w:snapToGrid w:val="0"/>
      <w:jc w:val="left"/>
    </w:pPr>
    <w:rPr>
      <w:rFonts w:ascii="宋体"/>
      <w:sz w:val="18"/>
      <w:szCs w:val="18"/>
    </w:rPr>
  </w:style>
  <w:style w:type="paragraph" w:styleId="24">
    <w:name w:val="toc 6"/>
    <w:basedOn w:val="1"/>
    <w:next w:val="1"/>
    <w:autoRedefine/>
    <w:semiHidden/>
    <w:qFormat/>
    <w:uiPriority w:val="0"/>
    <w:pPr>
      <w:tabs>
        <w:tab w:val="right" w:leader="dot" w:pos="9241"/>
      </w:tabs>
      <w:ind w:firstLine="400" w:firstLineChars="400"/>
      <w:jc w:val="left"/>
    </w:pPr>
    <w:rPr>
      <w:rFonts w:ascii="宋体"/>
      <w:szCs w:val="21"/>
    </w:rPr>
  </w:style>
  <w:style w:type="paragraph" w:styleId="25">
    <w:name w:val="index 7"/>
    <w:basedOn w:val="1"/>
    <w:next w:val="1"/>
    <w:autoRedefine/>
    <w:qFormat/>
    <w:uiPriority w:val="0"/>
    <w:pPr>
      <w:ind w:left="1470" w:hanging="210"/>
      <w:jc w:val="left"/>
    </w:pPr>
    <w:rPr>
      <w:rFonts w:ascii="Calibri" w:hAnsi="Calibri"/>
      <w:sz w:val="20"/>
      <w:szCs w:val="20"/>
    </w:rPr>
  </w:style>
  <w:style w:type="paragraph" w:styleId="26">
    <w:name w:val="index 9"/>
    <w:basedOn w:val="1"/>
    <w:next w:val="1"/>
    <w:autoRedefine/>
    <w:qFormat/>
    <w:uiPriority w:val="0"/>
    <w:pPr>
      <w:ind w:left="1890" w:hanging="210"/>
      <w:jc w:val="left"/>
    </w:pPr>
    <w:rPr>
      <w:rFonts w:ascii="Calibri" w:hAnsi="Calibri"/>
      <w:sz w:val="20"/>
      <w:szCs w:val="20"/>
    </w:rPr>
  </w:style>
  <w:style w:type="paragraph" w:styleId="27">
    <w:name w:val="toc 2"/>
    <w:basedOn w:val="1"/>
    <w:next w:val="1"/>
    <w:autoRedefine/>
    <w:semiHidden/>
    <w:qFormat/>
    <w:uiPriority w:val="0"/>
    <w:pPr>
      <w:tabs>
        <w:tab w:val="right" w:leader="dot" w:pos="9242"/>
      </w:tabs>
    </w:pPr>
    <w:rPr>
      <w:rFonts w:ascii="宋体"/>
      <w:szCs w:val="21"/>
    </w:rPr>
  </w:style>
  <w:style w:type="paragraph" w:styleId="28">
    <w:name w:val="toc 9"/>
    <w:basedOn w:val="1"/>
    <w:next w:val="1"/>
    <w:autoRedefine/>
    <w:semiHidden/>
    <w:qFormat/>
    <w:uiPriority w:val="0"/>
    <w:pPr>
      <w:ind w:left="1470"/>
      <w:jc w:val="left"/>
    </w:pPr>
    <w:rPr>
      <w:sz w:val="20"/>
      <w:szCs w:val="20"/>
    </w:rPr>
  </w:style>
  <w:style w:type="paragraph" w:styleId="29">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0">
    <w:name w:val="index 2"/>
    <w:basedOn w:val="1"/>
    <w:next w:val="1"/>
    <w:autoRedefine/>
    <w:qFormat/>
    <w:uiPriority w:val="0"/>
    <w:pPr>
      <w:ind w:left="420" w:hanging="210"/>
      <w:jc w:val="left"/>
    </w:pPr>
    <w:rPr>
      <w:rFonts w:ascii="Calibri" w:hAnsi="Calibri"/>
      <w:sz w:val="20"/>
      <w:szCs w:val="20"/>
    </w:rPr>
  </w:style>
  <w:style w:type="table" w:styleId="32">
    <w:name w:val="Table Grid"/>
    <w:basedOn w:val="31"/>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4">
    <w:name w:val="endnote reference"/>
    <w:basedOn w:val="33"/>
    <w:semiHidden/>
    <w:qFormat/>
    <w:uiPriority w:val="0"/>
    <w:rPr>
      <w:vertAlign w:val="superscript"/>
    </w:rPr>
  </w:style>
  <w:style w:type="character" w:styleId="35">
    <w:name w:val="page number"/>
    <w:basedOn w:val="33"/>
    <w:qFormat/>
    <w:uiPriority w:val="0"/>
    <w:rPr>
      <w:rFonts w:ascii="Times New Roman" w:hAnsi="Times New Roman" w:eastAsia="宋体"/>
      <w:sz w:val="18"/>
    </w:rPr>
  </w:style>
  <w:style w:type="character" w:styleId="36">
    <w:name w:val="FollowedHyperlink"/>
    <w:basedOn w:val="33"/>
    <w:qFormat/>
    <w:uiPriority w:val="0"/>
    <w:rPr>
      <w:color w:val="800080"/>
      <w:u w:val="single"/>
    </w:rPr>
  </w:style>
  <w:style w:type="character" w:styleId="37">
    <w:name w:val="Hyperlink"/>
    <w:basedOn w:val="33"/>
    <w:autoRedefine/>
    <w:qFormat/>
    <w:uiPriority w:val="0"/>
    <w:rPr>
      <w:color w:val="0000FF"/>
      <w:spacing w:val="0"/>
      <w:w w:val="100"/>
      <w:szCs w:val="21"/>
      <w:u w:val="single"/>
    </w:rPr>
  </w:style>
  <w:style w:type="character" w:styleId="38">
    <w:name w:val="footnote reference"/>
    <w:basedOn w:val="33"/>
    <w:autoRedefine/>
    <w:semiHidden/>
    <w:qFormat/>
    <w:uiPriority w:val="0"/>
    <w:rPr>
      <w:vertAlign w:val="superscript"/>
    </w:rPr>
  </w:style>
  <w:style w:type="character" w:customStyle="1" w:styleId="39">
    <w:name w:val="段 Char"/>
    <w:basedOn w:val="33"/>
    <w:link w:val="21"/>
    <w:autoRedefine/>
    <w:qFormat/>
    <w:uiPriority w:val="0"/>
    <w:rPr>
      <w:rFonts w:ascii="宋体"/>
      <w:sz w:val="21"/>
      <w:lang w:val="en-US" w:eastAsia="zh-CN" w:bidi="ar-SA"/>
    </w:rPr>
  </w:style>
  <w:style w:type="paragraph" w:customStyle="1" w:styleId="40">
    <w:name w:val="一级条标题"/>
    <w:next w:val="21"/>
    <w:autoRedefine/>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41">
    <w:name w:val="标准书脚_奇数页"/>
    <w:autoRedefine/>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2">
    <w:name w:val="标准书眉_奇数页"/>
    <w:next w:val="1"/>
    <w:autoRedefine/>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3">
    <w:name w:val="章标题"/>
    <w:next w:val="21"/>
    <w:autoRedefine/>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44">
    <w:name w:val="二级条标题"/>
    <w:basedOn w:val="40"/>
    <w:next w:val="21"/>
    <w:autoRedefine/>
    <w:qFormat/>
    <w:uiPriority w:val="0"/>
    <w:pPr>
      <w:numPr>
        <w:ilvl w:val="2"/>
      </w:numPr>
      <w:spacing w:before="50" w:after="50"/>
      <w:ind w:left="0"/>
      <w:outlineLvl w:val="3"/>
    </w:pPr>
  </w:style>
  <w:style w:type="paragraph" w:customStyle="1" w:styleId="45">
    <w:name w:val="封面标准号2"/>
    <w:autoRedefine/>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6">
    <w:name w:val="列项——（一级）"/>
    <w:autoRedefine/>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47">
    <w:name w:val="列项●（二级）"/>
    <w:autoRedefine/>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48">
    <w:name w:val="目次、标准名称标题"/>
    <w:basedOn w:val="1"/>
    <w:next w:val="21"/>
    <w:autoRedefine/>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49">
    <w:name w:val="三级条标题"/>
    <w:basedOn w:val="44"/>
    <w:next w:val="21"/>
    <w:autoRedefine/>
    <w:qFormat/>
    <w:uiPriority w:val="0"/>
    <w:pPr>
      <w:numPr>
        <w:ilvl w:val="3"/>
      </w:numPr>
      <w:outlineLvl w:val="4"/>
    </w:pPr>
  </w:style>
  <w:style w:type="paragraph" w:customStyle="1" w:styleId="50">
    <w:name w:val="示例"/>
    <w:next w:val="51"/>
    <w:autoRedefine/>
    <w:qFormat/>
    <w:uiPriority w:val="0"/>
    <w:pPr>
      <w:widowControl w:val="0"/>
      <w:ind w:firstLine="363"/>
      <w:jc w:val="both"/>
    </w:pPr>
    <w:rPr>
      <w:rFonts w:ascii="宋体" w:hAnsi="Times New Roman" w:eastAsia="宋体" w:cs="Times New Roman"/>
      <w:sz w:val="18"/>
      <w:szCs w:val="18"/>
      <w:lang w:val="en-US" w:eastAsia="zh-CN" w:bidi="ar-SA"/>
    </w:rPr>
  </w:style>
  <w:style w:type="paragraph" w:customStyle="1" w:styleId="51">
    <w:name w:val="示例内容"/>
    <w:autoRedefine/>
    <w:qFormat/>
    <w:uiPriority w:val="0"/>
    <w:pPr>
      <w:ind w:firstLine="200" w:firstLineChars="200"/>
    </w:pPr>
    <w:rPr>
      <w:rFonts w:ascii="宋体" w:hAnsi="Times New Roman" w:eastAsia="宋体" w:cs="Times New Roman"/>
      <w:sz w:val="18"/>
      <w:szCs w:val="18"/>
      <w:lang w:val="en-US" w:eastAsia="zh-CN" w:bidi="ar-SA"/>
    </w:rPr>
  </w:style>
  <w:style w:type="paragraph" w:customStyle="1" w:styleId="52">
    <w:name w:val="数字编号列项（二级）"/>
    <w:autoRedefine/>
    <w:qFormat/>
    <w:uiPriority w:val="0"/>
    <w:pPr>
      <w:numPr>
        <w:ilvl w:val="1"/>
        <w:numId w:val="4"/>
      </w:numPr>
      <w:jc w:val="both"/>
    </w:pPr>
    <w:rPr>
      <w:rFonts w:ascii="宋体" w:hAnsi="Times New Roman" w:eastAsia="宋体" w:cs="Times New Roman"/>
      <w:sz w:val="21"/>
      <w:lang w:val="en-US" w:eastAsia="zh-CN" w:bidi="ar-SA"/>
    </w:rPr>
  </w:style>
  <w:style w:type="paragraph" w:customStyle="1" w:styleId="53">
    <w:name w:val="四级条标题"/>
    <w:basedOn w:val="49"/>
    <w:next w:val="21"/>
    <w:autoRedefine/>
    <w:qFormat/>
    <w:uiPriority w:val="0"/>
    <w:pPr>
      <w:numPr>
        <w:ilvl w:val="4"/>
      </w:numPr>
      <w:outlineLvl w:val="5"/>
    </w:pPr>
  </w:style>
  <w:style w:type="paragraph" w:customStyle="1" w:styleId="54">
    <w:name w:val="五级条标题"/>
    <w:basedOn w:val="53"/>
    <w:next w:val="21"/>
    <w:autoRedefine/>
    <w:qFormat/>
    <w:uiPriority w:val="0"/>
    <w:pPr>
      <w:numPr>
        <w:ilvl w:val="5"/>
      </w:numPr>
      <w:outlineLvl w:val="6"/>
    </w:pPr>
  </w:style>
  <w:style w:type="paragraph" w:customStyle="1" w:styleId="55">
    <w:name w:val="注："/>
    <w:next w:val="21"/>
    <w:autoRedefine/>
    <w:qFormat/>
    <w:uiPriority w:val="0"/>
    <w:pPr>
      <w:widowControl w:val="0"/>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56">
    <w:name w:val="注×："/>
    <w:autoRedefine/>
    <w:qFormat/>
    <w:uiPriority w:val="0"/>
    <w:pPr>
      <w:widowControl w:val="0"/>
      <w:autoSpaceDE w:val="0"/>
      <w:autoSpaceDN w:val="0"/>
      <w:ind w:left="811" w:hanging="448"/>
      <w:jc w:val="both"/>
    </w:pPr>
    <w:rPr>
      <w:rFonts w:ascii="宋体" w:hAnsi="Times New Roman" w:eastAsia="宋体" w:cs="Times New Roman"/>
      <w:sz w:val="18"/>
      <w:szCs w:val="18"/>
      <w:lang w:val="en-US" w:eastAsia="zh-CN" w:bidi="ar-SA"/>
    </w:rPr>
  </w:style>
  <w:style w:type="paragraph" w:customStyle="1" w:styleId="57">
    <w:name w:val="字母编号列项（一级）"/>
    <w:autoRedefine/>
    <w:qFormat/>
    <w:uiPriority w:val="0"/>
    <w:pPr>
      <w:numPr>
        <w:ilvl w:val="0"/>
        <w:numId w:val="4"/>
      </w:numPr>
      <w:jc w:val="both"/>
    </w:pPr>
    <w:rPr>
      <w:rFonts w:ascii="宋体" w:hAnsi="Times New Roman" w:eastAsia="宋体" w:cs="Times New Roman"/>
      <w:sz w:val="21"/>
      <w:lang w:val="en-US" w:eastAsia="zh-CN" w:bidi="ar-SA"/>
    </w:rPr>
  </w:style>
  <w:style w:type="paragraph" w:customStyle="1" w:styleId="58">
    <w:name w:val="列项◆（三级）"/>
    <w:basedOn w:val="1"/>
    <w:autoRedefine/>
    <w:qFormat/>
    <w:uiPriority w:val="0"/>
    <w:pPr>
      <w:numPr>
        <w:ilvl w:val="2"/>
        <w:numId w:val="3"/>
      </w:numPr>
    </w:pPr>
    <w:rPr>
      <w:rFonts w:ascii="宋体"/>
      <w:szCs w:val="21"/>
    </w:rPr>
  </w:style>
  <w:style w:type="paragraph" w:customStyle="1" w:styleId="59">
    <w:name w:val="编号列项（三级）"/>
    <w:autoRedefine/>
    <w:qFormat/>
    <w:uiPriority w:val="0"/>
    <w:pPr>
      <w:numPr>
        <w:ilvl w:val="2"/>
        <w:numId w:val="4"/>
      </w:numPr>
    </w:pPr>
    <w:rPr>
      <w:rFonts w:ascii="宋体" w:hAnsi="Times New Roman" w:eastAsia="宋体" w:cs="Times New Roman"/>
      <w:sz w:val="21"/>
      <w:lang w:val="en-US" w:eastAsia="zh-CN" w:bidi="ar-SA"/>
    </w:rPr>
  </w:style>
  <w:style w:type="paragraph" w:customStyle="1" w:styleId="60">
    <w:name w:val="示例×："/>
    <w:basedOn w:val="43"/>
    <w:autoRedefine/>
    <w:qFormat/>
    <w:uiPriority w:val="0"/>
    <w:pPr>
      <w:numPr>
        <w:numId w:val="0"/>
      </w:numPr>
      <w:spacing w:beforeLines="0" w:afterLines="0"/>
      <w:ind w:firstLine="363"/>
      <w:outlineLvl w:val="9"/>
    </w:pPr>
    <w:rPr>
      <w:rFonts w:ascii="宋体" w:eastAsia="宋体"/>
      <w:sz w:val="18"/>
      <w:szCs w:val="18"/>
    </w:rPr>
  </w:style>
  <w:style w:type="paragraph" w:customStyle="1" w:styleId="61">
    <w:name w:val="二级无"/>
    <w:basedOn w:val="44"/>
    <w:autoRedefine/>
    <w:qFormat/>
    <w:uiPriority w:val="0"/>
    <w:pPr>
      <w:spacing w:beforeLines="0" w:afterLines="0"/>
    </w:pPr>
    <w:rPr>
      <w:rFonts w:ascii="宋体" w:eastAsia="宋体"/>
    </w:rPr>
  </w:style>
  <w:style w:type="paragraph" w:customStyle="1" w:styleId="62">
    <w:name w:val="注：（正文）"/>
    <w:basedOn w:val="55"/>
    <w:next w:val="21"/>
    <w:autoRedefine/>
    <w:qFormat/>
    <w:uiPriority w:val="0"/>
  </w:style>
  <w:style w:type="paragraph" w:customStyle="1" w:styleId="63">
    <w:name w:val="注×：（正文）"/>
    <w:autoRedefine/>
    <w:qFormat/>
    <w:uiPriority w:val="0"/>
    <w:pPr>
      <w:numPr>
        <w:ilvl w:val="0"/>
        <w:numId w:val="5"/>
      </w:numPr>
      <w:jc w:val="both"/>
    </w:pPr>
    <w:rPr>
      <w:rFonts w:ascii="宋体" w:hAnsi="Times New Roman" w:eastAsia="宋体" w:cs="Times New Roman"/>
      <w:sz w:val="18"/>
      <w:szCs w:val="18"/>
      <w:lang w:val="en-US" w:eastAsia="zh-CN" w:bidi="ar-SA"/>
    </w:rPr>
  </w:style>
  <w:style w:type="paragraph" w:customStyle="1" w:styleId="64">
    <w:name w:val="标准标志"/>
    <w:next w:val="1"/>
    <w:autoRedefine/>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5">
    <w:name w:val="标准称谓"/>
    <w:next w:val="1"/>
    <w:autoRedefine/>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66">
    <w:name w:val="标准书脚_偶数页"/>
    <w:autoRedefine/>
    <w:qFormat/>
    <w:uiPriority w:val="0"/>
    <w:pPr>
      <w:spacing w:before="120"/>
      <w:ind w:left="221"/>
    </w:pPr>
    <w:rPr>
      <w:rFonts w:ascii="宋体" w:hAnsi="Times New Roman" w:eastAsia="宋体" w:cs="Times New Roman"/>
      <w:sz w:val="18"/>
      <w:szCs w:val="18"/>
      <w:lang w:val="en-US" w:eastAsia="zh-CN" w:bidi="ar-SA"/>
    </w:rPr>
  </w:style>
  <w:style w:type="paragraph" w:customStyle="1" w:styleId="67">
    <w:name w:val="标准书眉_偶数页"/>
    <w:basedOn w:val="42"/>
    <w:next w:val="1"/>
    <w:autoRedefine/>
    <w:qFormat/>
    <w:uiPriority w:val="0"/>
    <w:pPr>
      <w:jc w:val="left"/>
    </w:pPr>
  </w:style>
  <w:style w:type="paragraph" w:customStyle="1" w:styleId="68">
    <w:name w:val="标准书眉一"/>
    <w:autoRedefine/>
    <w:qFormat/>
    <w:uiPriority w:val="0"/>
    <w:pPr>
      <w:jc w:val="both"/>
    </w:pPr>
    <w:rPr>
      <w:rFonts w:ascii="Times New Roman" w:hAnsi="Times New Roman" w:eastAsia="宋体" w:cs="Times New Roman"/>
      <w:lang w:val="en-US" w:eastAsia="zh-CN" w:bidi="ar-SA"/>
    </w:rPr>
  </w:style>
  <w:style w:type="paragraph" w:customStyle="1" w:styleId="69">
    <w:name w:val="参考文献"/>
    <w:basedOn w:val="1"/>
    <w:next w:val="21"/>
    <w:autoRedefine/>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0">
    <w:name w:val="参考文献、索引标题"/>
    <w:basedOn w:val="1"/>
    <w:next w:val="21"/>
    <w:autoRedefine/>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71">
    <w:name w:val="发布"/>
    <w:basedOn w:val="33"/>
    <w:qFormat/>
    <w:uiPriority w:val="0"/>
    <w:rPr>
      <w:rFonts w:ascii="黑体" w:eastAsia="黑体"/>
      <w:spacing w:val="85"/>
      <w:w w:val="100"/>
      <w:position w:val="3"/>
      <w:sz w:val="28"/>
      <w:szCs w:val="28"/>
    </w:rPr>
  </w:style>
  <w:style w:type="paragraph" w:customStyle="1" w:styleId="72">
    <w:name w:val="发布部门"/>
    <w:next w:val="21"/>
    <w:autoRedefine/>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3">
    <w:name w:val="发布日期"/>
    <w:autoRedefine/>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4">
    <w:name w:val="封面标准代替信息"/>
    <w:autoRedefine/>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5">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6">
    <w:name w:val="封面标准名称"/>
    <w:autoRedefine/>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7">
    <w:name w:val="封面标准英文名称"/>
    <w:basedOn w:val="76"/>
    <w:autoRedefine/>
    <w:qFormat/>
    <w:uiPriority w:val="0"/>
    <w:pPr>
      <w:framePr w:wrap="around"/>
      <w:spacing w:before="370" w:line="400" w:lineRule="exact"/>
    </w:pPr>
    <w:rPr>
      <w:rFonts w:ascii="Times New Roman"/>
      <w:sz w:val="28"/>
      <w:szCs w:val="28"/>
    </w:rPr>
  </w:style>
  <w:style w:type="paragraph" w:customStyle="1" w:styleId="78">
    <w:name w:val="封面一致性程度标识"/>
    <w:basedOn w:val="77"/>
    <w:autoRedefine/>
    <w:qFormat/>
    <w:uiPriority w:val="0"/>
    <w:pPr>
      <w:framePr w:wrap="around"/>
      <w:spacing w:before="440"/>
    </w:pPr>
    <w:rPr>
      <w:rFonts w:ascii="宋体" w:eastAsia="宋体"/>
    </w:rPr>
  </w:style>
  <w:style w:type="paragraph" w:customStyle="1" w:styleId="79">
    <w:name w:val="封面标准文稿类别"/>
    <w:basedOn w:val="78"/>
    <w:autoRedefine/>
    <w:qFormat/>
    <w:uiPriority w:val="0"/>
    <w:pPr>
      <w:framePr w:wrap="around"/>
      <w:spacing w:after="160" w:line="240" w:lineRule="auto"/>
    </w:pPr>
    <w:rPr>
      <w:sz w:val="24"/>
    </w:rPr>
  </w:style>
  <w:style w:type="paragraph" w:customStyle="1" w:styleId="80">
    <w:name w:val="封面标准文稿编辑信息"/>
    <w:basedOn w:val="79"/>
    <w:autoRedefine/>
    <w:qFormat/>
    <w:uiPriority w:val="0"/>
    <w:pPr>
      <w:framePr w:wrap="around"/>
      <w:spacing w:before="180" w:line="180" w:lineRule="exact"/>
    </w:pPr>
    <w:rPr>
      <w:sz w:val="21"/>
    </w:rPr>
  </w:style>
  <w:style w:type="paragraph" w:customStyle="1" w:styleId="81">
    <w:name w:val="封面正文"/>
    <w:qFormat/>
    <w:uiPriority w:val="0"/>
    <w:pPr>
      <w:jc w:val="both"/>
    </w:pPr>
    <w:rPr>
      <w:rFonts w:ascii="Times New Roman" w:hAnsi="Times New Roman" w:eastAsia="宋体" w:cs="Times New Roman"/>
      <w:lang w:val="en-US" w:eastAsia="zh-CN" w:bidi="ar-SA"/>
    </w:rPr>
  </w:style>
  <w:style w:type="paragraph" w:customStyle="1" w:styleId="82">
    <w:name w:val="附录标识"/>
    <w:basedOn w:val="1"/>
    <w:next w:val="21"/>
    <w:qFormat/>
    <w:uiPriority w:val="0"/>
    <w:pPr>
      <w:keepNext/>
      <w:widowControl/>
      <w:numPr>
        <w:ilvl w:val="0"/>
        <w:numId w:val="6"/>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3">
    <w:name w:val="附录标题"/>
    <w:basedOn w:val="21"/>
    <w:next w:val="21"/>
    <w:qFormat/>
    <w:uiPriority w:val="0"/>
    <w:pPr>
      <w:ind w:firstLine="0" w:firstLineChars="0"/>
      <w:jc w:val="center"/>
    </w:pPr>
    <w:rPr>
      <w:rFonts w:ascii="黑体" w:eastAsia="黑体"/>
    </w:rPr>
  </w:style>
  <w:style w:type="paragraph" w:customStyle="1" w:styleId="84">
    <w:name w:val="附录表标号"/>
    <w:basedOn w:val="1"/>
    <w:next w:val="21"/>
    <w:autoRedefine/>
    <w:qFormat/>
    <w:uiPriority w:val="0"/>
    <w:pPr>
      <w:numPr>
        <w:ilvl w:val="0"/>
        <w:numId w:val="7"/>
      </w:numPr>
      <w:tabs>
        <w:tab w:val="clear" w:pos="0"/>
      </w:tabs>
      <w:spacing w:line="14" w:lineRule="exact"/>
      <w:ind w:left="811" w:hanging="448"/>
      <w:jc w:val="center"/>
      <w:outlineLvl w:val="0"/>
    </w:pPr>
    <w:rPr>
      <w:color w:val="FFFFFF"/>
    </w:rPr>
  </w:style>
  <w:style w:type="paragraph" w:customStyle="1" w:styleId="85">
    <w:name w:val="附录表标题"/>
    <w:basedOn w:val="1"/>
    <w:next w:val="21"/>
    <w:autoRedefine/>
    <w:qFormat/>
    <w:uiPriority w:val="0"/>
    <w:pPr>
      <w:numPr>
        <w:ilvl w:val="1"/>
        <w:numId w:val="7"/>
      </w:numPr>
      <w:tabs>
        <w:tab w:val="left" w:pos="180"/>
      </w:tabs>
      <w:spacing w:beforeLines="50" w:afterLines="50"/>
      <w:ind w:left="0" w:firstLine="0"/>
      <w:jc w:val="center"/>
    </w:pPr>
    <w:rPr>
      <w:rFonts w:ascii="黑体" w:eastAsia="黑体"/>
      <w:szCs w:val="21"/>
    </w:rPr>
  </w:style>
  <w:style w:type="paragraph" w:customStyle="1" w:styleId="86">
    <w:name w:val="附录二级条标题"/>
    <w:basedOn w:val="1"/>
    <w:next w:val="21"/>
    <w:autoRedefine/>
    <w:qFormat/>
    <w:uiPriority w:val="0"/>
    <w:pPr>
      <w:widowControl/>
      <w:numPr>
        <w:ilvl w:val="3"/>
        <w:numId w:val="6"/>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87">
    <w:name w:val="附录二级无"/>
    <w:basedOn w:val="86"/>
    <w:autoRedefine/>
    <w:qFormat/>
    <w:uiPriority w:val="0"/>
    <w:pPr>
      <w:tabs>
        <w:tab w:val="clear" w:pos="360"/>
      </w:tabs>
      <w:spacing w:beforeLines="0" w:afterLines="0"/>
    </w:pPr>
    <w:rPr>
      <w:rFonts w:ascii="宋体" w:eastAsia="宋体"/>
      <w:szCs w:val="21"/>
    </w:rPr>
  </w:style>
  <w:style w:type="paragraph" w:customStyle="1" w:styleId="88">
    <w:name w:val="附录公式"/>
    <w:basedOn w:val="21"/>
    <w:next w:val="21"/>
    <w:link w:val="89"/>
    <w:autoRedefine/>
    <w:qFormat/>
    <w:uiPriority w:val="0"/>
  </w:style>
  <w:style w:type="character" w:customStyle="1" w:styleId="89">
    <w:name w:val="附录公式 Char"/>
    <w:basedOn w:val="39"/>
    <w:link w:val="88"/>
    <w:autoRedefine/>
    <w:qFormat/>
    <w:uiPriority w:val="0"/>
  </w:style>
  <w:style w:type="paragraph" w:customStyle="1" w:styleId="90">
    <w:name w:val="附录公式编号制表符"/>
    <w:basedOn w:val="1"/>
    <w:next w:val="21"/>
    <w:autoRedefine/>
    <w:qFormat/>
    <w:uiPriority w:val="0"/>
    <w:pPr>
      <w:widowControl/>
      <w:tabs>
        <w:tab w:val="center" w:pos="4201"/>
        <w:tab w:val="right" w:leader="dot" w:pos="9298"/>
      </w:tabs>
      <w:autoSpaceDE w:val="0"/>
      <w:autoSpaceDN w:val="0"/>
    </w:pPr>
    <w:rPr>
      <w:rFonts w:ascii="宋体"/>
      <w:kern w:val="0"/>
      <w:szCs w:val="20"/>
    </w:rPr>
  </w:style>
  <w:style w:type="paragraph" w:customStyle="1" w:styleId="91">
    <w:name w:val="附录三级条标题"/>
    <w:basedOn w:val="86"/>
    <w:next w:val="21"/>
    <w:autoRedefine/>
    <w:qFormat/>
    <w:uiPriority w:val="0"/>
    <w:pPr>
      <w:numPr>
        <w:ilvl w:val="4"/>
      </w:numPr>
      <w:outlineLvl w:val="4"/>
    </w:pPr>
  </w:style>
  <w:style w:type="paragraph" w:customStyle="1" w:styleId="92">
    <w:name w:val="附录三级无"/>
    <w:basedOn w:val="91"/>
    <w:autoRedefine/>
    <w:qFormat/>
    <w:uiPriority w:val="0"/>
    <w:pPr>
      <w:tabs>
        <w:tab w:val="clear" w:pos="360"/>
      </w:tabs>
      <w:spacing w:beforeLines="0" w:afterLines="0"/>
    </w:pPr>
    <w:rPr>
      <w:rFonts w:ascii="宋体" w:eastAsia="宋体"/>
      <w:szCs w:val="21"/>
    </w:rPr>
  </w:style>
  <w:style w:type="paragraph" w:customStyle="1" w:styleId="93">
    <w:name w:val="附录数字编号列项（二级）"/>
    <w:autoRedefine/>
    <w:qFormat/>
    <w:uiPriority w:val="0"/>
    <w:pPr>
      <w:numPr>
        <w:ilvl w:val="1"/>
        <w:numId w:val="8"/>
      </w:numPr>
    </w:pPr>
    <w:rPr>
      <w:rFonts w:ascii="宋体" w:hAnsi="Times New Roman" w:eastAsia="宋体" w:cs="Times New Roman"/>
      <w:sz w:val="21"/>
      <w:lang w:val="en-US" w:eastAsia="zh-CN" w:bidi="ar-SA"/>
    </w:rPr>
  </w:style>
  <w:style w:type="paragraph" w:customStyle="1" w:styleId="94">
    <w:name w:val="附录四级条标题"/>
    <w:basedOn w:val="91"/>
    <w:next w:val="21"/>
    <w:autoRedefine/>
    <w:qFormat/>
    <w:uiPriority w:val="0"/>
    <w:pPr>
      <w:numPr>
        <w:ilvl w:val="5"/>
      </w:numPr>
      <w:outlineLvl w:val="5"/>
    </w:pPr>
  </w:style>
  <w:style w:type="paragraph" w:customStyle="1" w:styleId="95">
    <w:name w:val="附录四级无"/>
    <w:basedOn w:val="94"/>
    <w:qFormat/>
    <w:uiPriority w:val="0"/>
    <w:pPr>
      <w:tabs>
        <w:tab w:val="clear" w:pos="360"/>
      </w:tabs>
      <w:spacing w:beforeLines="0" w:afterLines="0"/>
    </w:pPr>
    <w:rPr>
      <w:rFonts w:ascii="宋体" w:eastAsia="宋体"/>
      <w:szCs w:val="21"/>
    </w:rPr>
  </w:style>
  <w:style w:type="paragraph" w:customStyle="1" w:styleId="96">
    <w:name w:val="附录图标号"/>
    <w:basedOn w:val="1"/>
    <w:qFormat/>
    <w:uiPriority w:val="0"/>
    <w:pPr>
      <w:keepNext/>
      <w:pageBreakBefore/>
      <w:widowControl/>
      <w:numPr>
        <w:ilvl w:val="0"/>
        <w:numId w:val="9"/>
      </w:numPr>
      <w:spacing w:line="14" w:lineRule="exact"/>
      <w:ind w:left="0" w:firstLine="363"/>
      <w:jc w:val="center"/>
      <w:outlineLvl w:val="0"/>
    </w:pPr>
    <w:rPr>
      <w:color w:val="FFFFFF"/>
    </w:rPr>
  </w:style>
  <w:style w:type="paragraph" w:customStyle="1" w:styleId="97">
    <w:name w:val="附录图标题"/>
    <w:basedOn w:val="1"/>
    <w:next w:val="21"/>
    <w:autoRedefine/>
    <w:qFormat/>
    <w:uiPriority w:val="0"/>
    <w:pPr>
      <w:numPr>
        <w:ilvl w:val="1"/>
        <w:numId w:val="9"/>
      </w:numPr>
      <w:tabs>
        <w:tab w:val="left" w:pos="363"/>
      </w:tabs>
      <w:spacing w:beforeLines="50" w:afterLines="50"/>
      <w:ind w:left="0" w:firstLine="0"/>
      <w:jc w:val="center"/>
    </w:pPr>
    <w:rPr>
      <w:rFonts w:ascii="黑体" w:eastAsia="黑体"/>
      <w:szCs w:val="21"/>
    </w:rPr>
  </w:style>
  <w:style w:type="paragraph" w:customStyle="1" w:styleId="98">
    <w:name w:val="附录五级条标题"/>
    <w:basedOn w:val="94"/>
    <w:next w:val="21"/>
    <w:qFormat/>
    <w:uiPriority w:val="0"/>
    <w:pPr>
      <w:numPr>
        <w:ilvl w:val="6"/>
      </w:numPr>
      <w:outlineLvl w:val="6"/>
    </w:pPr>
  </w:style>
  <w:style w:type="paragraph" w:customStyle="1" w:styleId="99">
    <w:name w:val="附录五级无"/>
    <w:basedOn w:val="98"/>
    <w:autoRedefine/>
    <w:qFormat/>
    <w:uiPriority w:val="0"/>
    <w:pPr>
      <w:tabs>
        <w:tab w:val="clear" w:pos="360"/>
      </w:tabs>
      <w:spacing w:beforeLines="0" w:afterLines="0"/>
    </w:pPr>
    <w:rPr>
      <w:rFonts w:ascii="宋体" w:eastAsia="宋体"/>
      <w:szCs w:val="21"/>
    </w:rPr>
  </w:style>
  <w:style w:type="paragraph" w:customStyle="1" w:styleId="100">
    <w:name w:val="附录章标题"/>
    <w:next w:val="21"/>
    <w:qFormat/>
    <w:uiPriority w:val="0"/>
    <w:pPr>
      <w:numPr>
        <w:ilvl w:val="1"/>
        <w:numId w:val="6"/>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1">
    <w:name w:val="附录一级条标题"/>
    <w:basedOn w:val="100"/>
    <w:next w:val="21"/>
    <w:qFormat/>
    <w:uiPriority w:val="0"/>
    <w:pPr>
      <w:numPr>
        <w:ilvl w:val="2"/>
      </w:numPr>
      <w:autoSpaceDN w:val="0"/>
      <w:spacing w:beforeLines="50" w:afterLines="50"/>
      <w:outlineLvl w:val="2"/>
    </w:pPr>
  </w:style>
  <w:style w:type="paragraph" w:customStyle="1" w:styleId="102">
    <w:name w:val="附录一级无"/>
    <w:basedOn w:val="101"/>
    <w:qFormat/>
    <w:uiPriority w:val="0"/>
    <w:pPr>
      <w:tabs>
        <w:tab w:val="clear" w:pos="360"/>
      </w:tabs>
      <w:spacing w:beforeLines="0" w:afterLines="0"/>
    </w:pPr>
    <w:rPr>
      <w:rFonts w:ascii="宋体" w:eastAsia="宋体"/>
      <w:szCs w:val="21"/>
    </w:rPr>
  </w:style>
  <w:style w:type="paragraph" w:customStyle="1" w:styleId="103">
    <w:name w:val="附录字母编号列项（一级）"/>
    <w:qFormat/>
    <w:uiPriority w:val="0"/>
    <w:pPr>
      <w:numPr>
        <w:ilvl w:val="0"/>
        <w:numId w:val="8"/>
      </w:numPr>
    </w:pPr>
    <w:rPr>
      <w:rFonts w:ascii="宋体" w:hAnsi="Times New Roman" w:eastAsia="宋体" w:cs="Times New Roman"/>
      <w:sz w:val="21"/>
      <w:lang w:val="en-US" w:eastAsia="zh-CN" w:bidi="ar-SA"/>
    </w:rPr>
  </w:style>
  <w:style w:type="paragraph" w:customStyle="1" w:styleId="104">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5">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6">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07">
    <w:name w:val="其他标准标志"/>
    <w:basedOn w:val="64"/>
    <w:qFormat/>
    <w:uiPriority w:val="0"/>
    <w:pPr>
      <w:framePr w:w="6101" w:wrap="around" w:vAnchor="page" w:hAnchor="page" w:x="4673" w:y="942"/>
    </w:pPr>
    <w:rPr>
      <w:w w:val="130"/>
    </w:rPr>
  </w:style>
  <w:style w:type="paragraph" w:customStyle="1" w:styleId="108">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09">
    <w:name w:val="其他发布部门"/>
    <w:basedOn w:val="72"/>
    <w:qFormat/>
    <w:uiPriority w:val="0"/>
    <w:pPr>
      <w:framePr w:wrap="around" w:y="15310"/>
      <w:spacing w:line="0" w:lineRule="atLeast"/>
    </w:pPr>
    <w:rPr>
      <w:rFonts w:ascii="黑体" w:eastAsia="黑体"/>
      <w:b w:val="0"/>
    </w:rPr>
  </w:style>
  <w:style w:type="paragraph" w:customStyle="1" w:styleId="110">
    <w:name w:val="前言、引言标题"/>
    <w:next w:val="21"/>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1">
    <w:name w:val="三级无"/>
    <w:basedOn w:val="49"/>
    <w:qFormat/>
    <w:uiPriority w:val="0"/>
    <w:pPr>
      <w:spacing w:beforeLines="0" w:afterLines="0"/>
    </w:pPr>
    <w:rPr>
      <w:rFonts w:ascii="宋体" w:eastAsia="宋体"/>
    </w:rPr>
  </w:style>
  <w:style w:type="paragraph" w:customStyle="1" w:styleId="112">
    <w:name w:val="实施日期"/>
    <w:basedOn w:val="73"/>
    <w:qFormat/>
    <w:uiPriority w:val="0"/>
    <w:pPr>
      <w:framePr w:wrap="around" w:vAnchor="page" w:hAnchor="text"/>
      <w:jc w:val="right"/>
    </w:pPr>
  </w:style>
  <w:style w:type="paragraph" w:customStyle="1" w:styleId="113">
    <w:name w:val="示例后文字"/>
    <w:basedOn w:val="21"/>
    <w:next w:val="21"/>
    <w:qFormat/>
    <w:uiPriority w:val="0"/>
    <w:pPr>
      <w:ind w:firstLine="360"/>
    </w:pPr>
    <w:rPr>
      <w:sz w:val="18"/>
    </w:rPr>
  </w:style>
  <w:style w:type="paragraph" w:customStyle="1" w:styleId="114">
    <w:name w:val="首示例"/>
    <w:next w:val="21"/>
    <w:link w:val="115"/>
    <w:qFormat/>
    <w:uiPriority w:val="0"/>
    <w:pPr>
      <w:tabs>
        <w:tab w:val="left" w:pos="360"/>
      </w:tabs>
    </w:pPr>
    <w:rPr>
      <w:rFonts w:ascii="宋体" w:hAnsi="宋体" w:eastAsia="宋体" w:cs="Times New Roman"/>
      <w:kern w:val="2"/>
      <w:sz w:val="18"/>
      <w:szCs w:val="18"/>
      <w:lang w:val="en-US" w:eastAsia="zh-CN" w:bidi="ar-SA"/>
    </w:rPr>
  </w:style>
  <w:style w:type="character" w:customStyle="1" w:styleId="115">
    <w:name w:val="首示例 Char"/>
    <w:basedOn w:val="33"/>
    <w:link w:val="114"/>
    <w:qFormat/>
    <w:uiPriority w:val="0"/>
    <w:rPr>
      <w:rFonts w:ascii="宋体" w:hAnsi="宋体"/>
      <w:kern w:val="2"/>
      <w:sz w:val="18"/>
      <w:szCs w:val="18"/>
    </w:rPr>
  </w:style>
  <w:style w:type="paragraph" w:customStyle="1" w:styleId="116">
    <w:name w:val="四级无"/>
    <w:basedOn w:val="53"/>
    <w:qFormat/>
    <w:uiPriority w:val="0"/>
    <w:pPr>
      <w:spacing w:beforeLines="0" w:afterLines="0"/>
    </w:pPr>
    <w:rPr>
      <w:rFonts w:ascii="宋体" w:eastAsia="宋体"/>
    </w:rPr>
  </w:style>
  <w:style w:type="paragraph" w:customStyle="1" w:styleId="117">
    <w:name w:val="条文脚注"/>
    <w:basedOn w:val="23"/>
    <w:qFormat/>
    <w:uiPriority w:val="0"/>
    <w:pPr>
      <w:numPr>
        <w:numId w:val="0"/>
      </w:numPr>
      <w:jc w:val="both"/>
    </w:pPr>
  </w:style>
  <w:style w:type="paragraph" w:customStyle="1" w:styleId="118">
    <w:name w:val="图标脚注说明"/>
    <w:basedOn w:val="21"/>
    <w:qFormat/>
    <w:uiPriority w:val="0"/>
    <w:pPr>
      <w:ind w:left="840" w:hanging="420" w:firstLineChars="0"/>
    </w:pPr>
    <w:rPr>
      <w:sz w:val="18"/>
      <w:szCs w:val="18"/>
    </w:rPr>
  </w:style>
  <w:style w:type="paragraph" w:customStyle="1" w:styleId="119">
    <w:name w:val="图表脚注说明"/>
    <w:basedOn w:val="1"/>
    <w:qFormat/>
    <w:uiPriority w:val="0"/>
    <w:pPr>
      <w:ind w:left="544" w:hanging="181"/>
    </w:pPr>
    <w:rPr>
      <w:rFonts w:ascii="宋体"/>
      <w:sz w:val="18"/>
      <w:szCs w:val="18"/>
    </w:rPr>
  </w:style>
  <w:style w:type="paragraph" w:customStyle="1" w:styleId="120">
    <w:name w:val="图的脚注"/>
    <w:next w:val="21"/>
    <w:autoRedefine/>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1">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2">
    <w:name w:val="五级无"/>
    <w:basedOn w:val="54"/>
    <w:qFormat/>
    <w:uiPriority w:val="0"/>
    <w:pPr>
      <w:spacing w:beforeLines="0" w:afterLines="0"/>
    </w:pPr>
    <w:rPr>
      <w:rFonts w:ascii="宋体" w:eastAsia="宋体"/>
    </w:rPr>
  </w:style>
  <w:style w:type="paragraph" w:customStyle="1" w:styleId="123">
    <w:name w:val="一级无"/>
    <w:basedOn w:val="40"/>
    <w:qFormat/>
    <w:uiPriority w:val="0"/>
    <w:pPr>
      <w:spacing w:beforeLines="0" w:afterLines="0"/>
    </w:pPr>
    <w:rPr>
      <w:rFonts w:ascii="宋体" w:eastAsia="宋体"/>
    </w:rPr>
  </w:style>
  <w:style w:type="paragraph" w:customStyle="1" w:styleId="124">
    <w:name w:val="正文表标题"/>
    <w:next w:val="21"/>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25">
    <w:name w:val="正文公式编号制表符"/>
    <w:basedOn w:val="21"/>
    <w:next w:val="21"/>
    <w:qFormat/>
    <w:uiPriority w:val="0"/>
    <w:pPr>
      <w:ind w:firstLine="0" w:firstLineChars="0"/>
    </w:pPr>
  </w:style>
  <w:style w:type="paragraph" w:customStyle="1" w:styleId="126">
    <w:name w:val="正文图标题"/>
    <w:next w:val="21"/>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27">
    <w:name w:val="终结线"/>
    <w:basedOn w:val="1"/>
    <w:qFormat/>
    <w:uiPriority w:val="0"/>
    <w:pPr>
      <w:framePr w:hSpace="181" w:vSpace="181" w:wrap="around" w:vAnchor="text" w:hAnchor="margin" w:xAlign="center" w:y="285"/>
    </w:pPr>
  </w:style>
  <w:style w:type="paragraph" w:customStyle="1" w:styleId="128">
    <w:name w:val="其他发布日期"/>
    <w:basedOn w:val="73"/>
    <w:qFormat/>
    <w:uiPriority w:val="0"/>
    <w:pPr>
      <w:framePr w:wrap="around" w:vAnchor="page" w:hAnchor="text" w:x="1419"/>
    </w:pPr>
  </w:style>
  <w:style w:type="paragraph" w:customStyle="1" w:styleId="129">
    <w:name w:val="其他实施日期"/>
    <w:basedOn w:val="112"/>
    <w:qFormat/>
    <w:uiPriority w:val="0"/>
    <w:pPr>
      <w:framePr w:wrap="around"/>
    </w:pPr>
  </w:style>
  <w:style w:type="paragraph" w:customStyle="1" w:styleId="130">
    <w:name w:val="封面标准名称2"/>
    <w:basedOn w:val="76"/>
    <w:qFormat/>
    <w:uiPriority w:val="0"/>
    <w:pPr>
      <w:framePr w:wrap="around" w:y="4469"/>
      <w:spacing w:beforeLines="630"/>
    </w:pPr>
  </w:style>
  <w:style w:type="paragraph" w:customStyle="1" w:styleId="131">
    <w:name w:val="封面标准英文名称2"/>
    <w:basedOn w:val="77"/>
    <w:qFormat/>
    <w:uiPriority w:val="0"/>
    <w:pPr>
      <w:framePr w:wrap="around" w:y="4469"/>
    </w:pPr>
  </w:style>
  <w:style w:type="paragraph" w:customStyle="1" w:styleId="132">
    <w:name w:val="封面一致性程度标识2"/>
    <w:basedOn w:val="78"/>
    <w:qFormat/>
    <w:uiPriority w:val="0"/>
    <w:pPr>
      <w:framePr w:wrap="around" w:y="4469"/>
    </w:pPr>
  </w:style>
  <w:style w:type="paragraph" w:customStyle="1" w:styleId="133">
    <w:name w:val="封面标准文稿类别2"/>
    <w:basedOn w:val="79"/>
    <w:qFormat/>
    <w:uiPriority w:val="0"/>
    <w:pPr>
      <w:framePr w:wrap="around" w:y="4469"/>
    </w:pPr>
  </w:style>
  <w:style w:type="paragraph" w:customStyle="1" w:styleId="134">
    <w:name w:val="封面标准文稿编辑信息2"/>
    <w:basedOn w:val="80"/>
    <w:qFormat/>
    <w:uiPriority w:val="0"/>
    <w:pPr>
      <w:framePr w:wrap="around" w:y="4469"/>
    </w:pPr>
  </w:style>
  <w:style w:type="character" w:customStyle="1" w:styleId="135">
    <w:name w:val="正文文本缩进 Char"/>
    <w:basedOn w:val="33"/>
    <w:link w:val="8"/>
    <w:qFormat/>
    <w:uiPriority w:val="0"/>
    <w:rPr>
      <w:kern w:val="2"/>
      <w:sz w:val="21"/>
      <w:szCs w:val="24"/>
    </w:rPr>
  </w:style>
  <w:style w:type="character" w:customStyle="1" w:styleId="136">
    <w:name w:val="副标题 Char"/>
    <w:basedOn w:val="33"/>
    <w:link w:val="22"/>
    <w:qFormat/>
    <w:uiPriority w:val="11"/>
    <w:rPr>
      <w:rFonts w:ascii="Cambria" w:hAnsi="Cambria"/>
      <w:b/>
      <w:bCs/>
      <w:kern w:val="28"/>
      <w:sz w:val="32"/>
      <w:szCs w:val="32"/>
    </w:rPr>
  </w:style>
  <w:style w:type="character" w:customStyle="1" w:styleId="137">
    <w:name w:val="页眉 Char"/>
    <w:link w:val="16"/>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y\Desktop\&#26631;&#20934;&#32534;&#20889;&#33609;&#26696;%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标准编写草案 模板.dot</Template>
  <Company>zle</Company>
  <Pages>7</Pages>
  <Words>2138</Words>
  <Characters>2812</Characters>
  <Lines>27</Lines>
  <Paragraphs>7</Paragraphs>
  <TotalTime>207</TotalTime>
  <ScaleCrop>false</ScaleCrop>
  <LinksUpToDate>false</LinksUpToDate>
  <CharactersWithSpaces>2935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2020-03-25T03:37:00Z</dcterms:created>
  <dc:creator>郑玉艳</dc:creator>
  <cp:lastModifiedBy>忐忑</cp:lastModifiedBy>
  <dcterms:modified xsi:type="dcterms:W3CDTF">2025-11-11T06:22:34Z</dcterms:modified>
  <dc:title>标准名称</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43DF882515C3487E967222904BE39FC8_13</vt:lpwstr>
  </property>
  <property fmtid="{D5CDD505-2E9C-101B-9397-08002B2CF9AE}" pid="4" name="KSOTemplateDocerSaveRecord">
    <vt:lpwstr>eyJoZGlkIjoiMjE1MGZmOTRhZjllMGExZDlkZTMzYmYzNTljMTkwODUiLCJ1c2VySWQiOiI0MzYwMTU0NjQifQ==</vt:lpwstr>
  </property>
</Properties>
</file>