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BF7DFE">
      <w:pPr>
        <w:rPr>
          <w:rFonts w:hint="eastAsia"/>
        </w:rPr>
      </w:pPr>
      <w:bookmarkStart w:id="0" w:name="_Hlk161781445"/>
      <w:bookmarkEnd w:id="0"/>
    </w:p>
    <w:tbl>
      <w:tblPr>
        <w:tblStyle w:val="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4C6958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1513E0E">
            <w:pPr>
              <w:pStyle w:val="20"/>
              <w:framePr w:w="0" w:hRule="auto" w:wrap="auto" w:vAnchor="margin" w:hAnchor="text" w:xAlign="left" w:yAlign="inline"/>
              <w:spacing w:before="156" w:after="156"/>
              <w:rPr>
                <w:rFonts w:hint="eastAsia" w:ascii="宋体" w:hAnsi="宋体"/>
                <w:sz w:val="28"/>
                <w:szCs w:val="28"/>
              </w:rPr>
            </w:pPr>
            <w:bookmarkStart w:id="1" w:name="_Hlk26473981"/>
          </w:p>
        </w:tc>
      </w:tr>
      <w:bookmarkEnd w:id="1"/>
    </w:tbl>
    <w:p w14:paraId="5163FC5E">
      <w:pPr>
        <w:rPr>
          <w:rFonts w:hint="eastAsia" w:ascii="黑体" w:hAnsi="黑体" w:eastAsia="黑体"/>
          <w:kern w:val="0"/>
          <w:sz w:val="10"/>
          <w:szCs w:val="10"/>
        </w:rPr>
      </w:pPr>
    </w:p>
    <w:p w14:paraId="03D57A31">
      <w:pPr>
        <w:pStyle w:val="48"/>
        <w:framePr w:h="6974" w:hRule="exact" w:wrap="around" w:x="1419" w:anchorLock="1"/>
        <w:rPr>
          <w:rFonts w:hint="eastAsia"/>
          <w:sz w:val="48"/>
          <w:szCs w:val="48"/>
        </w:rPr>
      </w:pPr>
      <w:r>
        <w:rPr>
          <w:rFonts w:hint="eastAsia"/>
          <w:sz w:val="48"/>
          <w:szCs w:val="48"/>
        </w:rPr>
        <w:t>医疗服务机构</w:t>
      </w:r>
      <w:bookmarkStart w:id="2" w:name="_Hlk162903335"/>
      <w:r>
        <w:rPr>
          <w:rFonts w:hint="eastAsia"/>
          <w:sz w:val="48"/>
          <w:szCs w:val="48"/>
        </w:rPr>
        <w:t>老年综合征</w:t>
      </w:r>
      <w:bookmarkEnd w:id="2"/>
      <w:r>
        <w:rPr>
          <w:rFonts w:hint="eastAsia"/>
          <w:sz w:val="48"/>
          <w:szCs w:val="48"/>
        </w:rPr>
        <w:t>智慧管理技术导则</w:t>
      </w:r>
    </w:p>
    <w:p w14:paraId="2FBD6DB0">
      <w:pPr>
        <w:framePr w:w="9639" w:h="6974" w:hRule="exact" w:wrap="around" w:vAnchor="page" w:hAnchor="page" w:x="1419" w:y="6408" w:anchorLock="1"/>
        <w:ind w:left="-1418"/>
        <w:rPr>
          <w:rFonts w:hint="eastAsia"/>
          <w:sz w:val="48"/>
          <w:szCs w:val="48"/>
        </w:rPr>
      </w:pPr>
    </w:p>
    <w:p w14:paraId="1125C225">
      <w:pPr>
        <w:pStyle w:val="36"/>
        <w:framePr w:w="9639" w:h="6974" w:hRule="exact" w:wrap="around" w:vAnchor="page" w:hAnchor="page" w:x="1419" w:y="6408" w:anchorLock="1"/>
        <w:textAlignment w:val="bottom"/>
        <w:rPr>
          <w:rFonts w:eastAsia="黑体"/>
          <w:szCs w:val="28"/>
        </w:rPr>
      </w:pPr>
      <w:r>
        <w:rPr>
          <w:rFonts w:eastAsia="黑体"/>
          <w:szCs w:val="28"/>
        </w:rPr>
        <w:t>Construction standards of intelligent prevention and control system for geriatric syndrome in medical service institutions</w:t>
      </w:r>
    </w:p>
    <w:p w14:paraId="7095CAAC">
      <w:pPr>
        <w:pStyle w:val="36"/>
        <w:framePr w:w="9639" w:h="6974" w:hRule="exact" w:wrap="around" w:vAnchor="page" w:hAnchor="page" w:x="1419" w:y="6408" w:anchorLock="1"/>
        <w:spacing w:before="440" w:after="160"/>
        <w:textAlignment w:val="bottom"/>
        <w:rPr>
          <w:sz w:val="24"/>
          <w:szCs w:val="28"/>
        </w:rPr>
      </w:pPr>
      <w:r>
        <w:rPr>
          <w:sz w:val="24"/>
          <w:szCs w:val="28"/>
        </w:rPr>
        <w:fldChar w:fldCharType="begin"/>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r>
        <w:rPr>
          <w:rFonts w:hint="eastAsia"/>
          <w:sz w:val="24"/>
          <w:szCs w:val="28"/>
        </w:rPr>
        <w:t>征求意见稿</w:t>
      </w:r>
    </w:p>
    <w:p w14:paraId="3D8D2265">
      <w:pPr>
        <w:pStyle w:val="36"/>
        <w:framePr w:w="9639" w:h="6974" w:hRule="exact" w:wrap="around" w:vAnchor="page" w:hAnchor="page" w:x="1419" w:y="6408" w:anchorLock="1"/>
        <w:spacing w:before="180" w:line="240" w:lineRule="atLeast"/>
        <w:textAlignment w:val="bottom"/>
        <w:rPr>
          <w:sz w:val="21"/>
          <w:szCs w:val="28"/>
        </w:rPr>
      </w:pPr>
      <w:r>
        <w:rPr>
          <w:rFonts w:hint="eastAsia"/>
          <w:sz w:val="21"/>
          <w:szCs w:val="28"/>
        </w:rPr>
        <w:t>（2024年</w:t>
      </w:r>
      <w:r>
        <w:rPr>
          <w:sz w:val="21"/>
          <w:szCs w:val="28"/>
        </w:rPr>
        <w:t>8</w:t>
      </w:r>
      <w:r>
        <w:rPr>
          <w:rFonts w:hint="eastAsia"/>
          <w:sz w:val="21"/>
          <w:szCs w:val="28"/>
        </w:rPr>
        <w:t>月）</w:t>
      </w:r>
    </w:p>
    <w:p w14:paraId="6A6D448C">
      <w:pPr>
        <w:pStyle w:val="36"/>
        <w:framePr w:w="9639" w:h="6974" w:hRule="exact" w:wrap="around" w:vAnchor="page" w:hAnchor="page" w:x="1419" w:y="6408" w:anchorLock="1"/>
        <w:spacing w:before="936" w:beforeLines="300" w:after="93" w:afterLines="30" w:line="240" w:lineRule="auto"/>
        <w:textAlignment w:val="bottom"/>
        <w:rPr>
          <w:b/>
          <w:sz w:val="21"/>
          <w:szCs w:val="28"/>
        </w:rPr>
      </w:pPr>
      <w:r>
        <w:rPr>
          <w:b/>
          <w:sz w:val="21"/>
          <w:szCs w:val="28"/>
        </w:rPr>
        <w:fldChar w:fldCharType="begin"/>
      </w:r>
      <w:bookmarkStart w:id="4" w:name="下拉2"/>
      <w:r>
        <w:rPr>
          <w:b/>
          <w:sz w:val="21"/>
          <w:szCs w:val="28"/>
        </w:rPr>
        <w:instrText xml:space="preserve"> FORMDROPDOWN </w:instrText>
      </w:r>
      <w:r>
        <w:rPr>
          <w:b/>
          <w:sz w:val="21"/>
          <w:szCs w:val="28"/>
        </w:rPr>
        <w:fldChar w:fldCharType="separate"/>
      </w:r>
      <w:r>
        <w:rPr>
          <w:b/>
          <w:sz w:val="21"/>
          <w:szCs w:val="28"/>
        </w:rPr>
        <w:fldChar w:fldCharType="end"/>
      </w:r>
      <w:bookmarkEnd w:id="4"/>
    </w:p>
    <w:p w14:paraId="7CEB901D">
      <w:pPr>
        <w:pStyle w:val="44"/>
        <w:framePr w:wrap="around" w:y="14176"/>
      </w:pPr>
      <w:r>
        <w:rPr>
          <w:rFonts w:ascii="黑体"/>
        </w:rPr>
        <w:fldChar w:fldCharType="begin"/>
      </w:r>
      <w:bookmarkStart w:id="5"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5"/>
      <w:r>
        <w:rPr>
          <w:rFonts w:ascii="黑体"/>
        </w:rPr>
        <w:t>-</w:t>
      </w:r>
      <w:r>
        <w:rPr>
          <w:rFonts w:ascii="黑体"/>
        </w:rPr>
        <w:fldChar w:fldCharType="begin"/>
      </w:r>
      <w:bookmarkStart w:id="6"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6"/>
      <w:r>
        <w:rPr>
          <w:rFonts w:ascii="黑体"/>
        </w:rPr>
        <w:t>-</w:t>
      </w:r>
      <w:r>
        <w:rPr>
          <w:rFonts w:ascii="黑体"/>
        </w:rPr>
        <w:fldChar w:fldCharType="begin"/>
      </w:r>
      <w:bookmarkStart w:id="7"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rPr>
          <w:rFonts w:hint="eastAsia"/>
        </w:rPr>
        <w:t>发布</w:t>
      </w:r>
    </w:p>
    <w:p w14:paraId="74049FE5">
      <w:pPr>
        <w:pStyle w:val="45"/>
        <w:framePr w:wrap="around" w:y="14176"/>
      </w:pPr>
      <w:r>
        <w:rPr>
          <w:rFonts w:ascii="黑体"/>
        </w:rPr>
        <w:fldChar w:fldCharType="begin"/>
      </w:r>
      <w:bookmarkStart w:id="8"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8"/>
      <w:r>
        <w:rPr>
          <w:rFonts w:ascii="黑体"/>
        </w:rPr>
        <w:t>-</w:t>
      </w:r>
      <w:r>
        <w:rPr>
          <w:rFonts w:ascii="黑体"/>
        </w:rPr>
        <w:fldChar w:fldCharType="begin"/>
      </w:r>
      <w:bookmarkStart w:id="9"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rPr>
          <w:rFonts w:ascii="黑体"/>
        </w:rPr>
        <w:t>-</w:t>
      </w:r>
      <w:r>
        <w:rPr>
          <w:rFonts w:ascii="黑体"/>
        </w:rPr>
        <w:fldChar w:fldCharType="begin"/>
      </w:r>
      <w:bookmarkStart w:id="10"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实施</w:t>
      </w:r>
    </w:p>
    <w:p w14:paraId="7076FBAA">
      <w:pPr>
        <w:pStyle w:val="38"/>
        <w:framePr w:h="584" w:hRule="exact" w:hSpace="181" w:vSpace="181" w:wrap="around" w:y="15027"/>
        <w:rPr>
          <w:rFonts w:hint="eastAsia" w:hAnsi="黑体"/>
        </w:rPr>
      </w:pPr>
      <w:r>
        <w:rPr>
          <w:rFonts w:hAnsi="黑体"/>
          <w:w w:val="100"/>
          <w:sz w:val="28"/>
        </w:rPr>
        <w:fldChar w:fldCharType="begin"/>
      </w:r>
      <w:bookmarkStart w:id="11"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11"/>
      <w:r>
        <w:rPr>
          <w:rFonts w:ascii="Times New Roman"/>
          <w:w w:val="100"/>
          <w:sz w:val="28"/>
        </w:rPr>
        <w:t>  </w:t>
      </w:r>
      <w:r>
        <w:rPr>
          <w:rStyle w:val="55"/>
          <w:rFonts w:hint="eastAsia" w:hAnsi="黑体"/>
        </w:rPr>
        <w:t>发布</w:t>
      </w:r>
    </w:p>
    <w:p w14:paraId="1FA1A31E">
      <w:pPr>
        <w:pStyle w:val="66"/>
        <w:framePr w:w="5508" w:h="1666" w:hRule="exact" w:wrap="around" w:x="5088" w:y="1105"/>
        <w:wordWrap w:val="0"/>
        <w:ind w:firstLine="360"/>
        <w:rPr>
          <w:rFonts w:ascii="Calibri" w:hAnsi="Calibri" w:eastAsia="黑体"/>
        </w:rPr>
      </w:pPr>
      <w:r>
        <w:rPr>
          <w:rFonts w:eastAsia="黑体"/>
          <w:sz w:val="144"/>
        </w:rPr>
        <w:t>DB</w:t>
      </w:r>
      <w:r>
        <w:rPr>
          <w:rFonts w:hint="eastAsia" w:ascii="Calibri" w:hAnsi="Calibri" w:eastAsia="黑体"/>
          <w:sz w:val="144"/>
        </w:rPr>
        <w:t>34</w:t>
      </w:r>
    </w:p>
    <w:p w14:paraId="16FB8134">
      <w:pPr>
        <w:pStyle w:val="63"/>
        <w:jc w:val="both"/>
        <w:rPr>
          <w:rFonts w:ascii="Arial" w:hAnsi="Arial" w:cs="Arial"/>
        </w:rPr>
      </w:pPr>
      <w:r>
        <w:rPr>
          <w:rFonts w:ascii="Arial" w:hAnsi="Arial" w:cs="Arial"/>
        </w:rPr>
        <mc:AlternateContent>
          <mc:Choice Requires="wps">
            <w:drawing>
              <wp:anchor distT="0" distB="0" distL="114300" distR="114300" simplePos="0" relativeHeight="251662336" behindDoc="0" locked="1" layoutInCell="1" allowOverlap="1">
                <wp:simplePos x="0" y="0"/>
                <wp:positionH relativeFrom="margin">
                  <wp:posOffset>-419100</wp:posOffset>
                </wp:positionH>
                <wp:positionV relativeFrom="margin">
                  <wp:posOffset>22225</wp:posOffset>
                </wp:positionV>
                <wp:extent cx="2540000" cy="437515"/>
                <wp:effectExtent l="0" t="0" r="0" b="0"/>
                <wp:wrapNone/>
                <wp:docPr id="390007846" name="文本框 5"/>
                <wp:cNvGraphicFramePr/>
                <a:graphic xmlns:a="http://schemas.openxmlformats.org/drawingml/2006/main">
                  <a:graphicData uri="http://schemas.microsoft.com/office/word/2010/wordprocessingShape">
                    <wps:wsp>
                      <wps:cNvSpPr txBox="1">
                        <a:spLocks noChangeArrowheads="1"/>
                      </wps:cNvSpPr>
                      <wps:spPr bwMode="auto">
                        <a:xfrm>
                          <a:off x="0" y="0"/>
                          <a:ext cx="2540000" cy="437515"/>
                        </a:xfrm>
                        <a:prstGeom prst="rect">
                          <a:avLst/>
                        </a:prstGeom>
                        <a:solidFill>
                          <a:srgbClr val="FFFFFF"/>
                        </a:solidFill>
                        <a:ln>
                          <a:noFill/>
                        </a:ln>
                        <a:effectLst/>
                      </wps:spPr>
                      <wps:txbx>
                        <w:txbxContent>
                          <w:p w14:paraId="4B1297A9">
                            <w:pPr>
                              <w:pStyle w:val="58"/>
                            </w:pPr>
                            <w:r>
                              <w:t>ICS</w:t>
                            </w:r>
                          </w:p>
                          <w:p w14:paraId="235105C3">
                            <w:pPr>
                              <w:pStyle w:val="58"/>
                            </w:pPr>
                            <w:r>
                              <w:t>CCS</w:t>
                            </w:r>
                          </w:p>
                          <w:p w14:paraId="7656DBBC">
                            <w:pPr>
                              <w:pStyle w:val="58"/>
                            </w:pPr>
                          </w:p>
                        </w:txbxContent>
                      </wps:txbx>
                      <wps:bodyPr rot="0" vert="horz" wrap="square" lIns="0" tIns="0" rIns="0" bIns="0" anchor="t" anchorCtr="0" upright="1">
                        <a:noAutofit/>
                      </wps:bodyPr>
                    </wps:wsp>
                  </a:graphicData>
                </a:graphic>
              </wp:anchor>
            </w:drawing>
          </mc:Choice>
          <mc:Fallback>
            <w:pict>
              <v:shape id="文本框 5" o:spid="_x0000_s1026" o:spt="202" type="#_x0000_t202" style="position:absolute;left:0pt;margin-left:-33pt;margin-top:1.75pt;height:34.45pt;width:200pt;mso-position-horizontal-relative:margin;mso-position-vertical-relative:margin;z-index:251662336;mso-width-relative:page;mso-height-relative:page;" fillcolor="#FFFFFF" filled="t" stroked="f" coordsize="21600,21600" o:gfxdata="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myncq2AAAAAgBAAAPAAAAAAAAAAEAIAAAACIAAABkcnMvZG93bnJldi54bWxQSwEC&#10;FAAUAAAACACHTuJAycslNy0CAABEBAAADgAAAAAAAAABACAAAAAnAQAAZHJzL2Uyb0RvYy54bWxQ&#10;SwUGAAAAAAYABgBZAQAAxgUAAAAA&#10;">
                <v:fill on="t" focussize="0,0"/>
                <v:stroke on="f"/>
                <v:imagedata o:title=""/>
                <o:lock v:ext="edit" aspectratio="f"/>
                <v:textbox inset="0mm,0mm,0mm,0mm">
                  <w:txbxContent>
                    <w:p w14:paraId="4B1297A9">
                      <w:pPr>
                        <w:pStyle w:val="58"/>
                      </w:pPr>
                      <w:r>
                        <w:t>ICS</w:t>
                      </w:r>
                    </w:p>
                    <w:p w14:paraId="235105C3">
                      <w:pPr>
                        <w:pStyle w:val="58"/>
                      </w:pPr>
                      <w:r>
                        <w:t>CCS</w:t>
                      </w:r>
                    </w:p>
                    <w:p w14:paraId="7656DBBC">
                      <w:pPr>
                        <w:pStyle w:val="58"/>
                      </w:pPr>
                    </w:p>
                  </w:txbxContent>
                </v:textbox>
                <w10:anchorlock/>
              </v:shape>
            </w:pict>
          </mc:Fallback>
        </mc:AlternateContent>
      </w:r>
      <w:r>
        <w:rPr>
          <w:rFonts w:ascii="Arial" w:hAnsi="Arial" w:cs="Arial"/>
        </w:rPr>
        <mc:AlternateContent>
          <mc:Choice Requires="wps">
            <w:drawing>
              <wp:anchor distT="0" distB="0" distL="114300" distR="114300" simplePos="0" relativeHeight="251660288" behindDoc="0" locked="1" layoutInCell="1" allowOverlap="1">
                <wp:simplePos x="0" y="0"/>
                <wp:positionH relativeFrom="margin">
                  <wp:posOffset>-220345</wp:posOffset>
                </wp:positionH>
                <wp:positionV relativeFrom="margin">
                  <wp:posOffset>1078865</wp:posOffset>
                </wp:positionV>
                <wp:extent cx="5841365" cy="860425"/>
                <wp:effectExtent l="0" t="0" r="0" b="0"/>
                <wp:wrapNone/>
                <wp:docPr id="5" name="文本框 4"/>
                <wp:cNvGraphicFramePr/>
                <a:graphic xmlns:a="http://schemas.openxmlformats.org/drawingml/2006/main">
                  <a:graphicData uri="http://schemas.microsoft.com/office/word/2010/wordprocessingShape">
                    <wps:wsp>
                      <wps:cNvSpPr txBox="1">
                        <a:spLocks noChangeArrowheads="1"/>
                      </wps:cNvSpPr>
                      <wps:spPr bwMode="auto">
                        <a:xfrm>
                          <a:off x="0" y="0"/>
                          <a:ext cx="5841365" cy="860425"/>
                        </a:xfrm>
                        <a:prstGeom prst="rect">
                          <a:avLst/>
                        </a:prstGeom>
                        <a:solidFill>
                          <a:srgbClr val="FFFFFF"/>
                        </a:solidFill>
                        <a:ln>
                          <a:noFill/>
                        </a:ln>
                        <a:effectLst/>
                      </wps:spPr>
                      <wps:txbx>
                        <w:txbxContent>
                          <w:p w14:paraId="01CEEE16">
                            <w:pPr>
                              <w:pStyle w:val="65"/>
                              <w:wordWrap w:val="0"/>
                              <w:ind w:left="5250"/>
                              <w:rPr>
                                <w:rFonts w:hint="eastAsia" w:ascii="黑体" w:hAnsi="黑体" w:eastAsia="黑体"/>
                              </w:rPr>
                            </w:pPr>
                            <w:r>
                              <w:rPr>
                                <w:rFonts w:eastAsia="黑体"/>
                              </w:rPr>
                              <w:t>DB</w:t>
                            </w:r>
                            <w:r>
                              <w:rPr>
                                <w:rFonts w:hint="eastAsia" w:ascii="黑体" w:hAnsi="黑体" w:eastAsia="黑体"/>
                              </w:rPr>
                              <w:t>34</w:t>
                            </w:r>
                            <w:r>
                              <w:rPr>
                                <w:rFonts w:ascii="黑体" w:hAnsi="黑体" w:eastAsia="黑体"/>
                              </w:rPr>
                              <w:t>/</w:t>
                            </w:r>
                            <w:r>
                              <w:rPr>
                                <w:rFonts w:hint="eastAsia" w:ascii="黑体" w:hAnsi="黑体" w:eastAsia="黑体"/>
                              </w:rPr>
                              <w:t>T XXXX</w:t>
                            </w:r>
                            <w:r>
                              <w:rPr>
                                <w:rFonts w:ascii="黑体" w:hAnsi="黑体" w:eastAsia="黑体"/>
                              </w:rPr>
                              <w:t>—</w:t>
                            </w:r>
                            <w:r>
                              <w:rPr>
                                <w:rFonts w:hint="eastAsia" w:ascii="黑体" w:hAnsi="黑体" w:eastAsia="黑体"/>
                              </w:rPr>
                              <w:t>XXXX</w:t>
                            </w:r>
                          </w:p>
                          <w:p w14:paraId="7A906894">
                            <w:pPr>
                              <w:pStyle w:val="64"/>
                              <w:spacing w:before="156" w:after="156"/>
                            </w:pPr>
                          </w:p>
                        </w:txbxContent>
                      </wps:txbx>
                      <wps:bodyPr rot="0" vert="horz" wrap="square" lIns="0" tIns="0" rIns="0" bIns="0" anchor="t" anchorCtr="0" upright="1">
                        <a:noAutofit/>
                      </wps:bodyPr>
                    </wps:wsp>
                  </a:graphicData>
                </a:graphic>
              </wp:anchor>
            </w:drawing>
          </mc:Choice>
          <mc:Fallback>
            <w:pict>
              <v:shape id="文本框 4" o:spid="_x0000_s1026" o:spt="202" type="#_x0000_t202" style="position:absolute;left:0pt;margin-left:-17.35pt;margin-top:84.95pt;height:67.75pt;width:459.95pt;mso-position-horizontal-relative:margin;mso-position-vertical-relative:margin;z-index:251660288;mso-width-relative:page;mso-height-relative:page;" fillcolor="#FFFFFF" filled="t" stroked="f" coordsize="21600,21600" o:gfxdata="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4EyKC2wAAAAsBAAAPAAAAAAAAAAEAIAAAACIAAABkcnMvZG93bnJldi54bWxQSwECFAAU&#10;AAAACACHTuJAXNc/BycCAAA8BAAADgAAAAAAAAABACAAAAAqAQAAZHJzL2Uyb0RvYy54bWxQSwUG&#10;AAAAAAYABgBZAQAAwwUAAAAA&#10;">
                <v:fill on="t" focussize="0,0"/>
                <v:stroke on="f"/>
                <v:imagedata o:title=""/>
                <o:lock v:ext="edit" aspectratio="f"/>
                <v:textbox inset="0mm,0mm,0mm,0mm">
                  <w:txbxContent>
                    <w:p w14:paraId="01CEEE16">
                      <w:pPr>
                        <w:pStyle w:val="65"/>
                        <w:wordWrap w:val="0"/>
                        <w:ind w:left="5250"/>
                        <w:rPr>
                          <w:rFonts w:hint="eastAsia" w:ascii="黑体" w:hAnsi="黑体" w:eastAsia="黑体"/>
                        </w:rPr>
                      </w:pPr>
                      <w:r>
                        <w:rPr>
                          <w:rFonts w:eastAsia="黑体"/>
                        </w:rPr>
                        <w:t>DB</w:t>
                      </w:r>
                      <w:r>
                        <w:rPr>
                          <w:rFonts w:hint="eastAsia" w:ascii="黑体" w:hAnsi="黑体" w:eastAsia="黑体"/>
                        </w:rPr>
                        <w:t>34</w:t>
                      </w:r>
                      <w:r>
                        <w:rPr>
                          <w:rFonts w:ascii="黑体" w:hAnsi="黑体" w:eastAsia="黑体"/>
                        </w:rPr>
                        <w:t>/</w:t>
                      </w:r>
                      <w:r>
                        <w:rPr>
                          <w:rFonts w:hint="eastAsia" w:ascii="黑体" w:hAnsi="黑体" w:eastAsia="黑体"/>
                        </w:rPr>
                        <w:t>T XXXX</w:t>
                      </w:r>
                      <w:r>
                        <w:rPr>
                          <w:rFonts w:ascii="黑体" w:hAnsi="黑体" w:eastAsia="黑体"/>
                        </w:rPr>
                        <w:t>—</w:t>
                      </w:r>
                      <w:r>
                        <w:rPr>
                          <w:rFonts w:hint="eastAsia" w:ascii="黑体" w:hAnsi="黑体" w:eastAsia="黑体"/>
                        </w:rPr>
                        <w:t>XXXX</w:t>
                      </w:r>
                    </w:p>
                    <w:p w14:paraId="7A906894">
                      <w:pPr>
                        <w:pStyle w:val="64"/>
                        <w:spacing w:before="156" w:after="156"/>
                      </w:pPr>
                    </w:p>
                  </w:txbxContent>
                </v:textbox>
                <w10:anchorlock/>
              </v:shape>
            </w:pict>
          </mc:Fallback>
        </mc:AlternateContent>
      </w:r>
    </w:p>
    <w:p w14:paraId="4998706C">
      <w:pPr>
        <w:pStyle w:val="63"/>
        <w:rPr>
          <w:rFonts w:ascii="Arial" w:hAnsi="Arial" w:cs="Arial"/>
        </w:rPr>
        <w:sectPr>
          <w:headerReference r:id="rId3" w:type="first"/>
          <w:footerReference r:id="rId4" w:type="even"/>
          <w:pgSz w:w="11906" w:h="16838"/>
          <w:pgMar w:top="1440" w:right="1800" w:bottom="1440" w:left="1800" w:header="851" w:footer="992" w:gutter="0"/>
          <w:cols w:space="720" w:num="1"/>
          <w:docGrid w:type="lines" w:linePitch="312" w:charSpace="0"/>
        </w:sectPr>
      </w:pPr>
      <w:r>
        <w:rPr>
          <w:rFonts w:ascii="Arial" w:hAnsi="Arial" w:cs="Arial"/>
        </w:rPr>
        <mc:AlternateContent>
          <mc:Choice Requires="wps">
            <w:drawing>
              <wp:anchor distT="0" distB="0" distL="114300" distR="114300" simplePos="0" relativeHeight="251661312" behindDoc="0" locked="0" layoutInCell="1" allowOverlap="1">
                <wp:simplePos x="0" y="0"/>
                <wp:positionH relativeFrom="column">
                  <wp:posOffset>-301625</wp:posOffset>
                </wp:positionH>
                <wp:positionV relativeFrom="paragraph">
                  <wp:posOffset>135255</wp:posOffset>
                </wp:positionV>
                <wp:extent cx="6121400" cy="0"/>
                <wp:effectExtent l="0" t="0" r="0" b="0"/>
                <wp:wrapNone/>
                <wp:docPr id="6"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a:effectLst/>
                      </wps:spPr>
                      <wps:bodyPr/>
                    </wps:wsp>
                  </a:graphicData>
                </a:graphic>
              </wp:anchor>
            </w:drawing>
          </mc:Choice>
          <mc:Fallback>
            <w:pict>
              <v:line id="直接连接符 3" o:spid="_x0000_s1026" o:spt="20" style="position:absolute;left:0pt;margin-left:-23.75pt;margin-top:10.65pt;height:0pt;width:482pt;z-index:251661312;mso-width-relative:page;mso-height-relative:page;" filled="f" stroked="t" coordsize="21600,21600" o:gfxdata="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DVmrj/Y&#10;AAAACQEAAA8AAAAAAAAAAQAgAAAAIgAAAGRycy9kb3ducmV2LnhtbFBLAQIUABQAAAAIAIdO4kBV&#10;Qwm/5wEAALkDAAAOAAAAAAAAAAEAIAAAACcBAABkcnMvZTJvRG9jLnhtbFBLBQYAAAAABgAGAFkB&#10;AACABQAAAAA=&#10;">
                <v:fill on="f" focussize="0,0"/>
                <v:stroke weight="1pt" color="#080000" joinstyle="round"/>
                <v:imagedata o:title=""/>
                <o:lock v:ext="edit" aspectratio="f"/>
              </v:line>
            </w:pict>
          </mc:Fallback>
        </mc:AlternateContent>
      </w:r>
      <w:r>
        <w:rPr>
          <w:rFonts w:ascii="Arial" w:hAnsi="Arial" w:cs="Arial"/>
        </w:rPr>
        <mc:AlternateContent>
          <mc:Choice Requires="wps">
            <w:drawing>
              <wp:anchor distT="0" distB="0" distL="114300" distR="114300" simplePos="0" relativeHeight="251662336" behindDoc="0" locked="1" layoutInCell="1" allowOverlap="1">
                <wp:simplePos x="0" y="0"/>
                <wp:positionH relativeFrom="margin">
                  <wp:posOffset>-385445</wp:posOffset>
                </wp:positionH>
                <wp:positionV relativeFrom="margin">
                  <wp:posOffset>845185</wp:posOffset>
                </wp:positionV>
                <wp:extent cx="6070600" cy="391160"/>
                <wp:effectExtent l="0" t="0" r="0" b="0"/>
                <wp:wrapNone/>
                <wp:docPr id="1883029498"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070600" cy="391160"/>
                        </a:xfrm>
                        <a:prstGeom prst="rect">
                          <a:avLst/>
                        </a:prstGeom>
                        <a:solidFill>
                          <a:srgbClr val="FFFFFF"/>
                        </a:solidFill>
                        <a:ln>
                          <a:noFill/>
                        </a:ln>
                        <a:effectLst/>
                      </wps:spPr>
                      <wps:txbx>
                        <w:txbxContent>
                          <w:p w14:paraId="1D3351FB">
                            <w:pPr>
                              <w:pStyle w:val="62"/>
                              <w:rPr>
                                <w:rFonts w:ascii="Times New Roman" w:hAnsi="Times New Roman"/>
                              </w:rPr>
                            </w:pPr>
                            <w:r>
                              <w:rPr>
                                <w:rFonts w:hint="eastAsia" w:hAnsi="黑体"/>
                              </w:rPr>
                              <w:t>安徽省</w:t>
                            </w:r>
                            <w:r>
                              <w:rPr>
                                <w:rFonts w:hint="eastAsia"/>
                              </w:rPr>
                              <w:t>地方标</w:t>
                            </w:r>
                            <w:r>
                              <w:rPr>
                                <w:rFonts w:hint="eastAsia" w:ascii="Times New Roman" w:hAnsi="Times New Roman"/>
                              </w:rPr>
                              <w:t>准</w:t>
                            </w:r>
                          </w:p>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30.35pt;margin-top:66.55pt;height:30.8pt;width:478pt;mso-position-horizontal-relative:margin;mso-position-vertical-relative:margin;z-index:251662336;mso-width-relative:page;mso-height-relative:page;" fillcolor="#FFFFFF" filled="t" stroked="f" coordsize="21600,21600" o:gfxdata="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HIOJlzaAAAACwEAAA8AAAAAAAAAAQAgAAAAIgAAAGRycy9kb3ducmV2LnhtbFBL&#10;AQIUABQAAAAIAIdO4kD9g2qsLQIAAEUEAAAOAAAAAAAAAAEAIAAAACkBAABkcnMvZTJvRG9jLnht&#10;bFBLBQYAAAAABgAGAFkBAADIBQAAAAA=&#10;">
                <v:fill on="t" focussize="0,0"/>
                <v:stroke on="f"/>
                <v:imagedata o:title=""/>
                <o:lock v:ext="edit" aspectratio="f"/>
                <v:textbox inset="0mm,0mm,0mm,0mm">
                  <w:txbxContent>
                    <w:p w14:paraId="1D3351FB">
                      <w:pPr>
                        <w:pStyle w:val="62"/>
                        <w:rPr>
                          <w:rFonts w:ascii="Times New Roman" w:hAnsi="Times New Roman"/>
                        </w:rPr>
                      </w:pPr>
                      <w:r>
                        <w:rPr>
                          <w:rFonts w:hint="eastAsia" w:hAnsi="黑体"/>
                        </w:rPr>
                        <w:t>安徽省</w:t>
                      </w:r>
                      <w:r>
                        <w:rPr>
                          <w:rFonts w:hint="eastAsia"/>
                        </w:rPr>
                        <w:t>地方标</w:t>
                      </w:r>
                      <w:r>
                        <w:rPr>
                          <w:rFonts w:hint="eastAsia" w:ascii="Times New Roman" w:hAnsi="Times New Roman"/>
                        </w:rPr>
                        <w:t>准</w:t>
                      </w:r>
                    </w:p>
                  </w:txbxContent>
                </v:textbox>
                <w10:anchorlock/>
              </v:shape>
            </w:pict>
          </mc:Fallback>
        </mc:AlternateContent>
      </w:r>
      <w:r>
        <w:rPr>
          <w:rFonts w:ascii="宋体" w:hAnsi="宋体"/>
          <w:sz w:val="28"/>
          <w:szCs w:val="28"/>
        </w:rPr>
        <mc:AlternateContent>
          <mc:Choice Requires="wps">
            <w:drawing>
              <wp:anchor distT="0" distB="0" distL="114300" distR="114300" simplePos="0" relativeHeight="251659264" behindDoc="0" locked="1" layoutInCell="1" allowOverlap="1">
                <wp:simplePos x="0" y="0"/>
                <wp:positionH relativeFrom="page">
                  <wp:posOffset>922020</wp:posOffset>
                </wp:positionH>
                <wp:positionV relativeFrom="page">
                  <wp:posOffset>9344025</wp:posOffset>
                </wp:positionV>
                <wp:extent cx="6120130" cy="0"/>
                <wp:effectExtent l="0" t="0" r="0" b="0"/>
                <wp:wrapNone/>
                <wp:docPr id="4" name="直接连接符 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round/>
                        </a:ln>
                        <a:effectLst/>
                      </wps:spPr>
                      <wps:bodyPr/>
                    </wps:wsp>
                  </a:graphicData>
                </a:graphic>
              </wp:anchor>
            </w:drawing>
          </mc:Choice>
          <mc:Fallback>
            <w:pict>
              <v:line id="直接连接符 1" o:spid="_x0000_s1026" o:spt="20" style="position:absolute;left:0pt;margin-left:72.6pt;margin-top:735.75pt;height:0pt;width:481.9pt;mso-position-horizontal-relative:page;mso-position-vertical-relative:page;z-index:251659264;mso-width-relative:page;mso-height-relative:page;" filled="f" stroked="t" coordsize="21600,21600" o:gfxdata="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AqLTOLXAAAADgEAAA8AAAAAAAAAAQAg&#10;AAAAIgAAAGRycy9kb3ducmV2LnhtbFBLAQIUABQAAAAIAIdO4kB+QQ7X1gEAAJwDAAAOAAAAAAAA&#10;AAEAIAAAACYBAABkcnMvZTJvRG9jLnhtbFBLBQYAAAAABgAGAFkBAABuBQAAAAA=&#10;">
                <v:fill on="f" focussize="0,0"/>
                <v:stroke color="#000000" joinstyle="round"/>
                <v:imagedata o:title=""/>
                <o:lock v:ext="edit" aspectratio="f"/>
                <w10:anchorlock/>
              </v:line>
            </w:pict>
          </mc:Fallback>
        </mc:AlternateContent>
      </w:r>
    </w:p>
    <w:p w14:paraId="781DB27A">
      <w:pPr>
        <w:widowControl/>
        <w:shd w:val="clear" w:color="FFFFFF" w:fill="FFFFFF"/>
        <w:spacing w:before="900" w:after="468" w:afterLines="150"/>
        <w:ind w:left="425" w:hanging="425"/>
        <w:jc w:val="center"/>
        <w:outlineLvl w:val="0"/>
        <w:rPr>
          <w:rFonts w:ascii="黑体" w:hAnsi="Times New Roman" w:eastAsia="黑体" w:cs="Times New Roman"/>
          <w:kern w:val="0"/>
          <w:sz w:val="32"/>
          <w:szCs w:val="20"/>
        </w:rPr>
      </w:pPr>
      <w:r>
        <w:rPr>
          <w:rFonts w:ascii="黑体" w:hAnsi="Times New Roman" w:eastAsia="黑体" w:cs="Times New Roman"/>
          <w:spacing w:val="320"/>
          <w:kern w:val="0"/>
          <w:sz w:val="32"/>
          <w:szCs w:val="20"/>
        </w:rPr>
        <w:t>前</w:t>
      </w:r>
      <w:r>
        <w:rPr>
          <w:rFonts w:ascii="黑体" w:hAnsi="Times New Roman" w:eastAsia="黑体" w:cs="Times New Roman"/>
          <w:kern w:val="0"/>
          <w:sz w:val="32"/>
          <w:szCs w:val="20"/>
        </w:rPr>
        <w:t>言</w:t>
      </w:r>
    </w:p>
    <w:p w14:paraId="2654EAF5">
      <w:pPr>
        <w:widowControl/>
        <w:autoSpaceDE w:val="0"/>
        <w:autoSpaceDN w:val="0"/>
        <w:ind w:firstLine="420" w:firstLineChars="200"/>
        <w:rPr>
          <w:rFonts w:ascii="宋体" w:hAnsi="Times New Roman" w:eastAsia="宋体" w:cs="Times New Roman"/>
          <w:kern w:val="0"/>
          <w:szCs w:val="20"/>
        </w:rPr>
      </w:pPr>
      <w:r>
        <w:rPr>
          <w:rFonts w:hint="eastAsia" w:ascii="宋体" w:hAnsi="Times New Roman" w:eastAsia="宋体" w:cs="Times New Roman"/>
          <w:kern w:val="0"/>
          <w:szCs w:val="20"/>
        </w:rPr>
        <w:t>本文件按照GB/T 1.1—2020《标准化工作导则 第1部分：标准化文件的结构和起草规则》的规定起草。</w:t>
      </w:r>
    </w:p>
    <w:p w14:paraId="22C67D91">
      <w:pPr>
        <w:widowControl/>
        <w:autoSpaceDE w:val="0"/>
        <w:autoSpaceDN w:val="0"/>
        <w:ind w:firstLine="420" w:firstLineChars="200"/>
        <w:rPr>
          <w:rFonts w:ascii="宋体" w:hAnsi="Times New Roman" w:eastAsia="宋体" w:cs="Times New Roman"/>
          <w:kern w:val="0"/>
          <w:szCs w:val="20"/>
        </w:rPr>
      </w:pPr>
      <w:r>
        <w:rPr>
          <w:rFonts w:hint="eastAsia" w:ascii="宋体" w:hAnsi="Times New Roman" w:eastAsia="宋体" w:cs="Times New Roman"/>
          <w:kern w:val="0"/>
          <w:szCs w:val="20"/>
        </w:rPr>
        <w:t>请注意本文件的某些内容可能涉及专利。本文件的发布机构不承担识别专利的责任。</w:t>
      </w:r>
    </w:p>
    <w:p w14:paraId="33CBDEDF">
      <w:pPr>
        <w:widowControl/>
        <w:autoSpaceDE w:val="0"/>
        <w:autoSpaceDN w:val="0"/>
        <w:ind w:firstLine="420" w:firstLineChars="200"/>
        <w:rPr>
          <w:rFonts w:ascii="宋体" w:hAnsi="Times New Roman" w:eastAsia="宋体" w:cs="Times New Roman"/>
          <w:kern w:val="0"/>
          <w:szCs w:val="20"/>
        </w:rPr>
      </w:pPr>
      <w:r>
        <w:rPr>
          <w:rFonts w:hint="eastAsia" w:ascii="宋体" w:hAnsi="Times New Roman" w:eastAsia="宋体" w:cs="Times New Roman"/>
          <w:kern w:val="0"/>
          <w:szCs w:val="20"/>
        </w:rPr>
        <w:t>本文件由中国科学技术大学附属第一医院（安徽省立医院）提出。</w:t>
      </w:r>
    </w:p>
    <w:p w14:paraId="2F31D785">
      <w:pPr>
        <w:widowControl/>
        <w:autoSpaceDE w:val="0"/>
        <w:autoSpaceDN w:val="0"/>
        <w:ind w:firstLine="420" w:firstLineChars="200"/>
        <w:rPr>
          <w:rFonts w:ascii="宋体" w:hAnsi="Times New Roman" w:eastAsia="宋体" w:cs="Times New Roman"/>
          <w:kern w:val="0"/>
          <w:szCs w:val="20"/>
        </w:rPr>
      </w:pPr>
      <w:r>
        <w:rPr>
          <w:rFonts w:hint="eastAsia" w:ascii="宋体" w:hAnsi="Times New Roman" w:eastAsia="宋体" w:cs="Times New Roman"/>
          <w:kern w:val="0"/>
          <w:szCs w:val="20"/>
        </w:rPr>
        <w:t>本文件由安徽省卫生健康委员会归口。</w:t>
      </w:r>
    </w:p>
    <w:p w14:paraId="2625E03C">
      <w:pPr>
        <w:widowControl/>
        <w:autoSpaceDE w:val="0"/>
        <w:autoSpaceDN w:val="0"/>
        <w:ind w:firstLine="420" w:firstLineChars="200"/>
        <w:rPr>
          <w:rFonts w:ascii="宋体" w:hAnsi="Times New Roman" w:eastAsia="宋体" w:cs="Times New Roman"/>
          <w:kern w:val="0"/>
          <w:szCs w:val="20"/>
        </w:rPr>
      </w:pPr>
      <w:r>
        <w:rPr>
          <w:rFonts w:hint="eastAsia" w:ascii="宋体" w:hAnsi="Times New Roman" w:eastAsia="宋体" w:cs="Times New Roman"/>
          <w:kern w:val="0"/>
          <w:szCs w:val="20"/>
        </w:rPr>
        <w:t>本文件起草单位：中国科学技术大学附属第一医院（安徽省立医院）、安徽医科大学第一附属医院、安徽中医药大学第一附属医院、蚌埠医科大学第一附属医院、皖南医学院附属第一医院、皖西卫生职业学院附属医院、合肥市第一人民医院、阜阳市人民医院、亳州市人民医院、铜陵市人民医院、安庆市立医院、滁州市第一人民医院、芜湖市第二人民医院、安徽理工大学第一附属医院、黄山市人民医院、池州市人民医院、宿州市立医院、讯飞医疗科技股份有限公司。</w:t>
      </w:r>
    </w:p>
    <w:p w14:paraId="16182C40">
      <w:pPr>
        <w:widowControl/>
        <w:autoSpaceDE w:val="0"/>
        <w:autoSpaceDN w:val="0"/>
        <w:ind w:firstLine="420" w:firstLineChars="200"/>
        <w:rPr>
          <w:rFonts w:ascii="宋体" w:hAnsi="Times New Roman" w:eastAsia="宋体" w:cs="Times New Roman"/>
          <w:kern w:val="0"/>
          <w:szCs w:val="20"/>
        </w:rPr>
      </w:pPr>
      <w:r>
        <w:rPr>
          <w:rFonts w:hint="eastAsia" w:ascii="宋体" w:hAnsi="Times New Roman" w:eastAsia="宋体" w:cs="Times New Roman"/>
          <w:kern w:val="0"/>
          <w:szCs w:val="20"/>
        </w:rPr>
        <w:t>本文件主要起草人：</w:t>
      </w:r>
      <w:r>
        <w:rPr>
          <w:rFonts w:ascii="宋体" w:hAnsi="Times New Roman" w:eastAsia="宋体" w:cs="Times New Roman"/>
          <w:kern w:val="0"/>
          <w:szCs w:val="20"/>
        </w:rPr>
        <w:t xml:space="preserve"> </w:t>
      </w:r>
    </w:p>
    <w:p w14:paraId="38664D8C">
      <w:pPr>
        <w:pStyle w:val="23"/>
        <w:ind w:firstLine="0" w:firstLineChars="0"/>
      </w:pPr>
    </w:p>
    <w:p w14:paraId="47B9B379">
      <w:pPr>
        <w:pStyle w:val="23"/>
        <w:ind w:firstLine="0" w:firstLineChars="0"/>
      </w:pPr>
    </w:p>
    <w:p w14:paraId="3A270AF7">
      <w:pPr>
        <w:pStyle w:val="23"/>
        <w:ind w:firstLine="0" w:firstLineChars="0"/>
      </w:pPr>
    </w:p>
    <w:p w14:paraId="06DC6FB0">
      <w:pPr>
        <w:pStyle w:val="23"/>
        <w:ind w:firstLine="0" w:firstLineChars="0"/>
      </w:pPr>
    </w:p>
    <w:p w14:paraId="51B57121">
      <w:pPr>
        <w:pStyle w:val="23"/>
        <w:ind w:firstLine="0" w:firstLineChars="0"/>
      </w:pPr>
    </w:p>
    <w:p w14:paraId="38C1CFB0">
      <w:pPr>
        <w:pStyle w:val="23"/>
        <w:ind w:firstLine="0" w:firstLineChars="0"/>
      </w:pPr>
    </w:p>
    <w:p w14:paraId="7E495E76">
      <w:pPr>
        <w:pStyle w:val="23"/>
        <w:ind w:firstLine="0" w:firstLineChars="0"/>
      </w:pPr>
    </w:p>
    <w:p w14:paraId="5FB9D8AA">
      <w:pPr>
        <w:pStyle w:val="23"/>
        <w:ind w:firstLine="0" w:firstLineChars="0"/>
      </w:pPr>
    </w:p>
    <w:p w14:paraId="77B9DF13">
      <w:pPr>
        <w:pStyle w:val="23"/>
        <w:ind w:firstLine="0" w:firstLineChars="0"/>
      </w:pPr>
    </w:p>
    <w:p w14:paraId="30AFDCA1">
      <w:pPr>
        <w:pStyle w:val="23"/>
        <w:ind w:firstLine="0" w:firstLineChars="0"/>
      </w:pPr>
    </w:p>
    <w:p w14:paraId="65AFE8B9">
      <w:pPr>
        <w:pStyle w:val="23"/>
        <w:ind w:firstLine="0" w:firstLineChars="0"/>
      </w:pPr>
    </w:p>
    <w:p w14:paraId="287FF20D">
      <w:pPr>
        <w:pStyle w:val="23"/>
        <w:ind w:firstLine="0" w:firstLineChars="0"/>
      </w:pPr>
    </w:p>
    <w:p w14:paraId="4F75A554">
      <w:pPr>
        <w:pStyle w:val="23"/>
        <w:ind w:firstLine="0" w:firstLineChars="0"/>
      </w:pPr>
    </w:p>
    <w:p w14:paraId="6F5461BA">
      <w:pPr>
        <w:pStyle w:val="23"/>
        <w:ind w:firstLine="0" w:firstLineChars="0"/>
      </w:pPr>
    </w:p>
    <w:p w14:paraId="13361116">
      <w:pPr>
        <w:pStyle w:val="23"/>
        <w:ind w:firstLine="0" w:firstLineChars="0"/>
      </w:pPr>
    </w:p>
    <w:p w14:paraId="1C3A3DDB">
      <w:pPr>
        <w:pStyle w:val="23"/>
        <w:ind w:firstLine="0" w:firstLineChars="0"/>
      </w:pPr>
    </w:p>
    <w:p w14:paraId="0163AB44">
      <w:pPr>
        <w:pStyle w:val="23"/>
        <w:ind w:firstLine="0" w:firstLineChars="0"/>
      </w:pPr>
    </w:p>
    <w:p w14:paraId="67AE05B9">
      <w:pPr>
        <w:pStyle w:val="23"/>
        <w:ind w:firstLine="0" w:firstLineChars="0"/>
      </w:pPr>
    </w:p>
    <w:p w14:paraId="1A1E88FD">
      <w:pPr>
        <w:pStyle w:val="23"/>
        <w:ind w:firstLine="0" w:firstLineChars="0"/>
      </w:pPr>
    </w:p>
    <w:p w14:paraId="207A1DBD">
      <w:pPr>
        <w:pStyle w:val="23"/>
        <w:ind w:firstLine="0" w:firstLineChars="0"/>
      </w:pPr>
    </w:p>
    <w:p w14:paraId="07D3AE9C">
      <w:pPr>
        <w:pStyle w:val="23"/>
        <w:ind w:firstLine="0" w:firstLineChars="0"/>
      </w:pPr>
    </w:p>
    <w:p w14:paraId="5EDE4D11">
      <w:pPr>
        <w:pStyle w:val="23"/>
        <w:ind w:firstLine="0" w:firstLineChars="0"/>
      </w:pPr>
    </w:p>
    <w:p w14:paraId="6DE4F11C">
      <w:pPr>
        <w:pStyle w:val="23"/>
        <w:ind w:firstLine="0" w:firstLineChars="0"/>
      </w:pPr>
    </w:p>
    <w:p w14:paraId="0302B38A">
      <w:pPr>
        <w:pStyle w:val="23"/>
        <w:ind w:firstLine="0" w:firstLineChars="0"/>
      </w:pPr>
    </w:p>
    <w:p w14:paraId="19AE6C0F">
      <w:pPr>
        <w:pStyle w:val="23"/>
        <w:ind w:firstLine="0" w:firstLineChars="0"/>
      </w:pPr>
    </w:p>
    <w:p w14:paraId="53743465">
      <w:pPr>
        <w:widowControl/>
        <w:jc w:val="left"/>
        <w:rPr>
          <w:rFonts w:ascii="宋体" w:hAnsi="Times New Roman" w:eastAsia="宋体" w:cs="Times New Roman"/>
          <w:kern w:val="0"/>
          <w:szCs w:val="20"/>
        </w:rPr>
      </w:pPr>
      <w:r>
        <w:br w:type="page"/>
      </w:r>
    </w:p>
    <w:p w14:paraId="2C0AF955">
      <w:pPr>
        <w:pStyle w:val="42"/>
        <w:spacing w:before="312" w:beforeLines="100" w:after="686" w:afterLines="220"/>
        <w:rPr>
          <w:rFonts w:hint="eastAsia"/>
        </w:rPr>
      </w:pPr>
      <w:r>
        <w:rPr>
          <w:rFonts w:hint="eastAsia"/>
        </w:rPr>
        <w:t>医疗服务机构老年综合征智慧管理技术导则</w:t>
      </w:r>
    </w:p>
    <w:p w14:paraId="3C0C0846">
      <w:pPr>
        <w:pStyle w:val="32"/>
        <w:spacing w:before="312" w:after="312"/>
        <w:rPr>
          <w:b/>
          <w:bCs/>
        </w:rPr>
      </w:pPr>
      <w:bookmarkStart w:id="12" w:name="_Toc17233325"/>
      <w:bookmarkStart w:id="13" w:name="_Toc24884211"/>
      <w:bookmarkStart w:id="14" w:name="_Toc26648465"/>
      <w:bookmarkStart w:id="15" w:name="_Toc24884218"/>
      <w:bookmarkStart w:id="16" w:name="_Toc26986771"/>
      <w:bookmarkStart w:id="17" w:name="_Toc26986530"/>
      <w:bookmarkStart w:id="18" w:name="_Toc17233333"/>
      <w:bookmarkStart w:id="19" w:name="_Toc26718930"/>
      <w:bookmarkStart w:id="20" w:name="_Toc97191423"/>
      <w:r>
        <w:rPr>
          <w:rFonts w:hint="eastAsia"/>
          <w:b/>
          <w:bCs/>
        </w:rPr>
        <w:t>范围</w:t>
      </w:r>
      <w:bookmarkEnd w:id="12"/>
      <w:bookmarkEnd w:id="13"/>
      <w:bookmarkEnd w:id="14"/>
      <w:bookmarkEnd w:id="15"/>
      <w:bookmarkEnd w:id="16"/>
      <w:bookmarkEnd w:id="17"/>
      <w:bookmarkEnd w:id="18"/>
      <w:bookmarkEnd w:id="19"/>
      <w:bookmarkEnd w:id="20"/>
    </w:p>
    <w:p w14:paraId="34A62977">
      <w:pPr>
        <w:pStyle w:val="23"/>
        <w:ind w:firstLine="420"/>
      </w:pPr>
      <w:bookmarkStart w:id="21" w:name="_Toc17233334"/>
      <w:bookmarkStart w:id="22" w:name="_Toc26648466"/>
      <w:bookmarkStart w:id="23" w:name="_Toc24884212"/>
      <w:bookmarkStart w:id="24" w:name="_Toc24884219"/>
      <w:bookmarkStart w:id="25" w:name="_Toc17233326"/>
      <w:r>
        <w:rPr>
          <w:rFonts w:hint="eastAsia"/>
        </w:rPr>
        <w:t>本文件规定了</w:t>
      </w:r>
      <w:bookmarkStart w:id="26" w:name="_Hlk163065696"/>
      <w:r>
        <w:rPr>
          <w:rFonts w:hint="eastAsia"/>
        </w:rPr>
        <w:t>医疗服务机构老年综合征智慧管理技术导则</w:t>
      </w:r>
      <w:bookmarkEnd w:id="26"/>
      <w:r>
        <w:rPr>
          <w:rFonts w:hint="eastAsia"/>
        </w:rPr>
        <w:t>的基本要求、基本流程、设备及软件要求、服务质量控制、服务评价改进。</w:t>
      </w:r>
    </w:p>
    <w:p w14:paraId="6591915F">
      <w:pPr>
        <w:pStyle w:val="23"/>
        <w:ind w:firstLine="420"/>
      </w:pPr>
      <w:r>
        <w:rPr>
          <w:rFonts w:hint="eastAsia"/>
        </w:rPr>
        <w:t>本文件适用于涉及老年综合征诊疗管理的各级医疗服务机构提供的老年综合征管理服务，其他养老中心等机构服务可参照执行。</w:t>
      </w:r>
    </w:p>
    <w:p w14:paraId="1C82CCDE">
      <w:pPr>
        <w:pStyle w:val="32"/>
        <w:spacing w:before="312" w:after="312"/>
        <w:rPr>
          <w:b/>
          <w:bCs/>
        </w:rPr>
      </w:pPr>
      <w:bookmarkStart w:id="27" w:name="_Toc26986772"/>
      <w:bookmarkStart w:id="28" w:name="_Toc26986531"/>
      <w:bookmarkStart w:id="29" w:name="_Toc97191424"/>
      <w:bookmarkStart w:id="30" w:name="_Toc26718931"/>
      <w:r>
        <w:rPr>
          <w:rFonts w:hint="eastAsia"/>
          <w:b/>
          <w:bCs/>
        </w:rPr>
        <w:t>规范性引用文件</w:t>
      </w:r>
      <w:bookmarkEnd w:id="21"/>
      <w:bookmarkEnd w:id="22"/>
      <w:bookmarkEnd w:id="23"/>
      <w:bookmarkEnd w:id="24"/>
      <w:bookmarkEnd w:id="25"/>
      <w:bookmarkEnd w:id="27"/>
      <w:bookmarkEnd w:id="28"/>
      <w:bookmarkEnd w:id="29"/>
      <w:bookmarkEnd w:id="30"/>
    </w:p>
    <w:p w14:paraId="60FA34F1">
      <w:pPr>
        <w:pStyle w:val="23"/>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04C7D1E">
      <w:pPr>
        <w:pStyle w:val="23"/>
        <w:ind w:firstLine="420"/>
        <w:rPr>
          <w:color w:val="000000" w:themeColor="text1"/>
          <w14:textFill>
            <w14:solidFill>
              <w14:schemeClr w14:val="tx1"/>
            </w14:solidFill>
          </w14:textFill>
        </w:rPr>
      </w:pPr>
      <w:bookmarkStart w:id="31" w:name="_Hlk207651536"/>
      <w:r>
        <w:rPr>
          <w:rFonts w:hint="eastAsia"/>
          <w:color w:val="000000" w:themeColor="text1"/>
          <w14:textFill>
            <w14:solidFill>
              <w14:schemeClr w14:val="tx1"/>
            </w14:solidFill>
          </w14:textFill>
        </w:rPr>
        <w:t>GB/T 44311</w:t>
      </w:r>
      <w:bookmarkEnd w:id="31"/>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适老环境评估导则</w:t>
      </w:r>
    </w:p>
    <w:p w14:paraId="4964B246">
      <w:pPr>
        <w:pStyle w:val="23"/>
        <w:ind w:firstLine="420"/>
      </w:pPr>
      <w:r>
        <w:t>GB/T 22239 信息安全技术 网络安全等级保护基本要求</w:t>
      </w:r>
    </w:p>
    <w:p w14:paraId="2F4EA1BB">
      <w:pPr>
        <w:pStyle w:val="23"/>
        <w:ind w:firstLine="420"/>
      </w:pPr>
      <w:r>
        <w:rPr>
          <w:rFonts w:hint="eastAsia"/>
        </w:rPr>
        <w:t>GB/T 35273</w:t>
      </w:r>
      <w:r>
        <w:t xml:space="preserve"> </w:t>
      </w:r>
      <w:r>
        <w:rPr>
          <w:rFonts w:hint="eastAsia"/>
        </w:rPr>
        <w:t>信息安全技术 个人信息安全规范</w:t>
      </w:r>
    </w:p>
    <w:p w14:paraId="769F4FA8">
      <w:pPr>
        <w:pStyle w:val="32"/>
        <w:spacing w:before="312" w:after="312"/>
        <w:rPr>
          <w:b/>
          <w:bCs/>
        </w:rPr>
      </w:pPr>
      <w:bookmarkStart w:id="32" w:name="_Toc97191425"/>
      <w:r>
        <w:rPr>
          <w:rFonts w:hint="eastAsia"/>
          <w:b/>
          <w:bCs/>
          <w:szCs w:val="21"/>
        </w:rPr>
        <w:t>术语和定义</w:t>
      </w:r>
      <w:bookmarkEnd w:id="32"/>
    </w:p>
    <w:p w14:paraId="58BFE03B">
      <w:pPr>
        <w:pStyle w:val="23"/>
        <w:ind w:firstLine="420"/>
      </w:pPr>
      <w:bookmarkStart w:id="33" w:name="_Toc26986532"/>
      <w:bookmarkEnd w:id="33"/>
      <w:r>
        <w:rPr>
          <w:rFonts w:hint="eastAsia"/>
        </w:rPr>
        <w:t>下列术语和定义适用于本文件。</w:t>
      </w:r>
    </w:p>
    <w:p w14:paraId="540A2F8B">
      <w:pPr>
        <w:pStyle w:val="23"/>
        <w:ind w:firstLine="0" w:firstLineChars="0"/>
        <w:rPr>
          <w:b/>
        </w:rPr>
      </w:pPr>
      <w:r>
        <w:rPr>
          <w:rFonts w:hint="eastAsia"/>
          <w:b/>
        </w:rPr>
        <w:t>3.1</w:t>
      </w:r>
    </w:p>
    <w:p w14:paraId="27C2E763">
      <w:pPr>
        <w:pStyle w:val="23"/>
        <w:ind w:firstLine="420"/>
        <w:rPr>
          <w:rFonts w:hint="eastAsia" w:ascii="黑体" w:hAnsi="黑体" w:eastAsia="黑体"/>
        </w:rPr>
      </w:pPr>
      <w:r>
        <w:rPr>
          <w:rFonts w:hint="eastAsia" w:ascii="黑体" w:hAnsi="黑体" w:eastAsia="黑体"/>
        </w:rPr>
        <w:t xml:space="preserve">老年综合征智慧管理 </w:t>
      </w:r>
      <w:r>
        <w:rPr>
          <w:rFonts w:hint="eastAsia" w:asciiTheme="minorEastAsia" w:hAnsiTheme="minorEastAsia" w:eastAsiaTheme="minorEastAsia"/>
        </w:rPr>
        <w:t>geriatric syndrome Intelligent management</w:t>
      </w:r>
    </w:p>
    <w:p w14:paraId="7B337722">
      <w:pPr>
        <w:widowControl/>
        <w:autoSpaceDE w:val="0"/>
        <w:autoSpaceDN w:val="0"/>
        <w:ind w:firstLine="420" w:firstLineChars="200"/>
        <w:rPr>
          <w:rFonts w:ascii="宋体" w:hAnsi="Times New Roman"/>
          <w:kern w:val="0"/>
          <w:szCs w:val="20"/>
        </w:rPr>
      </w:pPr>
      <w:r>
        <w:rPr>
          <w:rFonts w:hint="eastAsia"/>
        </w:rPr>
        <w:t>利用现代信息技术，如物联网、大数据、人工智能等，</w:t>
      </w:r>
      <w:r>
        <w:t>开展老年综合征的筛查、</w:t>
      </w:r>
      <w:r>
        <w:rPr>
          <w:rFonts w:hint="eastAsia"/>
        </w:rPr>
        <w:t>诊断</w:t>
      </w:r>
      <w:r>
        <w:t>和</w:t>
      </w:r>
      <w:r>
        <w:rPr>
          <w:rFonts w:hint="eastAsia"/>
        </w:rPr>
        <w:t>全流程管理</w:t>
      </w:r>
      <w:r>
        <w:t>。</w:t>
      </w:r>
      <w:r>
        <w:rPr>
          <w:rFonts w:hint="eastAsia"/>
        </w:rPr>
        <w:t>该技术指南旨在通过智能化手段监测老年人群常见的健康问题如跌倒、认知障碍、失能、营养不良等，并及时给予干预，尽可能维护老年人的功能，提高老年人生活质量，延长健康寿命</w:t>
      </w:r>
      <w:r>
        <w:rPr>
          <w:rFonts w:hint="eastAsia" w:ascii="宋体" w:hAnsi="Times New Roman"/>
          <w:kern w:val="0"/>
          <w:szCs w:val="20"/>
        </w:rPr>
        <w:t>。</w:t>
      </w:r>
    </w:p>
    <w:p w14:paraId="3623D62E">
      <w:pPr>
        <w:pStyle w:val="23"/>
        <w:ind w:firstLine="0" w:firstLineChars="0"/>
        <w:rPr>
          <w:rFonts w:hint="eastAsia" w:ascii="黑体" w:hAnsi="黑体" w:eastAsia="黑体"/>
        </w:rPr>
      </w:pPr>
      <w:r>
        <w:rPr>
          <w:rFonts w:hint="eastAsia" w:ascii="黑体" w:hAnsi="黑体" w:eastAsia="黑体"/>
        </w:rPr>
        <w:t>3</w:t>
      </w:r>
      <w:r>
        <w:rPr>
          <w:rFonts w:ascii="黑体" w:hAnsi="黑体" w:eastAsia="黑体"/>
        </w:rPr>
        <w:t>.2</w:t>
      </w:r>
    </w:p>
    <w:p w14:paraId="26BFFD61">
      <w:pPr>
        <w:pStyle w:val="23"/>
        <w:ind w:firstLine="420"/>
        <w:rPr>
          <w:rFonts w:hint="eastAsia" w:ascii="黑体" w:hAnsi="黑体" w:eastAsia="黑体"/>
        </w:rPr>
      </w:pPr>
      <w:r>
        <w:rPr>
          <w:rFonts w:hint="eastAsia" w:ascii="黑体" w:hAnsi="黑体" w:eastAsia="黑体"/>
        </w:rPr>
        <w:t xml:space="preserve">老年综合评估 </w:t>
      </w:r>
      <w:r>
        <w:rPr>
          <w:rFonts w:hint="eastAsia" w:asciiTheme="minorEastAsia" w:hAnsiTheme="minorEastAsia" w:eastAsiaTheme="minorEastAsia"/>
        </w:rPr>
        <w:t>comprehensive geriatric assessment CGA</w:t>
      </w:r>
    </w:p>
    <w:p w14:paraId="4414AEB8">
      <w:pPr>
        <w:widowControl/>
        <w:autoSpaceDE w:val="0"/>
        <w:autoSpaceDN w:val="0"/>
        <w:ind w:firstLine="420" w:firstLineChars="200"/>
        <w:rPr>
          <w:rFonts w:hint="eastAsia"/>
        </w:rPr>
      </w:pPr>
      <w:r>
        <w:rPr>
          <w:rFonts w:hint="eastAsia"/>
        </w:rPr>
        <w:t>采用多学科方法评估老年人的躯体功能、认知心理、社会经济和环境因素，发现潜在问题，制定以 ‘维持功能’为核心 的干预策略的临床实践模式。</w:t>
      </w:r>
    </w:p>
    <w:p w14:paraId="0CF4D67C">
      <w:pPr>
        <w:pStyle w:val="32"/>
        <w:spacing w:before="312" w:after="312"/>
        <w:rPr>
          <w:b/>
          <w:bCs/>
        </w:rPr>
      </w:pPr>
      <w:r>
        <w:rPr>
          <w:rFonts w:hint="eastAsia"/>
          <w:b/>
          <w:bCs/>
        </w:rPr>
        <w:t>基本要求</w:t>
      </w:r>
    </w:p>
    <w:p w14:paraId="395C6F77">
      <w:pPr>
        <w:pStyle w:val="23"/>
        <w:spacing w:before="156" w:beforeLines="50"/>
        <w:ind w:firstLine="0" w:firstLineChars="0"/>
      </w:pPr>
      <w:r>
        <w:rPr>
          <w:rFonts w:hint="eastAsia"/>
        </w:rPr>
        <w:t>4.1.组织与机构</w:t>
      </w:r>
    </w:p>
    <w:p w14:paraId="423A1825">
      <w:pPr>
        <w:pStyle w:val="23"/>
        <w:spacing w:before="156" w:beforeLines="50"/>
        <w:ind w:firstLine="420"/>
      </w:pPr>
      <w:r>
        <w:rPr>
          <w:rFonts w:hint="eastAsia"/>
        </w:rPr>
        <w:t>应具备医疗机构执业营业证明，具备老年医学科及相关学科，机构内应有老年医学专科资质的医生和护士，基地内部人员具有开展老年多学科团队诊疗所需的资质证明。</w:t>
      </w:r>
    </w:p>
    <w:p w14:paraId="274B2A6E">
      <w:pPr>
        <w:pStyle w:val="23"/>
        <w:spacing w:before="156" w:beforeLines="50"/>
        <w:ind w:firstLine="0" w:firstLineChars="0"/>
      </w:pPr>
      <w:r>
        <w:rPr>
          <w:rFonts w:hint="eastAsia"/>
        </w:rPr>
        <w:t>4.2.人员要求</w:t>
      </w:r>
    </w:p>
    <w:p w14:paraId="4D2FDF38">
      <w:pPr>
        <w:pStyle w:val="23"/>
        <w:spacing w:before="156" w:beforeLines="50"/>
        <w:ind w:firstLine="420"/>
      </w:pPr>
      <w:r>
        <w:rPr>
          <w:rFonts w:hint="eastAsia"/>
        </w:rPr>
        <w:t>应具有医学、护理学等医学相关专业背景的专业老年综合评估人员，经老年综合评估技能培训并考试合格获得老年综合评估技能证书。定期接受评估员培训及评估质量考核。</w:t>
      </w:r>
    </w:p>
    <w:p w14:paraId="1AE19CB4">
      <w:pPr>
        <w:pStyle w:val="23"/>
        <w:spacing w:before="156" w:beforeLines="50"/>
        <w:ind w:firstLine="0" w:firstLineChars="0"/>
      </w:pPr>
      <w:r>
        <w:rPr>
          <w:rFonts w:hint="eastAsia"/>
        </w:rPr>
        <w:t>4.3.环境及设施：建议参照GB/T 44311进行环境改造，使环境设施具备适老性。应</w:t>
      </w:r>
      <w:r>
        <w:t>有独立的符合标准的老年综合评估室</w:t>
      </w:r>
      <w:r>
        <w:rPr>
          <w:rFonts w:hint="eastAsia"/>
        </w:rPr>
        <w:t>，</w:t>
      </w:r>
      <w:r>
        <w:t>配备至少</w:t>
      </w:r>
      <w:r>
        <w:rPr>
          <w:rFonts w:hint="eastAsia"/>
        </w:rPr>
        <w:t>1</w:t>
      </w:r>
      <w:r>
        <w:t>套办公系统、电脑、打印机、纸、笔、橡皮及检测床椅等。必备设施：体温计、听诊器、血压计、手电筒、体重计、身高标尺、软尺、握力计、秒表或钟表、大字体阅读材料。选配设施：有条件的单位可以选</w:t>
      </w:r>
      <w:r>
        <w:rPr>
          <w:rFonts w:hint="eastAsia"/>
        </w:rPr>
        <w:t>配</w:t>
      </w:r>
      <w:r>
        <w:t>人体成分分析仪、视力表、音叉、轮椅式体重计、血氧饱和度仪。</w:t>
      </w:r>
    </w:p>
    <w:p w14:paraId="2643BE7C">
      <w:pPr>
        <w:pStyle w:val="23"/>
        <w:spacing w:before="156" w:beforeLines="50"/>
        <w:ind w:firstLine="0" w:firstLineChars="0"/>
      </w:pPr>
      <w:r>
        <w:rPr>
          <w:rFonts w:hint="eastAsia"/>
        </w:rPr>
        <w:t>4.4.设备要求</w:t>
      </w:r>
    </w:p>
    <w:p w14:paraId="38A53C40">
      <w:pPr>
        <w:pStyle w:val="23"/>
        <w:spacing w:before="156" w:beforeLines="50"/>
        <w:ind w:firstLine="0" w:firstLineChars="0"/>
      </w:pPr>
      <w:r>
        <w:rPr>
          <w:rFonts w:hint="eastAsia"/>
        </w:rPr>
        <w:t>4.4.1应用前端设备</w:t>
      </w:r>
      <w:r>
        <w:t>：</w:t>
      </w:r>
      <w:r>
        <w:rPr>
          <w:rFonts w:hint="eastAsia"/>
        </w:rPr>
        <w:t>测试用平板电脑应用安卓系统，配备测试软件，传输网络应用</w:t>
      </w:r>
      <w:r>
        <w:t>移动互联网，</w:t>
      </w:r>
      <w:r>
        <w:rPr>
          <w:rFonts w:hint="eastAsia"/>
        </w:rPr>
        <w:t>患者端设备为手机移动终端</w:t>
      </w:r>
      <w:r>
        <w:t>。</w:t>
      </w:r>
    </w:p>
    <w:p w14:paraId="36054269">
      <w:pPr>
        <w:pStyle w:val="23"/>
        <w:spacing w:before="156" w:beforeLines="50"/>
        <w:ind w:firstLine="0" w:firstLineChars="0"/>
      </w:pPr>
      <w:r>
        <w:rPr>
          <w:rFonts w:hint="eastAsia"/>
        </w:rPr>
        <w:t xml:space="preserve">4.4.2 </w:t>
      </w:r>
      <w:r>
        <w:t>应用支撑平台：</w:t>
      </w:r>
      <w:r>
        <w:rPr>
          <w:rFonts w:hint="eastAsia"/>
        </w:rPr>
        <w:t>应用</w:t>
      </w:r>
      <w:r>
        <w:t>基础数据库、智能决策数据仓库以及安全保障系统。其中基础数据库包括电子病历、健康档案、</w:t>
      </w:r>
      <w:r>
        <w:rPr>
          <w:rFonts w:hint="eastAsia"/>
        </w:rPr>
        <w:t>评估数据</w:t>
      </w:r>
      <w:r>
        <w:t>资源等；智能决策数据仓库包括健康公共卫生分析</w:t>
      </w:r>
      <w:r>
        <w:rPr>
          <w:rFonts w:hint="eastAsia"/>
        </w:rPr>
        <w:t>、公共指南数据库</w:t>
      </w:r>
      <w:r>
        <w:t>等数据。</w:t>
      </w:r>
    </w:p>
    <w:p w14:paraId="16E91140">
      <w:pPr>
        <w:pStyle w:val="23"/>
        <w:spacing w:before="156" w:beforeLines="50"/>
        <w:ind w:firstLine="0" w:firstLineChars="0"/>
      </w:pPr>
      <w:r>
        <w:rPr>
          <w:rFonts w:hint="eastAsia"/>
        </w:rPr>
        <w:t>4.4.3 医生端及患者端小程序及APP匹配兼容主流移动设备。</w:t>
      </w:r>
    </w:p>
    <w:p w14:paraId="27D51715">
      <w:pPr>
        <w:pStyle w:val="23"/>
        <w:spacing w:before="156" w:beforeLines="50"/>
        <w:ind w:firstLine="0" w:firstLineChars="0"/>
      </w:pPr>
      <w:r>
        <w:rPr>
          <w:rFonts w:hint="eastAsia"/>
        </w:rPr>
        <w:t>4.5.管理制度</w:t>
      </w:r>
    </w:p>
    <w:p w14:paraId="76ADDF45">
      <w:pPr>
        <w:pStyle w:val="23"/>
        <w:spacing w:before="156" w:beforeLines="50"/>
        <w:ind w:firstLine="420"/>
      </w:pPr>
      <w:r>
        <w:rPr>
          <w:rFonts w:hint="eastAsia"/>
        </w:rPr>
        <w:t>医疗机构应制定老年综合征智慧管理的相关制度，包括且不限于老年综合征智慧平台的操作流程及注意事项。</w:t>
      </w:r>
    </w:p>
    <w:p w14:paraId="075B53AE">
      <w:pPr>
        <w:pStyle w:val="32"/>
        <w:spacing w:before="312" w:after="312"/>
        <w:rPr>
          <w:szCs w:val="21"/>
        </w:rPr>
      </w:pPr>
      <w:r>
        <w:rPr>
          <w:rFonts w:hint="eastAsia"/>
          <w:szCs w:val="21"/>
        </w:rPr>
        <w:t>智慧管理服务流程</w:t>
      </w:r>
      <w:r>
        <w:rPr>
          <w:szCs w:val="21"/>
        </w:rPr>
        <w:t xml:space="preserve"> </w:t>
      </w:r>
    </w:p>
    <w:p w14:paraId="164268FB">
      <w:pPr>
        <w:pStyle w:val="23"/>
        <w:spacing w:before="156" w:beforeLines="50"/>
        <w:ind w:firstLine="0" w:firstLineChars="0"/>
      </w:pPr>
      <w:r>
        <w:rPr>
          <w:rFonts w:hint="eastAsia"/>
        </w:rPr>
        <w:t xml:space="preserve">5.1.智慧管理服务流程示意图如图1所示。 </w:t>
      </w:r>
    </w:p>
    <w:p w14:paraId="4A901FCB">
      <w:pPr>
        <w:pStyle w:val="23"/>
        <w:spacing w:before="156" w:beforeLines="50"/>
        <w:ind w:firstLine="0" w:firstLineChars="0"/>
      </w:pPr>
      <w:r>
        <w:drawing>
          <wp:inline distT="0" distB="0" distL="0" distR="0">
            <wp:extent cx="5768340" cy="8219440"/>
            <wp:effectExtent l="0" t="0" r="3810" b="0"/>
            <wp:docPr id="7833800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38004"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770826" cy="8223213"/>
                    </a:xfrm>
                    <a:prstGeom prst="rect">
                      <a:avLst/>
                    </a:prstGeom>
                    <a:noFill/>
                    <a:ln>
                      <a:noFill/>
                    </a:ln>
                  </pic:spPr>
                </pic:pic>
              </a:graphicData>
            </a:graphic>
          </wp:inline>
        </w:drawing>
      </w:r>
    </w:p>
    <w:p w14:paraId="54CF04D5">
      <w:pPr>
        <w:widowControl/>
        <w:autoSpaceDE w:val="0"/>
        <w:autoSpaceDN w:val="0"/>
        <w:ind w:firstLine="3360" w:firstLineChars="1600"/>
        <w:rPr>
          <w:rFonts w:ascii="宋体" w:hAnsi="Times New Roman" w:eastAsia="宋体" w:cs="Times New Roman"/>
          <w:kern w:val="0"/>
          <w:szCs w:val="20"/>
        </w:rPr>
      </w:pPr>
      <w:r>
        <w:rPr>
          <w:rFonts w:hint="eastAsia" w:ascii="宋体" w:hAnsi="Times New Roman" w:eastAsia="宋体" w:cs="Times New Roman"/>
          <w:kern w:val="0"/>
          <w:szCs w:val="20"/>
        </w:rPr>
        <w:t>图1 老年综合征智慧管理流程。</w:t>
      </w:r>
    </w:p>
    <w:p w14:paraId="49966927">
      <w:pPr>
        <w:pStyle w:val="23"/>
        <w:spacing w:before="156" w:beforeLines="50"/>
        <w:ind w:firstLine="0" w:firstLineChars="0"/>
        <w:rPr>
          <w:rFonts w:hint="eastAsia"/>
        </w:rPr>
      </w:pPr>
    </w:p>
    <w:p w14:paraId="55A5E631">
      <w:pPr>
        <w:pStyle w:val="23"/>
        <w:spacing w:before="156" w:beforeLines="50"/>
        <w:ind w:firstLine="0" w:firstLineChars="0"/>
      </w:pPr>
      <w:r>
        <w:rPr>
          <w:rFonts w:hint="eastAsia"/>
        </w:rPr>
        <w:t>5.2.管理前评估</w:t>
      </w:r>
    </w:p>
    <w:p w14:paraId="4865BEFF">
      <w:pPr>
        <w:pStyle w:val="23"/>
        <w:spacing w:before="156" w:beforeLines="50"/>
        <w:ind w:firstLine="0" w:firstLineChars="0"/>
      </w:pPr>
      <w:r>
        <w:rPr>
          <w:rFonts w:hint="eastAsia"/>
        </w:rPr>
        <w:t xml:space="preserve">5.2.1 待评估老年人  </w:t>
      </w:r>
    </w:p>
    <w:p w14:paraId="2D82BC73">
      <w:pPr>
        <w:pStyle w:val="23"/>
        <w:spacing w:before="156" w:beforeLines="50"/>
        <w:ind w:firstLine="420"/>
      </w:pPr>
      <w:r>
        <w:rPr>
          <w:rFonts w:hint="eastAsia"/>
        </w:rPr>
        <w:t>接受老年综合征智慧管理的老年人应接受初筛评估，进入医疗服务机构诊治的老年人，除因各种原因不能配合老年综合评估者外，一般均应接受老年综合评估服务。</w:t>
      </w:r>
    </w:p>
    <w:p w14:paraId="38897F97">
      <w:pPr>
        <w:pStyle w:val="23"/>
        <w:spacing w:before="156" w:beforeLines="50"/>
        <w:ind w:firstLine="0" w:firstLineChars="0"/>
      </w:pPr>
      <w:r>
        <w:rPr>
          <w:rFonts w:hint="eastAsia"/>
        </w:rPr>
        <w:t>5.2.2 初筛CGA评估</w:t>
      </w:r>
    </w:p>
    <w:p w14:paraId="0313605B">
      <w:pPr>
        <w:pStyle w:val="23"/>
        <w:spacing w:before="156" w:beforeLines="50"/>
        <w:ind w:firstLine="0" w:firstLineChars="0"/>
      </w:pPr>
      <w:r>
        <w:rPr>
          <w:rFonts w:hint="eastAsia"/>
        </w:rPr>
        <w:t>5.2.2.1 所有待评估对象应接受初筛评估，适用于医疗机构门诊及新入院患者的初始评估。</w:t>
      </w:r>
    </w:p>
    <w:p w14:paraId="0679FAA8">
      <w:pPr>
        <w:pStyle w:val="23"/>
        <w:spacing w:before="156" w:beforeLines="50"/>
        <w:ind w:firstLine="0" w:firstLineChars="0"/>
      </w:pPr>
      <w:r>
        <w:rPr>
          <w:rFonts w:hint="eastAsia"/>
        </w:rPr>
        <w:t>5.2.2.2 初筛评估内容应包括一般医疗情况、共病、焦虑抑郁、睡眠、营养、肌少症等内容初筛。</w:t>
      </w:r>
    </w:p>
    <w:p w14:paraId="6806B569">
      <w:pPr>
        <w:pStyle w:val="23"/>
        <w:spacing w:before="156" w:beforeLines="50"/>
        <w:ind w:firstLine="0" w:firstLineChars="0"/>
      </w:pPr>
      <w:r>
        <w:rPr>
          <w:rFonts w:hint="eastAsia"/>
        </w:rPr>
        <w:t>5.2.2.3 初筛评估应出具初步评估结论，初步评估结论考虑存在至少一项及以上老年综合征时应进行进阶CGA评估，如初筛评估未检出特殊老年综合征的老人建议进行常规健康随访。</w:t>
      </w:r>
    </w:p>
    <w:p w14:paraId="075C0C24">
      <w:pPr>
        <w:pStyle w:val="23"/>
        <w:spacing w:before="156" w:beforeLines="50"/>
        <w:ind w:firstLine="0" w:firstLineChars="0"/>
      </w:pPr>
      <w:r>
        <w:rPr>
          <w:rFonts w:hint="eastAsia"/>
        </w:rPr>
        <w:t>5.2.3 进阶CGA评估</w:t>
      </w:r>
    </w:p>
    <w:p w14:paraId="3C9C914F">
      <w:pPr>
        <w:pStyle w:val="23"/>
        <w:spacing w:before="156" w:beforeLines="50"/>
        <w:ind w:firstLine="420"/>
      </w:pPr>
      <w:r>
        <w:rPr>
          <w:rFonts w:hint="eastAsia"/>
        </w:rPr>
        <w:t>适合于初筛后需要进一步评估的患者，适合于医疗机构老年科门诊及住院部CGA初评异常需进一步评估诊断时，评估内容建议根据初筛阳性结果，系统自动触发选择相应进阶评估量表进行进一步评估。包括认知评估量表、SDS抑郁量表等。</w:t>
      </w:r>
    </w:p>
    <w:p w14:paraId="54156083">
      <w:pPr>
        <w:pStyle w:val="23"/>
        <w:spacing w:before="156" w:beforeLines="50"/>
        <w:ind w:firstLine="0" w:firstLineChars="0"/>
      </w:pPr>
      <w:r>
        <w:rPr>
          <w:rFonts w:hint="eastAsia"/>
        </w:rPr>
        <w:t>5.2.4 老年综合征诊断</w:t>
      </w:r>
    </w:p>
    <w:p w14:paraId="5E62BDFD">
      <w:pPr>
        <w:pStyle w:val="23"/>
        <w:spacing w:before="156" w:beforeLines="50"/>
        <w:ind w:firstLine="420"/>
      </w:pPr>
      <w:r>
        <w:rPr>
          <w:rFonts w:hint="eastAsia"/>
        </w:rPr>
        <w:t>在完成初筛及进阶CGA评估后，应由评估系统根据测试数据生成评估报告初版，然后应</w:t>
      </w:r>
      <w:r>
        <w:rPr>
          <w:rFonts w:hint="eastAsia"/>
          <w:lang w:eastAsia="zh-CN"/>
        </w:rPr>
        <w:t>由</w:t>
      </w:r>
      <w:r>
        <w:rPr>
          <w:rFonts w:hint="eastAsia"/>
        </w:rPr>
        <w:t>具备专业资质的评估员或医生进行审核发布。评估报告应根据评估报告制定后续智慧管理方案。</w:t>
      </w:r>
    </w:p>
    <w:p w14:paraId="4B46019D">
      <w:pPr>
        <w:pStyle w:val="23"/>
        <w:spacing w:before="156" w:beforeLines="50"/>
        <w:ind w:firstLine="0" w:firstLineChars="0"/>
      </w:pPr>
      <w:r>
        <w:rPr>
          <w:rFonts w:hint="eastAsia"/>
        </w:rPr>
        <w:t>5.3 评估后老年综合征智慧管理</w:t>
      </w:r>
    </w:p>
    <w:p w14:paraId="2AE6BDEF">
      <w:pPr>
        <w:pStyle w:val="23"/>
        <w:spacing w:before="156" w:beforeLines="50"/>
        <w:ind w:firstLine="0" w:firstLineChars="0"/>
      </w:pPr>
      <w:r>
        <w:rPr>
          <w:rFonts w:hint="eastAsia"/>
        </w:rPr>
        <w:t>5.3.1 基于多学科团队的老年综合征智慧管理方案</w:t>
      </w:r>
    </w:p>
    <w:p w14:paraId="1E2E5B2C">
      <w:pPr>
        <w:pStyle w:val="23"/>
        <w:spacing w:before="156" w:beforeLines="50"/>
        <w:ind w:firstLine="0" w:firstLineChars="0"/>
      </w:pPr>
      <w:r>
        <w:rPr>
          <w:rFonts w:hint="eastAsia"/>
        </w:rPr>
        <w:t>5.3.1.1 管理对象：经由老年综合评估后的老年人，应具有需要随访干预管理的老年综合征诊断，应取得患者及家属知情同意。</w:t>
      </w:r>
    </w:p>
    <w:p w14:paraId="49313D5D">
      <w:pPr>
        <w:pStyle w:val="23"/>
        <w:spacing w:before="156" w:beforeLines="50"/>
        <w:ind w:firstLine="0" w:firstLineChars="0"/>
      </w:pPr>
      <w:r>
        <w:rPr>
          <w:rFonts w:hint="eastAsia"/>
        </w:rPr>
        <w:t>5.3.1.2 管理方案内容：</w:t>
      </w:r>
    </w:p>
    <w:p w14:paraId="63971FC4">
      <w:pPr>
        <w:pStyle w:val="23"/>
        <w:spacing w:before="156" w:beforeLines="50"/>
        <w:ind w:firstLine="420"/>
      </w:pPr>
      <w:r>
        <w:rPr>
          <w:rFonts w:hint="eastAsia"/>
        </w:rPr>
        <w:t>——（1）应根据评估结果自动生成初步的个体化管理干预方案，可包括健康生活方式指导、合理用药指导、营养指导、康复指导、营养指导、情绪及睡眠指导干预、诊后评估等内容，方案实施前经由多学科团队审核后发布。</w:t>
      </w:r>
    </w:p>
    <w:p w14:paraId="387C443F">
      <w:pPr>
        <w:pStyle w:val="23"/>
        <w:spacing w:before="156" w:beforeLines="50"/>
        <w:ind w:firstLine="420"/>
      </w:pPr>
      <w:r>
        <w:rPr>
          <w:rFonts w:hint="eastAsia"/>
        </w:rPr>
        <w:t>——（2）多学科团队应由包括老年医学科、康复科、营养科、健康管理等相关专业的医护人员组成。</w:t>
      </w:r>
    </w:p>
    <w:p w14:paraId="49FB816D">
      <w:pPr>
        <w:pStyle w:val="23"/>
        <w:spacing w:before="156" w:beforeLines="50"/>
        <w:ind w:firstLine="0" w:firstLineChars="0"/>
      </w:pPr>
      <w:r>
        <w:rPr>
          <w:rFonts w:hint="eastAsia"/>
        </w:rPr>
        <w:t>5.3.2 管理方案实施</w:t>
      </w:r>
    </w:p>
    <w:p w14:paraId="50A1034B">
      <w:pPr>
        <w:pStyle w:val="23"/>
        <w:spacing w:before="156" w:beforeLines="50"/>
        <w:ind w:firstLine="0" w:firstLineChars="0"/>
      </w:pPr>
      <w:r>
        <w:rPr>
          <w:rFonts w:hint="eastAsia"/>
        </w:rPr>
        <w:t>5.3.2.1 方案实施载体：建议以具备智能交互功能的平台为智慧管理平台载体，健康管理师应负责后台运营及监视平台情况，负责一般性问题解决，并汇总转介需医生介入问题</w:t>
      </w:r>
      <w:r>
        <w:t>。</w:t>
      </w:r>
    </w:p>
    <w:p w14:paraId="796FC02F">
      <w:pPr>
        <w:pStyle w:val="23"/>
        <w:spacing w:before="156" w:beforeLines="50"/>
        <w:ind w:firstLine="0" w:firstLineChars="0"/>
      </w:pPr>
      <w:r>
        <w:rPr>
          <w:rFonts w:hint="eastAsia"/>
        </w:rPr>
        <w:t xml:space="preserve">5.3.2.2 </w:t>
      </w:r>
      <w:r>
        <w:t>患者转介</w:t>
      </w:r>
      <w:r>
        <w:rPr>
          <w:rFonts w:hint="eastAsia"/>
        </w:rPr>
        <w:t>或转诊</w:t>
      </w:r>
      <w:r>
        <w:t>：</w:t>
      </w:r>
      <w:r>
        <w:rPr>
          <w:rFonts w:hint="eastAsia"/>
        </w:rPr>
        <w:t>应</w:t>
      </w:r>
      <w:r>
        <w:t>对</w:t>
      </w:r>
      <w:r>
        <w:rPr>
          <w:rFonts w:hint="eastAsia"/>
        </w:rPr>
        <w:t>实施过程中提示</w:t>
      </w:r>
      <w:r>
        <w:t>需线下处置患者，提供进一步转诊途径，并跟踪反馈。</w:t>
      </w:r>
    </w:p>
    <w:p w14:paraId="46110F06">
      <w:pPr>
        <w:pStyle w:val="23"/>
        <w:spacing w:before="156" w:beforeLines="50"/>
        <w:ind w:firstLine="0" w:firstLineChars="0"/>
      </w:pPr>
      <w:r>
        <w:rPr>
          <w:rFonts w:hint="eastAsia"/>
        </w:rPr>
        <w:t>5.3.3 阶段性随访CGA评估</w:t>
      </w:r>
    </w:p>
    <w:p w14:paraId="76EEA7A8">
      <w:pPr>
        <w:pStyle w:val="23"/>
        <w:spacing w:before="156" w:beforeLines="50"/>
        <w:ind w:firstLine="420" w:firstLineChars="0"/>
      </w:pPr>
      <w:r>
        <w:rPr>
          <w:rFonts w:hint="eastAsia"/>
        </w:rPr>
        <w:t>接受老年综合征智慧管理的老年人应阶段性随访评估，阶段性评估内容应根据管理前评估内容制定。</w:t>
      </w:r>
    </w:p>
    <w:p w14:paraId="7CF26AF4">
      <w:pPr>
        <w:pStyle w:val="23"/>
        <w:spacing w:before="156" w:beforeLines="50"/>
        <w:ind w:firstLine="0" w:firstLineChars="0"/>
      </w:pPr>
      <w:r>
        <w:rPr>
          <w:rFonts w:hint="eastAsia"/>
        </w:rPr>
        <w:t xml:space="preserve">5.3.4 继续干预 </w:t>
      </w:r>
    </w:p>
    <w:p w14:paraId="052957B0">
      <w:pPr>
        <w:pStyle w:val="23"/>
        <w:spacing w:before="156" w:beforeLines="50"/>
        <w:ind w:firstLine="420"/>
      </w:pPr>
      <w:r>
        <w:rPr>
          <w:rFonts w:hint="eastAsia"/>
        </w:rPr>
        <w:t>应根据阶段性评估结果决定下一步干预方案，如阶段性评估存在</w:t>
      </w:r>
      <w:bookmarkStart w:id="36" w:name="_GoBack"/>
      <w:r>
        <w:rPr>
          <w:rFonts w:hint="eastAsia"/>
        </w:rPr>
        <w:t>需</w:t>
      </w:r>
      <w:bookmarkEnd w:id="36"/>
      <w:r>
        <w:rPr>
          <w:rFonts w:hint="eastAsia"/>
        </w:rPr>
        <w:t xml:space="preserve">进一步管理干预的老年综合征，则应制定后续干预方案。 </w:t>
      </w:r>
    </w:p>
    <w:p w14:paraId="096BADDC">
      <w:pPr>
        <w:pStyle w:val="23"/>
        <w:spacing w:before="156" w:beforeLines="50"/>
        <w:ind w:firstLine="0" w:firstLineChars="0"/>
      </w:pPr>
      <w:r>
        <w:rPr>
          <w:rFonts w:hint="eastAsia"/>
        </w:rPr>
        <w:t xml:space="preserve">5.4 常规健康随访  </w:t>
      </w:r>
    </w:p>
    <w:p w14:paraId="7E820D18">
      <w:pPr>
        <w:pStyle w:val="23"/>
        <w:spacing w:before="156" w:beforeLines="50"/>
        <w:ind w:firstLine="0" w:firstLineChars="0"/>
      </w:pPr>
      <w:r>
        <w:rPr>
          <w:rFonts w:hint="eastAsia"/>
        </w:rPr>
        <w:t xml:space="preserve">    阶段性评估结果提示暂无需继续干预管理的老年综合征的患者应进行常规健康随访，包括定期电话或门诊随访。</w:t>
      </w:r>
    </w:p>
    <w:p w14:paraId="400A8C6D">
      <w:pPr>
        <w:pStyle w:val="32"/>
        <w:spacing w:before="312" w:after="312"/>
      </w:pPr>
      <w:r>
        <w:rPr>
          <w:rFonts w:hint="eastAsia"/>
        </w:rPr>
        <w:t>质量控制</w:t>
      </w:r>
    </w:p>
    <w:p w14:paraId="692CE7A4">
      <w:pPr>
        <w:pStyle w:val="23"/>
        <w:ind w:firstLine="0" w:firstLineChars="0"/>
      </w:pPr>
      <w:r>
        <w:rPr>
          <w:rFonts w:hint="eastAsia"/>
        </w:rPr>
        <w:t>6</w:t>
      </w:r>
      <w:r>
        <w:t>.</w:t>
      </w:r>
      <w:r>
        <w:rPr>
          <w:rFonts w:hint="eastAsia"/>
        </w:rPr>
        <w:t>1</w:t>
      </w:r>
      <w:r>
        <w:t xml:space="preserve"> </w:t>
      </w:r>
      <w:r>
        <w:rPr>
          <w:rFonts w:hint="eastAsia"/>
        </w:rPr>
        <w:t>自动质量控制：运行载体系统建议设置运行状态监测，对不合格操作及数据即时预警，即时修正。</w:t>
      </w:r>
    </w:p>
    <w:p w14:paraId="7ABF7C4E">
      <w:pPr>
        <w:pStyle w:val="23"/>
        <w:ind w:firstLine="0" w:firstLineChars="0"/>
      </w:pPr>
      <w:r>
        <w:rPr>
          <w:rFonts w:hint="eastAsia"/>
        </w:rPr>
        <w:t>6.2</w:t>
      </w:r>
      <w:r>
        <w:t xml:space="preserve"> 人工质量控制：内部建立质量控制</w:t>
      </w:r>
      <w:r>
        <w:rPr>
          <w:rFonts w:hint="eastAsia"/>
        </w:rPr>
        <w:t>小组</w:t>
      </w:r>
      <w:r>
        <w:t>，制定质量控制内容和考核体系，作为自动控制的后备保障，每月内部质量控制检查、评估并持续改进。</w:t>
      </w:r>
    </w:p>
    <w:p w14:paraId="3362B202">
      <w:pPr>
        <w:pStyle w:val="23"/>
        <w:ind w:firstLine="0" w:firstLineChars="0"/>
        <w:rPr>
          <w:rFonts w:hint="eastAsia"/>
        </w:rPr>
      </w:pPr>
      <w:r>
        <w:rPr>
          <w:rFonts w:hint="eastAsia"/>
        </w:rPr>
        <w:t>6</w:t>
      </w:r>
      <w:r>
        <w:t>.</w:t>
      </w:r>
      <w:r>
        <w:rPr>
          <w:rFonts w:hint="eastAsia"/>
        </w:rPr>
        <w:t>3</w:t>
      </w:r>
      <w:r>
        <w:t xml:space="preserve"> </w:t>
      </w:r>
      <w:r>
        <w:rPr>
          <w:rFonts w:hint="eastAsia"/>
        </w:rPr>
        <w:t>质量控制内容宜包括但不限于：系统运转情况；操作规程合理性；信息安全及储存；自动预警数据的处置合理性；评价反馈的总结与整改。</w:t>
      </w:r>
    </w:p>
    <w:p w14:paraId="7337EEB1">
      <w:pPr>
        <w:pStyle w:val="23"/>
        <w:ind w:firstLine="420"/>
      </w:pPr>
    </w:p>
    <w:p w14:paraId="43CCE474">
      <w:pPr>
        <w:pStyle w:val="32"/>
        <w:spacing w:before="312" w:after="312"/>
      </w:pPr>
      <w:r>
        <w:rPr>
          <w:rFonts w:hint="eastAsia"/>
        </w:rPr>
        <w:t>档案及信息安全管理</w:t>
      </w:r>
    </w:p>
    <w:p w14:paraId="15546364">
      <w:pPr>
        <w:pStyle w:val="23"/>
        <w:ind w:firstLine="0" w:firstLineChars="0"/>
      </w:pPr>
      <w:r>
        <w:rPr>
          <w:rFonts w:hint="eastAsia"/>
        </w:rPr>
        <w:t>7.1 档案材料应有专人管理，应定期将评估登记表、质量自查材料、培训记录、培训合格证、不良事件记录本等资料整理并归档。</w:t>
      </w:r>
    </w:p>
    <w:p w14:paraId="78413D31">
      <w:pPr>
        <w:pStyle w:val="23"/>
        <w:ind w:firstLine="0" w:firstLineChars="0"/>
      </w:pPr>
      <w:r>
        <w:rPr>
          <w:rFonts w:hint="eastAsia"/>
        </w:rPr>
        <w:t>7.2 档案材料存储期限建议不低于15年，电子档案应定期备份，参照GB/T 35273。</w:t>
      </w:r>
    </w:p>
    <w:p w14:paraId="4330C20E">
      <w:pPr>
        <w:pStyle w:val="23"/>
        <w:ind w:firstLine="0" w:firstLineChars="0"/>
      </w:pPr>
      <w:r>
        <w:rPr>
          <w:rFonts w:hint="eastAsia"/>
        </w:rPr>
        <w:t>7.3 评估资料及结果应妥善存放，各级中心应保护服务对象个人隐私，不泄露服务对象信息。</w:t>
      </w:r>
    </w:p>
    <w:p w14:paraId="13D0EDFA">
      <w:pPr>
        <w:pStyle w:val="23"/>
        <w:ind w:firstLine="0" w:firstLineChars="0"/>
        <w:sectPr>
          <w:pgSz w:w="11906" w:h="16838"/>
          <w:pgMar w:top="1928" w:right="1134" w:bottom="1134" w:left="1134" w:header="1418" w:footer="1134" w:gutter="284"/>
          <w:cols w:space="720" w:num="1"/>
          <w:formProt w:val="0"/>
          <w:docGrid w:type="lines" w:linePitch="312" w:charSpace="0"/>
        </w:sectPr>
      </w:pPr>
      <w:r>
        <w:rPr>
          <w:rFonts w:hint="eastAsia"/>
        </w:rPr>
        <w:t>7.4 敏感数据信息管理：遵循 GB/T 35273、GB/T 22239</w:t>
      </w:r>
      <w:r>
        <w:t xml:space="preserve"> </w:t>
      </w:r>
      <w:r>
        <w:rPr>
          <w:rFonts w:hint="eastAsia"/>
        </w:rPr>
        <w:t>的要求，电子评估及管理随访数据通过加密协议传输至中心数据库，用户应配备身份认证或密钥进行访问控制</w:t>
      </w:r>
      <w:bookmarkStart w:id="34" w:name="BookMark6"/>
      <w:r>
        <w:rPr>
          <w:rFonts w:hint="eastAsia"/>
        </w:rPr>
        <w:t>，身份认证及密钥应定期审核及更新。</w:t>
      </w:r>
    </w:p>
    <w:p w14:paraId="51463E33">
      <w:pPr>
        <w:pStyle w:val="26"/>
        <w:spacing w:after="156"/>
      </w:pPr>
      <w:r>
        <w:rPr>
          <w:rFonts w:hint="eastAsia"/>
          <w:spacing w:val="105"/>
        </w:rPr>
        <w:t>参考文</w:t>
      </w:r>
      <w:r>
        <w:rPr>
          <w:rFonts w:hint="eastAsia"/>
        </w:rPr>
        <w:t>献</w:t>
      </w:r>
    </w:p>
    <w:bookmarkEnd w:id="34"/>
    <w:p w14:paraId="0ECD1514">
      <w:pPr>
        <w:pStyle w:val="23"/>
        <w:ind w:firstLine="0" w:firstLineChars="0"/>
        <w:jc w:val="center"/>
      </w:pPr>
    </w:p>
    <w:p w14:paraId="787E9E4B">
      <w:pPr>
        <w:pStyle w:val="23"/>
        <w:ind w:firstLine="0" w:firstLineChars="0"/>
      </w:pPr>
      <w:r>
        <w:rPr>
          <w:rFonts w:hint="eastAsia"/>
        </w:rPr>
        <w:t>[1]陈旭娇,严静,王建业,等.老年综合评估技术应用中国专家共识[J].中华老年医学杂志, 2017, 36(005):471-477.DOI:10.3760/cma.j.issn.0254-9026.2017.05.001.</w:t>
      </w:r>
    </w:p>
    <w:p w14:paraId="03524CCE">
      <w:pPr>
        <w:pStyle w:val="23"/>
        <w:ind w:left="720" w:firstLine="2730" w:firstLineChars="1300"/>
      </w:pPr>
      <w:bookmarkStart w:id="35" w:name="BookMark8"/>
      <w:r>
        <w:rPr>
          <w:rFonts w:hint="eastAsia"/>
        </w:rPr>
        <w:drawing>
          <wp:inline distT="0" distB="0" distL="0" distR="0">
            <wp:extent cx="1487170" cy="31813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487170" cy="318135"/>
                    </a:xfrm>
                    <a:prstGeom prst="rect">
                      <a:avLst/>
                    </a:prstGeom>
                    <a:noFill/>
                    <a:ln>
                      <a:noFill/>
                    </a:ln>
                  </pic:spPr>
                </pic:pic>
              </a:graphicData>
            </a:graphic>
          </wp:inline>
        </w:drawing>
      </w:r>
      <w:bookmarkEnd w:id="35"/>
    </w:p>
    <w:sectPr>
      <w:headerReference r:id="rId5" w:type="default"/>
      <w:footerReference r:id="rId7" w:type="default"/>
      <w:headerReference r:id="rId6" w:type="even"/>
      <w:pgSz w:w="11906" w:h="16838"/>
      <w:pgMar w:top="1928" w:right="1134" w:bottom="1134" w:left="1134" w:header="1418" w:footer="1134" w:gutter="284"/>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D392A">
    <w:pPr>
      <w:pStyle w:val="5"/>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59EB1">
    <w:pPr>
      <w:pStyle w:val="22"/>
    </w:pPr>
    <w:r>
      <w:fldChar w:fldCharType="begin"/>
    </w:r>
    <w:r>
      <w:instrText xml:space="preserve">PAGE   \* MERGEFORMAT</w:instrText>
    </w:r>
    <w:r>
      <w:fldChar w:fldCharType="separate"/>
    </w:r>
    <w:r>
      <w:rPr>
        <w:lang w:val="zh-CN"/>
      </w:rPr>
      <w:t>8</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DDD9A">
    <w:pPr>
      <w:pStyle w:val="6"/>
      <w:jc w:val="both"/>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DC804">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B79D5">
    <w:pPr>
      <w:pStyle w:val="6"/>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b/>
      </w:rPr>
      <w:t>错误！文档中没有指定样式的文字。</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none"/>
      <w:pStyle w:val="37"/>
      <w:lvlText w:val="%1——"/>
      <w:lvlJc w:val="left"/>
      <w:pPr>
        <w:tabs>
          <w:tab w:val="left" w:pos="1266"/>
        </w:tabs>
        <w:ind w:left="1266" w:hanging="426"/>
      </w:pPr>
      <w:rPr>
        <w:rFonts w:hint="eastAsia" w:ascii="宋体" w:hAnsi="Times New Roman" w:eastAsia="宋体"/>
        <w:b w:val="0"/>
        <w:i w:val="0"/>
        <w:sz w:val="21"/>
      </w:rPr>
    </w:lvl>
    <w:lvl w:ilvl="1" w:tentative="0">
      <w:start w:val="1"/>
      <w:numFmt w:val="none"/>
      <w:pStyle w:val="43"/>
      <w:lvlText w:val=""/>
      <w:lvlJc w:val="left"/>
      <w:pPr>
        <w:ind w:left="1266" w:hanging="431"/>
      </w:pPr>
      <w:rPr>
        <w:rFonts w:hint="default" w:ascii="Symbol" w:hAnsi="Symbol"/>
        <w:sz w:val="21"/>
      </w:rPr>
    </w:lvl>
    <w:lvl w:ilvl="2" w:tentative="0">
      <w:start w:val="1"/>
      <w:numFmt w:val="bullet"/>
      <w:pStyle w:val="40"/>
      <w:lvlText w:val=""/>
      <w:lvlJc w:val="left"/>
      <w:pPr>
        <w:ind w:left="1266" w:hanging="426"/>
      </w:pPr>
      <w:rPr>
        <w:rFonts w:hint="default" w:ascii="Wingdings" w:hAnsi="Wingdings"/>
        <w:sz w:val="21"/>
      </w:rPr>
    </w:lvl>
    <w:lvl w:ilvl="3" w:tentative="0">
      <w:start w:val="1"/>
      <w:numFmt w:val="decimal"/>
      <w:lvlText w:val="%4."/>
      <w:lvlJc w:val="left"/>
      <w:pPr>
        <w:tabs>
          <w:tab w:val="left" w:pos="2486"/>
        </w:tabs>
        <w:ind w:left="2299" w:hanging="528"/>
      </w:pPr>
      <w:rPr>
        <w:rFonts w:hint="eastAsia"/>
      </w:rPr>
    </w:lvl>
    <w:lvl w:ilvl="4" w:tentative="0">
      <w:start w:val="1"/>
      <w:numFmt w:val="lowerLetter"/>
      <w:lvlText w:val="%5)"/>
      <w:lvlJc w:val="left"/>
      <w:pPr>
        <w:tabs>
          <w:tab w:val="left" w:pos="2798"/>
        </w:tabs>
        <w:ind w:left="2611" w:hanging="528"/>
      </w:pPr>
      <w:rPr>
        <w:rFonts w:hint="eastAsia"/>
      </w:rPr>
    </w:lvl>
    <w:lvl w:ilvl="5" w:tentative="0">
      <w:start w:val="1"/>
      <w:numFmt w:val="lowerRoman"/>
      <w:lvlText w:val="%6."/>
      <w:lvlJc w:val="right"/>
      <w:pPr>
        <w:tabs>
          <w:tab w:val="left" w:pos="3110"/>
        </w:tabs>
        <w:ind w:left="2923" w:hanging="528"/>
      </w:pPr>
      <w:rPr>
        <w:rFonts w:hint="eastAsia"/>
      </w:rPr>
    </w:lvl>
    <w:lvl w:ilvl="6" w:tentative="0">
      <w:start w:val="1"/>
      <w:numFmt w:val="decimal"/>
      <w:lvlText w:val="%7."/>
      <w:lvlJc w:val="left"/>
      <w:pPr>
        <w:tabs>
          <w:tab w:val="left" w:pos="3422"/>
        </w:tabs>
        <w:ind w:left="3235" w:hanging="528"/>
      </w:pPr>
      <w:rPr>
        <w:rFonts w:hint="eastAsia"/>
      </w:rPr>
    </w:lvl>
    <w:lvl w:ilvl="7" w:tentative="0">
      <w:start w:val="1"/>
      <w:numFmt w:val="lowerLetter"/>
      <w:lvlText w:val="%8)"/>
      <w:lvlJc w:val="left"/>
      <w:pPr>
        <w:tabs>
          <w:tab w:val="left" w:pos="3734"/>
        </w:tabs>
        <w:ind w:left="3547" w:hanging="528"/>
      </w:pPr>
      <w:rPr>
        <w:rFonts w:hint="eastAsia"/>
      </w:rPr>
    </w:lvl>
    <w:lvl w:ilvl="8" w:tentative="0">
      <w:start w:val="1"/>
      <w:numFmt w:val="lowerRoman"/>
      <w:lvlText w:val="%9."/>
      <w:lvlJc w:val="right"/>
      <w:pPr>
        <w:tabs>
          <w:tab w:val="left" w:pos="4046"/>
        </w:tabs>
        <w:ind w:left="3859" w:hanging="528"/>
      </w:pPr>
      <w:rPr>
        <w:rFonts w:hint="eastAsia"/>
      </w:rPr>
    </w:lvl>
  </w:abstractNum>
  <w:abstractNum w:abstractNumId="1">
    <w:nsid w:val="00000004"/>
    <w:multiLevelType w:val="multilevel"/>
    <w:tmpl w:val="00000004"/>
    <w:lvl w:ilvl="0" w:tentative="0">
      <w:start w:val="1"/>
      <w:numFmt w:val="lowerLetter"/>
      <w:pStyle w:val="41"/>
      <w:lvlText w:val="%1)"/>
      <w:lvlJc w:val="left"/>
      <w:pPr>
        <w:tabs>
          <w:tab w:val="left" w:pos="851"/>
        </w:tabs>
        <w:ind w:left="851" w:hanging="426"/>
      </w:pPr>
      <w:rPr>
        <w:rFonts w:hint="eastAsia" w:ascii="宋体" w:hAnsi="Times New Roman" w:eastAsia="宋体"/>
        <w:sz w:val="21"/>
      </w:rPr>
    </w:lvl>
    <w:lvl w:ilvl="1" w:tentative="0">
      <w:start w:val="1"/>
      <w:numFmt w:val="decimal"/>
      <w:pStyle w:val="34"/>
      <w:lvlText w:val="%2)"/>
      <w:lvlJc w:val="left"/>
      <w:pPr>
        <w:tabs>
          <w:tab w:val="left" w:pos="1276"/>
        </w:tabs>
        <w:ind w:left="1276" w:hanging="425"/>
      </w:pPr>
      <w:rPr>
        <w:rFonts w:hint="eastAsia" w:ascii="宋体" w:hAnsi="Times New Roman" w:eastAsia="宋体"/>
        <w:sz w:val="21"/>
      </w:rPr>
    </w:lvl>
    <w:lvl w:ilvl="2" w:tentative="0">
      <w:start w:val="1"/>
      <w:numFmt w:val="decimal"/>
      <w:pStyle w:val="35"/>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00000005"/>
    <w:multiLevelType w:val="multilevel"/>
    <w:tmpl w:val="00000005"/>
    <w:lvl w:ilvl="0" w:tentative="0">
      <w:start w:val="1"/>
      <w:numFmt w:val="none"/>
      <w:pStyle w:val="39"/>
      <w:suff w:val="nothing"/>
      <w:lvlText w:val="%1"/>
      <w:lvlJc w:val="left"/>
      <w:pPr>
        <w:ind w:left="0" w:firstLine="0"/>
      </w:pPr>
      <w:rPr>
        <w:rFonts w:hint="eastAsia"/>
      </w:rPr>
    </w:lvl>
    <w:lvl w:ilvl="1" w:tentative="0">
      <w:start w:val="1"/>
      <w:numFmt w:val="decimal"/>
      <w:pStyle w:val="32"/>
      <w:suff w:val="nothing"/>
      <w:lvlText w:val="%1%2　"/>
      <w:lvlJc w:val="left"/>
      <w:pPr>
        <w:ind w:left="709" w:firstLine="0"/>
      </w:pPr>
      <w:rPr>
        <w:rFonts w:hint="eastAsia" w:ascii="黑体" w:eastAsia="黑体"/>
        <w:b w:val="0"/>
        <w:i w:val="0"/>
        <w:sz w:val="21"/>
      </w:rPr>
    </w:lvl>
    <w:lvl w:ilvl="2" w:tentative="0">
      <w:start w:val="1"/>
      <w:numFmt w:val="decimal"/>
      <w:pStyle w:val="75"/>
      <w:suff w:val="nothing"/>
      <w:lvlText w:val="%1%2.%3　"/>
      <w:lvlJc w:val="left"/>
      <w:pPr>
        <w:ind w:left="142" w:firstLine="0"/>
      </w:pPr>
      <w:rPr>
        <w:rFonts w:hint="eastAsia" w:ascii="黑体" w:hAnsi="Times New Roman" w:eastAsia="黑体" w:cs="Times New Roman"/>
        <w:b w:val="0"/>
        <w:bCs w:val="0"/>
        <w:i w:val="0"/>
        <w:iCs w:val="0"/>
        <w:caps w:val="0"/>
        <w:smallCaps w:val="0"/>
        <w:vanish w:val="0"/>
        <w:color w:val="000000"/>
        <w:spacing w:val="0"/>
        <w:kern w:val="0"/>
        <w:position w:val="0"/>
        <w:sz w:val="21"/>
        <w:u w:val="none"/>
        <w:vertAlign w:val="baseline"/>
      </w:rPr>
    </w:lvl>
    <w:lvl w:ilvl="3" w:tentative="0">
      <w:start w:val="1"/>
      <w:numFmt w:val="decimal"/>
      <w:pStyle w:val="27"/>
      <w:suff w:val="nothing"/>
      <w:lvlText w:val="%1%2.%3.%4　"/>
      <w:lvlJc w:val="left"/>
      <w:pPr>
        <w:ind w:left="2410" w:firstLine="0"/>
      </w:pPr>
      <w:rPr>
        <w:rFonts w:hint="eastAsia" w:ascii="黑体" w:eastAsia="黑体"/>
        <w:b w:val="0"/>
        <w:i w:val="0"/>
        <w:sz w:val="21"/>
      </w:rPr>
    </w:lvl>
    <w:lvl w:ilvl="4" w:tentative="0">
      <w:start w:val="1"/>
      <w:numFmt w:val="decimal"/>
      <w:suff w:val="nothing"/>
      <w:lvlText w:val="%1%2.%3.%4.%5　"/>
      <w:lvlJc w:val="left"/>
      <w:pPr>
        <w:ind w:left="2552" w:firstLine="0"/>
      </w:pPr>
      <w:rPr>
        <w:rFonts w:hint="eastAsia" w:ascii="黑体" w:eastAsia="黑体"/>
        <w:b w:val="0"/>
        <w:i w:val="0"/>
        <w:sz w:val="21"/>
      </w:rPr>
    </w:lvl>
    <w:lvl w:ilvl="5" w:tentative="0">
      <w:start w:val="1"/>
      <w:numFmt w:val="decimal"/>
      <w:pStyle w:val="30"/>
      <w:suff w:val="nothing"/>
      <w:lvlText w:val="%1%2.%3.%4.%5.%6　"/>
      <w:lvlJc w:val="left"/>
      <w:pPr>
        <w:ind w:left="0" w:firstLine="0"/>
      </w:pPr>
      <w:rPr>
        <w:rFonts w:hint="eastAsia" w:ascii="黑体" w:eastAsia="黑体"/>
        <w:b w:val="0"/>
        <w:i w:val="0"/>
        <w:sz w:val="21"/>
      </w:rPr>
    </w:lvl>
    <w:lvl w:ilvl="6" w:tentative="0">
      <w:start w:val="1"/>
      <w:numFmt w:val="decimal"/>
      <w:pStyle w:val="31"/>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1D54453B"/>
    <w:multiLevelType w:val="multilevel"/>
    <w:tmpl w:val="1D54453B"/>
    <w:lvl w:ilvl="0" w:tentative="0">
      <w:start w:val="1"/>
      <w:numFmt w:val="none"/>
      <w:pStyle w:val="28"/>
      <w:lvlText w:val="%1"/>
      <w:lvlJc w:val="left"/>
      <w:pPr>
        <w:ind w:left="425" w:hanging="425"/>
      </w:pPr>
      <w:rPr>
        <w:rFonts w:hint="eastAsia"/>
      </w:rPr>
    </w:lvl>
    <w:lvl w:ilvl="1" w:tentative="0">
      <w:start w:val="1"/>
      <w:numFmt w:val="decimal"/>
      <w:pStyle w:val="49"/>
      <w:suff w:val="nothing"/>
      <w:lvlText w:val="%10.%2 "/>
      <w:lvlJc w:val="left"/>
      <w:pPr>
        <w:ind w:left="0" w:firstLine="0"/>
      </w:pPr>
      <w:rPr>
        <w:rFonts w:hint="eastAsia" w:ascii="黑体" w:hAnsi="等线" w:eastAsia="黑体"/>
        <w:b w:val="0"/>
        <w:i w:val="0"/>
        <w:sz w:val="21"/>
      </w:rPr>
    </w:lvl>
    <w:lvl w:ilvl="2" w:tentative="0">
      <w:start w:val="1"/>
      <w:numFmt w:val="decimal"/>
      <w:pStyle w:val="50"/>
      <w:suff w:val="nothing"/>
      <w:lvlText w:val="%10.%2.%3 "/>
      <w:lvlJc w:val="left"/>
      <w:pPr>
        <w:ind w:left="0" w:firstLine="0"/>
      </w:pPr>
      <w:rPr>
        <w:rFonts w:hint="eastAsia" w:ascii="黑体" w:hAnsi="等线" w:eastAsia="黑体"/>
        <w:b w:val="0"/>
        <w:i w:val="0"/>
        <w:sz w:val="21"/>
      </w:rPr>
    </w:lvl>
    <w:lvl w:ilvl="3" w:tentative="0">
      <w:start w:val="1"/>
      <w:numFmt w:val="decimal"/>
      <w:pStyle w:val="51"/>
      <w:suff w:val="nothing"/>
      <w:lvlText w:val="%10.%2.%3.%4 "/>
      <w:lvlJc w:val="left"/>
      <w:pPr>
        <w:ind w:left="0" w:firstLine="0"/>
      </w:pPr>
      <w:rPr>
        <w:rFonts w:hint="eastAsia" w:ascii="黑体" w:hAnsi="等线" w:eastAsia="黑体"/>
        <w:b w:val="0"/>
        <w:i w:val="0"/>
        <w:sz w:val="21"/>
      </w:rPr>
    </w:lvl>
    <w:lvl w:ilvl="4" w:tentative="0">
      <w:start w:val="1"/>
      <w:numFmt w:val="decimal"/>
      <w:pStyle w:val="52"/>
      <w:suff w:val="nothing"/>
      <w:lvlText w:val="%10.%2.%3.%4.%5 "/>
      <w:lvlJc w:val="left"/>
      <w:pPr>
        <w:ind w:left="0" w:firstLine="0"/>
      </w:pPr>
      <w:rPr>
        <w:rFonts w:hint="eastAsia" w:ascii="黑体" w:hAnsi="等线" w:eastAsia="黑体"/>
        <w:b w:val="0"/>
        <w:i w:val="0"/>
        <w:sz w:val="21"/>
      </w:rPr>
    </w:lvl>
    <w:lvl w:ilvl="5" w:tentative="0">
      <w:start w:val="1"/>
      <w:numFmt w:val="decimal"/>
      <w:pStyle w:val="53"/>
      <w:suff w:val="nothing"/>
      <w:lvlText w:val="%10.%2.%3.%4.%5.%6 "/>
      <w:lvlJc w:val="left"/>
      <w:pPr>
        <w:ind w:left="0" w:firstLine="0"/>
      </w:pPr>
      <w:rPr>
        <w:rFonts w:hint="eastAsia"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48802D1C"/>
    <w:multiLevelType w:val="multilevel"/>
    <w:tmpl w:val="48802D1C"/>
    <w:lvl w:ilvl="0" w:tentative="0">
      <w:start w:val="1"/>
      <w:numFmt w:val="upperLetter"/>
      <w:pStyle w:val="77"/>
      <w:lvlText w:val="%1"/>
      <w:lvlJc w:val="left"/>
      <w:pPr>
        <w:ind w:left="420" w:hanging="420"/>
      </w:pPr>
      <w:rPr>
        <w:rFonts w:hint="eastAsia"/>
      </w:rPr>
    </w:lvl>
    <w:lvl w:ilvl="1" w:tentative="0">
      <w:start w:val="1"/>
      <w:numFmt w:val="decimal"/>
      <w:pStyle w:val="7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5603797C"/>
    <w:multiLevelType w:val="multilevel"/>
    <w:tmpl w:val="5603797C"/>
    <w:lvl w:ilvl="0" w:tentative="0">
      <w:start w:val="1"/>
      <w:numFmt w:val="upperLetter"/>
      <w:pStyle w:val="78"/>
      <w:suff w:val="space"/>
      <w:lvlText w:val="%1"/>
      <w:lvlJc w:val="left"/>
      <w:pPr>
        <w:ind w:left="425" w:hanging="425"/>
      </w:pPr>
      <w:rPr>
        <w:rFonts w:hint="eastAsia"/>
      </w:rPr>
    </w:lvl>
    <w:lvl w:ilvl="1" w:tentative="0">
      <w:start w:val="1"/>
      <w:numFmt w:val="decimal"/>
      <w:pStyle w:val="6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657D3FBC"/>
    <w:multiLevelType w:val="multilevel"/>
    <w:tmpl w:val="657D3FBC"/>
    <w:lvl w:ilvl="0" w:tentative="0">
      <w:start w:val="1"/>
      <w:numFmt w:val="upperLetter"/>
      <w:pStyle w:val="67"/>
      <w:suff w:val="nothing"/>
      <w:lvlText w:val="附录%1"/>
      <w:lvlJc w:val="left"/>
      <w:pPr>
        <w:ind w:left="0" w:firstLine="0"/>
      </w:pPr>
      <w:rPr>
        <w:rFonts w:hint="eastAsia"/>
        <w:spacing w:val="100"/>
      </w:rPr>
    </w:lvl>
    <w:lvl w:ilvl="1" w:tentative="0">
      <w:start w:val="1"/>
      <w:numFmt w:val="decimal"/>
      <w:pStyle w:val="69"/>
      <w:suff w:val="nothing"/>
      <w:lvlText w:val="%1.%2　"/>
      <w:lvlJc w:val="left"/>
      <w:pPr>
        <w:ind w:left="0" w:firstLine="0"/>
      </w:pPr>
      <w:rPr>
        <w:rFonts w:hint="eastAsia" w:ascii="黑体" w:eastAsia="黑体"/>
        <w:b w:val="0"/>
        <w:i w:val="0"/>
        <w:sz w:val="21"/>
      </w:rPr>
    </w:lvl>
    <w:lvl w:ilvl="2" w:tentative="0">
      <w:start w:val="1"/>
      <w:numFmt w:val="decimal"/>
      <w:pStyle w:val="70"/>
      <w:suff w:val="nothing"/>
      <w:lvlText w:val="%1.%2.%3　"/>
      <w:lvlJc w:val="left"/>
      <w:pPr>
        <w:ind w:left="0" w:firstLine="0"/>
      </w:pPr>
      <w:rPr>
        <w:rFonts w:hint="eastAsia" w:ascii="黑体" w:eastAsia="黑体"/>
        <w:b w:val="0"/>
        <w:i w:val="0"/>
        <w:sz w:val="21"/>
      </w:rPr>
    </w:lvl>
    <w:lvl w:ilvl="3" w:tentative="0">
      <w:start w:val="1"/>
      <w:numFmt w:val="decimal"/>
      <w:pStyle w:val="71"/>
      <w:suff w:val="nothing"/>
      <w:lvlText w:val="%1.%2.%3.%4　"/>
      <w:lvlJc w:val="left"/>
      <w:pPr>
        <w:ind w:left="0" w:firstLine="0"/>
      </w:pPr>
      <w:rPr>
        <w:rFonts w:hint="eastAsia" w:ascii="黑体" w:eastAsia="黑体"/>
        <w:b w:val="0"/>
        <w:i w:val="0"/>
        <w:sz w:val="21"/>
      </w:rPr>
    </w:lvl>
    <w:lvl w:ilvl="4" w:tentative="0">
      <w:start w:val="1"/>
      <w:numFmt w:val="decimal"/>
      <w:pStyle w:val="72"/>
      <w:suff w:val="nothing"/>
      <w:lvlText w:val="%1.%2.%3.%4.%5　"/>
      <w:lvlJc w:val="left"/>
      <w:pPr>
        <w:ind w:left="0" w:firstLine="0"/>
      </w:pPr>
      <w:rPr>
        <w:rFonts w:hint="eastAsia" w:ascii="黑体" w:eastAsia="黑体"/>
        <w:b w:val="0"/>
        <w:i w:val="0"/>
        <w:sz w:val="21"/>
      </w:rPr>
    </w:lvl>
    <w:lvl w:ilvl="5" w:tentative="0">
      <w:start w:val="1"/>
      <w:numFmt w:val="decimal"/>
      <w:pStyle w:val="7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2"/>
  </w:num>
  <w:num w:numId="2">
    <w:abstractNumId w:val="3"/>
  </w:num>
  <w:num w:numId="3">
    <w:abstractNumId w:val="1"/>
  </w:num>
  <w:num w:numId="4">
    <w:abstractNumId w:val="0"/>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BkMTk5YTdhMmEwNjEwZWQ2MzdhNjFhM2Y0ZGU2YWIifQ=="/>
  </w:docVars>
  <w:rsids>
    <w:rsidRoot w:val="0096653F"/>
    <w:rsid w:val="00007C4B"/>
    <w:rsid w:val="00010E96"/>
    <w:rsid w:val="00017C15"/>
    <w:rsid w:val="000218F4"/>
    <w:rsid w:val="00025A0B"/>
    <w:rsid w:val="0003280F"/>
    <w:rsid w:val="000336C4"/>
    <w:rsid w:val="000357EA"/>
    <w:rsid w:val="00035BA2"/>
    <w:rsid w:val="00043658"/>
    <w:rsid w:val="00043EFF"/>
    <w:rsid w:val="00044C63"/>
    <w:rsid w:val="00044FC4"/>
    <w:rsid w:val="00050A19"/>
    <w:rsid w:val="000529FE"/>
    <w:rsid w:val="00057D87"/>
    <w:rsid w:val="000649CC"/>
    <w:rsid w:val="00066374"/>
    <w:rsid w:val="00070D14"/>
    <w:rsid w:val="00070E79"/>
    <w:rsid w:val="000760B1"/>
    <w:rsid w:val="00097CB9"/>
    <w:rsid w:val="000A0EBE"/>
    <w:rsid w:val="000A1F65"/>
    <w:rsid w:val="000A7F44"/>
    <w:rsid w:val="000B02CC"/>
    <w:rsid w:val="000B2234"/>
    <w:rsid w:val="000B46CA"/>
    <w:rsid w:val="000D4D44"/>
    <w:rsid w:val="000D7F1A"/>
    <w:rsid w:val="000F5802"/>
    <w:rsid w:val="000F69AB"/>
    <w:rsid w:val="00100C3B"/>
    <w:rsid w:val="00103F16"/>
    <w:rsid w:val="00107838"/>
    <w:rsid w:val="00113546"/>
    <w:rsid w:val="001162CB"/>
    <w:rsid w:val="00122AC4"/>
    <w:rsid w:val="00125981"/>
    <w:rsid w:val="00130744"/>
    <w:rsid w:val="00130862"/>
    <w:rsid w:val="00131A44"/>
    <w:rsid w:val="0013313B"/>
    <w:rsid w:val="001425CE"/>
    <w:rsid w:val="00147575"/>
    <w:rsid w:val="00150FE0"/>
    <w:rsid w:val="0015768F"/>
    <w:rsid w:val="00160AF1"/>
    <w:rsid w:val="00167EFD"/>
    <w:rsid w:val="00171654"/>
    <w:rsid w:val="001761EB"/>
    <w:rsid w:val="00181FCD"/>
    <w:rsid w:val="00184AA0"/>
    <w:rsid w:val="0019328E"/>
    <w:rsid w:val="00197157"/>
    <w:rsid w:val="001B3401"/>
    <w:rsid w:val="001C045D"/>
    <w:rsid w:val="001D6A64"/>
    <w:rsid w:val="001D711C"/>
    <w:rsid w:val="001E13B7"/>
    <w:rsid w:val="001E1C99"/>
    <w:rsid w:val="001E32FB"/>
    <w:rsid w:val="001E4D9A"/>
    <w:rsid w:val="001E65FA"/>
    <w:rsid w:val="001F59C5"/>
    <w:rsid w:val="00200E66"/>
    <w:rsid w:val="00201072"/>
    <w:rsid w:val="00203985"/>
    <w:rsid w:val="00225BCF"/>
    <w:rsid w:val="00240106"/>
    <w:rsid w:val="00246C04"/>
    <w:rsid w:val="0025763C"/>
    <w:rsid w:val="002638FE"/>
    <w:rsid w:val="0029255D"/>
    <w:rsid w:val="00293092"/>
    <w:rsid w:val="00293D6E"/>
    <w:rsid w:val="002A0326"/>
    <w:rsid w:val="002A1E9C"/>
    <w:rsid w:val="002A457F"/>
    <w:rsid w:val="002A734A"/>
    <w:rsid w:val="002C0253"/>
    <w:rsid w:val="002C36A4"/>
    <w:rsid w:val="002C3A5F"/>
    <w:rsid w:val="002C6E5F"/>
    <w:rsid w:val="002D1890"/>
    <w:rsid w:val="002E0054"/>
    <w:rsid w:val="002E0D98"/>
    <w:rsid w:val="002F1BCB"/>
    <w:rsid w:val="002F3E00"/>
    <w:rsid w:val="002F5F58"/>
    <w:rsid w:val="00303462"/>
    <w:rsid w:val="0030688D"/>
    <w:rsid w:val="0031066A"/>
    <w:rsid w:val="00321758"/>
    <w:rsid w:val="00321DC1"/>
    <w:rsid w:val="00325895"/>
    <w:rsid w:val="003367D9"/>
    <w:rsid w:val="00342C96"/>
    <w:rsid w:val="00353DC4"/>
    <w:rsid w:val="0035593F"/>
    <w:rsid w:val="00356894"/>
    <w:rsid w:val="00361602"/>
    <w:rsid w:val="003643B2"/>
    <w:rsid w:val="003831D3"/>
    <w:rsid w:val="003835D4"/>
    <w:rsid w:val="00383CFF"/>
    <w:rsid w:val="00392749"/>
    <w:rsid w:val="00392E05"/>
    <w:rsid w:val="003951E7"/>
    <w:rsid w:val="003A05E8"/>
    <w:rsid w:val="003A1312"/>
    <w:rsid w:val="003A3308"/>
    <w:rsid w:val="003A3493"/>
    <w:rsid w:val="003A379F"/>
    <w:rsid w:val="003A725E"/>
    <w:rsid w:val="003B5C4D"/>
    <w:rsid w:val="003C2EBD"/>
    <w:rsid w:val="003D02DA"/>
    <w:rsid w:val="003D0626"/>
    <w:rsid w:val="003D40CF"/>
    <w:rsid w:val="003E27E8"/>
    <w:rsid w:val="003E2B81"/>
    <w:rsid w:val="003E420A"/>
    <w:rsid w:val="003E7E0B"/>
    <w:rsid w:val="003F12A5"/>
    <w:rsid w:val="003F3298"/>
    <w:rsid w:val="003F3804"/>
    <w:rsid w:val="003F4D60"/>
    <w:rsid w:val="003F5497"/>
    <w:rsid w:val="004000D6"/>
    <w:rsid w:val="0042451B"/>
    <w:rsid w:val="00425B05"/>
    <w:rsid w:val="00430158"/>
    <w:rsid w:val="00455998"/>
    <w:rsid w:val="0046161A"/>
    <w:rsid w:val="004905A8"/>
    <w:rsid w:val="00493AB2"/>
    <w:rsid w:val="00493D67"/>
    <w:rsid w:val="004955AF"/>
    <w:rsid w:val="0049664C"/>
    <w:rsid w:val="004A056C"/>
    <w:rsid w:val="004A12A2"/>
    <w:rsid w:val="004C0FEE"/>
    <w:rsid w:val="004C7C24"/>
    <w:rsid w:val="004D064D"/>
    <w:rsid w:val="004D63F2"/>
    <w:rsid w:val="004D6DD8"/>
    <w:rsid w:val="004D6F50"/>
    <w:rsid w:val="004F245D"/>
    <w:rsid w:val="004F63F7"/>
    <w:rsid w:val="00503D95"/>
    <w:rsid w:val="005163F1"/>
    <w:rsid w:val="005202F2"/>
    <w:rsid w:val="005247B9"/>
    <w:rsid w:val="00524926"/>
    <w:rsid w:val="00547428"/>
    <w:rsid w:val="00550ED6"/>
    <w:rsid w:val="00560071"/>
    <w:rsid w:val="00560636"/>
    <w:rsid w:val="0056414C"/>
    <w:rsid w:val="0057584F"/>
    <w:rsid w:val="00587131"/>
    <w:rsid w:val="005A1BBB"/>
    <w:rsid w:val="005A40B2"/>
    <w:rsid w:val="005A4CCD"/>
    <w:rsid w:val="005A75AC"/>
    <w:rsid w:val="005B139B"/>
    <w:rsid w:val="005B7707"/>
    <w:rsid w:val="005D2CD1"/>
    <w:rsid w:val="005D3467"/>
    <w:rsid w:val="005D4C56"/>
    <w:rsid w:val="005D5C7F"/>
    <w:rsid w:val="005E34BC"/>
    <w:rsid w:val="005E453D"/>
    <w:rsid w:val="005F16FC"/>
    <w:rsid w:val="005F25F3"/>
    <w:rsid w:val="00604D72"/>
    <w:rsid w:val="00612305"/>
    <w:rsid w:val="0063140B"/>
    <w:rsid w:val="0063177C"/>
    <w:rsid w:val="00633EC4"/>
    <w:rsid w:val="00635F01"/>
    <w:rsid w:val="0064589E"/>
    <w:rsid w:val="006534AF"/>
    <w:rsid w:val="00654BFF"/>
    <w:rsid w:val="006578B6"/>
    <w:rsid w:val="00662838"/>
    <w:rsid w:val="00666807"/>
    <w:rsid w:val="0067070F"/>
    <w:rsid w:val="0067524A"/>
    <w:rsid w:val="0067601C"/>
    <w:rsid w:val="006830E0"/>
    <w:rsid w:val="00692424"/>
    <w:rsid w:val="00693F15"/>
    <w:rsid w:val="0069418B"/>
    <w:rsid w:val="006A0296"/>
    <w:rsid w:val="006A7478"/>
    <w:rsid w:val="006B2606"/>
    <w:rsid w:val="006B6220"/>
    <w:rsid w:val="006D26AC"/>
    <w:rsid w:val="006E4DAE"/>
    <w:rsid w:val="006E72C2"/>
    <w:rsid w:val="006F1F29"/>
    <w:rsid w:val="006F5CCA"/>
    <w:rsid w:val="00702013"/>
    <w:rsid w:val="00702209"/>
    <w:rsid w:val="00706504"/>
    <w:rsid w:val="007277E4"/>
    <w:rsid w:val="00732154"/>
    <w:rsid w:val="00736A12"/>
    <w:rsid w:val="00744DB1"/>
    <w:rsid w:val="007531C3"/>
    <w:rsid w:val="00771D34"/>
    <w:rsid w:val="007720CC"/>
    <w:rsid w:val="00772584"/>
    <w:rsid w:val="007803A1"/>
    <w:rsid w:val="00781975"/>
    <w:rsid w:val="00793AAB"/>
    <w:rsid w:val="007B173F"/>
    <w:rsid w:val="007C090D"/>
    <w:rsid w:val="007C5B2F"/>
    <w:rsid w:val="007C68B9"/>
    <w:rsid w:val="007D04A3"/>
    <w:rsid w:val="007D3AB1"/>
    <w:rsid w:val="007D4E62"/>
    <w:rsid w:val="007E3C0E"/>
    <w:rsid w:val="007E44C4"/>
    <w:rsid w:val="007E7A81"/>
    <w:rsid w:val="0080169A"/>
    <w:rsid w:val="008021A0"/>
    <w:rsid w:val="00802FDF"/>
    <w:rsid w:val="00804984"/>
    <w:rsid w:val="00810B11"/>
    <w:rsid w:val="008213CD"/>
    <w:rsid w:val="00822408"/>
    <w:rsid w:val="00825935"/>
    <w:rsid w:val="00826659"/>
    <w:rsid w:val="008320DA"/>
    <w:rsid w:val="00851EE6"/>
    <w:rsid w:val="0085441A"/>
    <w:rsid w:val="00855530"/>
    <w:rsid w:val="008646D3"/>
    <w:rsid w:val="00864E83"/>
    <w:rsid w:val="00866771"/>
    <w:rsid w:val="00873FA4"/>
    <w:rsid w:val="00883221"/>
    <w:rsid w:val="00893F04"/>
    <w:rsid w:val="00894E4B"/>
    <w:rsid w:val="008A0BF3"/>
    <w:rsid w:val="008B08AE"/>
    <w:rsid w:val="008B099C"/>
    <w:rsid w:val="008C36CA"/>
    <w:rsid w:val="008D1338"/>
    <w:rsid w:val="008D5813"/>
    <w:rsid w:val="008F2165"/>
    <w:rsid w:val="008F3AF9"/>
    <w:rsid w:val="008F4C42"/>
    <w:rsid w:val="008F6901"/>
    <w:rsid w:val="00901A1B"/>
    <w:rsid w:val="00905F1B"/>
    <w:rsid w:val="00907D77"/>
    <w:rsid w:val="00922390"/>
    <w:rsid w:val="009244D1"/>
    <w:rsid w:val="009273D3"/>
    <w:rsid w:val="00931A44"/>
    <w:rsid w:val="00936A54"/>
    <w:rsid w:val="0094022E"/>
    <w:rsid w:val="0094695E"/>
    <w:rsid w:val="00956AF4"/>
    <w:rsid w:val="009574EE"/>
    <w:rsid w:val="009630BB"/>
    <w:rsid w:val="0096653F"/>
    <w:rsid w:val="00970C2F"/>
    <w:rsid w:val="009716DF"/>
    <w:rsid w:val="00973017"/>
    <w:rsid w:val="009809C8"/>
    <w:rsid w:val="00985A79"/>
    <w:rsid w:val="009927D2"/>
    <w:rsid w:val="0099469A"/>
    <w:rsid w:val="009A0D60"/>
    <w:rsid w:val="009A0D86"/>
    <w:rsid w:val="009A253E"/>
    <w:rsid w:val="009A2B7F"/>
    <w:rsid w:val="009A4906"/>
    <w:rsid w:val="009A7018"/>
    <w:rsid w:val="009A7A64"/>
    <w:rsid w:val="009A7C51"/>
    <w:rsid w:val="009B24AA"/>
    <w:rsid w:val="009B5B4C"/>
    <w:rsid w:val="009D2D61"/>
    <w:rsid w:val="009D4757"/>
    <w:rsid w:val="009D6141"/>
    <w:rsid w:val="009F0FC2"/>
    <w:rsid w:val="00A00C11"/>
    <w:rsid w:val="00A01FEE"/>
    <w:rsid w:val="00A03754"/>
    <w:rsid w:val="00A04A64"/>
    <w:rsid w:val="00A1400B"/>
    <w:rsid w:val="00A160F7"/>
    <w:rsid w:val="00A20C9A"/>
    <w:rsid w:val="00A256FF"/>
    <w:rsid w:val="00A2604F"/>
    <w:rsid w:val="00A269B2"/>
    <w:rsid w:val="00A3293A"/>
    <w:rsid w:val="00A34AC7"/>
    <w:rsid w:val="00A45F0C"/>
    <w:rsid w:val="00A4778E"/>
    <w:rsid w:val="00A517C3"/>
    <w:rsid w:val="00A54C1C"/>
    <w:rsid w:val="00A56977"/>
    <w:rsid w:val="00A63FE9"/>
    <w:rsid w:val="00A646BD"/>
    <w:rsid w:val="00A67A33"/>
    <w:rsid w:val="00A73EC1"/>
    <w:rsid w:val="00A7528C"/>
    <w:rsid w:val="00A77C84"/>
    <w:rsid w:val="00A8180B"/>
    <w:rsid w:val="00A91563"/>
    <w:rsid w:val="00AA0A7C"/>
    <w:rsid w:val="00AA2D98"/>
    <w:rsid w:val="00AA7156"/>
    <w:rsid w:val="00AB048E"/>
    <w:rsid w:val="00AB5A02"/>
    <w:rsid w:val="00AC198B"/>
    <w:rsid w:val="00AC5BAE"/>
    <w:rsid w:val="00AC698C"/>
    <w:rsid w:val="00AD2A94"/>
    <w:rsid w:val="00AE4746"/>
    <w:rsid w:val="00AF4A44"/>
    <w:rsid w:val="00B044FC"/>
    <w:rsid w:val="00B23524"/>
    <w:rsid w:val="00B261C5"/>
    <w:rsid w:val="00B41A89"/>
    <w:rsid w:val="00B47DE2"/>
    <w:rsid w:val="00B52EB6"/>
    <w:rsid w:val="00B535F9"/>
    <w:rsid w:val="00B57260"/>
    <w:rsid w:val="00B71BEE"/>
    <w:rsid w:val="00B72851"/>
    <w:rsid w:val="00B814DA"/>
    <w:rsid w:val="00B86C10"/>
    <w:rsid w:val="00B90006"/>
    <w:rsid w:val="00B907E6"/>
    <w:rsid w:val="00B960DD"/>
    <w:rsid w:val="00BA2B3E"/>
    <w:rsid w:val="00BA395F"/>
    <w:rsid w:val="00BA6D1E"/>
    <w:rsid w:val="00BB2A4C"/>
    <w:rsid w:val="00BB6F41"/>
    <w:rsid w:val="00BC19D0"/>
    <w:rsid w:val="00BC4B65"/>
    <w:rsid w:val="00BC4E63"/>
    <w:rsid w:val="00BC7921"/>
    <w:rsid w:val="00BD0D84"/>
    <w:rsid w:val="00BD2BBF"/>
    <w:rsid w:val="00BE2482"/>
    <w:rsid w:val="00BE465C"/>
    <w:rsid w:val="00BF6004"/>
    <w:rsid w:val="00BF7AAC"/>
    <w:rsid w:val="00C01486"/>
    <w:rsid w:val="00C04C03"/>
    <w:rsid w:val="00C0520C"/>
    <w:rsid w:val="00C17BD8"/>
    <w:rsid w:val="00C20460"/>
    <w:rsid w:val="00C22BCE"/>
    <w:rsid w:val="00C32D06"/>
    <w:rsid w:val="00C4123C"/>
    <w:rsid w:val="00C44293"/>
    <w:rsid w:val="00C51336"/>
    <w:rsid w:val="00C519E2"/>
    <w:rsid w:val="00C60EBA"/>
    <w:rsid w:val="00C628CB"/>
    <w:rsid w:val="00C732D8"/>
    <w:rsid w:val="00C74493"/>
    <w:rsid w:val="00C75FFF"/>
    <w:rsid w:val="00C80EAC"/>
    <w:rsid w:val="00C839BD"/>
    <w:rsid w:val="00C83EC9"/>
    <w:rsid w:val="00C91A27"/>
    <w:rsid w:val="00C921EE"/>
    <w:rsid w:val="00C941F9"/>
    <w:rsid w:val="00C97159"/>
    <w:rsid w:val="00C9791F"/>
    <w:rsid w:val="00CA1B85"/>
    <w:rsid w:val="00CA2E38"/>
    <w:rsid w:val="00CB129E"/>
    <w:rsid w:val="00CB66E0"/>
    <w:rsid w:val="00CC3512"/>
    <w:rsid w:val="00CC51C6"/>
    <w:rsid w:val="00CD37F0"/>
    <w:rsid w:val="00CE074F"/>
    <w:rsid w:val="00CE1156"/>
    <w:rsid w:val="00CF551B"/>
    <w:rsid w:val="00CF5574"/>
    <w:rsid w:val="00CF629C"/>
    <w:rsid w:val="00D01D8A"/>
    <w:rsid w:val="00D01E50"/>
    <w:rsid w:val="00D01EBC"/>
    <w:rsid w:val="00D07AD0"/>
    <w:rsid w:val="00D12B14"/>
    <w:rsid w:val="00D15501"/>
    <w:rsid w:val="00D26796"/>
    <w:rsid w:val="00D31084"/>
    <w:rsid w:val="00D33FD0"/>
    <w:rsid w:val="00D35EA9"/>
    <w:rsid w:val="00D41324"/>
    <w:rsid w:val="00D61AEA"/>
    <w:rsid w:val="00D66436"/>
    <w:rsid w:val="00D73194"/>
    <w:rsid w:val="00D7413A"/>
    <w:rsid w:val="00D75525"/>
    <w:rsid w:val="00D8023D"/>
    <w:rsid w:val="00D82AD0"/>
    <w:rsid w:val="00D837B3"/>
    <w:rsid w:val="00D83835"/>
    <w:rsid w:val="00D84F50"/>
    <w:rsid w:val="00D9080D"/>
    <w:rsid w:val="00D948EB"/>
    <w:rsid w:val="00D97A55"/>
    <w:rsid w:val="00DA2412"/>
    <w:rsid w:val="00DB16F9"/>
    <w:rsid w:val="00DB681C"/>
    <w:rsid w:val="00DC38A6"/>
    <w:rsid w:val="00DD01F6"/>
    <w:rsid w:val="00DE5D3A"/>
    <w:rsid w:val="00DF0528"/>
    <w:rsid w:val="00E0751F"/>
    <w:rsid w:val="00E07C63"/>
    <w:rsid w:val="00E10AEB"/>
    <w:rsid w:val="00E14764"/>
    <w:rsid w:val="00E16446"/>
    <w:rsid w:val="00E33830"/>
    <w:rsid w:val="00E36B74"/>
    <w:rsid w:val="00E40E40"/>
    <w:rsid w:val="00E42CE6"/>
    <w:rsid w:val="00E447D7"/>
    <w:rsid w:val="00E47CEC"/>
    <w:rsid w:val="00E52ED6"/>
    <w:rsid w:val="00E543FA"/>
    <w:rsid w:val="00E65EED"/>
    <w:rsid w:val="00E73E2E"/>
    <w:rsid w:val="00E7565B"/>
    <w:rsid w:val="00E77815"/>
    <w:rsid w:val="00E802D9"/>
    <w:rsid w:val="00E83364"/>
    <w:rsid w:val="00E8757B"/>
    <w:rsid w:val="00E979FE"/>
    <w:rsid w:val="00E97D92"/>
    <w:rsid w:val="00EA18ED"/>
    <w:rsid w:val="00EB307C"/>
    <w:rsid w:val="00EC3EA3"/>
    <w:rsid w:val="00EC6445"/>
    <w:rsid w:val="00ED0E3C"/>
    <w:rsid w:val="00ED7F2B"/>
    <w:rsid w:val="00F12329"/>
    <w:rsid w:val="00F20A58"/>
    <w:rsid w:val="00F27CB6"/>
    <w:rsid w:val="00F40C88"/>
    <w:rsid w:val="00F42D12"/>
    <w:rsid w:val="00F51E17"/>
    <w:rsid w:val="00F53D5C"/>
    <w:rsid w:val="00F54B69"/>
    <w:rsid w:val="00F620DF"/>
    <w:rsid w:val="00F650A4"/>
    <w:rsid w:val="00F67BB3"/>
    <w:rsid w:val="00F75CD6"/>
    <w:rsid w:val="00F75EF1"/>
    <w:rsid w:val="00F815EF"/>
    <w:rsid w:val="00F8493A"/>
    <w:rsid w:val="00F855B1"/>
    <w:rsid w:val="00F91D7B"/>
    <w:rsid w:val="00F93933"/>
    <w:rsid w:val="00FA223B"/>
    <w:rsid w:val="00FA7562"/>
    <w:rsid w:val="00FC7F4A"/>
    <w:rsid w:val="00FD1723"/>
    <w:rsid w:val="00FD4312"/>
    <w:rsid w:val="00FD4D80"/>
    <w:rsid w:val="00FE4490"/>
    <w:rsid w:val="00FF6899"/>
    <w:rsid w:val="040E3976"/>
    <w:rsid w:val="060D2627"/>
    <w:rsid w:val="07E63FC9"/>
    <w:rsid w:val="11B9427C"/>
    <w:rsid w:val="1C2C2D77"/>
    <w:rsid w:val="1E5A1A51"/>
    <w:rsid w:val="1E946333"/>
    <w:rsid w:val="2557458D"/>
    <w:rsid w:val="28353E79"/>
    <w:rsid w:val="3733465C"/>
    <w:rsid w:val="385C09B8"/>
    <w:rsid w:val="3F2D4C6D"/>
    <w:rsid w:val="4E9A33DB"/>
    <w:rsid w:val="54421E6A"/>
    <w:rsid w:val="5CA768D6"/>
    <w:rsid w:val="5F5F734A"/>
    <w:rsid w:val="62974CE6"/>
    <w:rsid w:val="692255B4"/>
    <w:rsid w:val="6B624479"/>
    <w:rsid w:val="6FC032EE"/>
    <w:rsid w:val="6FED15DB"/>
    <w:rsid w:val="73D9159D"/>
    <w:rsid w:val="7412665C"/>
    <w:rsid w:val="74FC2C8B"/>
    <w:rsid w:val="795C5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qFormat/>
    <w:uiPriority w:val="99"/>
    <w:pPr>
      <w:jc w:val="left"/>
    </w:pPr>
  </w:style>
  <w:style w:type="paragraph" w:styleId="3">
    <w:name w:val="Date"/>
    <w:basedOn w:val="1"/>
    <w:next w:val="1"/>
    <w:link w:val="15"/>
    <w:unhideWhenUsed/>
    <w:qFormat/>
    <w:uiPriority w:val="99"/>
    <w:pPr>
      <w:ind w:left="100" w:leftChars="2500"/>
    </w:pPr>
  </w:style>
  <w:style w:type="paragraph" w:styleId="4">
    <w:name w:val="Balloon Text"/>
    <w:basedOn w:val="1"/>
    <w:link w:val="16"/>
    <w:qFormat/>
    <w:uiPriority w:val="99"/>
    <w:rPr>
      <w:sz w:val="18"/>
      <w:szCs w:val="18"/>
    </w:rPr>
  </w:style>
  <w:style w:type="paragraph" w:styleId="5">
    <w:name w:val="footer"/>
    <w:basedOn w:val="1"/>
    <w:link w:val="17"/>
    <w:qFormat/>
    <w:uiPriority w:val="99"/>
    <w:pPr>
      <w:tabs>
        <w:tab w:val="center" w:pos="4153"/>
        <w:tab w:val="right" w:pos="8306"/>
      </w:tabs>
      <w:snapToGrid w:val="0"/>
      <w:jc w:val="right"/>
    </w:pPr>
    <w:rPr>
      <w:rFonts w:ascii="宋体" w:hAnsi="Calibri" w:eastAsia="宋体" w:cs="Times New Roman"/>
      <w:sz w:val="18"/>
      <w:szCs w:val="18"/>
    </w:rPr>
  </w:style>
  <w:style w:type="paragraph" w:styleId="6">
    <w:name w:val="header"/>
    <w:basedOn w:val="1"/>
    <w:link w:val="18"/>
    <w:qFormat/>
    <w:uiPriority w:val="99"/>
    <w:pPr>
      <w:tabs>
        <w:tab w:val="center" w:pos="4153"/>
        <w:tab w:val="right" w:pos="8306"/>
      </w:tabs>
      <w:snapToGrid w:val="0"/>
      <w:spacing w:line="400" w:lineRule="exact"/>
      <w:jc w:val="center"/>
    </w:pPr>
    <w:rPr>
      <w:rFonts w:ascii="Calibri" w:hAnsi="Calibri" w:eastAsia="宋体" w:cs="Times New Roman"/>
      <w:sz w:val="18"/>
      <w:szCs w:val="18"/>
    </w:rPr>
  </w:style>
  <w:style w:type="paragraph" w:styleId="7">
    <w:name w:val="Normal (Web)"/>
    <w:basedOn w:val="1"/>
    <w:qFormat/>
    <w:uiPriority w:val="99"/>
    <w:pPr>
      <w:widowControl/>
      <w:spacing w:after="150"/>
      <w:jc w:val="left"/>
    </w:pPr>
    <w:rPr>
      <w:rFonts w:ascii="宋体" w:hAnsi="宋体" w:eastAsia="宋体"/>
      <w:kern w:val="0"/>
      <w:sz w:val="24"/>
      <w:szCs w:val="24"/>
    </w:rPr>
  </w:style>
  <w:style w:type="paragraph" w:styleId="8">
    <w:name w:val="annotation subject"/>
    <w:basedOn w:val="2"/>
    <w:next w:val="2"/>
    <w:link w:val="19"/>
    <w:qFormat/>
    <w:uiPriority w:val="99"/>
    <w:rPr>
      <w:b/>
      <w:bCs/>
    </w:rPr>
  </w:style>
  <w:style w:type="table" w:styleId="10">
    <w:name w:val="Table Grid"/>
    <w:basedOn w:val="9"/>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unhideWhenUsed/>
    <w:qFormat/>
    <w:uiPriority w:val="99"/>
    <w:rPr>
      <w:color w:val="0000FF"/>
      <w:u w:val="single"/>
    </w:rPr>
  </w:style>
  <w:style w:type="character" w:styleId="13">
    <w:name w:val="annotation reference"/>
    <w:qFormat/>
    <w:uiPriority w:val="99"/>
    <w:rPr>
      <w:sz w:val="21"/>
      <w:szCs w:val="21"/>
    </w:rPr>
  </w:style>
  <w:style w:type="character" w:customStyle="1" w:styleId="14">
    <w:name w:val="批注文字 字符"/>
    <w:link w:val="2"/>
    <w:qFormat/>
    <w:uiPriority w:val="99"/>
  </w:style>
  <w:style w:type="character" w:customStyle="1" w:styleId="15">
    <w:name w:val="日期 字符"/>
    <w:link w:val="3"/>
    <w:semiHidden/>
    <w:qFormat/>
    <w:uiPriority w:val="99"/>
    <w:rPr>
      <w:rFonts w:ascii="等线" w:hAnsi="等线" w:eastAsia="等线" w:cs="宋体"/>
      <w:kern w:val="2"/>
      <w:sz w:val="21"/>
      <w:szCs w:val="22"/>
    </w:rPr>
  </w:style>
  <w:style w:type="character" w:customStyle="1" w:styleId="16">
    <w:name w:val="批注框文本 字符"/>
    <w:link w:val="4"/>
    <w:qFormat/>
    <w:uiPriority w:val="99"/>
    <w:rPr>
      <w:kern w:val="2"/>
      <w:sz w:val="18"/>
      <w:szCs w:val="18"/>
    </w:rPr>
  </w:style>
  <w:style w:type="character" w:customStyle="1" w:styleId="17">
    <w:name w:val="页脚 字符"/>
    <w:link w:val="5"/>
    <w:qFormat/>
    <w:uiPriority w:val="99"/>
    <w:rPr>
      <w:rFonts w:ascii="宋体" w:hAnsi="Calibri" w:eastAsia="宋体" w:cs="Times New Roman"/>
      <w:sz w:val="18"/>
      <w:szCs w:val="18"/>
    </w:rPr>
  </w:style>
  <w:style w:type="character" w:customStyle="1" w:styleId="18">
    <w:name w:val="页眉 字符"/>
    <w:link w:val="6"/>
    <w:qFormat/>
    <w:uiPriority w:val="99"/>
    <w:rPr>
      <w:rFonts w:ascii="Calibri" w:hAnsi="Calibri" w:eastAsia="宋体" w:cs="Times New Roman"/>
      <w:sz w:val="18"/>
      <w:szCs w:val="18"/>
    </w:rPr>
  </w:style>
  <w:style w:type="character" w:customStyle="1" w:styleId="19">
    <w:name w:val="批注主题 字符"/>
    <w:link w:val="8"/>
    <w:qFormat/>
    <w:uiPriority w:val="99"/>
    <w:rPr>
      <w:b/>
      <w:bCs/>
    </w:rPr>
  </w:style>
  <w:style w:type="paragraph" w:customStyle="1" w:styleId="2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2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23">
    <w:name w:val="标准文件_段"/>
    <w:link w:val="2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4">
    <w:name w:val="标准文件_段 Char"/>
    <w:link w:val="23"/>
    <w:qFormat/>
    <w:uiPriority w:val="0"/>
    <w:rPr>
      <w:rFonts w:ascii="宋体" w:hAnsi="Times New Roman" w:eastAsia="宋体" w:cs="Times New Roman"/>
      <w:kern w:val="0"/>
      <w:szCs w:val="20"/>
    </w:rPr>
  </w:style>
  <w:style w:type="paragraph" w:customStyle="1" w:styleId="2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26">
    <w:name w:val="标准文件_参考文献标题"/>
    <w:basedOn w:val="1"/>
    <w:next w:val="1"/>
    <w:qFormat/>
    <w:uiPriority w:val="0"/>
    <w:pPr>
      <w:widowControl/>
      <w:shd w:val="clear" w:color="FFFFFF" w:fill="FFFFFF"/>
      <w:spacing w:before="580" w:afterLines="50"/>
      <w:jc w:val="center"/>
      <w:outlineLvl w:val="0"/>
    </w:pPr>
    <w:rPr>
      <w:rFonts w:ascii="黑体" w:hAnsi="Calibri" w:eastAsia="黑体" w:cs="Times New Roman"/>
      <w:kern w:val="0"/>
      <w:szCs w:val="21"/>
    </w:rPr>
  </w:style>
  <w:style w:type="paragraph" w:customStyle="1" w:styleId="27">
    <w:name w:val="标准文件_二级条标题"/>
    <w:next w:val="23"/>
    <w:qFormat/>
    <w:uiPriority w:val="0"/>
    <w:pPr>
      <w:widowControl w:val="0"/>
      <w:numPr>
        <w:ilvl w:val="3"/>
        <w:numId w:val="1"/>
      </w:numPr>
      <w:spacing w:beforeLines="50" w:afterLines="50"/>
      <w:ind w:left="0"/>
      <w:jc w:val="both"/>
      <w:outlineLvl w:val="2"/>
    </w:pPr>
    <w:rPr>
      <w:rFonts w:ascii="黑体" w:hAnsi="Times New Roman" w:eastAsia="黑体" w:cs="Times New Roman"/>
      <w:sz w:val="21"/>
      <w:lang w:val="en-US" w:eastAsia="zh-CN" w:bidi="ar-SA"/>
    </w:rPr>
  </w:style>
  <w:style w:type="paragraph" w:customStyle="1" w:styleId="28">
    <w:name w:val="标准文件_前言、引言标题"/>
    <w:next w:val="1"/>
    <w:qFormat/>
    <w:uiPriority w:val="0"/>
    <w:pPr>
      <w:numPr>
        <w:ilvl w:val="0"/>
        <w:numId w:val="2"/>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29">
    <w:name w:val="标准文件_三级条标题"/>
    <w:basedOn w:val="27"/>
    <w:next w:val="23"/>
    <w:qFormat/>
    <w:uiPriority w:val="0"/>
    <w:pPr>
      <w:widowControl/>
      <w:numPr>
        <w:ilvl w:val="4"/>
        <w:numId w:val="0"/>
      </w:numPr>
      <w:outlineLvl w:val="3"/>
    </w:pPr>
  </w:style>
  <w:style w:type="paragraph" w:customStyle="1" w:styleId="30">
    <w:name w:val="标准文件_四级条标题"/>
    <w:next w:val="23"/>
    <w:qFormat/>
    <w:uiPriority w:val="0"/>
    <w:pPr>
      <w:widowControl w:val="0"/>
      <w:numPr>
        <w:ilvl w:val="5"/>
        <w:numId w:val="1"/>
      </w:numPr>
      <w:spacing w:beforeLines="50" w:afterLines="50"/>
      <w:jc w:val="both"/>
      <w:outlineLvl w:val="4"/>
    </w:pPr>
    <w:rPr>
      <w:rFonts w:ascii="黑体" w:hAnsi="Times New Roman" w:eastAsia="黑体" w:cs="Times New Roman"/>
      <w:sz w:val="21"/>
      <w:lang w:val="en-US" w:eastAsia="zh-CN" w:bidi="ar-SA"/>
    </w:rPr>
  </w:style>
  <w:style w:type="paragraph" w:customStyle="1" w:styleId="31">
    <w:name w:val="标准文件_五级条标题"/>
    <w:next w:val="23"/>
    <w:qFormat/>
    <w:uiPriority w:val="0"/>
    <w:pPr>
      <w:widowControl w:val="0"/>
      <w:numPr>
        <w:ilvl w:val="6"/>
        <w:numId w:val="1"/>
      </w:numPr>
      <w:spacing w:beforeLines="50" w:afterLines="50"/>
      <w:jc w:val="both"/>
      <w:outlineLvl w:val="5"/>
    </w:pPr>
    <w:rPr>
      <w:rFonts w:ascii="黑体" w:hAnsi="Times New Roman" w:eastAsia="黑体" w:cs="Times New Roman"/>
      <w:sz w:val="21"/>
      <w:lang w:val="en-US" w:eastAsia="zh-CN" w:bidi="ar-SA"/>
    </w:rPr>
  </w:style>
  <w:style w:type="paragraph" w:customStyle="1" w:styleId="32">
    <w:name w:val="标准文件_章标题"/>
    <w:next w:val="23"/>
    <w:qFormat/>
    <w:uiPriority w:val="0"/>
    <w:pPr>
      <w:numPr>
        <w:ilvl w:val="1"/>
        <w:numId w:val="1"/>
      </w:numPr>
      <w:spacing w:beforeLines="100" w:afterLines="100"/>
      <w:ind w:left="0"/>
      <w:jc w:val="both"/>
      <w:outlineLvl w:val="0"/>
    </w:pPr>
    <w:rPr>
      <w:rFonts w:ascii="黑体" w:hAnsi="Times New Roman" w:eastAsia="黑体" w:cs="Times New Roman"/>
      <w:sz w:val="21"/>
      <w:lang w:val="en-US" w:eastAsia="zh-CN" w:bidi="ar-SA"/>
    </w:rPr>
  </w:style>
  <w:style w:type="paragraph" w:customStyle="1" w:styleId="33">
    <w:name w:val="标准文件_一级条标题"/>
    <w:basedOn w:val="32"/>
    <w:next w:val="23"/>
    <w:qFormat/>
    <w:uiPriority w:val="0"/>
    <w:pPr>
      <w:numPr>
        <w:ilvl w:val="2"/>
        <w:numId w:val="0"/>
      </w:numPr>
      <w:spacing w:beforeLines="50" w:afterLines="50"/>
      <w:outlineLvl w:val="1"/>
    </w:pPr>
  </w:style>
  <w:style w:type="paragraph" w:customStyle="1" w:styleId="34">
    <w:name w:val="标准文件_数字编号列项（二级）"/>
    <w:qFormat/>
    <w:uiPriority w:val="0"/>
    <w:pPr>
      <w:numPr>
        <w:ilvl w:val="1"/>
        <w:numId w:val="3"/>
      </w:numPr>
      <w:jc w:val="both"/>
    </w:pPr>
    <w:rPr>
      <w:rFonts w:ascii="宋体" w:hAnsi="Times New Roman" w:eastAsia="宋体" w:cs="Times New Roman"/>
      <w:sz w:val="21"/>
      <w:lang w:val="en-US" w:eastAsia="zh-CN" w:bidi="ar-SA"/>
    </w:rPr>
  </w:style>
  <w:style w:type="paragraph" w:customStyle="1" w:styleId="35">
    <w:name w:val="标准文件_编号列项（三级）"/>
    <w:qFormat/>
    <w:uiPriority w:val="0"/>
    <w:pPr>
      <w:numPr>
        <w:ilvl w:val="2"/>
        <w:numId w:val="3"/>
      </w:numPr>
    </w:pPr>
    <w:rPr>
      <w:rFonts w:ascii="宋体" w:hAnsi="Times New Roman" w:eastAsia="宋体" w:cs="Times New Roman"/>
      <w:sz w:val="21"/>
      <w:lang w:val="en-US" w:eastAsia="zh-CN" w:bidi="ar-SA"/>
    </w:rPr>
  </w:style>
  <w:style w:type="paragraph" w:customStyle="1" w:styleId="3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37">
    <w:name w:val="标准文件_一级项"/>
    <w:qFormat/>
    <w:uiPriority w:val="0"/>
    <w:pPr>
      <w:numPr>
        <w:ilvl w:val="0"/>
        <w:numId w:val="4"/>
      </w:numPr>
    </w:pPr>
    <w:rPr>
      <w:rFonts w:ascii="宋体" w:hAnsi="Times New Roman" w:eastAsia="宋体" w:cs="Times New Roman"/>
      <w:sz w:val="21"/>
      <w:lang w:val="en-US" w:eastAsia="zh-CN" w:bidi="ar-SA"/>
    </w:rPr>
  </w:style>
  <w:style w:type="paragraph" w:customStyle="1" w:styleId="38">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hAnsi="Times New Roman" w:eastAsia="黑体" w:cs="Times New Roman"/>
      <w:w w:val="135"/>
      <w:kern w:val="0"/>
      <w:sz w:val="36"/>
      <w:szCs w:val="20"/>
    </w:rPr>
  </w:style>
  <w:style w:type="paragraph" w:customStyle="1" w:styleId="39">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40">
    <w:name w:val="标准文件_三级项"/>
    <w:basedOn w:val="1"/>
    <w:qFormat/>
    <w:uiPriority w:val="0"/>
    <w:pPr>
      <w:numPr>
        <w:ilvl w:val="2"/>
        <w:numId w:val="4"/>
      </w:numPr>
      <w:adjustRightInd w:val="0"/>
      <w:spacing w:line="536870612" w:lineRule="auto"/>
    </w:pPr>
    <w:rPr>
      <w:rFonts w:ascii="Times New Roman" w:hAnsi="Times New Roman" w:eastAsia="宋体" w:cs="Times New Roman"/>
      <w:szCs w:val="21"/>
    </w:rPr>
  </w:style>
  <w:style w:type="paragraph" w:customStyle="1" w:styleId="41">
    <w:name w:val="标准文件_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42">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43">
    <w:name w:val="标准文件_二级项2"/>
    <w:basedOn w:val="23"/>
    <w:qFormat/>
    <w:uiPriority w:val="0"/>
    <w:pPr>
      <w:numPr>
        <w:ilvl w:val="1"/>
        <w:numId w:val="4"/>
      </w:numPr>
      <w:tabs>
        <w:tab w:val="left" w:pos="360"/>
      </w:tabs>
      <w:ind w:left="0" w:firstLine="0" w:firstLineChars="0"/>
    </w:pPr>
  </w:style>
  <w:style w:type="paragraph" w:customStyle="1" w:styleId="44">
    <w:name w:val="其他发布日期"/>
    <w:basedOn w:val="1"/>
    <w:qFormat/>
    <w:uiPriority w:val="0"/>
    <w:pPr>
      <w:framePr w:w="3997" w:h="471" w:hRule="exact" w:vSpace="181" w:wrap="around" w:vAnchor="page" w:hAnchor="page" w:x="1419" w:y="14097" w:anchorLock="1"/>
      <w:widowControl/>
      <w:jc w:val="left"/>
    </w:pPr>
    <w:rPr>
      <w:rFonts w:ascii="Times New Roman" w:hAnsi="Times New Roman" w:eastAsia="黑体" w:cs="Times New Roman"/>
      <w:kern w:val="0"/>
      <w:sz w:val="28"/>
      <w:szCs w:val="20"/>
    </w:rPr>
  </w:style>
  <w:style w:type="paragraph" w:customStyle="1" w:styleId="45">
    <w:name w:val="其他实施日期"/>
    <w:basedOn w:val="1"/>
    <w:qFormat/>
    <w:uiPriority w:val="0"/>
    <w:pPr>
      <w:framePr w:w="3997" w:h="471" w:hRule="exact" w:vSpace="181" w:wrap="around" w:vAnchor="page" w:hAnchor="page" w:x="7089" w:y="14097" w:anchorLock="1"/>
      <w:widowControl/>
      <w:jc w:val="right"/>
    </w:pPr>
    <w:rPr>
      <w:rFonts w:ascii="Times New Roman" w:hAnsi="Times New Roman" w:eastAsia="黑体" w:cs="Times New Roman"/>
      <w:kern w:val="0"/>
      <w:sz w:val="28"/>
      <w:szCs w:val="20"/>
    </w:rPr>
  </w:style>
  <w:style w:type="paragraph" w:customStyle="1" w:styleId="46">
    <w:name w:val="标准文件_文件编号"/>
    <w:basedOn w:val="23"/>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47">
    <w:name w:val="标准文件_替换文件编号"/>
    <w:basedOn w:val="46"/>
    <w:qFormat/>
    <w:uiPriority w:val="0"/>
    <w:pPr>
      <w:framePr/>
      <w:spacing w:before="57"/>
    </w:pPr>
    <w:rPr>
      <w:sz w:val="21"/>
    </w:rPr>
  </w:style>
  <w:style w:type="paragraph" w:customStyle="1" w:styleId="48">
    <w:name w:val="标准文件_文件名称"/>
    <w:basedOn w:val="23"/>
    <w:next w:val="23"/>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49">
    <w:name w:val="标准文件_引言一级条标题"/>
    <w:basedOn w:val="23"/>
    <w:next w:val="23"/>
    <w:qFormat/>
    <w:uiPriority w:val="0"/>
    <w:pPr>
      <w:numPr>
        <w:ilvl w:val="1"/>
        <w:numId w:val="2"/>
      </w:numPr>
      <w:tabs>
        <w:tab w:val="left" w:pos="360"/>
      </w:tabs>
      <w:spacing w:beforeLines="50" w:afterLines="50"/>
      <w:ind w:firstLine="200" w:firstLineChars="0"/>
    </w:pPr>
    <w:rPr>
      <w:rFonts w:ascii="黑体" w:eastAsia="黑体"/>
    </w:rPr>
  </w:style>
  <w:style w:type="paragraph" w:customStyle="1" w:styleId="50">
    <w:name w:val="标准文件_引言二级条标题"/>
    <w:basedOn w:val="23"/>
    <w:next w:val="23"/>
    <w:qFormat/>
    <w:uiPriority w:val="0"/>
    <w:pPr>
      <w:numPr>
        <w:ilvl w:val="2"/>
        <w:numId w:val="2"/>
      </w:numPr>
      <w:tabs>
        <w:tab w:val="left" w:pos="360"/>
      </w:tabs>
      <w:spacing w:beforeLines="50" w:afterLines="50"/>
      <w:ind w:firstLine="200" w:firstLineChars="0"/>
    </w:pPr>
    <w:rPr>
      <w:rFonts w:ascii="黑体" w:eastAsia="黑体"/>
    </w:rPr>
  </w:style>
  <w:style w:type="paragraph" w:customStyle="1" w:styleId="51">
    <w:name w:val="标准文件_引言三级条标题"/>
    <w:basedOn w:val="23"/>
    <w:next w:val="23"/>
    <w:qFormat/>
    <w:uiPriority w:val="0"/>
    <w:pPr>
      <w:numPr>
        <w:ilvl w:val="3"/>
        <w:numId w:val="2"/>
      </w:numPr>
      <w:tabs>
        <w:tab w:val="left" w:pos="360"/>
      </w:tabs>
      <w:spacing w:beforeLines="50" w:afterLines="50"/>
      <w:ind w:firstLine="200" w:firstLineChars="0"/>
    </w:pPr>
    <w:rPr>
      <w:rFonts w:ascii="黑体" w:eastAsia="黑体"/>
    </w:rPr>
  </w:style>
  <w:style w:type="paragraph" w:customStyle="1" w:styleId="52">
    <w:name w:val="标准文件_引言四级条标题"/>
    <w:basedOn w:val="23"/>
    <w:next w:val="23"/>
    <w:qFormat/>
    <w:uiPriority w:val="0"/>
    <w:pPr>
      <w:numPr>
        <w:ilvl w:val="4"/>
        <w:numId w:val="2"/>
      </w:numPr>
      <w:tabs>
        <w:tab w:val="left" w:pos="360"/>
      </w:tabs>
      <w:spacing w:beforeLines="50" w:afterLines="50"/>
      <w:ind w:firstLine="200" w:firstLineChars="0"/>
    </w:pPr>
    <w:rPr>
      <w:rFonts w:ascii="黑体" w:eastAsia="黑体"/>
    </w:rPr>
  </w:style>
  <w:style w:type="paragraph" w:customStyle="1" w:styleId="53">
    <w:name w:val="标准文件_引言五级条标题"/>
    <w:basedOn w:val="23"/>
    <w:next w:val="23"/>
    <w:qFormat/>
    <w:uiPriority w:val="0"/>
    <w:pPr>
      <w:numPr>
        <w:ilvl w:val="5"/>
        <w:numId w:val="2"/>
      </w:numPr>
      <w:tabs>
        <w:tab w:val="left" w:pos="360"/>
      </w:tabs>
      <w:spacing w:beforeLines="50" w:afterLines="50"/>
      <w:ind w:firstLine="200" w:firstLineChars="0"/>
    </w:pPr>
    <w:rPr>
      <w:rFonts w:ascii="黑体" w:eastAsia="黑体"/>
    </w:rPr>
  </w:style>
  <w:style w:type="paragraph" w:customStyle="1" w:styleId="54">
    <w:name w:val="标准文件_术语条一"/>
    <w:basedOn w:val="1"/>
    <w:next w:val="23"/>
    <w:qFormat/>
    <w:uiPriority w:val="0"/>
    <w:pPr>
      <w:widowControl/>
    </w:pPr>
    <w:rPr>
      <w:rFonts w:ascii="宋体" w:hAnsi="Times New Roman" w:eastAsia="宋体" w:cs="Times New Roman"/>
      <w:kern w:val="0"/>
      <w:szCs w:val="20"/>
    </w:rPr>
  </w:style>
  <w:style w:type="character" w:customStyle="1" w:styleId="55">
    <w:name w:val="发布"/>
    <w:qFormat/>
    <w:uiPriority w:val="0"/>
    <w:rPr>
      <w:rFonts w:ascii="黑体" w:eastAsia="黑体"/>
      <w:spacing w:val="85"/>
      <w:w w:val="100"/>
      <w:position w:val="3"/>
      <w:sz w:val="28"/>
      <w:szCs w:val="28"/>
    </w:rPr>
  </w:style>
  <w:style w:type="paragraph" w:customStyle="1" w:styleId="56">
    <w:name w:val="列出段落"/>
    <w:basedOn w:val="1"/>
    <w:qFormat/>
    <w:uiPriority w:val="34"/>
    <w:pPr>
      <w:ind w:firstLine="420" w:firstLineChars="200"/>
    </w:pPr>
  </w:style>
  <w:style w:type="paragraph" w:customStyle="1" w:styleId="57">
    <w:name w:val="修订1"/>
    <w:semiHidden/>
    <w:qFormat/>
    <w:uiPriority w:val="99"/>
    <w:rPr>
      <w:rFonts w:ascii="等线" w:hAnsi="等线" w:eastAsia="等线" w:cs="宋体"/>
      <w:kern w:val="2"/>
      <w:sz w:val="21"/>
      <w:szCs w:val="22"/>
      <w:lang w:val="en-US" w:eastAsia="zh-CN" w:bidi="ar-SA"/>
    </w:rPr>
  </w:style>
  <w:style w:type="paragraph" w:customStyle="1" w:styleId="58">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59">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60">
    <w:name w:val="封面标准文稿编辑信息"/>
    <w:basedOn w:val="1"/>
    <w:qFormat/>
    <w:uiPriority w:val="0"/>
    <w:pPr>
      <w:framePr w:w="9639" w:h="6917" w:hRule="exact" w:wrap="around" w:vAnchor="page" w:hAnchor="page" w:xAlign="center" w:y="6408" w:anchorLock="1"/>
      <w:spacing w:before="180" w:after="160" w:line="180" w:lineRule="exact"/>
      <w:jc w:val="center"/>
      <w:textAlignment w:val="center"/>
    </w:pPr>
    <w:rPr>
      <w:rFonts w:ascii="宋体" w:hAnsi="Times New Roman" w:eastAsia="宋体" w:cs="Times New Roman"/>
      <w:kern w:val="0"/>
      <w:szCs w:val="28"/>
    </w:rPr>
  </w:style>
  <w:style w:type="paragraph" w:customStyle="1" w:styleId="61">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62">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63">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64">
    <w:name w:val="封面标准代替信息"/>
    <w:basedOn w:val="65"/>
    <w:qFormat/>
    <w:uiPriority w:val="0"/>
    <w:pPr>
      <w:framePr w:wrap="around"/>
      <w:spacing w:before="57"/>
    </w:pPr>
    <w:rPr>
      <w:rFonts w:ascii="宋体"/>
      <w:sz w:val="21"/>
    </w:rPr>
  </w:style>
  <w:style w:type="paragraph" w:customStyle="1" w:styleId="65">
    <w:name w:val="封面标准号2"/>
    <w:basedOn w:val="1"/>
    <w:qFormat/>
    <w:uiPriority w:val="0"/>
    <w:pPr>
      <w:framePr w:w="9138" w:h="1244" w:hRule="exact" w:wrap="around" w:vAnchor="page" w:hAnchor="margin" w:y="2908"/>
      <w:kinsoku w:val="0"/>
      <w:overflowPunct w:val="0"/>
      <w:autoSpaceDE w:val="0"/>
      <w:autoSpaceDN w:val="0"/>
      <w:adjustRightInd w:val="0"/>
      <w:spacing w:before="357" w:line="280" w:lineRule="exact"/>
      <w:jc w:val="right"/>
      <w:textAlignment w:val="center"/>
    </w:pPr>
    <w:rPr>
      <w:rFonts w:ascii="Times New Roman" w:hAnsi="Times New Roman" w:eastAsia="宋体" w:cs="Times New Roman"/>
      <w:kern w:val="0"/>
      <w:sz w:val="28"/>
      <w:szCs w:val="20"/>
    </w:rPr>
  </w:style>
  <w:style w:type="paragraph" w:customStyle="1" w:styleId="66">
    <w:name w:val="其他标准标志"/>
    <w:basedOn w:val="1"/>
    <w:qFormat/>
    <w:uiPriority w:val="0"/>
    <w:pPr>
      <w:framePr w:w="6101" w:h="1389" w:hRule="exact" w:hSpace="181" w:vSpace="181" w:wrap="around" w:vAnchor="page" w:hAnchor="page" w:x="4673" w:y="942" w:anchorLock="1"/>
      <w:widowControl/>
      <w:shd w:val="solid" w:color="FFFFFF" w:fill="FFFFFF"/>
      <w:spacing w:line="0" w:lineRule="atLeast"/>
      <w:jc w:val="right"/>
    </w:pPr>
    <w:rPr>
      <w:rFonts w:ascii="Times New Roman" w:hAnsi="Times New Roman" w:eastAsia="宋体" w:cs="Times New Roman"/>
      <w:b/>
      <w:w w:val="130"/>
      <w:kern w:val="0"/>
      <w:sz w:val="96"/>
      <w:szCs w:val="96"/>
    </w:rPr>
  </w:style>
  <w:style w:type="paragraph" w:customStyle="1" w:styleId="67">
    <w:name w:val="标准文件_附录标识"/>
    <w:next w:val="23"/>
    <w:qFormat/>
    <w:uiPriority w:val="0"/>
    <w:pPr>
      <w:numPr>
        <w:ilvl w:val="0"/>
        <w:numId w:val="5"/>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68">
    <w:name w:val="标准文件_附录表标题"/>
    <w:next w:val="23"/>
    <w:qFormat/>
    <w:uiPriority w:val="0"/>
    <w:pPr>
      <w:numPr>
        <w:ilvl w:val="1"/>
        <w:numId w:val="6"/>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69">
    <w:name w:val="标准文件_附录一级条标题"/>
    <w:next w:val="23"/>
    <w:qFormat/>
    <w:uiPriority w:val="0"/>
    <w:pPr>
      <w:widowControl w:val="0"/>
      <w:numPr>
        <w:ilvl w:val="1"/>
        <w:numId w:val="5"/>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0">
    <w:name w:val="标准文件_附录二级条标题"/>
    <w:basedOn w:val="69"/>
    <w:next w:val="23"/>
    <w:qFormat/>
    <w:uiPriority w:val="0"/>
    <w:pPr>
      <w:widowControl/>
      <w:numPr>
        <w:ilvl w:val="2"/>
      </w:numPr>
      <w:wordWrap w:val="0"/>
      <w:overflowPunct w:val="0"/>
      <w:autoSpaceDE w:val="0"/>
      <w:autoSpaceDN w:val="0"/>
      <w:textAlignment w:val="baseline"/>
      <w:outlineLvl w:val="3"/>
    </w:pPr>
  </w:style>
  <w:style w:type="paragraph" w:customStyle="1" w:styleId="71">
    <w:name w:val="标准文件_附录三级条标题"/>
    <w:next w:val="23"/>
    <w:qFormat/>
    <w:uiPriority w:val="0"/>
    <w:pPr>
      <w:widowControl w:val="0"/>
      <w:numPr>
        <w:ilvl w:val="3"/>
        <w:numId w:val="5"/>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72">
    <w:name w:val="标准文件_附录四级条标题"/>
    <w:next w:val="23"/>
    <w:qFormat/>
    <w:uiPriority w:val="0"/>
    <w:pPr>
      <w:widowControl w:val="0"/>
      <w:numPr>
        <w:ilvl w:val="4"/>
        <w:numId w:val="5"/>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73">
    <w:name w:val="标准文件_附录图标题"/>
    <w:next w:val="23"/>
    <w:qFormat/>
    <w:uiPriority w:val="0"/>
    <w:pPr>
      <w:numPr>
        <w:ilvl w:val="1"/>
        <w:numId w:val="7"/>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74">
    <w:name w:val="标准文件_附录五级条标题"/>
    <w:next w:val="23"/>
    <w:qFormat/>
    <w:uiPriority w:val="0"/>
    <w:pPr>
      <w:widowControl w:val="0"/>
      <w:numPr>
        <w:ilvl w:val="5"/>
        <w:numId w:val="5"/>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75">
    <w:name w:val="标准文件_一级无标题"/>
    <w:basedOn w:val="33"/>
    <w:qFormat/>
    <w:uiPriority w:val="0"/>
    <w:pPr>
      <w:numPr>
        <w:numId w:val="1"/>
      </w:numPr>
      <w:spacing w:beforeLines="0" w:afterLines="0"/>
      <w:ind w:left="0"/>
      <w:outlineLvl w:val="9"/>
    </w:pPr>
    <w:rPr>
      <w:rFonts w:ascii="宋体" w:eastAsia="宋体"/>
    </w:rPr>
  </w:style>
  <w:style w:type="paragraph" w:customStyle="1" w:styleId="76">
    <w:name w:val="标准文件_二级无标题"/>
    <w:basedOn w:val="27"/>
    <w:qFormat/>
    <w:uiPriority w:val="0"/>
    <w:pPr>
      <w:spacing w:beforeLines="0" w:afterLines="0"/>
      <w:outlineLvl w:val="9"/>
    </w:pPr>
    <w:rPr>
      <w:rFonts w:ascii="宋体" w:eastAsia="宋体"/>
    </w:rPr>
  </w:style>
  <w:style w:type="paragraph" w:customStyle="1" w:styleId="77">
    <w:name w:val="标准文件_附录图标号"/>
    <w:basedOn w:val="23"/>
    <w:next w:val="23"/>
    <w:qFormat/>
    <w:uiPriority w:val="0"/>
    <w:pPr>
      <w:numPr>
        <w:ilvl w:val="0"/>
        <w:numId w:val="7"/>
      </w:numPr>
      <w:spacing w:line="14" w:lineRule="exact"/>
      <w:ind w:firstLine="0" w:firstLineChars="0"/>
      <w:jc w:val="center"/>
    </w:pPr>
    <w:rPr>
      <w:rFonts w:ascii="黑体" w:hAnsi="黑体" w:eastAsia="黑体"/>
      <w:vanish/>
      <w:sz w:val="2"/>
      <w:szCs w:val="21"/>
    </w:rPr>
  </w:style>
  <w:style w:type="paragraph" w:customStyle="1" w:styleId="78">
    <w:name w:val="标准文件_附录表标号"/>
    <w:basedOn w:val="23"/>
    <w:next w:val="23"/>
    <w:qFormat/>
    <w:uiPriority w:val="0"/>
    <w:pPr>
      <w:numPr>
        <w:ilvl w:val="0"/>
        <w:numId w:val="6"/>
      </w:numPr>
      <w:spacing w:line="14" w:lineRule="exact"/>
      <w:ind w:firstLine="0" w:firstLineChars="0"/>
      <w:jc w:val="center"/>
    </w:pPr>
    <w:rPr>
      <w:rFonts w:eastAsia="黑体"/>
      <w:vanish/>
      <w:sz w:val="2"/>
    </w:rPr>
  </w:style>
  <w:style w:type="character" w:customStyle="1" w:styleId="79">
    <w:name w:val="未处理的提及1"/>
    <w:unhideWhenUsed/>
    <w:qFormat/>
    <w:uiPriority w:val="99"/>
    <w:rPr>
      <w:color w:val="605E5C"/>
      <w:shd w:val="clear" w:color="auto" w:fill="E1DFDD"/>
    </w:rPr>
  </w:style>
  <w:style w:type="paragraph" w:customStyle="1" w:styleId="80">
    <w:name w:val="Revision"/>
    <w:hidden/>
    <w:unhideWhenUsed/>
    <w:qFormat/>
    <w:uiPriority w:val="99"/>
    <w:rPr>
      <w:rFonts w:ascii="等线" w:hAnsi="等线" w:eastAsia="等线" w:cs="宋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2f1d4baa-b246-421a-8b9e-9161bb5524c9</errorID>
      <errorWord>焦虑</errorWord>
      <group>L1_Official</group>
      <groupName>公文问题</groupName>
      <ability>L2_Official</ability>
      <abilityName>公文问题</abilityName>
      <candidateList/>
      <explain>公文中禁止出现该词语</explain>
      <paraID> 679FAA8</paraID>
      <start>27</start>
      <end>29</end>
      <status>unmodified</status>
      <modifiedWord/>
      <trackRevisions>false</trackRevisions>
    </reviewItem>
    <reviewItem>
      <errorID>b93de4c4-8a73-4cc3-a077-a4e941d69e3e</errorID>
      <errorWord>至少一项及以上</errorWord>
      <group>L1_Word</group>
      <groupName>字词问题</groupName>
      <ability>L2_Typo</ability>
      <abilityName>字词错误</abilityName>
      <candidateList>
        <item>至少一项及</item>
      </candidateList>
      <explain/>
      <paraID>6806B569</paraID>
      <start>32</start>
      <end>39</end>
      <status>unmodified</status>
      <modifiedWord/>
      <trackRevisions>false</trackRevisions>
    </reviewItem>
    <reviewItem>
      <errorID>7d81be4f-3e9a-48c6-8d6f-53f2e83debe8</errorID>
      <errorWord>经由</errorWord>
      <group>L1_Word</group>
      <groupName>字词问题</groupName>
      <ability>L2_Typo</ability>
      <abilityName>字词错误</abilityName>
      <candidateList>
        <item>由</item>
      </candidateList>
      <explain>❶缘由：因～｜事～｜理～。❷〈介〉由于▲：咎～自取｜～感冒引起了肺炎。❸经过：必～之路。❹〈介〉表示经由：～南门入场。❺〈动〉顺随；听从：事不～己｜～着性子。❻〈介〉归（某人去做）：准备工作～我负责｜队长～你担任。❼〈介〉表示凭借：～此可知｜人体是～各种细胞组成的。❽〈介〉表示起点：～表及里｜～北京出发。❾（Yóu）〈名〉姓。</explain>
      <paraID>5E62BDFD</paraID>
      <start>39</start>
      <end>40</end>
      <status>modified</status>
      <modifiedWord>由</modifiedWord>
      <trackRevisions>false</trackRevisions>
    </reviewItem>
    <reviewItem>
      <errorID>de287f25-30bb-4909-9421-5d57181f7437</errorID>
      <errorWord>需</errorWord>
      <group>L1_Word</group>
      <groupName>字词问题</groupName>
      <ability>L2_Typo</ability>
      <abilityName>字词错误</abilityName>
      <candidateList>
        <item>需要</item>
      </candidateList>
      <explain>❶〈动〉应该有或必须有：我们～一支强大的科学技术队伍。❷〈名〉对事物的欲望或要求：从群众的～出发。</explain>
      <paraID>796FC02F</paraID>
      <start>25</start>
      <end>26</end>
      <status>unmodified</status>
      <modifiedWord/>
      <trackRevisions>false</trackRevisions>
    </reviewItem>
    <reviewItem>
      <errorID>5b418375-ea8b-402c-9c8f-8d97883ade5c</errorID>
      <errorWord>需</errorWord>
      <group>L1_Word</group>
      <groupName>字词问题</groupName>
      <ability>L2_Typo</ability>
      <abilityName>字词错误</abilityName>
      <candidateList>
        <item>需要</item>
      </candidateList>
      <explain>❶〈动〉应该有或必须有：我们～一支强大的科学技术队伍。❷〈名〉对事物的欲望或要求：从群众的～出发。</explain>
      <paraID> 52957B0</paraID>
      <start>28</start>
      <end>29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4a8188-dcfa-46e5-a5b9-e82e65858c5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2341</Words>
  <Characters>2685</Characters>
  <Lines>126</Lines>
  <Paragraphs>103</Paragraphs>
  <TotalTime>143</TotalTime>
  <ScaleCrop>false</ScaleCrop>
  <LinksUpToDate>false</LinksUpToDate>
  <CharactersWithSpaces>2743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2025-09-22T08:39:00Z</dcterms:created>
  <dc:creator>童 言无忌</dc:creator>
  <cp:lastModifiedBy>忐忑</cp:lastModifiedBy>
  <dcterms:modified xsi:type="dcterms:W3CDTF">2025-11-12T08:00:03Z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9CA74EC07E9D41DD88CA6DB18AFDBD8F_13</vt:lpwstr>
  </property>
  <property fmtid="{D5CDD505-2E9C-101B-9397-08002B2CF9AE}" pid="4" name="GrammarlyDocumentId">
    <vt:lpwstr>2ad32fd47d4478084c4e7dc45579042c5458553e1126b8a2b247b547043cbb97</vt:lpwstr>
  </property>
  <property fmtid="{D5CDD505-2E9C-101B-9397-08002B2CF9AE}" pid="5" name="KSOTemplateDocerSaveRecord">
    <vt:lpwstr>eyJoZGlkIjoiMjE1MGZmOTRhZjllMGExZDlkZTMzYmYzNTljMTkwODUiLCJ1c2VySWQiOiI0MzYwMTU0NjQifQ==</vt:lpwstr>
  </property>
</Properties>
</file>