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AF6D99">
      <w:pPr>
        <w:framePr w:w="2132" w:hSpace="1417" w:vSpace="567" w:wrap="around" w:vAnchor="margin" w:hAnchor="margin" w:y="528" w:anchorLock="1"/>
        <w:widowControl/>
        <w:jc w:val="left"/>
        <w:rPr>
          <w:rFonts w:ascii="黑体" w:hAnsi="黑体" w:eastAsia="黑体" w:cs="黑体"/>
          <w:bCs/>
          <w:smallCaps w:val="0"/>
          <w:kern w:val="0"/>
          <w:sz w:val="21"/>
          <w:szCs w:val="21"/>
        </w:rPr>
      </w:pPr>
      <w:bookmarkStart w:id="0" w:name="_Toc14794"/>
      <w:bookmarkStart w:id="1" w:name="_Toc15743"/>
      <w:bookmarkStart w:id="2" w:name="_Toc1651879"/>
      <w:bookmarkStart w:id="3" w:name="_Toc31202"/>
      <w:bookmarkStart w:id="4" w:name="_Toc24964"/>
      <w:bookmarkStart w:id="5" w:name="_Toc942016"/>
      <w:bookmarkStart w:id="6" w:name="_Toc942345"/>
      <w:r>
        <w:rPr>
          <w:rFonts w:hint="eastAsia" w:ascii="黑体" w:hAnsi="黑体" w:eastAsia="黑体" w:cs="黑体"/>
          <w:bCs/>
          <w:smallCaps w:val="0"/>
          <w:kern w:val="0"/>
          <w:sz w:val="21"/>
          <w:szCs w:val="21"/>
        </w:rPr>
        <w:t>ICS XX.XXX.XX</w:t>
      </w:r>
    </w:p>
    <w:p w14:paraId="3AD0CF1B">
      <w:pPr>
        <w:framePr w:w="2132" w:hSpace="1417" w:vSpace="567" w:wrap="around" w:vAnchor="margin" w:hAnchor="margin" w:y="528" w:anchorLock="1"/>
        <w:widowControl/>
        <w:jc w:val="left"/>
        <w:rPr>
          <w:rFonts w:ascii="黑体" w:hAnsi="黑体" w:eastAsia="黑体" w:cs="黑体"/>
          <w:bCs/>
          <w:smallCaps w:val="0"/>
          <w:kern w:val="0"/>
          <w:sz w:val="21"/>
          <w:szCs w:val="21"/>
        </w:rPr>
      </w:pPr>
      <w:r>
        <w:rPr>
          <w:rFonts w:hint="eastAsia" w:ascii="黑体" w:hAnsi="黑体" w:eastAsia="黑体" w:cs="黑体"/>
          <w:bCs/>
          <w:smallCaps w:val="0"/>
          <w:kern w:val="0"/>
          <w:sz w:val="21"/>
          <w:szCs w:val="21"/>
        </w:rPr>
        <w:t>CCS</w:t>
      </w:r>
      <w:r>
        <w:rPr>
          <w:rFonts w:hint="eastAsia" w:ascii="黑体" w:hAnsi="黑体" w:eastAsia="黑体" w:cs="黑体"/>
          <w:bCs/>
          <w:smallCaps w:val="0"/>
          <w:color w:val="000000"/>
          <w:kern w:val="0"/>
          <w:sz w:val="21"/>
          <w:szCs w:val="21"/>
          <w:lang w:bidi="ar"/>
        </w:rPr>
        <w:t xml:space="preserve"> X XX</w:t>
      </w:r>
    </w:p>
    <w:p w14:paraId="3D0FD7F4">
      <w:pPr>
        <w:framePr w:w="2546" w:h="1389" w:hRule="exact" w:hSpace="181" w:vSpace="181" w:wrap="around" w:vAnchor="margin" w:hAnchor="margin" w:x="6522" w:y="398" w:anchorLock="1"/>
        <w:widowControl/>
        <w:shd w:val="solid" w:color="FFFFFF" w:fill="FFFFFF"/>
        <w:spacing w:line="0" w:lineRule="atLeast"/>
        <w:jc w:val="right"/>
        <w:rPr>
          <w:rFonts w:ascii="Times New Roman" w:hAnsi="Times New Roman"/>
          <w:b/>
          <w:smallCaps w:val="0"/>
          <w:w w:val="170"/>
          <w:kern w:val="0"/>
          <w:sz w:val="96"/>
          <w:szCs w:val="96"/>
        </w:rPr>
      </w:pPr>
    </w:p>
    <w:p w14:paraId="0B79E766">
      <w:pPr>
        <w:framePr w:w="9639" w:h="813" w:hRule="exact" w:hSpace="181" w:vSpace="181" w:wrap="around" w:vAnchor="page" w:hAnchor="page" w:x="1330" w:y="2268" w:anchorLock="1"/>
        <w:kinsoku w:val="0"/>
        <w:overflowPunct w:val="0"/>
        <w:autoSpaceDE w:val="0"/>
        <w:autoSpaceDN w:val="0"/>
        <w:spacing w:line="0" w:lineRule="atLeast"/>
        <w:jc w:val="distribute"/>
        <w:rPr>
          <w:rFonts w:ascii="黑体" w:hAnsi="黑体" w:eastAsia="黑体" w:cs="黑体"/>
          <w:b/>
          <w:bCs/>
          <w:smallCaps w:val="0"/>
          <w:spacing w:val="20"/>
          <w:w w:val="148"/>
          <w:kern w:val="0"/>
          <w:sz w:val="48"/>
          <w:szCs w:val="20"/>
        </w:rPr>
      </w:pPr>
      <w:r>
        <w:rPr>
          <w:rFonts w:hint="eastAsia" w:ascii="黑体" w:hAnsi="黑体" w:eastAsia="黑体" w:cs="黑体"/>
          <w:b/>
          <w:bCs/>
          <w:smallCaps w:val="0"/>
          <w:spacing w:val="20"/>
          <w:w w:val="148"/>
          <w:kern w:val="0"/>
          <w:sz w:val="48"/>
          <w:szCs w:val="20"/>
        </w:rPr>
        <w:t>团体标准</w:t>
      </w:r>
    </w:p>
    <w:p w14:paraId="7CD918FE">
      <w:pPr>
        <w:framePr w:w="9140" w:h="792" w:hRule="exact" w:hSpace="284" w:wrap="around" w:vAnchor="page" w:hAnchor="page" w:x="1645" w:y="3360" w:anchorLock="1"/>
        <w:widowControl/>
        <w:wordWrap w:val="0"/>
        <w:jc w:val="right"/>
        <w:rPr>
          <w:rFonts w:ascii="黑体" w:hAnsi="Times New Roman" w:eastAsia="黑体"/>
          <w:smallCaps w:val="0"/>
          <w:kern w:val="0"/>
          <w:sz w:val="28"/>
          <w:szCs w:val="28"/>
        </w:rPr>
      </w:pPr>
      <w:r>
        <w:rPr>
          <w:rFonts w:hint="eastAsia" w:ascii="黑体" w:hAnsi="黑体" w:eastAsia="黑体" w:cs="黑体"/>
          <w:smallCaps w:val="0"/>
          <w:kern w:val="0"/>
          <w:sz w:val="28"/>
          <w:szCs w:val="28"/>
        </w:rPr>
        <w:t>T/FDSA 0XXX—2025</w:t>
      </w:r>
    </w:p>
    <w:p w14:paraId="374BB0BA">
      <w:pPr>
        <w:framePr w:w="9140" w:h="792" w:hRule="exact" w:hSpace="284" w:wrap="around" w:vAnchor="page" w:hAnchor="page" w:x="1645" w:y="3360" w:anchorLock="1"/>
        <w:widowControl/>
        <w:spacing w:before="357" w:line="280" w:lineRule="exact"/>
        <w:jc w:val="right"/>
        <w:rPr>
          <w:rFonts w:ascii="黑体" w:hAnsi="Times New Roman" w:eastAsia="黑体"/>
          <w:smallCaps w:val="0"/>
          <w:kern w:val="0"/>
          <w:sz w:val="28"/>
          <w:szCs w:val="28"/>
        </w:rPr>
      </w:pPr>
    </w:p>
    <w:p w14:paraId="5DA893FC">
      <w:pPr>
        <w:framePr w:w="9140" w:h="792" w:hRule="exact" w:hSpace="284" w:wrap="around" w:vAnchor="page" w:hAnchor="page" w:x="1645" w:y="3360" w:anchorLock="1"/>
        <w:widowControl/>
        <w:spacing w:before="357" w:line="280" w:lineRule="exact"/>
        <w:jc w:val="right"/>
        <w:rPr>
          <w:rFonts w:ascii="黑体" w:hAnsi="Times New Roman" w:eastAsia="黑体"/>
          <w:smallCaps w:val="0"/>
          <w:kern w:val="0"/>
          <w:sz w:val="28"/>
          <w:szCs w:val="28"/>
        </w:rPr>
      </w:pPr>
    </w:p>
    <w:p w14:paraId="2417C3A2">
      <w:pPr>
        <w:framePr w:w="9639" w:h="6917" w:hRule="exact" w:wrap="around" w:vAnchor="page" w:hAnchor="page" w:xAlign="center" w:y="6408" w:anchorLock="1"/>
        <w:spacing w:line="680" w:lineRule="exact"/>
        <w:jc w:val="center"/>
        <w:textAlignment w:val="center"/>
        <w:rPr>
          <w:rFonts w:ascii="黑体" w:hAnsi="Times New Roman" w:eastAsia="黑体"/>
          <w:smallCaps w:val="0"/>
          <w:kern w:val="0"/>
          <w:sz w:val="52"/>
          <w:szCs w:val="20"/>
        </w:rPr>
      </w:pPr>
      <w:r>
        <w:rPr>
          <w:rFonts w:ascii="黑体" w:hAnsi="Times New Roman" w:eastAsia="黑体"/>
          <w:smallCaps w:val="0"/>
          <w:kern w:val="0"/>
          <w:sz w:val="52"/>
          <w:szCs w:val="20"/>
        </w:rPr>
        <w:t>母婴</w:t>
      </w:r>
      <w:r>
        <w:rPr>
          <w:rFonts w:hint="eastAsia" w:ascii="黑体" w:hAnsi="Times New Roman" w:eastAsia="黑体"/>
          <w:smallCaps w:val="0"/>
          <w:kern w:val="0"/>
          <w:sz w:val="52"/>
          <w:szCs w:val="20"/>
        </w:rPr>
        <w:t>饮用</w:t>
      </w:r>
      <w:r>
        <w:rPr>
          <w:rFonts w:ascii="黑体" w:hAnsi="Times New Roman" w:eastAsia="黑体"/>
          <w:smallCaps w:val="0"/>
          <w:kern w:val="0"/>
          <w:sz w:val="52"/>
          <w:szCs w:val="20"/>
        </w:rPr>
        <w:t>天然泉水</w:t>
      </w:r>
    </w:p>
    <w:p w14:paraId="318A6441">
      <w:pPr>
        <w:framePr w:w="9639" w:h="6917" w:hRule="exact" w:wrap="around" w:vAnchor="page" w:hAnchor="page" w:xAlign="center" w:y="6408" w:anchorLock="1"/>
        <w:spacing w:before="370" w:line="400" w:lineRule="exact"/>
        <w:jc w:val="center"/>
        <w:textAlignment w:val="center"/>
        <w:rPr>
          <w:rFonts w:ascii="Times New Roman" w:hAnsi="Times New Roman" w:eastAsia="黑体"/>
          <w:smallCaps w:val="0"/>
          <w:kern w:val="0"/>
          <w:sz w:val="28"/>
          <w:szCs w:val="28"/>
        </w:rPr>
      </w:pPr>
      <w:r>
        <w:rPr>
          <w:rFonts w:ascii="黑体" w:hAnsi="黑体" w:eastAsia="黑体" w:cs="黑体"/>
          <w:smallCaps w:val="0"/>
          <w:kern w:val="0"/>
          <w:sz w:val="28"/>
          <w:szCs w:val="28"/>
        </w:rPr>
        <w:t>Mother and baby drink natural spring water</w:t>
      </w:r>
    </w:p>
    <w:p w14:paraId="1E027D5A">
      <w:pPr>
        <w:framePr w:w="9639" w:h="6917" w:hRule="exact" w:wrap="around" w:vAnchor="page" w:hAnchor="page" w:xAlign="center" w:y="6408" w:anchorLock="1"/>
        <w:spacing w:before="440" w:line="400" w:lineRule="exact"/>
        <w:jc w:val="center"/>
        <w:textAlignment w:val="center"/>
        <w:rPr>
          <w:rFonts w:ascii="宋体" w:hAnsi="Times New Roman"/>
          <w:smallCaps w:val="0"/>
          <w:kern w:val="0"/>
          <w:sz w:val="28"/>
          <w:szCs w:val="28"/>
        </w:rPr>
      </w:pPr>
      <w:r>
        <w:rPr>
          <w:rFonts w:hint="eastAsia" w:ascii="宋体" w:hAnsi="Times New Roman"/>
          <w:smallCaps w:val="0"/>
          <w:kern w:val="0"/>
          <w:sz w:val="28"/>
          <w:szCs w:val="28"/>
        </w:rPr>
        <w:t>（征求意见稿）</w:t>
      </w:r>
    </w:p>
    <w:p w14:paraId="09AA9F0C">
      <w:pPr>
        <w:framePr w:w="3997" w:h="471" w:hRule="exact" w:vSpace="181" w:wrap="around" w:vAnchor="page" w:hAnchor="page" w:x="1419" w:y="14097" w:anchorLock="1"/>
        <w:widowControl/>
        <w:jc w:val="left"/>
        <w:rPr>
          <w:rFonts w:ascii="Times New Roman" w:hAnsi="Times New Roman" w:eastAsia="黑体"/>
          <w:smallCaps w:val="0"/>
          <w:kern w:val="0"/>
          <w:sz w:val="28"/>
          <w:szCs w:val="20"/>
        </w:rPr>
      </w:pPr>
      <w:r>
        <w:rPr>
          <w:rFonts w:hint="eastAsia" w:ascii="黑体" w:hAnsi="Times New Roman" w:eastAsia="黑体"/>
          <w:smallCaps w:val="0"/>
          <w:kern w:val="0"/>
          <w:sz w:val="28"/>
          <w:szCs w:val="20"/>
        </w:rPr>
        <w:t>202X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Times New Roman" w:hAnsi="Times New Roman" w:eastAsia="黑体"/>
          <w:smallCaps w:val="0"/>
          <w:kern w:val="0"/>
          <w:sz w:val="28"/>
          <w:szCs w:val="20"/>
        </w:rPr>
        <w:t>XX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hint="eastAsia" w:ascii="Times New Roman" w:hAnsi="Times New Roman" w:eastAsia="黑体"/>
          <w:smallCaps w:val="0"/>
          <w:kern w:val="0"/>
          <w:sz w:val="28"/>
          <w:szCs w:val="20"/>
        </w:rPr>
        <w:t>发布</w:t>
      </w:r>
      <w:r>
        <w:rPr>
          <w:rFonts w:ascii="Times New Roman" w:hAnsi="Times New Roman" w:eastAsia="黑体"/>
          <w:smallCaps w:val="0"/>
          <w:kern w:val="0"/>
          <w:sz w:val="28"/>
          <w:szCs w:val="20"/>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12" name="直接连接符 1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Ydr&#10;PNYAAAALAQAADwAAAAAAAAABACAAAAAiAAAAZHJzL2Rvd25yZXYueG1sUEsBAhQAFAAAAAgAh07i&#10;QJKuefjrAQAAtwMAAA4AAAAAAAAAAQAgAAAAJQEAAGRycy9lMm9Eb2MueG1sUEsFBgAAAAAGAAYA&#10;WQEAAIIFAAAAAA==&#10;">
                <v:fill on="f" focussize="0,0"/>
                <v:stroke color="#000000" joinstyle="round"/>
                <v:imagedata o:title=""/>
                <o:lock v:ext="edit" aspectratio="f"/>
                <w10:anchorlock/>
              </v:line>
            </w:pict>
          </mc:Fallback>
        </mc:AlternateContent>
      </w:r>
    </w:p>
    <w:p w14:paraId="6D6C9E00">
      <w:pPr>
        <w:framePr w:w="3997" w:h="471" w:hRule="exact" w:vSpace="181" w:wrap="around" w:vAnchor="page" w:hAnchor="page" w:x="7089" w:y="14097" w:anchorLock="1"/>
        <w:widowControl/>
        <w:jc w:val="right"/>
        <w:rPr>
          <w:rFonts w:ascii="Times New Roman" w:hAnsi="Times New Roman" w:eastAsia="黑体"/>
          <w:smallCaps w:val="0"/>
          <w:kern w:val="0"/>
          <w:sz w:val="28"/>
          <w:szCs w:val="20"/>
        </w:rPr>
      </w:pPr>
      <w:r>
        <w:rPr>
          <w:rFonts w:hint="eastAsia" w:ascii="黑体" w:hAnsi="Times New Roman" w:eastAsia="黑体"/>
          <w:smallCaps w:val="0"/>
          <w:kern w:val="0"/>
          <w:sz w:val="28"/>
          <w:szCs w:val="20"/>
        </w:rPr>
        <w:t>202X</w:t>
      </w:r>
      <w:r>
        <w:rPr>
          <w:rFonts w:ascii="Times New Roman" w:hAnsi="Times New Roman" w:eastAsia="黑体"/>
          <w:smallCaps w:val="0"/>
          <w:kern w:val="0"/>
          <w:sz w:val="28"/>
          <w:szCs w:val="20"/>
        </w:rPr>
        <w:t xml:space="preserve"> </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ascii="黑体" w:hAnsi="Times New Roman" w:eastAsia="黑体"/>
          <w:smallCaps w:val="0"/>
          <w:kern w:val="0"/>
          <w:sz w:val="28"/>
          <w:szCs w:val="20"/>
        </w:rPr>
        <w:t>-</w:t>
      </w:r>
      <w:r>
        <w:rPr>
          <w:rFonts w:ascii="Times New Roman" w:hAnsi="Times New Roman" w:eastAsia="黑体"/>
          <w:smallCaps w:val="0"/>
          <w:kern w:val="0"/>
          <w:sz w:val="28"/>
          <w:szCs w:val="20"/>
        </w:rPr>
        <w:t xml:space="preserve"> </w:t>
      </w:r>
      <w:r>
        <w:rPr>
          <w:rFonts w:hint="eastAsia" w:ascii="黑体" w:hAnsi="Times New Roman" w:eastAsia="黑体"/>
          <w:smallCaps w:val="0"/>
          <w:kern w:val="0"/>
          <w:sz w:val="28"/>
          <w:szCs w:val="20"/>
        </w:rPr>
        <w:t>XX</w:t>
      </w:r>
      <w:r>
        <w:rPr>
          <w:rFonts w:hint="eastAsia" w:ascii="Times New Roman" w:hAnsi="Times New Roman" w:eastAsia="黑体"/>
          <w:smallCaps w:val="0"/>
          <w:kern w:val="0"/>
          <w:sz w:val="28"/>
          <w:szCs w:val="20"/>
        </w:rPr>
        <w:t>实施</w:t>
      </w:r>
    </w:p>
    <w:p w14:paraId="0262C18D">
      <w:pPr>
        <w:framePr w:w="7937" w:h="1134" w:hRule="exact" w:hSpace="125" w:vSpace="1134" w:wrap="around" w:vAnchor="margin" w:hAnchor="page" w:x="2359" w:y="14809" w:anchorLock="1"/>
        <w:widowControl/>
        <w:jc w:val="center"/>
        <w:rPr>
          <w:rFonts w:ascii="宋体" w:hAnsi="Times New Roman"/>
          <w:b/>
          <w:smallCaps w:val="0"/>
          <w:spacing w:val="20"/>
          <w:w w:val="135"/>
          <w:kern w:val="0"/>
          <w:sz w:val="21"/>
          <w:szCs w:val="21"/>
        </w:rPr>
      </w:pPr>
      <w:r>
        <w:rPr>
          <w:rFonts w:hint="eastAsia" w:ascii="宋体" w:hAnsi="Times New Roman"/>
          <w:b/>
          <w:smallCaps w:val="0"/>
          <w:spacing w:val="20"/>
          <w:w w:val="135"/>
          <w:kern w:val="0"/>
          <w:sz w:val="28"/>
          <w:szCs w:val="20"/>
        </w:rPr>
        <w:t xml:space="preserve">中国食品药品企业质量安全促进会   </w:t>
      </w:r>
      <w:r>
        <w:rPr>
          <w:rFonts w:hint="eastAsia" w:ascii="黑体" w:hAnsi="黑体" w:eastAsia="黑体" w:cs="黑体"/>
          <w:bCs/>
          <w:smallCaps w:val="0"/>
          <w:spacing w:val="20"/>
          <w:w w:val="135"/>
          <w:kern w:val="0"/>
          <w:sz w:val="28"/>
          <w:szCs w:val="28"/>
        </w:rPr>
        <w:t>发布</w:t>
      </w:r>
    </w:p>
    <w:p w14:paraId="1F58A0E8">
      <w:pPr>
        <w:widowControl/>
        <w:tabs>
          <w:tab w:val="center" w:pos="4201"/>
          <w:tab w:val="right" w:leader="dot" w:pos="9298"/>
        </w:tabs>
        <w:autoSpaceDE w:val="0"/>
        <w:autoSpaceDN w:val="0"/>
        <w:rPr>
          <w:rFonts w:ascii="宋体" w:hAnsi="Times New Roman"/>
          <w:smallCaps w:val="0"/>
          <w:kern w:val="0"/>
          <w:sz w:val="21"/>
          <w:szCs w:val="20"/>
        </w:rPr>
        <w:sectPr>
          <w:headerReference r:id="rId3" w:type="default"/>
          <w:headerReference r:id="rId4" w:type="even"/>
          <w:footerReference r:id="rId5" w:type="even"/>
          <w:pgSz w:w="11906" w:h="16838"/>
          <w:pgMar w:top="567" w:right="1134" w:bottom="1134" w:left="1417" w:header="0" w:footer="0" w:gutter="0"/>
          <w:pgNumType w:start="1"/>
          <w:cols w:space="720" w:num="1"/>
          <w:docGrid w:type="lines" w:linePitch="312" w:charSpace="0"/>
        </w:sectPr>
      </w:pPr>
      <w:r>
        <w:rPr>
          <w:rFonts w:ascii="宋体" w:hAnsi="Times New Roman"/>
          <w:smallCaps w:val="0"/>
          <w:kern w:val="0"/>
          <w:sz w:val="21"/>
          <w:szCs w:val="20"/>
        </w:rPr>
        <mc:AlternateContent>
          <mc:Choice Requires="wps">
            <w:drawing>
              <wp:anchor distT="0" distB="0" distL="114300" distR="114300" simplePos="0" relativeHeight="251660288" behindDoc="0" locked="0" layoutInCell="1" allowOverlap="1">
                <wp:simplePos x="0" y="0"/>
                <wp:positionH relativeFrom="margin">
                  <wp:align>left</wp:align>
                </wp:positionH>
                <wp:positionV relativeFrom="paragraph">
                  <wp:posOffset>2312670</wp:posOffset>
                </wp:positionV>
                <wp:extent cx="6120130" cy="0"/>
                <wp:effectExtent l="0" t="0" r="0" b="0"/>
                <wp:wrapNone/>
                <wp:docPr id="11" name="直接连接符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cmpd="sng">
                          <a:solidFill>
                            <a:srgbClr val="000000"/>
                          </a:solidFill>
                          <a:round/>
                        </a:ln>
                      </wps:spPr>
                      <wps:bodyPr/>
                    </wps:wsp>
                  </a:graphicData>
                </a:graphic>
              </wp:anchor>
            </w:drawing>
          </mc:Choice>
          <mc:Fallback>
            <w:pict>
              <v:line id="_x0000_s1026" o:spid="_x0000_s1026" o:spt="20" style="position:absolute;left:0pt;margin-top:182.1pt;height:0pt;width:481.9pt;mso-position-horizontal:left;mso-position-horizontal-relative:margin;z-index:251660288;mso-width-relative:page;mso-height-relative:page;" filled="f" stroked="t" coordsize="21600,21600" o:gfxdata="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JDQpdUA&#10;AAAIAQAADwAAAAAAAAABACAAAAAiAAAAZHJzL2Rvd25yZXYueG1sUEsBAhQAFAAAAAgAh07iQLXQ&#10;eZjpAQAAtwMAAA4AAAAAAAAAAQAgAAAAJAEAAGRycy9lMm9Eb2MueG1sUEsFBgAAAAAGAAYAWQEA&#10;AH8FAAAAAA==&#10;">
                <v:fill on="f" focussize="0,0"/>
                <v:stroke color="#000000" joinstyle="round"/>
                <v:imagedata o:title=""/>
                <o:lock v:ext="edit" aspectratio="f"/>
              </v:line>
            </w:pict>
          </mc:Fallback>
        </mc:AlternateContent>
      </w:r>
    </w:p>
    <w:bookmarkEnd w:id="0"/>
    <w:bookmarkEnd w:id="1"/>
    <w:bookmarkEnd w:id="2"/>
    <w:bookmarkEnd w:id="3"/>
    <w:bookmarkEnd w:id="4"/>
    <w:bookmarkEnd w:id="5"/>
    <w:bookmarkEnd w:id="6"/>
    <w:p w14:paraId="7B352860">
      <w:pPr>
        <w:pStyle w:val="49"/>
        <w:spacing w:after="468"/>
      </w:pPr>
      <w:r>
        <w:rPr>
          <w:spacing w:val="320"/>
        </w:rPr>
        <w:t>目</w:t>
      </w:r>
      <w:r>
        <w:t>次</w:t>
      </w:r>
    </w:p>
    <w:p w14:paraId="77717E7B">
      <w:pPr>
        <w:pStyle w:val="13"/>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"_Toc212560807" </w:instrText>
      </w:r>
      <w:r>
        <w:fldChar w:fldCharType="separate"/>
      </w:r>
      <w:r>
        <w:rPr>
          <w:rStyle w:val="19"/>
        </w:rPr>
        <w:t>1  范围</w:t>
      </w:r>
      <w:r>
        <w:tab/>
      </w:r>
      <w:r>
        <w:fldChar w:fldCharType="begin"/>
      </w:r>
      <w:r>
        <w:instrText xml:space="preserve"> PAGEREF _Toc212560807 \h </w:instrText>
      </w:r>
      <w:r>
        <w:fldChar w:fldCharType="separate"/>
      </w:r>
      <w:r>
        <w:t>1</w:t>
      </w:r>
      <w:r>
        <w:fldChar w:fldCharType="end"/>
      </w:r>
      <w:r>
        <w:fldChar w:fldCharType="end"/>
      </w:r>
    </w:p>
    <w:p w14:paraId="0C8EB727">
      <w:pPr>
        <w:pStyle w:val="13"/>
        <w:tabs>
          <w:tab w:val="right" w:leader="dot" w:pos="9344"/>
        </w:tabs>
        <w:rPr>
          <w:rFonts w:asciiTheme="minorHAnsi" w:hAnsiTheme="minorHAnsi" w:eastAsiaTheme="minorEastAsia" w:cstheme="minorBidi"/>
          <w:szCs w:val="22"/>
        </w:rPr>
      </w:pPr>
      <w:r>
        <w:fldChar w:fldCharType="begin"/>
      </w:r>
      <w:r>
        <w:instrText xml:space="preserve"> HYPERLINK \l "_Toc212560808" </w:instrText>
      </w:r>
      <w:r>
        <w:fldChar w:fldCharType="separate"/>
      </w:r>
      <w:r>
        <w:rPr>
          <w:rStyle w:val="19"/>
        </w:rPr>
        <w:t>2  规范性引用文件</w:t>
      </w:r>
      <w:r>
        <w:tab/>
      </w:r>
      <w:r>
        <w:fldChar w:fldCharType="begin"/>
      </w:r>
      <w:r>
        <w:instrText xml:space="preserve"> PAGEREF _Toc212560808 \h </w:instrText>
      </w:r>
      <w:r>
        <w:fldChar w:fldCharType="separate"/>
      </w:r>
      <w:r>
        <w:t>1</w:t>
      </w:r>
      <w:r>
        <w:fldChar w:fldCharType="end"/>
      </w:r>
      <w:r>
        <w:fldChar w:fldCharType="end"/>
      </w:r>
    </w:p>
    <w:p w14:paraId="6D827CA6">
      <w:pPr>
        <w:pStyle w:val="13"/>
        <w:tabs>
          <w:tab w:val="right" w:leader="dot" w:pos="9344"/>
        </w:tabs>
        <w:rPr>
          <w:rFonts w:asciiTheme="minorHAnsi" w:hAnsiTheme="minorHAnsi" w:eastAsiaTheme="minorEastAsia" w:cstheme="minorBidi"/>
          <w:szCs w:val="22"/>
        </w:rPr>
      </w:pPr>
      <w:r>
        <w:fldChar w:fldCharType="begin"/>
      </w:r>
      <w:r>
        <w:instrText xml:space="preserve"> HYPERLINK \l "_Toc212560809" </w:instrText>
      </w:r>
      <w:r>
        <w:fldChar w:fldCharType="separate"/>
      </w:r>
      <w:r>
        <w:rPr>
          <w:rStyle w:val="19"/>
        </w:rPr>
        <w:t>3  术语和定义</w:t>
      </w:r>
      <w:r>
        <w:tab/>
      </w:r>
      <w:r>
        <w:fldChar w:fldCharType="begin"/>
      </w:r>
      <w:r>
        <w:instrText xml:space="preserve"> PAGEREF _Toc212560809 \h </w:instrText>
      </w:r>
      <w:r>
        <w:fldChar w:fldCharType="separate"/>
      </w:r>
      <w:r>
        <w:t>1</w:t>
      </w:r>
      <w:r>
        <w:fldChar w:fldCharType="end"/>
      </w:r>
      <w:r>
        <w:fldChar w:fldCharType="end"/>
      </w:r>
    </w:p>
    <w:p w14:paraId="395AC62C">
      <w:pPr>
        <w:pStyle w:val="13"/>
        <w:tabs>
          <w:tab w:val="right" w:leader="dot" w:pos="9344"/>
        </w:tabs>
        <w:rPr>
          <w:rFonts w:asciiTheme="minorHAnsi" w:hAnsiTheme="minorHAnsi" w:eastAsiaTheme="minorEastAsia" w:cstheme="minorBidi"/>
          <w:szCs w:val="22"/>
        </w:rPr>
      </w:pPr>
      <w:r>
        <w:fldChar w:fldCharType="begin"/>
      </w:r>
      <w:r>
        <w:instrText xml:space="preserve"> HYPERLINK \l "_Toc212560810" </w:instrText>
      </w:r>
      <w:r>
        <w:fldChar w:fldCharType="separate"/>
      </w:r>
      <w:r>
        <w:rPr>
          <w:rStyle w:val="19"/>
        </w:rPr>
        <w:t>4  技术要求</w:t>
      </w:r>
      <w:r>
        <w:tab/>
      </w:r>
      <w:r>
        <w:fldChar w:fldCharType="begin"/>
      </w:r>
      <w:r>
        <w:instrText xml:space="preserve"> PAGEREF _Toc212560810 \h </w:instrText>
      </w:r>
      <w:r>
        <w:fldChar w:fldCharType="separate"/>
      </w:r>
      <w:r>
        <w:t>1</w:t>
      </w:r>
      <w:r>
        <w:fldChar w:fldCharType="end"/>
      </w:r>
      <w:r>
        <w:fldChar w:fldCharType="end"/>
      </w:r>
    </w:p>
    <w:p w14:paraId="0F4F75CE">
      <w:pPr>
        <w:pStyle w:val="13"/>
        <w:tabs>
          <w:tab w:val="right" w:leader="dot" w:pos="9344"/>
        </w:tabs>
        <w:rPr>
          <w:rFonts w:asciiTheme="minorHAnsi" w:hAnsiTheme="minorHAnsi" w:eastAsiaTheme="minorEastAsia" w:cstheme="minorBidi"/>
          <w:szCs w:val="22"/>
        </w:rPr>
      </w:pPr>
      <w:r>
        <w:fldChar w:fldCharType="begin"/>
      </w:r>
      <w:r>
        <w:instrText xml:space="preserve"> HYPERLINK \l "_Toc212560813" </w:instrText>
      </w:r>
      <w:r>
        <w:fldChar w:fldCharType="separate"/>
      </w:r>
      <w:r>
        <w:rPr>
          <w:rStyle w:val="19"/>
        </w:rPr>
        <w:t>5  技术要求</w:t>
      </w:r>
      <w:r>
        <w:tab/>
      </w:r>
      <w:r>
        <w:fldChar w:fldCharType="begin"/>
      </w:r>
      <w:r>
        <w:instrText xml:space="preserve"> PAGEREF _Toc212560813 \h </w:instrText>
      </w:r>
      <w:r>
        <w:fldChar w:fldCharType="separate"/>
      </w:r>
      <w:r>
        <w:t>2</w:t>
      </w:r>
      <w:r>
        <w:fldChar w:fldCharType="end"/>
      </w:r>
      <w:r>
        <w:fldChar w:fldCharType="end"/>
      </w:r>
    </w:p>
    <w:p w14:paraId="5B28BEA1">
      <w:pPr>
        <w:pStyle w:val="13"/>
        <w:tabs>
          <w:tab w:val="right" w:leader="dot" w:pos="9344"/>
        </w:tabs>
        <w:rPr>
          <w:rFonts w:asciiTheme="minorHAnsi" w:hAnsiTheme="minorHAnsi" w:eastAsiaTheme="minorEastAsia" w:cstheme="minorBidi"/>
          <w:szCs w:val="22"/>
        </w:rPr>
      </w:pPr>
      <w:r>
        <w:fldChar w:fldCharType="begin"/>
      </w:r>
      <w:r>
        <w:instrText xml:space="preserve"> HYPERLINK \l "_Toc212560821" </w:instrText>
      </w:r>
      <w:r>
        <w:fldChar w:fldCharType="separate"/>
      </w:r>
      <w:r>
        <w:rPr>
          <w:rStyle w:val="19"/>
        </w:rPr>
        <w:t>6  检验规则</w:t>
      </w:r>
      <w:r>
        <w:tab/>
      </w:r>
      <w:r>
        <w:fldChar w:fldCharType="begin"/>
      </w:r>
      <w:r>
        <w:instrText xml:space="preserve"> PAGEREF _Toc212560821 \h </w:instrText>
      </w:r>
      <w:r>
        <w:fldChar w:fldCharType="separate"/>
      </w:r>
      <w:r>
        <w:t>4</w:t>
      </w:r>
      <w:r>
        <w:fldChar w:fldCharType="end"/>
      </w:r>
      <w:r>
        <w:fldChar w:fldCharType="end"/>
      </w:r>
    </w:p>
    <w:p w14:paraId="16417627">
      <w:pPr>
        <w:pStyle w:val="13"/>
        <w:tabs>
          <w:tab w:val="right" w:leader="dot" w:pos="9344"/>
        </w:tabs>
        <w:rPr>
          <w:rFonts w:asciiTheme="minorHAnsi" w:hAnsiTheme="minorHAnsi" w:eastAsiaTheme="minorEastAsia" w:cstheme="minorBidi"/>
          <w:szCs w:val="22"/>
        </w:rPr>
      </w:pPr>
      <w:r>
        <w:fldChar w:fldCharType="begin"/>
      </w:r>
      <w:r>
        <w:instrText xml:space="preserve"> HYPERLINK \l "_Toc212560827" </w:instrText>
      </w:r>
      <w:r>
        <w:fldChar w:fldCharType="separate"/>
      </w:r>
      <w:r>
        <w:rPr>
          <w:rStyle w:val="19"/>
        </w:rPr>
        <w:t>7  标签、标志、包装、运输、贮存</w:t>
      </w:r>
      <w:r>
        <w:tab/>
      </w:r>
      <w:r>
        <w:fldChar w:fldCharType="begin"/>
      </w:r>
      <w:r>
        <w:instrText xml:space="preserve"> PAGEREF _Toc212560827 \h </w:instrText>
      </w:r>
      <w:r>
        <w:fldChar w:fldCharType="separate"/>
      </w:r>
      <w:r>
        <w:t>4</w:t>
      </w:r>
      <w:r>
        <w:fldChar w:fldCharType="end"/>
      </w:r>
      <w:r>
        <w:fldChar w:fldCharType="end"/>
      </w:r>
    </w:p>
    <w:p w14:paraId="28537B0C">
      <w:pPr>
        <w:pStyle w:val="13"/>
        <w:tabs>
          <w:tab w:val="right" w:leader="dot" w:pos="9344"/>
        </w:tabs>
        <w:rPr>
          <w:rFonts w:asciiTheme="minorHAnsi" w:hAnsiTheme="minorHAnsi" w:eastAsiaTheme="minorEastAsia" w:cstheme="minorBidi"/>
          <w:szCs w:val="22"/>
        </w:rPr>
      </w:pPr>
      <w:r>
        <w:fldChar w:fldCharType="begin"/>
      </w:r>
      <w:r>
        <w:instrText xml:space="preserve"> HYPERLINK \l "_Toc212560832" </w:instrText>
      </w:r>
      <w:r>
        <w:fldChar w:fldCharType="separate"/>
      </w:r>
      <w:r>
        <w:rPr>
          <w:rStyle w:val="19"/>
        </w:rPr>
        <w:t>8  保质期</w:t>
      </w:r>
      <w:r>
        <w:tab/>
      </w:r>
      <w:r>
        <w:fldChar w:fldCharType="begin"/>
      </w:r>
      <w:r>
        <w:instrText xml:space="preserve"> PAGEREF _Toc212560832 \h </w:instrText>
      </w:r>
      <w:r>
        <w:fldChar w:fldCharType="separate"/>
      </w:r>
      <w:r>
        <w:t>5</w:t>
      </w:r>
      <w:r>
        <w:fldChar w:fldCharType="end"/>
      </w:r>
      <w:r>
        <w:fldChar w:fldCharType="end"/>
      </w:r>
    </w:p>
    <w:p w14:paraId="46B9DC24">
      <w:pPr>
        <w:tabs>
          <w:tab w:val="right" w:leader="dot" w:pos="9070"/>
        </w:tabs>
        <w:adjustRightInd w:val="0"/>
        <w:spacing w:before="850" w:after="680"/>
        <w:outlineLvl w:val="0"/>
      </w:pPr>
      <w:r>
        <w:fldChar w:fldCharType="end"/>
      </w:r>
    </w:p>
    <w:p w14:paraId="5A823E33">
      <w:pPr>
        <w:pStyle w:val="51"/>
        <w:spacing w:before="900" w:after="468"/>
        <w:sectPr>
          <w:headerReference r:id="rId8" w:type="first"/>
          <w:headerReference r:id="rId6" w:type="default"/>
          <w:footerReference r:id="rId9" w:type="default"/>
          <w:headerReference r:id="rId7" w:type="even"/>
          <w:footerReference r:id="rId10" w:type="even"/>
          <w:pgSz w:w="11906" w:h="16838"/>
          <w:pgMar w:top="1417" w:right="1134" w:bottom="1134" w:left="1418" w:header="1417" w:footer="1134" w:gutter="0"/>
          <w:pgNumType w:fmt="upperRoman" w:start="1"/>
          <w:cols w:space="0" w:num="1"/>
          <w:docGrid w:type="lines" w:linePitch="312" w:charSpace="0"/>
        </w:sectPr>
      </w:pPr>
    </w:p>
    <w:p w14:paraId="080B21D2">
      <w:pPr>
        <w:pStyle w:val="51"/>
        <w:spacing w:before="900" w:after="468"/>
      </w:pPr>
      <w:r>
        <w:rPr>
          <w:spacing w:val="320"/>
        </w:rPr>
        <w:t>前</w:t>
      </w:r>
      <w:r>
        <w:t>言</w:t>
      </w:r>
    </w:p>
    <w:p w14:paraId="10C98A5D">
      <w:pPr>
        <w:pStyle w:val="50"/>
        <w:ind w:firstLine="420"/>
        <w:rPr>
          <w:rFonts w:hint="eastAsia"/>
        </w:rPr>
      </w:pPr>
      <w:r>
        <w:rPr>
          <w:rFonts w:hint="eastAsia"/>
        </w:rPr>
        <w:t>本文件按照GB/T 1.1—2020《标准化工作导则  第1部分：标准化文件的结构和起草规则》的规定起草。</w:t>
      </w:r>
    </w:p>
    <w:p w14:paraId="50362DBA">
      <w:pPr>
        <w:pStyle w:val="50"/>
        <w:ind w:firstLine="420"/>
      </w:pPr>
      <w:r>
        <w:rPr>
          <w:rFonts w:hint="eastAsia"/>
        </w:rPr>
        <w:t>请注意本文件的某些内容可能涉及专利。本文件的发布机构不承担识别专利的责任。</w:t>
      </w:r>
    </w:p>
    <w:p w14:paraId="718AB985">
      <w:pPr>
        <w:pStyle w:val="50"/>
        <w:ind w:firstLine="420"/>
        <w:rPr>
          <w:rFonts w:hint="eastAsia"/>
        </w:rPr>
      </w:pPr>
      <w:r>
        <w:rPr>
          <w:rFonts w:hint="eastAsia"/>
        </w:rPr>
        <w:t>本文件由××××提出。</w:t>
      </w:r>
    </w:p>
    <w:p w14:paraId="5658D613">
      <w:pPr>
        <w:pStyle w:val="50"/>
        <w:ind w:firstLine="420"/>
        <w:rPr>
          <w:rFonts w:hint="eastAsia"/>
        </w:rPr>
      </w:pPr>
      <w:r>
        <w:rPr>
          <w:rFonts w:hint="eastAsia"/>
        </w:rPr>
        <w:t>本文件由××××归口。</w:t>
      </w:r>
    </w:p>
    <w:p w14:paraId="2985A1A8">
      <w:pPr>
        <w:pStyle w:val="50"/>
        <w:ind w:firstLine="420"/>
        <w:rPr>
          <w:rFonts w:hint="eastAsia"/>
        </w:rPr>
      </w:pPr>
      <w:r>
        <w:rPr>
          <w:rFonts w:hint="eastAsia"/>
        </w:rPr>
        <w:t>本文件起草单位：××、××。</w:t>
      </w:r>
    </w:p>
    <w:p w14:paraId="2D269B43">
      <w:pPr>
        <w:pStyle w:val="50"/>
        <w:ind w:firstLine="420"/>
        <w:rPr>
          <w:rFonts w:hint="eastAsia"/>
        </w:rPr>
      </w:pPr>
      <w:r>
        <w:rPr>
          <w:rFonts w:hint="eastAsia"/>
        </w:rPr>
        <w:t>本文件主要起草人：××、××。</w:t>
      </w:r>
    </w:p>
    <w:p w14:paraId="67B2B21F">
      <w:pPr>
        <w:pStyle w:val="63"/>
        <w:spacing w:before="312" w:beforeLines="100" w:after="686" w:afterLines="220"/>
        <w:sectPr>
          <w:footerReference r:id="rId11" w:type="default"/>
          <w:pgSz w:w="11906" w:h="16838"/>
          <w:pgMar w:top="1417" w:right="1134" w:bottom="1134" w:left="1418" w:header="1417" w:footer="1134" w:gutter="0"/>
          <w:pgNumType w:fmt="upperRoman" w:start="1"/>
          <w:cols w:space="0" w:num="1"/>
          <w:docGrid w:type="lines" w:linePitch="312" w:charSpace="0"/>
        </w:sectPr>
      </w:pPr>
      <w:bookmarkStart w:id="7" w:name="OLE_LINK16"/>
      <w:bookmarkStart w:id="8" w:name="OLE_LINK15"/>
    </w:p>
    <w:sdt>
      <w:sdtPr>
        <w:tag w:val="NEW_STAND_NAME"/>
        <w:id w:val="595910757"/>
        <w:placeholder>
          <w:docPart w:val="163625E0A2B145D78DE4ECDA466A1F32"/>
        </w:placeholder>
      </w:sdtPr>
      <w:sdtContent>
        <w:p w14:paraId="3D6DD03C">
          <w:pPr>
            <w:pStyle w:val="63"/>
            <w:spacing w:before="312" w:beforeLines="100" w:after="686" w:afterLines="220"/>
          </w:pPr>
          <w:bookmarkStart w:id="9" w:name="NEW_STAND_NAME"/>
          <w:r>
            <w:rPr>
              <w:rFonts w:hint="eastAsia"/>
            </w:rPr>
            <w:t>母婴饮用天然泉水</w:t>
          </w:r>
        </w:p>
      </w:sdtContent>
    </w:sdt>
    <w:bookmarkEnd w:id="7"/>
    <w:bookmarkEnd w:id="8"/>
    <w:bookmarkEnd w:id="9"/>
    <w:p w14:paraId="0B3D0C85">
      <w:pPr>
        <w:pStyle w:val="58"/>
        <w:numPr>
          <w:ilvl w:val="1"/>
          <w:numId w:val="1"/>
        </w:numPr>
        <w:spacing w:before="312" w:after="312"/>
      </w:pPr>
      <w:bookmarkStart w:id="10" w:name="_Toc17233325"/>
      <w:bookmarkStart w:id="11" w:name="_Toc17233333"/>
      <w:bookmarkStart w:id="12" w:name="_Toc24884211"/>
      <w:bookmarkStart w:id="13" w:name="_Toc26718930"/>
      <w:bookmarkStart w:id="14" w:name="_Toc212560807"/>
      <w:bookmarkStart w:id="15" w:name="_Toc26986530"/>
      <w:bookmarkStart w:id="16" w:name="_Toc24884218"/>
      <w:bookmarkStart w:id="17" w:name="_Toc26986771"/>
      <w:bookmarkStart w:id="18" w:name="_Toc97192964"/>
      <w:bookmarkStart w:id="19" w:name="_Toc26648465"/>
      <w:r>
        <w:rPr>
          <w:rFonts w:hint="eastAsia"/>
        </w:rPr>
        <w:t>范围</w:t>
      </w:r>
      <w:bookmarkEnd w:id="10"/>
      <w:bookmarkEnd w:id="11"/>
      <w:bookmarkEnd w:id="12"/>
      <w:bookmarkEnd w:id="13"/>
      <w:bookmarkEnd w:id="14"/>
      <w:bookmarkEnd w:id="15"/>
      <w:bookmarkEnd w:id="16"/>
      <w:bookmarkEnd w:id="17"/>
      <w:bookmarkEnd w:id="18"/>
      <w:bookmarkEnd w:id="19"/>
    </w:p>
    <w:p w14:paraId="42CDBA5A">
      <w:pPr>
        <w:pStyle w:val="50"/>
        <w:ind w:firstLine="420"/>
      </w:pPr>
      <w:bookmarkStart w:id="20" w:name="_Toc17233326"/>
      <w:bookmarkStart w:id="21" w:name="_Toc17233334"/>
      <w:bookmarkStart w:id="22" w:name="_Toc24884212"/>
      <w:bookmarkStart w:id="23" w:name="_Toc24884219"/>
      <w:bookmarkStart w:id="24" w:name="_Toc26648466"/>
      <w:r>
        <w:rPr>
          <w:rFonts w:hint="eastAsia"/>
        </w:rPr>
        <w:t>本文件规定了母婴饮用天然泉水的技术要求、检验规则、标签、标志、包装与规格、运输、贮存和保质期。</w:t>
      </w:r>
    </w:p>
    <w:p w14:paraId="0E32F74A">
      <w:pPr>
        <w:pStyle w:val="50"/>
        <w:ind w:firstLine="420"/>
      </w:pPr>
      <w:r>
        <w:rPr>
          <w:rFonts w:hint="eastAsia"/>
        </w:rPr>
        <w:t>本文件适用于以符合本文件要求的天然泉水为水源，经特殊工艺处理后，供母婴人群饮用的包装饮用水。</w:t>
      </w:r>
    </w:p>
    <w:p w14:paraId="1ED53383">
      <w:pPr>
        <w:pStyle w:val="58"/>
        <w:numPr>
          <w:ilvl w:val="1"/>
          <w:numId w:val="1"/>
        </w:numPr>
        <w:spacing w:before="312" w:after="312"/>
      </w:pPr>
      <w:bookmarkStart w:id="25" w:name="_Toc26718931"/>
      <w:bookmarkStart w:id="26" w:name="_Toc212560808"/>
      <w:bookmarkStart w:id="27" w:name="_Toc26986772"/>
      <w:bookmarkStart w:id="28" w:name="_Toc26986531"/>
      <w:bookmarkStart w:id="29" w:name="_Toc97192965"/>
      <w:r>
        <w:rPr>
          <w:rFonts w:hint="eastAsia"/>
        </w:rPr>
        <w:t>规范性引用文件</w:t>
      </w:r>
      <w:bookmarkEnd w:id="20"/>
      <w:bookmarkEnd w:id="21"/>
      <w:bookmarkEnd w:id="22"/>
      <w:bookmarkEnd w:id="23"/>
      <w:bookmarkEnd w:id="24"/>
      <w:bookmarkEnd w:id="25"/>
      <w:bookmarkEnd w:id="26"/>
      <w:bookmarkEnd w:id="27"/>
      <w:bookmarkEnd w:id="28"/>
      <w:bookmarkEnd w:id="29"/>
    </w:p>
    <w:sdt>
      <w:sdtPr>
        <w:rPr>
          <w:rFonts w:hint="eastAsia"/>
        </w:rPr>
        <w:id w:val="715848253"/>
        <w:placeholder>
          <w:docPart w:val="CEFC0F8B7C0A4F11BE570011BA28B07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90247FB">
          <w:pPr>
            <w:pStyle w:val="5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8B09079">
      <w:pPr>
        <w:pStyle w:val="50"/>
        <w:ind w:firstLine="420"/>
      </w:pPr>
      <w:r>
        <w:rPr>
          <w:rFonts w:hint="eastAsia"/>
        </w:rPr>
        <w:t>GB/T 191</w:t>
      </w:r>
      <w:r>
        <w:t xml:space="preserve">  </w:t>
      </w:r>
      <w:r>
        <w:rPr>
          <w:rFonts w:hint="eastAsia"/>
        </w:rPr>
        <w:t>包装储运图形符号标志</w:t>
      </w:r>
    </w:p>
    <w:p w14:paraId="1918311D">
      <w:pPr>
        <w:pStyle w:val="50"/>
        <w:ind w:firstLine="420"/>
      </w:pPr>
      <w:r>
        <w:t xml:space="preserve">GB 4806.7  </w:t>
      </w:r>
      <w:r>
        <w:rPr>
          <w:rFonts w:hint="eastAsia"/>
        </w:rPr>
        <w:t>食品安全国家标准 食品接触用塑料材料及制品</w:t>
      </w:r>
    </w:p>
    <w:p w14:paraId="24CC3496">
      <w:pPr>
        <w:pStyle w:val="50"/>
        <w:ind w:firstLine="420"/>
      </w:pPr>
      <w:r>
        <w:rPr>
          <w:rFonts w:hint="eastAsia"/>
        </w:rPr>
        <w:t>GB 4806.11</w:t>
      </w:r>
      <w:r>
        <w:t xml:space="preserve">  </w:t>
      </w:r>
      <w:r>
        <w:rPr>
          <w:rFonts w:hint="eastAsia"/>
        </w:rPr>
        <w:t>食品安全国家标准 食品接触用橡胶材料及制品</w:t>
      </w:r>
    </w:p>
    <w:p w14:paraId="13E84C8E">
      <w:pPr>
        <w:pStyle w:val="50"/>
        <w:ind w:firstLine="420"/>
      </w:pPr>
      <w:r>
        <w:t xml:space="preserve">GB 4789.26  </w:t>
      </w:r>
      <w:r>
        <w:rPr>
          <w:rFonts w:hint="eastAsia"/>
        </w:rPr>
        <w:t>食品安全国家标准 食品微生物学检验 商业无菌检验</w:t>
      </w:r>
    </w:p>
    <w:p w14:paraId="58263A44">
      <w:pPr>
        <w:pStyle w:val="50"/>
        <w:ind w:firstLine="420"/>
      </w:pPr>
      <w:r>
        <w:t xml:space="preserve">GB 5749  </w:t>
      </w:r>
      <w:r>
        <w:rPr>
          <w:rFonts w:hint="eastAsia"/>
        </w:rPr>
        <w:t>生活饮用水卫生标准</w:t>
      </w:r>
    </w:p>
    <w:p w14:paraId="26A2D95E">
      <w:pPr>
        <w:pStyle w:val="50"/>
        <w:ind w:firstLine="420"/>
      </w:pPr>
      <w:bookmarkStart w:id="30" w:name="OLE_LINK3"/>
      <w:bookmarkStart w:id="31" w:name="OLE_LINK4"/>
      <w:r>
        <w:t>GB/T 5750</w:t>
      </w:r>
      <w:bookmarkEnd w:id="30"/>
      <w:bookmarkEnd w:id="31"/>
      <w:r>
        <w:t xml:space="preserve">.4  </w:t>
      </w:r>
      <w:r>
        <w:rPr>
          <w:rFonts w:hint="eastAsia"/>
        </w:rPr>
        <w:t>生活饮用水标准检验方法 第4部分：感官性状和物理指标</w:t>
      </w:r>
    </w:p>
    <w:p w14:paraId="3B234F50">
      <w:pPr>
        <w:pStyle w:val="50"/>
        <w:ind w:firstLine="420"/>
      </w:pPr>
      <w:r>
        <w:rPr>
          <w:rFonts w:hint="eastAsia"/>
        </w:rPr>
        <w:t>GB 6388</w:t>
      </w:r>
      <w:r>
        <w:t xml:space="preserve">  </w:t>
      </w:r>
      <w:r>
        <w:rPr>
          <w:rFonts w:hint="eastAsia"/>
        </w:rPr>
        <w:t>运输包装收发货标志</w:t>
      </w:r>
    </w:p>
    <w:p w14:paraId="78DA98F1">
      <w:pPr>
        <w:pStyle w:val="50"/>
        <w:ind w:firstLine="420"/>
      </w:pPr>
      <w:r>
        <w:rPr>
          <w:rFonts w:hint="eastAsia"/>
        </w:rPr>
        <w:t>GB 7718</w:t>
      </w:r>
      <w:r>
        <w:t xml:space="preserve">  </w:t>
      </w:r>
      <w:r>
        <w:rPr>
          <w:rFonts w:hint="eastAsia"/>
        </w:rPr>
        <w:t>食品安全国家标准 预包装食品标签通则</w:t>
      </w:r>
    </w:p>
    <w:p w14:paraId="755565E2">
      <w:pPr>
        <w:pStyle w:val="50"/>
        <w:ind w:firstLine="420"/>
      </w:pPr>
      <w:r>
        <w:t xml:space="preserve">GB 8538  </w:t>
      </w:r>
      <w:r>
        <w:rPr>
          <w:rFonts w:hint="eastAsia"/>
        </w:rPr>
        <w:t>食品安全国家标准 饮用天然矿泉水检验方法</w:t>
      </w:r>
    </w:p>
    <w:p w14:paraId="284838D8">
      <w:pPr>
        <w:pStyle w:val="50"/>
        <w:ind w:firstLine="420"/>
      </w:pPr>
      <w:r>
        <w:t xml:space="preserve">GB 12695  </w:t>
      </w:r>
      <w:r>
        <w:rPr>
          <w:rFonts w:hint="eastAsia"/>
        </w:rPr>
        <w:t>食品安全国家标准 饮料生产卫生规范</w:t>
      </w:r>
    </w:p>
    <w:p w14:paraId="0046BD08">
      <w:pPr>
        <w:pStyle w:val="50"/>
        <w:ind w:firstLine="420"/>
      </w:pPr>
      <w:r>
        <w:t xml:space="preserve">GB 14881  </w:t>
      </w:r>
      <w:r>
        <w:rPr>
          <w:rFonts w:hint="eastAsia"/>
        </w:rPr>
        <w:t>食品安全国家标准 食品生产通用卫生规范</w:t>
      </w:r>
    </w:p>
    <w:p w14:paraId="0B744B31">
      <w:pPr>
        <w:pStyle w:val="50"/>
        <w:ind w:firstLine="420"/>
      </w:pPr>
      <w:r>
        <w:t xml:space="preserve">GB 19304  </w:t>
      </w:r>
      <w:r>
        <w:rPr>
          <w:rFonts w:hint="eastAsia"/>
        </w:rPr>
        <w:t>食品安全国家标准 包装饮用水生产卫生规范</w:t>
      </w:r>
    </w:p>
    <w:p w14:paraId="2E92C9B7">
      <w:pPr>
        <w:pStyle w:val="50"/>
        <w:ind w:firstLine="420"/>
      </w:pPr>
      <w:r>
        <w:t xml:space="preserve">GB 28050  </w:t>
      </w:r>
      <w:r>
        <w:rPr>
          <w:rFonts w:hint="eastAsia"/>
        </w:rPr>
        <w:t>食品安全国家标准 预包装食品营养标签通则</w:t>
      </w:r>
    </w:p>
    <w:p w14:paraId="52736B67">
      <w:pPr>
        <w:pStyle w:val="50"/>
        <w:ind w:firstLine="420"/>
      </w:pPr>
      <w:r>
        <w:t xml:space="preserve">JJF 1070  </w:t>
      </w:r>
      <w:r>
        <w:rPr>
          <w:rFonts w:hint="eastAsia"/>
        </w:rPr>
        <w:t>定量包装商品净含量计量检验规则</w:t>
      </w:r>
    </w:p>
    <w:p w14:paraId="595EC826">
      <w:pPr>
        <w:pStyle w:val="50"/>
        <w:ind w:firstLine="420"/>
      </w:pPr>
      <w:r>
        <w:rPr>
          <w:rFonts w:hint="eastAsia"/>
        </w:rPr>
        <w:t>《定量包装商品计量监督管理办法》国家市场监督管理总局令[2023]第70号</w:t>
      </w:r>
    </w:p>
    <w:p w14:paraId="0F762F7D">
      <w:pPr>
        <w:pStyle w:val="50"/>
        <w:ind w:firstLine="420"/>
      </w:pPr>
      <w:r>
        <w:rPr>
          <w:rFonts w:hint="eastAsia"/>
        </w:rPr>
        <w:t>《食品标识监督管理办法》</w:t>
      </w:r>
      <w:r>
        <w:rPr>
          <w:rFonts w:hint="eastAsia"/>
        </w:rPr>
        <w:tab/>
      </w:r>
      <w:r>
        <w:rPr>
          <w:rFonts w:hint="eastAsia"/>
        </w:rPr>
        <w:t>国家市场监督管理总局令[2025]第100号</w:t>
      </w:r>
    </w:p>
    <w:p w14:paraId="5D8F8EE1">
      <w:pPr>
        <w:pStyle w:val="58"/>
        <w:numPr>
          <w:ilvl w:val="1"/>
          <w:numId w:val="1"/>
        </w:numPr>
        <w:spacing w:before="312" w:after="312"/>
      </w:pPr>
      <w:bookmarkStart w:id="32" w:name="_Toc212560809"/>
      <w:bookmarkStart w:id="33" w:name="_Toc97192966"/>
      <w:r>
        <w:rPr>
          <w:rFonts w:hint="eastAsia"/>
          <w:szCs w:val="21"/>
        </w:rPr>
        <w:t>术语和定义</w:t>
      </w:r>
      <w:bookmarkEnd w:id="32"/>
      <w:bookmarkEnd w:id="33"/>
    </w:p>
    <w:sdt>
      <w:sdtPr>
        <w:id w:val="-1909835108"/>
        <w:placeholder>
          <w:docPart w:val="24C4B76BABF6468BB95C4A8C0EE4F0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822668">
          <w:pPr>
            <w:pStyle w:val="50"/>
            <w:ind w:firstLine="420"/>
          </w:pPr>
          <w:bookmarkStart w:id="34" w:name="_Toc26986532"/>
          <w:bookmarkEnd w:id="34"/>
          <w:r>
            <w:t>下列术语和定义适用于本文件。</w:t>
          </w:r>
        </w:p>
      </w:sdtContent>
    </w:sdt>
    <w:p w14:paraId="0AE65B00">
      <w:pPr>
        <w:pStyle w:val="66"/>
        <w:numPr>
          <w:ilvl w:val="2"/>
          <w:numId w:val="1"/>
        </w:numPr>
        <w:rPr>
          <w:rFonts w:ascii="黑体" w:hAnsi="黑体" w:eastAsia="黑体"/>
        </w:rPr>
      </w:pPr>
      <w:r>
        <w:rPr>
          <w:rFonts w:ascii="黑体" w:hAnsi="黑体" w:eastAsia="黑体"/>
        </w:rPr>
        <w:br w:type="textWrapping"/>
      </w:r>
      <w:r>
        <w:rPr>
          <w:rFonts w:hint="eastAsia" w:ascii="黑体" w:hAnsi="黑体" w:eastAsia="黑体"/>
        </w:rPr>
        <w:t xml:space="preserve"> </w:t>
      </w:r>
      <w:r>
        <w:rPr>
          <w:rFonts w:ascii="黑体" w:hAnsi="黑体" w:eastAsia="黑体"/>
        </w:rPr>
        <w:t xml:space="preserve">   </w:t>
      </w:r>
      <w:r>
        <w:rPr>
          <w:rFonts w:hint="eastAsia" w:ascii="黑体" w:hAnsi="黑体" w:eastAsia="黑体"/>
        </w:rPr>
        <w:t xml:space="preserve">母婴用天然泉水 </w:t>
      </w:r>
      <w:r>
        <w:rPr>
          <w:rFonts w:ascii="黑体" w:hAnsi="黑体" w:eastAsia="黑体"/>
        </w:rPr>
        <w:t xml:space="preserve"> </w:t>
      </w:r>
      <w:r>
        <w:rPr>
          <w:rFonts w:hint="eastAsia" w:ascii="黑体" w:hAnsi="黑体" w:eastAsia="黑体"/>
        </w:rPr>
        <w:t>n</w:t>
      </w:r>
      <w:r>
        <w:rPr>
          <w:rFonts w:ascii="黑体" w:hAnsi="黑体" w:eastAsia="黑体"/>
        </w:rPr>
        <w:t>atural spring water for mothers and babies</w:t>
      </w:r>
    </w:p>
    <w:p w14:paraId="3BCA4861">
      <w:pPr>
        <w:pStyle w:val="50"/>
        <w:ind w:firstLine="420"/>
      </w:pPr>
      <w:r>
        <w:rPr>
          <w:rFonts w:ascii="Arial" w:hAnsi="Arial" w:cs="Arial"/>
          <w:color w:val="000000"/>
          <w:shd w:val="clear" w:color="auto" w:fill="FCFCFC"/>
        </w:rPr>
        <w:t>以地下自然涌出的泉水或经钻井采集的地下泉水，且未经过公共供水系统的自然来源的水为水源，经特殊工艺处理后，适于母婴人群</w:t>
      </w:r>
      <w:r>
        <w:rPr>
          <w:rFonts w:hint="eastAsia" w:ascii="Arial" w:hAnsi="Arial" w:cs="Arial"/>
          <w:color w:val="000000"/>
          <w:shd w:val="clear" w:color="auto" w:fill="FCFCFC"/>
        </w:rPr>
        <w:t>（包括备孕妇女、孕妇、乳</w:t>
      </w:r>
      <w:r>
        <w:rPr>
          <w:rFonts w:hint="eastAsia" w:hAnsi="宋体" w:cs="Arial"/>
          <w:color w:val="000000"/>
          <w:shd w:val="clear" w:color="auto" w:fill="FCFCFC"/>
        </w:rPr>
        <w:t>母、2岁以下</w:t>
      </w:r>
      <w:r>
        <w:rPr>
          <w:rFonts w:hint="eastAsia" w:ascii="Arial" w:hAnsi="Arial" w:cs="Arial"/>
          <w:color w:val="000000"/>
          <w:shd w:val="clear" w:color="auto" w:fill="FCFCFC"/>
        </w:rPr>
        <w:t>婴儿等）</w:t>
      </w:r>
      <w:r>
        <w:rPr>
          <w:rFonts w:ascii="Arial" w:hAnsi="Arial" w:cs="Arial"/>
          <w:color w:val="000000"/>
          <w:shd w:val="clear" w:color="auto" w:fill="FCFCFC"/>
        </w:rPr>
        <w:t>饮用的包装饮用水。</w:t>
      </w:r>
    </w:p>
    <w:p w14:paraId="5A4B2120">
      <w:pPr>
        <w:pStyle w:val="58"/>
        <w:numPr>
          <w:ilvl w:val="1"/>
          <w:numId w:val="1"/>
        </w:numPr>
        <w:spacing w:before="312" w:after="312"/>
      </w:pPr>
      <w:bookmarkStart w:id="35" w:name="_Toc212560810"/>
      <w:r>
        <w:rPr>
          <w:rFonts w:hint="eastAsia"/>
        </w:rPr>
        <w:t>技术要求</w:t>
      </w:r>
      <w:bookmarkEnd w:id="35"/>
    </w:p>
    <w:p w14:paraId="63E49E81">
      <w:pPr>
        <w:pStyle w:val="45"/>
        <w:spacing w:before="156" w:beforeLines="50" w:after="156" w:afterLines="50"/>
      </w:pPr>
      <w:bookmarkStart w:id="36" w:name="_Toc212560811"/>
      <w:r>
        <w:rPr>
          <w:rFonts w:hint="eastAsia"/>
        </w:rPr>
        <w:t>水源地要求</w:t>
      </w:r>
      <w:bookmarkEnd w:id="36"/>
    </w:p>
    <w:p w14:paraId="2BE5CB80">
      <w:pPr>
        <w:pStyle w:val="61"/>
        <w:numPr>
          <w:ilvl w:val="3"/>
          <w:numId w:val="1"/>
        </w:numPr>
      </w:pPr>
      <w:r>
        <w:rPr>
          <w:rFonts w:hint="eastAsia"/>
        </w:rPr>
        <w:t>水源应来自无污染的特定地质构造区域的天然泉水，该区域应远离工业污染源、农业污染源和生活污染源，周边生态环境良好，有明确的水源保护措施。</w:t>
      </w:r>
      <w:r>
        <w:rPr>
          <w:rFonts w:hint="eastAsia" w:ascii="MS Gothic" w:hAnsi="MS Gothic" w:eastAsia="MS Gothic" w:cs="MS Gothic"/>
        </w:rPr>
        <w:t>​</w:t>
      </w:r>
    </w:p>
    <w:p w14:paraId="7140DA84">
      <w:pPr>
        <w:pStyle w:val="61"/>
        <w:numPr>
          <w:ilvl w:val="3"/>
          <w:numId w:val="1"/>
        </w:numPr>
      </w:pPr>
      <w:r>
        <w:rPr>
          <w:rFonts w:hint="eastAsia"/>
        </w:rPr>
        <w:t>水源水应符合GB 5749的规定，且水质稳定，矿物质和微量元素含量符合本文件对母婴天然泉水的要求。</w:t>
      </w:r>
    </w:p>
    <w:p w14:paraId="7F467BEF">
      <w:pPr>
        <w:pStyle w:val="61"/>
        <w:numPr>
          <w:ilvl w:val="3"/>
          <w:numId w:val="1"/>
        </w:numPr>
      </w:pPr>
      <w:r>
        <w:rPr>
          <w:rFonts w:hint="eastAsia"/>
        </w:rPr>
        <w:t>在水源取水点及周边定期进行水质监测，确保水源水质符合要求。</w:t>
      </w:r>
    </w:p>
    <w:p w14:paraId="45140F5A">
      <w:pPr>
        <w:pStyle w:val="45"/>
        <w:spacing w:before="156" w:beforeLines="50" w:after="156" w:afterLines="50"/>
      </w:pPr>
      <w:bookmarkStart w:id="37" w:name="_Toc212560812"/>
      <w:r>
        <w:rPr>
          <w:rFonts w:hint="eastAsia"/>
        </w:rPr>
        <w:t>原料要求</w:t>
      </w:r>
      <w:bookmarkEnd w:id="37"/>
    </w:p>
    <w:p w14:paraId="60D6490B">
      <w:pPr>
        <w:pStyle w:val="50"/>
        <w:ind w:firstLine="420"/>
      </w:pPr>
      <w:r>
        <w:rPr>
          <w:rFonts w:hint="eastAsia"/>
        </w:rPr>
        <w:t>水源水从地下深处自然涌出或经钻井采集。水源的卫生防护和水源水水质监测按照GB</w:t>
      </w:r>
      <w:r>
        <w:t xml:space="preserve"> </w:t>
      </w:r>
      <w:r>
        <w:rPr>
          <w:rFonts w:hint="eastAsia"/>
        </w:rPr>
        <w:t>19304规定。</w:t>
      </w:r>
    </w:p>
    <w:p w14:paraId="4844F769">
      <w:pPr>
        <w:pStyle w:val="58"/>
        <w:numPr>
          <w:ilvl w:val="1"/>
          <w:numId w:val="1"/>
        </w:numPr>
        <w:spacing w:before="312" w:after="312"/>
      </w:pPr>
      <w:bookmarkStart w:id="38" w:name="_Toc212560813"/>
      <w:r>
        <w:rPr>
          <w:rFonts w:hint="eastAsia"/>
        </w:rPr>
        <w:t>技术要求</w:t>
      </w:r>
      <w:bookmarkEnd w:id="38"/>
    </w:p>
    <w:p w14:paraId="747134C3">
      <w:pPr>
        <w:pStyle w:val="45"/>
        <w:spacing w:before="156" w:beforeLines="50" w:after="156" w:afterLines="50"/>
      </w:pPr>
      <w:bookmarkStart w:id="39" w:name="_Toc212560814"/>
      <w:r>
        <w:rPr>
          <w:rFonts w:hint="eastAsia"/>
        </w:rPr>
        <w:t>感官要求</w:t>
      </w:r>
      <w:bookmarkEnd w:id="39"/>
    </w:p>
    <w:p w14:paraId="73448006">
      <w:pPr>
        <w:pStyle w:val="50"/>
        <w:ind w:firstLine="420"/>
      </w:pPr>
      <w:r>
        <w:rPr>
          <w:rFonts w:hint="eastAsia"/>
        </w:rPr>
        <w:t>感官要求应符合表1的规定。</w:t>
      </w:r>
    </w:p>
    <w:p w14:paraId="5DF1DAFC">
      <w:pPr>
        <w:pStyle w:val="59"/>
        <w:spacing w:before="156" w:after="156"/>
      </w:pPr>
      <w:r>
        <w:rPr>
          <w:rFonts w:hint="eastAsia"/>
        </w:rPr>
        <w:t>感官要求</w:t>
      </w:r>
    </w:p>
    <w:tbl>
      <w:tblPr>
        <w:tblStyle w:val="1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42"/>
        <w:gridCol w:w="3680"/>
        <w:gridCol w:w="3112"/>
      </w:tblGrid>
      <w:tr w14:paraId="0E1EA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jc w:val="center"/>
        </w:trPr>
        <w:tc>
          <w:tcPr>
            <w:tcW w:w="2542" w:type="dxa"/>
            <w:tcBorders>
              <w:top w:val="single" w:color="auto" w:sz="8" w:space="0"/>
              <w:bottom w:val="single" w:color="auto" w:sz="8" w:space="0"/>
            </w:tcBorders>
            <w:shd w:val="clear" w:color="auto" w:fill="auto"/>
            <w:vAlign w:val="center"/>
          </w:tcPr>
          <w:p w14:paraId="1DC53247">
            <w:pPr>
              <w:pStyle w:val="64"/>
              <w:rPr>
                <w:rFonts w:cs="Calibri"/>
              </w:rPr>
            </w:pPr>
            <w:r>
              <w:rPr>
                <w:rFonts w:hint="eastAsia" w:cs="Calibri"/>
              </w:rPr>
              <w:t>项目</w:t>
            </w:r>
          </w:p>
        </w:tc>
        <w:tc>
          <w:tcPr>
            <w:tcW w:w="3680" w:type="dxa"/>
            <w:tcBorders>
              <w:top w:val="single" w:color="auto" w:sz="8" w:space="0"/>
              <w:bottom w:val="single" w:color="auto" w:sz="8" w:space="0"/>
            </w:tcBorders>
            <w:shd w:val="clear" w:color="auto" w:fill="auto"/>
            <w:vAlign w:val="center"/>
          </w:tcPr>
          <w:p w14:paraId="1E79B0C3">
            <w:pPr>
              <w:pStyle w:val="64"/>
              <w:rPr>
                <w:rFonts w:cs="Calibri"/>
              </w:rPr>
            </w:pPr>
            <w:r>
              <w:rPr>
                <w:rFonts w:hint="eastAsia" w:cs="Calibri"/>
              </w:rPr>
              <w:t>要求</w:t>
            </w:r>
          </w:p>
        </w:tc>
        <w:tc>
          <w:tcPr>
            <w:tcW w:w="3112" w:type="dxa"/>
            <w:tcBorders>
              <w:top w:val="single" w:color="auto" w:sz="8" w:space="0"/>
              <w:bottom w:val="single" w:color="auto" w:sz="8" w:space="0"/>
            </w:tcBorders>
            <w:shd w:val="clear" w:color="auto" w:fill="auto"/>
            <w:vAlign w:val="center"/>
          </w:tcPr>
          <w:p w14:paraId="44C776D6">
            <w:pPr>
              <w:pStyle w:val="64"/>
              <w:rPr>
                <w:rFonts w:cs="Calibri"/>
              </w:rPr>
            </w:pPr>
            <w:r>
              <w:rPr>
                <w:rFonts w:hint="eastAsia" w:cs="Calibri"/>
              </w:rPr>
              <w:t>检验方法</w:t>
            </w:r>
          </w:p>
        </w:tc>
      </w:tr>
      <w:tr w14:paraId="65941B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42" w:type="dxa"/>
            <w:tcBorders>
              <w:top w:val="single" w:color="auto" w:sz="8" w:space="0"/>
            </w:tcBorders>
            <w:shd w:val="clear" w:color="auto" w:fill="auto"/>
            <w:vAlign w:val="center"/>
          </w:tcPr>
          <w:p w14:paraId="087FEC01">
            <w:pPr>
              <w:pStyle w:val="64"/>
              <w:rPr>
                <w:rFonts w:cs="Calibri"/>
              </w:rPr>
            </w:pPr>
            <w:r>
              <w:rPr>
                <w:rFonts w:hint="eastAsia" w:cs="Calibri"/>
              </w:rPr>
              <w:t xml:space="preserve"> </w:t>
            </w:r>
            <w:r>
              <w:rPr>
                <w:rFonts w:cs="Calibri"/>
              </w:rPr>
              <w:t xml:space="preserve">         </w:t>
            </w:r>
            <w:r>
              <w:rPr>
                <w:rFonts w:hint="eastAsia" w:cs="Calibri"/>
              </w:rPr>
              <w:t xml:space="preserve">色度/度 </w:t>
            </w:r>
            <w:r>
              <w:rPr>
                <w:rFonts w:cs="Calibri"/>
              </w:rPr>
              <w:t xml:space="preserve">        </w:t>
            </w:r>
            <w:bookmarkStart w:id="40" w:name="OLE_LINK18"/>
            <w:bookmarkStart w:id="41" w:name="OLE_LINK17"/>
            <w:r>
              <w:rPr>
                <w:rFonts w:hint="eastAsia" w:cs="Calibri"/>
              </w:rPr>
              <w:t>≤</w:t>
            </w:r>
            <w:bookmarkEnd w:id="40"/>
            <w:bookmarkEnd w:id="41"/>
          </w:p>
        </w:tc>
        <w:tc>
          <w:tcPr>
            <w:tcW w:w="3680" w:type="dxa"/>
            <w:tcBorders>
              <w:top w:val="single" w:color="auto" w:sz="8" w:space="0"/>
            </w:tcBorders>
            <w:shd w:val="clear" w:color="auto" w:fill="auto"/>
            <w:vAlign w:val="center"/>
          </w:tcPr>
          <w:p w14:paraId="4D2D571E">
            <w:pPr>
              <w:pStyle w:val="64"/>
              <w:rPr>
                <w:rFonts w:cs="Calibri"/>
              </w:rPr>
            </w:pPr>
            <w:r>
              <w:rPr>
                <w:rFonts w:hint="eastAsia" w:cs="Calibri"/>
              </w:rPr>
              <w:t>10(不得呈现其他异色)</w:t>
            </w:r>
          </w:p>
        </w:tc>
        <w:tc>
          <w:tcPr>
            <w:tcW w:w="3112" w:type="dxa"/>
            <w:vMerge w:val="restart"/>
            <w:tcBorders>
              <w:top w:val="single" w:color="auto" w:sz="8" w:space="0"/>
            </w:tcBorders>
            <w:shd w:val="clear" w:color="auto" w:fill="auto"/>
            <w:vAlign w:val="center"/>
          </w:tcPr>
          <w:p w14:paraId="78AB51B3">
            <w:pPr>
              <w:pStyle w:val="64"/>
              <w:rPr>
                <w:rFonts w:cs="Calibri"/>
              </w:rPr>
            </w:pPr>
            <w:bookmarkStart w:id="42" w:name="OLE_LINK43"/>
            <w:bookmarkStart w:id="43" w:name="OLE_LINK44"/>
            <w:r>
              <w:rPr>
                <w:rFonts w:hint="eastAsia" w:cs="Calibri"/>
              </w:rPr>
              <w:t>G</w:t>
            </w:r>
            <w:r>
              <w:rPr>
                <w:rFonts w:cs="Calibri"/>
              </w:rPr>
              <w:t>B 8538</w:t>
            </w:r>
            <w:bookmarkEnd w:id="42"/>
            <w:bookmarkEnd w:id="43"/>
          </w:p>
        </w:tc>
      </w:tr>
      <w:tr w14:paraId="719CF3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42" w:type="dxa"/>
            <w:shd w:val="clear" w:color="auto" w:fill="auto"/>
            <w:vAlign w:val="center"/>
          </w:tcPr>
          <w:p w14:paraId="21B1A1EA">
            <w:pPr>
              <w:pStyle w:val="64"/>
              <w:rPr>
                <w:rFonts w:cs="Calibri"/>
              </w:rPr>
            </w:pPr>
            <w:r>
              <w:rPr>
                <w:rFonts w:hint="eastAsia" w:cs="Calibri"/>
              </w:rPr>
              <w:t xml:space="preserve"> </w:t>
            </w:r>
            <w:r>
              <w:rPr>
                <w:rFonts w:cs="Calibri"/>
              </w:rPr>
              <w:t xml:space="preserve">        </w:t>
            </w:r>
            <w:r>
              <w:rPr>
                <w:rFonts w:hint="eastAsia" w:cs="Calibri"/>
              </w:rPr>
              <w:t>浑浊度/NTU</w:t>
            </w:r>
            <w:r>
              <w:rPr>
                <w:rFonts w:cs="Calibri"/>
              </w:rPr>
              <w:t xml:space="preserve">       </w:t>
            </w:r>
            <w:r>
              <w:rPr>
                <w:rFonts w:hint="eastAsia" w:cs="Calibri"/>
              </w:rPr>
              <w:t>≤</w:t>
            </w:r>
          </w:p>
        </w:tc>
        <w:tc>
          <w:tcPr>
            <w:tcW w:w="3680" w:type="dxa"/>
            <w:shd w:val="clear" w:color="auto" w:fill="auto"/>
            <w:vAlign w:val="center"/>
          </w:tcPr>
          <w:p w14:paraId="33FB37DD">
            <w:pPr>
              <w:pStyle w:val="64"/>
              <w:rPr>
                <w:rFonts w:cs="Calibri"/>
              </w:rPr>
            </w:pPr>
            <w:r>
              <w:rPr>
                <w:rFonts w:cs="Calibri"/>
              </w:rPr>
              <w:t>1</w:t>
            </w:r>
          </w:p>
        </w:tc>
        <w:tc>
          <w:tcPr>
            <w:tcW w:w="3112" w:type="dxa"/>
            <w:vMerge w:val="continue"/>
            <w:shd w:val="clear" w:color="auto" w:fill="auto"/>
            <w:vAlign w:val="center"/>
          </w:tcPr>
          <w:p w14:paraId="6BB98254">
            <w:pPr>
              <w:pStyle w:val="64"/>
              <w:rPr>
                <w:rFonts w:cs="Calibri"/>
              </w:rPr>
            </w:pPr>
          </w:p>
        </w:tc>
      </w:tr>
      <w:tr w14:paraId="4FB02D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42" w:type="dxa"/>
            <w:shd w:val="clear" w:color="auto" w:fill="auto"/>
            <w:vAlign w:val="center"/>
          </w:tcPr>
          <w:p w14:paraId="73C00951">
            <w:pPr>
              <w:pStyle w:val="64"/>
              <w:rPr>
                <w:rFonts w:cs="Calibri"/>
              </w:rPr>
            </w:pPr>
            <w:r>
              <w:rPr>
                <w:rFonts w:hint="eastAsia" w:cs="Calibri"/>
              </w:rPr>
              <w:t>滋味、气味</w:t>
            </w:r>
          </w:p>
        </w:tc>
        <w:tc>
          <w:tcPr>
            <w:tcW w:w="3680" w:type="dxa"/>
            <w:shd w:val="clear" w:color="auto" w:fill="auto"/>
            <w:vAlign w:val="center"/>
          </w:tcPr>
          <w:p w14:paraId="163837C1">
            <w:pPr>
              <w:pStyle w:val="64"/>
              <w:rPr>
                <w:rFonts w:cs="Calibri"/>
              </w:rPr>
            </w:pPr>
            <w:r>
              <w:rPr>
                <w:rFonts w:hint="eastAsia" w:cs="Calibri"/>
              </w:rPr>
              <w:t>具有矿泉水特征性口味,无异味、无异嗅</w:t>
            </w:r>
          </w:p>
        </w:tc>
        <w:tc>
          <w:tcPr>
            <w:tcW w:w="3112" w:type="dxa"/>
            <w:vMerge w:val="continue"/>
            <w:shd w:val="clear" w:color="auto" w:fill="auto"/>
            <w:vAlign w:val="center"/>
          </w:tcPr>
          <w:p w14:paraId="25594773">
            <w:pPr>
              <w:pStyle w:val="64"/>
              <w:rPr>
                <w:rFonts w:cs="Calibri"/>
              </w:rPr>
            </w:pPr>
          </w:p>
        </w:tc>
      </w:tr>
      <w:tr w14:paraId="07E9C6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2542" w:type="dxa"/>
            <w:shd w:val="clear" w:color="auto" w:fill="auto"/>
            <w:vAlign w:val="center"/>
          </w:tcPr>
          <w:p w14:paraId="45A6DE07">
            <w:pPr>
              <w:pStyle w:val="64"/>
              <w:rPr>
                <w:rFonts w:cs="Calibri"/>
              </w:rPr>
            </w:pPr>
            <w:r>
              <w:rPr>
                <w:rFonts w:hint="eastAsia" w:cs="Calibri"/>
              </w:rPr>
              <w:t>状态</w:t>
            </w:r>
          </w:p>
        </w:tc>
        <w:tc>
          <w:tcPr>
            <w:tcW w:w="3680" w:type="dxa"/>
            <w:shd w:val="clear" w:color="auto" w:fill="auto"/>
            <w:vAlign w:val="center"/>
          </w:tcPr>
          <w:p w14:paraId="0181B5ED">
            <w:pPr>
              <w:pStyle w:val="64"/>
              <w:rPr>
                <w:rFonts w:cs="Calibri"/>
              </w:rPr>
            </w:pPr>
            <w:r>
              <w:rPr>
                <w:rFonts w:hint="eastAsia" w:cs="Calibri"/>
              </w:rPr>
              <w:t>无正常视力可见外来异物</w:t>
            </w:r>
          </w:p>
        </w:tc>
        <w:tc>
          <w:tcPr>
            <w:tcW w:w="3112" w:type="dxa"/>
            <w:vMerge w:val="continue"/>
            <w:shd w:val="clear" w:color="auto" w:fill="auto"/>
            <w:vAlign w:val="center"/>
          </w:tcPr>
          <w:p w14:paraId="6BE7B6BD">
            <w:pPr>
              <w:pStyle w:val="64"/>
              <w:rPr>
                <w:rFonts w:cs="Calibri"/>
              </w:rPr>
            </w:pPr>
          </w:p>
        </w:tc>
      </w:tr>
    </w:tbl>
    <w:p w14:paraId="629C7EB4">
      <w:pPr>
        <w:pStyle w:val="45"/>
        <w:spacing w:before="156" w:beforeLines="50" w:after="156" w:afterLines="50"/>
      </w:pPr>
      <w:bookmarkStart w:id="44" w:name="_Toc212560815"/>
      <w:r>
        <w:rPr>
          <w:rFonts w:hint="eastAsia"/>
        </w:rPr>
        <w:t>理化指标</w:t>
      </w:r>
      <w:bookmarkEnd w:id="44"/>
    </w:p>
    <w:p w14:paraId="24963880">
      <w:pPr>
        <w:pStyle w:val="50"/>
        <w:ind w:firstLine="420"/>
      </w:pPr>
      <w:r>
        <w:rPr>
          <w:rFonts w:hint="eastAsia"/>
        </w:rPr>
        <w:t>理化指标应符合表2的规定。</w:t>
      </w:r>
    </w:p>
    <w:p w14:paraId="261146B5">
      <w:pPr>
        <w:pStyle w:val="59"/>
        <w:spacing w:before="156" w:after="156"/>
      </w:pPr>
      <w:r>
        <w:rPr>
          <w:rFonts w:hint="eastAsia"/>
        </w:rPr>
        <w:t>理化指标</w:t>
      </w:r>
    </w:p>
    <w:tbl>
      <w:tblPr>
        <w:tblStyle w:val="1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42"/>
        <w:gridCol w:w="4536"/>
        <w:gridCol w:w="2256"/>
      </w:tblGrid>
      <w:tr w14:paraId="5AC588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97" w:hRule="atLeast"/>
          <w:tblHeader/>
          <w:jc w:val="center"/>
        </w:trPr>
        <w:tc>
          <w:tcPr>
            <w:tcW w:w="2542" w:type="dxa"/>
            <w:tcBorders>
              <w:top w:val="single" w:color="auto" w:sz="8" w:space="0"/>
              <w:bottom w:val="single" w:color="auto" w:sz="8" w:space="0"/>
            </w:tcBorders>
            <w:shd w:val="clear" w:color="auto" w:fill="auto"/>
            <w:vAlign w:val="center"/>
          </w:tcPr>
          <w:p w14:paraId="74E50834">
            <w:pPr>
              <w:pStyle w:val="64"/>
              <w:rPr>
                <w:rFonts w:cs="Calibri"/>
              </w:rPr>
            </w:pPr>
            <w:r>
              <w:rPr>
                <w:rFonts w:hint="eastAsia" w:cs="Calibri"/>
              </w:rPr>
              <w:t>项目</w:t>
            </w:r>
          </w:p>
        </w:tc>
        <w:tc>
          <w:tcPr>
            <w:tcW w:w="4536" w:type="dxa"/>
            <w:tcBorders>
              <w:top w:val="single" w:color="auto" w:sz="8" w:space="0"/>
              <w:bottom w:val="single" w:color="auto" w:sz="8" w:space="0"/>
            </w:tcBorders>
            <w:shd w:val="clear" w:color="auto" w:fill="auto"/>
            <w:vAlign w:val="center"/>
          </w:tcPr>
          <w:p w14:paraId="31463776">
            <w:pPr>
              <w:pStyle w:val="64"/>
              <w:rPr>
                <w:rFonts w:cs="Calibri"/>
              </w:rPr>
            </w:pPr>
            <w:r>
              <w:rPr>
                <w:rFonts w:hint="eastAsia" w:cs="Calibri"/>
              </w:rPr>
              <w:t>要求</w:t>
            </w:r>
          </w:p>
        </w:tc>
        <w:tc>
          <w:tcPr>
            <w:tcW w:w="2256" w:type="dxa"/>
            <w:tcBorders>
              <w:top w:val="single" w:color="auto" w:sz="8" w:space="0"/>
              <w:bottom w:val="single" w:color="auto" w:sz="8" w:space="0"/>
            </w:tcBorders>
            <w:shd w:val="clear" w:color="auto" w:fill="auto"/>
            <w:vAlign w:val="center"/>
          </w:tcPr>
          <w:p w14:paraId="4215A654">
            <w:pPr>
              <w:pStyle w:val="64"/>
              <w:rPr>
                <w:rFonts w:cs="Calibri"/>
              </w:rPr>
            </w:pPr>
            <w:r>
              <w:rPr>
                <w:rFonts w:hint="eastAsia" w:cs="Calibri"/>
              </w:rPr>
              <w:t>检验方法</w:t>
            </w:r>
          </w:p>
        </w:tc>
      </w:tr>
      <w:tr w14:paraId="408C86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tcBorders>
              <w:top w:val="single" w:color="auto" w:sz="8" w:space="0"/>
            </w:tcBorders>
            <w:shd w:val="clear" w:color="auto" w:fill="auto"/>
            <w:vAlign w:val="center"/>
          </w:tcPr>
          <w:p w14:paraId="242E8313">
            <w:pPr>
              <w:pStyle w:val="64"/>
              <w:rPr>
                <w:rFonts w:cs="Calibri"/>
                <w:color w:val="000000" w:themeColor="text1"/>
                <w14:textFill>
                  <w14:solidFill>
                    <w14:schemeClr w14:val="tx1"/>
                  </w14:solidFill>
                </w14:textFill>
              </w:rPr>
            </w:pPr>
            <w:bookmarkStart w:id="45" w:name="OLE_LINK5"/>
            <w:bookmarkStart w:id="46" w:name="OLE_LINK6"/>
            <w:r>
              <w:rPr>
                <w:rFonts w:hint="eastAsia" w:cs="Calibri"/>
                <w:color w:val="000000" w:themeColor="text1"/>
                <w14:textFill>
                  <w14:solidFill>
                    <w14:schemeClr w14:val="tx1"/>
                  </w14:solidFill>
                </w14:textFill>
              </w:rPr>
              <w:t>p</w:t>
            </w:r>
            <w:r>
              <w:rPr>
                <w:rFonts w:cs="Calibri"/>
                <w:color w:val="000000" w:themeColor="text1"/>
                <w14:textFill>
                  <w14:solidFill>
                    <w14:schemeClr w14:val="tx1"/>
                  </w14:solidFill>
                </w14:textFill>
              </w:rPr>
              <w:t>H</w:t>
            </w:r>
            <w:bookmarkEnd w:id="45"/>
            <w:bookmarkEnd w:id="46"/>
            <w:r>
              <w:rPr>
                <w:rFonts w:hint="eastAsia" w:cs="Calibri"/>
                <w:color w:val="000000" w:themeColor="text1"/>
                <w14:textFill>
                  <w14:solidFill>
                    <w14:schemeClr w14:val="tx1"/>
                  </w14:solidFill>
                </w14:textFill>
              </w:rPr>
              <w:t>值</w:t>
            </w:r>
          </w:p>
        </w:tc>
        <w:tc>
          <w:tcPr>
            <w:tcW w:w="4536" w:type="dxa"/>
            <w:tcBorders>
              <w:top w:val="single" w:color="auto" w:sz="8" w:space="0"/>
            </w:tcBorders>
            <w:shd w:val="clear" w:color="auto" w:fill="auto"/>
            <w:vAlign w:val="center"/>
          </w:tcPr>
          <w:p w14:paraId="710884F3">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7</w:t>
            </w:r>
            <w:r>
              <w:rPr>
                <w:rFonts w:cs="Calibri"/>
                <w:color w:val="000000" w:themeColor="text1"/>
                <w14:textFill>
                  <w14:solidFill>
                    <w14:schemeClr w14:val="tx1"/>
                  </w14:solidFill>
                </w14:textFill>
              </w:rPr>
              <w:t>.3</w:t>
            </w:r>
            <w:r>
              <w:rPr>
                <w:rFonts w:hint="eastAsia" w:cs="Calibri"/>
                <w:color w:val="000000" w:themeColor="text1"/>
                <w14:textFill>
                  <w14:solidFill>
                    <w14:schemeClr w14:val="tx1"/>
                  </w14:solidFill>
                </w14:textFill>
              </w:rPr>
              <w:t>±</w:t>
            </w:r>
            <w:r>
              <w:rPr>
                <w:rFonts w:cs="Calibri"/>
                <w:color w:val="000000" w:themeColor="text1"/>
                <w14:textFill>
                  <w14:solidFill>
                    <w14:schemeClr w14:val="tx1"/>
                  </w14:solidFill>
                </w14:textFill>
              </w:rPr>
              <w:t>0.5</w:t>
            </w:r>
          </w:p>
        </w:tc>
        <w:tc>
          <w:tcPr>
            <w:tcW w:w="2256" w:type="dxa"/>
            <w:vMerge w:val="restart"/>
            <w:tcBorders>
              <w:top w:val="single" w:color="auto" w:sz="8" w:space="0"/>
            </w:tcBorders>
            <w:shd w:val="clear" w:color="auto" w:fill="auto"/>
            <w:vAlign w:val="center"/>
          </w:tcPr>
          <w:p w14:paraId="6351C569">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G</w:t>
            </w:r>
            <w:r>
              <w:rPr>
                <w:rFonts w:cs="Calibri"/>
                <w:color w:val="000000" w:themeColor="text1"/>
                <w14:textFill>
                  <w14:solidFill>
                    <w14:schemeClr w14:val="tx1"/>
                  </w14:solidFill>
                </w14:textFill>
              </w:rPr>
              <w:t>B/T 5750.4</w:t>
            </w:r>
          </w:p>
        </w:tc>
      </w:tr>
      <w:tr w14:paraId="3AAADE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tcBorders>
              <w:top w:val="single" w:color="auto" w:sz="8" w:space="0"/>
            </w:tcBorders>
            <w:shd w:val="clear" w:color="auto" w:fill="auto"/>
            <w:vAlign w:val="center"/>
          </w:tcPr>
          <w:p w14:paraId="5DAF7AF7">
            <w:pPr>
              <w:pStyle w:val="64"/>
              <w:rPr>
                <w:rFonts w:cs="Calibri"/>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电导率(25℃)，μS/cm</w:t>
            </w:r>
            <w:r>
              <w:rPr>
                <w:rFonts w:hint="eastAsia" w:cs="Calibri"/>
                <w:color w:val="000000" w:themeColor="text1"/>
                <w14:textFill>
                  <w14:solidFill>
                    <w14:schemeClr w14:val="tx1"/>
                  </w14:solidFill>
                </w14:textFill>
              </w:rPr>
              <w:tab/>
            </w:r>
          </w:p>
        </w:tc>
        <w:tc>
          <w:tcPr>
            <w:tcW w:w="4536" w:type="dxa"/>
            <w:tcBorders>
              <w:top w:val="single" w:color="auto" w:sz="8" w:space="0"/>
            </w:tcBorders>
            <w:shd w:val="clear" w:color="auto" w:fill="auto"/>
            <w:vAlign w:val="center"/>
          </w:tcPr>
          <w:p w14:paraId="4FECEA9C">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25</w:t>
            </w:r>
            <w:r>
              <w:rPr>
                <w:rFonts w:hint="eastAsia" w:hAnsi="宋体" w:cs="Calibri"/>
                <w:color w:val="000000" w:themeColor="text1"/>
                <w14:textFill>
                  <w14:solidFill>
                    <w14:schemeClr w14:val="tx1"/>
                  </w14:solidFill>
                </w14:textFill>
              </w:rPr>
              <w:t>～</w:t>
            </w:r>
            <w:r>
              <w:rPr>
                <w:rFonts w:hint="eastAsia" w:cs="Calibri"/>
                <w:color w:val="000000" w:themeColor="text1"/>
                <w14:textFill>
                  <w14:solidFill>
                    <w14:schemeClr w14:val="tx1"/>
                  </w14:solidFill>
                </w14:textFill>
              </w:rPr>
              <w:t>200</w:t>
            </w:r>
          </w:p>
        </w:tc>
        <w:tc>
          <w:tcPr>
            <w:tcW w:w="2256" w:type="dxa"/>
            <w:vMerge w:val="continue"/>
            <w:shd w:val="clear" w:color="auto" w:fill="auto"/>
            <w:vAlign w:val="center"/>
          </w:tcPr>
          <w:p w14:paraId="3DD3C65B">
            <w:pPr>
              <w:pStyle w:val="64"/>
              <w:rPr>
                <w:rFonts w:cs="Calibri"/>
                <w:color w:val="000000" w:themeColor="text1"/>
                <w14:textFill>
                  <w14:solidFill>
                    <w14:schemeClr w14:val="tx1"/>
                  </w14:solidFill>
                </w14:textFill>
              </w:rPr>
            </w:pPr>
          </w:p>
        </w:tc>
      </w:tr>
      <w:tr w14:paraId="77BE7E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tcBorders>
              <w:top w:val="single" w:color="auto" w:sz="8" w:space="0"/>
            </w:tcBorders>
            <w:shd w:val="clear" w:color="auto" w:fill="auto"/>
            <w:vAlign w:val="center"/>
          </w:tcPr>
          <w:p w14:paraId="4318D4FA">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溶解性总固体，mg/L</w:t>
            </w:r>
          </w:p>
        </w:tc>
        <w:tc>
          <w:tcPr>
            <w:tcW w:w="4536" w:type="dxa"/>
            <w:tcBorders>
              <w:top w:val="single" w:color="auto" w:sz="8" w:space="0"/>
            </w:tcBorders>
            <w:shd w:val="clear" w:color="auto" w:fill="auto"/>
            <w:vAlign w:val="center"/>
          </w:tcPr>
          <w:p w14:paraId="2DB55129">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ab/>
            </w:r>
            <w:r>
              <w:rPr>
                <w:rFonts w:hint="eastAsia" w:cs="Calibri"/>
                <w:color w:val="000000" w:themeColor="text1"/>
                <w14:textFill>
                  <w14:solidFill>
                    <w14:schemeClr w14:val="tx1"/>
                  </w14:solidFill>
                </w14:textFill>
              </w:rPr>
              <w:t>20</w:t>
            </w:r>
            <w:r>
              <w:rPr>
                <w:rFonts w:hint="eastAsia" w:hAnsi="宋体" w:cs="Calibri"/>
                <w:color w:val="000000" w:themeColor="text1"/>
                <w14:textFill>
                  <w14:solidFill>
                    <w14:schemeClr w14:val="tx1"/>
                  </w14:solidFill>
                </w14:textFill>
              </w:rPr>
              <w:t>～</w:t>
            </w:r>
            <w:r>
              <w:rPr>
                <w:rFonts w:hint="eastAsia" w:cs="Calibri"/>
                <w:color w:val="000000" w:themeColor="text1"/>
                <w14:textFill>
                  <w14:solidFill>
                    <w14:schemeClr w14:val="tx1"/>
                  </w14:solidFill>
                </w14:textFill>
              </w:rPr>
              <w:t>100</w:t>
            </w:r>
            <w:r>
              <w:rPr>
                <w:rFonts w:hint="eastAsia" w:cs="Calibri"/>
                <w:color w:val="000000" w:themeColor="text1"/>
                <w14:textFill>
                  <w14:solidFill>
                    <w14:schemeClr w14:val="tx1"/>
                  </w14:solidFill>
                </w14:textFill>
              </w:rPr>
              <w:tab/>
            </w:r>
          </w:p>
        </w:tc>
        <w:tc>
          <w:tcPr>
            <w:tcW w:w="2256" w:type="dxa"/>
            <w:vMerge w:val="restart"/>
            <w:tcBorders>
              <w:top w:val="single" w:color="auto" w:sz="8" w:space="0"/>
            </w:tcBorders>
            <w:shd w:val="clear" w:color="auto" w:fill="auto"/>
            <w:vAlign w:val="center"/>
          </w:tcPr>
          <w:p w14:paraId="3CBCDF3A">
            <w:pPr>
              <w:pStyle w:val="64"/>
              <w:rPr>
                <w:rFonts w:cs="Calibri"/>
                <w:color w:val="000000" w:themeColor="text1"/>
                <w14:textFill>
                  <w14:solidFill>
                    <w14:schemeClr w14:val="tx1"/>
                  </w14:solidFill>
                </w14:textFill>
              </w:rPr>
            </w:pPr>
            <w:r>
              <w:rPr>
                <w:rFonts w:hint="eastAsia" w:cs="Calibri"/>
              </w:rPr>
              <w:t>G</w:t>
            </w:r>
            <w:r>
              <w:rPr>
                <w:rFonts w:cs="Calibri"/>
              </w:rPr>
              <w:t>B 8538</w:t>
            </w:r>
          </w:p>
        </w:tc>
      </w:tr>
      <w:tr w14:paraId="4F8FE1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tcBorders>
              <w:top w:val="single" w:color="auto" w:sz="8" w:space="0"/>
            </w:tcBorders>
            <w:shd w:val="clear" w:color="auto" w:fill="auto"/>
            <w:vAlign w:val="center"/>
          </w:tcPr>
          <w:p w14:paraId="15FC7314">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偏硅酸，mg/L</w:t>
            </w:r>
            <w:r>
              <w:rPr>
                <w:rFonts w:hint="eastAsia" w:cs="Calibri"/>
                <w:color w:val="000000" w:themeColor="text1"/>
                <w14:textFill>
                  <w14:solidFill>
                    <w14:schemeClr w14:val="tx1"/>
                  </w14:solidFill>
                </w14:textFill>
              </w:rPr>
              <w:tab/>
            </w:r>
            <w:r>
              <w:rPr>
                <w:rFonts w:hint="eastAsia" w:cs="Calibri"/>
                <w:color w:val="000000" w:themeColor="text1"/>
                <w14:textFill>
                  <w14:solidFill>
                    <w14:schemeClr w14:val="tx1"/>
                  </w14:solidFill>
                </w14:textFill>
              </w:rPr>
              <w:tab/>
            </w:r>
          </w:p>
        </w:tc>
        <w:tc>
          <w:tcPr>
            <w:tcW w:w="4536" w:type="dxa"/>
            <w:tcBorders>
              <w:top w:val="single" w:color="auto" w:sz="8" w:space="0"/>
            </w:tcBorders>
            <w:shd w:val="clear" w:color="auto" w:fill="auto"/>
            <w:vAlign w:val="center"/>
          </w:tcPr>
          <w:p w14:paraId="22FD7885">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1.8</w:t>
            </w:r>
            <w:r>
              <w:rPr>
                <w:rFonts w:hint="eastAsia" w:hAnsi="宋体" w:cs="Calibri"/>
                <w:color w:val="000000" w:themeColor="text1"/>
                <w14:textFill>
                  <w14:solidFill>
                    <w14:schemeClr w14:val="tx1"/>
                  </w14:solidFill>
                </w14:textFill>
              </w:rPr>
              <w:t>～</w:t>
            </w:r>
            <w:r>
              <w:rPr>
                <w:rFonts w:hint="eastAsia" w:cs="Calibri"/>
                <w:color w:val="000000" w:themeColor="text1"/>
                <w14:textFill>
                  <w14:solidFill>
                    <w14:schemeClr w14:val="tx1"/>
                  </w14:solidFill>
                </w14:textFill>
              </w:rPr>
              <w:t>50.0</w:t>
            </w:r>
          </w:p>
        </w:tc>
        <w:tc>
          <w:tcPr>
            <w:tcW w:w="2256" w:type="dxa"/>
            <w:vMerge w:val="continue"/>
            <w:shd w:val="clear" w:color="auto" w:fill="auto"/>
            <w:vAlign w:val="center"/>
          </w:tcPr>
          <w:p w14:paraId="154BCBE8">
            <w:pPr>
              <w:pStyle w:val="64"/>
              <w:rPr>
                <w:rFonts w:cs="Calibri"/>
                <w:color w:val="000000" w:themeColor="text1"/>
                <w14:textFill>
                  <w14:solidFill>
                    <w14:schemeClr w14:val="tx1"/>
                  </w14:solidFill>
                </w14:textFill>
              </w:rPr>
            </w:pPr>
          </w:p>
        </w:tc>
      </w:tr>
      <w:tr w14:paraId="17EC93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tcBorders>
              <w:top w:val="single" w:color="auto" w:sz="8" w:space="0"/>
            </w:tcBorders>
            <w:shd w:val="clear" w:color="auto" w:fill="auto"/>
            <w:vAlign w:val="center"/>
          </w:tcPr>
          <w:p w14:paraId="59ACD17A">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钾/(mg/L)</w:t>
            </w:r>
            <w:r>
              <w:rPr>
                <w:rFonts w:hint="eastAsia" w:cs="Calibri"/>
                <w:color w:val="000000" w:themeColor="text1"/>
                <w14:textFill>
                  <w14:solidFill>
                    <w14:schemeClr w14:val="tx1"/>
                  </w14:solidFill>
                </w14:textFill>
              </w:rPr>
              <w:tab/>
            </w:r>
          </w:p>
        </w:tc>
        <w:tc>
          <w:tcPr>
            <w:tcW w:w="4536" w:type="dxa"/>
            <w:tcBorders>
              <w:top w:val="single" w:color="auto" w:sz="8" w:space="0"/>
            </w:tcBorders>
            <w:shd w:val="clear" w:color="auto" w:fill="auto"/>
            <w:vAlign w:val="center"/>
          </w:tcPr>
          <w:p w14:paraId="20AF3FFC">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0.35</w:t>
            </w:r>
            <w:r>
              <w:rPr>
                <w:rFonts w:hint="eastAsia" w:hAnsi="宋体" w:cs="Calibri"/>
                <w:color w:val="000000" w:themeColor="text1"/>
                <w14:textFill>
                  <w14:solidFill>
                    <w14:schemeClr w14:val="tx1"/>
                  </w14:solidFill>
                </w14:textFill>
              </w:rPr>
              <w:t>～</w:t>
            </w:r>
            <w:r>
              <w:rPr>
                <w:rFonts w:hint="eastAsia" w:cs="Calibri"/>
                <w:color w:val="000000" w:themeColor="text1"/>
                <w14:textFill>
                  <w14:solidFill>
                    <w14:schemeClr w14:val="tx1"/>
                  </w14:solidFill>
                </w14:textFill>
              </w:rPr>
              <w:t>7.0</w:t>
            </w:r>
          </w:p>
        </w:tc>
        <w:tc>
          <w:tcPr>
            <w:tcW w:w="2256" w:type="dxa"/>
            <w:vMerge w:val="continue"/>
            <w:shd w:val="clear" w:color="auto" w:fill="auto"/>
            <w:vAlign w:val="center"/>
          </w:tcPr>
          <w:p w14:paraId="7979EA2A">
            <w:pPr>
              <w:pStyle w:val="64"/>
              <w:rPr>
                <w:rFonts w:cs="Calibri"/>
                <w:color w:val="000000" w:themeColor="text1"/>
                <w14:textFill>
                  <w14:solidFill>
                    <w14:schemeClr w14:val="tx1"/>
                  </w14:solidFill>
                </w14:textFill>
              </w:rPr>
            </w:pPr>
          </w:p>
        </w:tc>
      </w:tr>
      <w:tr w14:paraId="614CD7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tcBorders>
              <w:top w:val="single" w:color="auto" w:sz="8" w:space="0"/>
            </w:tcBorders>
            <w:shd w:val="clear" w:color="auto" w:fill="auto"/>
            <w:vAlign w:val="center"/>
          </w:tcPr>
          <w:p w14:paraId="0D785C5E">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钠/(mg/L)</w:t>
            </w:r>
          </w:p>
        </w:tc>
        <w:tc>
          <w:tcPr>
            <w:tcW w:w="4536" w:type="dxa"/>
            <w:tcBorders>
              <w:top w:val="single" w:color="auto" w:sz="8" w:space="0"/>
            </w:tcBorders>
            <w:shd w:val="clear" w:color="auto" w:fill="auto"/>
            <w:vAlign w:val="center"/>
          </w:tcPr>
          <w:p w14:paraId="5EE9E0C9">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0.8</w:t>
            </w:r>
            <w:r>
              <w:rPr>
                <w:rFonts w:hint="eastAsia" w:hAnsi="宋体" w:cs="Calibri"/>
                <w:color w:val="000000" w:themeColor="text1"/>
                <w14:textFill>
                  <w14:solidFill>
                    <w14:schemeClr w14:val="tx1"/>
                  </w14:solidFill>
                </w14:textFill>
              </w:rPr>
              <w:t>～</w:t>
            </w:r>
            <w:r>
              <w:rPr>
                <w:rFonts w:hint="eastAsia" w:cs="Calibri"/>
                <w:color w:val="000000" w:themeColor="text1"/>
                <w14:textFill>
                  <w14:solidFill>
                    <w14:schemeClr w14:val="tx1"/>
                  </w14:solidFill>
                </w14:textFill>
              </w:rPr>
              <w:t>20.0</w:t>
            </w:r>
          </w:p>
        </w:tc>
        <w:tc>
          <w:tcPr>
            <w:tcW w:w="2256" w:type="dxa"/>
            <w:vMerge w:val="continue"/>
            <w:shd w:val="clear" w:color="auto" w:fill="auto"/>
            <w:vAlign w:val="center"/>
          </w:tcPr>
          <w:p w14:paraId="040CE3FC">
            <w:pPr>
              <w:pStyle w:val="64"/>
              <w:rPr>
                <w:rFonts w:cs="Calibri"/>
                <w:color w:val="000000" w:themeColor="text1"/>
                <w14:textFill>
                  <w14:solidFill>
                    <w14:schemeClr w14:val="tx1"/>
                  </w14:solidFill>
                </w14:textFill>
              </w:rPr>
            </w:pPr>
          </w:p>
        </w:tc>
      </w:tr>
      <w:tr w14:paraId="052AFC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tcBorders>
              <w:top w:val="single" w:color="auto" w:sz="8" w:space="0"/>
            </w:tcBorders>
            <w:shd w:val="clear" w:color="auto" w:fill="auto"/>
            <w:vAlign w:val="center"/>
          </w:tcPr>
          <w:p w14:paraId="4D0C7D66">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钙/(mg/L)</w:t>
            </w:r>
          </w:p>
        </w:tc>
        <w:tc>
          <w:tcPr>
            <w:tcW w:w="4536" w:type="dxa"/>
            <w:tcBorders>
              <w:top w:val="single" w:color="auto" w:sz="8" w:space="0"/>
            </w:tcBorders>
            <w:shd w:val="clear" w:color="auto" w:fill="auto"/>
            <w:vAlign w:val="center"/>
          </w:tcPr>
          <w:p w14:paraId="0A2CD31D">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4.0</w:t>
            </w:r>
            <w:r>
              <w:rPr>
                <w:rFonts w:hint="eastAsia" w:hAnsi="宋体" w:cs="Calibri"/>
                <w:color w:val="000000" w:themeColor="text1"/>
                <w14:textFill>
                  <w14:solidFill>
                    <w14:schemeClr w14:val="tx1"/>
                  </w14:solidFill>
                </w14:textFill>
              </w:rPr>
              <w:t>～</w:t>
            </w:r>
            <w:r>
              <w:rPr>
                <w:rFonts w:hint="eastAsia" w:cs="Calibri"/>
                <w:color w:val="000000" w:themeColor="text1"/>
                <w14:textFill>
                  <w14:solidFill>
                    <w14:schemeClr w14:val="tx1"/>
                  </w14:solidFill>
                </w14:textFill>
              </w:rPr>
              <w:t>20.0</w:t>
            </w:r>
          </w:p>
        </w:tc>
        <w:tc>
          <w:tcPr>
            <w:tcW w:w="2256" w:type="dxa"/>
            <w:vMerge w:val="continue"/>
            <w:shd w:val="clear" w:color="auto" w:fill="auto"/>
            <w:vAlign w:val="center"/>
          </w:tcPr>
          <w:p w14:paraId="64514A23">
            <w:pPr>
              <w:pStyle w:val="64"/>
              <w:rPr>
                <w:rFonts w:cs="Calibri"/>
                <w:color w:val="000000" w:themeColor="text1"/>
                <w14:textFill>
                  <w14:solidFill>
                    <w14:schemeClr w14:val="tx1"/>
                  </w14:solidFill>
                </w14:textFill>
              </w:rPr>
            </w:pPr>
          </w:p>
        </w:tc>
      </w:tr>
      <w:tr w14:paraId="1D6DD4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tcBorders>
              <w:top w:val="single" w:color="auto" w:sz="8" w:space="0"/>
            </w:tcBorders>
            <w:shd w:val="clear" w:color="auto" w:fill="auto"/>
            <w:vAlign w:val="center"/>
          </w:tcPr>
          <w:p w14:paraId="577FD98E">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镁/(mg/L)</w:t>
            </w:r>
          </w:p>
        </w:tc>
        <w:tc>
          <w:tcPr>
            <w:tcW w:w="4536" w:type="dxa"/>
            <w:tcBorders>
              <w:top w:val="single" w:color="auto" w:sz="8" w:space="0"/>
            </w:tcBorders>
            <w:shd w:val="clear" w:color="auto" w:fill="auto"/>
            <w:vAlign w:val="center"/>
          </w:tcPr>
          <w:p w14:paraId="29CD01CA">
            <w:pPr>
              <w:pStyle w:val="64"/>
              <w:rPr>
                <w:rFonts w:cs="Calibri"/>
                <w:color w:val="000000" w:themeColor="text1"/>
                <w14:textFill>
                  <w14:solidFill>
                    <w14:schemeClr w14:val="tx1"/>
                  </w14:solidFill>
                </w14:textFill>
              </w:rPr>
            </w:pPr>
            <w:r>
              <w:rPr>
                <w:rFonts w:hint="eastAsia" w:cs="Calibri"/>
                <w:color w:val="000000" w:themeColor="text1"/>
                <w14:textFill>
                  <w14:solidFill>
                    <w14:schemeClr w14:val="tx1"/>
                  </w14:solidFill>
                </w14:textFill>
              </w:rPr>
              <w:t>0.5</w:t>
            </w:r>
            <w:r>
              <w:rPr>
                <w:rFonts w:hint="eastAsia" w:hAnsi="宋体" w:cs="Calibri"/>
                <w:color w:val="000000" w:themeColor="text1"/>
                <w14:textFill>
                  <w14:solidFill>
                    <w14:schemeClr w14:val="tx1"/>
                  </w14:solidFill>
                </w14:textFill>
              </w:rPr>
              <w:t>～</w:t>
            </w:r>
            <w:r>
              <w:rPr>
                <w:rFonts w:hint="eastAsia" w:cs="Calibri"/>
                <w:color w:val="000000" w:themeColor="text1"/>
                <w14:textFill>
                  <w14:solidFill>
                    <w14:schemeClr w14:val="tx1"/>
                  </w14:solidFill>
                </w14:textFill>
              </w:rPr>
              <w:t>10.0</w:t>
            </w:r>
            <w:r>
              <w:rPr>
                <w:rFonts w:hint="eastAsia" w:cs="Calibri"/>
                <w:color w:val="000000" w:themeColor="text1"/>
                <w14:textFill>
                  <w14:solidFill>
                    <w14:schemeClr w14:val="tx1"/>
                  </w14:solidFill>
                </w14:textFill>
              </w:rPr>
              <w:tab/>
            </w:r>
          </w:p>
        </w:tc>
        <w:tc>
          <w:tcPr>
            <w:tcW w:w="2256" w:type="dxa"/>
            <w:vMerge w:val="continue"/>
            <w:shd w:val="clear" w:color="auto" w:fill="auto"/>
            <w:vAlign w:val="center"/>
          </w:tcPr>
          <w:p w14:paraId="3C5467BE">
            <w:pPr>
              <w:pStyle w:val="64"/>
              <w:rPr>
                <w:rFonts w:cs="Calibri"/>
                <w:color w:val="000000" w:themeColor="text1"/>
                <w14:textFill>
                  <w14:solidFill>
                    <w14:schemeClr w14:val="tx1"/>
                  </w14:solidFill>
                </w14:textFill>
              </w:rPr>
            </w:pPr>
          </w:p>
        </w:tc>
      </w:tr>
      <w:tr w14:paraId="0ECCAF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tcBorders>
              <w:top w:val="single" w:color="auto" w:sz="8" w:space="0"/>
            </w:tcBorders>
            <w:shd w:val="clear" w:color="auto" w:fill="auto"/>
            <w:vAlign w:val="center"/>
          </w:tcPr>
          <w:p w14:paraId="0A49EBCD">
            <w:pPr>
              <w:pStyle w:val="64"/>
              <w:rPr>
                <w:rFonts w:cs="Calibri"/>
              </w:rPr>
            </w:pPr>
            <w:r>
              <w:rPr>
                <w:rFonts w:hint="eastAsia" w:cs="Calibri"/>
              </w:rPr>
              <w:t xml:space="preserve"> </w:t>
            </w:r>
            <w:r>
              <w:rPr>
                <w:rFonts w:cs="Calibri"/>
              </w:rPr>
              <w:t xml:space="preserve">       </w:t>
            </w:r>
            <w:r>
              <w:rPr>
                <w:rFonts w:hint="eastAsia" w:cs="Calibri"/>
              </w:rPr>
              <w:t>锂</w:t>
            </w:r>
            <w:bookmarkStart w:id="47" w:name="OLE_LINK24"/>
            <w:bookmarkStart w:id="48" w:name="OLE_LINK23"/>
            <w:r>
              <w:rPr>
                <w:rFonts w:hint="eastAsia" w:cs="Calibri"/>
              </w:rPr>
              <w:t>/(mg/L)</w:t>
            </w:r>
            <w:bookmarkEnd w:id="47"/>
            <w:bookmarkEnd w:id="48"/>
            <w:r>
              <w:rPr>
                <w:rFonts w:cs="Calibri"/>
              </w:rPr>
              <w:t xml:space="preserve">       </w:t>
            </w:r>
            <w:r>
              <w:rPr>
                <w:rFonts w:hint="eastAsia" w:cs="Calibri"/>
              </w:rPr>
              <w:t>≥</w:t>
            </w:r>
          </w:p>
        </w:tc>
        <w:tc>
          <w:tcPr>
            <w:tcW w:w="4536" w:type="dxa"/>
            <w:tcBorders>
              <w:top w:val="single" w:color="auto" w:sz="8" w:space="0"/>
            </w:tcBorders>
            <w:shd w:val="clear" w:color="auto" w:fill="auto"/>
            <w:vAlign w:val="center"/>
          </w:tcPr>
          <w:p w14:paraId="37E68C87">
            <w:pPr>
              <w:pStyle w:val="64"/>
              <w:rPr>
                <w:rFonts w:cs="Calibri"/>
              </w:rPr>
            </w:pPr>
            <w:r>
              <w:rPr>
                <w:rFonts w:cs="Calibri"/>
              </w:rPr>
              <w:t>0.20</w:t>
            </w:r>
          </w:p>
        </w:tc>
        <w:tc>
          <w:tcPr>
            <w:tcW w:w="2256" w:type="dxa"/>
            <w:vMerge w:val="continue"/>
            <w:shd w:val="clear" w:color="auto" w:fill="auto"/>
            <w:vAlign w:val="center"/>
          </w:tcPr>
          <w:p w14:paraId="5EC0C74E">
            <w:pPr>
              <w:pStyle w:val="64"/>
              <w:rPr>
                <w:rFonts w:cs="Calibri"/>
              </w:rPr>
            </w:pPr>
          </w:p>
        </w:tc>
      </w:tr>
      <w:tr w14:paraId="0F4028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shd w:val="clear" w:color="auto" w:fill="auto"/>
            <w:vAlign w:val="center"/>
          </w:tcPr>
          <w:p w14:paraId="14A16463">
            <w:pPr>
              <w:pStyle w:val="64"/>
              <w:rPr>
                <w:rFonts w:cs="Calibri"/>
              </w:rPr>
            </w:pPr>
            <w:r>
              <w:rPr>
                <w:rFonts w:hint="eastAsia" w:cs="Calibri"/>
              </w:rPr>
              <w:t xml:space="preserve"> </w:t>
            </w:r>
            <w:r>
              <w:rPr>
                <w:rFonts w:cs="Calibri"/>
              </w:rPr>
              <w:t xml:space="preserve">       </w:t>
            </w:r>
            <w:r>
              <w:rPr>
                <w:rFonts w:hint="eastAsia" w:cs="Calibri"/>
              </w:rPr>
              <w:t xml:space="preserve">锶/(mg/L) </w:t>
            </w:r>
            <w:r>
              <w:rPr>
                <w:rFonts w:cs="Calibri"/>
              </w:rPr>
              <w:t xml:space="preserve">      </w:t>
            </w:r>
            <w:r>
              <w:rPr>
                <w:rFonts w:hint="eastAsia" w:cs="Calibri"/>
              </w:rPr>
              <w:t>≥</w:t>
            </w:r>
          </w:p>
        </w:tc>
        <w:tc>
          <w:tcPr>
            <w:tcW w:w="4536" w:type="dxa"/>
            <w:shd w:val="clear" w:color="auto" w:fill="auto"/>
            <w:vAlign w:val="center"/>
          </w:tcPr>
          <w:p w14:paraId="09D66EDF">
            <w:pPr>
              <w:pStyle w:val="50"/>
              <w:ind w:firstLine="0" w:firstLineChars="0"/>
              <w:rPr>
                <w:rFonts w:cs="Calibri"/>
                <w:sz w:val="18"/>
                <w:szCs w:val="18"/>
              </w:rPr>
            </w:pPr>
            <w:r>
              <w:rPr>
                <w:rFonts w:hint="eastAsia" w:cs="Calibri"/>
                <w:sz w:val="18"/>
                <w:szCs w:val="18"/>
              </w:rPr>
              <w:t>0.20(含量在0.20 mg/L</w:t>
            </w:r>
            <w:r>
              <w:rPr>
                <w:rFonts w:hint="eastAsia" w:hAnsi="宋体" w:cs="Calibri"/>
                <w:sz w:val="18"/>
                <w:szCs w:val="18"/>
              </w:rPr>
              <w:t>～</w:t>
            </w:r>
            <w:r>
              <w:rPr>
                <w:rFonts w:hint="eastAsia" w:cs="Calibri"/>
                <w:sz w:val="18"/>
                <w:szCs w:val="18"/>
              </w:rPr>
              <w:t>0.40 mg/L时，水源水水温应在25℃以上)</w:t>
            </w:r>
          </w:p>
        </w:tc>
        <w:tc>
          <w:tcPr>
            <w:tcW w:w="2256" w:type="dxa"/>
            <w:vMerge w:val="continue"/>
            <w:shd w:val="clear" w:color="auto" w:fill="auto"/>
            <w:vAlign w:val="center"/>
          </w:tcPr>
          <w:p w14:paraId="530ED324">
            <w:pPr>
              <w:pStyle w:val="64"/>
              <w:rPr>
                <w:rFonts w:cs="Calibri"/>
              </w:rPr>
            </w:pPr>
          </w:p>
        </w:tc>
      </w:tr>
      <w:tr w14:paraId="43A671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2542" w:type="dxa"/>
            <w:shd w:val="clear" w:color="auto" w:fill="auto"/>
            <w:vAlign w:val="center"/>
          </w:tcPr>
          <w:p w14:paraId="19D3B3E8">
            <w:pPr>
              <w:pStyle w:val="64"/>
              <w:rPr>
                <w:rFonts w:cs="Calibri"/>
              </w:rPr>
            </w:pPr>
            <w:r>
              <w:rPr>
                <w:rFonts w:hint="eastAsia" w:cs="Calibri"/>
              </w:rPr>
              <w:t xml:space="preserve"> </w:t>
            </w:r>
            <w:r>
              <w:rPr>
                <w:rFonts w:cs="Calibri"/>
              </w:rPr>
              <w:t xml:space="preserve">       </w:t>
            </w:r>
            <w:r>
              <w:rPr>
                <w:rFonts w:hint="eastAsia" w:cs="Calibri"/>
              </w:rPr>
              <w:t xml:space="preserve">锌/(mg/L) </w:t>
            </w:r>
            <w:r>
              <w:rPr>
                <w:rFonts w:cs="Calibri"/>
              </w:rPr>
              <w:t xml:space="preserve">      </w:t>
            </w:r>
            <w:r>
              <w:rPr>
                <w:rFonts w:hint="eastAsia" w:cs="Calibri"/>
              </w:rPr>
              <w:t>≥</w:t>
            </w:r>
          </w:p>
        </w:tc>
        <w:tc>
          <w:tcPr>
            <w:tcW w:w="4536" w:type="dxa"/>
            <w:shd w:val="clear" w:color="auto" w:fill="auto"/>
            <w:vAlign w:val="center"/>
          </w:tcPr>
          <w:p w14:paraId="6224A00F">
            <w:pPr>
              <w:pStyle w:val="64"/>
              <w:rPr>
                <w:rFonts w:cs="Calibri"/>
              </w:rPr>
            </w:pPr>
            <w:r>
              <w:rPr>
                <w:rFonts w:cs="Calibri"/>
              </w:rPr>
              <w:t>0.20</w:t>
            </w:r>
          </w:p>
        </w:tc>
        <w:tc>
          <w:tcPr>
            <w:tcW w:w="2256" w:type="dxa"/>
            <w:vMerge w:val="continue"/>
            <w:shd w:val="clear" w:color="auto" w:fill="auto"/>
            <w:vAlign w:val="center"/>
          </w:tcPr>
          <w:p w14:paraId="182CC0AE">
            <w:pPr>
              <w:pStyle w:val="64"/>
              <w:rPr>
                <w:rFonts w:cs="Calibri"/>
              </w:rPr>
            </w:pPr>
          </w:p>
        </w:tc>
      </w:tr>
    </w:tbl>
    <w:p w14:paraId="7B62FAC6">
      <w:pPr>
        <w:pStyle w:val="59"/>
        <w:numPr>
          <w:ilvl w:val="0"/>
          <w:numId w:val="0"/>
        </w:numPr>
        <w:spacing w:before="156" w:after="156"/>
      </w:pPr>
      <w:r>
        <w:rPr>
          <w:rFonts w:hint="eastAsia"/>
        </w:rPr>
        <w:t>表2</w:t>
      </w:r>
      <w:r>
        <w:t xml:space="preserve">  </w:t>
      </w:r>
      <w:r>
        <w:rPr>
          <w:rFonts w:hint="eastAsia"/>
        </w:rPr>
        <w:t>理化指标</w:t>
      </w:r>
      <w:r>
        <w:rPr>
          <w:rFonts w:hint="eastAsia" w:ascii="宋体" w:hAnsi="宋体" w:eastAsia="宋体"/>
        </w:rPr>
        <w:t>（续）</w:t>
      </w:r>
    </w:p>
    <w:tbl>
      <w:tblPr>
        <w:tblStyle w:val="1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42"/>
        <w:gridCol w:w="4536"/>
        <w:gridCol w:w="2256"/>
      </w:tblGrid>
      <w:tr w14:paraId="67BB81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2542" w:type="dxa"/>
            <w:tcBorders>
              <w:top w:val="single" w:color="auto" w:sz="8" w:space="0"/>
              <w:bottom w:val="single" w:color="auto" w:sz="8" w:space="0"/>
            </w:tcBorders>
            <w:shd w:val="clear" w:color="auto" w:fill="auto"/>
            <w:vAlign w:val="center"/>
          </w:tcPr>
          <w:p w14:paraId="1599C851">
            <w:pPr>
              <w:pStyle w:val="64"/>
              <w:rPr>
                <w:rFonts w:cs="Calibri"/>
              </w:rPr>
            </w:pPr>
            <w:r>
              <w:rPr>
                <w:rFonts w:hint="eastAsia" w:cs="Calibri"/>
              </w:rPr>
              <w:t>项目</w:t>
            </w:r>
          </w:p>
        </w:tc>
        <w:tc>
          <w:tcPr>
            <w:tcW w:w="4536" w:type="dxa"/>
            <w:tcBorders>
              <w:top w:val="single" w:color="auto" w:sz="8" w:space="0"/>
              <w:bottom w:val="single" w:color="auto" w:sz="8" w:space="0"/>
            </w:tcBorders>
            <w:shd w:val="clear" w:color="auto" w:fill="auto"/>
            <w:vAlign w:val="center"/>
          </w:tcPr>
          <w:p w14:paraId="1D1C7A84">
            <w:pPr>
              <w:pStyle w:val="64"/>
              <w:rPr>
                <w:rFonts w:cs="Calibri"/>
              </w:rPr>
            </w:pPr>
            <w:r>
              <w:rPr>
                <w:rFonts w:hint="eastAsia" w:cs="Calibri"/>
              </w:rPr>
              <w:t>要求</w:t>
            </w:r>
          </w:p>
        </w:tc>
        <w:tc>
          <w:tcPr>
            <w:tcW w:w="2256" w:type="dxa"/>
            <w:tcBorders>
              <w:top w:val="single" w:color="auto" w:sz="8" w:space="0"/>
              <w:bottom w:val="single" w:color="auto" w:sz="8" w:space="0"/>
            </w:tcBorders>
            <w:shd w:val="clear" w:color="auto" w:fill="auto"/>
            <w:vAlign w:val="center"/>
          </w:tcPr>
          <w:p w14:paraId="22DAE89F">
            <w:pPr>
              <w:pStyle w:val="64"/>
              <w:rPr>
                <w:rFonts w:cs="Calibri"/>
              </w:rPr>
            </w:pPr>
            <w:r>
              <w:rPr>
                <w:rFonts w:hint="eastAsia" w:cs="Calibri"/>
              </w:rPr>
              <w:t>检验方法</w:t>
            </w:r>
          </w:p>
        </w:tc>
      </w:tr>
      <w:tr w14:paraId="06D49E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2542" w:type="dxa"/>
            <w:tcBorders>
              <w:top w:val="single" w:color="auto" w:sz="8" w:space="0"/>
              <w:bottom w:val="single" w:color="auto" w:sz="8" w:space="0"/>
            </w:tcBorders>
            <w:shd w:val="clear" w:color="auto" w:fill="auto"/>
            <w:vAlign w:val="center"/>
          </w:tcPr>
          <w:p w14:paraId="21D85A67">
            <w:pPr>
              <w:pStyle w:val="64"/>
              <w:rPr>
                <w:rFonts w:cs="Calibri"/>
              </w:rPr>
            </w:pPr>
            <w:r>
              <w:rPr>
                <w:rFonts w:hint="eastAsia" w:cs="Calibri"/>
              </w:rPr>
              <w:t xml:space="preserve"> </w:t>
            </w:r>
            <w:r>
              <w:rPr>
                <w:rFonts w:cs="Calibri"/>
              </w:rPr>
              <w:t xml:space="preserve">       </w:t>
            </w:r>
            <w:r>
              <w:rPr>
                <w:rFonts w:hint="eastAsia" w:cs="Calibri"/>
              </w:rPr>
              <w:t xml:space="preserve">硒/(mg/L) </w:t>
            </w:r>
            <w:r>
              <w:rPr>
                <w:rFonts w:cs="Calibri"/>
              </w:rPr>
              <w:t xml:space="preserve">      </w:t>
            </w:r>
            <w:r>
              <w:rPr>
                <w:rFonts w:hint="eastAsia" w:cs="Calibri"/>
              </w:rPr>
              <w:t>≥</w:t>
            </w:r>
          </w:p>
        </w:tc>
        <w:tc>
          <w:tcPr>
            <w:tcW w:w="4536" w:type="dxa"/>
            <w:tcBorders>
              <w:top w:val="single" w:color="auto" w:sz="8" w:space="0"/>
              <w:bottom w:val="single" w:color="auto" w:sz="8" w:space="0"/>
            </w:tcBorders>
            <w:shd w:val="clear" w:color="auto" w:fill="auto"/>
            <w:vAlign w:val="center"/>
          </w:tcPr>
          <w:p w14:paraId="07E7170E">
            <w:pPr>
              <w:pStyle w:val="64"/>
              <w:rPr>
                <w:rFonts w:cs="Calibri"/>
              </w:rPr>
            </w:pPr>
            <w:r>
              <w:rPr>
                <w:rFonts w:cs="Calibri"/>
              </w:rPr>
              <w:t>0.01</w:t>
            </w:r>
          </w:p>
        </w:tc>
        <w:tc>
          <w:tcPr>
            <w:tcW w:w="2256" w:type="dxa"/>
            <w:vMerge w:val="restart"/>
            <w:tcBorders>
              <w:top w:val="single" w:color="auto" w:sz="8" w:space="0"/>
            </w:tcBorders>
            <w:shd w:val="clear" w:color="auto" w:fill="auto"/>
            <w:vAlign w:val="center"/>
          </w:tcPr>
          <w:p w14:paraId="25556876">
            <w:pPr>
              <w:pStyle w:val="64"/>
              <w:rPr>
                <w:rFonts w:hint="eastAsia" w:cs="Calibri"/>
              </w:rPr>
            </w:pPr>
            <w:r>
              <w:rPr>
                <w:rFonts w:hint="eastAsia" w:cs="Calibri"/>
              </w:rPr>
              <w:t>G</w:t>
            </w:r>
            <w:r>
              <w:rPr>
                <w:rFonts w:cs="Calibri"/>
              </w:rPr>
              <w:t>B 8538</w:t>
            </w:r>
          </w:p>
        </w:tc>
      </w:tr>
      <w:tr w14:paraId="3AE4EE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97" w:hRule="atLeast"/>
          <w:tblHeader/>
          <w:jc w:val="center"/>
        </w:trPr>
        <w:tc>
          <w:tcPr>
            <w:tcW w:w="2542" w:type="dxa"/>
            <w:tcBorders>
              <w:top w:val="single" w:color="auto" w:sz="8" w:space="0"/>
              <w:bottom w:val="single" w:color="auto" w:sz="8" w:space="0"/>
            </w:tcBorders>
            <w:shd w:val="clear" w:color="auto" w:fill="auto"/>
            <w:vAlign w:val="center"/>
          </w:tcPr>
          <w:p w14:paraId="32E71C4A">
            <w:pPr>
              <w:pStyle w:val="64"/>
              <w:rPr>
                <w:rFonts w:cs="Calibri"/>
              </w:rPr>
            </w:pPr>
            <w:r>
              <w:rPr>
                <w:rFonts w:hint="eastAsia" w:cs="Calibri"/>
              </w:rPr>
              <w:t xml:space="preserve"> 游离二氧化碳/(mg/L)</w:t>
            </w:r>
            <w:r>
              <w:rPr>
                <w:rFonts w:cs="Calibri"/>
              </w:rPr>
              <w:t xml:space="preserve">   </w:t>
            </w:r>
            <w:r>
              <w:rPr>
                <w:rFonts w:hint="eastAsia" w:cs="Calibri"/>
              </w:rPr>
              <w:t xml:space="preserve"> ≥</w:t>
            </w:r>
          </w:p>
        </w:tc>
        <w:tc>
          <w:tcPr>
            <w:tcW w:w="4536" w:type="dxa"/>
            <w:tcBorders>
              <w:top w:val="single" w:color="auto" w:sz="8" w:space="0"/>
              <w:bottom w:val="single" w:color="auto" w:sz="8" w:space="0"/>
            </w:tcBorders>
            <w:shd w:val="clear" w:color="auto" w:fill="auto"/>
            <w:vAlign w:val="center"/>
          </w:tcPr>
          <w:p w14:paraId="039DB20E">
            <w:pPr>
              <w:pStyle w:val="64"/>
              <w:rPr>
                <w:rFonts w:cs="Calibri"/>
              </w:rPr>
            </w:pPr>
            <w:r>
              <w:rPr>
                <w:rFonts w:cs="Calibri"/>
              </w:rPr>
              <w:t>250</w:t>
            </w:r>
          </w:p>
        </w:tc>
        <w:tc>
          <w:tcPr>
            <w:tcW w:w="2256" w:type="dxa"/>
            <w:vMerge w:val="continue"/>
            <w:tcBorders>
              <w:bottom w:val="single" w:color="auto" w:sz="8" w:space="0"/>
            </w:tcBorders>
            <w:shd w:val="clear" w:color="auto" w:fill="auto"/>
            <w:vAlign w:val="center"/>
          </w:tcPr>
          <w:p w14:paraId="545D7E3B">
            <w:pPr>
              <w:pStyle w:val="64"/>
              <w:rPr>
                <w:rFonts w:hint="eastAsia" w:cs="Calibri"/>
              </w:rPr>
            </w:pPr>
          </w:p>
        </w:tc>
      </w:tr>
    </w:tbl>
    <w:p w14:paraId="164E8F3E">
      <w:pPr>
        <w:pStyle w:val="50"/>
        <w:ind w:firstLine="420"/>
        <w:rPr>
          <w:rFonts w:hint="eastAsia"/>
        </w:rPr>
      </w:pPr>
    </w:p>
    <w:p w14:paraId="60E08201">
      <w:pPr>
        <w:pStyle w:val="45"/>
        <w:spacing w:before="156" w:beforeLines="50" w:after="156" w:afterLines="50"/>
      </w:pPr>
      <w:bookmarkStart w:id="49" w:name="_Toc212560816"/>
      <w:r>
        <w:rPr>
          <w:rFonts w:hint="eastAsia"/>
        </w:rPr>
        <w:t>限量指标</w:t>
      </w:r>
      <w:bookmarkEnd w:id="49"/>
    </w:p>
    <w:p w14:paraId="33A64542">
      <w:pPr>
        <w:pStyle w:val="50"/>
        <w:ind w:firstLine="420"/>
      </w:pPr>
      <w:r>
        <w:rPr>
          <w:rFonts w:hint="eastAsia"/>
        </w:rPr>
        <w:t>限量指标应符合表3的规定。</w:t>
      </w:r>
    </w:p>
    <w:p w14:paraId="7EA69BF9">
      <w:pPr>
        <w:pStyle w:val="59"/>
        <w:spacing w:before="156" w:after="156"/>
      </w:pPr>
      <w:r>
        <w:rPr>
          <w:rFonts w:hint="eastAsia"/>
        </w:rPr>
        <w:t>限量指标</w:t>
      </w:r>
    </w:p>
    <w:tbl>
      <w:tblPr>
        <w:tblStyle w:val="1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0"/>
        <w:gridCol w:w="3112"/>
        <w:gridCol w:w="3112"/>
      </w:tblGrid>
      <w:tr w14:paraId="528159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blHeader/>
          <w:jc w:val="center"/>
        </w:trPr>
        <w:tc>
          <w:tcPr>
            <w:tcW w:w="3110" w:type="dxa"/>
            <w:tcBorders>
              <w:top w:val="single" w:color="auto" w:sz="8" w:space="0"/>
              <w:bottom w:val="single" w:color="auto" w:sz="8" w:space="0"/>
            </w:tcBorders>
            <w:shd w:val="clear" w:color="auto" w:fill="auto"/>
            <w:vAlign w:val="center"/>
          </w:tcPr>
          <w:p w14:paraId="36B183FD">
            <w:pPr>
              <w:pStyle w:val="64"/>
              <w:rPr>
                <w:rFonts w:cs="Calibri"/>
              </w:rPr>
            </w:pPr>
            <w:bookmarkStart w:id="108" w:name="_GoBack"/>
            <w:r>
              <w:rPr>
                <w:rFonts w:hint="eastAsia" w:cs="Calibri"/>
              </w:rPr>
              <w:t>项目</w:t>
            </w:r>
          </w:p>
        </w:tc>
        <w:tc>
          <w:tcPr>
            <w:tcW w:w="3112" w:type="dxa"/>
            <w:tcBorders>
              <w:top w:val="single" w:color="auto" w:sz="8" w:space="0"/>
              <w:bottom w:val="single" w:color="auto" w:sz="8" w:space="0"/>
            </w:tcBorders>
            <w:shd w:val="clear" w:color="auto" w:fill="auto"/>
            <w:vAlign w:val="center"/>
          </w:tcPr>
          <w:p w14:paraId="2C51BA54">
            <w:pPr>
              <w:pStyle w:val="64"/>
              <w:rPr>
                <w:rFonts w:cs="Calibri"/>
              </w:rPr>
            </w:pPr>
            <w:r>
              <w:rPr>
                <w:rFonts w:hint="eastAsia" w:cs="Calibri"/>
              </w:rPr>
              <w:t>要求</w:t>
            </w:r>
          </w:p>
        </w:tc>
        <w:tc>
          <w:tcPr>
            <w:tcW w:w="3112" w:type="dxa"/>
            <w:tcBorders>
              <w:top w:val="single" w:color="auto" w:sz="8" w:space="0"/>
              <w:bottom w:val="single" w:color="auto" w:sz="8" w:space="0"/>
            </w:tcBorders>
            <w:shd w:val="clear" w:color="auto" w:fill="auto"/>
            <w:vAlign w:val="center"/>
          </w:tcPr>
          <w:p w14:paraId="453BEA9B">
            <w:pPr>
              <w:pStyle w:val="64"/>
              <w:rPr>
                <w:rFonts w:cs="Calibri"/>
              </w:rPr>
            </w:pPr>
            <w:r>
              <w:rPr>
                <w:rFonts w:hint="eastAsia" w:cs="Calibri"/>
              </w:rPr>
              <w:t>检验方法</w:t>
            </w:r>
          </w:p>
        </w:tc>
      </w:tr>
      <w:tr w14:paraId="1C1C95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6C79BB18">
            <w:pPr>
              <w:pStyle w:val="64"/>
              <w:rPr>
                <w:rFonts w:cs="Calibri"/>
              </w:rPr>
            </w:pPr>
            <w:r>
              <w:rPr>
                <w:rFonts w:hint="eastAsia" w:cs="Calibri"/>
              </w:rPr>
              <w:t>锑/(mg/L)</w:t>
            </w:r>
          </w:p>
        </w:tc>
        <w:tc>
          <w:tcPr>
            <w:tcW w:w="3112" w:type="dxa"/>
            <w:shd w:val="clear" w:color="auto" w:fill="auto"/>
            <w:vAlign w:val="center"/>
          </w:tcPr>
          <w:p w14:paraId="05E1BB81">
            <w:pPr>
              <w:pStyle w:val="64"/>
              <w:rPr>
                <w:rFonts w:cs="Calibri"/>
              </w:rPr>
            </w:pPr>
            <w:r>
              <w:rPr>
                <w:rFonts w:hint="eastAsia" w:cs="Calibri"/>
              </w:rPr>
              <w:t>0</w:t>
            </w:r>
            <w:r>
              <w:rPr>
                <w:rFonts w:cs="Calibri"/>
              </w:rPr>
              <w:t>.005</w:t>
            </w:r>
          </w:p>
        </w:tc>
        <w:tc>
          <w:tcPr>
            <w:tcW w:w="3112" w:type="dxa"/>
            <w:vMerge w:val="restart"/>
            <w:shd w:val="clear" w:color="auto" w:fill="auto"/>
            <w:vAlign w:val="center"/>
          </w:tcPr>
          <w:p w14:paraId="60C8F842">
            <w:pPr>
              <w:pStyle w:val="64"/>
              <w:rPr>
                <w:rFonts w:cs="Calibri"/>
              </w:rPr>
            </w:pPr>
            <w:r>
              <w:rPr>
                <w:rFonts w:hint="eastAsia" w:cs="Calibri"/>
              </w:rPr>
              <w:t>G</w:t>
            </w:r>
            <w:r>
              <w:rPr>
                <w:rFonts w:cs="Calibri"/>
              </w:rPr>
              <w:t>B 8538</w:t>
            </w:r>
          </w:p>
        </w:tc>
      </w:tr>
      <w:tr w14:paraId="43D17D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6B0E9E02">
            <w:pPr>
              <w:pStyle w:val="64"/>
              <w:rPr>
                <w:rFonts w:cs="Calibri"/>
              </w:rPr>
            </w:pPr>
            <w:r>
              <w:rPr>
                <w:rFonts w:hint="eastAsia" w:cs="Calibri"/>
              </w:rPr>
              <w:t>铜/(mg/L)</w:t>
            </w:r>
          </w:p>
        </w:tc>
        <w:tc>
          <w:tcPr>
            <w:tcW w:w="3112" w:type="dxa"/>
            <w:shd w:val="clear" w:color="auto" w:fill="auto"/>
            <w:vAlign w:val="center"/>
          </w:tcPr>
          <w:p w14:paraId="60172F91">
            <w:pPr>
              <w:pStyle w:val="64"/>
              <w:rPr>
                <w:rFonts w:cs="Calibri"/>
              </w:rPr>
            </w:pPr>
            <w:r>
              <w:rPr>
                <w:rFonts w:hint="eastAsia" w:cs="Calibri"/>
              </w:rPr>
              <w:t>1</w:t>
            </w:r>
            <w:r>
              <w:rPr>
                <w:rFonts w:cs="Calibri"/>
              </w:rPr>
              <w:t>.0</w:t>
            </w:r>
          </w:p>
        </w:tc>
        <w:tc>
          <w:tcPr>
            <w:tcW w:w="3112" w:type="dxa"/>
            <w:vMerge w:val="continue"/>
            <w:shd w:val="clear" w:color="auto" w:fill="auto"/>
            <w:vAlign w:val="center"/>
          </w:tcPr>
          <w:p w14:paraId="4AEE2FE7">
            <w:pPr>
              <w:pStyle w:val="64"/>
              <w:rPr>
                <w:rFonts w:cs="Calibri"/>
              </w:rPr>
            </w:pPr>
          </w:p>
        </w:tc>
      </w:tr>
      <w:tr w14:paraId="7224AA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6A602E56">
            <w:pPr>
              <w:pStyle w:val="64"/>
              <w:rPr>
                <w:rFonts w:cs="Calibri"/>
              </w:rPr>
            </w:pPr>
            <w:r>
              <w:rPr>
                <w:rFonts w:hint="eastAsia" w:cs="Calibri"/>
              </w:rPr>
              <w:t>钡/(mg/L)</w:t>
            </w:r>
          </w:p>
        </w:tc>
        <w:tc>
          <w:tcPr>
            <w:tcW w:w="3112" w:type="dxa"/>
            <w:shd w:val="clear" w:color="auto" w:fill="auto"/>
            <w:vAlign w:val="center"/>
          </w:tcPr>
          <w:p w14:paraId="2FC2764F">
            <w:pPr>
              <w:pStyle w:val="64"/>
              <w:rPr>
                <w:rFonts w:cs="Calibri"/>
              </w:rPr>
            </w:pPr>
            <w:r>
              <w:rPr>
                <w:rFonts w:hint="eastAsia" w:cs="Calibri"/>
              </w:rPr>
              <w:t>0</w:t>
            </w:r>
            <w:r>
              <w:rPr>
                <w:rFonts w:cs="Calibri"/>
              </w:rPr>
              <w:t>.7</w:t>
            </w:r>
          </w:p>
        </w:tc>
        <w:tc>
          <w:tcPr>
            <w:tcW w:w="3112" w:type="dxa"/>
            <w:vMerge w:val="continue"/>
            <w:shd w:val="clear" w:color="auto" w:fill="auto"/>
            <w:vAlign w:val="center"/>
          </w:tcPr>
          <w:p w14:paraId="4A3CEE11">
            <w:pPr>
              <w:pStyle w:val="64"/>
              <w:rPr>
                <w:rFonts w:cs="Calibri"/>
              </w:rPr>
            </w:pPr>
          </w:p>
        </w:tc>
      </w:tr>
      <w:tr w14:paraId="576CD6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5AAE648F">
            <w:pPr>
              <w:pStyle w:val="64"/>
              <w:rPr>
                <w:rFonts w:cs="Calibri"/>
              </w:rPr>
            </w:pPr>
            <w:r>
              <w:rPr>
                <w:rFonts w:hint="eastAsia" w:cs="Calibri"/>
              </w:rPr>
              <w:t>总铬/(mg/L)</w:t>
            </w:r>
          </w:p>
        </w:tc>
        <w:tc>
          <w:tcPr>
            <w:tcW w:w="3112" w:type="dxa"/>
            <w:shd w:val="clear" w:color="auto" w:fill="auto"/>
            <w:vAlign w:val="center"/>
          </w:tcPr>
          <w:p w14:paraId="7532A319">
            <w:pPr>
              <w:pStyle w:val="64"/>
              <w:rPr>
                <w:rFonts w:cs="Calibri"/>
              </w:rPr>
            </w:pPr>
            <w:r>
              <w:rPr>
                <w:rFonts w:hint="eastAsia" w:cs="Calibri"/>
              </w:rPr>
              <w:t>0</w:t>
            </w:r>
            <w:r>
              <w:rPr>
                <w:rFonts w:cs="Calibri"/>
              </w:rPr>
              <w:t>.05</w:t>
            </w:r>
          </w:p>
        </w:tc>
        <w:tc>
          <w:tcPr>
            <w:tcW w:w="3112" w:type="dxa"/>
            <w:vMerge w:val="continue"/>
            <w:shd w:val="clear" w:color="auto" w:fill="auto"/>
            <w:vAlign w:val="center"/>
          </w:tcPr>
          <w:p w14:paraId="27B9FEA7">
            <w:pPr>
              <w:pStyle w:val="64"/>
              <w:rPr>
                <w:rFonts w:cs="Calibri"/>
              </w:rPr>
            </w:pPr>
          </w:p>
        </w:tc>
      </w:tr>
      <w:tr w14:paraId="0C3B00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0B762B77">
            <w:pPr>
              <w:pStyle w:val="64"/>
              <w:rPr>
                <w:rFonts w:cs="Calibri"/>
              </w:rPr>
            </w:pPr>
            <w:r>
              <w:rPr>
                <w:rFonts w:hint="eastAsia" w:cs="Calibri"/>
              </w:rPr>
              <w:t>锰/(mg/L)</w:t>
            </w:r>
          </w:p>
        </w:tc>
        <w:tc>
          <w:tcPr>
            <w:tcW w:w="3112" w:type="dxa"/>
            <w:shd w:val="clear" w:color="auto" w:fill="auto"/>
            <w:vAlign w:val="center"/>
          </w:tcPr>
          <w:p w14:paraId="7F798F03">
            <w:pPr>
              <w:pStyle w:val="64"/>
              <w:rPr>
                <w:rFonts w:cs="Calibri"/>
              </w:rPr>
            </w:pPr>
            <w:r>
              <w:rPr>
                <w:rFonts w:hint="eastAsia" w:cs="Calibri"/>
              </w:rPr>
              <w:t>0</w:t>
            </w:r>
            <w:r>
              <w:rPr>
                <w:rFonts w:cs="Calibri"/>
              </w:rPr>
              <w:t>.4</w:t>
            </w:r>
          </w:p>
        </w:tc>
        <w:tc>
          <w:tcPr>
            <w:tcW w:w="3112" w:type="dxa"/>
            <w:vMerge w:val="continue"/>
            <w:shd w:val="clear" w:color="auto" w:fill="auto"/>
            <w:vAlign w:val="center"/>
          </w:tcPr>
          <w:p w14:paraId="601A642D">
            <w:pPr>
              <w:pStyle w:val="64"/>
              <w:rPr>
                <w:rFonts w:cs="Calibri"/>
              </w:rPr>
            </w:pPr>
          </w:p>
        </w:tc>
      </w:tr>
      <w:tr w14:paraId="33B465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49C1654F">
            <w:pPr>
              <w:pStyle w:val="64"/>
              <w:rPr>
                <w:rFonts w:cs="Calibri"/>
              </w:rPr>
            </w:pPr>
            <w:r>
              <w:rPr>
                <w:rFonts w:hint="eastAsia" w:cs="Calibri"/>
              </w:rPr>
              <w:t>镍/(mg/L)</w:t>
            </w:r>
          </w:p>
        </w:tc>
        <w:tc>
          <w:tcPr>
            <w:tcW w:w="3112" w:type="dxa"/>
            <w:shd w:val="clear" w:color="auto" w:fill="auto"/>
            <w:vAlign w:val="center"/>
          </w:tcPr>
          <w:p w14:paraId="4DBCF28A">
            <w:pPr>
              <w:pStyle w:val="64"/>
              <w:rPr>
                <w:rFonts w:cs="Calibri"/>
              </w:rPr>
            </w:pPr>
            <w:r>
              <w:rPr>
                <w:rFonts w:hint="eastAsia" w:cs="Calibri"/>
              </w:rPr>
              <w:t>0</w:t>
            </w:r>
            <w:r>
              <w:rPr>
                <w:rFonts w:cs="Calibri"/>
              </w:rPr>
              <w:t>.02</w:t>
            </w:r>
          </w:p>
        </w:tc>
        <w:tc>
          <w:tcPr>
            <w:tcW w:w="3112" w:type="dxa"/>
            <w:vMerge w:val="continue"/>
            <w:shd w:val="clear" w:color="auto" w:fill="auto"/>
            <w:vAlign w:val="center"/>
          </w:tcPr>
          <w:p w14:paraId="242B86E9">
            <w:pPr>
              <w:pStyle w:val="64"/>
              <w:rPr>
                <w:rFonts w:cs="Calibri"/>
              </w:rPr>
            </w:pPr>
          </w:p>
        </w:tc>
      </w:tr>
      <w:tr w14:paraId="3C2A4B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56662D5E">
            <w:pPr>
              <w:pStyle w:val="64"/>
              <w:rPr>
                <w:rFonts w:cs="Calibri"/>
              </w:rPr>
            </w:pPr>
            <w:r>
              <w:rPr>
                <w:rFonts w:hint="eastAsia" w:cs="Calibri"/>
              </w:rPr>
              <w:t>银/(mg/L)</w:t>
            </w:r>
          </w:p>
        </w:tc>
        <w:tc>
          <w:tcPr>
            <w:tcW w:w="3112" w:type="dxa"/>
            <w:shd w:val="clear" w:color="auto" w:fill="auto"/>
            <w:vAlign w:val="center"/>
          </w:tcPr>
          <w:p w14:paraId="1DBF71C5">
            <w:pPr>
              <w:pStyle w:val="64"/>
              <w:rPr>
                <w:rFonts w:cs="Calibri"/>
              </w:rPr>
            </w:pPr>
            <w:r>
              <w:rPr>
                <w:rFonts w:hint="eastAsia" w:cs="Calibri"/>
              </w:rPr>
              <w:t>0</w:t>
            </w:r>
            <w:r>
              <w:rPr>
                <w:rFonts w:cs="Calibri"/>
              </w:rPr>
              <w:t>.05</w:t>
            </w:r>
          </w:p>
        </w:tc>
        <w:tc>
          <w:tcPr>
            <w:tcW w:w="3112" w:type="dxa"/>
            <w:vMerge w:val="continue"/>
            <w:shd w:val="clear" w:color="auto" w:fill="auto"/>
            <w:vAlign w:val="center"/>
          </w:tcPr>
          <w:p w14:paraId="048F6334">
            <w:pPr>
              <w:pStyle w:val="64"/>
              <w:rPr>
                <w:rFonts w:cs="Calibri"/>
              </w:rPr>
            </w:pPr>
          </w:p>
        </w:tc>
      </w:tr>
      <w:tr w14:paraId="05C52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45447035">
            <w:pPr>
              <w:pStyle w:val="64"/>
              <w:rPr>
                <w:rFonts w:cs="Calibri"/>
              </w:rPr>
            </w:pPr>
            <w:r>
              <w:rPr>
                <w:rFonts w:hint="eastAsia" w:cs="Calibri"/>
              </w:rPr>
              <w:t>溴酸盐/(mg/L)</w:t>
            </w:r>
          </w:p>
        </w:tc>
        <w:tc>
          <w:tcPr>
            <w:tcW w:w="3112" w:type="dxa"/>
            <w:shd w:val="clear" w:color="auto" w:fill="auto"/>
            <w:vAlign w:val="center"/>
          </w:tcPr>
          <w:p w14:paraId="5C0FC672">
            <w:pPr>
              <w:pStyle w:val="64"/>
              <w:rPr>
                <w:rFonts w:cs="Calibri"/>
              </w:rPr>
            </w:pPr>
            <w:r>
              <w:rPr>
                <w:rFonts w:hint="eastAsia" w:cs="Calibri"/>
              </w:rPr>
              <w:t>0</w:t>
            </w:r>
            <w:r>
              <w:rPr>
                <w:rFonts w:cs="Calibri"/>
              </w:rPr>
              <w:t>.01</w:t>
            </w:r>
          </w:p>
        </w:tc>
        <w:tc>
          <w:tcPr>
            <w:tcW w:w="3112" w:type="dxa"/>
            <w:vMerge w:val="continue"/>
            <w:shd w:val="clear" w:color="auto" w:fill="auto"/>
            <w:vAlign w:val="center"/>
          </w:tcPr>
          <w:p w14:paraId="2C04118C">
            <w:pPr>
              <w:pStyle w:val="64"/>
              <w:rPr>
                <w:rFonts w:cs="Calibri"/>
              </w:rPr>
            </w:pPr>
          </w:p>
        </w:tc>
      </w:tr>
      <w:tr w14:paraId="502F36A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2D504ABD">
            <w:pPr>
              <w:pStyle w:val="64"/>
              <w:rPr>
                <w:rFonts w:cs="Calibri"/>
              </w:rPr>
            </w:pPr>
            <w:bookmarkStart w:id="50" w:name="OLE_LINK7"/>
            <w:bookmarkStart w:id="51" w:name="OLE_LINK8"/>
            <w:r>
              <w:rPr>
                <w:rFonts w:hint="eastAsia" w:cs="Calibri"/>
              </w:rPr>
              <w:t>硼酸盐</w:t>
            </w:r>
            <w:bookmarkEnd w:id="50"/>
            <w:bookmarkEnd w:id="51"/>
            <w:r>
              <w:rPr>
                <w:rFonts w:cs="Calibri"/>
              </w:rPr>
              <w:t>(</w:t>
            </w:r>
            <w:r>
              <w:rPr>
                <w:rFonts w:hint="eastAsia" w:cs="Calibri"/>
              </w:rPr>
              <w:t>以</w:t>
            </w:r>
            <w:r>
              <w:rPr>
                <w:rFonts w:cs="Calibri"/>
              </w:rPr>
              <w:t>B</w:t>
            </w:r>
            <w:r>
              <w:rPr>
                <w:rFonts w:hint="eastAsia" w:cs="Calibri"/>
              </w:rPr>
              <w:t>计</w:t>
            </w:r>
            <w:r>
              <w:rPr>
                <w:rFonts w:cs="Calibri"/>
              </w:rPr>
              <w:t>)/(mg/L)</w:t>
            </w:r>
          </w:p>
        </w:tc>
        <w:tc>
          <w:tcPr>
            <w:tcW w:w="3112" w:type="dxa"/>
            <w:shd w:val="clear" w:color="auto" w:fill="auto"/>
            <w:vAlign w:val="center"/>
          </w:tcPr>
          <w:p w14:paraId="1D0E68A1">
            <w:pPr>
              <w:pStyle w:val="64"/>
              <w:rPr>
                <w:rFonts w:cs="Calibri"/>
              </w:rPr>
            </w:pPr>
            <w:r>
              <w:rPr>
                <w:rFonts w:hint="eastAsia" w:cs="Calibri"/>
              </w:rPr>
              <w:t>5</w:t>
            </w:r>
          </w:p>
        </w:tc>
        <w:tc>
          <w:tcPr>
            <w:tcW w:w="3112" w:type="dxa"/>
            <w:vMerge w:val="continue"/>
            <w:shd w:val="clear" w:color="auto" w:fill="auto"/>
            <w:vAlign w:val="center"/>
          </w:tcPr>
          <w:p w14:paraId="702E4C60">
            <w:pPr>
              <w:pStyle w:val="64"/>
              <w:rPr>
                <w:rFonts w:cs="Calibri"/>
              </w:rPr>
            </w:pPr>
          </w:p>
        </w:tc>
      </w:tr>
      <w:tr w14:paraId="56E87E0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2D78E29F">
            <w:pPr>
              <w:pStyle w:val="64"/>
              <w:rPr>
                <w:rFonts w:cs="Calibri"/>
              </w:rPr>
            </w:pPr>
            <w:r>
              <w:rPr>
                <w:rFonts w:hint="eastAsia" w:cs="Calibri"/>
              </w:rPr>
              <w:t>氟化物</w:t>
            </w:r>
            <w:r>
              <w:rPr>
                <w:rFonts w:cs="Calibri"/>
              </w:rPr>
              <w:t>(</w:t>
            </w:r>
            <w:r>
              <w:rPr>
                <w:rFonts w:hint="eastAsia" w:cs="Calibri"/>
              </w:rPr>
              <w:t>以</w:t>
            </w:r>
            <w:r>
              <w:rPr>
                <w:rFonts w:cs="Calibri"/>
              </w:rPr>
              <w:t>F</w:t>
            </w:r>
            <w:r>
              <w:rPr>
                <w:rFonts w:hint="eastAsia" w:cs="Calibri"/>
              </w:rPr>
              <w:t>计</w:t>
            </w:r>
            <w:r>
              <w:rPr>
                <w:rFonts w:cs="Calibri"/>
              </w:rPr>
              <w:t>)/(mg/L)</w:t>
            </w:r>
          </w:p>
        </w:tc>
        <w:tc>
          <w:tcPr>
            <w:tcW w:w="3112" w:type="dxa"/>
            <w:shd w:val="clear" w:color="auto" w:fill="auto"/>
            <w:vAlign w:val="center"/>
          </w:tcPr>
          <w:p w14:paraId="0CD241C3">
            <w:pPr>
              <w:pStyle w:val="64"/>
              <w:rPr>
                <w:rFonts w:cs="Calibri"/>
              </w:rPr>
            </w:pPr>
            <w:r>
              <w:rPr>
                <w:rFonts w:cs="Calibri"/>
              </w:rPr>
              <w:t>0.5</w:t>
            </w:r>
          </w:p>
        </w:tc>
        <w:tc>
          <w:tcPr>
            <w:tcW w:w="3112" w:type="dxa"/>
            <w:vMerge w:val="continue"/>
            <w:shd w:val="clear" w:color="auto" w:fill="auto"/>
            <w:vAlign w:val="center"/>
          </w:tcPr>
          <w:p w14:paraId="363C0AD1">
            <w:pPr>
              <w:pStyle w:val="64"/>
              <w:rPr>
                <w:rFonts w:cs="Calibri"/>
              </w:rPr>
            </w:pPr>
          </w:p>
        </w:tc>
      </w:tr>
      <w:tr w14:paraId="14FAC9E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27F6EC90">
            <w:pPr>
              <w:pStyle w:val="64"/>
              <w:rPr>
                <w:rFonts w:cs="Calibri"/>
              </w:rPr>
            </w:pPr>
            <w:r>
              <w:rPr>
                <w:rFonts w:hint="eastAsia" w:cs="Calibri"/>
              </w:rPr>
              <w:t>耗氧量</w:t>
            </w:r>
            <w:r>
              <w:rPr>
                <w:rFonts w:cs="Calibri"/>
              </w:rPr>
              <w:t>(</w:t>
            </w:r>
            <w:r>
              <w:rPr>
                <w:rFonts w:hint="eastAsia" w:cs="Calibri"/>
              </w:rPr>
              <w:t>以</w:t>
            </w:r>
            <w:r>
              <w:rPr>
                <w:rFonts w:cs="Calibri"/>
              </w:rPr>
              <w:t xml:space="preserve"> O₂</w:t>
            </w:r>
            <w:r>
              <w:rPr>
                <w:rFonts w:hint="eastAsia" w:cs="Calibri"/>
              </w:rPr>
              <w:t>计</w:t>
            </w:r>
            <w:r>
              <w:rPr>
                <w:rFonts w:cs="Calibri"/>
              </w:rPr>
              <w:t>)/(mg/L)</w:t>
            </w:r>
          </w:p>
        </w:tc>
        <w:tc>
          <w:tcPr>
            <w:tcW w:w="3112" w:type="dxa"/>
            <w:shd w:val="clear" w:color="auto" w:fill="auto"/>
            <w:vAlign w:val="center"/>
          </w:tcPr>
          <w:p w14:paraId="72DCC3A0">
            <w:pPr>
              <w:pStyle w:val="64"/>
              <w:rPr>
                <w:rFonts w:cs="Calibri"/>
              </w:rPr>
            </w:pPr>
            <w:r>
              <w:rPr>
                <w:rFonts w:hint="eastAsia" w:cs="Calibri"/>
              </w:rPr>
              <w:t>2</w:t>
            </w:r>
            <w:r>
              <w:rPr>
                <w:rFonts w:cs="Calibri"/>
              </w:rPr>
              <w:t>.0</w:t>
            </w:r>
          </w:p>
        </w:tc>
        <w:tc>
          <w:tcPr>
            <w:tcW w:w="3112" w:type="dxa"/>
            <w:vMerge w:val="continue"/>
            <w:shd w:val="clear" w:color="auto" w:fill="auto"/>
            <w:vAlign w:val="center"/>
          </w:tcPr>
          <w:p w14:paraId="1668859F">
            <w:pPr>
              <w:pStyle w:val="64"/>
              <w:rPr>
                <w:rFonts w:cs="Calibri"/>
              </w:rPr>
            </w:pPr>
          </w:p>
        </w:tc>
      </w:tr>
      <w:tr w14:paraId="0FBC22E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54F34FE5">
            <w:pPr>
              <w:pStyle w:val="64"/>
              <w:rPr>
                <w:rFonts w:cs="Calibri"/>
              </w:rPr>
            </w:pPr>
            <w:r>
              <w:rPr>
                <w:rFonts w:hint="eastAsia" w:cs="Calibri"/>
              </w:rPr>
              <w:t>挥发酚</w:t>
            </w:r>
            <w:r>
              <w:rPr>
                <w:rFonts w:cs="Calibri"/>
              </w:rPr>
              <w:t>(</w:t>
            </w:r>
            <w:r>
              <w:rPr>
                <w:rFonts w:hint="eastAsia" w:cs="Calibri"/>
              </w:rPr>
              <w:t>以苯酚计</w:t>
            </w:r>
            <w:r>
              <w:rPr>
                <w:rFonts w:cs="Calibri"/>
              </w:rPr>
              <w:t>)/(mg/L)</w:t>
            </w:r>
          </w:p>
        </w:tc>
        <w:tc>
          <w:tcPr>
            <w:tcW w:w="3112" w:type="dxa"/>
            <w:shd w:val="clear" w:color="auto" w:fill="auto"/>
            <w:vAlign w:val="center"/>
          </w:tcPr>
          <w:p w14:paraId="29772AEC">
            <w:pPr>
              <w:pStyle w:val="64"/>
              <w:rPr>
                <w:rFonts w:cs="Calibri"/>
              </w:rPr>
            </w:pPr>
            <w:r>
              <w:rPr>
                <w:rFonts w:hint="eastAsia" w:cs="Calibri"/>
              </w:rPr>
              <w:t>0</w:t>
            </w:r>
            <w:r>
              <w:rPr>
                <w:rFonts w:cs="Calibri"/>
              </w:rPr>
              <w:t>.002</w:t>
            </w:r>
          </w:p>
        </w:tc>
        <w:tc>
          <w:tcPr>
            <w:tcW w:w="3112" w:type="dxa"/>
            <w:vMerge w:val="continue"/>
            <w:shd w:val="clear" w:color="auto" w:fill="auto"/>
            <w:vAlign w:val="center"/>
          </w:tcPr>
          <w:p w14:paraId="0E3D3BA8">
            <w:pPr>
              <w:pStyle w:val="64"/>
              <w:rPr>
                <w:rFonts w:cs="Calibri"/>
              </w:rPr>
            </w:pPr>
          </w:p>
        </w:tc>
      </w:tr>
      <w:tr w14:paraId="2EF6418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4D3EC1D1">
            <w:pPr>
              <w:pStyle w:val="64"/>
              <w:rPr>
                <w:rFonts w:cs="Calibri"/>
              </w:rPr>
            </w:pPr>
            <w:r>
              <w:rPr>
                <w:rFonts w:hint="eastAsia" w:cs="Calibri"/>
              </w:rPr>
              <w:t>氰化物</w:t>
            </w:r>
            <w:r>
              <w:rPr>
                <w:rFonts w:cs="Calibri"/>
              </w:rPr>
              <w:t>(</w:t>
            </w:r>
            <w:r>
              <w:rPr>
                <w:rFonts w:hint="eastAsia" w:cs="Calibri"/>
              </w:rPr>
              <w:t>以</w:t>
            </w:r>
            <w:r>
              <w:rPr>
                <w:rFonts w:cs="Calibri"/>
              </w:rPr>
              <w:t>CN-</w:t>
            </w:r>
            <w:r>
              <w:rPr>
                <w:rFonts w:hint="eastAsia" w:cs="Calibri"/>
              </w:rPr>
              <w:t>计</w:t>
            </w:r>
            <w:r>
              <w:rPr>
                <w:rFonts w:cs="Calibri"/>
              </w:rPr>
              <w:t>)</w:t>
            </w:r>
            <w:bookmarkStart w:id="52" w:name="OLE_LINK30"/>
            <w:bookmarkStart w:id="53" w:name="OLE_LINK29"/>
            <w:r>
              <w:rPr>
                <w:rFonts w:cs="Calibri"/>
              </w:rPr>
              <w:t>/(mg/L)</w:t>
            </w:r>
            <w:bookmarkEnd w:id="52"/>
            <w:bookmarkEnd w:id="53"/>
          </w:p>
        </w:tc>
        <w:tc>
          <w:tcPr>
            <w:tcW w:w="3112" w:type="dxa"/>
            <w:shd w:val="clear" w:color="auto" w:fill="auto"/>
            <w:vAlign w:val="center"/>
          </w:tcPr>
          <w:p w14:paraId="0A99EE0E">
            <w:pPr>
              <w:pStyle w:val="64"/>
              <w:rPr>
                <w:rFonts w:cs="Calibri"/>
              </w:rPr>
            </w:pPr>
            <w:r>
              <w:rPr>
                <w:rFonts w:hint="eastAsia" w:cs="Calibri"/>
              </w:rPr>
              <w:t>0</w:t>
            </w:r>
            <w:r>
              <w:rPr>
                <w:rFonts w:cs="Calibri"/>
              </w:rPr>
              <w:t>.010</w:t>
            </w:r>
          </w:p>
        </w:tc>
        <w:tc>
          <w:tcPr>
            <w:tcW w:w="3112" w:type="dxa"/>
            <w:vMerge w:val="continue"/>
            <w:shd w:val="clear" w:color="auto" w:fill="auto"/>
            <w:vAlign w:val="center"/>
          </w:tcPr>
          <w:p w14:paraId="5F339E2F">
            <w:pPr>
              <w:pStyle w:val="64"/>
              <w:rPr>
                <w:rFonts w:cs="Calibri"/>
              </w:rPr>
            </w:pPr>
          </w:p>
        </w:tc>
      </w:tr>
      <w:tr w14:paraId="29072F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1A618429">
            <w:pPr>
              <w:pStyle w:val="64"/>
              <w:rPr>
                <w:rFonts w:cs="Calibri"/>
              </w:rPr>
            </w:pPr>
            <w:r>
              <w:rPr>
                <w:rFonts w:hint="eastAsia" w:cs="Calibri"/>
              </w:rPr>
              <w:t>矿物油</w:t>
            </w:r>
            <w:r>
              <w:rPr>
                <w:rFonts w:cs="Calibri"/>
              </w:rPr>
              <w:t>/(mg/L)</w:t>
            </w:r>
          </w:p>
        </w:tc>
        <w:tc>
          <w:tcPr>
            <w:tcW w:w="3112" w:type="dxa"/>
            <w:shd w:val="clear" w:color="auto" w:fill="auto"/>
            <w:vAlign w:val="center"/>
          </w:tcPr>
          <w:p w14:paraId="4EE65706">
            <w:pPr>
              <w:pStyle w:val="64"/>
              <w:rPr>
                <w:rFonts w:cs="Calibri"/>
              </w:rPr>
            </w:pPr>
            <w:r>
              <w:rPr>
                <w:rFonts w:hint="eastAsia" w:cs="Calibri"/>
              </w:rPr>
              <w:t>0</w:t>
            </w:r>
            <w:r>
              <w:rPr>
                <w:rFonts w:cs="Calibri"/>
              </w:rPr>
              <w:t>.05</w:t>
            </w:r>
          </w:p>
        </w:tc>
        <w:tc>
          <w:tcPr>
            <w:tcW w:w="3112" w:type="dxa"/>
            <w:vMerge w:val="continue"/>
            <w:shd w:val="clear" w:color="auto" w:fill="auto"/>
            <w:vAlign w:val="center"/>
          </w:tcPr>
          <w:p w14:paraId="264DF77D">
            <w:pPr>
              <w:pStyle w:val="64"/>
              <w:rPr>
                <w:rFonts w:cs="Calibri"/>
              </w:rPr>
            </w:pPr>
          </w:p>
        </w:tc>
      </w:tr>
      <w:tr w14:paraId="259E2D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1AAF3C2E">
            <w:pPr>
              <w:pStyle w:val="64"/>
              <w:rPr>
                <w:rFonts w:cs="Calibri"/>
              </w:rPr>
            </w:pPr>
            <w:r>
              <w:rPr>
                <w:rFonts w:hint="eastAsia" w:cs="Calibri"/>
              </w:rPr>
              <w:t>阴离子合成洗涤剂/(mg/L)</w:t>
            </w:r>
          </w:p>
        </w:tc>
        <w:tc>
          <w:tcPr>
            <w:tcW w:w="3112" w:type="dxa"/>
            <w:shd w:val="clear" w:color="auto" w:fill="auto"/>
            <w:vAlign w:val="center"/>
          </w:tcPr>
          <w:p w14:paraId="00F56250">
            <w:pPr>
              <w:pStyle w:val="64"/>
              <w:rPr>
                <w:rFonts w:cs="Calibri"/>
              </w:rPr>
            </w:pPr>
            <w:r>
              <w:rPr>
                <w:rFonts w:hint="eastAsia" w:cs="Calibri"/>
              </w:rPr>
              <w:t>0</w:t>
            </w:r>
            <w:r>
              <w:rPr>
                <w:rFonts w:cs="Calibri"/>
              </w:rPr>
              <w:t>.3</w:t>
            </w:r>
          </w:p>
        </w:tc>
        <w:tc>
          <w:tcPr>
            <w:tcW w:w="3112" w:type="dxa"/>
            <w:vMerge w:val="continue"/>
            <w:shd w:val="clear" w:color="auto" w:fill="auto"/>
            <w:vAlign w:val="center"/>
          </w:tcPr>
          <w:p w14:paraId="54A6C916">
            <w:pPr>
              <w:pStyle w:val="64"/>
              <w:rPr>
                <w:rFonts w:cs="Calibri"/>
              </w:rPr>
            </w:pPr>
          </w:p>
        </w:tc>
      </w:tr>
      <w:tr w14:paraId="0646C2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1C48D2F5">
            <w:pPr>
              <w:pStyle w:val="64"/>
              <w:rPr>
                <w:rFonts w:cs="Calibri"/>
              </w:rPr>
            </w:pPr>
            <w:r>
              <w:rPr>
                <w:rFonts w:hint="eastAsia" w:cs="Calibri"/>
                <w:vertAlign w:val="superscript"/>
              </w:rPr>
              <w:t>226</w:t>
            </w:r>
            <w:r>
              <w:rPr>
                <w:rFonts w:hint="eastAsia" w:cs="Calibri"/>
              </w:rPr>
              <w:t>Ra放射性/(Bq/L)</w:t>
            </w:r>
          </w:p>
        </w:tc>
        <w:tc>
          <w:tcPr>
            <w:tcW w:w="3112" w:type="dxa"/>
            <w:shd w:val="clear" w:color="auto" w:fill="auto"/>
            <w:vAlign w:val="center"/>
          </w:tcPr>
          <w:p w14:paraId="58FDEFCF">
            <w:pPr>
              <w:pStyle w:val="64"/>
              <w:rPr>
                <w:rFonts w:cs="Calibri"/>
              </w:rPr>
            </w:pPr>
            <w:r>
              <w:rPr>
                <w:rFonts w:hint="eastAsia" w:cs="Calibri"/>
              </w:rPr>
              <w:t>1</w:t>
            </w:r>
            <w:r>
              <w:rPr>
                <w:rFonts w:cs="Calibri"/>
              </w:rPr>
              <w:t>.1</w:t>
            </w:r>
          </w:p>
        </w:tc>
        <w:tc>
          <w:tcPr>
            <w:tcW w:w="3112" w:type="dxa"/>
            <w:vMerge w:val="continue"/>
            <w:shd w:val="clear" w:color="auto" w:fill="auto"/>
            <w:vAlign w:val="center"/>
          </w:tcPr>
          <w:p w14:paraId="7361B6B2">
            <w:pPr>
              <w:pStyle w:val="64"/>
              <w:rPr>
                <w:rFonts w:cs="Calibri"/>
              </w:rPr>
            </w:pPr>
          </w:p>
        </w:tc>
      </w:tr>
      <w:tr w14:paraId="08D3D9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3110" w:type="dxa"/>
            <w:shd w:val="clear" w:color="auto" w:fill="auto"/>
            <w:vAlign w:val="center"/>
          </w:tcPr>
          <w:p w14:paraId="010226FB">
            <w:pPr>
              <w:pStyle w:val="64"/>
              <w:rPr>
                <w:rFonts w:cs="Calibri"/>
              </w:rPr>
            </w:pPr>
            <w:r>
              <w:rPr>
                <w:rFonts w:hint="eastAsia" w:cs="Calibri"/>
              </w:rPr>
              <w:t>总β放射性/(Bq/L)</w:t>
            </w:r>
          </w:p>
        </w:tc>
        <w:tc>
          <w:tcPr>
            <w:tcW w:w="3112" w:type="dxa"/>
            <w:shd w:val="clear" w:color="auto" w:fill="auto"/>
            <w:vAlign w:val="center"/>
          </w:tcPr>
          <w:p w14:paraId="3EF3A49E">
            <w:pPr>
              <w:pStyle w:val="64"/>
              <w:rPr>
                <w:rFonts w:cs="Calibri"/>
              </w:rPr>
            </w:pPr>
            <w:r>
              <w:rPr>
                <w:rFonts w:hint="eastAsia" w:cs="Calibri"/>
              </w:rPr>
              <w:t>1</w:t>
            </w:r>
            <w:r>
              <w:rPr>
                <w:rFonts w:cs="Calibri"/>
              </w:rPr>
              <w:t>.50</w:t>
            </w:r>
          </w:p>
        </w:tc>
        <w:tc>
          <w:tcPr>
            <w:tcW w:w="3112" w:type="dxa"/>
            <w:vMerge w:val="continue"/>
            <w:shd w:val="clear" w:color="auto" w:fill="auto"/>
            <w:vAlign w:val="center"/>
          </w:tcPr>
          <w:p w14:paraId="77364A4F">
            <w:pPr>
              <w:pStyle w:val="64"/>
              <w:rPr>
                <w:rFonts w:cs="Calibri"/>
              </w:rPr>
            </w:pPr>
          </w:p>
        </w:tc>
      </w:tr>
      <w:bookmarkEnd w:id="108"/>
    </w:tbl>
    <w:p w14:paraId="4B219D83">
      <w:pPr>
        <w:pStyle w:val="50"/>
        <w:ind w:firstLine="420"/>
      </w:pPr>
    </w:p>
    <w:p w14:paraId="6C01B0F2">
      <w:pPr>
        <w:pStyle w:val="45"/>
        <w:spacing w:before="156" w:beforeLines="50" w:after="156" w:afterLines="50"/>
      </w:pPr>
      <w:bookmarkStart w:id="54" w:name="_Toc212560817"/>
      <w:r>
        <w:rPr>
          <w:rFonts w:hint="eastAsia"/>
        </w:rPr>
        <w:t>污染物限量</w:t>
      </w:r>
      <w:bookmarkEnd w:id="54"/>
    </w:p>
    <w:p w14:paraId="4822EA2C">
      <w:pPr>
        <w:pStyle w:val="50"/>
        <w:ind w:firstLine="420"/>
      </w:pPr>
      <w:r>
        <w:rPr>
          <w:rFonts w:hint="eastAsia"/>
        </w:rPr>
        <w:t>污染物限量应符合表4的规定。</w:t>
      </w:r>
    </w:p>
    <w:p w14:paraId="2D98B682">
      <w:pPr>
        <w:pStyle w:val="59"/>
        <w:spacing w:before="156" w:after="156"/>
      </w:pPr>
      <w:r>
        <w:rPr>
          <w:rFonts w:hint="eastAsia"/>
        </w:rPr>
        <w:t>污染物限量</w:t>
      </w:r>
    </w:p>
    <w:tbl>
      <w:tblPr>
        <w:tblStyle w:val="17"/>
        <w:tblW w:w="4998"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20"/>
        <w:gridCol w:w="3125"/>
        <w:gridCol w:w="3125"/>
      </w:tblGrid>
      <w:tr w14:paraId="74AB0B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tblHeader/>
          <w:jc w:val="center"/>
        </w:trPr>
        <w:tc>
          <w:tcPr>
            <w:tcW w:w="1665" w:type="pct"/>
            <w:tcBorders>
              <w:top w:val="single" w:color="auto" w:sz="8" w:space="0"/>
              <w:bottom w:val="single" w:color="auto" w:sz="8" w:space="0"/>
            </w:tcBorders>
            <w:shd w:val="clear" w:color="auto" w:fill="auto"/>
            <w:vAlign w:val="center"/>
          </w:tcPr>
          <w:p w14:paraId="6B599DAF">
            <w:pPr>
              <w:pStyle w:val="64"/>
              <w:rPr>
                <w:rFonts w:cs="Calibri"/>
              </w:rPr>
            </w:pPr>
            <w:r>
              <w:rPr>
                <w:rFonts w:hint="eastAsia" w:cs="Calibri"/>
              </w:rPr>
              <w:t>项目</w:t>
            </w:r>
          </w:p>
        </w:tc>
        <w:tc>
          <w:tcPr>
            <w:tcW w:w="1667" w:type="pct"/>
            <w:tcBorders>
              <w:top w:val="single" w:color="auto" w:sz="8" w:space="0"/>
              <w:bottom w:val="single" w:color="auto" w:sz="8" w:space="0"/>
            </w:tcBorders>
            <w:shd w:val="clear" w:color="auto" w:fill="auto"/>
            <w:vAlign w:val="center"/>
          </w:tcPr>
          <w:p w14:paraId="394A510E">
            <w:pPr>
              <w:pStyle w:val="64"/>
              <w:rPr>
                <w:rFonts w:cs="Calibri"/>
              </w:rPr>
            </w:pPr>
            <w:r>
              <w:rPr>
                <w:rFonts w:hint="eastAsia" w:cs="Calibri"/>
              </w:rPr>
              <w:t>要求</w:t>
            </w:r>
          </w:p>
        </w:tc>
        <w:tc>
          <w:tcPr>
            <w:tcW w:w="1667" w:type="pct"/>
            <w:tcBorders>
              <w:top w:val="single" w:color="auto" w:sz="8" w:space="0"/>
              <w:bottom w:val="single" w:color="auto" w:sz="8" w:space="0"/>
            </w:tcBorders>
            <w:shd w:val="clear" w:color="auto" w:fill="auto"/>
            <w:vAlign w:val="center"/>
          </w:tcPr>
          <w:p w14:paraId="37CE9F08">
            <w:pPr>
              <w:pStyle w:val="64"/>
              <w:rPr>
                <w:rFonts w:cs="Calibri"/>
              </w:rPr>
            </w:pPr>
            <w:r>
              <w:rPr>
                <w:rFonts w:hint="eastAsia" w:cs="Calibri"/>
              </w:rPr>
              <w:t>检验方法</w:t>
            </w:r>
          </w:p>
        </w:tc>
      </w:tr>
      <w:tr w14:paraId="4AAC29A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665" w:type="pct"/>
            <w:tcBorders>
              <w:top w:val="single" w:color="auto" w:sz="8" w:space="0"/>
            </w:tcBorders>
            <w:shd w:val="clear" w:color="auto" w:fill="auto"/>
            <w:vAlign w:val="center"/>
          </w:tcPr>
          <w:p w14:paraId="6671F4F7">
            <w:pPr>
              <w:pStyle w:val="64"/>
              <w:rPr>
                <w:rFonts w:cs="Calibri"/>
              </w:rPr>
            </w:pPr>
            <w:r>
              <w:rPr>
                <w:rFonts w:hint="eastAsia" w:cs="Calibri"/>
              </w:rPr>
              <w:t xml:space="preserve"> </w:t>
            </w:r>
            <w:r>
              <w:rPr>
                <w:rFonts w:cs="Calibri"/>
              </w:rPr>
              <w:t xml:space="preserve">      </w:t>
            </w:r>
            <w:r>
              <w:rPr>
                <w:rFonts w:hint="eastAsia" w:cs="Calibri"/>
              </w:rPr>
              <w:t>铅（以Pb计）</w:t>
            </w:r>
            <w:r>
              <w:rPr>
                <w:rFonts w:cs="Calibri"/>
              </w:rPr>
              <w:t xml:space="preserve">/(mg/L)     </w:t>
            </w:r>
            <w:bookmarkStart w:id="55" w:name="OLE_LINK31"/>
            <w:bookmarkStart w:id="56" w:name="OLE_LINK32"/>
            <w:r>
              <w:rPr>
                <w:rFonts w:hint="eastAsia" w:cs="Calibri"/>
              </w:rPr>
              <w:t>≤</w:t>
            </w:r>
            <w:bookmarkEnd w:id="55"/>
            <w:bookmarkEnd w:id="56"/>
          </w:p>
        </w:tc>
        <w:tc>
          <w:tcPr>
            <w:tcW w:w="1667" w:type="pct"/>
            <w:tcBorders>
              <w:top w:val="single" w:color="auto" w:sz="8" w:space="0"/>
            </w:tcBorders>
            <w:shd w:val="clear" w:color="auto" w:fill="auto"/>
            <w:vAlign w:val="center"/>
          </w:tcPr>
          <w:p w14:paraId="49C07892">
            <w:pPr>
              <w:pStyle w:val="64"/>
              <w:rPr>
                <w:rFonts w:cs="Calibri"/>
              </w:rPr>
            </w:pPr>
            <w:bookmarkStart w:id="57" w:name="OLE_LINK36"/>
            <w:bookmarkStart w:id="58" w:name="OLE_LINK37"/>
            <w:r>
              <w:rPr>
                <w:rFonts w:cs="Calibri"/>
              </w:rPr>
              <w:t>0.01</w:t>
            </w:r>
            <w:bookmarkEnd w:id="57"/>
            <w:bookmarkEnd w:id="58"/>
          </w:p>
        </w:tc>
        <w:tc>
          <w:tcPr>
            <w:tcW w:w="1667" w:type="pct"/>
            <w:vMerge w:val="restart"/>
            <w:tcBorders>
              <w:top w:val="single" w:color="auto" w:sz="8" w:space="0"/>
            </w:tcBorders>
            <w:shd w:val="clear" w:color="auto" w:fill="auto"/>
            <w:vAlign w:val="center"/>
          </w:tcPr>
          <w:p w14:paraId="128E1C0B">
            <w:pPr>
              <w:pStyle w:val="64"/>
              <w:rPr>
                <w:rFonts w:cs="Calibri"/>
              </w:rPr>
            </w:pPr>
            <w:r>
              <w:rPr>
                <w:rFonts w:hint="eastAsia" w:cs="Calibri"/>
              </w:rPr>
              <w:t>G</w:t>
            </w:r>
            <w:r>
              <w:rPr>
                <w:rFonts w:cs="Calibri"/>
              </w:rPr>
              <w:t>B 8538</w:t>
            </w:r>
          </w:p>
        </w:tc>
      </w:tr>
      <w:tr w14:paraId="6036B2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665" w:type="pct"/>
            <w:shd w:val="clear" w:color="auto" w:fill="auto"/>
            <w:vAlign w:val="center"/>
          </w:tcPr>
          <w:p w14:paraId="115476DD">
            <w:pPr>
              <w:pStyle w:val="64"/>
              <w:rPr>
                <w:rFonts w:cs="Calibri"/>
              </w:rPr>
            </w:pPr>
            <w:r>
              <w:rPr>
                <w:rFonts w:hint="eastAsia" w:cs="Calibri"/>
              </w:rPr>
              <w:t xml:space="preserve"> </w:t>
            </w:r>
            <w:r>
              <w:rPr>
                <w:rFonts w:cs="Calibri"/>
              </w:rPr>
              <w:t xml:space="preserve">      </w:t>
            </w:r>
            <w:r>
              <w:rPr>
                <w:rFonts w:hint="eastAsia" w:cs="Calibri"/>
              </w:rPr>
              <w:t>镉(以Cd计)</w:t>
            </w:r>
            <w:r>
              <w:rPr>
                <w:rFonts w:cs="Calibri"/>
              </w:rPr>
              <w:t xml:space="preserve">/(mg/L)    </w:t>
            </w:r>
            <w:r>
              <w:rPr>
                <w:rFonts w:hint="eastAsia" w:cs="Calibri"/>
              </w:rPr>
              <w:t xml:space="preserve"> </w:t>
            </w:r>
            <w:r>
              <w:rPr>
                <w:rFonts w:cs="Calibri"/>
              </w:rPr>
              <w:t xml:space="preserve">  </w:t>
            </w:r>
            <w:r>
              <w:rPr>
                <w:rFonts w:hint="eastAsia" w:cs="Calibri"/>
              </w:rPr>
              <w:t>≤</w:t>
            </w:r>
          </w:p>
        </w:tc>
        <w:tc>
          <w:tcPr>
            <w:tcW w:w="1667" w:type="pct"/>
            <w:shd w:val="clear" w:color="auto" w:fill="auto"/>
            <w:vAlign w:val="center"/>
          </w:tcPr>
          <w:p w14:paraId="44ED90ED">
            <w:pPr>
              <w:pStyle w:val="64"/>
              <w:rPr>
                <w:rFonts w:cs="Calibri"/>
              </w:rPr>
            </w:pPr>
            <w:r>
              <w:rPr>
                <w:rFonts w:hint="eastAsia" w:cs="Calibri"/>
              </w:rPr>
              <w:t>0</w:t>
            </w:r>
            <w:r>
              <w:rPr>
                <w:rFonts w:cs="Calibri"/>
              </w:rPr>
              <w:t>.003</w:t>
            </w:r>
          </w:p>
        </w:tc>
        <w:tc>
          <w:tcPr>
            <w:tcW w:w="1667" w:type="pct"/>
            <w:vMerge w:val="continue"/>
            <w:shd w:val="clear" w:color="auto" w:fill="auto"/>
            <w:vAlign w:val="center"/>
          </w:tcPr>
          <w:p w14:paraId="59200AA7">
            <w:pPr>
              <w:pStyle w:val="64"/>
              <w:rPr>
                <w:rFonts w:cs="Calibri"/>
              </w:rPr>
            </w:pPr>
          </w:p>
        </w:tc>
      </w:tr>
      <w:tr w14:paraId="7EC0F5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665" w:type="pct"/>
            <w:shd w:val="clear" w:color="auto" w:fill="auto"/>
            <w:vAlign w:val="center"/>
          </w:tcPr>
          <w:p w14:paraId="5F595C4B">
            <w:pPr>
              <w:pStyle w:val="64"/>
              <w:rPr>
                <w:rFonts w:cs="Calibri"/>
              </w:rPr>
            </w:pPr>
            <w:r>
              <w:rPr>
                <w:rFonts w:hint="eastAsia" w:cs="Calibri"/>
              </w:rPr>
              <w:t xml:space="preserve"> </w:t>
            </w:r>
            <w:r>
              <w:rPr>
                <w:rFonts w:cs="Calibri"/>
              </w:rPr>
              <w:t xml:space="preserve">     </w:t>
            </w:r>
            <w:r>
              <w:rPr>
                <w:rFonts w:hint="eastAsia" w:cs="Calibri"/>
              </w:rPr>
              <w:t>总汞(以Hg计)</w:t>
            </w:r>
            <w:r>
              <w:rPr>
                <w:rFonts w:cs="Calibri"/>
              </w:rPr>
              <w:t xml:space="preserve">/(mg/L)    </w:t>
            </w:r>
            <w:r>
              <w:rPr>
                <w:rFonts w:hint="eastAsia" w:cs="Calibri"/>
              </w:rPr>
              <w:t xml:space="preserve"> </w:t>
            </w:r>
            <w:r>
              <w:rPr>
                <w:rFonts w:cs="Calibri"/>
              </w:rPr>
              <w:t xml:space="preserve"> </w:t>
            </w:r>
            <w:r>
              <w:rPr>
                <w:rFonts w:hint="eastAsia" w:cs="Calibri"/>
              </w:rPr>
              <w:t>≤</w:t>
            </w:r>
          </w:p>
        </w:tc>
        <w:tc>
          <w:tcPr>
            <w:tcW w:w="1667" w:type="pct"/>
            <w:shd w:val="clear" w:color="auto" w:fill="auto"/>
            <w:vAlign w:val="center"/>
          </w:tcPr>
          <w:p w14:paraId="7643BC4B">
            <w:pPr>
              <w:pStyle w:val="64"/>
              <w:rPr>
                <w:rFonts w:cs="Calibri"/>
              </w:rPr>
            </w:pPr>
            <w:r>
              <w:rPr>
                <w:rFonts w:hint="eastAsia" w:cs="Calibri"/>
              </w:rPr>
              <w:t>0</w:t>
            </w:r>
            <w:r>
              <w:rPr>
                <w:rFonts w:cs="Calibri"/>
              </w:rPr>
              <w:t>.001</w:t>
            </w:r>
          </w:p>
        </w:tc>
        <w:tc>
          <w:tcPr>
            <w:tcW w:w="1667" w:type="pct"/>
            <w:vMerge w:val="continue"/>
            <w:shd w:val="clear" w:color="auto" w:fill="auto"/>
            <w:vAlign w:val="center"/>
          </w:tcPr>
          <w:p w14:paraId="2F07A6E0">
            <w:pPr>
              <w:pStyle w:val="64"/>
              <w:rPr>
                <w:rFonts w:cs="Calibri"/>
              </w:rPr>
            </w:pPr>
          </w:p>
        </w:tc>
      </w:tr>
      <w:tr w14:paraId="55304B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83" w:hRule="atLeast"/>
          <w:jc w:val="center"/>
        </w:trPr>
        <w:tc>
          <w:tcPr>
            <w:tcW w:w="1665" w:type="pct"/>
            <w:shd w:val="clear" w:color="auto" w:fill="auto"/>
            <w:vAlign w:val="center"/>
          </w:tcPr>
          <w:p w14:paraId="3051EA38">
            <w:pPr>
              <w:pStyle w:val="64"/>
              <w:rPr>
                <w:rFonts w:cs="Calibri"/>
              </w:rPr>
            </w:pPr>
            <w:r>
              <w:rPr>
                <w:rFonts w:hint="eastAsia" w:cs="Calibri"/>
              </w:rPr>
              <w:t xml:space="preserve"> </w:t>
            </w:r>
            <w:r>
              <w:rPr>
                <w:rFonts w:cs="Calibri"/>
              </w:rPr>
              <w:t xml:space="preserve">     </w:t>
            </w:r>
            <w:r>
              <w:rPr>
                <w:rFonts w:hint="eastAsia" w:cs="Calibri"/>
              </w:rPr>
              <w:t>总砷(以As计)</w:t>
            </w:r>
            <w:r>
              <w:rPr>
                <w:rFonts w:cs="Calibri"/>
              </w:rPr>
              <w:t xml:space="preserve">/(mg/L)    </w:t>
            </w:r>
            <w:r>
              <w:rPr>
                <w:rFonts w:hint="eastAsia" w:cs="Calibri"/>
              </w:rPr>
              <w:t xml:space="preserve"> </w:t>
            </w:r>
            <w:r>
              <w:rPr>
                <w:rFonts w:cs="Calibri"/>
              </w:rPr>
              <w:t xml:space="preserve"> </w:t>
            </w:r>
            <w:r>
              <w:rPr>
                <w:rFonts w:hint="eastAsia" w:cs="Calibri"/>
              </w:rPr>
              <w:t>≤</w:t>
            </w:r>
          </w:p>
        </w:tc>
        <w:tc>
          <w:tcPr>
            <w:tcW w:w="1667" w:type="pct"/>
            <w:shd w:val="clear" w:color="auto" w:fill="auto"/>
            <w:vAlign w:val="center"/>
          </w:tcPr>
          <w:p w14:paraId="15534348">
            <w:pPr>
              <w:pStyle w:val="64"/>
              <w:rPr>
                <w:rFonts w:cs="Calibri"/>
              </w:rPr>
            </w:pPr>
            <w:r>
              <w:rPr>
                <w:rFonts w:cs="Calibri"/>
              </w:rPr>
              <w:t>0.01</w:t>
            </w:r>
          </w:p>
        </w:tc>
        <w:tc>
          <w:tcPr>
            <w:tcW w:w="1667" w:type="pct"/>
            <w:vMerge w:val="continue"/>
            <w:shd w:val="clear" w:color="auto" w:fill="auto"/>
            <w:vAlign w:val="center"/>
          </w:tcPr>
          <w:p w14:paraId="5105FD34">
            <w:pPr>
              <w:pStyle w:val="64"/>
              <w:rPr>
                <w:rFonts w:cs="Calibri"/>
              </w:rPr>
            </w:pPr>
          </w:p>
        </w:tc>
      </w:tr>
      <w:tr w14:paraId="627CE2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283" w:hRule="atLeast"/>
          <w:jc w:val="center"/>
        </w:trPr>
        <w:tc>
          <w:tcPr>
            <w:tcW w:w="1665" w:type="pct"/>
            <w:shd w:val="clear" w:color="auto" w:fill="auto"/>
            <w:vAlign w:val="center"/>
          </w:tcPr>
          <w:p w14:paraId="7A9A5D76">
            <w:pPr>
              <w:pStyle w:val="64"/>
              <w:rPr>
                <w:rFonts w:cs="Calibri"/>
              </w:rPr>
            </w:pPr>
            <w:r>
              <w:rPr>
                <w:rFonts w:hint="eastAsia" w:cs="Calibri"/>
              </w:rPr>
              <w:t xml:space="preserve"> </w:t>
            </w:r>
            <w:r>
              <w:rPr>
                <w:rFonts w:cs="Calibri"/>
              </w:rPr>
              <w:t xml:space="preserve"> </w:t>
            </w:r>
            <w:r>
              <w:rPr>
                <w:rFonts w:hint="eastAsia" w:cs="Calibri"/>
              </w:rPr>
              <w:t>亚硝酸盐(以NaNO</w:t>
            </w:r>
            <w:r>
              <w:rPr>
                <w:rFonts w:hint="eastAsia" w:cs="Calibri"/>
                <w:vertAlign w:val="subscript"/>
              </w:rPr>
              <w:t>2</w:t>
            </w:r>
            <w:r>
              <w:rPr>
                <w:rFonts w:hint="eastAsia" w:cs="Calibri"/>
              </w:rPr>
              <w:t>计)</w:t>
            </w:r>
            <w:r>
              <w:rPr>
                <w:rFonts w:cs="Calibri"/>
              </w:rPr>
              <w:t>/(mg/L)</w:t>
            </w:r>
            <w:r>
              <w:rPr>
                <w:rFonts w:hint="eastAsia" w:cs="Calibri"/>
              </w:rPr>
              <w:t xml:space="preserve"> </w:t>
            </w:r>
            <w:r>
              <w:rPr>
                <w:rFonts w:cs="Calibri"/>
              </w:rPr>
              <w:t xml:space="preserve">  </w:t>
            </w:r>
            <w:r>
              <w:rPr>
                <w:rFonts w:hint="eastAsia" w:cs="Calibri"/>
              </w:rPr>
              <w:t>≤</w:t>
            </w:r>
          </w:p>
        </w:tc>
        <w:tc>
          <w:tcPr>
            <w:tcW w:w="1667" w:type="pct"/>
            <w:shd w:val="clear" w:color="auto" w:fill="auto"/>
            <w:vAlign w:val="center"/>
          </w:tcPr>
          <w:p w14:paraId="116465A6">
            <w:pPr>
              <w:pStyle w:val="64"/>
              <w:rPr>
                <w:rFonts w:cs="Calibri"/>
              </w:rPr>
            </w:pPr>
            <w:r>
              <w:rPr>
                <w:rFonts w:hint="eastAsia" w:cs="Calibri"/>
              </w:rPr>
              <w:t>0.1 mg</w:t>
            </w:r>
            <w:r>
              <w:rPr>
                <w:rFonts w:cs="Calibri"/>
              </w:rPr>
              <w:t>/</w:t>
            </w:r>
            <w:r>
              <w:rPr>
                <w:rFonts w:hint="eastAsia" w:cs="Calibri"/>
              </w:rPr>
              <w:t>L(以NO</w:t>
            </w:r>
            <w:r>
              <w:rPr>
                <w:rFonts w:hint="eastAsia" w:cs="Calibri"/>
                <w:vertAlign w:val="subscript"/>
              </w:rPr>
              <w:t>2</w:t>
            </w:r>
            <w:r>
              <w:rPr>
                <w:rFonts w:hint="eastAsia" w:cs="Calibri"/>
                <w:vertAlign w:val="superscript"/>
              </w:rPr>
              <w:t>-</w:t>
            </w:r>
            <w:r>
              <w:rPr>
                <w:rFonts w:hint="eastAsia" w:cs="Calibri"/>
              </w:rPr>
              <w:t>计)</w:t>
            </w:r>
          </w:p>
        </w:tc>
        <w:tc>
          <w:tcPr>
            <w:tcW w:w="1667" w:type="pct"/>
            <w:vMerge w:val="continue"/>
            <w:shd w:val="clear" w:color="auto" w:fill="auto"/>
            <w:vAlign w:val="center"/>
          </w:tcPr>
          <w:p w14:paraId="0FCE6D7C">
            <w:pPr>
              <w:pStyle w:val="64"/>
              <w:rPr>
                <w:rFonts w:cs="Calibri"/>
              </w:rPr>
            </w:pPr>
          </w:p>
        </w:tc>
      </w:tr>
      <w:tr w14:paraId="10C982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83" w:hRule="atLeast"/>
          <w:jc w:val="center"/>
        </w:trPr>
        <w:tc>
          <w:tcPr>
            <w:tcW w:w="1665" w:type="pct"/>
            <w:shd w:val="clear" w:color="auto" w:fill="auto"/>
            <w:vAlign w:val="center"/>
          </w:tcPr>
          <w:p w14:paraId="7880E356">
            <w:pPr>
              <w:pStyle w:val="64"/>
              <w:rPr>
                <w:rFonts w:cs="Calibri"/>
              </w:rPr>
            </w:pPr>
            <w:r>
              <w:rPr>
                <w:rFonts w:hint="eastAsia" w:cs="Calibri"/>
              </w:rPr>
              <w:t xml:space="preserve"> </w:t>
            </w:r>
            <w:r>
              <w:rPr>
                <w:rFonts w:cs="Calibri"/>
              </w:rPr>
              <w:t xml:space="preserve">   </w:t>
            </w:r>
            <w:r>
              <w:rPr>
                <w:rFonts w:hint="eastAsia" w:cs="Calibri"/>
              </w:rPr>
              <w:t>硝酸盐(以NaNO</w:t>
            </w:r>
            <w:r>
              <w:rPr>
                <w:rFonts w:cs="Calibri"/>
                <w:vertAlign w:val="subscript"/>
              </w:rPr>
              <w:t>3</w:t>
            </w:r>
            <w:r>
              <w:rPr>
                <w:rFonts w:hint="eastAsia" w:cs="Calibri"/>
              </w:rPr>
              <w:t>计)</w:t>
            </w:r>
            <w:r>
              <w:rPr>
                <w:rFonts w:cs="Calibri"/>
              </w:rPr>
              <w:t>/(mg/L)</w:t>
            </w:r>
            <w:r>
              <w:rPr>
                <w:rFonts w:hint="eastAsia" w:cs="Calibri"/>
              </w:rPr>
              <w:t xml:space="preserve"> </w:t>
            </w:r>
            <w:r>
              <w:rPr>
                <w:rFonts w:cs="Calibri"/>
              </w:rPr>
              <w:t xml:space="preserve">  </w:t>
            </w:r>
            <w:r>
              <w:rPr>
                <w:rFonts w:hint="eastAsia" w:cs="Calibri"/>
              </w:rPr>
              <w:t>≤</w:t>
            </w:r>
          </w:p>
        </w:tc>
        <w:tc>
          <w:tcPr>
            <w:tcW w:w="1667" w:type="pct"/>
            <w:shd w:val="clear" w:color="auto" w:fill="auto"/>
            <w:vAlign w:val="center"/>
          </w:tcPr>
          <w:p w14:paraId="2BACBD9B">
            <w:pPr>
              <w:pStyle w:val="64"/>
              <w:rPr>
                <w:rFonts w:cs="Calibri"/>
              </w:rPr>
            </w:pPr>
            <w:r>
              <w:rPr>
                <w:rFonts w:hint="eastAsia" w:cs="Calibri"/>
              </w:rPr>
              <w:t>5 mg</w:t>
            </w:r>
            <w:r>
              <w:rPr>
                <w:rFonts w:cs="Calibri"/>
              </w:rPr>
              <w:t>/</w:t>
            </w:r>
            <w:r>
              <w:rPr>
                <w:rFonts w:hint="eastAsia" w:cs="Calibri"/>
              </w:rPr>
              <w:t>L(以NO</w:t>
            </w:r>
            <w:r>
              <w:rPr>
                <w:rFonts w:hint="eastAsia" w:cs="Calibri"/>
                <w:vertAlign w:val="subscript"/>
              </w:rPr>
              <w:t>3</w:t>
            </w:r>
            <w:r>
              <w:rPr>
                <w:rFonts w:hint="eastAsia" w:cs="Calibri"/>
                <w:vertAlign w:val="superscript"/>
              </w:rPr>
              <w:t>-</w:t>
            </w:r>
            <w:r>
              <w:rPr>
                <w:rFonts w:hint="eastAsia" w:cs="Calibri"/>
              </w:rPr>
              <w:t>计)</w:t>
            </w:r>
          </w:p>
        </w:tc>
        <w:tc>
          <w:tcPr>
            <w:tcW w:w="1667" w:type="pct"/>
            <w:vMerge w:val="continue"/>
            <w:shd w:val="clear" w:color="auto" w:fill="auto"/>
            <w:vAlign w:val="center"/>
          </w:tcPr>
          <w:p w14:paraId="67BF78A2">
            <w:pPr>
              <w:pStyle w:val="64"/>
              <w:rPr>
                <w:rFonts w:cs="Calibri"/>
              </w:rPr>
            </w:pPr>
          </w:p>
        </w:tc>
      </w:tr>
    </w:tbl>
    <w:p w14:paraId="55530F11">
      <w:pPr>
        <w:pStyle w:val="50"/>
        <w:ind w:firstLine="420"/>
      </w:pPr>
    </w:p>
    <w:p w14:paraId="3A796B8C">
      <w:pPr>
        <w:pStyle w:val="45"/>
        <w:spacing w:before="156" w:beforeLines="50" w:after="156" w:afterLines="50"/>
      </w:pPr>
      <w:bookmarkStart w:id="59" w:name="_Toc212560818"/>
      <w:r>
        <w:rPr>
          <w:rFonts w:hint="eastAsia"/>
        </w:rPr>
        <w:t>微生物限量</w:t>
      </w:r>
      <w:bookmarkEnd w:id="59"/>
    </w:p>
    <w:p w14:paraId="5996DB37">
      <w:pPr>
        <w:pStyle w:val="50"/>
        <w:ind w:firstLine="420"/>
      </w:pPr>
      <w:r>
        <w:rPr>
          <w:rFonts w:hint="eastAsia"/>
        </w:rPr>
        <w:t>应符合</w:t>
      </w:r>
      <w:bookmarkStart w:id="60" w:name="OLE_LINK25"/>
      <w:bookmarkStart w:id="61" w:name="OLE_LINK26"/>
      <w:r>
        <w:rPr>
          <w:rFonts w:hint="eastAsia"/>
        </w:rPr>
        <w:t>商业无菌要求</w:t>
      </w:r>
      <w:bookmarkEnd w:id="60"/>
      <w:bookmarkEnd w:id="61"/>
      <w:r>
        <w:rPr>
          <w:rFonts w:hint="eastAsia"/>
        </w:rPr>
        <w:t>，并按</w:t>
      </w:r>
      <w:bookmarkStart w:id="62" w:name="OLE_LINK42"/>
      <w:bookmarkStart w:id="63" w:name="OLE_LINK41"/>
      <w:r>
        <w:rPr>
          <w:rFonts w:hint="eastAsia"/>
        </w:rPr>
        <w:t>G</w:t>
      </w:r>
      <w:r>
        <w:t>B 4789.26</w:t>
      </w:r>
      <w:bookmarkEnd w:id="62"/>
      <w:bookmarkEnd w:id="63"/>
      <w:r>
        <w:rPr>
          <w:rFonts w:hint="eastAsia"/>
        </w:rPr>
        <w:t>进行检测。</w:t>
      </w:r>
    </w:p>
    <w:p w14:paraId="340010E9">
      <w:pPr>
        <w:pStyle w:val="45"/>
        <w:spacing w:before="156" w:beforeLines="50" w:after="156" w:afterLines="50"/>
      </w:pPr>
      <w:bookmarkStart w:id="64" w:name="_Toc212560819"/>
      <w:r>
        <w:rPr>
          <w:rFonts w:hint="eastAsia"/>
        </w:rPr>
        <w:t>净含量</w:t>
      </w:r>
      <w:bookmarkEnd w:id="64"/>
    </w:p>
    <w:p w14:paraId="25EBA161">
      <w:pPr>
        <w:pStyle w:val="50"/>
        <w:ind w:firstLine="420"/>
      </w:pPr>
      <w:r>
        <w:rPr>
          <w:rFonts w:hint="eastAsia"/>
        </w:rPr>
        <w:t>应符合</w:t>
      </w:r>
      <w:bookmarkStart w:id="65" w:name="OLE_LINK48"/>
      <w:bookmarkStart w:id="66" w:name="OLE_LINK47"/>
      <w:r>
        <w:rPr>
          <w:rFonts w:hint="eastAsia"/>
        </w:rPr>
        <w:t>《定量包装商品计量监督管理办法》的要求，并按</w:t>
      </w:r>
      <w:r>
        <w:t>JJF 1070</w:t>
      </w:r>
      <w:bookmarkEnd w:id="65"/>
      <w:bookmarkEnd w:id="66"/>
      <w:r>
        <w:rPr>
          <w:rFonts w:hint="eastAsia"/>
        </w:rPr>
        <w:t>进行检验。</w:t>
      </w:r>
    </w:p>
    <w:p w14:paraId="1CB1E04D">
      <w:pPr>
        <w:pStyle w:val="45"/>
        <w:spacing w:before="156" w:beforeLines="50" w:after="156" w:afterLines="50"/>
      </w:pPr>
      <w:bookmarkStart w:id="67" w:name="_Toc212560820"/>
      <w:r>
        <w:rPr>
          <w:rFonts w:hint="eastAsia"/>
        </w:rPr>
        <w:t>生产加工过程的卫生要求</w:t>
      </w:r>
      <w:bookmarkEnd w:id="67"/>
    </w:p>
    <w:p w14:paraId="3862E84D">
      <w:pPr>
        <w:pStyle w:val="50"/>
        <w:ind w:firstLine="420"/>
      </w:pPr>
      <w:r>
        <w:rPr>
          <w:rFonts w:hint="eastAsia"/>
        </w:rPr>
        <w:t>应符合G</w:t>
      </w:r>
      <w:r>
        <w:t>B 19304</w:t>
      </w:r>
      <w:r>
        <w:rPr>
          <w:rFonts w:hint="eastAsia"/>
        </w:rPr>
        <w:t>、G</w:t>
      </w:r>
      <w:r>
        <w:t>B 14881</w:t>
      </w:r>
      <w:r>
        <w:rPr>
          <w:rFonts w:hint="eastAsia"/>
        </w:rPr>
        <w:t>以及</w:t>
      </w:r>
      <w:r>
        <w:t>GB 12695</w:t>
      </w:r>
      <w:r>
        <w:rPr>
          <w:rFonts w:hint="eastAsia"/>
        </w:rPr>
        <w:t>的规定。</w:t>
      </w:r>
    </w:p>
    <w:p w14:paraId="339DC159">
      <w:pPr>
        <w:pStyle w:val="58"/>
        <w:numPr>
          <w:ilvl w:val="1"/>
          <w:numId w:val="1"/>
        </w:numPr>
        <w:spacing w:before="312" w:after="312"/>
      </w:pPr>
      <w:bookmarkStart w:id="68" w:name="_Toc212560821"/>
      <w:r>
        <w:rPr>
          <w:rFonts w:hint="eastAsia"/>
        </w:rPr>
        <w:t>检验规则</w:t>
      </w:r>
      <w:bookmarkEnd w:id="68"/>
    </w:p>
    <w:p w14:paraId="14A55C99">
      <w:pPr>
        <w:pStyle w:val="45"/>
        <w:spacing w:before="156" w:beforeLines="50" w:after="156" w:afterLines="50"/>
      </w:pPr>
      <w:bookmarkStart w:id="69" w:name="_Toc212560822"/>
      <w:r>
        <w:rPr>
          <w:rFonts w:hint="eastAsia"/>
        </w:rPr>
        <w:t>组批</w:t>
      </w:r>
      <w:bookmarkEnd w:id="69"/>
    </w:p>
    <w:p w14:paraId="179B4F20">
      <w:pPr>
        <w:pStyle w:val="50"/>
        <w:ind w:firstLine="420"/>
      </w:pPr>
      <w:r>
        <w:rPr>
          <w:rFonts w:hint="eastAsia"/>
        </w:rPr>
        <w:t>同一水源、同一生产工艺、同一班次生产的同一规格产品为一批。</w:t>
      </w:r>
    </w:p>
    <w:p w14:paraId="2FF7181F">
      <w:pPr>
        <w:pStyle w:val="45"/>
        <w:spacing w:before="156" w:beforeLines="50" w:after="156" w:afterLines="50"/>
      </w:pPr>
      <w:bookmarkStart w:id="70" w:name="_Toc212560823"/>
      <w:r>
        <w:rPr>
          <w:rFonts w:hint="eastAsia"/>
        </w:rPr>
        <w:t>抽样</w:t>
      </w:r>
      <w:bookmarkEnd w:id="70"/>
    </w:p>
    <w:p w14:paraId="0522CEBE">
      <w:pPr>
        <w:pStyle w:val="50"/>
        <w:ind w:firstLine="420"/>
      </w:pPr>
      <w:r>
        <w:rPr>
          <w:rFonts w:hint="eastAsia"/>
        </w:rPr>
        <w:t>从每批产品中随机抽取</w:t>
      </w:r>
      <w:r>
        <w:t>20</w:t>
      </w:r>
      <w:r>
        <w:rPr>
          <w:rFonts w:hint="eastAsia"/>
        </w:rPr>
        <w:t>瓶样品，1</w:t>
      </w:r>
      <w:r>
        <w:t>0</w:t>
      </w:r>
      <w:r>
        <w:rPr>
          <w:rFonts w:hint="eastAsia"/>
        </w:rPr>
        <w:t>瓶用于检验，另外1</w:t>
      </w:r>
      <w:r>
        <w:t>0</w:t>
      </w:r>
      <w:r>
        <w:rPr>
          <w:rFonts w:hint="eastAsia"/>
        </w:rPr>
        <w:t>瓶留样备用。</w:t>
      </w:r>
    </w:p>
    <w:p w14:paraId="69D54DFE">
      <w:pPr>
        <w:pStyle w:val="45"/>
        <w:spacing w:before="156" w:beforeLines="50" w:after="156" w:afterLines="50"/>
      </w:pPr>
      <w:bookmarkStart w:id="71" w:name="_Toc212560824"/>
      <w:r>
        <w:rPr>
          <w:rFonts w:hint="eastAsia"/>
        </w:rPr>
        <w:t>出厂检验</w:t>
      </w:r>
      <w:bookmarkEnd w:id="71"/>
    </w:p>
    <w:p w14:paraId="015799CA">
      <w:pPr>
        <w:pStyle w:val="50"/>
        <w:ind w:firstLine="420"/>
      </w:pPr>
      <w:r>
        <w:rPr>
          <w:rFonts w:hint="eastAsia"/>
        </w:rPr>
        <w:t>产品出厂应经工厂检验部门逐批检验，合格的产品附产品合格证方能出厂。出厂检验项目包括感官要求、p</w:t>
      </w:r>
      <w:r>
        <w:t>H</w:t>
      </w:r>
      <w:r>
        <w:rPr>
          <w:rFonts w:hint="eastAsia"/>
        </w:rPr>
        <w:t>值、标签、包装和净含量。</w:t>
      </w:r>
    </w:p>
    <w:p w14:paraId="0DE15D5B">
      <w:pPr>
        <w:pStyle w:val="45"/>
        <w:spacing w:before="156" w:beforeLines="50" w:after="156" w:afterLines="50"/>
      </w:pPr>
      <w:bookmarkStart w:id="72" w:name="_Toc208820444"/>
      <w:bookmarkStart w:id="73" w:name="_Toc212560825"/>
      <w:bookmarkStart w:id="74" w:name="_Toc206405337"/>
      <w:bookmarkStart w:id="75" w:name="_Toc208499228"/>
      <w:r>
        <w:rPr>
          <w:rFonts w:hint="eastAsia"/>
        </w:rPr>
        <w:t>型式检验</w:t>
      </w:r>
      <w:bookmarkEnd w:id="72"/>
      <w:bookmarkEnd w:id="73"/>
      <w:bookmarkEnd w:id="74"/>
      <w:bookmarkEnd w:id="75"/>
    </w:p>
    <w:p w14:paraId="56ECC7E5">
      <w:pPr>
        <w:pStyle w:val="50"/>
        <w:ind w:firstLine="420"/>
      </w:pPr>
      <w:r>
        <w:rPr>
          <w:rFonts w:hint="eastAsia"/>
        </w:rPr>
        <w:t>型式检验每半年检验一次，检验项目为本文件技术要求的全部项目。有下列情况之一时，也应进行型式检验：</w:t>
      </w:r>
    </w:p>
    <w:p w14:paraId="11EF38B9">
      <w:pPr>
        <w:pStyle w:val="60"/>
      </w:pPr>
      <w:r>
        <w:rPr>
          <w:rFonts w:hint="eastAsia"/>
        </w:rPr>
        <w:t>水源水质发生明显变化时；</w:t>
      </w:r>
    </w:p>
    <w:p w14:paraId="15530074">
      <w:pPr>
        <w:pStyle w:val="60"/>
      </w:pPr>
      <w:r>
        <w:rPr>
          <w:rFonts w:hint="eastAsia"/>
        </w:rPr>
        <w:t>出厂检验结果与上次型式检验有较大差异时；</w:t>
      </w:r>
    </w:p>
    <w:p w14:paraId="21B41782">
      <w:pPr>
        <w:pStyle w:val="60"/>
      </w:pPr>
      <w:r>
        <w:rPr>
          <w:rFonts w:hint="eastAsia"/>
        </w:rPr>
        <w:t>更换设备或更改关键工艺可能影响产品质量时；</w:t>
      </w:r>
    </w:p>
    <w:p w14:paraId="533F265C">
      <w:pPr>
        <w:pStyle w:val="60"/>
      </w:pPr>
      <w:r>
        <w:rPr>
          <w:rFonts w:hint="eastAsia"/>
        </w:rPr>
        <w:t>停产半年及以上，再恢复生产时；</w:t>
      </w:r>
    </w:p>
    <w:p w14:paraId="44B83BD8">
      <w:pPr>
        <w:pStyle w:val="60"/>
      </w:pPr>
      <w:r>
        <w:rPr>
          <w:rFonts w:hint="eastAsia"/>
        </w:rPr>
        <w:t>国家食品监督管理机构提出进行型式检验要求时。</w:t>
      </w:r>
    </w:p>
    <w:p w14:paraId="716E40DC">
      <w:pPr>
        <w:pStyle w:val="45"/>
        <w:spacing w:before="156" w:beforeLines="50" w:after="156" w:afterLines="50"/>
      </w:pPr>
      <w:bookmarkStart w:id="76" w:name="_Toc212560826"/>
      <w:bookmarkStart w:id="77" w:name="_Toc208499229"/>
      <w:bookmarkStart w:id="78" w:name="_Toc208820445"/>
      <w:bookmarkStart w:id="79" w:name="_Toc206405338"/>
      <w:r>
        <w:rPr>
          <w:rFonts w:hint="eastAsia"/>
        </w:rPr>
        <w:t>判定规则</w:t>
      </w:r>
      <w:bookmarkEnd w:id="76"/>
      <w:bookmarkEnd w:id="77"/>
      <w:bookmarkEnd w:id="78"/>
      <w:bookmarkEnd w:id="79"/>
    </w:p>
    <w:p w14:paraId="0969A92C">
      <w:pPr>
        <w:pStyle w:val="50"/>
        <w:ind w:firstLine="420"/>
      </w:pPr>
      <w:r>
        <w:rPr>
          <w:rFonts w:hint="eastAsia"/>
        </w:rPr>
        <w:t>产品经检验，检验结果符合本文件要求的，则判定为该批产品合格。如有一项或一项以上指标不符合本文件要求的，允许从同批产品中加倍复检，复检结果还有不合格项，则判定该批产品为不合格品。对不合格项目进行复检，以复检结果为准。微生物指标不得复检。</w:t>
      </w:r>
    </w:p>
    <w:p w14:paraId="70DAC1B6">
      <w:pPr>
        <w:pStyle w:val="58"/>
        <w:numPr>
          <w:ilvl w:val="1"/>
          <w:numId w:val="1"/>
        </w:numPr>
        <w:spacing w:before="312" w:after="312"/>
      </w:pPr>
      <w:bookmarkStart w:id="80" w:name="_Toc208499230"/>
      <w:bookmarkStart w:id="81" w:name="_Toc206405339"/>
      <w:bookmarkStart w:id="82" w:name="_Toc212560827"/>
      <w:bookmarkStart w:id="83" w:name="_Toc208820446"/>
      <w:r>
        <w:rPr>
          <w:rFonts w:hint="eastAsia"/>
        </w:rPr>
        <w:t>标签、标志、包装、运输、贮存</w:t>
      </w:r>
      <w:bookmarkEnd w:id="80"/>
      <w:bookmarkEnd w:id="81"/>
      <w:bookmarkEnd w:id="82"/>
      <w:bookmarkEnd w:id="83"/>
    </w:p>
    <w:p w14:paraId="550A981D">
      <w:pPr>
        <w:pStyle w:val="45"/>
        <w:spacing w:before="156" w:beforeLines="50" w:after="156" w:afterLines="50"/>
      </w:pPr>
      <w:bookmarkStart w:id="84" w:name="_Toc208820447"/>
      <w:bookmarkStart w:id="85" w:name="_Toc206405340"/>
      <w:bookmarkStart w:id="86" w:name="_Toc208499231"/>
      <w:bookmarkStart w:id="87" w:name="_Toc212560828"/>
      <w:r>
        <w:rPr>
          <w:rFonts w:hint="eastAsia"/>
        </w:rPr>
        <w:t>标签、标志</w:t>
      </w:r>
      <w:bookmarkEnd w:id="84"/>
      <w:bookmarkEnd w:id="85"/>
      <w:bookmarkEnd w:id="86"/>
      <w:bookmarkEnd w:id="87"/>
    </w:p>
    <w:p w14:paraId="20B032AF">
      <w:pPr>
        <w:pStyle w:val="61"/>
        <w:numPr>
          <w:ilvl w:val="3"/>
          <w:numId w:val="1"/>
        </w:numPr>
      </w:pPr>
      <w:r>
        <w:rPr>
          <w:rFonts w:hint="eastAsia"/>
        </w:rPr>
        <w:t>母婴用天然泉水的标签应符合GB</w:t>
      </w:r>
      <w:r>
        <w:t xml:space="preserve"> </w:t>
      </w:r>
      <w:r>
        <w:rPr>
          <w:rFonts w:hint="eastAsia"/>
        </w:rPr>
        <w:t>7718、G</w:t>
      </w:r>
      <w:r>
        <w:t>B 28050</w:t>
      </w:r>
      <w:r>
        <w:rPr>
          <w:rFonts w:hint="eastAsia"/>
        </w:rPr>
        <w:t>和《食品标识监督管理办法》的规定，应标明</w:t>
      </w:r>
      <w:r>
        <w:rPr>
          <w:shd w:val="clear" w:color="auto" w:fill="FFFFFF"/>
        </w:rPr>
        <w:t>产品名称、原料来源地、净含量、生产日期、保质期、生产企业名称及地址、联系方式、执行标准号</w:t>
      </w:r>
      <w:r>
        <w:rPr>
          <w:rFonts w:hint="eastAsia"/>
          <w:shd w:val="clear" w:color="auto" w:fill="FFFFFF"/>
        </w:rPr>
        <w:t>等信息</w:t>
      </w:r>
      <w:r>
        <w:rPr>
          <w:shd w:val="clear" w:color="auto" w:fill="FFFFFF"/>
        </w:rPr>
        <w:t>。</w:t>
      </w:r>
    </w:p>
    <w:p w14:paraId="32C1785A">
      <w:pPr>
        <w:pStyle w:val="61"/>
        <w:numPr>
          <w:ilvl w:val="3"/>
          <w:numId w:val="1"/>
        </w:numPr>
      </w:pPr>
      <w:r>
        <w:rPr>
          <w:rFonts w:hint="eastAsia"/>
        </w:rPr>
        <w:t>包装储运图形符号标志应符合GB/T 191、</w:t>
      </w:r>
      <w:bookmarkStart w:id="88" w:name="OLE_LINK28"/>
      <w:bookmarkStart w:id="89" w:name="OLE_LINK85"/>
      <w:bookmarkStart w:id="90" w:name="OLE_LINK86"/>
      <w:r>
        <w:rPr>
          <w:rFonts w:hint="eastAsia"/>
        </w:rPr>
        <w:t>GB</w:t>
      </w:r>
      <w:r>
        <w:t xml:space="preserve"> </w:t>
      </w:r>
      <w:r>
        <w:rPr>
          <w:rFonts w:hint="eastAsia"/>
        </w:rPr>
        <w:t>6388</w:t>
      </w:r>
      <w:bookmarkEnd w:id="88"/>
      <w:bookmarkEnd w:id="89"/>
      <w:bookmarkEnd w:id="90"/>
      <w:r>
        <w:rPr>
          <w:rFonts w:hint="eastAsia"/>
        </w:rPr>
        <w:t>的规定。</w:t>
      </w:r>
    </w:p>
    <w:p w14:paraId="7FF2BA7E">
      <w:pPr>
        <w:pStyle w:val="45"/>
        <w:spacing w:before="156" w:beforeLines="50" w:after="156" w:afterLines="50"/>
      </w:pPr>
      <w:bookmarkStart w:id="91" w:name="_Toc208820448"/>
      <w:bookmarkStart w:id="92" w:name="_Toc208499232"/>
      <w:bookmarkStart w:id="93" w:name="_Toc206405341"/>
      <w:bookmarkStart w:id="94" w:name="_Toc212560829"/>
      <w:r>
        <w:rPr>
          <w:rFonts w:hint="eastAsia"/>
        </w:rPr>
        <w:t>包装</w:t>
      </w:r>
      <w:bookmarkEnd w:id="91"/>
      <w:bookmarkEnd w:id="92"/>
      <w:bookmarkEnd w:id="93"/>
      <w:r>
        <w:rPr>
          <w:rFonts w:hint="eastAsia"/>
        </w:rPr>
        <w:t>与规格</w:t>
      </w:r>
      <w:bookmarkEnd w:id="94"/>
    </w:p>
    <w:p w14:paraId="504AA5BF">
      <w:pPr>
        <w:pStyle w:val="61"/>
        <w:numPr>
          <w:ilvl w:val="3"/>
          <w:numId w:val="1"/>
        </w:numPr>
      </w:pPr>
      <w:r>
        <w:rPr>
          <w:rFonts w:hint="eastAsia"/>
          <w:shd w:val="clear" w:color="auto" w:fill="FFFFFF"/>
        </w:rPr>
        <w:t>包装瓶应符合GB</w:t>
      </w:r>
      <w:r>
        <w:rPr>
          <w:shd w:val="clear" w:color="auto" w:fill="FFFFFF"/>
        </w:rPr>
        <w:t xml:space="preserve"> </w:t>
      </w:r>
      <w:r>
        <w:rPr>
          <w:rFonts w:hint="eastAsia"/>
          <w:shd w:val="clear" w:color="auto" w:fill="FFFFFF"/>
        </w:rPr>
        <w:t>4806.7规定。包装瓶盖应符合GB</w:t>
      </w:r>
      <w:r>
        <w:rPr>
          <w:shd w:val="clear" w:color="auto" w:fill="FFFFFF"/>
        </w:rPr>
        <w:t xml:space="preserve"> </w:t>
      </w:r>
      <w:r>
        <w:rPr>
          <w:rFonts w:hint="eastAsia"/>
          <w:shd w:val="clear" w:color="auto" w:fill="FFFFFF"/>
        </w:rPr>
        <w:t>4806.7、GB</w:t>
      </w:r>
      <w:r>
        <w:rPr>
          <w:shd w:val="clear" w:color="auto" w:fill="FFFFFF"/>
        </w:rPr>
        <w:t xml:space="preserve"> </w:t>
      </w:r>
      <w:r>
        <w:rPr>
          <w:rFonts w:hint="eastAsia"/>
          <w:shd w:val="clear" w:color="auto" w:fill="FFFFFF"/>
        </w:rPr>
        <w:t>4806.11的规定。</w:t>
      </w:r>
      <w:r>
        <w:rPr>
          <w:shd w:val="clear" w:color="auto" w:fill="FFFFFF"/>
        </w:rPr>
        <w:t>包装应牢固，在正常运输和贮存过程中不应发生破损、泄漏。</w:t>
      </w:r>
    </w:p>
    <w:p w14:paraId="7F1847DB">
      <w:pPr>
        <w:pStyle w:val="61"/>
        <w:numPr>
          <w:ilvl w:val="3"/>
          <w:numId w:val="1"/>
        </w:numPr>
      </w:pPr>
      <w:r>
        <w:rPr>
          <w:rFonts w:hint="eastAsia"/>
        </w:rPr>
        <w:t>可设置500</w:t>
      </w:r>
      <w:r>
        <w:t xml:space="preserve"> </w:t>
      </w:r>
      <w:r>
        <w:rPr>
          <w:rFonts w:hint="eastAsia"/>
        </w:rPr>
        <w:t>mL、1</w:t>
      </w:r>
      <w:r>
        <w:t xml:space="preserve"> </w:t>
      </w:r>
      <w:r>
        <w:rPr>
          <w:rFonts w:hint="eastAsia"/>
        </w:rPr>
        <w:t>L、1.5</w:t>
      </w:r>
      <w:r>
        <w:t xml:space="preserve"> </w:t>
      </w:r>
      <w:r>
        <w:rPr>
          <w:rFonts w:hint="eastAsia"/>
        </w:rPr>
        <w:t>L的规格，所有规格包装净含量不应超过3</w:t>
      </w:r>
      <w:r>
        <w:t xml:space="preserve"> </w:t>
      </w:r>
      <w:r>
        <w:rPr>
          <w:rFonts w:hint="eastAsia"/>
        </w:rPr>
        <w:t>L。</w:t>
      </w:r>
    </w:p>
    <w:p w14:paraId="41535522">
      <w:pPr>
        <w:pStyle w:val="45"/>
        <w:spacing w:before="156" w:beforeLines="50" w:after="156" w:afterLines="50"/>
      </w:pPr>
      <w:bookmarkStart w:id="95" w:name="_Toc208820449"/>
      <w:bookmarkStart w:id="96" w:name="_Toc212560830"/>
      <w:bookmarkStart w:id="97" w:name="_Toc208499233"/>
      <w:bookmarkStart w:id="98" w:name="_Toc206405342"/>
      <w:r>
        <w:rPr>
          <w:rFonts w:hint="eastAsia"/>
        </w:rPr>
        <w:t>运输</w:t>
      </w:r>
      <w:bookmarkEnd w:id="95"/>
      <w:bookmarkEnd w:id="96"/>
      <w:bookmarkEnd w:id="97"/>
      <w:bookmarkEnd w:id="98"/>
    </w:p>
    <w:p w14:paraId="2C5F971D">
      <w:pPr>
        <w:pStyle w:val="50"/>
        <w:ind w:firstLine="420"/>
      </w:pPr>
      <w:r>
        <w:rPr>
          <w:rFonts w:hint="eastAsia"/>
        </w:rPr>
        <w:t>运输工具应清洁、卫生、无异味、无污染，运输过程中应避免阳光直射、雨淋、高温、撞击和挤压。不应与有毒、有害、有异味、易挥发、易腐蚀的物品混装、混运。在</w:t>
      </w:r>
      <w:r>
        <w:t>0</w:t>
      </w:r>
      <w:r>
        <w:rPr>
          <w:rFonts w:hint="eastAsia"/>
        </w:rPr>
        <w:t>℃以下运输时，应设置防冻措施。</w:t>
      </w:r>
    </w:p>
    <w:p w14:paraId="08DCEF69">
      <w:pPr>
        <w:pStyle w:val="45"/>
        <w:spacing w:before="156" w:beforeLines="50" w:after="156" w:afterLines="50"/>
      </w:pPr>
      <w:bookmarkStart w:id="99" w:name="_Toc206405343"/>
      <w:bookmarkStart w:id="100" w:name="_Toc208820450"/>
      <w:bookmarkStart w:id="101" w:name="_Toc212560831"/>
      <w:bookmarkStart w:id="102" w:name="_Toc208499234"/>
      <w:r>
        <w:rPr>
          <w:rFonts w:hint="eastAsia"/>
        </w:rPr>
        <w:t>贮存</w:t>
      </w:r>
      <w:bookmarkEnd w:id="99"/>
      <w:bookmarkEnd w:id="100"/>
      <w:bookmarkEnd w:id="101"/>
      <w:bookmarkEnd w:id="102"/>
    </w:p>
    <w:p w14:paraId="0680492B">
      <w:pPr>
        <w:pStyle w:val="61"/>
        <w:numPr>
          <w:ilvl w:val="3"/>
          <w:numId w:val="1"/>
        </w:numPr>
      </w:pPr>
      <w:bookmarkStart w:id="103" w:name="_Toc206405344"/>
      <w:r>
        <w:rPr>
          <w:rFonts w:hint="eastAsia"/>
        </w:rPr>
        <w:t>产品应贮存在阴凉、干燥、通风、清洁的库房内，远离火源、热源，避免阳光直射。</w:t>
      </w:r>
    </w:p>
    <w:p w14:paraId="536775BF">
      <w:pPr>
        <w:pStyle w:val="61"/>
        <w:numPr>
          <w:ilvl w:val="3"/>
          <w:numId w:val="1"/>
        </w:numPr>
      </w:pPr>
      <w:r>
        <w:rPr>
          <w:rFonts w:hint="eastAsia"/>
        </w:rPr>
        <w:t>贮存环境温度应控制在5℃</w:t>
      </w:r>
      <w:r>
        <w:rPr>
          <w:rFonts w:hint="eastAsia" w:hAnsi="宋体"/>
        </w:rPr>
        <w:t>～</w:t>
      </w:r>
      <w:r>
        <w:rPr>
          <w:rFonts w:hint="eastAsia"/>
        </w:rPr>
        <w:t>25℃之间，相对湿度不超过75%。</w:t>
      </w:r>
    </w:p>
    <w:p w14:paraId="2A1A28CA">
      <w:pPr>
        <w:pStyle w:val="61"/>
        <w:numPr>
          <w:ilvl w:val="3"/>
          <w:numId w:val="1"/>
        </w:numPr>
      </w:pPr>
      <w:r>
        <w:rPr>
          <w:rFonts w:hint="eastAsia"/>
        </w:rPr>
        <w:t>产品应按生产日期先后顺序堆放，避免倒塌和挤压损坏包装。</w:t>
      </w:r>
    </w:p>
    <w:p w14:paraId="14415A79">
      <w:pPr>
        <w:pStyle w:val="58"/>
        <w:numPr>
          <w:ilvl w:val="1"/>
          <w:numId w:val="1"/>
        </w:numPr>
        <w:spacing w:before="312" w:after="312"/>
      </w:pPr>
      <w:bookmarkStart w:id="104" w:name="_Toc208499235"/>
      <w:bookmarkStart w:id="105" w:name="_Toc212560832"/>
      <w:bookmarkStart w:id="106" w:name="_Toc208820451"/>
      <w:r>
        <w:rPr>
          <w:rFonts w:hint="eastAsia"/>
        </w:rPr>
        <w:t>保质期</w:t>
      </w:r>
      <w:bookmarkEnd w:id="103"/>
      <w:bookmarkEnd w:id="104"/>
      <w:bookmarkEnd w:id="105"/>
      <w:bookmarkEnd w:id="106"/>
    </w:p>
    <w:p w14:paraId="588724DF">
      <w:pPr>
        <w:pStyle w:val="50"/>
        <w:ind w:firstLine="420"/>
      </w:pPr>
      <w:r>
        <w:rPr>
          <w:rFonts w:hint="eastAsia"/>
        </w:rPr>
        <w:t>在本文件规定的运输、贮存条件下，产品保质期自生产之日起为</w:t>
      </w:r>
      <w:r>
        <w:t>12</w:t>
      </w:r>
      <w:r>
        <w:rPr>
          <w:rFonts w:hint="eastAsia"/>
        </w:rPr>
        <w:t>个月。</w:t>
      </w:r>
    </w:p>
    <w:p w14:paraId="0B1718E3">
      <w:pPr>
        <w:pStyle w:val="50"/>
        <w:ind w:firstLine="0" w:firstLineChars="0"/>
        <w:jc w:val="center"/>
      </w:pPr>
      <w:bookmarkStart w:id="107"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7"/>
    </w:p>
    <w:p w14:paraId="3297DED5">
      <w:pPr>
        <w:pStyle w:val="50"/>
        <w:ind w:firstLine="420"/>
      </w:pPr>
    </w:p>
    <w:p w14:paraId="60262158">
      <w:pPr>
        <w:pStyle w:val="50"/>
        <w:ind w:firstLine="420"/>
      </w:pPr>
    </w:p>
    <w:p w14:paraId="69DB12F1">
      <w:pPr>
        <w:pStyle w:val="50"/>
        <w:ind w:firstLine="420"/>
      </w:pPr>
    </w:p>
    <w:p w14:paraId="46AF046C">
      <w:pPr>
        <w:pStyle w:val="50"/>
        <w:ind w:firstLine="420"/>
      </w:pPr>
    </w:p>
    <w:p w14:paraId="6B52C959">
      <w:pPr>
        <w:pStyle w:val="50"/>
        <w:ind w:firstLine="420"/>
      </w:pPr>
    </w:p>
    <w:p w14:paraId="0E046F37">
      <w:pPr>
        <w:pStyle w:val="50"/>
        <w:ind w:firstLine="420"/>
      </w:pPr>
    </w:p>
    <w:p w14:paraId="3E99E072">
      <w:pPr>
        <w:pStyle w:val="50"/>
        <w:ind w:firstLine="420"/>
      </w:pPr>
    </w:p>
    <w:p w14:paraId="2E265694">
      <w:pPr>
        <w:pStyle w:val="50"/>
        <w:ind w:firstLine="420"/>
      </w:pPr>
    </w:p>
    <w:p w14:paraId="022A4BBE">
      <w:pPr>
        <w:pStyle w:val="50"/>
        <w:ind w:firstLine="420"/>
      </w:pPr>
    </w:p>
    <w:p w14:paraId="6348BBBC">
      <w:pPr>
        <w:pStyle w:val="50"/>
        <w:ind w:firstLine="420"/>
      </w:pPr>
    </w:p>
    <w:p w14:paraId="45A0ED64">
      <w:pPr>
        <w:tabs>
          <w:tab w:val="right" w:leader="dot" w:pos="9070"/>
        </w:tabs>
        <w:adjustRightInd w:val="0"/>
        <w:spacing w:before="850" w:after="680"/>
        <w:outlineLvl w:val="0"/>
      </w:pPr>
    </w:p>
    <w:sectPr>
      <w:footerReference r:id="rId12" w:type="default"/>
      <w:pgSz w:w="11906" w:h="16838"/>
      <w:pgMar w:top="1417" w:right="1134" w:bottom="1134" w:left="1418" w:header="1417" w:footer="1134"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121FB">
    <w:pPr>
      <w:pStyle w:val="48"/>
    </w:pPr>
    <w:r>
      <w:fldChar w:fldCharType="begin"/>
    </w:r>
    <w:r>
      <w:instrText xml:space="preserve"> PAGE  \* MERGEFORMAT </w:instrText>
    </w:r>
    <w:r>
      <w:fldChar w:fldCharType="separate"/>
    </w:r>
    <w:r>
      <w:t>54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296353">
    <w:pPr>
      <w:pStyle w:val="11"/>
      <w:jc w:val="right"/>
      <w:rPr>
        <w:rFonts w:ascii="Times New Roman" w:hAnsi="Times New Roman"/>
        <w:caps/>
        <w:color w:val="000000"/>
      </w:rPr>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268D2339">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268D2339">
                    <w:pPr>
                      <w:pStyle w:val="11"/>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62A0883">
                          <w:pPr>
                            <w:pStyle w:val="11"/>
                            <w:jc w:val="right"/>
                            <w:rPr>
                              <w:rFonts w:ascii="宋体" w:hAnsi="宋体" w:cs="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662A0883">
                    <w:pPr>
                      <w:pStyle w:val="11"/>
                      <w:jc w:val="right"/>
                      <w:rPr>
                        <w:rFonts w:ascii="宋体" w:hAnsi="宋体" w:cs="宋体"/>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FE0EE1">
    <w:pPr>
      <w:pStyle w:val="11"/>
      <w:rPr>
        <w:rFonts w:ascii="宋体" w:hAnsi="宋体" w:cs="宋体"/>
        <w:caps/>
        <w:color w:val="5B9BD5"/>
      </w:rP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B06DCE2">
                          <w:pPr>
                            <w:pStyle w:val="11"/>
                          </w:pPr>
                          <w:r>
                            <w:rPr>
                              <w:rFonts w:hint="eastAsia" w:ascii="宋体" w:hAnsi="宋体" w:cs="宋体"/>
                              <w:caps/>
                            </w:rPr>
                            <w:fldChar w:fldCharType="begin"/>
                          </w:r>
                          <w:r>
                            <w:rPr>
                              <w:rFonts w:hint="eastAsia" w:ascii="宋体" w:hAnsi="宋体" w:cs="宋体"/>
                              <w:caps/>
                            </w:rPr>
                            <w:instrText xml:space="preserve">PAGE   \* MERGEFORMAT</w:instrText>
                          </w:r>
                          <w:r>
                            <w:rPr>
                              <w:rFonts w:hint="eastAsia" w:ascii="宋体" w:hAnsi="宋体" w:cs="宋体"/>
                              <w:caps/>
                            </w:rPr>
                            <w:fldChar w:fldCharType="separate"/>
                          </w:r>
                          <w:r>
                            <w:rPr>
                              <w:rFonts w:ascii="宋体" w:hAnsi="宋体" w:cs="宋体"/>
                              <w:caps/>
                              <w:lang w:val="zh-CN"/>
                            </w:rPr>
                            <w:t>2</w:t>
                          </w:r>
                          <w:r>
                            <w:rPr>
                              <w:rFonts w:hint="eastAsia" w:ascii="宋体" w:hAnsi="宋体" w:cs="宋体"/>
                              <w:caps/>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3B06DCE2">
                    <w:pPr>
                      <w:pStyle w:val="11"/>
                    </w:pPr>
                    <w:r>
                      <w:rPr>
                        <w:rFonts w:hint="eastAsia" w:ascii="宋体" w:hAnsi="宋体" w:cs="宋体"/>
                        <w:caps/>
                      </w:rPr>
                      <w:fldChar w:fldCharType="begin"/>
                    </w:r>
                    <w:r>
                      <w:rPr>
                        <w:rFonts w:hint="eastAsia" w:ascii="宋体" w:hAnsi="宋体" w:cs="宋体"/>
                        <w:caps/>
                      </w:rPr>
                      <w:instrText xml:space="preserve">PAGE   \* MERGEFORMAT</w:instrText>
                    </w:r>
                    <w:r>
                      <w:rPr>
                        <w:rFonts w:hint="eastAsia" w:ascii="宋体" w:hAnsi="宋体" w:cs="宋体"/>
                        <w:caps/>
                      </w:rPr>
                      <w:fldChar w:fldCharType="separate"/>
                    </w:r>
                    <w:r>
                      <w:rPr>
                        <w:rFonts w:ascii="宋体" w:hAnsi="宋体" w:cs="宋体"/>
                        <w:caps/>
                        <w:lang w:val="zh-CN"/>
                      </w:rPr>
                      <w:t>2</w:t>
                    </w:r>
                    <w:r>
                      <w:rPr>
                        <w:rFonts w:hint="eastAsia" w:ascii="宋体" w:hAnsi="宋体" w:cs="宋体"/>
                        <w:caps/>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7ECFBE">
    <w:pPr>
      <w:pStyle w:val="11"/>
      <w:jc w:val="right"/>
      <w:rPr>
        <w:rFonts w:ascii="Times New Roman" w:hAnsi="Times New Roman"/>
        <w:caps/>
        <w:color w:val="000000"/>
      </w:rPr>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FA72D6">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DFA72D6">
                    <w:pPr>
                      <w:pStyle w:val="11"/>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FF4B14E">
                          <w:pPr>
                            <w:pStyle w:val="11"/>
                            <w:jc w:val="right"/>
                            <w:rPr>
                              <w:rFonts w:ascii="宋体" w:hAnsi="宋体" w:cs="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14:paraId="1FF4B14E">
                    <w:pPr>
                      <w:pStyle w:val="11"/>
                      <w:jc w:val="right"/>
                      <w:rPr>
                        <w:rFonts w:ascii="宋体" w:hAnsi="宋体" w:cs="宋体"/>
                      </w:rPr>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35DF43">
    <w:pPr>
      <w:pStyle w:val="11"/>
      <w:jc w:val="right"/>
      <w:rPr>
        <w:rFonts w:ascii="Times New Roman" w:hAnsi="Times New Roman"/>
        <w:caps/>
        <w:color w:val="000000"/>
      </w:rPr>
    </w:pPr>
    <w:r>
      <w:rPr>
        <w:sz w:val="18"/>
      </w:rP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554FBD">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B554FBD">
                    <w:pPr>
                      <w:pStyle w:val="11"/>
                    </w:pPr>
                    <w:r>
                      <w:fldChar w:fldCharType="begin"/>
                    </w:r>
                    <w:r>
                      <w:instrText xml:space="preserve"> PAGE  \* MERGEFORMAT </w:instrText>
                    </w:r>
                    <w:r>
                      <w:fldChar w:fldCharType="separate"/>
                    </w:r>
                    <w:r>
                      <w:t>1</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28005655">
                          <w:pPr>
                            <w:pStyle w:val="11"/>
                            <w:jc w:val="right"/>
                            <w:rPr>
                              <w:rFonts w:ascii="宋体" w:hAnsi="宋体" w:cs="宋体"/>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28005655">
                    <w:pPr>
                      <w:pStyle w:val="11"/>
                      <w:jc w:val="right"/>
                      <w:rPr>
                        <w:rFonts w:ascii="宋体" w:hAnsi="宋体" w:cs="宋体"/>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A4D21">
    <w:pPr>
      <w:pStyle w:val="12"/>
      <w:pBdr>
        <w:top w:val="none" w:color="auto" w:sz="0" w:space="1"/>
        <w:left w:val="none" w:color="auto" w:sz="0" w:space="4"/>
        <w:bottom w:val="none" w:color="auto" w:sz="0" w:space="1"/>
        <w:right w:val="none" w:color="auto" w:sz="0" w:space="4"/>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C35E9">
    <w:pPr>
      <w:pStyle w:val="47"/>
    </w:pPr>
    <w:r>
      <w:t>GB/T 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20F6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3CF94">
    <w:pPr>
      <w:spacing w:after="283"/>
      <w:jc w:val="left"/>
      <w:rPr>
        <w:rFonts w:ascii="黑体" w:hAnsi="黑体" w:eastAsia="黑体" w:cs="黑体"/>
        <w:bCs/>
      </w:rPr>
    </w:pPr>
    <w:r>
      <w:rPr>
        <w:rFonts w:hint="eastAsia" w:ascii="黑体" w:hAnsi="黑体" w:eastAsia="黑体" w:cs="黑体"/>
        <w:bCs/>
      </w:rPr>
      <w:t>T/FDSA 036—2023</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DAAC5">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51"/>
      <w:lvlText w:val="%1"/>
      <w:lvlJc w:val="left"/>
      <w:pPr>
        <w:ind w:left="425" w:hanging="425"/>
      </w:pPr>
      <w:rPr>
        <w:rFonts w:hint="eastAsia"/>
      </w:rPr>
    </w:lvl>
    <w:lvl w:ilvl="1" w:tentative="0">
      <w:start w:val="1"/>
      <w:numFmt w:val="decimal"/>
      <w:pStyle w:val="53"/>
      <w:suff w:val="nothing"/>
      <w:lvlText w:val="%10.%2 "/>
      <w:lvlJc w:val="left"/>
      <w:pPr>
        <w:ind w:left="0" w:firstLine="0"/>
      </w:pPr>
      <w:rPr>
        <w:rFonts w:hint="eastAsia" w:ascii="黑体" w:eastAsia="黑体" w:hAnsiTheme="minorHAnsi"/>
        <w:b w:val="0"/>
        <w:i w:val="0"/>
        <w:sz w:val="21"/>
      </w:rPr>
    </w:lvl>
    <w:lvl w:ilvl="2" w:tentative="0">
      <w:start w:val="1"/>
      <w:numFmt w:val="decimal"/>
      <w:pStyle w:val="54"/>
      <w:suff w:val="nothing"/>
      <w:lvlText w:val="%10.%2.%3 "/>
      <w:lvlJc w:val="left"/>
      <w:pPr>
        <w:ind w:left="0" w:firstLine="0"/>
      </w:pPr>
      <w:rPr>
        <w:rFonts w:hint="eastAsia" w:ascii="黑体" w:eastAsia="黑体" w:hAnsiTheme="minorHAnsi"/>
        <w:b w:val="0"/>
        <w:i w:val="0"/>
        <w:sz w:val="21"/>
      </w:rPr>
    </w:lvl>
    <w:lvl w:ilvl="3" w:tentative="0">
      <w:start w:val="1"/>
      <w:numFmt w:val="decimal"/>
      <w:pStyle w:val="55"/>
      <w:suff w:val="nothing"/>
      <w:lvlText w:val="%10.%2.%3.%4 "/>
      <w:lvlJc w:val="left"/>
      <w:pPr>
        <w:ind w:left="0" w:firstLine="0"/>
      </w:pPr>
      <w:rPr>
        <w:rFonts w:hint="eastAsia" w:ascii="黑体" w:eastAsia="黑体" w:hAnsiTheme="minorHAnsi"/>
        <w:b w:val="0"/>
        <w:i w:val="0"/>
        <w:sz w:val="21"/>
      </w:rPr>
    </w:lvl>
    <w:lvl w:ilvl="4" w:tentative="0">
      <w:start w:val="1"/>
      <w:numFmt w:val="decimal"/>
      <w:pStyle w:val="56"/>
      <w:suff w:val="nothing"/>
      <w:lvlText w:val="%10.%2.%3.%4.%5 "/>
      <w:lvlJc w:val="left"/>
      <w:pPr>
        <w:ind w:left="0" w:firstLine="0"/>
      </w:pPr>
      <w:rPr>
        <w:rFonts w:hint="eastAsia" w:ascii="黑体" w:eastAsia="黑体" w:hAnsiTheme="minorHAnsi"/>
        <w:b w:val="0"/>
        <w:i w:val="0"/>
        <w:sz w:val="21"/>
      </w:rPr>
    </w:lvl>
    <w:lvl w:ilvl="5" w:tentative="0">
      <w:start w:val="1"/>
      <w:numFmt w:val="decimal"/>
      <w:pStyle w:val="5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2C5917C3"/>
    <w:multiLevelType w:val="multilevel"/>
    <w:tmpl w:val="2C5917C3"/>
    <w:lvl w:ilvl="0" w:tentative="0">
      <w:start w:val="1"/>
      <w:numFmt w:val="none"/>
      <w:pStyle w:val="60"/>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65"/>
      <w:lvlText w:val=""/>
      <w:lvlJc w:val="left"/>
      <w:pPr>
        <w:ind w:left="851" w:hanging="431"/>
      </w:pPr>
      <w:rPr>
        <w:rFonts w:hint="default" w:ascii="Symbol" w:hAnsi="Symbol"/>
        <w:sz w:val="21"/>
      </w:rPr>
    </w:lvl>
    <w:lvl w:ilvl="2" w:tentative="0">
      <w:start w:val="1"/>
      <w:numFmt w:val="bullet"/>
      <w:pStyle w:val="6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
    <w:nsid w:val="646260FA"/>
    <w:multiLevelType w:val="multilevel"/>
    <w:tmpl w:val="646260FA"/>
    <w:lvl w:ilvl="0" w:tentative="0">
      <w:start w:val="1"/>
      <w:numFmt w:val="decimal"/>
      <w:pStyle w:val="59"/>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6CEA2025"/>
    <w:multiLevelType w:val="multilevel"/>
    <w:tmpl w:val="6CEA2025"/>
    <w:lvl w:ilvl="0" w:tentative="0">
      <w:start w:val="1"/>
      <w:numFmt w:val="none"/>
      <w:pStyle w:val="46"/>
      <w:suff w:val="nothing"/>
      <w:lvlText w:val="%1"/>
      <w:lvlJc w:val="left"/>
      <w:rPr>
        <w:rFonts w:hint="default" w:ascii="Times New Roman" w:hAnsi="Times New Roman" w:cs="Times New Roman"/>
        <w:b/>
        <w:bCs/>
        <w:i w:val="0"/>
        <w:iCs w:val="0"/>
        <w:sz w:val="21"/>
        <w:szCs w:val="21"/>
      </w:rPr>
    </w:lvl>
    <w:lvl w:ilvl="1" w:tentative="0">
      <w:start w:val="1"/>
      <w:numFmt w:val="decimal"/>
      <w:pStyle w:val="40"/>
      <w:suff w:val="nothing"/>
      <w:lvlText w:val="%1%2　"/>
      <w:lvlJc w:val="left"/>
      <w:rPr>
        <w:rFonts w:hint="eastAsia" w:ascii="黑体" w:hAnsi="Times New Roman" w:eastAsia="黑体"/>
        <w:b w:val="0"/>
        <w:bCs w:val="0"/>
        <w:i w:val="0"/>
        <w:iCs w:val="0"/>
        <w:sz w:val="21"/>
        <w:szCs w:val="21"/>
      </w:rPr>
    </w:lvl>
    <w:lvl w:ilvl="2" w:tentative="0">
      <w:start w:val="1"/>
      <w:numFmt w:val="decimal"/>
      <w:pStyle w:val="45"/>
      <w:suff w:val="nothing"/>
      <w:lvlText w:val="%1%2.%3　"/>
      <w:lvlJc w:val="left"/>
      <w:rPr>
        <w:rFonts w:hint="eastAsia" w:ascii="黑体" w:hAnsi="Times New Roman" w:eastAsia="黑体"/>
        <w:b w:val="0"/>
        <w:bCs w:val="0"/>
        <w:i w:val="0"/>
        <w:iCs w:val="0"/>
        <w:sz w:val="21"/>
        <w:szCs w:val="21"/>
      </w:rPr>
    </w:lvl>
    <w:lvl w:ilvl="3" w:tentative="0">
      <w:start w:val="1"/>
      <w:numFmt w:val="decimal"/>
      <w:pStyle w:val="41"/>
      <w:suff w:val="nothing"/>
      <w:lvlText w:val="%1%2.%3.%4　"/>
      <w:lvlJc w:val="left"/>
      <w:rPr>
        <w:rFonts w:hint="eastAsia" w:ascii="黑体" w:hAnsi="Times New Roman" w:eastAsia="黑体"/>
        <w:b w:val="0"/>
        <w:bCs w:val="0"/>
        <w:i w:val="0"/>
        <w:iCs w:val="0"/>
        <w:sz w:val="21"/>
        <w:szCs w:val="21"/>
      </w:rPr>
    </w:lvl>
    <w:lvl w:ilvl="4" w:tentative="0">
      <w:start w:val="1"/>
      <w:numFmt w:val="decimal"/>
      <w:pStyle w:val="42"/>
      <w:suff w:val="nothing"/>
      <w:lvlText w:val="%1%2.%3.%4.%5　"/>
      <w:lvlJc w:val="left"/>
      <w:rPr>
        <w:rFonts w:hint="eastAsia" w:ascii="黑体" w:hAnsi="Times New Roman" w:eastAsia="黑体"/>
        <w:b w:val="0"/>
        <w:bCs w:val="0"/>
        <w:i w:val="0"/>
        <w:iCs w:val="0"/>
        <w:sz w:val="21"/>
        <w:szCs w:val="21"/>
      </w:rPr>
    </w:lvl>
    <w:lvl w:ilvl="5" w:tentative="0">
      <w:start w:val="1"/>
      <w:numFmt w:val="decimal"/>
      <w:pStyle w:val="43"/>
      <w:suff w:val="nothing"/>
      <w:lvlText w:val="%1%2.%3.%4.%5.%6　"/>
      <w:lvlJc w:val="left"/>
      <w:rPr>
        <w:rFonts w:hint="eastAsia" w:ascii="黑体" w:hAnsi="Times New Roman" w:eastAsia="黑体"/>
        <w:b w:val="0"/>
        <w:bCs w:val="0"/>
        <w:i w:val="0"/>
        <w:iCs w:val="0"/>
        <w:sz w:val="21"/>
        <w:szCs w:val="21"/>
      </w:rPr>
    </w:lvl>
    <w:lvl w:ilvl="6" w:tentative="0">
      <w:start w:val="1"/>
      <w:numFmt w:val="decimal"/>
      <w:pStyle w:val="44"/>
      <w:suff w:val="nothing"/>
      <w:lvlText w:val="%1%2.%3.%4.%5.%6.%7　"/>
      <w:lvlJc w:val="left"/>
      <w:rPr>
        <w:rFonts w:hint="eastAsia" w:ascii="黑体" w:hAnsi="Times New Roman" w:eastAsia="黑体"/>
        <w:b w:val="0"/>
        <w:bCs w:val="0"/>
        <w:i w:val="0"/>
        <w:iCs w:val="0"/>
        <w:sz w:val="21"/>
        <w:szCs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B9A"/>
    <w:rsid w:val="000658B5"/>
    <w:rsid w:val="00071C21"/>
    <w:rsid w:val="001F752F"/>
    <w:rsid w:val="002844FB"/>
    <w:rsid w:val="002F675B"/>
    <w:rsid w:val="00345B0A"/>
    <w:rsid w:val="0050530E"/>
    <w:rsid w:val="0071689E"/>
    <w:rsid w:val="00735F2E"/>
    <w:rsid w:val="00765941"/>
    <w:rsid w:val="007A5E29"/>
    <w:rsid w:val="00836254"/>
    <w:rsid w:val="008A24E9"/>
    <w:rsid w:val="009327FC"/>
    <w:rsid w:val="00C82F20"/>
    <w:rsid w:val="00D72BF3"/>
    <w:rsid w:val="00E0007A"/>
    <w:rsid w:val="00E71B9A"/>
    <w:rsid w:val="32F84703"/>
    <w:rsid w:val="39EF6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smallCaps/>
      <w:kern w:val="2"/>
      <w:sz w:val="36"/>
      <w:szCs w:val="36"/>
      <w:lang w:val="en-US" w:eastAsia="zh-CN" w:bidi="ar-SA"/>
    </w:rPr>
  </w:style>
  <w:style w:type="paragraph" w:styleId="2">
    <w:name w:val="heading 1"/>
    <w:basedOn w:val="1"/>
    <w:next w:val="1"/>
    <w:link w:val="20"/>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1"/>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2"/>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3"/>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4"/>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szCs w:val="24"/>
    </w:rPr>
  </w:style>
  <w:style w:type="paragraph" w:styleId="7">
    <w:name w:val="heading 6"/>
    <w:basedOn w:val="1"/>
    <w:next w:val="1"/>
    <w:link w:val="25"/>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rPr>
  </w:style>
  <w:style w:type="paragraph" w:styleId="8">
    <w:name w:val="heading 7"/>
    <w:basedOn w:val="1"/>
    <w:next w:val="1"/>
    <w:link w:val="26"/>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7"/>
    <w:semiHidden/>
    <w:unhideWhenUsed/>
    <w:qFormat/>
    <w:uiPriority w:val="9"/>
    <w:pPr>
      <w:keepNext/>
      <w:keepLines/>
      <w:outlineLvl w:val="7"/>
    </w:pPr>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8"/>
    <w:semiHidden/>
    <w:unhideWhenUsed/>
    <w:qFormat/>
    <w:uiPriority w:val="9"/>
    <w:pPr>
      <w:keepNext/>
      <w:keepLines/>
      <w:outlineLvl w:val="8"/>
    </w:pPr>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default="1" w:styleId="18">
    <w:name w:val="Default Paragraph Font"/>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toc 1"/>
    <w:basedOn w:val="1"/>
    <w:next w:val="1"/>
    <w:autoRedefine/>
    <w:unhideWhenUsed/>
    <w:qFormat/>
    <w:uiPriority w:val="39"/>
    <w:pPr>
      <w:adjustRightInd w:val="0"/>
      <w:spacing w:line="400" w:lineRule="exact"/>
    </w:pPr>
    <w:rPr>
      <w:rFonts w:ascii="宋体"/>
      <w:smallCaps w:val="0"/>
      <w:sz w:val="21"/>
      <w:szCs w:val="21"/>
    </w:rPr>
  </w:style>
  <w:style w:type="paragraph" w:styleId="14">
    <w:name w:val="Subtitle"/>
    <w:basedOn w:val="1"/>
    <w:next w:val="1"/>
    <w:link w:val="30"/>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5">
    <w:name w:val="Title"/>
    <w:basedOn w:val="1"/>
    <w:next w:val="1"/>
    <w:link w:val="29"/>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7">
    <w:name w:val="Table Grid"/>
    <w:basedOn w:val="16"/>
    <w:qFormat/>
    <w:uiPriority w:val="39"/>
    <w:rPr>
      <w:rFonts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rFonts w:ascii="宋体" w:hAnsi="Times New Roman" w:eastAsia="宋体"/>
      <w:color w:val="auto"/>
      <w:spacing w:val="0"/>
      <w:w w:val="100"/>
      <w:position w:val="0"/>
      <w:sz w:val="21"/>
      <w:u w:val="none"/>
      <w:vertAlign w:val="baseline"/>
    </w:rPr>
  </w:style>
  <w:style w:type="character" w:customStyle="1" w:styleId="20">
    <w:name w:val="标题 1 字符"/>
    <w:basedOn w:val="18"/>
    <w:link w:val="2"/>
    <w:qFormat/>
    <w:uiPriority w:val="9"/>
    <w:rPr>
      <w:rFonts w:asciiTheme="majorHAnsi" w:hAnsiTheme="majorHAnsi" w:eastAsiaTheme="majorEastAsia" w:cstheme="majorBidi"/>
      <w:color w:val="104862" w:themeColor="accent1" w:themeShade="BF"/>
      <w:sz w:val="48"/>
      <w:szCs w:val="48"/>
    </w:rPr>
  </w:style>
  <w:style w:type="character" w:customStyle="1" w:styleId="21">
    <w:name w:val="标题 2 字符"/>
    <w:basedOn w:val="18"/>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2">
    <w:name w:val="标题 3 字符"/>
    <w:basedOn w:val="18"/>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3">
    <w:name w:val="标题 4 字符"/>
    <w:basedOn w:val="18"/>
    <w:link w:val="5"/>
    <w:semiHidden/>
    <w:qFormat/>
    <w:uiPriority w:val="9"/>
    <w:rPr>
      <w:rFonts w:asciiTheme="minorHAnsi" w:hAnsiTheme="minorHAnsi" w:eastAsiaTheme="minorEastAsia" w:cstheme="majorBidi"/>
      <w:color w:val="104862" w:themeColor="accent1" w:themeShade="BF"/>
      <w:sz w:val="28"/>
      <w:szCs w:val="28"/>
    </w:rPr>
  </w:style>
  <w:style w:type="character" w:customStyle="1" w:styleId="24">
    <w:name w:val="标题 5 字符"/>
    <w:basedOn w:val="18"/>
    <w:link w:val="6"/>
    <w:semiHidden/>
    <w:qFormat/>
    <w:uiPriority w:val="9"/>
    <w:rPr>
      <w:rFonts w:asciiTheme="minorHAnsi" w:hAnsiTheme="minorHAnsi" w:eastAsiaTheme="minorEastAsia" w:cstheme="majorBidi"/>
      <w:color w:val="104862" w:themeColor="accent1" w:themeShade="BF"/>
      <w:sz w:val="24"/>
      <w:szCs w:val="24"/>
    </w:rPr>
  </w:style>
  <w:style w:type="character" w:customStyle="1" w:styleId="25">
    <w:name w:val="标题 6 字符"/>
    <w:basedOn w:val="18"/>
    <w:link w:val="7"/>
    <w:semiHidden/>
    <w:qFormat/>
    <w:uiPriority w:val="9"/>
    <w:rPr>
      <w:rFonts w:asciiTheme="minorHAnsi" w:hAnsiTheme="minorHAnsi" w:eastAsiaTheme="minorEastAsia" w:cstheme="majorBidi"/>
      <w:b/>
      <w:bCs/>
      <w:color w:val="104862" w:themeColor="accent1" w:themeShade="BF"/>
    </w:rPr>
  </w:style>
  <w:style w:type="character" w:customStyle="1" w:styleId="26">
    <w:name w:val="标题 7 字符"/>
    <w:basedOn w:val="18"/>
    <w:link w:val="8"/>
    <w:semiHidden/>
    <w:qFormat/>
    <w:uiPriority w:val="9"/>
    <w:rPr>
      <w:rFonts w:asciiTheme="minorHAnsi" w:hAnsiTheme="minorHAnsi" w:eastAsiaTheme="minorEastAsia" w:cstheme="majorBidi"/>
      <w:b/>
      <w:bCs/>
      <w:color w:val="595959" w:themeColor="text1" w:themeTint="A6"/>
      <w14:textFill>
        <w14:solidFill>
          <w14:schemeClr w14:val="tx1">
            <w14:lumMod w14:val="65000"/>
            <w14:lumOff w14:val="35000"/>
          </w14:schemeClr>
        </w14:solidFill>
      </w14:textFill>
    </w:rPr>
  </w:style>
  <w:style w:type="character" w:customStyle="1" w:styleId="27">
    <w:name w:val="标题 8 字符"/>
    <w:basedOn w:val="18"/>
    <w:link w:val="9"/>
    <w:semiHidden/>
    <w:qFormat/>
    <w:uiPriority w:val="9"/>
    <w:rPr>
      <w:rFonts w:asciiTheme="minorHAnsi" w:hAnsiTheme="minorHAnsi" w:eastAsiaTheme="min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9 字符"/>
    <w:basedOn w:val="18"/>
    <w:link w:val="10"/>
    <w:semiHidden/>
    <w:qFormat/>
    <w:uiPriority w:val="9"/>
    <w:rPr>
      <w:rFonts w:asciiTheme="minorHAnsi" w:hAnsiTheme="minorHAnsi"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9">
    <w:name w:val="标题 字符"/>
    <w:basedOn w:val="18"/>
    <w:link w:val="15"/>
    <w:qFormat/>
    <w:uiPriority w:val="10"/>
    <w:rPr>
      <w:rFonts w:asciiTheme="majorHAnsi" w:hAnsiTheme="majorHAnsi" w:eastAsiaTheme="majorEastAsia" w:cstheme="majorBidi"/>
      <w:spacing w:val="-10"/>
      <w:kern w:val="28"/>
      <w:sz w:val="56"/>
      <w:szCs w:val="56"/>
    </w:rPr>
  </w:style>
  <w:style w:type="character" w:customStyle="1" w:styleId="30">
    <w:name w:val="副标题 字符"/>
    <w:basedOn w:val="18"/>
    <w:link w:val="14"/>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1">
    <w:name w:val="Quote"/>
    <w:basedOn w:val="1"/>
    <w:next w:val="1"/>
    <w:link w:val="32"/>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2">
    <w:name w:val="引用 字符"/>
    <w:basedOn w:val="18"/>
    <w:link w:val="31"/>
    <w:qFormat/>
    <w:uiPriority w:val="29"/>
    <w:rPr>
      <w:i/>
      <w:iCs/>
      <w:color w:val="404040" w:themeColor="text1" w:themeTint="BF"/>
      <w14:textFill>
        <w14:solidFill>
          <w14:schemeClr w14:val="tx1">
            <w14:lumMod w14:val="75000"/>
            <w14:lumOff w14:val="25000"/>
          </w14:schemeClr>
        </w14:solidFill>
      </w14:textFill>
    </w:rPr>
  </w:style>
  <w:style w:type="paragraph" w:styleId="33">
    <w:name w:val="List Paragraph"/>
    <w:basedOn w:val="1"/>
    <w:qFormat/>
    <w:uiPriority w:val="34"/>
    <w:pPr>
      <w:ind w:left="720"/>
      <w:contextualSpacing/>
    </w:pPr>
  </w:style>
  <w:style w:type="character" w:customStyle="1" w:styleId="34">
    <w:name w:val="明显强调1"/>
    <w:basedOn w:val="18"/>
    <w:qFormat/>
    <w:uiPriority w:val="21"/>
    <w:rPr>
      <w:i/>
      <w:iCs/>
      <w:color w:val="104862" w:themeColor="accent1" w:themeShade="BF"/>
    </w:rPr>
  </w:style>
  <w:style w:type="paragraph" w:styleId="35">
    <w:name w:val="Intense Quote"/>
    <w:basedOn w:val="1"/>
    <w:next w:val="1"/>
    <w:link w:val="36"/>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6">
    <w:name w:val="明显引用 字符"/>
    <w:basedOn w:val="18"/>
    <w:link w:val="35"/>
    <w:qFormat/>
    <w:uiPriority w:val="30"/>
    <w:rPr>
      <w:i/>
      <w:iCs/>
      <w:color w:val="104862" w:themeColor="accent1" w:themeShade="BF"/>
    </w:rPr>
  </w:style>
  <w:style w:type="character" w:customStyle="1" w:styleId="37">
    <w:name w:val="明显参考1"/>
    <w:basedOn w:val="18"/>
    <w:qFormat/>
    <w:uiPriority w:val="32"/>
    <w:rPr>
      <w:b/>
      <w:bCs/>
      <w:color w:val="104862" w:themeColor="accent1" w:themeShade="BF"/>
      <w:spacing w:val="5"/>
    </w:rPr>
  </w:style>
  <w:style w:type="character" w:customStyle="1" w:styleId="38">
    <w:name w:val="页眉 字符"/>
    <w:basedOn w:val="18"/>
    <w:link w:val="12"/>
    <w:qFormat/>
    <w:uiPriority w:val="99"/>
    <w:rPr>
      <w:sz w:val="18"/>
      <w:szCs w:val="18"/>
    </w:rPr>
  </w:style>
  <w:style w:type="character" w:customStyle="1" w:styleId="39">
    <w:name w:val="页脚 字符"/>
    <w:basedOn w:val="18"/>
    <w:link w:val="11"/>
    <w:qFormat/>
    <w:uiPriority w:val="99"/>
    <w:rPr>
      <w:sz w:val="18"/>
      <w:szCs w:val="18"/>
    </w:rPr>
  </w:style>
  <w:style w:type="paragraph" w:customStyle="1" w:styleId="40">
    <w:name w:val="1章标题"/>
    <w:next w:val="1"/>
    <w:qFormat/>
    <w:uiPriority w:val="99"/>
    <w:pPr>
      <w:numPr>
        <w:ilvl w:val="1"/>
        <w:numId w:val="1"/>
      </w:numPr>
      <w:spacing w:beforeLines="50" w:afterLines="50"/>
      <w:jc w:val="both"/>
      <w:outlineLvl w:val="0"/>
    </w:pPr>
    <w:rPr>
      <w:rFonts w:ascii="黑体" w:hAnsi="Times New Roman" w:eastAsia="黑体" w:cs="黑体"/>
      <w:sz w:val="21"/>
      <w:szCs w:val="21"/>
      <w:lang w:val="en-US" w:eastAsia="zh-CN" w:bidi="ar-SA"/>
    </w:rPr>
  </w:style>
  <w:style w:type="paragraph" w:customStyle="1" w:styleId="41">
    <w:name w:val="标准文件_二级条标题"/>
    <w:next w:val="1"/>
    <w:qFormat/>
    <w:uiPriority w:val="0"/>
    <w:pPr>
      <w:widowControl w:val="0"/>
      <w:numPr>
        <w:ilvl w:val="3"/>
        <w:numId w:val="1"/>
      </w:numPr>
      <w:jc w:val="both"/>
      <w:outlineLvl w:val="2"/>
    </w:pPr>
    <w:rPr>
      <w:rFonts w:ascii="黑体" w:hAnsi="Times New Roman" w:eastAsia="黑体" w:cs="黑体"/>
      <w:sz w:val="21"/>
      <w:szCs w:val="21"/>
      <w:lang w:val="en-US" w:eastAsia="zh-CN" w:bidi="ar-SA"/>
    </w:rPr>
  </w:style>
  <w:style w:type="paragraph" w:customStyle="1" w:styleId="42">
    <w:name w:val="标准文件_三级条标题"/>
    <w:basedOn w:val="41"/>
    <w:next w:val="1"/>
    <w:qFormat/>
    <w:uiPriority w:val="0"/>
    <w:pPr>
      <w:widowControl/>
      <w:numPr>
        <w:ilvl w:val="4"/>
      </w:numPr>
      <w:outlineLvl w:val="3"/>
    </w:pPr>
  </w:style>
  <w:style w:type="paragraph" w:customStyle="1" w:styleId="43">
    <w:name w:val="标准文件_四级条标题"/>
    <w:next w:val="1"/>
    <w:qFormat/>
    <w:uiPriority w:val="0"/>
    <w:pPr>
      <w:widowControl w:val="0"/>
      <w:numPr>
        <w:ilvl w:val="5"/>
        <w:numId w:val="1"/>
      </w:numPr>
      <w:jc w:val="both"/>
      <w:outlineLvl w:val="4"/>
    </w:pPr>
    <w:rPr>
      <w:rFonts w:ascii="黑体" w:hAnsi="Times New Roman" w:eastAsia="黑体" w:cs="黑体"/>
      <w:sz w:val="21"/>
      <w:szCs w:val="21"/>
      <w:lang w:val="en-US" w:eastAsia="zh-CN" w:bidi="ar-SA"/>
    </w:rPr>
  </w:style>
  <w:style w:type="paragraph" w:customStyle="1" w:styleId="44">
    <w:name w:val="标准文件_五级条标题"/>
    <w:next w:val="1"/>
    <w:qFormat/>
    <w:uiPriority w:val="0"/>
    <w:pPr>
      <w:widowControl w:val="0"/>
      <w:numPr>
        <w:ilvl w:val="6"/>
        <w:numId w:val="1"/>
      </w:numPr>
      <w:jc w:val="both"/>
      <w:outlineLvl w:val="5"/>
    </w:pPr>
    <w:rPr>
      <w:rFonts w:ascii="黑体" w:hAnsi="Times New Roman" w:eastAsia="黑体" w:cs="黑体"/>
      <w:sz w:val="21"/>
      <w:szCs w:val="21"/>
      <w:lang w:val="en-US" w:eastAsia="zh-CN" w:bidi="ar-SA"/>
    </w:rPr>
  </w:style>
  <w:style w:type="paragraph" w:customStyle="1" w:styleId="45">
    <w:name w:val="标准文件_一级条标题"/>
    <w:basedOn w:val="40"/>
    <w:next w:val="1"/>
    <w:qFormat/>
    <w:uiPriority w:val="0"/>
    <w:pPr>
      <w:numPr>
        <w:ilvl w:val="2"/>
      </w:numPr>
      <w:spacing w:beforeLines="0" w:afterLines="0"/>
      <w:outlineLvl w:val="1"/>
    </w:pPr>
  </w:style>
  <w:style w:type="paragraph" w:customStyle="1" w:styleId="46">
    <w:name w:val="前言标题"/>
    <w:next w:val="1"/>
    <w:qFormat/>
    <w:uiPriority w:val="0"/>
    <w:pPr>
      <w:numPr>
        <w:ilvl w:val="0"/>
        <w:numId w:val="1"/>
      </w:numPr>
      <w:shd w:val="clear" w:color="FFFFFF" w:fill="FFFFFF"/>
      <w:spacing w:before="540"/>
      <w:jc w:val="center"/>
      <w:outlineLvl w:val="0"/>
    </w:pPr>
    <w:rPr>
      <w:rFonts w:ascii="黑体" w:hAnsi="Times New Roman" w:eastAsia="黑体" w:cs="黑体"/>
      <w:sz w:val="32"/>
      <w:szCs w:val="32"/>
      <w:lang w:val="en-US" w:eastAsia="zh-CN" w:bidi="ar-SA"/>
    </w:rPr>
  </w:style>
  <w:style w:type="paragraph" w:customStyle="1" w:styleId="47">
    <w:name w:val="标准书眉_偶数页"/>
    <w:basedOn w:val="1"/>
    <w:next w:val="1"/>
    <w:qFormat/>
    <w:uiPriority w:val="0"/>
    <w:pPr>
      <w:widowControl/>
      <w:tabs>
        <w:tab w:val="center" w:pos="4154"/>
        <w:tab w:val="right" w:pos="8306"/>
      </w:tabs>
      <w:spacing w:after="220"/>
      <w:jc w:val="left"/>
    </w:pPr>
    <w:rPr>
      <w:rFonts w:ascii="黑体" w:hAnsi="Times New Roman" w:eastAsia="黑体"/>
      <w:smallCaps w:val="0"/>
      <w:kern w:val="0"/>
      <w:sz w:val="21"/>
      <w:szCs w:val="21"/>
    </w:rPr>
  </w:style>
  <w:style w:type="paragraph" w:customStyle="1" w:styleId="4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49">
    <w:name w:val="标准文件_目录标题"/>
    <w:basedOn w:val="1"/>
    <w:qFormat/>
    <w:uiPriority w:val="0"/>
    <w:pPr>
      <w:adjustRightInd w:val="0"/>
      <w:spacing w:before="480" w:after="150" w:afterLines="150"/>
      <w:jc w:val="center"/>
    </w:pPr>
    <w:rPr>
      <w:rFonts w:ascii="黑体" w:eastAsia="黑体"/>
      <w:smallCaps w:val="0"/>
      <w:sz w:val="32"/>
      <w:szCs w:val="21"/>
    </w:rPr>
  </w:style>
  <w:style w:type="paragraph" w:customStyle="1" w:styleId="50">
    <w:name w:val="标准文件_段"/>
    <w:link w:val="52"/>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1">
    <w:name w:val="标准文件_前言、引言标题"/>
    <w:next w:val="1"/>
    <w:qFormat/>
    <w:uiPriority w:val="0"/>
    <w:pPr>
      <w:numPr>
        <w:ilvl w:val="0"/>
        <w:numId w:val="2"/>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character" w:customStyle="1" w:styleId="52">
    <w:name w:val="标准文件_段 Char"/>
    <w:link w:val="50"/>
    <w:qFormat/>
    <w:uiPriority w:val="0"/>
    <w:rPr>
      <w:rFonts w:ascii="宋体" w:hAnsi="Times New Roman"/>
      <w:sz w:val="21"/>
    </w:rPr>
  </w:style>
  <w:style w:type="paragraph" w:customStyle="1" w:styleId="53">
    <w:name w:val="标准文件_引言一级条标题"/>
    <w:basedOn w:val="50"/>
    <w:next w:val="50"/>
    <w:qFormat/>
    <w:uiPriority w:val="0"/>
    <w:pPr>
      <w:numPr>
        <w:ilvl w:val="1"/>
        <w:numId w:val="2"/>
      </w:numPr>
      <w:tabs>
        <w:tab w:val="left" w:pos="360"/>
      </w:tabs>
      <w:spacing w:before="50" w:beforeLines="50" w:after="50" w:afterLines="50"/>
      <w:ind w:firstLine="200" w:firstLineChars="0"/>
    </w:pPr>
    <w:rPr>
      <w:rFonts w:ascii="黑体" w:eastAsia="黑体"/>
    </w:rPr>
  </w:style>
  <w:style w:type="paragraph" w:customStyle="1" w:styleId="54">
    <w:name w:val="标准文件_引言二级条标题"/>
    <w:basedOn w:val="50"/>
    <w:next w:val="50"/>
    <w:qFormat/>
    <w:uiPriority w:val="0"/>
    <w:pPr>
      <w:numPr>
        <w:ilvl w:val="2"/>
        <w:numId w:val="2"/>
      </w:numPr>
      <w:tabs>
        <w:tab w:val="left" w:pos="360"/>
      </w:tabs>
      <w:spacing w:before="50" w:beforeLines="50" w:after="50" w:afterLines="50"/>
      <w:ind w:firstLine="200" w:firstLineChars="0"/>
    </w:pPr>
    <w:rPr>
      <w:rFonts w:ascii="黑体" w:eastAsia="黑体"/>
    </w:rPr>
  </w:style>
  <w:style w:type="paragraph" w:customStyle="1" w:styleId="55">
    <w:name w:val="标准文件_引言三级条标题"/>
    <w:basedOn w:val="50"/>
    <w:next w:val="50"/>
    <w:qFormat/>
    <w:uiPriority w:val="0"/>
    <w:pPr>
      <w:numPr>
        <w:ilvl w:val="3"/>
        <w:numId w:val="2"/>
      </w:numPr>
      <w:tabs>
        <w:tab w:val="left" w:pos="360"/>
      </w:tabs>
      <w:spacing w:before="50" w:beforeLines="50" w:after="50" w:afterLines="50"/>
      <w:ind w:firstLine="200" w:firstLineChars="0"/>
    </w:pPr>
    <w:rPr>
      <w:rFonts w:ascii="黑体" w:eastAsia="黑体"/>
    </w:rPr>
  </w:style>
  <w:style w:type="paragraph" w:customStyle="1" w:styleId="56">
    <w:name w:val="标准文件_引言四级条标题"/>
    <w:basedOn w:val="50"/>
    <w:next w:val="50"/>
    <w:qFormat/>
    <w:uiPriority w:val="0"/>
    <w:pPr>
      <w:numPr>
        <w:ilvl w:val="4"/>
        <w:numId w:val="2"/>
      </w:numPr>
      <w:tabs>
        <w:tab w:val="left" w:pos="360"/>
      </w:tabs>
      <w:spacing w:before="50" w:beforeLines="50" w:after="50" w:afterLines="50"/>
      <w:ind w:firstLine="200" w:firstLineChars="0"/>
    </w:pPr>
    <w:rPr>
      <w:rFonts w:ascii="黑体" w:eastAsia="黑体"/>
    </w:rPr>
  </w:style>
  <w:style w:type="paragraph" w:customStyle="1" w:styleId="57">
    <w:name w:val="标准文件_引言五级条标题"/>
    <w:basedOn w:val="50"/>
    <w:next w:val="50"/>
    <w:qFormat/>
    <w:uiPriority w:val="0"/>
    <w:pPr>
      <w:numPr>
        <w:ilvl w:val="5"/>
        <w:numId w:val="2"/>
      </w:numPr>
      <w:tabs>
        <w:tab w:val="left" w:pos="360"/>
      </w:tabs>
      <w:spacing w:before="50" w:beforeLines="50" w:after="50" w:afterLines="50"/>
      <w:ind w:firstLine="200" w:firstLineChars="0"/>
    </w:pPr>
    <w:rPr>
      <w:rFonts w:ascii="黑体" w:eastAsia="黑体"/>
    </w:rPr>
  </w:style>
  <w:style w:type="paragraph" w:customStyle="1" w:styleId="58">
    <w:name w:val="标准文件_章标题"/>
    <w:next w:val="50"/>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59">
    <w:name w:val="标准文件_正文表标题"/>
    <w:next w:val="50"/>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60">
    <w:name w:val="标准文件_一级项"/>
    <w:qFormat/>
    <w:uiPriority w:val="0"/>
    <w:pPr>
      <w:numPr>
        <w:ilvl w:val="0"/>
        <w:numId w:val="4"/>
      </w:numPr>
    </w:pPr>
    <w:rPr>
      <w:rFonts w:ascii="宋体" w:hAnsi="Times New Roman" w:eastAsia="宋体" w:cs="Times New Roman"/>
      <w:sz w:val="21"/>
      <w:lang w:val="en-US" w:eastAsia="zh-CN" w:bidi="ar-SA"/>
    </w:rPr>
  </w:style>
  <w:style w:type="paragraph" w:customStyle="1" w:styleId="61">
    <w:name w:val="标准文件_二级无标题"/>
    <w:basedOn w:val="41"/>
    <w:qFormat/>
    <w:uiPriority w:val="0"/>
    <w:pPr>
      <w:outlineLvl w:val="9"/>
    </w:pPr>
    <w:rPr>
      <w:rFonts w:ascii="宋体" w:eastAsia="宋体" w:cs="Times New Roman"/>
      <w:szCs w:val="20"/>
    </w:rPr>
  </w:style>
  <w:style w:type="paragraph" w:customStyle="1" w:styleId="62">
    <w:name w:val="标准文件_三级项"/>
    <w:basedOn w:val="1"/>
    <w:qFormat/>
    <w:uiPriority w:val="0"/>
    <w:pPr>
      <w:numPr>
        <w:ilvl w:val="2"/>
        <w:numId w:val="4"/>
      </w:numPr>
      <w:adjustRightInd w:val="0"/>
      <w:spacing w:line="536870612" w:lineRule="auto"/>
    </w:pPr>
    <w:rPr>
      <w:rFonts w:ascii="Times New Roman" w:hAnsi="Times New Roman"/>
      <w:smallCaps w:val="0"/>
      <w:sz w:val="21"/>
      <w:szCs w:val="21"/>
    </w:rPr>
  </w:style>
  <w:style w:type="paragraph" w:customStyle="1" w:styleId="63">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64">
    <w:name w:val="标准文件_表格"/>
    <w:basedOn w:val="50"/>
    <w:qFormat/>
    <w:uiPriority w:val="0"/>
    <w:pPr>
      <w:ind w:firstLine="0" w:firstLineChars="0"/>
      <w:jc w:val="center"/>
    </w:pPr>
    <w:rPr>
      <w:sz w:val="18"/>
    </w:rPr>
  </w:style>
  <w:style w:type="paragraph" w:customStyle="1" w:styleId="65">
    <w:name w:val="标准文件_二级项2"/>
    <w:basedOn w:val="50"/>
    <w:qFormat/>
    <w:uiPriority w:val="0"/>
    <w:pPr>
      <w:numPr>
        <w:ilvl w:val="1"/>
        <w:numId w:val="4"/>
      </w:numPr>
      <w:ind w:firstLine="0" w:firstLineChars="0"/>
    </w:pPr>
  </w:style>
  <w:style w:type="paragraph" w:customStyle="1" w:styleId="66">
    <w:name w:val="标准文件_术语条一"/>
    <w:basedOn w:val="1"/>
    <w:next w:val="50"/>
    <w:qFormat/>
    <w:uiPriority w:val="0"/>
    <w:pPr>
      <w:widowControl/>
    </w:pPr>
    <w:rPr>
      <w:rFonts w:ascii="宋体" w:hAnsi="Times New Roman"/>
      <w:smallCaps w:val="0"/>
      <w:kern w:val="0"/>
      <w:sz w:val="21"/>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jpe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163625E0A2B145D78DE4ECDA466A1F32"/>
        <w:style w:val=""/>
        <w:category>
          <w:name w:val="常规"/>
          <w:gallery w:val="placeholder"/>
        </w:category>
        <w:types>
          <w:type w:val="bbPlcHdr"/>
        </w:types>
        <w:behaviors>
          <w:behavior w:val="content"/>
        </w:behaviors>
        <w:description w:val=""/>
        <w:guid w:val="{F3A6F9DB-C51F-4649-9B5A-6DA05B2121ED}"/>
      </w:docPartPr>
      <w:docPartBody>
        <w:p w14:paraId="0B307DDC">
          <w:pPr>
            <w:pStyle w:val="5"/>
          </w:pPr>
          <w:r>
            <w:rPr>
              <w:rStyle w:val="4"/>
              <w:rFonts w:hint="eastAsia"/>
            </w:rPr>
            <w:t>单击或点击此处输入文字。</w:t>
          </w:r>
        </w:p>
      </w:docPartBody>
    </w:docPart>
    <w:docPart>
      <w:docPartPr>
        <w:name w:val="CEFC0F8B7C0A4F11BE570011BA28B078"/>
        <w:style w:val=""/>
        <w:category>
          <w:name w:val="常规"/>
          <w:gallery w:val="placeholder"/>
        </w:category>
        <w:types>
          <w:type w:val="bbPlcHdr"/>
        </w:types>
        <w:behaviors>
          <w:behavior w:val="content"/>
        </w:behaviors>
        <w:description w:val=""/>
        <w:guid w:val="{42B7C998-5C7C-4A55-9B9E-D923B44CE562}"/>
      </w:docPartPr>
      <w:docPartBody>
        <w:p w14:paraId="5F78289C">
          <w:pPr>
            <w:pStyle w:val="6"/>
          </w:pPr>
          <w:r>
            <w:rPr>
              <w:rStyle w:val="4"/>
              <w:rFonts w:hint="eastAsia"/>
            </w:rPr>
            <w:t>选择一项。</w:t>
          </w:r>
        </w:p>
      </w:docPartBody>
    </w:docPart>
    <w:docPart>
      <w:docPartPr>
        <w:name w:val="24C4B76BABF6468BB95C4A8C0EE4F0AE"/>
        <w:style w:val=""/>
        <w:category>
          <w:name w:val="常规"/>
          <w:gallery w:val="placeholder"/>
        </w:category>
        <w:types>
          <w:type w:val="bbPlcHdr"/>
        </w:types>
        <w:behaviors>
          <w:behavior w:val="content"/>
        </w:behaviors>
        <w:description w:val=""/>
        <w:guid w:val="{E53A296A-3C21-408A-A53A-A49EC024F232}"/>
      </w:docPartPr>
      <w:docPartBody>
        <w:p w14:paraId="4D52EB74">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4DE"/>
    <w:rsid w:val="003544DE"/>
    <w:rsid w:val="003A11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163625E0A2B145D78DE4ECDA466A1F3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CEFC0F8B7C0A4F11BE570011BA28B07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24C4B76BABF6468BB95C4A8C0EE4F0A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C21E02-AE97-4E89-A608-98B34B33C32A}">
  <ds:schemaRefs/>
</ds:datastoreItem>
</file>

<file path=docProps/app.xml><?xml version="1.0" encoding="utf-8"?>
<Properties xmlns="http://schemas.openxmlformats.org/officeDocument/2006/extended-properties" xmlns:vt="http://schemas.openxmlformats.org/officeDocument/2006/docPropsVTypes">
  <Template>Normal</Template>
  <Pages>8</Pages>
  <Words>1324</Words>
  <Characters>1658</Characters>
  <Lines>31</Lines>
  <Paragraphs>8</Paragraphs>
  <TotalTime>3</TotalTime>
  <ScaleCrop>false</ScaleCrop>
  <LinksUpToDate>false</LinksUpToDate>
  <CharactersWithSpaces>1865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2025-01-21T02:12:00Z</dcterms:created>
  <dc:creator>胜 丁</dc:creator>
  <cp:lastModifiedBy>中标蒲公英</cp:lastModifiedBy>
  <dcterms:modified xsi:type="dcterms:W3CDTF">2025-10-28T08:32:09Z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BF8883FB3F7E49E2873AE82BDC1B5005_13</vt:lpwstr>
  </property>
  <property fmtid="{D5CDD505-2E9C-101B-9397-08002B2CF9AE}" pid="4" name="KSOTemplateDocerSaveRecord">
    <vt:lpwstr>eyJoZGlkIjoiNzg4NjRlN2EwYzRjNDNjNDYyZTVlNGNiYTU1NjAwZGQiLCJ1c2VySWQiOiIxNjE1MzQ4Njc0In0=</vt:lpwstr>
  </property>
</Properties>
</file>