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FEA99">
      <w:pPr>
        <w:jc w:val="center"/>
        <w:rPr>
          <w:rFonts w:hint="eastAsia" w:ascii="黑体" w:hAnsi="黑体" w:eastAsia="黑体" w:cs="黑体"/>
          <w:b/>
          <w:bCs/>
          <w:sz w:val="52"/>
          <w:szCs w:val="52"/>
        </w:rPr>
      </w:pPr>
    </w:p>
    <w:p w14:paraId="66A07846">
      <w:pPr>
        <w:jc w:val="center"/>
        <w:rPr>
          <w:rFonts w:hint="eastAsia" w:ascii="黑体" w:hAnsi="黑体" w:eastAsia="黑体" w:cs="黑体"/>
          <w:b/>
          <w:bCs/>
          <w:sz w:val="52"/>
          <w:szCs w:val="52"/>
        </w:rPr>
      </w:pPr>
    </w:p>
    <w:p w14:paraId="0CC8B2E1">
      <w:pPr>
        <w:jc w:val="center"/>
        <w:rPr>
          <w:rFonts w:hint="eastAsia" w:ascii="黑体" w:hAnsi="黑体" w:eastAsia="黑体" w:cs="黑体"/>
          <w:b/>
          <w:bCs/>
          <w:sz w:val="52"/>
          <w:szCs w:val="52"/>
        </w:rPr>
      </w:pPr>
    </w:p>
    <w:p w14:paraId="7965067F">
      <w:pPr>
        <w:jc w:val="center"/>
        <w:rPr>
          <w:rFonts w:hint="eastAsia" w:ascii="黑体" w:hAnsi="黑体" w:eastAsia="黑体" w:cs="黑体"/>
          <w:b/>
          <w:bCs/>
          <w:sz w:val="52"/>
          <w:szCs w:val="52"/>
          <w:lang w:eastAsia="zh-CN"/>
        </w:rPr>
      </w:pPr>
      <w:r>
        <w:rPr>
          <w:rFonts w:hint="eastAsia" w:ascii="黑体" w:hAnsi="黑体" w:eastAsia="黑体" w:cs="黑体"/>
          <w:b/>
          <w:bCs/>
          <w:sz w:val="52"/>
          <w:szCs w:val="52"/>
        </w:rPr>
        <w:t>《</w:t>
      </w:r>
      <w:r>
        <w:rPr>
          <w:rFonts w:hint="eastAsia" w:ascii="黑体" w:hAnsi="黑体" w:eastAsia="黑体" w:cs="黑体"/>
          <w:b/>
          <w:bCs/>
          <w:sz w:val="52"/>
          <w:szCs w:val="52"/>
          <w:lang w:val="en-US" w:eastAsia="zh-CN"/>
        </w:rPr>
        <w:t>益生菌在肥胖及其代谢综合征中的功效评价</w:t>
      </w:r>
      <w:r>
        <w:rPr>
          <w:rFonts w:hint="eastAsia" w:ascii="黑体" w:hAnsi="黑体" w:eastAsia="黑体" w:cs="黑体"/>
          <w:b/>
          <w:bCs/>
          <w:sz w:val="52"/>
          <w:szCs w:val="52"/>
        </w:rPr>
        <w:t>》</w:t>
      </w:r>
      <w:r>
        <w:rPr>
          <w:rFonts w:hint="eastAsia" w:ascii="黑体" w:hAnsi="黑体" w:eastAsia="黑体" w:cs="黑体"/>
          <w:b/>
          <w:bCs/>
          <w:sz w:val="52"/>
          <w:szCs w:val="52"/>
          <w:lang w:eastAsia="zh-CN"/>
        </w:rPr>
        <w:t>征求意见稿</w:t>
      </w:r>
    </w:p>
    <w:p w14:paraId="7B0EED04">
      <w:pPr>
        <w:jc w:val="center"/>
        <w:rPr>
          <w:rFonts w:hint="eastAsia" w:ascii="黑体" w:hAnsi="黑体" w:eastAsia="黑体" w:cs="黑体"/>
          <w:b/>
          <w:bCs/>
          <w:sz w:val="52"/>
          <w:szCs w:val="52"/>
        </w:rPr>
      </w:pPr>
      <w:r>
        <w:rPr>
          <w:rFonts w:hint="eastAsia" w:ascii="黑体" w:hAnsi="黑体" w:eastAsia="黑体" w:cs="黑体"/>
          <w:b/>
          <w:bCs/>
          <w:sz w:val="52"/>
          <w:szCs w:val="52"/>
        </w:rPr>
        <w:t>团体标准编制说明</w:t>
      </w:r>
    </w:p>
    <w:p w14:paraId="0436FA03">
      <w:pPr>
        <w:jc w:val="center"/>
        <w:rPr>
          <w:rFonts w:hint="eastAsia" w:ascii="黑体" w:hAnsi="黑体" w:eastAsia="黑体" w:cs="黑体"/>
          <w:b/>
          <w:bCs/>
          <w:sz w:val="52"/>
          <w:szCs w:val="52"/>
        </w:rPr>
      </w:pPr>
    </w:p>
    <w:p w14:paraId="7C817B24">
      <w:pPr>
        <w:jc w:val="center"/>
        <w:rPr>
          <w:rFonts w:hint="eastAsia" w:ascii="黑体" w:hAnsi="黑体" w:eastAsia="黑体" w:cs="黑体"/>
          <w:b/>
          <w:bCs/>
          <w:sz w:val="52"/>
          <w:szCs w:val="52"/>
        </w:rPr>
      </w:pPr>
    </w:p>
    <w:p w14:paraId="25A21D25">
      <w:pPr>
        <w:jc w:val="center"/>
        <w:rPr>
          <w:rFonts w:hint="eastAsia" w:ascii="黑体" w:hAnsi="黑体" w:eastAsia="黑体" w:cs="黑体"/>
          <w:b/>
          <w:bCs/>
          <w:sz w:val="52"/>
          <w:szCs w:val="52"/>
        </w:rPr>
      </w:pPr>
    </w:p>
    <w:p w14:paraId="4A80D3B5">
      <w:pPr>
        <w:jc w:val="center"/>
        <w:rPr>
          <w:rFonts w:hint="eastAsia" w:ascii="黑体" w:hAnsi="黑体" w:eastAsia="黑体" w:cs="黑体"/>
          <w:b/>
          <w:bCs/>
          <w:sz w:val="52"/>
          <w:szCs w:val="52"/>
        </w:rPr>
      </w:pPr>
    </w:p>
    <w:p w14:paraId="168C56CB">
      <w:pPr>
        <w:jc w:val="center"/>
        <w:rPr>
          <w:rFonts w:hint="eastAsia" w:ascii="黑体" w:hAnsi="黑体" w:eastAsia="黑体" w:cs="黑体"/>
          <w:b/>
          <w:bCs/>
          <w:sz w:val="52"/>
          <w:szCs w:val="52"/>
        </w:rPr>
      </w:pPr>
    </w:p>
    <w:p w14:paraId="2BB8E192">
      <w:pPr>
        <w:jc w:val="center"/>
        <w:rPr>
          <w:rFonts w:hint="eastAsia" w:ascii="黑体" w:hAnsi="黑体" w:eastAsia="黑体" w:cs="黑体"/>
          <w:b/>
          <w:bCs/>
          <w:sz w:val="52"/>
          <w:szCs w:val="52"/>
        </w:rPr>
      </w:pPr>
    </w:p>
    <w:p w14:paraId="4132DCE6">
      <w:pPr>
        <w:jc w:val="both"/>
        <w:rPr>
          <w:rFonts w:hint="eastAsia" w:ascii="黑体" w:hAnsi="黑体" w:eastAsia="黑体" w:cs="黑体"/>
          <w:b/>
          <w:bCs/>
          <w:sz w:val="52"/>
          <w:szCs w:val="52"/>
        </w:rPr>
      </w:pPr>
    </w:p>
    <w:p w14:paraId="3E0D8FA3">
      <w:pPr>
        <w:jc w:val="center"/>
        <w:rPr>
          <w:rFonts w:ascii="Times New Roman" w:hAnsi="Times New Roman" w:eastAsia="宋体" w:cs="Times New Roman"/>
          <w:kern w:val="0"/>
          <w:sz w:val="32"/>
          <w:szCs w:val="24"/>
        </w:rPr>
      </w:pPr>
      <w:r>
        <w:rPr>
          <w:rFonts w:hint="eastAsia" w:ascii="Times New Roman" w:hAnsi="Times New Roman" w:eastAsia="宋体" w:cs="Times New Roman"/>
          <w:kern w:val="0"/>
          <w:sz w:val="32"/>
          <w:szCs w:val="24"/>
        </w:rPr>
        <w:t>标准编制项目组</w:t>
      </w:r>
    </w:p>
    <w:p w14:paraId="7D5603D1">
      <w:pPr>
        <w:jc w:val="center"/>
        <w:rPr>
          <w:rFonts w:hint="eastAsia" w:asciiTheme="minorEastAsia" w:hAnsiTheme="minorEastAsia" w:eastAsiaTheme="minorEastAsia"/>
          <w:color w:val="0000FF"/>
          <w:sz w:val="36"/>
          <w:szCs w:val="36"/>
        </w:rPr>
      </w:pPr>
      <w:r>
        <w:rPr>
          <w:rFonts w:hint="eastAsia" w:ascii="Times New Roman" w:hAnsi="Times New Roman" w:eastAsia="宋体" w:cs="Times New Roman"/>
          <w:kern w:val="0"/>
          <w:sz w:val="32"/>
          <w:szCs w:val="24"/>
        </w:rPr>
        <w:t>2025年</w:t>
      </w:r>
      <w:r>
        <w:rPr>
          <w:rFonts w:hint="eastAsia" w:ascii="Times New Roman" w:hAnsi="Times New Roman" w:eastAsia="宋体" w:cs="Times New Roman"/>
          <w:kern w:val="0"/>
          <w:sz w:val="32"/>
          <w:szCs w:val="24"/>
          <w:lang w:val="en-US" w:eastAsia="zh-CN"/>
        </w:rPr>
        <w:t>10</w:t>
      </w:r>
      <w:r>
        <w:rPr>
          <w:rFonts w:hint="eastAsia" w:ascii="Times New Roman" w:hAnsi="Times New Roman" w:eastAsia="宋体" w:cs="Times New Roman"/>
          <w:kern w:val="0"/>
          <w:sz w:val="32"/>
          <w:szCs w:val="24"/>
        </w:rPr>
        <w:t>月</w:t>
      </w:r>
      <w:r>
        <w:rPr>
          <w:rFonts w:hint="eastAsia" w:ascii="Times New Roman" w:hAnsi="Times New Roman" w:eastAsia="宋体" w:cs="Times New Roman"/>
          <w:kern w:val="0"/>
          <w:sz w:val="32"/>
          <w:szCs w:val="24"/>
          <w:lang w:val="en-US" w:eastAsia="zh-CN"/>
        </w:rPr>
        <w:t>31</w:t>
      </w:r>
      <w:r>
        <w:rPr>
          <w:rFonts w:hint="eastAsia" w:ascii="Times New Roman" w:hAnsi="Times New Roman" w:eastAsia="宋体" w:cs="Times New Roman"/>
          <w:kern w:val="0"/>
          <w:sz w:val="32"/>
          <w:szCs w:val="24"/>
        </w:rPr>
        <w:t>日</w:t>
      </w:r>
    </w:p>
    <w:p w14:paraId="6F166B2C">
      <w:pPr>
        <w:pStyle w:val="2"/>
        <w:keepNext/>
        <w:keepLines/>
        <w:pageBreakBefore w:val="0"/>
        <w:widowControl w:val="0"/>
        <w:kinsoku/>
        <w:wordWrap/>
        <w:overflowPunct/>
        <w:topLinePunct w:val="0"/>
        <w:autoSpaceDE/>
        <w:autoSpaceDN/>
        <w:bidi w:val="0"/>
        <w:adjustRightInd/>
        <w:snapToGrid/>
        <w:spacing w:before="0" w:beforeLines="0" w:after="312" w:afterLines="100" w:line="400" w:lineRule="exact"/>
        <w:jc w:val="center"/>
        <w:textAlignment w:val="auto"/>
        <w:rPr>
          <w:rFonts w:hint="eastAsia" w:asciiTheme="minorEastAsia" w:hAnsiTheme="minorEastAsia" w:eastAsiaTheme="minorEastAsia"/>
          <w:color w:val="auto"/>
          <w:sz w:val="36"/>
          <w:szCs w:val="36"/>
        </w:rPr>
      </w:pPr>
      <w:r>
        <w:rPr>
          <w:rFonts w:hint="eastAsia" w:asciiTheme="minorEastAsia" w:hAnsiTheme="minorEastAsia" w:eastAsiaTheme="minorEastAsia"/>
          <w:color w:val="auto"/>
          <w:sz w:val="36"/>
          <w:szCs w:val="36"/>
        </w:rPr>
        <w:t>《益生菌在肥胖及其代谢综合征中的功效评价》</w:t>
      </w:r>
    </w:p>
    <w:p w14:paraId="0215F187">
      <w:pPr>
        <w:pStyle w:val="2"/>
        <w:keepNext/>
        <w:keepLines/>
        <w:pageBreakBefore w:val="0"/>
        <w:widowControl w:val="0"/>
        <w:kinsoku/>
        <w:wordWrap/>
        <w:overflowPunct/>
        <w:topLinePunct w:val="0"/>
        <w:autoSpaceDE/>
        <w:autoSpaceDN/>
        <w:bidi w:val="0"/>
        <w:adjustRightInd/>
        <w:snapToGrid/>
        <w:spacing w:before="0" w:beforeLines="0" w:after="312" w:afterLines="100" w:line="400" w:lineRule="exact"/>
        <w:jc w:val="center"/>
        <w:textAlignment w:val="auto"/>
        <w:rPr>
          <w:rFonts w:asciiTheme="minorEastAsia" w:hAnsiTheme="minorEastAsia" w:eastAsiaTheme="minorEastAsia"/>
          <w:color w:val="auto"/>
          <w:sz w:val="36"/>
          <w:szCs w:val="36"/>
        </w:rPr>
      </w:pPr>
      <w:r>
        <w:rPr>
          <w:rFonts w:hint="eastAsia" w:asciiTheme="minorEastAsia" w:hAnsiTheme="minorEastAsia" w:eastAsiaTheme="minorEastAsia"/>
          <w:color w:val="auto"/>
          <w:sz w:val="36"/>
          <w:szCs w:val="36"/>
          <w:lang w:val="en-US" w:eastAsia="zh-CN"/>
        </w:rPr>
        <w:t>征求意见稿</w:t>
      </w:r>
      <w:r>
        <w:rPr>
          <w:rFonts w:hint="eastAsia" w:asciiTheme="minorEastAsia" w:hAnsiTheme="minorEastAsia" w:eastAsiaTheme="minorEastAsia"/>
          <w:color w:val="auto"/>
          <w:sz w:val="36"/>
          <w:szCs w:val="36"/>
        </w:rPr>
        <w:t>编制说明</w:t>
      </w:r>
    </w:p>
    <w:p w14:paraId="3FF7B026">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p>
    <w:p w14:paraId="0F737F4C">
      <w:pPr>
        <w:keepNext w:val="0"/>
        <w:keepLines w:val="0"/>
        <w:pageBreakBefore w:val="0"/>
        <w:numPr>
          <w:ilvl w:val="0"/>
          <w:numId w:val="3"/>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工作简况，包括任务来源、起草单位、主要起草人、参与单位、主要工作及其所做的其他工作等；</w:t>
      </w:r>
    </w:p>
    <w:p w14:paraId="7D1C72E5">
      <w:pPr>
        <w:keepNext w:val="0"/>
        <w:keepLines w:val="0"/>
        <w:widowControl w:val="0"/>
        <w:numPr>
          <w:ilvl w:val="0"/>
          <w:numId w:val="0"/>
        </w:numPr>
        <w:suppressLineNumbers w:val="0"/>
        <w:spacing w:before="0" w:beforeAutospacing="1" w:after="160" w:afterAutospacing="0" w:line="276" w:lineRule="auto"/>
        <w:ind w:right="0" w:rightChars="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（一）任务来源</w:t>
      </w:r>
    </w:p>
    <w:p w14:paraId="165530B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随着我国肥胖及代谢综合征发病率的不断上升，益生菌作为一种潜在的辅助治疗手段受到广泛关注。然而，目前市场上益生菌产品的功效评价缺乏统一规范，导致产品质量参差不齐，消费者难以辨别。为规范益生菌在肥胖及其代谢综合征中的功效评价，提高行业整体水平，增强消费者信任度，北京北清创新医学研究院有限公司</w:t>
      </w:r>
      <w:r>
        <w:rPr>
          <w:rFonts w:hint="eastAsia" w:ascii="宋体" w:hAnsi="宋体" w:eastAsia="宋体" w:cs="宋体"/>
          <w:sz w:val="24"/>
          <w:szCs w:val="24"/>
          <w:lang w:val="en-US" w:eastAsia="zh-CN"/>
        </w:rPr>
        <w:t>联合</w:t>
      </w:r>
      <w:r>
        <w:rPr>
          <w:rFonts w:hint="default" w:ascii="宋体" w:hAnsi="宋体" w:eastAsia="宋体" w:cs="宋体"/>
          <w:sz w:val="24"/>
          <w:szCs w:val="24"/>
          <w:lang w:val="en-US" w:eastAsia="zh-CN"/>
        </w:rPr>
        <w:t>中国保健协会食物营养与安全专业委员会提出编制《益生菌在肥胖及其代谢综合征中的功效评价》团体标准。</w:t>
      </w:r>
    </w:p>
    <w:p w14:paraId="73905075">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（二）起草单位、参与单位、主要起草人</w:t>
      </w:r>
    </w:p>
    <w:p w14:paraId="7003361A">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本次《益生菌在肥胖及其代谢综合征中的功效评价》团体标准的编制工作由北京北清创新医学研究院有限公司牵头，联合中国保健协会食物营养与安全专业委员会、北京东方红航天生物技术股份有限公司、深圳保时健生物工程有限公司、天辰生物科技（威海）有限公司、上海菌小宝健康科技有限公司、衢州未知君生物科技有限公司等多家单位共同参与完成。主要起草人为王子龙</w:t>
      </w:r>
      <w:r>
        <w:rPr>
          <w:rFonts w:hint="eastAsia" w:ascii="宋体" w:hAnsi="宋体" w:eastAsia="宋体" w:cs="宋体"/>
          <w:sz w:val="24"/>
          <w:szCs w:val="24"/>
          <w:lang w:val="en-US" w:eastAsia="zh-CN"/>
        </w:rPr>
        <w:t>、谢瑶、范罗嫡、</w:t>
      </w:r>
      <w:r>
        <w:rPr>
          <w:rFonts w:hint="default" w:ascii="宋体" w:hAnsi="宋体" w:eastAsia="宋体" w:cs="宋体"/>
          <w:sz w:val="24"/>
          <w:szCs w:val="24"/>
          <w:lang w:val="en-US" w:eastAsia="zh-CN"/>
        </w:rPr>
        <w:t>何颖</w:t>
      </w:r>
      <w:r>
        <w:rPr>
          <w:rFonts w:hint="eastAsia" w:ascii="宋体" w:hAnsi="宋体" w:eastAsia="宋体" w:cs="宋体"/>
          <w:sz w:val="24"/>
          <w:szCs w:val="24"/>
          <w:lang w:val="en-US" w:eastAsia="zh-CN"/>
        </w:rPr>
        <w:t>、张艳杰、代晓霜等</w:t>
      </w:r>
      <w:r>
        <w:rPr>
          <w:rFonts w:hint="default" w:ascii="宋体" w:hAnsi="宋体" w:eastAsia="宋体" w:cs="宋体"/>
          <w:sz w:val="24"/>
          <w:szCs w:val="24"/>
          <w:lang w:val="en-US" w:eastAsia="zh-CN"/>
        </w:rPr>
        <w:t>。这些单位和专家在益生菌研究、食品营养、医学健康等领域具有深厚的专业背景和丰富的实践经验，为标准的科学性、实用性和权威性提供了有力保障。</w:t>
      </w:r>
    </w:p>
    <w:p w14:paraId="21AF6679">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（三）主要工作及其他工作</w:t>
      </w:r>
    </w:p>
    <w:p w14:paraId="4CD08B09">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default" w:ascii="宋体" w:hAnsi="宋体" w:eastAsia="宋体" w:cs="宋体"/>
          <w:sz w:val="24"/>
          <w:szCs w:val="24"/>
          <w:lang w:val="en-US" w:eastAsia="zh-CN"/>
        </w:rPr>
        <w:t>资料收集与研究</w:t>
      </w:r>
    </w:p>
    <w:p w14:paraId="4C5ADAA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bookmarkStart w:id="0" w:name="_GoBack"/>
      <w:bookmarkEnd w:id="0"/>
      <w:r>
        <w:rPr>
          <w:rFonts w:hint="default" w:ascii="宋体" w:hAnsi="宋体" w:eastAsia="宋体" w:cs="宋体"/>
          <w:sz w:val="24"/>
          <w:szCs w:val="24"/>
          <w:lang w:val="en-US" w:eastAsia="zh-CN"/>
        </w:rPr>
        <w:t>广泛收集国内外有关益生菌在肥胖及其代谢综合征中应用的研究文献、法规标准和技术资料，为标准的制定提供理论基础。</w:t>
      </w:r>
    </w:p>
    <w:p w14:paraId="7A3E6306">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调研与分析</w:t>
      </w:r>
    </w:p>
    <w:p w14:paraId="4F3CC1B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对市场上现有益生菌制剂及相关产品进行调研，分析其在肥胖及代谢综合征干预中的实际应用情况和效果，了解行业现状和需求。</w:t>
      </w:r>
    </w:p>
    <w:p w14:paraId="10E568E1">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标准草案起草</w:t>
      </w:r>
    </w:p>
    <w:p w14:paraId="4DE62E0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结合收集到的资料和调研结果，按照GB/T 1.1—2020《标准化工作导则 第1部分：标准化文件的结构和起草规则》的规定，起草了本标准草案，明确了益生菌在肥胖及其代谢综合征中功效评价的术语和定义、评价原则、评价流程、评价指标、人体试验法、动物试验法、产品技术要求、试验报告要求及评价结果等内容。</w:t>
      </w:r>
    </w:p>
    <w:p w14:paraId="505AD5F2">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立项报批材料准备</w:t>
      </w:r>
    </w:p>
    <w:p w14:paraId="63EA169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整理完善标准立项申报材料，包括立项申请表、编制说明（含背景、目的、技术路线）、标准草案、调研分析报告、参考文献清单等。组织专家对材料进行预审核，修正 “水源保护措施表述模糊”“微生物指标未明确商业无菌检测细节” 等问题，确保材料充分体现标准制定的必要性与可行性，为立项审批提供支撑。</w:t>
      </w:r>
    </w:p>
    <w:p w14:paraId="1C1484BB">
      <w:pPr>
        <w:numPr>
          <w:ilvl w:val="0"/>
          <w:numId w:val="4"/>
        </w:numPr>
        <w:spacing w:line="360" w:lineRule="auto"/>
        <w:ind w:left="0" w:leftChars="0" w:firstLine="480" w:firstLineChars="200"/>
        <w:jc w:val="left"/>
        <w:rPr>
          <w:rFonts w:hint="eastAsia" w:ascii="宋体" w:hAnsi="宋体"/>
          <w:sz w:val="24"/>
          <w:szCs w:val="24"/>
        </w:rPr>
      </w:pPr>
      <w:r>
        <w:rPr>
          <w:rFonts w:hint="eastAsia" w:ascii="宋体" w:hAnsi="宋体"/>
          <w:sz w:val="24"/>
          <w:szCs w:val="24"/>
        </w:rPr>
        <w:t>立项审查</w:t>
      </w:r>
    </w:p>
    <w:p w14:paraId="494DAB0E">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2025年</w:t>
      </w:r>
      <w:r>
        <w:rPr>
          <w:rFonts w:hint="eastAsia" w:ascii="宋体" w:hAnsi="宋体"/>
          <w:sz w:val="24"/>
          <w:szCs w:val="24"/>
          <w:lang w:val="en-US" w:eastAsia="zh-CN"/>
        </w:rPr>
        <w:t>5</w:t>
      </w:r>
      <w:r>
        <w:rPr>
          <w:rFonts w:hint="eastAsia" w:ascii="宋体" w:hAnsi="宋体"/>
          <w:sz w:val="24"/>
          <w:szCs w:val="24"/>
        </w:rPr>
        <w:t>月</w:t>
      </w:r>
      <w:r>
        <w:rPr>
          <w:rFonts w:hint="eastAsia" w:ascii="宋体" w:hAnsi="宋体"/>
          <w:sz w:val="24"/>
          <w:szCs w:val="24"/>
          <w:lang w:val="en-US" w:eastAsia="zh-CN"/>
        </w:rPr>
        <w:t>20</w:t>
      </w:r>
      <w:r>
        <w:rPr>
          <w:rFonts w:hint="eastAsia" w:ascii="宋体" w:hAnsi="宋体"/>
          <w:sz w:val="24"/>
          <w:szCs w:val="24"/>
        </w:rPr>
        <w:t>日（周</w:t>
      </w:r>
      <w:r>
        <w:rPr>
          <w:rFonts w:hint="eastAsia" w:ascii="宋体" w:hAnsi="宋体"/>
          <w:sz w:val="24"/>
          <w:szCs w:val="24"/>
          <w:lang w:val="en-US" w:eastAsia="zh-CN"/>
        </w:rPr>
        <w:t>二</w:t>
      </w:r>
      <w:r>
        <w:rPr>
          <w:rFonts w:hint="eastAsia" w:ascii="宋体" w:hAnsi="宋体"/>
          <w:sz w:val="24"/>
          <w:szCs w:val="24"/>
        </w:rPr>
        <w:t>）</w:t>
      </w:r>
      <w:r>
        <w:rPr>
          <w:rFonts w:hint="eastAsia" w:ascii="宋体" w:hAnsi="宋体"/>
          <w:sz w:val="24"/>
          <w:szCs w:val="24"/>
          <w:lang w:val="en-US" w:eastAsia="zh-CN"/>
        </w:rPr>
        <w:t>9</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0～1</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0，通过“腾讯会议”（会议ID：</w:t>
      </w:r>
      <w:r>
        <w:rPr>
          <w:rFonts w:hint="eastAsia" w:asciiTheme="minorEastAsia" w:hAnsiTheme="minorEastAsia" w:cstheme="minorEastAsia"/>
          <w:b w:val="0"/>
          <w:bCs w:val="0"/>
          <w:sz w:val="24"/>
          <w:szCs w:val="24"/>
          <w:lang w:val="en-US" w:eastAsia="zh-CN"/>
        </w:rPr>
        <w:t>814-581-595</w:t>
      </w:r>
      <w:r>
        <w:rPr>
          <w:rFonts w:hint="eastAsia" w:ascii="宋体" w:hAnsi="宋体"/>
          <w:sz w:val="24"/>
          <w:szCs w:val="24"/>
        </w:rPr>
        <w:t>）中国食品药品企业质量安全促进组织召开立项审查会，邀请相关领域专家组成评审组，对标准项目的科学性、必要性、可操作性、技术内容和结构框架等进行全面评审。与会专家深入细致讨论，提出修改意见和建议，并集体商议及投票表决，一致同意该团体标准立项。随即报请促进会批准立项。</w:t>
      </w:r>
    </w:p>
    <w:p w14:paraId="4B7BA672">
      <w:pPr>
        <w:numPr>
          <w:ilvl w:val="0"/>
          <w:numId w:val="4"/>
        </w:numPr>
        <w:spacing w:line="360" w:lineRule="auto"/>
        <w:ind w:left="0" w:leftChars="0" w:firstLine="480" w:firstLineChars="200"/>
        <w:jc w:val="left"/>
        <w:rPr>
          <w:rFonts w:hint="eastAsia" w:ascii="宋体" w:hAnsi="宋体"/>
          <w:sz w:val="24"/>
          <w:szCs w:val="24"/>
        </w:rPr>
      </w:pPr>
      <w:r>
        <w:rPr>
          <w:rFonts w:hint="eastAsia" w:ascii="宋体" w:hAnsi="宋体"/>
          <w:sz w:val="24"/>
          <w:szCs w:val="24"/>
        </w:rPr>
        <w:t>标准草案完善</w:t>
      </w:r>
    </w:p>
    <w:p w14:paraId="3D1931DB">
      <w:pPr>
        <w:numPr>
          <w:ilvl w:val="0"/>
          <w:numId w:val="0"/>
        </w:num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sz w:val="24"/>
          <w:szCs w:val="24"/>
        </w:rPr>
        <w:t>根据立项审查会专家提出的意见和建议，起草工作组逐条研究、充分论证，对标准文本进行系统性修改完善。修改完成后，在起草单位内部组织召开专家论证会，邀请行业权威专家对修改后的标准文本进行二次审核，重点核查技术指标的合理性、文本表述的规范性以及修改内容的完整性。经过多轮研讨和修改完善，最终形成标准征求意见稿，并上报促进会审核并公开征求意见。</w:t>
      </w:r>
    </w:p>
    <w:p w14:paraId="6B1C4333">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标准编制原则和确定标准主要内容及其论据，如项目的社会意义和经济性、技术指标、性能要求、检验方法、检验规则等；</w:t>
      </w:r>
    </w:p>
    <w:p w14:paraId="3FB946E1">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（一）编制原则</w:t>
      </w:r>
    </w:p>
    <w:p w14:paraId="283EE34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1.科学性</w:t>
      </w:r>
    </w:p>
    <w:p w14:paraId="0FD1DA2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标准内容以科学研究为基础，确保评价方法和指标的科学性和准确性。优先采用随机、双盲、安慰剂对照设计（RCT）等科学严谨的试验方法，以保证评价结果的可靠性。</w:t>
      </w:r>
    </w:p>
    <w:p w14:paraId="7F172A5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2.实用性</w:t>
      </w:r>
    </w:p>
    <w:p w14:paraId="3E23406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结合实际应用需求，制定可操作性强的评价流程和指标体系，为益生菌制剂的研发、生产和应用提供明确的指导。</w:t>
      </w:r>
    </w:p>
    <w:p w14:paraId="1960345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lang w:val="en-US" w:eastAsia="zh-CN"/>
        </w:rPr>
        <w:t>规范性</w:t>
      </w:r>
    </w:p>
    <w:p w14:paraId="50AF1E5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严格按照GB/T 1.1—2020的规定起草标准，确保标准的格式和内容符合标准化要求。</w:t>
      </w:r>
    </w:p>
    <w:p w14:paraId="69F4C80D">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lang w:val="en-US" w:eastAsia="zh-CN"/>
        </w:rPr>
        <w:t>菌株特异性</w:t>
      </w:r>
    </w:p>
    <w:p w14:paraId="328C6A9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明确标注益生菌菌株号，强调菌株的特异性和功效差异，为产品的科学研发和质量控制提供依据。</w:t>
      </w:r>
    </w:p>
    <w:p w14:paraId="0D620A03">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（二）主要内容及其论据</w:t>
      </w:r>
    </w:p>
    <w:p w14:paraId="487D4381">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1.范围</w:t>
      </w:r>
    </w:p>
    <w:p w14:paraId="70FC5BC1">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文件规定了益生菌在肥胖及其代谢综合征中功效评价的术语和定义、评价原则、评价流程、评价指标、人体试验法、动物试验法、产品技术要求、试验报告要求及评价结果。适用于益生菌制剂（食品、药品或膳食补充剂）对肥胖及相关代谢异常（如胰岛素抵抗、血脂异常等）改善作用的科学评价。这一范围的确定是基于当前益生菌在肥胖及代谢综合征干预中的应用现状和研究进展，旨在为相关产品的功效评价提供全面、系统的指导。</w:t>
      </w:r>
    </w:p>
    <w:p w14:paraId="40948D0F">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2.规范性引用文件</w:t>
      </w:r>
    </w:p>
    <w:p w14:paraId="05A195DF">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引用了GB 14924.3《实验动物 配合饲料营养成分》等国家标准，为标准的实施提供了必要的技术依据和规范支持。</w:t>
      </w:r>
    </w:p>
    <w:p w14:paraId="598F1276">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3.术语和定义</w:t>
      </w:r>
    </w:p>
    <w:p w14:paraId="513C82F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明确了益生菌、肥胖等关键术语的定义，为标准的准确理解和实施奠定了基础。</w:t>
      </w:r>
    </w:p>
    <w:p w14:paraId="1DCAEF04">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4.评价原则</w:t>
      </w:r>
    </w:p>
    <w:p w14:paraId="18DAEDE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强调科学性、菌株特异性、剂量与周期等原则，确保评价过程的科学性和严谨性。如人体试验推荐剂量不低于1袋，干预周期不少于90天，这一规定是基于现有研究中常见的试验设计和干预周期，以保证能够充分观察到益生菌的潜在效果。</w:t>
      </w:r>
    </w:p>
    <w:p w14:paraId="04C73B88">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5.评价流程</w:t>
      </w:r>
    </w:p>
    <w:p w14:paraId="64DC85D5">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详细规定了从筛选受试者或动物模型到数据统计与分析的全过程，包括基线评估、干预实施、定期监测等环节，为评价工作的规范化开展提供了清晰的路径。</w:t>
      </w:r>
    </w:p>
    <w:p w14:paraId="4676F35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6.</w:t>
      </w:r>
      <w:r>
        <w:rPr>
          <w:rFonts w:hint="eastAsia" w:ascii="宋体" w:hAnsi="宋体" w:eastAsia="宋体" w:cs="宋体"/>
          <w:sz w:val="24"/>
          <w:szCs w:val="24"/>
          <w:lang w:val="en-US" w:eastAsia="zh-CN"/>
        </w:rPr>
        <w:t>评价指标</w:t>
      </w:r>
    </w:p>
    <w:p w14:paraId="0963224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涵盖了体重及体脂指标、代谢指标、炎症指标和肠道菌群指标等多个方面，全面反映了益生菌对肥胖及代谢综合征的潜在影响。这些指标的选择是基于肥胖及代谢综合征的病理生理机制和现有的临床研究证据，能够从多个维度评估益生菌的功效。</w:t>
      </w:r>
    </w:p>
    <w:p w14:paraId="3612C94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7.</w:t>
      </w:r>
      <w:r>
        <w:rPr>
          <w:rFonts w:hint="eastAsia" w:ascii="宋体" w:hAnsi="宋体" w:eastAsia="宋体" w:cs="宋体"/>
          <w:sz w:val="24"/>
          <w:szCs w:val="24"/>
          <w:lang w:val="en-US" w:eastAsia="zh-CN"/>
        </w:rPr>
        <w:t>人体试验法和动物试验法</w:t>
      </w:r>
    </w:p>
    <w:p w14:paraId="5DC5F4D6">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别对试验设计、受试者选择、试验要求及观测指标等进行了详细规定，为开展人体和动物试验提供了具体的操作指南。例如，人体试验采用随机、双盲、安慰剂对照设计，样本量每组不少于30人，试验周期不少于90天，这些要求能够确保试验结果的科学性和可靠性；动物试验中对肥胖模型的建立、剂量设计、试验动物选择及观测指标等进行了明确，为动物试验的开展提供了规范依据。</w:t>
      </w:r>
    </w:p>
    <w:p w14:paraId="3C3F4C0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8.</w:t>
      </w:r>
      <w:r>
        <w:rPr>
          <w:rFonts w:hint="eastAsia" w:ascii="宋体" w:hAnsi="宋体" w:eastAsia="宋体" w:cs="宋体"/>
          <w:sz w:val="24"/>
          <w:szCs w:val="24"/>
          <w:lang w:val="en-US" w:eastAsia="zh-CN"/>
        </w:rPr>
        <w:t>产品技术要求</w:t>
      </w:r>
    </w:p>
    <w:p w14:paraId="526AFC02">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益生菌产品的菌株要求、活菌数要求、标签标识及功效宣称等进行了规定，旨在规范益生菌产品的质量和安全性，为消费者提供科学、准确的产品信息。例如，要求产品标示活菌数不低于1×10⁹CFU/天/份，保质期内益生菌活菌数量不应低于10⁷CFU/g（ml），这些要求能够确保产品在生产和储存过程中保持有效的活菌数量，从而保证其功效。</w:t>
      </w:r>
    </w:p>
    <w:p w14:paraId="5122A25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9.</w:t>
      </w:r>
      <w:r>
        <w:rPr>
          <w:rFonts w:hint="eastAsia" w:ascii="宋体" w:hAnsi="宋体" w:eastAsia="宋体" w:cs="宋体"/>
          <w:sz w:val="24"/>
          <w:szCs w:val="24"/>
          <w:lang w:val="en-US" w:eastAsia="zh-CN"/>
        </w:rPr>
        <w:t>试验报告要求：</w:t>
      </w:r>
    </w:p>
    <w:p w14:paraId="7ECA84C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明确了试验报告应包含的基本内容、数据呈现方式及不良反应记录要求，确保试验报告的完整性和可追溯性。</w:t>
      </w:r>
    </w:p>
    <w:p w14:paraId="66EB731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10.</w:t>
      </w:r>
      <w:r>
        <w:rPr>
          <w:rFonts w:hint="eastAsia" w:ascii="宋体" w:hAnsi="宋体" w:eastAsia="宋体" w:cs="宋体"/>
          <w:sz w:val="24"/>
          <w:szCs w:val="24"/>
          <w:lang w:val="en-US" w:eastAsia="zh-CN"/>
        </w:rPr>
        <w:t>评价结果</w:t>
      </w:r>
    </w:p>
    <w:p w14:paraId="2882E28D">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sz w:val="24"/>
          <w:szCs w:val="24"/>
        </w:rPr>
      </w:pPr>
      <w:r>
        <w:rPr>
          <w:rFonts w:hint="eastAsia" w:ascii="宋体" w:hAnsi="宋体" w:eastAsia="宋体" w:cs="宋体"/>
          <w:sz w:val="24"/>
          <w:szCs w:val="24"/>
          <w:lang w:val="en-US" w:eastAsia="zh-CN"/>
        </w:rPr>
        <w:t>明确了有效和无效的判定标准，为评价益生菌功效提供了明确的依据。例如，与安慰剂组或模型对照组相比，益生菌组在体重、BMI、体脂率等指标上至少有一项明显下降，且血糖、血脂代谢指标中至少两项有显著改善，同时炎症指标明显降低，肠道菌群多样性增加等，才可判定为有效。这一判定标准综合考虑了肥胖及代谢综合征的多方面指标，能够全面、客观地评价益生菌的功效。</w:t>
      </w:r>
    </w:p>
    <w:p w14:paraId="51AD8AAC">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与现行法律法规、强制性标准和其他有关标准的关系，采用国际标准的程度及水平的简要说明；</w:t>
      </w:r>
    </w:p>
    <w:p w14:paraId="41E81BF1">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（一）与现行法律法规、强制性标准的关系</w:t>
      </w:r>
    </w:p>
    <w:p w14:paraId="1A70BB30">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在制定过程中严格遵守国家相关法律法规和强制性标准的要求，确保标准的合法性和合规性。同时，本标准的实施不会与现行法律法规和强制性标准产生冲突，而是为益生菌在肥胖及其代谢综合征中的功效评价提供了更具体、更细化的技术指导，有助于推动行业的规范化发展。</w:t>
      </w:r>
    </w:p>
    <w:p w14:paraId="7EDFC850">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（二）与其他有关标准的关系</w:t>
      </w:r>
    </w:p>
    <w:p w14:paraId="26E37D3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与现有的相关标准相互补充。在评价指标方面，结合了临床常用的体重、体脂、代谢、炎症等指标，同时增加了肠道菌群指标，丰富了评价体系。在试验方法方面，既参考了常见的临床试验设计，又结合了动物试验的特点，为不同研究需求提供了多样化的选择。此外，本标准还对产品技术要求进行了详细规定，与相关产品质量标准相衔接，为益生菌产品的研发、生产和应用提供了全面的规范。</w:t>
      </w:r>
    </w:p>
    <w:p w14:paraId="5E9BB6E5">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（三）采用国际标准的程度及水平</w:t>
      </w:r>
    </w:p>
    <w:p w14:paraId="2FC609E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在制定过程中参考了国际上有关益生菌研究和应用的先进经验和研究成果，结合我国实际情况进行了适当的调整和补充。在菌株特异性方面，强调了明确标注益生菌菌株号的重要性，并在附录中列举了一些具有明确临床效果的益生菌菌株号，这与国际上对益生菌菌株特异性的重视相一致。在评价指标和试验方法方面，也借鉴了国际上常用的指标和方法，并根据我国的研究现状和实际需求进行了优化。总体而言，本标准在技术水平和科学性上达到了国内先进水平，并与国际先进水平接轨。</w:t>
      </w:r>
    </w:p>
    <w:p w14:paraId="7CBA9495">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p>
    <w:p w14:paraId="7728924E">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四、重大分歧意见的处理经过和依据；</w:t>
      </w:r>
    </w:p>
    <w:p w14:paraId="5816EB39">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标准编制过程中，起草组内部未出现重大分歧意见。起草组成员均来自相关领域的权威机构和企业，具有丰富的专业知识和实践经验。在标准起草过程中，起草组多次组织内部讨论和专家咨询，充分听取各方意见，确保标准内容的科学性、合理性和可操作性。对于一些具体条款的制定，起草组在充分调研和论证的基础上，结合国内外相关研究进展和行业实际情况，达成了共识。</w:t>
      </w:r>
    </w:p>
    <w:p w14:paraId="2CE41AAD">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五、贯彻促进会标准的要求和措施建议（包括组织措施、技术措施、过渡办法等内容）、标准实施建议等；</w:t>
      </w:r>
    </w:p>
    <w:p w14:paraId="33364005">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（一）贯彻促进会标准的要求</w:t>
      </w:r>
    </w:p>
    <w:p w14:paraId="3894BC8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1.加强宣传推广</w:t>
      </w:r>
    </w:p>
    <w:p w14:paraId="612240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通过多种渠道，如行业会议、学术研讨会、网络平台等，广泛宣传本标准的重要性和具体内容，提高行业对标准的认知度和重视程度。</w:t>
      </w:r>
    </w:p>
    <w:p w14:paraId="4FF7B8A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开展培训活动</w:t>
      </w:r>
    </w:p>
    <w:p w14:paraId="029F59D0">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组织相关专家和技术人员，针对标准的主要内容、评价方法、试验操作等开展培训活动，帮助企业和研究人员更好地理解和应用标准。</w:t>
      </w:r>
    </w:p>
    <w:p w14:paraId="4526458D">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（二）措施建议</w:t>
      </w:r>
    </w:p>
    <w:p w14:paraId="0D56751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1.组织措施</w:t>
      </w:r>
    </w:p>
    <w:p w14:paraId="1FE8F5A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成立专门的标准实施推进小组，负责标准的宣传、培训、监督等工作，确保各项工作有序推进。</w:t>
      </w:r>
    </w:p>
    <w:p w14:paraId="0A985C67">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技术措施</w:t>
      </w:r>
    </w:p>
    <w:p w14:paraId="314C0CEA">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建立标准实施的技术支持平台，为企业和研究人员提供技术咨询、试验指导等服务，帮助解决标准实施过程中遇到的技术问题。</w:t>
      </w:r>
    </w:p>
    <w:p w14:paraId="1B11CAE9">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3.过渡办法</w:t>
      </w:r>
    </w:p>
    <w:p w14:paraId="616212FC">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已上市的益生菌产品，建议企业按照本标准的要求逐步完善产品功效评价，过渡期可设定为一年。在过渡期内，企业应积极开展相关试验，补充完善产品功效评价资料，并按照本标准的要求对产品标签、说明书等进行更新。</w:t>
      </w:r>
    </w:p>
    <w:p w14:paraId="64C73AA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lang w:val="en-US" w:eastAsia="zh-CN"/>
        </w:rPr>
        <w:t>激励措施：</w:t>
      </w:r>
    </w:p>
    <w:p w14:paraId="4F53C9D8">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对于积极贯彻本标准的企业，建议在行业评选、品牌推广等方面给予优先考虑和支持，激励企业主动提升产品质量和管理水平。</w:t>
      </w:r>
    </w:p>
    <w:p w14:paraId="638E3EEC">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（三）标准实施建议</w:t>
      </w:r>
    </w:p>
    <w:p w14:paraId="28E2287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1.企业层面</w:t>
      </w:r>
    </w:p>
    <w:p w14:paraId="197E75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益生菌生产企业应严格按照本标准的要求，规范产品研发、生产和销售行为，确保产品质量和功效。同时，企业应加强与科研机构的合作，积极开展益生菌功效研究，为产品升级和创新提供技术支持。</w:t>
      </w:r>
    </w:p>
    <w:p w14:paraId="4CF01C31">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2.行业层面</w:t>
      </w:r>
    </w:p>
    <w:p w14:paraId="5F19EE5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组织企业开展标准宣贯活动，推动标准的广泛实施。同时，行业协会应加强对行业的自律管理，建立行业诚信体系，对违反标准的企业进行曝光和惩戒，维护市场秩序。</w:t>
      </w:r>
    </w:p>
    <w:p w14:paraId="0BB9D373">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六、其他应予说明的事项。</w:t>
      </w:r>
    </w:p>
    <w:p w14:paraId="7D9FD1D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标准的制定旨在规范益生菌在肥胖及其代谢综合征中的功效评价，提高产品质量和安全性，增强消费者信任度，促进益生菌产业的可持续发展。但益生菌的功效评价是一个复杂的科学问题，仍有许多问题需要进一步研究和探讨。如不同个体对益生菌的反应可能存在差异，如何更准确地评估个体差异对评价结果的影响；益生菌与其他治疗方法的联合应用效果如何，如何制定更合理的联合治疗方案等。因此，本标准的实施是一个动态的过程，需要根据科学研究的进展和行业发展的实际情况，及时进行修订和完善，以更好地适应市场需求和保障消费者健康。</w:t>
      </w:r>
    </w:p>
    <w:sectPr>
      <w:footerReference r:id="rId3" w:type="default"/>
      <w:pgSz w:w="11906" w:h="16838"/>
      <w:pgMar w:top="1418"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2311958"/>
      <w:docPartObj>
        <w:docPartGallery w:val="autotext"/>
      </w:docPartObj>
    </w:sdtPr>
    <w:sdtContent>
      <w:p w14:paraId="329F9801">
        <w:pPr>
          <w:pStyle w:val="5"/>
          <w:jc w:val="center"/>
        </w:pPr>
        <w:r>
          <w:fldChar w:fldCharType="begin"/>
        </w:r>
        <w:r>
          <w:instrText xml:space="preserve">PAGE   \* MERGEFORMAT</w:instrText>
        </w:r>
        <w:r>
          <w:fldChar w:fldCharType="separate"/>
        </w:r>
        <w:r>
          <w:rPr>
            <w:lang w:val="zh-CN"/>
          </w:rPr>
          <w:t>5</w:t>
        </w:r>
        <w:r>
          <w:fldChar w:fldCharType="end"/>
        </w:r>
      </w:p>
    </w:sdtContent>
  </w:sdt>
  <w:p w14:paraId="7EEB710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F34FB"/>
    <w:multiLevelType w:val="singleLevel"/>
    <w:tmpl w:val="DA0F34FB"/>
    <w:lvl w:ilvl="0" w:tentative="0">
      <w:start w:val="4"/>
      <w:numFmt w:val="decimal"/>
      <w:suff w:val="space"/>
      <w:lvlText w:val="%1."/>
      <w:lvlJc w:val="left"/>
    </w:lvl>
  </w:abstractNum>
  <w:abstractNum w:abstractNumId="1">
    <w:nsid w:val="44C50F90"/>
    <w:multiLevelType w:val="multilevel"/>
    <w:tmpl w:val="44C50F90"/>
    <w:lvl w:ilvl="0" w:tentative="0">
      <w:start w:val="1"/>
      <w:numFmt w:val="lowerLetter"/>
      <w:pStyle w:val="19"/>
      <w:lvlText w:val="%1)"/>
      <w:lvlJc w:val="left"/>
      <w:pPr>
        <w:tabs>
          <w:tab w:val="left" w:pos="1136"/>
        </w:tabs>
        <w:ind w:left="1136" w:hanging="426"/>
      </w:pPr>
      <w:rPr>
        <w:rFonts w:hint="eastAsia" w:ascii="宋体" w:hAnsi="Times New Roman" w:eastAsia="宋体"/>
        <w:sz w:val="21"/>
      </w:rPr>
    </w:lvl>
    <w:lvl w:ilvl="1" w:tentative="0">
      <w:start w:val="1"/>
      <w:numFmt w:val="decimal"/>
      <w:pStyle w:val="17"/>
      <w:lvlText w:val="%2)"/>
      <w:lvlJc w:val="left"/>
      <w:pPr>
        <w:tabs>
          <w:tab w:val="left" w:pos="1560"/>
        </w:tabs>
        <w:ind w:left="1560" w:hanging="425"/>
      </w:pPr>
      <w:rPr>
        <w:rFonts w:hint="eastAsia" w:ascii="宋体" w:hAnsi="Times New Roman" w:eastAsia="宋体"/>
        <w:sz w:val="21"/>
      </w:rPr>
    </w:lvl>
    <w:lvl w:ilvl="2" w:tentative="0">
      <w:start w:val="1"/>
      <w:numFmt w:val="decimal"/>
      <w:pStyle w:val="18"/>
      <w:lvlText w:val="(%3)"/>
      <w:lvlJc w:val="left"/>
      <w:pPr>
        <w:ind w:left="1985" w:hanging="425"/>
      </w:pPr>
      <w:rPr>
        <w:rFonts w:hint="eastAsia" w:ascii="宋体" w:hAnsi="Times New Roman" w:eastAsia="宋体"/>
        <w:sz w:val="21"/>
      </w:rPr>
    </w:lvl>
    <w:lvl w:ilvl="3" w:tentative="0">
      <w:start w:val="1"/>
      <w:numFmt w:val="decimal"/>
      <w:lvlText w:val="%4."/>
      <w:lvlJc w:val="left"/>
      <w:pPr>
        <w:tabs>
          <w:tab w:val="left" w:pos="2384"/>
        </w:tabs>
        <w:ind w:left="2383" w:hanging="419"/>
      </w:pPr>
      <w:rPr>
        <w:rFonts w:hint="eastAsia"/>
      </w:rPr>
    </w:lvl>
    <w:lvl w:ilvl="4" w:tentative="0">
      <w:start w:val="1"/>
      <w:numFmt w:val="lowerLetter"/>
      <w:lvlText w:val="%5)"/>
      <w:lvlJc w:val="left"/>
      <w:pPr>
        <w:tabs>
          <w:tab w:val="left" w:pos="2804"/>
        </w:tabs>
        <w:ind w:left="2803" w:hanging="419"/>
      </w:pPr>
      <w:rPr>
        <w:rFonts w:hint="eastAsia"/>
      </w:rPr>
    </w:lvl>
    <w:lvl w:ilvl="5" w:tentative="0">
      <w:start w:val="1"/>
      <w:numFmt w:val="lowerRoman"/>
      <w:lvlText w:val="%6."/>
      <w:lvlJc w:val="right"/>
      <w:pPr>
        <w:tabs>
          <w:tab w:val="left" w:pos="3224"/>
        </w:tabs>
        <w:ind w:left="3223" w:hanging="419"/>
      </w:pPr>
      <w:rPr>
        <w:rFonts w:hint="eastAsia"/>
      </w:rPr>
    </w:lvl>
    <w:lvl w:ilvl="6" w:tentative="0">
      <w:start w:val="1"/>
      <w:numFmt w:val="decimal"/>
      <w:lvlText w:val="%7."/>
      <w:lvlJc w:val="left"/>
      <w:pPr>
        <w:tabs>
          <w:tab w:val="left" w:pos="3644"/>
        </w:tabs>
        <w:ind w:left="3643" w:hanging="419"/>
      </w:pPr>
      <w:rPr>
        <w:rFonts w:hint="eastAsia"/>
      </w:rPr>
    </w:lvl>
    <w:lvl w:ilvl="7" w:tentative="0">
      <w:start w:val="1"/>
      <w:numFmt w:val="lowerLetter"/>
      <w:lvlText w:val="%8)"/>
      <w:lvlJc w:val="left"/>
      <w:pPr>
        <w:tabs>
          <w:tab w:val="left" w:pos="4064"/>
        </w:tabs>
        <w:ind w:left="4063" w:hanging="419"/>
      </w:pPr>
      <w:rPr>
        <w:rFonts w:hint="eastAsia"/>
      </w:rPr>
    </w:lvl>
    <w:lvl w:ilvl="8" w:tentative="0">
      <w:start w:val="1"/>
      <w:numFmt w:val="lowerRoman"/>
      <w:lvlText w:val="%9."/>
      <w:lvlJc w:val="right"/>
      <w:pPr>
        <w:tabs>
          <w:tab w:val="left" w:pos="4484"/>
        </w:tabs>
        <w:ind w:left="4483" w:hanging="419"/>
      </w:pPr>
      <w:rPr>
        <w:rFonts w:hint="eastAsia"/>
      </w:rPr>
    </w:lvl>
  </w:abstractNum>
  <w:abstractNum w:abstractNumId="2">
    <w:nsid w:val="4C118C1C"/>
    <w:multiLevelType w:val="singleLevel"/>
    <w:tmpl w:val="4C118C1C"/>
    <w:lvl w:ilvl="0" w:tentative="0">
      <w:start w:val="1"/>
      <w:numFmt w:val="chineseCounting"/>
      <w:suff w:val="nothing"/>
      <w:lvlText w:val="%1、"/>
      <w:lvlJc w:val="left"/>
      <w:rPr>
        <w:rFonts w:hint="eastAsia"/>
      </w:rPr>
    </w:lvl>
  </w:abstractNum>
  <w:abstractNum w:abstractNumId="3">
    <w:nsid w:val="6DBF04F4"/>
    <w:multiLevelType w:val="multilevel"/>
    <w:tmpl w:val="6DBF04F4"/>
    <w:lvl w:ilvl="0" w:tentative="0">
      <w:start w:val="1"/>
      <w:numFmt w:val="none"/>
      <w:pStyle w:val="2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hMDAyZTdmMTgyM2M5ZTlkNWI5NTNhNGY2ODgyZDAifQ=="/>
  </w:docVars>
  <w:rsids>
    <w:rsidRoot w:val="00D3694F"/>
    <w:rsid w:val="00002B66"/>
    <w:rsid w:val="00006927"/>
    <w:rsid w:val="00011514"/>
    <w:rsid w:val="000149FA"/>
    <w:rsid w:val="00016EB1"/>
    <w:rsid w:val="0002448E"/>
    <w:rsid w:val="000257BF"/>
    <w:rsid w:val="0003291E"/>
    <w:rsid w:val="0003414F"/>
    <w:rsid w:val="000450F3"/>
    <w:rsid w:val="00047C8A"/>
    <w:rsid w:val="00051725"/>
    <w:rsid w:val="00060DD3"/>
    <w:rsid w:val="000657F4"/>
    <w:rsid w:val="00067A90"/>
    <w:rsid w:val="00080F32"/>
    <w:rsid w:val="00081E22"/>
    <w:rsid w:val="000822DD"/>
    <w:rsid w:val="00084FEC"/>
    <w:rsid w:val="0009058E"/>
    <w:rsid w:val="00093F9B"/>
    <w:rsid w:val="000A2436"/>
    <w:rsid w:val="000A370F"/>
    <w:rsid w:val="000A3F5C"/>
    <w:rsid w:val="000A64E6"/>
    <w:rsid w:val="000A7DD7"/>
    <w:rsid w:val="000B1D5A"/>
    <w:rsid w:val="000B57E7"/>
    <w:rsid w:val="000D1916"/>
    <w:rsid w:val="000D2072"/>
    <w:rsid w:val="000D2673"/>
    <w:rsid w:val="000D2F14"/>
    <w:rsid w:val="000D3497"/>
    <w:rsid w:val="000D573A"/>
    <w:rsid w:val="000E20F5"/>
    <w:rsid w:val="000E7236"/>
    <w:rsid w:val="000F13E5"/>
    <w:rsid w:val="0010543C"/>
    <w:rsid w:val="00115601"/>
    <w:rsid w:val="00124633"/>
    <w:rsid w:val="00133CDA"/>
    <w:rsid w:val="00133E81"/>
    <w:rsid w:val="00150696"/>
    <w:rsid w:val="001A1F57"/>
    <w:rsid w:val="001A65F0"/>
    <w:rsid w:val="001B268E"/>
    <w:rsid w:val="001C47F3"/>
    <w:rsid w:val="001D55BE"/>
    <w:rsid w:val="001E540D"/>
    <w:rsid w:val="002001A2"/>
    <w:rsid w:val="00205408"/>
    <w:rsid w:val="00205AC2"/>
    <w:rsid w:val="00206D2D"/>
    <w:rsid w:val="00206D7E"/>
    <w:rsid w:val="0021478F"/>
    <w:rsid w:val="0022770D"/>
    <w:rsid w:val="00227B9F"/>
    <w:rsid w:val="00232E4D"/>
    <w:rsid w:val="00234D4C"/>
    <w:rsid w:val="00241CA6"/>
    <w:rsid w:val="002454CE"/>
    <w:rsid w:val="00257079"/>
    <w:rsid w:val="00262FFD"/>
    <w:rsid w:val="002646E4"/>
    <w:rsid w:val="002756B8"/>
    <w:rsid w:val="0028298A"/>
    <w:rsid w:val="002B2014"/>
    <w:rsid w:val="002B34B7"/>
    <w:rsid w:val="002B4850"/>
    <w:rsid w:val="002C516B"/>
    <w:rsid w:val="002C75A9"/>
    <w:rsid w:val="002D275B"/>
    <w:rsid w:val="002E0936"/>
    <w:rsid w:val="002E286B"/>
    <w:rsid w:val="002E2A3E"/>
    <w:rsid w:val="002E4CA8"/>
    <w:rsid w:val="002F68EF"/>
    <w:rsid w:val="00301023"/>
    <w:rsid w:val="00303498"/>
    <w:rsid w:val="00305BE2"/>
    <w:rsid w:val="00313F66"/>
    <w:rsid w:val="00315633"/>
    <w:rsid w:val="00322BEC"/>
    <w:rsid w:val="00323048"/>
    <w:rsid w:val="003328BA"/>
    <w:rsid w:val="003366F0"/>
    <w:rsid w:val="00347F6C"/>
    <w:rsid w:val="00362A2F"/>
    <w:rsid w:val="00387A89"/>
    <w:rsid w:val="00387D70"/>
    <w:rsid w:val="00387E88"/>
    <w:rsid w:val="00390A04"/>
    <w:rsid w:val="0039151B"/>
    <w:rsid w:val="00393B94"/>
    <w:rsid w:val="00394AAA"/>
    <w:rsid w:val="00394EF3"/>
    <w:rsid w:val="003A0FAD"/>
    <w:rsid w:val="003A1EAD"/>
    <w:rsid w:val="003A67C1"/>
    <w:rsid w:val="003B12D1"/>
    <w:rsid w:val="003B6EB7"/>
    <w:rsid w:val="003E4016"/>
    <w:rsid w:val="003E53AE"/>
    <w:rsid w:val="003E76CD"/>
    <w:rsid w:val="003E7CFC"/>
    <w:rsid w:val="003F2731"/>
    <w:rsid w:val="003F3B0E"/>
    <w:rsid w:val="00402E80"/>
    <w:rsid w:val="00405D9F"/>
    <w:rsid w:val="004106A6"/>
    <w:rsid w:val="0041102B"/>
    <w:rsid w:val="00422FE6"/>
    <w:rsid w:val="00444A85"/>
    <w:rsid w:val="00453114"/>
    <w:rsid w:val="00454E14"/>
    <w:rsid w:val="00461E47"/>
    <w:rsid w:val="00471E90"/>
    <w:rsid w:val="00482380"/>
    <w:rsid w:val="004B2870"/>
    <w:rsid w:val="004B7FE0"/>
    <w:rsid w:val="004C19D6"/>
    <w:rsid w:val="004C3D4B"/>
    <w:rsid w:val="004C54EF"/>
    <w:rsid w:val="004D236D"/>
    <w:rsid w:val="004D331C"/>
    <w:rsid w:val="004E3172"/>
    <w:rsid w:val="004F1C5E"/>
    <w:rsid w:val="004F2E19"/>
    <w:rsid w:val="004F50A9"/>
    <w:rsid w:val="004F54E2"/>
    <w:rsid w:val="00500165"/>
    <w:rsid w:val="00501C49"/>
    <w:rsid w:val="005054C5"/>
    <w:rsid w:val="00505A31"/>
    <w:rsid w:val="00517E59"/>
    <w:rsid w:val="00527B3F"/>
    <w:rsid w:val="005464F0"/>
    <w:rsid w:val="00551F01"/>
    <w:rsid w:val="0056118E"/>
    <w:rsid w:val="00570975"/>
    <w:rsid w:val="00570E31"/>
    <w:rsid w:val="00577B99"/>
    <w:rsid w:val="00581460"/>
    <w:rsid w:val="005948BF"/>
    <w:rsid w:val="00595C00"/>
    <w:rsid w:val="005A451F"/>
    <w:rsid w:val="005A4994"/>
    <w:rsid w:val="005B2AF1"/>
    <w:rsid w:val="005B5B77"/>
    <w:rsid w:val="005C008E"/>
    <w:rsid w:val="005C0994"/>
    <w:rsid w:val="005C5C27"/>
    <w:rsid w:val="005D19C3"/>
    <w:rsid w:val="005D5F6C"/>
    <w:rsid w:val="005E2A01"/>
    <w:rsid w:val="005E57BC"/>
    <w:rsid w:val="005E77D7"/>
    <w:rsid w:val="005E7D9F"/>
    <w:rsid w:val="00600841"/>
    <w:rsid w:val="00601E12"/>
    <w:rsid w:val="00617C9D"/>
    <w:rsid w:val="006437EF"/>
    <w:rsid w:val="0064597B"/>
    <w:rsid w:val="00654305"/>
    <w:rsid w:val="00666F09"/>
    <w:rsid w:val="006729C5"/>
    <w:rsid w:val="006863EE"/>
    <w:rsid w:val="00690E36"/>
    <w:rsid w:val="006949D5"/>
    <w:rsid w:val="00697E45"/>
    <w:rsid w:val="006A28CF"/>
    <w:rsid w:val="006A4671"/>
    <w:rsid w:val="006A7031"/>
    <w:rsid w:val="006B7D60"/>
    <w:rsid w:val="006C014E"/>
    <w:rsid w:val="006C07CD"/>
    <w:rsid w:val="006C13B6"/>
    <w:rsid w:val="006C634E"/>
    <w:rsid w:val="006D3A53"/>
    <w:rsid w:val="006E4E11"/>
    <w:rsid w:val="00701503"/>
    <w:rsid w:val="00707E2D"/>
    <w:rsid w:val="00714DC1"/>
    <w:rsid w:val="00715CB0"/>
    <w:rsid w:val="007254F4"/>
    <w:rsid w:val="00730193"/>
    <w:rsid w:val="00731F16"/>
    <w:rsid w:val="00733281"/>
    <w:rsid w:val="007362F7"/>
    <w:rsid w:val="00751679"/>
    <w:rsid w:val="00757488"/>
    <w:rsid w:val="0076443A"/>
    <w:rsid w:val="007757F2"/>
    <w:rsid w:val="0077613C"/>
    <w:rsid w:val="00777772"/>
    <w:rsid w:val="00785909"/>
    <w:rsid w:val="00796F65"/>
    <w:rsid w:val="0079747D"/>
    <w:rsid w:val="00797BC3"/>
    <w:rsid w:val="007A0CA5"/>
    <w:rsid w:val="007A2E8B"/>
    <w:rsid w:val="007C7DD0"/>
    <w:rsid w:val="007D2209"/>
    <w:rsid w:val="007E5E39"/>
    <w:rsid w:val="007F69C1"/>
    <w:rsid w:val="007F79DF"/>
    <w:rsid w:val="00804741"/>
    <w:rsid w:val="008133E4"/>
    <w:rsid w:val="008139FA"/>
    <w:rsid w:val="00816EF7"/>
    <w:rsid w:val="00822AB2"/>
    <w:rsid w:val="008366A9"/>
    <w:rsid w:val="00840AC6"/>
    <w:rsid w:val="008647F5"/>
    <w:rsid w:val="0087167D"/>
    <w:rsid w:val="00880C4B"/>
    <w:rsid w:val="00883186"/>
    <w:rsid w:val="00886C65"/>
    <w:rsid w:val="00887CDE"/>
    <w:rsid w:val="008907BD"/>
    <w:rsid w:val="00891C3F"/>
    <w:rsid w:val="0089625D"/>
    <w:rsid w:val="008A0551"/>
    <w:rsid w:val="008A2CB9"/>
    <w:rsid w:val="008A794B"/>
    <w:rsid w:val="008A7B3D"/>
    <w:rsid w:val="008C0867"/>
    <w:rsid w:val="008C7000"/>
    <w:rsid w:val="008D2370"/>
    <w:rsid w:val="008E16BF"/>
    <w:rsid w:val="008E6656"/>
    <w:rsid w:val="008F2E17"/>
    <w:rsid w:val="00906FB1"/>
    <w:rsid w:val="00915D64"/>
    <w:rsid w:val="00915E01"/>
    <w:rsid w:val="00923C12"/>
    <w:rsid w:val="00925966"/>
    <w:rsid w:val="00926453"/>
    <w:rsid w:val="00931B03"/>
    <w:rsid w:val="00937FFD"/>
    <w:rsid w:val="00955B18"/>
    <w:rsid w:val="00961241"/>
    <w:rsid w:val="00970BC2"/>
    <w:rsid w:val="0097472A"/>
    <w:rsid w:val="00983F8B"/>
    <w:rsid w:val="00993AEE"/>
    <w:rsid w:val="00994C10"/>
    <w:rsid w:val="009A22EF"/>
    <w:rsid w:val="009A6853"/>
    <w:rsid w:val="009B2301"/>
    <w:rsid w:val="009B27E0"/>
    <w:rsid w:val="009B656B"/>
    <w:rsid w:val="009C7679"/>
    <w:rsid w:val="009F7566"/>
    <w:rsid w:val="00A07874"/>
    <w:rsid w:val="00A10641"/>
    <w:rsid w:val="00A11733"/>
    <w:rsid w:val="00A1180F"/>
    <w:rsid w:val="00A122A9"/>
    <w:rsid w:val="00A30535"/>
    <w:rsid w:val="00A433F0"/>
    <w:rsid w:val="00A443F0"/>
    <w:rsid w:val="00A477BA"/>
    <w:rsid w:val="00A55B9D"/>
    <w:rsid w:val="00A57743"/>
    <w:rsid w:val="00A645B1"/>
    <w:rsid w:val="00A647C7"/>
    <w:rsid w:val="00A64CF4"/>
    <w:rsid w:val="00A87941"/>
    <w:rsid w:val="00AC15DF"/>
    <w:rsid w:val="00AC34D5"/>
    <w:rsid w:val="00AC49EE"/>
    <w:rsid w:val="00AD4011"/>
    <w:rsid w:val="00AD4E29"/>
    <w:rsid w:val="00AD5F8C"/>
    <w:rsid w:val="00AD7E6A"/>
    <w:rsid w:val="00AF0C0B"/>
    <w:rsid w:val="00AF5A45"/>
    <w:rsid w:val="00B016E8"/>
    <w:rsid w:val="00B038D4"/>
    <w:rsid w:val="00B15378"/>
    <w:rsid w:val="00B2372F"/>
    <w:rsid w:val="00B32D0D"/>
    <w:rsid w:val="00B32DFE"/>
    <w:rsid w:val="00B361B3"/>
    <w:rsid w:val="00B4103B"/>
    <w:rsid w:val="00B417FC"/>
    <w:rsid w:val="00B428A4"/>
    <w:rsid w:val="00B44B51"/>
    <w:rsid w:val="00B46AF8"/>
    <w:rsid w:val="00B50FCC"/>
    <w:rsid w:val="00B53785"/>
    <w:rsid w:val="00B54368"/>
    <w:rsid w:val="00B55A1B"/>
    <w:rsid w:val="00B735BD"/>
    <w:rsid w:val="00B739A8"/>
    <w:rsid w:val="00B755E1"/>
    <w:rsid w:val="00B75C46"/>
    <w:rsid w:val="00B82E77"/>
    <w:rsid w:val="00B87088"/>
    <w:rsid w:val="00B92F8B"/>
    <w:rsid w:val="00B94D6F"/>
    <w:rsid w:val="00B94DE1"/>
    <w:rsid w:val="00B97FEE"/>
    <w:rsid w:val="00BA2715"/>
    <w:rsid w:val="00BA3044"/>
    <w:rsid w:val="00BB2F63"/>
    <w:rsid w:val="00BB5C66"/>
    <w:rsid w:val="00BC1E5A"/>
    <w:rsid w:val="00BC2E1A"/>
    <w:rsid w:val="00BC5AE9"/>
    <w:rsid w:val="00BD4069"/>
    <w:rsid w:val="00BE07CB"/>
    <w:rsid w:val="00BE0BE8"/>
    <w:rsid w:val="00BE438B"/>
    <w:rsid w:val="00BF19CA"/>
    <w:rsid w:val="00BF54E2"/>
    <w:rsid w:val="00BF6078"/>
    <w:rsid w:val="00BF7E21"/>
    <w:rsid w:val="00C0419F"/>
    <w:rsid w:val="00C11687"/>
    <w:rsid w:val="00C156D8"/>
    <w:rsid w:val="00C22C39"/>
    <w:rsid w:val="00C262E9"/>
    <w:rsid w:val="00C330AE"/>
    <w:rsid w:val="00C36FAF"/>
    <w:rsid w:val="00C37141"/>
    <w:rsid w:val="00C47D3C"/>
    <w:rsid w:val="00C72859"/>
    <w:rsid w:val="00C729FD"/>
    <w:rsid w:val="00C760E9"/>
    <w:rsid w:val="00C86CA4"/>
    <w:rsid w:val="00C879B5"/>
    <w:rsid w:val="00C9553C"/>
    <w:rsid w:val="00CB1AC5"/>
    <w:rsid w:val="00CB6A0F"/>
    <w:rsid w:val="00CC4873"/>
    <w:rsid w:val="00CC4E2C"/>
    <w:rsid w:val="00CD7F92"/>
    <w:rsid w:val="00D0040D"/>
    <w:rsid w:val="00D11DC0"/>
    <w:rsid w:val="00D249A2"/>
    <w:rsid w:val="00D326F7"/>
    <w:rsid w:val="00D3694F"/>
    <w:rsid w:val="00D377E2"/>
    <w:rsid w:val="00D66E26"/>
    <w:rsid w:val="00D716CD"/>
    <w:rsid w:val="00D81991"/>
    <w:rsid w:val="00D9403F"/>
    <w:rsid w:val="00DA0FCE"/>
    <w:rsid w:val="00DB2E76"/>
    <w:rsid w:val="00DB68C5"/>
    <w:rsid w:val="00DD65BA"/>
    <w:rsid w:val="00DD6629"/>
    <w:rsid w:val="00DD78D9"/>
    <w:rsid w:val="00DE3953"/>
    <w:rsid w:val="00DE3BB7"/>
    <w:rsid w:val="00DF0878"/>
    <w:rsid w:val="00E0035B"/>
    <w:rsid w:val="00E14CE1"/>
    <w:rsid w:val="00E151DF"/>
    <w:rsid w:val="00E20BE0"/>
    <w:rsid w:val="00E227F4"/>
    <w:rsid w:val="00E321F8"/>
    <w:rsid w:val="00E530A2"/>
    <w:rsid w:val="00E57DCC"/>
    <w:rsid w:val="00E6220C"/>
    <w:rsid w:val="00E71F44"/>
    <w:rsid w:val="00E7524B"/>
    <w:rsid w:val="00E7611F"/>
    <w:rsid w:val="00E82176"/>
    <w:rsid w:val="00E91FAF"/>
    <w:rsid w:val="00E927AE"/>
    <w:rsid w:val="00E95910"/>
    <w:rsid w:val="00E95D25"/>
    <w:rsid w:val="00E960E1"/>
    <w:rsid w:val="00EB345B"/>
    <w:rsid w:val="00EB3B37"/>
    <w:rsid w:val="00ED18F9"/>
    <w:rsid w:val="00ED2A21"/>
    <w:rsid w:val="00EE2705"/>
    <w:rsid w:val="00EE42E2"/>
    <w:rsid w:val="00EF74D1"/>
    <w:rsid w:val="00F05303"/>
    <w:rsid w:val="00F278F7"/>
    <w:rsid w:val="00F416E3"/>
    <w:rsid w:val="00F51F7D"/>
    <w:rsid w:val="00F53328"/>
    <w:rsid w:val="00F54285"/>
    <w:rsid w:val="00F56BA4"/>
    <w:rsid w:val="00F67FD4"/>
    <w:rsid w:val="00F72A24"/>
    <w:rsid w:val="00F75D53"/>
    <w:rsid w:val="00F801F3"/>
    <w:rsid w:val="00F945FA"/>
    <w:rsid w:val="00FA2E24"/>
    <w:rsid w:val="00FA3988"/>
    <w:rsid w:val="00FA482C"/>
    <w:rsid w:val="00FA50AC"/>
    <w:rsid w:val="00FA56E3"/>
    <w:rsid w:val="00FB1F6C"/>
    <w:rsid w:val="00FB2F10"/>
    <w:rsid w:val="00FB6BAC"/>
    <w:rsid w:val="00FC508A"/>
    <w:rsid w:val="00FE22D2"/>
    <w:rsid w:val="00FE3B78"/>
    <w:rsid w:val="00FE4E28"/>
    <w:rsid w:val="00FF3B68"/>
    <w:rsid w:val="00FF5B19"/>
    <w:rsid w:val="00FF6559"/>
    <w:rsid w:val="01995B0E"/>
    <w:rsid w:val="052C39CA"/>
    <w:rsid w:val="076A161D"/>
    <w:rsid w:val="08BF22FE"/>
    <w:rsid w:val="16F70719"/>
    <w:rsid w:val="16FB6BF7"/>
    <w:rsid w:val="1A170079"/>
    <w:rsid w:val="1F955AA3"/>
    <w:rsid w:val="1FA604A6"/>
    <w:rsid w:val="249C2156"/>
    <w:rsid w:val="3346564C"/>
    <w:rsid w:val="38E15019"/>
    <w:rsid w:val="475950F1"/>
    <w:rsid w:val="4A260275"/>
    <w:rsid w:val="554D57A6"/>
    <w:rsid w:val="558C6691"/>
    <w:rsid w:val="583E7716"/>
    <w:rsid w:val="5C331A99"/>
    <w:rsid w:val="67AC3474"/>
    <w:rsid w:val="680D4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semiHidden/>
    <w:unhideWhenUsed/>
    <w:qFormat/>
    <w:uiPriority w:val="99"/>
    <w:pPr>
      <w:jc w:val="left"/>
    </w:pPr>
  </w:style>
  <w:style w:type="paragraph" w:styleId="4">
    <w:name w:val="Balloon Text"/>
    <w:basedOn w:val="1"/>
    <w:link w:val="22"/>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4"/>
    <w:semiHidden/>
    <w:unhideWhenUsed/>
    <w:qFormat/>
    <w:uiPriority w:val="99"/>
    <w:rPr>
      <w:b/>
      <w:bCs/>
    </w:rPr>
  </w:style>
  <w:style w:type="table" w:styleId="9">
    <w:name w:val="Table Grid"/>
    <w:basedOn w:val="8"/>
    <w:qFormat/>
    <w:uiPriority w:val="39"/>
    <w:pPr>
      <w:spacing w:after="160" w:line="259" w:lineRule="auto"/>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style>
  <w:style w:type="character" w:customStyle="1" w:styleId="15">
    <w:name w:val="页眉 字符"/>
    <w:basedOn w:val="10"/>
    <w:link w:val="6"/>
    <w:qFormat/>
    <w:uiPriority w:val="99"/>
    <w:rPr>
      <w:sz w:val="18"/>
      <w:szCs w:val="18"/>
    </w:rPr>
  </w:style>
  <w:style w:type="character" w:customStyle="1" w:styleId="16">
    <w:name w:val="页脚 字符"/>
    <w:basedOn w:val="10"/>
    <w:link w:val="5"/>
    <w:qFormat/>
    <w:uiPriority w:val="99"/>
    <w:rPr>
      <w:sz w:val="18"/>
      <w:szCs w:val="18"/>
    </w:rPr>
  </w:style>
  <w:style w:type="paragraph" w:customStyle="1" w:styleId="17">
    <w:name w:val="标准文件_数字编号列项（二级）"/>
    <w:qFormat/>
    <w:uiPriority w:val="0"/>
    <w:pPr>
      <w:numPr>
        <w:ilvl w:val="1"/>
        <w:numId w:val="1"/>
      </w:numPr>
      <w:jc w:val="both"/>
    </w:pPr>
    <w:rPr>
      <w:rFonts w:ascii="宋体" w:hAnsi="Times New Roman" w:eastAsia="宋体" w:cs="Times New Roman"/>
      <w:kern w:val="0"/>
      <w:sz w:val="21"/>
      <w:szCs w:val="20"/>
      <w:lang w:val="en-US" w:eastAsia="zh-CN" w:bidi="ar-SA"/>
    </w:rPr>
  </w:style>
  <w:style w:type="paragraph" w:customStyle="1" w:styleId="18">
    <w:name w:val="标准文件_编号列项（三级）"/>
    <w:qFormat/>
    <w:uiPriority w:val="0"/>
    <w:pPr>
      <w:numPr>
        <w:ilvl w:val="2"/>
        <w:numId w:val="1"/>
      </w:numPr>
    </w:pPr>
    <w:rPr>
      <w:rFonts w:ascii="宋体" w:hAnsi="Times New Roman" w:eastAsia="宋体" w:cs="Times New Roman"/>
      <w:kern w:val="0"/>
      <w:sz w:val="21"/>
      <w:szCs w:val="20"/>
      <w:lang w:val="en-US" w:eastAsia="zh-CN" w:bidi="ar-SA"/>
    </w:rPr>
  </w:style>
  <w:style w:type="paragraph" w:customStyle="1" w:styleId="19">
    <w:name w:val="标准文件_字母编号列项（一级）"/>
    <w:qFormat/>
    <w:uiPriority w:val="0"/>
    <w:pPr>
      <w:numPr>
        <w:ilvl w:val="0"/>
        <w:numId w:val="1"/>
      </w:numPr>
      <w:jc w:val="both"/>
    </w:pPr>
    <w:rPr>
      <w:rFonts w:ascii="宋体" w:hAnsi="Times New Roman" w:eastAsia="宋体" w:cs="Times New Roman"/>
      <w:kern w:val="0"/>
      <w:sz w:val="21"/>
      <w:szCs w:val="20"/>
      <w:lang w:val="en-US" w:eastAsia="zh-CN" w:bidi="ar-SA"/>
    </w:rPr>
  </w:style>
  <w:style w:type="paragraph" w:customStyle="1" w:styleId="20">
    <w:name w:val="标准文件_表格"/>
    <w:basedOn w:val="1"/>
    <w:qFormat/>
    <w:uiPriority w:val="0"/>
    <w:pPr>
      <w:widowControl/>
      <w:autoSpaceDE w:val="0"/>
      <w:autoSpaceDN w:val="0"/>
      <w:spacing w:after="160" w:line="259" w:lineRule="auto"/>
      <w:jc w:val="center"/>
    </w:pPr>
    <w:rPr>
      <w:rFonts w:ascii="宋体" w:hAnsi="Times New Roman" w:eastAsia="宋体" w:cs="Times New Roman"/>
      <w:kern w:val="0"/>
      <w:sz w:val="18"/>
      <w:szCs w:val="20"/>
    </w:rPr>
  </w:style>
  <w:style w:type="paragraph" w:customStyle="1" w:styleId="21">
    <w:name w:val="标准文件_注："/>
    <w:next w:val="1"/>
    <w:qFormat/>
    <w:uiPriority w:val="0"/>
    <w:pPr>
      <w:widowControl w:val="0"/>
      <w:numPr>
        <w:ilvl w:val="0"/>
        <w:numId w:val="2"/>
      </w:numPr>
      <w:autoSpaceDE w:val="0"/>
      <w:autoSpaceDN w:val="0"/>
      <w:jc w:val="both"/>
    </w:pPr>
    <w:rPr>
      <w:rFonts w:ascii="宋体" w:hAnsi="Times New Roman" w:eastAsia="宋体" w:cs="Times New Roman"/>
      <w:kern w:val="0"/>
      <w:sz w:val="18"/>
      <w:szCs w:val="18"/>
      <w:lang w:val="en-US" w:eastAsia="zh-CN" w:bidi="ar-SA"/>
    </w:rPr>
  </w:style>
  <w:style w:type="character" w:customStyle="1" w:styleId="22">
    <w:name w:val="批注框文本 字符"/>
    <w:basedOn w:val="10"/>
    <w:link w:val="4"/>
    <w:semiHidden/>
    <w:qFormat/>
    <w:uiPriority w:val="99"/>
    <w:rPr>
      <w:sz w:val="18"/>
      <w:szCs w:val="18"/>
    </w:rPr>
  </w:style>
  <w:style w:type="character" w:customStyle="1" w:styleId="23">
    <w:name w:val="批注文字 字符"/>
    <w:basedOn w:val="10"/>
    <w:link w:val="3"/>
    <w:semiHidden/>
    <w:qFormat/>
    <w:uiPriority w:val="99"/>
  </w:style>
  <w:style w:type="character" w:customStyle="1" w:styleId="24">
    <w:name w:val="批注主题 字符"/>
    <w:basedOn w:val="23"/>
    <w:link w:val="7"/>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4500</Words>
  <Characters>4597</Characters>
  <Lines>1</Lines>
  <Paragraphs>1</Paragraphs>
  <TotalTime>5</TotalTime>
  <ScaleCrop>false</ScaleCrop>
  <LinksUpToDate>false</LinksUpToDate>
  <CharactersWithSpaces>4604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2022-09-28T08:07:00Z</dcterms:created>
  <dc:creator>User</dc:creator>
  <cp:lastModifiedBy>中标蒲公英</cp:lastModifiedBy>
  <cp:lastPrinted>2022-08-30T02:21:00Z</cp:lastPrinted>
  <dcterms:modified xsi:type="dcterms:W3CDTF">2025-11-03T08:33:29Z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24445232B5004ED49E39B803C6B07253_13</vt:lpwstr>
  </property>
  <property fmtid="{D5CDD505-2E9C-101B-9397-08002B2CF9AE}" pid="4" name="KSOTemplateDocerSaveRecord">
    <vt:lpwstr>eyJoZGlkIjoiOTBjNDg1NzJhOTc3NmEzYjBlMzdmYzBlYjZmZDI3MDYiLCJ1c2VySWQiOiIxNjE1MzQ4Njc0In0=</vt:lpwstr>
  </property>
</Properties>
</file>