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0B9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D6129F">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953FB1">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7A3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A492FC">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A77796">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AA1F7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26C2A5C">
            <w:pPr>
              <w:pStyle w:val="51"/>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5296EDF9">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3344B3E">
      <w:pPr>
        <w:pStyle w:val="197"/>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8373E94">
      <w:pPr>
        <w:pStyle w:val="198"/>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A6857F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0033893">
      <w:pPr>
        <w:pStyle w:val="52"/>
        <w:framePr w:w="9639" w:h="6976" w:hRule="exact" w:hSpace="0" w:vSpace="0" w:wrap="around" w:hAnchor="page" w:y="6408"/>
        <w:jc w:val="center"/>
        <w:rPr>
          <w:rFonts w:hint="eastAsia" w:ascii="黑体" w:hAnsi="黑体" w:eastAsia="黑体"/>
          <w:b w:val="0"/>
          <w:bCs w:val="0"/>
          <w:w w:val="100"/>
        </w:rPr>
      </w:pPr>
    </w:p>
    <w:p w14:paraId="369E1D25">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临床研究协调员管理规范及胜任力评价</w:t>
      </w:r>
      <w:r>
        <w:fldChar w:fldCharType="end"/>
      </w:r>
      <w:bookmarkEnd w:id="9"/>
    </w:p>
    <w:p w14:paraId="6AD0E1B1">
      <w:pPr>
        <w:framePr w:w="9639" w:h="6974" w:hRule="exact" w:wrap="around" w:vAnchor="page" w:hAnchor="page" w:x="1419" w:y="6408" w:anchorLock="1"/>
        <w:ind w:left="-1418"/>
      </w:pPr>
    </w:p>
    <w:p w14:paraId="6A6F278D">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Clinical Research Coordinator Management Practices and Competency Evaluation Criteria</w:t>
      </w:r>
      <w:r>
        <w:rPr>
          <w:rFonts w:eastAsia="黑体"/>
          <w:szCs w:val="28"/>
        </w:rPr>
        <w:fldChar w:fldCharType="end"/>
      </w:r>
      <w:bookmarkEnd w:id="10"/>
    </w:p>
    <w:p w14:paraId="454D4DEC">
      <w:pPr>
        <w:framePr w:w="9639" w:h="6974" w:hRule="exact" w:wrap="around" w:vAnchor="page" w:hAnchor="page" w:x="1419" w:y="6408" w:anchorLock="1"/>
        <w:spacing w:line="760" w:lineRule="exact"/>
        <w:ind w:left="-1418"/>
      </w:pPr>
    </w:p>
    <w:p w14:paraId="41B340AF">
      <w:pPr>
        <w:pStyle w:val="127"/>
        <w:framePr w:w="9639" w:h="6974" w:hRule="exact" w:wrap="around" w:vAnchor="page" w:hAnchor="page" w:x="1419" w:y="6408" w:anchorLock="1"/>
        <w:textAlignment w:val="bottom"/>
        <w:rPr>
          <w:rFonts w:eastAsia="黑体"/>
          <w:szCs w:val="28"/>
        </w:rPr>
      </w:pPr>
    </w:p>
    <w:p w14:paraId="14C54D46">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3225C8">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EE06211">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11EFC1F">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BAF1D9">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ADD01B3">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091575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D7C0EA6">
      <w:pPr>
        <w:pStyle w:val="91"/>
        <w:bidi w:val="0"/>
        <w:spacing w:before="560"/>
        <w:rPr>
          <w:rFonts w:hint="eastAsia"/>
          <w:lang w:eastAsia="zh-CN"/>
        </w:rPr>
      </w:pPr>
      <w:bookmarkStart w:id="21" w:name="BookMark2"/>
      <w:r>
        <w:rPr>
          <w:rFonts w:hint="eastAsia"/>
          <w:spacing w:val="320"/>
          <w:lang w:eastAsia="zh-CN"/>
        </w:rPr>
        <w:t>前</w:t>
      </w:r>
      <w:r>
        <w:rPr>
          <w:rFonts w:hint="eastAsia"/>
          <w:lang w:eastAsia="zh-CN"/>
        </w:rPr>
        <w:t>言</w:t>
      </w:r>
    </w:p>
    <w:p w14:paraId="0C70EDB3">
      <w:pPr>
        <w:pStyle w:val="58"/>
        <w:bidi w:val="0"/>
        <w:rPr>
          <w:rFonts w:hint="eastAsia"/>
          <w:lang w:eastAsia="zh-CN"/>
        </w:rPr>
      </w:pPr>
      <w:r>
        <w:rPr>
          <w:rFonts w:hint="eastAsia"/>
          <w:lang w:eastAsia="zh-CN"/>
        </w:rPr>
        <w:t>本文件按照GB/T 1.1—2020《标准化工作导则  第1部分：标准化文件的结构和起草规则》的规定起草。</w:t>
      </w:r>
    </w:p>
    <w:p w14:paraId="0CE51B4B">
      <w:pPr>
        <w:pStyle w:val="58"/>
        <w:bidi w:val="0"/>
        <w:rPr>
          <w:rFonts w:hint="eastAsia"/>
          <w:lang w:eastAsia="zh-CN"/>
        </w:rPr>
      </w:pPr>
      <w:r>
        <w:rPr>
          <w:rFonts w:hint="eastAsia"/>
          <w:lang w:eastAsia="zh-CN"/>
        </w:rPr>
        <w:t>本文件由</w:t>
      </w:r>
      <w:r>
        <w:rPr>
          <w:rFonts w:hint="eastAsia" w:cs="宋体" w:asciiTheme="minorEastAsia" w:hAnsiTheme="minorEastAsia"/>
          <w:kern w:val="0"/>
          <w:szCs w:val="21"/>
        </w:rPr>
        <w:t>湖南省药品监督局</w:t>
      </w:r>
      <w:r>
        <w:rPr>
          <w:rFonts w:hint="eastAsia"/>
          <w:lang w:eastAsia="zh-CN"/>
        </w:rPr>
        <w:t>提出</w:t>
      </w:r>
      <w:r>
        <w:rPr>
          <w:rFonts w:hint="eastAsia"/>
          <w:lang w:val="en-US" w:eastAsia="zh-CN"/>
        </w:rPr>
        <w:t>并归口</w:t>
      </w:r>
      <w:r>
        <w:rPr>
          <w:rFonts w:hint="eastAsia"/>
          <w:lang w:eastAsia="zh-CN"/>
        </w:rPr>
        <w:t>。</w:t>
      </w:r>
    </w:p>
    <w:p w14:paraId="3F1F524D">
      <w:pPr>
        <w:pStyle w:val="58"/>
        <w:bidi w:val="0"/>
        <w:rPr>
          <w:rFonts w:hint="eastAsia"/>
          <w:lang w:eastAsia="zh-CN"/>
        </w:rPr>
      </w:pPr>
      <w:r>
        <w:rPr>
          <w:rFonts w:hint="eastAsia"/>
          <w:lang w:eastAsia="zh-CN"/>
        </w:rPr>
        <w:t>本文件起草单位：长沙先领医药科技有限公司、湖南省肿瘤医院、中南大学湘雅医院、中南大学湘雅三医院、湖南省人民医院、长沙市妇幼保健院、长沙市第三医院、长沙市中心医院、株洲市中心医院、常德市第二人民医院、岳阳市中心医院、湘潭县妇幼保健院、湘潭市中医医院、湘潭县人民医院、永州市中心医院、邵阳市中心医院、邵阳学院附属第一医院、湖南医药学院总医院、怀化市第二人民医院、湘西苗族土家族自治州人民医院、长沙泰和医院、长沙都正生物科技股份有限公司、江苏恒瑞医药股份有限公司、齐鲁制药有限公司、普蕊斯（上海）医药科技开发股份有限公司、北京卓越天使医药科技有限公司、北京联斯达医药科技发展有限公司、长沙市药物评价产业技术创新战略联盟</w:t>
      </w:r>
    </w:p>
    <w:p w14:paraId="63071F84">
      <w:pPr>
        <w:pStyle w:val="58"/>
        <w:bidi w:val="0"/>
        <w:rPr>
          <w:rFonts w:hint="eastAsia"/>
          <w:lang w:eastAsia="zh-CN"/>
        </w:rPr>
      </w:pPr>
      <w:r>
        <w:rPr>
          <w:rFonts w:hint="eastAsia"/>
          <w:lang w:eastAsia="zh-CN"/>
        </w:rPr>
        <w:t>本文件主要起草人：欧阳冬生、李晓晖、马伶伶、徐梦颖、赵芳、刘晓靖、谢秀芬、胡斌、刘婧莹、成兰芝、田超颖、龚倩、贺若曦、郭成贤、聂盛丹、罗建立、李元、蒋斌元、易丹、沈曦凤、孔丽、陈建文、李建军、刘娟、和静、郭峰、黄海花、史志华、龚建平、周寒、李坤艳、廖仁魁、刘毅军、王月、蒙莹、陈佩、江军仪</w:t>
      </w:r>
    </w:p>
    <w:p w14:paraId="11A1841E">
      <w:pPr>
        <w:pStyle w:val="58"/>
        <w:bidi w:val="0"/>
        <w:rPr>
          <w:rFonts w:hint="eastAsia"/>
          <w:lang w:eastAsia="zh-CN"/>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44A44249">
      <w:pPr>
        <w:spacing w:line="20" w:lineRule="exact"/>
        <w:jc w:val="center"/>
        <w:rPr>
          <w:rFonts w:hint="eastAsia" w:ascii="黑体" w:hAnsi="黑体" w:eastAsia="黑体"/>
          <w:sz w:val="32"/>
          <w:szCs w:val="32"/>
        </w:rPr>
      </w:pPr>
      <w:bookmarkStart w:id="22" w:name="BookMark4"/>
    </w:p>
    <w:p w14:paraId="3B4ABB77">
      <w:pPr>
        <w:spacing w:line="20" w:lineRule="exact"/>
        <w:jc w:val="center"/>
        <w:rPr>
          <w:rFonts w:hint="eastAsia" w:ascii="黑体" w:hAnsi="黑体" w:eastAsia="黑体"/>
          <w:sz w:val="32"/>
          <w:szCs w:val="32"/>
        </w:rPr>
      </w:pPr>
    </w:p>
    <w:sdt>
      <w:sdtPr>
        <w:tag w:val="NEW_STAND_NAME"/>
        <w:id w:val="595910757"/>
        <w:lock w:val="sdtLocked"/>
        <w:placeholder>
          <w:docPart w:val="44A38090058141E5BCF867FEE79180DC"/>
        </w:placeholder>
      </w:sdtPr>
      <w:sdtContent>
        <w:p w14:paraId="3D0690CF">
          <w:pPr>
            <w:pStyle w:val="179"/>
            <w:bidi w:val="0"/>
            <w:spacing w:before="313" w:beforeLines="100" w:after="687" w:afterLines="220"/>
            <w:rPr>
              <w:rFonts w:hint="eastAsia"/>
            </w:rPr>
          </w:pPr>
          <w:bookmarkStart w:id="23" w:name="NEW_STAND_NAME"/>
          <w:r>
            <w:rPr>
              <w:rFonts w:hint="eastAsia"/>
              <w:lang w:eastAsia="zh-CN"/>
            </w:rPr>
            <w:t>临床研究协调员管理规范及胜任力评价</w:t>
          </w:r>
        </w:p>
      </w:sdtContent>
    </w:sdt>
    <w:bookmarkEnd w:id="23"/>
    <w:p w14:paraId="3FEE211A">
      <w:pPr>
        <w:pStyle w:val="106"/>
        <w:spacing w:before="312" w:after="312"/>
      </w:pPr>
      <w:bookmarkStart w:id="24" w:name="_Toc26986771"/>
      <w:bookmarkStart w:id="25" w:name="_Toc97191423"/>
      <w:bookmarkStart w:id="26" w:name="_Toc26718930"/>
      <w:bookmarkStart w:id="27" w:name="_Toc24884211"/>
      <w:bookmarkStart w:id="28" w:name="_Toc26648465"/>
      <w:bookmarkStart w:id="29" w:name="_Toc17233333"/>
      <w:bookmarkStart w:id="30" w:name="_Toc24884218"/>
      <w:bookmarkStart w:id="31" w:name="_Toc26986530"/>
      <w:bookmarkStart w:id="32" w:name="_Toc17233325"/>
      <w:r>
        <w:rPr>
          <w:rFonts w:hint="eastAsia"/>
        </w:rPr>
        <w:t>范围</w:t>
      </w:r>
      <w:bookmarkEnd w:id="24"/>
      <w:bookmarkEnd w:id="25"/>
      <w:bookmarkEnd w:id="26"/>
      <w:bookmarkEnd w:id="27"/>
      <w:bookmarkEnd w:id="28"/>
      <w:bookmarkEnd w:id="29"/>
      <w:bookmarkEnd w:id="30"/>
      <w:bookmarkEnd w:id="31"/>
      <w:bookmarkEnd w:id="32"/>
    </w:p>
    <w:p w14:paraId="4588B4EC">
      <w:pPr>
        <w:pStyle w:val="58"/>
        <w:bidi w:val="0"/>
        <w:rPr>
          <w:rFonts w:hint="eastAsia"/>
          <w:lang w:eastAsia="zh-CN"/>
        </w:rPr>
      </w:pPr>
      <w:bookmarkStart w:id="33" w:name="_Toc24884212"/>
      <w:bookmarkStart w:id="34" w:name="_Toc24884219"/>
      <w:bookmarkStart w:id="35" w:name="_Toc26648466"/>
      <w:bookmarkStart w:id="36" w:name="_Toc17233334"/>
      <w:bookmarkStart w:id="37" w:name="_Toc17233326"/>
      <w:r>
        <w:rPr>
          <w:rFonts w:hint="eastAsia"/>
          <w:lang w:eastAsia="zh-CN"/>
        </w:rPr>
        <w:t>本标准规定了临床试验中临床研究协调员（CRC）管理的专属基本原则、上岗要求、工作职责、培训体系、胜任力评价标准、研究机构对CRC的管理规范及职业发展路径。</w:t>
      </w:r>
    </w:p>
    <w:p w14:paraId="6F6E2A11">
      <w:pPr>
        <w:pStyle w:val="58"/>
        <w:bidi w:val="0"/>
        <w:rPr>
          <w:rFonts w:hint="eastAsia"/>
          <w:lang w:eastAsia="zh-CN"/>
        </w:rPr>
      </w:pPr>
      <w:r>
        <w:rPr>
          <w:rFonts w:hint="eastAsia"/>
          <w:lang w:eastAsia="zh-CN"/>
        </w:rPr>
        <w:t>本标准适用于</w:t>
      </w:r>
      <w:r>
        <w:rPr>
          <w:rFonts w:hint="eastAsia"/>
          <w:lang w:val="en-US" w:eastAsia="zh-CN"/>
        </w:rPr>
        <w:t>我省</w:t>
      </w:r>
      <w:r>
        <w:rPr>
          <w:rFonts w:hint="eastAsia"/>
          <w:lang w:eastAsia="zh-CN"/>
        </w:rPr>
        <w:t>开展药物临床试验，且对CRC进行管理和评价的相关单位，包括研究机构（医院）、申办</w:t>
      </w:r>
      <w:r>
        <w:rPr>
          <w:rFonts w:hint="eastAsia"/>
          <w:lang w:val="en-US" w:eastAsia="zh-CN"/>
        </w:rPr>
        <w:t>者</w:t>
      </w:r>
      <w:r>
        <w:rPr>
          <w:rFonts w:hint="eastAsia"/>
          <w:lang w:eastAsia="zh-CN"/>
        </w:rPr>
        <w:t>、合同研究组织（CRO）、</w:t>
      </w:r>
      <w:r>
        <w:rPr>
          <w:rFonts w:hint="eastAsia"/>
          <w:lang w:val="en-US" w:eastAsia="zh-CN"/>
        </w:rPr>
        <w:t>临床试验现场管理组织（SMO）</w:t>
      </w:r>
      <w:r>
        <w:rPr>
          <w:rFonts w:hint="eastAsia"/>
          <w:lang w:eastAsia="zh-CN"/>
        </w:rPr>
        <w:t>。</w:t>
      </w:r>
    </w:p>
    <w:p w14:paraId="4171CF3E">
      <w:pPr>
        <w:pStyle w:val="58"/>
        <w:bidi w:val="0"/>
        <w:rPr>
          <w:rFonts w:hint="eastAsia"/>
          <w:lang w:eastAsia="zh-CN"/>
        </w:rPr>
      </w:pPr>
    </w:p>
    <w:p w14:paraId="0BDEEE11">
      <w:pPr>
        <w:pStyle w:val="106"/>
        <w:spacing w:before="312" w:after="312"/>
      </w:pPr>
      <w:bookmarkStart w:id="38" w:name="_Toc26718931"/>
      <w:bookmarkStart w:id="39" w:name="_Toc26986772"/>
      <w:bookmarkStart w:id="40" w:name="_Toc97191424"/>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5FB116">
          <w:pPr>
            <w:pStyle w:val="58"/>
            <w:ind w:firstLine="420"/>
          </w:pPr>
          <w:r>
            <w:rPr>
              <w:rFonts w:hint="eastAsia" w:ascii="Times New Roman" w:hAnsi="Times New Roman" w:eastAsia="宋体" w:cs="Times New Roman"/>
              <w:sz w:val="21"/>
              <w:lang w:val="en-US" w:eastAsia="zh-CN" w:bidi="ar-SA"/>
            </w:rPr>
            <w:t>本文件没有规范性引用文件。</w:t>
          </w:r>
        </w:p>
      </w:sdtContent>
    </w:sdt>
    <w:p w14:paraId="5FE83CAA">
      <w:pPr>
        <w:pStyle w:val="106"/>
        <w:spacing w:before="312" w:after="312"/>
      </w:pPr>
      <w:bookmarkStart w:id="42" w:name="_Toc97191425"/>
      <w:r>
        <w:rPr>
          <w:rFonts w:hint="eastAsia"/>
          <w:szCs w:val="21"/>
        </w:rPr>
        <w:t>术语和定义</w:t>
      </w:r>
      <w:bookmarkEnd w:id="42"/>
    </w:p>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6C3A7E">
          <w:pPr>
            <w:pStyle w:val="58"/>
            <w:ind w:firstLine="420"/>
          </w:pPr>
          <w:bookmarkStart w:id="43" w:name="_Toc26986532"/>
          <w:bookmarkEnd w:id="43"/>
          <w:r>
            <w:rPr>
              <w:rFonts w:ascii="Times New Roman" w:hAnsi="Times New Roman" w:eastAsia="宋体" w:cs="Times New Roman"/>
              <w:sz w:val="21"/>
              <w:lang w:val="en-US" w:eastAsia="zh-CN" w:bidi="ar-SA"/>
            </w:rPr>
            <w:t>下列术语和定义适用于本文件。</w:t>
          </w:r>
        </w:p>
      </w:sdtContent>
    </w:sdt>
    <w:p w14:paraId="320CF3D4">
      <w:pPr>
        <w:pStyle w:val="58"/>
        <w:ind w:firstLine="420"/>
      </w:pPr>
    </w:p>
    <w:p w14:paraId="35F2CFD4">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临床试验机构  </w:t>
      </w:r>
      <w:r>
        <w:rPr>
          <w:rFonts w:hint="eastAsia" w:ascii="黑体" w:hAnsi="黑体" w:eastAsia="黑体" w:cs="黑体"/>
          <w:lang w:val="en-US" w:eastAsia="zh-CN"/>
        </w:rPr>
        <w:t>c</w:t>
      </w:r>
      <w:r>
        <w:rPr>
          <w:rFonts w:hint="eastAsia" w:ascii="黑体" w:hAnsi="黑体" w:eastAsia="黑体" w:cs="黑体"/>
          <w:lang w:eastAsia="zh-CN"/>
        </w:rPr>
        <w:t xml:space="preserve">linical </w:t>
      </w:r>
      <w:r>
        <w:rPr>
          <w:rFonts w:hint="eastAsia" w:ascii="黑体" w:hAnsi="黑体" w:eastAsia="黑体" w:cs="黑体"/>
          <w:lang w:val="en-US" w:eastAsia="zh-CN"/>
        </w:rPr>
        <w:t>T</w:t>
      </w:r>
      <w:r>
        <w:rPr>
          <w:rFonts w:hint="eastAsia" w:ascii="黑体" w:hAnsi="黑体" w:eastAsia="黑体" w:cs="黑体"/>
          <w:lang w:eastAsia="zh-CN"/>
        </w:rPr>
        <w:t xml:space="preserve">rial </w:t>
      </w:r>
      <w:r>
        <w:rPr>
          <w:rFonts w:hint="eastAsia" w:ascii="黑体" w:hAnsi="黑体" w:eastAsia="黑体" w:cs="黑体"/>
          <w:lang w:val="en-US" w:eastAsia="zh-CN"/>
        </w:rPr>
        <w:t>I</w:t>
      </w:r>
      <w:r>
        <w:rPr>
          <w:rFonts w:hint="eastAsia" w:ascii="黑体" w:hAnsi="黑体" w:eastAsia="黑体" w:cs="黑体"/>
          <w:lang w:eastAsia="zh-CN"/>
        </w:rPr>
        <w:t>nstitution</w:t>
      </w:r>
    </w:p>
    <w:p w14:paraId="775D8DDC">
      <w:pPr>
        <w:pStyle w:val="58"/>
        <w:rPr>
          <w:rFonts w:hint="default" w:ascii="Times New Roman" w:hAnsi="Times New Roman" w:cs="Times New Roman"/>
          <w:lang w:eastAsia="zh-CN"/>
        </w:rPr>
      </w:pPr>
      <w:r>
        <w:rPr>
          <w:rFonts w:hint="default" w:ascii="Times New Roman" w:hAnsi="Times New Roman" w:cs="Times New Roman"/>
          <w:lang w:eastAsia="zh-CN"/>
        </w:rPr>
        <w:t>资格认定管理部门依照法定要求认定的，具有承担临床试验资格的机构。</w:t>
      </w:r>
    </w:p>
    <w:p w14:paraId="7718875E">
      <w:pPr>
        <w:pStyle w:val="58"/>
        <w:rPr>
          <w:rFonts w:hint="default" w:ascii="Times New Roman" w:hAnsi="Times New Roman" w:cs="Times New Roman"/>
          <w:lang w:eastAsia="zh-CN"/>
        </w:rPr>
      </w:pPr>
    </w:p>
    <w:p w14:paraId="7CA93141">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highlight w:val="none"/>
          <w:lang w:val="en-US" w:eastAsia="zh-CN"/>
        </w:rPr>
        <w:t>试验参与者</w:t>
      </w:r>
      <w:r>
        <w:rPr>
          <w:rFonts w:hint="eastAsia" w:ascii="黑体" w:hAnsi="黑体" w:eastAsia="黑体" w:cs="黑体"/>
          <w:highlight w:val="none"/>
          <w:lang w:eastAsia="zh-CN"/>
        </w:rPr>
        <w:t xml:space="preserve">  </w:t>
      </w:r>
      <w:r>
        <w:rPr>
          <w:rFonts w:hint="eastAsia" w:ascii="黑体" w:hAnsi="黑体" w:eastAsia="黑体" w:cs="黑体"/>
          <w:highlight w:val="none"/>
          <w:lang w:val="en-US" w:eastAsia="zh-CN"/>
        </w:rPr>
        <w:t>t</w:t>
      </w:r>
      <w:r>
        <w:rPr>
          <w:rFonts w:hint="eastAsia" w:ascii="黑体" w:hAnsi="黑体" w:eastAsia="黑体" w:cs="黑体"/>
          <w:highlight w:val="none"/>
          <w:lang w:eastAsia="zh-CN"/>
        </w:rPr>
        <w:t xml:space="preserve">rial </w:t>
      </w:r>
      <w:r>
        <w:rPr>
          <w:rFonts w:hint="eastAsia" w:ascii="黑体" w:hAnsi="黑体" w:eastAsia="黑体" w:cs="黑体"/>
          <w:highlight w:val="none"/>
          <w:lang w:val="en-US" w:eastAsia="zh-CN"/>
        </w:rPr>
        <w:t>p</w:t>
      </w:r>
      <w:r>
        <w:rPr>
          <w:rFonts w:hint="eastAsia" w:ascii="黑体" w:hAnsi="黑体" w:eastAsia="黑体" w:cs="黑体"/>
          <w:highlight w:val="none"/>
          <w:lang w:eastAsia="zh-CN"/>
        </w:rPr>
        <w:t>articipant</w:t>
      </w:r>
    </w:p>
    <w:p w14:paraId="17A50E9D">
      <w:pPr>
        <w:pStyle w:val="58"/>
        <w:rPr>
          <w:rFonts w:hint="default" w:ascii="Times New Roman" w:hAnsi="Times New Roman" w:cs="Times New Roman"/>
          <w:lang w:eastAsia="zh-CN"/>
        </w:rPr>
      </w:pPr>
      <w:r>
        <w:rPr>
          <w:rFonts w:hint="default" w:ascii="Times New Roman" w:hAnsi="Times New Roman" w:cs="Times New Roman"/>
          <w:lang w:eastAsia="zh-CN"/>
        </w:rPr>
        <w:t>在临床试验中被招募、同意参加并接受研究干预或作为对照的个人。</w:t>
      </w:r>
    </w:p>
    <w:p w14:paraId="7356E3A7">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研究者  </w:t>
      </w:r>
      <w:r>
        <w:rPr>
          <w:rFonts w:hint="eastAsia" w:ascii="黑体" w:hAnsi="黑体" w:eastAsia="黑体" w:cs="黑体"/>
          <w:lang w:val="en-US" w:eastAsia="zh-CN"/>
        </w:rPr>
        <w:t>i</w:t>
      </w:r>
      <w:r>
        <w:rPr>
          <w:rFonts w:hint="eastAsia" w:ascii="黑体" w:hAnsi="黑体" w:eastAsia="黑体" w:cs="黑体"/>
          <w:lang w:eastAsia="zh-CN"/>
        </w:rPr>
        <w:t>nvestigator</w:t>
      </w:r>
    </w:p>
    <w:p w14:paraId="6E69ABDF">
      <w:pPr>
        <w:pStyle w:val="225"/>
        <w:numPr>
          <w:ilvl w:val="2"/>
          <w:numId w:val="0"/>
        </w:numPr>
        <w:bidi w:val="0"/>
        <w:spacing w:after="0" w:afterLines="0"/>
        <w:ind w:leftChars="-200" w:firstLine="840" w:firstLineChars="400"/>
        <w:rPr>
          <w:rFonts w:hint="eastAsia" w:ascii="黑体" w:hAnsi="黑体" w:eastAsia="黑体" w:cs="黑体"/>
          <w:lang w:eastAsia="zh-CN"/>
        </w:rPr>
      </w:pPr>
      <w:r>
        <w:rPr>
          <w:rFonts w:hint="default" w:ascii="Times New Roman" w:hAnsi="Times New Roman" w:eastAsia="宋体" w:cs="Times New Roman"/>
          <w:lang w:eastAsia="zh-CN"/>
        </w:rPr>
        <w:t>实施临床试验并对临床试验质量及</w:t>
      </w:r>
      <w:r>
        <w:rPr>
          <w:rFonts w:hint="eastAsia" w:cs="Times New Roman"/>
          <w:lang w:eastAsia="zh-CN"/>
        </w:rPr>
        <w:t>试验参与者</w:t>
      </w:r>
      <w:r>
        <w:rPr>
          <w:rFonts w:hint="default" w:ascii="Times New Roman" w:hAnsi="Times New Roman" w:eastAsia="宋体" w:cs="Times New Roman"/>
          <w:lang w:eastAsia="zh-CN"/>
        </w:rPr>
        <w:t>权益和安全负责的试验现场的负责人。</w:t>
      </w:r>
    </w:p>
    <w:p w14:paraId="2B8BF3A7">
      <w:pPr>
        <w:pStyle w:val="225"/>
        <w:bidi w:val="0"/>
        <w:spacing w:after="0" w:afterLines="0"/>
        <w:ind w:left="420" w:hanging="420" w:hangingChars="200"/>
        <w:rPr>
          <w:rFonts w:hint="eastAsia" w:ascii="黑体" w:hAnsi="黑体" w:eastAsia="黑体" w:cs="黑体"/>
          <w:lang w:eastAsia="zh-CN"/>
        </w:rPr>
      </w:pPr>
    </w:p>
    <w:p w14:paraId="13F4B7CF">
      <w:pPr>
        <w:pStyle w:val="225"/>
        <w:numPr>
          <w:ilvl w:val="2"/>
          <w:numId w:val="0"/>
        </w:numPr>
        <w:bidi w:val="0"/>
        <w:spacing w:after="0" w:afterLines="0"/>
        <w:ind w:firstLine="420" w:firstLineChars="200"/>
        <w:rPr>
          <w:rFonts w:hint="eastAsia" w:ascii="黑体" w:hAnsi="黑体" w:eastAsia="黑体" w:cs="黑体"/>
          <w:lang w:eastAsia="zh-CN"/>
        </w:rPr>
      </w:pPr>
      <w:r>
        <w:rPr>
          <w:rFonts w:hint="eastAsia" w:ascii="黑体" w:hAnsi="黑体" w:eastAsia="黑体" w:cs="黑体"/>
          <w:lang w:eastAsia="zh-CN"/>
        </w:rPr>
        <w:t xml:space="preserve">临床研究协调员 </w:t>
      </w:r>
      <w:r>
        <w:rPr>
          <w:rFonts w:hint="eastAsia" w:ascii="黑体" w:hAnsi="黑体" w:eastAsia="黑体" w:cs="黑体"/>
          <w:lang w:val="en-US" w:eastAsia="zh-CN"/>
        </w:rPr>
        <w:t>c</w:t>
      </w:r>
      <w:r>
        <w:rPr>
          <w:rFonts w:hint="eastAsia" w:ascii="黑体" w:hAnsi="黑体" w:eastAsia="黑体" w:cs="黑体"/>
          <w:lang w:eastAsia="zh-CN"/>
        </w:rPr>
        <w:t xml:space="preserve">linical </w:t>
      </w:r>
      <w:r>
        <w:rPr>
          <w:rFonts w:hint="eastAsia" w:ascii="黑体" w:hAnsi="黑体" w:eastAsia="黑体" w:cs="黑体"/>
          <w:lang w:val="en-US" w:eastAsia="zh-CN"/>
        </w:rPr>
        <w:t>r</w:t>
      </w:r>
      <w:r>
        <w:rPr>
          <w:rFonts w:hint="eastAsia" w:ascii="黑体" w:hAnsi="黑体" w:eastAsia="黑体" w:cs="黑体"/>
          <w:lang w:eastAsia="zh-CN"/>
        </w:rPr>
        <w:t xml:space="preserve">esearch </w:t>
      </w:r>
      <w:r>
        <w:rPr>
          <w:rFonts w:hint="eastAsia" w:ascii="黑体" w:hAnsi="黑体" w:eastAsia="黑体" w:cs="黑体"/>
          <w:lang w:val="en-US" w:eastAsia="zh-CN"/>
        </w:rPr>
        <w:t>c</w:t>
      </w:r>
      <w:r>
        <w:rPr>
          <w:rFonts w:hint="eastAsia" w:ascii="黑体" w:hAnsi="黑体" w:eastAsia="黑体" w:cs="黑体"/>
          <w:lang w:eastAsia="zh-CN"/>
        </w:rPr>
        <w:t>oordinator, CRC</w:t>
      </w:r>
    </w:p>
    <w:p w14:paraId="40EEA787">
      <w:pPr>
        <w:pStyle w:val="58"/>
        <w:rPr>
          <w:rFonts w:hint="default" w:ascii="Times New Roman" w:hAnsi="Times New Roman" w:cs="Times New Roman"/>
          <w:color w:val="000000" w:themeColor="text1"/>
          <w:lang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具有相关学历背景，接受相关培训，并经</w:t>
      </w:r>
      <w:r>
        <w:rPr>
          <w:rFonts w:hint="default" w:ascii="Times New Roman" w:hAnsi="Times New Roman" w:cs="Times New Roman"/>
          <w:color w:val="000000" w:themeColor="text1"/>
          <w:lang w:eastAsia="zh-CN"/>
          <w14:textFill>
            <w14:solidFill>
              <w14:schemeClr w14:val="tx1"/>
            </w14:solidFill>
          </w14:textFill>
        </w:rPr>
        <w:t>研究者授权，</w:t>
      </w:r>
      <w:r>
        <w:rPr>
          <w:rFonts w:hint="eastAsia" w:cs="Times New Roman"/>
          <w:color w:val="000000" w:themeColor="text1"/>
          <w:lang w:val="en-US" w:eastAsia="zh-CN"/>
          <w14:textFill>
            <w14:solidFill>
              <w14:schemeClr w14:val="tx1"/>
            </w14:solidFill>
          </w14:textFill>
        </w:rPr>
        <w:t>作为研究团队成员，承担临床试验中</w:t>
      </w:r>
      <w:r>
        <w:rPr>
          <w:rFonts w:hint="default" w:ascii="Times New Roman" w:hAnsi="Times New Roman" w:cs="Times New Roman"/>
          <w:color w:val="000000" w:themeColor="text1"/>
          <w:lang w:eastAsia="zh-CN"/>
          <w14:textFill>
            <w14:solidFill>
              <w14:schemeClr w14:val="tx1"/>
            </w14:solidFill>
          </w14:textFill>
        </w:rPr>
        <w:t>非医学判断</w:t>
      </w:r>
      <w:r>
        <w:rPr>
          <w:rFonts w:hint="eastAsia" w:cs="Times New Roman"/>
          <w:color w:val="000000" w:themeColor="text1"/>
          <w:lang w:val="en-US" w:eastAsia="zh-CN"/>
          <w14:textFill>
            <w14:solidFill>
              <w14:schemeClr w14:val="tx1"/>
            </w14:solidFill>
          </w14:textFill>
        </w:rPr>
        <w:t>的</w:t>
      </w:r>
      <w:r>
        <w:rPr>
          <w:rFonts w:hint="default" w:ascii="Times New Roman" w:hAnsi="Times New Roman" w:cs="Times New Roman"/>
          <w:color w:val="000000" w:themeColor="text1"/>
          <w:lang w:eastAsia="zh-CN"/>
          <w14:textFill>
            <w14:solidFill>
              <w14:schemeClr w14:val="tx1"/>
            </w14:solidFill>
          </w14:textFill>
        </w:rPr>
        <w:t>相关工作，</w:t>
      </w:r>
      <w:r>
        <w:rPr>
          <w:rFonts w:hint="eastAsia" w:cs="Times New Roman"/>
          <w:color w:val="000000" w:themeColor="text1"/>
          <w:lang w:val="en-US" w:eastAsia="zh-CN"/>
          <w14:textFill>
            <w14:solidFill>
              <w14:schemeClr w14:val="tx1"/>
            </w14:solidFill>
          </w14:textFill>
        </w:rPr>
        <w:t>CRC可以</w:t>
      </w:r>
      <w:r>
        <w:rPr>
          <w:rFonts w:hint="default" w:ascii="Times New Roman" w:hAnsi="Times New Roman" w:cs="Times New Roman"/>
          <w:color w:val="000000" w:themeColor="text1"/>
          <w:lang w:eastAsia="zh-CN"/>
          <w14:textFill>
            <w14:solidFill>
              <w14:schemeClr w14:val="tx1"/>
            </w14:solidFill>
          </w14:textFill>
        </w:rPr>
        <w:t>是临床试验的</w:t>
      </w:r>
      <w:r>
        <w:rPr>
          <w:rFonts w:hint="eastAsia" w:cs="Times New Roman"/>
          <w:color w:val="000000" w:themeColor="text1"/>
          <w:lang w:val="en-US" w:eastAsia="zh-CN"/>
          <w14:textFill>
            <w14:solidFill>
              <w14:schemeClr w14:val="tx1"/>
            </w14:solidFill>
          </w14:textFill>
        </w:rPr>
        <w:t>执行者、</w:t>
      </w:r>
      <w:r>
        <w:rPr>
          <w:rFonts w:hint="default" w:ascii="Times New Roman" w:hAnsi="Times New Roman" w:cs="Times New Roman"/>
          <w:color w:val="000000" w:themeColor="text1"/>
          <w:lang w:eastAsia="zh-CN"/>
          <w14:textFill>
            <w14:solidFill>
              <w14:schemeClr w14:val="tx1"/>
            </w14:solidFill>
          </w14:textFill>
        </w:rPr>
        <w:t>协调者</w:t>
      </w:r>
      <w:r>
        <w:rPr>
          <w:rFonts w:hint="eastAsia" w:cs="Times New Roman"/>
          <w:color w:val="000000" w:themeColor="text1"/>
          <w:lang w:val="en-US" w:eastAsia="zh-CN"/>
          <w14:textFill>
            <w14:solidFill>
              <w14:schemeClr w14:val="tx1"/>
            </w14:solidFill>
          </w14:textFill>
        </w:rPr>
        <w:t>和管理者</w:t>
      </w:r>
      <w:r>
        <w:rPr>
          <w:rFonts w:hint="default" w:ascii="Times New Roman" w:hAnsi="Times New Roman" w:cs="Times New Roman"/>
          <w:color w:val="000000" w:themeColor="text1"/>
          <w:lang w:eastAsia="zh-CN"/>
          <w14:textFill>
            <w14:solidFill>
              <w14:schemeClr w14:val="tx1"/>
            </w14:solidFill>
          </w14:textFill>
        </w:rPr>
        <w:t>。</w:t>
      </w:r>
    </w:p>
    <w:p w14:paraId="5884DB54">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申办者  </w:t>
      </w:r>
      <w:r>
        <w:rPr>
          <w:rFonts w:hint="eastAsia" w:ascii="黑体" w:hAnsi="黑体" w:eastAsia="黑体" w:cs="黑体"/>
          <w:lang w:val="en-US" w:eastAsia="zh-CN"/>
        </w:rPr>
        <w:t>s</w:t>
      </w:r>
      <w:r>
        <w:rPr>
          <w:rFonts w:hint="eastAsia" w:ascii="黑体" w:hAnsi="黑体" w:eastAsia="黑体" w:cs="黑体"/>
          <w:lang w:eastAsia="zh-CN"/>
        </w:rPr>
        <w:t>ponsor</w:t>
      </w:r>
    </w:p>
    <w:p w14:paraId="6B208205">
      <w:pPr>
        <w:pStyle w:val="58"/>
        <w:rPr>
          <w:rFonts w:hint="eastAsia" w:ascii="黑体" w:hAnsi="黑体" w:eastAsia="黑体" w:cs="黑体"/>
          <w:highlight w:val="none"/>
          <w:lang w:eastAsia="zh-CN"/>
        </w:rPr>
      </w:pPr>
      <w:r>
        <w:rPr>
          <w:rFonts w:hint="default" w:ascii="Times New Roman" w:hAnsi="Times New Roman" w:cs="Times New Roman"/>
          <w:lang w:eastAsia="zh-CN"/>
        </w:rPr>
        <w:t>负责临床试验的发起、管理和提供临床试验经费的个人、组织或者机构。</w:t>
      </w:r>
    </w:p>
    <w:p w14:paraId="05B13420">
      <w:pPr>
        <w:pStyle w:val="225"/>
        <w:bidi w:val="0"/>
        <w:spacing w:after="0" w:afterLines="0"/>
        <w:ind w:left="422" w:hanging="422" w:hangingChars="200"/>
        <w:rPr>
          <w:rFonts w:hint="eastAsia" w:ascii="黑体" w:hAnsi="黑体" w:eastAsia="黑体" w:cs="黑体"/>
          <w:b w:val="0"/>
          <w:bCs w:val="0"/>
          <w:i w:val="0"/>
          <w:iCs w:val="0"/>
          <w:caps w:val="0"/>
          <w:spacing w:val="0"/>
          <w:sz w:val="21"/>
          <w:szCs w:val="21"/>
          <w:shd w:val="clear"/>
          <w:lang w:eastAsia="zh-CN"/>
        </w:rPr>
      </w:pPr>
      <w:r>
        <w:rPr>
          <w:rFonts w:hint="eastAsia" w:ascii="黑体" w:hAnsi="黑体" w:eastAsia="黑体" w:cs="黑体"/>
          <w:b/>
          <w:bCs/>
          <w:i w:val="0"/>
          <w:iCs w:val="0"/>
          <w:caps w:val="0"/>
          <w:spacing w:val="0"/>
          <w:sz w:val="21"/>
          <w:szCs w:val="21"/>
          <w:shd w:val="clear"/>
          <w:lang w:val="en-US" w:eastAsia="zh-CN"/>
        </w:rPr>
        <w:br w:type="textWrapping"/>
      </w:r>
      <w:r>
        <w:rPr>
          <w:rFonts w:hint="eastAsia" w:ascii="黑体" w:hAnsi="黑体" w:eastAsia="黑体" w:cs="黑体"/>
          <w:b w:val="0"/>
          <w:bCs w:val="0"/>
          <w:i w:val="0"/>
          <w:iCs w:val="0"/>
          <w:caps w:val="0"/>
          <w:spacing w:val="0"/>
          <w:sz w:val="21"/>
          <w:szCs w:val="21"/>
          <w:shd w:val="clear"/>
          <w:lang w:val="en-US" w:eastAsia="zh-CN"/>
        </w:rPr>
        <w:t>合同研究组织c</w:t>
      </w:r>
      <w:r>
        <w:rPr>
          <w:rFonts w:hint="eastAsia" w:ascii="黑体" w:hAnsi="黑体" w:eastAsia="黑体" w:cs="黑体"/>
          <w:b w:val="0"/>
          <w:bCs w:val="0"/>
          <w:i w:val="0"/>
          <w:iCs w:val="0"/>
          <w:caps w:val="0"/>
          <w:spacing w:val="0"/>
          <w:sz w:val="21"/>
          <w:szCs w:val="21"/>
          <w:shd w:val="clear"/>
        </w:rPr>
        <w:t xml:space="preserve">ontract </w:t>
      </w:r>
      <w:r>
        <w:rPr>
          <w:rFonts w:hint="eastAsia" w:ascii="黑体" w:hAnsi="黑体" w:eastAsia="黑体" w:cs="黑体"/>
          <w:b w:val="0"/>
          <w:bCs w:val="0"/>
          <w:i w:val="0"/>
          <w:iCs w:val="0"/>
          <w:caps w:val="0"/>
          <w:spacing w:val="0"/>
          <w:sz w:val="21"/>
          <w:szCs w:val="21"/>
          <w:shd w:val="clear"/>
          <w:lang w:val="en-US" w:eastAsia="zh-CN"/>
        </w:rPr>
        <w:t>r</w:t>
      </w:r>
      <w:r>
        <w:rPr>
          <w:rFonts w:hint="eastAsia" w:ascii="黑体" w:hAnsi="黑体" w:eastAsia="黑体" w:cs="黑体"/>
          <w:b w:val="0"/>
          <w:bCs w:val="0"/>
          <w:i w:val="0"/>
          <w:iCs w:val="0"/>
          <w:caps w:val="0"/>
          <w:spacing w:val="0"/>
          <w:sz w:val="21"/>
          <w:szCs w:val="21"/>
          <w:shd w:val="clear"/>
        </w:rPr>
        <w:t xml:space="preserve">esearch </w:t>
      </w:r>
      <w:r>
        <w:rPr>
          <w:rFonts w:hint="eastAsia" w:ascii="黑体" w:hAnsi="黑体" w:eastAsia="黑体" w:cs="黑体"/>
          <w:b w:val="0"/>
          <w:bCs w:val="0"/>
          <w:i w:val="0"/>
          <w:iCs w:val="0"/>
          <w:caps w:val="0"/>
          <w:spacing w:val="0"/>
          <w:sz w:val="21"/>
          <w:szCs w:val="21"/>
          <w:shd w:val="clear"/>
          <w:lang w:val="en-US" w:eastAsia="zh-CN"/>
        </w:rPr>
        <w:t>o</w:t>
      </w:r>
      <w:r>
        <w:rPr>
          <w:rFonts w:hint="eastAsia" w:ascii="黑体" w:hAnsi="黑体" w:eastAsia="黑体" w:cs="黑体"/>
          <w:b w:val="0"/>
          <w:bCs w:val="0"/>
          <w:i w:val="0"/>
          <w:iCs w:val="0"/>
          <w:caps w:val="0"/>
          <w:spacing w:val="0"/>
          <w:sz w:val="21"/>
          <w:szCs w:val="21"/>
          <w:shd w:val="clear"/>
        </w:rPr>
        <w:t>rganization,CRO</w:t>
      </w:r>
    </w:p>
    <w:p w14:paraId="6F230095">
      <w:pPr>
        <w:pStyle w:val="58"/>
        <w:rPr>
          <w:rFonts w:hint="eastAsia"/>
          <w:lang w:eastAsia="zh-CN"/>
        </w:rPr>
      </w:pPr>
      <w:r>
        <w:rPr>
          <w:rFonts w:hint="eastAsia"/>
          <w:lang w:eastAsia="zh-CN"/>
        </w:rPr>
        <w:t>由申办者签订合同授权，执行申办者在临床试验中的某些职责和任务的单位。</w:t>
      </w:r>
    </w:p>
    <w:p w14:paraId="7CF09A6C">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临床试验现场管理组织 </w:t>
      </w:r>
      <w:r>
        <w:rPr>
          <w:rFonts w:hint="eastAsia" w:ascii="黑体" w:hAnsi="黑体" w:eastAsia="黑体" w:cs="黑体"/>
          <w:lang w:val="en-US" w:eastAsia="zh-CN"/>
        </w:rPr>
        <w:t>s</w:t>
      </w:r>
      <w:r>
        <w:rPr>
          <w:rFonts w:hint="eastAsia" w:ascii="黑体" w:hAnsi="黑体" w:eastAsia="黑体" w:cs="黑体"/>
          <w:lang w:eastAsia="zh-CN"/>
        </w:rPr>
        <w:t xml:space="preserve">ite </w:t>
      </w:r>
      <w:r>
        <w:rPr>
          <w:rFonts w:hint="eastAsia" w:ascii="黑体" w:hAnsi="黑体" w:eastAsia="黑体" w:cs="黑体"/>
          <w:lang w:val="en-US" w:eastAsia="zh-CN"/>
        </w:rPr>
        <w:t>m</w:t>
      </w:r>
      <w:r>
        <w:rPr>
          <w:rFonts w:hint="eastAsia" w:ascii="黑体" w:hAnsi="黑体" w:eastAsia="黑体" w:cs="黑体"/>
          <w:lang w:eastAsia="zh-CN"/>
        </w:rPr>
        <w:t xml:space="preserve">anagement </w:t>
      </w:r>
      <w:r>
        <w:rPr>
          <w:rFonts w:hint="eastAsia" w:ascii="黑体" w:hAnsi="黑体" w:eastAsia="黑体" w:cs="黑体"/>
          <w:lang w:val="en-US" w:eastAsia="zh-CN"/>
        </w:rPr>
        <w:t>o</w:t>
      </w:r>
      <w:r>
        <w:rPr>
          <w:rFonts w:hint="eastAsia" w:ascii="黑体" w:hAnsi="黑体" w:eastAsia="黑体" w:cs="黑体"/>
          <w:lang w:eastAsia="zh-CN"/>
        </w:rPr>
        <w:t>rganization,SMO</w:t>
      </w:r>
    </w:p>
    <w:p w14:paraId="33D21F15">
      <w:pPr>
        <w:pStyle w:val="58"/>
        <w:rPr>
          <w:rFonts w:hint="eastAsia" w:ascii="黑体" w:hAnsi="黑体" w:eastAsia="黑体" w:cs="黑体"/>
          <w:lang w:eastAsia="zh-CN"/>
        </w:rPr>
      </w:pPr>
      <w:r>
        <w:rPr>
          <w:rFonts w:hint="eastAsia"/>
          <w:lang w:eastAsia="zh-CN"/>
        </w:rPr>
        <w:t>协助临床试验机构进行临床试验具体操作的现场管理组织。</w:t>
      </w:r>
    </w:p>
    <w:p w14:paraId="7CD18625">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知情同意  </w:t>
      </w:r>
      <w:r>
        <w:rPr>
          <w:rFonts w:hint="eastAsia" w:ascii="黑体" w:hAnsi="黑体" w:eastAsia="黑体" w:cs="黑体"/>
          <w:lang w:val="en-US" w:eastAsia="zh-CN"/>
        </w:rPr>
        <w:t>i</w:t>
      </w:r>
      <w:r>
        <w:rPr>
          <w:rFonts w:hint="eastAsia" w:ascii="黑体" w:hAnsi="黑体" w:eastAsia="黑体" w:cs="黑体"/>
          <w:lang w:eastAsia="zh-CN"/>
        </w:rPr>
        <w:t xml:space="preserve">nformed </w:t>
      </w:r>
      <w:r>
        <w:rPr>
          <w:rFonts w:hint="eastAsia" w:ascii="黑体" w:hAnsi="黑体" w:eastAsia="黑体" w:cs="黑体"/>
          <w:lang w:val="en-US" w:eastAsia="zh-CN"/>
        </w:rPr>
        <w:t>c</w:t>
      </w:r>
      <w:r>
        <w:rPr>
          <w:rFonts w:hint="eastAsia" w:ascii="黑体" w:hAnsi="黑体" w:eastAsia="黑体" w:cs="黑体"/>
          <w:lang w:eastAsia="zh-CN"/>
        </w:rPr>
        <w:t>onsent</w:t>
      </w:r>
    </w:p>
    <w:p w14:paraId="155BB544">
      <w:pPr>
        <w:pStyle w:val="58"/>
        <w:ind w:firstLine="420"/>
        <w:rPr>
          <w:rFonts w:hint="default" w:ascii="Times New Roman" w:hAnsi="Times New Roman" w:cs="Times New Roman"/>
        </w:rPr>
      </w:pPr>
      <w:r>
        <w:rPr>
          <w:rFonts w:hint="eastAsia" w:cs="Times New Roman"/>
          <w:lang w:eastAsia="zh-CN"/>
        </w:rPr>
        <w:t>试验参与者</w:t>
      </w:r>
      <w:r>
        <w:rPr>
          <w:rFonts w:hint="default" w:ascii="Times New Roman" w:hAnsi="Times New Roman" w:cs="Times New Roman"/>
        </w:rPr>
        <w:t>被告知可影响其做出参加临床试验决定的各方面情况后，确认同意自愿参加临床试验的过程。该过程应当以书面的、签署姓名和日期的知情同意书作为文件证明。</w:t>
      </w:r>
    </w:p>
    <w:p w14:paraId="3299293A">
      <w:pPr>
        <w:pStyle w:val="225"/>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val="en-US" w:eastAsia="zh-CN"/>
        </w:rPr>
        <w:t>药物临床试验质量管理规范 good clinical practice,GCP</w:t>
      </w:r>
    </w:p>
    <w:p w14:paraId="247CCA78">
      <w:pPr>
        <w:pStyle w:val="58"/>
        <w:ind w:firstLine="420"/>
        <w:rPr>
          <w:rFonts w:hint="default" w:cs="Times New Roman"/>
          <w:lang w:eastAsia="zh-CN"/>
        </w:rPr>
      </w:pPr>
      <w:r>
        <w:rPr>
          <w:rFonts w:hint="default" w:cs="Times New Roman"/>
          <w:lang w:val="en-US" w:eastAsia="zh-CN"/>
        </w:rPr>
        <w:t>药物临床试验质量管理规范是药物临床试验全过程的质量标准，包括方案设计、组织实施、监查、查、记录、分析、总结和报告。</w:t>
      </w:r>
    </w:p>
    <w:p w14:paraId="4E09F946">
      <w:pPr>
        <w:pStyle w:val="106"/>
        <w:bidi w:val="0"/>
        <w:rPr>
          <w:rFonts w:hint="default" w:ascii="Times New Roman" w:hAnsi="Times New Roman" w:cs="Times New Roman"/>
        </w:rPr>
      </w:pPr>
      <w:r>
        <w:rPr>
          <w:rFonts w:hint="default" w:ascii="Times New Roman" w:hAnsi="Times New Roman" w:cs="Times New Roman"/>
          <w:lang w:val="en-US" w:eastAsia="zh-CN"/>
        </w:rPr>
        <w:t>缩略语</w:t>
      </w:r>
    </w:p>
    <w:p w14:paraId="0AA01CA3">
      <w:pPr>
        <w:pStyle w:val="58"/>
        <w:rPr>
          <w:rFonts w:hint="default" w:ascii="Times New Roman" w:hAnsi="Times New Roman" w:cs="Times New Roman"/>
        </w:rPr>
      </w:pPr>
      <w:r>
        <w:rPr>
          <w:rFonts w:hint="default" w:ascii="Times New Roman" w:hAnsi="Times New Roman" w:cs="Times New Roman"/>
        </w:rPr>
        <w:t>下列缩略语适用于本文件。</w:t>
      </w:r>
    </w:p>
    <w:p w14:paraId="5BB663D9">
      <w:pPr>
        <w:pStyle w:val="58"/>
        <w:bidi w:val="0"/>
        <w:rPr>
          <w:rFonts w:hint="default"/>
        </w:rPr>
      </w:pPr>
      <w:r>
        <w:rPr>
          <w:rFonts w:hint="default"/>
        </w:rPr>
        <w:t>标准操作规程（Standard Operating Procedure，SOP）</w:t>
      </w:r>
    </w:p>
    <w:p w14:paraId="415B88A3">
      <w:pPr>
        <w:pStyle w:val="58"/>
        <w:bidi w:val="0"/>
        <w:rPr>
          <w:rFonts w:hint="default"/>
        </w:rPr>
      </w:pPr>
      <w:r>
        <w:rPr>
          <w:rFonts w:hint="default"/>
        </w:rPr>
        <w:t>国际人用药品注册技术协调会（International Council for Harmonisation ，ICH）</w:t>
      </w:r>
    </w:p>
    <w:p w14:paraId="4DF6B296">
      <w:pPr>
        <w:pStyle w:val="58"/>
        <w:bidi w:val="0"/>
        <w:rPr>
          <w:rFonts w:hint="default"/>
        </w:rPr>
      </w:pPr>
      <w:r>
        <w:rPr>
          <w:rFonts w:hint="default"/>
        </w:rPr>
        <w:t>电子数据采集系统（Electronic Data Capture，EDC）</w:t>
      </w:r>
    </w:p>
    <w:p w14:paraId="28678718">
      <w:pPr>
        <w:pStyle w:val="58"/>
        <w:bidi w:val="0"/>
        <w:rPr>
          <w:rFonts w:hint="default"/>
        </w:rPr>
      </w:pPr>
      <w:r>
        <w:rPr>
          <w:rFonts w:hint="default"/>
        </w:rPr>
        <w:t>质量保证（Quality Assurance，QA）</w:t>
      </w:r>
    </w:p>
    <w:p w14:paraId="01C52AE6">
      <w:pPr>
        <w:pStyle w:val="58"/>
        <w:bidi w:val="0"/>
        <w:rPr>
          <w:rFonts w:hint="default"/>
          <w:lang w:eastAsia="zh-CN"/>
        </w:rPr>
      </w:pPr>
      <w:r>
        <w:rPr>
          <w:rFonts w:hint="default"/>
        </w:rPr>
        <w:t>质量控制（Quality Control，QC）</w:t>
      </w:r>
    </w:p>
    <w:p w14:paraId="7A45BD01">
      <w:pPr>
        <w:pStyle w:val="106"/>
        <w:bidi w:val="0"/>
      </w:pPr>
      <w:r>
        <w:rPr>
          <w:rFonts w:hint="eastAsia"/>
          <w:lang w:val="en-US" w:eastAsia="zh-CN"/>
        </w:rPr>
        <w:t>基本原则</w:t>
      </w:r>
    </w:p>
    <w:p w14:paraId="3C2ABCE0">
      <w:pPr>
        <w:pStyle w:val="107"/>
        <w:bidi w:val="0"/>
      </w:pPr>
      <w:r>
        <w:rPr>
          <w:rFonts w:hint="eastAsia"/>
        </w:rPr>
        <w:t>信息保密</w:t>
      </w:r>
    </w:p>
    <w:p w14:paraId="05217342">
      <w:pPr>
        <w:pStyle w:val="167"/>
        <w:numPr>
          <w:ilvl w:val="3"/>
          <w:numId w:val="0"/>
        </w:numPr>
        <w:bidi w:val="0"/>
        <w:ind w:leftChars="0"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CRC须对因工作接触到的</w:t>
      </w:r>
      <w:r>
        <w:rPr>
          <w:rFonts w:hint="eastAsia" w:ascii="Times New Roman" w:cs="Times New Roman"/>
          <w:color w:val="000000" w:themeColor="text1"/>
          <w:lang w:val="en-US" w:eastAsia="zh-CN"/>
          <w14:textFill>
            <w14:solidFill>
              <w14:schemeClr w14:val="tx1"/>
            </w14:solidFill>
          </w14:textFill>
        </w:rPr>
        <w:t>项目相关信息</w:t>
      </w:r>
      <w:r>
        <w:rPr>
          <w:rFonts w:hint="default" w:ascii="Times New Roman" w:hAnsi="Times New Roman" w:cs="Times New Roman"/>
          <w:color w:val="000000" w:themeColor="text1"/>
          <w:lang w:val="en-US" w:eastAsia="zh-CN"/>
          <w14:textFill>
            <w14:solidFill>
              <w14:schemeClr w14:val="tx1"/>
            </w14:solidFill>
          </w14:textFill>
        </w:rPr>
        <w:t>承</w:t>
      </w:r>
      <w:r>
        <w:rPr>
          <w:rFonts w:hint="default" w:ascii="Times New Roman" w:hAnsi="Times New Roman" w:cs="Times New Roman"/>
          <w:lang w:val="en-US" w:eastAsia="zh-CN"/>
        </w:rPr>
        <w:t>担严格的保密义务</w:t>
      </w:r>
      <w:r>
        <w:rPr>
          <w:rFonts w:hint="eastAsia" w:ascii="Times New Roman" w:cs="Times New Roman"/>
          <w:lang w:val="en-US" w:eastAsia="zh-CN"/>
        </w:rPr>
        <w:t>，并</w:t>
      </w:r>
      <w:r>
        <w:rPr>
          <w:rFonts w:hint="default" w:ascii="Times New Roman" w:hAnsi="Times New Roman" w:cs="Times New Roman"/>
          <w:lang w:val="en-US" w:eastAsia="zh-CN"/>
        </w:rPr>
        <w:t>在入职参与项目前签署保密协议</w:t>
      </w:r>
      <w:r>
        <w:rPr>
          <w:rFonts w:hint="eastAsia" w:ascii="Times New Roman" w:cs="Times New Roman"/>
          <w:lang w:val="en-US" w:eastAsia="zh-CN"/>
        </w:rPr>
        <w:t>，保密内容包括以下几个方面：</w:t>
      </w:r>
    </w:p>
    <w:p w14:paraId="2899FDE1">
      <w:pPr>
        <w:pStyle w:val="134"/>
        <w:bidi w:val="0"/>
        <w:rPr>
          <w:rFonts w:hint="default" w:ascii="Times New Roman" w:hAnsi="Times New Roman" w:eastAsia="宋体" w:cs="Times New Roman"/>
          <w:color w:val="000000" w:themeColor="text1"/>
          <w:sz w:val="21"/>
          <w:lang w:val="en-US" w:eastAsia="zh-CN" w:bidi="ar-SA"/>
          <w14:textFill>
            <w14:solidFill>
              <w14:schemeClr w14:val="tx1"/>
            </w14:solidFill>
          </w14:textFill>
        </w:rPr>
      </w:pPr>
      <w:r>
        <w:rPr>
          <w:rFonts w:hint="default"/>
          <w:color w:val="000000" w:themeColor="text1"/>
          <w:lang w:val="en-US" w:eastAsia="zh-CN"/>
          <w14:textFill>
            <w14:solidFill>
              <w14:schemeClr w14:val="tx1"/>
            </w14:solidFill>
          </w14:textFill>
        </w:rPr>
        <w:t>除直接参与诊疗的研究者及必要监管机构依规审查外，严禁向任何第三方泄露可识别参与者身份的信息（如姓名、身份证号、联系方式、病历资料等）</w:t>
      </w:r>
      <w:r>
        <w:rPr>
          <w:rFonts w:hint="eastAsia"/>
          <w:color w:val="000000" w:themeColor="text1"/>
          <w:lang w:val="en-US" w:eastAsia="zh-CN"/>
          <w14:textFill>
            <w14:solidFill>
              <w14:schemeClr w14:val="tx1"/>
            </w14:solidFill>
          </w14:textFill>
        </w:rPr>
        <w:t>；如因研究需要（如中心实验室检测、数据盲态审核）或法规要求必须对外传输此类信息时，在传输前，应采用</w:t>
      </w:r>
      <w:r>
        <w:rPr>
          <w:rFonts w:hint="default" w:ascii="Times New Roman" w:hAnsi="Times New Roman" w:eastAsia="宋体" w:cs="Times New Roman"/>
          <w:color w:val="000000" w:themeColor="text1"/>
          <w:sz w:val="21"/>
          <w:lang w:val="en-US" w:eastAsia="zh-CN" w:bidi="ar-SA"/>
          <w14:textFill>
            <w14:solidFill>
              <w14:schemeClr w14:val="tx1"/>
            </w14:solidFill>
          </w14:textFill>
        </w:rPr>
        <w:t>符合《个人信息保护法》要求</w:t>
      </w:r>
      <w:r>
        <w:rPr>
          <w:rFonts w:ascii="Times New Roman" w:hAnsi="Times New Roman" w:eastAsia="宋体" w:cs="Times New Roman"/>
          <w:i w:val="0"/>
          <w:iCs w:val="0"/>
          <w:caps w:val="0"/>
          <w:color w:val="000000" w:themeColor="text1"/>
          <w:spacing w:val="0"/>
          <w:sz w:val="21"/>
          <w:szCs w:val="24"/>
          <w:shd w:val="clear" w:fill="FFFFFF"/>
          <w:lang w:val="en-US" w:eastAsia="zh-CN" w:bidi="ar-SA"/>
          <w14:textFill>
            <w14:solidFill>
              <w14:schemeClr w14:val="tx1"/>
            </w14:solidFill>
          </w14:textFill>
        </w:rPr>
        <w:t>的</w:t>
      </w:r>
      <w:r>
        <w:rPr>
          <w:rFonts w:hint="eastAsia" w:ascii="Times New Roman" w:hAnsi="Times New Roman" w:eastAsia="宋体" w:cs="Times New Roman"/>
          <w:color w:val="000000" w:themeColor="text1"/>
          <w:sz w:val="21"/>
          <w:lang w:val="en-US" w:eastAsia="zh-CN" w:bidi="ar-SA"/>
          <w14:textFill>
            <w14:solidFill>
              <w14:schemeClr w14:val="tx1"/>
            </w14:solidFill>
          </w14:textFill>
        </w:rPr>
        <w:t>可靠匿名化技术（如使用唯一受试者识别码替代直接标识符）对信息进行处理，最大限度降低身份识别风险；</w:t>
      </w:r>
    </w:p>
    <w:p w14:paraId="12C32503">
      <w:pPr>
        <w:pStyle w:val="134"/>
        <w:bidi w:val="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严格保密</w:t>
      </w:r>
      <w:r>
        <w:rPr>
          <w:rFonts w:hint="eastAsia"/>
          <w:color w:val="000000" w:themeColor="text1"/>
          <w:lang w:val="en-US" w:eastAsia="zh-CN"/>
          <w14:textFill>
            <w14:solidFill>
              <w14:schemeClr w14:val="tx1"/>
            </w14:solidFill>
          </w14:textFill>
        </w:rPr>
        <w:t>申办者</w:t>
      </w:r>
      <w:r>
        <w:rPr>
          <w:rFonts w:hint="default"/>
          <w:color w:val="000000" w:themeColor="text1"/>
          <w:lang w:val="en-US" w:eastAsia="zh-CN"/>
          <w14:textFill>
            <w14:solidFill>
              <w14:schemeClr w14:val="tx1"/>
            </w14:solidFill>
          </w14:textFill>
        </w:rPr>
        <w:t>提供的试验方案、研究数据、研发策略、商业计划及财务信息等商业秘密与知识产权</w:t>
      </w:r>
      <w:r>
        <w:rPr>
          <w:rFonts w:hint="eastAsia"/>
          <w:color w:val="000000" w:themeColor="text1"/>
          <w:lang w:val="en-US" w:eastAsia="zh-CN"/>
          <w14:textFill>
            <w14:solidFill>
              <w14:schemeClr w14:val="tx1"/>
            </w14:solidFill>
          </w14:textFill>
        </w:rPr>
        <w:t>；</w:t>
      </w:r>
    </w:p>
    <w:p w14:paraId="7AE36ECE">
      <w:pPr>
        <w:pStyle w:val="58"/>
        <w:bidi w:val="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在未获得正式授权或许可前</w:t>
      </w:r>
      <w:r>
        <w:rPr>
          <w:rFonts w:hint="eastAsia"/>
          <w:color w:val="000000" w:themeColor="text1"/>
          <w14:textFill>
            <w14:solidFill>
              <w14:schemeClr w14:val="tx1"/>
            </w14:solidFill>
          </w14:textFill>
        </w:rPr>
        <w:t>在未获得</w:t>
      </w:r>
      <w:r>
        <w:rPr>
          <w:rFonts w:hint="default"/>
          <w:color w:val="000000" w:themeColor="text1"/>
          <w14:textFill>
            <w14:solidFill>
              <w14:schemeClr w14:val="tx1"/>
            </w14:solidFill>
          </w14:textFill>
        </w:rPr>
        <w:t>授权主体（</w:t>
      </w:r>
      <w:r>
        <w:rPr>
          <w:rFonts w:hint="eastAsia"/>
          <w:color w:val="000000" w:themeColor="text1"/>
          <w:lang w:eastAsia="zh-CN"/>
          <w14:textFill>
            <w14:solidFill>
              <w14:schemeClr w14:val="tx1"/>
            </w14:solidFill>
          </w14:textFill>
        </w:rPr>
        <w:t>申办者</w:t>
      </w:r>
      <w:r>
        <w:rPr>
          <w:rFonts w:hint="default"/>
          <w:color w:val="000000" w:themeColor="text1"/>
          <w14:textFill>
            <w14:solidFill>
              <w14:schemeClr w14:val="tx1"/>
            </w14:solidFill>
          </w14:textFill>
        </w:rPr>
        <w:t>或CRC所属CRO，以项目委托协议约定为准书面授权前</w:t>
      </w:r>
      <w:r>
        <w:rPr>
          <w:rFonts w:hint="eastAsia"/>
          <w:color w:val="000000" w:themeColor="text1"/>
          <w:lang w:eastAsia="zh-CN"/>
          <w14:textFill>
            <w14:solidFill>
              <w14:schemeClr w14:val="tx1"/>
            </w14:solidFill>
          </w14:textFill>
        </w:rPr>
        <w:t>）</w:t>
      </w:r>
      <w:r>
        <w:rPr>
          <w:rFonts w:hint="default"/>
          <w:color w:val="000000" w:themeColor="text1"/>
          <w:lang w:val="en-US" w:eastAsia="zh-CN"/>
          <w14:textFill>
            <w14:solidFill>
              <w14:schemeClr w14:val="tx1"/>
            </w14:solidFill>
          </w14:textFill>
        </w:rPr>
        <w:t>，所有试验数据、初步分析结果、内部讨论记录及阶段性决议均属保密范畴，不得对外披露</w:t>
      </w:r>
      <w:r>
        <w:rPr>
          <w:rFonts w:hint="eastAsia"/>
          <w:color w:val="000000" w:themeColor="text1"/>
          <w:lang w:val="en-US" w:eastAsia="zh-CN"/>
          <w14:textFill>
            <w14:solidFill>
              <w14:schemeClr w14:val="tx1"/>
            </w14:solidFill>
          </w14:textFill>
        </w:rPr>
        <w:t>。</w:t>
      </w:r>
    </w:p>
    <w:p w14:paraId="6AD03337">
      <w:pPr>
        <w:pStyle w:val="107"/>
        <w:bidi w:val="0"/>
      </w:pPr>
      <w:r>
        <w:rPr>
          <w:rFonts w:hint="eastAsia"/>
        </w:rPr>
        <w:t>利益回避</w:t>
      </w:r>
    </w:p>
    <w:p w14:paraId="55663600">
      <w:pPr>
        <w:pStyle w:val="58"/>
        <w:bidi w:val="0"/>
        <w:rPr>
          <w:rFonts w:hint="eastAsia"/>
          <w:lang w:eastAsia="zh-CN"/>
        </w:rPr>
      </w:pPr>
      <w:r>
        <w:rPr>
          <w:rFonts w:hint="eastAsia"/>
        </w:rPr>
        <w:t>CRC在项目中应遵守利益冲突回避原则。</w:t>
      </w:r>
      <w:r>
        <w:rPr>
          <w:rFonts w:hint="eastAsia"/>
          <w:lang w:eastAsia="zh-CN"/>
        </w:rPr>
        <w:t>存在以下情况时，应视为存在潜在利益冲突：</w:t>
      </w:r>
    </w:p>
    <w:p w14:paraId="21AD25B9">
      <w:pPr>
        <w:pStyle w:val="134"/>
        <w:bidi w:val="0"/>
        <w:rPr>
          <w:rFonts w:hint="eastAsia"/>
          <w:lang w:val="en-US" w:eastAsia="zh-CN"/>
        </w:rPr>
      </w:pPr>
      <w:r>
        <w:rPr>
          <w:rFonts w:hint="eastAsia"/>
          <w:lang w:val="en-US" w:eastAsia="zh-CN"/>
        </w:rPr>
        <w:t>CRC本人或其直系亲属与试验的申办者存在经济利益（如持有股份、证券等）或特定的雇佣、顾问关系；</w:t>
      </w:r>
    </w:p>
    <w:p w14:paraId="38B84DEE">
      <w:pPr>
        <w:pStyle w:val="134"/>
        <w:bidi w:val="0"/>
        <w:rPr>
          <w:rFonts w:hint="eastAsia"/>
          <w:lang w:val="en-US" w:eastAsia="zh-CN"/>
        </w:rPr>
      </w:pPr>
      <w:r>
        <w:rPr>
          <w:rFonts w:hint="eastAsia"/>
          <w:lang w:val="en-US" w:eastAsia="zh-CN"/>
        </w:rPr>
        <w:t>CRC本人或其直系亲属与参与试验的研究者或机构工作人员存在可能影响公正判断</w:t>
      </w:r>
      <w:r>
        <w:rPr>
          <w:rFonts w:hint="eastAsia"/>
          <w:color w:val="000000" w:themeColor="text1"/>
          <w:lang w:val="en-US" w:eastAsia="zh-CN"/>
          <w14:textFill>
            <w14:solidFill>
              <w14:schemeClr w14:val="tx1"/>
            </w14:solidFill>
          </w14:textFill>
        </w:rPr>
        <w:t>的密切私</w:t>
      </w:r>
      <w:r>
        <w:rPr>
          <w:rFonts w:hint="eastAsia"/>
          <w:lang w:val="en-US" w:eastAsia="zh-CN"/>
        </w:rPr>
        <w:t>人关系；</w:t>
      </w:r>
    </w:p>
    <w:p w14:paraId="7B166EBD">
      <w:pPr>
        <w:pStyle w:val="134"/>
        <w:bidi w:val="0"/>
        <w:rPr>
          <w:rFonts w:hint="eastAsia"/>
          <w:lang w:eastAsia="zh-CN"/>
        </w:rPr>
      </w:pPr>
      <w:r>
        <w:rPr>
          <w:rFonts w:hint="eastAsia"/>
          <w:lang w:val="en-US" w:eastAsia="zh-CN"/>
        </w:rPr>
        <w:t>任何其他可能影响CRC独立、客观、公正地履行职责的情况。</w:t>
      </w:r>
    </w:p>
    <w:p w14:paraId="75DE8FAD">
      <w:pPr>
        <w:pStyle w:val="106"/>
        <w:bidi w:val="0"/>
        <w:rPr>
          <w:rFonts w:hint="eastAsia"/>
          <w:lang w:eastAsia="zh-CN"/>
        </w:rPr>
      </w:pPr>
      <w:r>
        <w:rPr>
          <w:rFonts w:hint="eastAsia"/>
          <w:lang w:val="en-US" w:eastAsia="zh-CN"/>
        </w:rPr>
        <w:t>上岗要求</w:t>
      </w:r>
    </w:p>
    <w:p w14:paraId="603FBD38">
      <w:pPr>
        <w:pStyle w:val="107"/>
        <w:bidi w:val="0"/>
      </w:pPr>
      <w:r>
        <w:rPr>
          <w:rFonts w:hint="eastAsia"/>
          <w:lang w:val="en-US" w:eastAsia="zh-CN"/>
        </w:rPr>
        <w:t>资质要求</w:t>
      </w:r>
    </w:p>
    <w:p w14:paraId="4D666BD9">
      <w:pPr>
        <w:pStyle w:val="58"/>
      </w:pPr>
      <w:r>
        <w:rPr>
          <w:rFonts w:hint="eastAsia"/>
          <w:lang w:val="en-US" w:eastAsia="zh-CN"/>
        </w:rPr>
        <w:t>CRC上岗前应具有以下资质：</w:t>
      </w:r>
    </w:p>
    <w:p w14:paraId="0692C976">
      <w:pPr>
        <w:pStyle w:val="134"/>
        <w:bidi w:val="0"/>
      </w:pPr>
      <w:r>
        <w:rPr>
          <w:rFonts w:hint="eastAsia"/>
          <w:lang w:val="en-US" w:eastAsia="zh-CN"/>
        </w:rPr>
        <w:t>具有大专及以上学历，医学、药学、护理学</w:t>
      </w:r>
      <w:r>
        <w:rPr>
          <w:rFonts w:hint="eastAsia"/>
        </w:rPr>
        <w:t>等医药相关专业</w:t>
      </w:r>
      <w:r>
        <w:rPr>
          <w:rFonts w:hint="eastAsia"/>
          <w:lang w:eastAsia="zh-CN"/>
        </w:rPr>
        <w:t>，具备</w:t>
      </w:r>
      <w:r>
        <w:rPr>
          <w:rFonts w:hint="eastAsia"/>
          <w:lang w:val="en-US" w:eastAsia="zh-CN"/>
        </w:rPr>
        <w:t>基本</w:t>
      </w:r>
      <w:r>
        <w:rPr>
          <w:rFonts w:hint="eastAsia"/>
          <w:lang w:eastAsia="zh-CN"/>
        </w:rPr>
        <w:t>的医学</w:t>
      </w:r>
      <w:r>
        <w:rPr>
          <w:rFonts w:hint="eastAsia"/>
          <w:lang w:val="en-US" w:eastAsia="zh-CN"/>
        </w:rPr>
        <w:t>基础</w:t>
      </w:r>
      <w:r>
        <w:rPr>
          <w:rFonts w:hint="eastAsia"/>
          <w:lang w:eastAsia="zh-CN"/>
        </w:rPr>
        <w:t>知识</w:t>
      </w:r>
      <w:r>
        <w:rPr>
          <w:rFonts w:hint="eastAsia"/>
        </w:rPr>
        <w:t>；</w:t>
      </w:r>
    </w:p>
    <w:p w14:paraId="12EC16BC">
      <w:pPr>
        <w:pStyle w:val="134"/>
        <w:bidi w:val="0"/>
      </w:pPr>
      <w:r>
        <w:rPr>
          <w:rFonts w:hint="eastAsia"/>
          <w:lang w:val="en-US" w:eastAsia="zh-CN"/>
        </w:rPr>
        <w:t>完成</w:t>
      </w:r>
      <w:r>
        <w:rPr>
          <w:rFonts w:hint="default"/>
          <w:lang w:eastAsia="zh-CN"/>
        </w:rPr>
        <w:t>GCP</w:t>
      </w:r>
      <w:r>
        <w:rPr>
          <w:rFonts w:hint="eastAsia"/>
          <w:lang w:val="en-US" w:eastAsia="zh-CN"/>
        </w:rPr>
        <w:t>/相关法规培训，考核合格并取得相关证书；</w:t>
      </w:r>
    </w:p>
    <w:p w14:paraId="6C7F53EB">
      <w:pPr>
        <w:pStyle w:val="134"/>
        <w:bidi w:val="0"/>
      </w:pPr>
      <w:r>
        <w:rPr>
          <w:rFonts w:hint="eastAsia"/>
        </w:rPr>
        <w:t>已通过研究中心SOP及本项目所涉及流程的系统性培训</w:t>
      </w:r>
      <w:r>
        <w:rPr>
          <w:rFonts w:hint="eastAsia"/>
          <w:lang w:eastAsia="zh-CN"/>
        </w:rPr>
        <w:t>。</w:t>
      </w:r>
    </w:p>
    <w:p w14:paraId="4B5051B2">
      <w:pPr>
        <w:pStyle w:val="107"/>
        <w:bidi w:val="0"/>
        <w:rPr>
          <w:rFonts w:hint="eastAsia"/>
          <w:lang w:eastAsia="zh-CN"/>
        </w:rPr>
      </w:pPr>
      <w:r>
        <w:rPr>
          <w:rFonts w:hint="eastAsia"/>
          <w:lang w:val="en-US" w:eastAsia="zh-CN"/>
        </w:rPr>
        <w:t>技能要求</w:t>
      </w:r>
    </w:p>
    <w:p w14:paraId="238B808D">
      <w:pPr>
        <w:pStyle w:val="58"/>
        <w:rPr>
          <w:rFonts w:hint="default"/>
          <w:lang w:val="en-US" w:eastAsia="zh-CN"/>
        </w:rPr>
      </w:pPr>
      <w:r>
        <w:rPr>
          <w:rFonts w:hint="eastAsia"/>
          <w:lang w:val="en-US" w:eastAsia="zh-CN"/>
        </w:rPr>
        <w:t>CRC上岗前应具备以下技能：</w:t>
      </w:r>
    </w:p>
    <w:p w14:paraId="0C01A892">
      <w:pPr>
        <w:pStyle w:val="134"/>
        <w:bidi w:val="0"/>
      </w:pPr>
      <w:r>
        <w:rPr>
          <w:rFonts w:hint="eastAsia"/>
          <w:color w:val="000000" w:themeColor="text1"/>
          <w:lang w:val="en-US" w:eastAsia="zh-CN"/>
          <w14:textFill>
            <w14:solidFill>
              <w14:schemeClr w14:val="tx1"/>
            </w14:solidFill>
          </w14:textFill>
        </w:rPr>
        <w:t>了解</w:t>
      </w:r>
      <w:r>
        <w:rPr>
          <w:rFonts w:hint="eastAsia"/>
        </w:rPr>
        <w:t>与药物、器械、疫苗等临床试验相关法规及临床试验专业技术知识</w:t>
      </w:r>
      <w:r>
        <w:rPr>
          <w:rFonts w:hint="eastAsia"/>
          <w:lang w:eastAsia="zh-CN"/>
        </w:rPr>
        <w:t>；</w:t>
      </w:r>
    </w:p>
    <w:p w14:paraId="3ECD6777">
      <w:pPr>
        <w:pStyle w:val="134"/>
        <w:bidi w:val="0"/>
        <w:rPr>
          <w:rFonts w:hint="eastAsia"/>
          <w:lang w:eastAsia="zh-CN"/>
        </w:rPr>
      </w:pPr>
      <w:r>
        <w:rPr>
          <w:rFonts w:hint="eastAsia"/>
          <w:lang w:val="en-US" w:eastAsia="zh-CN"/>
        </w:rPr>
        <w:t>使用</w:t>
      </w:r>
      <w:r>
        <w:rPr>
          <w:rFonts w:hint="eastAsia"/>
          <w:lang w:eastAsia="zh-CN"/>
        </w:rPr>
        <w:t>必要的办公设备和办公软件的能力；</w:t>
      </w:r>
    </w:p>
    <w:p w14:paraId="246E7973">
      <w:pPr>
        <w:pStyle w:val="134"/>
        <w:bidi w:val="0"/>
        <w:rPr>
          <w:rFonts w:hint="eastAsia"/>
          <w:lang w:eastAsia="zh-CN"/>
        </w:rPr>
      </w:pPr>
      <w:r>
        <w:rPr>
          <w:rFonts w:hint="eastAsia"/>
          <w:lang w:val="en-US" w:eastAsia="zh-CN"/>
        </w:rPr>
        <w:t>与</w:t>
      </w:r>
      <w:r>
        <w:rPr>
          <w:rFonts w:hint="eastAsia"/>
          <w:lang w:eastAsia="zh-CN"/>
        </w:rPr>
        <w:t>工作需要相匹配的中英文读写能力；</w:t>
      </w:r>
    </w:p>
    <w:p w14:paraId="24E75BF5">
      <w:pPr>
        <w:pStyle w:val="134"/>
        <w:bidi w:val="0"/>
      </w:pPr>
      <w:r>
        <w:rPr>
          <w:rFonts w:hint="eastAsia"/>
          <w:lang w:val="en-US" w:eastAsia="zh-CN"/>
        </w:rPr>
        <w:t>足够</w:t>
      </w:r>
      <w:r>
        <w:rPr>
          <w:rFonts w:hint="eastAsia"/>
          <w:lang w:eastAsia="zh-CN"/>
        </w:rPr>
        <w:t>的沟通协调能力、抗压能力和团队协作精神。</w:t>
      </w:r>
    </w:p>
    <w:p w14:paraId="1F08E1D5">
      <w:pPr>
        <w:pStyle w:val="107"/>
        <w:bidi w:val="0"/>
        <w:rPr>
          <w:rFonts w:hint="eastAsia"/>
        </w:rPr>
      </w:pPr>
      <w:r>
        <w:rPr>
          <w:rFonts w:hint="eastAsia"/>
        </w:rPr>
        <w:t>实习</w:t>
      </w:r>
      <w:r>
        <w:rPr>
          <w:rFonts w:hint="eastAsia"/>
          <w:color w:val="000000" w:themeColor="text1"/>
          <w14:textFill>
            <w14:solidFill>
              <w14:schemeClr w14:val="tx1"/>
            </w14:solidFill>
          </w14:textFill>
        </w:rPr>
        <w:t>生</w:t>
      </w:r>
      <w:r>
        <w:rPr>
          <w:rFonts w:hint="eastAsia"/>
          <w:color w:val="000000" w:themeColor="text1"/>
          <w:lang w:val="en-US" w:eastAsia="zh-CN"/>
          <w14:textFill>
            <w14:solidFill>
              <w14:schemeClr w14:val="tx1"/>
            </w14:solidFill>
          </w14:textFill>
        </w:rPr>
        <w:t>要求</w:t>
      </w:r>
      <w:bookmarkStart w:id="46" w:name="_GoBack"/>
      <w:bookmarkEnd w:id="46"/>
    </w:p>
    <w:p w14:paraId="79A418EA">
      <w:pPr>
        <w:pStyle w:val="58"/>
        <w:rPr>
          <w:rFonts w:hint="eastAsia"/>
          <w:lang w:val="en-US" w:eastAsia="zh-CN"/>
        </w:rPr>
      </w:pPr>
      <w:r>
        <w:rPr>
          <w:rFonts w:hint="eastAsia"/>
          <w:lang w:val="en-US" w:eastAsia="zh-CN"/>
        </w:rPr>
        <w:t>CRC实习生可在指导老师带领下参与临床试验项目辅助工作，应满足以下准入和要求：</w:t>
      </w:r>
    </w:p>
    <w:p w14:paraId="15A6E82C">
      <w:pPr>
        <w:pStyle w:val="134"/>
        <w:bidi w:val="0"/>
        <w:rPr>
          <w:rFonts w:hint="eastAsia"/>
          <w:lang w:val="en-US" w:eastAsia="zh-CN"/>
        </w:rPr>
      </w:pPr>
      <w:r>
        <w:rPr>
          <w:rFonts w:hint="eastAsia"/>
          <w:lang w:val="en-US" w:eastAsia="zh-CN"/>
        </w:rPr>
        <w:t>须为医学、药学、护理学</w:t>
      </w:r>
      <w:r>
        <w:rPr>
          <w:rFonts w:hint="eastAsia"/>
        </w:rPr>
        <w:t>等医药相关专业</w:t>
      </w:r>
      <w:r>
        <w:rPr>
          <w:rFonts w:hint="eastAsia"/>
          <w:lang w:val="en-US" w:eastAsia="zh-CN"/>
        </w:rPr>
        <w:t>在校学生或应届毕业生；</w:t>
      </w:r>
    </w:p>
    <w:p w14:paraId="60A31648">
      <w:pPr>
        <w:pStyle w:val="134"/>
        <w:bidi w:val="0"/>
        <w:rPr>
          <w:rFonts w:hint="eastAsia"/>
          <w:lang w:val="en-US" w:eastAsia="zh-CN"/>
        </w:rPr>
      </w:pPr>
      <w:r>
        <w:rPr>
          <w:rFonts w:hint="eastAsia"/>
          <w:lang w:val="en-US" w:eastAsia="zh-CN"/>
        </w:rPr>
        <w:t>完成</w:t>
      </w:r>
      <w:r>
        <w:rPr>
          <w:rFonts w:hint="default"/>
          <w:lang w:eastAsia="zh-CN"/>
        </w:rPr>
        <w:t>GCP</w:t>
      </w:r>
      <w:r>
        <w:rPr>
          <w:rFonts w:hint="eastAsia"/>
          <w:lang w:val="en-US" w:eastAsia="zh-CN"/>
        </w:rPr>
        <w:t>/相关法规培训，考核合格并取得相关证书，了解临床试验法律法规及伦理原则；</w:t>
      </w:r>
    </w:p>
    <w:p w14:paraId="7E1609FD">
      <w:pPr>
        <w:pStyle w:val="134"/>
        <w:bidi w:val="0"/>
        <w:rPr>
          <w:rFonts w:hint="eastAsia"/>
          <w:lang w:val="en-US" w:eastAsia="zh-CN"/>
        </w:rPr>
      </w:pPr>
      <w:r>
        <w:rPr>
          <w:rFonts w:hint="eastAsia"/>
          <w:lang w:val="en-US" w:eastAsia="zh-CN"/>
        </w:rPr>
        <w:t>不得独立执行试验参与者随访、药品/器械管理、原始数据记录等关键研究操作；</w:t>
      </w:r>
    </w:p>
    <w:p w14:paraId="50E4A283">
      <w:pPr>
        <w:pStyle w:val="134"/>
        <w:bidi w:val="0"/>
        <w:rPr>
          <w:rFonts w:hint="eastAsia"/>
          <w:lang w:val="en-US" w:eastAsia="zh-CN"/>
        </w:rPr>
      </w:pPr>
      <w:r>
        <w:rPr>
          <w:rFonts w:hint="eastAsia"/>
          <w:lang w:val="en-US" w:eastAsia="zh-CN"/>
        </w:rPr>
        <w:t>工作内容应限于非关键辅助性工作，并在项目研究者及机构备案。</w:t>
      </w:r>
    </w:p>
    <w:p w14:paraId="41313298">
      <w:pPr>
        <w:pStyle w:val="106"/>
        <w:bidi w:val="0"/>
      </w:pPr>
      <w:r>
        <w:rPr>
          <w:rFonts w:hint="eastAsia"/>
          <w:lang w:val="en-US" w:eastAsia="zh-CN"/>
        </w:rPr>
        <w:t>工作职责</w:t>
      </w:r>
    </w:p>
    <w:p w14:paraId="061510BE">
      <w:pPr>
        <w:pStyle w:val="107"/>
        <w:bidi w:val="0"/>
        <w:rPr>
          <w:rFonts w:hint="eastAsia"/>
          <w:lang w:val="en-US" w:eastAsia="zh-CN"/>
        </w:rPr>
      </w:pPr>
      <w:r>
        <w:rPr>
          <w:rFonts w:hint="eastAsia"/>
          <w:lang w:val="en-US" w:eastAsia="zh-CN"/>
        </w:rPr>
        <w:t>工作内容</w:t>
      </w:r>
    </w:p>
    <w:p w14:paraId="3BC9FA4F">
      <w:pPr>
        <w:pStyle w:val="67"/>
        <w:bidi w:val="0"/>
        <w:rPr>
          <w:rFonts w:hint="default"/>
          <w:lang w:val="en-US" w:eastAsia="zh-CN"/>
        </w:rPr>
      </w:pPr>
      <w:r>
        <w:rPr>
          <w:rFonts w:hint="eastAsia"/>
          <w:lang w:val="en-US" w:eastAsia="zh-CN"/>
        </w:rPr>
        <w:t xml:space="preserve"> 试验准备阶段</w:t>
      </w:r>
    </w:p>
    <w:p w14:paraId="76A164BB">
      <w:pPr>
        <w:pStyle w:val="58"/>
        <w:bidi w:val="0"/>
        <w:rPr>
          <w:rFonts w:hint="default"/>
          <w:lang w:val="en-US" w:eastAsia="zh-CN"/>
        </w:rPr>
      </w:pPr>
      <w:r>
        <w:rPr>
          <w:rFonts w:hint="eastAsia"/>
          <w:lang w:val="en-US" w:eastAsia="zh-CN"/>
        </w:rPr>
        <w:t>试验准备阶段，CRC的工作内容包括：</w:t>
      </w:r>
    </w:p>
    <w:p w14:paraId="45E0A2AF">
      <w:pPr>
        <w:pStyle w:val="134"/>
        <w:bidi w:val="0"/>
        <w:rPr>
          <w:rFonts w:hint="eastAsia"/>
        </w:rPr>
      </w:pPr>
      <w:r>
        <w:rPr>
          <w:rFonts w:hint="eastAsia"/>
        </w:rPr>
        <w:t>立项与伦理递交：协助研究者向机构、伦理委员会</w:t>
      </w:r>
      <w:r>
        <w:rPr>
          <w:rFonts w:hint="eastAsia"/>
          <w:lang w:val="en-US" w:eastAsia="zh-CN"/>
        </w:rPr>
        <w:t>递交</w:t>
      </w:r>
      <w:r>
        <w:rPr>
          <w:rFonts w:hint="eastAsia"/>
        </w:rPr>
        <w:t>临床试验立项、伦理审查所需的各类申请文件</w:t>
      </w:r>
      <w:r>
        <w:rPr>
          <w:rFonts w:hint="eastAsia"/>
          <w:lang w:eastAsia="zh-CN"/>
        </w:rPr>
        <w:t>。</w:t>
      </w:r>
    </w:p>
    <w:p w14:paraId="2AB8A819">
      <w:pPr>
        <w:pStyle w:val="134"/>
        <w:bidi w:val="0"/>
        <w:rPr>
          <w:rFonts w:hint="eastAsia"/>
        </w:rPr>
      </w:pPr>
      <w:r>
        <w:rPr>
          <w:rFonts w:hint="eastAsia"/>
        </w:rPr>
        <w:t>合同事务：协助研究者</w:t>
      </w:r>
      <w:r>
        <w:rPr>
          <w:rFonts w:hint="eastAsia"/>
          <w:lang w:val="en-US" w:eastAsia="zh-CN"/>
        </w:rPr>
        <w:t>跟进</w:t>
      </w:r>
      <w:r>
        <w:rPr>
          <w:rFonts w:hint="eastAsia"/>
        </w:rPr>
        <w:t>临床试验合同的审核、沟通与盖章流程</w:t>
      </w:r>
      <w:r>
        <w:rPr>
          <w:rFonts w:hint="eastAsia"/>
          <w:lang w:eastAsia="zh-CN"/>
        </w:rPr>
        <w:t>。</w:t>
      </w:r>
    </w:p>
    <w:p w14:paraId="4D0366D4">
      <w:pPr>
        <w:pStyle w:val="134"/>
        <w:bidi w:val="0"/>
        <w:rPr>
          <w:rFonts w:hint="eastAsia"/>
        </w:rPr>
      </w:pPr>
      <w:r>
        <w:rPr>
          <w:rFonts w:hint="eastAsia"/>
        </w:rPr>
        <w:t>人类遗传资源管理：如适用，协助研究者</w:t>
      </w:r>
      <w:r>
        <w:rPr>
          <w:rFonts w:hint="eastAsia"/>
          <w:lang w:val="en-US" w:eastAsia="zh-CN"/>
        </w:rPr>
        <w:t>递交</w:t>
      </w:r>
      <w:r>
        <w:rPr>
          <w:rFonts w:hint="eastAsia"/>
        </w:rPr>
        <w:t>人类遗传资源申报的相关材料</w:t>
      </w:r>
      <w:r>
        <w:rPr>
          <w:rFonts w:hint="eastAsia"/>
          <w:lang w:eastAsia="zh-CN"/>
        </w:rPr>
        <w:t>；</w:t>
      </w:r>
    </w:p>
    <w:p w14:paraId="154ECA00">
      <w:pPr>
        <w:pStyle w:val="134"/>
        <w:bidi w:val="0"/>
        <w:rPr>
          <w:rFonts w:hint="eastAsia"/>
        </w:rPr>
      </w:pPr>
      <w:r>
        <w:rPr>
          <w:rFonts w:hint="eastAsia"/>
        </w:rPr>
        <w:t>研究启动准备：协助准备研究启动所需物资与文件</w:t>
      </w:r>
      <w:r>
        <w:rPr>
          <w:rFonts w:hint="eastAsia"/>
          <w:lang w:eastAsia="zh-CN"/>
        </w:rPr>
        <w:t>；</w:t>
      </w:r>
      <w:r>
        <w:rPr>
          <w:rFonts w:hint="eastAsia"/>
        </w:rPr>
        <w:t>协助协调并组织研究启动会。</w:t>
      </w:r>
    </w:p>
    <w:p w14:paraId="680C24C9">
      <w:pPr>
        <w:pStyle w:val="96"/>
        <w:numPr>
          <w:ilvl w:val="4"/>
          <w:numId w:val="0"/>
        </w:numPr>
        <w:bidi w:val="0"/>
        <w:ind w:leftChars="0"/>
        <w:rPr>
          <w:rFonts w:hint="eastAsia"/>
          <w:lang w:val="en-US" w:eastAsia="zh-CN"/>
        </w:rPr>
      </w:pPr>
      <w:r>
        <w:rPr>
          <w:rFonts w:hint="eastAsia"/>
          <w:lang w:val="en-US" w:eastAsia="zh-CN"/>
        </w:rPr>
        <w:t>7.1.2 试验实施阶段</w:t>
      </w:r>
    </w:p>
    <w:p w14:paraId="2CE98CEA">
      <w:pPr>
        <w:pStyle w:val="58"/>
        <w:bidi w:val="0"/>
        <w:rPr>
          <w:rFonts w:hint="default"/>
          <w:lang w:val="en-US" w:eastAsia="zh-CN"/>
        </w:rPr>
      </w:pPr>
      <w:r>
        <w:rPr>
          <w:rFonts w:hint="eastAsia"/>
          <w:lang w:val="en-US" w:eastAsia="zh-CN"/>
        </w:rPr>
        <w:t>试验实施阶段，CRC的工作内容包括：</w:t>
      </w:r>
    </w:p>
    <w:p w14:paraId="1A115741">
      <w:pPr>
        <w:pStyle w:val="134"/>
        <w:bidi w:val="0"/>
        <w:rPr>
          <w:rFonts w:hint="default"/>
          <w:lang w:val="en-US" w:eastAsia="zh-CN"/>
        </w:rPr>
      </w:pPr>
      <w:r>
        <w:rPr>
          <w:rFonts w:hint="eastAsia"/>
        </w:rPr>
        <w:t>研究文件</w:t>
      </w:r>
      <w:r>
        <w:rPr>
          <w:rFonts w:hint="eastAsia"/>
          <w:lang w:val="en-US" w:eastAsia="zh-CN"/>
        </w:rPr>
        <w:t>递交与管理</w:t>
      </w:r>
    </w:p>
    <w:p w14:paraId="6ECC9E66">
      <w:pPr>
        <w:pStyle w:val="189"/>
        <w:bidi w:val="0"/>
        <w:rPr>
          <w:rFonts w:hint="default"/>
          <w:lang w:val="en-US" w:eastAsia="zh-CN"/>
        </w:rPr>
      </w:pPr>
      <w:r>
        <w:rPr>
          <w:rFonts w:hint="eastAsia"/>
          <w:lang w:val="en-US" w:eastAsia="zh-CN"/>
        </w:rPr>
        <w:t>协助研究者及时向机构办公室、伦理委员会及其他相关部门递交文件；</w:t>
      </w:r>
    </w:p>
    <w:p w14:paraId="48A3C126">
      <w:pPr>
        <w:pStyle w:val="189"/>
        <w:bidi w:val="0"/>
        <w:rPr>
          <w:rFonts w:hint="eastAsia"/>
          <w:lang w:val="en-US" w:eastAsia="zh-CN"/>
        </w:rPr>
      </w:pPr>
      <w:r>
        <w:rPr>
          <w:rFonts w:hint="eastAsia"/>
          <w:lang w:val="en-US" w:eastAsia="zh-CN"/>
        </w:rPr>
        <w:t>协助研究者进行研究文件管理，包括但不限于：整理研究者文件夹，检查试验参与者入选相关原始文件完整，提醒研究者及时完成原始资料的填写避免原始数据丢失；</w:t>
      </w:r>
    </w:p>
    <w:p w14:paraId="69050567">
      <w:pPr>
        <w:pStyle w:val="189"/>
        <w:bidi w:val="0"/>
        <w:rPr>
          <w:rFonts w:hint="eastAsia"/>
          <w:lang w:val="en-US" w:eastAsia="zh-CN"/>
        </w:rPr>
      </w:pPr>
      <w:r>
        <w:rPr>
          <w:rFonts w:hint="eastAsia"/>
          <w:lang w:val="en-US" w:eastAsia="zh-CN"/>
        </w:rPr>
        <w:t>及时归档检查、检验、影像报告、日记卡、量表等，并提醒研究者及时审阅；</w:t>
      </w:r>
    </w:p>
    <w:p w14:paraId="7C19EF65">
      <w:pPr>
        <w:pStyle w:val="189"/>
        <w:bidi w:val="0"/>
        <w:rPr>
          <w:rFonts w:hint="eastAsia"/>
          <w:lang w:val="en-US" w:eastAsia="zh-CN"/>
        </w:rPr>
      </w:pPr>
      <w:r>
        <w:rPr>
          <w:rFonts w:hint="eastAsia"/>
          <w:lang w:val="en-US" w:eastAsia="zh-CN"/>
        </w:rPr>
        <w:t>及时整理归档不良事件/严重不良事件的相关文件。</w:t>
      </w:r>
    </w:p>
    <w:p w14:paraId="14049D43">
      <w:pPr>
        <w:pStyle w:val="134"/>
        <w:bidi w:val="0"/>
        <w:rPr>
          <w:rFonts w:hint="default"/>
          <w:lang w:eastAsia="zh-CN"/>
        </w:rPr>
      </w:pPr>
      <w:r>
        <w:rPr>
          <w:rFonts w:hint="eastAsia"/>
          <w:lang w:val="en-US" w:eastAsia="zh-CN"/>
        </w:rPr>
        <w:t>数据管理</w:t>
      </w:r>
    </w:p>
    <w:p w14:paraId="6A625ACE">
      <w:pPr>
        <w:pStyle w:val="189"/>
        <w:bidi w:val="0"/>
        <w:rPr>
          <w:rFonts w:hint="eastAsia"/>
          <w:lang w:val="en-US" w:eastAsia="zh-CN"/>
        </w:rPr>
      </w:pPr>
      <w:r>
        <w:rPr>
          <w:rFonts w:hint="eastAsia"/>
          <w:lang w:val="en-US" w:eastAsia="zh-CN"/>
        </w:rPr>
        <w:t>有原始数据支持情况下，按时限要求及时完成数据录入；</w:t>
      </w:r>
    </w:p>
    <w:p w14:paraId="439AE061">
      <w:pPr>
        <w:pStyle w:val="189"/>
        <w:bidi w:val="0"/>
        <w:rPr>
          <w:rFonts w:hint="eastAsia"/>
          <w:lang w:val="en-US" w:eastAsia="zh-CN"/>
        </w:rPr>
      </w:pPr>
      <w:r>
        <w:rPr>
          <w:rFonts w:hint="eastAsia"/>
          <w:lang w:val="en-US" w:eastAsia="zh-CN"/>
        </w:rPr>
        <w:t>有原始数据支持情况下，按时限要求及时完成质疑解答。</w:t>
      </w:r>
    </w:p>
    <w:p w14:paraId="413353F8">
      <w:pPr>
        <w:pStyle w:val="134"/>
        <w:bidi w:val="0"/>
        <w:rPr>
          <w:rFonts w:hint="eastAsia"/>
          <w:lang w:eastAsia="zh-CN"/>
        </w:rPr>
      </w:pPr>
      <w:r>
        <w:rPr>
          <w:rFonts w:hint="eastAsia"/>
          <w:lang w:val="en-US" w:eastAsia="zh-CN"/>
        </w:rPr>
        <w:t>试验参与者随访</w:t>
      </w:r>
    </w:p>
    <w:p w14:paraId="6C4DE498">
      <w:pPr>
        <w:pStyle w:val="189"/>
        <w:bidi w:val="0"/>
        <w:rPr>
          <w:rFonts w:hint="eastAsia"/>
          <w:lang w:eastAsia="zh-CN"/>
        </w:rPr>
      </w:pPr>
      <w:r>
        <w:rPr>
          <w:rFonts w:hint="eastAsia"/>
          <w:lang w:eastAsia="zh-CN"/>
        </w:rPr>
        <w:t>协助研究者进行访视管理，</w:t>
      </w:r>
      <w:r>
        <w:rPr>
          <w:rFonts w:hint="eastAsia"/>
          <w:lang w:val="en-US" w:eastAsia="zh-CN"/>
        </w:rPr>
        <w:t>必要时</w:t>
      </w:r>
      <w:r>
        <w:rPr>
          <w:rFonts w:hint="eastAsia"/>
          <w:lang w:eastAsia="zh-CN"/>
        </w:rPr>
        <w:t>提供专业陪诊服务，包括陪同完成各项检查、协助办理手续</w:t>
      </w:r>
      <w:r>
        <w:rPr>
          <w:rFonts w:hint="eastAsia"/>
          <w:lang w:val="en-US" w:eastAsia="zh-CN"/>
        </w:rPr>
        <w:t>等</w:t>
      </w:r>
      <w:r>
        <w:rPr>
          <w:rFonts w:hint="eastAsia"/>
          <w:lang w:eastAsia="zh-CN"/>
        </w:rPr>
        <w:t>；</w:t>
      </w:r>
    </w:p>
    <w:p w14:paraId="2F2B33A4">
      <w:pPr>
        <w:pStyle w:val="189"/>
        <w:bidi w:val="0"/>
        <w:rPr>
          <w:rFonts w:hint="eastAsia"/>
          <w:lang w:eastAsia="zh-CN"/>
        </w:rPr>
      </w:pPr>
      <w:r>
        <w:rPr>
          <w:rFonts w:hint="eastAsia"/>
          <w:lang w:eastAsia="zh-CN"/>
        </w:rPr>
        <w:t>负责试验参与者预约随访，并协调研究相关检查安排；</w:t>
      </w:r>
    </w:p>
    <w:p w14:paraId="02C36C9D">
      <w:pPr>
        <w:pStyle w:val="189"/>
        <w:bidi w:val="0"/>
        <w:rPr>
          <w:rFonts w:hint="eastAsia"/>
          <w:lang w:eastAsia="zh-CN"/>
        </w:rPr>
      </w:pPr>
      <w:r>
        <w:rPr>
          <w:rFonts w:hint="eastAsia"/>
          <w:lang w:eastAsia="zh-CN"/>
        </w:rPr>
        <w:t>准备随访所需文件、物资等，对试验参与者入选状态进行统一汇总。</w:t>
      </w:r>
    </w:p>
    <w:p w14:paraId="6CD0D8BE">
      <w:pPr>
        <w:pStyle w:val="134"/>
        <w:bidi w:val="0"/>
        <w:rPr>
          <w:rFonts w:hint="eastAsia"/>
          <w:lang w:eastAsia="zh-CN"/>
        </w:rPr>
      </w:pPr>
      <w:r>
        <w:rPr>
          <w:rFonts w:hint="eastAsia"/>
          <w:lang w:val="en-US" w:eastAsia="zh-CN"/>
        </w:rPr>
        <w:t>生物样本管理：</w:t>
      </w:r>
      <w:r>
        <w:rPr>
          <w:rFonts w:hint="eastAsia"/>
          <w:lang w:eastAsia="zh-CN"/>
        </w:rPr>
        <w:t>协助研究者进行样本处理，包括在试验规定的时间内</w:t>
      </w:r>
      <w:r>
        <w:rPr>
          <w:rFonts w:hint="eastAsia"/>
          <w:lang w:val="en-US" w:eastAsia="zh-CN"/>
        </w:rPr>
        <w:t>核对、处理</w:t>
      </w:r>
      <w:r>
        <w:rPr>
          <w:rFonts w:hint="eastAsia"/>
          <w:lang w:eastAsia="zh-CN"/>
        </w:rPr>
        <w:t>、储存、</w:t>
      </w:r>
      <w:r>
        <w:rPr>
          <w:rFonts w:hint="eastAsia"/>
          <w:lang w:val="en-US" w:eastAsia="zh-CN"/>
        </w:rPr>
        <w:t>转运、运输、记录，以及异常情况及时上报等工作</w:t>
      </w:r>
      <w:r>
        <w:rPr>
          <w:rFonts w:hint="eastAsia"/>
          <w:lang w:eastAsia="zh-CN"/>
        </w:rPr>
        <w:t>。</w:t>
      </w:r>
    </w:p>
    <w:p w14:paraId="14EE51AF">
      <w:pPr>
        <w:pStyle w:val="134"/>
        <w:bidi w:val="0"/>
        <w:rPr>
          <w:rFonts w:hint="eastAsia"/>
          <w:lang w:eastAsia="zh-CN"/>
        </w:rPr>
      </w:pPr>
      <w:r>
        <w:rPr>
          <w:rFonts w:hint="eastAsia"/>
          <w:lang w:val="en-US" w:eastAsia="zh-CN"/>
        </w:rPr>
        <w:t>研究物资管理：</w:t>
      </w:r>
      <w:r>
        <w:rPr>
          <w:rFonts w:hint="eastAsia"/>
          <w:lang w:eastAsia="zh-CN"/>
        </w:rPr>
        <w:t>协助管理试验辅助物资、实验室材料等。</w:t>
      </w:r>
    </w:p>
    <w:p w14:paraId="78B0A143">
      <w:pPr>
        <w:pStyle w:val="134"/>
        <w:bidi w:val="0"/>
        <w:rPr>
          <w:rFonts w:hint="eastAsia"/>
          <w:lang w:eastAsia="zh-CN"/>
        </w:rPr>
      </w:pPr>
      <w:r>
        <w:rPr>
          <w:rFonts w:hint="eastAsia"/>
          <w:lang w:eastAsia="zh-CN"/>
        </w:rPr>
        <w:t>研究药物</w:t>
      </w:r>
      <w:r>
        <w:rPr>
          <w:rFonts w:hint="eastAsia"/>
          <w:lang w:val="en-US" w:eastAsia="zh-CN"/>
        </w:rPr>
        <w:t>/器械相关的工作</w:t>
      </w:r>
    </w:p>
    <w:p w14:paraId="1DC5A077">
      <w:pPr>
        <w:pStyle w:val="189"/>
        <w:bidi w:val="0"/>
        <w:rPr>
          <w:rFonts w:hint="eastAsia"/>
        </w:rPr>
      </w:pPr>
      <w:r>
        <w:rPr>
          <w:rFonts w:hint="default"/>
        </w:rPr>
        <w:t>研究药物</w:t>
      </w:r>
      <w:r>
        <w:rPr>
          <w:rFonts w:hint="eastAsia"/>
          <w:lang w:val="en-US" w:eastAsia="zh-CN"/>
        </w:rPr>
        <w:t>/器械</w:t>
      </w:r>
      <w:r>
        <w:rPr>
          <w:rFonts w:hint="default"/>
        </w:rPr>
        <w:t>的接收、清点、记录</w:t>
      </w:r>
      <w:r>
        <w:rPr>
          <w:rFonts w:hint="eastAsia"/>
          <w:lang w:eastAsia="zh-CN"/>
        </w:rPr>
        <w:t>；</w:t>
      </w:r>
    </w:p>
    <w:p w14:paraId="3674CA6B">
      <w:pPr>
        <w:pStyle w:val="189"/>
        <w:bidi w:val="0"/>
        <w:rPr>
          <w:rFonts w:hint="eastAsia"/>
        </w:rPr>
      </w:pPr>
      <w:r>
        <w:rPr>
          <w:rFonts w:hint="default"/>
        </w:rPr>
        <w:t>研究药物</w:t>
      </w:r>
      <w:r>
        <w:rPr>
          <w:rFonts w:hint="eastAsia"/>
          <w:lang w:val="en-US" w:eastAsia="zh-CN"/>
        </w:rPr>
        <w:t>/器械</w:t>
      </w:r>
      <w:r>
        <w:rPr>
          <w:rFonts w:hint="default"/>
        </w:rPr>
        <w:t>的储存、有效期管理</w:t>
      </w:r>
      <w:r>
        <w:rPr>
          <w:rFonts w:hint="eastAsia"/>
          <w:lang w:eastAsia="zh-CN"/>
        </w:rPr>
        <w:t>；</w:t>
      </w:r>
    </w:p>
    <w:p w14:paraId="5E1A22FD">
      <w:pPr>
        <w:pStyle w:val="189"/>
        <w:bidi w:val="0"/>
        <w:rPr>
          <w:rFonts w:hint="eastAsia"/>
        </w:rPr>
      </w:pPr>
      <w:r>
        <w:rPr>
          <w:rFonts w:hint="default"/>
        </w:rPr>
        <w:t>研究药物</w:t>
      </w:r>
      <w:r>
        <w:rPr>
          <w:rFonts w:hint="eastAsia"/>
          <w:lang w:val="en-US" w:eastAsia="zh-CN"/>
        </w:rPr>
        <w:t>/器械</w:t>
      </w:r>
      <w:r>
        <w:rPr>
          <w:rFonts w:hint="default"/>
        </w:rPr>
        <w:t>的核对、发放、记录</w:t>
      </w:r>
      <w:r>
        <w:rPr>
          <w:rFonts w:hint="eastAsia"/>
          <w:lang w:eastAsia="zh-CN"/>
        </w:rPr>
        <w:t>；</w:t>
      </w:r>
    </w:p>
    <w:p w14:paraId="3CE023E7">
      <w:pPr>
        <w:pStyle w:val="189"/>
        <w:bidi w:val="0"/>
        <w:rPr>
          <w:rFonts w:hint="eastAsia"/>
        </w:rPr>
      </w:pPr>
      <w:r>
        <w:rPr>
          <w:rFonts w:hint="default"/>
        </w:rPr>
        <w:t>研究药物</w:t>
      </w:r>
      <w:r>
        <w:rPr>
          <w:rFonts w:hint="eastAsia"/>
          <w:lang w:val="en-US" w:eastAsia="zh-CN"/>
        </w:rPr>
        <w:t>/器械</w:t>
      </w:r>
      <w:r>
        <w:rPr>
          <w:rFonts w:hint="default"/>
        </w:rPr>
        <w:t>从</w:t>
      </w:r>
      <w:r>
        <w:rPr>
          <w:rFonts w:hint="eastAsia"/>
          <w:lang w:eastAsia="zh-CN"/>
        </w:rPr>
        <w:t>试验参与者</w:t>
      </w:r>
      <w:r>
        <w:rPr>
          <w:rFonts w:hint="default"/>
        </w:rPr>
        <w:t>处回收</w:t>
      </w:r>
      <w:r>
        <w:rPr>
          <w:rFonts w:hint="eastAsia"/>
          <w:lang w:val="en-US" w:eastAsia="zh-CN"/>
        </w:rPr>
        <w:t>后的</w:t>
      </w:r>
      <w:r>
        <w:rPr>
          <w:rFonts w:hint="default"/>
        </w:rPr>
        <w:t>清点、回收、记录</w:t>
      </w:r>
      <w:r>
        <w:rPr>
          <w:rFonts w:hint="eastAsia"/>
          <w:lang w:eastAsia="zh-CN"/>
        </w:rPr>
        <w:t>；</w:t>
      </w:r>
    </w:p>
    <w:p w14:paraId="1C4C0366">
      <w:pPr>
        <w:pStyle w:val="189"/>
        <w:bidi w:val="0"/>
        <w:rPr>
          <w:rFonts w:hint="default"/>
          <w:lang w:eastAsia="zh-CN"/>
        </w:rPr>
      </w:pPr>
      <w:r>
        <w:rPr>
          <w:rFonts w:hint="default"/>
        </w:rPr>
        <w:t>研究药物</w:t>
      </w:r>
      <w:r>
        <w:rPr>
          <w:rFonts w:hint="eastAsia"/>
          <w:lang w:val="en-US" w:eastAsia="zh-CN"/>
        </w:rPr>
        <w:t>/器械</w:t>
      </w:r>
      <w:r>
        <w:rPr>
          <w:rFonts w:hint="default"/>
        </w:rPr>
        <w:t>的清点、记录、返还给</w:t>
      </w:r>
      <w:r>
        <w:rPr>
          <w:rFonts w:hint="default"/>
          <w:lang w:eastAsia="zh-CN"/>
        </w:rPr>
        <w:t>申办者</w:t>
      </w:r>
      <w:r>
        <w:rPr>
          <w:rFonts w:hint="eastAsia"/>
          <w:lang w:eastAsia="zh-CN"/>
        </w:rPr>
        <w:t>；</w:t>
      </w:r>
    </w:p>
    <w:p w14:paraId="611B75D3">
      <w:pPr>
        <w:pStyle w:val="189"/>
        <w:bidi w:val="0"/>
        <w:rPr>
          <w:rFonts w:hint="eastAsia"/>
          <w:lang w:eastAsia="zh-CN"/>
        </w:rPr>
      </w:pPr>
      <w:r>
        <w:rPr>
          <w:rFonts w:hint="default"/>
        </w:rPr>
        <w:t>与药物</w:t>
      </w:r>
      <w:r>
        <w:rPr>
          <w:rFonts w:hint="eastAsia"/>
          <w:lang w:val="en-US" w:eastAsia="zh-CN"/>
        </w:rPr>
        <w:t>/器械</w:t>
      </w:r>
      <w:r>
        <w:rPr>
          <w:rFonts w:hint="default"/>
        </w:rPr>
        <w:t>管理相关的其他工作</w:t>
      </w:r>
      <w:r>
        <w:rPr>
          <w:rFonts w:hint="eastAsia"/>
          <w:lang w:eastAsia="zh-CN"/>
        </w:rPr>
        <w:t>。</w:t>
      </w:r>
    </w:p>
    <w:p w14:paraId="087C3D6C">
      <w:pPr>
        <w:pStyle w:val="134"/>
        <w:bidi w:val="0"/>
        <w:rPr>
          <w:rFonts w:hint="eastAsia"/>
          <w:lang w:val="en-US" w:eastAsia="zh-CN"/>
        </w:rPr>
      </w:pPr>
      <w:r>
        <w:rPr>
          <w:rFonts w:hint="eastAsia"/>
          <w:lang w:val="en-US" w:eastAsia="zh-CN"/>
        </w:rPr>
        <w:t>经费办理：</w:t>
      </w:r>
      <w:r>
        <w:rPr>
          <w:rFonts w:hint="default"/>
        </w:rPr>
        <w:t>协助研究者处理研究相关的财务报销事宜</w:t>
      </w:r>
      <w:r>
        <w:rPr>
          <w:rFonts w:hint="eastAsia"/>
          <w:lang w:eastAsia="zh-CN"/>
        </w:rPr>
        <w:t>。</w:t>
      </w:r>
    </w:p>
    <w:p w14:paraId="3F31DA0A">
      <w:pPr>
        <w:pStyle w:val="134"/>
        <w:bidi w:val="0"/>
        <w:rPr>
          <w:rFonts w:hint="eastAsia"/>
          <w:lang w:eastAsia="zh-CN"/>
        </w:rPr>
      </w:pPr>
      <w:r>
        <w:rPr>
          <w:rFonts w:hint="eastAsia"/>
          <w:lang w:eastAsia="zh-CN"/>
        </w:rPr>
        <w:t>协助研究中心接受稽查/视</w:t>
      </w:r>
      <w:r>
        <w:rPr>
          <w:rFonts w:hint="eastAsia"/>
          <w:lang w:val="en-US" w:eastAsia="zh-CN"/>
        </w:rPr>
        <w:t>查</w:t>
      </w:r>
      <w:r>
        <w:rPr>
          <w:rFonts w:hint="eastAsia"/>
          <w:lang w:eastAsia="zh-CN"/>
        </w:rPr>
        <w:t>/监查。</w:t>
      </w:r>
    </w:p>
    <w:p w14:paraId="708F27C3">
      <w:pPr>
        <w:pStyle w:val="67"/>
        <w:bidi w:val="0"/>
        <w:rPr>
          <w:rFonts w:hint="eastAsia"/>
          <w:lang w:val="en-US" w:eastAsia="zh-CN"/>
        </w:rPr>
      </w:pPr>
      <w:r>
        <w:rPr>
          <w:rFonts w:hint="eastAsia"/>
          <w:lang w:val="en-US" w:eastAsia="zh-CN"/>
        </w:rPr>
        <w:t>试验结束阶段</w:t>
      </w:r>
    </w:p>
    <w:p w14:paraId="56432BF2">
      <w:pPr>
        <w:pStyle w:val="58"/>
        <w:bidi w:val="0"/>
        <w:rPr>
          <w:rFonts w:hint="eastAsia"/>
          <w:lang w:val="en-US" w:eastAsia="zh-CN"/>
        </w:rPr>
      </w:pPr>
      <w:r>
        <w:rPr>
          <w:rFonts w:hint="eastAsia"/>
          <w:lang w:val="en-US" w:eastAsia="zh-CN"/>
        </w:rPr>
        <w:t>试验结束阶段，CRC的工作内容包括：</w:t>
      </w:r>
    </w:p>
    <w:p w14:paraId="50ED2629">
      <w:pPr>
        <w:pStyle w:val="134"/>
        <w:bidi w:val="0"/>
        <w:rPr>
          <w:rFonts w:hint="eastAsia"/>
          <w:lang w:val="en-US" w:eastAsia="zh-CN"/>
        </w:rPr>
      </w:pPr>
      <w:r>
        <w:rPr>
          <w:rFonts w:hint="eastAsia"/>
          <w:lang w:val="en-US" w:eastAsia="zh-CN"/>
        </w:rPr>
        <w:t>文件归档：协助研究者对试验所有必需文件进行核对、整理与归档，确保文件完整性符合相关法规与机构要求。</w:t>
      </w:r>
    </w:p>
    <w:p w14:paraId="4AC614D8">
      <w:pPr>
        <w:pStyle w:val="134"/>
        <w:bidi w:val="0"/>
        <w:rPr>
          <w:rFonts w:hint="eastAsia"/>
          <w:lang w:val="en-US" w:eastAsia="zh-CN"/>
        </w:rPr>
      </w:pPr>
      <w:r>
        <w:rPr>
          <w:rFonts w:hint="eastAsia"/>
          <w:lang w:val="en-US" w:eastAsia="zh-CN"/>
        </w:rPr>
        <w:t>剩余物资处理：协助完成剩余研究药物/器械及试验物资的清点、记录与返还。</w:t>
      </w:r>
    </w:p>
    <w:p w14:paraId="49068DD8">
      <w:pPr>
        <w:pStyle w:val="134"/>
        <w:bidi w:val="0"/>
        <w:rPr>
          <w:rFonts w:hint="default"/>
          <w:lang w:val="en-US" w:eastAsia="zh-CN"/>
        </w:rPr>
      </w:pPr>
      <w:r>
        <w:rPr>
          <w:rFonts w:hint="eastAsia"/>
          <w:lang w:val="en-US" w:eastAsia="zh-CN"/>
        </w:rPr>
        <w:t>结题与退出：协助研究者向机构办公室和伦理委员会递交中心关闭相关文件。</w:t>
      </w:r>
    </w:p>
    <w:p w14:paraId="07CF3B75">
      <w:pPr>
        <w:pStyle w:val="67"/>
        <w:numPr>
          <w:ilvl w:val="3"/>
          <w:numId w:val="0"/>
        </w:numPr>
        <w:bidi w:val="0"/>
        <w:ind w:leftChars="0"/>
        <w:rPr>
          <w:rFonts w:hint="eastAsia"/>
          <w:lang w:val="en-US" w:eastAsia="zh-CN"/>
        </w:rPr>
      </w:pPr>
      <w:r>
        <w:rPr>
          <w:rFonts w:hint="eastAsia"/>
          <w:lang w:val="en-US" w:eastAsia="zh-CN"/>
        </w:rPr>
        <w:t>7.2 工作负面清单</w:t>
      </w:r>
    </w:p>
    <w:p w14:paraId="4E4DC3DB">
      <w:pPr>
        <w:pStyle w:val="134"/>
        <w:numPr>
          <w:ilvl w:val="0"/>
          <w:numId w:val="0"/>
        </w:numPr>
        <w:bidi w:val="0"/>
        <w:ind w:left="425" w:left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CRC的工作负面清单包括但不限于：</w:t>
      </w:r>
    </w:p>
    <w:p w14:paraId="42840281">
      <w:pPr>
        <w:pStyle w:val="134"/>
        <w:bidi w:val="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从事医学判断性工作，包括但不限于：进行疾病诊断、制定/调整治疗方案、判定异常检验检查结果、评估不良事件严重程度与关联性、判断受试者是否符合入排标准</w:t>
      </w:r>
    </w:p>
    <w:p w14:paraId="70AF211A">
      <w:pPr>
        <w:pStyle w:val="134"/>
        <w:bidi w:val="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代替研究者</w:t>
      </w:r>
      <w:r>
        <w:rPr>
          <w:rFonts w:hint="eastAsia"/>
          <w:color w:val="000000" w:themeColor="text1"/>
          <w:lang w:val="en-US" w:eastAsia="zh-CN"/>
          <w14:textFill>
            <w14:solidFill>
              <w14:schemeClr w14:val="tx1"/>
            </w14:solidFill>
          </w14:textFill>
        </w:rPr>
        <w:t>或</w:t>
      </w:r>
      <w:r>
        <w:rPr>
          <w:rFonts w:hint="default"/>
          <w:color w:val="000000" w:themeColor="text1"/>
          <w:lang w:val="en-US" w:eastAsia="zh-CN"/>
          <w14:textFill>
            <w14:solidFill>
              <w14:schemeClr w14:val="tx1"/>
            </w14:solidFill>
          </w14:textFill>
        </w:rPr>
        <w:t>研究护士书写病历；或在缺乏纸质</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电子原始凭证（含病历、检验单、仪器记录、研究者书面医嘱） 的情况下，填写电子</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纸质病例报告表（CRF）中需医学判断的内容（包括但不限于：症状与试验药物关联性、疾病分期、疗效评价结果）</w:t>
      </w:r>
    </w:p>
    <w:p w14:paraId="30E89CD8">
      <w:pPr>
        <w:pStyle w:val="134"/>
        <w:bidi w:val="0"/>
        <w:rPr>
          <w:rFonts w:hint="default"/>
          <w:lang w:val="en-US" w:eastAsia="zh-CN"/>
        </w:rPr>
      </w:pPr>
      <w:r>
        <w:rPr>
          <w:rFonts w:hint="eastAsia"/>
          <w:lang w:val="en-US" w:eastAsia="zh-CN"/>
        </w:rPr>
        <w:t>编造、篡改、虚构临床试验数据，或伪造研究者、试验参与者等相关人员的签名与日期；</w:t>
      </w:r>
    </w:p>
    <w:p w14:paraId="134336FA">
      <w:pPr>
        <w:pStyle w:val="134"/>
        <w:bidi w:val="0"/>
        <w:rPr>
          <w:rFonts w:hint="default"/>
          <w:lang w:val="en-US" w:eastAsia="zh-CN"/>
        </w:rPr>
      </w:pPr>
      <w:r>
        <w:rPr>
          <w:rFonts w:hint="eastAsia"/>
          <w:lang w:val="en-US" w:eastAsia="zh-CN"/>
        </w:rPr>
        <w:t>在未获得研究者授权和监督的情况下，独立进行知情同意过程，或对试验参与者提出的涉及试验方案、干预措施、风险收益等的医学问题自行进行解释；</w:t>
      </w:r>
    </w:p>
    <w:p w14:paraId="1C7A7705">
      <w:pPr>
        <w:pStyle w:val="134"/>
        <w:bidi w:val="0"/>
        <w:rPr>
          <w:rFonts w:hint="default"/>
          <w:lang w:val="en-US" w:eastAsia="zh-CN"/>
        </w:rPr>
      </w:pPr>
      <w:r>
        <w:rPr>
          <w:rFonts w:hint="eastAsia"/>
          <w:lang w:val="en-US" w:eastAsia="zh-CN"/>
        </w:rPr>
        <w:t>泄露试验参与者个人信息、临床试验数据、申办者商业秘密等保密信息；</w:t>
      </w:r>
    </w:p>
    <w:p w14:paraId="6580873B">
      <w:pPr>
        <w:pStyle w:val="134"/>
        <w:bidi w:val="0"/>
        <w:rPr>
          <w:rFonts w:hint="default"/>
          <w:lang w:val="en-US" w:eastAsia="zh-CN"/>
        </w:rPr>
      </w:pPr>
      <w:r>
        <w:rPr>
          <w:rFonts w:hint="eastAsia"/>
          <w:lang w:val="en-US" w:eastAsia="zh-CN"/>
        </w:rPr>
        <w:t>故意损害试验参与者的权益与安全，如隐瞒试验风险、诱导不符合入选标准的参与者入组、忽略或延迟报告严重不良事件等；</w:t>
      </w:r>
    </w:p>
    <w:p w14:paraId="5F56A3A4">
      <w:pPr>
        <w:pStyle w:val="134"/>
        <w:bidi w:val="0"/>
        <w:rPr>
          <w:rFonts w:hint="default"/>
          <w:lang w:val="en-US" w:eastAsia="zh-CN"/>
        </w:rPr>
      </w:pPr>
      <w:r>
        <w:rPr>
          <w:rFonts w:hint="eastAsia"/>
          <w:lang w:val="en-US" w:eastAsia="zh-CN"/>
        </w:rPr>
        <w:t>故意销毁、隐匿原始病历、检验报告单等原始记录与文件；</w:t>
      </w:r>
    </w:p>
    <w:p w14:paraId="111555B3">
      <w:pPr>
        <w:pStyle w:val="134"/>
        <w:bidi w:val="0"/>
        <w:rPr>
          <w:rFonts w:hint="default"/>
          <w:lang w:val="en-US" w:eastAsia="zh-CN"/>
        </w:rPr>
      </w:pPr>
      <w:r>
        <w:rPr>
          <w:rFonts w:hint="default"/>
          <w:lang w:val="en-US" w:eastAsia="zh-CN"/>
        </w:rPr>
        <w:t>独立进行试验用药品</w:t>
      </w:r>
      <w:r>
        <w:rPr>
          <w:rFonts w:hint="eastAsia"/>
          <w:lang w:val="en-US" w:eastAsia="zh-CN"/>
        </w:rPr>
        <w:t>/器械</w:t>
      </w:r>
      <w:r>
        <w:rPr>
          <w:rFonts w:hint="default"/>
          <w:lang w:val="en-US" w:eastAsia="zh-CN"/>
        </w:rPr>
        <w:t>的接收、保管、分发等关键环节操作，而无授权药师或研究者在场监督与核对</w:t>
      </w:r>
      <w:r>
        <w:rPr>
          <w:rFonts w:hint="eastAsia"/>
          <w:lang w:val="en-US" w:eastAsia="zh-CN"/>
        </w:rPr>
        <w:t>；代替研究者进行试验用药品的配置（如溶解、稀释）或给药；私自使用、赠与或出售试验用药品/器械；</w:t>
      </w:r>
    </w:p>
    <w:p w14:paraId="1323CBF1">
      <w:pPr>
        <w:pStyle w:val="134"/>
        <w:bidi w:val="0"/>
        <w:rPr>
          <w:rFonts w:hint="default"/>
          <w:lang w:val="en-US" w:eastAsia="zh-CN"/>
        </w:rPr>
      </w:pPr>
      <w:r>
        <w:rPr>
          <w:rFonts w:hint="default"/>
          <w:lang w:val="en-US" w:eastAsia="zh-CN"/>
        </w:rPr>
        <w:t>代替研究者进行生物样本的采集</w:t>
      </w:r>
      <w:r>
        <w:rPr>
          <w:rFonts w:hint="eastAsia"/>
          <w:lang w:val="en-US" w:eastAsia="zh-CN"/>
        </w:rPr>
        <w:t>、检测等操作；在未授权或未接受充分培训的情况下，独立进行生物样本的处理、分装等操作；</w:t>
      </w:r>
    </w:p>
    <w:p w14:paraId="2D6FCDC1">
      <w:pPr>
        <w:pStyle w:val="134"/>
        <w:bidi w:val="0"/>
        <w:rPr>
          <w:rFonts w:hint="eastAsia"/>
          <w:lang w:val="en-US" w:eastAsia="zh-CN"/>
        </w:rPr>
      </w:pPr>
      <w:r>
        <w:rPr>
          <w:rFonts w:hint="eastAsia"/>
          <w:lang w:val="en-US" w:eastAsia="zh-CN"/>
        </w:rPr>
        <w:t>索取或收取来自试验参与者、申办者、CRO、供应商等任何相关方的不当利益（包括现金、购物卡、有价证券等），或接受可能影响临床试验公正性的宴请、礼品等。</w:t>
      </w:r>
    </w:p>
    <w:p w14:paraId="4155CA93">
      <w:pPr>
        <w:pStyle w:val="106"/>
        <w:bidi w:val="0"/>
        <w:rPr>
          <w:rFonts w:hint="default"/>
          <w:lang w:val="en-US" w:eastAsia="zh-CN"/>
        </w:rPr>
      </w:pPr>
      <w:r>
        <w:rPr>
          <w:rFonts w:hint="eastAsia"/>
          <w:lang w:val="en-US" w:eastAsia="zh-CN"/>
        </w:rPr>
        <w:t>培训</w:t>
      </w:r>
    </w:p>
    <w:p w14:paraId="0EE30FA3">
      <w:pPr>
        <w:pStyle w:val="107"/>
        <w:bidi w:val="0"/>
        <w:rPr>
          <w:rFonts w:hint="eastAsia"/>
          <w:lang w:val="en-US" w:eastAsia="zh-CN"/>
        </w:rPr>
      </w:pPr>
      <w:r>
        <w:rPr>
          <w:rFonts w:hint="eastAsia"/>
          <w:lang w:val="en-US" w:eastAsia="zh-CN"/>
        </w:rPr>
        <w:t xml:space="preserve"> 培训内容</w:t>
      </w:r>
    </w:p>
    <w:p w14:paraId="2225707F">
      <w:pPr>
        <w:pStyle w:val="6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法律法规与伦理规范</w:t>
      </w:r>
    </w:p>
    <w:p w14:paraId="674DC774">
      <w:pPr>
        <w:pStyle w:val="134"/>
        <w:numPr>
          <w:ilvl w:val="0"/>
          <w:numId w:val="0"/>
        </w:numPr>
        <w:bidi w:val="0"/>
        <w:ind w:left="425" w:left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CRC需具备合规意识与伦理基础，包括：</w:t>
      </w:r>
    </w:p>
    <w:p w14:paraId="50DFC37D">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核心法规政策：包括但不限于《药物临床试验质量管理规范》及其基本原则、《医疗器械临床试验质量管理规范》、《赫尔辛基宣言》、《药品注册核查要点与判定原则》、《中华人民共和国人类遗传资源管理条例》等；</w:t>
      </w:r>
    </w:p>
    <w:p w14:paraId="4D0ED934">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伦理规范：重点涵盖试验参与者权益保护（如知情同意权、隐私权、安全保障权）、隐私与信息保密要求、知情同意的全过程规范操作。</w:t>
      </w:r>
    </w:p>
    <w:p w14:paraId="1CF0BE67">
      <w:pPr>
        <w:pStyle w:val="6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临床试验核心专业技能</w:t>
      </w:r>
    </w:p>
    <w:p w14:paraId="2058F5FD">
      <w:pPr>
        <w:pStyle w:val="134"/>
        <w:numPr>
          <w:ilvl w:val="0"/>
          <w:numId w:val="0"/>
        </w:numPr>
        <w:bidi w:val="0"/>
        <w:ind w:left="425"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CRC需具备临床试验执行层面的专业知识与管理能力，包括：</w:t>
      </w:r>
    </w:p>
    <w:p w14:paraId="0DAE3BDC">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试验方案解读与执行：能够准确理解方案设计、入排标准、访视流程等核心内容；</w:t>
      </w:r>
    </w:p>
    <w:p w14:paraId="7E4D0A42">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临床试验全流程管理：掌握从项目启动、受试者筛选与入组、试验期管理到中心关闭的全过程关键节点与任务；</w:t>
      </w:r>
    </w:p>
    <w:p w14:paraId="7B282756">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试验用药品/器械管理：熟悉药品/器械的接收、储存、分发、回收及记录规范；</w:t>
      </w:r>
    </w:p>
    <w:p w14:paraId="4B711363">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生物样本管理：掌握生物样本的采集、处理、标识、保存、转运及销毁的标准流程；</w:t>
      </w:r>
    </w:p>
    <w:p w14:paraId="3F4CCE15">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数据采集与质量控制：病例报告表的规范录入/填写、核对与修改；掌握EDC的基本操作逻辑；理解数据质疑管理流程；</w:t>
      </w:r>
    </w:p>
    <w:p w14:paraId="701AE960">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安全性事件管理：掌握不良事件与严重不良事件的识别、记录、跟踪与报告流程。</w:t>
      </w:r>
    </w:p>
    <w:p w14:paraId="04EC0AEC">
      <w:pPr>
        <w:pStyle w:val="6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实操技能</w:t>
      </w:r>
    </w:p>
    <w:p w14:paraId="605F4B66">
      <w:pPr>
        <w:pStyle w:val="134"/>
        <w:numPr>
          <w:ilvl w:val="0"/>
          <w:numId w:val="0"/>
        </w:numPr>
        <w:bidi w:val="0"/>
        <w:ind w:left="425"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CRC需具备日常工作所需的工具使用、文档管理等软技能，包括：</w:t>
      </w:r>
    </w:p>
    <w:p w14:paraId="3128CBA6">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临床研究工具与系统操作：熟练使用临床研究相关的表单、工具及临床试验文档管理系统；掌握EDC系统的实际操作；</w:t>
      </w:r>
    </w:p>
    <w:p w14:paraId="0B54D810">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试验文档管理：掌握研究者文件夹的建立、维护与归档要求，确保文件齐全、规范；</w:t>
      </w:r>
    </w:p>
    <w:p w14:paraId="5AC4AB2E">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受试者随访管理：具备组织和协调受试者按期随访，并进行有效宣教与关怀的能力；</w:t>
      </w:r>
    </w:p>
    <w:p w14:paraId="5A8D9671">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核查与视察准备：接受如何应对机构内审、申办者稽查以及监管部门视察的培训，包括准备工作、现场配合及后续跟进。</w:t>
      </w:r>
    </w:p>
    <w:p w14:paraId="1DDF7020">
      <w:pPr>
        <w:pStyle w:val="6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职业素养与通用能力</w:t>
      </w:r>
    </w:p>
    <w:p w14:paraId="0DCA3801">
      <w:pPr>
        <w:pStyle w:val="134"/>
        <w:numPr>
          <w:ilvl w:val="0"/>
          <w:numId w:val="0"/>
        </w:numPr>
        <w:bidi w:val="0"/>
        <w:ind w:left="425"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CRC需具备作为职业人士的基础素养，包括：</w:t>
      </w:r>
    </w:p>
    <w:p w14:paraId="02DDC95D">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时间管理与工作效率：培养高效处理多项任务、合理安排工作优先级的能力；</w:t>
      </w:r>
    </w:p>
    <w:p w14:paraId="39FC90FA">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责任心与工作主动性：强调对工作质量的高度负责和积极主动解决问题的态度；</w:t>
      </w:r>
    </w:p>
    <w:p w14:paraId="2408449F">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沟通与协调技巧：有效与研究者、申办者、CRO、伦理委员会及受试者等进行多方沟通与协调；</w:t>
      </w:r>
    </w:p>
    <w:p w14:paraId="7C9AFFA9">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团队协作精神：具备在研究团队中紧密协作、共享信息、相互支持的能力。</w:t>
      </w:r>
    </w:p>
    <w:p w14:paraId="209FFA1B">
      <w:pPr>
        <w:pStyle w:val="6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特定项目/机构培训</w:t>
      </w:r>
    </w:p>
    <w:p w14:paraId="00961035">
      <w:pPr>
        <w:pStyle w:val="134"/>
        <w:numPr>
          <w:ilvl w:val="0"/>
          <w:numId w:val="0"/>
        </w:numPr>
        <w:bidi w:val="0"/>
        <w:ind w:left="425"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CRC还需接受针对性的补充培训，内容因项目或中心而异，包括但不限于：</w:t>
      </w:r>
    </w:p>
    <w:p w14:paraId="3A6CB275">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研究方案专项培训：针对特定临床试验方案的深入培训；</w:t>
      </w:r>
    </w:p>
    <w:p w14:paraId="687D9EC0">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研究中心特定SOP培训：入职或承接新项目时，必须完成所在研究中心独有的标准操作规程培训；</w:t>
      </w:r>
    </w:p>
    <w:p w14:paraId="47B2E8B0">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研究相关专用仪器操作培训：如项目涉及特殊检查设备，需接受相应的操作培训。</w:t>
      </w:r>
    </w:p>
    <w:p w14:paraId="144CE814">
      <w:pPr>
        <w:pStyle w:val="6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长期培训与发展规划</w:t>
      </w:r>
    </w:p>
    <w:p w14:paraId="1D8E4AF5">
      <w:pPr>
        <w:pStyle w:val="134"/>
        <w:numPr>
          <w:ilvl w:val="0"/>
          <w:numId w:val="0"/>
        </w:numPr>
        <w:bidi w:val="0"/>
        <w:ind w:left="425"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为持续提升CRC行业整体水平，建议：</w:t>
      </w:r>
    </w:p>
    <w:p w14:paraId="632631DE">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定期组织专题研讨会/培训班：聚焦行业热点、常见问题、典型案例分析（如核查常见问题剖析、数据质量提升等），并扩大受众范围，允许不同机构、不同经验水平的CRC参与交流；</w:t>
      </w:r>
    </w:p>
    <w:p w14:paraId="02F9E3AA">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推行持续教育机制：鼓励并支持CRC参加国内外行业会议、网络课程，以跟踪法规更新和技术进展。</w:t>
      </w:r>
    </w:p>
    <w:p w14:paraId="0A757452">
      <w:pPr>
        <w:pStyle w:val="107"/>
        <w:bidi w:val="0"/>
        <w:rPr>
          <w:rFonts w:hint="eastAsia"/>
          <w:lang w:val="en-US" w:eastAsia="zh-CN"/>
        </w:rPr>
      </w:pPr>
      <w:r>
        <w:rPr>
          <w:rFonts w:hint="eastAsia"/>
          <w:lang w:val="en-US" w:eastAsia="zh-CN"/>
        </w:rPr>
        <w:t>培训实施要求</w:t>
      </w:r>
    </w:p>
    <w:p w14:paraId="1F187854">
      <w:pPr>
        <w:pStyle w:val="67"/>
        <w:bidi w:val="0"/>
        <w:rPr>
          <w:rFonts w:hint="default"/>
          <w:lang w:val="en-US" w:eastAsia="zh-CN"/>
        </w:rPr>
      </w:pPr>
      <w:r>
        <w:rPr>
          <w:rFonts w:hint="default"/>
          <w:lang w:val="en-US" w:eastAsia="zh-CN"/>
        </w:rPr>
        <w:t>培训方式</w:t>
      </w:r>
    </w:p>
    <w:p w14:paraId="44AAAA40">
      <w:pPr>
        <w:numPr>
          <w:ilvl w:val="-1"/>
          <w:numId w:val="0"/>
        </w:numPr>
        <w:spacing w:line="360" w:lineRule="auto"/>
        <w:ind w:left="420" w:leftChars="0" w:firstLine="0" w:firstLineChars="0"/>
        <w:rPr>
          <w:rFonts w:hint="eastAsia" w:cs="宋体" w:asciiTheme="minorEastAsia" w:hAnsiTheme="minorEastAsia"/>
          <w:b w:val="0"/>
          <w:bCs w:val="0"/>
          <w:kern w:val="0"/>
          <w:szCs w:val="21"/>
          <w:lang w:val="en-US" w:eastAsia="zh-CN"/>
        </w:rPr>
      </w:pPr>
      <w:r>
        <w:rPr>
          <w:rFonts w:hint="eastAsia" w:ascii="Times New Roman" w:hAnsi="Times New Roman" w:eastAsia="宋体" w:cs="Times New Roman"/>
          <w:kern w:val="0"/>
          <w:sz w:val="21"/>
          <w:szCs w:val="20"/>
          <w:lang w:val="en-US" w:eastAsia="zh-CN" w:bidi="ar-SA"/>
        </w:rPr>
        <w:t>CRC的培训方式包</w:t>
      </w:r>
      <w:r>
        <w:rPr>
          <w:rFonts w:hint="eastAsia" w:cs="宋体" w:asciiTheme="minorEastAsia" w:hAnsiTheme="minorEastAsia"/>
          <w:b w:val="0"/>
          <w:bCs w:val="0"/>
          <w:kern w:val="0"/>
          <w:szCs w:val="21"/>
          <w:lang w:val="en-US" w:eastAsia="zh-CN"/>
        </w:rPr>
        <w:t>括但不限于：</w:t>
      </w:r>
    </w:p>
    <w:p w14:paraId="1BF21005">
      <w:pPr>
        <w:pStyle w:val="134"/>
        <w:bidi w:val="0"/>
        <w:rPr>
          <w:rFonts w:hint="default"/>
          <w:lang w:val="en-US" w:eastAsia="zh-CN"/>
        </w:rPr>
      </w:pPr>
      <w:r>
        <w:rPr>
          <w:rFonts w:hint="default"/>
          <w:lang w:val="en-US" w:eastAsia="zh-CN"/>
        </w:rPr>
        <w:t>集中面授与在线学习相结合</w:t>
      </w:r>
      <w:r>
        <w:rPr>
          <w:rFonts w:hint="eastAsia"/>
          <w:lang w:val="en-US" w:eastAsia="zh-CN"/>
        </w:rPr>
        <w:t>；</w:t>
      </w:r>
    </w:p>
    <w:p w14:paraId="669441FC">
      <w:pPr>
        <w:pStyle w:val="134"/>
        <w:bidi w:val="0"/>
        <w:rPr>
          <w:rFonts w:hint="default"/>
          <w:lang w:val="en-US" w:eastAsia="zh-CN"/>
        </w:rPr>
      </w:pPr>
      <w:r>
        <w:rPr>
          <w:rFonts w:hint="default"/>
          <w:lang w:val="en-US" w:eastAsia="zh-CN"/>
        </w:rPr>
        <w:t>现场实操培训</w:t>
      </w:r>
      <w:r>
        <w:rPr>
          <w:rFonts w:hint="eastAsia"/>
          <w:lang w:val="en-US" w:eastAsia="zh-CN"/>
        </w:rPr>
        <w:t>；</w:t>
      </w:r>
    </w:p>
    <w:p w14:paraId="40396E46">
      <w:pPr>
        <w:pStyle w:val="134"/>
        <w:bidi w:val="0"/>
        <w:rPr>
          <w:rFonts w:hint="default"/>
          <w:lang w:val="en-US" w:eastAsia="zh-CN"/>
        </w:rPr>
      </w:pPr>
      <w:r>
        <w:rPr>
          <w:rFonts w:hint="default"/>
          <w:lang w:val="en-US" w:eastAsia="zh-CN"/>
        </w:rPr>
        <w:t>案例分析与模拟演练</w:t>
      </w:r>
      <w:r>
        <w:rPr>
          <w:rFonts w:hint="eastAsia"/>
          <w:lang w:val="en-US" w:eastAsia="zh-CN"/>
        </w:rPr>
        <w:t>。</w:t>
      </w:r>
    </w:p>
    <w:p w14:paraId="02427B5F">
      <w:pPr>
        <w:pStyle w:val="67"/>
        <w:bidi w:val="0"/>
        <w:rPr>
          <w:rFonts w:hint="eastAsia"/>
          <w:lang w:val="en-US" w:eastAsia="zh-CN"/>
        </w:rPr>
      </w:pPr>
      <w:r>
        <w:rPr>
          <w:rFonts w:hint="eastAsia"/>
          <w:lang w:val="en-US" w:eastAsia="zh-CN"/>
        </w:rPr>
        <w:t>培训时长</w:t>
      </w:r>
    </w:p>
    <w:p w14:paraId="36AD6370">
      <w:pPr>
        <w:pStyle w:val="134"/>
        <w:bidi w:val="0"/>
        <w:rPr>
          <w:rFonts w:hint="eastAsia"/>
          <w:lang w:val="en-US" w:eastAsia="zh-CN"/>
        </w:rPr>
      </w:pPr>
      <w:r>
        <w:rPr>
          <w:rFonts w:hint="eastAsia"/>
          <w:lang w:val="en-US" w:eastAsia="zh-CN"/>
        </w:rPr>
        <w:t>独立上岗前，基础培训时间不得少于3个月，理论与在岗实践培训相结合；</w:t>
      </w:r>
    </w:p>
    <w:p w14:paraId="4DE03868">
      <w:pPr>
        <w:pStyle w:val="134"/>
        <w:bidi w:val="0"/>
        <w:rPr>
          <w:rFonts w:hint="default"/>
          <w:lang w:val="en-US" w:eastAsia="zh-CN"/>
        </w:rPr>
      </w:pPr>
      <w:r>
        <w:rPr>
          <w:rFonts w:hint="eastAsia"/>
          <w:lang w:val="en-US" w:eastAsia="zh-CN"/>
        </w:rPr>
        <w:t>取得资质的CRC每年应接受不少于12小时的继续教育，以更新知识、提升技能。</w:t>
      </w:r>
    </w:p>
    <w:p w14:paraId="59BAAE51">
      <w:pPr>
        <w:pStyle w:val="67"/>
        <w:bidi w:val="0"/>
        <w:rPr>
          <w:rFonts w:hint="default"/>
          <w:lang w:val="en-US" w:eastAsia="zh-CN"/>
        </w:rPr>
      </w:pPr>
      <w:r>
        <w:rPr>
          <w:rFonts w:hint="default"/>
          <w:lang w:val="en-US" w:eastAsia="zh-CN"/>
        </w:rPr>
        <w:t>师资</w:t>
      </w:r>
      <w:r>
        <w:rPr>
          <w:rFonts w:hint="eastAsia"/>
          <w:lang w:val="en-US" w:eastAsia="zh-CN"/>
        </w:rPr>
        <w:t>要求</w:t>
      </w:r>
    </w:p>
    <w:p w14:paraId="1F0191FF">
      <w:pPr>
        <w:pStyle w:val="134"/>
        <w:bidi w:val="0"/>
        <w:rPr>
          <w:rFonts w:hint="default"/>
          <w:lang w:val="en-US" w:eastAsia="zh-CN"/>
        </w:rPr>
      </w:pPr>
      <w:r>
        <w:rPr>
          <w:rFonts w:hint="eastAsia"/>
          <w:lang w:val="en-US" w:eastAsia="zh-CN"/>
        </w:rPr>
        <w:t>应接受具备丰富临床试验知识与经验的相关专家的培训，如资深研究者、机构办公室管理人员、CRA等；</w:t>
      </w:r>
    </w:p>
    <w:p w14:paraId="210DE632">
      <w:pPr>
        <w:pStyle w:val="134"/>
        <w:bidi w:val="0"/>
        <w:rPr>
          <w:rFonts w:hint="default"/>
          <w:lang w:val="en-US" w:eastAsia="zh-CN"/>
        </w:rPr>
      </w:pPr>
      <w:r>
        <w:rPr>
          <w:rFonts w:hint="default"/>
          <w:lang w:val="en-US" w:eastAsia="zh-CN"/>
        </w:rPr>
        <w:t>经认证的培训讲师</w:t>
      </w:r>
      <w:r>
        <w:rPr>
          <w:rFonts w:hint="eastAsia"/>
          <w:lang w:val="en-US" w:eastAsia="zh-CN"/>
        </w:rPr>
        <w:t>。</w:t>
      </w:r>
    </w:p>
    <w:p w14:paraId="2AD1CDF2">
      <w:pPr>
        <w:pStyle w:val="67"/>
        <w:bidi w:val="0"/>
        <w:rPr>
          <w:rFonts w:hint="default"/>
          <w:lang w:val="en-US" w:eastAsia="zh-CN"/>
        </w:rPr>
      </w:pPr>
      <w:r>
        <w:rPr>
          <w:rFonts w:hint="default"/>
          <w:lang w:val="en-US" w:eastAsia="zh-CN"/>
        </w:rPr>
        <w:t>培训</w:t>
      </w:r>
      <w:r>
        <w:rPr>
          <w:rFonts w:hint="eastAsia"/>
          <w:lang w:val="en-US" w:eastAsia="zh-CN"/>
        </w:rPr>
        <w:t>记录</w:t>
      </w:r>
      <w:r>
        <w:rPr>
          <w:rFonts w:hint="default"/>
          <w:lang w:val="en-US" w:eastAsia="zh-CN"/>
        </w:rPr>
        <w:t>管理</w:t>
      </w:r>
    </w:p>
    <w:p w14:paraId="613C3D06">
      <w:pPr>
        <w:pStyle w:val="58"/>
        <w:rPr>
          <w:rFonts w:hint="default"/>
          <w:lang w:val="en-US" w:eastAsia="zh-CN"/>
        </w:rPr>
      </w:pPr>
      <w:r>
        <w:rPr>
          <w:rFonts w:hint="eastAsia"/>
          <w:lang w:val="en-US" w:eastAsia="zh-CN"/>
        </w:rPr>
        <w:t>应对培训过程中的以下内容进行记录管理：</w:t>
      </w:r>
    </w:p>
    <w:p w14:paraId="0E3CE98F">
      <w:pPr>
        <w:pStyle w:val="134"/>
        <w:bidi w:val="0"/>
      </w:pPr>
      <w:r>
        <w:rPr>
          <w:rFonts w:hint="default"/>
          <w:lang w:val="en-US" w:eastAsia="zh-CN"/>
        </w:rPr>
        <w:t>个人培训档案</w:t>
      </w:r>
      <w:r>
        <w:rPr>
          <w:rFonts w:hint="eastAsia"/>
          <w:lang w:val="en-US" w:eastAsia="zh-CN"/>
        </w:rPr>
        <w:t>；</w:t>
      </w:r>
    </w:p>
    <w:p w14:paraId="5FF9153E">
      <w:pPr>
        <w:pStyle w:val="134"/>
        <w:bidi w:val="0"/>
      </w:pPr>
      <w:r>
        <w:rPr>
          <w:rFonts w:hint="default"/>
          <w:lang w:val="en-US" w:eastAsia="zh-CN"/>
        </w:rPr>
        <w:t>培训内容、考核结果</w:t>
      </w:r>
      <w:r>
        <w:rPr>
          <w:rFonts w:hint="eastAsia"/>
          <w:lang w:val="en-US" w:eastAsia="zh-CN"/>
        </w:rPr>
        <w:t>（若有）。</w:t>
      </w:r>
    </w:p>
    <w:p w14:paraId="4635252B">
      <w:pPr>
        <w:pStyle w:val="106"/>
        <w:bidi w:val="0"/>
        <w:rPr>
          <w:rFonts w:hint="default"/>
          <w:lang w:val="en-US" w:eastAsia="zh-CN"/>
        </w:rPr>
      </w:pPr>
      <w:r>
        <w:rPr>
          <w:rFonts w:hint="eastAsia"/>
          <w:lang w:val="en-US" w:eastAsia="zh-CN"/>
        </w:rPr>
        <w:t xml:space="preserve"> CRC的胜任力评价</w:t>
      </w:r>
    </w:p>
    <w:p w14:paraId="5C576F59">
      <w:pPr>
        <w:pStyle w:val="107"/>
        <w:bidi w:val="0"/>
        <w:rPr>
          <w:rFonts w:hint="eastAsia"/>
          <w:lang w:val="en-US" w:eastAsia="zh-CN"/>
        </w:rPr>
      </w:pPr>
      <w:r>
        <w:rPr>
          <w:rFonts w:hint="eastAsia"/>
          <w:lang w:val="en-US" w:eastAsia="zh-CN"/>
        </w:rPr>
        <w:t>评价维度</w:t>
      </w:r>
    </w:p>
    <w:p w14:paraId="1BB868C3">
      <w:pPr>
        <w:pStyle w:val="58"/>
        <w:rPr>
          <w:rFonts w:hint="eastAsia"/>
          <w:lang w:val="en-US" w:eastAsia="zh-CN"/>
        </w:rPr>
      </w:pPr>
      <w:r>
        <w:rPr>
          <w:rFonts w:hint="eastAsia"/>
          <w:lang w:val="en-US" w:eastAsia="zh-CN"/>
        </w:rPr>
        <w:t>CRC的胜任力评价方式包括但不限于：</w:t>
      </w:r>
    </w:p>
    <w:p w14:paraId="0E06C8A0">
      <w:pPr>
        <w:pStyle w:val="134"/>
        <w:bidi w:val="0"/>
        <w:rPr>
          <w:rFonts w:hint="eastAsia"/>
          <w:lang w:val="en-US" w:eastAsia="zh-CN"/>
        </w:rPr>
      </w:pPr>
      <w:r>
        <w:rPr>
          <w:rFonts w:hint="eastAsia"/>
          <w:lang w:val="en-US" w:eastAsia="zh-CN"/>
        </w:rPr>
        <w:t>专业知识：GCP及相关法规掌握程度、试验方案和SOP理解深度、医学和药学基础知识；</w:t>
      </w:r>
    </w:p>
    <w:p w14:paraId="6CEB027B">
      <w:pPr>
        <w:pStyle w:val="134"/>
        <w:bidi w:val="0"/>
        <w:rPr>
          <w:rFonts w:hint="eastAsia"/>
          <w:lang w:val="en-US" w:eastAsia="zh-CN"/>
        </w:rPr>
      </w:pPr>
      <w:r>
        <w:rPr>
          <w:rFonts w:hint="eastAsia"/>
          <w:lang w:val="en-US" w:eastAsia="zh-CN"/>
        </w:rPr>
        <w:t>实践技能：临床试验操作技能、数据管理与质量控制能力、试验用药品/器械管理能力、应急处理与问题解决能力；</w:t>
      </w:r>
    </w:p>
    <w:p w14:paraId="2C429557">
      <w:pPr>
        <w:pStyle w:val="134"/>
        <w:bidi w:val="0"/>
        <w:rPr>
          <w:rFonts w:hint="eastAsia"/>
          <w:lang w:val="en-US" w:eastAsia="zh-CN"/>
        </w:rPr>
      </w:pPr>
      <w:r>
        <w:rPr>
          <w:rFonts w:hint="eastAsia"/>
          <w:lang w:val="en-US" w:eastAsia="zh-CN"/>
        </w:rPr>
        <w:t>职业素质：伦理意识与试验参与者保护理念、沟通协调能力、团队合作精神、责任心和敬业精神；</w:t>
      </w:r>
    </w:p>
    <w:p w14:paraId="7857852F">
      <w:pPr>
        <w:pStyle w:val="134"/>
        <w:bidi w:val="0"/>
        <w:rPr>
          <w:rFonts w:hint="eastAsia"/>
          <w:lang w:val="en-US" w:eastAsia="zh-CN"/>
        </w:rPr>
      </w:pPr>
      <w:r>
        <w:rPr>
          <w:rFonts w:hint="eastAsia"/>
          <w:lang w:val="en-US" w:eastAsia="zh-CN"/>
        </w:rPr>
        <w:t>绩效产出：工作效率与质量、方案偏离率、数据质疑率与解决效率。</w:t>
      </w:r>
    </w:p>
    <w:p w14:paraId="29D8219E">
      <w:pPr>
        <w:pStyle w:val="107"/>
        <w:bidi w:val="0"/>
        <w:rPr>
          <w:rFonts w:hint="eastAsia"/>
          <w:lang w:val="en-US" w:eastAsia="zh-CN"/>
        </w:rPr>
      </w:pPr>
      <w:r>
        <w:rPr>
          <w:rFonts w:hint="eastAsia"/>
          <w:lang w:val="en-US" w:eastAsia="zh-CN"/>
        </w:rPr>
        <w:t>评价方式</w:t>
      </w:r>
    </w:p>
    <w:p w14:paraId="341ABC7F">
      <w:pPr>
        <w:pStyle w:val="58"/>
        <w:rPr>
          <w:rFonts w:hint="eastAsia"/>
          <w:lang w:val="en-US" w:eastAsia="zh-CN"/>
        </w:rPr>
      </w:pPr>
      <w:r>
        <w:rPr>
          <w:rFonts w:hint="eastAsia"/>
          <w:lang w:val="en-US" w:eastAsia="zh-CN"/>
        </w:rPr>
        <w:t>CRC的评价方式包括但不限于：</w:t>
      </w:r>
    </w:p>
    <w:p w14:paraId="2E7B0706">
      <w:pPr>
        <w:pStyle w:val="134"/>
        <w:bidi w:val="0"/>
        <w:rPr>
          <w:rFonts w:hint="eastAsia"/>
          <w:lang w:val="en-US" w:eastAsia="zh-CN"/>
        </w:rPr>
      </w:pPr>
      <w:r>
        <w:rPr>
          <w:rFonts w:hint="eastAsia"/>
          <w:lang w:val="en-US" w:eastAsia="zh-CN"/>
        </w:rPr>
        <w:t xml:space="preserve"> 通过</w:t>
      </w:r>
      <w:r>
        <w:rPr>
          <w:rFonts w:hint="eastAsia"/>
        </w:rPr>
        <w:t>笔试/在线考试</w:t>
      </w:r>
      <w:r>
        <w:rPr>
          <w:rFonts w:hint="eastAsia"/>
          <w:lang w:val="en-US" w:eastAsia="zh-CN"/>
        </w:rPr>
        <w:t>完成理论知识考核</w:t>
      </w:r>
      <w:r>
        <w:rPr>
          <w:rFonts w:hint="eastAsia"/>
          <w:lang w:eastAsia="zh-CN"/>
        </w:rPr>
        <w:t>；</w:t>
      </w:r>
    </w:p>
    <w:p w14:paraId="248934B1">
      <w:pPr>
        <w:pStyle w:val="134"/>
        <w:bidi w:val="0"/>
        <w:rPr>
          <w:rFonts w:hint="eastAsia"/>
          <w:lang w:val="en-US" w:eastAsia="zh-CN"/>
        </w:rPr>
      </w:pPr>
      <w:r>
        <w:rPr>
          <w:rFonts w:hint="eastAsia"/>
          <w:lang w:val="en-US" w:eastAsia="zh-CN"/>
        </w:rPr>
        <w:t xml:space="preserve"> 通过模拟操作/现场观察实操完成技能评估；</w:t>
      </w:r>
    </w:p>
    <w:p w14:paraId="5044E90F">
      <w:pPr>
        <w:pStyle w:val="134"/>
        <w:bidi w:val="0"/>
        <w:rPr>
          <w:rFonts w:hint="eastAsia"/>
          <w:lang w:val="en-US" w:eastAsia="zh-CN"/>
        </w:rPr>
      </w:pPr>
      <w:r>
        <w:rPr>
          <w:rFonts w:hint="eastAsia"/>
          <w:lang w:val="en-US" w:eastAsia="zh-CN"/>
        </w:rPr>
        <w:t xml:space="preserve"> 研究者/CRA/机构等多方反馈的360度综合评价；</w:t>
      </w:r>
    </w:p>
    <w:p w14:paraId="13C7A768">
      <w:pPr>
        <w:pStyle w:val="134"/>
        <w:bidi w:val="0"/>
        <w:rPr>
          <w:rFonts w:hint="default"/>
          <w:lang w:val="en-US" w:eastAsia="zh-CN"/>
        </w:rPr>
      </w:pPr>
      <w:r>
        <w:rPr>
          <w:rFonts w:hint="eastAsia"/>
          <w:lang w:val="en-US" w:eastAsia="zh-CN"/>
        </w:rPr>
        <w:t xml:space="preserve"> 工作文档与记录审查。</w:t>
      </w:r>
    </w:p>
    <w:p w14:paraId="463A76C3">
      <w:pPr>
        <w:pStyle w:val="107"/>
        <w:bidi w:val="0"/>
        <w:rPr>
          <w:rFonts w:hint="eastAsia"/>
          <w:lang w:val="en-US" w:eastAsia="zh-CN"/>
        </w:rPr>
      </w:pPr>
      <w:r>
        <w:rPr>
          <w:rFonts w:hint="eastAsia"/>
          <w:lang w:val="en-US" w:eastAsia="zh-CN"/>
        </w:rPr>
        <w:t>评价周期</w:t>
      </w:r>
    </w:p>
    <w:p w14:paraId="5566DA11">
      <w:pPr>
        <w:pStyle w:val="58"/>
        <w:rPr>
          <w:rFonts w:hint="default"/>
          <w:lang w:val="en-US" w:eastAsia="zh-CN"/>
        </w:rPr>
      </w:pPr>
      <w:r>
        <w:rPr>
          <w:rFonts w:hint="eastAsia"/>
          <w:lang w:val="en-US" w:eastAsia="zh-CN"/>
        </w:rPr>
        <w:t>CRC的评价周期包括但不限于：</w:t>
      </w:r>
    </w:p>
    <w:p w14:paraId="0F402118">
      <w:pPr>
        <w:pStyle w:val="134"/>
        <w:bidi w:val="0"/>
        <w:rPr>
          <w:rFonts w:hint="eastAsia"/>
          <w:lang w:val="en-US" w:eastAsia="zh-CN"/>
        </w:rPr>
      </w:pPr>
      <w:r>
        <w:rPr>
          <w:rFonts w:hint="eastAsia"/>
          <w:lang w:val="en-US" w:eastAsia="zh-CN"/>
        </w:rPr>
        <w:t>月度、季度、年度综合评价等定期评价；</w:t>
      </w:r>
    </w:p>
    <w:p w14:paraId="20E31FB3">
      <w:pPr>
        <w:pStyle w:val="134"/>
        <w:bidi w:val="0"/>
        <w:rPr>
          <w:rFonts w:hint="eastAsia"/>
          <w:lang w:val="en-US" w:eastAsia="zh-CN"/>
        </w:rPr>
      </w:pPr>
      <w:r>
        <w:rPr>
          <w:rFonts w:hint="eastAsia"/>
          <w:lang w:val="en-US" w:eastAsia="zh-CN"/>
        </w:rPr>
        <w:t>项目开始前、进行中、结束后等项目评价；</w:t>
      </w:r>
    </w:p>
    <w:p w14:paraId="7F725954">
      <w:pPr>
        <w:pStyle w:val="134"/>
        <w:bidi w:val="0"/>
        <w:rPr>
          <w:rFonts w:hint="default"/>
          <w:lang w:val="en-US" w:eastAsia="zh-CN"/>
        </w:rPr>
      </w:pPr>
      <w:r>
        <w:rPr>
          <w:rFonts w:hint="eastAsia"/>
          <w:lang w:val="en-US" w:eastAsia="zh-CN"/>
        </w:rPr>
        <w:t>晋升、转岗等特殊情况的不定期评价。</w:t>
      </w:r>
    </w:p>
    <w:p w14:paraId="7E0D5491">
      <w:pPr>
        <w:pStyle w:val="107"/>
        <w:bidi w:val="0"/>
        <w:rPr>
          <w:rFonts w:hint="eastAsia"/>
          <w:lang w:val="en-US" w:eastAsia="zh-CN"/>
        </w:rPr>
      </w:pPr>
      <w:r>
        <w:rPr>
          <w:rFonts w:hint="eastAsia"/>
          <w:lang w:val="en-US" w:eastAsia="zh-CN"/>
        </w:rPr>
        <w:t>分级评价标准</w:t>
      </w:r>
    </w:p>
    <w:p w14:paraId="3FB323DD">
      <w:pPr>
        <w:pStyle w:val="58"/>
        <w:rPr>
          <w:rFonts w:hint="eastAsia"/>
          <w:lang w:val="en-US" w:eastAsia="zh-CN"/>
        </w:rPr>
      </w:pPr>
      <w:r>
        <w:rPr>
          <w:rFonts w:hint="eastAsia"/>
          <w:lang w:val="en-US" w:eastAsia="zh-CN"/>
        </w:rPr>
        <w:t>CRC的分级评价标准详见表1。</w:t>
      </w:r>
    </w:p>
    <w:p w14:paraId="737D4C59">
      <w:pPr>
        <w:pStyle w:val="114"/>
        <w:bidi w:val="0"/>
        <w:rPr>
          <w:rFonts w:hint="eastAsia"/>
          <w:lang w:val="en-US" w:eastAsia="zh-CN"/>
        </w:rPr>
      </w:pPr>
      <w:r>
        <w:rPr>
          <w:rFonts w:hint="eastAsia"/>
          <w:lang w:val="en-US" w:eastAsia="zh-CN"/>
        </w:rPr>
        <w:t>CRC的分级评价标准</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388"/>
        <w:gridCol w:w="2388"/>
        <w:gridCol w:w="2389"/>
        <w:gridCol w:w="2389"/>
      </w:tblGrid>
      <w:tr w14:paraId="2A30E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388" w:type="dxa"/>
            <w:tcBorders>
              <w:bottom w:val="single" w:color="auto" w:sz="8" w:space="0"/>
            </w:tcBorders>
            <w:vAlign w:val="center"/>
          </w:tcPr>
          <w:p w14:paraId="1F790883">
            <w:pPr>
              <w:pStyle w:val="180"/>
              <w:bidi w:val="0"/>
              <w:spacing w:line="240" w:lineRule="auto"/>
              <w:jc w:val="center"/>
              <w:rPr>
                <w:rFonts w:hint="default"/>
                <w:lang w:val="en-US" w:eastAsia="zh-CN"/>
              </w:rPr>
            </w:pPr>
            <w:r>
              <w:rPr>
                <w:rFonts w:hint="eastAsia"/>
                <w:lang w:val="en-US" w:eastAsia="zh-CN"/>
              </w:rPr>
              <w:t>评价标准</w:t>
            </w:r>
          </w:p>
        </w:tc>
        <w:tc>
          <w:tcPr>
            <w:tcW w:w="2388" w:type="dxa"/>
            <w:tcBorders>
              <w:bottom w:val="single" w:color="auto" w:sz="8" w:space="0"/>
            </w:tcBorders>
            <w:vAlign w:val="center"/>
          </w:tcPr>
          <w:p w14:paraId="006E0CD9">
            <w:pPr>
              <w:pStyle w:val="180"/>
              <w:bidi w:val="0"/>
              <w:spacing w:line="240" w:lineRule="auto"/>
              <w:jc w:val="center"/>
              <w:rPr>
                <w:rFonts w:hint="default"/>
                <w:lang w:val="en-US" w:eastAsia="zh-CN"/>
              </w:rPr>
            </w:pPr>
            <w:r>
              <w:rPr>
                <w:rFonts w:hint="eastAsia"/>
                <w:lang w:val="en-US" w:eastAsia="zh-CN"/>
              </w:rPr>
              <w:t>初级CRC</w:t>
            </w:r>
          </w:p>
        </w:tc>
        <w:tc>
          <w:tcPr>
            <w:tcW w:w="2389" w:type="dxa"/>
            <w:tcBorders>
              <w:bottom w:val="single" w:color="auto" w:sz="8" w:space="0"/>
            </w:tcBorders>
            <w:vAlign w:val="center"/>
          </w:tcPr>
          <w:p w14:paraId="2C6662F1">
            <w:pPr>
              <w:pStyle w:val="180"/>
              <w:bidi w:val="0"/>
              <w:spacing w:line="240" w:lineRule="auto"/>
              <w:jc w:val="center"/>
              <w:rPr>
                <w:rFonts w:hint="default"/>
                <w:lang w:val="en-US" w:eastAsia="zh-CN"/>
              </w:rPr>
            </w:pPr>
            <w:r>
              <w:rPr>
                <w:rFonts w:hint="eastAsia"/>
                <w:lang w:val="en-US" w:eastAsia="zh-CN"/>
              </w:rPr>
              <w:t>中级CRC</w:t>
            </w:r>
          </w:p>
        </w:tc>
        <w:tc>
          <w:tcPr>
            <w:tcW w:w="2389" w:type="dxa"/>
            <w:tcBorders>
              <w:bottom w:val="single" w:color="auto" w:sz="8" w:space="0"/>
            </w:tcBorders>
            <w:vAlign w:val="center"/>
          </w:tcPr>
          <w:p w14:paraId="6A04AD47">
            <w:pPr>
              <w:pStyle w:val="180"/>
              <w:bidi w:val="0"/>
              <w:spacing w:line="240" w:lineRule="auto"/>
              <w:jc w:val="center"/>
              <w:rPr>
                <w:rFonts w:hint="default"/>
                <w:lang w:val="en-US" w:eastAsia="zh-CN"/>
              </w:rPr>
            </w:pPr>
            <w:r>
              <w:rPr>
                <w:rFonts w:hint="eastAsia"/>
                <w:lang w:val="en-US" w:eastAsia="zh-CN"/>
              </w:rPr>
              <w:t>高级CRC</w:t>
            </w:r>
          </w:p>
        </w:tc>
      </w:tr>
      <w:tr w14:paraId="755AE3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tcBorders>
              <w:top w:val="single" w:color="auto" w:sz="8" w:space="0"/>
            </w:tcBorders>
            <w:vAlign w:val="center"/>
          </w:tcPr>
          <w:p w14:paraId="31591B25">
            <w:pPr>
              <w:pStyle w:val="180"/>
              <w:bidi w:val="0"/>
              <w:spacing w:line="240" w:lineRule="auto"/>
              <w:jc w:val="center"/>
              <w:rPr>
                <w:rFonts w:hint="default"/>
                <w:lang w:val="en-US" w:eastAsia="zh-CN"/>
              </w:rPr>
            </w:pPr>
            <w:r>
              <w:rPr>
                <w:rFonts w:hint="eastAsia"/>
                <w:lang w:val="en-US" w:eastAsia="zh-CN"/>
              </w:rPr>
              <w:t>试验启动准备</w:t>
            </w:r>
          </w:p>
        </w:tc>
        <w:tc>
          <w:tcPr>
            <w:tcW w:w="2388" w:type="dxa"/>
            <w:tcBorders>
              <w:top w:val="single" w:color="auto" w:sz="8" w:space="0"/>
            </w:tcBorders>
            <w:vAlign w:val="center"/>
          </w:tcPr>
          <w:p w14:paraId="16F78569">
            <w:pPr>
              <w:pStyle w:val="180"/>
              <w:bidi w:val="0"/>
              <w:spacing w:line="240" w:lineRule="auto"/>
              <w:jc w:val="center"/>
              <w:rPr>
                <w:rFonts w:hint="eastAsia"/>
                <w:lang w:val="en-US" w:eastAsia="zh-CN"/>
              </w:rPr>
            </w:pPr>
            <w:r>
              <w:rPr>
                <w:rFonts w:hint="eastAsia"/>
                <w:lang w:val="en-US" w:eastAsia="zh-CN"/>
              </w:rPr>
              <w:t>能在上级指导下，按既定SOP和清单收集、整理、提交伦理与机构所需资质文件。</w:t>
            </w:r>
          </w:p>
        </w:tc>
        <w:tc>
          <w:tcPr>
            <w:tcW w:w="2389" w:type="dxa"/>
            <w:tcBorders>
              <w:top w:val="single" w:color="auto" w:sz="8" w:space="0"/>
            </w:tcBorders>
            <w:vAlign w:val="center"/>
          </w:tcPr>
          <w:p w14:paraId="1BE5AF53">
            <w:pPr>
              <w:pStyle w:val="180"/>
              <w:bidi w:val="0"/>
              <w:spacing w:line="240" w:lineRule="auto"/>
              <w:jc w:val="center"/>
              <w:rPr>
                <w:rFonts w:hint="eastAsia"/>
                <w:lang w:val="en-US" w:eastAsia="zh-CN"/>
              </w:rPr>
            </w:pPr>
            <w:r>
              <w:rPr>
                <w:rFonts w:hint="eastAsia"/>
                <w:lang w:val="en-US" w:eastAsia="zh-CN"/>
              </w:rPr>
              <w:t>能独立准备并提交立项伦理资料，预判常见问题；能协调研究者、机构、申办者完成启动前各项事务。</w:t>
            </w:r>
          </w:p>
        </w:tc>
        <w:tc>
          <w:tcPr>
            <w:tcW w:w="2389" w:type="dxa"/>
            <w:tcBorders>
              <w:top w:val="single" w:color="auto" w:sz="8" w:space="0"/>
            </w:tcBorders>
            <w:vAlign w:val="center"/>
          </w:tcPr>
          <w:p w14:paraId="6F587344">
            <w:pPr>
              <w:pStyle w:val="180"/>
              <w:bidi w:val="0"/>
              <w:spacing w:line="240" w:lineRule="auto"/>
              <w:jc w:val="center"/>
              <w:rPr>
                <w:rFonts w:hint="eastAsia"/>
                <w:lang w:val="en-US" w:eastAsia="zh-CN"/>
              </w:rPr>
            </w:pPr>
            <w:r>
              <w:rPr>
                <w:rFonts w:hint="eastAsia"/>
                <w:lang w:val="en-US" w:eastAsia="zh-CN"/>
              </w:rPr>
              <w:t>精通不同中心流程差异，能指导团队应对特殊情况；能优化启动准备清单，为新项目提供启动策略建议。</w:t>
            </w:r>
          </w:p>
        </w:tc>
      </w:tr>
      <w:tr w14:paraId="62010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vAlign w:val="center"/>
          </w:tcPr>
          <w:p w14:paraId="202A78AF">
            <w:pPr>
              <w:pStyle w:val="180"/>
              <w:bidi w:val="0"/>
              <w:spacing w:line="240" w:lineRule="auto"/>
              <w:jc w:val="center"/>
              <w:rPr>
                <w:rFonts w:hint="eastAsia"/>
                <w:lang w:val="en-US" w:eastAsia="zh-CN"/>
              </w:rPr>
            </w:pPr>
            <w:r>
              <w:rPr>
                <w:rFonts w:hint="eastAsia"/>
                <w:lang w:val="en-US" w:eastAsia="zh-CN"/>
              </w:rPr>
              <w:t>受试者管理</w:t>
            </w:r>
          </w:p>
        </w:tc>
        <w:tc>
          <w:tcPr>
            <w:tcW w:w="2388" w:type="dxa"/>
            <w:vAlign w:val="center"/>
          </w:tcPr>
          <w:p w14:paraId="59ACC650">
            <w:pPr>
              <w:pStyle w:val="180"/>
              <w:bidi w:val="0"/>
              <w:spacing w:line="240" w:lineRule="auto"/>
              <w:jc w:val="center"/>
              <w:rPr>
                <w:rFonts w:hint="eastAsia"/>
                <w:lang w:val="en-US" w:eastAsia="zh-CN"/>
              </w:rPr>
            </w:pPr>
            <w:r>
              <w:rPr>
                <w:rFonts w:hint="eastAsia"/>
                <w:lang w:val="en-US" w:eastAsia="zh-CN"/>
              </w:rPr>
              <w:t>能严格按方案流程安排受试者访视，规范完成各项检查，熟悉知情同意过程并能在监督下执行。</w:t>
            </w:r>
          </w:p>
        </w:tc>
        <w:tc>
          <w:tcPr>
            <w:tcW w:w="2389" w:type="dxa"/>
            <w:vAlign w:val="center"/>
          </w:tcPr>
          <w:p w14:paraId="3500813A">
            <w:pPr>
              <w:pStyle w:val="180"/>
              <w:bidi w:val="0"/>
              <w:spacing w:line="240" w:lineRule="auto"/>
              <w:jc w:val="center"/>
              <w:rPr>
                <w:rFonts w:hint="eastAsia"/>
                <w:lang w:val="en-US" w:eastAsia="zh-CN"/>
              </w:rPr>
            </w:pPr>
            <w:r>
              <w:rPr>
                <w:rFonts w:hint="eastAsia"/>
                <w:lang w:val="en-US" w:eastAsia="zh-CN"/>
              </w:rPr>
              <w:t>能独立处理访视窗偏移等常见情况；能预见受试者可能出现的脱落风险并主动沟通。</w:t>
            </w:r>
          </w:p>
        </w:tc>
        <w:tc>
          <w:tcPr>
            <w:tcW w:w="2389" w:type="dxa"/>
            <w:vAlign w:val="center"/>
          </w:tcPr>
          <w:p w14:paraId="79E171FE">
            <w:pPr>
              <w:pStyle w:val="180"/>
              <w:bidi w:val="0"/>
              <w:spacing w:line="240" w:lineRule="auto"/>
              <w:jc w:val="center"/>
              <w:rPr>
                <w:rFonts w:hint="eastAsia"/>
                <w:lang w:val="en-US" w:eastAsia="zh-CN"/>
              </w:rPr>
            </w:pPr>
            <w:r>
              <w:rPr>
                <w:rFonts w:hint="eastAsia"/>
                <w:lang w:val="en-US" w:eastAsia="zh-CN"/>
              </w:rPr>
              <w:t>能独立处理重大偏离并制定纠正措施；能作为关键角色应对高难度受试者（如不依从、不良事件复杂等），策略性降低脱落率。</w:t>
            </w:r>
          </w:p>
        </w:tc>
      </w:tr>
      <w:tr w14:paraId="7BE75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vAlign w:val="center"/>
          </w:tcPr>
          <w:p w14:paraId="3B9B37C9">
            <w:pPr>
              <w:pStyle w:val="180"/>
              <w:bidi w:val="0"/>
              <w:spacing w:line="240" w:lineRule="auto"/>
              <w:jc w:val="center"/>
              <w:rPr>
                <w:rFonts w:hint="eastAsia"/>
                <w:lang w:val="en-US" w:eastAsia="zh-CN"/>
              </w:rPr>
            </w:pPr>
            <w:r>
              <w:rPr>
                <w:rFonts w:hint="eastAsia"/>
                <w:lang w:val="en-US" w:eastAsia="zh-CN"/>
              </w:rPr>
              <w:t>数据与文档管理</w:t>
            </w:r>
          </w:p>
        </w:tc>
        <w:tc>
          <w:tcPr>
            <w:tcW w:w="2388" w:type="dxa"/>
            <w:vAlign w:val="center"/>
          </w:tcPr>
          <w:p w14:paraId="5B3520D7">
            <w:pPr>
              <w:pStyle w:val="180"/>
              <w:bidi w:val="0"/>
              <w:spacing w:line="240" w:lineRule="auto"/>
              <w:jc w:val="center"/>
              <w:rPr>
                <w:rFonts w:hint="eastAsia"/>
                <w:lang w:val="en-US" w:eastAsia="zh-CN"/>
              </w:rPr>
            </w:pPr>
            <w:r>
              <w:rPr>
                <w:rFonts w:hint="eastAsia"/>
                <w:lang w:val="en-US" w:eastAsia="zh-CN"/>
              </w:rPr>
              <w:t>能准确、及时地将数据从源文件转录至病例报告表；能按目录整理和维护试验文件夹。</w:t>
            </w:r>
          </w:p>
        </w:tc>
        <w:tc>
          <w:tcPr>
            <w:tcW w:w="2389" w:type="dxa"/>
            <w:vAlign w:val="center"/>
          </w:tcPr>
          <w:p w14:paraId="0ECFCB13">
            <w:pPr>
              <w:pStyle w:val="180"/>
              <w:bidi w:val="0"/>
              <w:spacing w:line="240" w:lineRule="auto"/>
              <w:jc w:val="center"/>
              <w:rPr>
                <w:rFonts w:hint="eastAsia"/>
                <w:lang w:val="en-US" w:eastAsia="zh-CN"/>
              </w:rPr>
            </w:pPr>
            <w:r>
              <w:rPr>
                <w:rFonts w:hint="eastAsia"/>
                <w:lang w:val="en-US" w:eastAsia="zh-CN"/>
              </w:rPr>
              <w:t>能独立解决大部分数据质疑，并能进行原始数据溯源；能初步识别方案违背并记录。</w:t>
            </w:r>
          </w:p>
        </w:tc>
        <w:tc>
          <w:tcPr>
            <w:tcW w:w="2389" w:type="dxa"/>
            <w:vAlign w:val="center"/>
          </w:tcPr>
          <w:p w14:paraId="3D87CA3E">
            <w:pPr>
              <w:pStyle w:val="180"/>
              <w:bidi w:val="0"/>
              <w:spacing w:line="240" w:lineRule="auto"/>
              <w:jc w:val="center"/>
              <w:rPr>
                <w:rFonts w:hint="eastAsia"/>
                <w:lang w:val="en-US" w:eastAsia="zh-CN"/>
              </w:rPr>
            </w:pPr>
            <w:r>
              <w:rPr>
                <w:rFonts w:hint="eastAsia"/>
                <w:lang w:val="en-US" w:eastAsia="zh-CN"/>
              </w:rPr>
              <w:t>能对项目数据质量进行自查与稽查准备，分析质疑趋势，提出流程改进建议以从根本上减少质疑。</w:t>
            </w:r>
          </w:p>
        </w:tc>
      </w:tr>
      <w:tr w14:paraId="0E158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shd w:val="clear" w:color="auto" w:fill="auto"/>
            <w:vAlign w:val="center"/>
          </w:tcPr>
          <w:p w14:paraId="5AEA725F">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lang w:val="en-US" w:eastAsia="zh-CN"/>
              </w:rPr>
              <w:t>试验用药品/器械管理</w:t>
            </w:r>
          </w:p>
        </w:tc>
        <w:tc>
          <w:tcPr>
            <w:tcW w:w="2388" w:type="dxa"/>
            <w:shd w:val="clear" w:color="auto" w:fill="auto"/>
            <w:vAlign w:val="center"/>
          </w:tcPr>
          <w:p w14:paraId="038A5921">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lang w:val="en-US" w:eastAsia="zh-CN"/>
              </w:rPr>
              <w:t>能严格按SOP协助进行药品的接收、储存、发放、回收和记录，确保温度等条件符合要求。</w:t>
            </w:r>
          </w:p>
        </w:tc>
        <w:tc>
          <w:tcPr>
            <w:tcW w:w="2389" w:type="dxa"/>
            <w:shd w:val="clear" w:color="auto" w:fill="auto"/>
            <w:vAlign w:val="center"/>
          </w:tcPr>
          <w:p w14:paraId="3C9A3275">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lang w:val="en-US" w:eastAsia="zh-CN"/>
              </w:rPr>
              <w:t>能及时发现并纠正记录中的不一致性；能培训并监督新CRC的药品管理操作。</w:t>
            </w:r>
          </w:p>
        </w:tc>
        <w:tc>
          <w:tcPr>
            <w:tcW w:w="2389" w:type="dxa"/>
            <w:shd w:val="clear" w:color="auto" w:fill="auto"/>
            <w:vAlign w:val="center"/>
          </w:tcPr>
          <w:p w14:paraId="2254558C">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lang w:val="en-US" w:eastAsia="zh-CN"/>
              </w:rPr>
              <w:t>能建立或优化药品管理SOP，应对稽查；能处理极端复杂情况（如紧急揭盲、严重超温等）。</w:t>
            </w:r>
          </w:p>
        </w:tc>
      </w:tr>
      <w:tr w14:paraId="362F9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shd w:val="clear" w:color="auto" w:fill="auto"/>
            <w:vAlign w:val="center"/>
          </w:tcPr>
          <w:p w14:paraId="21D9781A">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lang w:val="en-US" w:eastAsia="zh-CN"/>
              </w:rPr>
              <w:t>沟通与协调</w:t>
            </w:r>
          </w:p>
        </w:tc>
        <w:tc>
          <w:tcPr>
            <w:tcW w:w="2388" w:type="dxa"/>
            <w:shd w:val="clear" w:color="auto" w:fill="auto"/>
            <w:vAlign w:val="center"/>
          </w:tcPr>
          <w:p w14:paraId="24341E9F">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能作为研究者、申办者/CRA、受试者之间的有效信息传递桥梁，及时汇报问题</w:t>
            </w:r>
            <w:r>
              <w:rPr>
                <w:rFonts w:hint="eastAsia" w:cs="Times New Roman"/>
                <w:sz w:val="18"/>
                <w:lang w:val="en-US" w:eastAsia="zh-CN" w:bidi="ar-SA"/>
              </w:rPr>
              <w:t>。</w:t>
            </w:r>
          </w:p>
        </w:tc>
        <w:tc>
          <w:tcPr>
            <w:tcW w:w="2389" w:type="dxa"/>
            <w:shd w:val="clear" w:color="auto" w:fill="auto"/>
            <w:vAlign w:val="center"/>
          </w:tcPr>
          <w:p w14:paraId="516B27AD">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能主动协调各方资源解决常规问题，推动项目进度；能独立主持中心内部协调会</w:t>
            </w:r>
            <w:r>
              <w:rPr>
                <w:rFonts w:hint="eastAsia" w:cs="Times New Roman"/>
                <w:sz w:val="18"/>
                <w:lang w:val="en-US" w:eastAsia="zh-CN" w:bidi="ar-SA"/>
              </w:rPr>
              <w:t>。</w:t>
            </w:r>
          </w:p>
        </w:tc>
        <w:tc>
          <w:tcPr>
            <w:tcW w:w="2389" w:type="dxa"/>
            <w:shd w:val="clear" w:color="auto" w:fill="auto"/>
            <w:vAlign w:val="center"/>
          </w:tcPr>
          <w:p w14:paraId="3C95C084">
            <w:pPr>
              <w:pStyle w:val="180"/>
              <w:bidi w:val="0"/>
              <w:spacing w:line="240" w:lineRule="auto"/>
              <w:ind w:firstLine="0" w:firstLineChars="0"/>
              <w:jc w:val="center"/>
              <w:rPr>
                <w:rFonts w:hint="eastAsia"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能作为核心枢纽，预防和解决重大沟通冲突；能与申办者进行高效战略沟通，提升合作满意度</w:t>
            </w:r>
            <w:r>
              <w:rPr>
                <w:rFonts w:hint="eastAsia" w:cs="Times New Roman"/>
                <w:sz w:val="18"/>
                <w:lang w:val="en-US" w:eastAsia="zh-CN" w:bidi="ar-SA"/>
              </w:rPr>
              <w:t>。</w:t>
            </w:r>
          </w:p>
        </w:tc>
      </w:tr>
      <w:tr w14:paraId="2A03C0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vAlign w:val="center"/>
          </w:tcPr>
          <w:p w14:paraId="4A83E956">
            <w:pPr>
              <w:pStyle w:val="180"/>
              <w:bidi w:val="0"/>
              <w:spacing w:line="240" w:lineRule="auto"/>
              <w:jc w:val="center"/>
              <w:rPr>
                <w:rFonts w:hint="eastAsia"/>
                <w:lang w:val="en-US" w:eastAsia="zh-CN"/>
              </w:rPr>
            </w:pPr>
            <w:r>
              <w:rPr>
                <w:rFonts w:hint="eastAsia"/>
                <w:lang w:val="en-US" w:eastAsia="zh-CN"/>
              </w:rPr>
              <w:t>法规与方案依从性</w:t>
            </w:r>
          </w:p>
        </w:tc>
        <w:tc>
          <w:tcPr>
            <w:tcW w:w="2388" w:type="dxa"/>
            <w:vAlign w:val="center"/>
          </w:tcPr>
          <w:p w14:paraId="4D60DAD8">
            <w:pPr>
              <w:pStyle w:val="180"/>
              <w:bidi w:val="0"/>
              <w:spacing w:line="240" w:lineRule="auto"/>
              <w:jc w:val="center"/>
              <w:rPr>
                <w:rFonts w:hint="eastAsia"/>
                <w:lang w:val="en-US" w:eastAsia="zh-CN"/>
              </w:rPr>
            </w:pPr>
            <w:r>
              <w:rPr>
                <w:rFonts w:hint="eastAsia"/>
                <w:lang w:val="en-US" w:eastAsia="zh-CN"/>
              </w:rPr>
              <w:t>熟悉GCP核心原则和方案基本要求，能在监督下工作，避免故意性方案违背。</w:t>
            </w:r>
          </w:p>
        </w:tc>
        <w:tc>
          <w:tcPr>
            <w:tcW w:w="2389" w:type="dxa"/>
            <w:vAlign w:val="center"/>
          </w:tcPr>
          <w:p w14:paraId="7564AB56">
            <w:pPr>
              <w:pStyle w:val="180"/>
              <w:bidi w:val="0"/>
              <w:spacing w:line="240" w:lineRule="auto"/>
              <w:jc w:val="center"/>
              <w:rPr>
                <w:rFonts w:hint="eastAsia"/>
                <w:lang w:val="en-US" w:eastAsia="zh-CN"/>
              </w:rPr>
            </w:pPr>
            <w:r>
              <w:rPr>
                <w:rFonts w:hint="eastAsia"/>
                <w:lang w:val="en-US" w:eastAsia="zh-CN"/>
              </w:rPr>
              <w:t>能独立确保各项工作符合GCP和方案，能识别潜在的方案违背风险并主动上报。</w:t>
            </w:r>
          </w:p>
        </w:tc>
        <w:tc>
          <w:tcPr>
            <w:tcW w:w="2389" w:type="dxa"/>
            <w:vAlign w:val="center"/>
          </w:tcPr>
          <w:p w14:paraId="1DD66FA0">
            <w:pPr>
              <w:pStyle w:val="180"/>
              <w:bidi w:val="0"/>
              <w:spacing w:line="240" w:lineRule="auto"/>
              <w:jc w:val="center"/>
              <w:rPr>
                <w:rFonts w:hint="eastAsia"/>
                <w:lang w:val="en-US" w:eastAsia="zh-CN"/>
              </w:rPr>
            </w:pPr>
            <w:r>
              <w:rPr>
                <w:rFonts w:hint="eastAsia"/>
                <w:lang w:val="en-US" w:eastAsia="zh-CN"/>
              </w:rPr>
              <w:t>能深入解读方案和法规，为团队提供培训；能指出方案操作难点并提出修改建议。</w:t>
            </w:r>
          </w:p>
        </w:tc>
      </w:tr>
      <w:tr w14:paraId="7CCE8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388" w:type="dxa"/>
            <w:vAlign w:val="center"/>
          </w:tcPr>
          <w:p w14:paraId="55CC3D4B">
            <w:pPr>
              <w:pStyle w:val="180"/>
              <w:bidi w:val="0"/>
              <w:spacing w:line="240" w:lineRule="auto"/>
              <w:jc w:val="center"/>
              <w:rPr>
                <w:rFonts w:hint="eastAsia"/>
                <w:lang w:val="en-US" w:eastAsia="zh-CN"/>
              </w:rPr>
            </w:pPr>
            <w:r>
              <w:rPr>
                <w:rFonts w:hint="eastAsia"/>
                <w:lang w:val="en-US" w:eastAsia="zh-CN"/>
              </w:rPr>
              <w:t>团队贡献与领导力</w:t>
            </w:r>
          </w:p>
        </w:tc>
        <w:tc>
          <w:tcPr>
            <w:tcW w:w="2388" w:type="dxa"/>
            <w:vAlign w:val="center"/>
          </w:tcPr>
          <w:p w14:paraId="01116FED">
            <w:pPr>
              <w:pStyle w:val="180"/>
              <w:bidi w:val="0"/>
              <w:spacing w:line="240" w:lineRule="auto"/>
              <w:jc w:val="center"/>
              <w:rPr>
                <w:rFonts w:hint="eastAsia"/>
                <w:lang w:val="en-US" w:eastAsia="zh-CN"/>
              </w:rPr>
            </w:pPr>
            <w:r>
              <w:rPr>
                <w:rFonts w:hint="eastAsia"/>
                <w:lang w:val="en-US" w:eastAsia="zh-CN"/>
              </w:rPr>
              <w:t>能高效管理个人工作任务，积极学习和参与团队活动。</w:t>
            </w:r>
          </w:p>
        </w:tc>
        <w:tc>
          <w:tcPr>
            <w:tcW w:w="2389" w:type="dxa"/>
            <w:vAlign w:val="center"/>
          </w:tcPr>
          <w:p w14:paraId="7EACECF1">
            <w:pPr>
              <w:pStyle w:val="180"/>
              <w:bidi w:val="0"/>
              <w:spacing w:line="240" w:lineRule="auto"/>
              <w:jc w:val="center"/>
              <w:rPr>
                <w:rFonts w:hint="eastAsia"/>
                <w:lang w:val="en-US" w:eastAsia="zh-CN"/>
              </w:rPr>
            </w:pPr>
            <w:r>
              <w:rPr>
                <w:rFonts w:hint="eastAsia"/>
                <w:lang w:val="en-US" w:eastAsia="zh-CN"/>
              </w:rPr>
              <w:t>能主动分享成功经验，协助带教新人，解答初级CRC的常见问题。</w:t>
            </w:r>
          </w:p>
        </w:tc>
        <w:tc>
          <w:tcPr>
            <w:tcW w:w="2389" w:type="dxa"/>
            <w:vAlign w:val="center"/>
          </w:tcPr>
          <w:p w14:paraId="45AE54E5">
            <w:pPr>
              <w:pStyle w:val="180"/>
              <w:bidi w:val="0"/>
              <w:spacing w:line="240" w:lineRule="auto"/>
              <w:jc w:val="center"/>
              <w:rPr>
                <w:rFonts w:hint="eastAsia"/>
                <w:lang w:val="en-US" w:eastAsia="zh-CN"/>
              </w:rPr>
            </w:pPr>
            <w:r>
              <w:rPr>
                <w:rFonts w:hint="eastAsia"/>
                <w:lang w:val="en-US" w:eastAsia="zh-CN"/>
              </w:rPr>
              <w:t>能担任团队导师，开发培训材料；能引领团队进行流程优化或专项课题研究，具备储备项目/人员经理的能力。</w:t>
            </w:r>
          </w:p>
        </w:tc>
      </w:tr>
    </w:tbl>
    <w:p w14:paraId="1BBFDFD1">
      <w:pPr>
        <w:pStyle w:val="106"/>
        <w:bidi w:val="0"/>
      </w:pPr>
      <w:r>
        <w:rPr>
          <w:rFonts w:hint="eastAsia"/>
          <w:lang w:val="en-US" w:eastAsia="zh-CN"/>
        </w:rPr>
        <w:t>临床试验机构对CRC的管理</w:t>
      </w:r>
    </w:p>
    <w:p w14:paraId="2CE49FE7">
      <w:pPr>
        <w:pStyle w:val="10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准入要求</w:t>
      </w:r>
    </w:p>
    <w:p w14:paraId="77C8DA97">
      <w:pPr>
        <w:pStyle w:val="58"/>
        <w:bidi w:val="0"/>
        <w:rPr>
          <w:rFonts w:hint="eastAsia"/>
        </w:rPr>
      </w:pPr>
      <w:r>
        <w:rPr>
          <w:rFonts w:hint="eastAsia"/>
          <w:lang w:val="en-US" w:eastAsia="zh-CN"/>
        </w:rPr>
        <w:t>CRC应按照机构规定提交个人资质证书、专业背景、培训经历与能力证明等材料，完成机构备案登记流程，确保符合CRC岗位准入条件。</w:t>
      </w:r>
    </w:p>
    <w:p w14:paraId="4E1C74CE">
      <w:pPr>
        <w:pStyle w:val="10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日常工作规范</w:t>
      </w:r>
    </w:p>
    <w:p w14:paraId="4A9080CD">
      <w:pPr>
        <w:pStyle w:val="58"/>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CRC应按照机构要求，尊周以下工作规范：</w:t>
      </w:r>
    </w:p>
    <w:p w14:paraId="4467BBB1">
      <w:pPr>
        <w:pStyle w:val="134"/>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与CRO/申办者签订工作协议，明确工作内容与责任边界，并严格按协议执行相关工作；</w:t>
      </w:r>
    </w:p>
    <w:p w14:paraId="1C2DC933">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配合机构质量管理员对工作文档的抽查及现场核查，对发现的问题须在规定期限内完成整改；</w:t>
      </w:r>
    </w:p>
    <w:p w14:paraId="43A2BAB8">
      <w:pPr>
        <w:pStyle w:val="134"/>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参加机构定期组织的工作例会，汇报工作进展、接受质量通报并协调解决项目问题；</w:t>
      </w:r>
    </w:p>
    <w:p w14:paraId="20145157">
      <w:pPr>
        <w:pStyle w:val="134"/>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可通过机构设立的反馈渠道提出合理诉求，配合机构不断完善工作环境与管理政策。</w:t>
      </w:r>
    </w:p>
    <w:p w14:paraId="5694CB5C">
      <w:pPr>
        <w:pStyle w:val="10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培训要求</w:t>
      </w:r>
    </w:p>
    <w:p w14:paraId="09DC82D8">
      <w:pPr>
        <w:pStyle w:val="58"/>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CRC须完成机构组织的培训，包括但不限于：</w:t>
      </w:r>
    </w:p>
    <w:p w14:paraId="0A8E2843">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岗前培训：不少于8学时（机构规章、实操技能等），考核合格CRC方可上岗；</w:t>
      </w:r>
    </w:p>
    <w:p w14:paraId="1FFDCCF8">
      <w:pPr>
        <w:pStyle w:val="13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在岗培训：定期/不定期新规、专项培训等，并通过相关考核。</w:t>
      </w:r>
    </w:p>
    <w:p w14:paraId="5D4D92B7">
      <w:pPr>
        <w:pStyle w:val="10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交接要求</w:t>
      </w:r>
    </w:p>
    <w:p w14:paraId="53BEA9EE">
      <w:pPr>
        <w:pStyle w:val="58"/>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在发生工作交接时，应遵循机构制定的标准化交接流程，在规定时限内完成试验资料、参与者情况、工作进展及待办事项等的全面核对与书面确认，确保交接过程无缝衔接、数据完整可追溯，试验质量不受影响。</w:t>
      </w:r>
    </w:p>
    <w:p w14:paraId="3D2AE781">
      <w:pPr>
        <w:pStyle w:val="107"/>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退出要求</w:t>
      </w:r>
    </w:p>
    <w:p w14:paraId="0330EEDA">
      <w:pPr>
        <w:pStyle w:val="58"/>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CRC因离职或更换工作地点等原因退出中心，需提前15天向机构提交《退出申请表》，经过SMO盖章后方可退出，且不影响后续再准入。</w:t>
      </w:r>
      <w:r>
        <w:rPr>
          <w:rFonts w:hint="eastAsia"/>
          <w:color w:val="000000" w:themeColor="text1"/>
          <w:lang w:val="en-US" w:eastAsia="zh-CN"/>
          <w14:textFill>
            <w14:solidFill>
              <w14:schemeClr w14:val="tx1"/>
            </w14:solidFill>
          </w14:textFill>
        </w:rPr>
        <w:tab/>
      </w:r>
    </w:p>
    <w:p w14:paraId="0B15ED93">
      <w:pPr>
        <w:pStyle w:val="106"/>
        <w:bidi w:val="0"/>
        <w:rPr>
          <w:rFonts w:hint="eastAsia"/>
          <w:lang w:val="en-US" w:eastAsia="zh-CN"/>
        </w:rPr>
      </w:pPr>
      <w:r>
        <w:rPr>
          <w:rFonts w:hint="eastAsia"/>
          <w:lang w:val="en-US" w:eastAsia="zh-CN"/>
        </w:rPr>
        <w:t>CRC的职业发展</w:t>
      </w:r>
    </w:p>
    <w:p w14:paraId="65B1FBFD">
      <w:pPr>
        <w:pStyle w:val="58"/>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CRC的发展晋升方向包括但不限于：</w:t>
      </w:r>
    </w:p>
    <w:p w14:paraId="09FE0367">
      <w:pPr>
        <w:pStyle w:val="134"/>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人员管理：作为协调主管、经理、总监来进行人员协调工作；</w:t>
      </w:r>
    </w:p>
    <w:p w14:paraId="624C2DAA">
      <w:pPr>
        <w:pStyle w:val="134"/>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项目管理：作为项目经理，进行项目管理工作；</w:t>
      </w:r>
    </w:p>
    <w:p w14:paraId="61C3AFB3">
      <w:pPr>
        <w:pStyle w:val="134"/>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中心经理</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研究</w:t>
      </w:r>
      <w:r>
        <w:rPr>
          <w:rFonts w:hint="eastAsia"/>
          <w:color w:val="000000" w:themeColor="text1"/>
          <w14:textFill>
            <w14:solidFill>
              <w14:schemeClr w14:val="tx1"/>
            </w14:solidFill>
          </w14:textFill>
        </w:rPr>
        <w:t>中心管理人员，在某一家机构中心全权负责相关工作；</w:t>
      </w:r>
    </w:p>
    <w:p w14:paraId="3E387FEA">
      <w:pPr>
        <w:pStyle w:val="134"/>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研究机构/伦理委员会：机构办公室专员/助理/经理（负责临床试验中心的立项审核、合同管理、质量监督）、伦理委员会秘书/专员（协助伦理审查会议组织、伦理文件审核、</w:t>
      </w:r>
      <w:r>
        <w:rPr>
          <w:rFonts w:hint="eastAsia"/>
          <w:color w:val="000000" w:themeColor="text1"/>
          <w:lang w:eastAsia="zh-CN"/>
          <w14:textFill>
            <w14:solidFill>
              <w14:schemeClr w14:val="tx1"/>
            </w14:solidFill>
          </w14:textFill>
        </w:rPr>
        <w:t>试验参与者</w:t>
      </w:r>
      <w:r>
        <w:rPr>
          <w:rFonts w:hint="eastAsia"/>
          <w:color w:val="000000" w:themeColor="text1"/>
          <w14:textFill>
            <w14:solidFill>
              <w14:schemeClr w14:val="tx1"/>
            </w14:solidFill>
          </w14:textFill>
        </w:rPr>
        <w:t>权益保护监督）；</w:t>
      </w:r>
    </w:p>
    <w:p w14:paraId="2C558B2B">
      <w:pPr>
        <w:pStyle w:val="134"/>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质量、培训管理：专职质量管理QA、QC及培训经理等；</w:t>
      </w:r>
    </w:p>
    <w:p w14:paraId="38A9356D">
      <w:pPr>
        <w:pStyle w:val="134"/>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高级/资深</w:t>
      </w:r>
      <w:r>
        <w:rPr>
          <w:rFonts w:hint="eastAsia"/>
          <w:color w:val="000000" w:themeColor="text1"/>
          <w14:textFill>
            <w14:solidFill>
              <w14:schemeClr w14:val="tx1"/>
            </w14:solidFill>
          </w14:textFill>
        </w:rPr>
        <w:t>CRC：只做技术类工作，向专家级别发展；</w:t>
      </w:r>
    </w:p>
    <w:p w14:paraId="636649E0">
      <w:pPr>
        <w:pStyle w:val="134"/>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转岗至临床行业其他岗位：如CRA、临床研究助理、商务经理、药物警戒专员等；</w:t>
      </w:r>
    </w:p>
    <w:p w14:paraId="2B7E8C2C">
      <w:pPr>
        <w:pStyle w:val="134"/>
        <w:bidi w:val="0"/>
        <w:rPr>
          <w:rFonts w:hint="default"/>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转岗至其他关联领域：如数据管理专员、医疗器械/药品注册专员、医学写作专员等</w:t>
      </w:r>
      <w:r>
        <w:rPr>
          <w:rFonts w:hint="eastAsia"/>
          <w:color w:val="000000" w:themeColor="text1"/>
          <w:lang w:eastAsia="zh-CN"/>
          <w14:textFill>
            <w14:solidFill>
              <w14:schemeClr w14:val="tx1"/>
            </w14:solidFill>
          </w14:textFill>
        </w:rPr>
        <w:t>；</w:t>
      </w:r>
    </w:p>
    <w:p w14:paraId="6976DA20">
      <w:pPr>
        <w:pStyle w:val="134"/>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陪诊员或陪诊师：就诊流程协助，包括代办挂号、取号、缴费、排队候诊、陪同检查、取药、送取检验样本及报告等。</w:t>
      </w:r>
    </w:p>
    <w:p w14:paraId="61B2E065">
      <w:pPr>
        <w:pStyle w:val="58"/>
        <w:rPr>
          <w:rFonts w:hint="eastAsia"/>
          <w:lang w:val="en-US" w:eastAsia="zh-CN"/>
        </w:rPr>
      </w:pPr>
    </w:p>
    <w:p w14:paraId="2EE53FBC">
      <w:pPr>
        <w:pStyle w:val="58"/>
        <w:rPr>
          <w:rFonts w:hint="eastAsia"/>
        </w:rPr>
      </w:pPr>
    </w:p>
    <w:p w14:paraId="05F592D9">
      <w:pPr>
        <w:pStyle w:val="58"/>
      </w:pPr>
    </w:p>
    <w:p w14:paraId="46DA373C">
      <w:pPr>
        <w:pStyle w:val="58"/>
        <w:rPr>
          <w:rFonts w:hint="eastAsia"/>
          <w:lang w:val="en-US" w:eastAsia="zh-CN"/>
        </w:rPr>
      </w:pPr>
    </w:p>
    <w:p w14:paraId="7F660107">
      <w:pPr>
        <w:pStyle w:val="58"/>
        <w:rPr>
          <w:rFonts w:hint="default"/>
          <w:lang w:val="en-US" w:eastAsia="zh-CN"/>
        </w:rPr>
      </w:pPr>
    </w:p>
    <w:bookmarkEnd w:id="22"/>
    <w:p w14:paraId="2737586F">
      <w:pPr>
        <w:rPr>
          <w:rFonts w:hint="eastAsia"/>
          <w:spacing w:val="105"/>
          <w:lang w:eastAsia="zh-CN"/>
        </w:rPr>
      </w:pPr>
      <w:bookmarkStart w:id="44" w:name="BookMark6"/>
      <w:r>
        <w:rPr>
          <w:rFonts w:hint="eastAsia"/>
          <w:spacing w:val="105"/>
          <w:lang w:eastAsia="zh-CN"/>
        </w:rPr>
        <w:br w:type="page"/>
      </w:r>
    </w:p>
    <w:p w14:paraId="69DB8CE1">
      <w:pPr>
        <w:pStyle w:val="65"/>
        <w:bidi w:val="0"/>
        <w:rPr>
          <w:rFonts w:hint="eastAsia"/>
          <w:lang w:eastAsia="zh-CN"/>
        </w:rPr>
      </w:pPr>
      <w:r>
        <w:rPr>
          <w:rFonts w:hint="eastAsia"/>
          <w:spacing w:val="105"/>
          <w:lang w:eastAsia="zh-CN"/>
        </w:rPr>
        <w:t>参考文</w:t>
      </w:r>
      <w:r>
        <w:rPr>
          <w:rFonts w:hint="eastAsia"/>
          <w:lang w:eastAsia="zh-CN"/>
        </w:rPr>
        <w:t>献</w:t>
      </w:r>
    </w:p>
    <w:p w14:paraId="0865847A">
      <w:pPr>
        <w:pStyle w:val="58"/>
        <w:bidi w:val="0"/>
        <w:rPr>
          <w:rFonts w:hint="eastAsia"/>
          <w:lang w:eastAsia="zh-CN"/>
        </w:rPr>
      </w:pPr>
      <w:r>
        <w:rPr>
          <w:rFonts w:hint="eastAsia"/>
          <w:lang w:eastAsia="zh-CN"/>
        </w:rPr>
        <w:t>[1] 国家药品监督管理局，国家卫生健康委员会．药物临床试验质量管理规范（2020年第57号）[Z]．2020-04-23．</w:t>
      </w:r>
    </w:p>
    <w:p w14:paraId="620F3110">
      <w:pPr>
        <w:pStyle w:val="58"/>
        <w:bidi w:val="0"/>
        <w:rPr>
          <w:rFonts w:hint="eastAsia"/>
          <w:lang w:eastAsia="zh-CN"/>
        </w:rPr>
      </w:pPr>
      <w:r>
        <w:rPr>
          <w:rFonts w:hint="eastAsia"/>
          <w:lang w:eastAsia="zh-CN"/>
        </w:rPr>
        <w:t>[2] 中国医院协会. 中国医院临床试验机构CRC工作管理专家共识[S]. 2024.</w:t>
      </w:r>
    </w:p>
    <w:p w14:paraId="2338D248">
      <w:pPr>
        <w:pStyle w:val="58"/>
        <w:bidi w:val="0"/>
        <w:rPr>
          <w:rFonts w:hint="eastAsia"/>
          <w:lang w:eastAsia="zh-CN"/>
        </w:rPr>
      </w:pPr>
      <w:r>
        <w:rPr>
          <w:rFonts w:hint="eastAsia"/>
          <w:lang w:eastAsia="zh-CN"/>
        </w:rPr>
        <w:t>[3] 中国医师协会．临床研究协调员(CRC)行业指南(试行)[J]．药物评价研究，2015，38(03)：233-237．</w:t>
      </w:r>
    </w:p>
    <w:p w14:paraId="55880B4B">
      <w:pPr>
        <w:pStyle w:val="58"/>
        <w:bidi w:val="0"/>
        <w:rPr>
          <w:rFonts w:hint="default"/>
          <w:lang w:val="en-US" w:eastAsia="zh-CN"/>
        </w:rPr>
      </w:pPr>
      <w:r>
        <w:rPr>
          <w:rFonts w:hint="eastAsia"/>
          <w:lang w:eastAsia="zh-CN"/>
        </w:rPr>
        <w:t>[4] 广东省药学会药物临床试验专业委员会. 广东省临床研究协调员（CRC）行业管理共识（2023年版）[J]. 今日药学, 2023, 33(11): 801-807. DOI: 10.12048/j.issn.1674-229X.2023.11.001.</w:t>
      </w:r>
    </w:p>
    <w:p w14:paraId="25AEF512">
      <w:pPr>
        <w:pStyle w:val="58"/>
        <w:bidi w:val="0"/>
        <w:rPr>
          <w:rFonts w:hint="eastAsia"/>
          <w:lang w:eastAsia="zh-CN"/>
        </w:rPr>
      </w:pPr>
      <w:r>
        <w:rPr>
          <w:rFonts w:hint="eastAsia"/>
          <w:lang w:eastAsia="zh-CN"/>
        </w:rPr>
        <w:t>[</w:t>
      </w:r>
      <w:r>
        <w:rPr>
          <w:rFonts w:hint="eastAsia"/>
          <w:lang w:val="en-US" w:eastAsia="zh-CN"/>
        </w:rPr>
        <w:t>5</w:t>
      </w:r>
      <w:r>
        <w:rPr>
          <w:rFonts w:hint="eastAsia"/>
          <w:lang w:eastAsia="zh-CN"/>
        </w:rPr>
        <w:t>] 王天阳，王欣，姚文兵．美国临床研究协调员核心胜任力指南及对我国的启示[J]．中国医药导刊，2022，24(05)：517-520．</w:t>
      </w:r>
    </w:p>
    <w:p w14:paraId="7FF36DEF">
      <w:pPr>
        <w:pStyle w:val="58"/>
        <w:bidi w:val="0"/>
        <w:rPr>
          <w:rFonts w:hint="eastAsia"/>
          <w:lang w:eastAsia="zh-CN"/>
        </w:rPr>
      </w:pPr>
      <w:r>
        <w:rPr>
          <w:rFonts w:hint="eastAsia"/>
          <w:lang w:eastAsia="zh-CN"/>
        </w:rPr>
        <w:t>[</w:t>
      </w:r>
      <w:r>
        <w:rPr>
          <w:rFonts w:hint="eastAsia"/>
          <w:lang w:val="en-US" w:eastAsia="zh-CN"/>
        </w:rPr>
        <w:t>6</w:t>
      </w:r>
      <w:r>
        <w:rPr>
          <w:rFonts w:hint="eastAsia"/>
          <w:lang w:eastAsia="zh-CN"/>
        </w:rPr>
        <w:t>] 刘琳, 李琴, 曾忱, 等. 临床试验相关方期望CRC具备核心胜任能力的调查分析[J]. 药物资讯, 2022, 11(4): 300-308.</w:t>
      </w:r>
    </w:p>
    <w:p w14:paraId="248A402F">
      <w:pPr>
        <w:pStyle w:val="58"/>
        <w:bidi w:val="0"/>
        <w:rPr>
          <w:rFonts w:hint="eastAsia"/>
          <w:lang w:eastAsia="zh-CN"/>
        </w:rPr>
      </w:pPr>
      <w:r>
        <w:rPr>
          <w:rFonts w:hint="eastAsia"/>
          <w:lang w:eastAsia="zh-CN"/>
        </w:rPr>
        <w:t>[</w:t>
      </w:r>
      <w:r>
        <w:rPr>
          <w:rFonts w:hint="eastAsia"/>
          <w:lang w:val="en-US" w:eastAsia="zh-CN"/>
        </w:rPr>
        <w:t>7</w:t>
      </w:r>
      <w:r>
        <w:rPr>
          <w:rFonts w:hint="eastAsia"/>
          <w:lang w:eastAsia="zh-CN"/>
        </w:rPr>
        <w:t>] 周瑾, 杜红丽, 陈磊, 等. 药物临床试验中临床研究协调员绩效考核指标体系的构建[J]. 中国新药与临床杂志, 2025, 38(3).</w:t>
      </w:r>
    </w:p>
    <w:p w14:paraId="38243F73">
      <w:pPr>
        <w:pStyle w:val="58"/>
        <w:bidi w:val="0"/>
        <w:rPr>
          <w:rFonts w:hint="eastAsia"/>
          <w:lang w:eastAsia="zh-CN"/>
        </w:rPr>
      </w:pPr>
      <w:r>
        <w:rPr>
          <w:rFonts w:hint="eastAsia"/>
          <w:lang w:eastAsia="zh-CN"/>
        </w:rPr>
        <w:t>[</w:t>
      </w:r>
      <w:r>
        <w:rPr>
          <w:rFonts w:hint="eastAsia"/>
          <w:lang w:val="en-US" w:eastAsia="zh-CN"/>
        </w:rPr>
        <w:t>8</w:t>
      </w:r>
      <w:r>
        <w:rPr>
          <w:rFonts w:hint="eastAsia"/>
          <w:lang w:eastAsia="zh-CN"/>
        </w:rPr>
        <w:t>] 朱艳虹, 李歆. 中国临床研究协调员岗位胜任力评价指标体系的构建[J]. 中国新药与临床杂志, 2025, 44(1): 8-12.</w:t>
      </w:r>
    </w:p>
    <w:p w14:paraId="26AE4347">
      <w:pPr>
        <w:pStyle w:val="58"/>
        <w:bidi w:val="0"/>
        <w:rPr>
          <w:rFonts w:hint="eastAsia"/>
          <w:lang w:eastAsia="zh-CN"/>
        </w:rPr>
      </w:pPr>
      <w:r>
        <w:rPr>
          <w:rFonts w:hint="eastAsia"/>
          <w:lang w:eastAsia="zh-CN"/>
        </w:rPr>
        <w:t>[</w:t>
      </w:r>
      <w:r>
        <w:rPr>
          <w:rFonts w:hint="eastAsia"/>
          <w:lang w:val="en-US" w:eastAsia="zh-CN"/>
        </w:rPr>
        <w:t>9</w:t>
      </w:r>
      <w:r>
        <w:rPr>
          <w:rFonts w:hint="eastAsia"/>
          <w:lang w:eastAsia="zh-CN"/>
        </w:rPr>
        <w:t>] 江苏省药理学会. 江苏省药物临床试验机构临床研究协调员（CRC）管理专家共识[EB/OL]. (2025-04-15)[2025-08-26]. https://www.medsci.cn/guideline/show_article.do?id=f96621c00a3588fe.</w:t>
      </w:r>
    </w:p>
    <w:p w14:paraId="01CA314B">
      <w:pPr>
        <w:pStyle w:val="58"/>
        <w:bidi w:val="0"/>
        <w:rPr>
          <w:rFonts w:hint="eastAsia"/>
          <w:lang w:eastAsia="zh-CN"/>
        </w:rPr>
      </w:pPr>
      <w:r>
        <w:rPr>
          <w:rFonts w:hint="eastAsia"/>
          <w:lang w:eastAsia="zh-CN"/>
        </w:rPr>
        <w:t>[</w:t>
      </w:r>
      <w:r>
        <w:rPr>
          <w:rFonts w:hint="eastAsia"/>
          <w:lang w:val="en-US" w:eastAsia="zh-CN"/>
        </w:rPr>
        <w:t>10</w:t>
      </w:r>
      <w:r>
        <w:rPr>
          <w:rFonts w:hint="eastAsia"/>
          <w:lang w:eastAsia="zh-CN"/>
        </w:rPr>
        <w:t>] 金剑, 原永芳. 基于临床试验项目全过程的CRC管理体系建设与实践[J]. 中华医学科研管理杂志, 2022, 35(06): 476-480. DOI:10.3760/cma.j.cn113565-113565-20220524-00091.</w:t>
      </w:r>
    </w:p>
    <w:p w14:paraId="6E31AFA3">
      <w:pPr>
        <w:pStyle w:val="58"/>
        <w:bidi w:val="0"/>
      </w:pPr>
      <w:r>
        <w:rPr>
          <w:rFonts w:hint="eastAsia"/>
          <w:lang w:eastAsia="zh-CN"/>
        </w:rPr>
        <w:t>[1</w:t>
      </w:r>
      <w:r>
        <w:rPr>
          <w:rFonts w:hint="eastAsia"/>
          <w:lang w:val="en-US" w:eastAsia="zh-CN"/>
        </w:rPr>
        <w:t>1</w:t>
      </w:r>
      <w:r>
        <w:rPr>
          <w:rFonts w:hint="eastAsia"/>
          <w:lang w:eastAsia="zh-CN"/>
        </w:rPr>
        <w:t>] 临床研究协调员晋升之路[J/OL]. 巨中成名法网, 2023-09-25. https://www.jzcmfw.com/newszixun/2210061892.htm.</w:t>
      </w:r>
    </w:p>
    <w:p w14:paraId="7971FDF6">
      <w:pPr>
        <w:pStyle w:val="58"/>
        <w:bidi w:val="0"/>
      </w:pPr>
    </w:p>
    <w:bookmarkEnd w:id="44"/>
    <w:p w14:paraId="7C8C1AC7">
      <w:pPr>
        <w:pStyle w:val="58"/>
        <w:bidi w:val="0"/>
        <w:ind w:firstLine="0" w:firstLineChars="0"/>
        <w:jc w:val="center"/>
        <w:rPr>
          <w:rFonts w:hint="eastAsia" w:eastAsia="宋体"/>
          <w:lang w:eastAsia="zh-CN"/>
        </w:rPr>
      </w:pPr>
      <w:bookmarkStart w:id="45" w:name="BookMark8"/>
      <w:r>
        <w:rPr>
          <w:rFonts w:hint="eastAsia" w:eastAsia="宋体"/>
          <w:lang w:eastAsia="zh-CN"/>
        </w:rPr>
        <w:drawing>
          <wp:inline distT="0" distB="0" distL="114300" distR="114300">
            <wp:extent cx="1485900" cy="317500"/>
            <wp:effectExtent l="0" t="0" r="7620" b="254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14"/>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69C7">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951B">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0B889">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7399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52214">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FD42E">
    <w:pPr>
      <w:pStyle w:val="63"/>
      <w:rPr>
        <w:rFonts w:hint="eastAsia"/>
      </w:rPr>
    </w:pPr>
    <w:r>
      <w:fldChar w:fldCharType="begin"/>
    </w:r>
    <w:r>
      <w:instrText xml:space="preserve"> STYLEREF  标准文件_文件编号  \* MERGEFORMAT </w:instrText>
    </w:r>
    <w:r>
      <w:fldChar w:fldCharType="separate"/>
    </w:r>
    <w:r>
      <w:t>DBXX/T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86E3">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457AD"/>
    <w:multiLevelType w:val="multilevel"/>
    <w:tmpl w:val="906457AD"/>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23"/>
  </w:num>
  <w:num w:numId="5">
    <w:abstractNumId w:val="18"/>
  </w:num>
  <w:num w:numId="6">
    <w:abstractNumId w:val="13"/>
  </w:num>
  <w:num w:numId="7">
    <w:abstractNumId w:val="9"/>
  </w:num>
  <w:num w:numId="8">
    <w:abstractNumId w:val="4"/>
  </w:num>
  <w:num w:numId="9">
    <w:abstractNumId w:val="10"/>
  </w:num>
  <w:num w:numId="10">
    <w:abstractNumId w:val="16"/>
  </w:num>
  <w:num w:numId="11">
    <w:abstractNumId w:val="25"/>
  </w:num>
  <w:num w:numId="12">
    <w:abstractNumId w:val="12"/>
  </w:num>
  <w:num w:numId="13">
    <w:abstractNumId w:val="0"/>
  </w:num>
  <w:num w:numId="14">
    <w:abstractNumId w:val="8"/>
  </w:num>
  <w:num w:numId="15">
    <w:abstractNumId w:val="19"/>
  </w:num>
  <w:num w:numId="16">
    <w:abstractNumId w:val="21"/>
  </w:num>
  <w:num w:numId="17">
    <w:abstractNumId w:val="17"/>
  </w:num>
  <w:num w:numId="18">
    <w:abstractNumId w:val="29"/>
  </w:num>
  <w:num w:numId="19">
    <w:abstractNumId w:val="15"/>
  </w:num>
  <w:num w:numId="20">
    <w:abstractNumId w:val="2"/>
  </w:num>
  <w:num w:numId="21">
    <w:abstractNumId w:val="11"/>
  </w:num>
  <w:num w:numId="22">
    <w:abstractNumId w:val="30"/>
  </w:num>
  <w:num w:numId="23">
    <w:abstractNumId w:val="20"/>
  </w:num>
  <w:num w:numId="24">
    <w:abstractNumId w:val="7"/>
  </w:num>
  <w:num w:numId="25">
    <w:abstractNumId w:val="26"/>
  </w:num>
  <w:num w:numId="26">
    <w:abstractNumId w:val="28"/>
  </w:num>
  <w:num w:numId="27">
    <w:abstractNumId w:val="3"/>
  </w:num>
  <w:num w:numId="28">
    <w:abstractNumId w:val="5"/>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attachedTemplate r:id="rId1"/>
  <w:documentProtection w:edit="forms" w:enforcement="1" w:cryptProviderType="rsaFull" w:cryptAlgorithmClass="hash" w:cryptAlgorithmType="typeAny" w:cryptAlgorithmSid="4" w:cryptSpinCount="0" w:hash="7FDGXToh2GIO4Ou0jDy77IUTmN4=" w:salt="2zAmeci1y0FAAYNLCp2tQ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C37D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E6E8C"/>
    <w:rsid w:val="022547FC"/>
    <w:rsid w:val="02331ABF"/>
    <w:rsid w:val="03463A74"/>
    <w:rsid w:val="044E498E"/>
    <w:rsid w:val="04AD27AE"/>
    <w:rsid w:val="054D2E98"/>
    <w:rsid w:val="059F1EFC"/>
    <w:rsid w:val="05B219B6"/>
    <w:rsid w:val="06F2019A"/>
    <w:rsid w:val="086D4303"/>
    <w:rsid w:val="0C6B6CFE"/>
    <w:rsid w:val="0C7D4981"/>
    <w:rsid w:val="0D2849D7"/>
    <w:rsid w:val="0D464D9C"/>
    <w:rsid w:val="0D65587A"/>
    <w:rsid w:val="0D6E4589"/>
    <w:rsid w:val="0DCB52A1"/>
    <w:rsid w:val="0F187DBB"/>
    <w:rsid w:val="0FCA1C6A"/>
    <w:rsid w:val="0FCD3553"/>
    <w:rsid w:val="10202503"/>
    <w:rsid w:val="102C49AE"/>
    <w:rsid w:val="11D04B08"/>
    <w:rsid w:val="127E6B9C"/>
    <w:rsid w:val="139E4AA8"/>
    <w:rsid w:val="13C7475D"/>
    <w:rsid w:val="16D2144F"/>
    <w:rsid w:val="172117B3"/>
    <w:rsid w:val="179C573F"/>
    <w:rsid w:val="17C67E46"/>
    <w:rsid w:val="18F41B50"/>
    <w:rsid w:val="1A0C111B"/>
    <w:rsid w:val="1ACB083B"/>
    <w:rsid w:val="1AF35C8E"/>
    <w:rsid w:val="1C6C5D0E"/>
    <w:rsid w:val="1C961170"/>
    <w:rsid w:val="1CA94A00"/>
    <w:rsid w:val="1CBF5FD1"/>
    <w:rsid w:val="1D3842CB"/>
    <w:rsid w:val="1E4C01D3"/>
    <w:rsid w:val="1ECD533F"/>
    <w:rsid w:val="1F011A6A"/>
    <w:rsid w:val="200A23E0"/>
    <w:rsid w:val="208A2110"/>
    <w:rsid w:val="20982EA8"/>
    <w:rsid w:val="2269432C"/>
    <w:rsid w:val="22AD1DB0"/>
    <w:rsid w:val="22E53382"/>
    <w:rsid w:val="23485F50"/>
    <w:rsid w:val="23732C50"/>
    <w:rsid w:val="24D174B9"/>
    <w:rsid w:val="24E94CE2"/>
    <w:rsid w:val="2663177A"/>
    <w:rsid w:val="2699339B"/>
    <w:rsid w:val="278B0BC5"/>
    <w:rsid w:val="289266E8"/>
    <w:rsid w:val="2DEE0BFF"/>
    <w:rsid w:val="2FBD2A01"/>
    <w:rsid w:val="2FEA2E40"/>
    <w:rsid w:val="30234A40"/>
    <w:rsid w:val="306B7087"/>
    <w:rsid w:val="314A3267"/>
    <w:rsid w:val="31841771"/>
    <w:rsid w:val="31B23060"/>
    <w:rsid w:val="31C257A7"/>
    <w:rsid w:val="32B65C78"/>
    <w:rsid w:val="32BB2C20"/>
    <w:rsid w:val="332C22A0"/>
    <w:rsid w:val="335D2040"/>
    <w:rsid w:val="33B60F0F"/>
    <w:rsid w:val="34081CC4"/>
    <w:rsid w:val="344F3C87"/>
    <w:rsid w:val="34722FA7"/>
    <w:rsid w:val="34AE6BFF"/>
    <w:rsid w:val="34EE16F2"/>
    <w:rsid w:val="3583298C"/>
    <w:rsid w:val="35A52AAF"/>
    <w:rsid w:val="35BA704B"/>
    <w:rsid w:val="360331B1"/>
    <w:rsid w:val="360B53C3"/>
    <w:rsid w:val="36BC63AA"/>
    <w:rsid w:val="374F644E"/>
    <w:rsid w:val="393B72B0"/>
    <w:rsid w:val="398D5B1D"/>
    <w:rsid w:val="39AD3929"/>
    <w:rsid w:val="39C92E62"/>
    <w:rsid w:val="3A774A84"/>
    <w:rsid w:val="3B4A4A01"/>
    <w:rsid w:val="3B52016B"/>
    <w:rsid w:val="3C9B3EFE"/>
    <w:rsid w:val="3D2E2FD3"/>
    <w:rsid w:val="3EF7543B"/>
    <w:rsid w:val="3F43088C"/>
    <w:rsid w:val="41CE268F"/>
    <w:rsid w:val="43EC0D25"/>
    <w:rsid w:val="441D5B50"/>
    <w:rsid w:val="44634599"/>
    <w:rsid w:val="44EF6A10"/>
    <w:rsid w:val="47413903"/>
    <w:rsid w:val="4812529F"/>
    <w:rsid w:val="49CF0279"/>
    <w:rsid w:val="49D45C54"/>
    <w:rsid w:val="4C1944F1"/>
    <w:rsid w:val="4CB21034"/>
    <w:rsid w:val="4CCA3608"/>
    <w:rsid w:val="4DD0267A"/>
    <w:rsid w:val="4E825A45"/>
    <w:rsid w:val="514154D8"/>
    <w:rsid w:val="52014435"/>
    <w:rsid w:val="5244049E"/>
    <w:rsid w:val="52980E3F"/>
    <w:rsid w:val="52CB49C9"/>
    <w:rsid w:val="53AC0356"/>
    <w:rsid w:val="54E32362"/>
    <w:rsid w:val="54F06DE9"/>
    <w:rsid w:val="55020B76"/>
    <w:rsid w:val="57C77E54"/>
    <w:rsid w:val="582B3532"/>
    <w:rsid w:val="5B506723"/>
    <w:rsid w:val="5C521112"/>
    <w:rsid w:val="5D6D188C"/>
    <w:rsid w:val="5DFC3D6C"/>
    <w:rsid w:val="5E3778D6"/>
    <w:rsid w:val="5E600665"/>
    <w:rsid w:val="5F0C077E"/>
    <w:rsid w:val="602B2CDF"/>
    <w:rsid w:val="615430AE"/>
    <w:rsid w:val="62740BD9"/>
    <w:rsid w:val="633252AC"/>
    <w:rsid w:val="64B67BE9"/>
    <w:rsid w:val="65403849"/>
    <w:rsid w:val="67515A49"/>
    <w:rsid w:val="67F5430A"/>
    <w:rsid w:val="680B1B92"/>
    <w:rsid w:val="685A0052"/>
    <w:rsid w:val="688E3320"/>
    <w:rsid w:val="68BE0D64"/>
    <w:rsid w:val="68D8036D"/>
    <w:rsid w:val="693764BC"/>
    <w:rsid w:val="694C1F68"/>
    <w:rsid w:val="69927272"/>
    <w:rsid w:val="6A156242"/>
    <w:rsid w:val="6E0077C5"/>
    <w:rsid w:val="6EC37D80"/>
    <w:rsid w:val="70B312E0"/>
    <w:rsid w:val="71341084"/>
    <w:rsid w:val="715A2660"/>
    <w:rsid w:val="71956476"/>
    <w:rsid w:val="71994E32"/>
    <w:rsid w:val="71C04F24"/>
    <w:rsid w:val="71DB43E3"/>
    <w:rsid w:val="74C07CAE"/>
    <w:rsid w:val="76BB6042"/>
    <w:rsid w:val="78322C70"/>
    <w:rsid w:val="786463B7"/>
    <w:rsid w:val="7A636F59"/>
    <w:rsid w:val="7A7E34DE"/>
    <w:rsid w:val="7BD82FA1"/>
    <w:rsid w:val="7D38785A"/>
    <w:rsid w:val="7DD757E3"/>
    <w:rsid w:val="7E3F1690"/>
    <w:rsid w:val="7FA96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page number"/>
    <w:qFormat/>
    <w:uiPriority w:val="0"/>
    <w:rPr>
      <w:rFonts w:ascii="宋体" w:hAnsi="Times New Roman" w:eastAsia="宋体"/>
      <w:sz w:val="18"/>
    </w:rPr>
  </w:style>
  <w:style w:type="character" w:styleId="33">
    <w:name w:val="Emphasis"/>
    <w:basedOn w:val="30"/>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styleId="2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38090058141E5BCF867FEE79180DC"/>
        <w:style w:val=""/>
        <w:category>
          <w:name w:val="常规"/>
          <w:gallery w:val="placeholder"/>
        </w:category>
        <w:types>
          <w:type w:val="bbPlcHdr"/>
        </w:types>
        <w:behaviors>
          <w:behavior w:val="content"/>
        </w:behaviors>
        <w:description w:val=""/>
        <w:guid w:val="{3E435CD4-A942-486C-B99C-687EB01641D9}"/>
      </w:docPartPr>
      <w:docPartBody>
        <w:p w14:paraId="332C7354">
          <w:pPr>
            <w:pStyle w:val="5"/>
          </w:pPr>
          <w:r>
            <w:rPr>
              <w:rStyle w:val="4"/>
              <w:rFonts w:hint="eastAsia"/>
            </w:rPr>
            <w:t>单击或点击此处输入文字。</w:t>
          </w:r>
        </w:p>
      </w:docPartBody>
    </w:docPart>
    <w:docPart>
      <w:docPartPr>
        <w:name w:val="83ACEA082902419DAEC754314F0D2502"/>
        <w:style w:val=""/>
        <w:category>
          <w:name w:val="常规"/>
          <w:gallery w:val="placeholder"/>
        </w:category>
        <w:types>
          <w:type w:val="bbPlcHdr"/>
        </w:types>
        <w:behaviors>
          <w:behavior w:val="content"/>
        </w:behaviors>
        <w:description w:val=""/>
        <w:guid w:val="{EAB02F69-0057-4016-B783-9EFBE6ED4674}"/>
      </w:docPartPr>
      <w:docPartBody>
        <w:p w14:paraId="1CCAED48">
          <w:pPr>
            <w:pStyle w:val="6"/>
          </w:pPr>
          <w:r>
            <w:rPr>
              <w:rStyle w:val="4"/>
              <w:rFonts w:hint="eastAsia"/>
            </w:rPr>
            <w:t>选择一项。</w:t>
          </w:r>
        </w:p>
      </w:docPartBody>
    </w:docPart>
    <w:docPart>
      <w:docPartPr>
        <w:name w:val="1300A4C75D794D6291D16A5282D6F457"/>
        <w:style w:val=""/>
        <w:category>
          <w:name w:val="常规"/>
          <w:gallery w:val="placeholder"/>
        </w:category>
        <w:types>
          <w:type w:val="bbPlcHdr"/>
        </w:types>
        <w:behaviors>
          <w:behavior w:val="content"/>
        </w:behaviors>
        <w:description w:val=""/>
        <w:guid w:val="{57C2592D-AC40-4B99-9ED8-C705F3CB6DF5}"/>
      </w:docPartPr>
      <w:docPartBody>
        <w:p w14:paraId="6A47E2E5">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3D5"/>
    <w:rsid w:val="00F203D5"/>
    <w:rsid w:val="00F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A38090058141E5BCF867FEE79180D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3ACEA082902419DAEC754314F0D250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300A4C75D794D6291D16A5282D6F45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12</Pages>
  <Words>6970</Words>
  <Characters>7533</Characters>
  <Lines>4</Lines>
  <Paragraphs>1</Paragraphs>
  <TotalTime>66</TotalTime>
  <ScaleCrop>false</ScaleCrop>
  <LinksUpToDate>false</LinksUpToDate>
  <CharactersWithSpaces>7607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2025-06-04T08:14:00Z</dcterms:created>
  <dc:creator>任意</dc:creator>
  <cp:lastModifiedBy>WPS</cp:lastModifiedBy>
  <cp:lastPrinted>2025-10-20T08:12:00Z</cp:lastPrinted>
  <dcterms:modified xsi:type="dcterms:W3CDTF">2025-10-21T03:10:10Z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0255DC2AC087408C8B9704BA48939980_13</vt:lpwstr>
  </property>
  <property fmtid="{D5CDD505-2E9C-101B-9397-08002B2CF9AE}" pid="15" name="KSOTemplateDocerSaveRecord">
    <vt:lpwstr>eyJoZGlkIjoiYTIyNDZjZDQxZDk4YmIwZDMyMmJlZTg3ODMxYTEyNDciLCJ1c2VySWQiOiIyMTczNDM2ODQifQ==</vt:lpwstr>
  </property>
  <property fmtid="{D5CDD505-2E9C-101B-9397-08002B2CF9AE}" pid="16" name="KSOProductBuildVer">
    <vt:lpwstr>2052-12.1.0.23125</vt:lpwstr>
  </property>
</Properties>
</file>