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2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418"/>
        <w:gridCol w:w="8786"/>
      </w:tblGrid>
      <w:tr w14:paraId="13CA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418" w:type="dxa"/>
          </w:tcPr>
          <w:p w14:paraId="2135B39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                          ICS   65.020 </w:t>
            </w:r>
          </w:p>
        </w:tc>
        <w:tc>
          <w:tcPr>
            <w:tcW w:w="8786" w:type="dxa"/>
          </w:tcPr>
          <w:p w14:paraId="243802A6">
            <w:pPr>
              <w:pStyle w:val="18"/>
              <w:framePr w:wrap="notBeside" w:vAnchor="page" w:hAnchor="page" w:x="1372" w:y="568"/>
              <w:tabs>
                <w:tab w:val="clear" w:pos="4153"/>
                <w:tab w:val="clear" w:pos="8306"/>
              </w:tabs>
              <w:spacing w:before="40" w:line="240" w:lineRule="auto"/>
              <w:jc w:val="both"/>
              <w:rPr>
                <w:rFonts w:ascii="Times New Roman" w:hAnsi="Times New Roman" w:eastAsia="黑体"/>
                <w:sz w:val="21"/>
                <w:szCs w:val="21"/>
              </w:rPr>
            </w:pPr>
          </w:p>
        </w:tc>
      </w:tr>
      <w:tr w14:paraId="555BA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18" w:type="dxa"/>
          </w:tcPr>
          <w:p w14:paraId="5555A976">
            <w:pPr>
              <w:pStyle w:val="18"/>
              <w:framePr w:wrap="notBeside" w:vAnchor="page" w:hAnchor="page" w:x="1372" w:y="568"/>
              <w:tabs>
                <w:tab w:val="clear" w:pos="4153"/>
                <w:tab w:val="clear" w:pos="8306"/>
              </w:tabs>
              <w:spacing w:before="40" w:line="240" w:lineRule="auto"/>
              <w:ind w:right="-372" w:rightChars="-177"/>
              <w:jc w:val="left"/>
              <w:rPr>
                <w:rFonts w:ascii="黑体" w:hAnsi="黑体" w:eastAsia="黑体"/>
                <w:sz w:val="21"/>
                <w:szCs w:val="21"/>
              </w:rPr>
            </w:pPr>
            <w:r>
              <w:rPr>
                <w:rFonts w:ascii="黑体" w:hAnsi="黑体" w:eastAsia="黑体"/>
                <w:sz w:val="21"/>
                <w:szCs w:val="21"/>
              </w:rPr>
              <w:t xml:space="preserve">CCS  </w:t>
            </w:r>
            <w:r>
              <w:rPr>
                <w:rFonts w:hint="eastAsia" w:ascii="黑体" w:hAnsi="黑体" w:eastAsia="黑体"/>
                <w:sz w:val="21"/>
                <w:szCs w:val="21"/>
              </w:rPr>
              <w:t xml:space="preserve"> B</w:t>
            </w:r>
            <w:r>
              <w:rPr>
                <w:rFonts w:ascii="黑体" w:hAnsi="黑体" w:eastAsia="黑体"/>
                <w:sz w:val="21"/>
                <w:szCs w:val="21"/>
              </w:rPr>
              <w:t xml:space="preserve"> 04</w:t>
            </w:r>
          </w:p>
        </w:tc>
        <w:tc>
          <w:tcPr>
            <w:tcW w:w="8786" w:type="dxa"/>
          </w:tcPr>
          <w:p w14:paraId="5253010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  </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6991C7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87188C7">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46</w:t>
            </w:r>
            <w:r>
              <w:fldChar w:fldCharType="end"/>
            </w:r>
            <w:bookmarkEnd w:id="1"/>
          </w:p>
        </w:tc>
      </w:tr>
    </w:tbl>
    <w:p w14:paraId="6AE53FA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海</w:t>
      </w:r>
      <w:r>
        <w:rPr>
          <w:rFonts w:hint="eastAsia" w:ascii="黑体" w:eastAsia="黑体"/>
          <w:b w:val="0"/>
          <w:w w:val="100"/>
          <w:sz w:val="48"/>
        </w:rPr>
        <w:t>南省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1DAE184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E52D10">
      <w:pPr>
        <w:pStyle w:val="50"/>
        <w:framePr w:w="9639" w:h="6976" w:hRule="exact" w:hSpace="0" w:vSpace="0" w:wrap="around" w:hAnchor="page" w:y="6408"/>
        <w:jc w:val="center"/>
        <w:rPr>
          <w:rFonts w:ascii="黑体" w:hAnsi="黑体" w:eastAsia="黑体"/>
          <w:b w:val="0"/>
          <w:bCs w:val="0"/>
          <w:w w:val="100"/>
        </w:rPr>
      </w:pPr>
    </w:p>
    <w:p w14:paraId="04FE822D">
      <w:pPr>
        <w:pStyle w:val="197"/>
        <w:framePr w:h="6974" w:hRule="exact" w:wrap="around" w:x="1419" w:anchorLock="1"/>
      </w:pPr>
      <w:r>
        <w:rPr>
          <w:rFonts w:hint="eastAsia"/>
        </w:rPr>
        <w:t>外来水生入侵植物凤眼蓝监测技术规范</w:t>
      </w:r>
    </w:p>
    <w:p w14:paraId="32D4B724">
      <w:pPr>
        <w:framePr w:w="9639" w:h="6974" w:hRule="exact" w:wrap="around" w:vAnchor="page" w:hAnchor="page" w:x="1419" w:y="6408" w:anchorLock="1"/>
        <w:ind w:left="-1418"/>
      </w:pPr>
    </w:p>
    <w:p w14:paraId="25829BCC">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Technical specifications for monitoring invasive alien aquatic plants water hyacinth</w:t>
      </w:r>
    </w:p>
    <w:p w14:paraId="1E9FB209">
      <w:pPr>
        <w:framePr w:w="9639" w:h="6974" w:hRule="exact" w:wrap="around" w:vAnchor="page" w:hAnchor="page" w:x="1419" w:y="6408" w:anchorLock="1"/>
        <w:spacing w:line="760" w:lineRule="exact"/>
        <w:ind w:left="-1418"/>
      </w:pPr>
    </w:p>
    <w:p w14:paraId="6F7DBD56">
      <w:pPr>
        <w:pStyle w:val="125"/>
        <w:framePr w:w="9639" w:h="6974" w:hRule="exact" w:wrap="around" w:vAnchor="page" w:hAnchor="page" w:x="1419" w:y="6408" w:anchorLock="1"/>
        <w:textAlignment w:val="bottom"/>
        <w:rPr>
          <w:rFonts w:eastAsia="黑体"/>
          <w:szCs w:val="28"/>
        </w:rPr>
      </w:pPr>
    </w:p>
    <w:p w14:paraId="45D583AE">
      <w:pPr>
        <w:pStyle w:val="125"/>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2B29725E">
      <w:pPr>
        <w:pStyle w:val="125"/>
        <w:framePr w:w="9639" w:h="6974" w:hRule="exact" w:wrap="around" w:vAnchor="page" w:hAnchor="page" w:x="1419" w:y="6408" w:anchorLock="1"/>
        <w:spacing w:before="180" w:line="240" w:lineRule="atLeast"/>
        <w:textAlignment w:val="bottom"/>
        <w:rPr>
          <w:sz w:val="21"/>
          <w:szCs w:val="28"/>
        </w:rPr>
      </w:pPr>
    </w:p>
    <w:p w14:paraId="701556E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3" w:name="下拉2"/>
      <w:r>
        <w:rPr>
          <w:b/>
          <w:sz w:val="21"/>
          <w:szCs w:val="28"/>
        </w:rPr>
        <w:instrText xml:space="preserve"> FORMDROPDOWN </w:instrText>
      </w:r>
      <w:r>
        <w:rPr>
          <w:b/>
          <w:sz w:val="21"/>
          <w:szCs w:val="28"/>
        </w:rPr>
        <w:fldChar w:fldCharType="separate"/>
      </w:r>
      <w:r>
        <w:rPr>
          <w:b/>
          <w:sz w:val="21"/>
          <w:szCs w:val="28"/>
        </w:rPr>
        <w:fldChar w:fldCharType="end"/>
      </w:r>
      <w:bookmarkEnd w:id="3"/>
    </w:p>
    <w:p w14:paraId="7DB435E2">
      <w:pPr>
        <w:pStyle w:val="193"/>
        <w:framePr w:wrap="around" w:y="14176"/>
      </w:pPr>
      <w:r>
        <w:rPr>
          <w:rFonts w:hint="eastAsia" w:ascii="黑体"/>
        </w:rPr>
        <w:t>202X</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05840814">
      <w:pPr>
        <w:pStyle w:val="194"/>
        <w:framePr w:wrap="around" w:y="14176"/>
      </w:pPr>
      <w:r>
        <w:rPr>
          <w:rFonts w:hint="eastAsia" w:ascii="黑体"/>
        </w:rPr>
        <w:t>202X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14:paraId="3536AD2D">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8" w:name="fm"/>
      <w:r>
        <w:rPr>
          <w:rFonts w:hAnsi="黑体"/>
          <w:w w:val="100"/>
          <w:sz w:val="28"/>
        </w:rPr>
        <w:instrText xml:space="preserve"> FORMTEXT </w:instrText>
      </w:r>
      <w:r>
        <w:rPr>
          <w:rFonts w:hAnsi="黑体"/>
          <w:w w:val="100"/>
          <w:sz w:val="28"/>
        </w:rPr>
        <w:fldChar w:fldCharType="separate"/>
      </w:r>
      <w:r>
        <w:rPr>
          <w:rFonts w:hAnsi="黑体"/>
          <w:w w:val="100"/>
          <w:sz w:val="28"/>
        </w:rPr>
        <w:t>海</w:t>
      </w:r>
      <w:r>
        <w:rPr>
          <w:rFonts w:hint="eastAsia" w:hAnsi="黑体"/>
          <w:w w:val="100"/>
          <w:sz w:val="28"/>
        </w:rPr>
        <w:t>南省市场监督管理局</w:t>
      </w:r>
      <w:r>
        <w:rPr>
          <w:rFonts w:hAnsi="黑体"/>
          <w:w w:val="100"/>
          <w:sz w:val="28"/>
        </w:rPr>
        <w:fldChar w:fldCharType="end"/>
      </w:r>
      <w:bookmarkEnd w:id="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CADCEAF">
      <w:pPr>
        <w:pStyle w:val="195"/>
        <w:framePr w:h="351" w:hRule="exact" w:y="3531"/>
        <w:rPr>
          <w:rFonts w:hAnsi="黑体"/>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9" w:name="文字1"/>
      <w:r>
        <w:rPr>
          <w:lang w:val="fr-FR"/>
        </w:rPr>
        <w:instrText xml:space="preserve"> FORMTEXT </w:instrText>
      </w:r>
      <w:r>
        <w:fldChar w:fldCharType="separate"/>
      </w:r>
      <w:r>
        <w:rPr>
          <w:lang w:val="fr-FR"/>
        </w:rPr>
        <w:t>46/T</w:t>
      </w:r>
      <w:r>
        <w:fldChar w:fldCharType="end"/>
      </w:r>
      <w:bookmarkEnd w:id="9"/>
      <w:r>
        <w:rPr>
          <w:rFonts w:hint="eastAsia"/>
        </w:rPr>
        <w:t xml:space="preserve"> XXX</w:t>
      </w:r>
      <w:r>
        <w:rPr>
          <w:rFonts w:hAnsi="黑体"/>
          <w:lang w:val="fr-FR"/>
        </w:rPr>
        <w:t>—</w:t>
      </w:r>
      <w:r>
        <w:rPr>
          <w:rFonts w:hint="eastAsia"/>
        </w:rPr>
        <w:t>202X</w:t>
      </w:r>
    </w:p>
    <w:p w14:paraId="0D9E5CE2">
      <w:pPr>
        <w:pStyle w:val="68"/>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bookmarkStart w:id="65" w:name="_GoBack"/>
      <w:bookmarkEnd w:id="65"/>
      <w:r>
        <w:rPr>
          <w:rFonts w:hint="eastAsia"/>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F5E1329">
      <w:pPr>
        <w:pStyle w:val="91"/>
        <w:spacing w:after="468"/>
      </w:pPr>
      <w:bookmarkStart w:id="10" w:name="BookMark1"/>
      <w:r>
        <w:rPr>
          <w:rFonts w:hint="eastAsia"/>
          <w:spacing w:val="320"/>
        </w:rPr>
        <w:t>目</w:t>
      </w:r>
      <w:r>
        <w:rPr>
          <w:rFonts w:hint="eastAsia"/>
        </w:rPr>
        <w:t>次</w:t>
      </w:r>
    </w:p>
    <w:p w14:paraId="0E2E22F3">
      <w:pPr>
        <w:pStyle w:val="19"/>
        <w:rPr>
          <w:rStyle w:val="32"/>
        </w:rPr>
      </w:pPr>
      <w:r>
        <w:rPr>
          <w:rStyle w:val="32"/>
        </w:rPr>
        <w:fldChar w:fldCharType="begin"/>
      </w:r>
      <w:r>
        <w:rPr>
          <w:rStyle w:val="32"/>
        </w:rPr>
        <w:instrText xml:space="preserve"> TOC \o "1-1" \h \t "标准文件_一级条标题,2,标准文件_附录一级条标题,2," </w:instrText>
      </w:r>
      <w:r>
        <w:rPr>
          <w:rStyle w:val="32"/>
        </w:rPr>
        <w:fldChar w:fldCharType="separate"/>
      </w:r>
      <w:r>
        <w:fldChar w:fldCharType="begin"/>
      </w:r>
      <w:r>
        <w:instrText xml:space="preserve"> HYPERLINK \l "_Toc212127825" </w:instrText>
      </w:r>
      <w:r>
        <w:fldChar w:fldCharType="separate"/>
      </w:r>
      <w:r>
        <w:rPr>
          <w:rStyle w:val="32"/>
          <w:rFonts w:hint="eastAsia"/>
        </w:rPr>
        <w:t>前言</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_Toc212127825 \h</w:instrText>
      </w:r>
      <w:r>
        <w:rPr>
          <w:rStyle w:val="32"/>
          <w:rFonts w:hint="eastAsia"/>
        </w:rPr>
        <w:instrText xml:space="preserve"> </w:instrText>
      </w:r>
      <w:r>
        <w:rPr>
          <w:rStyle w:val="32"/>
          <w:rFonts w:hint="eastAsia"/>
        </w:rPr>
        <w:fldChar w:fldCharType="separate"/>
      </w:r>
      <w:r>
        <w:rPr>
          <w:rStyle w:val="32"/>
        </w:rPr>
        <w:t>II</w:t>
      </w:r>
      <w:r>
        <w:rPr>
          <w:rStyle w:val="32"/>
          <w:rFonts w:hint="eastAsia"/>
        </w:rPr>
        <w:fldChar w:fldCharType="end"/>
      </w:r>
      <w:r>
        <w:rPr>
          <w:rStyle w:val="32"/>
          <w:rFonts w:hint="eastAsia"/>
        </w:rPr>
        <w:fldChar w:fldCharType="end"/>
      </w:r>
    </w:p>
    <w:p w14:paraId="1AFF7C67">
      <w:pPr>
        <w:pStyle w:val="19"/>
        <w:rPr>
          <w:rStyle w:val="32"/>
        </w:rPr>
      </w:pPr>
      <w:r>
        <w:fldChar w:fldCharType="begin"/>
      </w:r>
      <w:r>
        <w:instrText xml:space="preserve"> HYPERLINK \l "_Toc212127826" </w:instrText>
      </w:r>
      <w:r>
        <w:fldChar w:fldCharType="separate"/>
      </w:r>
      <w:r>
        <w:rPr>
          <w:rStyle w:val="32"/>
          <w:rFonts w:hint="eastAsia"/>
        </w:rPr>
        <w:t>1 范围</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_Toc212127826 \h</w:instrText>
      </w:r>
      <w:r>
        <w:rPr>
          <w:rStyle w:val="32"/>
          <w:rFonts w:hint="eastAsia"/>
        </w:rPr>
        <w:instrText xml:space="preserve"> </w:instrText>
      </w:r>
      <w:r>
        <w:rPr>
          <w:rStyle w:val="32"/>
          <w:rFonts w:hint="eastAsia"/>
        </w:rPr>
        <w:fldChar w:fldCharType="separate"/>
      </w:r>
      <w:r>
        <w:rPr>
          <w:rStyle w:val="32"/>
        </w:rPr>
        <w:t>3</w:t>
      </w:r>
      <w:r>
        <w:rPr>
          <w:rStyle w:val="32"/>
          <w:rFonts w:hint="eastAsia"/>
        </w:rPr>
        <w:fldChar w:fldCharType="end"/>
      </w:r>
      <w:r>
        <w:rPr>
          <w:rStyle w:val="32"/>
          <w:rFonts w:hint="eastAsia"/>
        </w:rPr>
        <w:fldChar w:fldCharType="end"/>
      </w:r>
    </w:p>
    <w:p w14:paraId="565430C4">
      <w:pPr>
        <w:pStyle w:val="19"/>
        <w:rPr>
          <w:rStyle w:val="32"/>
        </w:rPr>
      </w:pPr>
      <w:r>
        <w:fldChar w:fldCharType="begin"/>
      </w:r>
      <w:r>
        <w:instrText xml:space="preserve"> HYPERLINK \l "_Toc212127827" </w:instrText>
      </w:r>
      <w:r>
        <w:fldChar w:fldCharType="separate"/>
      </w:r>
      <w:r>
        <w:rPr>
          <w:rStyle w:val="32"/>
          <w:rFonts w:hint="eastAsia"/>
        </w:rPr>
        <w:t>2 规范性引用文件</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_Toc212127827 \h</w:instrText>
      </w:r>
      <w:r>
        <w:rPr>
          <w:rStyle w:val="32"/>
          <w:rFonts w:hint="eastAsia"/>
        </w:rPr>
        <w:instrText xml:space="preserve"> </w:instrText>
      </w:r>
      <w:r>
        <w:rPr>
          <w:rStyle w:val="32"/>
          <w:rFonts w:hint="eastAsia"/>
        </w:rPr>
        <w:fldChar w:fldCharType="separate"/>
      </w:r>
      <w:r>
        <w:rPr>
          <w:rStyle w:val="32"/>
        </w:rPr>
        <w:t>3</w:t>
      </w:r>
      <w:r>
        <w:rPr>
          <w:rStyle w:val="32"/>
          <w:rFonts w:hint="eastAsia"/>
        </w:rPr>
        <w:fldChar w:fldCharType="end"/>
      </w:r>
      <w:r>
        <w:rPr>
          <w:rStyle w:val="32"/>
          <w:rFonts w:hint="eastAsia"/>
        </w:rPr>
        <w:fldChar w:fldCharType="end"/>
      </w:r>
    </w:p>
    <w:p w14:paraId="76DFB5A1">
      <w:pPr>
        <w:pStyle w:val="19"/>
        <w:rPr>
          <w:rStyle w:val="32"/>
        </w:rPr>
      </w:pPr>
      <w:r>
        <w:fldChar w:fldCharType="begin"/>
      </w:r>
      <w:r>
        <w:instrText xml:space="preserve"> HYPERLINK \l "_Toc212127828" </w:instrText>
      </w:r>
      <w:r>
        <w:fldChar w:fldCharType="separate"/>
      </w:r>
      <w:r>
        <w:rPr>
          <w:rStyle w:val="32"/>
          <w:rFonts w:hint="eastAsia"/>
        </w:rPr>
        <w:t>3 术语和定义</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_Toc212127828 \h</w:instrText>
      </w:r>
      <w:r>
        <w:rPr>
          <w:rStyle w:val="32"/>
          <w:rFonts w:hint="eastAsia"/>
        </w:rPr>
        <w:instrText xml:space="preserve"> </w:instrText>
      </w:r>
      <w:r>
        <w:rPr>
          <w:rStyle w:val="32"/>
          <w:rFonts w:hint="eastAsia"/>
        </w:rPr>
        <w:fldChar w:fldCharType="separate"/>
      </w:r>
      <w:r>
        <w:rPr>
          <w:rStyle w:val="32"/>
        </w:rPr>
        <w:t>3</w:t>
      </w:r>
      <w:r>
        <w:rPr>
          <w:rStyle w:val="32"/>
          <w:rFonts w:hint="eastAsia"/>
        </w:rPr>
        <w:fldChar w:fldCharType="end"/>
      </w:r>
      <w:r>
        <w:rPr>
          <w:rStyle w:val="32"/>
          <w:rFonts w:hint="eastAsia"/>
        </w:rPr>
        <w:fldChar w:fldCharType="end"/>
      </w:r>
    </w:p>
    <w:p w14:paraId="7F47C6F0">
      <w:pPr>
        <w:pStyle w:val="19"/>
        <w:rPr>
          <w:rStyle w:val="32"/>
        </w:rPr>
      </w:pPr>
      <w:r>
        <w:fldChar w:fldCharType="begin"/>
      </w:r>
      <w:r>
        <w:instrText xml:space="preserve"> HYPERLINK \l "_Toc212127829" </w:instrText>
      </w:r>
      <w:r>
        <w:fldChar w:fldCharType="separate"/>
      </w:r>
      <w:r>
        <w:rPr>
          <w:rStyle w:val="32"/>
          <w:rFonts w:hint="eastAsia"/>
        </w:rPr>
        <w:t>4 基本要求</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_Toc212127829 \h</w:instrText>
      </w:r>
      <w:r>
        <w:rPr>
          <w:rStyle w:val="32"/>
          <w:rFonts w:hint="eastAsia"/>
        </w:rPr>
        <w:instrText xml:space="preserve"> </w:instrText>
      </w:r>
      <w:r>
        <w:rPr>
          <w:rStyle w:val="32"/>
          <w:rFonts w:hint="eastAsia"/>
        </w:rPr>
        <w:fldChar w:fldCharType="separate"/>
      </w:r>
      <w:r>
        <w:rPr>
          <w:rStyle w:val="32"/>
        </w:rPr>
        <w:t>3</w:t>
      </w:r>
      <w:r>
        <w:rPr>
          <w:rStyle w:val="32"/>
          <w:rFonts w:hint="eastAsia"/>
        </w:rPr>
        <w:fldChar w:fldCharType="end"/>
      </w:r>
      <w:r>
        <w:rPr>
          <w:rStyle w:val="32"/>
          <w:rFonts w:hint="eastAsia"/>
        </w:rPr>
        <w:fldChar w:fldCharType="end"/>
      </w:r>
    </w:p>
    <w:p w14:paraId="7FA7E34A">
      <w:pPr>
        <w:pStyle w:val="19"/>
        <w:ind w:firstLine="420" w:firstLineChars="200"/>
        <w:rPr>
          <w:rStyle w:val="32"/>
        </w:rPr>
      </w:pPr>
      <w:r>
        <w:fldChar w:fldCharType="begin"/>
      </w:r>
      <w:r>
        <w:instrText xml:space="preserve"> HYPERLINK \l "_Toc212127830" </w:instrText>
      </w:r>
      <w:r>
        <w:fldChar w:fldCharType="separate"/>
      </w:r>
      <w:r>
        <w:rPr>
          <w:rStyle w:val="32"/>
          <w:rFonts w:hint="eastAsia"/>
        </w:rPr>
        <w:t>4.1 监测时间</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_Toc212127830 \h</w:instrText>
      </w:r>
      <w:r>
        <w:rPr>
          <w:rStyle w:val="32"/>
          <w:rFonts w:hint="eastAsia"/>
        </w:rPr>
        <w:instrText xml:space="preserve"> </w:instrText>
      </w:r>
      <w:r>
        <w:rPr>
          <w:rStyle w:val="32"/>
          <w:rFonts w:hint="eastAsia"/>
        </w:rPr>
        <w:fldChar w:fldCharType="separate"/>
      </w:r>
      <w:r>
        <w:rPr>
          <w:rStyle w:val="32"/>
        </w:rPr>
        <w:t>3</w:t>
      </w:r>
      <w:r>
        <w:rPr>
          <w:rStyle w:val="32"/>
          <w:rFonts w:hint="eastAsia"/>
        </w:rPr>
        <w:fldChar w:fldCharType="end"/>
      </w:r>
      <w:r>
        <w:rPr>
          <w:rStyle w:val="32"/>
          <w:rFonts w:hint="eastAsia"/>
        </w:rPr>
        <w:fldChar w:fldCharType="end"/>
      </w:r>
    </w:p>
    <w:p w14:paraId="66C782B2">
      <w:pPr>
        <w:pStyle w:val="19"/>
        <w:ind w:firstLine="420" w:firstLineChars="200"/>
        <w:rPr>
          <w:rStyle w:val="32"/>
        </w:rPr>
      </w:pPr>
      <w:r>
        <w:fldChar w:fldCharType="begin"/>
      </w:r>
      <w:r>
        <w:instrText xml:space="preserve"> HYPERLINK \l "_Toc212127831" </w:instrText>
      </w:r>
      <w:r>
        <w:fldChar w:fldCharType="separate"/>
      </w:r>
      <w:r>
        <w:rPr>
          <w:rStyle w:val="32"/>
          <w:rFonts w:hint="eastAsia"/>
        </w:rPr>
        <w:t>4.2 空间基准</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_Toc212127831 \h</w:instrText>
      </w:r>
      <w:r>
        <w:rPr>
          <w:rStyle w:val="32"/>
          <w:rFonts w:hint="eastAsia"/>
        </w:rPr>
        <w:instrText xml:space="preserve"> </w:instrText>
      </w:r>
      <w:r>
        <w:rPr>
          <w:rStyle w:val="32"/>
          <w:rFonts w:hint="eastAsia"/>
        </w:rPr>
        <w:fldChar w:fldCharType="separate"/>
      </w:r>
      <w:r>
        <w:rPr>
          <w:rStyle w:val="32"/>
        </w:rPr>
        <w:t>4</w:t>
      </w:r>
      <w:r>
        <w:rPr>
          <w:rStyle w:val="32"/>
          <w:rFonts w:hint="eastAsia"/>
        </w:rPr>
        <w:fldChar w:fldCharType="end"/>
      </w:r>
      <w:r>
        <w:rPr>
          <w:rStyle w:val="32"/>
          <w:rFonts w:hint="eastAsia"/>
        </w:rPr>
        <w:fldChar w:fldCharType="end"/>
      </w:r>
    </w:p>
    <w:p w14:paraId="0EEDC766">
      <w:pPr>
        <w:pStyle w:val="19"/>
        <w:ind w:firstLine="420" w:firstLineChars="200"/>
        <w:rPr>
          <w:rStyle w:val="32"/>
        </w:rPr>
      </w:pPr>
      <w:r>
        <w:fldChar w:fldCharType="begin"/>
      </w:r>
      <w:r>
        <w:instrText xml:space="preserve"> HYPERLINK \l "_Toc212127832" </w:instrText>
      </w:r>
      <w:r>
        <w:fldChar w:fldCharType="separate"/>
      </w:r>
      <w:r>
        <w:rPr>
          <w:rStyle w:val="32"/>
          <w:rFonts w:hint="eastAsia"/>
        </w:rPr>
        <w:t>4.3 分幅和编号</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_Toc212127832 \h</w:instrText>
      </w:r>
      <w:r>
        <w:rPr>
          <w:rStyle w:val="32"/>
          <w:rFonts w:hint="eastAsia"/>
        </w:rPr>
        <w:instrText xml:space="preserve"> </w:instrText>
      </w:r>
      <w:r>
        <w:rPr>
          <w:rStyle w:val="32"/>
          <w:rFonts w:hint="eastAsia"/>
        </w:rPr>
        <w:fldChar w:fldCharType="separate"/>
      </w:r>
      <w:r>
        <w:rPr>
          <w:rStyle w:val="32"/>
        </w:rPr>
        <w:t>4</w:t>
      </w:r>
      <w:r>
        <w:rPr>
          <w:rStyle w:val="32"/>
          <w:rFonts w:hint="eastAsia"/>
        </w:rPr>
        <w:fldChar w:fldCharType="end"/>
      </w:r>
      <w:r>
        <w:rPr>
          <w:rStyle w:val="32"/>
          <w:rFonts w:hint="eastAsia"/>
        </w:rPr>
        <w:fldChar w:fldCharType="end"/>
      </w:r>
    </w:p>
    <w:p w14:paraId="53075AA3">
      <w:pPr>
        <w:pStyle w:val="19"/>
        <w:rPr>
          <w:rStyle w:val="32"/>
        </w:rPr>
      </w:pPr>
      <w:r>
        <w:fldChar w:fldCharType="begin"/>
      </w:r>
      <w:r>
        <w:instrText xml:space="preserve"> HYPERLINK \l "_Toc212127833" </w:instrText>
      </w:r>
      <w:r>
        <w:fldChar w:fldCharType="separate"/>
      </w:r>
      <w:r>
        <w:rPr>
          <w:rStyle w:val="32"/>
          <w:rFonts w:hint="eastAsia"/>
        </w:rPr>
        <w:t>5 监测内容</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_Toc212127833 \h</w:instrText>
      </w:r>
      <w:r>
        <w:rPr>
          <w:rStyle w:val="32"/>
          <w:rFonts w:hint="eastAsia"/>
        </w:rPr>
        <w:instrText xml:space="preserve"> </w:instrText>
      </w:r>
      <w:r>
        <w:rPr>
          <w:rStyle w:val="32"/>
          <w:rFonts w:hint="eastAsia"/>
        </w:rPr>
        <w:fldChar w:fldCharType="separate"/>
      </w:r>
      <w:r>
        <w:rPr>
          <w:rStyle w:val="32"/>
        </w:rPr>
        <w:t>4</w:t>
      </w:r>
      <w:r>
        <w:rPr>
          <w:rStyle w:val="32"/>
          <w:rFonts w:hint="eastAsia"/>
        </w:rPr>
        <w:fldChar w:fldCharType="end"/>
      </w:r>
      <w:r>
        <w:rPr>
          <w:rStyle w:val="32"/>
          <w:rFonts w:hint="eastAsia"/>
        </w:rPr>
        <w:fldChar w:fldCharType="end"/>
      </w:r>
    </w:p>
    <w:p w14:paraId="5C2CFD19">
      <w:pPr>
        <w:pStyle w:val="19"/>
        <w:rPr>
          <w:rStyle w:val="32"/>
        </w:rPr>
      </w:pPr>
      <w:r>
        <w:fldChar w:fldCharType="begin"/>
      </w:r>
      <w:r>
        <w:instrText xml:space="preserve"> HYPERLINK \l "_Toc212127834" </w:instrText>
      </w:r>
      <w:r>
        <w:fldChar w:fldCharType="separate"/>
      </w:r>
      <w:r>
        <w:rPr>
          <w:rStyle w:val="32"/>
          <w:rFonts w:hint="eastAsia"/>
        </w:rPr>
        <w:t>6 监测程序</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_Toc212127834 \h</w:instrText>
      </w:r>
      <w:r>
        <w:rPr>
          <w:rStyle w:val="32"/>
          <w:rFonts w:hint="eastAsia"/>
        </w:rPr>
        <w:instrText xml:space="preserve"> </w:instrText>
      </w:r>
      <w:r>
        <w:rPr>
          <w:rStyle w:val="32"/>
          <w:rFonts w:hint="eastAsia"/>
        </w:rPr>
        <w:fldChar w:fldCharType="separate"/>
      </w:r>
      <w:r>
        <w:rPr>
          <w:rStyle w:val="32"/>
        </w:rPr>
        <w:t>4</w:t>
      </w:r>
      <w:r>
        <w:rPr>
          <w:rStyle w:val="32"/>
          <w:rFonts w:hint="eastAsia"/>
        </w:rPr>
        <w:fldChar w:fldCharType="end"/>
      </w:r>
      <w:r>
        <w:rPr>
          <w:rStyle w:val="32"/>
          <w:rFonts w:hint="eastAsia"/>
        </w:rPr>
        <w:fldChar w:fldCharType="end"/>
      </w:r>
    </w:p>
    <w:p w14:paraId="44F698C6">
      <w:pPr>
        <w:pStyle w:val="19"/>
        <w:rPr>
          <w:rStyle w:val="32"/>
        </w:rPr>
      </w:pPr>
      <w:r>
        <w:fldChar w:fldCharType="begin"/>
      </w:r>
      <w:r>
        <w:instrText xml:space="preserve"> HYPERLINK \l "_Toc212127835" </w:instrText>
      </w:r>
      <w:r>
        <w:fldChar w:fldCharType="separate"/>
      </w:r>
      <w:r>
        <w:rPr>
          <w:rStyle w:val="32"/>
          <w:rFonts w:hint="eastAsia"/>
        </w:rPr>
        <w:t>7 数据获取与处理</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_Toc212127835 \h</w:instrText>
      </w:r>
      <w:r>
        <w:rPr>
          <w:rStyle w:val="32"/>
          <w:rFonts w:hint="eastAsia"/>
        </w:rPr>
        <w:instrText xml:space="preserve"> </w:instrText>
      </w:r>
      <w:r>
        <w:rPr>
          <w:rStyle w:val="32"/>
          <w:rFonts w:hint="eastAsia"/>
        </w:rPr>
        <w:fldChar w:fldCharType="separate"/>
      </w:r>
      <w:r>
        <w:rPr>
          <w:rStyle w:val="32"/>
        </w:rPr>
        <w:t>4</w:t>
      </w:r>
      <w:r>
        <w:rPr>
          <w:rStyle w:val="32"/>
          <w:rFonts w:hint="eastAsia"/>
        </w:rPr>
        <w:fldChar w:fldCharType="end"/>
      </w:r>
      <w:r>
        <w:rPr>
          <w:rStyle w:val="32"/>
          <w:rFonts w:hint="eastAsia"/>
        </w:rPr>
        <w:fldChar w:fldCharType="end"/>
      </w:r>
    </w:p>
    <w:p w14:paraId="434FC4F6">
      <w:pPr>
        <w:pStyle w:val="19"/>
        <w:ind w:firstLine="420" w:firstLineChars="200"/>
        <w:rPr>
          <w:rStyle w:val="32"/>
        </w:rPr>
      </w:pPr>
      <w:r>
        <w:fldChar w:fldCharType="begin"/>
      </w:r>
      <w:r>
        <w:instrText xml:space="preserve"> HYPERLINK \l "_Toc212127836" </w:instrText>
      </w:r>
      <w:r>
        <w:fldChar w:fldCharType="separate"/>
      </w:r>
      <w:r>
        <w:rPr>
          <w:rStyle w:val="32"/>
          <w:rFonts w:hint="eastAsia"/>
        </w:rPr>
        <w:t>7.1 地面调查数据</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_Toc212127836 \h</w:instrText>
      </w:r>
      <w:r>
        <w:rPr>
          <w:rStyle w:val="32"/>
          <w:rFonts w:hint="eastAsia"/>
        </w:rPr>
        <w:instrText xml:space="preserve"> </w:instrText>
      </w:r>
      <w:r>
        <w:rPr>
          <w:rStyle w:val="32"/>
          <w:rFonts w:hint="eastAsia"/>
        </w:rPr>
        <w:fldChar w:fldCharType="separate"/>
      </w:r>
      <w:r>
        <w:rPr>
          <w:rStyle w:val="32"/>
        </w:rPr>
        <w:t>4</w:t>
      </w:r>
      <w:r>
        <w:rPr>
          <w:rStyle w:val="32"/>
          <w:rFonts w:hint="eastAsia"/>
        </w:rPr>
        <w:fldChar w:fldCharType="end"/>
      </w:r>
      <w:r>
        <w:rPr>
          <w:rStyle w:val="32"/>
          <w:rFonts w:hint="eastAsia"/>
        </w:rPr>
        <w:fldChar w:fldCharType="end"/>
      </w:r>
    </w:p>
    <w:p w14:paraId="6643F3D2">
      <w:pPr>
        <w:pStyle w:val="19"/>
        <w:ind w:firstLine="420" w:firstLineChars="200"/>
        <w:rPr>
          <w:rStyle w:val="32"/>
        </w:rPr>
      </w:pPr>
      <w:r>
        <w:fldChar w:fldCharType="begin"/>
      </w:r>
      <w:r>
        <w:instrText xml:space="preserve"> HYPERLINK \l "_Toc212127837" </w:instrText>
      </w:r>
      <w:r>
        <w:fldChar w:fldCharType="separate"/>
      </w:r>
      <w:r>
        <w:rPr>
          <w:rStyle w:val="32"/>
          <w:rFonts w:hint="eastAsia"/>
        </w:rPr>
        <w:t>7.2 遥感数据及预处理</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_Toc212127837 \h</w:instrText>
      </w:r>
      <w:r>
        <w:rPr>
          <w:rStyle w:val="32"/>
          <w:rFonts w:hint="eastAsia"/>
        </w:rPr>
        <w:instrText xml:space="preserve"> </w:instrText>
      </w:r>
      <w:r>
        <w:rPr>
          <w:rStyle w:val="32"/>
          <w:rFonts w:hint="eastAsia"/>
        </w:rPr>
        <w:fldChar w:fldCharType="separate"/>
      </w:r>
      <w:r>
        <w:rPr>
          <w:rStyle w:val="32"/>
        </w:rPr>
        <w:t>5</w:t>
      </w:r>
      <w:r>
        <w:rPr>
          <w:rStyle w:val="32"/>
          <w:rFonts w:hint="eastAsia"/>
        </w:rPr>
        <w:fldChar w:fldCharType="end"/>
      </w:r>
      <w:r>
        <w:rPr>
          <w:rStyle w:val="32"/>
          <w:rFonts w:hint="eastAsia"/>
        </w:rPr>
        <w:fldChar w:fldCharType="end"/>
      </w:r>
    </w:p>
    <w:p w14:paraId="57EDB30D">
      <w:pPr>
        <w:pStyle w:val="19"/>
        <w:rPr>
          <w:rStyle w:val="32"/>
        </w:rPr>
      </w:pPr>
      <w:r>
        <w:fldChar w:fldCharType="begin"/>
      </w:r>
      <w:r>
        <w:instrText xml:space="preserve"> HYPERLINK \l "_Toc212127838" </w:instrText>
      </w:r>
      <w:r>
        <w:fldChar w:fldCharType="separate"/>
      </w:r>
      <w:r>
        <w:rPr>
          <w:rStyle w:val="32"/>
          <w:rFonts w:hint="eastAsia"/>
        </w:rPr>
        <w:t>8 信息提取</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_Toc212127838 \h</w:instrText>
      </w:r>
      <w:r>
        <w:rPr>
          <w:rStyle w:val="32"/>
          <w:rFonts w:hint="eastAsia"/>
        </w:rPr>
        <w:instrText xml:space="preserve"> </w:instrText>
      </w:r>
      <w:r>
        <w:rPr>
          <w:rStyle w:val="32"/>
          <w:rFonts w:hint="eastAsia"/>
        </w:rPr>
        <w:fldChar w:fldCharType="separate"/>
      </w:r>
      <w:r>
        <w:rPr>
          <w:rStyle w:val="32"/>
        </w:rPr>
        <w:t>5</w:t>
      </w:r>
      <w:r>
        <w:rPr>
          <w:rStyle w:val="32"/>
          <w:rFonts w:hint="eastAsia"/>
        </w:rPr>
        <w:fldChar w:fldCharType="end"/>
      </w:r>
      <w:r>
        <w:rPr>
          <w:rStyle w:val="32"/>
          <w:rFonts w:hint="eastAsia"/>
        </w:rPr>
        <w:fldChar w:fldCharType="end"/>
      </w:r>
    </w:p>
    <w:p w14:paraId="54FAEBEA">
      <w:pPr>
        <w:pStyle w:val="19"/>
        <w:ind w:firstLine="420" w:firstLineChars="200"/>
        <w:rPr>
          <w:rStyle w:val="32"/>
        </w:rPr>
      </w:pPr>
      <w:r>
        <w:fldChar w:fldCharType="begin"/>
      </w:r>
      <w:r>
        <w:instrText xml:space="preserve"> HYPERLINK \l "_Toc212127839" </w:instrText>
      </w:r>
      <w:r>
        <w:fldChar w:fldCharType="separate"/>
      </w:r>
      <w:r>
        <w:rPr>
          <w:rStyle w:val="32"/>
          <w:rFonts w:hint="eastAsia"/>
        </w:rPr>
        <w:t>8.1 样本类别</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_Toc212127839 \h</w:instrText>
      </w:r>
      <w:r>
        <w:rPr>
          <w:rStyle w:val="32"/>
          <w:rFonts w:hint="eastAsia"/>
        </w:rPr>
        <w:instrText xml:space="preserve"> </w:instrText>
      </w:r>
      <w:r>
        <w:rPr>
          <w:rStyle w:val="32"/>
          <w:rFonts w:hint="eastAsia"/>
        </w:rPr>
        <w:fldChar w:fldCharType="separate"/>
      </w:r>
      <w:r>
        <w:rPr>
          <w:rStyle w:val="32"/>
        </w:rPr>
        <w:t>5</w:t>
      </w:r>
      <w:r>
        <w:rPr>
          <w:rStyle w:val="32"/>
          <w:rFonts w:hint="eastAsia"/>
        </w:rPr>
        <w:fldChar w:fldCharType="end"/>
      </w:r>
      <w:r>
        <w:rPr>
          <w:rStyle w:val="32"/>
          <w:rFonts w:hint="eastAsia"/>
        </w:rPr>
        <w:fldChar w:fldCharType="end"/>
      </w:r>
    </w:p>
    <w:p w14:paraId="393942F4">
      <w:pPr>
        <w:pStyle w:val="19"/>
        <w:ind w:firstLine="420" w:firstLineChars="200"/>
        <w:rPr>
          <w:rStyle w:val="32"/>
        </w:rPr>
      </w:pPr>
      <w:r>
        <w:fldChar w:fldCharType="begin"/>
      </w:r>
      <w:r>
        <w:instrText xml:space="preserve"> HYPERLINK \l "_Toc212127840" </w:instrText>
      </w:r>
      <w:r>
        <w:fldChar w:fldCharType="separate"/>
      </w:r>
      <w:r>
        <w:rPr>
          <w:rStyle w:val="32"/>
          <w:rFonts w:hint="eastAsia"/>
        </w:rPr>
        <w:t>8.2 样本选择</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_Toc212127840 \h</w:instrText>
      </w:r>
      <w:r>
        <w:rPr>
          <w:rStyle w:val="32"/>
          <w:rFonts w:hint="eastAsia"/>
        </w:rPr>
        <w:instrText xml:space="preserve"> </w:instrText>
      </w:r>
      <w:r>
        <w:rPr>
          <w:rStyle w:val="32"/>
          <w:rFonts w:hint="eastAsia"/>
        </w:rPr>
        <w:fldChar w:fldCharType="separate"/>
      </w:r>
      <w:r>
        <w:rPr>
          <w:rStyle w:val="32"/>
        </w:rPr>
        <w:t>5</w:t>
      </w:r>
      <w:r>
        <w:rPr>
          <w:rStyle w:val="32"/>
          <w:rFonts w:hint="eastAsia"/>
        </w:rPr>
        <w:fldChar w:fldCharType="end"/>
      </w:r>
      <w:r>
        <w:rPr>
          <w:rStyle w:val="32"/>
          <w:rFonts w:hint="eastAsia"/>
        </w:rPr>
        <w:fldChar w:fldCharType="end"/>
      </w:r>
    </w:p>
    <w:p w14:paraId="64CA6766">
      <w:pPr>
        <w:pStyle w:val="19"/>
        <w:ind w:firstLine="420" w:firstLineChars="200"/>
        <w:rPr>
          <w:rStyle w:val="32"/>
        </w:rPr>
      </w:pPr>
      <w:r>
        <w:fldChar w:fldCharType="begin"/>
      </w:r>
      <w:r>
        <w:instrText xml:space="preserve"> HYPERLINK \l "_Toc212127841" </w:instrText>
      </w:r>
      <w:r>
        <w:fldChar w:fldCharType="separate"/>
      </w:r>
      <w:r>
        <w:rPr>
          <w:rStyle w:val="32"/>
          <w:rFonts w:hint="eastAsia"/>
        </w:rPr>
        <w:t>8.3 特征选择</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_Toc212127841 \h</w:instrText>
      </w:r>
      <w:r>
        <w:rPr>
          <w:rStyle w:val="32"/>
          <w:rFonts w:hint="eastAsia"/>
        </w:rPr>
        <w:instrText xml:space="preserve"> </w:instrText>
      </w:r>
      <w:r>
        <w:rPr>
          <w:rStyle w:val="32"/>
          <w:rFonts w:hint="eastAsia"/>
        </w:rPr>
        <w:fldChar w:fldCharType="separate"/>
      </w:r>
      <w:r>
        <w:rPr>
          <w:rStyle w:val="32"/>
        </w:rPr>
        <w:t>5</w:t>
      </w:r>
      <w:r>
        <w:rPr>
          <w:rStyle w:val="32"/>
          <w:rFonts w:hint="eastAsia"/>
        </w:rPr>
        <w:fldChar w:fldCharType="end"/>
      </w:r>
      <w:r>
        <w:rPr>
          <w:rStyle w:val="32"/>
          <w:rFonts w:hint="eastAsia"/>
        </w:rPr>
        <w:fldChar w:fldCharType="end"/>
      </w:r>
    </w:p>
    <w:p w14:paraId="43EDAF50">
      <w:pPr>
        <w:pStyle w:val="19"/>
        <w:ind w:firstLine="420" w:firstLineChars="200"/>
        <w:rPr>
          <w:rStyle w:val="32"/>
        </w:rPr>
      </w:pPr>
      <w:r>
        <w:fldChar w:fldCharType="begin"/>
      </w:r>
      <w:r>
        <w:instrText xml:space="preserve"> HYPERLINK \l "_Toc212127842" </w:instrText>
      </w:r>
      <w:r>
        <w:fldChar w:fldCharType="separate"/>
      </w:r>
      <w:r>
        <w:rPr>
          <w:rStyle w:val="32"/>
          <w:rFonts w:hint="eastAsia"/>
        </w:rPr>
        <w:t>8.4 分类方法</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_Toc212127842 \h</w:instrText>
      </w:r>
      <w:r>
        <w:rPr>
          <w:rStyle w:val="32"/>
          <w:rFonts w:hint="eastAsia"/>
        </w:rPr>
        <w:instrText xml:space="preserve"> </w:instrText>
      </w:r>
      <w:r>
        <w:rPr>
          <w:rStyle w:val="32"/>
          <w:rFonts w:hint="eastAsia"/>
        </w:rPr>
        <w:fldChar w:fldCharType="separate"/>
      </w:r>
      <w:r>
        <w:rPr>
          <w:rStyle w:val="32"/>
        </w:rPr>
        <w:t>5</w:t>
      </w:r>
      <w:r>
        <w:rPr>
          <w:rStyle w:val="32"/>
          <w:rFonts w:hint="eastAsia"/>
        </w:rPr>
        <w:fldChar w:fldCharType="end"/>
      </w:r>
      <w:r>
        <w:rPr>
          <w:rStyle w:val="32"/>
          <w:rFonts w:hint="eastAsia"/>
        </w:rPr>
        <w:fldChar w:fldCharType="end"/>
      </w:r>
    </w:p>
    <w:p w14:paraId="106B6230">
      <w:pPr>
        <w:pStyle w:val="19"/>
        <w:ind w:firstLine="420" w:firstLineChars="200"/>
        <w:rPr>
          <w:rStyle w:val="32"/>
        </w:rPr>
      </w:pPr>
      <w:r>
        <w:fldChar w:fldCharType="begin"/>
      </w:r>
      <w:r>
        <w:instrText xml:space="preserve"> HYPERLINK \l "_Toc212127843" </w:instrText>
      </w:r>
      <w:r>
        <w:fldChar w:fldCharType="separate"/>
      </w:r>
      <w:r>
        <w:rPr>
          <w:rStyle w:val="32"/>
          <w:rFonts w:hint="eastAsia"/>
        </w:rPr>
        <w:t>8.5 遥感分类</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_Toc212127843 \h</w:instrText>
      </w:r>
      <w:r>
        <w:rPr>
          <w:rStyle w:val="32"/>
          <w:rFonts w:hint="eastAsia"/>
        </w:rPr>
        <w:instrText xml:space="preserve"> </w:instrText>
      </w:r>
      <w:r>
        <w:rPr>
          <w:rStyle w:val="32"/>
          <w:rFonts w:hint="eastAsia"/>
        </w:rPr>
        <w:fldChar w:fldCharType="separate"/>
      </w:r>
      <w:r>
        <w:rPr>
          <w:rStyle w:val="32"/>
        </w:rPr>
        <w:t>6</w:t>
      </w:r>
      <w:r>
        <w:rPr>
          <w:rStyle w:val="32"/>
          <w:rFonts w:hint="eastAsia"/>
        </w:rPr>
        <w:fldChar w:fldCharType="end"/>
      </w:r>
      <w:r>
        <w:rPr>
          <w:rStyle w:val="32"/>
          <w:rFonts w:hint="eastAsia"/>
        </w:rPr>
        <w:fldChar w:fldCharType="end"/>
      </w:r>
    </w:p>
    <w:p w14:paraId="02A281EA">
      <w:pPr>
        <w:pStyle w:val="19"/>
        <w:ind w:firstLine="420" w:firstLineChars="200"/>
        <w:rPr>
          <w:rStyle w:val="32"/>
        </w:rPr>
      </w:pPr>
      <w:r>
        <w:fldChar w:fldCharType="begin"/>
      </w:r>
      <w:r>
        <w:instrText xml:space="preserve"> HYPERLINK \l "_Toc212127844" </w:instrText>
      </w:r>
      <w:r>
        <w:fldChar w:fldCharType="separate"/>
      </w:r>
      <w:r>
        <w:rPr>
          <w:rStyle w:val="32"/>
          <w:rFonts w:hint="eastAsia"/>
        </w:rPr>
        <w:t>8.6 精度评价</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_Toc212127844 \h</w:instrText>
      </w:r>
      <w:r>
        <w:rPr>
          <w:rStyle w:val="32"/>
          <w:rFonts w:hint="eastAsia"/>
        </w:rPr>
        <w:instrText xml:space="preserve"> </w:instrText>
      </w:r>
      <w:r>
        <w:rPr>
          <w:rStyle w:val="32"/>
          <w:rFonts w:hint="eastAsia"/>
        </w:rPr>
        <w:fldChar w:fldCharType="separate"/>
      </w:r>
      <w:r>
        <w:rPr>
          <w:rStyle w:val="32"/>
        </w:rPr>
        <w:t>6</w:t>
      </w:r>
      <w:r>
        <w:rPr>
          <w:rStyle w:val="32"/>
          <w:rFonts w:hint="eastAsia"/>
        </w:rPr>
        <w:fldChar w:fldCharType="end"/>
      </w:r>
      <w:r>
        <w:rPr>
          <w:rStyle w:val="32"/>
          <w:rFonts w:hint="eastAsia"/>
        </w:rPr>
        <w:fldChar w:fldCharType="end"/>
      </w:r>
    </w:p>
    <w:p w14:paraId="2F5EA382">
      <w:pPr>
        <w:pStyle w:val="19"/>
        <w:rPr>
          <w:rStyle w:val="32"/>
        </w:rPr>
      </w:pPr>
      <w:r>
        <w:fldChar w:fldCharType="begin"/>
      </w:r>
      <w:r>
        <w:instrText xml:space="preserve"> HYPERLINK \l "_Toc212127845" </w:instrText>
      </w:r>
      <w:r>
        <w:fldChar w:fldCharType="separate"/>
      </w:r>
      <w:r>
        <w:rPr>
          <w:rStyle w:val="32"/>
          <w:rFonts w:hint="eastAsia"/>
        </w:rPr>
        <w:t>9 监测成果</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_Toc212127845 \h</w:instrText>
      </w:r>
      <w:r>
        <w:rPr>
          <w:rStyle w:val="32"/>
          <w:rFonts w:hint="eastAsia"/>
        </w:rPr>
        <w:instrText xml:space="preserve"> </w:instrText>
      </w:r>
      <w:r>
        <w:rPr>
          <w:rStyle w:val="32"/>
          <w:rFonts w:hint="eastAsia"/>
        </w:rPr>
        <w:fldChar w:fldCharType="separate"/>
      </w:r>
      <w:r>
        <w:rPr>
          <w:rStyle w:val="32"/>
        </w:rPr>
        <w:t>6</w:t>
      </w:r>
      <w:r>
        <w:rPr>
          <w:rStyle w:val="32"/>
          <w:rFonts w:hint="eastAsia"/>
        </w:rPr>
        <w:fldChar w:fldCharType="end"/>
      </w:r>
      <w:r>
        <w:rPr>
          <w:rStyle w:val="32"/>
          <w:rFonts w:hint="eastAsia"/>
        </w:rPr>
        <w:fldChar w:fldCharType="end"/>
      </w:r>
    </w:p>
    <w:p w14:paraId="5CB3803A">
      <w:pPr>
        <w:pStyle w:val="19"/>
        <w:ind w:firstLine="420" w:firstLineChars="200"/>
        <w:rPr>
          <w:rStyle w:val="32"/>
        </w:rPr>
      </w:pPr>
      <w:r>
        <w:fldChar w:fldCharType="begin"/>
      </w:r>
      <w:r>
        <w:instrText xml:space="preserve"> HYPERLINK \l "_Toc212127846" </w:instrText>
      </w:r>
      <w:r>
        <w:fldChar w:fldCharType="separate"/>
      </w:r>
      <w:r>
        <w:rPr>
          <w:rStyle w:val="32"/>
          <w:rFonts w:hint="eastAsia"/>
        </w:rPr>
        <w:t>9.1 监测专题图</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_Toc212127846 \h</w:instrText>
      </w:r>
      <w:r>
        <w:rPr>
          <w:rStyle w:val="32"/>
          <w:rFonts w:hint="eastAsia"/>
        </w:rPr>
        <w:instrText xml:space="preserve"> </w:instrText>
      </w:r>
      <w:r>
        <w:rPr>
          <w:rStyle w:val="32"/>
          <w:rFonts w:hint="eastAsia"/>
        </w:rPr>
        <w:fldChar w:fldCharType="separate"/>
      </w:r>
      <w:r>
        <w:rPr>
          <w:rStyle w:val="32"/>
        </w:rPr>
        <w:t>6</w:t>
      </w:r>
      <w:r>
        <w:rPr>
          <w:rStyle w:val="32"/>
          <w:rFonts w:hint="eastAsia"/>
        </w:rPr>
        <w:fldChar w:fldCharType="end"/>
      </w:r>
      <w:r>
        <w:rPr>
          <w:rStyle w:val="32"/>
          <w:rFonts w:hint="eastAsia"/>
        </w:rPr>
        <w:fldChar w:fldCharType="end"/>
      </w:r>
    </w:p>
    <w:p w14:paraId="6D4B2548">
      <w:pPr>
        <w:pStyle w:val="19"/>
        <w:ind w:firstLine="420" w:firstLineChars="200"/>
        <w:rPr>
          <w:rStyle w:val="32"/>
        </w:rPr>
      </w:pPr>
      <w:r>
        <w:fldChar w:fldCharType="begin"/>
      </w:r>
      <w:r>
        <w:instrText xml:space="preserve"> HYPERLINK \l "_Toc212127847" </w:instrText>
      </w:r>
      <w:r>
        <w:fldChar w:fldCharType="separate"/>
      </w:r>
      <w:r>
        <w:rPr>
          <w:rStyle w:val="32"/>
          <w:rFonts w:hint="eastAsia"/>
        </w:rPr>
        <w:t>9.2 遥感监测报告</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_Toc212127847 \h</w:instrText>
      </w:r>
      <w:r>
        <w:rPr>
          <w:rStyle w:val="32"/>
          <w:rFonts w:hint="eastAsia"/>
        </w:rPr>
        <w:instrText xml:space="preserve"> </w:instrText>
      </w:r>
      <w:r>
        <w:rPr>
          <w:rStyle w:val="32"/>
          <w:rFonts w:hint="eastAsia"/>
        </w:rPr>
        <w:fldChar w:fldCharType="separate"/>
      </w:r>
      <w:r>
        <w:rPr>
          <w:rStyle w:val="32"/>
        </w:rPr>
        <w:t>6</w:t>
      </w:r>
      <w:r>
        <w:rPr>
          <w:rStyle w:val="32"/>
          <w:rFonts w:hint="eastAsia"/>
        </w:rPr>
        <w:fldChar w:fldCharType="end"/>
      </w:r>
      <w:r>
        <w:rPr>
          <w:rStyle w:val="32"/>
          <w:rFonts w:hint="eastAsia"/>
        </w:rPr>
        <w:fldChar w:fldCharType="end"/>
      </w:r>
    </w:p>
    <w:p w14:paraId="76E230CA">
      <w:pPr>
        <w:pStyle w:val="19"/>
        <w:rPr>
          <w:rStyle w:val="32"/>
        </w:rPr>
      </w:pPr>
      <w:r>
        <w:fldChar w:fldCharType="begin"/>
      </w:r>
      <w:r>
        <w:instrText xml:space="preserve"> HYPERLINK \l "_Toc212127848" </w:instrText>
      </w:r>
      <w:r>
        <w:fldChar w:fldCharType="separate"/>
      </w:r>
      <w:r>
        <w:rPr>
          <w:rStyle w:val="32"/>
          <w:rFonts w:hint="eastAsia"/>
        </w:rPr>
        <w:t>10 监测档案</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_Toc212127848 \h</w:instrText>
      </w:r>
      <w:r>
        <w:rPr>
          <w:rStyle w:val="32"/>
          <w:rFonts w:hint="eastAsia"/>
        </w:rPr>
        <w:instrText xml:space="preserve"> </w:instrText>
      </w:r>
      <w:r>
        <w:rPr>
          <w:rStyle w:val="32"/>
          <w:rFonts w:hint="eastAsia"/>
        </w:rPr>
        <w:fldChar w:fldCharType="separate"/>
      </w:r>
      <w:r>
        <w:rPr>
          <w:rStyle w:val="32"/>
        </w:rPr>
        <w:t>6</w:t>
      </w:r>
      <w:r>
        <w:rPr>
          <w:rStyle w:val="32"/>
          <w:rFonts w:hint="eastAsia"/>
        </w:rPr>
        <w:fldChar w:fldCharType="end"/>
      </w:r>
      <w:r>
        <w:rPr>
          <w:rStyle w:val="32"/>
          <w:rFonts w:hint="eastAsia"/>
        </w:rPr>
        <w:fldChar w:fldCharType="end"/>
      </w:r>
    </w:p>
    <w:p w14:paraId="5E76BC7A">
      <w:pPr>
        <w:pStyle w:val="19"/>
        <w:rPr>
          <w:rStyle w:val="32"/>
        </w:rPr>
      </w:pPr>
      <w:r>
        <w:fldChar w:fldCharType="begin"/>
      </w:r>
      <w:r>
        <w:instrText xml:space="preserve"> HYPERLINK \l "_Toc212127849" </w:instrText>
      </w:r>
      <w:r>
        <w:fldChar w:fldCharType="separate"/>
      </w:r>
      <w:r>
        <w:rPr>
          <w:rStyle w:val="32"/>
          <w:rFonts w:hint="eastAsia"/>
        </w:rPr>
        <w:t>附 录 A</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_Toc212127849 \h</w:instrText>
      </w:r>
      <w:r>
        <w:rPr>
          <w:rStyle w:val="32"/>
          <w:rFonts w:hint="eastAsia"/>
        </w:rPr>
        <w:instrText xml:space="preserve"> </w:instrText>
      </w:r>
      <w:r>
        <w:rPr>
          <w:rStyle w:val="32"/>
          <w:rFonts w:hint="eastAsia"/>
        </w:rPr>
        <w:fldChar w:fldCharType="separate"/>
      </w:r>
      <w:r>
        <w:rPr>
          <w:rStyle w:val="32"/>
        </w:rPr>
        <w:t>7</w:t>
      </w:r>
      <w:r>
        <w:rPr>
          <w:rStyle w:val="32"/>
          <w:rFonts w:hint="eastAsia"/>
        </w:rPr>
        <w:fldChar w:fldCharType="end"/>
      </w:r>
      <w:r>
        <w:rPr>
          <w:rStyle w:val="32"/>
          <w:rFonts w:hint="eastAsia"/>
        </w:rPr>
        <w:fldChar w:fldCharType="end"/>
      </w:r>
    </w:p>
    <w:p w14:paraId="0C298158">
      <w:pPr>
        <w:pStyle w:val="19"/>
        <w:rPr>
          <w:rStyle w:val="32"/>
        </w:rPr>
      </w:pPr>
      <w:r>
        <w:fldChar w:fldCharType="begin"/>
      </w:r>
      <w:r>
        <w:instrText xml:space="preserve"> HYPERLINK \l "_Toc212127850" </w:instrText>
      </w:r>
      <w:r>
        <w:fldChar w:fldCharType="separate"/>
      </w:r>
      <w:r>
        <w:rPr>
          <w:rStyle w:val="32"/>
          <w:rFonts w:hint="eastAsia"/>
        </w:rPr>
        <w:t>参考文献</w:t>
      </w:r>
      <w:r>
        <w:rPr>
          <w:rStyle w:val="32"/>
          <w:rFonts w:hint="eastAsia"/>
        </w:rPr>
        <w:tab/>
      </w:r>
      <w:r>
        <w:rPr>
          <w:rStyle w:val="32"/>
          <w:rFonts w:hint="eastAsia"/>
        </w:rPr>
        <w:fldChar w:fldCharType="begin"/>
      </w:r>
      <w:r>
        <w:rPr>
          <w:rStyle w:val="32"/>
          <w:rFonts w:hint="eastAsia"/>
        </w:rPr>
        <w:instrText xml:space="preserve"> </w:instrText>
      </w:r>
      <w:r>
        <w:rPr>
          <w:rStyle w:val="32"/>
        </w:rPr>
        <w:instrText xml:space="preserve">PAGEREF _Toc212127850 \h</w:instrText>
      </w:r>
      <w:r>
        <w:rPr>
          <w:rStyle w:val="32"/>
          <w:rFonts w:hint="eastAsia"/>
        </w:rPr>
        <w:instrText xml:space="preserve"> </w:instrText>
      </w:r>
      <w:r>
        <w:rPr>
          <w:rStyle w:val="32"/>
          <w:rFonts w:hint="eastAsia"/>
        </w:rPr>
        <w:fldChar w:fldCharType="separate"/>
      </w:r>
      <w:r>
        <w:rPr>
          <w:rStyle w:val="32"/>
        </w:rPr>
        <w:t>8</w:t>
      </w:r>
      <w:r>
        <w:rPr>
          <w:rStyle w:val="32"/>
          <w:rFonts w:hint="eastAsia"/>
        </w:rPr>
        <w:fldChar w:fldCharType="end"/>
      </w:r>
      <w:r>
        <w:rPr>
          <w:rStyle w:val="32"/>
          <w:rFonts w:hint="eastAsia"/>
        </w:rPr>
        <w:fldChar w:fldCharType="end"/>
      </w:r>
    </w:p>
    <w:p w14:paraId="6833660C">
      <w:pPr>
        <w:pStyle w:val="19"/>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rPr>
          <w:rStyle w:val="32"/>
        </w:rPr>
        <w:fldChar w:fldCharType="end"/>
      </w:r>
    </w:p>
    <w:bookmarkEnd w:id="10"/>
    <w:p w14:paraId="16DED47F">
      <w:pPr>
        <w:pStyle w:val="89"/>
        <w:spacing w:before="900" w:after="468"/>
      </w:pPr>
      <w:bookmarkStart w:id="11" w:name="_Toc212127825"/>
      <w:bookmarkStart w:id="12" w:name="BookMark2"/>
      <w:r>
        <w:rPr>
          <w:spacing w:val="320"/>
        </w:rPr>
        <w:t>前</w:t>
      </w:r>
      <w:r>
        <w:t>言</w:t>
      </w:r>
      <w:bookmarkEnd w:id="11"/>
    </w:p>
    <w:p w14:paraId="08819F54">
      <w:pPr>
        <w:pStyle w:val="56"/>
        <w:ind w:firstLine="420"/>
      </w:pPr>
      <w:r>
        <w:rPr>
          <w:rFonts w:hint="eastAsia"/>
        </w:rPr>
        <w:t>本文件按照GB/T 1.1—2020《标准化工作导则  第1部分：标准化文件的结构和起草规则》、</w:t>
      </w:r>
      <w:bookmarkStart w:id="13" w:name="_Hlk212053471"/>
      <w:r>
        <w:rPr>
          <w:rFonts w:hint="eastAsia"/>
        </w:rPr>
        <w:t>DB46/T 74-2021《地方标准制修订工作规范》</w:t>
      </w:r>
      <w:bookmarkEnd w:id="13"/>
      <w:r>
        <w:rPr>
          <w:rFonts w:hint="eastAsia"/>
        </w:rPr>
        <w:t>的规定起草。</w:t>
      </w:r>
    </w:p>
    <w:p w14:paraId="28B1221D">
      <w:pPr>
        <w:pStyle w:val="56"/>
        <w:ind w:firstLine="420"/>
      </w:pPr>
      <w:r>
        <w:t>请注意本文件的某些内容可能涉及专利，本文件的发布机构不承担识别专利的责任。</w:t>
      </w:r>
    </w:p>
    <w:p w14:paraId="2E768209">
      <w:pPr>
        <w:pStyle w:val="56"/>
        <w:ind w:firstLine="420"/>
      </w:pPr>
      <w:r>
        <w:rPr>
          <w:rFonts w:hint="eastAsia"/>
        </w:rPr>
        <w:t>本文件由</w:t>
      </w:r>
      <w:bookmarkStart w:id="14" w:name="_Hlk212053537"/>
      <w:r>
        <w:rPr>
          <w:rFonts w:hAnsi="宋体"/>
        </w:rPr>
        <w:t>海南省农业农村厅</w:t>
      </w:r>
      <w:bookmarkEnd w:id="14"/>
      <w:r>
        <w:rPr>
          <w:rFonts w:hint="eastAsia"/>
        </w:rPr>
        <w:t>提</w:t>
      </w:r>
      <w:r>
        <w:rPr>
          <w:rFonts w:hint="eastAsia" w:hAnsi="宋体"/>
        </w:rPr>
        <w:t>出并归口</w:t>
      </w:r>
      <w:r>
        <w:rPr>
          <w:rFonts w:hint="eastAsia"/>
        </w:rPr>
        <w:t>。</w:t>
      </w:r>
    </w:p>
    <w:p w14:paraId="13676266">
      <w:pPr>
        <w:pStyle w:val="56"/>
        <w:ind w:firstLine="420"/>
      </w:pPr>
      <w:r>
        <w:t>本文件起草单位：</w:t>
      </w:r>
      <w:r>
        <w:rPr>
          <w:rFonts w:hint="eastAsia"/>
        </w:rPr>
        <w:t>海南省农业生态与资源保护总站、中国农业科学院农业资源与农业区划研究所</w:t>
      </w:r>
      <w:r>
        <w:t>。</w:t>
      </w:r>
    </w:p>
    <w:p w14:paraId="61D429B2">
      <w:pPr>
        <w:pStyle w:val="56"/>
        <w:ind w:firstLine="420"/>
      </w:pPr>
      <w:r>
        <w:t>本文件主要起草人：</w:t>
      </w:r>
      <w:r>
        <w:rPr>
          <w:rFonts w:hint="eastAsia"/>
        </w:rPr>
        <w:t>黄锋、王旭、徐大伟、</w:t>
      </w:r>
      <w:r>
        <w:rPr>
          <w:rFonts w:hint="eastAsia"/>
          <w:lang w:val="en-US" w:eastAsia="zh-CN"/>
        </w:rPr>
        <w:t>郭涛、</w:t>
      </w:r>
      <w:r>
        <w:rPr>
          <w:rFonts w:hint="eastAsia"/>
        </w:rPr>
        <w:t>蔡汇丰、李淑贞、翁小倩</w:t>
      </w:r>
      <w:r>
        <w:rPr>
          <w:rFonts w:hint="eastAsia"/>
          <w:lang w:eastAsia="zh-CN"/>
        </w:rPr>
        <w:t>、</w:t>
      </w:r>
      <w:r>
        <w:rPr>
          <w:rFonts w:hint="eastAsia"/>
        </w:rPr>
        <w:t>倪斌、吴宜倩、裴霄蕾、王靖</w:t>
      </w:r>
      <w:r>
        <w:t>。</w:t>
      </w:r>
    </w:p>
    <w:p w14:paraId="2A4C6CF6">
      <w:pPr>
        <w:pStyle w:val="56"/>
        <w:ind w:firstLine="420"/>
      </w:pPr>
    </w:p>
    <w:p w14:paraId="0D5784E7">
      <w:pPr>
        <w:pStyle w:val="56"/>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12"/>
    <w:p w14:paraId="719253A1">
      <w:pPr>
        <w:spacing w:line="20" w:lineRule="exact"/>
        <w:jc w:val="center"/>
        <w:rPr>
          <w:rFonts w:ascii="黑体" w:hAnsi="黑体" w:eastAsia="黑体"/>
          <w:sz w:val="32"/>
          <w:szCs w:val="32"/>
        </w:rPr>
      </w:pPr>
      <w:bookmarkStart w:id="15" w:name="BookMark4"/>
    </w:p>
    <w:p w14:paraId="159F2CCB">
      <w:pPr>
        <w:spacing w:line="20" w:lineRule="exact"/>
        <w:jc w:val="center"/>
        <w:rPr>
          <w:rFonts w:ascii="黑体" w:hAnsi="黑体" w:eastAsia="黑体"/>
          <w:sz w:val="32"/>
          <w:szCs w:val="32"/>
        </w:rPr>
      </w:pPr>
    </w:p>
    <w:sdt>
      <w:sdtPr>
        <w:tag w:val="NEW_STAND_NAME"/>
        <w:id w:val="595910757"/>
        <w:lock w:val="sdtLocked"/>
        <w:placeholder>
          <w:docPart w:val="29A759E4F6AF4F17B6433C65EDE9E4FF"/>
        </w:placeholder>
      </w:sdtPr>
      <w:sdtContent>
        <w:p w14:paraId="16863167">
          <w:pPr>
            <w:pStyle w:val="177"/>
            <w:spacing w:before="3" w:beforeLines="1" w:after="686" w:afterLines="220"/>
          </w:pPr>
          <w:bookmarkStart w:id="16" w:name="NEW_STAND_NAME"/>
          <w:r>
            <w:rPr>
              <w:rFonts w:hint="eastAsia"/>
            </w:rPr>
            <w:t>外来入侵水生植物凤眼蓝遥感监测技术规范</w:t>
          </w:r>
        </w:p>
      </w:sdtContent>
    </w:sdt>
    <w:bookmarkEnd w:id="16"/>
    <w:p w14:paraId="35220519">
      <w:pPr>
        <w:pStyle w:val="104"/>
        <w:spacing w:before="312" w:after="312"/>
      </w:pPr>
      <w:bookmarkStart w:id="17" w:name="_Toc26718930"/>
      <w:bookmarkStart w:id="18" w:name="_Toc24884218"/>
      <w:bookmarkStart w:id="19" w:name="_Toc26986771"/>
      <w:bookmarkStart w:id="20" w:name="_Toc26648465"/>
      <w:bookmarkStart w:id="21" w:name="_Toc212127826"/>
      <w:bookmarkStart w:id="22" w:name="_Toc97191423"/>
      <w:bookmarkStart w:id="23" w:name="_Toc17233333"/>
      <w:bookmarkStart w:id="24" w:name="_Toc26986530"/>
      <w:bookmarkStart w:id="25" w:name="_Toc17233325"/>
      <w:bookmarkStart w:id="26" w:name="_Toc24884211"/>
      <w:r>
        <w:rPr>
          <w:rFonts w:hint="eastAsia"/>
        </w:rPr>
        <w:t>范围</w:t>
      </w:r>
      <w:bookmarkEnd w:id="17"/>
      <w:bookmarkEnd w:id="18"/>
      <w:bookmarkEnd w:id="19"/>
      <w:bookmarkEnd w:id="20"/>
      <w:bookmarkEnd w:id="21"/>
      <w:bookmarkEnd w:id="22"/>
      <w:bookmarkEnd w:id="23"/>
      <w:bookmarkEnd w:id="24"/>
      <w:bookmarkEnd w:id="25"/>
      <w:bookmarkEnd w:id="26"/>
    </w:p>
    <w:p w14:paraId="752A7143">
      <w:pPr>
        <w:pStyle w:val="56"/>
        <w:ind w:firstLine="420"/>
        <w:rPr>
          <w:rFonts w:ascii="Times New Roman"/>
        </w:rPr>
      </w:pPr>
      <w:bookmarkStart w:id="27" w:name="_Toc17233326"/>
      <w:bookmarkStart w:id="28" w:name="_Toc24884212"/>
      <w:bookmarkStart w:id="29" w:name="_Toc17233334"/>
      <w:bookmarkStart w:id="30" w:name="_Toc26648466"/>
      <w:bookmarkStart w:id="31" w:name="_Toc24884219"/>
      <w:r>
        <w:rPr>
          <w:rFonts w:hint="eastAsia"/>
        </w:rPr>
        <w:t>本文件规定了凤眼蓝</w:t>
      </w:r>
      <w:bookmarkStart w:id="32" w:name="_Hlk203665954"/>
      <w:r>
        <w:rPr>
          <w:rFonts w:ascii="Times New Roman"/>
        </w:rPr>
        <w:t>[</w:t>
      </w:r>
      <w:r>
        <w:rPr>
          <w:rFonts w:ascii="Times New Roman"/>
          <w:i/>
          <w:iCs/>
        </w:rPr>
        <w:t xml:space="preserve">Eichhornia crassipes </w:t>
      </w:r>
      <w:r>
        <w:rPr>
          <w:rFonts w:hint="eastAsia" w:ascii="Times New Roman"/>
        </w:rPr>
        <w:t>（</w:t>
      </w:r>
      <w:r>
        <w:rPr>
          <w:rFonts w:ascii="Times New Roman"/>
        </w:rPr>
        <w:t>Mart.</w:t>
      </w:r>
      <w:r>
        <w:rPr>
          <w:rFonts w:hint="eastAsia" w:ascii="Times New Roman"/>
        </w:rPr>
        <w:t>）</w:t>
      </w:r>
      <w:r>
        <w:rPr>
          <w:rFonts w:ascii="Times New Roman"/>
        </w:rPr>
        <w:t xml:space="preserve"> Solms</w:t>
      </w:r>
      <w:bookmarkEnd w:id="32"/>
      <w:r>
        <w:rPr>
          <w:rFonts w:ascii="Times New Roman"/>
        </w:rPr>
        <w:t>]</w:t>
      </w:r>
      <w:r>
        <w:rPr>
          <w:rFonts w:hint="eastAsia" w:ascii="Times New Roman"/>
        </w:rPr>
        <w:t>遥感</w:t>
      </w:r>
      <w:r>
        <w:rPr>
          <w:rFonts w:hint="eastAsia"/>
        </w:rPr>
        <w:t>监测的监测流程、数据获取与处理、</w:t>
      </w:r>
      <w:r>
        <w:rPr>
          <w:rFonts w:ascii="Times New Roman"/>
        </w:rPr>
        <w:t>监测成果编制等内容。</w:t>
      </w:r>
    </w:p>
    <w:p w14:paraId="784807BB">
      <w:pPr>
        <w:pStyle w:val="56"/>
        <w:ind w:firstLine="420"/>
        <w:rPr>
          <w:rFonts w:ascii="Times New Roman"/>
        </w:rPr>
      </w:pPr>
      <w:r>
        <w:rPr>
          <w:rFonts w:ascii="Times New Roman"/>
        </w:rPr>
        <w:t>本文件适用于利用遥感技术监测海南省凤眼蓝分布、面积等信息。</w:t>
      </w:r>
    </w:p>
    <w:p w14:paraId="7E5D7C74">
      <w:pPr>
        <w:pStyle w:val="104"/>
        <w:spacing w:before="312" w:after="312"/>
        <w:rPr>
          <w:rFonts w:ascii="Times New Roman"/>
        </w:rPr>
      </w:pPr>
      <w:bookmarkStart w:id="33" w:name="_Toc212127827"/>
      <w:bookmarkStart w:id="34" w:name="_Toc26986772"/>
      <w:bookmarkStart w:id="35" w:name="_Toc97191424"/>
      <w:bookmarkStart w:id="36" w:name="_Toc26718931"/>
      <w:bookmarkStart w:id="37" w:name="_Toc26986531"/>
      <w:r>
        <w:rPr>
          <w:rFonts w:ascii="Times New Roman"/>
        </w:rPr>
        <w:t>规范性引用文件</w:t>
      </w:r>
      <w:bookmarkEnd w:id="27"/>
      <w:bookmarkEnd w:id="28"/>
      <w:bookmarkEnd w:id="29"/>
      <w:bookmarkEnd w:id="30"/>
      <w:bookmarkEnd w:id="31"/>
      <w:bookmarkEnd w:id="33"/>
      <w:bookmarkEnd w:id="34"/>
      <w:bookmarkEnd w:id="35"/>
      <w:bookmarkEnd w:id="36"/>
      <w:bookmarkEnd w:id="37"/>
    </w:p>
    <w:p w14:paraId="637C6127">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33B3EA6">
      <w:pPr>
        <w:pStyle w:val="56"/>
        <w:ind w:firstLine="420"/>
        <w:rPr>
          <w:rFonts w:ascii="Times New Roman"/>
        </w:rPr>
      </w:pPr>
      <w:r>
        <w:rPr>
          <w:rFonts w:ascii="Times New Roman"/>
        </w:rPr>
        <w:t>GB/T 20257.1—2017 国家基本比例尺地图图式</w:t>
      </w:r>
    </w:p>
    <w:p w14:paraId="72DF5D4A">
      <w:pPr>
        <w:pStyle w:val="56"/>
        <w:ind w:firstLine="420"/>
        <w:rPr>
          <w:rFonts w:ascii="Times New Roman"/>
        </w:rPr>
      </w:pPr>
      <w:r>
        <w:rPr>
          <w:rFonts w:ascii="Times New Roman"/>
        </w:rPr>
        <w:t>NY/T 3526—2019 农情监测遥感数据预处理技术规范</w:t>
      </w:r>
    </w:p>
    <w:p w14:paraId="7E0ACACD">
      <w:pPr>
        <w:pStyle w:val="56"/>
        <w:ind w:firstLine="420"/>
        <w:rPr>
          <w:rFonts w:ascii="Times New Roman"/>
        </w:rPr>
      </w:pPr>
      <w:r>
        <w:rPr>
          <w:rFonts w:ascii="Times New Roman"/>
        </w:rPr>
        <w:t>NY/T 4151—2022 农业遥感监测无人机影像预处理技术规范</w:t>
      </w:r>
    </w:p>
    <w:p w14:paraId="7F132277">
      <w:pPr>
        <w:pStyle w:val="56"/>
        <w:ind w:firstLine="420"/>
        <w:rPr>
          <w:rFonts w:ascii="Times New Roman"/>
        </w:rPr>
      </w:pPr>
      <w:r>
        <w:rPr>
          <w:rFonts w:ascii="Times New Roman"/>
        </w:rPr>
        <w:t>NY/T 4314—2023 设施农业用地遥感监测技术规范</w:t>
      </w:r>
    </w:p>
    <w:p w14:paraId="1BEFFC28">
      <w:pPr>
        <w:pStyle w:val="56"/>
        <w:ind w:firstLine="420"/>
        <w:rPr>
          <w:rFonts w:ascii="Times New Roman"/>
        </w:rPr>
      </w:pPr>
      <w:r>
        <w:rPr>
          <w:rFonts w:ascii="Times New Roman"/>
        </w:rPr>
        <w:t>NY/T 4150—2022 农业遥感监测专题制图技术规范</w:t>
      </w:r>
    </w:p>
    <w:p w14:paraId="0D804077">
      <w:pPr>
        <w:pStyle w:val="104"/>
        <w:spacing w:before="312" w:after="312"/>
        <w:rPr>
          <w:rFonts w:ascii="Times New Roman"/>
        </w:rPr>
      </w:pPr>
      <w:bookmarkStart w:id="38" w:name="_Toc97191425"/>
      <w:bookmarkStart w:id="39" w:name="_Toc212127828"/>
      <w:r>
        <w:rPr>
          <w:rFonts w:ascii="Times New Roman"/>
          <w:szCs w:val="21"/>
        </w:rPr>
        <w:t>术语和定义</w:t>
      </w:r>
      <w:bookmarkEnd w:id="38"/>
      <w:bookmarkEnd w:id="39"/>
    </w:p>
    <w:sdt>
      <w:sdtPr>
        <w:rPr>
          <w:rFonts w:ascii="Times New Roman"/>
        </w:rPr>
        <w:id w:val="-1909835108"/>
        <w:placeholder>
          <w:docPart w:val="ED1BF4177D8540A1808206ADBA8363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0C35DA05">
          <w:pPr>
            <w:pStyle w:val="56"/>
            <w:ind w:firstLine="420"/>
            <w:rPr>
              <w:rFonts w:ascii="Times New Roman"/>
            </w:rPr>
          </w:pPr>
          <w:bookmarkStart w:id="40" w:name="_Toc26986532"/>
          <w:bookmarkEnd w:id="40"/>
          <w:r>
            <w:rPr>
              <w:rFonts w:ascii="Times New Roman"/>
            </w:rPr>
            <w:t>GB/T 14950、NY/T 4150界定的以及下列术语和定义适用于本文件。</w:t>
          </w:r>
        </w:p>
      </w:sdtContent>
    </w:sdt>
    <w:p w14:paraId="0A8F95E2">
      <w:pPr>
        <w:pStyle w:val="223"/>
        <w:ind w:left="420" w:hanging="420" w:hangingChars="200"/>
        <w:rPr>
          <w:rFonts w:ascii="Times New Roman"/>
          <w:b/>
          <w:bCs/>
        </w:rPr>
      </w:pPr>
      <w:r>
        <w:rPr>
          <w:rFonts w:ascii="Times New Roman" w:eastAsia="黑体"/>
        </w:rPr>
        <w:br w:type="textWrapping"/>
      </w:r>
      <w:r>
        <w:rPr>
          <w:rFonts w:ascii="Times New Roman" w:eastAsia="黑体"/>
        </w:rPr>
        <w:t>遥感</w:t>
      </w:r>
      <w:r>
        <w:rPr>
          <w:rFonts w:ascii="Times New Roman"/>
          <w:b/>
          <w:bCs/>
        </w:rPr>
        <w:t xml:space="preserve"> </w:t>
      </w:r>
      <w:r>
        <w:rPr>
          <w:rFonts w:ascii="Times New Roman"/>
        </w:rPr>
        <w:t>remote sensing</w:t>
      </w:r>
    </w:p>
    <w:p w14:paraId="4175C875">
      <w:pPr>
        <w:pStyle w:val="56"/>
        <w:ind w:firstLine="420"/>
        <w:rPr>
          <w:rFonts w:ascii="Times New Roman"/>
        </w:rPr>
      </w:pPr>
      <w:r>
        <w:rPr>
          <w:rFonts w:ascii="Times New Roman"/>
        </w:rPr>
        <w:t>不接触物体本身，用传感器收集目标物的电磁波信息，经处理、分析后，识别目标物、揭示其几何、物理特征和相互关系及其变化规律的现代科学技术。</w:t>
      </w:r>
    </w:p>
    <w:p w14:paraId="597CE75F">
      <w:pPr>
        <w:pStyle w:val="56"/>
        <w:ind w:firstLine="420"/>
        <w:rPr>
          <w:rFonts w:ascii="Times New Roman"/>
        </w:rPr>
      </w:pPr>
      <w:r>
        <w:rPr>
          <w:rFonts w:ascii="Times New Roman"/>
        </w:rPr>
        <w:t>[来源：GB/T 14950-2009，3.1]</w:t>
      </w:r>
    </w:p>
    <w:p w14:paraId="2BE1724D">
      <w:pPr>
        <w:pStyle w:val="223"/>
        <w:ind w:left="420" w:hanging="420" w:hangingChars="200"/>
        <w:rPr>
          <w:rFonts w:ascii="Times New Roman"/>
          <w:b/>
          <w:bCs/>
        </w:rPr>
      </w:pPr>
      <w:r>
        <w:rPr>
          <w:rFonts w:ascii="Times New Roman" w:eastAsia="黑体"/>
        </w:rPr>
        <w:br w:type="textWrapping"/>
      </w:r>
      <w:r>
        <w:rPr>
          <w:rFonts w:ascii="Times New Roman" w:eastAsia="黑体"/>
        </w:rPr>
        <w:t>空间分辨率</w:t>
      </w:r>
      <w:r>
        <w:rPr>
          <w:rFonts w:ascii="Times New Roman"/>
          <w:b/>
          <w:bCs/>
        </w:rPr>
        <w:t xml:space="preserve"> </w:t>
      </w:r>
      <w:r>
        <w:rPr>
          <w:rFonts w:ascii="Times New Roman"/>
        </w:rPr>
        <w:t>spatial resolution</w:t>
      </w:r>
    </w:p>
    <w:p w14:paraId="02EAAC66">
      <w:pPr>
        <w:pStyle w:val="56"/>
        <w:ind w:firstLine="420"/>
        <w:rPr>
          <w:rFonts w:ascii="Times New Roman"/>
        </w:rPr>
      </w:pPr>
      <w:r>
        <w:rPr>
          <w:rFonts w:ascii="Times New Roman"/>
        </w:rPr>
        <w:t>遥感影像上一个像元能代表地面单元的大小。</w:t>
      </w:r>
    </w:p>
    <w:p w14:paraId="30F46266">
      <w:pPr>
        <w:pStyle w:val="56"/>
        <w:ind w:firstLine="420"/>
        <w:rPr>
          <w:rFonts w:ascii="Times New Roman"/>
        </w:rPr>
      </w:pPr>
      <w:r>
        <w:rPr>
          <w:rFonts w:ascii="Times New Roman"/>
        </w:rPr>
        <w:t>[来源：NY/T 4150-2022，3.8]</w:t>
      </w:r>
    </w:p>
    <w:p w14:paraId="049F7B9A">
      <w:pPr>
        <w:pStyle w:val="223"/>
        <w:ind w:left="420" w:hanging="420" w:hangingChars="200"/>
        <w:rPr>
          <w:rFonts w:ascii="Times New Roman" w:eastAsia="黑体"/>
        </w:rPr>
      </w:pPr>
      <w:r>
        <w:rPr>
          <w:rFonts w:ascii="Times New Roman" w:eastAsia="黑体"/>
        </w:rPr>
        <w:br w:type="textWrapping"/>
      </w:r>
      <w:r>
        <w:rPr>
          <w:rFonts w:ascii="Times New Roman" w:eastAsia="黑体"/>
        </w:rPr>
        <w:t xml:space="preserve">植被指数 </w:t>
      </w:r>
      <w:r>
        <w:rPr>
          <w:rFonts w:ascii="Times New Roman"/>
        </w:rPr>
        <w:t>vegetation index</w:t>
      </w:r>
    </w:p>
    <w:p w14:paraId="75558302">
      <w:pPr>
        <w:pStyle w:val="56"/>
        <w:ind w:firstLine="420"/>
        <w:rPr>
          <w:rFonts w:ascii="Times New Roman"/>
        </w:rPr>
      </w:pPr>
      <w:r>
        <w:rPr>
          <w:rFonts w:ascii="Times New Roman"/>
        </w:rPr>
        <w:t>一种利用多光谱遥感影像不同谱段数据的线性或非线性组合而形成的能反映绿色植物生长状况和分布的特征指数。</w:t>
      </w:r>
    </w:p>
    <w:p w14:paraId="4F65ED16">
      <w:pPr>
        <w:pStyle w:val="56"/>
        <w:ind w:firstLine="420"/>
        <w:rPr>
          <w:rFonts w:ascii="Times New Roman"/>
        </w:rPr>
      </w:pPr>
      <w:r>
        <w:rPr>
          <w:rFonts w:ascii="Times New Roman"/>
        </w:rPr>
        <w:t>[来源：GB/T 14950-2009，5.201]</w:t>
      </w:r>
    </w:p>
    <w:p w14:paraId="7B12EDF9">
      <w:pPr>
        <w:pStyle w:val="104"/>
        <w:spacing w:before="312" w:after="312"/>
        <w:rPr>
          <w:rFonts w:ascii="Times New Roman"/>
        </w:rPr>
      </w:pPr>
      <w:bookmarkStart w:id="41" w:name="_Toc212127829"/>
      <w:r>
        <w:rPr>
          <w:rFonts w:ascii="Times New Roman"/>
        </w:rPr>
        <w:t>基本要求</w:t>
      </w:r>
      <w:bookmarkEnd w:id="41"/>
    </w:p>
    <w:p w14:paraId="6FB13E26">
      <w:pPr>
        <w:pStyle w:val="105"/>
        <w:spacing w:before="156" w:after="156"/>
        <w:rPr>
          <w:rFonts w:ascii="Times New Roman"/>
        </w:rPr>
      </w:pPr>
      <w:bookmarkStart w:id="42" w:name="_Toc212127830"/>
      <w:r>
        <w:rPr>
          <w:rFonts w:ascii="Times New Roman"/>
        </w:rPr>
        <w:t>监测时间</w:t>
      </w:r>
      <w:bookmarkEnd w:id="42"/>
    </w:p>
    <w:p w14:paraId="7DAA27F8">
      <w:pPr>
        <w:pStyle w:val="56"/>
        <w:ind w:firstLine="420"/>
        <w:rPr>
          <w:rFonts w:ascii="Times New Roman"/>
        </w:rPr>
      </w:pPr>
      <w:r>
        <w:rPr>
          <w:rFonts w:ascii="Times New Roman"/>
        </w:rPr>
        <w:t>凤眼蓝遥感监测时间应选择在发生期，所采用的遥感影像成像时间与监测时间保持同步。</w:t>
      </w:r>
    </w:p>
    <w:p w14:paraId="0C69F2A3">
      <w:pPr>
        <w:pStyle w:val="105"/>
        <w:spacing w:before="156" w:after="156"/>
        <w:rPr>
          <w:rFonts w:ascii="Times New Roman"/>
        </w:rPr>
      </w:pPr>
      <w:bookmarkStart w:id="43" w:name="_Toc212127831"/>
      <w:r>
        <w:rPr>
          <w:rFonts w:ascii="Times New Roman"/>
        </w:rPr>
        <w:t>空间基准</w:t>
      </w:r>
      <w:bookmarkEnd w:id="43"/>
    </w:p>
    <w:p w14:paraId="229940B8">
      <w:pPr>
        <w:pStyle w:val="56"/>
        <w:ind w:firstLine="420"/>
        <w:rPr>
          <w:rFonts w:ascii="Times New Roman"/>
        </w:rPr>
      </w:pPr>
      <w:r>
        <w:rPr>
          <w:rFonts w:ascii="Times New Roman"/>
        </w:rPr>
        <w:t>大地基准应采用2000国家大地坐标系(CGCS2000)。</w:t>
      </w:r>
    </w:p>
    <w:p w14:paraId="6C549F31">
      <w:pPr>
        <w:pStyle w:val="56"/>
        <w:ind w:firstLine="420"/>
        <w:rPr>
          <w:rFonts w:ascii="Times New Roman"/>
        </w:rPr>
      </w:pPr>
      <w:r>
        <w:rPr>
          <w:rFonts w:ascii="Times New Roman"/>
        </w:rPr>
        <w:t>高程基准应采用1985国家高程基准。</w:t>
      </w:r>
    </w:p>
    <w:p w14:paraId="578E176D">
      <w:pPr>
        <w:pStyle w:val="56"/>
        <w:ind w:firstLine="420"/>
        <w:rPr>
          <w:rFonts w:ascii="Times New Roman"/>
        </w:rPr>
      </w:pPr>
      <w:r>
        <w:rPr>
          <w:rFonts w:ascii="Times New Roman"/>
        </w:rPr>
        <w:t>投影方式宜采用高斯-克吕格或UTM投影。</w:t>
      </w:r>
    </w:p>
    <w:p w14:paraId="15756C03">
      <w:pPr>
        <w:pStyle w:val="105"/>
        <w:spacing w:before="156" w:after="156"/>
        <w:rPr>
          <w:rFonts w:ascii="Times New Roman"/>
        </w:rPr>
      </w:pPr>
      <w:bookmarkStart w:id="44" w:name="_Toc212127832"/>
      <w:r>
        <w:rPr>
          <w:rFonts w:ascii="Times New Roman"/>
        </w:rPr>
        <w:t>分幅和编号</w:t>
      </w:r>
      <w:bookmarkEnd w:id="44"/>
    </w:p>
    <w:p w14:paraId="54BD5980">
      <w:pPr>
        <w:pStyle w:val="56"/>
        <w:ind w:firstLine="420"/>
        <w:rPr>
          <w:rFonts w:ascii="Times New Roman"/>
        </w:rPr>
      </w:pPr>
      <w:r>
        <w:rPr>
          <w:rFonts w:ascii="Times New Roman"/>
        </w:rPr>
        <w:t>海南省凤眼蓝遥感监测专题图的分幅和编号按GB/T 13989 的规定执行。</w:t>
      </w:r>
    </w:p>
    <w:p w14:paraId="15126D8C">
      <w:pPr>
        <w:pStyle w:val="104"/>
        <w:spacing w:before="312" w:after="312"/>
        <w:rPr>
          <w:rFonts w:ascii="Times New Roman"/>
        </w:rPr>
      </w:pPr>
      <w:bookmarkStart w:id="45" w:name="_Toc212127833"/>
      <w:r>
        <w:rPr>
          <w:rFonts w:ascii="Times New Roman"/>
        </w:rPr>
        <w:t>监测内容</w:t>
      </w:r>
      <w:bookmarkEnd w:id="45"/>
    </w:p>
    <w:p w14:paraId="42B67339">
      <w:pPr>
        <w:pStyle w:val="56"/>
        <w:ind w:firstLine="420"/>
        <w:rPr>
          <w:rFonts w:ascii="Times New Roman"/>
        </w:rPr>
      </w:pPr>
      <w:r>
        <w:rPr>
          <w:rFonts w:ascii="Times New Roman"/>
        </w:rPr>
        <w:t>利用遥感技术对凤眼蓝的空间分布、覆盖面积及时空动态变化进行监测。</w:t>
      </w:r>
    </w:p>
    <w:p w14:paraId="4AD9F41E">
      <w:pPr>
        <w:pStyle w:val="104"/>
        <w:spacing w:before="312" w:after="312"/>
        <w:rPr>
          <w:rFonts w:ascii="Times New Roman"/>
        </w:rPr>
      </w:pPr>
      <w:bookmarkStart w:id="46" w:name="_Toc212127834"/>
      <w:r>
        <w:rPr>
          <w:rFonts w:ascii="Times New Roman"/>
        </w:rPr>
        <w:t>监测程序</w:t>
      </w:r>
      <w:bookmarkEnd w:id="46"/>
    </w:p>
    <w:p w14:paraId="77814295">
      <w:pPr>
        <w:pStyle w:val="56"/>
        <w:ind w:firstLine="420"/>
      </w:pPr>
      <w:r>
        <w:rPr>
          <w:rFonts w:hint="eastAsia" w:ascii="Times New Roman"/>
        </w:rPr>
        <w:t>海南省凤眼蓝遥感监测流程包括数据获取与处理、地面观测、遥感监测、监测成果编制，如图</w:t>
      </w:r>
      <w:r>
        <w:rPr>
          <w:rFonts w:ascii="Times New Roman"/>
        </w:rPr>
        <w:t>1</w:t>
      </w:r>
      <w:r>
        <w:rPr>
          <w:rFonts w:hint="eastAsia" w:ascii="Times New Roman"/>
        </w:rPr>
        <w:t>所</w:t>
      </w:r>
      <w:r>
        <w:rPr>
          <w:rFonts w:hint="eastAsia"/>
        </w:rPr>
        <w:t>示。</w:t>
      </w:r>
    </w:p>
    <w:p w14:paraId="32706927">
      <w:pPr>
        <w:pStyle w:val="56"/>
        <w:ind w:firstLine="0" w:firstLineChars="0"/>
        <w:jc w:val="center"/>
        <w:rPr>
          <w:rFonts w:hAnsi="宋体"/>
        </w:rPr>
      </w:pPr>
      <w:r>
        <w:rPr>
          <w:rFonts w:hAnsi="宋体"/>
        </w:rPr>
        <w:drawing>
          <wp:inline distT="0" distB="0" distL="0" distR="0">
            <wp:extent cx="3432175" cy="4785995"/>
            <wp:effectExtent l="0" t="0" r="0" b="0"/>
            <wp:docPr id="21144898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489826"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36477" cy="4791874"/>
                    </a:xfrm>
                    <a:prstGeom prst="rect">
                      <a:avLst/>
                    </a:prstGeom>
                    <a:noFill/>
                  </pic:spPr>
                </pic:pic>
              </a:graphicData>
            </a:graphic>
          </wp:inline>
        </w:drawing>
      </w:r>
    </w:p>
    <w:p w14:paraId="46B478B2">
      <w:pPr>
        <w:pStyle w:val="56"/>
        <w:ind w:firstLine="0" w:firstLineChars="0"/>
        <w:jc w:val="center"/>
        <w:rPr>
          <w:rFonts w:hAnsi="宋体"/>
          <w:b/>
          <w:bCs/>
        </w:rPr>
      </w:pPr>
      <w:bookmarkStart w:id="47" w:name="_Hlk212053954"/>
      <w:r>
        <w:rPr>
          <w:rFonts w:hint="eastAsia" w:hAnsi="宋体"/>
          <w:b/>
          <w:bCs/>
        </w:rPr>
        <w:t>图1 凤眼蓝遥感监测程序流程图</w:t>
      </w:r>
    </w:p>
    <w:bookmarkEnd w:id="47"/>
    <w:p w14:paraId="1D7EBF8F">
      <w:pPr>
        <w:pStyle w:val="104"/>
        <w:spacing w:before="312" w:after="312"/>
      </w:pPr>
      <w:bookmarkStart w:id="48" w:name="_Toc212127835"/>
      <w:bookmarkStart w:id="49" w:name="OLE_LINK1"/>
      <w:r>
        <w:rPr>
          <w:rFonts w:hint="eastAsia"/>
        </w:rPr>
        <w:t>数据获取与处理</w:t>
      </w:r>
      <w:bookmarkEnd w:id="48"/>
    </w:p>
    <w:p w14:paraId="228781E1">
      <w:pPr>
        <w:pStyle w:val="105"/>
        <w:spacing w:before="156" w:after="156"/>
      </w:pPr>
      <w:bookmarkStart w:id="50" w:name="_Toc212127836"/>
      <w:r>
        <w:rPr>
          <w:rFonts w:hint="eastAsia"/>
        </w:rPr>
        <w:t>地面调查数据</w:t>
      </w:r>
      <w:bookmarkEnd w:id="50"/>
    </w:p>
    <w:p w14:paraId="7A754348">
      <w:pPr>
        <w:pStyle w:val="56"/>
        <w:ind w:firstLine="420"/>
        <w:rPr>
          <w:rFonts w:ascii="Times New Roman"/>
        </w:rPr>
      </w:pPr>
      <w:r>
        <w:rPr>
          <w:rFonts w:hint="eastAsia" w:ascii="Times New Roman"/>
        </w:rPr>
        <w:t>调查人员携带具有定位功能的设备，记录调查点位编号、调查时间、位置信息、地物类型等内容，同步采集水体、凤眼蓝、其他植物照片等信息，地面调查数据表格见附录</w:t>
      </w:r>
      <w:r>
        <w:rPr>
          <w:rFonts w:ascii="Times New Roman"/>
        </w:rPr>
        <w:t>A</w:t>
      </w:r>
      <w:r>
        <w:rPr>
          <w:rFonts w:hint="eastAsia" w:ascii="Times New Roman"/>
        </w:rPr>
        <w:t>。调查数据应进行格式化处理，形成地面调查数据库，地面照片应与点位编号一一对应，并保存为</w:t>
      </w:r>
      <w:r>
        <w:rPr>
          <w:rFonts w:ascii="Times New Roman"/>
        </w:rPr>
        <w:t>JPG</w:t>
      </w:r>
      <w:r>
        <w:rPr>
          <w:rFonts w:hint="eastAsia" w:ascii="Times New Roman"/>
        </w:rPr>
        <w:t>或</w:t>
      </w:r>
      <w:r>
        <w:rPr>
          <w:rFonts w:ascii="Times New Roman"/>
        </w:rPr>
        <w:t>PNG</w:t>
      </w:r>
      <w:r>
        <w:rPr>
          <w:rFonts w:hint="eastAsia" w:ascii="Times New Roman"/>
        </w:rPr>
        <w:t>格式，命名应包含日期与地点信息。地面调查时间应与遥感影像成像时间保持同步。</w:t>
      </w:r>
    </w:p>
    <w:p w14:paraId="5ABB8523">
      <w:pPr>
        <w:pStyle w:val="105"/>
        <w:spacing w:before="156" w:after="156"/>
        <w:rPr>
          <w:rFonts w:ascii="Times New Roman"/>
        </w:rPr>
      </w:pPr>
      <w:r>
        <w:rPr>
          <w:rFonts w:hint="eastAsia" w:ascii="Times New Roman"/>
        </w:rPr>
        <w:t>基础地理数据</w:t>
      </w:r>
    </w:p>
    <w:p w14:paraId="0B69BACC">
      <w:pPr>
        <w:pStyle w:val="56"/>
        <w:ind w:firstLine="0" w:firstLineChars="0"/>
        <w:rPr>
          <w:rFonts w:ascii="Times New Roman"/>
        </w:rPr>
      </w:pPr>
      <w:r>
        <w:rPr>
          <w:rFonts w:hint="eastAsia" w:ascii="Times New Roman"/>
        </w:rPr>
        <w:t>基础数据来源于自然资源和规划部门，包括：</w:t>
      </w:r>
    </w:p>
    <w:p w14:paraId="4B276A91">
      <w:pPr>
        <w:pStyle w:val="56"/>
        <w:numPr>
          <w:ilvl w:val="0"/>
          <w:numId w:val="32"/>
        </w:numPr>
        <w:ind w:firstLineChars="0"/>
        <w:rPr>
          <w:rFonts w:ascii="Times New Roman"/>
        </w:rPr>
      </w:pPr>
      <w:r>
        <w:rPr>
          <w:rFonts w:hint="eastAsia" w:ascii="Times New Roman"/>
        </w:rPr>
        <w:t>行政区划地理数据；</w:t>
      </w:r>
    </w:p>
    <w:p w14:paraId="47F66E7A">
      <w:pPr>
        <w:pStyle w:val="56"/>
        <w:numPr>
          <w:ilvl w:val="0"/>
          <w:numId w:val="32"/>
        </w:numPr>
        <w:ind w:firstLineChars="0"/>
        <w:rPr>
          <w:rFonts w:ascii="Times New Roman"/>
        </w:rPr>
      </w:pPr>
      <w:r>
        <w:rPr>
          <w:rFonts w:hint="eastAsia" w:ascii="Times New Roman"/>
        </w:rPr>
        <w:t>河流、坑塘、水库和湖泊等淡水水域范围数据。</w:t>
      </w:r>
    </w:p>
    <w:p w14:paraId="49EDD8B5">
      <w:pPr>
        <w:pStyle w:val="105"/>
        <w:spacing w:before="156" w:after="156"/>
        <w:rPr>
          <w:rFonts w:ascii="Times New Roman"/>
        </w:rPr>
      </w:pPr>
      <w:bookmarkStart w:id="51" w:name="_Toc212127837"/>
      <w:r>
        <w:rPr>
          <w:rFonts w:hint="eastAsia" w:ascii="Times New Roman"/>
        </w:rPr>
        <w:t>遥感数据及预处理</w:t>
      </w:r>
      <w:bookmarkEnd w:id="51"/>
    </w:p>
    <w:p w14:paraId="449F629B">
      <w:pPr>
        <w:pStyle w:val="65"/>
        <w:spacing w:before="156" w:after="156"/>
        <w:rPr>
          <w:rFonts w:ascii="Times New Roman"/>
        </w:rPr>
      </w:pPr>
      <w:r>
        <w:rPr>
          <w:rFonts w:hint="eastAsia" w:ascii="Times New Roman"/>
        </w:rPr>
        <w:t>遥感数据要求</w:t>
      </w:r>
    </w:p>
    <w:p w14:paraId="708B20AE">
      <w:pPr>
        <w:pStyle w:val="56"/>
        <w:ind w:firstLine="420"/>
        <w:rPr>
          <w:rFonts w:ascii="Times New Roman"/>
        </w:rPr>
      </w:pPr>
      <w:r>
        <w:rPr>
          <w:rFonts w:hint="eastAsia" w:ascii="Times New Roman"/>
        </w:rPr>
        <w:t>凤眼蓝遥感监测可采用多源遥感影像数据，包括但不限于卫星光学影像（如</w:t>
      </w:r>
      <w:r>
        <w:rPr>
          <w:rFonts w:ascii="Times New Roman"/>
        </w:rPr>
        <w:t>Sentinel-2</w:t>
      </w:r>
      <w:r>
        <w:rPr>
          <w:rFonts w:hint="eastAsia" w:ascii="Times New Roman"/>
        </w:rPr>
        <w:t>、</w:t>
      </w:r>
      <w:r>
        <w:rPr>
          <w:rFonts w:ascii="Times New Roman"/>
        </w:rPr>
        <w:t>Landsat 8/9</w:t>
      </w:r>
      <w:r>
        <w:rPr>
          <w:rFonts w:hint="eastAsia" w:ascii="Times New Roman"/>
        </w:rPr>
        <w:t>）和无人机影像，遥感数据应符合下列要求：</w:t>
      </w:r>
    </w:p>
    <w:p w14:paraId="276E8E67">
      <w:pPr>
        <w:pStyle w:val="56"/>
        <w:ind w:firstLine="420"/>
        <w:rPr>
          <w:rFonts w:ascii="Times New Roman"/>
        </w:rPr>
      </w:pPr>
      <w:r>
        <w:rPr>
          <w:rFonts w:ascii="Times New Roman"/>
        </w:rPr>
        <w:t>a</w:t>
      </w:r>
      <w:r>
        <w:rPr>
          <w:rFonts w:hint="eastAsia" w:ascii="Times New Roman"/>
        </w:rPr>
        <w:t>）波段要求：至少包括蓝光波段、绿光波段、红光波段；</w:t>
      </w:r>
    </w:p>
    <w:p w14:paraId="5759CBB3">
      <w:pPr>
        <w:pStyle w:val="56"/>
        <w:ind w:firstLine="420"/>
        <w:rPr>
          <w:rFonts w:ascii="Times New Roman"/>
        </w:rPr>
      </w:pPr>
      <w:r>
        <w:rPr>
          <w:rFonts w:ascii="Times New Roman"/>
        </w:rPr>
        <w:t>b</w:t>
      </w:r>
      <w:r>
        <w:rPr>
          <w:rFonts w:hint="eastAsia" w:ascii="Times New Roman"/>
        </w:rPr>
        <w:t>）空间分辨率要求：空间分辨率优于</w:t>
      </w:r>
      <w:r>
        <w:rPr>
          <w:rFonts w:ascii="Times New Roman"/>
        </w:rPr>
        <w:t>30m</w:t>
      </w:r>
      <w:r>
        <w:rPr>
          <w:rFonts w:hint="eastAsia" w:ascii="Times New Roman"/>
        </w:rPr>
        <w:t>；</w:t>
      </w:r>
    </w:p>
    <w:p w14:paraId="2AE87A67">
      <w:pPr>
        <w:pStyle w:val="56"/>
        <w:ind w:firstLine="420"/>
        <w:rPr>
          <w:rFonts w:ascii="Times New Roman"/>
        </w:rPr>
      </w:pPr>
      <w:r>
        <w:rPr>
          <w:rFonts w:ascii="Times New Roman"/>
        </w:rPr>
        <w:t>c</w:t>
      </w:r>
      <w:r>
        <w:rPr>
          <w:rFonts w:hint="eastAsia" w:ascii="Times New Roman"/>
        </w:rPr>
        <w:t>）时相要求：凤眼蓝生长期（海南省</w:t>
      </w:r>
      <w:r>
        <w:rPr>
          <w:rFonts w:ascii="Times New Roman"/>
        </w:rPr>
        <w:t>1-12</w:t>
      </w:r>
      <w:r>
        <w:rPr>
          <w:rFonts w:hint="eastAsia" w:ascii="Times New Roman"/>
        </w:rPr>
        <w:t>月）；</w:t>
      </w:r>
    </w:p>
    <w:p w14:paraId="33AC9C3B">
      <w:pPr>
        <w:pStyle w:val="56"/>
        <w:ind w:firstLine="420"/>
        <w:rPr>
          <w:rFonts w:ascii="Times New Roman"/>
        </w:rPr>
      </w:pPr>
      <w:r>
        <w:rPr>
          <w:rFonts w:ascii="Times New Roman"/>
        </w:rPr>
        <w:t>d</w:t>
      </w:r>
      <w:r>
        <w:rPr>
          <w:rFonts w:hint="eastAsia" w:ascii="Times New Roman"/>
        </w:rPr>
        <w:t>）质量要求：无云雾覆盖，影像不存在噪声、信息丢失等现象。</w:t>
      </w:r>
    </w:p>
    <w:p w14:paraId="0958BA25">
      <w:pPr>
        <w:pStyle w:val="56"/>
        <w:ind w:firstLine="420"/>
        <w:rPr>
          <w:rFonts w:ascii="Times New Roman"/>
        </w:rPr>
      </w:pPr>
      <w:r>
        <w:rPr>
          <w:rFonts w:ascii="Times New Roman"/>
        </w:rPr>
        <w:t xml:space="preserve">e) </w:t>
      </w:r>
      <w:r>
        <w:rPr>
          <w:rFonts w:hint="eastAsia" w:ascii="Times New Roman"/>
        </w:rPr>
        <w:t>文件格式：宜采用标准地理标记图像文件格式，例如</w:t>
      </w:r>
      <w:r>
        <w:rPr>
          <w:rFonts w:ascii="Times New Roman"/>
        </w:rPr>
        <w:t>GeoTIFF</w:t>
      </w:r>
      <w:r>
        <w:rPr>
          <w:rFonts w:hint="eastAsia" w:ascii="Times New Roman"/>
        </w:rPr>
        <w:t>。</w:t>
      </w:r>
    </w:p>
    <w:p w14:paraId="7F473B15">
      <w:pPr>
        <w:pStyle w:val="65"/>
        <w:spacing w:before="156" w:after="156"/>
        <w:rPr>
          <w:rFonts w:ascii="Times New Roman"/>
        </w:rPr>
      </w:pPr>
      <w:r>
        <w:rPr>
          <w:rFonts w:hint="eastAsia" w:ascii="Times New Roman"/>
        </w:rPr>
        <w:t>遥感数据预处理</w:t>
      </w:r>
    </w:p>
    <w:p w14:paraId="6AB28B03">
      <w:pPr>
        <w:pStyle w:val="56"/>
        <w:ind w:firstLine="420"/>
        <w:rPr>
          <w:rFonts w:ascii="Times New Roman"/>
        </w:rPr>
      </w:pPr>
      <w:r>
        <w:rPr>
          <w:rFonts w:hint="eastAsia" w:ascii="Times New Roman"/>
        </w:rPr>
        <w:t>遥感数据预处理包括辐射定标、几何校正、大气校正、图像镶嵌、图像裁剪等步骤，应按</w:t>
      </w:r>
      <w:r>
        <w:rPr>
          <w:rFonts w:ascii="Times New Roman"/>
        </w:rPr>
        <w:t xml:space="preserve"> NY/T 3526</w:t>
      </w:r>
      <w:r>
        <w:rPr>
          <w:rFonts w:hint="eastAsia" w:ascii="Times New Roman"/>
        </w:rPr>
        <w:t>的规定执行，预处理结果应形成具有统一空间参考（</w:t>
      </w:r>
      <w:r>
        <w:rPr>
          <w:rFonts w:ascii="Times New Roman"/>
        </w:rPr>
        <w:t>CGCS2000</w:t>
      </w:r>
      <w:r>
        <w:rPr>
          <w:rFonts w:hint="eastAsia" w:ascii="Times New Roman"/>
        </w:rPr>
        <w:t>坐标系、</w:t>
      </w:r>
      <w:r>
        <w:rPr>
          <w:rFonts w:ascii="Times New Roman"/>
        </w:rPr>
        <w:t>1985</w:t>
      </w:r>
      <w:r>
        <w:rPr>
          <w:rFonts w:hint="eastAsia" w:ascii="Times New Roman"/>
        </w:rPr>
        <w:t>高程基准）的监测基础影像。</w:t>
      </w:r>
    </w:p>
    <w:p w14:paraId="7DAA5100">
      <w:pPr>
        <w:pStyle w:val="104"/>
        <w:spacing w:before="312" w:after="312"/>
        <w:rPr>
          <w:rFonts w:ascii="Times New Roman"/>
        </w:rPr>
      </w:pPr>
      <w:bookmarkStart w:id="52" w:name="_Toc212127838"/>
      <w:r>
        <w:rPr>
          <w:rFonts w:hint="eastAsia" w:ascii="Times New Roman"/>
        </w:rPr>
        <w:t>遥感分类</w:t>
      </w:r>
      <w:bookmarkEnd w:id="52"/>
    </w:p>
    <w:p w14:paraId="09F2790B">
      <w:pPr>
        <w:pStyle w:val="105"/>
        <w:spacing w:before="156" w:after="156"/>
        <w:rPr>
          <w:rFonts w:ascii="Times New Roman"/>
        </w:rPr>
      </w:pPr>
      <w:r>
        <w:rPr>
          <w:rFonts w:hint="eastAsia" w:ascii="Times New Roman"/>
        </w:rPr>
        <w:t>样本类别</w:t>
      </w:r>
    </w:p>
    <w:p w14:paraId="58C034C0">
      <w:pPr>
        <w:spacing w:line="240" w:lineRule="auto"/>
        <w:ind w:firstLine="420" w:firstLineChars="200"/>
        <w:rPr>
          <w:rFonts w:ascii="Times New Roman" w:hAnsi="Times New Roman"/>
        </w:rPr>
      </w:pPr>
      <w:r>
        <w:rPr>
          <w:rFonts w:hint="eastAsia" w:ascii="Times New Roman" w:hAnsi="Times New Roman"/>
          <w:kern w:val="0"/>
          <w:szCs w:val="20"/>
        </w:rPr>
        <w:t>利用地面调查数据，结合影像色调、形状、纹理和空间分布特征，建立凤眼蓝、水体、其他水生植被等地物类别的遥感解译标志集。</w:t>
      </w:r>
    </w:p>
    <w:p w14:paraId="73D53009">
      <w:pPr>
        <w:pStyle w:val="105"/>
        <w:spacing w:before="156" w:after="156"/>
        <w:rPr>
          <w:rFonts w:ascii="Times New Roman"/>
        </w:rPr>
      </w:pPr>
      <w:bookmarkStart w:id="53" w:name="_Toc212127840"/>
      <w:r>
        <w:rPr>
          <w:rFonts w:hint="eastAsia" w:ascii="Times New Roman"/>
        </w:rPr>
        <w:t>样本选择</w:t>
      </w:r>
      <w:bookmarkEnd w:id="53"/>
    </w:p>
    <w:p w14:paraId="335ACD38">
      <w:pPr>
        <w:pStyle w:val="56"/>
        <w:ind w:firstLine="420"/>
        <w:rPr>
          <w:rFonts w:ascii="Times New Roman"/>
        </w:rPr>
      </w:pPr>
      <w:r>
        <w:rPr>
          <w:rFonts w:hint="eastAsia" w:ascii="Times New Roman"/>
        </w:rPr>
        <w:t>需要对每一类别选取一定数目的样本，如地面调查样本数据不够，则根据不同类别的影像特征通过目视判读进行选择，样本的影像特征应清晰可辨，不得包含混合像元或阴影区域，每一类别的训练样本数量不应少于</w:t>
      </w:r>
      <w:r>
        <w:rPr>
          <w:rFonts w:ascii="Times New Roman"/>
        </w:rPr>
        <w:t>30</w:t>
      </w:r>
      <w:r>
        <w:rPr>
          <w:rFonts w:hint="eastAsia" w:ascii="Times New Roman"/>
        </w:rPr>
        <w:t>个像元，样本应均匀分布在监测区范围内。验证样本数量不应低于训练样本的</w:t>
      </w:r>
      <w:r>
        <w:rPr>
          <w:rFonts w:ascii="Times New Roman"/>
        </w:rPr>
        <w:t>30%</w:t>
      </w:r>
      <w:r>
        <w:rPr>
          <w:rFonts w:hint="eastAsia" w:ascii="Times New Roman"/>
        </w:rPr>
        <w:t>。</w:t>
      </w:r>
    </w:p>
    <w:p w14:paraId="0F162324">
      <w:pPr>
        <w:pStyle w:val="105"/>
        <w:spacing w:before="156" w:after="156"/>
        <w:rPr>
          <w:rFonts w:ascii="Times New Roman"/>
        </w:rPr>
      </w:pPr>
      <w:r>
        <w:rPr>
          <w:rFonts w:hint="eastAsia" w:ascii="Times New Roman"/>
        </w:rPr>
        <w:t>特征提取</w:t>
      </w:r>
    </w:p>
    <w:p w14:paraId="5F4EE282">
      <w:pPr>
        <w:pStyle w:val="105"/>
        <w:numPr>
          <w:ilvl w:val="0"/>
          <w:numId w:val="0"/>
        </w:numPr>
        <w:spacing w:before="156" w:after="156"/>
        <w:ind w:firstLine="420" w:firstLineChars="200"/>
        <w:rPr>
          <w:rFonts w:ascii="Times New Roman"/>
        </w:rPr>
      </w:pPr>
      <w:r>
        <w:rPr>
          <w:rFonts w:hint="eastAsia" w:ascii="Times New Roman" w:eastAsia="宋体"/>
        </w:rPr>
        <w:t>凤眼蓝特征选择应以光谱特征为主，宜采用归一化差值水体指数（</w:t>
      </w:r>
      <w:r>
        <w:rPr>
          <w:rFonts w:ascii="Times New Roman" w:eastAsia="宋体"/>
        </w:rPr>
        <w:t>NDWI</w:t>
      </w:r>
      <w:r>
        <w:rPr>
          <w:rFonts w:hint="eastAsia" w:ascii="Times New Roman" w:eastAsia="宋体"/>
        </w:rPr>
        <w:t>）、陆地地表水指数（</w:t>
      </w:r>
      <w:r>
        <w:rPr>
          <w:rFonts w:ascii="Times New Roman" w:eastAsia="宋体"/>
        </w:rPr>
        <w:t>LSWI</w:t>
      </w:r>
      <w:r>
        <w:rPr>
          <w:rFonts w:hint="eastAsia" w:ascii="Times New Roman" w:eastAsia="宋体"/>
        </w:rPr>
        <w:t>）、归一化植被指数（</w:t>
      </w:r>
      <w:r>
        <w:rPr>
          <w:rFonts w:ascii="Times New Roman" w:eastAsia="宋体"/>
        </w:rPr>
        <w:t>NDVI</w:t>
      </w:r>
      <w:r>
        <w:rPr>
          <w:rFonts w:hint="eastAsia" w:ascii="Times New Roman" w:eastAsia="宋体"/>
        </w:rPr>
        <w:t>）等指标；在需要时可结合纹理特征和形状特征</w:t>
      </w:r>
      <w:r>
        <w:rPr>
          <w:rFonts w:hint="eastAsia" w:ascii="Times New Roman"/>
        </w:rPr>
        <w:t>。</w:t>
      </w:r>
    </w:p>
    <w:p w14:paraId="590FB61C">
      <w:pPr>
        <w:pStyle w:val="105"/>
        <w:spacing w:before="156" w:after="156"/>
      </w:pPr>
      <w:bookmarkStart w:id="54" w:name="_Toc212127842"/>
      <w:r>
        <w:rPr>
          <w:rFonts w:hint="eastAsia"/>
        </w:rPr>
        <w:t>分类方法</w:t>
      </w:r>
      <w:bookmarkEnd w:id="54"/>
    </w:p>
    <w:p w14:paraId="6836F480">
      <w:pPr>
        <w:pStyle w:val="56"/>
        <w:ind w:firstLine="420"/>
      </w:pPr>
      <w:r>
        <w:rPr>
          <w:rFonts w:hint="eastAsia"/>
        </w:rPr>
        <w:t>分类方法可选择阈值法和监督分类方法。</w:t>
      </w:r>
    </w:p>
    <w:p w14:paraId="2337E81E">
      <w:pPr>
        <w:pStyle w:val="56"/>
        <w:spacing w:line="360" w:lineRule="auto"/>
        <w:ind w:firstLine="0" w:firstLineChars="0"/>
        <w:rPr>
          <w:rFonts w:ascii="黑体" w:eastAsia="黑体"/>
        </w:rPr>
      </w:pPr>
      <w:r>
        <w:rPr>
          <w:rFonts w:hint="eastAsia" w:ascii="黑体" w:eastAsia="黑体"/>
        </w:rPr>
        <w:t>8</w:t>
      </w:r>
      <w:r>
        <w:rPr>
          <w:rFonts w:ascii="黑体" w:eastAsia="黑体"/>
        </w:rPr>
        <w:t xml:space="preserve">.4.1 </w:t>
      </w:r>
      <w:r>
        <w:rPr>
          <w:rFonts w:hint="eastAsia" w:ascii="黑体" w:eastAsia="黑体"/>
        </w:rPr>
        <w:t>阈值法</w:t>
      </w:r>
    </w:p>
    <w:p w14:paraId="783C6F6E">
      <w:pPr>
        <w:pStyle w:val="56"/>
        <w:ind w:firstLine="420"/>
      </w:pPr>
      <w:r>
        <w:rPr>
          <w:rFonts w:hint="eastAsia"/>
        </w:rPr>
        <w:t>操作步骤如下：</w:t>
      </w:r>
    </w:p>
    <w:p w14:paraId="418BD216">
      <w:pPr>
        <w:pStyle w:val="56"/>
        <w:ind w:firstLine="420"/>
        <w:rPr>
          <w:rFonts w:ascii="Times New Roman"/>
        </w:rPr>
      </w:pPr>
      <w:r>
        <w:rPr>
          <w:rFonts w:ascii="Times New Roman"/>
        </w:rPr>
        <w:t xml:space="preserve">a) </w:t>
      </w:r>
      <w:r>
        <w:rPr>
          <w:rFonts w:hint="eastAsia" w:ascii="Times New Roman"/>
        </w:rPr>
        <w:t>利用</w:t>
      </w:r>
      <w:r>
        <w:rPr>
          <w:rFonts w:ascii="Times New Roman"/>
        </w:rPr>
        <w:t xml:space="preserve"> NDWI </w:t>
      </w:r>
      <w:r>
        <w:rPr>
          <w:rFonts w:hint="eastAsia" w:ascii="Times New Roman"/>
        </w:rPr>
        <w:t>提取监测区水体范围，生成水体掩膜；</w:t>
      </w:r>
    </w:p>
    <w:p w14:paraId="2C076B0A">
      <w:pPr>
        <w:pStyle w:val="56"/>
        <w:ind w:firstLine="420"/>
        <w:rPr>
          <w:rFonts w:ascii="Times New Roman"/>
        </w:rPr>
      </w:pPr>
      <w:r>
        <w:rPr>
          <w:rFonts w:ascii="Times New Roman"/>
        </w:rPr>
        <w:t xml:space="preserve">b) </w:t>
      </w:r>
      <w:r>
        <w:rPr>
          <w:rFonts w:hint="eastAsia" w:ascii="Times New Roman"/>
        </w:rPr>
        <w:t>在水体掩膜范围内计算</w:t>
      </w:r>
      <w:r>
        <w:rPr>
          <w:rFonts w:ascii="Times New Roman"/>
        </w:rPr>
        <w:t xml:space="preserve"> LSWI </w:t>
      </w:r>
      <w:r>
        <w:rPr>
          <w:rFonts w:hint="eastAsia" w:ascii="Times New Roman"/>
        </w:rPr>
        <w:t>或</w:t>
      </w:r>
      <w:r>
        <w:rPr>
          <w:rFonts w:ascii="Times New Roman"/>
        </w:rPr>
        <w:t xml:space="preserve"> NDVI </w:t>
      </w:r>
      <w:r>
        <w:rPr>
          <w:rFonts w:hint="eastAsia" w:ascii="Times New Roman"/>
        </w:rPr>
        <w:t>植被指数；</w:t>
      </w:r>
    </w:p>
    <w:p w14:paraId="63A78343">
      <w:pPr>
        <w:pStyle w:val="56"/>
        <w:ind w:firstLine="420"/>
        <w:rPr>
          <w:rFonts w:ascii="Times New Roman"/>
        </w:rPr>
      </w:pPr>
      <w:r>
        <w:rPr>
          <w:rFonts w:ascii="Times New Roman"/>
        </w:rPr>
        <w:t xml:space="preserve">c) </w:t>
      </w:r>
      <w:r>
        <w:rPr>
          <w:rFonts w:hint="eastAsia" w:ascii="Times New Roman"/>
        </w:rPr>
        <w:t>依据地面样本统计分析确定凤眼蓝与水体、其他植被的光谱指数差异，确定合适的阈值；</w:t>
      </w:r>
    </w:p>
    <w:p w14:paraId="401B6A11">
      <w:pPr>
        <w:pStyle w:val="56"/>
        <w:ind w:firstLine="420"/>
        <w:rPr>
          <w:rFonts w:ascii="Times New Roman"/>
        </w:rPr>
      </w:pPr>
      <w:r>
        <w:rPr>
          <w:rFonts w:ascii="Times New Roman"/>
        </w:rPr>
        <w:t xml:space="preserve">d) </w:t>
      </w:r>
      <w:r>
        <w:rPr>
          <w:rFonts w:hint="eastAsia" w:ascii="Times New Roman"/>
        </w:rPr>
        <w:t>通过设定阈值进行分类提取，当目标水体的植被指数值满足公式(</w:t>
      </w:r>
      <w:r>
        <w:rPr>
          <w:rFonts w:ascii="Times New Roman"/>
        </w:rPr>
        <w:t>4</w:t>
      </w:r>
      <w:r>
        <w:rPr>
          <w:rFonts w:hint="eastAsia" w:ascii="Times New Roman"/>
        </w:rPr>
        <w:t>)或(</w:t>
      </w:r>
      <w:r>
        <w:rPr>
          <w:rFonts w:ascii="Times New Roman"/>
        </w:rPr>
        <w:t>5</w:t>
      </w:r>
      <w:r>
        <w:rPr>
          <w:rFonts w:hint="eastAsia" w:ascii="Times New Roman"/>
        </w:rPr>
        <w:t>)，判识为凤眼蓝像元。</w:t>
      </w:r>
    </w:p>
    <w:p w14:paraId="75EC1355">
      <w:pPr>
        <w:pStyle w:val="56"/>
        <w:ind w:firstLine="0" w:firstLineChars="0"/>
        <w:rPr>
          <w:rFonts w:ascii="Times New Roman"/>
          <w:i/>
        </w:rPr>
      </w:pPr>
      <m:oMathPara>
        <m:oMath>
          <m:eqArr>
            <m:eqArrPr>
              <m:maxDist m:val="1"/>
              <m:ctrlPr>
                <w:rPr>
                  <w:rFonts w:ascii="Cambria Math" w:hAnsi="Cambria Math"/>
                </w:rPr>
              </m:ctrlPr>
            </m:eqArrPr>
            <m:e>
              <m:r>
                <m:rPr>
                  <m:nor/>
                </m:rPr>
                <w:rPr>
                  <w:rFonts w:ascii="Times New Roman"/>
                  <w:i/>
                  <w:iCs/>
                </w:rPr>
                <m:t xml:space="preserve">NDWI = </m:t>
              </m:r>
              <m:f>
                <m:fPr>
                  <m:ctrlPr>
                    <w:rPr>
                      <w:rFonts w:ascii="Cambria Math" w:hAnsi="Cambria Math"/>
                      <w:i/>
                      <w:iCs/>
                    </w:rPr>
                  </m:ctrlPr>
                </m:fPr>
                <m:num>
                  <m:r>
                    <m:rPr>
                      <m:nor/>
                    </m:rPr>
                    <w:rPr>
                      <w:rFonts w:ascii="Times New Roman"/>
                      <w:i/>
                      <w:iCs/>
                    </w:rPr>
                    <m:t>Green</m:t>
                  </m:r>
                  <m:r>
                    <m:rPr/>
                    <w:rPr>
                      <w:rFonts w:ascii="Cambria Math" w:hAnsi="Cambria Math"/>
                    </w:rPr>
                    <m:t>−</m:t>
                  </m:r>
                  <m:r>
                    <m:rPr>
                      <m:nor/>
                    </m:rPr>
                    <w:rPr>
                      <w:rFonts w:ascii="Times New Roman"/>
                      <w:i/>
                      <w:iCs/>
                    </w:rPr>
                    <m:t>NIR</m:t>
                  </m:r>
                  <m:ctrlPr>
                    <w:rPr>
                      <w:rFonts w:ascii="Cambria Math" w:hAnsi="Cambria Math"/>
                      <w:i/>
                      <w:iCs/>
                    </w:rPr>
                  </m:ctrlPr>
                </m:num>
                <m:den>
                  <m:r>
                    <m:rPr>
                      <m:nor/>
                    </m:rPr>
                    <w:rPr>
                      <w:rFonts w:ascii="Times New Roman"/>
                      <w:i/>
                      <w:iCs/>
                    </w:rPr>
                    <m:t xml:space="preserve">Green </m:t>
                  </m:r>
                  <m:r>
                    <m:rPr>
                      <m:nor/>
                      <m:sty m:val="p"/>
                    </m:rPr>
                    <w:rPr>
                      <w:rFonts w:ascii="Times New Roman"/>
                    </w:rPr>
                    <m:t>+</m:t>
                  </m:r>
                  <m:r>
                    <m:rPr>
                      <m:nor/>
                    </m:rPr>
                    <w:rPr>
                      <w:rFonts w:ascii="Times New Roman"/>
                      <w:i/>
                      <w:iCs/>
                    </w:rPr>
                    <m:t xml:space="preserve"> NIR</m:t>
                  </m:r>
                  <m:ctrlPr>
                    <w:rPr>
                      <w:rFonts w:ascii="Cambria Math" w:hAnsi="Cambria Math"/>
                      <w:i/>
                      <w:iCs/>
                    </w:rPr>
                  </m:ctrlPr>
                </m:den>
              </m:f>
              <m:r>
                <m:rPr/>
                <w:rPr>
                  <w:rFonts w:ascii="Cambria Math" w:hAnsi="Cambria Math"/>
                </w:rPr>
                <m:t>#................</m:t>
              </m:r>
              <m:r>
                <m:rPr>
                  <m:nor/>
                  <m:sty m:val="p"/>
                </m:rPr>
                <w:rPr>
                  <w:rFonts w:ascii="Times New Roman"/>
                </w:rPr>
                <m:t>(1)</m:t>
              </m:r>
              <m:ctrlPr>
                <w:rPr>
                  <w:rFonts w:ascii="Cambria Math" w:hAnsi="Cambria Math"/>
                </w:rPr>
              </m:ctrlPr>
            </m:e>
          </m:eqArr>
        </m:oMath>
      </m:oMathPara>
    </w:p>
    <w:p w14:paraId="0A045CFD">
      <w:pPr>
        <w:pStyle w:val="56"/>
        <w:ind w:firstLine="0" w:firstLineChars="0"/>
        <w:rPr>
          <w:rFonts w:ascii="Times New Roman"/>
          <w:i/>
          <w:iCs/>
        </w:rPr>
      </w:pPr>
      <m:oMathPara>
        <m:oMath>
          <m:eqArr>
            <m:eqArrPr>
              <m:maxDist m:val="1"/>
              <m:ctrlPr>
                <w:rPr>
                  <w:rFonts w:ascii="Cambria Math" w:hAnsi="Cambria Math"/>
                </w:rPr>
              </m:ctrlPr>
            </m:eqArrPr>
            <m:e>
              <m:r>
                <m:rPr>
                  <m:nor/>
                </m:rPr>
                <w:rPr>
                  <w:rFonts w:ascii="Times New Roman"/>
                  <w:i/>
                  <w:iCs/>
                </w:rPr>
                <m:t xml:space="preserve">LSWI = </m:t>
              </m:r>
              <m:f>
                <m:fPr>
                  <m:ctrlPr>
                    <w:rPr>
                      <w:rFonts w:ascii="Cambria Math" w:hAnsi="Cambria Math"/>
                      <w:i/>
                      <w:iCs/>
                    </w:rPr>
                  </m:ctrlPr>
                </m:fPr>
                <m:num>
                  <w:bookmarkStart w:id="55" w:name="_Hlk212127153"/>
                  <m:r>
                    <m:rPr>
                      <m:nor/>
                    </m:rPr>
                    <w:rPr>
                      <w:rFonts w:ascii="Times New Roman"/>
                      <w:i/>
                      <w:iCs/>
                    </w:rPr>
                    <m:t>NIR</m:t>
                  </m:r>
                  <m:r>
                    <m:rPr/>
                    <w:rPr>
                      <w:rFonts w:ascii="Cambria Math" w:hAnsi="Cambria Math"/>
                    </w:rPr>
                    <m:t>−</m:t>
                  </m:r>
                  <m:r>
                    <m:rPr>
                      <m:nor/>
                    </m:rPr>
                    <w:rPr>
                      <w:rFonts w:ascii="Times New Roman"/>
                      <w:i/>
                      <w:iCs/>
                    </w:rPr>
                    <m:t>SWIR</m:t>
                  </m:r>
                  <w:bookmarkEnd w:id="55"/>
                  <m:ctrlPr>
                    <w:rPr>
                      <w:rFonts w:ascii="Cambria Math" w:hAnsi="Cambria Math"/>
                      <w:i/>
                      <w:iCs/>
                    </w:rPr>
                  </m:ctrlPr>
                </m:num>
                <m:den>
                  <m:r>
                    <m:rPr>
                      <m:nor/>
                    </m:rPr>
                    <w:rPr>
                      <w:rFonts w:ascii="Times New Roman"/>
                      <w:i/>
                      <w:iCs/>
                    </w:rPr>
                    <m:t xml:space="preserve">NIR </m:t>
                  </m:r>
                  <m:r>
                    <m:rPr>
                      <m:nor/>
                      <m:sty m:val="p"/>
                    </m:rPr>
                    <w:rPr>
                      <w:rFonts w:ascii="Times New Roman"/>
                    </w:rPr>
                    <m:t>+</m:t>
                  </m:r>
                  <m:r>
                    <m:rPr>
                      <m:nor/>
                    </m:rPr>
                    <w:rPr>
                      <w:rFonts w:ascii="Times New Roman"/>
                      <w:i/>
                      <w:iCs/>
                    </w:rPr>
                    <m:t xml:space="preserve"> SWIR</m:t>
                  </m:r>
                  <m:ctrlPr>
                    <w:rPr>
                      <w:rFonts w:ascii="Cambria Math" w:hAnsi="Cambria Math"/>
                      <w:i/>
                      <w:iCs/>
                    </w:rPr>
                  </m:ctrlPr>
                </m:den>
              </m:f>
              <m:r>
                <m:rPr/>
                <w:rPr>
                  <w:rFonts w:ascii="Cambria Math" w:hAnsi="Cambria Math"/>
                </w:rPr>
                <m:t>#...............(</m:t>
              </m:r>
              <m:r>
                <m:rPr>
                  <m:nor/>
                  <m:sty m:val="p"/>
                </m:rPr>
                <w:rPr>
                  <w:rFonts w:ascii="Times New Roman"/>
                </w:rPr>
                <m:t>2</m:t>
              </m:r>
              <m:r>
                <m:rPr/>
                <w:rPr>
                  <w:rFonts w:ascii="Cambria Math" w:hAnsi="Cambria Math"/>
                </w:rPr>
                <m:t>)</m:t>
              </m:r>
              <m:ctrlPr>
                <w:rPr>
                  <w:rFonts w:ascii="Cambria Math" w:hAnsi="Cambria Math"/>
                  <w:i/>
                  <w:iCs/>
                </w:rPr>
              </m:ctrlPr>
            </m:e>
          </m:eqArr>
        </m:oMath>
      </m:oMathPara>
    </w:p>
    <w:p w14:paraId="54EBEC6C">
      <w:pPr>
        <w:pStyle w:val="56"/>
        <w:ind w:firstLine="0" w:firstLineChars="0"/>
        <w:rPr>
          <w:rFonts w:ascii="Times New Roman"/>
          <w:i/>
          <w:iCs/>
        </w:rPr>
      </w:pPr>
      <m:oMathPara>
        <m:oMath>
          <m:eqArr>
            <m:eqArrPr>
              <m:maxDist m:val="1"/>
              <m:ctrlPr>
                <w:rPr>
                  <w:rFonts w:ascii="Cambria Math" w:hAnsi="Cambria Math"/>
                  <w:i/>
                  <w:iCs/>
                </w:rPr>
              </m:ctrlPr>
            </m:eqArrPr>
            <m:e>
              <m:r>
                <m:rPr>
                  <m:nor/>
                </m:rPr>
                <w:rPr>
                  <w:rFonts w:ascii="Times New Roman"/>
                  <w:i/>
                  <w:iCs/>
                </w:rPr>
                <m:t xml:space="preserve">NDVI = </m:t>
              </m:r>
              <m:f>
                <m:fPr>
                  <m:ctrlPr>
                    <w:rPr>
                      <w:rFonts w:ascii="Cambria Math" w:hAnsi="Cambria Math"/>
                      <w:i/>
                      <w:iCs/>
                    </w:rPr>
                  </m:ctrlPr>
                </m:fPr>
                <m:num>
                  <m:r>
                    <m:rPr/>
                    <w:rPr>
                      <w:rFonts w:ascii="Cambria Math" w:hAnsi="Cambria Math"/>
                    </w:rPr>
                    <m:t>NIR−RED</m:t>
                  </m:r>
                  <m:ctrlPr>
                    <w:rPr>
                      <w:rFonts w:ascii="Cambria Math" w:hAnsi="Cambria Math"/>
                      <w:i/>
                      <w:iCs/>
                    </w:rPr>
                  </m:ctrlPr>
                </m:num>
                <m:den>
                  <m:r>
                    <m:rPr/>
                    <w:rPr>
                      <w:rFonts w:ascii="Cambria Math" w:hAnsi="Cambria Math"/>
                    </w:rPr>
                    <m:t>NIR+RED</m:t>
                  </m:r>
                  <m:ctrlPr>
                    <w:rPr>
                      <w:rFonts w:ascii="Cambria Math" w:hAnsi="Cambria Math"/>
                      <w:i/>
                      <w:iCs/>
                    </w:rPr>
                  </m:ctrlPr>
                </m:den>
              </m:f>
              <m:r>
                <m:rPr/>
                <w:rPr>
                  <w:rFonts w:ascii="Cambria Math" w:hAnsi="Cambria Math"/>
                </w:rPr>
                <m:t>#................</m:t>
              </m:r>
              <m:r>
                <m:rPr>
                  <m:nor/>
                  <m:sty m:val="p"/>
                </m:rPr>
                <w:rPr>
                  <w:rFonts w:ascii="Times New Roman"/>
                  <w:iCs/>
                </w:rPr>
                <m:t>(</m:t>
              </m:r>
              <m:r>
                <m:rPr>
                  <m:nor/>
                  <m:sty m:val="p"/>
                </m:rPr>
                <w:rPr>
                  <w:rFonts w:ascii="Times New Roman"/>
                </w:rPr>
                <m:t>3</m:t>
              </m:r>
              <m:r>
                <m:rPr>
                  <m:nor/>
                  <m:sty m:val="p"/>
                </m:rPr>
                <w:rPr>
                  <w:rFonts w:ascii="Times New Roman"/>
                  <w:iCs/>
                </w:rPr>
                <m:t>)</m:t>
              </m:r>
              <m:ctrlPr>
                <w:rPr>
                  <w:rFonts w:ascii="Cambria Math" w:hAnsi="Cambria Math"/>
                  <w:i/>
                  <w:iCs/>
                </w:rPr>
              </m:ctrlPr>
            </m:e>
          </m:eqArr>
        </m:oMath>
      </m:oMathPara>
    </w:p>
    <w:p w14:paraId="71BF2364">
      <w:pPr>
        <w:pStyle w:val="56"/>
        <w:ind w:firstLine="0" w:firstLineChars="0"/>
        <w:rPr>
          <w:rFonts w:ascii="Times New Roman"/>
          <w:i/>
        </w:rPr>
      </w:pPr>
      <m:oMathPara>
        <m:oMath>
          <m:eqArr>
            <m:eqArrPr>
              <m:maxDist m:val="1"/>
              <m:ctrlPr>
                <w:rPr>
                  <w:rFonts w:ascii="Cambria Math" w:hAnsi="Cambria Math"/>
                  <w:i/>
                </w:rPr>
              </m:ctrlPr>
            </m:eqArrPr>
            <m:e>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NDWI</m:t>
                  </m:r>
                  <m:ctrlPr>
                    <w:rPr>
                      <w:rFonts w:ascii="Cambria Math" w:hAnsi="Cambria Math"/>
                      <w:i/>
                    </w:rPr>
                  </m:ctrlPr>
                </m:sub>
              </m:sSub>
              <m:r>
                <m:rPr/>
                <w:rPr>
                  <w:rFonts w:ascii="Cambria Math" w:hAnsi="Cambria Math"/>
                </w:rPr>
                <m:t>&gt;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NDWI,th</m:t>
                  </m:r>
                  <m:ctrlPr>
                    <w:rPr>
                      <w:rFonts w:ascii="Cambria Math" w:hAnsi="Cambria Math"/>
                      <w:i/>
                    </w:rPr>
                  </m:ctrlPr>
                </m:sub>
              </m:sSub>
              <m:r>
                <m:rPr/>
                <w:rPr>
                  <w:rFonts w:ascii="Cambria Math" w:hAnsi="Cambria Math"/>
                </w:rPr>
                <m:t>#................</m:t>
              </m:r>
              <m:r>
                <m:rPr>
                  <m:nor/>
                  <m:sty m:val="p"/>
                </m:rPr>
                <w:rPr>
                  <w:rFonts w:hint="eastAsia" w:ascii="Times New Roman"/>
                </w:rPr>
                <m:t>(</m:t>
              </m:r>
              <m:r>
                <m:rPr>
                  <m:nor/>
                  <m:sty m:val="p"/>
                </m:rPr>
                <w:rPr>
                  <w:rFonts w:ascii="Times New Roman"/>
                </w:rPr>
                <m:t>4</m:t>
              </m:r>
              <m:r>
                <m:rPr>
                  <m:nor/>
                  <m:sty m:val="p"/>
                </m:rPr>
                <w:rPr>
                  <w:rFonts w:hint="eastAsia" w:ascii="Times New Roman"/>
                </w:rPr>
                <m:t>)</m:t>
              </m:r>
              <m:ctrlPr>
                <w:rPr>
                  <w:rFonts w:ascii="Cambria Math" w:hAnsi="Cambria Math"/>
                  <w:i/>
                </w:rPr>
              </m:ctrlPr>
            </m:e>
          </m:eqArr>
        </m:oMath>
      </m:oMathPara>
    </w:p>
    <w:p w14:paraId="3F990B63">
      <w:pPr>
        <w:pStyle w:val="56"/>
        <w:ind w:firstLine="0" w:firstLineChars="0"/>
        <w:rPr>
          <w:rFonts w:ascii="Times New Roman"/>
          <w:i/>
        </w:rPr>
      </w:pPr>
      <m:oMathPara>
        <m:oMath>
          <m:eqArr>
            <m:eqArrPr>
              <m:maxDist m:val="1"/>
              <m:ctrlPr>
                <w:rPr>
                  <w:rFonts w:ascii="Cambria Math" w:hAnsi="Cambria Math"/>
                  <w:i/>
                </w:rPr>
              </m:ctrlPr>
            </m:eqArrPr>
            <m:e>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LSWI</m:t>
                  </m:r>
                  <m:ctrlPr>
                    <w:rPr>
                      <w:rFonts w:ascii="Cambria Math" w:hAnsi="Cambria Math"/>
                      <w:i/>
                    </w:rPr>
                  </m:ctrlPr>
                </m:sub>
              </m:sSub>
              <m:r>
                <m:rPr/>
                <w:rPr>
                  <w:rFonts w:ascii="Cambria Math" w:hAnsi="Cambria Math"/>
                </w:rPr>
                <m:t>&gt;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LSWI,th</m:t>
                  </m:r>
                  <m:ctrlPr>
                    <w:rPr>
                      <w:rFonts w:ascii="Cambria Math" w:hAnsi="Cambria Math"/>
                      <w:i/>
                    </w:rPr>
                  </m:ctrlPr>
                </m:sub>
              </m:sSub>
              <m:r>
                <m:rPr/>
                <w:rPr>
                  <w:rFonts w:ascii="Cambria Math" w:hAnsi="Cambria Math"/>
                </w:rPr>
                <m:t>#................</m:t>
              </m:r>
              <m:r>
                <m:rPr>
                  <m:nor/>
                  <m:sty m:val="p"/>
                </m:rPr>
                <w:rPr>
                  <w:rFonts w:ascii="Times New Roman"/>
                </w:rPr>
                <m:t>(5)</m:t>
              </m:r>
              <m:ctrlPr>
                <w:rPr>
                  <w:rFonts w:ascii="Cambria Math" w:hAnsi="Cambria Math"/>
                  <w:i/>
                </w:rPr>
              </m:ctrlPr>
            </m:e>
          </m:eqArr>
        </m:oMath>
      </m:oMathPara>
    </w:p>
    <w:p w14:paraId="62EFFC66">
      <w:pPr>
        <w:pStyle w:val="56"/>
        <w:ind w:firstLine="199" w:firstLineChars="95"/>
        <w:rPr>
          <w:rFonts w:ascii="Times New Roman"/>
          <w:i/>
        </w:rPr>
      </w:pPr>
      <m:oMathPara>
        <m:oMath>
          <m:eqArr>
            <m:eqArrPr>
              <m:maxDist m:val="1"/>
              <m:ctrlPr>
                <w:rPr>
                  <w:rFonts w:ascii="Cambria Math" w:hAnsi="Cambria Math"/>
                  <w:i/>
                </w:rPr>
              </m:ctrlPr>
            </m:eqArrPr>
            <m:e>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NDVI</m:t>
                  </m:r>
                  <m:ctrlPr>
                    <w:rPr>
                      <w:rFonts w:ascii="Cambria Math" w:hAnsi="Cambria Math"/>
                      <w:i/>
                    </w:rPr>
                  </m:ctrlPr>
                </m:sub>
              </m:sSub>
              <m:r>
                <m:rPr/>
                <w:rPr>
                  <w:rFonts w:ascii="Cambria Math" w:hAnsi="Cambria Math"/>
                </w:rPr>
                <m:t>&gt;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NDVI,th</m:t>
                  </m:r>
                  <m:ctrlPr>
                    <w:rPr>
                      <w:rFonts w:ascii="Cambria Math" w:hAnsi="Cambria Math"/>
                      <w:i/>
                    </w:rPr>
                  </m:ctrlPr>
                </m:sub>
              </m:sSub>
              <m:r>
                <m:rPr/>
                <w:rPr>
                  <w:rFonts w:ascii="Cambria Math" w:hAnsi="Cambria Math"/>
                </w:rPr>
                <m:t>#................</m:t>
              </m:r>
              <m:r>
                <m:rPr>
                  <m:nor/>
                  <m:sty m:val="p"/>
                </m:rPr>
                <w:rPr>
                  <w:rFonts w:ascii="Times New Roman"/>
                </w:rPr>
                <m:t>(6)</m:t>
              </m:r>
              <m:ctrlPr>
                <w:rPr>
                  <w:rFonts w:ascii="Cambria Math" w:hAnsi="Cambria Math"/>
                  <w:i/>
                </w:rPr>
              </m:ctrlPr>
            </m:e>
          </m:eqArr>
        </m:oMath>
      </m:oMathPara>
    </w:p>
    <w:p w14:paraId="17332459">
      <w:pPr>
        <w:pStyle w:val="56"/>
        <w:ind w:firstLine="420"/>
      </w:pPr>
      <w:r>
        <w:rPr>
          <w:rFonts w:hint="eastAsia"/>
        </w:rPr>
        <w:t>式中：</w:t>
      </w:r>
    </w:p>
    <w:p w14:paraId="465A1207">
      <w:pPr>
        <w:pStyle w:val="56"/>
        <w:ind w:firstLine="420"/>
        <w:rPr>
          <w:rFonts w:ascii="Times New Roman"/>
        </w:rPr>
      </w:pPr>
      <w:r>
        <w:rPr>
          <w:rFonts w:ascii="Times New Roman"/>
        </w:rPr>
        <w:t>NIR ——</w:t>
      </w:r>
      <w:r>
        <w:rPr>
          <w:rFonts w:hint="eastAsia" w:ascii="Times New Roman"/>
        </w:rPr>
        <w:t>近红外波段反射率；</w:t>
      </w:r>
    </w:p>
    <w:p w14:paraId="5C68C661">
      <w:pPr>
        <w:pStyle w:val="56"/>
        <w:ind w:firstLine="420"/>
        <w:rPr>
          <w:rFonts w:ascii="Times New Roman"/>
        </w:rPr>
      </w:pPr>
      <w:r>
        <w:rPr>
          <w:rFonts w:ascii="Times New Roman"/>
        </w:rPr>
        <w:t>SWIR ——</w:t>
      </w:r>
      <w:r>
        <w:rPr>
          <w:rFonts w:hint="eastAsia" w:ascii="Times New Roman"/>
        </w:rPr>
        <w:t>短波红外反射率；</w:t>
      </w:r>
    </w:p>
    <w:p w14:paraId="7D347BBC">
      <w:pPr>
        <w:pStyle w:val="56"/>
        <w:ind w:firstLine="420"/>
        <w:rPr>
          <w:rFonts w:ascii="Times New Roman"/>
        </w:rPr>
      </w:pPr>
      <w:r>
        <w:rPr>
          <w:rFonts w:ascii="Times New Roman"/>
        </w:rPr>
        <w:t>Green ——</w:t>
      </w:r>
      <w:r>
        <w:rPr>
          <w:rFonts w:hint="eastAsia" w:ascii="Times New Roman"/>
        </w:rPr>
        <w:t>绿波段反射率。</w:t>
      </w:r>
    </w:p>
    <w:p w14:paraId="08938078">
      <w:pPr>
        <w:pStyle w:val="56"/>
        <w:ind w:firstLine="420"/>
        <w:rPr>
          <w:rFonts w:ascii="Times New Roman"/>
        </w:rPr>
      </w:pP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NDWI</m:t>
            </m:r>
            <m:ctrlPr>
              <w:rPr>
                <w:rFonts w:ascii="Cambria Math" w:hAnsi="Cambria Math"/>
                <w:i/>
              </w:rPr>
            </m:ctrlPr>
          </m:sub>
        </m:sSub>
      </m:oMath>
      <w:r>
        <w:rPr>
          <w:rFonts w:hint="eastAsia" w:ascii="Times New Roman"/>
        </w:rPr>
        <w:t>,</w:t>
      </w:r>
      <m:oMath>
        <m:r>
          <m:rPr/>
          <w:rPr>
            <w:rFonts w:ascii="Cambria Math" w:hAnsi="Cambria Math"/>
          </w:rPr>
          <m:t xml:space="preserve"> </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LSWI</m:t>
            </m:r>
            <m:ctrlPr>
              <w:rPr>
                <w:rFonts w:ascii="Cambria Math" w:hAnsi="Cambria Math"/>
                <w:i/>
              </w:rPr>
            </m:ctrlPr>
          </m:sub>
        </m:sSub>
        <m:r>
          <m:rPr/>
          <w:rPr>
            <w:rFonts w:ascii="Cambria Math" w:hAnsi="Cambria Math"/>
          </w:rPr>
          <m:t xml:space="preserve"> </m:t>
        </m:r>
      </m:oMath>
      <w:r>
        <w:rPr>
          <w:rFonts w:hint="eastAsia" w:ascii="Times New Roman"/>
        </w:rPr>
        <w:t>,</w:t>
      </w:r>
      <w:r>
        <w:rPr>
          <w:rFonts w:ascii="Cambria Math" w:hAnsi="Cambria Math"/>
          <w:i/>
        </w:rPr>
        <w:t xml:space="preserve"> </w:t>
      </w: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NDVI</m:t>
            </m:r>
            <m:ctrlPr>
              <w:rPr>
                <w:rFonts w:ascii="Cambria Math" w:hAnsi="Cambria Math"/>
                <w:i/>
              </w:rPr>
            </m:ctrlPr>
          </m:sub>
        </m:sSub>
      </m:oMath>
      <w:r>
        <w:rPr>
          <w:rFonts w:hint="eastAsia" w:ascii="Times New Roman"/>
        </w:rPr>
        <w:t>———判识像元N</w:t>
      </w:r>
      <w:r>
        <w:rPr>
          <w:rFonts w:ascii="Times New Roman"/>
        </w:rPr>
        <w:t>DWI</w:t>
      </w:r>
      <w:r>
        <w:rPr>
          <w:rFonts w:hint="eastAsia" w:ascii="Times New Roman"/>
        </w:rPr>
        <w:t>、L</w:t>
      </w:r>
      <w:r>
        <w:rPr>
          <w:rFonts w:ascii="Times New Roman"/>
        </w:rPr>
        <w:t>SWI</w:t>
      </w:r>
      <w:r>
        <w:rPr>
          <w:rFonts w:hint="eastAsia" w:ascii="Times New Roman"/>
        </w:rPr>
        <w:t>、NDVI值；</w:t>
      </w:r>
    </w:p>
    <w:p w14:paraId="45045DBD">
      <w:pPr>
        <w:pStyle w:val="56"/>
        <w:ind w:firstLine="420"/>
        <w:rPr>
          <w:rFonts w:ascii="Times New Roman"/>
        </w:rPr>
      </w:pP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NDWI,th</m:t>
            </m:r>
            <m:ctrlPr>
              <w:rPr>
                <w:rFonts w:ascii="Cambria Math" w:hAnsi="Cambria Math"/>
                <w:i/>
              </w:rPr>
            </m:ctrlPr>
          </m:sub>
        </m:sSub>
      </m:oMath>
      <w:r>
        <w:rPr>
          <w:rFonts w:hint="eastAsia" w:ascii="Times New Roman"/>
        </w:rPr>
        <w:t>——水体判识阈值，参考阈值为0</w:t>
      </w:r>
      <w:r>
        <w:rPr>
          <w:rFonts w:ascii="Times New Roman"/>
        </w:rPr>
        <w:t>.5</w:t>
      </w:r>
    </w:p>
    <w:p w14:paraId="6F0F0CA3">
      <w:pPr>
        <w:pStyle w:val="56"/>
        <w:ind w:firstLine="420"/>
        <w:rPr>
          <w:rFonts w:ascii="Times New Roman"/>
        </w:rPr>
      </w:pP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LSWI,th</m:t>
            </m:r>
            <m:ctrlPr>
              <w:rPr>
                <w:rFonts w:ascii="Cambria Math" w:hAnsi="Cambria Math"/>
                <w:i/>
              </w:rPr>
            </m:ctrlPr>
          </m:sub>
        </m:sSub>
      </m:oMath>
      <w:r>
        <w:rPr>
          <w:rFonts w:hint="eastAsia" w:ascii="Times New Roman"/>
        </w:rPr>
        <w:t>,</w:t>
      </w:r>
      <w:r>
        <w:rPr>
          <w:rFonts w:ascii="Times New Roman"/>
        </w:rPr>
        <w:t xml:space="preserve"> </w:t>
      </w: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NDVI,th</m:t>
            </m:r>
            <m:ctrlPr>
              <w:rPr>
                <w:rFonts w:ascii="Cambria Math" w:hAnsi="Cambria Math"/>
                <w:i/>
              </w:rPr>
            </m:ctrlPr>
          </m:sub>
        </m:sSub>
      </m:oMath>
      <w:r>
        <w:rPr>
          <w:rFonts w:hint="eastAsia" w:ascii="Times New Roman"/>
        </w:rPr>
        <w:t>———凤眼蓝判识阈值，参考阈值分别为0</w:t>
      </w:r>
      <w:r>
        <w:rPr>
          <w:rFonts w:ascii="Times New Roman"/>
        </w:rPr>
        <w:t>.35</w:t>
      </w:r>
      <w:r>
        <w:rPr>
          <w:rFonts w:hint="eastAsia" w:ascii="Times New Roman"/>
        </w:rPr>
        <w:t>、0</w:t>
      </w:r>
      <w:r>
        <w:rPr>
          <w:rFonts w:ascii="Times New Roman"/>
        </w:rPr>
        <w:t>.2</w:t>
      </w:r>
      <w:r>
        <w:rPr>
          <w:rFonts w:hint="eastAsia" w:ascii="Times New Roman"/>
        </w:rPr>
        <w:t>。</w:t>
      </w:r>
    </w:p>
    <w:p w14:paraId="23C50C30">
      <w:pPr>
        <w:pStyle w:val="56"/>
        <w:spacing w:line="360" w:lineRule="auto"/>
        <w:ind w:firstLine="0" w:firstLineChars="0"/>
        <w:rPr>
          <w:rFonts w:ascii="黑体" w:eastAsia="黑体"/>
        </w:rPr>
      </w:pPr>
      <w:r>
        <w:rPr>
          <w:rFonts w:ascii="黑体" w:eastAsia="黑体"/>
        </w:rPr>
        <w:t>8.4.2</w:t>
      </w:r>
      <w:r>
        <w:rPr>
          <w:rFonts w:hint="eastAsia" w:ascii="黑体" w:eastAsia="黑体"/>
        </w:rPr>
        <w:t xml:space="preserve"> 监督分类法</w:t>
      </w:r>
    </w:p>
    <w:p w14:paraId="691BFF72">
      <w:pPr>
        <w:pStyle w:val="56"/>
        <w:ind w:firstLine="420"/>
      </w:pPr>
      <w:r>
        <w:rPr>
          <w:rFonts w:hint="eastAsia"/>
        </w:rPr>
        <w:t>操作步骤如下：</w:t>
      </w:r>
    </w:p>
    <w:p w14:paraId="72239DDD">
      <w:pPr>
        <w:pStyle w:val="56"/>
        <w:ind w:firstLine="420"/>
        <w:rPr>
          <w:rFonts w:ascii="Times New Roman"/>
        </w:rPr>
      </w:pPr>
      <w:r>
        <w:rPr>
          <w:rFonts w:ascii="Times New Roman"/>
        </w:rPr>
        <w:t xml:space="preserve">a) </w:t>
      </w:r>
      <w:r>
        <w:rPr>
          <w:rFonts w:hint="eastAsia" w:ascii="Times New Roman"/>
        </w:rPr>
        <w:t>选取具有代表性的训练样本，样本应来源于地面调查或高分辨率无人机影像；</w:t>
      </w:r>
    </w:p>
    <w:p w14:paraId="5B6C253D">
      <w:pPr>
        <w:pStyle w:val="56"/>
        <w:ind w:firstLine="420"/>
        <w:rPr>
          <w:rFonts w:ascii="Times New Roman"/>
        </w:rPr>
      </w:pPr>
      <w:r>
        <w:rPr>
          <w:rFonts w:ascii="Times New Roman"/>
        </w:rPr>
        <w:t xml:space="preserve">b) </w:t>
      </w:r>
      <w:r>
        <w:rPr>
          <w:rFonts w:hint="eastAsia" w:ascii="Times New Roman"/>
        </w:rPr>
        <w:t>采用支持向量机（</w:t>
      </w:r>
      <w:r>
        <w:rPr>
          <w:rFonts w:ascii="Times New Roman"/>
        </w:rPr>
        <w:t>SVM</w:t>
      </w:r>
      <w:r>
        <w:rPr>
          <w:rFonts w:hint="eastAsia" w:ascii="Times New Roman"/>
        </w:rPr>
        <w:t>）、随机森林（</w:t>
      </w:r>
      <w:r>
        <w:rPr>
          <w:rFonts w:ascii="Times New Roman"/>
        </w:rPr>
        <w:t>RF</w:t>
      </w:r>
      <w:r>
        <w:rPr>
          <w:rFonts w:hint="eastAsia" w:ascii="Times New Roman"/>
        </w:rPr>
        <w:t>）或神经网络等分类算法构建模型（参考</w:t>
      </w:r>
      <w:r>
        <w:rPr>
          <w:rFonts w:ascii="Times New Roman"/>
        </w:rPr>
        <w:t>NY/T</w:t>
      </w:r>
      <w:r>
        <w:rPr>
          <w:rFonts w:hint="eastAsia" w:ascii="Times New Roman"/>
        </w:rPr>
        <w:t xml:space="preserve"> </w:t>
      </w:r>
      <w:r>
        <w:rPr>
          <w:rFonts w:ascii="Times New Roman"/>
        </w:rPr>
        <w:t>4314-2023</w:t>
      </w:r>
      <w:r>
        <w:rPr>
          <w:rFonts w:hint="eastAsia" w:ascii="Times New Roman"/>
        </w:rPr>
        <w:t>）；</w:t>
      </w:r>
    </w:p>
    <w:p w14:paraId="0E0998F5">
      <w:pPr>
        <w:pStyle w:val="56"/>
        <w:ind w:firstLine="420"/>
        <w:rPr>
          <w:rFonts w:ascii="Times New Roman"/>
        </w:rPr>
      </w:pPr>
      <w:r>
        <w:rPr>
          <w:rFonts w:ascii="Times New Roman"/>
        </w:rPr>
        <w:t xml:space="preserve">c) </w:t>
      </w:r>
      <w:r>
        <w:rPr>
          <w:rFonts w:hint="eastAsia" w:ascii="Times New Roman"/>
        </w:rPr>
        <w:t>对监测区影像进行监督分类，生成凤眼蓝分布结果；</w:t>
      </w:r>
    </w:p>
    <w:p w14:paraId="0D211A4F">
      <w:pPr>
        <w:pStyle w:val="56"/>
        <w:ind w:firstLine="420"/>
        <w:rPr>
          <w:rFonts w:ascii="Times New Roman"/>
        </w:rPr>
      </w:pPr>
      <w:r>
        <w:rPr>
          <w:rFonts w:ascii="Times New Roman"/>
        </w:rPr>
        <w:t xml:space="preserve">d) </w:t>
      </w:r>
      <w:r>
        <w:rPr>
          <w:rFonts w:hint="eastAsia" w:ascii="Times New Roman"/>
        </w:rPr>
        <w:t>对分类结果进行人工检查与后处理，修正错分与漏分区域。</w:t>
      </w:r>
    </w:p>
    <w:p w14:paraId="447F72E3">
      <w:pPr>
        <w:pStyle w:val="105"/>
        <w:spacing w:before="156" w:after="156"/>
      </w:pPr>
      <w:r>
        <w:rPr>
          <w:rFonts w:hint="eastAsia"/>
        </w:rPr>
        <w:t>分类后处理</w:t>
      </w:r>
    </w:p>
    <w:p w14:paraId="68673798">
      <w:pPr>
        <w:pStyle w:val="56"/>
        <w:ind w:firstLine="420"/>
        <w:rPr>
          <w:rFonts w:ascii="Times New Roman"/>
        </w:rPr>
      </w:pPr>
      <w:r>
        <w:rPr>
          <w:rFonts w:hint="eastAsia"/>
        </w:rPr>
        <w:t>基于预处理的遥感影像、训练样本数据，以及选择的分类特征与分类方法，利用影像处理软件实现遥感影像的</w:t>
      </w:r>
      <w:r>
        <w:rPr>
          <w:rFonts w:hint="eastAsia" w:ascii="Times New Roman"/>
        </w:rPr>
        <w:t>初步分类。</w:t>
      </w:r>
    </w:p>
    <w:p w14:paraId="5ACCA6D9">
      <w:pPr>
        <w:pStyle w:val="56"/>
        <w:numPr>
          <w:ilvl w:val="0"/>
          <w:numId w:val="33"/>
        </w:numPr>
        <w:ind w:firstLineChars="0"/>
        <w:rPr>
          <w:rFonts w:ascii="Times New Roman"/>
        </w:rPr>
      </w:pPr>
      <w:r>
        <w:rPr>
          <w:rFonts w:hint="eastAsia" w:ascii="Times New Roman"/>
        </w:rPr>
        <w:t>在初步分类结果的基础上，结合地面调查数据和专家经验，对错分、漏分区域采用目视判读方式进行修改。对无法明确判断的类别，应进行标识，并通过进一步地面调查确认。</w:t>
      </w:r>
    </w:p>
    <w:p w14:paraId="57EEC567">
      <w:pPr>
        <w:pStyle w:val="56"/>
        <w:numPr>
          <w:ilvl w:val="0"/>
          <w:numId w:val="33"/>
        </w:numPr>
        <w:ind w:firstLineChars="0"/>
      </w:pPr>
      <w:r>
        <w:rPr>
          <w:rFonts w:hint="eastAsia" w:ascii="Times New Roman"/>
        </w:rPr>
        <w:t>修正后的分类结果保存为栅格数据（</w:t>
      </w:r>
      <w:r>
        <w:rPr>
          <w:rFonts w:ascii="Times New Roman"/>
        </w:rPr>
        <w:t>GeoTIFF</w:t>
      </w:r>
      <w:r>
        <w:rPr>
          <w:rFonts w:hint="eastAsia" w:ascii="Times New Roman"/>
        </w:rPr>
        <w:t>）及矢量数据（</w:t>
      </w:r>
      <w:r>
        <w:rPr>
          <w:rFonts w:ascii="Times New Roman"/>
        </w:rPr>
        <w:t>Shapefile</w:t>
      </w:r>
      <w:r>
        <w:rPr>
          <w:rFonts w:hint="eastAsia" w:ascii="Times New Roman"/>
        </w:rPr>
        <w:t>）两种格式。</w:t>
      </w:r>
    </w:p>
    <w:p w14:paraId="17703005">
      <w:pPr>
        <w:pStyle w:val="105"/>
        <w:spacing w:before="156" w:after="156"/>
      </w:pPr>
      <w:r>
        <w:rPr>
          <w:rFonts w:hint="eastAsia"/>
        </w:rPr>
        <w:t>精度评价</w:t>
      </w:r>
    </w:p>
    <w:p w14:paraId="45EEDF52">
      <w:pPr>
        <w:pStyle w:val="56"/>
        <w:ind w:firstLine="420"/>
        <w:rPr>
          <w:rFonts w:ascii="Times New Roman"/>
        </w:rPr>
      </w:pPr>
      <w:r>
        <w:rPr>
          <w:rFonts w:ascii="Times New Roman"/>
        </w:rPr>
        <w:t>利用验证样本数据对监测结果进行精度验证，应依据NY/T 4314—2023的规定，以总体精度作为评价指标，若验证结果未满足精度要求，则需迭代优化特征选择与分类算法，直至精度达标。</w:t>
      </w:r>
    </w:p>
    <w:p w14:paraId="22E891E7">
      <w:pPr>
        <w:pStyle w:val="56"/>
        <w:ind w:firstLine="199" w:firstLineChars="95"/>
        <w:rPr>
          <w:rFonts w:ascii="Times New Roman"/>
          <w:iCs/>
        </w:rPr>
      </w:pPr>
      <m:oMathPara>
        <m:oMath>
          <m:eqArr>
            <m:eqArrPr>
              <m:maxDist m:val="1"/>
              <m:ctrlPr>
                <w:rPr>
                  <w:rFonts w:ascii="Cambria Math" w:hAnsi="Cambria Math"/>
                  <w:i/>
                  <w:iCs/>
                </w:rPr>
              </m:ctrlPr>
            </m:eqArrPr>
            <m:e>
              <m:sSub>
                <m:sSubPr>
                  <m:ctrlPr>
                    <w:rPr>
                      <w:rFonts w:ascii="Cambria Math" w:hAnsi="Cambria Math"/>
                      <w:i/>
                    </w:rPr>
                  </m:ctrlPr>
                </m:sSubPr>
                <m:e>
                  <m:r>
                    <m:rPr>
                      <m:nor/>
                    </m:rPr>
                    <w:rPr>
                      <w:rFonts w:ascii="Times New Roman"/>
                      <w:i/>
                    </w:rPr>
                    <m:t>P</m:t>
                  </m:r>
                  <m:ctrlPr>
                    <w:rPr>
                      <w:rFonts w:ascii="Cambria Math" w:hAnsi="Cambria Math"/>
                      <w:i/>
                    </w:rPr>
                  </m:ctrlPr>
                </m:e>
                <m:sub>
                  <m:r>
                    <m:rPr>
                      <m:nor/>
                    </m:rPr>
                    <w:rPr>
                      <w:rFonts w:ascii="Times New Roman"/>
                      <w:i/>
                    </w:rPr>
                    <m:t>c</m:t>
                  </m:r>
                  <m:ctrlPr>
                    <w:rPr>
                      <w:rFonts w:ascii="Cambria Math" w:hAnsi="Cambria Math"/>
                      <w:i/>
                    </w:rPr>
                  </m:ctrlPr>
                </m:sub>
              </m:sSub>
              <m:r>
                <m:rPr>
                  <m:nor/>
                </m:rPr>
                <w:rPr>
                  <w:rFonts w:ascii="Times New Roman"/>
                  <w:i/>
                </w:rPr>
                <m:t>=</m:t>
              </m:r>
              <m:f>
                <m:fPr>
                  <m:ctrlPr>
                    <w:rPr>
                      <w:rFonts w:ascii="Cambria Math" w:hAnsi="Cambria Math"/>
                      <w:i/>
                    </w:rPr>
                  </m:ctrlPr>
                </m:fPr>
                <m:num>
                  <m:sSup>
                    <m:sSupPr>
                      <m:ctrlPr>
                        <w:rPr>
                          <w:rFonts w:ascii="Cambria Math" w:hAnsi="Cambria Math"/>
                          <w:i/>
                        </w:rPr>
                      </m:ctrlPr>
                    </m:sSupPr>
                    <m:e>
                      <m:r>
                        <m:rPr>
                          <m:nor/>
                        </m:rPr>
                        <w:rPr>
                          <w:rFonts w:ascii="Times New Roman"/>
                          <w:i/>
                        </w:rPr>
                        <m:t>N</m:t>
                      </m:r>
                      <m:ctrlPr>
                        <w:rPr>
                          <w:rFonts w:ascii="Cambria Math" w:hAnsi="Cambria Math"/>
                          <w:i/>
                        </w:rPr>
                      </m:ctrlPr>
                    </m:e>
                    <m:sup>
                      <m:r>
                        <m:rPr>
                          <m:nor/>
                        </m:rPr>
                        <w:rPr>
                          <w:rFonts w:ascii="Times New Roman"/>
                          <w:i/>
                        </w:rPr>
                        <m:t>*</m:t>
                      </m:r>
                      <m:ctrlPr>
                        <w:rPr>
                          <w:rFonts w:ascii="Cambria Math" w:hAnsi="Cambria Math"/>
                          <w:i/>
                        </w:rPr>
                      </m:ctrlPr>
                    </m:sup>
                  </m:sSup>
                  <m:ctrlPr>
                    <w:rPr>
                      <w:rFonts w:ascii="Cambria Math" w:hAnsi="Cambria Math"/>
                      <w:i/>
                    </w:rPr>
                  </m:ctrlPr>
                </m:num>
                <m:den>
                  <m:r>
                    <m:rPr>
                      <m:nor/>
                    </m:rPr>
                    <w:rPr>
                      <w:rFonts w:ascii="Times New Roman"/>
                      <w:i/>
                    </w:rPr>
                    <m:t>N</m:t>
                  </m:r>
                  <m:ctrlPr>
                    <w:rPr>
                      <w:rFonts w:ascii="Cambria Math" w:hAnsi="Cambria Math"/>
                      <w:i/>
                    </w:rPr>
                  </m:ctrlPr>
                </m:den>
              </m:f>
              <m:r>
                <m:rPr>
                  <m:nor/>
                  <m:sty m:val="p"/>
                </m:rPr>
                <w:rPr>
                  <w:rFonts w:ascii="Times New Roman"/>
                  <w:iCs/>
                </w:rPr>
                <m:t>×100%</m:t>
              </m:r>
              <m:r>
                <m:rPr/>
                <w:rPr>
                  <w:rFonts w:ascii="Cambria Math" w:hAnsi="Cambria Math"/>
                </w:rPr>
                <m:t>#...............</m:t>
              </m:r>
              <m:d>
                <m:dPr>
                  <m:ctrlPr>
                    <w:rPr>
                      <w:rFonts w:ascii="Cambria Math" w:hAnsi="Cambria Math"/>
                      <w:i/>
                      <w:iCs/>
                    </w:rPr>
                  </m:ctrlPr>
                </m:dPr>
                <m:e>
                  <m:r>
                    <m:rPr>
                      <m:nor/>
                      <m:sty m:val="p"/>
                    </m:rPr>
                    <w:rPr>
                      <w:rFonts w:ascii="Times New Roman"/>
                      <w:iCs/>
                    </w:rPr>
                    <m:t>6</m:t>
                  </m:r>
                  <m:ctrlPr>
                    <w:rPr>
                      <w:rFonts w:ascii="Cambria Math" w:hAnsi="Cambria Math"/>
                      <w:i/>
                      <w:iCs/>
                    </w:rPr>
                  </m:ctrlPr>
                </m:e>
              </m:d>
              <m:ctrlPr>
                <w:rPr>
                  <w:rFonts w:ascii="Cambria Math" w:hAnsi="Cambria Math"/>
                  <w:i/>
                </w:rPr>
              </m:ctrlPr>
            </m:e>
          </m:eqArr>
        </m:oMath>
      </m:oMathPara>
    </w:p>
    <w:p w14:paraId="5394758E">
      <w:pPr>
        <w:pStyle w:val="56"/>
        <w:ind w:firstLine="420"/>
        <w:rPr>
          <w:rFonts w:ascii="Times New Roman"/>
        </w:rPr>
      </w:pPr>
      <w:r>
        <w:rPr>
          <w:rFonts w:ascii="Times New Roman"/>
        </w:rPr>
        <w:t>式中：</w:t>
      </w:r>
    </w:p>
    <w:p w14:paraId="016EA953">
      <w:pPr>
        <w:pStyle w:val="56"/>
        <w:ind w:firstLine="420"/>
        <w:rPr>
          <w:rFonts w:ascii="Times New Roman"/>
        </w:rPr>
      </w:pPr>
      <w:r>
        <w:rPr>
          <w:rFonts w:ascii="Times New Roman"/>
        </w:rPr>
        <w:t>Pc ——总体精度，单位为百分号（%）；</w:t>
      </w:r>
    </w:p>
    <w:p w14:paraId="0D627560">
      <w:pPr>
        <w:pStyle w:val="56"/>
        <w:ind w:firstLine="420"/>
        <w:rPr>
          <w:rFonts w:ascii="Times New Roman"/>
        </w:rPr>
      </w:pPr>
      <w:r>
        <w:rPr>
          <w:rFonts w:ascii="Times New Roman"/>
        </w:rPr>
        <w:t>N ——总样本数；</w:t>
      </w:r>
    </w:p>
    <w:p w14:paraId="4B42A0F3">
      <w:pPr>
        <w:pStyle w:val="56"/>
        <w:ind w:firstLine="420"/>
      </w:pPr>
      <w:r>
        <w:rPr>
          <w:rFonts w:ascii="Times New Roman"/>
        </w:rPr>
        <w:t>N* ——分类正确样本数。</w:t>
      </w:r>
    </w:p>
    <w:bookmarkEnd w:id="49"/>
    <w:p w14:paraId="4F380A2F">
      <w:pPr>
        <w:pStyle w:val="104"/>
        <w:spacing w:before="312" w:after="312"/>
      </w:pPr>
      <w:bookmarkStart w:id="56" w:name="_Toc212127845"/>
      <w:r>
        <w:rPr>
          <w:rFonts w:hint="eastAsia"/>
        </w:rPr>
        <w:t>监测成果</w:t>
      </w:r>
      <w:bookmarkEnd w:id="56"/>
    </w:p>
    <w:p w14:paraId="71019E5F">
      <w:pPr>
        <w:pStyle w:val="105"/>
        <w:spacing w:before="156" w:after="156"/>
      </w:pPr>
      <w:bookmarkStart w:id="57" w:name="_Toc212127846"/>
      <w:r>
        <w:rPr>
          <w:rFonts w:hint="eastAsia"/>
        </w:rPr>
        <w:t>监测专题图</w:t>
      </w:r>
      <w:bookmarkEnd w:id="57"/>
    </w:p>
    <w:p w14:paraId="4C75BD16">
      <w:pPr>
        <w:pStyle w:val="56"/>
        <w:ind w:firstLine="420"/>
      </w:pPr>
      <w:r>
        <w:rPr>
          <w:rFonts w:hint="eastAsia"/>
        </w:rPr>
        <w:t>凤</w:t>
      </w:r>
      <w:r>
        <w:rPr>
          <w:rFonts w:hint="eastAsia" w:ascii="Times New Roman"/>
        </w:rPr>
        <w:t>眼蓝遥感监测专题图要素应包括图名、图例、比例尺、指北针、制图单位、制图时间等，制图方式按</w:t>
      </w:r>
      <w:r>
        <w:rPr>
          <w:rFonts w:ascii="Times New Roman"/>
        </w:rPr>
        <w:t>GB/T 20257—2017</w:t>
      </w:r>
      <w:r>
        <w:rPr>
          <w:rFonts w:hint="eastAsia" w:ascii="Times New Roman"/>
        </w:rPr>
        <w:t>、</w:t>
      </w:r>
      <w:r>
        <w:rPr>
          <w:rFonts w:ascii="Times New Roman"/>
        </w:rPr>
        <w:t>NY/T 4150—2022</w:t>
      </w:r>
      <w:r>
        <w:rPr>
          <w:rFonts w:hint="eastAsia" w:ascii="Times New Roman"/>
        </w:rPr>
        <w:t>的规定执行。</w:t>
      </w:r>
    </w:p>
    <w:p w14:paraId="4C90AC21">
      <w:pPr>
        <w:pStyle w:val="105"/>
        <w:spacing w:before="156" w:after="156"/>
      </w:pPr>
      <w:bookmarkStart w:id="58" w:name="_Toc212127847"/>
      <w:r>
        <w:rPr>
          <w:rFonts w:hint="eastAsia"/>
        </w:rPr>
        <w:t>遥感监测报告</w:t>
      </w:r>
      <w:bookmarkEnd w:id="58"/>
    </w:p>
    <w:p w14:paraId="5B4131BA">
      <w:pPr>
        <w:pStyle w:val="56"/>
        <w:ind w:firstLine="420"/>
      </w:pPr>
      <w:r>
        <w:rPr>
          <w:rFonts w:hint="eastAsia"/>
        </w:rPr>
        <w:t>凤眼蓝遥感监测报告应包括报告题目、报告正文、监测专题图、统计表、编写人员、编写时间等。</w:t>
      </w:r>
      <w:bookmarkEnd w:id="15"/>
      <w:r>
        <w:rPr>
          <w:rFonts w:hint="eastAsia"/>
        </w:rPr>
        <w:t>凤眼蓝遥感监测报告编写大纲见附录</w:t>
      </w:r>
      <w:r>
        <w:t>B</w:t>
      </w:r>
      <w:r>
        <w:rPr>
          <w:rFonts w:hint="eastAsia"/>
        </w:rPr>
        <w:t>。</w:t>
      </w:r>
    </w:p>
    <w:p w14:paraId="7EAF0E67">
      <w:pPr>
        <w:pStyle w:val="104"/>
        <w:spacing w:before="312" w:after="312"/>
      </w:pPr>
      <w:bookmarkStart w:id="59" w:name="_Toc212127848"/>
      <w:r>
        <w:rPr>
          <w:rFonts w:hint="eastAsia"/>
        </w:rPr>
        <w:t>监测档案</w:t>
      </w:r>
      <w:bookmarkEnd w:id="59"/>
    </w:p>
    <w:p w14:paraId="4235454C">
      <w:pPr>
        <w:pStyle w:val="56"/>
        <w:ind w:firstLine="420"/>
      </w:pPr>
      <w:r>
        <w:rPr>
          <w:rFonts w:hint="eastAsia"/>
        </w:rPr>
        <w:t>应对监测过程中形成的各类数据、图表、文字等原始信息进行完整性检查与规范性整编，通过统一编码、系统整理后归档，形成内容完整、格式规范、便于查阅与追溯的档案记录。</w:t>
      </w:r>
    </w:p>
    <w:p w14:paraId="4D312157">
      <w:pPr>
        <w:pStyle w:val="56"/>
        <w:ind w:firstLine="420"/>
      </w:pPr>
    </w:p>
    <w:p w14:paraId="5EB3F208">
      <w:pPr>
        <w:jc w:val="center"/>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pPr>
    </w:p>
    <w:p w14:paraId="32881505">
      <w:pPr>
        <w:pStyle w:val="232"/>
        <w:jc w:val="both"/>
        <w:rPr>
          <w:rFonts w:ascii="宋体" w:hAnsi="宋体"/>
          <w:b w:val="0"/>
        </w:rPr>
      </w:pPr>
      <w:bookmarkStart w:id="60" w:name="_Toc181780382"/>
      <w:bookmarkStart w:id="61" w:name="_Toc181780475"/>
      <w:bookmarkStart w:id="62" w:name="_Toc181780576"/>
      <w:bookmarkStart w:id="63" w:name="_Toc212127849"/>
      <w:r>
        <w:t>附</w:t>
      </w:r>
      <w:r>
        <w:rPr>
          <w:rFonts w:hint="eastAsia"/>
        </w:rPr>
        <w:t xml:space="preserve"> </w:t>
      </w:r>
      <w:r>
        <w:t>录</w:t>
      </w:r>
      <w:r>
        <w:rPr>
          <w:rFonts w:hint="eastAsia"/>
        </w:rPr>
        <w:t xml:space="preserve"> </w:t>
      </w:r>
      <w:r>
        <w:t>A</w:t>
      </w:r>
      <w:bookmarkEnd w:id="60"/>
      <w:bookmarkEnd w:id="61"/>
      <w:bookmarkEnd w:id="62"/>
      <w:bookmarkEnd w:id="63"/>
    </w:p>
    <w:p w14:paraId="299B1FFC">
      <w:pPr>
        <w:autoSpaceDE w:val="0"/>
        <w:autoSpaceDN w:val="0"/>
        <w:jc w:val="center"/>
        <w:rPr>
          <w:rFonts w:ascii="宋体" w:hAnsi="宋体"/>
          <w:b/>
          <w:kern w:val="0"/>
          <w:sz w:val="28"/>
          <w:szCs w:val="28"/>
        </w:rPr>
      </w:pPr>
      <w:r>
        <w:rPr>
          <w:rFonts w:hint="eastAsia" w:ascii="宋体" w:hAnsi="宋体"/>
          <w:b/>
        </w:rPr>
        <w:t>（资料性）</w:t>
      </w:r>
    </w:p>
    <w:p w14:paraId="3F26BEBE">
      <w:pPr>
        <w:pStyle w:val="230"/>
        <w:ind w:firstLine="0" w:firstLineChars="0"/>
        <w:jc w:val="center"/>
        <w:rPr>
          <w:rFonts w:hAnsi="宋体" w:cs="宋体"/>
          <w:b/>
          <w:szCs w:val="21"/>
        </w:rPr>
      </w:pPr>
      <w:r>
        <w:rPr>
          <w:rFonts w:hint="eastAsia" w:hAnsi="宋体" w:cs="宋体"/>
          <w:b/>
          <w:szCs w:val="21"/>
        </w:rPr>
        <w:t>凤眼蓝遥感监测地面调查表</w:t>
      </w:r>
    </w:p>
    <w:p w14:paraId="4C7061B4">
      <w:pPr>
        <w:snapToGrid w:val="0"/>
        <w:spacing w:before="284"/>
        <w:ind w:firstLine="420" w:firstLineChars="200"/>
        <w:rPr>
          <w:rFonts w:ascii="Times New Roman" w:hAnsi="Times New Roman"/>
          <w:szCs w:val="24"/>
        </w:rPr>
      </w:pPr>
      <w:r>
        <w:rPr>
          <w:rFonts w:ascii="Times New Roman" w:hAnsi="Times New Roman"/>
          <w:szCs w:val="24"/>
        </w:rPr>
        <w:t>凤眼蓝遥感监测地面调查表见表A.1。</w:t>
      </w:r>
    </w:p>
    <w:p w14:paraId="0E6118B3">
      <w:pPr>
        <w:snapToGrid w:val="0"/>
        <w:spacing w:before="156" w:beforeLines="50" w:after="156" w:afterLines="50"/>
        <w:jc w:val="center"/>
        <w:rPr>
          <w:rFonts w:ascii="Times New Roman" w:hAnsi="Times New Roman" w:eastAsia="黑体"/>
        </w:rPr>
      </w:pPr>
      <w:r>
        <w:rPr>
          <w:rFonts w:ascii="Times New Roman" w:hAnsi="Times New Roman" w:eastAsia="黑体"/>
        </w:rPr>
        <w:t>表A.1 凤眼蓝遥感监测地面调查表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182"/>
        <w:gridCol w:w="1678"/>
        <w:gridCol w:w="1560"/>
        <w:gridCol w:w="1861"/>
        <w:gridCol w:w="3187"/>
      </w:tblGrid>
      <w:tr w14:paraId="0C11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3DFD4A7E">
            <w:pPr>
              <w:jc w:val="center"/>
              <w:rPr>
                <w:rFonts w:ascii="Times New Roman" w:hAnsi="Times New Roman"/>
              </w:rPr>
            </w:pPr>
            <w:r>
              <w:rPr>
                <w:rFonts w:ascii="Times New Roman" w:hAnsi="Times New Roman"/>
              </w:rPr>
              <w:t>调查地点</w:t>
            </w:r>
          </w:p>
        </w:tc>
        <w:tc>
          <w:tcPr>
            <w:tcW w:w="4376" w:type="pct"/>
            <w:gridSpan w:val="4"/>
            <w:tcBorders>
              <w:right w:val="single" w:color="auto" w:sz="4" w:space="0"/>
            </w:tcBorders>
            <w:vAlign w:val="center"/>
          </w:tcPr>
          <w:p w14:paraId="391F97D8">
            <w:pPr>
              <w:jc w:val="center"/>
              <w:rPr>
                <w:rFonts w:ascii="Times New Roman" w:hAnsi="Times New Roman"/>
              </w:rPr>
            </w:pPr>
            <w:r>
              <w:rPr>
                <w:rFonts w:ascii="Times New Roman" w:hAnsi="Times New Roman"/>
              </w:rPr>
              <w:t xml:space="preserve">   省（区）   市（地、州、盟）    县（区、市、旗）    乡（镇、街道）</w:t>
            </w:r>
          </w:p>
        </w:tc>
      </w:tr>
      <w:tr w14:paraId="374D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04F95C91">
            <w:pPr>
              <w:jc w:val="center"/>
              <w:rPr>
                <w:rFonts w:ascii="Times New Roman" w:hAnsi="Times New Roman"/>
              </w:rPr>
            </w:pPr>
            <w:r>
              <w:rPr>
                <w:rFonts w:ascii="Times New Roman" w:hAnsi="Times New Roman"/>
              </w:rPr>
              <w:t>样地编号</w:t>
            </w:r>
          </w:p>
        </w:tc>
        <w:tc>
          <w:tcPr>
            <w:tcW w:w="4376" w:type="pct"/>
            <w:gridSpan w:val="4"/>
            <w:tcBorders>
              <w:right w:val="single" w:color="auto" w:sz="4" w:space="0"/>
            </w:tcBorders>
            <w:vAlign w:val="center"/>
          </w:tcPr>
          <w:p w14:paraId="6D60D80D">
            <w:pPr>
              <w:jc w:val="center"/>
              <w:rPr>
                <w:rFonts w:ascii="Times New Roman" w:hAnsi="Times New Roman"/>
              </w:rPr>
            </w:pPr>
          </w:p>
        </w:tc>
      </w:tr>
      <w:tr w14:paraId="0781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2E540BB5">
            <w:pPr>
              <w:jc w:val="center"/>
              <w:rPr>
                <w:rFonts w:ascii="Times New Roman" w:hAnsi="Times New Roman"/>
                <w:u w:val="single"/>
              </w:rPr>
            </w:pPr>
            <w:r>
              <w:rPr>
                <w:rFonts w:ascii="Times New Roman" w:hAnsi="Times New Roman"/>
                <w:kern w:val="0"/>
              </w:rPr>
              <w:t>发生生境</w:t>
            </w:r>
          </w:p>
        </w:tc>
        <w:tc>
          <w:tcPr>
            <w:tcW w:w="4376" w:type="pct"/>
            <w:gridSpan w:val="4"/>
            <w:tcBorders>
              <w:right w:val="single" w:color="auto" w:sz="4" w:space="0"/>
            </w:tcBorders>
            <w:vAlign w:val="center"/>
          </w:tcPr>
          <w:p w14:paraId="6951F06C">
            <w:pPr>
              <w:rPr>
                <w:rFonts w:ascii="Times New Roman" w:hAnsi="Times New Roman"/>
              </w:rPr>
            </w:pPr>
            <w:r>
              <w:rPr>
                <w:rFonts w:ascii="Times New Roman" w:hAnsi="Times New Roman"/>
              </w:rPr>
              <w:sym w:font="Wingdings 2" w:char="F0A3"/>
            </w:r>
            <w:r>
              <w:rPr>
                <w:rFonts w:ascii="Times New Roman" w:hAnsi="Times New Roman"/>
              </w:rPr>
              <w:t xml:space="preserve">河流 </w:t>
            </w:r>
            <w:r>
              <w:rPr>
                <w:rFonts w:ascii="Times New Roman" w:hAnsi="Times New Roman"/>
              </w:rPr>
              <w:sym w:font="Wingdings 2" w:char="F0A3"/>
            </w:r>
            <w:r>
              <w:rPr>
                <w:rFonts w:ascii="Times New Roman" w:hAnsi="Times New Roman"/>
              </w:rPr>
              <w:t xml:space="preserve">沟渠 </w:t>
            </w:r>
            <w:r>
              <w:rPr>
                <w:rFonts w:ascii="Times New Roman" w:hAnsi="Times New Roman"/>
              </w:rPr>
              <w:sym w:font="Wingdings 2" w:char="F0A3"/>
            </w:r>
            <w:r>
              <w:rPr>
                <w:rFonts w:ascii="Times New Roman" w:hAnsi="Times New Roman"/>
              </w:rPr>
              <w:t xml:space="preserve">湖泊 </w:t>
            </w:r>
            <w:r>
              <w:rPr>
                <w:rFonts w:ascii="Times New Roman" w:hAnsi="Times New Roman"/>
              </w:rPr>
              <w:sym w:font="Wingdings 2" w:char="F0A3"/>
            </w:r>
            <w:r>
              <w:rPr>
                <w:rFonts w:ascii="Times New Roman" w:hAnsi="Times New Roman"/>
              </w:rPr>
              <w:t xml:space="preserve">水库 </w:t>
            </w:r>
            <w:r>
              <w:rPr>
                <w:rFonts w:ascii="Times New Roman" w:hAnsi="Times New Roman"/>
              </w:rPr>
              <w:sym w:font="Wingdings 2" w:char="F0A3"/>
            </w:r>
            <w:r>
              <w:rPr>
                <w:rFonts w:ascii="Times New Roman" w:hAnsi="Times New Roman"/>
              </w:rPr>
              <w:t xml:space="preserve">池塘 </w:t>
            </w:r>
            <w:r>
              <w:rPr>
                <w:rFonts w:ascii="Times New Roman" w:hAnsi="Times New Roman"/>
              </w:rPr>
              <w:sym w:font="Wingdings 2" w:char="F0A3"/>
            </w:r>
            <w:r>
              <w:rPr>
                <w:rFonts w:ascii="Times New Roman" w:hAnsi="Times New Roman"/>
              </w:rPr>
              <w:t>其他</w:t>
            </w:r>
          </w:p>
        </w:tc>
      </w:tr>
      <w:tr w14:paraId="77B3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0925DE24">
            <w:pPr>
              <w:jc w:val="center"/>
              <w:rPr>
                <w:rFonts w:ascii="Times New Roman" w:hAnsi="Times New Roman"/>
              </w:rPr>
            </w:pPr>
            <w:r>
              <w:rPr>
                <w:rFonts w:ascii="Times New Roman" w:hAnsi="Times New Roman"/>
              </w:rPr>
              <w:t>样点序号</w:t>
            </w:r>
          </w:p>
        </w:tc>
        <w:tc>
          <w:tcPr>
            <w:tcW w:w="886" w:type="pct"/>
            <w:tcBorders>
              <w:right w:val="single" w:color="auto" w:sz="4" w:space="0"/>
            </w:tcBorders>
            <w:vAlign w:val="center"/>
          </w:tcPr>
          <w:p w14:paraId="0CC7B079">
            <w:pPr>
              <w:jc w:val="center"/>
              <w:rPr>
                <w:rFonts w:ascii="Times New Roman" w:hAnsi="Times New Roman"/>
                <w:u w:val="single"/>
              </w:rPr>
            </w:pPr>
            <w:r>
              <w:rPr>
                <w:rFonts w:ascii="Times New Roman" w:hAnsi="Times New Roman"/>
              </w:rPr>
              <w:t>类别</w:t>
            </w:r>
          </w:p>
        </w:tc>
        <w:tc>
          <w:tcPr>
            <w:tcW w:w="824" w:type="pct"/>
            <w:tcBorders>
              <w:right w:val="single" w:color="auto" w:sz="4" w:space="0"/>
            </w:tcBorders>
            <w:vAlign w:val="center"/>
          </w:tcPr>
          <w:p w14:paraId="63C9B792">
            <w:pPr>
              <w:jc w:val="center"/>
              <w:rPr>
                <w:rFonts w:ascii="Times New Roman" w:hAnsi="Times New Roman"/>
              </w:rPr>
            </w:pPr>
            <w:r>
              <w:rPr>
                <w:rFonts w:ascii="Times New Roman" w:hAnsi="Times New Roman"/>
              </w:rPr>
              <w:t>经度(°′″)</w:t>
            </w:r>
          </w:p>
        </w:tc>
        <w:tc>
          <w:tcPr>
            <w:tcW w:w="983" w:type="pct"/>
            <w:tcBorders>
              <w:right w:val="single" w:color="auto" w:sz="4" w:space="0"/>
            </w:tcBorders>
            <w:vAlign w:val="center"/>
          </w:tcPr>
          <w:p w14:paraId="4C943CEC">
            <w:pPr>
              <w:jc w:val="center"/>
              <w:rPr>
                <w:rFonts w:ascii="Times New Roman" w:hAnsi="Times New Roman"/>
              </w:rPr>
            </w:pPr>
            <w:r>
              <w:rPr>
                <w:rFonts w:ascii="Times New Roman" w:hAnsi="Times New Roman"/>
              </w:rPr>
              <w:t>纬度(°′″)</w:t>
            </w:r>
          </w:p>
        </w:tc>
        <w:tc>
          <w:tcPr>
            <w:tcW w:w="1683" w:type="pct"/>
            <w:tcBorders>
              <w:left w:val="single" w:color="auto" w:sz="4" w:space="0"/>
              <w:right w:val="single" w:color="auto" w:sz="4" w:space="0"/>
            </w:tcBorders>
            <w:vAlign w:val="center"/>
          </w:tcPr>
          <w:p w14:paraId="6DF1FE40">
            <w:pPr>
              <w:jc w:val="center"/>
              <w:rPr>
                <w:rFonts w:ascii="Times New Roman" w:hAnsi="Times New Roman"/>
              </w:rPr>
            </w:pPr>
            <w:r>
              <w:rPr>
                <w:rFonts w:ascii="Times New Roman" w:hAnsi="Times New Roman"/>
              </w:rPr>
              <w:t>照片</w:t>
            </w:r>
          </w:p>
        </w:tc>
      </w:tr>
      <w:tr w14:paraId="3C9F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49A28421">
            <w:pPr>
              <w:jc w:val="center"/>
              <w:rPr>
                <w:rFonts w:ascii="Times New Roman" w:hAnsi="Times New Roman"/>
              </w:rPr>
            </w:pPr>
          </w:p>
        </w:tc>
        <w:tc>
          <w:tcPr>
            <w:tcW w:w="886" w:type="pct"/>
            <w:tcBorders>
              <w:right w:val="single" w:color="auto" w:sz="4" w:space="0"/>
            </w:tcBorders>
            <w:vAlign w:val="center"/>
          </w:tcPr>
          <w:p w14:paraId="7AB3C704">
            <w:pPr>
              <w:jc w:val="center"/>
              <w:rPr>
                <w:rFonts w:ascii="Times New Roman" w:hAnsi="Times New Roman"/>
                <w:u w:val="single"/>
              </w:rPr>
            </w:pPr>
          </w:p>
        </w:tc>
        <w:tc>
          <w:tcPr>
            <w:tcW w:w="824" w:type="pct"/>
            <w:tcBorders>
              <w:right w:val="single" w:color="auto" w:sz="4" w:space="0"/>
            </w:tcBorders>
            <w:vAlign w:val="center"/>
          </w:tcPr>
          <w:p w14:paraId="5DE6ED45">
            <w:pPr>
              <w:jc w:val="center"/>
              <w:rPr>
                <w:rFonts w:ascii="Times New Roman" w:hAnsi="Times New Roman"/>
              </w:rPr>
            </w:pPr>
          </w:p>
        </w:tc>
        <w:tc>
          <w:tcPr>
            <w:tcW w:w="983" w:type="pct"/>
            <w:tcBorders>
              <w:right w:val="single" w:color="auto" w:sz="4" w:space="0"/>
            </w:tcBorders>
            <w:vAlign w:val="center"/>
          </w:tcPr>
          <w:p w14:paraId="7F2963FA">
            <w:pPr>
              <w:jc w:val="center"/>
              <w:rPr>
                <w:rFonts w:ascii="Times New Roman" w:hAnsi="Times New Roman"/>
              </w:rPr>
            </w:pPr>
          </w:p>
        </w:tc>
        <w:tc>
          <w:tcPr>
            <w:tcW w:w="1683" w:type="pct"/>
            <w:tcBorders>
              <w:left w:val="single" w:color="auto" w:sz="4" w:space="0"/>
              <w:right w:val="single" w:color="auto" w:sz="4" w:space="0"/>
            </w:tcBorders>
            <w:vAlign w:val="center"/>
          </w:tcPr>
          <w:p w14:paraId="71ED6DF2">
            <w:pPr>
              <w:jc w:val="center"/>
              <w:rPr>
                <w:rFonts w:ascii="Times New Roman" w:hAnsi="Times New Roman"/>
                <w:u w:val="single"/>
              </w:rPr>
            </w:pPr>
          </w:p>
        </w:tc>
      </w:tr>
      <w:tr w14:paraId="63DE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59B3B382">
            <w:pPr>
              <w:jc w:val="center"/>
              <w:rPr>
                <w:rFonts w:ascii="Times New Roman" w:hAnsi="Times New Roman"/>
              </w:rPr>
            </w:pPr>
          </w:p>
        </w:tc>
        <w:tc>
          <w:tcPr>
            <w:tcW w:w="886" w:type="pct"/>
            <w:tcBorders>
              <w:right w:val="single" w:color="auto" w:sz="4" w:space="0"/>
            </w:tcBorders>
            <w:vAlign w:val="center"/>
          </w:tcPr>
          <w:p w14:paraId="5DFA752A">
            <w:pPr>
              <w:jc w:val="center"/>
              <w:rPr>
                <w:rFonts w:ascii="Times New Roman" w:hAnsi="Times New Roman"/>
              </w:rPr>
            </w:pPr>
          </w:p>
        </w:tc>
        <w:tc>
          <w:tcPr>
            <w:tcW w:w="824" w:type="pct"/>
            <w:tcBorders>
              <w:right w:val="single" w:color="auto" w:sz="4" w:space="0"/>
            </w:tcBorders>
            <w:vAlign w:val="center"/>
          </w:tcPr>
          <w:p w14:paraId="6C6DBE85">
            <w:pPr>
              <w:jc w:val="center"/>
              <w:rPr>
                <w:rFonts w:ascii="Times New Roman" w:hAnsi="Times New Roman"/>
              </w:rPr>
            </w:pPr>
          </w:p>
        </w:tc>
        <w:tc>
          <w:tcPr>
            <w:tcW w:w="983" w:type="pct"/>
            <w:tcBorders>
              <w:right w:val="single" w:color="auto" w:sz="4" w:space="0"/>
            </w:tcBorders>
            <w:vAlign w:val="center"/>
          </w:tcPr>
          <w:p w14:paraId="4932F498">
            <w:pPr>
              <w:jc w:val="center"/>
              <w:rPr>
                <w:rFonts w:ascii="Times New Roman" w:hAnsi="Times New Roman"/>
              </w:rPr>
            </w:pPr>
          </w:p>
        </w:tc>
        <w:tc>
          <w:tcPr>
            <w:tcW w:w="1683" w:type="pct"/>
            <w:tcBorders>
              <w:left w:val="single" w:color="auto" w:sz="4" w:space="0"/>
              <w:right w:val="single" w:color="auto" w:sz="4" w:space="0"/>
            </w:tcBorders>
            <w:vAlign w:val="center"/>
          </w:tcPr>
          <w:p w14:paraId="42DE43DC">
            <w:pPr>
              <w:jc w:val="center"/>
              <w:rPr>
                <w:rFonts w:ascii="Times New Roman" w:hAnsi="Times New Roman"/>
              </w:rPr>
            </w:pPr>
          </w:p>
        </w:tc>
      </w:tr>
      <w:tr w14:paraId="2B00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5C1F3A66">
            <w:pPr>
              <w:jc w:val="center"/>
              <w:rPr>
                <w:rFonts w:ascii="Times New Roman" w:hAnsi="Times New Roman"/>
              </w:rPr>
            </w:pPr>
          </w:p>
        </w:tc>
        <w:tc>
          <w:tcPr>
            <w:tcW w:w="886" w:type="pct"/>
            <w:tcBorders>
              <w:right w:val="single" w:color="auto" w:sz="4" w:space="0"/>
            </w:tcBorders>
            <w:vAlign w:val="center"/>
          </w:tcPr>
          <w:p w14:paraId="351049A6">
            <w:pPr>
              <w:jc w:val="center"/>
              <w:rPr>
                <w:rFonts w:ascii="Times New Roman" w:hAnsi="Times New Roman"/>
              </w:rPr>
            </w:pPr>
          </w:p>
        </w:tc>
        <w:tc>
          <w:tcPr>
            <w:tcW w:w="824" w:type="pct"/>
            <w:tcBorders>
              <w:right w:val="single" w:color="auto" w:sz="4" w:space="0"/>
            </w:tcBorders>
            <w:vAlign w:val="center"/>
          </w:tcPr>
          <w:p w14:paraId="4CE6430A">
            <w:pPr>
              <w:jc w:val="center"/>
              <w:rPr>
                <w:rFonts w:ascii="Times New Roman" w:hAnsi="Times New Roman"/>
              </w:rPr>
            </w:pPr>
          </w:p>
        </w:tc>
        <w:tc>
          <w:tcPr>
            <w:tcW w:w="983" w:type="pct"/>
            <w:tcBorders>
              <w:right w:val="single" w:color="auto" w:sz="4" w:space="0"/>
            </w:tcBorders>
            <w:vAlign w:val="center"/>
          </w:tcPr>
          <w:p w14:paraId="38A6B964">
            <w:pPr>
              <w:jc w:val="center"/>
              <w:rPr>
                <w:rFonts w:ascii="Times New Roman" w:hAnsi="Times New Roman"/>
              </w:rPr>
            </w:pPr>
          </w:p>
        </w:tc>
        <w:tc>
          <w:tcPr>
            <w:tcW w:w="1683" w:type="pct"/>
            <w:tcBorders>
              <w:left w:val="single" w:color="auto" w:sz="4" w:space="0"/>
              <w:right w:val="single" w:color="auto" w:sz="4" w:space="0"/>
            </w:tcBorders>
            <w:vAlign w:val="center"/>
          </w:tcPr>
          <w:p w14:paraId="6F22F43D">
            <w:pPr>
              <w:jc w:val="center"/>
              <w:rPr>
                <w:rFonts w:ascii="Times New Roman" w:hAnsi="Times New Roman"/>
              </w:rPr>
            </w:pPr>
          </w:p>
        </w:tc>
      </w:tr>
      <w:tr w14:paraId="0805A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624" w:type="pct"/>
            <w:tcBorders>
              <w:left w:val="single" w:color="auto" w:sz="8" w:space="0"/>
            </w:tcBorders>
            <w:vAlign w:val="center"/>
          </w:tcPr>
          <w:p w14:paraId="53817E17">
            <w:pPr>
              <w:jc w:val="center"/>
              <w:rPr>
                <w:rFonts w:ascii="Times New Roman" w:hAnsi="Times New Roman"/>
              </w:rPr>
            </w:pPr>
          </w:p>
        </w:tc>
        <w:tc>
          <w:tcPr>
            <w:tcW w:w="886" w:type="pct"/>
            <w:tcBorders>
              <w:right w:val="single" w:color="auto" w:sz="4" w:space="0"/>
            </w:tcBorders>
            <w:vAlign w:val="center"/>
          </w:tcPr>
          <w:p w14:paraId="29CF2D65">
            <w:pPr>
              <w:jc w:val="center"/>
              <w:rPr>
                <w:rFonts w:ascii="Times New Roman" w:hAnsi="Times New Roman"/>
              </w:rPr>
            </w:pPr>
          </w:p>
        </w:tc>
        <w:tc>
          <w:tcPr>
            <w:tcW w:w="824" w:type="pct"/>
            <w:tcBorders>
              <w:right w:val="single" w:color="auto" w:sz="4" w:space="0"/>
            </w:tcBorders>
            <w:vAlign w:val="center"/>
          </w:tcPr>
          <w:p w14:paraId="0C0D4AE5">
            <w:pPr>
              <w:jc w:val="center"/>
              <w:rPr>
                <w:rFonts w:ascii="Times New Roman" w:hAnsi="Times New Roman"/>
              </w:rPr>
            </w:pPr>
          </w:p>
        </w:tc>
        <w:tc>
          <w:tcPr>
            <w:tcW w:w="983" w:type="pct"/>
            <w:tcBorders>
              <w:right w:val="single" w:color="auto" w:sz="4" w:space="0"/>
            </w:tcBorders>
            <w:vAlign w:val="center"/>
          </w:tcPr>
          <w:p w14:paraId="74FEE671">
            <w:pPr>
              <w:jc w:val="center"/>
              <w:rPr>
                <w:rFonts w:ascii="Times New Roman" w:hAnsi="Times New Roman"/>
              </w:rPr>
            </w:pPr>
          </w:p>
        </w:tc>
        <w:tc>
          <w:tcPr>
            <w:tcW w:w="1683" w:type="pct"/>
            <w:tcBorders>
              <w:left w:val="single" w:color="auto" w:sz="4" w:space="0"/>
              <w:right w:val="single" w:color="auto" w:sz="4" w:space="0"/>
            </w:tcBorders>
            <w:vAlign w:val="center"/>
          </w:tcPr>
          <w:p w14:paraId="71DB602E">
            <w:pPr>
              <w:jc w:val="center"/>
              <w:rPr>
                <w:rFonts w:ascii="Times New Roman" w:hAnsi="Times New Roman"/>
              </w:rPr>
            </w:pPr>
          </w:p>
        </w:tc>
      </w:tr>
      <w:tr w14:paraId="75D1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4" w:type="pct"/>
            <w:tcBorders>
              <w:left w:val="single" w:color="auto" w:sz="8" w:space="0"/>
            </w:tcBorders>
            <w:vAlign w:val="center"/>
          </w:tcPr>
          <w:p w14:paraId="5C6C4447">
            <w:pPr>
              <w:jc w:val="center"/>
              <w:rPr>
                <w:rFonts w:ascii="Times New Roman" w:hAnsi="Times New Roman"/>
              </w:rPr>
            </w:pPr>
          </w:p>
        </w:tc>
        <w:tc>
          <w:tcPr>
            <w:tcW w:w="886" w:type="pct"/>
            <w:tcBorders>
              <w:right w:val="single" w:color="auto" w:sz="4" w:space="0"/>
            </w:tcBorders>
            <w:vAlign w:val="center"/>
          </w:tcPr>
          <w:p w14:paraId="408430F5">
            <w:pPr>
              <w:jc w:val="center"/>
              <w:rPr>
                <w:rFonts w:ascii="Times New Roman" w:hAnsi="Times New Roman"/>
              </w:rPr>
            </w:pPr>
          </w:p>
        </w:tc>
        <w:tc>
          <w:tcPr>
            <w:tcW w:w="824" w:type="pct"/>
            <w:tcBorders>
              <w:right w:val="single" w:color="auto" w:sz="4" w:space="0"/>
            </w:tcBorders>
            <w:vAlign w:val="center"/>
          </w:tcPr>
          <w:p w14:paraId="2A5706B0">
            <w:pPr>
              <w:jc w:val="center"/>
              <w:rPr>
                <w:rFonts w:ascii="Times New Roman" w:hAnsi="Times New Roman"/>
              </w:rPr>
            </w:pPr>
          </w:p>
        </w:tc>
        <w:tc>
          <w:tcPr>
            <w:tcW w:w="983" w:type="pct"/>
            <w:tcBorders>
              <w:right w:val="single" w:color="auto" w:sz="4" w:space="0"/>
            </w:tcBorders>
            <w:vAlign w:val="center"/>
          </w:tcPr>
          <w:p w14:paraId="67A8660D">
            <w:pPr>
              <w:jc w:val="center"/>
              <w:rPr>
                <w:rFonts w:ascii="Times New Roman" w:hAnsi="Times New Roman"/>
              </w:rPr>
            </w:pPr>
          </w:p>
        </w:tc>
        <w:tc>
          <w:tcPr>
            <w:tcW w:w="1683" w:type="pct"/>
            <w:tcBorders>
              <w:left w:val="single" w:color="auto" w:sz="4" w:space="0"/>
              <w:right w:val="single" w:color="auto" w:sz="4" w:space="0"/>
            </w:tcBorders>
            <w:vAlign w:val="center"/>
          </w:tcPr>
          <w:p w14:paraId="425FF1F1">
            <w:pPr>
              <w:jc w:val="center"/>
              <w:rPr>
                <w:rFonts w:ascii="Times New Roman" w:hAnsi="Times New Roman"/>
              </w:rPr>
            </w:pPr>
          </w:p>
        </w:tc>
      </w:tr>
      <w:tr w14:paraId="0F8F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3317" w:type="pct"/>
            <w:gridSpan w:val="4"/>
            <w:tcBorders>
              <w:left w:val="single" w:color="auto" w:sz="8" w:space="0"/>
              <w:right w:val="single" w:color="auto" w:sz="4" w:space="0"/>
            </w:tcBorders>
            <w:vAlign w:val="center"/>
          </w:tcPr>
          <w:p w14:paraId="7EB485D2">
            <w:pPr>
              <w:jc w:val="left"/>
              <w:rPr>
                <w:rFonts w:ascii="Times New Roman" w:hAnsi="Times New Roman"/>
              </w:rPr>
            </w:pPr>
            <w:r>
              <w:rPr>
                <w:rFonts w:ascii="Times New Roman" w:hAnsi="Times New Roman"/>
              </w:rPr>
              <w:t>调查人：</w:t>
            </w:r>
          </w:p>
        </w:tc>
        <w:tc>
          <w:tcPr>
            <w:tcW w:w="1683" w:type="pct"/>
            <w:tcBorders>
              <w:right w:val="single" w:color="auto" w:sz="4" w:space="0"/>
            </w:tcBorders>
            <w:vAlign w:val="center"/>
          </w:tcPr>
          <w:p w14:paraId="6E7EBFC0">
            <w:pPr>
              <w:rPr>
                <w:rFonts w:ascii="Times New Roman" w:hAnsi="Times New Roman"/>
              </w:rPr>
            </w:pPr>
            <w:r>
              <w:rPr>
                <w:rFonts w:ascii="Times New Roman" w:hAnsi="Times New Roman"/>
              </w:rPr>
              <w:t>日期：    年    月    日</w:t>
            </w:r>
          </w:p>
        </w:tc>
      </w:tr>
      <w:tr w14:paraId="2B8D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jc w:val="center"/>
        </w:trPr>
        <w:tc>
          <w:tcPr>
            <w:tcW w:w="3317" w:type="pct"/>
            <w:gridSpan w:val="4"/>
            <w:tcBorders>
              <w:left w:val="single" w:color="auto" w:sz="8" w:space="0"/>
              <w:right w:val="single" w:color="auto" w:sz="4" w:space="0"/>
            </w:tcBorders>
            <w:vAlign w:val="center"/>
          </w:tcPr>
          <w:p w14:paraId="7D65E0F6">
            <w:pPr>
              <w:jc w:val="left"/>
              <w:rPr>
                <w:rFonts w:ascii="Times New Roman" w:hAnsi="Times New Roman"/>
              </w:rPr>
            </w:pPr>
            <w:r>
              <w:rPr>
                <w:rFonts w:ascii="Times New Roman" w:hAnsi="Times New Roman"/>
              </w:rPr>
              <w:t>审核人：</w:t>
            </w:r>
          </w:p>
        </w:tc>
        <w:tc>
          <w:tcPr>
            <w:tcW w:w="1683" w:type="pct"/>
            <w:tcBorders>
              <w:right w:val="single" w:color="auto" w:sz="4" w:space="0"/>
            </w:tcBorders>
            <w:vAlign w:val="center"/>
          </w:tcPr>
          <w:p w14:paraId="48742A76">
            <w:pPr>
              <w:rPr>
                <w:rFonts w:ascii="Times New Roman" w:hAnsi="Times New Roman"/>
              </w:rPr>
            </w:pPr>
            <w:r>
              <w:rPr>
                <w:rFonts w:ascii="Times New Roman" w:hAnsi="Times New Roman"/>
              </w:rPr>
              <w:t>日期：    年    月    日</w:t>
            </w:r>
          </w:p>
        </w:tc>
      </w:tr>
    </w:tbl>
    <w:p w14:paraId="7C583462">
      <w:pPr>
        <w:pStyle w:val="230"/>
        <w:ind w:firstLine="0" w:firstLineChars="0"/>
        <w:rPr>
          <w:rFonts w:ascii="Times New Roman" w:hAnsi="Times New Roman"/>
          <w:shd w:val="clear" w:color="auto" w:fill="FFFFFF"/>
        </w:rPr>
      </w:pPr>
      <w:r>
        <w:rPr>
          <w:rFonts w:ascii="Times New Roman" w:hAnsi="Times New Roman"/>
          <w:shd w:val="clear" w:color="auto" w:fill="FFFFFF"/>
        </w:rPr>
        <w:t>*说明：1、类别包括水体、凤眼蓝和本土水生植物等；</w:t>
      </w:r>
    </w:p>
    <w:p w14:paraId="5EDE9BBF">
      <w:pPr>
        <w:pStyle w:val="230"/>
        <w:ind w:firstLine="630" w:firstLineChars="300"/>
        <w:rPr>
          <w:rFonts w:ascii="Times New Roman" w:hAnsi="Times New Roman"/>
          <w:shd w:val="clear" w:color="auto" w:fill="FFFFFF"/>
        </w:rPr>
      </w:pPr>
      <w:r>
        <w:rPr>
          <w:rFonts w:ascii="Times New Roman" w:hAnsi="Times New Roman"/>
          <w:shd w:val="clear" w:color="auto" w:fill="FFFFFF"/>
        </w:rPr>
        <w:t>2、经纬度保留</w:t>
      </w:r>
      <w:r>
        <w:rPr>
          <w:rFonts w:ascii="Times New Roman" w:hAnsi="Times New Roman"/>
        </w:rPr>
        <w:t>5位小</w:t>
      </w:r>
      <w:r>
        <w:rPr>
          <w:rFonts w:ascii="Times New Roman" w:hAnsi="Times New Roman"/>
          <w:shd w:val="clear" w:color="auto" w:fill="FFFFFF"/>
        </w:rPr>
        <w:t>数。</w:t>
      </w:r>
    </w:p>
    <w:p w14:paraId="39AB00B8">
      <w:pPr>
        <w:widowControl/>
        <w:adjustRightInd/>
        <w:spacing w:line="240" w:lineRule="auto"/>
        <w:jc w:val="left"/>
        <w:rPr>
          <w:rFonts w:ascii="Times New Roman" w:hAnsi="Times New Roman"/>
          <w:kern w:val="0"/>
          <w:szCs w:val="20"/>
          <w:shd w:val="clear" w:color="auto" w:fill="FFFFFF"/>
        </w:rPr>
      </w:pPr>
      <w:r>
        <w:rPr>
          <w:rFonts w:ascii="Times New Roman" w:hAnsi="Times New Roman"/>
          <w:shd w:val="clear" w:color="auto" w:fill="FFFFFF"/>
        </w:rPr>
        <w:br w:type="page"/>
      </w:r>
    </w:p>
    <w:p w14:paraId="0156B80D">
      <w:pPr>
        <w:pStyle w:val="232"/>
        <w:jc w:val="both"/>
      </w:pPr>
      <w:r>
        <w:t>附 录 B</w:t>
      </w:r>
    </w:p>
    <w:p w14:paraId="7F233D83">
      <w:pPr>
        <w:autoSpaceDE w:val="0"/>
        <w:autoSpaceDN w:val="0"/>
        <w:jc w:val="center"/>
        <w:rPr>
          <w:rFonts w:ascii="Times New Roman" w:hAnsi="Times New Roman"/>
          <w:b/>
        </w:rPr>
      </w:pPr>
      <w:r>
        <w:rPr>
          <w:rFonts w:ascii="Times New Roman" w:hAnsi="Times New Roman"/>
          <w:b/>
        </w:rPr>
        <w:t>（资料性）</w:t>
      </w:r>
    </w:p>
    <w:p w14:paraId="6F3BEFF4">
      <w:pPr>
        <w:autoSpaceDE w:val="0"/>
        <w:autoSpaceDN w:val="0"/>
        <w:jc w:val="center"/>
        <w:rPr>
          <w:rFonts w:ascii="Times New Roman" w:hAnsi="Times New Roman"/>
          <w:b/>
        </w:rPr>
      </w:pPr>
      <w:r>
        <w:rPr>
          <w:rFonts w:ascii="Times New Roman" w:hAnsi="Times New Roman"/>
          <w:b/>
        </w:rPr>
        <w:t>凤眼蓝遥感监测报告编写大纲</w:t>
      </w:r>
    </w:p>
    <w:p w14:paraId="5CC2D652">
      <w:pPr>
        <w:pStyle w:val="230"/>
        <w:spacing w:before="156" w:beforeLines="50" w:after="156" w:afterLines="50"/>
        <w:ind w:firstLine="0" w:firstLineChars="0"/>
        <w:rPr>
          <w:rFonts w:ascii="Times New Roman" w:hAnsi="Times New Roman"/>
          <w:b/>
          <w:bCs/>
          <w:shd w:val="clear" w:color="auto" w:fill="FFFFFF"/>
        </w:rPr>
      </w:pPr>
      <w:r>
        <w:rPr>
          <w:rFonts w:ascii="Times New Roman" w:hAnsi="Times New Roman"/>
          <w:b/>
          <w:bCs/>
          <w:shd w:val="clear" w:color="auto" w:fill="FFFFFF"/>
        </w:rPr>
        <w:t>B.1 文本格式</w:t>
      </w:r>
    </w:p>
    <w:p w14:paraId="6B6C9C83">
      <w:pPr>
        <w:pStyle w:val="230"/>
        <w:spacing w:before="156" w:beforeLines="50" w:after="156" w:afterLines="50"/>
        <w:ind w:firstLine="0" w:firstLineChars="0"/>
        <w:rPr>
          <w:rFonts w:ascii="Times New Roman" w:hAnsi="Times New Roman"/>
          <w:b/>
          <w:bCs/>
          <w:shd w:val="clear" w:color="auto" w:fill="FFFFFF"/>
        </w:rPr>
      </w:pPr>
      <w:r>
        <w:rPr>
          <w:rFonts w:ascii="Times New Roman" w:hAnsi="Times New Roman"/>
          <w:b/>
          <w:bCs/>
          <w:shd w:val="clear" w:color="auto" w:fill="FFFFFF"/>
        </w:rPr>
        <w:t>B 1.1 文本规格</w:t>
      </w:r>
    </w:p>
    <w:p w14:paraId="7328F10B">
      <w:pPr>
        <w:pStyle w:val="56"/>
        <w:ind w:firstLine="420"/>
        <w:rPr>
          <w:rFonts w:ascii="Times New Roman"/>
        </w:rPr>
      </w:pPr>
      <w:r>
        <w:rPr>
          <w:rFonts w:ascii="Times New Roman"/>
        </w:rPr>
        <w:t>文本外形尺寸为A4（210 mm×297 mm）。</w:t>
      </w:r>
    </w:p>
    <w:p w14:paraId="74FFB556">
      <w:pPr>
        <w:pStyle w:val="230"/>
        <w:spacing w:before="156" w:beforeLines="50" w:after="156" w:afterLines="50"/>
        <w:ind w:firstLine="0" w:firstLineChars="0"/>
        <w:rPr>
          <w:rFonts w:ascii="Times New Roman" w:hAnsi="Times New Roman"/>
          <w:b/>
          <w:bCs/>
          <w:shd w:val="clear" w:color="auto" w:fill="FFFFFF"/>
        </w:rPr>
      </w:pPr>
      <w:r>
        <w:rPr>
          <w:rFonts w:ascii="Times New Roman" w:hAnsi="Times New Roman"/>
          <w:b/>
          <w:bCs/>
          <w:shd w:val="clear" w:color="auto" w:fill="FFFFFF"/>
        </w:rPr>
        <w:t xml:space="preserve">B.1.2 封面格式 </w:t>
      </w:r>
    </w:p>
    <w:p w14:paraId="10DC8BDF">
      <w:pPr>
        <w:pStyle w:val="56"/>
        <w:ind w:firstLine="420"/>
        <w:rPr>
          <w:rFonts w:ascii="Times New Roman"/>
        </w:rPr>
      </w:pPr>
      <w:r>
        <w:rPr>
          <w:rFonts w:ascii="Times New Roman"/>
        </w:rPr>
        <w:t xml:space="preserve">凤眼蓝遥感监测报告封面格式如下： </w:t>
      </w:r>
    </w:p>
    <w:p w14:paraId="77EEA594">
      <w:pPr>
        <w:pStyle w:val="56"/>
        <w:ind w:firstLine="420"/>
        <w:rPr>
          <w:rFonts w:ascii="Times New Roman"/>
        </w:rPr>
      </w:pPr>
      <w:r>
        <w:rPr>
          <w:rFonts w:ascii="Times New Roman"/>
        </w:rPr>
        <w:t xml:space="preserve">a) 第一行书写：凤眼蓝遥感（一号宋体，加粗，居中）； </w:t>
      </w:r>
    </w:p>
    <w:p w14:paraId="1953081E">
      <w:pPr>
        <w:pStyle w:val="56"/>
        <w:ind w:firstLine="420"/>
        <w:rPr>
          <w:rFonts w:ascii="Times New Roman"/>
        </w:rPr>
      </w:pPr>
      <w:r>
        <w:rPr>
          <w:rFonts w:ascii="Times New Roman"/>
        </w:rPr>
        <w:t xml:space="preserve">b) 第二行书写：监测报告（一号宋体，加粗，居中）； </w:t>
      </w:r>
    </w:p>
    <w:p w14:paraId="216B295D">
      <w:pPr>
        <w:pStyle w:val="56"/>
        <w:ind w:firstLine="420"/>
        <w:rPr>
          <w:rFonts w:ascii="Times New Roman"/>
        </w:rPr>
      </w:pPr>
      <w:r>
        <w:rPr>
          <w:rFonts w:ascii="Times New Roman"/>
        </w:rPr>
        <w:t xml:space="preserve">c) 第三行书写：编制单位全称（三号宋体，加粗，居中）； </w:t>
      </w:r>
    </w:p>
    <w:p w14:paraId="11308310">
      <w:pPr>
        <w:pStyle w:val="56"/>
        <w:ind w:firstLine="420"/>
        <w:rPr>
          <w:rFonts w:ascii="Times New Roman"/>
        </w:rPr>
      </w:pPr>
      <w:r>
        <w:rPr>
          <w:rFonts w:ascii="Times New Roman"/>
        </w:rPr>
        <w:t xml:space="preserve">d) 第四行书写：××××年××月（小三号宋体，加粗，居中）； </w:t>
      </w:r>
    </w:p>
    <w:p w14:paraId="06EC1E18">
      <w:pPr>
        <w:pStyle w:val="56"/>
        <w:ind w:firstLine="420"/>
        <w:rPr>
          <w:rFonts w:ascii="Times New Roman"/>
        </w:rPr>
      </w:pPr>
      <w:r>
        <w:rPr>
          <w:rFonts w:ascii="Times New Roman"/>
        </w:rPr>
        <w:t>以上各行间距应适宜，保持整个封面美观。</w:t>
      </w:r>
    </w:p>
    <w:p w14:paraId="1255FCCF">
      <w:pPr>
        <w:pStyle w:val="230"/>
        <w:spacing w:before="156" w:beforeLines="50" w:after="156" w:afterLines="50"/>
        <w:ind w:firstLine="0" w:firstLineChars="0"/>
        <w:rPr>
          <w:rFonts w:ascii="Times New Roman" w:hAnsi="Times New Roman"/>
          <w:b/>
          <w:bCs/>
          <w:shd w:val="clear" w:color="auto" w:fill="FFFFFF"/>
        </w:rPr>
      </w:pPr>
      <w:r>
        <w:rPr>
          <w:rFonts w:ascii="Times New Roman" w:hAnsi="Times New Roman"/>
          <w:b/>
          <w:bCs/>
          <w:shd w:val="clear" w:color="auto" w:fill="FFFFFF"/>
        </w:rPr>
        <w:t>B.1.3 封里内容</w:t>
      </w:r>
    </w:p>
    <w:p w14:paraId="7DB7C682">
      <w:pPr>
        <w:pStyle w:val="56"/>
        <w:ind w:firstLine="420"/>
        <w:rPr>
          <w:rFonts w:ascii="Times New Roman"/>
        </w:rPr>
      </w:pPr>
      <w:r>
        <w:rPr>
          <w:rFonts w:ascii="Times New Roman"/>
        </w:rPr>
        <w:t>封里中应分行写明：监测报告编制单位全称（加盖公章）、项目负责人、编制人、审核人姓名等内容。</w:t>
      </w:r>
    </w:p>
    <w:p w14:paraId="43AFC0BF">
      <w:pPr>
        <w:pStyle w:val="230"/>
        <w:spacing w:before="156" w:beforeLines="50" w:after="156" w:afterLines="50"/>
        <w:ind w:firstLine="0" w:firstLineChars="0"/>
        <w:rPr>
          <w:rFonts w:ascii="Times New Roman" w:hAnsi="Times New Roman"/>
          <w:b/>
          <w:bCs/>
          <w:shd w:val="clear" w:color="auto" w:fill="FFFFFF"/>
        </w:rPr>
      </w:pPr>
      <w:r>
        <w:rPr>
          <w:rFonts w:ascii="Times New Roman" w:hAnsi="Times New Roman"/>
          <w:b/>
          <w:bCs/>
          <w:shd w:val="clear" w:color="auto" w:fill="FFFFFF"/>
        </w:rPr>
        <w:t>B.2 凤眼蓝多源遥感监测报告编写大纲</w:t>
      </w:r>
    </w:p>
    <w:p w14:paraId="6C7969D7">
      <w:pPr>
        <w:pStyle w:val="56"/>
        <w:ind w:firstLine="420"/>
        <w:rPr>
          <w:rFonts w:ascii="Times New Roman"/>
          <w:szCs w:val="21"/>
        </w:rPr>
      </w:pPr>
      <w:r>
        <w:rPr>
          <w:rFonts w:ascii="Times New Roman"/>
          <w:szCs w:val="21"/>
        </w:rPr>
        <w:t>凤眼蓝遥感监测报告应根据监测任务要求和区域特点进行编制，可参照以下大纲结构，并可根据实际情况适当增减相关章节。</w:t>
      </w:r>
    </w:p>
    <w:p w14:paraId="44A6E91D">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 xml:space="preserve">1 概述 </w:t>
      </w:r>
    </w:p>
    <w:p w14:paraId="5249C444">
      <w:pPr>
        <w:pStyle w:val="56"/>
        <w:ind w:firstLine="420"/>
        <w:rPr>
          <w:rFonts w:ascii="Times New Roman"/>
          <w:szCs w:val="21"/>
        </w:rPr>
      </w:pPr>
      <w:r>
        <w:rPr>
          <w:rFonts w:ascii="Times New Roman"/>
          <w:szCs w:val="21"/>
        </w:rPr>
        <w:t xml:space="preserve">1.1 任务来源 </w:t>
      </w:r>
    </w:p>
    <w:p w14:paraId="72FB5086">
      <w:pPr>
        <w:pStyle w:val="56"/>
        <w:ind w:firstLine="420"/>
        <w:rPr>
          <w:rFonts w:ascii="Times New Roman"/>
          <w:szCs w:val="21"/>
        </w:rPr>
      </w:pPr>
      <w:r>
        <w:rPr>
          <w:rFonts w:ascii="Times New Roman"/>
          <w:szCs w:val="21"/>
        </w:rPr>
        <w:t xml:space="preserve">1.2 任务目标 </w:t>
      </w:r>
    </w:p>
    <w:p w14:paraId="2E4D0D22">
      <w:pPr>
        <w:pStyle w:val="56"/>
        <w:ind w:firstLine="420"/>
        <w:rPr>
          <w:rFonts w:ascii="Times New Roman"/>
          <w:szCs w:val="21"/>
        </w:rPr>
      </w:pPr>
      <w:r>
        <w:rPr>
          <w:rFonts w:ascii="Times New Roman"/>
          <w:szCs w:val="21"/>
        </w:rPr>
        <w:t xml:space="preserve">1.3 编制依据 </w:t>
      </w:r>
    </w:p>
    <w:p w14:paraId="5CFD8CEB">
      <w:pPr>
        <w:pStyle w:val="56"/>
        <w:ind w:firstLine="420"/>
        <w:rPr>
          <w:rFonts w:ascii="Times New Roman"/>
          <w:szCs w:val="21"/>
        </w:rPr>
      </w:pPr>
      <w:r>
        <w:rPr>
          <w:rFonts w:ascii="Times New Roman"/>
          <w:szCs w:val="21"/>
        </w:rPr>
        <w:t xml:space="preserve">1.4 监测区域 </w:t>
      </w:r>
    </w:p>
    <w:p w14:paraId="0613FCB9">
      <w:pPr>
        <w:pStyle w:val="56"/>
        <w:ind w:firstLine="420"/>
        <w:rPr>
          <w:rFonts w:ascii="Times New Roman"/>
          <w:szCs w:val="21"/>
        </w:rPr>
      </w:pPr>
      <w:r>
        <w:rPr>
          <w:rFonts w:ascii="Times New Roman"/>
          <w:szCs w:val="21"/>
        </w:rPr>
        <w:t xml:space="preserve">1.5 监测手段与方法 </w:t>
      </w:r>
    </w:p>
    <w:p w14:paraId="47D30785">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2 数据获取与处理</w:t>
      </w:r>
    </w:p>
    <w:p w14:paraId="05D449A5">
      <w:pPr>
        <w:pStyle w:val="56"/>
        <w:ind w:firstLine="420"/>
        <w:rPr>
          <w:rFonts w:ascii="Times New Roman"/>
          <w:szCs w:val="21"/>
        </w:rPr>
      </w:pPr>
      <w:r>
        <w:rPr>
          <w:rFonts w:ascii="Times New Roman"/>
          <w:szCs w:val="21"/>
        </w:rPr>
        <w:t>2.1 遥感数据获取（卫星影像、无人机影像及其他数据）</w:t>
      </w:r>
    </w:p>
    <w:p w14:paraId="3C19E7A1">
      <w:pPr>
        <w:pStyle w:val="56"/>
        <w:ind w:firstLine="420"/>
        <w:rPr>
          <w:rFonts w:ascii="Times New Roman"/>
          <w:szCs w:val="21"/>
        </w:rPr>
      </w:pPr>
      <w:r>
        <w:rPr>
          <w:rFonts w:ascii="Times New Roman"/>
          <w:szCs w:val="21"/>
        </w:rPr>
        <w:t>2.2 辅助资料与现场调查</w:t>
      </w:r>
    </w:p>
    <w:p w14:paraId="48D7D72A">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3 遥感影像处理</w:t>
      </w:r>
    </w:p>
    <w:p w14:paraId="2F39E0A1">
      <w:pPr>
        <w:pStyle w:val="56"/>
        <w:ind w:firstLine="420"/>
        <w:rPr>
          <w:rFonts w:ascii="Times New Roman"/>
          <w:szCs w:val="21"/>
        </w:rPr>
      </w:pPr>
      <w:r>
        <w:rPr>
          <w:rFonts w:ascii="Times New Roman"/>
          <w:szCs w:val="21"/>
        </w:rPr>
        <w:t>包括影像辐射校正、大气校正、几何校正、裁剪、镶嵌等处理内容。</w:t>
      </w:r>
    </w:p>
    <w:p w14:paraId="1B6651A2">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 xml:space="preserve">4 信息遥感解译 </w:t>
      </w:r>
    </w:p>
    <w:p w14:paraId="3F56727E">
      <w:pPr>
        <w:pStyle w:val="56"/>
        <w:ind w:firstLine="420"/>
        <w:rPr>
          <w:rFonts w:ascii="Times New Roman"/>
          <w:szCs w:val="21"/>
        </w:rPr>
      </w:pPr>
      <w:r>
        <w:rPr>
          <w:rFonts w:ascii="Times New Roman"/>
          <w:szCs w:val="21"/>
        </w:rPr>
        <w:t xml:space="preserve">4.1 解译标志集建立 </w:t>
      </w:r>
    </w:p>
    <w:p w14:paraId="459C5389">
      <w:pPr>
        <w:pStyle w:val="56"/>
        <w:ind w:firstLine="420"/>
        <w:rPr>
          <w:rFonts w:ascii="Times New Roman"/>
          <w:szCs w:val="21"/>
        </w:rPr>
      </w:pPr>
      <w:r>
        <w:rPr>
          <w:rFonts w:ascii="Times New Roman"/>
          <w:szCs w:val="21"/>
        </w:rPr>
        <w:t>4.2 凤眼蓝信息提取</w:t>
      </w:r>
    </w:p>
    <w:p w14:paraId="193D8E9B">
      <w:pPr>
        <w:pStyle w:val="56"/>
        <w:ind w:firstLine="420"/>
        <w:rPr>
          <w:rFonts w:ascii="Times New Roman"/>
          <w:szCs w:val="21"/>
        </w:rPr>
      </w:pPr>
      <w:r>
        <w:rPr>
          <w:rFonts w:ascii="Times New Roman"/>
          <w:szCs w:val="21"/>
        </w:rPr>
        <w:t>4.3 精度验证与质量控制</w:t>
      </w:r>
    </w:p>
    <w:p w14:paraId="69948FFF">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 xml:space="preserve">5 图件制作 </w:t>
      </w:r>
    </w:p>
    <w:p w14:paraId="0365129E">
      <w:pPr>
        <w:pStyle w:val="56"/>
        <w:ind w:firstLine="420"/>
        <w:rPr>
          <w:rFonts w:ascii="Times New Roman"/>
          <w:szCs w:val="21"/>
        </w:rPr>
      </w:pPr>
      <w:r>
        <w:rPr>
          <w:rFonts w:ascii="Times New Roman"/>
          <w:szCs w:val="21"/>
        </w:rPr>
        <w:t xml:space="preserve">5.1 遥感影像地图制作 </w:t>
      </w:r>
    </w:p>
    <w:p w14:paraId="5787D6DE">
      <w:pPr>
        <w:pStyle w:val="56"/>
        <w:ind w:firstLine="420"/>
        <w:rPr>
          <w:rFonts w:ascii="Times New Roman"/>
          <w:szCs w:val="21"/>
        </w:rPr>
      </w:pPr>
      <w:r>
        <w:rPr>
          <w:rFonts w:ascii="Times New Roman"/>
          <w:szCs w:val="21"/>
        </w:rPr>
        <w:t>5.2 凤眼蓝分布专题图制作</w:t>
      </w:r>
    </w:p>
    <w:p w14:paraId="011D9100">
      <w:pPr>
        <w:pStyle w:val="56"/>
        <w:ind w:firstLine="420"/>
        <w:rPr>
          <w:rFonts w:ascii="Times New Roman"/>
          <w:szCs w:val="21"/>
        </w:rPr>
      </w:pPr>
      <w:r>
        <w:rPr>
          <w:rFonts w:ascii="Times New Roman"/>
          <w:szCs w:val="21"/>
        </w:rPr>
        <w:t>5.3 监测结果统计表编制</w:t>
      </w:r>
    </w:p>
    <w:p w14:paraId="114AE794">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 xml:space="preserve">6 监测结果与分析 </w:t>
      </w:r>
    </w:p>
    <w:p w14:paraId="5B34759F">
      <w:pPr>
        <w:pStyle w:val="56"/>
        <w:ind w:firstLine="420"/>
        <w:rPr>
          <w:rFonts w:ascii="Times New Roman"/>
          <w:szCs w:val="21"/>
        </w:rPr>
      </w:pPr>
      <w:r>
        <w:rPr>
          <w:rFonts w:ascii="Times New Roman"/>
          <w:szCs w:val="21"/>
        </w:rPr>
        <w:t>6.1 凤眼蓝分布特征</w:t>
      </w:r>
    </w:p>
    <w:p w14:paraId="06913A85">
      <w:pPr>
        <w:pStyle w:val="56"/>
        <w:ind w:firstLine="420"/>
        <w:rPr>
          <w:rFonts w:ascii="Times New Roman"/>
          <w:szCs w:val="21"/>
        </w:rPr>
      </w:pPr>
      <w:r>
        <w:rPr>
          <w:rFonts w:ascii="Times New Roman"/>
          <w:szCs w:val="21"/>
        </w:rPr>
        <w:t>6.2 时空变化分析</w:t>
      </w:r>
    </w:p>
    <w:p w14:paraId="1D763A85">
      <w:pPr>
        <w:pStyle w:val="56"/>
        <w:ind w:firstLine="420"/>
        <w:rPr>
          <w:rFonts w:ascii="Times New Roman"/>
          <w:szCs w:val="21"/>
        </w:rPr>
      </w:pPr>
      <w:r>
        <w:rPr>
          <w:rFonts w:ascii="Times New Roman"/>
          <w:szCs w:val="21"/>
        </w:rPr>
        <w:t>6.3 影响因素与趋势分析</w:t>
      </w:r>
    </w:p>
    <w:p w14:paraId="29CBE9E4">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7 结论与建议</w:t>
      </w:r>
    </w:p>
    <w:p w14:paraId="780464D9">
      <w:pPr>
        <w:pStyle w:val="230"/>
        <w:spacing w:line="360" w:lineRule="auto"/>
        <w:rPr>
          <w:rFonts w:ascii="Times New Roman" w:hAnsi="Times New Roman"/>
          <w:szCs w:val="21"/>
          <w:shd w:val="clear" w:color="auto" w:fill="FFFFFF"/>
        </w:rPr>
      </w:pPr>
      <w:r>
        <w:rPr>
          <w:rFonts w:ascii="Times New Roman" w:hAnsi="Times New Roman"/>
          <w:szCs w:val="21"/>
          <w:shd w:val="clear" w:color="auto" w:fill="FFFFFF"/>
        </w:rPr>
        <w:t>8. 附录与附表</w:t>
      </w:r>
    </w:p>
    <w:p w14:paraId="5B9DBF8F">
      <w:pPr>
        <w:pStyle w:val="56"/>
        <w:ind w:firstLine="420"/>
        <w:rPr>
          <w:rFonts w:ascii="Times New Roman"/>
          <w:szCs w:val="21"/>
        </w:rPr>
      </w:pPr>
      <w:r>
        <w:rPr>
          <w:rFonts w:ascii="Times New Roman"/>
          <w:szCs w:val="21"/>
        </w:rPr>
        <w:t>8.1 遥感监测专题图</w:t>
      </w:r>
    </w:p>
    <w:p w14:paraId="4DCAABFD">
      <w:pPr>
        <w:pStyle w:val="56"/>
        <w:ind w:firstLine="420"/>
        <w:rPr>
          <w:rFonts w:ascii="Times New Roman"/>
          <w:szCs w:val="21"/>
        </w:rPr>
      </w:pPr>
      <w:r>
        <w:rPr>
          <w:rFonts w:ascii="Times New Roman"/>
          <w:szCs w:val="21"/>
        </w:rPr>
        <w:t>8.2 监测结果统计表</w:t>
      </w:r>
    </w:p>
    <w:p w14:paraId="7334D6FC">
      <w:pPr>
        <w:pStyle w:val="56"/>
        <w:ind w:firstLine="420"/>
        <w:rPr>
          <w:rFonts w:ascii="Times New Roman"/>
          <w:szCs w:val="21"/>
        </w:rPr>
      </w:pPr>
      <w:r>
        <w:rPr>
          <w:rFonts w:ascii="Times New Roman"/>
          <w:szCs w:val="21"/>
        </w:rPr>
        <w:t>8.3 主要编制人员名单</w:t>
      </w:r>
    </w:p>
    <w:p w14:paraId="7C792735">
      <w:pPr>
        <w:pStyle w:val="56"/>
        <w:ind w:firstLine="420"/>
        <w:rPr>
          <w:rFonts w:ascii="Times New Roman"/>
          <w:szCs w:val="21"/>
        </w:rPr>
      </w:pPr>
      <w:r>
        <w:rPr>
          <w:rFonts w:ascii="Times New Roman"/>
          <w:szCs w:val="21"/>
        </w:rPr>
        <w:t>8.4 编写时间与报告编号</w:t>
      </w:r>
    </w:p>
    <w:p w14:paraId="2EA05E33">
      <w:pPr>
        <w:pStyle w:val="230"/>
        <w:ind w:firstLine="0" w:firstLineChars="0"/>
        <w:rPr>
          <w:rFonts w:ascii="Arial" w:hAnsi="Arial" w:cs="Arial"/>
          <w:shd w:val="clear" w:color="auto" w:fill="FFFFFF"/>
        </w:rPr>
      </w:pPr>
    </w:p>
    <w:p w14:paraId="744CAFC9">
      <w:pPr>
        <w:pStyle w:val="56"/>
        <w:ind w:firstLine="0" w:firstLineChars="0"/>
        <w:sectPr>
          <w:pgSz w:w="11906" w:h="16838"/>
          <w:pgMar w:top="1928" w:right="1134" w:bottom="1134" w:left="1134" w:header="1418" w:footer="1134" w:gutter="284"/>
          <w:cols w:space="425" w:num="1"/>
          <w:formProt w:val="0"/>
          <w:docGrid w:type="lines" w:linePitch="312" w:charSpace="0"/>
        </w:sectPr>
      </w:pPr>
    </w:p>
    <w:p w14:paraId="34D65F98">
      <w:pPr>
        <w:pStyle w:val="232"/>
        <w:rPr>
          <w:rFonts w:ascii="宋体" w:hAnsi="宋体" w:cs="宋体"/>
          <w:kern w:val="0"/>
          <w:szCs w:val="21"/>
        </w:rPr>
      </w:pPr>
      <w:bookmarkStart w:id="64" w:name="_Toc212127850"/>
      <w:r>
        <w:rPr>
          <w:rFonts w:hint="eastAsia" w:ascii="宋体" w:hAnsi="宋体" w:cs="宋体"/>
          <w:szCs w:val="21"/>
        </w:rPr>
        <w:t>参考文献</w:t>
      </w:r>
      <w:bookmarkEnd w:id="64"/>
    </w:p>
    <w:p w14:paraId="1F1E17C6">
      <w:pPr>
        <w:rPr>
          <w:rFonts w:ascii="宋体" w:hAnsi="宋体"/>
        </w:rPr>
      </w:pPr>
    </w:p>
    <w:p w14:paraId="52CD74BC">
      <w:pPr>
        <w:numPr>
          <w:ilvl w:val="0"/>
          <w:numId w:val="34"/>
        </w:numPr>
        <w:adjustRightInd/>
        <w:spacing w:line="240" w:lineRule="auto"/>
        <w:rPr>
          <w:rFonts w:ascii="宋体" w:hAnsi="宋体"/>
        </w:rPr>
      </w:pPr>
      <w:r>
        <w:rPr>
          <w:rFonts w:hint="eastAsia" w:ascii="宋体" w:hAnsi="宋体"/>
        </w:rPr>
        <w:t>GB/T 20257.1-2017 国家基本比例尺地图图式</w:t>
      </w:r>
    </w:p>
    <w:p w14:paraId="6082BA54">
      <w:pPr>
        <w:numPr>
          <w:ilvl w:val="0"/>
          <w:numId w:val="34"/>
        </w:numPr>
        <w:adjustRightInd/>
        <w:spacing w:line="240" w:lineRule="auto"/>
        <w:rPr>
          <w:rFonts w:ascii="宋体" w:hAnsi="宋体"/>
        </w:rPr>
      </w:pPr>
      <w:r>
        <w:rPr>
          <w:rFonts w:hint="eastAsia" w:ascii="宋体" w:hAnsi="宋体"/>
        </w:rPr>
        <w:t>NY/T 3527-2019 农作物种植面积遥感监测规范</w:t>
      </w:r>
    </w:p>
    <w:p w14:paraId="12331996">
      <w:pPr>
        <w:numPr>
          <w:ilvl w:val="0"/>
          <w:numId w:val="34"/>
        </w:numPr>
        <w:adjustRightInd/>
        <w:spacing w:line="240" w:lineRule="auto"/>
        <w:rPr>
          <w:rFonts w:ascii="宋体" w:hAnsi="宋体"/>
        </w:rPr>
      </w:pPr>
      <w:r>
        <w:rPr>
          <w:rFonts w:hint="eastAsia" w:ascii="宋体" w:hAnsi="宋体"/>
        </w:rPr>
        <w:t>NY/T 4378-2023 农业遥感调查通用技术 农作物干旱监测技术规范</w:t>
      </w:r>
    </w:p>
    <w:p w14:paraId="4D6946A4">
      <w:pPr>
        <w:numPr>
          <w:ilvl w:val="0"/>
          <w:numId w:val="34"/>
        </w:numPr>
        <w:adjustRightInd/>
        <w:spacing w:line="240" w:lineRule="auto"/>
        <w:rPr>
          <w:rFonts w:ascii="宋体" w:hAnsi="宋体"/>
        </w:rPr>
      </w:pPr>
      <w:r>
        <w:rPr>
          <w:rFonts w:hint="eastAsia" w:ascii="宋体" w:hAnsi="宋体"/>
        </w:rPr>
        <w:t>NY/T 4379-2023 农业遥感调查通用技术 农作物倒伏监测技术规范</w:t>
      </w:r>
    </w:p>
    <w:p w14:paraId="5AC7CF6D">
      <w:pPr>
        <w:numPr>
          <w:ilvl w:val="0"/>
          <w:numId w:val="34"/>
        </w:numPr>
        <w:adjustRightInd/>
        <w:spacing w:line="240" w:lineRule="auto"/>
        <w:rPr>
          <w:rFonts w:ascii="宋体" w:hAnsi="宋体"/>
        </w:rPr>
      </w:pPr>
      <w:r>
        <w:rPr>
          <w:rFonts w:hint="eastAsia" w:ascii="宋体" w:hAnsi="宋体"/>
        </w:rPr>
        <w:t>NY/T 4377-2023 农业遥感调查通用技术 农作物雹灾监测技术规范</w:t>
      </w:r>
    </w:p>
    <w:p w14:paraId="605C7789">
      <w:pPr>
        <w:numPr>
          <w:ilvl w:val="0"/>
          <w:numId w:val="34"/>
        </w:numPr>
        <w:adjustRightInd/>
        <w:spacing w:line="240" w:lineRule="auto"/>
        <w:rPr>
          <w:rFonts w:ascii="宋体" w:hAnsi="宋体"/>
        </w:rPr>
      </w:pPr>
      <w:r>
        <w:rPr>
          <w:rFonts w:hint="eastAsia" w:ascii="宋体" w:hAnsi="宋体"/>
        </w:rPr>
        <w:t>NY/T 4150-2022 农业遥感监测专题制图技术规范</w:t>
      </w:r>
    </w:p>
    <w:p w14:paraId="24D682C6">
      <w:pPr>
        <w:numPr>
          <w:ilvl w:val="0"/>
          <w:numId w:val="34"/>
        </w:numPr>
        <w:adjustRightInd/>
        <w:spacing w:line="240" w:lineRule="auto"/>
        <w:rPr>
          <w:rFonts w:ascii="宋体" w:hAnsi="宋体"/>
        </w:rPr>
      </w:pPr>
      <w:r>
        <w:rPr>
          <w:rFonts w:hint="eastAsia" w:ascii="宋体" w:hAnsi="宋体"/>
        </w:rPr>
        <w:t>NY/T 3526-2019 农情监测遥感数据预处理技术规范</w:t>
      </w:r>
    </w:p>
    <w:p w14:paraId="0DF12AF0">
      <w:pPr>
        <w:numPr>
          <w:ilvl w:val="0"/>
          <w:numId w:val="34"/>
        </w:numPr>
        <w:adjustRightInd/>
        <w:spacing w:line="240" w:lineRule="auto"/>
        <w:rPr>
          <w:rFonts w:ascii="宋体" w:hAnsi="宋体"/>
        </w:rPr>
      </w:pPr>
      <w:r>
        <w:rPr>
          <w:rFonts w:hint="eastAsia" w:ascii="宋体" w:hAnsi="宋体"/>
        </w:rPr>
        <w:t>DB 3705/T 44-2024</w:t>
      </w:r>
      <w:r>
        <w:rPr>
          <w:rFonts w:ascii="宋体" w:hAnsi="宋体"/>
        </w:rPr>
        <w:t xml:space="preserve"> </w:t>
      </w:r>
      <w:r>
        <w:rPr>
          <w:rFonts w:hint="eastAsia" w:ascii="宋体" w:hAnsi="宋体"/>
        </w:rPr>
        <w:t>芦苇遥感监测技术规范</w:t>
      </w:r>
    </w:p>
    <w:p w14:paraId="2530CDA8">
      <w:pPr>
        <w:numPr>
          <w:ilvl w:val="0"/>
          <w:numId w:val="34"/>
        </w:numPr>
        <w:adjustRightInd/>
        <w:spacing w:line="240" w:lineRule="auto"/>
        <w:rPr>
          <w:rFonts w:ascii="宋体" w:hAnsi="宋体"/>
        </w:rPr>
      </w:pPr>
      <w:r>
        <w:rPr>
          <w:rFonts w:ascii="宋体" w:hAnsi="宋体"/>
        </w:rPr>
        <w:t>DB 46/T 74</w:t>
      </w:r>
      <w:r>
        <w:rPr>
          <w:rFonts w:hint="eastAsia" w:ascii="宋体" w:hAnsi="宋体"/>
        </w:rPr>
        <w:t>-</w:t>
      </w:r>
      <w:r>
        <w:rPr>
          <w:rFonts w:ascii="宋体" w:hAnsi="宋体"/>
        </w:rPr>
        <w:t xml:space="preserve">2021 </w:t>
      </w:r>
      <w:r>
        <w:rPr>
          <w:rFonts w:hint="eastAsia" w:ascii="宋体" w:hAnsi="宋体"/>
        </w:rPr>
        <w:t>地方标准制修订工作规范</w:t>
      </w:r>
    </w:p>
    <w:p w14:paraId="4142546F">
      <w:pPr>
        <w:pStyle w:val="56"/>
        <w:ind w:firstLine="0" w:firstLineChars="0"/>
        <w:jc w:val="center"/>
      </w:pPr>
      <w:r>
        <w:rPr>
          <w:rFonts w:hAnsi="宋体"/>
        </w:rPr>
        <w:drawing>
          <wp:inline distT="0" distB="0" distL="0" distR="0">
            <wp:extent cx="1485900" cy="317500"/>
            <wp:effectExtent l="0" t="0" r="0" b="6350"/>
            <wp:docPr id="1809808976" name="图片 1809808976"/>
            <wp:cNvGraphicFramePr/>
            <a:graphic xmlns:a="http://schemas.openxmlformats.org/drawingml/2006/main">
              <a:graphicData uri="http://schemas.openxmlformats.org/drawingml/2006/picture">
                <pic:pic xmlns:pic="http://schemas.openxmlformats.org/drawingml/2006/picture">
                  <pic:nvPicPr>
                    <pic:cNvPr id="1809808976" name="图片 1809808976"/>
                    <pic:cNvPicPr/>
                  </pic:nvPicPr>
                  <pic:blipFill>
                    <a:blip r:embed="rId24"/>
                    <a:stretch>
                      <a:fillRect/>
                    </a:stretch>
                  </pic:blipFill>
                  <pic:spPr>
                    <a:xfrm>
                      <a:off x="0" y="0"/>
                      <a:ext cx="1485900" cy="317500"/>
                    </a:xfrm>
                    <a:prstGeom prst="rect">
                      <a:avLst/>
                    </a:prstGeom>
                  </pic:spPr>
                </pic:pic>
              </a:graphicData>
            </a:graphic>
          </wp:inline>
        </w:drawing>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C9D09">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C4351">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9413C">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B021">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5E0EE">
    <w:pPr>
      <w:pStyle w:val="52"/>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E212D">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0F5C8">
    <w:pPr>
      <w:pStyle w:val="52"/>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621A2">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F83E8">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0A76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2A710">
    <w:pPr>
      <w:pStyle w:val="61"/>
    </w:pPr>
    <w:r>
      <w:fldChar w:fldCharType="begin"/>
    </w:r>
    <w:r>
      <w:instrText xml:space="preserve"> STYLEREF  标准文件_文件编号  \* MERGEFORMAT </w:instrText>
    </w:r>
    <w:r>
      <w:fldChar w:fldCharType="separate"/>
    </w:r>
    <w:r>
      <w:t>DB 46/T 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003D9">
    <w:pPr>
      <w:pStyle w:val="62"/>
    </w:pPr>
    <w:r>
      <w:fldChar w:fldCharType="begin"/>
    </w:r>
    <w:r>
      <w:instrText xml:space="preserve"> STYLEREF  标准文件_文件编号 \* MERGEFORMAT </w:instrText>
    </w:r>
    <w:r>
      <w:fldChar w:fldCharType="separate"/>
    </w:r>
    <w:r>
      <w:t>DB 46/T 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6DD33">
    <w:pPr>
      <w:pStyle w:val="61"/>
    </w:pPr>
    <w:r>
      <w:fldChar w:fldCharType="begin"/>
    </w:r>
    <w:r>
      <w:instrText xml:space="preserve"> STYLEREF  标准文件_文件编号  \* MERGEFORMAT </w:instrText>
    </w:r>
    <w:r>
      <w:fldChar w:fldCharType="separate"/>
    </w:r>
    <w:r>
      <w:t>DB 46/T 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ECB8E">
    <w:pPr>
      <w:pStyle w:val="62"/>
    </w:pPr>
    <w:r>
      <w:fldChar w:fldCharType="begin"/>
    </w:r>
    <w:r>
      <w:instrText xml:space="preserve"> STYLEREF  标准文件_文件编号 \* MERGEFORMAT </w:instrText>
    </w:r>
    <w:r>
      <w:fldChar w:fldCharType="separate"/>
    </w:r>
    <w:r>
      <w:t>DB 46/T 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F5E8B">
    <w:pPr>
      <w:pStyle w:val="61"/>
    </w:pPr>
    <w:r>
      <w:fldChar w:fldCharType="begin"/>
    </w:r>
    <w:r>
      <w:instrText xml:space="preserve"> STYLEREF  标准文件_文件编号  \* MERGEFORMAT </w:instrText>
    </w:r>
    <w:r>
      <w:fldChar w:fldCharType="separate"/>
    </w:r>
    <w:r>
      <w:t>DB 46/T 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ADB8C">
    <w:pPr>
      <w:pStyle w:val="62"/>
    </w:pPr>
    <w:r>
      <w:fldChar w:fldCharType="begin"/>
    </w:r>
    <w:r>
      <w:instrText xml:space="preserve"> STYLEREF  标准文件_文件编号 \* MERGEFORMAT </w:instrText>
    </w:r>
    <w:r>
      <w:fldChar w:fldCharType="separate"/>
    </w:r>
    <w:r>
      <w:t>DB 46/T 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6460DA8"/>
    <w:multiLevelType w:val="multilevel"/>
    <w:tmpl w:val="26460DA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D5B5E84"/>
    <w:multiLevelType w:val="multilevel"/>
    <w:tmpl w:val="4D5B5E84"/>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C8A74A1"/>
    <w:multiLevelType w:val="multilevel"/>
    <w:tmpl w:val="5C8A74A1"/>
    <w:lvl w:ilvl="0" w:tentative="0">
      <w:start w:val="1"/>
      <w:numFmt w:val="lowerLetter"/>
      <w:lvlText w:val="%1）"/>
      <w:lvlJc w:val="left"/>
      <w:pPr>
        <w:ind w:left="860" w:hanging="440"/>
      </w:pPr>
      <w:rPr>
        <w:rFonts w:hint="eastAsia"/>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3">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4"/>
  </w:num>
  <w:num w:numId="7">
    <w:abstractNumId w:val="8"/>
  </w:num>
  <w:num w:numId="8">
    <w:abstractNumId w:val="3"/>
  </w:num>
  <w:num w:numId="9">
    <w:abstractNumId w:val="9"/>
  </w:num>
  <w:num w:numId="10">
    <w:abstractNumId w:val="18"/>
  </w:num>
  <w:num w:numId="11">
    <w:abstractNumId w:val="28"/>
  </w:num>
  <w:num w:numId="12">
    <w:abstractNumId w:val="12"/>
  </w:num>
  <w:num w:numId="13">
    <w:abstractNumId w:val="13"/>
  </w:num>
  <w:num w:numId="14">
    <w:abstractNumId w:val="7"/>
  </w:num>
  <w:num w:numId="15">
    <w:abstractNumId w:val="21"/>
  </w:num>
  <w:num w:numId="16">
    <w:abstractNumId w:val="24"/>
  </w:num>
  <w:num w:numId="17">
    <w:abstractNumId w:val="19"/>
  </w:num>
  <w:num w:numId="18">
    <w:abstractNumId w:val="32"/>
  </w:num>
  <w:num w:numId="19">
    <w:abstractNumId w:val="17"/>
  </w:num>
  <w:num w:numId="20">
    <w:abstractNumId w:val="1"/>
  </w:num>
  <w:num w:numId="21">
    <w:abstractNumId w:val="11"/>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5"/>
  </w:num>
  <w:num w:numId="30">
    <w:abstractNumId w:val="27"/>
  </w:num>
  <w:num w:numId="31">
    <w:abstractNumId w:val="25"/>
  </w:num>
  <w:num w:numId="32">
    <w:abstractNumId w:val="16"/>
  </w:num>
  <w:num w:numId="33">
    <w:abstractNumId w:val="2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F7D"/>
    <w:rsid w:val="0000040A"/>
    <w:rsid w:val="00000A94"/>
    <w:rsid w:val="00001972"/>
    <w:rsid w:val="00001D9A"/>
    <w:rsid w:val="00007B3A"/>
    <w:rsid w:val="000107E0"/>
    <w:rsid w:val="00011FDE"/>
    <w:rsid w:val="00012FFD"/>
    <w:rsid w:val="00014162"/>
    <w:rsid w:val="00014340"/>
    <w:rsid w:val="000164EE"/>
    <w:rsid w:val="00016A9C"/>
    <w:rsid w:val="0002049B"/>
    <w:rsid w:val="00022184"/>
    <w:rsid w:val="00022762"/>
    <w:rsid w:val="000238E0"/>
    <w:rsid w:val="000249DB"/>
    <w:rsid w:val="0002595E"/>
    <w:rsid w:val="00030256"/>
    <w:rsid w:val="000303C3"/>
    <w:rsid w:val="00031612"/>
    <w:rsid w:val="000331D3"/>
    <w:rsid w:val="000346A5"/>
    <w:rsid w:val="00035519"/>
    <w:rsid w:val="000359C3"/>
    <w:rsid w:val="00035A7D"/>
    <w:rsid w:val="000365ED"/>
    <w:rsid w:val="0004249A"/>
    <w:rsid w:val="00043282"/>
    <w:rsid w:val="00044286"/>
    <w:rsid w:val="00047400"/>
    <w:rsid w:val="00047F28"/>
    <w:rsid w:val="000503AA"/>
    <w:rsid w:val="000506A1"/>
    <w:rsid w:val="000515DD"/>
    <w:rsid w:val="0005265A"/>
    <w:rsid w:val="0005290D"/>
    <w:rsid w:val="0005300D"/>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C01"/>
    <w:rsid w:val="00083D2C"/>
    <w:rsid w:val="00085F42"/>
    <w:rsid w:val="00086AA1"/>
    <w:rsid w:val="00086E67"/>
    <w:rsid w:val="00087A77"/>
    <w:rsid w:val="00090CA6"/>
    <w:rsid w:val="000910D3"/>
    <w:rsid w:val="00092B8A"/>
    <w:rsid w:val="00092FB0"/>
    <w:rsid w:val="000934C5"/>
    <w:rsid w:val="00093D25"/>
    <w:rsid w:val="00093DAB"/>
    <w:rsid w:val="000945A2"/>
    <w:rsid w:val="00094D73"/>
    <w:rsid w:val="000962EE"/>
    <w:rsid w:val="00096D63"/>
    <w:rsid w:val="000A0B60"/>
    <w:rsid w:val="000A0EB8"/>
    <w:rsid w:val="000A19FC"/>
    <w:rsid w:val="000A296B"/>
    <w:rsid w:val="000A4110"/>
    <w:rsid w:val="000A4784"/>
    <w:rsid w:val="000A7311"/>
    <w:rsid w:val="000B060F"/>
    <w:rsid w:val="000B1592"/>
    <w:rsid w:val="000B1FF2"/>
    <w:rsid w:val="000B3CDA"/>
    <w:rsid w:val="000B6A0B"/>
    <w:rsid w:val="000C0F6C"/>
    <w:rsid w:val="000C11DB"/>
    <w:rsid w:val="000C1492"/>
    <w:rsid w:val="000C2FBD"/>
    <w:rsid w:val="000C4B41"/>
    <w:rsid w:val="000C57D6"/>
    <w:rsid w:val="000C6296"/>
    <w:rsid w:val="000C6362"/>
    <w:rsid w:val="000C7666"/>
    <w:rsid w:val="000D0A9C"/>
    <w:rsid w:val="000D12FC"/>
    <w:rsid w:val="000D1795"/>
    <w:rsid w:val="000D2D11"/>
    <w:rsid w:val="000D329A"/>
    <w:rsid w:val="000D4B9C"/>
    <w:rsid w:val="000D4EB6"/>
    <w:rsid w:val="000D56CF"/>
    <w:rsid w:val="000D6E9F"/>
    <w:rsid w:val="000D753B"/>
    <w:rsid w:val="000E4C9E"/>
    <w:rsid w:val="000E6FD7"/>
    <w:rsid w:val="000F06E1"/>
    <w:rsid w:val="000F0E3C"/>
    <w:rsid w:val="000F19D5"/>
    <w:rsid w:val="000F4AEA"/>
    <w:rsid w:val="000F61AD"/>
    <w:rsid w:val="000F633F"/>
    <w:rsid w:val="000F65C9"/>
    <w:rsid w:val="000F67E9"/>
    <w:rsid w:val="00104926"/>
    <w:rsid w:val="00111A24"/>
    <w:rsid w:val="001138BC"/>
    <w:rsid w:val="00113B1E"/>
    <w:rsid w:val="00115666"/>
    <w:rsid w:val="00116F74"/>
    <w:rsid w:val="0011711C"/>
    <w:rsid w:val="0012059C"/>
    <w:rsid w:val="00124E4F"/>
    <w:rsid w:val="00125D55"/>
    <w:rsid w:val="00125EAD"/>
    <w:rsid w:val="001260B7"/>
    <w:rsid w:val="001265CB"/>
    <w:rsid w:val="001321C6"/>
    <w:rsid w:val="001325C4"/>
    <w:rsid w:val="00133010"/>
    <w:rsid w:val="001338EE"/>
    <w:rsid w:val="00133AAE"/>
    <w:rsid w:val="00135323"/>
    <w:rsid w:val="001356C4"/>
    <w:rsid w:val="0014022F"/>
    <w:rsid w:val="00141114"/>
    <w:rsid w:val="00142969"/>
    <w:rsid w:val="001446C2"/>
    <w:rsid w:val="001457E7"/>
    <w:rsid w:val="00145D9D"/>
    <w:rsid w:val="00146388"/>
    <w:rsid w:val="00147E19"/>
    <w:rsid w:val="001516AB"/>
    <w:rsid w:val="001529E5"/>
    <w:rsid w:val="00153C7E"/>
    <w:rsid w:val="00156B25"/>
    <w:rsid w:val="00156E1A"/>
    <w:rsid w:val="00157894"/>
    <w:rsid w:val="00157B55"/>
    <w:rsid w:val="001627F1"/>
    <w:rsid w:val="001642FA"/>
    <w:rsid w:val="00164738"/>
    <w:rsid w:val="001649EB"/>
    <w:rsid w:val="00164BAF"/>
    <w:rsid w:val="00164F83"/>
    <w:rsid w:val="00164FA8"/>
    <w:rsid w:val="00165065"/>
    <w:rsid w:val="00165434"/>
    <w:rsid w:val="0016563C"/>
    <w:rsid w:val="0016580B"/>
    <w:rsid w:val="00165F49"/>
    <w:rsid w:val="00166B88"/>
    <w:rsid w:val="0016770A"/>
    <w:rsid w:val="001678BE"/>
    <w:rsid w:val="00170804"/>
    <w:rsid w:val="001708E9"/>
    <w:rsid w:val="0017340B"/>
    <w:rsid w:val="00173FB1"/>
    <w:rsid w:val="00176DFD"/>
    <w:rsid w:val="00182668"/>
    <w:rsid w:val="001852C9"/>
    <w:rsid w:val="00190087"/>
    <w:rsid w:val="001913C4"/>
    <w:rsid w:val="00191E39"/>
    <w:rsid w:val="0019348F"/>
    <w:rsid w:val="00193A07"/>
    <w:rsid w:val="00194C95"/>
    <w:rsid w:val="00194D39"/>
    <w:rsid w:val="001957F4"/>
    <w:rsid w:val="00195C34"/>
    <w:rsid w:val="00196EF5"/>
    <w:rsid w:val="001A1A53"/>
    <w:rsid w:val="001A234A"/>
    <w:rsid w:val="001A3F7E"/>
    <w:rsid w:val="001A4CF3"/>
    <w:rsid w:val="001A65A4"/>
    <w:rsid w:val="001B06E8"/>
    <w:rsid w:val="001B71D0"/>
    <w:rsid w:val="001B71EE"/>
    <w:rsid w:val="001C04A8"/>
    <w:rsid w:val="001C0F86"/>
    <w:rsid w:val="001C2C03"/>
    <w:rsid w:val="001C42F7"/>
    <w:rsid w:val="001C49E5"/>
    <w:rsid w:val="001C680C"/>
    <w:rsid w:val="001C7FEA"/>
    <w:rsid w:val="001D0499"/>
    <w:rsid w:val="001D0BBE"/>
    <w:rsid w:val="001D0ED4"/>
    <w:rsid w:val="001D212F"/>
    <w:rsid w:val="001D262C"/>
    <w:rsid w:val="001D29D7"/>
    <w:rsid w:val="001D2DE7"/>
    <w:rsid w:val="001D411C"/>
    <w:rsid w:val="001D5578"/>
    <w:rsid w:val="001E1B6A"/>
    <w:rsid w:val="001E2484"/>
    <w:rsid w:val="001E3CC4"/>
    <w:rsid w:val="001E4882"/>
    <w:rsid w:val="001E6140"/>
    <w:rsid w:val="001E73AB"/>
    <w:rsid w:val="001F092D"/>
    <w:rsid w:val="001F143A"/>
    <w:rsid w:val="001F14C1"/>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550"/>
    <w:rsid w:val="00210B15"/>
    <w:rsid w:val="00211547"/>
    <w:rsid w:val="0021362A"/>
    <w:rsid w:val="002139A7"/>
    <w:rsid w:val="002142EA"/>
    <w:rsid w:val="002204BB"/>
    <w:rsid w:val="00221B79"/>
    <w:rsid w:val="00221C6B"/>
    <w:rsid w:val="002235C0"/>
    <w:rsid w:val="002253A1"/>
    <w:rsid w:val="00225814"/>
    <w:rsid w:val="00225CF8"/>
    <w:rsid w:val="00225E31"/>
    <w:rsid w:val="0022794E"/>
    <w:rsid w:val="00233D64"/>
    <w:rsid w:val="0023482A"/>
    <w:rsid w:val="002357F9"/>
    <w:rsid w:val="002359CB"/>
    <w:rsid w:val="00235EA9"/>
    <w:rsid w:val="00242464"/>
    <w:rsid w:val="00243540"/>
    <w:rsid w:val="0024497B"/>
    <w:rsid w:val="0024515B"/>
    <w:rsid w:val="00246021"/>
    <w:rsid w:val="0024666E"/>
    <w:rsid w:val="00247F52"/>
    <w:rsid w:val="00250B25"/>
    <w:rsid w:val="00250BBE"/>
    <w:rsid w:val="002515C2"/>
    <w:rsid w:val="0025194F"/>
    <w:rsid w:val="002520A8"/>
    <w:rsid w:val="00257B25"/>
    <w:rsid w:val="0026148A"/>
    <w:rsid w:val="00262696"/>
    <w:rsid w:val="00263D25"/>
    <w:rsid w:val="002643C3"/>
    <w:rsid w:val="00264A0C"/>
    <w:rsid w:val="00266EEB"/>
    <w:rsid w:val="00267EF4"/>
    <w:rsid w:val="00270CB8"/>
    <w:rsid w:val="00271A05"/>
    <w:rsid w:val="00272B08"/>
    <w:rsid w:val="00273B3F"/>
    <w:rsid w:val="002771AC"/>
    <w:rsid w:val="00281BB8"/>
    <w:rsid w:val="00281E9E"/>
    <w:rsid w:val="0028216F"/>
    <w:rsid w:val="00282405"/>
    <w:rsid w:val="0028404F"/>
    <w:rsid w:val="00285170"/>
    <w:rsid w:val="00285361"/>
    <w:rsid w:val="00292D60"/>
    <w:rsid w:val="00293B30"/>
    <w:rsid w:val="00294D34"/>
    <w:rsid w:val="00294E3B"/>
    <w:rsid w:val="00296193"/>
    <w:rsid w:val="002966BD"/>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2B2"/>
    <w:rsid w:val="002C3F07"/>
    <w:rsid w:val="002C5278"/>
    <w:rsid w:val="002C7EBB"/>
    <w:rsid w:val="002D06C1"/>
    <w:rsid w:val="002D42B5"/>
    <w:rsid w:val="002D4F1A"/>
    <w:rsid w:val="002D6EC6"/>
    <w:rsid w:val="002D7868"/>
    <w:rsid w:val="002D79AC"/>
    <w:rsid w:val="002D7BDA"/>
    <w:rsid w:val="002E039D"/>
    <w:rsid w:val="002E4D5A"/>
    <w:rsid w:val="002E6326"/>
    <w:rsid w:val="002F22CB"/>
    <w:rsid w:val="002F30E0"/>
    <w:rsid w:val="002F35E4"/>
    <w:rsid w:val="002F3730"/>
    <w:rsid w:val="002F38E1"/>
    <w:rsid w:val="002F4378"/>
    <w:rsid w:val="002F7AF6"/>
    <w:rsid w:val="00300E63"/>
    <w:rsid w:val="00302F5F"/>
    <w:rsid w:val="0030441D"/>
    <w:rsid w:val="00304D71"/>
    <w:rsid w:val="00306063"/>
    <w:rsid w:val="0030709E"/>
    <w:rsid w:val="00307115"/>
    <w:rsid w:val="00313B85"/>
    <w:rsid w:val="00317988"/>
    <w:rsid w:val="003221B4"/>
    <w:rsid w:val="0032258D"/>
    <w:rsid w:val="00322E62"/>
    <w:rsid w:val="00324D13"/>
    <w:rsid w:val="00324D2A"/>
    <w:rsid w:val="00324EDD"/>
    <w:rsid w:val="003331E4"/>
    <w:rsid w:val="00335A6E"/>
    <w:rsid w:val="00336C64"/>
    <w:rsid w:val="00337162"/>
    <w:rsid w:val="00340D8A"/>
    <w:rsid w:val="0034194F"/>
    <w:rsid w:val="00344605"/>
    <w:rsid w:val="003446DF"/>
    <w:rsid w:val="003462B5"/>
    <w:rsid w:val="003474AA"/>
    <w:rsid w:val="00347ED0"/>
    <w:rsid w:val="00350D1D"/>
    <w:rsid w:val="0035113B"/>
    <w:rsid w:val="00352C83"/>
    <w:rsid w:val="00353165"/>
    <w:rsid w:val="003534D1"/>
    <w:rsid w:val="003615D2"/>
    <w:rsid w:val="00362177"/>
    <w:rsid w:val="0036429C"/>
    <w:rsid w:val="00364A53"/>
    <w:rsid w:val="003654CB"/>
    <w:rsid w:val="00365AA9"/>
    <w:rsid w:val="00365F86"/>
    <w:rsid w:val="00365F87"/>
    <w:rsid w:val="00366269"/>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088"/>
    <w:rsid w:val="003938D9"/>
    <w:rsid w:val="00394376"/>
    <w:rsid w:val="003943FF"/>
    <w:rsid w:val="00395700"/>
    <w:rsid w:val="003968D2"/>
    <w:rsid w:val="003974EB"/>
    <w:rsid w:val="00397CC5"/>
    <w:rsid w:val="003A1582"/>
    <w:rsid w:val="003A2667"/>
    <w:rsid w:val="003A4077"/>
    <w:rsid w:val="003A6814"/>
    <w:rsid w:val="003B09AD"/>
    <w:rsid w:val="003B1F18"/>
    <w:rsid w:val="003B5BF0"/>
    <w:rsid w:val="003B60BF"/>
    <w:rsid w:val="003B6BE3"/>
    <w:rsid w:val="003C010C"/>
    <w:rsid w:val="003C0A6C"/>
    <w:rsid w:val="003C14F8"/>
    <w:rsid w:val="003C1BBE"/>
    <w:rsid w:val="003C1CE8"/>
    <w:rsid w:val="003C5A43"/>
    <w:rsid w:val="003D0519"/>
    <w:rsid w:val="003D0FF6"/>
    <w:rsid w:val="003D262C"/>
    <w:rsid w:val="003D3004"/>
    <w:rsid w:val="003D5291"/>
    <w:rsid w:val="003D6D61"/>
    <w:rsid w:val="003D79C6"/>
    <w:rsid w:val="003E091D"/>
    <w:rsid w:val="003E09C2"/>
    <w:rsid w:val="003E1C53"/>
    <w:rsid w:val="003E2A69"/>
    <w:rsid w:val="003E2D49"/>
    <w:rsid w:val="003E2FD4"/>
    <w:rsid w:val="003E4834"/>
    <w:rsid w:val="003E49F6"/>
    <w:rsid w:val="003E4C2A"/>
    <w:rsid w:val="003E5305"/>
    <w:rsid w:val="003E660F"/>
    <w:rsid w:val="003E79F7"/>
    <w:rsid w:val="003E7EF0"/>
    <w:rsid w:val="003F0841"/>
    <w:rsid w:val="003F23D3"/>
    <w:rsid w:val="003F3B68"/>
    <w:rsid w:val="003F3C4F"/>
    <w:rsid w:val="003F3F08"/>
    <w:rsid w:val="003F49F1"/>
    <w:rsid w:val="003F6272"/>
    <w:rsid w:val="003F6508"/>
    <w:rsid w:val="003F77D1"/>
    <w:rsid w:val="00400E72"/>
    <w:rsid w:val="00401400"/>
    <w:rsid w:val="00404869"/>
    <w:rsid w:val="00405884"/>
    <w:rsid w:val="00407D39"/>
    <w:rsid w:val="0041477A"/>
    <w:rsid w:val="004167A3"/>
    <w:rsid w:val="00427ECE"/>
    <w:rsid w:val="00432DAA"/>
    <w:rsid w:val="00433AF2"/>
    <w:rsid w:val="00433D3B"/>
    <w:rsid w:val="00434305"/>
    <w:rsid w:val="00434A4D"/>
    <w:rsid w:val="00435DF7"/>
    <w:rsid w:val="0044083F"/>
    <w:rsid w:val="00441AE7"/>
    <w:rsid w:val="00443CB8"/>
    <w:rsid w:val="00445574"/>
    <w:rsid w:val="004467FB"/>
    <w:rsid w:val="00452D6B"/>
    <w:rsid w:val="004540F2"/>
    <w:rsid w:val="00454246"/>
    <w:rsid w:val="00454484"/>
    <w:rsid w:val="0045517B"/>
    <w:rsid w:val="00456C2F"/>
    <w:rsid w:val="00461121"/>
    <w:rsid w:val="00461EC4"/>
    <w:rsid w:val="00463B77"/>
    <w:rsid w:val="00463C7B"/>
    <w:rsid w:val="004644A6"/>
    <w:rsid w:val="004659BD"/>
    <w:rsid w:val="004671C1"/>
    <w:rsid w:val="00470775"/>
    <w:rsid w:val="004746B1"/>
    <w:rsid w:val="0047583F"/>
    <w:rsid w:val="00475DE8"/>
    <w:rsid w:val="00481C44"/>
    <w:rsid w:val="00484936"/>
    <w:rsid w:val="004851D1"/>
    <w:rsid w:val="00485C89"/>
    <w:rsid w:val="00486BE3"/>
    <w:rsid w:val="004905E4"/>
    <w:rsid w:val="00490A89"/>
    <w:rsid w:val="00490AB4"/>
    <w:rsid w:val="00492F02"/>
    <w:rsid w:val="004939AE"/>
    <w:rsid w:val="004975E0"/>
    <w:rsid w:val="004A12DF"/>
    <w:rsid w:val="004A17E6"/>
    <w:rsid w:val="004A1BA8"/>
    <w:rsid w:val="004A2281"/>
    <w:rsid w:val="004A4B57"/>
    <w:rsid w:val="004A63FA"/>
    <w:rsid w:val="004A72F2"/>
    <w:rsid w:val="004B0272"/>
    <w:rsid w:val="004B0D66"/>
    <w:rsid w:val="004B2701"/>
    <w:rsid w:val="004B2E1B"/>
    <w:rsid w:val="004B3AA8"/>
    <w:rsid w:val="004B3E93"/>
    <w:rsid w:val="004B4FAD"/>
    <w:rsid w:val="004B6C74"/>
    <w:rsid w:val="004B7213"/>
    <w:rsid w:val="004C1FBC"/>
    <w:rsid w:val="004C3F1D"/>
    <w:rsid w:val="004C458D"/>
    <w:rsid w:val="004C7556"/>
    <w:rsid w:val="004C794A"/>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F45"/>
    <w:rsid w:val="004F391A"/>
    <w:rsid w:val="004F3CFB"/>
    <w:rsid w:val="004F6456"/>
    <w:rsid w:val="004F696E"/>
    <w:rsid w:val="004F6C71"/>
    <w:rsid w:val="00501139"/>
    <w:rsid w:val="0050363E"/>
    <w:rsid w:val="005039BC"/>
    <w:rsid w:val="005043BB"/>
    <w:rsid w:val="0050464D"/>
    <w:rsid w:val="00504A3D"/>
    <w:rsid w:val="00505767"/>
    <w:rsid w:val="005073F0"/>
    <w:rsid w:val="005077AF"/>
    <w:rsid w:val="00510A7B"/>
    <w:rsid w:val="00512F6E"/>
    <w:rsid w:val="00513038"/>
    <w:rsid w:val="00514174"/>
    <w:rsid w:val="00516088"/>
    <w:rsid w:val="00516B0B"/>
    <w:rsid w:val="005220EC"/>
    <w:rsid w:val="00523651"/>
    <w:rsid w:val="00523F95"/>
    <w:rsid w:val="00524D65"/>
    <w:rsid w:val="00525B16"/>
    <w:rsid w:val="00530AEC"/>
    <w:rsid w:val="00533D04"/>
    <w:rsid w:val="00534804"/>
    <w:rsid w:val="00534BDF"/>
    <w:rsid w:val="005354EA"/>
    <w:rsid w:val="0053585F"/>
    <w:rsid w:val="00535EC4"/>
    <w:rsid w:val="00535ED9"/>
    <w:rsid w:val="0053692B"/>
    <w:rsid w:val="00536F66"/>
    <w:rsid w:val="00541853"/>
    <w:rsid w:val="00543BDA"/>
    <w:rsid w:val="005441CC"/>
    <w:rsid w:val="005479DA"/>
    <w:rsid w:val="00547BCC"/>
    <w:rsid w:val="0055013B"/>
    <w:rsid w:val="00550E40"/>
    <w:rsid w:val="00551F6F"/>
    <w:rsid w:val="00555044"/>
    <w:rsid w:val="00557184"/>
    <w:rsid w:val="00557523"/>
    <w:rsid w:val="00560048"/>
    <w:rsid w:val="00561475"/>
    <w:rsid w:val="0056487B"/>
    <w:rsid w:val="00564FB9"/>
    <w:rsid w:val="00565141"/>
    <w:rsid w:val="005714D1"/>
    <w:rsid w:val="00573D9E"/>
    <w:rsid w:val="005753FA"/>
    <w:rsid w:val="005801E3"/>
    <w:rsid w:val="00581802"/>
    <w:rsid w:val="005836A8"/>
    <w:rsid w:val="00583BC6"/>
    <w:rsid w:val="0058409C"/>
    <w:rsid w:val="00584262"/>
    <w:rsid w:val="00586630"/>
    <w:rsid w:val="00587ADD"/>
    <w:rsid w:val="00587FB5"/>
    <w:rsid w:val="005916D7"/>
    <w:rsid w:val="00591E27"/>
    <w:rsid w:val="00595B71"/>
    <w:rsid w:val="00596160"/>
    <w:rsid w:val="00596307"/>
    <w:rsid w:val="005966E2"/>
    <w:rsid w:val="00597007"/>
    <w:rsid w:val="005A0966"/>
    <w:rsid w:val="005A11B7"/>
    <w:rsid w:val="005A260B"/>
    <w:rsid w:val="005A331C"/>
    <w:rsid w:val="005A4A1B"/>
    <w:rsid w:val="005A69A4"/>
    <w:rsid w:val="005A7830"/>
    <w:rsid w:val="005A7FCE"/>
    <w:rsid w:val="005B0F3F"/>
    <w:rsid w:val="005B4903"/>
    <w:rsid w:val="005B51CE"/>
    <w:rsid w:val="005B5885"/>
    <w:rsid w:val="005B5A0D"/>
    <w:rsid w:val="005B5CD7"/>
    <w:rsid w:val="005B6CF6"/>
    <w:rsid w:val="005B6D33"/>
    <w:rsid w:val="005B7422"/>
    <w:rsid w:val="005C0263"/>
    <w:rsid w:val="005C29B8"/>
    <w:rsid w:val="005C5F21"/>
    <w:rsid w:val="005C7156"/>
    <w:rsid w:val="005D0C75"/>
    <w:rsid w:val="005D4171"/>
    <w:rsid w:val="005D6A95"/>
    <w:rsid w:val="005D6B2C"/>
    <w:rsid w:val="005D6D9C"/>
    <w:rsid w:val="005D7A5D"/>
    <w:rsid w:val="005D7AAB"/>
    <w:rsid w:val="005E113C"/>
    <w:rsid w:val="005E2335"/>
    <w:rsid w:val="005E34CA"/>
    <w:rsid w:val="005E3C18"/>
    <w:rsid w:val="005E6812"/>
    <w:rsid w:val="005E7881"/>
    <w:rsid w:val="005E78E0"/>
    <w:rsid w:val="005F0D9C"/>
    <w:rsid w:val="005F284E"/>
    <w:rsid w:val="005F4712"/>
    <w:rsid w:val="006015CE"/>
    <w:rsid w:val="00604784"/>
    <w:rsid w:val="00606419"/>
    <w:rsid w:val="00607D29"/>
    <w:rsid w:val="00611F54"/>
    <w:rsid w:val="00612952"/>
    <w:rsid w:val="00614CC1"/>
    <w:rsid w:val="00615A9D"/>
    <w:rsid w:val="00617387"/>
    <w:rsid w:val="006205D6"/>
    <w:rsid w:val="00622196"/>
    <w:rsid w:val="006252D8"/>
    <w:rsid w:val="006259BC"/>
    <w:rsid w:val="0062636B"/>
    <w:rsid w:val="0062744E"/>
    <w:rsid w:val="0063089C"/>
    <w:rsid w:val="00632182"/>
    <w:rsid w:val="00632AE0"/>
    <w:rsid w:val="00633C17"/>
    <w:rsid w:val="00634D9E"/>
    <w:rsid w:val="00636E3E"/>
    <w:rsid w:val="006379F7"/>
    <w:rsid w:val="00637E4D"/>
    <w:rsid w:val="00640620"/>
    <w:rsid w:val="006415CA"/>
    <w:rsid w:val="00641A1F"/>
    <w:rsid w:val="00645904"/>
    <w:rsid w:val="00650F1B"/>
    <w:rsid w:val="00651ACB"/>
    <w:rsid w:val="00651C47"/>
    <w:rsid w:val="00652AB2"/>
    <w:rsid w:val="00653FED"/>
    <w:rsid w:val="00654EC0"/>
    <w:rsid w:val="0065525B"/>
    <w:rsid w:val="00655D4F"/>
    <w:rsid w:val="00656D29"/>
    <w:rsid w:val="006640E5"/>
    <w:rsid w:val="006646F1"/>
    <w:rsid w:val="00664929"/>
    <w:rsid w:val="00664F62"/>
    <w:rsid w:val="006655E1"/>
    <w:rsid w:val="00667835"/>
    <w:rsid w:val="00672060"/>
    <w:rsid w:val="00672BFD"/>
    <w:rsid w:val="006770F4"/>
    <w:rsid w:val="00677A84"/>
    <w:rsid w:val="0068026D"/>
    <w:rsid w:val="00680A27"/>
    <w:rsid w:val="006816A4"/>
    <w:rsid w:val="006819B8"/>
    <w:rsid w:val="00681BBE"/>
    <w:rsid w:val="006840A6"/>
    <w:rsid w:val="006850CD"/>
    <w:rsid w:val="00685AAB"/>
    <w:rsid w:val="00691572"/>
    <w:rsid w:val="00695D22"/>
    <w:rsid w:val="006A07AA"/>
    <w:rsid w:val="006A25E5"/>
    <w:rsid w:val="006A2B46"/>
    <w:rsid w:val="006A336D"/>
    <w:rsid w:val="006A37B9"/>
    <w:rsid w:val="006A6BAD"/>
    <w:rsid w:val="006B0EF6"/>
    <w:rsid w:val="006B2672"/>
    <w:rsid w:val="006B312C"/>
    <w:rsid w:val="006B54BF"/>
    <w:rsid w:val="006B5F44"/>
    <w:rsid w:val="006B5F90"/>
    <w:rsid w:val="006B62E4"/>
    <w:rsid w:val="006C1BBA"/>
    <w:rsid w:val="006C2079"/>
    <w:rsid w:val="006C5A62"/>
    <w:rsid w:val="006C5D68"/>
    <w:rsid w:val="006C6976"/>
    <w:rsid w:val="006C6DD0"/>
    <w:rsid w:val="006C6F7B"/>
    <w:rsid w:val="006D01D2"/>
    <w:rsid w:val="006D04EA"/>
    <w:rsid w:val="006D0AB7"/>
    <w:rsid w:val="006D16C4"/>
    <w:rsid w:val="006D1CEE"/>
    <w:rsid w:val="006D3E96"/>
    <w:rsid w:val="006D4515"/>
    <w:rsid w:val="006D4BB1"/>
    <w:rsid w:val="006D59E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07BB"/>
    <w:rsid w:val="00720A87"/>
    <w:rsid w:val="00722FBF"/>
    <w:rsid w:val="00722FC2"/>
    <w:rsid w:val="00724879"/>
    <w:rsid w:val="00724E1B"/>
    <w:rsid w:val="00725949"/>
    <w:rsid w:val="00727FA2"/>
    <w:rsid w:val="007322D9"/>
    <w:rsid w:val="00732BC0"/>
    <w:rsid w:val="00732C01"/>
    <w:rsid w:val="0073720F"/>
    <w:rsid w:val="00737796"/>
    <w:rsid w:val="0074165C"/>
    <w:rsid w:val="00742C35"/>
    <w:rsid w:val="007432CA"/>
    <w:rsid w:val="00743487"/>
    <w:rsid w:val="007439EB"/>
    <w:rsid w:val="00743CB4"/>
    <w:rsid w:val="00743F0A"/>
    <w:rsid w:val="007444E8"/>
    <w:rsid w:val="0074548E"/>
    <w:rsid w:val="00745773"/>
    <w:rsid w:val="00746800"/>
    <w:rsid w:val="007501A8"/>
    <w:rsid w:val="00750D61"/>
    <w:rsid w:val="00750EE1"/>
    <w:rsid w:val="00752B4D"/>
    <w:rsid w:val="0075482B"/>
    <w:rsid w:val="00755402"/>
    <w:rsid w:val="00756B26"/>
    <w:rsid w:val="00756EDF"/>
    <w:rsid w:val="007600E3"/>
    <w:rsid w:val="007606BC"/>
    <w:rsid w:val="00765C43"/>
    <w:rsid w:val="00765EFB"/>
    <w:rsid w:val="0076635D"/>
    <w:rsid w:val="007671CA"/>
    <w:rsid w:val="00767C61"/>
    <w:rsid w:val="0077008A"/>
    <w:rsid w:val="00773C1F"/>
    <w:rsid w:val="00774DA4"/>
    <w:rsid w:val="00776599"/>
    <w:rsid w:val="00776CD6"/>
    <w:rsid w:val="0078114B"/>
    <w:rsid w:val="00781DD2"/>
    <w:rsid w:val="00783ECF"/>
    <w:rsid w:val="0078413A"/>
    <w:rsid w:val="007959E8"/>
    <w:rsid w:val="00795E9C"/>
    <w:rsid w:val="00797787"/>
    <w:rsid w:val="007A0521"/>
    <w:rsid w:val="007A0B8F"/>
    <w:rsid w:val="007A2E12"/>
    <w:rsid w:val="007A3475"/>
    <w:rsid w:val="007A3788"/>
    <w:rsid w:val="007A41C8"/>
    <w:rsid w:val="007A54CE"/>
    <w:rsid w:val="007A6FD9"/>
    <w:rsid w:val="007A7FFA"/>
    <w:rsid w:val="007B04EB"/>
    <w:rsid w:val="007B0D4F"/>
    <w:rsid w:val="007B3442"/>
    <w:rsid w:val="007B5A3D"/>
    <w:rsid w:val="007B5B95"/>
    <w:rsid w:val="007B68EA"/>
    <w:rsid w:val="007B711D"/>
    <w:rsid w:val="007B7453"/>
    <w:rsid w:val="007C1E8B"/>
    <w:rsid w:val="007C2D89"/>
    <w:rsid w:val="007C34B3"/>
    <w:rsid w:val="007C4593"/>
    <w:rsid w:val="007C5309"/>
    <w:rsid w:val="007C6069"/>
    <w:rsid w:val="007D06C4"/>
    <w:rsid w:val="007D1352"/>
    <w:rsid w:val="007D2508"/>
    <w:rsid w:val="007D346A"/>
    <w:rsid w:val="007D6518"/>
    <w:rsid w:val="007D76BD"/>
    <w:rsid w:val="007E0BF1"/>
    <w:rsid w:val="007E410C"/>
    <w:rsid w:val="007F010E"/>
    <w:rsid w:val="007F097C"/>
    <w:rsid w:val="007F0ED8"/>
    <w:rsid w:val="007F0F63"/>
    <w:rsid w:val="007F5D32"/>
    <w:rsid w:val="007F75CE"/>
    <w:rsid w:val="008013A4"/>
    <w:rsid w:val="008027CE"/>
    <w:rsid w:val="00802F42"/>
    <w:rsid w:val="00804383"/>
    <w:rsid w:val="00804BB7"/>
    <w:rsid w:val="00804D41"/>
    <w:rsid w:val="00806982"/>
    <w:rsid w:val="00810257"/>
    <w:rsid w:val="008104F5"/>
    <w:rsid w:val="0081059D"/>
    <w:rsid w:val="00811072"/>
    <w:rsid w:val="00811369"/>
    <w:rsid w:val="00815419"/>
    <w:rsid w:val="008163C8"/>
    <w:rsid w:val="008164A1"/>
    <w:rsid w:val="00817325"/>
    <w:rsid w:val="008209E6"/>
    <w:rsid w:val="0082239B"/>
    <w:rsid w:val="00823303"/>
    <w:rsid w:val="008233B2"/>
    <w:rsid w:val="00823A9F"/>
    <w:rsid w:val="00823C85"/>
    <w:rsid w:val="00825138"/>
    <w:rsid w:val="008269DD"/>
    <w:rsid w:val="00830621"/>
    <w:rsid w:val="008323C1"/>
    <w:rsid w:val="0083348C"/>
    <w:rsid w:val="00835B5D"/>
    <w:rsid w:val="008373D3"/>
    <w:rsid w:val="00840617"/>
    <w:rsid w:val="00840F84"/>
    <w:rsid w:val="00842A47"/>
    <w:rsid w:val="00843781"/>
    <w:rsid w:val="00843C13"/>
    <w:rsid w:val="008454F8"/>
    <w:rsid w:val="00851274"/>
    <w:rsid w:val="0085173A"/>
    <w:rsid w:val="00855B24"/>
    <w:rsid w:val="00856316"/>
    <w:rsid w:val="00856C4D"/>
    <w:rsid w:val="00857827"/>
    <w:rsid w:val="008603CE"/>
    <w:rsid w:val="008620FC"/>
    <w:rsid w:val="008627A5"/>
    <w:rsid w:val="00863E05"/>
    <w:rsid w:val="00865ACA"/>
    <w:rsid w:val="00865D28"/>
    <w:rsid w:val="00865F85"/>
    <w:rsid w:val="00867C10"/>
    <w:rsid w:val="00870439"/>
    <w:rsid w:val="00870DA1"/>
    <w:rsid w:val="00871BD7"/>
    <w:rsid w:val="00883F93"/>
    <w:rsid w:val="00884936"/>
    <w:rsid w:val="00884DB3"/>
    <w:rsid w:val="00885A9D"/>
    <w:rsid w:val="008864F6"/>
    <w:rsid w:val="0089049D"/>
    <w:rsid w:val="00891151"/>
    <w:rsid w:val="008917D8"/>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690"/>
    <w:rsid w:val="008B0C9C"/>
    <w:rsid w:val="008B166D"/>
    <w:rsid w:val="008B17F4"/>
    <w:rsid w:val="008B3615"/>
    <w:rsid w:val="008B4AC4"/>
    <w:rsid w:val="008B50C8"/>
    <w:rsid w:val="008B5281"/>
    <w:rsid w:val="008B7E05"/>
    <w:rsid w:val="008C1797"/>
    <w:rsid w:val="008C219C"/>
    <w:rsid w:val="008C475E"/>
    <w:rsid w:val="008C619A"/>
    <w:rsid w:val="008C742C"/>
    <w:rsid w:val="008D0CE8"/>
    <w:rsid w:val="008D18EC"/>
    <w:rsid w:val="008D25EC"/>
    <w:rsid w:val="008D2D1D"/>
    <w:rsid w:val="008D453D"/>
    <w:rsid w:val="008D4659"/>
    <w:rsid w:val="008D53AD"/>
    <w:rsid w:val="008D562B"/>
    <w:rsid w:val="008D5733"/>
    <w:rsid w:val="008D622B"/>
    <w:rsid w:val="008D666C"/>
    <w:rsid w:val="008D7B54"/>
    <w:rsid w:val="008E0C9D"/>
    <w:rsid w:val="008E1304"/>
    <w:rsid w:val="008E1648"/>
    <w:rsid w:val="008E1B3E"/>
    <w:rsid w:val="008E2319"/>
    <w:rsid w:val="008E4BB6"/>
    <w:rsid w:val="008E5518"/>
    <w:rsid w:val="008E6A84"/>
    <w:rsid w:val="008E7297"/>
    <w:rsid w:val="008F0CDC"/>
    <w:rsid w:val="008F17A3"/>
    <w:rsid w:val="008F1ED3"/>
    <w:rsid w:val="008F23A5"/>
    <w:rsid w:val="008F35C5"/>
    <w:rsid w:val="008F4C29"/>
    <w:rsid w:val="008F70BD"/>
    <w:rsid w:val="008F788F"/>
    <w:rsid w:val="008F7EA2"/>
    <w:rsid w:val="00902722"/>
    <w:rsid w:val="009027BC"/>
    <w:rsid w:val="00903ABB"/>
    <w:rsid w:val="009062E6"/>
    <w:rsid w:val="00911BE5"/>
    <w:rsid w:val="00913CA9"/>
    <w:rsid w:val="009145AE"/>
    <w:rsid w:val="009146CE"/>
    <w:rsid w:val="00914CA7"/>
    <w:rsid w:val="00915C3E"/>
    <w:rsid w:val="009161A8"/>
    <w:rsid w:val="009245F5"/>
    <w:rsid w:val="009249EC"/>
    <w:rsid w:val="009273B3"/>
    <w:rsid w:val="0092773E"/>
    <w:rsid w:val="009305B5"/>
    <w:rsid w:val="009350CB"/>
    <w:rsid w:val="0093648F"/>
    <w:rsid w:val="009429D5"/>
    <w:rsid w:val="00942BF1"/>
    <w:rsid w:val="00942E9E"/>
    <w:rsid w:val="00945180"/>
    <w:rsid w:val="00945428"/>
    <w:rsid w:val="0094607B"/>
    <w:rsid w:val="00947430"/>
    <w:rsid w:val="00952F24"/>
    <w:rsid w:val="00953604"/>
    <w:rsid w:val="0095496B"/>
    <w:rsid w:val="00955408"/>
    <w:rsid w:val="00956FD0"/>
    <w:rsid w:val="009610DC"/>
    <w:rsid w:val="00961490"/>
    <w:rsid w:val="0096381A"/>
    <w:rsid w:val="00965E04"/>
    <w:rsid w:val="009674AD"/>
    <w:rsid w:val="00970CDC"/>
    <w:rsid w:val="00977010"/>
    <w:rsid w:val="00977D02"/>
    <w:rsid w:val="009809BB"/>
    <w:rsid w:val="0098364B"/>
    <w:rsid w:val="00984ECC"/>
    <w:rsid w:val="00984FB2"/>
    <w:rsid w:val="00985BD8"/>
    <w:rsid w:val="00986883"/>
    <w:rsid w:val="009911AF"/>
    <w:rsid w:val="00991875"/>
    <w:rsid w:val="00991F92"/>
    <w:rsid w:val="00992985"/>
    <w:rsid w:val="009935ED"/>
    <w:rsid w:val="00993889"/>
    <w:rsid w:val="0099551B"/>
    <w:rsid w:val="00997BF1"/>
    <w:rsid w:val="009A089C"/>
    <w:rsid w:val="009A118E"/>
    <w:rsid w:val="009A21CD"/>
    <w:rsid w:val="009A278C"/>
    <w:rsid w:val="009A2BC2"/>
    <w:rsid w:val="009A42C1"/>
    <w:rsid w:val="009A5429"/>
    <w:rsid w:val="009A7033"/>
    <w:rsid w:val="009A72AD"/>
    <w:rsid w:val="009B09E0"/>
    <w:rsid w:val="009B0BC5"/>
    <w:rsid w:val="009B1247"/>
    <w:rsid w:val="009B46F9"/>
    <w:rsid w:val="009B6029"/>
    <w:rsid w:val="009B6971"/>
    <w:rsid w:val="009B703F"/>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D14"/>
    <w:rsid w:val="009F2107"/>
    <w:rsid w:val="009F54E7"/>
    <w:rsid w:val="00A0096C"/>
    <w:rsid w:val="00A01757"/>
    <w:rsid w:val="00A024B8"/>
    <w:rsid w:val="00A028C0"/>
    <w:rsid w:val="00A02BAE"/>
    <w:rsid w:val="00A06A6B"/>
    <w:rsid w:val="00A06C6C"/>
    <w:rsid w:val="00A07E47"/>
    <w:rsid w:val="00A101A0"/>
    <w:rsid w:val="00A129D0"/>
    <w:rsid w:val="00A12C33"/>
    <w:rsid w:val="00A138BA"/>
    <w:rsid w:val="00A14C8E"/>
    <w:rsid w:val="00A153D9"/>
    <w:rsid w:val="00A15F09"/>
    <w:rsid w:val="00A169B6"/>
    <w:rsid w:val="00A2271D"/>
    <w:rsid w:val="00A237D5"/>
    <w:rsid w:val="00A2664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936"/>
    <w:rsid w:val="00A55BBA"/>
    <w:rsid w:val="00A55BD6"/>
    <w:rsid w:val="00A55D50"/>
    <w:rsid w:val="00A57142"/>
    <w:rsid w:val="00A64245"/>
    <w:rsid w:val="00A648CD"/>
    <w:rsid w:val="00A6537A"/>
    <w:rsid w:val="00A67866"/>
    <w:rsid w:val="00A70B07"/>
    <w:rsid w:val="00A723F8"/>
    <w:rsid w:val="00A73432"/>
    <w:rsid w:val="00A77CCB"/>
    <w:rsid w:val="00A836F6"/>
    <w:rsid w:val="00A83D8D"/>
    <w:rsid w:val="00A8446B"/>
    <w:rsid w:val="00A8473F"/>
    <w:rsid w:val="00A862D6"/>
    <w:rsid w:val="00A8715E"/>
    <w:rsid w:val="00A90C9F"/>
    <w:rsid w:val="00A9295B"/>
    <w:rsid w:val="00A93B09"/>
    <w:rsid w:val="00A94247"/>
    <w:rsid w:val="00A952D7"/>
    <w:rsid w:val="00A962A6"/>
    <w:rsid w:val="00A963F7"/>
    <w:rsid w:val="00A96AD8"/>
    <w:rsid w:val="00AA052C"/>
    <w:rsid w:val="00AA1E45"/>
    <w:rsid w:val="00AA4286"/>
    <w:rsid w:val="00AA456B"/>
    <w:rsid w:val="00AA57F5"/>
    <w:rsid w:val="00AA6623"/>
    <w:rsid w:val="00AA672E"/>
    <w:rsid w:val="00AA6EC9"/>
    <w:rsid w:val="00AB3719"/>
    <w:rsid w:val="00AB41D5"/>
    <w:rsid w:val="00AB4845"/>
    <w:rsid w:val="00AB6309"/>
    <w:rsid w:val="00AB6C5F"/>
    <w:rsid w:val="00AB7129"/>
    <w:rsid w:val="00AC0C74"/>
    <w:rsid w:val="00AC27A6"/>
    <w:rsid w:val="00AC30F7"/>
    <w:rsid w:val="00AC369A"/>
    <w:rsid w:val="00AC3A5A"/>
    <w:rsid w:val="00AC4D95"/>
    <w:rsid w:val="00AC5DF4"/>
    <w:rsid w:val="00AD0AEF"/>
    <w:rsid w:val="00AD11B7"/>
    <w:rsid w:val="00AD16EB"/>
    <w:rsid w:val="00AD1A94"/>
    <w:rsid w:val="00AD1C05"/>
    <w:rsid w:val="00AD4126"/>
    <w:rsid w:val="00AD421C"/>
    <w:rsid w:val="00AD44FA"/>
    <w:rsid w:val="00AD685F"/>
    <w:rsid w:val="00AD6EF4"/>
    <w:rsid w:val="00AE070A"/>
    <w:rsid w:val="00AE101C"/>
    <w:rsid w:val="00AE14B9"/>
    <w:rsid w:val="00AE198D"/>
    <w:rsid w:val="00AE37E5"/>
    <w:rsid w:val="00AE4486"/>
    <w:rsid w:val="00AE5EB4"/>
    <w:rsid w:val="00AF0C18"/>
    <w:rsid w:val="00AF47C5"/>
    <w:rsid w:val="00AF5398"/>
    <w:rsid w:val="00AF5F81"/>
    <w:rsid w:val="00AF609F"/>
    <w:rsid w:val="00AF614E"/>
    <w:rsid w:val="00B000BB"/>
    <w:rsid w:val="00B049AF"/>
    <w:rsid w:val="00B07242"/>
    <w:rsid w:val="00B10534"/>
    <w:rsid w:val="00B113DB"/>
    <w:rsid w:val="00B11D8A"/>
    <w:rsid w:val="00B12981"/>
    <w:rsid w:val="00B147DD"/>
    <w:rsid w:val="00B1510E"/>
    <w:rsid w:val="00B156FD"/>
    <w:rsid w:val="00B21F61"/>
    <w:rsid w:val="00B24DC5"/>
    <w:rsid w:val="00B261F1"/>
    <w:rsid w:val="00B265BC"/>
    <w:rsid w:val="00B30FEC"/>
    <w:rsid w:val="00B31FB1"/>
    <w:rsid w:val="00B33952"/>
    <w:rsid w:val="00B33C5E"/>
    <w:rsid w:val="00B342F4"/>
    <w:rsid w:val="00B34369"/>
    <w:rsid w:val="00B34DC2"/>
    <w:rsid w:val="00B378E5"/>
    <w:rsid w:val="00B4346D"/>
    <w:rsid w:val="00B440F4"/>
    <w:rsid w:val="00B447A5"/>
    <w:rsid w:val="00B45A44"/>
    <w:rsid w:val="00B4654C"/>
    <w:rsid w:val="00B46AF0"/>
    <w:rsid w:val="00B47293"/>
    <w:rsid w:val="00B47A20"/>
    <w:rsid w:val="00B50E50"/>
    <w:rsid w:val="00B52120"/>
    <w:rsid w:val="00B54ABC"/>
    <w:rsid w:val="00B54DDE"/>
    <w:rsid w:val="00B554E7"/>
    <w:rsid w:val="00B56CAF"/>
    <w:rsid w:val="00B56FBE"/>
    <w:rsid w:val="00B60ACF"/>
    <w:rsid w:val="00B62B58"/>
    <w:rsid w:val="00B65149"/>
    <w:rsid w:val="00B66567"/>
    <w:rsid w:val="00B66F52"/>
    <w:rsid w:val="00B66FE5"/>
    <w:rsid w:val="00B67329"/>
    <w:rsid w:val="00B72880"/>
    <w:rsid w:val="00B758BF"/>
    <w:rsid w:val="00B77A13"/>
    <w:rsid w:val="00B77EC8"/>
    <w:rsid w:val="00B827A6"/>
    <w:rsid w:val="00B831CE"/>
    <w:rsid w:val="00B83708"/>
    <w:rsid w:val="00B86677"/>
    <w:rsid w:val="00B87131"/>
    <w:rsid w:val="00B92DD5"/>
    <w:rsid w:val="00B939B1"/>
    <w:rsid w:val="00B955B0"/>
    <w:rsid w:val="00B96D40"/>
    <w:rsid w:val="00B96E91"/>
    <w:rsid w:val="00B97386"/>
    <w:rsid w:val="00BA07C5"/>
    <w:rsid w:val="00BA2415"/>
    <w:rsid w:val="00BA263B"/>
    <w:rsid w:val="00BA42B2"/>
    <w:rsid w:val="00BA58D4"/>
    <w:rsid w:val="00BA5B9E"/>
    <w:rsid w:val="00BA7440"/>
    <w:rsid w:val="00BA7C9A"/>
    <w:rsid w:val="00BB203B"/>
    <w:rsid w:val="00BB5F8F"/>
    <w:rsid w:val="00BB657A"/>
    <w:rsid w:val="00BB6EB7"/>
    <w:rsid w:val="00BC1A4E"/>
    <w:rsid w:val="00BC2DA6"/>
    <w:rsid w:val="00BC4790"/>
    <w:rsid w:val="00BC5DC7"/>
    <w:rsid w:val="00BC6B8B"/>
    <w:rsid w:val="00BC73D8"/>
    <w:rsid w:val="00BD4E2A"/>
    <w:rsid w:val="00BD52D7"/>
    <w:rsid w:val="00BD5AD2"/>
    <w:rsid w:val="00BD6881"/>
    <w:rsid w:val="00BE22F3"/>
    <w:rsid w:val="00BE5B52"/>
    <w:rsid w:val="00BE7529"/>
    <w:rsid w:val="00BE76D5"/>
    <w:rsid w:val="00BE7B8D"/>
    <w:rsid w:val="00BF0993"/>
    <w:rsid w:val="00BF10A9"/>
    <w:rsid w:val="00BF1703"/>
    <w:rsid w:val="00BF231C"/>
    <w:rsid w:val="00BF3331"/>
    <w:rsid w:val="00BF3F08"/>
    <w:rsid w:val="00BF51E5"/>
    <w:rsid w:val="00BF74A6"/>
    <w:rsid w:val="00C013AD"/>
    <w:rsid w:val="00C04904"/>
    <w:rsid w:val="00C04A44"/>
    <w:rsid w:val="00C0540F"/>
    <w:rsid w:val="00C056B3"/>
    <w:rsid w:val="00C103E5"/>
    <w:rsid w:val="00C13319"/>
    <w:rsid w:val="00C1354D"/>
    <w:rsid w:val="00C13EE9"/>
    <w:rsid w:val="00C21540"/>
    <w:rsid w:val="00C21906"/>
    <w:rsid w:val="00C21BFA"/>
    <w:rsid w:val="00C22148"/>
    <w:rsid w:val="00C24C8D"/>
    <w:rsid w:val="00C2529E"/>
    <w:rsid w:val="00C25FE2"/>
    <w:rsid w:val="00C26B53"/>
    <w:rsid w:val="00C279B2"/>
    <w:rsid w:val="00C33E50"/>
    <w:rsid w:val="00C34C20"/>
    <w:rsid w:val="00C35A3E"/>
    <w:rsid w:val="00C42130"/>
    <w:rsid w:val="00C423A4"/>
    <w:rsid w:val="00C44BF5"/>
    <w:rsid w:val="00C521D6"/>
    <w:rsid w:val="00C52EC9"/>
    <w:rsid w:val="00C53174"/>
    <w:rsid w:val="00C55232"/>
    <w:rsid w:val="00C553A4"/>
    <w:rsid w:val="00C55A06"/>
    <w:rsid w:val="00C55D03"/>
    <w:rsid w:val="00C563F2"/>
    <w:rsid w:val="00C601BC"/>
    <w:rsid w:val="00C6329F"/>
    <w:rsid w:val="00C63340"/>
    <w:rsid w:val="00C643F9"/>
    <w:rsid w:val="00C64E95"/>
    <w:rsid w:val="00C71372"/>
    <w:rsid w:val="00C72176"/>
    <w:rsid w:val="00C72410"/>
    <w:rsid w:val="00C72729"/>
    <w:rsid w:val="00C7287F"/>
    <w:rsid w:val="00C7683B"/>
    <w:rsid w:val="00C77904"/>
    <w:rsid w:val="00C80982"/>
    <w:rsid w:val="00C80CB8"/>
    <w:rsid w:val="00C819F8"/>
    <w:rsid w:val="00C8248C"/>
    <w:rsid w:val="00C8394C"/>
    <w:rsid w:val="00C84E33"/>
    <w:rsid w:val="00C8544D"/>
    <w:rsid w:val="00C85AEE"/>
    <w:rsid w:val="00C865B6"/>
    <w:rsid w:val="00C86D6F"/>
    <w:rsid w:val="00C905FC"/>
    <w:rsid w:val="00C9260A"/>
    <w:rsid w:val="00C927E4"/>
    <w:rsid w:val="00C92D03"/>
    <w:rsid w:val="00C9319C"/>
    <w:rsid w:val="00C9347F"/>
    <w:rsid w:val="00C9435D"/>
    <w:rsid w:val="00C94552"/>
    <w:rsid w:val="00C94DF2"/>
    <w:rsid w:val="00C96741"/>
    <w:rsid w:val="00CA2D1B"/>
    <w:rsid w:val="00CA375D"/>
    <w:rsid w:val="00CA421E"/>
    <w:rsid w:val="00CA5080"/>
    <w:rsid w:val="00CA662A"/>
    <w:rsid w:val="00CA7AFD"/>
    <w:rsid w:val="00CA7C3C"/>
    <w:rsid w:val="00CB0189"/>
    <w:rsid w:val="00CB0BA2"/>
    <w:rsid w:val="00CB1532"/>
    <w:rsid w:val="00CB1A42"/>
    <w:rsid w:val="00CB1B0C"/>
    <w:rsid w:val="00CB2C0B"/>
    <w:rsid w:val="00CB3A58"/>
    <w:rsid w:val="00CB517D"/>
    <w:rsid w:val="00CB71CC"/>
    <w:rsid w:val="00CC038D"/>
    <w:rsid w:val="00CC08DB"/>
    <w:rsid w:val="00CC27D6"/>
    <w:rsid w:val="00CC307B"/>
    <w:rsid w:val="00CC39FF"/>
    <w:rsid w:val="00CC3C2F"/>
    <w:rsid w:val="00CC4AC8"/>
    <w:rsid w:val="00CC5233"/>
    <w:rsid w:val="00CC5DE6"/>
    <w:rsid w:val="00CC6E4E"/>
    <w:rsid w:val="00CC6FE8"/>
    <w:rsid w:val="00CC7202"/>
    <w:rsid w:val="00CC7FBA"/>
    <w:rsid w:val="00CD2808"/>
    <w:rsid w:val="00CD28BF"/>
    <w:rsid w:val="00CD4092"/>
    <w:rsid w:val="00CD4A20"/>
    <w:rsid w:val="00CD50A1"/>
    <w:rsid w:val="00CD519E"/>
    <w:rsid w:val="00CD561D"/>
    <w:rsid w:val="00CE0C4F"/>
    <w:rsid w:val="00CE30EA"/>
    <w:rsid w:val="00CE353D"/>
    <w:rsid w:val="00CF048A"/>
    <w:rsid w:val="00CF155A"/>
    <w:rsid w:val="00CF2947"/>
    <w:rsid w:val="00CF686F"/>
    <w:rsid w:val="00CF6E60"/>
    <w:rsid w:val="00CF7BCA"/>
    <w:rsid w:val="00D008FD"/>
    <w:rsid w:val="00D031EF"/>
    <w:rsid w:val="00D0321C"/>
    <w:rsid w:val="00D035EC"/>
    <w:rsid w:val="00D06AB1"/>
    <w:rsid w:val="00D072ED"/>
    <w:rsid w:val="00D07A16"/>
    <w:rsid w:val="00D1067E"/>
    <w:rsid w:val="00D10F50"/>
    <w:rsid w:val="00D11272"/>
    <w:rsid w:val="00D120F3"/>
    <w:rsid w:val="00D126F5"/>
    <w:rsid w:val="00D12D3B"/>
    <w:rsid w:val="00D1489E"/>
    <w:rsid w:val="00D205B1"/>
    <w:rsid w:val="00D20737"/>
    <w:rsid w:val="00D21E81"/>
    <w:rsid w:val="00D223DE"/>
    <w:rsid w:val="00D255DB"/>
    <w:rsid w:val="00D25E37"/>
    <w:rsid w:val="00D2661A"/>
    <w:rsid w:val="00D27582"/>
    <w:rsid w:val="00D27EC4"/>
    <w:rsid w:val="00D30FE8"/>
    <w:rsid w:val="00D32719"/>
    <w:rsid w:val="00D33333"/>
    <w:rsid w:val="00D33457"/>
    <w:rsid w:val="00D352A2"/>
    <w:rsid w:val="00D3660F"/>
    <w:rsid w:val="00D4162B"/>
    <w:rsid w:val="00D4514F"/>
    <w:rsid w:val="00D451E2"/>
    <w:rsid w:val="00D45E89"/>
    <w:rsid w:val="00D45E8D"/>
    <w:rsid w:val="00D46610"/>
    <w:rsid w:val="00D466AE"/>
    <w:rsid w:val="00D4734F"/>
    <w:rsid w:val="00D502E3"/>
    <w:rsid w:val="00D51BF3"/>
    <w:rsid w:val="00D55F7D"/>
    <w:rsid w:val="00D63E52"/>
    <w:rsid w:val="00D64AB9"/>
    <w:rsid w:val="00D66846"/>
    <w:rsid w:val="00D675FB"/>
    <w:rsid w:val="00D71F25"/>
    <w:rsid w:val="00D72A9C"/>
    <w:rsid w:val="00D77031"/>
    <w:rsid w:val="00D84941"/>
    <w:rsid w:val="00D84FA1"/>
    <w:rsid w:val="00D851F0"/>
    <w:rsid w:val="00D86DB7"/>
    <w:rsid w:val="00D90785"/>
    <w:rsid w:val="00D926D0"/>
    <w:rsid w:val="00D93030"/>
    <w:rsid w:val="00D950E1"/>
    <w:rsid w:val="00D952A6"/>
    <w:rsid w:val="00D96728"/>
    <w:rsid w:val="00D97F99"/>
    <w:rsid w:val="00DA1E08"/>
    <w:rsid w:val="00DA24F8"/>
    <w:rsid w:val="00DA28E8"/>
    <w:rsid w:val="00DA38D3"/>
    <w:rsid w:val="00DA3932"/>
    <w:rsid w:val="00DA3AFC"/>
    <w:rsid w:val="00DA3F4A"/>
    <w:rsid w:val="00DA5191"/>
    <w:rsid w:val="00DA64F8"/>
    <w:rsid w:val="00DA6C15"/>
    <w:rsid w:val="00DB0258"/>
    <w:rsid w:val="00DB05B7"/>
    <w:rsid w:val="00DB38EE"/>
    <w:rsid w:val="00DB498B"/>
    <w:rsid w:val="00DB66CA"/>
    <w:rsid w:val="00DB6BCA"/>
    <w:rsid w:val="00DB73F7"/>
    <w:rsid w:val="00DC0321"/>
    <w:rsid w:val="00DC3067"/>
    <w:rsid w:val="00DC370B"/>
    <w:rsid w:val="00DC387A"/>
    <w:rsid w:val="00DC3E5F"/>
    <w:rsid w:val="00DC5B90"/>
    <w:rsid w:val="00DC7995"/>
    <w:rsid w:val="00DD00FF"/>
    <w:rsid w:val="00DD0619"/>
    <w:rsid w:val="00DD07FB"/>
    <w:rsid w:val="00DD25C6"/>
    <w:rsid w:val="00DD4FE5"/>
    <w:rsid w:val="00DD54B0"/>
    <w:rsid w:val="00DD57EE"/>
    <w:rsid w:val="00DD6BCC"/>
    <w:rsid w:val="00DD7A7E"/>
    <w:rsid w:val="00DE0A4B"/>
    <w:rsid w:val="00DE2410"/>
    <w:rsid w:val="00DE2939"/>
    <w:rsid w:val="00DE6E81"/>
    <w:rsid w:val="00DE703F"/>
    <w:rsid w:val="00DE7595"/>
    <w:rsid w:val="00DF1961"/>
    <w:rsid w:val="00DF44DE"/>
    <w:rsid w:val="00DF5F11"/>
    <w:rsid w:val="00E00649"/>
    <w:rsid w:val="00E01138"/>
    <w:rsid w:val="00E02DFB"/>
    <w:rsid w:val="00E030F9"/>
    <w:rsid w:val="00E0311A"/>
    <w:rsid w:val="00E03138"/>
    <w:rsid w:val="00E06404"/>
    <w:rsid w:val="00E065D2"/>
    <w:rsid w:val="00E11A85"/>
    <w:rsid w:val="00E12495"/>
    <w:rsid w:val="00E15CCD"/>
    <w:rsid w:val="00E20066"/>
    <w:rsid w:val="00E202EF"/>
    <w:rsid w:val="00E210B5"/>
    <w:rsid w:val="00E23D99"/>
    <w:rsid w:val="00E2552F"/>
    <w:rsid w:val="00E27A7B"/>
    <w:rsid w:val="00E3137A"/>
    <w:rsid w:val="00E32CCF"/>
    <w:rsid w:val="00E33DB6"/>
    <w:rsid w:val="00E34A98"/>
    <w:rsid w:val="00E35D1E"/>
    <w:rsid w:val="00E364F9"/>
    <w:rsid w:val="00E365FA"/>
    <w:rsid w:val="00E36789"/>
    <w:rsid w:val="00E370EB"/>
    <w:rsid w:val="00E416CF"/>
    <w:rsid w:val="00E44A83"/>
    <w:rsid w:val="00E44C10"/>
    <w:rsid w:val="00E458BD"/>
    <w:rsid w:val="00E502C1"/>
    <w:rsid w:val="00E502DD"/>
    <w:rsid w:val="00E50D3A"/>
    <w:rsid w:val="00E51387"/>
    <w:rsid w:val="00E51E68"/>
    <w:rsid w:val="00E51F96"/>
    <w:rsid w:val="00E52EFD"/>
    <w:rsid w:val="00E5408A"/>
    <w:rsid w:val="00E545A4"/>
    <w:rsid w:val="00E56800"/>
    <w:rsid w:val="00E60C63"/>
    <w:rsid w:val="00E62FF9"/>
    <w:rsid w:val="00E635D6"/>
    <w:rsid w:val="00E636EF"/>
    <w:rsid w:val="00E639BC"/>
    <w:rsid w:val="00E664CC"/>
    <w:rsid w:val="00E67375"/>
    <w:rsid w:val="00E70388"/>
    <w:rsid w:val="00E70F92"/>
    <w:rsid w:val="00E73F0A"/>
    <w:rsid w:val="00E74C54"/>
    <w:rsid w:val="00E77A03"/>
    <w:rsid w:val="00E82165"/>
    <w:rsid w:val="00E822E8"/>
    <w:rsid w:val="00E82554"/>
    <w:rsid w:val="00E82606"/>
    <w:rsid w:val="00E82B92"/>
    <w:rsid w:val="00E846C8"/>
    <w:rsid w:val="00E84957"/>
    <w:rsid w:val="00E84A55"/>
    <w:rsid w:val="00E85BFF"/>
    <w:rsid w:val="00E90391"/>
    <w:rsid w:val="00E906C2"/>
    <w:rsid w:val="00E9311F"/>
    <w:rsid w:val="00E934D1"/>
    <w:rsid w:val="00E94AF0"/>
    <w:rsid w:val="00E95D13"/>
    <w:rsid w:val="00E95DD3"/>
    <w:rsid w:val="00E969D5"/>
    <w:rsid w:val="00EA2C10"/>
    <w:rsid w:val="00EA52C3"/>
    <w:rsid w:val="00EA58D1"/>
    <w:rsid w:val="00EA61BC"/>
    <w:rsid w:val="00EA681A"/>
    <w:rsid w:val="00EA735B"/>
    <w:rsid w:val="00EB17DE"/>
    <w:rsid w:val="00EB1E69"/>
    <w:rsid w:val="00EB2086"/>
    <w:rsid w:val="00EB52A5"/>
    <w:rsid w:val="00EB5EDF"/>
    <w:rsid w:val="00EB60FE"/>
    <w:rsid w:val="00EB74DB"/>
    <w:rsid w:val="00EC450E"/>
    <w:rsid w:val="00EC5359"/>
    <w:rsid w:val="00EC562A"/>
    <w:rsid w:val="00ED067A"/>
    <w:rsid w:val="00ED2B50"/>
    <w:rsid w:val="00ED7EE1"/>
    <w:rsid w:val="00EE0174"/>
    <w:rsid w:val="00EE0350"/>
    <w:rsid w:val="00EE0719"/>
    <w:rsid w:val="00EE0E80"/>
    <w:rsid w:val="00EE3C29"/>
    <w:rsid w:val="00EE3EE3"/>
    <w:rsid w:val="00EE54A6"/>
    <w:rsid w:val="00EE5AA6"/>
    <w:rsid w:val="00EE613F"/>
    <w:rsid w:val="00EE66C0"/>
    <w:rsid w:val="00EE7295"/>
    <w:rsid w:val="00EE7869"/>
    <w:rsid w:val="00EF00FE"/>
    <w:rsid w:val="00EF054A"/>
    <w:rsid w:val="00EF165B"/>
    <w:rsid w:val="00EF3235"/>
    <w:rsid w:val="00EF7E72"/>
    <w:rsid w:val="00F06D37"/>
    <w:rsid w:val="00F07B9D"/>
    <w:rsid w:val="00F10E03"/>
    <w:rsid w:val="00F11586"/>
    <w:rsid w:val="00F1183B"/>
    <w:rsid w:val="00F11C9F"/>
    <w:rsid w:val="00F12263"/>
    <w:rsid w:val="00F1409D"/>
    <w:rsid w:val="00F14214"/>
    <w:rsid w:val="00F14C64"/>
    <w:rsid w:val="00F157A9"/>
    <w:rsid w:val="00F17664"/>
    <w:rsid w:val="00F25BB6"/>
    <w:rsid w:val="00F26B7E"/>
    <w:rsid w:val="00F27A3B"/>
    <w:rsid w:val="00F33817"/>
    <w:rsid w:val="00F36162"/>
    <w:rsid w:val="00F41F1B"/>
    <w:rsid w:val="00F41F81"/>
    <w:rsid w:val="00F420D5"/>
    <w:rsid w:val="00F42891"/>
    <w:rsid w:val="00F44539"/>
    <w:rsid w:val="00F451EA"/>
    <w:rsid w:val="00F45447"/>
    <w:rsid w:val="00F456C6"/>
    <w:rsid w:val="00F4577B"/>
    <w:rsid w:val="00F46496"/>
    <w:rsid w:val="00F474D0"/>
    <w:rsid w:val="00F50179"/>
    <w:rsid w:val="00F515EE"/>
    <w:rsid w:val="00F544D4"/>
    <w:rsid w:val="00F56511"/>
    <w:rsid w:val="00F6194E"/>
    <w:rsid w:val="00F623AC"/>
    <w:rsid w:val="00F62A66"/>
    <w:rsid w:val="00F6412A"/>
    <w:rsid w:val="00F65893"/>
    <w:rsid w:val="00F66A4A"/>
    <w:rsid w:val="00F66AF1"/>
    <w:rsid w:val="00F71E22"/>
    <w:rsid w:val="00F72142"/>
    <w:rsid w:val="00F72AE7"/>
    <w:rsid w:val="00F73710"/>
    <w:rsid w:val="00F743EC"/>
    <w:rsid w:val="00F81141"/>
    <w:rsid w:val="00F81427"/>
    <w:rsid w:val="00F833BA"/>
    <w:rsid w:val="00F84037"/>
    <w:rsid w:val="00F845D7"/>
    <w:rsid w:val="00F84FD0"/>
    <w:rsid w:val="00F859A8"/>
    <w:rsid w:val="00F86D87"/>
    <w:rsid w:val="00F900B4"/>
    <w:rsid w:val="00F9108B"/>
    <w:rsid w:val="00F91349"/>
    <w:rsid w:val="00F93A8A"/>
    <w:rsid w:val="00F93F5E"/>
    <w:rsid w:val="00F94A27"/>
    <w:rsid w:val="00F95248"/>
    <w:rsid w:val="00F956A9"/>
    <w:rsid w:val="00F963ED"/>
    <w:rsid w:val="00F966CF"/>
    <w:rsid w:val="00F96CAE"/>
    <w:rsid w:val="00F97C99"/>
    <w:rsid w:val="00FA0044"/>
    <w:rsid w:val="00FA4DAC"/>
    <w:rsid w:val="00FA662D"/>
    <w:rsid w:val="00FA73B1"/>
    <w:rsid w:val="00FB0CB9"/>
    <w:rsid w:val="00FB12CA"/>
    <w:rsid w:val="00FB231D"/>
    <w:rsid w:val="00FB45F1"/>
    <w:rsid w:val="00FB4A72"/>
    <w:rsid w:val="00FB54E8"/>
    <w:rsid w:val="00FB7054"/>
    <w:rsid w:val="00FC03BB"/>
    <w:rsid w:val="00FC103A"/>
    <w:rsid w:val="00FC17B7"/>
    <w:rsid w:val="00FC2CB7"/>
    <w:rsid w:val="00FC4090"/>
    <w:rsid w:val="00FC55B4"/>
    <w:rsid w:val="00FC5711"/>
    <w:rsid w:val="00FD00E6"/>
    <w:rsid w:val="00FD09A1"/>
    <w:rsid w:val="00FD0ABC"/>
    <w:rsid w:val="00FD2A7C"/>
    <w:rsid w:val="00FD59EB"/>
    <w:rsid w:val="00FD6646"/>
    <w:rsid w:val="00FD7299"/>
    <w:rsid w:val="00FE1FBE"/>
    <w:rsid w:val="00FE2D3C"/>
    <w:rsid w:val="00FE3901"/>
    <w:rsid w:val="00FE39D3"/>
    <w:rsid w:val="00FE4BCE"/>
    <w:rsid w:val="00FE5295"/>
    <w:rsid w:val="00FE5325"/>
    <w:rsid w:val="00FE54AE"/>
    <w:rsid w:val="00FE576A"/>
    <w:rsid w:val="00FE7E79"/>
    <w:rsid w:val="00FF3E7D"/>
    <w:rsid w:val="00FF5B99"/>
    <w:rsid w:val="00FF6C8F"/>
    <w:rsid w:val="00FF730C"/>
    <w:rsid w:val="00FF73F4"/>
    <w:rsid w:val="00FF7CE4"/>
    <w:rsid w:val="00FF7E39"/>
    <w:rsid w:val="0FB24A30"/>
    <w:rsid w:val="2BD6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pPr>
      <w:tabs>
        <w:tab w:val="right" w:leader="dot" w:pos="9344"/>
      </w:tabs>
      <w:spacing w:before="78" w:beforeLines="25" w:after="78" w:afterLines="25" w:line="240" w:lineRule="auto"/>
    </w:pPr>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Times" w:hAnsi="Times" w:eastAsia="宋体" w:cs="Times New Roman"/>
      <w:sz w:val="21"/>
      <w:lang w:val="en-US" w:eastAsia="zh-CN" w:bidi="ar-SA"/>
    </w:rPr>
  </w:style>
  <w:style w:type="character" w:customStyle="1" w:styleId="231">
    <w:name w:val="段 Char"/>
    <w:link w:val="230"/>
    <w:qFormat/>
    <w:uiPriority w:val="0"/>
    <w:rPr>
      <w:rFonts w:ascii="Times" w:hAnsi="Times"/>
      <w:sz w:val="21"/>
    </w:rPr>
  </w:style>
  <w:style w:type="paragraph" w:customStyle="1" w:styleId="232">
    <w:name w:val="附录"/>
    <w:basedOn w:val="2"/>
    <w:link w:val="233"/>
    <w:qFormat/>
    <w:uiPriority w:val="0"/>
    <w:pPr>
      <w:autoSpaceDE w:val="0"/>
      <w:autoSpaceDN w:val="0"/>
      <w:snapToGrid w:val="0"/>
      <w:spacing w:before="100" w:beforeAutospacing="1" w:after="0" w:line="240" w:lineRule="auto"/>
      <w:jc w:val="center"/>
    </w:pPr>
    <w:rPr>
      <w:rFonts w:ascii="Times New Roman" w:hAnsi="Times New Roman"/>
      <w:sz w:val="21"/>
    </w:rPr>
  </w:style>
  <w:style w:type="character" w:customStyle="1" w:styleId="233">
    <w:name w:val="附录 字符"/>
    <w:link w:val="232"/>
    <w:qFormat/>
    <w:uiPriority w:val="0"/>
    <w:rPr>
      <w:rFonts w:ascii="Times New Roman" w:hAnsi="Times New Roman"/>
      <w:b/>
      <w:bCs/>
      <w:kern w:val="44"/>
      <w:sz w:val="21"/>
      <w:szCs w:val="44"/>
    </w:rPr>
  </w:style>
  <w:style w:type="paragraph" w:customStyle="1" w:styleId="234">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3.jpeg"/><Relationship Id="rId23" Type="http://schemas.openxmlformats.org/officeDocument/2006/relationships/image" Target="media/image2.pn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9A759E4F6AF4F17B6433C65EDE9E4FF"/>
        <w:style w:val=""/>
        <w:category>
          <w:name w:val="常规"/>
          <w:gallery w:val="placeholder"/>
        </w:category>
        <w:types>
          <w:type w:val="bbPlcHdr"/>
        </w:types>
        <w:behaviors>
          <w:behavior w:val="content"/>
        </w:behaviors>
        <w:description w:val=""/>
        <w:guid w:val="{253ACF1C-AB1F-4D1C-89A9-3450B5F8A316}"/>
      </w:docPartPr>
      <w:docPartBody>
        <w:p w14:paraId="15954891">
          <w:pPr>
            <w:pStyle w:val="5"/>
          </w:pPr>
          <w:r>
            <w:rPr>
              <w:rStyle w:val="4"/>
              <w:rFonts w:hint="eastAsia"/>
            </w:rPr>
            <w:t>单击或点击此处输入文字。</w:t>
          </w:r>
        </w:p>
      </w:docPartBody>
    </w:docPart>
    <w:docPart>
      <w:docPartPr>
        <w:name w:val="ED1BF4177D8540A1808206ADBA83634F"/>
        <w:style w:val=""/>
        <w:category>
          <w:name w:val="常规"/>
          <w:gallery w:val="placeholder"/>
        </w:category>
        <w:types>
          <w:type w:val="bbPlcHdr"/>
        </w:types>
        <w:behaviors>
          <w:behavior w:val="content"/>
        </w:behaviors>
        <w:description w:val=""/>
        <w:guid w:val="{602CFDF5-E98B-4A4F-90BB-ADC994658E88}"/>
      </w:docPartPr>
      <w:docPartBody>
        <w:p w14:paraId="196F034A">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48"/>
    <w:rsid w:val="00156A1F"/>
    <w:rsid w:val="002677F3"/>
    <w:rsid w:val="002D6641"/>
    <w:rsid w:val="003534D1"/>
    <w:rsid w:val="00384F58"/>
    <w:rsid w:val="003C1AA3"/>
    <w:rsid w:val="00480B10"/>
    <w:rsid w:val="004A21E9"/>
    <w:rsid w:val="00517E16"/>
    <w:rsid w:val="00676B90"/>
    <w:rsid w:val="007F097C"/>
    <w:rsid w:val="0083175D"/>
    <w:rsid w:val="00843781"/>
    <w:rsid w:val="00846400"/>
    <w:rsid w:val="00855F5B"/>
    <w:rsid w:val="008C1D62"/>
    <w:rsid w:val="00926AFF"/>
    <w:rsid w:val="009557FE"/>
    <w:rsid w:val="009D182E"/>
    <w:rsid w:val="009F3829"/>
    <w:rsid w:val="00BA436C"/>
    <w:rsid w:val="00BB5348"/>
    <w:rsid w:val="00C027B1"/>
    <w:rsid w:val="00C12A69"/>
    <w:rsid w:val="00CB6DDF"/>
    <w:rsid w:val="00CC4E8D"/>
    <w:rsid w:val="00D922D8"/>
    <w:rsid w:val="00DA563D"/>
    <w:rsid w:val="00DB09A7"/>
    <w:rsid w:val="00DC7995"/>
    <w:rsid w:val="00DD19C2"/>
    <w:rsid w:val="00DD42B9"/>
    <w:rsid w:val="00DE4CE0"/>
    <w:rsid w:val="00DF0FB6"/>
    <w:rsid w:val="00E0751D"/>
    <w:rsid w:val="00E3320C"/>
    <w:rsid w:val="00ED2E84"/>
    <w:rsid w:val="00EE5AA6"/>
    <w:rsid w:val="00F22C13"/>
    <w:rsid w:val="00F362D8"/>
    <w:rsid w:val="00F45140"/>
    <w:rsid w:val="00FE0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9A759E4F6AF4F17B6433C65EDE9E4F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D1BF4177D8540A1808206ADBA83634F"/>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23A640-D98E-4E1A-B954-5DF04820F8F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3842</Words>
  <Characters>4746</Characters>
  <Lines>273</Lines>
  <Paragraphs>331</Paragraphs>
  <TotalTime>0</TotalTime>
  <ScaleCrop>false</ScaleCrop>
  <LinksUpToDate>false</LinksUpToDate>
  <CharactersWithSpaces>5056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2025-11-04T02:31:00Z</dcterms:created>
  <dc:creator>mengnennen</dc:creator>
  <dc:description>&lt;config cover="true" show_menu="true" version="1.0.0" doctype="SDKXY"&gt;_x000d_
&lt;/config&gt;</dc:description>
  <cp:lastModifiedBy>黄锋</cp:lastModifiedBy>
  <cp:lastPrinted>2025-10-23T08:04:00Z</cp:lastPrinted>
  <dcterms:modified xsi:type="dcterms:W3CDTF">2025-11-04T02:32:07Z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eyJoZGlkIjoiZTQ5ZDMyMjg3MzhmMmFkYjVlNDc5ZWI1YzUxNWNkZGYiLCJ1c2VySWQiOiI0MjMzNzYwNjIifQ==</vt:lpwstr>
  </property>
  <property fmtid="{D5CDD505-2E9C-101B-9397-08002B2CF9AE}" pid="16" name="KSOProductBuildVer">
    <vt:lpwstr>2052-12.1.0.23125</vt:lpwstr>
  </property>
  <property fmtid="{D5CDD505-2E9C-101B-9397-08002B2CF9AE}" pid="17" name="ICV">
    <vt:lpwstr>BF379879A94A457994B1FC377F77EDC7_13</vt:lpwstr>
  </property>
</Properties>
</file>