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7A34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F550EA0">
            <w:pPr>
              <w:pStyle w:val="19"/>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ICS  </w:t>
            </w:r>
          </w:p>
        </w:tc>
        <w:tc>
          <w:tcPr>
            <w:tcW w:w="8855" w:type="dxa"/>
          </w:tcPr>
          <w:p w14:paraId="0D1EF4D5">
            <w:pPr>
              <w:pStyle w:val="19"/>
              <w:framePr w:wrap="notBeside" w:vAnchor="page" w:hAnchor="page" w:x="1372" w:y="568"/>
              <w:tabs>
                <w:tab w:val="clear" w:pos="4153"/>
                <w:tab w:val="clear" w:pos="8306"/>
              </w:tabs>
              <w:spacing w:line="240" w:lineRule="auto"/>
              <w:jc w:val="both"/>
              <w:rPr>
                <w:rFonts w:ascii="Times New Roman" w:hAnsi="Times New Roman" w:eastAsia="黑体"/>
                <w:sz w:val="21"/>
                <w:szCs w:val="21"/>
              </w:rPr>
            </w:pPr>
          </w:p>
        </w:tc>
      </w:tr>
      <w:tr w14:paraId="6A336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0094F4">
            <w:pPr>
              <w:pStyle w:val="19"/>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075F32FB">
            <w:pPr>
              <w:pStyle w:val="19"/>
              <w:framePr w:wrap="notBeside" w:vAnchor="page" w:hAnchor="page" w:x="1372" w:y="568"/>
              <w:tabs>
                <w:tab w:val="clear" w:pos="4153"/>
                <w:tab w:val="clear" w:pos="8306"/>
              </w:tabs>
              <w:spacing w:before="40" w:line="240" w:lineRule="auto"/>
              <w:jc w:val="left"/>
              <w:rPr>
                <w:rFonts w:hint="eastAsia" w:ascii="Times New Roman" w:hAnsi="Times New Roman" w:eastAsia="黑体"/>
                <w:sz w:val="21"/>
                <w:szCs w:val="21"/>
              </w:rPr>
            </w:pPr>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09D082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226ABE3">
            <w:pPr>
              <w:pStyle w:val="51"/>
              <w:framePr w:w="0" w:hRule="auto" w:wrap="auto" w:vAnchor="margin" w:hAnchor="text" w:xAlign="left" w:yAlign="inline"/>
              <w:rPr>
                <w:rFonts w:hint="eastAsia"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34</w:t>
            </w:r>
            <w:r>
              <w:fldChar w:fldCharType="end"/>
            </w:r>
            <w:bookmarkEnd w:id="1"/>
          </w:p>
        </w:tc>
      </w:tr>
    </w:tbl>
    <w:p w14:paraId="134F3842">
      <w:pPr>
        <w:pStyle w:val="52"/>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612DFF43">
      <w:pPr>
        <w:pStyle w:val="197"/>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t>34</w:t>
      </w:r>
      <w:r>
        <w:rPr>
          <w:lang w:val="fr-FR"/>
        </w:rPr>
        <w:t>/T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p>
    <w:p w14:paraId="3CA68B86">
      <w:pPr>
        <w:pStyle w:val="198"/>
        <w:framePr/>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14:paraId="5C4379E1">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3A7A3A7">
      <w:pPr>
        <w:pStyle w:val="52"/>
        <w:framePr w:w="9639" w:h="6976" w:hRule="exact" w:hSpace="0" w:vSpace="0" w:wrap="around" w:hAnchor="page" w:y="6408"/>
        <w:jc w:val="center"/>
        <w:rPr>
          <w:rFonts w:hint="eastAsia" w:ascii="黑体" w:hAnsi="黑体" w:eastAsia="黑体"/>
          <w:b w:val="0"/>
          <w:bCs w:val="0"/>
          <w:w w:val="100"/>
        </w:rPr>
      </w:pPr>
    </w:p>
    <w:p w14:paraId="71DCF8A7">
      <w:pPr>
        <w:framePr w:w="9639" w:h="6974" w:hRule="exact" w:wrap="around" w:vAnchor="page" w:hAnchor="page" w:x="1419" w:y="6408" w:anchorLock="1"/>
        <w:spacing w:before="230"/>
        <w:ind w:right="577"/>
        <w:jc w:val="center"/>
        <w:rPr>
          <w:rFonts w:hint="eastAsia" w:ascii="黑体" w:hAnsi="黑体" w:eastAsia="黑体" w:cs="黑体"/>
          <w:sz w:val="52"/>
          <w:szCs w:val="52"/>
        </w:rPr>
      </w:pPr>
      <w:bookmarkStart w:id="6" w:name="OLE_LINK2"/>
      <w:r>
        <w:rPr>
          <w:rFonts w:hint="eastAsia" w:ascii="黑体" w:hAnsi="黑体" w:eastAsia="黑体" w:cs="黑体"/>
          <w:sz w:val="52"/>
          <w:szCs w:val="52"/>
        </w:rPr>
        <w:t>长输天然气管道交流杂散电流干扰</w:t>
      </w:r>
      <w:bookmarkEnd w:id="6"/>
      <w:r>
        <w:rPr>
          <w:rFonts w:hint="eastAsia" w:ascii="黑体" w:hAnsi="黑体" w:eastAsia="黑体" w:cs="黑体"/>
          <w:sz w:val="52"/>
          <w:szCs w:val="52"/>
        </w:rPr>
        <w:t>检测</w:t>
      </w:r>
    </w:p>
    <w:p w14:paraId="453C0B3D">
      <w:pPr>
        <w:framePr w:w="9639" w:h="6974" w:hRule="exact" w:wrap="around" w:vAnchor="page" w:hAnchor="page" w:x="1419" w:y="6408" w:anchorLock="1"/>
        <w:ind w:left="-1418"/>
      </w:pPr>
    </w:p>
    <w:p w14:paraId="2B8804A5">
      <w:pPr>
        <w:pStyle w:val="3"/>
        <w:framePr w:w="9639" w:h="6974" w:hRule="exact" w:wrap="around" w:vAnchor="page" w:hAnchor="page" w:x="1419" w:y="6408" w:anchorLock="1"/>
        <w:ind w:right="420" w:rightChars="200"/>
        <w:jc w:val="center"/>
      </w:pPr>
      <w:r>
        <w:rPr>
          <w:rFonts w:hint="eastAsia"/>
          <w:color w:val="000000" w:themeColor="text1"/>
          <w14:textFill>
            <w14:solidFill>
              <w14:schemeClr w14:val="tx1"/>
            </w14:solidFill>
          </w14:textFill>
        </w:rPr>
        <w:t>Detection</w:t>
      </w:r>
      <w:r>
        <w:rPr>
          <w:rFonts w:hint="eastAsia"/>
        </w:rPr>
        <w:t xml:space="preserve"> </w:t>
      </w:r>
      <w:r>
        <w:t xml:space="preserve">for </w:t>
      </w:r>
      <w:bookmarkStart w:id="7" w:name="OLE_LINK4"/>
      <w:r>
        <w:rPr>
          <w:rFonts w:hint="eastAsia" w:eastAsiaTheme="minorEastAsia"/>
        </w:rPr>
        <w:t>A</w:t>
      </w:r>
      <w:r>
        <w:t>C stray current interference</w:t>
      </w:r>
      <w:bookmarkEnd w:id="7"/>
      <w:r>
        <w:rPr>
          <w:rFonts w:hint="eastAsia"/>
        </w:rPr>
        <w:t xml:space="preserve"> on long-distance natural gas </w:t>
      </w:r>
      <w:r>
        <w:t>pipelines</w:t>
      </w:r>
    </w:p>
    <w:p w14:paraId="1C26ED7C">
      <w:pPr>
        <w:framePr w:w="9639" w:h="6974" w:hRule="exact" w:wrap="around" w:vAnchor="page" w:hAnchor="page" w:x="1419" w:y="6408" w:anchorLock="1"/>
        <w:spacing w:line="760" w:lineRule="exact"/>
        <w:ind w:left="-1418"/>
      </w:pPr>
    </w:p>
    <w:p w14:paraId="78D9BE7C">
      <w:pPr>
        <w:pStyle w:val="127"/>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546DA178">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p>
    <w:p w14:paraId="1C7162B9">
      <w:pPr>
        <w:pStyle w:val="127"/>
        <w:framePr w:w="9639" w:h="6974" w:hRule="exact" w:wrap="around" w:vAnchor="page" w:hAnchor="page" w:x="1419" w:y="6408" w:anchorLock="1"/>
        <w:textAlignment w:val="bottom"/>
        <w:rPr>
          <w:rFonts w:eastAsia="黑体"/>
          <w:szCs w:val="28"/>
        </w:rPr>
      </w:pPr>
    </w:p>
    <w:p w14:paraId="56CBD676">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14:paraId="64EF4D00">
      <w:pPr>
        <w:pStyle w:val="195"/>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4B69D490">
      <w:pPr>
        <w:pStyle w:val="196"/>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360C70CE">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5"/>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7B5F01F4">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6DAD712">
      <w:pPr>
        <w:pStyle w:val="91"/>
        <w:spacing w:after="468"/>
      </w:pPr>
      <w:bookmarkStart w:id="16" w:name="BookMark2"/>
      <w:r>
        <w:rPr>
          <w:spacing w:val="320"/>
        </w:rPr>
        <w:t>前</w:t>
      </w:r>
      <w:r>
        <w:t>言</w:t>
      </w:r>
    </w:p>
    <w:p w14:paraId="11DEE494">
      <w:pPr>
        <w:pStyle w:val="58"/>
        <w:ind w:firstLine="420"/>
      </w:pPr>
      <w:r>
        <w:rPr>
          <w:rFonts w:hint="eastAsia"/>
        </w:rPr>
        <w:t>本文件按照GB/T 1.1—2020《标准化工作导则  第1部分：标准化文件的结构和起草规则》的规定起草。</w:t>
      </w:r>
    </w:p>
    <w:p w14:paraId="2F4F8219">
      <w:pPr>
        <w:pStyle w:val="58"/>
        <w:ind w:firstLine="420"/>
        <w:rPr>
          <w:rFonts w:ascii="Times New Roman"/>
        </w:rPr>
      </w:pPr>
      <w:r>
        <w:rPr>
          <w:rFonts w:hint="eastAsia" w:ascii="Times New Roman"/>
        </w:rPr>
        <w:t>本标准代替DB34/T 3144-2018《长输天然气管道交流杂散电流干扰检测》。本标准与DB34/T 3144-2018相比的主要变化如下：</w:t>
      </w:r>
    </w:p>
    <w:p w14:paraId="183EC390">
      <w:pPr>
        <w:pStyle w:val="58"/>
        <w:ind w:firstLine="420"/>
        <w:rPr>
          <w:rFonts w:ascii="Times New Roman"/>
        </w:rPr>
      </w:pPr>
      <w:r>
        <w:rPr>
          <w:rFonts w:hint="eastAsia" w:ascii="Times New Roman"/>
        </w:rPr>
        <w:t>——增加了检测前干扰源调查的方法；</w:t>
      </w:r>
    </w:p>
    <w:p w14:paraId="3AE133EB">
      <w:pPr>
        <w:pStyle w:val="58"/>
        <w:ind w:firstLine="420"/>
        <w:rPr>
          <w:rFonts w:ascii="Times New Roman"/>
        </w:rPr>
      </w:pPr>
      <w:r>
        <w:rPr>
          <w:rFonts w:hint="eastAsia" w:ascii="Times New Roman"/>
        </w:rPr>
        <w:t>——增加了被交流杂散电流干扰的管道的调查内容；</w:t>
      </w:r>
    </w:p>
    <w:p w14:paraId="6C919895">
      <w:pPr>
        <w:pStyle w:val="58"/>
        <w:ind w:firstLine="420"/>
        <w:rPr>
          <w:rFonts w:ascii="Times New Roman"/>
        </w:rPr>
      </w:pPr>
      <w:r>
        <w:rPr>
          <w:rFonts w:hint="eastAsia" w:ascii="Times New Roman"/>
        </w:rPr>
        <w:t>——增加了检测结果的评价方式和指标；</w:t>
      </w:r>
    </w:p>
    <w:p w14:paraId="07DB78F5">
      <w:pPr>
        <w:pStyle w:val="58"/>
        <w:ind w:firstLine="420"/>
        <w:rPr>
          <w:rFonts w:ascii="Times New Roman"/>
        </w:rPr>
      </w:pPr>
      <w:r>
        <w:rPr>
          <w:rFonts w:hint="eastAsia" w:ascii="Times New Roman"/>
        </w:rPr>
        <w:t>——增加了排流防护效果的评价要求。</w:t>
      </w:r>
    </w:p>
    <w:p w14:paraId="3E87EFBE">
      <w:pPr>
        <w:pStyle w:val="58"/>
        <w:ind w:firstLine="420"/>
        <w:rPr>
          <w:rFonts w:ascii="Times New Roman"/>
        </w:rPr>
      </w:pPr>
      <w:bookmarkStart w:id="17" w:name="OLE_LINK5"/>
      <w:r>
        <w:rPr>
          <w:rFonts w:hint="eastAsia" w:ascii="Times New Roman"/>
        </w:rPr>
        <w:t>请注意本文件的某些内容可能涉及专利。本文件的发布机构不承担识别专利的责任。</w:t>
      </w:r>
    </w:p>
    <w:bookmarkEnd w:id="17"/>
    <w:p w14:paraId="5A0EF412">
      <w:pPr>
        <w:pStyle w:val="58"/>
        <w:ind w:firstLine="420"/>
      </w:pPr>
      <w:r>
        <w:rPr>
          <w:rFonts w:hint="eastAsia"/>
        </w:rPr>
        <w:t>本文件由安徽省特种设备检测院提出。</w:t>
      </w:r>
    </w:p>
    <w:p w14:paraId="0AB629CA">
      <w:pPr>
        <w:pStyle w:val="58"/>
        <w:ind w:firstLine="420"/>
      </w:pPr>
      <w:r>
        <w:rPr>
          <w:rFonts w:hint="eastAsia"/>
        </w:rPr>
        <w:t>本文件由安徽省市场监督管理局归口。</w:t>
      </w:r>
    </w:p>
    <w:p w14:paraId="096DD64B">
      <w:pPr>
        <w:pStyle w:val="58"/>
        <w:ind w:firstLine="420"/>
      </w:pPr>
      <w:r>
        <w:rPr>
          <w:rFonts w:hint="eastAsia"/>
        </w:rPr>
        <w:t>本文件起草单位：安徽省特种设备检测院、合肥合燃华润燃气有限公司</w:t>
      </w:r>
    </w:p>
    <w:p w14:paraId="483A9D15">
      <w:pPr>
        <w:pStyle w:val="58"/>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eastAsia"/>
        </w:rPr>
        <w:t>本文件主要起草人：</w:t>
      </w:r>
    </w:p>
    <w:bookmarkEnd w:id="16"/>
    <w:p w14:paraId="0BA90074">
      <w:pPr>
        <w:spacing w:line="20" w:lineRule="exact"/>
        <w:jc w:val="center"/>
        <w:rPr>
          <w:rFonts w:hint="eastAsia" w:ascii="黑体" w:hAnsi="黑体" w:eastAsia="黑体"/>
          <w:sz w:val="32"/>
          <w:szCs w:val="32"/>
        </w:rPr>
      </w:pPr>
      <w:bookmarkStart w:id="18" w:name="BookMark4"/>
    </w:p>
    <w:p w14:paraId="6D83231A">
      <w:pPr>
        <w:spacing w:line="20" w:lineRule="exact"/>
        <w:jc w:val="center"/>
        <w:rPr>
          <w:rFonts w:hint="eastAsia" w:ascii="黑体" w:hAnsi="黑体" w:eastAsia="黑体"/>
          <w:sz w:val="32"/>
          <w:szCs w:val="32"/>
        </w:rPr>
      </w:pPr>
    </w:p>
    <w:sdt>
      <w:sdtPr>
        <w:tag w:val="NEW_STAND_NAME"/>
        <w:id w:val="595910757"/>
        <w:lock w:val="sdtLocked"/>
        <w:placeholder>
          <w:docPart w:val="59F3AA1280C1401E9FCC4BAF20C67D9C"/>
        </w:placeholder>
      </w:sdtPr>
      <w:sdtContent>
        <w:p w14:paraId="6D883BEC">
          <w:pPr>
            <w:pStyle w:val="179"/>
            <w:spacing w:before="312" w:beforeLines="100" w:after="686" w:afterLines="220"/>
            <w:rPr>
              <w:rFonts w:hint="eastAsia"/>
            </w:rPr>
          </w:pPr>
          <w:bookmarkStart w:id="19" w:name="NEW_STAND_NAME"/>
          <w:r>
            <w:rPr>
              <w:rFonts w:hint="eastAsia"/>
            </w:rPr>
            <w:t>长输天然气管道交流杂散电流干扰检测</w:t>
          </w:r>
        </w:p>
      </w:sdtContent>
    </w:sdt>
    <w:bookmarkEnd w:id="19"/>
    <w:p w14:paraId="1E6FC8E5">
      <w:pPr>
        <w:pStyle w:val="106"/>
        <w:spacing w:before="312" w:after="312"/>
      </w:pPr>
      <w:bookmarkStart w:id="20" w:name="_Toc17233333"/>
      <w:bookmarkStart w:id="21" w:name="_Toc26986530"/>
      <w:bookmarkStart w:id="22" w:name="_Toc24884218"/>
      <w:bookmarkStart w:id="23" w:name="_Toc17233325"/>
      <w:bookmarkStart w:id="24" w:name="_Toc97191423"/>
      <w:bookmarkStart w:id="25" w:name="_Toc26718930"/>
      <w:bookmarkStart w:id="26" w:name="_Toc26648465"/>
      <w:bookmarkStart w:id="27" w:name="_Toc24884211"/>
      <w:bookmarkStart w:id="28" w:name="_Toc26986771"/>
      <w:r>
        <w:rPr>
          <w:rFonts w:hint="eastAsia"/>
        </w:rPr>
        <w:t>范围</w:t>
      </w:r>
      <w:bookmarkEnd w:id="20"/>
      <w:bookmarkEnd w:id="21"/>
      <w:bookmarkEnd w:id="22"/>
      <w:bookmarkEnd w:id="23"/>
      <w:bookmarkEnd w:id="24"/>
      <w:bookmarkEnd w:id="25"/>
      <w:bookmarkEnd w:id="26"/>
      <w:bookmarkEnd w:id="27"/>
      <w:bookmarkEnd w:id="28"/>
    </w:p>
    <w:p w14:paraId="417AABEB">
      <w:pPr>
        <w:pStyle w:val="58"/>
        <w:ind w:firstLine="420"/>
      </w:pPr>
      <w:bookmarkStart w:id="29" w:name="_Toc17233326"/>
      <w:bookmarkStart w:id="30" w:name="_Toc17233334"/>
      <w:bookmarkStart w:id="31" w:name="_Toc24884212"/>
      <w:bookmarkStart w:id="32" w:name="_Toc24884219"/>
      <w:bookmarkStart w:id="33" w:name="_Toc26648466"/>
      <w:r>
        <w:rPr>
          <w:rFonts w:hint="eastAsia"/>
        </w:rPr>
        <w:t>本标准规定了长输天然气管道交流杂散电流干扰的一般要求、检测方法和检测结果评价</w:t>
      </w:r>
      <w:r>
        <w:rPr>
          <w:spacing w:val="8"/>
        </w:rPr>
        <w:t>。</w:t>
      </w:r>
      <w:r>
        <w:t xml:space="preserve"> </w:t>
      </w:r>
    </w:p>
    <w:p w14:paraId="1A222F17">
      <w:pPr>
        <w:pStyle w:val="58"/>
        <w:ind w:firstLine="420"/>
      </w:pPr>
      <w:r>
        <w:rPr>
          <w:rFonts w:hint="eastAsia"/>
        </w:rPr>
        <w:t>本</w:t>
      </w:r>
      <w:r>
        <w:t>文件适用于</w:t>
      </w:r>
      <w:r>
        <w:rPr>
          <w:rFonts w:hint="eastAsia"/>
        </w:rPr>
        <w:t>长输天然气埋地钢制管道交流杂散电流的干扰检测</w:t>
      </w:r>
      <w:r>
        <w:rPr>
          <w:spacing w:val="6"/>
        </w:rPr>
        <w:t>。</w:t>
      </w:r>
    </w:p>
    <w:p w14:paraId="2C753B3B">
      <w:pPr>
        <w:pStyle w:val="106"/>
        <w:spacing w:before="312" w:after="312"/>
      </w:pPr>
      <w:bookmarkStart w:id="34" w:name="_Toc26986772"/>
      <w:bookmarkStart w:id="35" w:name="_Toc26986531"/>
      <w:bookmarkStart w:id="36" w:name="_Toc97191424"/>
      <w:bookmarkStart w:id="37" w:name="_Toc26718931"/>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0F47A82110624920B588E909FE6235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86E10EA">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45B9F21">
      <w:pPr>
        <w:pStyle w:val="58"/>
        <w:ind w:firstLine="428"/>
        <w:rPr>
          <w:spacing w:val="2"/>
        </w:rPr>
      </w:pPr>
      <w:bookmarkStart w:id="38" w:name="OLE_LINK3"/>
      <w:bookmarkStart w:id="39" w:name="_Toc97191425"/>
      <w:r>
        <w:rPr>
          <w:rFonts w:hint="eastAsia"/>
          <w:spacing w:val="2"/>
        </w:rPr>
        <w:t>TSG D7003   压力管道定期检验规则——长输管道</w:t>
      </w:r>
    </w:p>
    <w:p w14:paraId="05F6C641">
      <w:pPr>
        <w:pStyle w:val="58"/>
        <w:ind w:firstLine="428"/>
        <w:rPr>
          <w:spacing w:val="2"/>
        </w:rPr>
      </w:pPr>
      <w:r>
        <w:rPr>
          <w:rFonts w:hint="eastAsia"/>
          <w:spacing w:val="2"/>
        </w:rPr>
        <w:t>GB/T 19285</w:t>
      </w:r>
      <w:r>
        <w:rPr>
          <w:rFonts w:hint="eastAsia"/>
          <w:spacing w:val="2"/>
        </w:rPr>
        <w:tab/>
      </w:r>
      <w:r>
        <w:rPr>
          <w:rFonts w:hint="eastAsia"/>
          <w:spacing w:val="2"/>
        </w:rPr>
        <w:t>埋地钢质管道腐蚀防护工程检验</w:t>
      </w:r>
    </w:p>
    <w:p w14:paraId="01C448E2">
      <w:pPr>
        <w:ind w:firstLine="428" w:firstLineChars="200"/>
        <w:rPr>
          <w:rFonts w:ascii="宋体" w:hAnsi="Times New Roman"/>
          <w:spacing w:val="2"/>
          <w:kern w:val="0"/>
          <w:szCs w:val="20"/>
        </w:rPr>
      </w:pPr>
      <w:r>
        <w:rPr>
          <w:rFonts w:hint="eastAsia" w:ascii="宋体" w:hAnsi="Times New Roman"/>
          <w:spacing w:val="2"/>
          <w:kern w:val="0"/>
          <w:szCs w:val="20"/>
        </w:rPr>
        <w:t>DB34/T 2977 在役天然气管道保护规范</w:t>
      </w:r>
    </w:p>
    <w:bookmarkEnd w:id="38"/>
    <w:p w14:paraId="158D2F6C">
      <w:pPr>
        <w:pStyle w:val="106"/>
        <w:spacing w:before="312" w:after="312"/>
      </w:pPr>
      <w:r>
        <w:rPr>
          <w:rFonts w:hint="eastAsia"/>
          <w:szCs w:val="21"/>
        </w:rPr>
        <w:t>术语和定义</w:t>
      </w:r>
      <w:bookmarkEnd w:id="39"/>
    </w:p>
    <w:sdt>
      <w:sdtPr>
        <w:id w:val="-1909835108"/>
        <w:placeholder>
          <w:docPart w:val="82D1A8C66760455791C439DC559C65C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67A1BE4">
          <w:pPr>
            <w:pStyle w:val="58"/>
            <w:ind w:firstLine="420"/>
          </w:pPr>
          <w:bookmarkStart w:id="40" w:name="_Toc26986532"/>
          <w:bookmarkEnd w:id="40"/>
          <w:r>
            <w:t>下列术语和定义适用于本文件。</w:t>
          </w:r>
        </w:p>
      </w:sdtContent>
    </w:sdt>
    <w:p w14:paraId="458CE965">
      <w:pPr>
        <w:pStyle w:val="225"/>
        <w:ind w:left="420" w:hanging="420" w:hangingChars="200"/>
        <w:rPr>
          <w:rFonts w:hint="eastAsia" w:ascii="黑体" w:hAnsi="黑体" w:eastAsia="黑体"/>
        </w:rPr>
      </w:pPr>
      <w:r>
        <w:rPr>
          <w:rFonts w:ascii="黑体" w:hAnsi="黑体" w:eastAsia="黑体"/>
        </w:rPr>
        <w:br w:type="textWrapping"/>
      </w:r>
      <w:bookmarkStart w:id="41" w:name="_Hlk211615584"/>
      <w:r>
        <w:rPr>
          <w:rFonts w:hint="eastAsia" w:ascii="Times New Roman" w:eastAsia="黑体"/>
          <w:spacing w:val="-12"/>
        </w:rPr>
        <w:t>交流干扰源 source of AC influence</w:t>
      </w:r>
      <w:bookmarkEnd w:id="41"/>
      <w:r>
        <w:rPr>
          <w:rFonts w:ascii="Times New Roman" w:eastAsia="黑体"/>
        </w:rPr>
        <w:t xml:space="preserve"> </w:t>
      </w:r>
    </w:p>
    <w:p w14:paraId="4A8DFAA2">
      <w:pPr>
        <w:pStyle w:val="58"/>
        <w:ind w:firstLine="420"/>
        <w:rPr>
          <w:rFonts w:ascii="Times New Roman" w:eastAsia="黑体"/>
        </w:rPr>
      </w:pPr>
      <w:r>
        <w:rPr>
          <w:rFonts w:hint="eastAsia"/>
        </w:rPr>
        <w:t>能对埋地钢制管道造成交流干扰的高压交流电力线路、设施和交流电气化铁路、设施，统称交流电干扰源。</w:t>
      </w:r>
    </w:p>
    <w:p w14:paraId="1907D14D">
      <w:pPr>
        <w:pStyle w:val="225"/>
        <w:ind w:left="420" w:hanging="420" w:hangingChars="200"/>
        <w:rPr>
          <w:rFonts w:ascii="Times New Roman" w:eastAsia="黑体"/>
          <w:spacing w:val="-12"/>
        </w:rPr>
      </w:pPr>
      <w:r>
        <w:rPr>
          <w:rFonts w:ascii="黑体" w:hAnsi="黑体" w:eastAsia="黑体"/>
        </w:rPr>
        <w:br w:type="textWrapping"/>
      </w:r>
      <w:r>
        <w:rPr>
          <w:rFonts w:hint="eastAsia" w:ascii="Times New Roman" w:eastAsia="黑体"/>
          <w:spacing w:val="-12"/>
        </w:rPr>
        <w:t>交流干扰电压 influence voltage of AC on the pipeline</w:t>
      </w:r>
      <w:r>
        <w:rPr>
          <w:rFonts w:ascii="Times New Roman" w:eastAsia="黑体"/>
          <w:spacing w:val="-12"/>
        </w:rPr>
        <w:t xml:space="preserve"> </w:t>
      </w:r>
    </w:p>
    <w:p w14:paraId="69D73383">
      <w:pPr>
        <w:pStyle w:val="58"/>
        <w:ind w:firstLine="420"/>
      </w:pPr>
      <w:r>
        <w:rPr>
          <w:rFonts w:hint="eastAsia"/>
        </w:rPr>
        <w:t>由交流干扰产生的管道对地交流电压，也称为管道交流电位</w:t>
      </w:r>
      <w:r>
        <w:t>。</w:t>
      </w:r>
    </w:p>
    <w:p w14:paraId="45651FF7">
      <w:pPr>
        <w:pStyle w:val="225"/>
        <w:ind w:left="420" w:hanging="420" w:hangingChars="200"/>
        <w:rPr>
          <w:rFonts w:ascii="Times New Roman" w:eastAsia="黑体"/>
          <w:spacing w:val="-12"/>
        </w:rPr>
      </w:pPr>
      <w:r>
        <w:rPr>
          <w:rFonts w:ascii="黑体" w:hAnsi="黑体" w:eastAsia="黑体"/>
        </w:rPr>
        <w:br w:type="textWrapping"/>
      </w:r>
      <w:bookmarkStart w:id="42" w:name="_Hlk211615863"/>
      <w:r>
        <w:rPr>
          <w:rFonts w:hint="eastAsia" w:ascii="Times New Roman" w:eastAsia="黑体"/>
          <w:spacing w:val="-12"/>
        </w:rPr>
        <w:t>交流电流密度 AC current density</w:t>
      </w:r>
      <w:bookmarkEnd w:id="42"/>
    </w:p>
    <w:p w14:paraId="4AF9D1B7">
      <w:pPr>
        <w:pStyle w:val="58"/>
        <w:ind w:firstLine="420"/>
      </w:pPr>
      <w:bookmarkStart w:id="43" w:name="_Hlk211615915"/>
      <w:r>
        <w:rPr>
          <w:rFonts w:hint="eastAsia"/>
        </w:rPr>
        <w:t>交流电流在防腐层破损点处单位面积的漏泄量</w:t>
      </w:r>
      <w:bookmarkEnd w:id="43"/>
      <w:r>
        <w:t>。</w:t>
      </w:r>
    </w:p>
    <w:p w14:paraId="20DBFE1C">
      <w:pPr>
        <w:pStyle w:val="225"/>
        <w:ind w:left="420" w:hanging="420" w:hangingChars="200"/>
        <w:rPr>
          <w:rFonts w:ascii="Times New Roman" w:eastAsia="黑体"/>
          <w:spacing w:val="-12"/>
        </w:rPr>
      </w:pPr>
      <w:r>
        <w:rPr>
          <w:rFonts w:ascii="黑体" w:hAnsi="黑体" w:eastAsia="黑体"/>
        </w:rPr>
        <w:br w:type="textWrapping"/>
      </w:r>
      <w:bookmarkStart w:id="44" w:name="_Hlk211615952"/>
      <w:r>
        <w:rPr>
          <w:rFonts w:hint="eastAsia" w:ascii="Times New Roman" w:eastAsia="黑体"/>
          <w:spacing w:val="-12"/>
        </w:rPr>
        <w:t>参比电极 reference electro</w:t>
      </w:r>
      <w:bookmarkEnd w:id="44"/>
      <w:r>
        <w:rPr>
          <w:rFonts w:hint="eastAsia" w:ascii="Times New Roman" w:eastAsia="黑体"/>
          <w:spacing w:val="-12"/>
        </w:rPr>
        <w:t>de</w:t>
      </w:r>
    </w:p>
    <w:p w14:paraId="1B5CC199">
      <w:pPr>
        <w:pStyle w:val="58"/>
        <w:ind w:firstLine="420"/>
        <w:rPr>
          <w:rFonts w:hint="eastAsia" w:ascii="黑体" w:hAnsi="黑体" w:eastAsia="黑体"/>
        </w:rPr>
      </w:pPr>
      <w:bookmarkStart w:id="45" w:name="_Hlk211615986"/>
      <w:r>
        <w:rPr>
          <w:rFonts w:hint="eastAsia"/>
        </w:rPr>
        <w:t>在湿润的土壤中，具有稳定可再现电位的电极，在测量其他电极电位值时用以作为参照</w:t>
      </w:r>
      <w:bookmarkEnd w:id="45"/>
      <w:r>
        <w:t>。</w:t>
      </w:r>
    </w:p>
    <w:p w14:paraId="7FE0208C">
      <w:pPr>
        <w:pStyle w:val="225"/>
        <w:ind w:left="420" w:hanging="420" w:hangingChars="200"/>
        <w:rPr>
          <w:rFonts w:ascii="Times New Roman" w:eastAsia="黑体"/>
          <w:spacing w:val="-12"/>
        </w:rPr>
      </w:pPr>
      <w:r>
        <w:rPr>
          <w:rFonts w:ascii="黑体" w:hAnsi="黑体" w:eastAsia="黑体"/>
        </w:rPr>
        <w:br w:type="textWrapping"/>
      </w:r>
      <w:r>
        <w:rPr>
          <w:rFonts w:hint="eastAsia" w:ascii="Times New Roman" w:eastAsia="黑体"/>
          <w:spacing w:val="-12"/>
        </w:rPr>
        <w:t>测试桩 test pile</w:t>
      </w:r>
    </w:p>
    <w:p w14:paraId="544D93A5">
      <w:pPr>
        <w:pStyle w:val="58"/>
        <w:ind w:firstLine="420"/>
      </w:pPr>
      <w:r>
        <w:rPr>
          <w:rFonts w:hint="eastAsia"/>
        </w:rPr>
        <w:t>从埋地管道上引出的，用于测量阴极保护参数的装置</w:t>
      </w:r>
      <w:r>
        <w:t>。</w:t>
      </w:r>
    </w:p>
    <w:p w14:paraId="3F25F34A">
      <w:pPr>
        <w:pStyle w:val="225"/>
        <w:ind w:left="420" w:hanging="420" w:hangingChars="200"/>
        <w:rPr>
          <w:rFonts w:ascii="Times New Roman" w:eastAsia="黑体"/>
          <w:spacing w:val="-12"/>
        </w:rPr>
      </w:pPr>
      <w:r>
        <w:rPr>
          <w:rFonts w:ascii="黑体" w:hAnsi="黑体" w:eastAsia="黑体"/>
        </w:rPr>
        <w:br w:type="textWrapping"/>
      </w:r>
      <w:r>
        <w:rPr>
          <w:rFonts w:hint="eastAsia" w:ascii="Times New Roman" w:eastAsia="黑体"/>
          <w:spacing w:val="-12"/>
        </w:rPr>
        <w:t>测量时间段 measuring time section</w:t>
      </w:r>
    </w:p>
    <w:p w14:paraId="2DF32943">
      <w:pPr>
        <w:pStyle w:val="58"/>
        <w:ind w:firstLine="420"/>
      </w:pPr>
      <w:r>
        <w:rPr>
          <w:rFonts w:hint="eastAsia"/>
        </w:rPr>
        <w:t>每次测量的持续时间</w:t>
      </w:r>
      <w:r>
        <w:t>。</w:t>
      </w:r>
    </w:p>
    <w:p w14:paraId="6482BED6">
      <w:pPr>
        <w:pStyle w:val="225"/>
        <w:ind w:left="420" w:hanging="420" w:hangingChars="200"/>
        <w:rPr>
          <w:rFonts w:ascii="Times New Roman" w:eastAsia="黑体"/>
          <w:spacing w:val="-12"/>
        </w:rPr>
      </w:pPr>
      <w:r>
        <w:rPr>
          <w:rFonts w:ascii="黑体" w:hAnsi="黑体" w:eastAsia="黑体"/>
        </w:rPr>
        <w:br w:type="textWrapping"/>
      </w:r>
      <w:r>
        <w:rPr>
          <w:rFonts w:hint="eastAsia" w:ascii="Times New Roman" w:eastAsia="黑体"/>
          <w:spacing w:val="-12"/>
        </w:rPr>
        <w:t>读数时间间隔  reading time span</w:t>
      </w:r>
    </w:p>
    <w:p w14:paraId="06E00D3C">
      <w:pPr>
        <w:pStyle w:val="58"/>
        <w:ind w:firstLine="420"/>
      </w:pPr>
      <w:r>
        <w:rPr>
          <w:rFonts w:hint="eastAsia"/>
        </w:rPr>
        <w:t>在规定的测量时间段内，每次读取或记录测定值的时间间隔</w:t>
      </w:r>
      <w:r>
        <w:t>。</w:t>
      </w:r>
    </w:p>
    <w:p w14:paraId="2E2800DC">
      <w:pPr>
        <w:pStyle w:val="106"/>
        <w:spacing w:before="312" w:after="312"/>
      </w:pPr>
      <w:r>
        <w:rPr>
          <w:rFonts w:hint="eastAsia"/>
        </w:rPr>
        <w:t>一般要求</w:t>
      </w:r>
    </w:p>
    <w:p w14:paraId="0B1DAFF5">
      <w:pPr>
        <w:pStyle w:val="107"/>
        <w:spacing w:before="156" w:after="156"/>
      </w:pPr>
      <w:r>
        <w:rPr>
          <w:rFonts w:hint="eastAsia"/>
        </w:rPr>
        <w:t>被测量的管道与邻近干扰源的相互位置小于1000m时，应做交流杂散电流干扰检测。</w:t>
      </w:r>
    </w:p>
    <w:p w14:paraId="0CF408A6">
      <w:pPr>
        <w:pStyle w:val="107"/>
        <w:spacing w:before="156" w:after="156"/>
      </w:pPr>
      <w:r>
        <w:rPr>
          <w:rFonts w:hint="eastAsia"/>
        </w:rPr>
        <w:t>检测前，应做一定的调查测试，调查测试的方法应包括：</w:t>
      </w:r>
    </w:p>
    <w:p w14:paraId="129CB164">
      <w:pPr>
        <w:pStyle w:val="58"/>
        <w:numPr>
          <w:ilvl w:val="0"/>
          <w:numId w:val="33"/>
        </w:numPr>
        <w:ind w:firstLineChars="0"/>
      </w:pPr>
      <w:r>
        <w:rPr>
          <w:rFonts w:hint="eastAsia"/>
        </w:rPr>
        <w:t>高压输电系统应包括：管道与高压输电线路的相对位置关系；塔形、相间距、相序排列方式、导线类型和平均对地高度；接地系统的类型（包括基础）及与管道的距离；额定电压、负载电流及三相负荷不平衡度；单相短路故障电流和持续时间；区域内发电厂（变电站）的设置情况；</w:t>
      </w:r>
    </w:p>
    <w:p w14:paraId="7280E5AD">
      <w:pPr>
        <w:pStyle w:val="58"/>
        <w:numPr>
          <w:ilvl w:val="0"/>
          <w:numId w:val="33"/>
        </w:numPr>
        <w:ind w:firstLineChars="0"/>
      </w:pPr>
      <w:r>
        <w:rPr>
          <w:rFonts w:hint="eastAsia"/>
        </w:rPr>
        <w:t>电气化铁路应包括：铁轨与管道的相对位置关系；牵引变电所位置，铁路沿线高压杆塔的位置与分布；馈电网络及供电方式；供电臂短时电流、有效电流及运行状况（运行时刻表）。</w:t>
      </w:r>
    </w:p>
    <w:p w14:paraId="08FC7617">
      <w:pPr>
        <w:pStyle w:val="107"/>
        <w:spacing w:before="156" w:after="156"/>
      </w:pPr>
      <w:r>
        <w:rPr>
          <w:rFonts w:hint="eastAsia"/>
        </w:rPr>
        <w:t>被干扰管道的调查测试应包括下列内容：本地区的腐蚀案例；管道外径、壁厚、材质、敷设情况及地面设施等设计资料；管道与干扰源的相对位置关系；管道防腐层电阻率、防腐层类型和厚度；管道交流干扰电压及其分布；安装检查片处交流电流密度；管道沿线土壤电阻率；管道已有阴极保护和防护措施的运行参数及运行状况；相邻管道或其他埋地金属构筑物干扰腐蚀与防护技术资料。</w:t>
      </w:r>
    </w:p>
    <w:p w14:paraId="584B0328">
      <w:pPr>
        <w:pStyle w:val="107"/>
        <w:spacing w:before="156" w:after="156"/>
      </w:pPr>
      <w:r>
        <w:rPr>
          <w:rFonts w:hint="eastAsia"/>
        </w:rPr>
        <w:t>管道交流杂散电流的干扰检测主要是对干扰电压、干扰电流密度的测量。</w:t>
      </w:r>
    </w:p>
    <w:p w14:paraId="50C4F537">
      <w:pPr>
        <w:pStyle w:val="107"/>
        <w:spacing w:before="156" w:after="156"/>
      </w:pPr>
      <w:r>
        <w:rPr>
          <w:rFonts w:hint="eastAsia"/>
        </w:rPr>
        <w:t>测量点应布设在与疑似干扰源接近的管段上，间隔宜为1km，宜利用现有测试桩。干扰复杂时宜加密测量点。</w:t>
      </w:r>
    </w:p>
    <w:p w14:paraId="2F001719">
      <w:pPr>
        <w:pStyle w:val="107"/>
        <w:spacing w:before="156" w:after="156"/>
      </w:pPr>
      <w:r>
        <w:rPr>
          <w:rFonts w:hint="eastAsia"/>
        </w:rPr>
        <w:t>对于高压交流线路接近的管道，各测量点时间应大于等于60min；对与交流电气化铁路接近的管段，测量应选在列车运行的高峰时间段上，必要时应当进行24h连续测量。</w:t>
      </w:r>
    </w:p>
    <w:p w14:paraId="3182E4F0">
      <w:pPr>
        <w:pStyle w:val="107"/>
        <w:spacing w:before="156" w:after="156"/>
      </w:pPr>
      <w:r>
        <w:rPr>
          <w:rFonts w:hint="eastAsia"/>
        </w:rPr>
        <w:t>记录每次测量的时间和位置。</w:t>
      </w:r>
    </w:p>
    <w:p w14:paraId="22392493">
      <w:pPr>
        <w:pStyle w:val="107"/>
        <w:spacing w:before="156" w:after="156"/>
      </w:pPr>
      <w:r>
        <w:rPr>
          <w:rFonts w:hint="eastAsia"/>
        </w:rPr>
        <w:t>测量仪表应经检定或校准合格，并具有防电磁干扰等性能。</w:t>
      </w:r>
    </w:p>
    <w:p w14:paraId="053CD134">
      <w:pPr>
        <w:pStyle w:val="107"/>
        <w:spacing w:before="156" w:after="156"/>
      </w:pPr>
      <w:r>
        <w:rPr>
          <w:rFonts w:hint="eastAsia"/>
        </w:rPr>
        <w:t>参比电极的使用应符合下列要求：</w:t>
      </w:r>
    </w:p>
    <w:p w14:paraId="4222A47E">
      <w:pPr>
        <w:pStyle w:val="176"/>
        <w:numPr>
          <w:ilvl w:val="0"/>
          <w:numId w:val="34"/>
        </w:numPr>
      </w:pPr>
      <w:r>
        <w:rPr>
          <w:rFonts w:hint="eastAsia"/>
        </w:rPr>
        <w:t>参比电极可采用硫酸铜电极、钢棒电极。采用钢棒电极时，钢棒直径不宜小于16mm，插入土壤深度宜为100mm左右；</w:t>
      </w:r>
    </w:p>
    <w:p w14:paraId="460D5575">
      <w:pPr>
        <w:pStyle w:val="176"/>
        <w:numPr>
          <w:ilvl w:val="0"/>
          <w:numId w:val="34"/>
        </w:numPr>
      </w:pPr>
      <w:r>
        <w:rPr>
          <w:rFonts w:hint="eastAsia"/>
        </w:rPr>
        <w:t>参比电极应竖直布置，与埋地金属管道之间的距离应大于10m。每次测量时，参比电极位置宜保持一致；</w:t>
      </w:r>
    </w:p>
    <w:p w14:paraId="7B0BBB8C">
      <w:pPr>
        <w:pStyle w:val="176"/>
        <w:numPr>
          <w:ilvl w:val="0"/>
          <w:numId w:val="34"/>
        </w:numPr>
      </w:pPr>
      <w:r>
        <w:rPr>
          <w:rFonts w:hint="eastAsia"/>
        </w:rPr>
        <w:t>参比电极设置处，地下不应有冰层、混凝土层、金属及其他影响测量的物体。</w:t>
      </w:r>
    </w:p>
    <w:p w14:paraId="45099C68">
      <w:pPr>
        <w:pStyle w:val="107"/>
        <w:spacing w:before="156" w:after="156"/>
      </w:pPr>
      <w:r>
        <w:rPr>
          <w:rFonts w:hint="eastAsia"/>
        </w:rPr>
        <w:t>土壤干燥时，应浇水湿润土壤。</w:t>
      </w:r>
    </w:p>
    <w:p w14:paraId="09327B68">
      <w:pPr>
        <w:pStyle w:val="106"/>
        <w:spacing w:before="312" w:after="312"/>
      </w:pPr>
      <w:r>
        <w:rPr>
          <w:rFonts w:hint="eastAsia"/>
        </w:rPr>
        <w:t>检测方法</w:t>
      </w:r>
    </w:p>
    <w:p w14:paraId="70B4EB24">
      <w:pPr>
        <w:pStyle w:val="107"/>
        <w:spacing w:before="156" w:after="156"/>
      </w:pPr>
      <w:r>
        <w:rPr>
          <w:rFonts w:hint="eastAsia"/>
        </w:rPr>
        <w:t>交流干扰电压测量：</w:t>
      </w:r>
    </w:p>
    <w:p w14:paraId="0F81DB1C">
      <w:pPr>
        <w:pStyle w:val="67"/>
        <w:spacing w:before="156" w:after="156"/>
        <w:rPr>
          <w:rFonts w:hint="eastAsia" w:ascii="宋体" w:hAnsi="宋体" w:eastAsia="宋体"/>
        </w:rPr>
      </w:pPr>
      <w:bookmarkStart w:id="46" w:name="_Hlk211617065"/>
      <w:r>
        <w:rPr>
          <w:rFonts w:hint="eastAsia" w:ascii="宋体" w:hAnsi="宋体" w:eastAsia="宋体"/>
        </w:rPr>
        <w:t>短期测量时可使用普通交流电压表，对长期测量应使用存储式交流电压测量仪</w:t>
      </w:r>
      <w:bookmarkEnd w:id="46"/>
      <w:r>
        <w:rPr>
          <w:rFonts w:hint="eastAsia" w:ascii="宋体" w:hAnsi="宋体" w:eastAsia="宋体"/>
        </w:rPr>
        <w:t>。</w:t>
      </w:r>
    </w:p>
    <w:p w14:paraId="6086C4E5">
      <w:pPr>
        <w:pStyle w:val="67"/>
        <w:spacing w:before="156" w:after="156"/>
        <w:rPr>
          <w:rFonts w:hint="eastAsia" w:ascii="宋体" w:hAnsi="宋体" w:eastAsia="宋体"/>
        </w:rPr>
      </w:pPr>
      <w:r>
        <w:rPr>
          <w:rFonts w:hint="eastAsia" w:ascii="宋体" w:hAnsi="宋体" w:eastAsia="宋体"/>
        </w:rPr>
        <w:t>测量前，应将所测量管道与该管道的阴极保护系统断开。</w:t>
      </w:r>
    </w:p>
    <w:p w14:paraId="43E026A5">
      <w:pPr>
        <w:pStyle w:val="67"/>
        <w:spacing w:before="156" w:after="156"/>
        <w:rPr>
          <w:rFonts w:hint="eastAsia" w:ascii="宋体" w:hAnsi="宋体" w:eastAsia="宋体"/>
        </w:rPr>
      </w:pPr>
      <w:r>
        <w:rPr>
          <w:rFonts w:hint="eastAsia" w:ascii="宋体" w:hAnsi="宋体" w:eastAsia="宋体"/>
        </w:rPr>
        <w:t>测量的读数间隔一般为10s-30s，电压幅值变动剧烈时，不应大于10s。</w:t>
      </w:r>
    </w:p>
    <w:p w14:paraId="7C93B184">
      <w:pPr>
        <w:pStyle w:val="67"/>
        <w:spacing w:before="156" w:after="156"/>
        <w:rPr>
          <w:rFonts w:hint="eastAsia" w:ascii="宋体" w:hAnsi="宋体" w:eastAsia="宋体"/>
        </w:rPr>
      </w:pPr>
      <w:r>
        <w:rPr>
          <w:rFonts w:hint="eastAsia" w:ascii="宋体" w:hAnsi="宋体" w:eastAsia="宋体"/>
        </w:rPr>
        <w:t>所有测量点的交流干扰电压测试不得少于三次，每次的起止时间、测试时间段、读数时间间隔均应相同。</w:t>
      </w:r>
    </w:p>
    <w:p w14:paraId="5AE09F90">
      <w:pPr>
        <w:pStyle w:val="67"/>
        <w:spacing w:before="156" w:after="156"/>
        <w:rPr>
          <w:rFonts w:hint="eastAsia" w:ascii="宋体" w:hAnsi="宋体" w:eastAsia="宋体"/>
        </w:rPr>
      </w:pPr>
      <w:r>
        <w:rPr>
          <w:rFonts w:hint="eastAsia" w:ascii="宋体" w:hAnsi="宋体" w:eastAsia="宋体"/>
        </w:rPr>
        <w:t>测量步骤如下：</w:t>
      </w:r>
    </w:p>
    <w:p w14:paraId="6386427C">
      <w:pPr>
        <w:pStyle w:val="58"/>
        <w:numPr>
          <w:ilvl w:val="0"/>
          <w:numId w:val="35"/>
        </w:numPr>
        <w:ind w:firstLineChars="0"/>
      </w:pPr>
      <w:r>
        <w:rPr>
          <w:rFonts w:hint="eastAsia"/>
        </w:rPr>
        <w:t>将交流电压表与管道及参比电极相连接，接线方式如图1所示；</w:t>
      </w:r>
    </w:p>
    <w:p w14:paraId="30B1715B">
      <w:pPr>
        <w:pStyle w:val="58"/>
        <w:numPr>
          <w:ilvl w:val="0"/>
          <w:numId w:val="35"/>
        </w:numPr>
        <w:ind w:firstLineChars="0"/>
      </w:pPr>
      <w:r>
        <w:rPr>
          <w:rFonts w:hint="eastAsia"/>
        </w:rPr>
        <w:t>将电压表调至适宜的量程上，记录测量值和测量时间；</w:t>
      </w:r>
    </w:p>
    <w:p w14:paraId="2E88F506">
      <w:pPr>
        <w:pStyle w:val="58"/>
        <w:numPr>
          <w:ilvl w:val="0"/>
          <w:numId w:val="35"/>
        </w:numPr>
        <w:ind w:firstLineChars="0"/>
      </w:pPr>
      <w:r>
        <w:rPr>
          <w:rFonts w:hint="eastAsia"/>
        </w:rPr>
        <w:t>对记录的数据进行如下数据处理。</w:t>
      </w:r>
    </w:p>
    <w:p w14:paraId="58177EC9">
      <w:pPr>
        <w:pStyle w:val="176"/>
        <w:numPr>
          <w:ilvl w:val="0"/>
          <w:numId w:val="0"/>
        </w:numPr>
        <w:ind w:left="425"/>
      </w:pPr>
      <w:r>
        <w:rPr>
          <w:rFonts w:hint="eastAsia"/>
        </w:rPr>
        <w:t>测量点干扰电压的最大值、最小值，从记取的测量数值中直接选择。平均值按式（1）计算：</w:t>
      </w:r>
    </w:p>
    <w:p w14:paraId="30F0A442">
      <w:pPr>
        <w:pStyle w:val="176"/>
        <w:numPr>
          <w:ilvl w:val="0"/>
          <w:numId w:val="0"/>
        </w:numPr>
        <w:ind w:left="425"/>
        <w:jc w:val="right"/>
      </w:pPr>
      <m:oMath>
        <m:sSub>
          <m:sSubPr>
            <m:ctrlPr>
              <w:rPr>
                <w:rFonts w:ascii="Cambria Math" w:hAnsi="Cambria Math"/>
                <w:b/>
                <w:bCs/>
                <w:i/>
                <w:sz w:val="24"/>
                <w:szCs w:val="24"/>
              </w:rPr>
            </m:ctrlPr>
          </m:sSubPr>
          <m:e>
            <m:r>
              <m:rPr>
                <m:sty m:val="bi"/>
              </m:rPr>
              <w:rPr>
                <w:rFonts w:hint="eastAsia" w:ascii="Cambria Math" w:hAnsi="Cambria Math"/>
                <w:sz w:val="24"/>
                <w:szCs w:val="24"/>
              </w:rPr>
              <m:t>U</m:t>
            </m:r>
            <m:ctrlPr>
              <w:rPr>
                <w:rFonts w:ascii="Cambria Math" w:hAnsi="Cambria Math"/>
                <w:b/>
                <w:bCs/>
                <w:i/>
                <w:sz w:val="24"/>
                <w:szCs w:val="24"/>
              </w:rPr>
            </m:ctrlPr>
          </m:e>
          <m:sub>
            <m:r>
              <m:rPr>
                <m:sty m:val="bi"/>
              </m:rPr>
              <w:rPr>
                <w:rFonts w:hint="eastAsia" w:ascii="Cambria Math" w:hAnsi="Cambria Math"/>
                <w:sz w:val="24"/>
                <w:szCs w:val="24"/>
              </w:rPr>
              <m:t>P</m:t>
            </m:r>
            <m:ctrlPr>
              <w:rPr>
                <w:rFonts w:ascii="Cambria Math" w:hAnsi="Cambria Math"/>
                <w:b/>
                <w:bCs/>
                <w:i/>
                <w:sz w:val="24"/>
                <w:szCs w:val="24"/>
              </w:rPr>
            </m:ctrlPr>
          </m:sub>
        </m:sSub>
      </m:oMath>
      <w:r>
        <w:rPr>
          <w:rFonts w:hint="eastAsia" w:ascii="Times New Roman"/>
          <w:b/>
          <w:bCs/>
          <w:sz w:val="24"/>
          <w:szCs w:val="24"/>
          <w:vertAlign w:val="subscript"/>
        </w:rPr>
        <w:t xml:space="preserve"> </w:t>
      </w:r>
      <w:r>
        <w:rPr>
          <w:rFonts w:ascii="Times New Roman"/>
          <w:b/>
          <w:bCs/>
          <w:sz w:val="24"/>
          <w:szCs w:val="24"/>
        </w:rPr>
        <w:t xml:space="preserve">= </w:t>
      </w:r>
      <m:oMath>
        <m:f>
          <m:fPr>
            <m:ctrlPr>
              <w:rPr>
                <w:rFonts w:ascii="Cambria Math" w:hAnsi="Cambria Math"/>
                <w:b/>
                <w:bCs/>
                <w:i/>
                <w:sz w:val="24"/>
                <w:szCs w:val="24"/>
              </w:rPr>
            </m:ctrlPr>
          </m:fPr>
          <m:num>
            <m:nary>
              <m:naryPr>
                <m:chr m:val="∑"/>
                <m:limLoc m:val="undOvr"/>
                <m:ctrlPr>
                  <w:rPr>
                    <w:rFonts w:ascii="Cambria Math" w:hAnsi="Cambria Math"/>
                    <w:b/>
                    <w:bCs/>
                    <w:sz w:val="24"/>
                  </w:rPr>
                </m:ctrlPr>
              </m:naryPr>
              <m:sub>
                <m:r>
                  <m:rPr>
                    <m:sty m:val="bi"/>
                  </m:rPr>
                  <w:rPr>
                    <w:rFonts w:ascii="Cambria Math" w:hAnsi="Cambria Math"/>
                    <w:sz w:val="24"/>
                  </w:rPr>
                  <m:t>i=1</m:t>
                </m:r>
                <m:ctrlPr>
                  <w:rPr>
                    <w:rFonts w:ascii="Cambria Math" w:hAnsi="Cambria Math"/>
                    <w:b/>
                    <w:bCs/>
                    <w:sz w:val="24"/>
                  </w:rPr>
                </m:ctrlPr>
              </m:sub>
              <m:sup>
                <m:r>
                  <m:rPr>
                    <m:sty m:val="bi"/>
                  </m:rPr>
                  <w:rPr>
                    <w:rFonts w:ascii="Cambria Math" w:hAnsi="Cambria Math"/>
                    <w:sz w:val="24"/>
                  </w:rPr>
                  <m:t>n</m:t>
                </m:r>
                <m:ctrlPr>
                  <w:rPr>
                    <w:rFonts w:ascii="Cambria Math" w:hAnsi="Cambria Math"/>
                    <w:b/>
                    <w:bCs/>
                    <w:sz w:val="24"/>
                  </w:rPr>
                </m:ctrlPr>
              </m:sup>
              <m:e>
                <m:r>
                  <m:rPr>
                    <m:sty m:val="b"/>
                  </m:rPr>
                  <w:rPr>
                    <w:rFonts w:hint="eastAsia" w:ascii="Cambria Math" w:hAnsi="Cambria Math"/>
                    <w:sz w:val="24"/>
                  </w:rPr>
                  <m:t>U</m:t>
                </m:r>
                <m:r>
                  <m:rPr>
                    <m:nor/>
                    <m:sty m:val="b"/>
                  </m:rPr>
                  <w:rPr>
                    <w:rFonts w:ascii="Times New Roman"/>
                    <w:b/>
                    <w:bCs/>
                    <w:sz w:val="24"/>
                    <w:vertAlign w:val="subscript"/>
                  </w:rPr>
                  <m:t>i</m:t>
                </m:r>
                <m:ctrlPr>
                  <w:rPr>
                    <w:rFonts w:ascii="Cambria Math" w:hAnsi="Cambria Math"/>
                    <w:b/>
                    <w:bCs/>
                    <w:sz w:val="24"/>
                  </w:rPr>
                </m:ctrlPr>
              </m:e>
            </m:nary>
            <m:ctrlPr>
              <w:rPr>
                <w:rFonts w:ascii="Cambria Math" w:hAnsi="Cambria Math"/>
                <w:b/>
                <w:bCs/>
                <w:i/>
                <w:sz w:val="24"/>
                <w:szCs w:val="24"/>
              </w:rPr>
            </m:ctrlPr>
          </m:num>
          <m:den>
            <m:r>
              <m:rPr>
                <m:sty m:val="b"/>
              </m:rPr>
              <w:rPr>
                <w:rFonts w:ascii="Cambria Math" w:hAnsi="Cambria Math"/>
                <w:sz w:val="24"/>
              </w:rPr>
              <m:t>n</m:t>
            </m:r>
            <m:ctrlPr>
              <w:rPr>
                <w:rFonts w:ascii="Cambria Math" w:hAnsi="Cambria Math"/>
                <w:b/>
                <w:bCs/>
                <w:i/>
                <w:sz w:val="24"/>
                <w:szCs w:val="24"/>
              </w:rPr>
            </m:ctrlPr>
          </m:den>
        </m:f>
      </m:oMath>
      <w:r>
        <w:rPr>
          <w:rFonts w:hint="eastAsia"/>
          <w:vertAlign w:val="subscript"/>
        </w:rPr>
        <w:t xml:space="preserve">                                                                ………………</w:t>
      </w:r>
      <w:r>
        <w:rPr>
          <w:rFonts w:hint="eastAsia"/>
        </w:rPr>
        <w:t>（1）</w:t>
      </w:r>
    </w:p>
    <w:p w14:paraId="366B2192">
      <w:pPr>
        <w:ind w:firstLine="420"/>
      </w:pPr>
      <w:r>
        <w:rPr>
          <w:rFonts w:hint="eastAsia"/>
        </w:rPr>
        <w:t>式中:</w:t>
      </w:r>
    </w:p>
    <w:p w14:paraId="46F3A166">
      <w:pPr>
        <w:ind w:firstLine="420"/>
      </w:pPr>
      <w:r>
        <w:rPr>
          <w:rFonts w:hint="eastAsia"/>
        </w:rPr>
        <w:t>U</w:t>
      </w:r>
      <w:r>
        <w:rPr>
          <w:rFonts w:hint="eastAsia"/>
          <w:vertAlign w:val="subscript"/>
        </w:rPr>
        <w:t>p</w:t>
      </w:r>
      <w:r>
        <w:rPr>
          <w:rFonts w:hint="eastAsia"/>
        </w:rPr>
        <w:t>——规定测量时间段内测量点交流干扰电压平均值（V）；</w:t>
      </w:r>
    </w:p>
    <w:p w14:paraId="0B83AB36">
      <w:pPr>
        <w:ind w:firstLine="420"/>
      </w:pPr>
      <m:oMath>
        <m:nary>
          <m:naryPr>
            <m:chr m:val="∑"/>
            <m:grow m:val="1"/>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hint="eastAsia" w:ascii="Cambria Math" w:hAnsi="Cambria Math"/>
                  </w:rPr>
                  <m:t>U</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rFonts w:hint="eastAsia"/>
        </w:rPr>
        <w:t xml:space="preserve"> ——规定测量时间段内测量点交流干扰电压各次读数的综合（V）；</w:t>
      </w:r>
    </w:p>
    <w:p w14:paraId="5C800314">
      <w:pPr>
        <w:pStyle w:val="176"/>
        <w:numPr>
          <w:ilvl w:val="0"/>
          <w:numId w:val="0"/>
        </w:numPr>
        <w:ind w:left="425"/>
        <w:jc w:val="left"/>
      </w:pPr>
      <w:r>
        <w:rPr>
          <w:rFonts w:hint="eastAsia"/>
        </w:rPr>
        <w:t>n——规定测量时间段内读数的总次数。</w:t>
      </w:r>
    </w:p>
    <w:p w14:paraId="2FA9EAE3">
      <w:pPr>
        <w:pStyle w:val="176"/>
        <w:numPr>
          <w:ilvl w:val="0"/>
          <w:numId w:val="0"/>
        </w:numPr>
        <w:ind w:left="425"/>
        <w:jc w:val="left"/>
      </w:pPr>
      <w:r>
        <w:drawing>
          <wp:inline distT="0" distB="0" distL="0" distR="0">
            <wp:extent cx="3321685" cy="2303780"/>
            <wp:effectExtent l="0" t="0" r="0" b="1270"/>
            <wp:docPr id="5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7"/>
                    <pic:cNvPicPr>
                      <a:picLocks noChangeAspect="1" noChangeArrowheads="1"/>
                    </pic:cNvPicPr>
                  </pic:nvPicPr>
                  <pic:blipFill>
                    <a:blip r:embed="rId21"/>
                    <a:srcRect l="7343" t="5074" r="5206" b="5511"/>
                    <a:stretch>
                      <a:fillRect/>
                    </a:stretch>
                  </pic:blipFill>
                  <pic:spPr>
                    <a:xfrm>
                      <a:off x="0" y="0"/>
                      <a:ext cx="3324948" cy="2306322"/>
                    </a:xfrm>
                    <a:prstGeom prst="rect">
                      <a:avLst/>
                    </a:prstGeom>
                    <a:noFill/>
                    <a:ln w="9525">
                      <a:noFill/>
                      <a:miter lim="800000"/>
                      <a:headEnd/>
                      <a:tailEnd/>
                    </a:ln>
                  </pic:spPr>
                </pic:pic>
              </a:graphicData>
            </a:graphic>
          </wp:inline>
        </w:drawing>
      </w:r>
    </w:p>
    <w:p w14:paraId="6B3C72CE">
      <w:pPr>
        <w:pStyle w:val="233"/>
        <w:ind w:firstLine="0" w:firstLineChars="0"/>
        <w:jc w:val="center"/>
        <w:rPr>
          <w:rFonts w:hint="eastAsia" w:asciiTheme="minorEastAsia" w:hAnsiTheme="minorEastAsia" w:eastAsiaTheme="minorEastAsia"/>
          <w:sz w:val="15"/>
          <w:szCs w:val="15"/>
        </w:rPr>
      </w:pPr>
      <w:r>
        <w:rPr>
          <w:rFonts w:hint="eastAsia" w:asciiTheme="minorEastAsia" w:hAnsiTheme="minorEastAsia" w:eastAsiaTheme="minorEastAsia"/>
          <w:sz w:val="15"/>
          <w:szCs w:val="15"/>
        </w:rPr>
        <w:t>图1：</w:t>
      </w:r>
      <w:r>
        <w:rPr>
          <w:rFonts w:asciiTheme="minorEastAsia" w:hAnsiTheme="minorEastAsia" w:eastAsiaTheme="minorEastAsia"/>
          <w:sz w:val="15"/>
          <w:szCs w:val="15"/>
        </w:rPr>
        <w:t>1</w:t>
      </w:r>
      <w:r>
        <w:rPr>
          <w:rFonts w:hAnsi="宋体"/>
          <w:sz w:val="15"/>
          <w:szCs w:val="15"/>
        </w:rPr>
        <w:t>—</w:t>
      </w:r>
      <w:r>
        <w:rPr>
          <w:rFonts w:asciiTheme="minorEastAsia" w:hAnsiTheme="minorEastAsia" w:eastAsiaTheme="minorEastAsia"/>
          <w:sz w:val="15"/>
          <w:szCs w:val="15"/>
        </w:rPr>
        <w:t>埋地管道；2—测试桩；3—交流电压表；4—测试导线；5—参比电极</w:t>
      </w:r>
    </w:p>
    <w:p w14:paraId="761C9E91">
      <w:pPr>
        <w:pStyle w:val="176"/>
        <w:numPr>
          <w:ilvl w:val="0"/>
          <w:numId w:val="0"/>
        </w:numPr>
        <w:ind w:left="425"/>
        <w:jc w:val="left"/>
      </w:pPr>
    </w:p>
    <w:p w14:paraId="48B9ECD7">
      <w:pPr>
        <w:pStyle w:val="176"/>
        <w:numPr>
          <w:ilvl w:val="0"/>
          <w:numId w:val="0"/>
        </w:numPr>
        <w:ind w:left="425"/>
        <w:jc w:val="left"/>
      </w:pPr>
    </w:p>
    <w:p w14:paraId="70BE0484">
      <w:pPr>
        <w:pStyle w:val="67"/>
        <w:spacing w:before="156" w:after="156"/>
        <w:rPr>
          <w:rFonts w:hint="eastAsia" w:ascii="宋体" w:hAnsi="宋体" w:eastAsia="宋体"/>
        </w:rPr>
      </w:pPr>
      <w:r>
        <w:rPr>
          <w:rFonts w:hint="eastAsia" w:ascii="宋体" w:hAnsi="宋体" w:eastAsia="宋体"/>
        </w:rPr>
        <w:t>绘制出测量点的电压—时间曲线图。</w:t>
      </w:r>
    </w:p>
    <w:p w14:paraId="44C02946">
      <w:pPr>
        <w:pStyle w:val="67"/>
        <w:spacing w:before="156" w:after="156"/>
        <w:rPr>
          <w:rFonts w:hint="eastAsia" w:ascii="宋体" w:hAnsi="宋体" w:eastAsia="宋体"/>
        </w:rPr>
      </w:pPr>
      <w:r>
        <w:rPr>
          <w:rFonts w:hint="eastAsia" w:ascii="宋体" w:hAnsi="宋体" w:eastAsia="宋体"/>
        </w:rPr>
        <w:t>绘制出干扰段的最大最小平均干扰电压—距离曲线，即干扰电压分布曲线图。</w:t>
      </w:r>
    </w:p>
    <w:p w14:paraId="1AFC3CDF">
      <w:pPr>
        <w:pStyle w:val="107"/>
        <w:spacing w:before="156" w:after="156"/>
      </w:pPr>
      <w:r>
        <w:rPr>
          <w:rFonts w:hint="eastAsia"/>
        </w:rPr>
        <w:t>干扰电流密度测量</w:t>
      </w:r>
    </w:p>
    <w:p w14:paraId="59B7F3B4">
      <w:pPr>
        <w:pStyle w:val="67"/>
        <w:spacing w:before="156" w:after="156"/>
        <w:rPr>
          <w:rFonts w:hint="eastAsia" w:ascii="宋体" w:hAnsi="宋体" w:eastAsia="宋体"/>
        </w:rPr>
      </w:pPr>
      <w:r>
        <w:rPr>
          <w:rFonts w:hint="eastAsia" w:ascii="宋体" w:hAnsi="宋体" w:eastAsia="宋体"/>
        </w:rPr>
        <w:t>短期测量时可使用普通交流电流表，对长期测量应使用存储式交流电流测量仪。</w:t>
      </w:r>
    </w:p>
    <w:p w14:paraId="010D1F2E">
      <w:pPr>
        <w:pStyle w:val="67"/>
        <w:spacing w:before="156" w:after="156"/>
        <w:rPr>
          <w:rFonts w:hint="eastAsia" w:ascii="宋体" w:hAnsi="宋体" w:eastAsia="宋体"/>
        </w:rPr>
      </w:pPr>
      <w:r>
        <w:rPr>
          <w:rFonts w:hint="eastAsia" w:ascii="宋体" w:hAnsi="宋体" w:eastAsia="宋体"/>
        </w:rPr>
        <w:t>测量前应将所测量管道与该管道的阴极保护系统断开。</w:t>
      </w:r>
    </w:p>
    <w:p w14:paraId="6F71D291">
      <w:pPr>
        <w:pStyle w:val="67"/>
        <w:spacing w:before="156" w:after="156"/>
        <w:rPr>
          <w:rFonts w:hint="eastAsia" w:ascii="宋体" w:hAnsi="宋体" w:eastAsia="宋体"/>
        </w:rPr>
      </w:pPr>
      <w:r>
        <w:rPr>
          <w:rFonts w:hint="eastAsia" w:ascii="宋体" w:hAnsi="宋体" w:eastAsia="宋体"/>
        </w:rPr>
        <w:t>测量时应使用腐蚀检查片，将检查片通过测量电缆与管道电连通。</w:t>
      </w:r>
    </w:p>
    <w:p w14:paraId="7CA800FB">
      <w:pPr>
        <w:pStyle w:val="67"/>
        <w:spacing w:before="156" w:after="156"/>
        <w:rPr>
          <w:rFonts w:hint="eastAsia" w:ascii="宋体" w:hAnsi="宋体" w:eastAsia="宋体"/>
        </w:rPr>
      </w:pPr>
      <w:r>
        <w:rPr>
          <w:rFonts w:hint="eastAsia" w:ascii="宋体" w:hAnsi="宋体" w:eastAsia="宋体"/>
        </w:rPr>
        <w:t>腐蚀检查片与管道的间距宜为0.5m。</w:t>
      </w:r>
    </w:p>
    <w:p w14:paraId="543A8FC0">
      <w:pPr>
        <w:pStyle w:val="67"/>
        <w:spacing w:before="156" w:after="156"/>
        <w:rPr>
          <w:rFonts w:hint="eastAsia" w:ascii="宋体" w:hAnsi="宋体" w:eastAsia="宋体"/>
        </w:rPr>
      </w:pPr>
      <w:r>
        <w:rPr>
          <w:rFonts w:hint="eastAsia" w:ascii="宋体" w:hAnsi="宋体" w:eastAsia="宋体"/>
        </w:rPr>
        <w:t>腐蚀检查片的裸露面积宜为100mm</w:t>
      </w:r>
      <w:r>
        <w:rPr>
          <w:rFonts w:hint="eastAsia"/>
          <w:vertAlign w:val="superscript"/>
        </w:rPr>
        <w:t>2</w:t>
      </w:r>
      <w:r>
        <w:rPr>
          <w:rFonts w:hint="eastAsia" w:ascii="宋体" w:hAnsi="宋体" w:eastAsia="宋体"/>
        </w:rPr>
        <w:t>，其余部位应做好防腐绝缘，且绝缘类型与所测管道相同。</w:t>
      </w:r>
    </w:p>
    <w:p w14:paraId="65A9883F">
      <w:pPr>
        <w:pStyle w:val="67"/>
        <w:spacing w:before="156" w:after="156"/>
        <w:rPr>
          <w:rFonts w:hint="eastAsia" w:ascii="宋体" w:hAnsi="宋体" w:eastAsia="宋体"/>
        </w:rPr>
      </w:pPr>
      <w:r>
        <w:rPr>
          <w:rFonts w:hint="eastAsia" w:ascii="宋体" w:hAnsi="宋体" w:eastAsia="宋体"/>
        </w:rPr>
        <w:t>测量的读数间隔一般为10s-30s，电流幅值变动剧烈时，不应大于10s。</w:t>
      </w:r>
    </w:p>
    <w:p w14:paraId="64E89F82">
      <w:pPr>
        <w:pStyle w:val="67"/>
        <w:spacing w:before="156" w:after="156"/>
        <w:rPr>
          <w:rFonts w:hint="eastAsia" w:ascii="宋体" w:hAnsi="宋体" w:eastAsia="宋体"/>
        </w:rPr>
      </w:pPr>
      <w:r>
        <w:rPr>
          <w:rFonts w:hint="eastAsia" w:ascii="宋体" w:hAnsi="宋体" w:eastAsia="宋体"/>
        </w:rPr>
        <w:t>所有测量点的交流干扰电流测试不得少于三次，每次的起止时间、测试时间段、读数时间间隔均应相同。</w:t>
      </w:r>
    </w:p>
    <w:p w14:paraId="5846A4BD">
      <w:pPr>
        <w:pStyle w:val="67"/>
        <w:spacing w:before="156" w:after="156"/>
        <w:rPr>
          <w:rFonts w:hint="eastAsia" w:ascii="宋体" w:hAnsi="宋体" w:eastAsia="宋体"/>
        </w:rPr>
      </w:pPr>
      <w:r>
        <w:rPr>
          <w:rFonts w:hint="eastAsia" w:ascii="宋体" w:hAnsi="宋体" w:eastAsia="宋体"/>
        </w:rPr>
        <w:t>测量步骤：</w:t>
      </w:r>
    </w:p>
    <w:p w14:paraId="2DF41100">
      <w:pPr>
        <w:pStyle w:val="58"/>
        <w:numPr>
          <w:ilvl w:val="0"/>
          <w:numId w:val="36"/>
        </w:numPr>
        <w:ind w:firstLineChars="0"/>
      </w:pPr>
      <w:r>
        <w:rPr>
          <w:rFonts w:hint="eastAsia"/>
        </w:rPr>
        <w:t>将交流电流表串入回路与管道及检查片相连接，接线方式如图2所示；</w:t>
      </w:r>
    </w:p>
    <w:p w14:paraId="073CE919">
      <w:pPr>
        <w:pStyle w:val="58"/>
        <w:numPr>
          <w:ilvl w:val="0"/>
          <w:numId w:val="36"/>
        </w:numPr>
        <w:ind w:firstLineChars="0"/>
      </w:pPr>
      <w:r>
        <w:rPr>
          <w:rFonts w:hint="eastAsia"/>
        </w:rPr>
        <w:t>将交流电流表调至适宜的量程上，记录测量值和测量时间；</w:t>
      </w:r>
    </w:p>
    <w:p w14:paraId="46C70B1F">
      <w:pPr>
        <w:pStyle w:val="58"/>
        <w:numPr>
          <w:ilvl w:val="0"/>
          <w:numId w:val="36"/>
        </w:numPr>
        <w:ind w:firstLineChars="0"/>
      </w:pPr>
      <w:r>
        <w:rPr>
          <w:rFonts w:hint="eastAsia"/>
        </w:rPr>
        <w:t>对记录的数据进行如下数据处理。</w:t>
      </w:r>
    </w:p>
    <w:p w14:paraId="5D027016">
      <w:pPr>
        <w:pStyle w:val="176"/>
        <w:numPr>
          <w:ilvl w:val="0"/>
          <w:numId w:val="0"/>
        </w:numPr>
        <w:ind w:left="851" w:hanging="426"/>
      </w:pPr>
      <w:r>
        <w:rPr>
          <w:rFonts w:hint="eastAsia"/>
        </w:rPr>
        <w:t>测量点干扰电流的最大值、最小值，从记取的测量数值中直接选择。平均值按式（2）计算：</w:t>
      </w:r>
    </w:p>
    <w:p w14:paraId="486DD51A">
      <w:pPr>
        <w:pStyle w:val="176"/>
        <w:numPr>
          <w:ilvl w:val="0"/>
          <w:numId w:val="0"/>
        </w:numPr>
        <w:ind w:left="425"/>
        <w:jc w:val="right"/>
      </w:pPr>
      <m:oMath>
        <m:sSub>
          <m:sSubPr>
            <m:ctrlPr>
              <w:rPr>
                <w:rFonts w:ascii="Cambria Math" w:hAnsi="Cambria Math"/>
                <w:b/>
                <w:bCs/>
                <w:i/>
                <w:sz w:val="24"/>
                <w:szCs w:val="24"/>
              </w:rPr>
            </m:ctrlPr>
          </m:sSubPr>
          <m:e>
            <m:r>
              <m:rPr>
                <m:sty m:val="bi"/>
              </m:rPr>
              <w:rPr>
                <w:rFonts w:hint="eastAsia" w:ascii="Cambria Math" w:hAnsi="Cambria Math"/>
                <w:sz w:val="24"/>
                <w:szCs w:val="24"/>
              </w:rPr>
              <m:t>I</m:t>
            </m:r>
            <m:ctrlPr>
              <w:rPr>
                <w:rFonts w:ascii="Cambria Math" w:hAnsi="Cambria Math"/>
                <w:b/>
                <w:bCs/>
                <w:i/>
                <w:sz w:val="24"/>
                <w:szCs w:val="24"/>
              </w:rPr>
            </m:ctrlPr>
          </m:e>
          <m:sub>
            <m:r>
              <m:rPr>
                <m:sty m:val="bi"/>
              </m:rPr>
              <w:rPr>
                <w:rFonts w:hint="eastAsia" w:ascii="Cambria Math" w:hAnsi="Cambria Math"/>
                <w:sz w:val="24"/>
                <w:szCs w:val="24"/>
              </w:rPr>
              <m:t>P</m:t>
            </m:r>
            <m:ctrlPr>
              <w:rPr>
                <w:rFonts w:ascii="Cambria Math" w:hAnsi="Cambria Math"/>
                <w:b/>
                <w:bCs/>
                <w:i/>
                <w:sz w:val="24"/>
                <w:szCs w:val="24"/>
              </w:rPr>
            </m:ctrlPr>
          </m:sub>
        </m:sSub>
      </m:oMath>
      <w:r>
        <w:rPr>
          <w:rFonts w:hint="eastAsia" w:ascii="Times New Roman"/>
          <w:b/>
          <w:bCs/>
          <w:sz w:val="24"/>
          <w:szCs w:val="24"/>
          <w:vertAlign w:val="subscript"/>
        </w:rPr>
        <w:t xml:space="preserve"> </w:t>
      </w:r>
      <w:r>
        <w:rPr>
          <w:rFonts w:ascii="Times New Roman"/>
          <w:b/>
          <w:bCs/>
          <w:sz w:val="24"/>
          <w:szCs w:val="24"/>
        </w:rPr>
        <w:t xml:space="preserve">= </w:t>
      </w:r>
      <m:oMath>
        <m:f>
          <m:fPr>
            <m:ctrlPr>
              <w:rPr>
                <w:rFonts w:ascii="Cambria Math" w:hAnsi="Cambria Math"/>
                <w:b/>
                <w:bCs/>
                <w:i/>
                <w:sz w:val="24"/>
                <w:szCs w:val="24"/>
              </w:rPr>
            </m:ctrlPr>
          </m:fPr>
          <m:num>
            <m:nary>
              <m:naryPr>
                <m:chr m:val="∑"/>
                <m:limLoc m:val="undOvr"/>
                <m:ctrlPr>
                  <w:rPr>
                    <w:rFonts w:ascii="Cambria Math" w:hAnsi="Cambria Math"/>
                    <w:b/>
                    <w:bCs/>
                    <w:sz w:val="24"/>
                  </w:rPr>
                </m:ctrlPr>
              </m:naryPr>
              <m:sub>
                <m:r>
                  <m:rPr>
                    <m:sty m:val="bi"/>
                  </m:rPr>
                  <w:rPr>
                    <w:rFonts w:ascii="Cambria Math" w:hAnsi="Cambria Math"/>
                    <w:sz w:val="24"/>
                  </w:rPr>
                  <m:t>i=1</m:t>
                </m:r>
                <m:ctrlPr>
                  <w:rPr>
                    <w:rFonts w:ascii="Cambria Math" w:hAnsi="Cambria Math"/>
                    <w:b/>
                    <w:bCs/>
                    <w:sz w:val="24"/>
                  </w:rPr>
                </m:ctrlPr>
              </m:sub>
              <m:sup>
                <m:r>
                  <m:rPr>
                    <m:sty m:val="bi"/>
                  </m:rPr>
                  <w:rPr>
                    <w:rFonts w:ascii="Cambria Math" w:hAnsi="Cambria Math"/>
                    <w:sz w:val="24"/>
                  </w:rPr>
                  <m:t>n</m:t>
                </m:r>
                <m:ctrlPr>
                  <w:rPr>
                    <w:rFonts w:ascii="Cambria Math" w:hAnsi="Cambria Math"/>
                    <w:b/>
                    <w:bCs/>
                    <w:sz w:val="24"/>
                  </w:rPr>
                </m:ctrlPr>
              </m:sup>
              <m:e>
                <m:r>
                  <m:rPr>
                    <m:sty m:val="b"/>
                  </m:rPr>
                  <w:rPr>
                    <w:rFonts w:hint="eastAsia" w:ascii="Cambria Math" w:hAnsi="Cambria Math"/>
                    <w:sz w:val="24"/>
                  </w:rPr>
                  <m:t>I</m:t>
                </m:r>
                <m:r>
                  <m:rPr>
                    <m:nor/>
                    <m:sty m:val="b"/>
                  </m:rPr>
                  <w:rPr>
                    <w:rFonts w:ascii="Times New Roman"/>
                    <w:b/>
                    <w:bCs/>
                    <w:sz w:val="24"/>
                    <w:vertAlign w:val="subscript"/>
                  </w:rPr>
                  <m:t>i</m:t>
                </m:r>
                <m:ctrlPr>
                  <w:rPr>
                    <w:rFonts w:ascii="Cambria Math" w:hAnsi="Cambria Math"/>
                    <w:b/>
                    <w:bCs/>
                    <w:sz w:val="24"/>
                  </w:rPr>
                </m:ctrlPr>
              </m:e>
            </m:nary>
            <m:ctrlPr>
              <w:rPr>
                <w:rFonts w:ascii="Cambria Math" w:hAnsi="Cambria Math"/>
                <w:b/>
                <w:bCs/>
                <w:i/>
                <w:sz w:val="24"/>
                <w:szCs w:val="24"/>
              </w:rPr>
            </m:ctrlPr>
          </m:num>
          <m:den>
            <m:r>
              <m:rPr>
                <m:sty m:val="b"/>
              </m:rPr>
              <w:rPr>
                <w:rFonts w:ascii="Cambria Math" w:hAnsi="Cambria Math"/>
                <w:sz w:val="24"/>
              </w:rPr>
              <m:t>n</m:t>
            </m:r>
            <m:ctrlPr>
              <w:rPr>
                <w:rFonts w:ascii="Cambria Math" w:hAnsi="Cambria Math"/>
                <w:b/>
                <w:bCs/>
                <w:i/>
                <w:sz w:val="24"/>
                <w:szCs w:val="24"/>
              </w:rPr>
            </m:ctrlPr>
          </m:den>
        </m:f>
      </m:oMath>
      <w:r>
        <w:rPr>
          <w:rFonts w:hint="eastAsia"/>
          <w:vertAlign w:val="subscript"/>
        </w:rPr>
        <w:t xml:space="preserve">                                                                ………………</w:t>
      </w:r>
      <w:r>
        <w:rPr>
          <w:rFonts w:hint="eastAsia"/>
        </w:rPr>
        <w:t>（2）</w:t>
      </w:r>
    </w:p>
    <w:p w14:paraId="5B5346AF">
      <w:pPr>
        <w:ind w:firstLine="420"/>
      </w:pPr>
      <w:r>
        <w:rPr>
          <w:rFonts w:hint="eastAsia"/>
        </w:rPr>
        <w:t>式中：</w:t>
      </w:r>
    </w:p>
    <w:p w14:paraId="24CB7C78">
      <w:pPr>
        <w:ind w:firstLine="420"/>
      </w:pPr>
      <w:r>
        <w:rPr>
          <w:rFonts w:hint="eastAsia"/>
        </w:rPr>
        <w:t>I</w:t>
      </w:r>
      <w:r>
        <w:rPr>
          <w:rFonts w:hint="eastAsia"/>
          <w:vertAlign w:val="subscript"/>
        </w:rPr>
        <w:t>p</w:t>
      </w:r>
      <w:r>
        <w:rPr>
          <w:rFonts w:hint="eastAsia"/>
        </w:rPr>
        <w:t>——规定测量时间段内测量点交流干扰电流平均值（A）；</w:t>
      </w:r>
    </w:p>
    <w:p w14:paraId="2D72D9B7">
      <w:pPr>
        <w:ind w:firstLine="420"/>
      </w:pPr>
      <m:oMath>
        <m:nary>
          <m:naryPr>
            <m:chr m:val="∑"/>
            <m:grow m:val="1"/>
            <m:limLoc m:val="undOvr"/>
            <m:ctrlPr>
              <w:rPr>
                <w:rFonts w:ascii="Cambria Math" w:hAnsi="Cambria Math"/>
                <w:i/>
              </w:rPr>
            </m:ctrlPr>
          </m:naryPr>
          <m:sub>
            <m:r>
              <m:rPr/>
              <w:rPr>
                <w:rFonts w:hint="eastAsia" w:ascii="Cambria Math" w:hAnsi="Cambria Math"/>
              </w:rPr>
              <m:t>i</m:t>
            </m:r>
            <m:r>
              <m:rPr/>
              <w:rPr>
                <w:rFonts w:ascii="Cambria Math" w:hAnsi="Cambria Math"/>
              </w:rPr>
              <m:t>=1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hint="eastAsia" w:ascii="Cambria Math" w:hAnsi="Cambria Math"/>
                  </w:rPr>
                  <m:t>I</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oMath>
      <w:r>
        <w:rPr>
          <w:rFonts w:hint="eastAsia"/>
        </w:rPr>
        <w:t>——规定测量时间段内测量点交流干扰电流各次读数的总和（A）；</w:t>
      </w:r>
    </w:p>
    <w:p w14:paraId="6F7ED835">
      <w:pPr>
        <w:pStyle w:val="58"/>
        <w:ind w:firstLine="420"/>
      </w:pPr>
      <w:r>
        <w:rPr>
          <w:rFonts w:hint="eastAsia"/>
        </w:rPr>
        <w:t>n——规定测量时间段内读数的总次数。</w:t>
      </w:r>
    </w:p>
    <w:p w14:paraId="4600D2C0">
      <w:pPr>
        <w:pStyle w:val="67"/>
        <w:spacing w:before="156" w:after="156"/>
        <w:rPr>
          <w:rFonts w:hint="eastAsia" w:ascii="宋体" w:hAnsi="宋体" w:eastAsia="宋体"/>
        </w:rPr>
      </w:pPr>
      <w:r>
        <w:rPr>
          <w:rFonts w:hint="eastAsia" w:ascii="宋体" w:hAnsi="宋体" w:eastAsia="宋体"/>
        </w:rPr>
        <w:t>将数据处理后获得的交流电流值Ip除以检查片裸露面积即为该测量点交流电流密度值</w:t>
      </w:r>
      <w:r>
        <w:rPr>
          <w:rFonts w:hint="eastAsia"/>
        </w:rPr>
        <w:t>J</w:t>
      </w:r>
      <w:r>
        <w:rPr>
          <w:rFonts w:hint="eastAsia"/>
          <w:vertAlign w:val="subscript"/>
        </w:rPr>
        <w:t xml:space="preserve">AC </w:t>
      </w:r>
      <w:r>
        <w:rPr>
          <w:rFonts w:hint="eastAsia" w:ascii="宋体" w:hAnsi="宋体" w:eastAsia="宋体"/>
        </w:rPr>
        <w:t>。</w:t>
      </w:r>
    </w:p>
    <w:p w14:paraId="42746CC6">
      <w:pPr>
        <w:pStyle w:val="58"/>
        <w:ind w:firstLine="420"/>
      </w:pPr>
      <w:r>
        <w:drawing>
          <wp:inline distT="0" distB="0" distL="0" distR="0">
            <wp:extent cx="2743200" cy="2298700"/>
            <wp:effectExtent l="0" t="0" r="0" b="6350"/>
            <wp:docPr id="4539320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932035"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51909" cy="2306551"/>
                    </a:xfrm>
                    <a:prstGeom prst="rect">
                      <a:avLst/>
                    </a:prstGeom>
                    <a:noFill/>
                    <a:ln>
                      <a:noFill/>
                    </a:ln>
                  </pic:spPr>
                </pic:pic>
              </a:graphicData>
            </a:graphic>
          </wp:inline>
        </w:drawing>
      </w:r>
    </w:p>
    <w:p w14:paraId="4EA30E4B">
      <w:pPr>
        <w:pStyle w:val="106"/>
        <w:spacing w:before="312" w:after="312"/>
      </w:pPr>
      <w:r>
        <w:rPr>
          <w:rFonts w:hint="eastAsia"/>
        </w:rPr>
        <w:t>检测结果评价</w:t>
      </w:r>
    </w:p>
    <w:p w14:paraId="1F76D5AF">
      <w:pPr>
        <w:pStyle w:val="107"/>
        <w:spacing w:before="156" w:after="156"/>
      </w:pPr>
      <w:bookmarkStart w:id="47" w:name="_Hlk195623206"/>
      <w:r>
        <w:rPr>
          <w:rFonts w:hint="eastAsia"/>
        </w:rPr>
        <w:t>埋地钢质管道的交流干扰，可用管道交流干扰电压或交流电流密度进行测试。当管道上任意一点上的交流干扰电压都小于4V时，可不采取交流干扰防护措施；高于此值时应采用交流密度进行评估，干扰程度的评价见下表。</w:t>
      </w:r>
      <w:r>
        <w:t>测试时间段应选择具有代表性的时间段，如干扰源的高峰负荷时间等，测试时间一般为60min，对运行频繁的电气化铁路可取30min；对剧烈波动的干扰，可进行24h连续测试，直到确立和干扰源负载变化的对应关系，交流电流密度评价为检测时间段内的平均值</w:t>
      </w:r>
      <w:r>
        <w:rPr>
          <w:rFonts w:hint="eastAsia"/>
        </w:rPr>
        <w:t>。交流电流密度可按下式（3）计算：</w:t>
      </w:r>
    </w:p>
    <w:bookmarkEnd w:id="47"/>
    <w:p w14:paraId="6A71106A">
      <w:pPr>
        <w:pStyle w:val="166"/>
        <w:numPr>
          <w:ilvl w:val="0"/>
          <w:numId w:val="0"/>
        </w:numPr>
        <w:jc w:val="right"/>
      </w:pPr>
      <w:r>
        <w:rPr>
          <w:position w:val="-28"/>
        </w:rPr>
        <w:object>
          <v:shape id="_x0000_i1025" o:spt="75" type="#_x0000_t75" style="height:32.8pt;width:56.95pt;" o:ole="t" filled="f" o:preferrelative="t" stroked="f" coordsize="21600,21600">
            <v:path/>
            <v:fill on="f" focussize="0,0"/>
            <v:stroke on="f" joinstyle="miter"/>
            <v:imagedata r:id="rId24" o:title=""/>
            <o:lock v:ext="edit" aspectratio="t"/>
            <w10:wrap type="none"/>
            <w10:anchorlock/>
          </v:shape>
          <o:OLEObject Type="Embed" ProgID="Equation.DSMT4" ShapeID="_x0000_i1025" DrawAspect="Content" ObjectID="_1468075725" r:id="rId23">
            <o:LockedField>false</o:LockedField>
          </o:OLEObject>
        </w:object>
      </w:r>
      <w:r>
        <w:rPr>
          <w:rFonts w:hint="eastAsia"/>
          <w:vertAlign w:val="subscript"/>
        </w:rPr>
        <w:t xml:space="preserve">                                                               ………………</w:t>
      </w:r>
      <w:r>
        <w:rPr>
          <w:rFonts w:hint="eastAsia"/>
        </w:rPr>
        <w:t>（3）</w:t>
      </w:r>
    </w:p>
    <w:bookmarkEnd w:id="18"/>
    <w:p w14:paraId="6135D15D">
      <w:pPr>
        <w:pStyle w:val="233"/>
        <w:ind w:firstLine="400"/>
      </w:pPr>
      <w:r>
        <w:rPr>
          <w:rFonts w:hint="eastAsia"/>
        </w:rPr>
        <w:t>式中：</w:t>
      </w:r>
    </w:p>
    <w:p w14:paraId="68ADC5AF">
      <w:pPr>
        <w:ind w:firstLine="420"/>
      </w:pPr>
      <w:r>
        <w:object>
          <v:shape id="_x0000_i1026" o:spt="75" type="#_x0000_t75" style="height:17.75pt;width:20.05pt;" o:ole="t" filled="f" o:preferrelative="t" stroked="f" coordsize="21600,21600">
            <v:path/>
            <v:fill on="f" focussize="0,0"/>
            <v:stroke on="f" joinstyle="miter"/>
            <v:imagedata r:id="rId26" o:title=""/>
            <o:lock v:ext="edit" aspectratio="t"/>
            <w10:wrap type="none"/>
            <w10:anchorlock/>
          </v:shape>
          <o:OLEObject Type="Embed" ProgID="Equation.DSMT4" ShapeID="_x0000_i1026" DrawAspect="Content" ObjectID="_1468075726" r:id="rId25">
            <o:LockedField>false</o:LockedField>
          </o:OLEObject>
        </w:object>
      </w:r>
      <w:r>
        <w:rPr>
          <w:rFonts w:hint="eastAsia"/>
        </w:rPr>
        <w:t>——评估的交流电流密度，单位为</w:t>
      </w:r>
      <w:bookmarkStart w:id="48" w:name="_GoBack"/>
      <w:r>
        <w:rPr>
          <w:rFonts w:hint="eastAsia"/>
        </w:rPr>
        <w:t>安每平方米</w:t>
      </w:r>
      <w:bookmarkEnd w:id="48"/>
      <w:r>
        <w:rPr>
          <w:rFonts w:hint="eastAsia"/>
        </w:rPr>
        <w:t>（A/m2）；</w:t>
      </w:r>
    </w:p>
    <w:p w14:paraId="6D85AFCD">
      <w:pPr>
        <w:ind w:firstLine="420"/>
      </w:pPr>
      <w:r>
        <w:rPr>
          <w:rFonts w:hint="eastAsia"/>
        </w:rPr>
        <w:t>V——交流干扰电压有效值的平均值，单位为伏（V）；</w:t>
      </w:r>
    </w:p>
    <w:p w14:paraId="3CB63486">
      <w:pPr>
        <w:ind w:firstLine="420"/>
      </w:pPr>
      <w:r>
        <w:object>
          <v:shape id="_x0000_i1027" o:spt="75" type="#_x0000_t75" style="height:13.2pt;width:12.3pt;" o:ole="t" filled="f" o:preferrelative="t" stroked="f" coordsize="21600,21600">
            <v:path/>
            <v:fill on="f" focussize="0,0"/>
            <v:stroke on="f" joinstyle="miter"/>
            <v:imagedata r:id="rId28" o:title=""/>
            <o:lock v:ext="edit" aspectratio="t"/>
            <w10:wrap type="none"/>
            <w10:anchorlock/>
          </v:shape>
          <o:OLEObject Type="Embed" ProgID="Equation.DSMT4" ShapeID="_x0000_i1027" DrawAspect="Content" ObjectID="_1468075727" r:id="rId27">
            <o:LockedField>false</o:LockedField>
          </o:OLEObject>
        </w:object>
      </w:r>
      <w:r>
        <w:rPr>
          <w:rFonts w:hint="eastAsia"/>
        </w:rPr>
        <w:t>——土壤电阻率，单位为欧米（</w:t>
      </w:r>
      <m:oMath>
        <m:r>
          <m:rPr/>
          <w:rPr>
            <w:rFonts w:ascii="Cambria Math"/>
          </w:rPr>
          <m:t>Ω</m:t>
        </m:r>
        <m:r>
          <m:rPr>
            <m:sty m:val="p"/>
          </m:rPr>
          <w:rPr>
            <w:rFonts w:ascii="Cambria Math" w:hAnsi="Cambria Math"/>
          </w:rPr>
          <m:t>∙</m:t>
        </m:r>
        <m:r>
          <m:rPr/>
          <w:rPr>
            <w:rFonts w:ascii="Cambria Math"/>
          </w:rPr>
          <m:t>m</m:t>
        </m:r>
      </m:oMath>
      <w:r>
        <w:rPr>
          <w:rFonts w:hint="eastAsia"/>
        </w:rPr>
        <w:t>）；</w:t>
      </w:r>
    </w:p>
    <w:p w14:paraId="0E8FAE84">
      <w:pPr>
        <w:ind w:firstLine="420"/>
      </w:pPr>
      <w:r>
        <w:object>
          <v:shape id="_x0000_i1028" o:spt="75" type="#_x0000_t75" style="height:13.65pt;width:10.95pt;" o:ole="t" filled="f" o:preferrelative="t" stroked="f" coordsize="21600,21600">
            <v:path/>
            <v:fill on="f" focussize="0,0"/>
            <v:stroke on="f" joinstyle="miter"/>
            <v:imagedata r:id="rId30" o:title=""/>
            <o:lock v:ext="edit" aspectratio="t"/>
            <w10:wrap type="none"/>
            <w10:anchorlock/>
          </v:shape>
          <o:OLEObject Type="Embed" ProgID="Equation.DSMT4" ShapeID="_x0000_i1028" DrawAspect="Content" ObjectID="_1468075728" r:id="rId29">
            <o:LockedField>false</o:LockedField>
          </o:OLEObject>
        </w:object>
      </w:r>
      <w:r>
        <w:rPr>
          <w:rFonts w:hint="eastAsia"/>
        </w:rPr>
        <w:t>——破损点直径，单位为米（m）。</w:t>
      </w:r>
    </w:p>
    <w:p w14:paraId="58AEEB64">
      <w:pPr>
        <w:pStyle w:val="235"/>
        <w:numPr>
          <w:ilvl w:val="0"/>
          <w:numId w:val="37"/>
        </w:numPr>
      </w:pPr>
      <w:r>
        <w:rPr>
          <w:rFonts w:hint="eastAsia"/>
        </w:rPr>
        <w:t>（1）</w:t>
      </w:r>
      <w:r>
        <w:rPr>
          <w:position w:val="-10"/>
        </w:rPr>
        <w:object>
          <v:shape id="_x0000_i1029" o:spt="75" type="#_x0000_t75" style="height:13.2pt;width:12.3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31">
            <o:LockedField>false</o:LockedField>
          </o:OLEObject>
        </w:object>
      </w:r>
      <w:r>
        <w:rPr>
          <w:rFonts w:hint="eastAsia"/>
        </w:rPr>
        <w:t>值应取交流干扰电压测量时，测试点处于管道埋深相同的土壤电阻率实测值。</w:t>
      </w:r>
    </w:p>
    <w:p w14:paraId="4ED359AC">
      <w:pPr>
        <w:ind w:firstLine="420"/>
        <w:rPr>
          <w:rFonts w:ascii="宋体" w:hAnsi="Times New Roman"/>
          <w:kern w:val="0"/>
          <w:sz w:val="18"/>
          <w:szCs w:val="18"/>
        </w:rPr>
      </w:pPr>
      <w:r>
        <w:rPr>
          <w:rFonts w:hint="eastAsia" w:ascii="宋体" w:hAnsi="Times New Roman"/>
          <w:kern w:val="0"/>
          <w:sz w:val="18"/>
          <w:szCs w:val="18"/>
        </w:rPr>
        <w:t xml:space="preserve">   （2）</w:t>
      </w:r>
      <w:r>
        <w:rPr>
          <w:rFonts w:ascii="宋体" w:hAnsi="Times New Roman"/>
          <w:kern w:val="0"/>
          <w:sz w:val="18"/>
          <w:szCs w:val="18"/>
        </w:rPr>
        <w:object>
          <v:shape id="_x0000_i1030" o:spt="75" type="#_x0000_t75" style="height:13.65pt;width:10.95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32">
            <o:LockedField>false</o:LockedField>
          </o:OLEObject>
        </w:object>
      </w:r>
      <w:r>
        <w:rPr>
          <w:rFonts w:hint="eastAsia" w:ascii="宋体" w:hAnsi="Times New Roman"/>
          <w:kern w:val="0"/>
          <w:sz w:val="18"/>
          <w:szCs w:val="18"/>
        </w:rPr>
        <w:t>值按发生交流腐蚀最严重考虑，取0.0113。</w:t>
      </w:r>
    </w:p>
    <w:p w14:paraId="7FFB6DFB">
      <w:pPr>
        <w:pStyle w:val="107"/>
        <w:spacing w:before="156" w:after="156"/>
      </w:pPr>
      <w:r>
        <w:rPr>
          <w:rFonts w:hint="eastAsia"/>
        </w:rPr>
        <w:t>评价指标。当交流干扰程度判定为“强”时，应采取交流干扰防护措施；判定为“中”，</w:t>
      </w:r>
      <w:r>
        <w:t>当-1.15V</w:t>
      </w:r>
      <w:r>
        <w:rPr>
          <w:vertAlign w:val="subscript"/>
        </w:rPr>
        <w:t>CSE</w:t>
      </w:r>
      <w:r>
        <w:t>≤</w:t>
      </w:r>
      <w:r>
        <w:rPr>
          <w:rFonts w:hint="eastAsia"/>
          <w:lang w:val="zh-CN"/>
        </w:rPr>
        <w:t>无IR降</w:t>
      </w:r>
      <w:r>
        <w:t>管地电位≤-0.90V</w:t>
      </w:r>
      <w:r>
        <w:rPr>
          <w:vertAlign w:val="subscript"/>
        </w:rPr>
        <w:t>CSE</w:t>
      </w:r>
      <w:r>
        <w:t>或直流电流密度≤1A/m</w:t>
      </w:r>
      <w:r>
        <w:rPr>
          <w:vertAlign w:val="superscript"/>
        </w:rPr>
        <w:t>2</w:t>
      </w:r>
      <w:r>
        <w:t>，且</w:t>
      </w:r>
      <w:r>
        <w:rPr>
          <w:rFonts w:hint="eastAsia"/>
        </w:rPr>
        <w:t>无</w:t>
      </w:r>
      <w:r>
        <w:t>IR降管地电位≤-0.90V</w:t>
      </w:r>
      <w:r>
        <w:rPr>
          <w:vertAlign w:val="subscript"/>
        </w:rPr>
        <w:t>CSE</w:t>
      </w:r>
      <w:r>
        <w:t>时，可不采取防护措施，否则应</w:t>
      </w:r>
      <w:r>
        <w:rPr>
          <w:rFonts w:hint="eastAsia"/>
        </w:rPr>
        <w:t>采取交流干扰防护措施；判定为“弱”时，可不采取交流干扰防护措施。评价准则见表1。</w:t>
      </w:r>
    </w:p>
    <w:p w14:paraId="3494CF81">
      <w:pPr>
        <w:pStyle w:val="234"/>
        <w:numPr>
          <w:ilvl w:val="0"/>
          <w:numId w:val="0"/>
        </w:numPr>
        <w:spacing w:before="156" w:after="156"/>
      </w:pPr>
      <w:r>
        <w:rPr>
          <w:rFonts w:hint="eastAsia"/>
        </w:rPr>
        <w:t>表1 交流干扰程度的评价准则</w:t>
      </w:r>
    </w:p>
    <w:tbl>
      <w:tblPr>
        <w:tblStyle w:val="27"/>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1"/>
        <w:gridCol w:w="1944"/>
        <w:gridCol w:w="2287"/>
        <w:gridCol w:w="2292"/>
      </w:tblGrid>
      <w:tr w14:paraId="0E7F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2821" w:type="dxa"/>
            <w:tcBorders>
              <w:top w:val="single" w:color="auto" w:sz="8" w:space="0"/>
              <w:left w:val="single" w:color="auto" w:sz="8" w:space="0"/>
              <w:right w:val="single" w:color="auto" w:sz="8" w:space="0"/>
            </w:tcBorders>
            <w:vAlign w:val="center"/>
          </w:tcPr>
          <w:p w14:paraId="4FFFF44B">
            <w:pPr>
              <w:pStyle w:val="236"/>
              <w:spacing w:line="340" w:lineRule="exact"/>
            </w:pPr>
            <w:r>
              <w:rPr>
                <w:rFonts w:hint="eastAsia"/>
              </w:rPr>
              <w:tab/>
            </w:r>
            <w:r>
              <w:rPr>
                <w:rFonts w:hint="eastAsia"/>
              </w:rPr>
              <w:t>交流干扰程度</w:t>
            </w:r>
          </w:p>
        </w:tc>
        <w:tc>
          <w:tcPr>
            <w:tcW w:w="1944" w:type="dxa"/>
            <w:tcBorders>
              <w:top w:val="single" w:color="auto" w:sz="8" w:space="0"/>
              <w:left w:val="single" w:color="auto" w:sz="8" w:space="0"/>
            </w:tcBorders>
            <w:vAlign w:val="center"/>
          </w:tcPr>
          <w:p w14:paraId="294BC102">
            <w:pPr>
              <w:pStyle w:val="236"/>
              <w:spacing w:line="340" w:lineRule="exact"/>
            </w:pPr>
            <w:r>
              <w:rPr>
                <w:rFonts w:hint="eastAsia"/>
              </w:rPr>
              <w:t>弱</w:t>
            </w:r>
          </w:p>
        </w:tc>
        <w:tc>
          <w:tcPr>
            <w:tcW w:w="2287" w:type="dxa"/>
            <w:tcBorders>
              <w:top w:val="single" w:color="auto" w:sz="8" w:space="0"/>
            </w:tcBorders>
            <w:vAlign w:val="center"/>
          </w:tcPr>
          <w:p w14:paraId="5A382272">
            <w:pPr>
              <w:pStyle w:val="236"/>
              <w:spacing w:line="340" w:lineRule="exact"/>
            </w:pPr>
            <w:r>
              <w:rPr>
                <w:rFonts w:hint="eastAsia"/>
              </w:rPr>
              <w:t>中</w:t>
            </w:r>
          </w:p>
        </w:tc>
        <w:tc>
          <w:tcPr>
            <w:tcW w:w="2292" w:type="dxa"/>
            <w:tcBorders>
              <w:top w:val="single" w:color="auto" w:sz="8" w:space="0"/>
              <w:right w:val="single" w:color="auto" w:sz="8" w:space="0"/>
            </w:tcBorders>
            <w:vAlign w:val="center"/>
          </w:tcPr>
          <w:p w14:paraId="368E5C83">
            <w:pPr>
              <w:pStyle w:val="236"/>
              <w:spacing w:line="340" w:lineRule="exact"/>
            </w:pPr>
            <w:r>
              <w:rPr>
                <w:rFonts w:hint="eastAsia"/>
              </w:rPr>
              <w:t>强</w:t>
            </w:r>
          </w:p>
        </w:tc>
      </w:tr>
      <w:tr w14:paraId="2076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1" w:type="dxa"/>
            <w:tcBorders>
              <w:left w:val="single" w:color="auto" w:sz="8" w:space="0"/>
              <w:bottom w:val="single" w:color="auto" w:sz="8" w:space="0"/>
              <w:right w:val="single" w:color="auto" w:sz="8" w:space="0"/>
            </w:tcBorders>
            <w:vAlign w:val="center"/>
          </w:tcPr>
          <w:p w14:paraId="58D05BCF">
            <w:pPr>
              <w:pStyle w:val="236"/>
              <w:spacing w:line="340" w:lineRule="exact"/>
            </w:pPr>
            <w:r>
              <w:rPr>
                <w:rFonts w:hint="eastAsia"/>
              </w:rPr>
              <w:t>交流电流密度</w:t>
            </w:r>
          </w:p>
          <w:p w14:paraId="4C5EF5FB">
            <w:pPr>
              <w:pStyle w:val="236"/>
              <w:spacing w:line="340" w:lineRule="exact"/>
              <w:rPr>
                <w:rFonts w:ascii="宋体"/>
                <w:sz w:val="28"/>
              </w:rPr>
            </w:pPr>
            <w:r>
              <w:t>A/m</w:t>
            </w:r>
            <w:r>
              <w:rPr>
                <w:vertAlign w:val="superscript"/>
              </w:rPr>
              <w:t>2</w:t>
            </w:r>
          </w:p>
        </w:tc>
        <w:tc>
          <w:tcPr>
            <w:tcW w:w="1944" w:type="dxa"/>
            <w:tcBorders>
              <w:left w:val="single" w:color="auto" w:sz="8" w:space="0"/>
              <w:bottom w:val="single" w:color="auto" w:sz="8" w:space="0"/>
            </w:tcBorders>
            <w:vAlign w:val="center"/>
          </w:tcPr>
          <w:p w14:paraId="720F7998">
            <w:pPr>
              <w:pStyle w:val="236"/>
              <w:spacing w:line="340" w:lineRule="exact"/>
              <w:rPr>
                <w:rFonts w:ascii="宋体"/>
                <w:sz w:val="28"/>
              </w:rPr>
            </w:pPr>
            <w:r>
              <w:rPr>
                <w:rFonts w:hint="eastAsia"/>
              </w:rPr>
              <w:t>＜</w:t>
            </w:r>
            <w:r>
              <w:t>30</w:t>
            </w:r>
          </w:p>
        </w:tc>
        <w:tc>
          <w:tcPr>
            <w:tcW w:w="2287" w:type="dxa"/>
            <w:tcBorders>
              <w:bottom w:val="single" w:color="auto" w:sz="8" w:space="0"/>
            </w:tcBorders>
            <w:vAlign w:val="center"/>
          </w:tcPr>
          <w:p w14:paraId="56B8AD22">
            <w:pPr>
              <w:pStyle w:val="236"/>
              <w:spacing w:line="340" w:lineRule="exact"/>
              <w:rPr>
                <w:rFonts w:ascii="宋体"/>
                <w:sz w:val="28"/>
              </w:rPr>
            </w:pPr>
            <w:r>
              <w:rPr>
                <w:rFonts w:hint="eastAsia"/>
              </w:rPr>
              <w:t>≥</w:t>
            </w:r>
            <w:r>
              <w:t>30</w:t>
            </w:r>
            <w:r>
              <w:rPr>
                <w:rFonts w:hint="eastAsia"/>
              </w:rPr>
              <w:t>～</w:t>
            </w:r>
            <w:r>
              <w:t>100</w:t>
            </w:r>
          </w:p>
        </w:tc>
        <w:tc>
          <w:tcPr>
            <w:tcW w:w="2292" w:type="dxa"/>
            <w:tcBorders>
              <w:bottom w:val="single" w:color="auto" w:sz="8" w:space="0"/>
              <w:right w:val="single" w:color="auto" w:sz="8" w:space="0"/>
            </w:tcBorders>
            <w:vAlign w:val="center"/>
          </w:tcPr>
          <w:p w14:paraId="05D6E75E">
            <w:pPr>
              <w:pStyle w:val="236"/>
              <w:spacing w:line="340" w:lineRule="exact"/>
              <w:rPr>
                <w:rFonts w:ascii="宋体"/>
                <w:sz w:val="28"/>
              </w:rPr>
            </w:pPr>
            <w:r>
              <w:rPr>
                <w:rFonts w:hint="eastAsia"/>
              </w:rPr>
              <w:t>＞</w:t>
            </w:r>
            <w:r>
              <w:t>100</w:t>
            </w:r>
          </w:p>
        </w:tc>
      </w:tr>
    </w:tbl>
    <w:p w14:paraId="77FEE2F2">
      <w:pPr>
        <w:pStyle w:val="233"/>
        <w:ind w:firstLine="400"/>
      </w:pPr>
    </w:p>
    <w:p w14:paraId="08556816">
      <w:pPr>
        <w:pStyle w:val="107"/>
        <w:spacing w:before="156" w:after="156"/>
      </w:pPr>
      <w:r>
        <w:rPr>
          <w:rFonts w:hint="eastAsia"/>
        </w:rPr>
        <w:t>具体排流措施按DB34/T 2977的规定执行。</w:t>
      </w:r>
    </w:p>
    <w:p w14:paraId="4F86C55F">
      <w:pPr>
        <w:pStyle w:val="107"/>
        <w:spacing w:before="156" w:after="156"/>
      </w:pPr>
      <w:r>
        <w:rPr>
          <w:rFonts w:hint="eastAsia"/>
        </w:rPr>
        <w:t>排流防护效果应满足：在土壤电阻率不大于25</w:t>
      </w:r>
      <m:oMath>
        <m:r>
          <m:rPr/>
          <w:rPr>
            <w:rFonts w:ascii="Cambria Math"/>
          </w:rPr>
          <m:t>Ω</m:t>
        </m:r>
        <m:r>
          <m:rPr>
            <m:sty m:val="p"/>
          </m:rPr>
          <w:rPr>
            <w:rFonts w:ascii="Cambria Math" w:hAnsi="Cambria Math"/>
          </w:rPr>
          <m:t>∙</m:t>
        </m:r>
        <m:r>
          <m:rPr/>
          <w:rPr>
            <w:rFonts w:ascii="Cambria Math"/>
          </w:rPr>
          <m:t>m</m:t>
        </m:r>
      </m:oMath>
      <w:r>
        <w:rPr>
          <w:rFonts w:hint="eastAsia"/>
        </w:rPr>
        <w:t>的地方，管道交流干扰电压低于4V；在土壤电阻率大于25</w:t>
      </w:r>
      <m:oMath>
        <m:r>
          <m:rPr/>
          <w:rPr>
            <w:rFonts w:ascii="Cambria Math"/>
          </w:rPr>
          <m:t>Ω</m:t>
        </m:r>
        <m:r>
          <m:rPr>
            <m:sty m:val="p"/>
          </m:rPr>
          <w:rPr>
            <w:rFonts w:ascii="Cambria Math" w:hAnsi="Cambria Math"/>
          </w:rPr>
          <m:t>∙</m:t>
        </m:r>
        <m:r>
          <m:rPr/>
          <w:rPr>
            <w:rFonts w:ascii="Cambria Math"/>
          </w:rPr>
          <m:t>m</m:t>
        </m:r>
      </m:oMath>
      <w:r>
        <w:rPr>
          <w:rFonts w:hint="eastAsia"/>
        </w:rPr>
        <w:t>的地方，交流电流密度小于60A/m2。在安装阴极保护电源设备、电位远传设备及测试桩位置处，管道上的持续干扰电压和瞬时干扰电压应低于相应设备所能承受的抗工频干扰电压和抗电强度指标，并满足安全接触电压的要求。</w:t>
      </w:r>
    </w:p>
    <w:p w14:paraId="17548A52">
      <w:pPr>
        <w:ind w:firstLine="420"/>
      </w:pPr>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691A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DC4AD">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5C649">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4FB0A">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A4234">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6CD0">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2C44B">
    <w:pPr>
      <w:pStyle w:val="53"/>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B32B8">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D9C48">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A2885">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63A7">
    <w:pPr>
      <w:pStyle w:val="63"/>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CA321">
    <w:pPr>
      <w:pStyle w:val="64"/>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A5DCC">
    <w:pPr>
      <w:pStyle w:val="63"/>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89688">
    <w:pPr>
      <w:pStyle w:val="64"/>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B2A5F38"/>
    <w:multiLevelType w:val="multilevel"/>
    <w:tmpl w:val="1B2A5F38"/>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2827D5B"/>
    <w:multiLevelType w:val="multilevel"/>
    <w:tmpl w:val="22827D5B"/>
    <w:lvl w:ilvl="0" w:tentative="0">
      <w:start w:val="1"/>
      <w:numFmt w:val="none"/>
      <w:suff w:val="nothing"/>
      <w:lvlText w:val="%1注："/>
      <w:lvlJc w:val="left"/>
      <w:pPr>
        <w:ind w:left="726" w:hanging="363"/>
      </w:pPr>
      <w:rPr>
        <w:rFonts w:hint="eastAsia" w:ascii="黑体" w:hAnsi="Times New Roman" w:eastAsia="黑体"/>
        <w:b w:val="0"/>
        <w:i w:val="0"/>
        <w:sz w:val="18"/>
        <w:lang w:val="en-US"/>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6B81618"/>
    <w:multiLevelType w:val="multilevel"/>
    <w:tmpl w:val="56B81618"/>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3">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8">
    <w:nsid w:val="6A906A72"/>
    <w:multiLevelType w:val="multilevel"/>
    <w:tmpl w:val="6A906A72"/>
    <w:lvl w:ilvl="0" w:tentative="0">
      <w:start w:val="1"/>
      <w:numFmt w:val="lowerLetter"/>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9">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7A5A1CF2"/>
    <w:multiLevelType w:val="multilevel"/>
    <w:tmpl w:val="7A5A1CF2"/>
    <w:lvl w:ilvl="0" w:tentative="0">
      <w:start w:val="1"/>
      <w:numFmt w:val="decimal"/>
      <w:pStyle w:val="235"/>
      <w:lvlText w:val="%1."/>
      <w:lvlJc w:val="left"/>
      <w:pPr>
        <w:tabs>
          <w:tab w:val="left" w:pos="720"/>
        </w:tabs>
        <w:ind w:left="720" w:hanging="720"/>
      </w:pPr>
    </w:lvl>
    <w:lvl w:ilvl="1" w:tentative="0">
      <w:start w:val="1"/>
      <w:numFmt w:val="decimal"/>
      <w:pStyle w:val="234"/>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31"/>
  </w:num>
  <w:num w:numId="3">
    <w:abstractNumId w:val="5"/>
  </w:num>
  <w:num w:numId="4">
    <w:abstractNumId w:val="26"/>
  </w:num>
  <w:num w:numId="5">
    <w:abstractNumId w:val="20"/>
  </w:num>
  <w:num w:numId="6">
    <w:abstractNumId w:val="15"/>
  </w:num>
  <w:num w:numId="7">
    <w:abstractNumId w:val="8"/>
  </w:num>
  <w:num w:numId="8">
    <w:abstractNumId w:val="3"/>
  </w:num>
  <w:num w:numId="9">
    <w:abstractNumId w:val="10"/>
  </w:num>
  <w:num w:numId="10">
    <w:abstractNumId w:val="18"/>
  </w:num>
  <w:num w:numId="11">
    <w:abstractNumId w:val="29"/>
  </w:num>
  <w:num w:numId="12">
    <w:abstractNumId w:val="13"/>
  </w:num>
  <w:num w:numId="13">
    <w:abstractNumId w:val="14"/>
  </w:num>
  <w:num w:numId="14">
    <w:abstractNumId w:val="7"/>
  </w:num>
  <w:num w:numId="15">
    <w:abstractNumId w:val="21"/>
  </w:num>
  <w:num w:numId="16">
    <w:abstractNumId w:val="24"/>
  </w:num>
  <w:num w:numId="17">
    <w:abstractNumId w:val="19"/>
  </w:num>
  <w:num w:numId="18">
    <w:abstractNumId w:val="33"/>
  </w:num>
  <w:num w:numId="19">
    <w:abstractNumId w:val="17"/>
  </w:num>
  <w:num w:numId="20">
    <w:abstractNumId w:val="1"/>
  </w:num>
  <w:num w:numId="21">
    <w:abstractNumId w:val="12"/>
  </w:num>
  <w:num w:numId="22">
    <w:abstractNumId w:val="34"/>
  </w:num>
  <w:num w:numId="23">
    <w:abstractNumId w:val="23"/>
  </w:num>
  <w:num w:numId="24">
    <w:abstractNumId w:val="6"/>
  </w:num>
  <w:num w:numId="25">
    <w:abstractNumId w:val="30"/>
  </w:num>
  <w:num w:numId="26">
    <w:abstractNumId w:val="32"/>
  </w:num>
  <w:num w:numId="27">
    <w:abstractNumId w:val="2"/>
  </w:num>
  <w:num w:numId="28">
    <w:abstractNumId w:val="4"/>
  </w:num>
  <w:num w:numId="29">
    <w:abstractNumId w:val="16"/>
  </w:num>
  <w:num w:numId="30">
    <w:abstractNumId w:val="27"/>
  </w:num>
  <w:num w:numId="31">
    <w:abstractNumId w:val="25"/>
  </w:num>
  <w:num w:numId="32">
    <w:abstractNumId w:val="35"/>
  </w:num>
  <w:num w:numId="33">
    <w:abstractNumId w:val="9"/>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2"/>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1NTc5OWQ5ZWJmZDhkZjgwZGMwYjBjYTIyZmYyNDUifQ=="/>
  </w:docVars>
  <w:rsids>
    <w:rsidRoot w:val="00D31AFB"/>
    <w:rsid w:val="00000235"/>
    <w:rsid w:val="0000040A"/>
    <w:rsid w:val="00000A94"/>
    <w:rsid w:val="00001972"/>
    <w:rsid w:val="00001D4F"/>
    <w:rsid w:val="00001D9A"/>
    <w:rsid w:val="000021C8"/>
    <w:rsid w:val="00007B3A"/>
    <w:rsid w:val="000107E0"/>
    <w:rsid w:val="00011FDE"/>
    <w:rsid w:val="00012FFD"/>
    <w:rsid w:val="00014162"/>
    <w:rsid w:val="00014340"/>
    <w:rsid w:val="00016A9C"/>
    <w:rsid w:val="00016ABB"/>
    <w:rsid w:val="00022184"/>
    <w:rsid w:val="00022762"/>
    <w:rsid w:val="000238E0"/>
    <w:rsid w:val="000249DB"/>
    <w:rsid w:val="0002595E"/>
    <w:rsid w:val="00026D4E"/>
    <w:rsid w:val="00027F69"/>
    <w:rsid w:val="000303C3"/>
    <w:rsid w:val="000331D3"/>
    <w:rsid w:val="000346A5"/>
    <w:rsid w:val="000359C3"/>
    <w:rsid w:val="00035A7D"/>
    <w:rsid w:val="00036176"/>
    <w:rsid w:val="000365ED"/>
    <w:rsid w:val="0004249A"/>
    <w:rsid w:val="00042EE2"/>
    <w:rsid w:val="00043282"/>
    <w:rsid w:val="00044286"/>
    <w:rsid w:val="00044FB6"/>
    <w:rsid w:val="000474D7"/>
    <w:rsid w:val="00047F28"/>
    <w:rsid w:val="000503AA"/>
    <w:rsid w:val="000506A1"/>
    <w:rsid w:val="0005132B"/>
    <w:rsid w:val="000515DD"/>
    <w:rsid w:val="0005265A"/>
    <w:rsid w:val="00053502"/>
    <w:rsid w:val="00053783"/>
    <w:rsid w:val="000539DD"/>
    <w:rsid w:val="00053A79"/>
    <w:rsid w:val="00053BD3"/>
    <w:rsid w:val="00054C5F"/>
    <w:rsid w:val="000556ED"/>
    <w:rsid w:val="00055FE2"/>
    <w:rsid w:val="0005616F"/>
    <w:rsid w:val="00060C2E"/>
    <w:rsid w:val="00061033"/>
    <w:rsid w:val="000615FD"/>
    <w:rsid w:val="000619E9"/>
    <w:rsid w:val="000622D4"/>
    <w:rsid w:val="0006357D"/>
    <w:rsid w:val="00066B82"/>
    <w:rsid w:val="00066E74"/>
    <w:rsid w:val="00067F1E"/>
    <w:rsid w:val="000706A9"/>
    <w:rsid w:val="00071CC0"/>
    <w:rsid w:val="000725A3"/>
    <w:rsid w:val="00073B53"/>
    <w:rsid w:val="00073C8C"/>
    <w:rsid w:val="00073EAD"/>
    <w:rsid w:val="00074D90"/>
    <w:rsid w:val="00074E49"/>
    <w:rsid w:val="00076681"/>
    <w:rsid w:val="00077B64"/>
    <w:rsid w:val="00080A1C"/>
    <w:rsid w:val="00082317"/>
    <w:rsid w:val="00083D2C"/>
    <w:rsid w:val="00084594"/>
    <w:rsid w:val="00086AA1"/>
    <w:rsid w:val="00087A77"/>
    <w:rsid w:val="00090CA6"/>
    <w:rsid w:val="00091FB7"/>
    <w:rsid w:val="00092B8A"/>
    <w:rsid w:val="00092FB0"/>
    <w:rsid w:val="000934C5"/>
    <w:rsid w:val="00093D25"/>
    <w:rsid w:val="00093DAB"/>
    <w:rsid w:val="00094D73"/>
    <w:rsid w:val="00096D63"/>
    <w:rsid w:val="000A0B60"/>
    <w:rsid w:val="000A0EB8"/>
    <w:rsid w:val="000A19FC"/>
    <w:rsid w:val="000A296B"/>
    <w:rsid w:val="000A5425"/>
    <w:rsid w:val="000A571D"/>
    <w:rsid w:val="000A7311"/>
    <w:rsid w:val="000A7359"/>
    <w:rsid w:val="000B060F"/>
    <w:rsid w:val="000B1592"/>
    <w:rsid w:val="000B1FF2"/>
    <w:rsid w:val="000B3CDA"/>
    <w:rsid w:val="000B40BD"/>
    <w:rsid w:val="000B6A0B"/>
    <w:rsid w:val="000C01FF"/>
    <w:rsid w:val="000C0F6C"/>
    <w:rsid w:val="000C11DB"/>
    <w:rsid w:val="000C1492"/>
    <w:rsid w:val="000C15F7"/>
    <w:rsid w:val="000C2FBD"/>
    <w:rsid w:val="000C4B41"/>
    <w:rsid w:val="000C57D6"/>
    <w:rsid w:val="000C6362"/>
    <w:rsid w:val="000C7666"/>
    <w:rsid w:val="000D0A9C"/>
    <w:rsid w:val="000D1795"/>
    <w:rsid w:val="000D329A"/>
    <w:rsid w:val="000D3359"/>
    <w:rsid w:val="000D4B9C"/>
    <w:rsid w:val="000D4EB6"/>
    <w:rsid w:val="000D7302"/>
    <w:rsid w:val="000D753B"/>
    <w:rsid w:val="000E0605"/>
    <w:rsid w:val="000E216B"/>
    <w:rsid w:val="000E4C9E"/>
    <w:rsid w:val="000E5B91"/>
    <w:rsid w:val="000E5EDF"/>
    <w:rsid w:val="000E6FD7"/>
    <w:rsid w:val="000E7AF9"/>
    <w:rsid w:val="000F06E1"/>
    <w:rsid w:val="000F0E3C"/>
    <w:rsid w:val="000F19D5"/>
    <w:rsid w:val="000F4AEA"/>
    <w:rsid w:val="000F633F"/>
    <w:rsid w:val="000F67E9"/>
    <w:rsid w:val="001008C5"/>
    <w:rsid w:val="001016F6"/>
    <w:rsid w:val="00104926"/>
    <w:rsid w:val="00113B1E"/>
    <w:rsid w:val="0011488B"/>
    <w:rsid w:val="0011711C"/>
    <w:rsid w:val="00117D7C"/>
    <w:rsid w:val="0012059C"/>
    <w:rsid w:val="00121AE2"/>
    <w:rsid w:val="00123529"/>
    <w:rsid w:val="00124E4F"/>
    <w:rsid w:val="001250C6"/>
    <w:rsid w:val="001260B7"/>
    <w:rsid w:val="001265CB"/>
    <w:rsid w:val="001301CE"/>
    <w:rsid w:val="001321C6"/>
    <w:rsid w:val="001325C4"/>
    <w:rsid w:val="00133010"/>
    <w:rsid w:val="001338EE"/>
    <w:rsid w:val="00133AAE"/>
    <w:rsid w:val="00135323"/>
    <w:rsid w:val="001356C4"/>
    <w:rsid w:val="00141114"/>
    <w:rsid w:val="00142969"/>
    <w:rsid w:val="001446C2"/>
    <w:rsid w:val="001457E7"/>
    <w:rsid w:val="00145D9D"/>
    <w:rsid w:val="00146388"/>
    <w:rsid w:val="00150C57"/>
    <w:rsid w:val="00151614"/>
    <w:rsid w:val="001529E5"/>
    <w:rsid w:val="00153C7E"/>
    <w:rsid w:val="0015535D"/>
    <w:rsid w:val="00156B25"/>
    <w:rsid w:val="00156E1A"/>
    <w:rsid w:val="00157894"/>
    <w:rsid w:val="00157B55"/>
    <w:rsid w:val="001642FA"/>
    <w:rsid w:val="001649EB"/>
    <w:rsid w:val="00164BAF"/>
    <w:rsid w:val="00164FA8"/>
    <w:rsid w:val="00165065"/>
    <w:rsid w:val="00165434"/>
    <w:rsid w:val="0016580B"/>
    <w:rsid w:val="00165F49"/>
    <w:rsid w:val="001661CC"/>
    <w:rsid w:val="00166B88"/>
    <w:rsid w:val="0016770A"/>
    <w:rsid w:val="00170804"/>
    <w:rsid w:val="001708E9"/>
    <w:rsid w:val="0017340B"/>
    <w:rsid w:val="00173FB1"/>
    <w:rsid w:val="001757F0"/>
    <w:rsid w:val="00176DFD"/>
    <w:rsid w:val="001836CF"/>
    <w:rsid w:val="001852C9"/>
    <w:rsid w:val="00190087"/>
    <w:rsid w:val="00190E7E"/>
    <w:rsid w:val="001913C4"/>
    <w:rsid w:val="0019348F"/>
    <w:rsid w:val="00193A07"/>
    <w:rsid w:val="00194C95"/>
    <w:rsid w:val="00195C34"/>
    <w:rsid w:val="00196EF5"/>
    <w:rsid w:val="001A1A53"/>
    <w:rsid w:val="001A234A"/>
    <w:rsid w:val="001A2C6F"/>
    <w:rsid w:val="001A4CF3"/>
    <w:rsid w:val="001A4EED"/>
    <w:rsid w:val="001B06E8"/>
    <w:rsid w:val="001B4D30"/>
    <w:rsid w:val="001B71D0"/>
    <w:rsid w:val="001B71EE"/>
    <w:rsid w:val="001C04A8"/>
    <w:rsid w:val="001C0BEE"/>
    <w:rsid w:val="001C2C03"/>
    <w:rsid w:val="001C2EF2"/>
    <w:rsid w:val="001C3BC9"/>
    <w:rsid w:val="001C42F7"/>
    <w:rsid w:val="001C441C"/>
    <w:rsid w:val="001C49E5"/>
    <w:rsid w:val="001C5A52"/>
    <w:rsid w:val="001C680C"/>
    <w:rsid w:val="001C7FEA"/>
    <w:rsid w:val="001D0499"/>
    <w:rsid w:val="001D0BBE"/>
    <w:rsid w:val="001D0ED4"/>
    <w:rsid w:val="001D212F"/>
    <w:rsid w:val="001D29D7"/>
    <w:rsid w:val="001D2DE7"/>
    <w:rsid w:val="001D3AD4"/>
    <w:rsid w:val="001D3BF5"/>
    <w:rsid w:val="001D411C"/>
    <w:rsid w:val="001D5B3B"/>
    <w:rsid w:val="001E1B6A"/>
    <w:rsid w:val="001E2484"/>
    <w:rsid w:val="001E355C"/>
    <w:rsid w:val="001E3CC4"/>
    <w:rsid w:val="001E4882"/>
    <w:rsid w:val="001E73AB"/>
    <w:rsid w:val="001F092D"/>
    <w:rsid w:val="001F143A"/>
    <w:rsid w:val="001F1605"/>
    <w:rsid w:val="001F2508"/>
    <w:rsid w:val="001F4816"/>
    <w:rsid w:val="001F4EE4"/>
    <w:rsid w:val="001F4EE9"/>
    <w:rsid w:val="001F69B4"/>
    <w:rsid w:val="001F77C7"/>
    <w:rsid w:val="00200183"/>
    <w:rsid w:val="00200333"/>
    <w:rsid w:val="0020107D"/>
    <w:rsid w:val="00202AA4"/>
    <w:rsid w:val="002031F7"/>
    <w:rsid w:val="002040E6"/>
    <w:rsid w:val="002044B4"/>
    <w:rsid w:val="0020527B"/>
    <w:rsid w:val="00205F2C"/>
    <w:rsid w:val="0020763F"/>
    <w:rsid w:val="00210A44"/>
    <w:rsid w:val="00210B15"/>
    <w:rsid w:val="002131D5"/>
    <w:rsid w:val="002142EA"/>
    <w:rsid w:val="002204BB"/>
    <w:rsid w:val="00220F8E"/>
    <w:rsid w:val="00221B79"/>
    <w:rsid w:val="00221C6B"/>
    <w:rsid w:val="002231B7"/>
    <w:rsid w:val="00223C58"/>
    <w:rsid w:val="002253A1"/>
    <w:rsid w:val="00225CF8"/>
    <w:rsid w:val="0022794E"/>
    <w:rsid w:val="002325C1"/>
    <w:rsid w:val="00233D64"/>
    <w:rsid w:val="0023482A"/>
    <w:rsid w:val="002359CB"/>
    <w:rsid w:val="00243540"/>
    <w:rsid w:val="0024497B"/>
    <w:rsid w:val="0024515B"/>
    <w:rsid w:val="00246021"/>
    <w:rsid w:val="0024666E"/>
    <w:rsid w:val="00247F52"/>
    <w:rsid w:val="00250B25"/>
    <w:rsid w:val="00250BBE"/>
    <w:rsid w:val="0025136F"/>
    <w:rsid w:val="002515C2"/>
    <w:rsid w:val="0025194F"/>
    <w:rsid w:val="002540CC"/>
    <w:rsid w:val="0026148A"/>
    <w:rsid w:val="00262696"/>
    <w:rsid w:val="00263D25"/>
    <w:rsid w:val="002643C3"/>
    <w:rsid w:val="00264520"/>
    <w:rsid w:val="00264A0C"/>
    <w:rsid w:val="00266CA1"/>
    <w:rsid w:val="00266EEB"/>
    <w:rsid w:val="00267EF4"/>
    <w:rsid w:val="00270CB8"/>
    <w:rsid w:val="00272B08"/>
    <w:rsid w:val="002760A3"/>
    <w:rsid w:val="002771AC"/>
    <w:rsid w:val="00281BB8"/>
    <w:rsid w:val="00281E9E"/>
    <w:rsid w:val="00282405"/>
    <w:rsid w:val="00282EAB"/>
    <w:rsid w:val="00285170"/>
    <w:rsid w:val="00285361"/>
    <w:rsid w:val="00292D60"/>
    <w:rsid w:val="00293B30"/>
    <w:rsid w:val="00294D34"/>
    <w:rsid w:val="00294E3B"/>
    <w:rsid w:val="00296095"/>
    <w:rsid w:val="00296193"/>
    <w:rsid w:val="00296C66"/>
    <w:rsid w:val="00296EBE"/>
    <w:rsid w:val="002974E3"/>
    <w:rsid w:val="002A084B"/>
    <w:rsid w:val="002A1260"/>
    <w:rsid w:val="002A1589"/>
    <w:rsid w:val="002A1608"/>
    <w:rsid w:val="002A25DC"/>
    <w:rsid w:val="002A3363"/>
    <w:rsid w:val="002A3AAB"/>
    <w:rsid w:val="002A4CEA"/>
    <w:rsid w:val="002A5977"/>
    <w:rsid w:val="002A5A13"/>
    <w:rsid w:val="002A757F"/>
    <w:rsid w:val="002A7F44"/>
    <w:rsid w:val="002B08A1"/>
    <w:rsid w:val="002B0C40"/>
    <w:rsid w:val="002B1966"/>
    <w:rsid w:val="002B24B7"/>
    <w:rsid w:val="002B4508"/>
    <w:rsid w:val="002B5779"/>
    <w:rsid w:val="002B7332"/>
    <w:rsid w:val="002B73E1"/>
    <w:rsid w:val="002B7F51"/>
    <w:rsid w:val="002C09E7"/>
    <w:rsid w:val="002C1E06"/>
    <w:rsid w:val="002C1E1C"/>
    <w:rsid w:val="002C3F07"/>
    <w:rsid w:val="002C4D80"/>
    <w:rsid w:val="002C5278"/>
    <w:rsid w:val="002C7EBB"/>
    <w:rsid w:val="002D06C1"/>
    <w:rsid w:val="002D1E18"/>
    <w:rsid w:val="002D42B5"/>
    <w:rsid w:val="002D4F1A"/>
    <w:rsid w:val="002D63F0"/>
    <w:rsid w:val="002D6EC6"/>
    <w:rsid w:val="002D79AC"/>
    <w:rsid w:val="002E039D"/>
    <w:rsid w:val="002E1BDE"/>
    <w:rsid w:val="002E4D5A"/>
    <w:rsid w:val="002E4F3B"/>
    <w:rsid w:val="002E6326"/>
    <w:rsid w:val="002F119F"/>
    <w:rsid w:val="002F30E0"/>
    <w:rsid w:val="002F35E4"/>
    <w:rsid w:val="002F3730"/>
    <w:rsid w:val="002F38E1"/>
    <w:rsid w:val="002F7AF6"/>
    <w:rsid w:val="00300E63"/>
    <w:rsid w:val="00302F5F"/>
    <w:rsid w:val="0030441D"/>
    <w:rsid w:val="003049E5"/>
    <w:rsid w:val="0030540E"/>
    <w:rsid w:val="00305ECA"/>
    <w:rsid w:val="00306063"/>
    <w:rsid w:val="00313B85"/>
    <w:rsid w:val="003167A7"/>
    <w:rsid w:val="00317988"/>
    <w:rsid w:val="003221B4"/>
    <w:rsid w:val="003222FF"/>
    <w:rsid w:val="0032258D"/>
    <w:rsid w:val="00322E62"/>
    <w:rsid w:val="00324D13"/>
    <w:rsid w:val="00324D2A"/>
    <w:rsid w:val="00324EDD"/>
    <w:rsid w:val="003331E4"/>
    <w:rsid w:val="00336C64"/>
    <w:rsid w:val="00337162"/>
    <w:rsid w:val="0034194F"/>
    <w:rsid w:val="00344605"/>
    <w:rsid w:val="003459D6"/>
    <w:rsid w:val="003474AA"/>
    <w:rsid w:val="00350D1D"/>
    <w:rsid w:val="00352C83"/>
    <w:rsid w:val="00354262"/>
    <w:rsid w:val="003547F2"/>
    <w:rsid w:val="00354EFF"/>
    <w:rsid w:val="00360AA1"/>
    <w:rsid w:val="003615D2"/>
    <w:rsid w:val="0036429C"/>
    <w:rsid w:val="00364A53"/>
    <w:rsid w:val="003654CB"/>
    <w:rsid w:val="00365AA9"/>
    <w:rsid w:val="00365B1A"/>
    <w:rsid w:val="00365F86"/>
    <w:rsid w:val="00365F87"/>
    <w:rsid w:val="00366E89"/>
    <w:rsid w:val="003705F4"/>
    <w:rsid w:val="00370D58"/>
    <w:rsid w:val="00371316"/>
    <w:rsid w:val="00375D69"/>
    <w:rsid w:val="00376713"/>
    <w:rsid w:val="003778F0"/>
    <w:rsid w:val="00381815"/>
    <w:rsid w:val="003819AF"/>
    <w:rsid w:val="003820E9"/>
    <w:rsid w:val="00382DE7"/>
    <w:rsid w:val="00383844"/>
    <w:rsid w:val="00384FFC"/>
    <w:rsid w:val="003872FC"/>
    <w:rsid w:val="003876E9"/>
    <w:rsid w:val="00387ADC"/>
    <w:rsid w:val="00390020"/>
    <w:rsid w:val="003903D6"/>
    <w:rsid w:val="00390EE6"/>
    <w:rsid w:val="0039118F"/>
    <w:rsid w:val="00391253"/>
    <w:rsid w:val="00392AD7"/>
    <w:rsid w:val="003938D9"/>
    <w:rsid w:val="00394376"/>
    <w:rsid w:val="003943FF"/>
    <w:rsid w:val="00395700"/>
    <w:rsid w:val="00395D8F"/>
    <w:rsid w:val="00396F71"/>
    <w:rsid w:val="00397030"/>
    <w:rsid w:val="003974EB"/>
    <w:rsid w:val="00397CC5"/>
    <w:rsid w:val="003A03AB"/>
    <w:rsid w:val="003A0A75"/>
    <w:rsid w:val="003A1582"/>
    <w:rsid w:val="003A2B87"/>
    <w:rsid w:val="003A3248"/>
    <w:rsid w:val="003A4077"/>
    <w:rsid w:val="003B09AD"/>
    <w:rsid w:val="003B0B92"/>
    <w:rsid w:val="003B1F18"/>
    <w:rsid w:val="003B5BF0"/>
    <w:rsid w:val="003B60BF"/>
    <w:rsid w:val="003B6BE3"/>
    <w:rsid w:val="003C010C"/>
    <w:rsid w:val="003C0A6C"/>
    <w:rsid w:val="003C14F8"/>
    <w:rsid w:val="003C5A43"/>
    <w:rsid w:val="003D0519"/>
    <w:rsid w:val="003D0BF4"/>
    <w:rsid w:val="003D0FF6"/>
    <w:rsid w:val="003D15AC"/>
    <w:rsid w:val="003D262C"/>
    <w:rsid w:val="003D5C4B"/>
    <w:rsid w:val="003D6D61"/>
    <w:rsid w:val="003D79C6"/>
    <w:rsid w:val="003E091D"/>
    <w:rsid w:val="003E1C53"/>
    <w:rsid w:val="003E2A69"/>
    <w:rsid w:val="003E2D49"/>
    <w:rsid w:val="003E2FD4"/>
    <w:rsid w:val="003E49F6"/>
    <w:rsid w:val="003E660F"/>
    <w:rsid w:val="003F0841"/>
    <w:rsid w:val="003F23D3"/>
    <w:rsid w:val="003F3F08"/>
    <w:rsid w:val="003F49F1"/>
    <w:rsid w:val="003F5C10"/>
    <w:rsid w:val="003F6272"/>
    <w:rsid w:val="003F688A"/>
    <w:rsid w:val="00400E72"/>
    <w:rsid w:val="00401400"/>
    <w:rsid w:val="00401A4C"/>
    <w:rsid w:val="00404869"/>
    <w:rsid w:val="00405884"/>
    <w:rsid w:val="00407A6C"/>
    <w:rsid w:val="00407AD1"/>
    <w:rsid w:val="00407D39"/>
    <w:rsid w:val="00410256"/>
    <w:rsid w:val="0041477A"/>
    <w:rsid w:val="00414CE1"/>
    <w:rsid w:val="004167A3"/>
    <w:rsid w:val="00416EEE"/>
    <w:rsid w:val="00432A10"/>
    <w:rsid w:val="00432DAA"/>
    <w:rsid w:val="00434305"/>
    <w:rsid w:val="00435DF7"/>
    <w:rsid w:val="0044083F"/>
    <w:rsid w:val="00441AE7"/>
    <w:rsid w:val="0044450B"/>
    <w:rsid w:val="00445574"/>
    <w:rsid w:val="004467FB"/>
    <w:rsid w:val="004511B3"/>
    <w:rsid w:val="00452D6B"/>
    <w:rsid w:val="00454484"/>
    <w:rsid w:val="0045517B"/>
    <w:rsid w:val="004621DF"/>
    <w:rsid w:val="00462B32"/>
    <w:rsid w:val="00463B77"/>
    <w:rsid w:val="00463C7B"/>
    <w:rsid w:val="004644A6"/>
    <w:rsid w:val="004659BD"/>
    <w:rsid w:val="00467CEA"/>
    <w:rsid w:val="00470775"/>
    <w:rsid w:val="00473CC5"/>
    <w:rsid w:val="004746B1"/>
    <w:rsid w:val="0047583F"/>
    <w:rsid w:val="00475DE8"/>
    <w:rsid w:val="00481C44"/>
    <w:rsid w:val="0048456B"/>
    <w:rsid w:val="00484936"/>
    <w:rsid w:val="00485C89"/>
    <w:rsid w:val="00486A01"/>
    <w:rsid w:val="00486BE3"/>
    <w:rsid w:val="004905E4"/>
    <w:rsid w:val="00490A89"/>
    <w:rsid w:val="00490AB4"/>
    <w:rsid w:val="00492F02"/>
    <w:rsid w:val="004939AE"/>
    <w:rsid w:val="00495AE5"/>
    <w:rsid w:val="00495FCC"/>
    <w:rsid w:val="0049721D"/>
    <w:rsid w:val="004A01D3"/>
    <w:rsid w:val="004A12DF"/>
    <w:rsid w:val="004A17E6"/>
    <w:rsid w:val="004A1BA8"/>
    <w:rsid w:val="004A4121"/>
    <w:rsid w:val="004A4B57"/>
    <w:rsid w:val="004A4D34"/>
    <w:rsid w:val="004A63FA"/>
    <w:rsid w:val="004B0272"/>
    <w:rsid w:val="004B2701"/>
    <w:rsid w:val="004B2E1B"/>
    <w:rsid w:val="004B39E3"/>
    <w:rsid w:val="004B3AA8"/>
    <w:rsid w:val="004B3E93"/>
    <w:rsid w:val="004C1FBC"/>
    <w:rsid w:val="004C3F1D"/>
    <w:rsid w:val="004C458D"/>
    <w:rsid w:val="004C7556"/>
    <w:rsid w:val="004C7E8B"/>
    <w:rsid w:val="004C7E9D"/>
    <w:rsid w:val="004C7F67"/>
    <w:rsid w:val="004D076D"/>
    <w:rsid w:val="004D0EF1"/>
    <w:rsid w:val="004D2253"/>
    <w:rsid w:val="004D2AD0"/>
    <w:rsid w:val="004D3408"/>
    <w:rsid w:val="004D4406"/>
    <w:rsid w:val="004D5EFC"/>
    <w:rsid w:val="004D7C42"/>
    <w:rsid w:val="004E0465"/>
    <w:rsid w:val="004E127B"/>
    <w:rsid w:val="004E1C0A"/>
    <w:rsid w:val="004E2B06"/>
    <w:rsid w:val="004E30C5"/>
    <w:rsid w:val="004E38A9"/>
    <w:rsid w:val="004E4AA5"/>
    <w:rsid w:val="004E4AEE"/>
    <w:rsid w:val="004E59E3"/>
    <w:rsid w:val="004E67C0"/>
    <w:rsid w:val="004F0B73"/>
    <w:rsid w:val="004F391A"/>
    <w:rsid w:val="004F3CFB"/>
    <w:rsid w:val="004F6456"/>
    <w:rsid w:val="004F696E"/>
    <w:rsid w:val="004F6C71"/>
    <w:rsid w:val="00501139"/>
    <w:rsid w:val="0050363E"/>
    <w:rsid w:val="005039BC"/>
    <w:rsid w:val="005043BB"/>
    <w:rsid w:val="00504A3D"/>
    <w:rsid w:val="00505767"/>
    <w:rsid w:val="005073F0"/>
    <w:rsid w:val="00510A7B"/>
    <w:rsid w:val="00510CDE"/>
    <w:rsid w:val="00512F6E"/>
    <w:rsid w:val="00513038"/>
    <w:rsid w:val="0051307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17F"/>
    <w:rsid w:val="00541853"/>
    <w:rsid w:val="00543BDA"/>
    <w:rsid w:val="005441CC"/>
    <w:rsid w:val="00544501"/>
    <w:rsid w:val="00545E71"/>
    <w:rsid w:val="005479DA"/>
    <w:rsid w:val="00547BCC"/>
    <w:rsid w:val="0055013B"/>
    <w:rsid w:val="00551F6F"/>
    <w:rsid w:val="00555044"/>
    <w:rsid w:val="005553F1"/>
    <w:rsid w:val="00557EC5"/>
    <w:rsid w:val="00561475"/>
    <w:rsid w:val="0056487B"/>
    <w:rsid w:val="00564FB9"/>
    <w:rsid w:val="0056572D"/>
    <w:rsid w:val="00567C33"/>
    <w:rsid w:val="00573D9E"/>
    <w:rsid w:val="005801E3"/>
    <w:rsid w:val="005807B4"/>
    <w:rsid w:val="005810D4"/>
    <w:rsid w:val="00581802"/>
    <w:rsid w:val="005836A8"/>
    <w:rsid w:val="0058409C"/>
    <w:rsid w:val="00584262"/>
    <w:rsid w:val="00586630"/>
    <w:rsid w:val="00587ADD"/>
    <w:rsid w:val="00587F52"/>
    <w:rsid w:val="00591E27"/>
    <w:rsid w:val="00593499"/>
    <w:rsid w:val="005955FE"/>
    <w:rsid w:val="00596160"/>
    <w:rsid w:val="005966E2"/>
    <w:rsid w:val="00597007"/>
    <w:rsid w:val="005A0966"/>
    <w:rsid w:val="005A11B7"/>
    <w:rsid w:val="005A260B"/>
    <w:rsid w:val="005A4A1B"/>
    <w:rsid w:val="005A7630"/>
    <w:rsid w:val="005A7830"/>
    <w:rsid w:val="005A7FCE"/>
    <w:rsid w:val="005B0F3F"/>
    <w:rsid w:val="005B29AD"/>
    <w:rsid w:val="005B4903"/>
    <w:rsid w:val="005B51CE"/>
    <w:rsid w:val="005B5885"/>
    <w:rsid w:val="005B5CD7"/>
    <w:rsid w:val="005B6CF6"/>
    <w:rsid w:val="005B72F2"/>
    <w:rsid w:val="005B7422"/>
    <w:rsid w:val="005C26E3"/>
    <w:rsid w:val="005C29B8"/>
    <w:rsid w:val="005C5F21"/>
    <w:rsid w:val="005C7156"/>
    <w:rsid w:val="005D0C75"/>
    <w:rsid w:val="005D4171"/>
    <w:rsid w:val="005D6A95"/>
    <w:rsid w:val="005D6B2C"/>
    <w:rsid w:val="005D6D9C"/>
    <w:rsid w:val="005E22D2"/>
    <w:rsid w:val="005E2335"/>
    <w:rsid w:val="005E34CA"/>
    <w:rsid w:val="005E3C18"/>
    <w:rsid w:val="005E5DCB"/>
    <w:rsid w:val="005E6812"/>
    <w:rsid w:val="005E7881"/>
    <w:rsid w:val="005E78E0"/>
    <w:rsid w:val="005F0D9C"/>
    <w:rsid w:val="005F284E"/>
    <w:rsid w:val="005F4067"/>
    <w:rsid w:val="005F4712"/>
    <w:rsid w:val="005F49C6"/>
    <w:rsid w:val="006015CE"/>
    <w:rsid w:val="00604784"/>
    <w:rsid w:val="00606419"/>
    <w:rsid w:val="00607D29"/>
    <w:rsid w:val="006125A6"/>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C5B"/>
    <w:rsid w:val="00647B9B"/>
    <w:rsid w:val="00651ACB"/>
    <w:rsid w:val="00651C47"/>
    <w:rsid w:val="00652AB2"/>
    <w:rsid w:val="00653FED"/>
    <w:rsid w:val="00654EC0"/>
    <w:rsid w:val="0065525B"/>
    <w:rsid w:val="00655D4F"/>
    <w:rsid w:val="00656D29"/>
    <w:rsid w:val="00661A71"/>
    <w:rsid w:val="006640E5"/>
    <w:rsid w:val="006646F1"/>
    <w:rsid w:val="00664929"/>
    <w:rsid w:val="00664F62"/>
    <w:rsid w:val="006655E1"/>
    <w:rsid w:val="00667D3A"/>
    <w:rsid w:val="00670734"/>
    <w:rsid w:val="00672060"/>
    <w:rsid w:val="00672BFD"/>
    <w:rsid w:val="0067354E"/>
    <w:rsid w:val="00674314"/>
    <w:rsid w:val="006744E1"/>
    <w:rsid w:val="006770F4"/>
    <w:rsid w:val="00677A84"/>
    <w:rsid w:val="0068026D"/>
    <w:rsid w:val="00680A27"/>
    <w:rsid w:val="006816A4"/>
    <w:rsid w:val="006819B8"/>
    <w:rsid w:val="006840A6"/>
    <w:rsid w:val="006850CD"/>
    <w:rsid w:val="00685AAB"/>
    <w:rsid w:val="00687E29"/>
    <w:rsid w:val="00690305"/>
    <w:rsid w:val="006954C1"/>
    <w:rsid w:val="00695D22"/>
    <w:rsid w:val="006A07AA"/>
    <w:rsid w:val="006A1378"/>
    <w:rsid w:val="006A25E5"/>
    <w:rsid w:val="006A2B46"/>
    <w:rsid w:val="006A336D"/>
    <w:rsid w:val="006A37B9"/>
    <w:rsid w:val="006A66C0"/>
    <w:rsid w:val="006A6A8F"/>
    <w:rsid w:val="006A76AC"/>
    <w:rsid w:val="006B2672"/>
    <w:rsid w:val="006B5367"/>
    <w:rsid w:val="006B54BF"/>
    <w:rsid w:val="006B5F44"/>
    <w:rsid w:val="006B5F90"/>
    <w:rsid w:val="006B62E4"/>
    <w:rsid w:val="006C11EA"/>
    <w:rsid w:val="006C1BBA"/>
    <w:rsid w:val="006C2079"/>
    <w:rsid w:val="006C2B5B"/>
    <w:rsid w:val="006C43BF"/>
    <w:rsid w:val="006C5A62"/>
    <w:rsid w:val="006C5D68"/>
    <w:rsid w:val="006C6976"/>
    <w:rsid w:val="006C6DD0"/>
    <w:rsid w:val="006D04EA"/>
    <w:rsid w:val="006D0AB7"/>
    <w:rsid w:val="006D16C4"/>
    <w:rsid w:val="006D3E96"/>
    <w:rsid w:val="006D4515"/>
    <w:rsid w:val="006D4BB1"/>
    <w:rsid w:val="006D4E31"/>
    <w:rsid w:val="006D6279"/>
    <w:rsid w:val="006D6593"/>
    <w:rsid w:val="006E23EA"/>
    <w:rsid w:val="006F03A8"/>
    <w:rsid w:val="006F2ACA"/>
    <w:rsid w:val="006F2ADC"/>
    <w:rsid w:val="006F2BFE"/>
    <w:rsid w:val="006F31E9"/>
    <w:rsid w:val="006F53A5"/>
    <w:rsid w:val="006F6284"/>
    <w:rsid w:val="006F6550"/>
    <w:rsid w:val="006F6BF1"/>
    <w:rsid w:val="0070020A"/>
    <w:rsid w:val="007002C5"/>
    <w:rsid w:val="00704387"/>
    <w:rsid w:val="00707669"/>
    <w:rsid w:val="00711CBA"/>
    <w:rsid w:val="00711FB5"/>
    <w:rsid w:val="00712842"/>
    <w:rsid w:val="00712A01"/>
    <w:rsid w:val="00714363"/>
    <w:rsid w:val="00714F58"/>
    <w:rsid w:val="00722FBF"/>
    <w:rsid w:val="00722FC2"/>
    <w:rsid w:val="00724879"/>
    <w:rsid w:val="00724E1B"/>
    <w:rsid w:val="00725949"/>
    <w:rsid w:val="00727FA2"/>
    <w:rsid w:val="007322D9"/>
    <w:rsid w:val="00732BC0"/>
    <w:rsid w:val="00733C5B"/>
    <w:rsid w:val="007341A3"/>
    <w:rsid w:val="0073720F"/>
    <w:rsid w:val="00737796"/>
    <w:rsid w:val="007400B1"/>
    <w:rsid w:val="0074165C"/>
    <w:rsid w:val="00742C35"/>
    <w:rsid w:val="007430D3"/>
    <w:rsid w:val="007432CA"/>
    <w:rsid w:val="007439EB"/>
    <w:rsid w:val="00743CB4"/>
    <w:rsid w:val="00743F0A"/>
    <w:rsid w:val="007444E8"/>
    <w:rsid w:val="0074548E"/>
    <w:rsid w:val="00745773"/>
    <w:rsid w:val="00746800"/>
    <w:rsid w:val="00747F7B"/>
    <w:rsid w:val="007501A8"/>
    <w:rsid w:val="00750D61"/>
    <w:rsid w:val="00750EE1"/>
    <w:rsid w:val="00752B4D"/>
    <w:rsid w:val="0075339E"/>
    <w:rsid w:val="00755402"/>
    <w:rsid w:val="00756B26"/>
    <w:rsid w:val="00756EDF"/>
    <w:rsid w:val="007600E3"/>
    <w:rsid w:val="007609E7"/>
    <w:rsid w:val="00764BA8"/>
    <w:rsid w:val="00765C43"/>
    <w:rsid w:val="00765EFB"/>
    <w:rsid w:val="007671CA"/>
    <w:rsid w:val="00767C61"/>
    <w:rsid w:val="00767EF2"/>
    <w:rsid w:val="0077008A"/>
    <w:rsid w:val="00773C1F"/>
    <w:rsid w:val="00774DA4"/>
    <w:rsid w:val="007762F2"/>
    <w:rsid w:val="00776599"/>
    <w:rsid w:val="007802F7"/>
    <w:rsid w:val="007806C0"/>
    <w:rsid w:val="0078114B"/>
    <w:rsid w:val="00781DD2"/>
    <w:rsid w:val="00783ECF"/>
    <w:rsid w:val="0078413A"/>
    <w:rsid w:val="007904FB"/>
    <w:rsid w:val="0079064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DA3"/>
    <w:rsid w:val="007C1E8B"/>
    <w:rsid w:val="007C2D89"/>
    <w:rsid w:val="007C3C73"/>
    <w:rsid w:val="007C4051"/>
    <w:rsid w:val="007C4593"/>
    <w:rsid w:val="007C5309"/>
    <w:rsid w:val="007C6069"/>
    <w:rsid w:val="007D06C4"/>
    <w:rsid w:val="007D1352"/>
    <w:rsid w:val="007D2508"/>
    <w:rsid w:val="007D31D6"/>
    <w:rsid w:val="007D346A"/>
    <w:rsid w:val="007D6518"/>
    <w:rsid w:val="007D76BD"/>
    <w:rsid w:val="007E0BF1"/>
    <w:rsid w:val="007E682F"/>
    <w:rsid w:val="007F0ED8"/>
    <w:rsid w:val="007F0F63"/>
    <w:rsid w:val="007F1DCF"/>
    <w:rsid w:val="007F2053"/>
    <w:rsid w:val="007F5866"/>
    <w:rsid w:val="007F75CE"/>
    <w:rsid w:val="008013A4"/>
    <w:rsid w:val="008027CE"/>
    <w:rsid w:val="00802F42"/>
    <w:rsid w:val="00804383"/>
    <w:rsid w:val="00804453"/>
    <w:rsid w:val="00804BB7"/>
    <w:rsid w:val="00804D41"/>
    <w:rsid w:val="00810257"/>
    <w:rsid w:val="008104F5"/>
    <w:rsid w:val="00811072"/>
    <w:rsid w:val="00811369"/>
    <w:rsid w:val="00812EF0"/>
    <w:rsid w:val="00815419"/>
    <w:rsid w:val="008163C8"/>
    <w:rsid w:val="008164A1"/>
    <w:rsid w:val="00817325"/>
    <w:rsid w:val="008201AD"/>
    <w:rsid w:val="008209E6"/>
    <w:rsid w:val="00823303"/>
    <w:rsid w:val="008233B2"/>
    <w:rsid w:val="00823A9F"/>
    <w:rsid w:val="00823C85"/>
    <w:rsid w:val="0082504C"/>
    <w:rsid w:val="00825138"/>
    <w:rsid w:val="0082541D"/>
    <w:rsid w:val="008269DD"/>
    <w:rsid w:val="00830621"/>
    <w:rsid w:val="00830BBA"/>
    <w:rsid w:val="0083348C"/>
    <w:rsid w:val="00834199"/>
    <w:rsid w:val="008351F1"/>
    <w:rsid w:val="00835C00"/>
    <w:rsid w:val="008373D3"/>
    <w:rsid w:val="00840617"/>
    <w:rsid w:val="00840F84"/>
    <w:rsid w:val="00842A47"/>
    <w:rsid w:val="00843C13"/>
    <w:rsid w:val="008454F8"/>
    <w:rsid w:val="0085173A"/>
    <w:rsid w:val="0085204C"/>
    <w:rsid w:val="008527A0"/>
    <w:rsid w:val="00856316"/>
    <w:rsid w:val="008603CE"/>
    <w:rsid w:val="008620FC"/>
    <w:rsid w:val="008627A5"/>
    <w:rsid w:val="00863E05"/>
    <w:rsid w:val="00865ACA"/>
    <w:rsid w:val="00865D28"/>
    <w:rsid w:val="00865F85"/>
    <w:rsid w:val="00867C10"/>
    <w:rsid w:val="00870439"/>
    <w:rsid w:val="00870DA1"/>
    <w:rsid w:val="00880D4B"/>
    <w:rsid w:val="008814B2"/>
    <w:rsid w:val="00883F93"/>
    <w:rsid w:val="00884A20"/>
    <w:rsid w:val="00884A59"/>
    <w:rsid w:val="00884DB3"/>
    <w:rsid w:val="008857A8"/>
    <w:rsid w:val="00885A9D"/>
    <w:rsid w:val="008864F6"/>
    <w:rsid w:val="008867D3"/>
    <w:rsid w:val="0089049D"/>
    <w:rsid w:val="00891ECA"/>
    <w:rsid w:val="008928C9"/>
    <w:rsid w:val="008930CB"/>
    <w:rsid w:val="008938DC"/>
    <w:rsid w:val="00893FD1"/>
    <w:rsid w:val="00894836"/>
    <w:rsid w:val="00895172"/>
    <w:rsid w:val="00895680"/>
    <w:rsid w:val="008964CA"/>
    <w:rsid w:val="00896DFF"/>
    <w:rsid w:val="0089762C"/>
    <w:rsid w:val="0089767C"/>
    <w:rsid w:val="008A1893"/>
    <w:rsid w:val="008A3215"/>
    <w:rsid w:val="008A57E6"/>
    <w:rsid w:val="008A6F81"/>
    <w:rsid w:val="008A769A"/>
    <w:rsid w:val="008B063B"/>
    <w:rsid w:val="008B0C9C"/>
    <w:rsid w:val="008B166D"/>
    <w:rsid w:val="008B17F4"/>
    <w:rsid w:val="008B3615"/>
    <w:rsid w:val="008B4AC4"/>
    <w:rsid w:val="008B50C8"/>
    <w:rsid w:val="008B5281"/>
    <w:rsid w:val="008B7E05"/>
    <w:rsid w:val="008C0018"/>
    <w:rsid w:val="008C1797"/>
    <w:rsid w:val="008C219C"/>
    <w:rsid w:val="008C2819"/>
    <w:rsid w:val="008C475E"/>
    <w:rsid w:val="008C619A"/>
    <w:rsid w:val="008C67B0"/>
    <w:rsid w:val="008D0CE8"/>
    <w:rsid w:val="008D2D1D"/>
    <w:rsid w:val="008D453D"/>
    <w:rsid w:val="008D49F5"/>
    <w:rsid w:val="008D53AD"/>
    <w:rsid w:val="008D562B"/>
    <w:rsid w:val="008D5733"/>
    <w:rsid w:val="008D622B"/>
    <w:rsid w:val="008D666C"/>
    <w:rsid w:val="008D7B54"/>
    <w:rsid w:val="008E0C9D"/>
    <w:rsid w:val="008E1648"/>
    <w:rsid w:val="008E1B3E"/>
    <w:rsid w:val="008E2319"/>
    <w:rsid w:val="008E4BB6"/>
    <w:rsid w:val="008E5518"/>
    <w:rsid w:val="008E6A84"/>
    <w:rsid w:val="008E7C1C"/>
    <w:rsid w:val="008F0CDC"/>
    <w:rsid w:val="008F17A3"/>
    <w:rsid w:val="008F1ED3"/>
    <w:rsid w:val="008F23A5"/>
    <w:rsid w:val="008F4C29"/>
    <w:rsid w:val="008F5494"/>
    <w:rsid w:val="008F70BD"/>
    <w:rsid w:val="008F788F"/>
    <w:rsid w:val="008F7EA2"/>
    <w:rsid w:val="00901CF5"/>
    <w:rsid w:val="00902722"/>
    <w:rsid w:val="009027BC"/>
    <w:rsid w:val="009037FF"/>
    <w:rsid w:val="00905357"/>
    <w:rsid w:val="009062E6"/>
    <w:rsid w:val="00906492"/>
    <w:rsid w:val="009071BA"/>
    <w:rsid w:val="00911BE5"/>
    <w:rsid w:val="00913CA9"/>
    <w:rsid w:val="009145AE"/>
    <w:rsid w:val="009146CE"/>
    <w:rsid w:val="00914CA7"/>
    <w:rsid w:val="00914D5C"/>
    <w:rsid w:val="00915C3E"/>
    <w:rsid w:val="009161A8"/>
    <w:rsid w:val="009245F5"/>
    <w:rsid w:val="009249EC"/>
    <w:rsid w:val="009273B3"/>
    <w:rsid w:val="009301EE"/>
    <w:rsid w:val="009305B5"/>
    <w:rsid w:val="00931640"/>
    <w:rsid w:val="00935BDD"/>
    <w:rsid w:val="009429D5"/>
    <w:rsid w:val="00942BF1"/>
    <w:rsid w:val="009441E9"/>
    <w:rsid w:val="00945180"/>
    <w:rsid w:val="00945428"/>
    <w:rsid w:val="0094607B"/>
    <w:rsid w:val="00953604"/>
    <w:rsid w:val="00954604"/>
    <w:rsid w:val="0095496B"/>
    <w:rsid w:val="00960878"/>
    <w:rsid w:val="009610DC"/>
    <w:rsid w:val="00961490"/>
    <w:rsid w:val="00962569"/>
    <w:rsid w:val="0096381A"/>
    <w:rsid w:val="00965E04"/>
    <w:rsid w:val="00966337"/>
    <w:rsid w:val="009672E2"/>
    <w:rsid w:val="009674AD"/>
    <w:rsid w:val="00970CDC"/>
    <w:rsid w:val="00971B7F"/>
    <w:rsid w:val="00973E5C"/>
    <w:rsid w:val="00977010"/>
    <w:rsid w:val="00977D02"/>
    <w:rsid w:val="009809BB"/>
    <w:rsid w:val="0098364B"/>
    <w:rsid w:val="009911AF"/>
    <w:rsid w:val="00991359"/>
    <w:rsid w:val="00991875"/>
    <w:rsid w:val="00991F92"/>
    <w:rsid w:val="00992985"/>
    <w:rsid w:val="00992ABC"/>
    <w:rsid w:val="00993889"/>
    <w:rsid w:val="00994008"/>
    <w:rsid w:val="0099551B"/>
    <w:rsid w:val="00997BF1"/>
    <w:rsid w:val="009A089C"/>
    <w:rsid w:val="009A118E"/>
    <w:rsid w:val="009A21CD"/>
    <w:rsid w:val="009A278C"/>
    <w:rsid w:val="009A2BC2"/>
    <w:rsid w:val="009A3EB0"/>
    <w:rsid w:val="009A4199"/>
    <w:rsid w:val="009A42C1"/>
    <w:rsid w:val="009A5429"/>
    <w:rsid w:val="009A72AD"/>
    <w:rsid w:val="009B09E0"/>
    <w:rsid w:val="009B0BC5"/>
    <w:rsid w:val="009B1247"/>
    <w:rsid w:val="009B2A63"/>
    <w:rsid w:val="009B46F9"/>
    <w:rsid w:val="009B6029"/>
    <w:rsid w:val="009B6971"/>
    <w:rsid w:val="009C185B"/>
    <w:rsid w:val="009C27F1"/>
    <w:rsid w:val="009C3152"/>
    <w:rsid w:val="009C4CFA"/>
    <w:rsid w:val="009C5070"/>
    <w:rsid w:val="009C6A49"/>
    <w:rsid w:val="009D112C"/>
    <w:rsid w:val="009D47FA"/>
    <w:rsid w:val="009D4C5B"/>
    <w:rsid w:val="009D50D2"/>
    <w:rsid w:val="009D6BCA"/>
    <w:rsid w:val="009D7842"/>
    <w:rsid w:val="009E0F62"/>
    <w:rsid w:val="009E4A58"/>
    <w:rsid w:val="009E5A2D"/>
    <w:rsid w:val="009E5AB2"/>
    <w:rsid w:val="009E6219"/>
    <w:rsid w:val="009F03B3"/>
    <w:rsid w:val="00A0096C"/>
    <w:rsid w:val="00A00D0A"/>
    <w:rsid w:val="00A01757"/>
    <w:rsid w:val="00A0243A"/>
    <w:rsid w:val="00A028C0"/>
    <w:rsid w:val="00A02BAE"/>
    <w:rsid w:val="00A06A6B"/>
    <w:rsid w:val="00A07E47"/>
    <w:rsid w:val="00A1176F"/>
    <w:rsid w:val="00A129D0"/>
    <w:rsid w:val="00A12C33"/>
    <w:rsid w:val="00A138BA"/>
    <w:rsid w:val="00A14C8E"/>
    <w:rsid w:val="00A153D9"/>
    <w:rsid w:val="00A15F09"/>
    <w:rsid w:val="00A169B6"/>
    <w:rsid w:val="00A2051E"/>
    <w:rsid w:val="00A2271D"/>
    <w:rsid w:val="00A237D5"/>
    <w:rsid w:val="00A25917"/>
    <w:rsid w:val="00A30EFC"/>
    <w:rsid w:val="00A31984"/>
    <w:rsid w:val="00A31D36"/>
    <w:rsid w:val="00A32D73"/>
    <w:rsid w:val="00A3367B"/>
    <w:rsid w:val="00A3597D"/>
    <w:rsid w:val="00A361B3"/>
    <w:rsid w:val="00A36DD1"/>
    <w:rsid w:val="00A4006C"/>
    <w:rsid w:val="00A40091"/>
    <w:rsid w:val="00A4030F"/>
    <w:rsid w:val="00A40F15"/>
    <w:rsid w:val="00A410A3"/>
    <w:rsid w:val="00A41C79"/>
    <w:rsid w:val="00A41CB5"/>
    <w:rsid w:val="00A42CDF"/>
    <w:rsid w:val="00A4452E"/>
    <w:rsid w:val="00A4472C"/>
    <w:rsid w:val="00A44E69"/>
    <w:rsid w:val="00A4563D"/>
    <w:rsid w:val="00A4661E"/>
    <w:rsid w:val="00A5028C"/>
    <w:rsid w:val="00A54C6F"/>
    <w:rsid w:val="00A55BD6"/>
    <w:rsid w:val="00A55D50"/>
    <w:rsid w:val="00A57142"/>
    <w:rsid w:val="00A61E2D"/>
    <w:rsid w:val="00A6327D"/>
    <w:rsid w:val="00A648CD"/>
    <w:rsid w:val="00A6537A"/>
    <w:rsid w:val="00A67866"/>
    <w:rsid w:val="00A70B07"/>
    <w:rsid w:val="00A723F8"/>
    <w:rsid w:val="00A74620"/>
    <w:rsid w:val="00A76BB5"/>
    <w:rsid w:val="00A77CCB"/>
    <w:rsid w:val="00A82284"/>
    <w:rsid w:val="00A83D8D"/>
    <w:rsid w:val="00A8446B"/>
    <w:rsid w:val="00A8473F"/>
    <w:rsid w:val="00A8629C"/>
    <w:rsid w:val="00A862D6"/>
    <w:rsid w:val="00A8715E"/>
    <w:rsid w:val="00A9295B"/>
    <w:rsid w:val="00A93B09"/>
    <w:rsid w:val="00A94247"/>
    <w:rsid w:val="00A94CB3"/>
    <w:rsid w:val="00A952D7"/>
    <w:rsid w:val="00A963F7"/>
    <w:rsid w:val="00A96AD8"/>
    <w:rsid w:val="00AA052C"/>
    <w:rsid w:val="00AA1E45"/>
    <w:rsid w:val="00AA4286"/>
    <w:rsid w:val="00AA456B"/>
    <w:rsid w:val="00AA57F5"/>
    <w:rsid w:val="00AA5DB8"/>
    <w:rsid w:val="00AA672E"/>
    <w:rsid w:val="00AA6EC9"/>
    <w:rsid w:val="00AB41D5"/>
    <w:rsid w:val="00AB6309"/>
    <w:rsid w:val="00AB6C5F"/>
    <w:rsid w:val="00AB7129"/>
    <w:rsid w:val="00AB771F"/>
    <w:rsid w:val="00AB77BE"/>
    <w:rsid w:val="00AC1113"/>
    <w:rsid w:val="00AC27A6"/>
    <w:rsid w:val="00AC30F7"/>
    <w:rsid w:val="00AC3A5A"/>
    <w:rsid w:val="00AC4D95"/>
    <w:rsid w:val="00AC5DF4"/>
    <w:rsid w:val="00AC62E0"/>
    <w:rsid w:val="00AD0AEF"/>
    <w:rsid w:val="00AD11B7"/>
    <w:rsid w:val="00AD1A94"/>
    <w:rsid w:val="00AD1C05"/>
    <w:rsid w:val="00AD4126"/>
    <w:rsid w:val="00AD421C"/>
    <w:rsid w:val="00AD44FA"/>
    <w:rsid w:val="00AD6A4A"/>
    <w:rsid w:val="00AE070A"/>
    <w:rsid w:val="00AE0EFD"/>
    <w:rsid w:val="00AE101C"/>
    <w:rsid w:val="00AE37E5"/>
    <w:rsid w:val="00AE3988"/>
    <w:rsid w:val="00AE5EB4"/>
    <w:rsid w:val="00AE5F50"/>
    <w:rsid w:val="00AF0C18"/>
    <w:rsid w:val="00AF47C5"/>
    <w:rsid w:val="00AF5398"/>
    <w:rsid w:val="00B00F54"/>
    <w:rsid w:val="00B049AF"/>
    <w:rsid w:val="00B07242"/>
    <w:rsid w:val="00B10534"/>
    <w:rsid w:val="00B113DB"/>
    <w:rsid w:val="00B11D8A"/>
    <w:rsid w:val="00B12981"/>
    <w:rsid w:val="00B147DD"/>
    <w:rsid w:val="00B156FD"/>
    <w:rsid w:val="00B21F61"/>
    <w:rsid w:val="00B238C4"/>
    <w:rsid w:val="00B2505F"/>
    <w:rsid w:val="00B261F1"/>
    <w:rsid w:val="00B265BC"/>
    <w:rsid w:val="00B31FB1"/>
    <w:rsid w:val="00B32A7D"/>
    <w:rsid w:val="00B33952"/>
    <w:rsid w:val="00B33C5E"/>
    <w:rsid w:val="00B342F4"/>
    <w:rsid w:val="00B34369"/>
    <w:rsid w:val="00B34DC2"/>
    <w:rsid w:val="00B378E5"/>
    <w:rsid w:val="00B41B77"/>
    <w:rsid w:val="00B4346D"/>
    <w:rsid w:val="00B440F4"/>
    <w:rsid w:val="00B447A5"/>
    <w:rsid w:val="00B45AD9"/>
    <w:rsid w:val="00B4654C"/>
    <w:rsid w:val="00B46AF0"/>
    <w:rsid w:val="00B47293"/>
    <w:rsid w:val="00B50E50"/>
    <w:rsid w:val="00B52120"/>
    <w:rsid w:val="00B54ABC"/>
    <w:rsid w:val="00B54DDE"/>
    <w:rsid w:val="00B556D0"/>
    <w:rsid w:val="00B56FBE"/>
    <w:rsid w:val="00B5768F"/>
    <w:rsid w:val="00B57E48"/>
    <w:rsid w:val="00B60ACF"/>
    <w:rsid w:val="00B61EB6"/>
    <w:rsid w:val="00B62568"/>
    <w:rsid w:val="00B62B58"/>
    <w:rsid w:val="00B65149"/>
    <w:rsid w:val="00B6536E"/>
    <w:rsid w:val="00B66567"/>
    <w:rsid w:val="00B66F52"/>
    <w:rsid w:val="00B66FE5"/>
    <w:rsid w:val="00B72880"/>
    <w:rsid w:val="00B758BF"/>
    <w:rsid w:val="00B76820"/>
    <w:rsid w:val="00B77EC8"/>
    <w:rsid w:val="00B827A6"/>
    <w:rsid w:val="00B831CE"/>
    <w:rsid w:val="00B86677"/>
    <w:rsid w:val="00B86965"/>
    <w:rsid w:val="00B87131"/>
    <w:rsid w:val="00B91974"/>
    <w:rsid w:val="00B939B1"/>
    <w:rsid w:val="00B96D40"/>
    <w:rsid w:val="00B97386"/>
    <w:rsid w:val="00BA263B"/>
    <w:rsid w:val="00BA3A91"/>
    <w:rsid w:val="00BA42B2"/>
    <w:rsid w:val="00BA58D4"/>
    <w:rsid w:val="00BA5B9E"/>
    <w:rsid w:val="00BA7C9A"/>
    <w:rsid w:val="00BB203B"/>
    <w:rsid w:val="00BB2874"/>
    <w:rsid w:val="00BB5F8F"/>
    <w:rsid w:val="00BB657A"/>
    <w:rsid w:val="00BC1A4E"/>
    <w:rsid w:val="00BC1AC1"/>
    <w:rsid w:val="00BC3BE4"/>
    <w:rsid w:val="00BC4790"/>
    <w:rsid w:val="00BC5DC7"/>
    <w:rsid w:val="00BC68BD"/>
    <w:rsid w:val="00BC6B8B"/>
    <w:rsid w:val="00BC73D8"/>
    <w:rsid w:val="00BD184D"/>
    <w:rsid w:val="00BD52D7"/>
    <w:rsid w:val="00BD5AD2"/>
    <w:rsid w:val="00BE2276"/>
    <w:rsid w:val="00BE22F3"/>
    <w:rsid w:val="00BE5B52"/>
    <w:rsid w:val="00BE6329"/>
    <w:rsid w:val="00BE7B8D"/>
    <w:rsid w:val="00BF0993"/>
    <w:rsid w:val="00BF10A9"/>
    <w:rsid w:val="00BF1703"/>
    <w:rsid w:val="00BF231C"/>
    <w:rsid w:val="00BF51E5"/>
    <w:rsid w:val="00BF74A6"/>
    <w:rsid w:val="00C013AD"/>
    <w:rsid w:val="00C04904"/>
    <w:rsid w:val="00C056B3"/>
    <w:rsid w:val="00C06BCE"/>
    <w:rsid w:val="00C07CE3"/>
    <w:rsid w:val="00C103E5"/>
    <w:rsid w:val="00C1124E"/>
    <w:rsid w:val="00C13319"/>
    <w:rsid w:val="00C13EE9"/>
    <w:rsid w:val="00C155BE"/>
    <w:rsid w:val="00C21540"/>
    <w:rsid w:val="00C21906"/>
    <w:rsid w:val="00C21BFA"/>
    <w:rsid w:val="00C22148"/>
    <w:rsid w:val="00C23AA4"/>
    <w:rsid w:val="00C24C8D"/>
    <w:rsid w:val="00C25FE2"/>
    <w:rsid w:val="00C26B53"/>
    <w:rsid w:val="00C279B2"/>
    <w:rsid w:val="00C31819"/>
    <w:rsid w:val="00C323B5"/>
    <w:rsid w:val="00C33E50"/>
    <w:rsid w:val="00C34C20"/>
    <w:rsid w:val="00C34C73"/>
    <w:rsid w:val="00C35A3E"/>
    <w:rsid w:val="00C42130"/>
    <w:rsid w:val="00C423A4"/>
    <w:rsid w:val="00C42EB4"/>
    <w:rsid w:val="00C44BF5"/>
    <w:rsid w:val="00C521D6"/>
    <w:rsid w:val="00C55232"/>
    <w:rsid w:val="00C553A4"/>
    <w:rsid w:val="00C55A06"/>
    <w:rsid w:val="00C55D03"/>
    <w:rsid w:val="00C601BC"/>
    <w:rsid w:val="00C61BE3"/>
    <w:rsid w:val="00C6329F"/>
    <w:rsid w:val="00C63340"/>
    <w:rsid w:val="00C643F9"/>
    <w:rsid w:val="00C64E95"/>
    <w:rsid w:val="00C71372"/>
    <w:rsid w:val="00C72410"/>
    <w:rsid w:val="00C7287F"/>
    <w:rsid w:val="00C75876"/>
    <w:rsid w:val="00C80CB8"/>
    <w:rsid w:val="00C819F8"/>
    <w:rsid w:val="00C8248C"/>
    <w:rsid w:val="00C84E33"/>
    <w:rsid w:val="00C86D6F"/>
    <w:rsid w:val="00C905FC"/>
    <w:rsid w:val="00C9087A"/>
    <w:rsid w:val="00C92D03"/>
    <w:rsid w:val="00C9319C"/>
    <w:rsid w:val="00C9435D"/>
    <w:rsid w:val="00C94DF2"/>
    <w:rsid w:val="00C96741"/>
    <w:rsid w:val="00C97B95"/>
    <w:rsid w:val="00CA2D1B"/>
    <w:rsid w:val="00CA375D"/>
    <w:rsid w:val="00CA4AA2"/>
    <w:rsid w:val="00CA5687"/>
    <w:rsid w:val="00CA662A"/>
    <w:rsid w:val="00CA7AFD"/>
    <w:rsid w:val="00CA7C3C"/>
    <w:rsid w:val="00CB0189"/>
    <w:rsid w:val="00CB09A8"/>
    <w:rsid w:val="00CB0BA2"/>
    <w:rsid w:val="00CB174A"/>
    <w:rsid w:val="00CB1A42"/>
    <w:rsid w:val="00CB1B0C"/>
    <w:rsid w:val="00CB2C0B"/>
    <w:rsid w:val="00CB38A9"/>
    <w:rsid w:val="00CB517D"/>
    <w:rsid w:val="00CC038D"/>
    <w:rsid w:val="00CC08DB"/>
    <w:rsid w:val="00CC39FF"/>
    <w:rsid w:val="00CC3C2F"/>
    <w:rsid w:val="00CC4AC8"/>
    <w:rsid w:val="00CC5233"/>
    <w:rsid w:val="00CC5DE6"/>
    <w:rsid w:val="00CC6E4E"/>
    <w:rsid w:val="00CC6FE8"/>
    <w:rsid w:val="00CC7202"/>
    <w:rsid w:val="00CC78FF"/>
    <w:rsid w:val="00CD0DE8"/>
    <w:rsid w:val="00CD2808"/>
    <w:rsid w:val="00CD28BF"/>
    <w:rsid w:val="00CD4092"/>
    <w:rsid w:val="00CD4805"/>
    <w:rsid w:val="00CD4A20"/>
    <w:rsid w:val="00CD50A1"/>
    <w:rsid w:val="00CD519E"/>
    <w:rsid w:val="00CD561D"/>
    <w:rsid w:val="00CE0C4F"/>
    <w:rsid w:val="00CE1A35"/>
    <w:rsid w:val="00CE1B2C"/>
    <w:rsid w:val="00CE30EA"/>
    <w:rsid w:val="00CE42DC"/>
    <w:rsid w:val="00CE72EC"/>
    <w:rsid w:val="00CF048A"/>
    <w:rsid w:val="00CF112E"/>
    <w:rsid w:val="00CF155A"/>
    <w:rsid w:val="00CF2947"/>
    <w:rsid w:val="00CF686F"/>
    <w:rsid w:val="00CF6E60"/>
    <w:rsid w:val="00CF7BCA"/>
    <w:rsid w:val="00D008FD"/>
    <w:rsid w:val="00D0321C"/>
    <w:rsid w:val="00D03560"/>
    <w:rsid w:val="00D035EC"/>
    <w:rsid w:val="00D0545C"/>
    <w:rsid w:val="00D06AB1"/>
    <w:rsid w:val="00D072ED"/>
    <w:rsid w:val="00D07A16"/>
    <w:rsid w:val="00D1067E"/>
    <w:rsid w:val="00D10F50"/>
    <w:rsid w:val="00D11272"/>
    <w:rsid w:val="00D126F5"/>
    <w:rsid w:val="00D1489E"/>
    <w:rsid w:val="00D20737"/>
    <w:rsid w:val="00D21E81"/>
    <w:rsid w:val="00D223DE"/>
    <w:rsid w:val="00D25E37"/>
    <w:rsid w:val="00D2661A"/>
    <w:rsid w:val="00D26779"/>
    <w:rsid w:val="00D27582"/>
    <w:rsid w:val="00D27EC4"/>
    <w:rsid w:val="00D30266"/>
    <w:rsid w:val="00D30C55"/>
    <w:rsid w:val="00D31AFB"/>
    <w:rsid w:val="00D32719"/>
    <w:rsid w:val="00D33333"/>
    <w:rsid w:val="00D33457"/>
    <w:rsid w:val="00D352A2"/>
    <w:rsid w:val="00D366BF"/>
    <w:rsid w:val="00D4162B"/>
    <w:rsid w:val="00D4514F"/>
    <w:rsid w:val="00D451E2"/>
    <w:rsid w:val="00D4587C"/>
    <w:rsid w:val="00D45E89"/>
    <w:rsid w:val="00D45E8D"/>
    <w:rsid w:val="00D466AE"/>
    <w:rsid w:val="00D4734F"/>
    <w:rsid w:val="00D51BF3"/>
    <w:rsid w:val="00D63D92"/>
    <w:rsid w:val="00D66846"/>
    <w:rsid w:val="00D675FB"/>
    <w:rsid w:val="00D71F25"/>
    <w:rsid w:val="00D72A9C"/>
    <w:rsid w:val="00D73DE3"/>
    <w:rsid w:val="00D74515"/>
    <w:rsid w:val="00D77031"/>
    <w:rsid w:val="00D77B62"/>
    <w:rsid w:val="00D80370"/>
    <w:rsid w:val="00D8300A"/>
    <w:rsid w:val="00D84941"/>
    <w:rsid w:val="00D84FA1"/>
    <w:rsid w:val="00D851F0"/>
    <w:rsid w:val="00D85EFF"/>
    <w:rsid w:val="00D86DB7"/>
    <w:rsid w:val="00D8703F"/>
    <w:rsid w:val="00D926D0"/>
    <w:rsid w:val="00D93030"/>
    <w:rsid w:val="00D94FB8"/>
    <w:rsid w:val="00D950E1"/>
    <w:rsid w:val="00D952A6"/>
    <w:rsid w:val="00D9696F"/>
    <w:rsid w:val="00D973EC"/>
    <w:rsid w:val="00D97F99"/>
    <w:rsid w:val="00DA1E08"/>
    <w:rsid w:val="00DA24F8"/>
    <w:rsid w:val="00DA28E8"/>
    <w:rsid w:val="00DA331E"/>
    <w:rsid w:val="00DA38D3"/>
    <w:rsid w:val="00DA3932"/>
    <w:rsid w:val="00DA3AFC"/>
    <w:rsid w:val="00DA5191"/>
    <w:rsid w:val="00DA64F8"/>
    <w:rsid w:val="00DA6C15"/>
    <w:rsid w:val="00DB0258"/>
    <w:rsid w:val="00DB1B42"/>
    <w:rsid w:val="00DB38EE"/>
    <w:rsid w:val="00DB498B"/>
    <w:rsid w:val="00DB5816"/>
    <w:rsid w:val="00DB66CA"/>
    <w:rsid w:val="00DB6BCA"/>
    <w:rsid w:val="00DB73F7"/>
    <w:rsid w:val="00DC0321"/>
    <w:rsid w:val="00DC1AD9"/>
    <w:rsid w:val="00DC3067"/>
    <w:rsid w:val="00DC370B"/>
    <w:rsid w:val="00DC474A"/>
    <w:rsid w:val="00DC5B90"/>
    <w:rsid w:val="00DC6503"/>
    <w:rsid w:val="00DD00FF"/>
    <w:rsid w:val="00DD0619"/>
    <w:rsid w:val="00DD07FB"/>
    <w:rsid w:val="00DD25C6"/>
    <w:rsid w:val="00DD4FE5"/>
    <w:rsid w:val="00DD54B0"/>
    <w:rsid w:val="00DD57EE"/>
    <w:rsid w:val="00DD681B"/>
    <w:rsid w:val="00DD6BCC"/>
    <w:rsid w:val="00DE0A4B"/>
    <w:rsid w:val="00DE2410"/>
    <w:rsid w:val="00DE2939"/>
    <w:rsid w:val="00DE3384"/>
    <w:rsid w:val="00DE6E81"/>
    <w:rsid w:val="00DE703F"/>
    <w:rsid w:val="00DE7595"/>
    <w:rsid w:val="00DF1961"/>
    <w:rsid w:val="00DF203A"/>
    <w:rsid w:val="00DF2C21"/>
    <w:rsid w:val="00DF44DE"/>
    <w:rsid w:val="00DF5F11"/>
    <w:rsid w:val="00E00BC4"/>
    <w:rsid w:val="00E01138"/>
    <w:rsid w:val="00E02DFB"/>
    <w:rsid w:val="00E030F9"/>
    <w:rsid w:val="00E0311A"/>
    <w:rsid w:val="00E03138"/>
    <w:rsid w:val="00E06404"/>
    <w:rsid w:val="00E065D2"/>
    <w:rsid w:val="00E11A85"/>
    <w:rsid w:val="00E12495"/>
    <w:rsid w:val="00E15CCD"/>
    <w:rsid w:val="00E17AC1"/>
    <w:rsid w:val="00E202EF"/>
    <w:rsid w:val="00E20FB5"/>
    <w:rsid w:val="00E210B5"/>
    <w:rsid w:val="00E23D99"/>
    <w:rsid w:val="00E2552F"/>
    <w:rsid w:val="00E257F9"/>
    <w:rsid w:val="00E30780"/>
    <w:rsid w:val="00E3137A"/>
    <w:rsid w:val="00E32CCF"/>
    <w:rsid w:val="00E34A98"/>
    <w:rsid w:val="00E35D1E"/>
    <w:rsid w:val="00E364F9"/>
    <w:rsid w:val="00E365FA"/>
    <w:rsid w:val="00E36789"/>
    <w:rsid w:val="00E4463F"/>
    <w:rsid w:val="00E44A83"/>
    <w:rsid w:val="00E465AC"/>
    <w:rsid w:val="00E5029B"/>
    <w:rsid w:val="00E502C1"/>
    <w:rsid w:val="00E502DD"/>
    <w:rsid w:val="00E50D3A"/>
    <w:rsid w:val="00E51387"/>
    <w:rsid w:val="00E51E68"/>
    <w:rsid w:val="00E52BCE"/>
    <w:rsid w:val="00E52EFD"/>
    <w:rsid w:val="00E5408A"/>
    <w:rsid w:val="00E56800"/>
    <w:rsid w:val="00E6037F"/>
    <w:rsid w:val="00E60C63"/>
    <w:rsid w:val="00E62FF9"/>
    <w:rsid w:val="00E635D6"/>
    <w:rsid w:val="00E6366A"/>
    <w:rsid w:val="00E639BC"/>
    <w:rsid w:val="00E664CC"/>
    <w:rsid w:val="00E70388"/>
    <w:rsid w:val="00E70F92"/>
    <w:rsid w:val="00E7266D"/>
    <w:rsid w:val="00E74505"/>
    <w:rsid w:val="00E74C54"/>
    <w:rsid w:val="00E77A03"/>
    <w:rsid w:val="00E81107"/>
    <w:rsid w:val="00E822E8"/>
    <w:rsid w:val="00E82554"/>
    <w:rsid w:val="00E82606"/>
    <w:rsid w:val="00E846C8"/>
    <w:rsid w:val="00E84957"/>
    <w:rsid w:val="00E84A55"/>
    <w:rsid w:val="00E856CA"/>
    <w:rsid w:val="00E8595A"/>
    <w:rsid w:val="00E85BFF"/>
    <w:rsid w:val="00E8611C"/>
    <w:rsid w:val="00E90391"/>
    <w:rsid w:val="00E906C2"/>
    <w:rsid w:val="00E9311F"/>
    <w:rsid w:val="00E934D1"/>
    <w:rsid w:val="00E945FB"/>
    <w:rsid w:val="00E94AF0"/>
    <w:rsid w:val="00E95D13"/>
    <w:rsid w:val="00E95DD3"/>
    <w:rsid w:val="00E969D5"/>
    <w:rsid w:val="00EA0372"/>
    <w:rsid w:val="00EA54E2"/>
    <w:rsid w:val="00EA58D1"/>
    <w:rsid w:val="00EA61BC"/>
    <w:rsid w:val="00EA681A"/>
    <w:rsid w:val="00EA735B"/>
    <w:rsid w:val="00EB17DE"/>
    <w:rsid w:val="00EB1E69"/>
    <w:rsid w:val="00EB2086"/>
    <w:rsid w:val="00EB5EDF"/>
    <w:rsid w:val="00EB60FE"/>
    <w:rsid w:val="00EB74DB"/>
    <w:rsid w:val="00EC194A"/>
    <w:rsid w:val="00EC5359"/>
    <w:rsid w:val="00EC562A"/>
    <w:rsid w:val="00ED067A"/>
    <w:rsid w:val="00ED2B50"/>
    <w:rsid w:val="00EE0350"/>
    <w:rsid w:val="00EE0719"/>
    <w:rsid w:val="00EE0E80"/>
    <w:rsid w:val="00EE3DEE"/>
    <w:rsid w:val="00EE3F3B"/>
    <w:rsid w:val="00EE54A6"/>
    <w:rsid w:val="00EE613F"/>
    <w:rsid w:val="00EE7295"/>
    <w:rsid w:val="00EE7869"/>
    <w:rsid w:val="00EF0232"/>
    <w:rsid w:val="00EF054A"/>
    <w:rsid w:val="00EF3235"/>
    <w:rsid w:val="00EF33E7"/>
    <w:rsid w:val="00EF7E72"/>
    <w:rsid w:val="00F05702"/>
    <w:rsid w:val="00F06D37"/>
    <w:rsid w:val="00F07B9D"/>
    <w:rsid w:val="00F10A58"/>
    <w:rsid w:val="00F11586"/>
    <w:rsid w:val="00F1183B"/>
    <w:rsid w:val="00F11C9F"/>
    <w:rsid w:val="00F12263"/>
    <w:rsid w:val="00F1409D"/>
    <w:rsid w:val="00F14214"/>
    <w:rsid w:val="00F157A9"/>
    <w:rsid w:val="00F25BB6"/>
    <w:rsid w:val="00F25FE9"/>
    <w:rsid w:val="00F26B7E"/>
    <w:rsid w:val="00F27A3B"/>
    <w:rsid w:val="00F3175E"/>
    <w:rsid w:val="00F32430"/>
    <w:rsid w:val="00F33817"/>
    <w:rsid w:val="00F420D5"/>
    <w:rsid w:val="00F43A5B"/>
    <w:rsid w:val="00F45035"/>
    <w:rsid w:val="00F451EA"/>
    <w:rsid w:val="00F45447"/>
    <w:rsid w:val="00F456C6"/>
    <w:rsid w:val="00F4577B"/>
    <w:rsid w:val="00F45FD3"/>
    <w:rsid w:val="00F46496"/>
    <w:rsid w:val="00F474D0"/>
    <w:rsid w:val="00F50179"/>
    <w:rsid w:val="00F515EE"/>
    <w:rsid w:val="00F54E2D"/>
    <w:rsid w:val="00F56511"/>
    <w:rsid w:val="00F57EF3"/>
    <w:rsid w:val="00F61142"/>
    <w:rsid w:val="00F6194E"/>
    <w:rsid w:val="00F623AC"/>
    <w:rsid w:val="00F63D0E"/>
    <w:rsid w:val="00F6412A"/>
    <w:rsid w:val="00F65893"/>
    <w:rsid w:val="00F66A4A"/>
    <w:rsid w:val="00F71E22"/>
    <w:rsid w:val="00F72142"/>
    <w:rsid w:val="00F72AE7"/>
    <w:rsid w:val="00F73792"/>
    <w:rsid w:val="00F7522E"/>
    <w:rsid w:val="00F758D5"/>
    <w:rsid w:val="00F75D7E"/>
    <w:rsid w:val="00F76F9E"/>
    <w:rsid w:val="00F81141"/>
    <w:rsid w:val="00F82258"/>
    <w:rsid w:val="00F833BA"/>
    <w:rsid w:val="00F84F88"/>
    <w:rsid w:val="00F84FD0"/>
    <w:rsid w:val="00F859A8"/>
    <w:rsid w:val="00F86D87"/>
    <w:rsid w:val="00F9108B"/>
    <w:rsid w:val="00F91349"/>
    <w:rsid w:val="00F92498"/>
    <w:rsid w:val="00F92C49"/>
    <w:rsid w:val="00F93A8A"/>
    <w:rsid w:val="00F95248"/>
    <w:rsid w:val="00F956A9"/>
    <w:rsid w:val="00F963ED"/>
    <w:rsid w:val="00F966CF"/>
    <w:rsid w:val="00F96CAE"/>
    <w:rsid w:val="00F97C99"/>
    <w:rsid w:val="00FA4DAC"/>
    <w:rsid w:val="00FA55BD"/>
    <w:rsid w:val="00FA662D"/>
    <w:rsid w:val="00FA73B1"/>
    <w:rsid w:val="00FB0CB9"/>
    <w:rsid w:val="00FB231D"/>
    <w:rsid w:val="00FB45F1"/>
    <w:rsid w:val="00FB4A72"/>
    <w:rsid w:val="00FB54E8"/>
    <w:rsid w:val="00FB7054"/>
    <w:rsid w:val="00FC17B7"/>
    <w:rsid w:val="00FC2CB7"/>
    <w:rsid w:val="00FC4090"/>
    <w:rsid w:val="00FC55B4"/>
    <w:rsid w:val="00FC628B"/>
    <w:rsid w:val="00FC7972"/>
    <w:rsid w:val="00FD00E6"/>
    <w:rsid w:val="00FD09A1"/>
    <w:rsid w:val="00FD2A7C"/>
    <w:rsid w:val="00FD59EB"/>
    <w:rsid w:val="00FD7299"/>
    <w:rsid w:val="00FE1FBE"/>
    <w:rsid w:val="00FE3901"/>
    <w:rsid w:val="00FE39D3"/>
    <w:rsid w:val="00FE4BCE"/>
    <w:rsid w:val="00FE54AE"/>
    <w:rsid w:val="00FE576A"/>
    <w:rsid w:val="00FE5BF6"/>
    <w:rsid w:val="00FE7E79"/>
    <w:rsid w:val="00FF2C58"/>
    <w:rsid w:val="00FF33D3"/>
    <w:rsid w:val="00FF3E7D"/>
    <w:rsid w:val="00FF5B99"/>
    <w:rsid w:val="00FF5D2A"/>
    <w:rsid w:val="00FF730C"/>
    <w:rsid w:val="00FF73F4"/>
    <w:rsid w:val="00FF7CE4"/>
    <w:rsid w:val="00FF7E39"/>
    <w:rsid w:val="210607F7"/>
    <w:rsid w:val="2B1630E6"/>
    <w:rsid w:val="35A339B8"/>
    <w:rsid w:val="45D95DD2"/>
    <w:rsid w:val="5A844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uiPriority w:val="99"/>
    <w:pPr>
      <w:jc w:val="left"/>
    </w:pPr>
  </w:style>
  <w:style w:type="paragraph" w:styleId="14">
    <w:name w:val="Body Text"/>
    <w:basedOn w:val="1"/>
    <w:link w:val="88"/>
    <w:qFormat/>
    <w:uiPriority w:val="1"/>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9"/>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1"/>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uiPriority w:val="0"/>
    <w:pPr>
      <w:numPr>
        <w:numId w:val="10"/>
      </w:numPr>
    </w:pPr>
  </w:style>
  <w:style w:type="paragraph" w:customStyle="1" w:styleId="96">
    <w:name w:val="标准文件_三级条标题"/>
    <w:basedOn w:val="67"/>
    <w:next w:val="58"/>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uiPriority w:val="0"/>
    <w:pPr>
      <w:numPr>
        <w:ilvl w:val="0"/>
        <w:numId w:val="12"/>
      </w:numPr>
      <w:spacing w:line="240" w:lineRule="auto"/>
      <w:jc w:val="left"/>
    </w:pPr>
    <w:rPr>
      <w:rFonts w:ascii="宋体" w:hAnsi="宋体"/>
      <w:sz w:val="18"/>
    </w:rPr>
  </w:style>
  <w:style w:type="character" w:customStyle="1" w:styleId="104">
    <w:name w:val="标准文件_图表脚注内容"/>
    <w:uiPriority w:val="0"/>
    <w:rPr>
      <w:rFonts w:ascii="宋体" w:hAnsi="宋体" w:eastAsia="宋体" w:cs="Times New Roman"/>
      <w:spacing w:val="0"/>
      <w:sz w:val="18"/>
      <w:vertAlign w:val="superscript"/>
    </w:rPr>
  </w:style>
  <w:style w:type="paragraph" w:customStyle="1" w:styleId="105">
    <w:name w:val="标准文件_五级条标题"/>
    <w:next w:val="58"/>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uiPriority w:val="0"/>
    <w:pPr>
      <w:spacing w:line="440" w:lineRule="exact"/>
      <w:jc w:val="center"/>
    </w:pPr>
    <w:rPr>
      <w:sz w:val="28"/>
    </w:rPr>
  </w:style>
  <w:style w:type="paragraph" w:customStyle="1" w:styleId="109">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uiPriority w:val="0"/>
    <w:pPr>
      <w:outlineLvl w:val="6"/>
    </w:pPr>
  </w:style>
  <w:style w:type="paragraph" w:customStyle="1" w:styleId="136">
    <w:name w:val="附录性质"/>
    <w:basedOn w:val="1"/>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uiPriority w:val="0"/>
    <w:pPr>
      <w:spacing w:line="240" w:lineRule="auto"/>
    </w:pPr>
    <w:rPr>
      <w:rFonts w:ascii="宋体" w:hAnsi="宋体"/>
    </w:rPr>
  </w:style>
  <w:style w:type="paragraph" w:customStyle="1" w:styleId="148">
    <w:name w:val="目录 61"/>
    <w:basedOn w:val="1"/>
    <w:next w:val="1"/>
    <w:semiHidden/>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uiPriority w:val="0"/>
    <w:rPr>
      <w:rFonts w:ascii="宋体" w:hAnsi="Times New Roman" w:eastAsia="宋体" w:cs="Times New Roman"/>
      <w:sz w:val="21"/>
      <w:lang w:val="en-US" w:eastAsia="zh-CN" w:bidi="ar-SA"/>
    </w:rPr>
  </w:style>
  <w:style w:type="paragraph" w:customStyle="1" w:styleId="174">
    <w:name w:val="标准文件_三级项"/>
    <w:basedOn w:val="1"/>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uiPriority w:val="0"/>
    <w:rPr>
      <w:rFonts w:ascii="黑体" w:eastAsia="黑体"/>
      <w:spacing w:val="85"/>
      <w:w w:val="100"/>
      <w:position w:val="3"/>
      <w:sz w:val="28"/>
      <w:szCs w:val="28"/>
    </w:rPr>
  </w:style>
  <w:style w:type="character" w:customStyle="1" w:styleId="232">
    <w:name w:val="段 Char"/>
    <w:basedOn w:val="29"/>
    <w:link w:val="233"/>
    <w:qFormat/>
    <w:uiPriority w:val="0"/>
    <w:rPr>
      <w:rFonts w:ascii="宋体"/>
    </w:rPr>
  </w:style>
  <w:style w:type="paragraph" w:customStyle="1" w:styleId="233">
    <w:name w:val="段"/>
    <w:link w:val="232"/>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234">
    <w:name w:val="附录表标题"/>
    <w:basedOn w:val="1"/>
    <w:next w:val="1"/>
    <w:uiPriority w:val="0"/>
    <w:pPr>
      <w:numPr>
        <w:ilvl w:val="1"/>
        <w:numId w:val="32"/>
      </w:numPr>
      <w:tabs>
        <w:tab w:val="left" w:pos="180"/>
      </w:tabs>
      <w:adjustRightInd/>
      <w:spacing w:beforeLines="50" w:afterLines="50" w:line="240" w:lineRule="auto"/>
      <w:jc w:val="center"/>
    </w:pPr>
    <w:rPr>
      <w:rFonts w:ascii="黑体" w:hAnsi="Times New Roman" w:eastAsia="黑体"/>
    </w:rPr>
  </w:style>
  <w:style w:type="paragraph" w:customStyle="1" w:styleId="235">
    <w:name w:val="注：（正文）"/>
    <w:basedOn w:val="1"/>
    <w:next w:val="1"/>
    <w:uiPriority w:val="0"/>
    <w:pPr>
      <w:numPr>
        <w:ilvl w:val="0"/>
        <w:numId w:val="32"/>
      </w:numPr>
      <w:autoSpaceDE w:val="0"/>
      <w:autoSpaceDN w:val="0"/>
      <w:adjustRightInd/>
      <w:spacing w:line="240" w:lineRule="auto"/>
    </w:pPr>
    <w:rPr>
      <w:rFonts w:ascii="宋体" w:hAnsi="Times New Roman"/>
      <w:kern w:val="0"/>
      <w:sz w:val="18"/>
      <w:szCs w:val="18"/>
    </w:rPr>
  </w:style>
  <w:style w:type="paragraph" w:customStyle="1" w:styleId="236">
    <w:name w:val="表内文字居中"/>
    <w:basedOn w:val="1"/>
    <w:uiPriority w:val="99"/>
    <w:pPr>
      <w:adjustRightInd/>
      <w:snapToGrid w:val="0"/>
      <w:spacing w:line="240" w:lineRule="auto"/>
      <w:jc w:val="center"/>
    </w:pPr>
    <w:rPr>
      <w:rFonts w:ascii="Times New Roman" w:hAnsi="Times New Roman"/>
      <w:spacing w:val="4"/>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glossaryDocument" Target="glossary/document.xml"/><Relationship Id="rId37" Type="http://schemas.openxmlformats.org/officeDocument/2006/relationships/fontTable" Target="fontTable.xml"/><Relationship Id="rId36" Type="http://schemas.openxmlformats.org/officeDocument/2006/relationships/customXml" Target="../customXml/item3.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oleObject" Target="embeddings/oleObject6.bin"/><Relationship Id="rId31" Type="http://schemas.openxmlformats.org/officeDocument/2006/relationships/oleObject" Target="embeddings/oleObject5.bin"/><Relationship Id="rId30" Type="http://schemas.openxmlformats.org/officeDocument/2006/relationships/image" Target="media/image7.w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image" Target="media/image6.wmf"/><Relationship Id="rId27" Type="http://schemas.openxmlformats.org/officeDocument/2006/relationships/oleObject" Target="embeddings/oleObject3.bin"/><Relationship Id="rId26" Type="http://schemas.openxmlformats.org/officeDocument/2006/relationships/image" Target="media/image5.wmf"/><Relationship Id="rId25" Type="http://schemas.openxmlformats.org/officeDocument/2006/relationships/oleObject" Target="embeddings/oleObject2.bin"/><Relationship Id="rId24" Type="http://schemas.openxmlformats.org/officeDocument/2006/relationships/image" Target="media/image4.wmf"/><Relationship Id="rId23" Type="http://schemas.openxmlformats.org/officeDocument/2006/relationships/oleObject" Target="embeddings/oleObject1.bin"/><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9F3AA1280C1401E9FCC4BAF20C67D9C"/>
        <w:style w:val=""/>
        <w:category>
          <w:name w:val="常规"/>
          <w:gallery w:val="placeholder"/>
        </w:category>
        <w:types>
          <w:type w:val="bbPlcHdr"/>
        </w:types>
        <w:behaviors>
          <w:behavior w:val="content"/>
        </w:behaviors>
        <w:description w:val=""/>
        <w:guid w:val="{99E05F7D-54BB-4F96-90DD-A90673378C61}"/>
      </w:docPartPr>
      <w:docPartBody>
        <w:p w14:paraId="26D1F7F6">
          <w:pPr>
            <w:pStyle w:val="5"/>
            <w:rPr>
              <w:rFonts w:hint="eastAsia"/>
            </w:rPr>
          </w:pPr>
          <w:r>
            <w:rPr>
              <w:rStyle w:val="4"/>
              <w:rFonts w:hint="eastAsia"/>
            </w:rPr>
            <w:t>单击或点击此处输入文字。</w:t>
          </w:r>
        </w:p>
      </w:docPartBody>
    </w:docPart>
    <w:docPart>
      <w:docPartPr>
        <w:name w:val="0F47A82110624920B588E909FE6235B2"/>
        <w:style w:val=""/>
        <w:category>
          <w:name w:val="常规"/>
          <w:gallery w:val="placeholder"/>
        </w:category>
        <w:types>
          <w:type w:val="bbPlcHdr"/>
        </w:types>
        <w:behaviors>
          <w:behavior w:val="content"/>
        </w:behaviors>
        <w:description w:val=""/>
        <w:guid w:val="{177D4DD7-DCCF-49D0-97C9-2E736427DE73}"/>
      </w:docPartPr>
      <w:docPartBody>
        <w:p w14:paraId="5E9C4911">
          <w:pPr>
            <w:pStyle w:val="6"/>
            <w:rPr>
              <w:rFonts w:hint="eastAsia"/>
            </w:rPr>
          </w:pPr>
          <w:r>
            <w:rPr>
              <w:rStyle w:val="4"/>
              <w:rFonts w:hint="eastAsia"/>
            </w:rPr>
            <w:t>选择一项。</w:t>
          </w:r>
        </w:p>
      </w:docPartBody>
    </w:docPart>
    <w:docPart>
      <w:docPartPr>
        <w:name w:val="82D1A8C66760455791C439DC559C65C4"/>
        <w:style w:val=""/>
        <w:category>
          <w:name w:val="常规"/>
          <w:gallery w:val="placeholder"/>
        </w:category>
        <w:types>
          <w:type w:val="bbPlcHdr"/>
        </w:types>
        <w:behaviors>
          <w:behavior w:val="content"/>
        </w:behaviors>
        <w:description w:val=""/>
        <w:guid w:val="{BB21D6F6-BD2D-4D82-84C0-CD6C4A830190}"/>
      </w:docPartPr>
      <w:docPartBody>
        <w:p w14:paraId="723B3F2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70B"/>
    <w:rsid w:val="00021C4C"/>
    <w:rsid w:val="000603D3"/>
    <w:rsid w:val="000606FF"/>
    <w:rsid w:val="001016F6"/>
    <w:rsid w:val="0011795A"/>
    <w:rsid w:val="00160645"/>
    <w:rsid w:val="00175978"/>
    <w:rsid w:val="001D53EF"/>
    <w:rsid w:val="00210C71"/>
    <w:rsid w:val="00247BEE"/>
    <w:rsid w:val="00294C55"/>
    <w:rsid w:val="00315DD5"/>
    <w:rsid w:val="00344476"/>
    <w:rsid w:val="003B0B92"/>
    <w:rsid w:val="003D0BF4"/>
    <w:rsid w:val="004621DF"/>
    <w:rsid w:val="004A0A2B"/>
    <w:rsid w:val="004B39E3"/>
    <w:rsid w:val="004B7925"/>
    <w:rsid w:val="00513466"/>
    <w:rsid w:val="0054664E"/>
    <w:rsid w:val="00546E34"/>
    <w:rsid w:val="00551B02"/>
    <w:rsid w:val="00581CD2"/>
    <w:rsid w:val="005B09D6"/>
    <w:rsid w:val="005B294C"/>
    <w:rsid w:val="005C2F72"/>
    <w:rsid w:val="006069BF"/>
    <w:rsid w:val="00615B79"/>
    <w:rsid w:val="006223A9"/>
    <w:rsid w:val="006558E9"/>
    <w:rsid w:val="00670B82"/>
    <w:rsid w:val="00681257"/>
    <w:rsid w:val="006816C0"/>
    <w:rsid w:val="00685829"/>
    <w:rsid w:val="006A1378"/>
    <w:rsid w:val="006A4A01"/>
    <w:rsid w:val="00712842"/>
    <w:rsid w:val="00715B3A"/>
    <w:rsid w:val="00764BA8"/>
    <w:rsid w:val="0079064D"/>
    <w:rsid w:val="00823D99"/>
    <w:rsid w:val="008A2C8C"/>
    <w:rsid w:val="008E257C"/>
    <w:rsid w:val="009025BE"/>
    <w:rsid w:val="00907ADC"/>
    <w:rsid w:val="0091049A"/>
    <w:rsid w:val="00912A7F"/>
    <w:rsid w:val="0098512F"/>
    <w:rsid w:val="009F0848"/>
    <w:rsid w:val="00A031C0"/>
    <w:rsid w:val="00A70D05"/>
    <w:rsid w:val="00A97E48"/>
    <w:rsid w:val="00AC1113"/>
    <w:rsid w:val="00B658D1"/>
    <w:rsid w:val="00C31051"/>
    <w:rsid w:val="00C31E00"/>
    <w:rsid w:val="00C42C8E"/>
    <w:rsid w:val="00D0545C"/>
    <w:rsid w:val="00D366BF"/>
    <w:rsid w:val="00D902B8"/>
    <w:rsid w:val="00D9241F"/>
    <w:rsid w:val="00DC6244"/>
    <w:rsid w:val="00DE43CD"/>
    <w:rsid w:val="00DE670B"/>
    <w:rsid w:val="00DF410A"/>
    <w:rsid w:val="00E41066"/>
    <w:rsid w:val="00E44FBB"/>
    <w:rsid w:val="00E45442"/>
    <w:rsid w:val="00F61142"/>
    <w:rsid w:val="00F65318"/>
    <w:rsid w:val="00FA2311"/>
    <w:rsid w:val="00FE7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59F3AA1280C1401E9FCC4BAF20C67D9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F47A82110624920B588E909FE6235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2D1A8C66760455791C439DC559C65C4"/>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a30c346b-8c16-42cd-8765-260cc8e39d63</errorID>
      <errorWord>漏泄</errorWord>
      <group>L1_Word</group>
      <groupName>字词问题</groupName>
      <ability>L2_Typo</ability>
      <abilityName>字词错误</abilityName>
      <candidateList>
        <item>泄漏</item>
      </candidateList>
      <explain/>
      <paraID>4AF9D1B7</paraID>
      <start>17</start>
      <end>19</end>
      <status>unmodified</status>
      <modifiedWord/>
      <trackRevisions>false</trackRevisions>
    </reviewItem>
    <reviewItem>
      <errorID>feb64d69-5c6f-4af9-8b2a-e6cd102c7740</errorID>
      <errorWord>形</errorWord>
      <group>L1_Word</group>
      <groupName>字词问题</groupName>
      <ability>L2_Typo</ability>
      <abilityName>字词错误</abilityName>
      <candidateList>
        <item>型</item>
      </candidateList>
      <explain>存在发音相同字词的误用。</explain>
      <paraID>129CB164</paraID>
      <start>28</start>
      <end>29</end>
      <status>unmodified</status>
      <modifiedWord/>
      <trackRevisions>false</trackRevisions>
    </reviewItem>
    <reviewItem>
      <errorID>8d13bc2e-1eb1-4480-8507-65f2c67edbca</errorID>
      <errorWord>短时电流</errorWord>
      <group>L1_Knowledge</group>
      <groupName>知识性问题</groupName>
      <ability>L2_Term</ability>
      <abilityName>专业术语</abilityName>
      <candidateList>
        <item>短路电流</item>
      </candidateList>
      <explain/>
      <paraID>7280E5AD</paraID>
      <start>58</start>
      <end>62</end>
      <status>unmodified</status>
      <modifiedWord/>
      <trackRevisions>false</trackRevisions>
    </reviewItem>
    <reviewItem>
      <errorID>d8c6f585-c311-48a8-a61e-1558db8d63b4</errorID>
      <errorWord>对与</errorWord>
      <group>L1_Word</group>
      <groupName>字词问题</groupName>
      <ability>L2_Typo</ability>
      <abilityName>字词错误</abilityName>
      <candidateList>
        <item>对于</item>
      </candidateList>
      <explain>〈介〉引进对象或事物的关系者：～公共财产，无论大小，我们都应该爱惜｜大家～这个问题的意见是一致的。</explain>
      <paraID>2F001719</paraID>
      <start>31</start>
      <end>33</end>
      <status>unmodified</status>
      <modifiedWord/>
      <trackRevisions>false</trackRevisions>
    </reviewItem>
    <reviewItem>
      <errorID>d09273f4-6c78-4ffa-8a29-3bdb8cf00bb8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43E026A5</paraID>
      <start>13</start>
      <end>14</end>
      <status>unmodified</status>
      <modifiedWord/>
      <trackRevisions>false</trackRevisions>
    </reviewItem>
    <reviewItem>
      <errorID>3cf6c524-8b4e-4668-b959-235ef37d2012</errorID>
      <errorWord>（</errorWord>
      <group>L1_Format</group>
      <groupName>格式问题</groupName>
      <ability>L2_HalfPunc</ability>
      <abilityName>全半角检查</abilityName>
      <candidateList>
        <item>(</item>
      </candidateList>
      <explain>文本全半角错误。</explain>
      <paraID>30F0A442</paraID>
      <start>99</start>
      <end>100</end>
      <status>unmodified</status>
      <modifiedWord/>
      <trackRevisions>false</trackRevisions>
    </reviewItem>
    <reviewItem>
      <errorID>67f1d677-9f4b-463b-aadb-34290b1e6086</errorID>
      <errorWord>）</errorWord>
      <group>L1_Format</group>
      <groupName>格式问题</groupName>
      <ability>L2_HalfPunc</ability>
      <abilityName>全半角检查</abilityName>
      <candidateList>
        <item>)</item>
      </candidateList>
      <explain>文本全半角错误。</explain>
      <paraID>30F0A442</paraID>
      <start>101</start>
      <end>102</end>
      <status>unmodified</status>
      <modifiedWord/>
      <trackRevisions>false</trackRevisions>
    </reviewItem>
    <reviewItem>
      <errorID>00f00815-12d9-489d-b76e-7d22066fb332</errorID>
      <errorWord>:</errorWord>
      <group>L1_Format</group>
      <groupName>格式问题</groupName>
      <ability>L2_HalfPunc</ability>
      <abilityName>全半角检查</abilityName>
      <candidateList>
        <item>：</item>
      </candidateList>
      <explain>文本全半角错误。</explain>
      <paraID>366B2192</paraID>
      <start>2</start>
      <end>3</end>
      <status>unmodified</status>
      <modifiedWord/>
      <trackRevisions>false</trackRevisions>
    </reviewItem>
    <reviewItem>
      <errorID>f5a3d0a7-5401-4998-b871-169cd713378e</errorID>
      <errorWord>：</errorWord>
      <group>L1_Format</group>
      <groupName>格式问题</groupName>
      <ability>L2_HalfPunc</ability>
      <abilityName>全半角检查</abilityName>
      <candidateList>
        <item>:</item>
      </candidateList>
      <explain>文本全半角错误。</explain>
      <paraID>6B3C72CE</paraID>
      <start>2</start>
      <end>3</end>
      <status>unmodified</status>
      <modifiedWord/>
      <trackRevisions>false</trackRevisions>
    </reviewItem>
    <reviewItem>
      <errorID>155a5a75-462f-495c-a9bd-369c1eeb0c03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65A9883F</paraID>
      <start>13</start>
      <end>14</end>
      <status>unmodified</status>
      <modifiedWord/>
      <trackRevisions>false</trackRevisions>
    </reviewItem>
    <reviewItem>
      <errorID>095f3015-d5cc-4345-8f5b-7a58062a4451</errorID>
      <errorWord>（</errorWord>
      <group>L1_Format</group>
      <groupName>格式问题</groupName>
      <ability>L2_HalfPunc</ability>
      <abilityName>全半角检查</abilityName>
      <candidateList>
        <item>(</item>
      </candidateList>
      <explain>文本全半角错误。</explain>
      <paraID>486DD51A</paraID>
      <start>99</start>
      <end>100</end>
      <status>unmodified</status>
      <modifiedWord/>
      <trackRevisions>false</trackRevisions>
    </reviewItem>
    <reviewItem>
      <errorID>63f4b8a7-1912-421a-9cb3-e39a2c646277</errorID>
      <errorWord>）</errorWord>
      <group>L1_Format</group>
      <groupName>格式问题</groupName>
      <ability>L2_HalfPunc</ability>
      <abilityName>全半角检查</abilityName>
      <candidateList>
        <item>)</item>
      </candidateList>
      <explain>文本全半角错误。</explain>
      <paraID>486DD51A</paraID>
      <start>101</start>
      <end>102</end>
      <status>unmodified</status>
      <modifiedWord/>
      <trackRevisions>false</trackRevisions>
    </reviewItem>
    <reviewItem>
      <errorID>1bd4e646-0047-414f-944e-a761ecf3d514</errorID>
      <errorWord>可</errorWord>
      <group>L1_Word</group>
      <groupName>字词问题</groupName>
      <ability>L2_Typo</ability>
      <abilityName>字词错误</abilityName>
      <candidateList>
        <item>可以</item>
      </candidateList>
      <explain>〈口〉〈形〉❶好；不坏；过得去：这篇文章写得还～。❷厉害：你这张嘴真～｜天气实在热得～。</explain>
      <paraID>1F76D5AF</paraID>
      <start>153</start>
      <end>154</end>
      <status>unmodified</status>
      <modifiedWord/>
      <trackRevisions>false</trackRevisions>
    </reviewItem>
    <reviewItem>
      <errorID>76e07d89-8c4f-46fa-a230-906cbe859238</errorID>
      <errorWord>（</errorWord>
      <group>L1_Format</group>
      <groupName>格式问题</groupName>
      <ability>L2_HalfPunc</ability>
      <abilityName>全半角检查</abilityName>
      <candidateList>
        <item>(</item>
      </candidateList>
      <explain>文本全半角错误。</explain>
      <paraID>6A71106A</paraID>
      <start>95</start>
      <end>96</end>
      <status>unmodified</status>
      <modifiedWord/>
      <trackRevisions>false</trackRevisions>
    </reviewItem>
    <reviewItem>
      <errorID>8f08a378-22de-4133-aa5b-83010330b34b</errorID>
      <errorWord>）</errorWord>
      <group>L1_Format</group>
      <groupName>格式问题</groupName>
      <ability>L2_HalfPunc</ability>
      <abilityName>全半角检查</abilityName>
      <candidateList>
        <item>)</item>
      </candidateList>
      <explain>文本全半角错误。</explain>
      <paraID>6A71106A</paraID>
      <start>97</start>
      <end>98</end>
      <status>unmodified</status>
      <modifiedWord/>
      <trackRevisions>false</trackRevisions>
    </reviewItem>
    <reviewItem>
      <errorID>28f013fd-2ea7-4f10-8983-e2583d92e8cc</errorID>
      <errorWord>安每平方米</errorWord>
      <group>L1_Word</group>
      <groupName>字词问题</groupName>
      <ability>L2_Typo</ability>
      <abilityName>字词错误</abilityName>
      <candidateList>
        <item>按每平方米</item>
      </candidateList>
      <explain/>
      <paraID>68ADC5AF</paraID>
      <start>41</start>
      <end>46</end>
      <status>unmodified</status>
      <modifiedWord/>
      <trackRevisions>false</trackRevisions>
    </reviewItem>
    <reviewItem>
      <errorID>e19fe8ea-8bdf-4070-80e8-a6ff43d931e7</errorID>
      <errorWord>＜</errorWord>
      <group>L1_Format</group>
      <groupName>格式问题</groupName>
      <ability>L2_HalfPunc</ability>
      <abilityName>全半角检查</abilityName>
      <candidateList>
        <item>&lt;</item>
      </candidateList>
      <explain>文本全半角错误。</explain>
      <paraID>720F7998</paraID>
      <start>0</start>
      <end>1</end>
      <status>unmodified</status>
      <modifiedWord/>
      <trackRevisions>false</trackRevisions>
    </reviewItem>
    <reviewItem>
      <errorID>548b2bba-51a9-46e3-99e4-023137b16a33</errorID>
      <errorWord>～</errorWord>
      <group>L1_Format</group>
      <groupName>格式问题</groupName>
      <ability>L2_HalfPunc</ability>
      <abilityName>全半角检查</abilityName>
      <candidateList>
        <item>~</item>
      </candidateList>
      <explain>文本全半角错误。</explain>
      <paraID>56B8AD22</paraID>
      <start>3</start>
      <end>4</end>
      <status>unmodified</status>
      <modifiedWord/>
      <trackRevisions>false</trackRevisions>
    </reviewItem>
    <reviewItem>
      <errorID>a3394bc9-fe30-4c0f-b6e0-61bfec8a4c0e</errorID>
      <errorWord>＞</errorWord>
      <group>L1_Format</group>
      <groupName>格式问题</groupName>
      <ability>L2_HalfPunc</ability>
      <abilityName>全半角检查</abilityName>
      <candidateList>
        <item>&gt;</item>
      </candidateList>
      <explain>文本全半角错误。</explain>
      <paraID> 5D6E75E</paraID>
      <start>0</start>
      <end>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customXml/itemProps3.xml><?xml version="1.0" encoding="utf-8"?>
<ds:datastoreItem xmlns:ds="http://schemas.openxmlformats.org/officeDocument/2006/customXml" ds:itemID="{c3700b9d-29ef-4359-bb8f-d19338d77be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1924</Words>
  <Characters>2208</Characters>
  <Lines>32</Lines>
  <Paragraphs>9</Paragraphs>
  <TotalTime>102</TotalTime>
  <ScaleCrop>false</ScaleCrop>
  <LinksUpToDate>false</LinksUpToDate>
  <CharactersWithSpaces>2340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2025-09-22T01:31:00Z</dcterms:created>
  <dc:creator>hjj</dc:creator>
  <dc:description>&lt;config cover="true" show_menu="true" version="1.0.0" doctype="SDKXY"&gt;_x000d_
&lt;/config&gt;</dc:description>
  <cp:lastModifiedBy>忐忑</cp:lastModifiedBy>
  <cp:lastPrinted>2024-03-12T05:25:00Z</cp:lastPrinted>
  <dcterms:modified xsi:type="dcterms:W3CDTF">2025-11-14T02:07:43Z</dcterms:modified>
  <dc:title>地方标准</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2052-12.1.0.23542</vt:lpwstr>
  </property>
  <property fmtid="{D5CDD505-2E9C-101B-9397-08002B2CF9AE}" pid="15" name="ICV">
    <vt:lpwstr>6DEC0EC13E554CE59A01A9507B9E50CF</vt:lpwstr>
  </property>
  <property fmtid="{D5CDD505-2E9C-101B-9397-08002B2CF9AE}" pid="16" name="DoublePage">
    <vt:lpwstr>true</vt:lpwstr>
  </property>
  <property fmtid="{D5CDD505-2E9C-101B-9397-08002B2CF9AE}" pid="17" name="KSOTemplateDocerSaveRecord">
    <vt:lpwstr>eyJoZGlkIjoiMjE1MGZmOTRhZjllMGExZDlkZTMzYmYzNTljMTkwODUiLCJ1c2VySWQiOiI0MzYwMTU0NjQifQ==</vt:lpwstr>
  </property>
</Properties>
</file>