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480A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A263BD5">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7D22920">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65.020.20</w:t>
            </w:r>
            <w:r>
              <w:rPr>
                <w:rFonts w:ascii="黑体" w:hAnsi="黑体" w:eastAsia="黑体"/>
                <w:sz w:val="21"/>
                <w:szCs w:val="21"/>
              </w:rPr>
              <w:fldChar w:fldCharType="end"/>
            </w:r>
            <w:bookmarkEnd w:id="0"/>
          </w:p>
        </w:tc>
      </w:tr>
      <w:tr w14:paraId="03F6F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77FAD0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81DA2A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2E08AD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440BEB2">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54</w:t>
            </w:r>
            <w:r>
              <w:fldChar w:fldCharType="end"/>
            </w:r>
            <w:bookmarkEnd w:id="3"/>
          </w:p>
        </w:tc>
      </w:tr>
    </w:tbl>
    <w:p w14:paraId="6B3BC561">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F100190">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54/T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4</w:t>
      </w:r>
      <w:r>
        <w:fldChar w:fldCharType="end"/>
      </w:r>
      <w:bookmarkEnd w:id="7"/>
    </w:p>
    <w:p w14:paraId="5418DDBC">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8FF48D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49A4E40">
      <w:pPr>
        <w:pStyle w:val="51"/>
        <w:framePr w:w="9639" w:h="6976" w:hRule="exact" w:hSpace="0" w:vSpace="0" w:wrap="around" w:hAnchor="page" w:y="6408"/>
        <w:jc w:val="center"/>
        <w:rPr>
          <w:rFonts w:hint="eastAsia" w:ascii="黑体" w:hAnsi="黑体" w:eastAsia="黑体"/>
          <w:b w:val="0"/>
          <w:bCs w:val="0"/>
          <w:w w:val="100"/>
        </w:rPr>
      </w:pPr>
    </w:p>
    <w:p w14:paraId="3EB8C78A">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高寒盐碱地燕麦高产栽培技术规程</w:t>
      </w:r>
      <w:r>
        <w:fldChar w:fldCharType="end"/>
      </w:r>
      <w:bookmarkEnd w:id="9"/>
    </w:p>
    <w:p w14:paraId="51CBCE40">
      <w:pPr>
        <w:framePr w:w="9639" w:h="6974" w:hRule="exact" w:wrap="around" w:vAnchor="page" w:hAnchor="page" w:x="1419" w:y="6408" w:anchorLock="1"/>
        <w:ind w:left="-1418"/>
      </w:pPr>
    </w:p>
    <w:p w14:paraId="12B45448">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2B11F844">
      <w:pPr>
        <w:framePr w:w="9639" w:h="6974" w:hRule="exact" w:wrap="around" w:vAnchor="page" w:hAnchor="page" w:x="1419" w:y="6408" w:anchorLock="1"/>
        <w:spacing w:line="760" w:lineRule="exact"/>
        <w:ind w:left="-1418"/>
      </w:pPr>
    </w:p>
    <w:p w14:paraId="6B6E25B0">
      <w:pPr>
        <w:pStyle w:val="126"/>
        <w:framePr w:w="9639" w:h="6974" w:hRule="exact" w:wrap="around" w:vAnchor="page" w:hAnchor="page" w:x="1419" w:y="6408" w:anchorLock="1"/>
        <w:textAlignment w:val="bottom"/>
        <w:rPr>
          <w:rFonts w:eastAsia="黑体"/>
          <w:szCs w:val="28"/>
        </w:rPr>
      </w:pPr>
    </w:p>
    <w:p w14:paraId="7BA8BABC">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310AA6C">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（本草案完成时间：2025年</w:t>
      </w:r>
      <w:r>
        <w:rPr>
          <w:rFonts w:hint="eastAsia"/>
          <w:sz w:val="21"/>
          <w:szCs w:val="28"/>
          <w:lang w:val="en-US" w:eastAsia="zh-CN"/>
        </w:rPr>
        <w:t>11</w:t>
      </w:r>
      <w:r>
        <w:rPr>
          <w:rFonts w:hint="eastAsia"/>
          <w:sz w:val="21"/>
          <w:szCs w:val="28"/>
        </w:rPr>
        <w:t>月</w:t>
      </w:r>
      <w:r>
        <w:rPr>
          <w:rFonts w:hint="eastAsia"/>
          <w:sz w:val="21"/>
          <w:szCs w:val="28"/>
          <w:lang w:val="en-US" w:eastAsia="zh-CN"/>
        </w:rPr>
        <w:t>1</w:t>
      </w:r>
      <w:r>
        <w:rPr>
          <w:rFonts w:hint="eastAsia"/>
          <w:sz w:val="21"/>
          <w:szCs w:val="28"/>
        </w:rPr>
        <w:t>日）</w:t>
      </w:r>
      <w:r>
        <w:rPr>
          <w:sz w:val="21"/>
          <w:szCs w:val="28"/>
        </w:rPr>
        <w:fldChar w:fldCharType="end"/>
      </w:r>
      <w:bookmarkEnd w:id="12"/>
    </w:p>
    <w:p w14:paraId="0166A8E9">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A6AA48C">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w:t>
      </w:r>
      <w:r>
        <w:rPr>
          <w:rFonts w:hint="eastAsia" w:ascii="黑体"/>
        </w:rPr>
        <w:t>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83767A7">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w:t>
      </w:r>
      <w:r>
        <w:rPr>
          <w:rFonts w:hint="eastAsia" w:ascii="黑体"/>
        </w:rPr>
        <w:t>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09039FA">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西藏自治区市场监督管理局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80CEA2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2800587">
      <w:pPr>
        <w:pStyle w:val="92"/>
        <w:spacing w:after="468"/>
      </w:pPr>
      <w:bookmarkStart w:id="21" w:name="BookMark1"/>
      <w:bookmarkStart w:id="22" w:name="_Toc152086407"/>
      <w:bookmarkStart w:id="23" w:name="_Toc153440745"/>
      <w:r>
        <w:rPr>
          <w:rFonts w:hint="eastAsia"/>
          <w:spacing w:val="320"/>
        </w:rPr>
        <w:t>目</w:t>
      </w:r>
      <w:r>
        <w:rPr>
          <w:rFonts w:hint="eastAsia"/>
        </w:rPr>
        <w:t>次</w:t>
      </w:r>
    </w:p>
    <w:p w14:paraId="31FE9A58">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TOC \o "1-1" \h </w:instrText>
      </w:r>
      <w:r>
        <w:fldChar w:fldCharType="separate"/>
      </w:r>
      <w:r>
        <w:fldChar w:fldCharType="begin"/>
      </w:r>
      <w:r>
        <w:instrText xml:space="preserve"> HYPERLINK \l "_Toc212224716" </w:instrText>
      </w:r>
      <w:r>
        <w:fldChar w:fldCharType="separate"/>
      </w:r>
      <w:r>
        <w:rPr>
          <w:rStyle w:val="33"/>
          <w:rFonts w:hint="eastAsia"/>
          <w:spacing w:val="320"/>
        </w:rPr>
        <w:t>前</w:t>
      </w:r>
      <w:r>
        <w:rPr>
          <w:rStyle w:val="33"/>
          <w:rFonts w:hint="eastAsia"/>
        </w:rPr>
        <w:t>言</w:t>
      </w:r>
      <w:r>
        <w:rPr>
          <w:rFonts w:hint="eastAsia"/>
        </w:rPr>
        <w:tab/>
      </w:r>
      <w:r>
        <w:rPr>
          <w:rFonts w:hint="eastAsia"/>
        </w:rPr>
        <w:fldChar w:fldCharType="begin"/>
      </w:r>
      <w:r>
        <w:rPr>
          <w:rFonts w:hint="eastAsia"/>
        </w:rPr>
        <w:instrText xml:space="preserve"> </w:instrText>
      </w:r>
      <w:r>
        <w:instrText xml:space="preserve">PAGEREF _Toc212224716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0F73ED5A">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"_Toc212224717" </w:instrText>
      </w:r>
      <w:r>
        <w:fldChar w:fldCharType="separate"/>
      </w:r>
      <w:r>
        <w:rPr>
          <w:rStyle w:val="33"/>
          <w:rFonts w:hint="eastAsia"/>
        </w:rPr>
        <w:t>1 范围</w:t>
      </w:r>
      <w:r>
        <w:rPr>
          <w:rFonts w:hint="eastAsia"/>
        </w:rPr>
        <w:tab/>
      </w:r>
      <w:r>
        <w:rPr>
          <w:rFonts w:hint="eastAsia"/>
        </w:rPr>
        <w:fldChar w:fldCharType="begin"/>
      </w:r>
      <w:r>
        <w:rPr>
          <w:rFonts w:hint="eastAsia"/>
        </w:rPr>
        <w:instrText xml:space="preserve"> </w:instrText>
      </w:r>
      <w:r>
        <w:instrText xml:space="preserve">PAGEREF _Toc212224717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D653ED4">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"_Toc212224718" </w:instrText>
      </w:r>
      <w:r>
        <w:fldChar w:fldCharType="separate"/>
      </w:r>
      <w:r>
        <w:rPr>
          <w:rStyle w:val="33"/>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_Toc212224718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0284080">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"_Toc212224719" </w:instrText>
      </w:r>
      <w:r>
        <w:fldChar w:fldCharType="separate"/>
      </w:r>
      <w:r>
        <w:rPr>
          <w:rStyle w:val="33"/>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_Toc212224719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33F6783">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"_Toc212224720" </w:instrText>
      </w:r>
      <w:r>
        <w:fldChar w:fldCharType="separate"/>
      </w:r>
      <w:r>
        <w:rPr>
          <w:rStyle w:val="33"/>
          <w:rFonts w:hint="eastAsia"/>
        </w:rPr>
        <w:t>4 播前准备</w:t>
      </w:r>
      <w:r>
        <w:rPr>
          <w:rFonts w:hint="eastAsia"/>
        </w:rPr>
        <w:tab/>
      </w:r>
      <w:r>
        <w:rPr>
          <w:rFonts w:hint="eastAsia"/>
        </w:rPr>
        <w:fldChar w:fldCharType="begin"/>
      </w:r>
      <w:r>
        <w:rPr>
          <w:rFonts w:hint="eastAsia"/>
        </w:rPr>
        <w:instrText xml:space="preserve"> </w:instrText>
      </w:r>
      <w:r>
        <w:instrText xml:space="preserve">PAGEREF _Toc212224720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272CD7B">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"_Toc212224721" </w:instrText>
      </w:r>
      <w:r>
        <w:fldChar w:fldCharType="separate"/>
      </w:r>
      <w:r>
        <w:rPr>
          <w:rStyle w:val="33"/>
          <w:rFonts w:hint="eastAsia"/>
        </w:rPr>
        <w:t>5 播种</w:t>
      </w:r>
      <w:r>
        <w:rPr>
          <w:rFonts w:hint="eastAsia"/>
        </w:rPr>
        <w:tab/>
      </w:r>
      <w:r>
        <w:rPr>
          <w:rFonts w:hint="eastAsia"/>
        </w:rPr>
        <w:fldChar w:fldCharType="begin"/>
      </w:r>
      <w:r>
        <w:rPr>
          <w:rFonts w:hint="eastAsia"/>
        </w:rPr>
        <w:instrText xml:space="preserve"> </w:instrText>
      </w:r>
      <w:r>
        <w:instrText xml:space="preserve">PAGEREF _Toc212224721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941A6B3">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"_Toc212224722" </w:instrText>
      </w:r>
      <w:r>
        <w:fldChar w:fldCharType="separate"/>
      </w:r>
      <w:r>
        <w:rPr>
          <w:rStyle w:val="33"/>
          <w:rFonts w:hint="eastAsia"/>
        </w:rPr>
        <w:t>6 田间管理</w:t>
      </w:r>
      <w:r>
        <w:rPr>
          <w:rFonts w:hint="eastAsia"/>
        </w:rPr>
        <w:tab/>
      </w:r>
      <w:r>
        <w:rPr>
          <w:rFonts w:hint="eastAsia"/>
        </w:rPr>
        <w:fldChar w:fldCharType="begin"/>
      </w:r>
      <w:r>
        <w:rPr>
          <w:rFonts w:hint="eastAsia"/>
        </w:rPr>
        <w:instrText xml:space="preserve"> </w:instrText>
      </w:r>
      <w:r>
        <w:instrText xml:space="preserve">PAGEREF _Toc212224722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6A508A7">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"_Toc212224723" </w:instrText>
      </w:r>
      <w:r>
        <w:fldChar w:fldCharType="separate"/>
      </w:r>
      <w:r>
        <w:rPr>
          <w:rStyle w:val="33"/>
          <w:rFonts w:hint="eastAsia"/>
        </w:rPr>
        <w:t>7 收割与贮藏</w:t>
      </w:r>
      <w:r>
        <w:rPr>
          <w:rFonts w:hint="eastAsia"/>
        </w:rPr>
        <w:tab/>
      </w:r>
      <w:r>
        <w:rPr>
          <w:rFonts w:hint="eastAsia"/>
        </w:rPr>
        <w:fldChar w:fldCharType="begin"/>
      </w:r>
      <w:r>
        <w:rPr>
          <w:rFonts w:hint="eastAsia"/>
        </w:rPr>
        <w:instrText xml:space="preserve"> </w:instrText>
      </w:r>
      <w:r>
        <w:instrText xml:space="preserve">PAGEREF _Toc212224723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449D099">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"_Toc212224724" </w:instrText>
      </w:r>
      <w:r>
        <w:fldChar w:fldCharType="separate"/>
      </w:r>
      <w:r>
        <w:rPr>
          <w:rStyle w:val="33"/>
          <w:rFonts w:hint="eastAsia"/>
          <w:spacing w:val="100"/>
        </w:rPr>
        <w:t>附录A</w:t>
      </w:r>
      <w:r>
        <w:rPr>
          <w:rStyle w:val="33"/>
          <w:rFonts w:hint="eastAsia"/>
        </w:rPr>
        <w:t xml:space="preserve"> （资料性附录） 推荐使用的生物有机肥参数</w:t>
      </w:r>
      <w:r>
        <w:rPr>
          <w:rFonts w:hint="eastAsia"/>
        </w:rPr>
        <w:tab/>
      </w:r>
      <w:r>
        <w:rPr>
          <w:rFonts w:hint="eastAsia"/>
        </w:rPr>
        <w:fldChar w:fldCharType="begin"/>
      </w:r>
      <w:r>
        <w:rPr>
          <w:rFonts w:hint="eastAsia"/>
        </w:rPr>
        <w:instrText xml:space="preserve"> </w:instrText>
      </w:r>
      <w:r>
        <w:instrText xml:space="preserve">PAGEREF _Toc212224724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ED466ED">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"_Toc212224725" </w:instrText>
      </w:r>
      <w:r>
        <w:fldChar w:fldCharType="separate"/>
      </w:r>
      <w:r>
        <w:rPr>
          <w:rStyle w:val="33"/>
          <w:rFonts w:hint="eastAsia"/>
          <w:spacing w:val="100"/>
        </w:rPr>
        <w:t>附录B</w:t>
      </w:r>
      <w:r>
        <w:rPr>
          <w:rStyle w:val="33"/>
          <w:rFonts w:hint="eastAsia"/>
        </w:rPr>
        <w:t xml:space="preserve"> （资料性附录） 推荐使用的燕麦品种</w:t>
      </w:r>
      <w:r>
        <w:rPr>
          <w:rFonts w:hint="eastAsia"/>
        </w:rPr>
        <w:tab/>
      </w:r>
      <w:r>
        <w:rPr>
          <w:rFonts w:hint="eastAsia"/>
        </w:rPr>
        <w:fldChar w:fldCharType="begin"/>
      </w:r>
      <w:r>
        <w:rPr>
          <w:rFonts w:hint="eastAsia"/>
        </w:rPr>
        <w:instrText xml:space="preserve"> </w:instrText>
      </w:r>
      <w:r>
        <w:instrText xml:space="preserve">PAGEREF _Toc212224725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57DA123">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"_Toc212224726" </w:instrText>
      </w:r>
      <w:r>
        <w:fldChar w:fldCharType="separate"/>
      </w:r>
      <w:r>
        <w:rPr>
          <w:rStyle w:val="33"/>
          <w:rFonts w:hint="eastAsia" w:ascii="Times New Roman"/>
          <w:spacing w:val="100"/>
        </w:rPr>
        <w:t>附录C</w:t>
      </w:r>
      <w:r>
        <w:rPr>
          <w:rStyle w:val="33"/>
          <w:rFonts w:hint="eastAsia" w:ascii="Times New Roman"/>
        </w:rPr>
        <w:t xml:space="preserve"> （资料性附录） 燕麦常见病害防治措施</w:t>
      </w:r>
      <w:r>
        <w:rPr>
          <w:rFonts w:hint="eastAsia"/>
        </w:rPr>
        <w:tab/>
      </w:r>
      <w:r>
        <w:rPr>
          <w:rFonts w:hint="eastAsia"/>
        </w:rPr>
        <w:fldChar w:fldCharType="begin"/>
      </w:r>
      <w:r>
        <w:rPr>
          <w:rFonts w:hint="eastAsia"/>
        </w:rPr>
        <w:instrText xml:space="preserve"> </w:instrText>
      </w:r>
      <w:r>
        <w:instrText xml:space="preserve">PAGEREF _Toc212224726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F9B8C1D">
      <w:pPr>
        <w:pStyle w:val="19"/>
        <w:tabs>
          <w:tab w:val="right" w:leader="dot" w:pos="9344"/>
        </w:tabs>
        <w:rPr>
          <w:rFonts w:hint="eastAsia" w:asciiTheme="minorHAnsi" w:hAnsiTheme="minorHAnsi" w:eastAsiaTheme="minorEastAsia" w:cstheme="minorBidi"/>
          <w:sz w:val="22"/>
          <w:szCs w:val="34"/>
          <w:lang w:bidi="bo-CN"/>
          <w14:ligatures w14:val="standardContextual"/>
        </w:rPr>
      </w:pPr>
      <w:r>
        <w:fldChar w:fldCharType="begin"/>
      </w:r>
      <w:r>
        <w:instrText xml:space="preserve"> HYPERLINK \l "_Toc212224727" </w:instrText>
      </w:r>
      <w:r>
        <w:fldChar w:fldCharType="separate"/>
      </w:r>
      <w:r>
        <w:rPr>
          <w:rStyle w:val="33"/>
          <w:rFonts w:hint="eastAsia" w:ascii="Times New Roman"/>
          <w:spacing w:val="100"/>
        </w:rPr>
        <w:t>附录D</w:t>
      </w:r>
      <w:r>
        <w:rPr>
          <w:rStyle w:val="33"/>
          <w:rFonts w:hint="eastAsia" w:ascii="Times New Roman"/>
        </w:rPr>
        <w:t xml:space="preserve"> （资料性附录） 燕麦常见虫害防治措施</w:t>
      </w:r>
      <w:r>
        <w:rPr>
          <w:rFonts w:hint="eastAsia"/>
        </w:rPr>
        <w:tab/>
      </w:r>
      <w:r>
        <w:rPr>
          <w:rFonts w:hint="eastAsia"/>
        </w:rPr>
        <w:fldChar w:fldCharType="begin"/>
      </w:r>
      <w:r>
        <w:rPr>
          <w:rFonts w:hint="eastAsia"/>
        </w:rPr>
        <w:instrText xml:space="preserve"> </w:instrText>
      </w:r>
      <w:r>
        <w:instrText xml:space="preserve">PAGEREF _Toc212224727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0572AF8">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5B1858AA">
      <w:pPr>
        <w:pStyle w:val="90"/>
        <w:spacing w:before="900" w:after="468"/>
      </w:pPr>
      <w:bookmarkStart w:id="24" w:name="_Toc212224716"/>
      <w:bookmarkStart w:id="25" w:name="BookMark2"/>
      <w:r>
        <w:rPr>
          <w:spacing w:val="320"/>
        </w:rPr>
        <w:t>前</w:t>
      </w:r>
      <w:r>
        <w:t>言</w:t>
      </w:r>
      <w:bookmarkEnd w:id="22"/>
      <w:bookmarkEnd w:id="23"/>
      <w:bookmarkEnd w:id="24"/>
    </w:p>
    <w:p w14:paraId="500E533D">
      <w:pPr>
        <w:pStyle w:val="57"/>
        <w:ind w:firstLine="420"/>
      </w:pPr>
      <w:r>
        <w:rPr>
          <w:rFonts w:hint="eastAsia"/>
        </w:rPr>
        <w:t>本文件按照GB/T 1.1—2020《标准化工作导则 第1部分：标准化文件的结构和起草规则》的规定起草。</w:t>
      </w:r>
    </w:p>
    <w:p w14:paraId="509C3110">
      <w:pPr>
        <w:pStyle w:val="57"/>
        <w:ind w:firstLine="420"/>
      </w:pPr>
      <w:r>
        <w:rPr>
          <w:rFonts w:hint="eastAsia"/>
        </w:rPr>
        <w:t>本文件由西藏自治区农业农村标准化技术委员会提出并归口。</w:t>
      </w:r>
    </w:p>
    <w:p w14:paraId="13130DDA">
      <w:pPr>
        <w:pStyle w:val="57"/>
        <w:ind w:firstLine="420"/>
        <w:rPr>
          <w:rFonts w:hint="eastAsia" w:eastAsia="宋体"/>
          <w:lang w:eastAsia="zh-CN"/>
        </w:rPr>
      </w:pPr>
      <w:r>
        <w:rPr>
          <w:rFonts w:hint="eastAsia"/>
        </w:rPr>
        <w:t>本文件起草单位：西藏自治区农牧科学院草业科学研究所</w:t>
      </w:r>
      <w:r>
        <w:rPr>
          <w:rFonts w:hint="eastAsia"/>
          <w:lang w:eastAsia="zh-CN"/>
        </w:rPr>
        <w:t>。</w:t>
      </w:r>
    </w:p>
    <w:p w14:paraId="5D073245">
      <w:pPr>
        <w:pStyle w:val="57"/>
        <w:ind w:firstLine="420"/>
      </w:pPr>
      <w:r>
        <w:rPr>
          <w:rFonts w:hint="eastAsia"/>
        </w:rPr>
        <w:t>本文件主要起草人：仁增旺堆、王敬龙、罗珍、史睿智、夏菲、次珍、杨文才。</w:t>
      </w:r>
    </w:p>
    <w:p w14:paraId="7820653E">
      <w:pPr>
        <w:pStyle w:val="57"/>
        <w:ind w:firstLine="420"/>
      </w:pPr>
      <w:r>
        <w:rPr>
          <w:rFonts w:hint="eastAsia"/>
        </w:rPr>
        <w:t>本标准为首次制定。</w:t>
      </w:r>
    </w:p>
    <w:p w14:paraId="0DD8F61C">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576649F1">
      <w:pPr>
        <w:spacing w:line="20" w:lineRule="exact"/>
        <w:jc w:val="center"/>
        <w:rPr>
          <w:rFonts w:hint="eastAsia" w:ascii="黑体" w:hAnsi="黑体" w:eastAsia="黑体"/>
          <w:sz w:val="32"/>
          <w:szCs w:val="32"/>
        </w:rPr>
      </w:pPr>
      <w:bookmarkStart w:id="26" w:name="BookMark4"/>
    </w:p>
    <w:p w14:paraId="0A2F7E1E">
      <w:pPr>
        <w:spacing w:line="20" w:lineRule="exact"/>
        <w:jc w:val="center"/>
        <w:rPr>
          <w:rFonts w:hint="eastAsia" w:ascii="黑体" w:hAnsi="黑体" w:eastAsia="黑体"/>
          <w:sz w:val="32"/>
          <w:szCs w:val="32"/>
        </w:rPr>
      </w:pPr>
    </w:p>
    <w:sdt>
      <w:sdtPr>
        <w:tag w:val="NEW_STAND_NAME"/>
        <w:id w:val="595910757"/>
        <w:lock w:val="sdtLocked"/>
        <w:placeholder>
          <w:docPart w:val="C60FF3B31743495F8F0FCBDF6D51354F"/>
        </w:placeholder>
      </w:sdtPr>
      <w:sdtContent>
        <w:p w14:paraId="5B05F706">
          <w:pPr>
            <w:pStyle w:val="178"/>
            <w:spacing w:before="3" w:beforeLines="1" w:after="686" w:afterLines="220"/>
            <w:rPr>
              <w:rFonts w:hint="eastAsia"/>
            </w:rPr>
          </w:pPr>
          <w:bookmarkStart w:id="27" w:name="NEW_STAND_NAME"/>
          <w:r>
            <w:rPr>
              <w:rFonts w:hint="eastAsia"/>
            </w:rPr>
            <w:t>高寒盐碱地燕麦高产栽培技术规程</w:t>
          </w:r>
        </w:p>
      </w:sdtContent>
    </w:sdt>
    <w:bookmarkEnd w:id="27"/>
    <w:p w14:paraId="0EE28EE1">
      <w:pPr>
        <w:pStyle w:val="105"/>
        <w:spacing w:before="312" w:after="312"/>
      </w:pPr>
      <w:bookmarkStart w:id="28" w:name="_Toc26986771"/>
      <w:bookmarkStart w:id="29" w:name="_Toc24884218"/>
      <w:bookmarkStart w:id="30" w:name="_Toc152086408"/>
      <w:bookmarkStart w:id="31" w:name="_Toc26986530"/>
      <w:bookmarkStart w:id="32" w:name="_Toc26648465"/>
      <w:bookmarkStart w:id="33" w:name="_Toc97191423"/>
      <w:bookmarkStart w:id="34" w:name="_Toc24884211"/>
      <w:bookmarkStart w:id="35" w:name="_Toc26718930"/>
      <w:bookmarkStart w:id="36" w:name="_Toc153440746"/>
      <w:bookmarkStart w:id="37" w:name="_Toc17233325"/>
      <w:bookmarkStart w:id="38" w:name="_Toc212224717"/>
      <w:bookmarkStart w:id="39" w:name="_Toc17233333"/>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248FFE38">
      <w:pPr>
        <w:widowControl/>
        <w:tabs>
          <w:tab w:val="center" w:pos="4201"/>
          <w:tab w:val="right" w:leader="dot" w:pos="9298"/>
        </w:tabs>
        <w:autoSpaceDE w:val="0"/>
        <w:autoSpaceDN w:val="0"/>
        <w:ind w:firstLine="420" w:firstLineChars="200"/>
        <w:rPr>
          <w:rFonts w:ascii="Times New Roman" w:hAnsi="Times New Roman"/>
          <w:kern w:val="0"/>
          <w:szCs w:val="20"/>
        </w:rPr>
      </w:pPr>
      <w:bookmarkStart w:id="40" w:name="_Toc17233334"/>
      <w:bookmarkStart w:id="41" w:name="_Toc24884219"/>
      <w:bookmarkStart w:id="42" w:name="_Toc26648466"/>
      <w:bookmarkStart w:id="43" w:name="_Toc17233326"/>
      <w:bookmarkStart w:id="44" w:name="_Toc24884212"/>
      <w:r>
        <w:rPr>
          <w:rFonts w:ascii="Times New Roman" w:hAnsi="Times New Roman"/>
          <w:kern w:val="0"/>
          <w:szCs w:val="20"/>
        </w:rPr>
        <w:t>本文件规定了</w:t>
      </w:r>
      <w:bookmarkStart w:id="45" w:name="_Hlk153467715"/>
      <w:r>
        <w:rPr>
          <w:rFonts w:ascii="Times New Roman" w:hAnsi="Times New Roman"/>
          <w:kern w:val="0"/>
          <w:szCs w:val="20"/>
        </w:rPr>
        <w:t>高寒盐碱地燕麦种植的播前准备、</w:t>
      </w:r>
      <w:r>
        <w:rPr>
          <w:rFonts w:hint="eastAsia" w:ascii="Times New Roman" w:hAnsi="Times New Roman"/>
          <w:kern w:val="0"/>
          <w:szCs w:val="20"/>
          <w:lang w:val="en-US" w:eastAsia="zh-CN"/>
        </w:rPr>
        <w:t>播种、田间管理、收割与储藏</w:t>
      </w:r>
      <w:r>
        <w:rPr>
          <w:rFonts w:ascii="Times New Roman" w:hAnsi="Times New Roman"/>
          <w:kern w:val="0"/>
          <w:szCs w:val="20"/>
        </w:rPr>
        <w:t>等技术要求。</w:t>
      </w:r>
    </w:p>
    <w:bookmarkEnd w:id="45"/>
    <w:p w14:paraId="1BD3906F">
      <w:pPr>
        <w:pStyle w:val="105"/>
        <w:spacing w:before="312" w:after="312"/>
      </w:pPr>
      <w:bookmarkStart w:id="46" w:name="_Toc97191424"/>
      <w:bookmarkStart w:id="47" w:name="_Toc26986531"/>
      <w:bookmarkStart w:id="48" w:name="_Toc153440747"/>
      <w:bookmarkStart w:id="49" w:name="_Toc212224718"/>
      <w:bookmarkStart w:id="50" w:name="_Toc152086409"/>
      <w:bookmarkStart w:id="51" w:name="_Toc26986772"/>
      <w:bookmarkStart w:id="52" w:name="_Toc26718931"/>
      <w:bookmarkStart w:id="53" w:name="_Hlk153467826"/>
      <w:r>
        <w:rPr>
          <w:rFonts w:hint="eastAsia"/>
        </w:rPr>
        <w:t>规范性引用文件</w:t>
      </w:r>
      <w:bookmarkEnd w:id="40"/>
      <w:bookmarkEnd w:id="41"/>
      <w:bookmarkEnd w:id="42"/>
      <w:bookmarkEnd w:id="43"/>
      <w:bookmarkEnd w:id="44"/>
      <w:bookmarkEnd w:id="46"/>
      <w:bookmarkEnd w:id="47"/>
      <w:bookmarkEnd w:id="48"/>
      <w:bookmarkEnd w:id="49"/>
      <w:bookmarkEnd w:id="50"/>
      <w:bookmarkEnd w:id="51"/>
      <w:bookmarkEnd w:id="52"/>
    </w:p>
    <w:sdt>
      <w:sdtPr>
        <w:rPr>
          <w:rFonts w:hint="eastAsia"/>
        </w:rPr>
        <w:id w:val="715848253"/>
        <w:placeholder>
          <w:docPart w:val="8C207EF8EE5641BE900721C84F7592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E58B191">
          <w:pPr>
            <w:pStyle w:val="57"/>
            <w:spacing w:line="400" w:lineRule="exac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934D06F">
      <w:pPr>
        <w:widowControl/>
        <w:tabs>
          <w:tab w:val="center" w:pos="4201"/>
          <w:tab w:val="right" w:leader="dot" w:pos="9298"/>
        </w:tabs>
        <w:autoSpaceDE w:val="0"/>
        <w:autoSpaceDN w:val="0"/>
        <w:ind w:firstLine="420" w:firstLineChars="200"/>
        <w:rPr>
          <w:rFonts w:ascii="Times New Roman" w:hAnsi="Times New Roman"/>
          <w:kern w:val="0"/>
          <w:szCs w:val="20"/>
        </w:rPr>
      </w:pPr>
      <w:r>
        <w:rPr>
          <w:rFonts w:ascii="Times New Roman" w:hAnsi="Times New Roman"/>
          <w:kern w:val="0"/>
          <w:szCs w:val="20"/>
        </w:rPr>
        <w:t>GB 6142               禾本科草种子质量分级</w:t>
      </w:r>
    </w:p>
    <w:p w14:paraId="28D2674E">
      <w:pPr>
        <w:widowControl/>
        <w:tabs>
          <w:tab w:val="center" w:pos="4201"/>
          <w:tab w:val="right" w:leader="dot" w:pos="9298"/>
        </w:tabs>
        <w:autoSpaceDE w:val="0"/>
        <w:autoSpaceDN w:val="0"/>
        <w:ind w:firstLine="420" w:firstLineChars="200"/>
        <w:rPr>
          <w:rFonts w:ascii="Times New Roman" w:hAnsi="Times New Roman"/>
          <w:kern w:val="0"/>
          <w:szCs w:val="20"/>
        </w:rPr>
      </w:pPr>
      <w:r>
        <w:rPr>
          <w:rFonts w:ascii="Times New Roman" w:hAnsi="Times New Roman"/>
          <w:kern w:val="0"/>
          <w:szCs w:val="20"/>
        </w:rPr>
        <w:t>GB/T 8321.8            农药合理使用准则</w:t>
      </w:r>
    </w:p>
    <w:p w14:paraId="12B5EB5B">
      <w:pPr>
        <w:widowControl/>
        <w:tabs>
          <w:tab w:val="center" w:pos="4201"/>
          <w:tab w:val="right" w:leader="dot" w:pos="9298"/>
        </w:tabs>
        <w:autoSpaceDE w:val="0"/>
        <w:autoSpaceDN w:val="0"/>
        <w:ind w:firstLine="420" w:firstLineChars="200"/>
        <w:rPr>
          <w:rFonts w:ascii="Times New Roman" w:hAnsi="Times New Roman"/>
          <w:kern w:val="0"/>
          <w:szCs w:val="20"/>
        </w:rPr>
      </w:pPr>
      <w:r>
        <w:rPr>
          <w:rFonts w:ascii="Times New Roman" w:hAnsi="Times New Roman"/>
          <w:kern w:val="0"/>
          <w:szCs w:val="20"/>
        </w:rPr>
        <w:t>GB/T 42817            农产品产地土壤改良剂使用技术规程</w:t>
      </w:r>
    </w:p>
    <w:p w14:paraId="6812B11D">
      <w:pPr>
        <w:widowControl/>
        <w:tabs>
          <w:tab w:val="center" w:pos="4201"/>
          <w:tab w:val="right" w:leader="dot" w:pos="9298"/>
        </w:tabs>
        <w:autoSpaceDE w:val="0"/>
        <w:autoSpaceDN w:val="0"/>
        <w:ind w:firstLine="420" w:firstLineChars="200"/>
        <w:rPr>
          <w:rFonts w:ascii="Times New Roman" w:hAnsi="Times New Roman"/>
          <w:kern w:val="0"/>
          <w:szCs w:val="20"/>
        </w:rPr>
      </w:pPr>
      <w:r>
        <w:rPr>
          <w:rFonts w:ascii="Times New Roman" w:hAnsi="Times New Roman"/>
          <w:kern w:val="0"/>
          <w:szCs w:val="20"/>
        </w:rPr>
        <w:t>NY 525                有机肥</w:t>
      </w:r>
    </w:p>
    <w:p w14:paraId="30218213">
      <w:pPr>
        <w:widowControl/>
        <w:tabs>
          <w:tab w:val="center" w:pos="4201"/>
          <w:tab w:val="right" w:leader="dot" w:pos="9298"/>
        </w:tabs>
        <w:autoSpaceDE w:val="0"/>
        <w:autoSpaceDN w:val="0"/>
        <w:ind w:firstLine="420" w:firstLineChars="200"/>
        <w:rPr>
          <w:rFonts w:ascii="Times New Roman" w:hAnsi="Times New Roman"/>
          <w:kern w:val="0"/>
          <w:szCs w:val="20"/>
        </w:rPr>
      </w:pPr>
      <w:r>
        <w:rPr>
          <w:rFonts w:ascii="Times New Roman" w:hAnsi="Times New Roman"/>
          <w:kern w:val="0"/>
          <w:szCs w:val="20"/>
        </w:rPr>
        <w:t>NY/T 496              肥料合理使用准则</w:t>
      </w:r>
    </w:p>
    <w:p w14:paraId="45B25350">
      <w:pPr>
        <w:widowControl/>
        <w:tabs>
          <w:tab w:val="center" w:pos="4201"/>
          <w:tab w:val="right" w:leader="dot" w:pos="9298"/>
        </w:tabs>
        <w:autoSpaceDE w:val="0"/>
        <w:autoSpaceDN w:val="0"/>
        <w:ind w:firstLine="420" w:firstLineChars="200"/>
        <w:rPr>
          <w:rFonts w:ascii="Times New Roman" w:hAnsi="Times New Roman"/>
          <w:kern w:val="0"/>
          <w:szCs w:val="20"/>
        </w:rPr>
      </w:pPr>
      <w:r>
        <w:rPr>
          <w:rFonts w:ascii="Times New Roman" w:hAnsi="Times New Roman"/>
          <w:kern w:val="0"/>
          <w:szCs w:val="20"/>
        </w:rPr>
        <w:t>NY/T 1276             农药安全使用规范 总则</w:t>
      </w:r>
    </w:p>
    <w:p w14:paraId="64932333">
      <w:pPr>
        <w:widowControl/>
        <w:tabs>
          <w:tab w:val="center" w:pos="4201"/>
          <w:tab w:val="right" w:leader="dot" w:pos="9298"/>
        </w:tabs>
        <w:autoSpaceDE w:val="0"/>
        <w:autoSpaceDN w:val="0"/>
        <w:ind w:firstLine="420" w:firstLineChars="200"/>
        <w:rPr>
          <w:rFonts w:hint="default" w:ascii="Times New Roman" w:hAnsi="Times New Roman" w:eastAsia="宋体"/>
          <w:kern w:val="0"/>
          <w:szCs w:val="20"/>
          <w:lang w:val="en-US" w:eastAsia="zh-CN"/>
        </w:rPr>
      </w:pPr>
      <w:r>
        <w:rPr>
          <w:rFonts w:hint="eastAsia" w:ascii="Times New Roman" w:hAnsi="Times New Roman"/>
          <w:kern w:val="0"/>
          <w:szCs w:val="20"/>
          <w:lang w:val="en-US" w:eastAsia="zh-CN"/>
        </w:rPr>
        <w:t>DB54/T0093            饲用燕麦栽培技术规程</w:t>
      </w:r>
    </w:p>
    <w:p w14:paraId="6532FFC6">
      <w:pPr>
        <w:pStyle w:val="105"/>
        <w:spacing w:before="312" w:after="312"/>
      </w:pPr>
      <w:bookmarkStart w:id="54" w:name="_Toc153440748"/>
      <w:bookmarkStart w:id="55" w:name="_Toc212224719"/>
      <w:bookmarkStart w:id="56" w:name="_Toc152086410"/>
      <w:bookmarkStart w:id="57" w:name="_Toc97191425"/>
      <w:r>
        <w:rPr>
          <w:rFonts w:hint="eastAsia"/>
          <w:szCs w:val="21"/>
        </w:rPr>
        <w:t>术语和定义</w:t>
      </w:r>
      <w:bookmarkEnd w:id="54"/>
      <w:bookmarkEnd w:id="55"/>
      <w:bookmarkEnd w:id="56"/>
      <w:bookmarkEnd w:id="57"/>
    </w:p>
    <w:sdt>
      <w:sdtPr>
        <w:id w:val="-1909835108"/>
        <w:placeholder>
          <w:docPart w:val="D6E1C4B80E694BD3B9FE70776C36E0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08B355B">
          <w:pPr>
            <w:pStyle w:val="57"/>
            <w:ind w:firstLine="420"/>
          </w:pPr>
          <w:bookmarkStart w:id="58" w:name="_Toc26986532"/>
          <w:bookmarkEnd w:id="58"/>
          <w:r>
            <w:t>下列术语和定义适用于本文件。</w:t>
          </w:r>
        </w:p>
      </w:sdtContent>
    </w:sdt>
    <w:p w14:paraId="278AC983">
      <w:pPr>
        <w:pStyle w:val="106"/>
        <w:numPr>
          <w:ilvl w:val="2"/>
          <w:numId w:val="33"/>
        </w:numPr>
        <w:spacing w:before="156" w:after="156"/>
      </w:pPr>
      <w:r>
        <w:rPr>
          <w:rFonts w:hint="eastAsia"/>
        </w:rPr>
        <w:t>盐碱地</w:t>
      </w:r>
    </w:p>
    <w:p w14:paraId="12617E55">
      <w:pPr>
        <w:widowControl/>
        <w:spacing w:line="360" w:lineRule="auto"/>
        <w:ind w:firstLine="420" w:firstLineChars="200"/>
        <w:jc w:val="left"/>
        <w:rPr>
          <w:rFonts w:ascii="Times New Roman" w:hAnsi="Times New Roman"/>
          <w:kern w:val="0"/>
          <w:szCs w:val="20"/>
        </w:rPr>
      </w:pPr>
      <w:r>
        <w:rPr>
          <w:rFonts w:ascii="Times New Roman" w:hAnsi="Times New Roman"/>
          <w:kern w:val="0"/>
          <w:szCs w:val="20"/>
        </w:rPr>
        <w:t>土壤中</w:t>
      </w:r>
      <w:r>
        <w:rPr>
          <w:rFonts w:hint="eastAsia" w:ascii="Times New Roman" w:hAnsi="Times New Roman"/>
          <w:kern w:val="0"/>
          <w:szCs w:val="20"/>
          <w:lang w:val="en-US" w:eastAsia="zh-CN"/>
        </w:rPr>
        <w:t>含有</w:t>
      </w:r>
      <w:r>
        <w:rPr>
          <w:rFonts w:ascii="Times New Roman" w:hAnsi="Times New Roman"/>
          <w:kern w:val="0"/>
          <w:szCs w:val="20"/>
        </w:rPr>
        <w:t>碳酸氢钠NaHCO</w:t>
      </w:r>
      <w:r>
        <w:rPr>
          <w:rFonts w:ascii="Times New Roman" w:hAnsi="Times New Roman"/>
          <w:kern w:val="0"/>
          <w:szCs w:val="20"/>
          <w:vertAlign w:val="subscript"/>
        </w:rPr>
        <w:t>3</w:t>
      </w:r>
      <w:r>
        <w:rPr>
          <w:rFonts w:ascii="Times New Roman" w:hAnsi="Times New Roman"/>
          <w:kern w:val="0"/>
          <w:szCs w:val="20"/>
        </w:rPr>
        <w:t>、硫酸钠Na</w:t>
      </w:r>
      <w:r>
        <w:rPr>
          <w:rFonts w:ascii="Times New Roman" w:hAnsi="Times New Roman"/>
          <w:kern w:val="0"/>
          <w:szCs w:val="20"/>
          <w:vertAlign w:val="subscript"/>
        </w:rPr>
        <w:t>2</w:t>
      </w:r>
      <w:r>
        <w:rPr>
          <w:rFonts w:ascii="Times New Roman" w:hAnsi="Times New Roman"/>
          <w:kern w:val="0"/>
          <w:szCs w:val="20"/>
        </w:rPr>
        <w:t>SO4</w:t>
      </w:r>
      <w:r>
        <w:rPr>
          <w:rFonts w:hint="eastAsia" w:ascii="Times New Roman" w:hAnsi="Times New Roman"/>
          <w:kern w:val="0"/>
          <w:szCs w:val="20"/>
          <w:lang w:val="en-US" w:eastAsia="zh-CN"/>
        </w:rPr>
        <w:t>等</w:t>
      </w:r>
      <w:r>
        <w:rPr>
          <w:rFonts w:ascii="Times New Roman" w:hAnsi="Times New Roman"/>
          <w:kern w:val="0"/>
          <w:szCs w:val="20"/>
        </w:rPr>
        <w:t>可溶性盐类含量在0.5</w:t>
      </w:r>
      <w:r>
        <w:rPr>
          <w:rFonts w:hint="eastAsia" w:ascii="Times New Roman" w:hAnsi="Times New Roman"/>
          <w:kern w:val="0"/>
          <w:szCs w:val="20"/>
          <w:lang w:val="en-US" w:eastAsia="zh-CN"/>
        </w:rPr>
        <w:t>%</w:t>
      </w:r>
      <w:r>
        <w:rPr>
          <w:rFonts w:ascii="Times New Roman" w:hAnsi="Times New Roman"/>
          <w:kern w:val="0"/>
          <w:szCs w:val="20"/>
        </w:rPr>
        <w:t>~0.8%，pH8.0~9.5的土地。</w:t>
      </w:r>
    </w:p>
    <w:p w14:paraId="41385141">
      <w:pPr>
        <w:pStyle w:val="106"/>
        <w:numPr>
          <w:ilvl w:val="2"/>
          <w:numId w:val="33"/>
        </w:numPr>
        <w:spacing w:before="156" w:after="156"/>
      </w:pPr>
      <w:r>
        <w:rPr>
          <w:rFonts w:hint="eastAsia"/>
        </w:rPr>
        <w:t>分蘖期</w:t>
      </w:r>
    </w:p>
    <w:p w14:paraId="2892044E">
      <w:pPr>
        <w:pStyle w:val="106"/>
        <w:numPr>
          <w:ilvl w:val="2"/>
          <w:numId w:val="0"/>
        </w:numPr>
        <w:spacing w:before="156" w:after="156" w:line="400" w:lineRule="exact"/>
        <w:ind w:left="284" w:firstLine="210" w:firstLineChars="100"/>
        <w:rPr>
          <w:rFonts w:ascii="Times New Roman" w:eastAsia="宋体"/>
        </w:rPr>
      </w:pPr>
      <w:r>
        <w:rPr>
          <w:rFonts w:ascii="Times New Roman" w:eastAsia="宋体"/>
        </w:rPr>
        <w:t>50%以上的植株在地下或近地面茎节上萌发侧枝，通常在燕麦播种30</w:t>
      </w:r>
      <w:r>
        <w:rPr>
          <w:rFonts w:hint="eastAsia" w:ascii="Times New Roman" w:eastAsia="宋体"/>
          <w:lang w:val="en-US" w:eastAsia="zh-CN"/>
        </w:rPr>
        <w:t>天</w:t>
      </w:r>
      <w:r>
        <w:rPr>
          <w:rFonts w:ascii="Times New Roman" w:hAnsi="Times New Roman"/>
          <w:kern w:val="0"/>
          <w:szCs w:val="20"/>
        </w:rPr>
        <w:t>~</w:t>
      </w:r>
      <w:r>
        <w:rPr>
          <w:rFonts w:ascii="Times New Roman" w:eastAsia="宋体"/>
        </w:rPr>
        <w:t>4</w:t>
      </w:r>
      <w:r>
        <w:rPr>
          <w:rFonts w:hint="eastAsia" w:ascii="Times New Roman" w:eastAsia="宋体"/>
        </w:rPr>
        <w:t>0</w:t>
      </w:r>
      <w:r>
        <w:rPr>
          <w:rFonts w:ascii="Times New Roman" w:eastAsia="宋体"/>
        </w:rPr>
        <w:t>天。</w:t>
      </w:r>
    </w:p>
    <w:p w14:paraId="04BBE813">
      <w:pPr>
        <w:pStyle w:val="106"/>
        <w:numPr>
          <w:ilvl w:val="2"/>
          <w:numId w:val="33"/>
        </w:numPr>
        <w:spacing w:before="156" w:after="156"/>
      </w:pPr>
      <w:r>
        <w:rPr>
          <w:rFonts w:hint="eastAsia"/>
        </w:rPr>
        <w:t>拔节期</w:t>
      </w:r>
    </w:p>
    <w:p w14:paraId="37C2DC2C">
      <w:pPr>
        <w:pStyle w:val="106"/>
        <w:numPr>
          <w:ilvl w:val="2"/>
          <w:numId w:val="0"/>
        </w:numPr>
        <w:spacing w:before="156" w:after="156"/>
        <w:ind w:left="284" w:firstLine="210" w:firstLineChars="100"/>
        <w:rPr>
          <w:rFonts w:ascii="Times New Roman" w:eastAsia="宋体"/>
        </w:rPr>
      </w:pPr>
      <w:r>
        <w:rPr>
          <w:rFonts w:ascii="Times New Roman" w:eastAsia="宋体"/>
        </w:rPr>
        <w:t>50%以上植株的第一个茎节露出地面1</w:t>
      </w:r>
      <w:r>
        <w:rPr>
          <w:rFonts w:hint="eastAsia" w:ascii="Times New Roman" w:eastAsia="宋体"/>
          <w:lang w:val="en-US" w:eastAsia="zh-CN"/>
        </w:rPr>
        <w:t>cm</w:t>
      </w:r>
      <w:r>
        <w:rPr>
          <w:rFonts w:ascii="Times New Roman" w:hAnsi="Times New Roman"/>
          <w:kern w:val="0"/>
          <w:szCs w:val="20"/>
        </w:rPr>
        <w:t>~</w:t>
      </w:r>
      <w:r>
        <w:rPr>
          <w:rFonts w:ascii="Times New Roman" w:eastAsia="宋体"/>
        </w:rPr>
        <w:t>2cm时期，通常在燕麦播种后45</w:t>
      </w:r>
      <w:r>
        <w:rPr>
          <w:rFonts w:hint="eastAsia" w:ascii="Times New Roman" w:eastAsia="宋体"/>
          <w:lang w:val="en-US" w:eastAsia="zh-CN"/>
        </w:rPr>
        <w:t>天</w:t>
      </w:r>
      <w:r>
        <w:rPr>
          <w:rFonts w:ascii="Times New Roman" w:hAnsi="Times New Roman"/>
          <w:kern w:val="0"/>
          <w:szCs w:val="20"/>
        </w:rPr>
        <w:t>~</w:t>
      </w:r>
      <w:r>
        <w:rPr>
          <w:rFonts w:ascii="Times New Roman" w:eastAsia="宋体"/>
        </w:rPr>
        <w:t>60天。</w:t>
      </w:r>
    </w:p>
    <w:p w14:paraId="49855176">
      <w:pPr>
        <w:pStyle w:val="106"/>
        <w:numPr>
          <w:ilvl w:val="2"/>
          <w:numId w:val="33"/>
        </w:numPr>
        <w:spacing w:before="156" w:after="156"/>
      </w:pPr>
      <w:r>
        <w:rPr>
          <w:rFonts w:hint="eastAsia"/>
        </w:rPr>
        <w:t>开花期</w:t>
      </w:r>
    </w:p>
    <w:p w14:paraId="1A92EEAA">
      <w:pPr>
        <w:pStyle w:val="106"/>
        <w:numPr>
          <w:ilvl w:val="2"/>
          <w:numId w:val="0"/>
        </w:numPr>
        <w:spacing w:before="156" w:after="156"/>
        <w:ind w:left="284" w:firstLine="210" w:firstLineChars="100"/>
        <w:rPr>
          <w:rFonts w:ascii="Times New Roman" w:eastAsia="宋体"/>
        </w:rPr>
      </w:pPr>
      <w:r>
        <w:rPr>
          <w:rFonts w:ascii="Times New Roman" w:eastAsia="宋体"/>
        </w:rPr>
        <w:t>穗部小花开</w:t>
      </w:r>
      <w:r>
        <w:rPr>
          <w:rFonts w:hint="eastAsia" w:ascii="Times New Roman" w:eastAsia="宋体"/>
          <w:lang w:val="en-US" w:eastAsia="zh-CN"/>
        </w:rPr>
        <w:t>50</w:t>
      </w:r>
      <w:r>
        <w:rPr>
          <w:rFonts w:ascii="Times New Roman" w:eastAsia="宋体"/>
        </w:rPr>
        <w:t>%以上。</w:t>
      </w:r>
    </w:p>
    <w:p w14:paraId="59F31034">
      <w:pPr>
        <w:pStyle w:val="57"/>
      </w:pPr>
    </w:p>
    <w:p w14:paraId="11DABE96">
      <w:pPr>
        <w:pStyle w:val="105"/>
        <w:spacing w:before="312" w:after="312"/>
      </w:pPr>
      <w:bookmarkStart w:id="59" w:name="_Toc212224720"/>
      <w:r>
        <w:rPr>
          <w:rFonts w:hint="eastAsia"/>
        </w:rPr>
        <w:t>播前准备</w:t>
      </w:r>
      <w:bookmarkEnd w:id="59"/>
    </w:p>
    <w:p w14:paraId="503A1A05">
      <w:pPr>
        <w:pStyle w:val="106"/>
        <w:spacing w:before="156" w:after="156"/>
      </w:pPr>
      <w:r>
        <w:rPr>
          <w:rFonts w:hint="eastAsia"/>
          <w:lang w:val="en-US" w:eastAsia="zh-CN"/>
        </w:rPr>
        <w:t>地块选择</w:t>
      </w:r>
    </w:p>
    <w:p w14:paraId="7DEDE72C">
      <w:pPr>
        <w:pStyle w:val="57"/>
        <w:rPr>
          <w:rFonts w:hint="default" w:eastAsia="宋体"/>
          <w:lang w:val="en-US" w:eastAsia="zh-CN"/>
        </w:rPr>
      </w:pPr>
      <w:r>
        <w:rPr>
          <w:rFonts w:hint="eastAsia"/>
          <w:lang w:val="en-US" w:eastAsia="zh-CN"/>
        </w:rPr>
        <w:t>选择具有灌溉、坡度≤25°。</w:t>
      </w:r>
    </w:p>
    <w:p w14:paraId="0FCE3745">
      <w:pPr>
        <w:pStyle w:val="106"/>
        <w:spacing w:before="156" w:after="156"/>
      </w:pPr>
      <w:r>
        <w:rPr>
          <w:rFonts w:hint="eastAsia"/>
        </w:rPr>
        <w:t>整地</w:t>
      </w:r>
    </w:p>
    <w:p w14:paraId="5D3D6846">
      <w:pPr>
        <w:widowControl/>
        <w:ind w:firstLine="420" w:firstLineChars="200"/>
        <w:jc w:val="left"/>
        <w:rPr>
          <w:rFonts w:ascii="Times New Roman" w:hAnsi="Times New Roman"/>
          <w:kern w:val="0"/>
          <w:szCs w:val="20"/>
        </w:rPr>
      </w:pPr>
      <w:bookmarkStart w:id="60" w:name="_Hlk206603118"/>
      <w:r>
        <w:rPr>
          <w:rFonts w:ascii="Times New Roman" w:hAnsi="Times New Roman"/>
          <w:kern w:val="0"/>
          <w:szCs w:val="20"/>
        </w:rPr>
        <w:t>播种前将复合微生物有机肥</w:t>
      </w:r>
      <w:r>
        <w:rPr>
          <w:rFonts w:hint="default" w:ascii="Times New Roman" w:hAnsi="Times New Roman" w:cs="Times New Roman"/>
          <w:color w:val="000000" w:themeColor="text1"/>
          <w:kern w:val="0"/>
          <w:szCs w:val="20"/>
          <w14:textFill>
            <w14:solidFill>
              <w14:schemeClr w14:val="tx1"/>
            </w14:solidFill>
          </w14:textFill>
        </w:rPr>
        <w:t>180</w:t>
      </w:r>
      <w:r>
        <w:rPr>
          <w:rFonts w:hint="default" w:ascii="Times New Roman" w:hAnsi="Times New Roman" w:cs="Times New Roman"/>
          <w:kern w:val="0"/>
          <w:szCs w:val="20"/>
        </w:rPr>
        <w:t>0</w:t>
      </w:r>
      <w:r>
        <w:rPr>
          <w:rFonts w:hint="eastAsia" w:ascii="Times New Roman" w:hAnsi="Times New Roman" w:cs="Times New Roman"/>
          <w:kern w:val="0"/>
          <w:szCs w:val="20"/>
          <w:lang w:val="en-US" w:eastAsia="zh-CN"/>
        </w:rPr>
        <w:t>kg</w:t>
      </w:r>
      <w:r>
        <w:rPr>
          <w:rFonts w:hint="default" w:ascii="Times New Roman" w:hAnsi="Times New Roman"/>
          <w:kern w:val="0"/>
          <w:szCs w:val="20"/>
        </w:rPr>
        <w:t>/hm</w:t>
      </w:r>
      <w:r>
        <w:rPr>
          <w:rFonts w:hint="default" w:ascii="Times New Roman" w:hAnsi="Times New Roman"/>
          <w:kern w:val="0"/>
          <w:szCs w:val="20"/>
          <w:vertAlign w:val="superscript"/>
        </w:rPr>
        <w:t>2</w:t>
      </w:r>
      <w:r>
        <w:rPr>
          <w:rFonts w:ascii="Times New Roman" w:hAnsi="Times New Roman"/>
          <w:kern w:val="0"/>
          <w:szCs w:val="20"/>
        </w:rPr>
        <w:t>、碱性土壤改良肥</w:t>
      </w:r>
      <w:r>
        <w:rPr>
          <w:rFonts w:hint="default" w:ascii="Times New Roman" w:hAnsi="Times New Roman"/>
          <w:kern w:val="0"/>
          <w:szCs w:val="20"/>
        </w:rPr>
        <w:t>3</w:t>
      </w:r>
      <w:r>
        <w:rPr>
          <w:rFonts w:hint="default" w:ascii="Times New Roman" w:hAnsi="Times New Roman" w:cs="Times New Roman"/>
          <w:color w:val="000000" w:themeColor="text1"/>
          <w:kern w:val="0"/>
          <w:szCs w:val="20"/>
          <w14:textFill>
            <w14:solidFill>
              <w14:schemeClr w14:val="tx1"/>
            </w14:solidFill>
          </w14:textFill>
        </w:rPr>
        <w:t>000</w:t>
      </w:r>
      <w:r>
        <w:rPr>
          <w:rFonts w:hint="eastAsia" w:ascii="Times New Roman" w:hAnsi="Times New Roman" w:cs="Times New Roman"/>
          <w:color w:val="000000" w:themeColor="text1"/>
          <w:kern w:val="0"/>
          <w:szCs w:val="20"/>
          <w:lang w:val="en-US" w:eastAsia="zh-CN"/>
          <w14:textFill>
            <w14:solidFill>
              <w14:schemeClr w14:val="tx1"/>
            </w14:solidFill>
          </w14:textFill>
        </w:rPr>
        <w:t>kg</w:t>
      </w:r>
      <w:r>
        <w:rPr>
          <w:rFonts w:hint="default" w:ascii="Times New Roman" w:hAnsi="Times New Roman" w:cs="Times New Roman"/>
          <w:color w:val="000000" w:themeColor="text1"/>
          <w:kern w:val="0"/>
          <w:szCs w:val="20"/>
          <w14:textFill>
            <w14:solidFill>
              <w14:schemeClr w14:val="tx1"/>
            </w14:solidFill>
          </w14:textFill>
        </w:rPr>
        <w:t>/hm</w:t>
      </w:r>
      <w:r>
        <w:rPr>
          <w:rFonts w:hint="default" w:ascii="Times New Roman" w:hAnsi="Times New Roman" w:cs="Times New Roman"/>
          <w:color w:val="000000" w:themeColor="text1"/>
          <w:kern w:val="0"/>
          <w:szCs w:val="20"/>
          <w:vertAlign w:val="superscript"/>
          <w14:textFill>
            <w14:solidFill>
              <w14:schemeClr w14:val="tx1"/>
            </w14:solidFill>
          </w14:textFill>
        </w:rPr>
        <w:t>2</w:t>
      </w:r>
      <w:r>
        <w:rPr>
          <w:rFonts w:ascii="Times New Roman" w:hAnsi="Times New Roman"/>
          <w:kern w:val="0"/>
          <w:szCs w:val="20"/>
        </w:rPr>
        <w:t>量，通过撒肥机均匀铺撒地表，再用圆盘耙或动力驱动耙浅翻10</w:t>
      </w:r>
      <w:r>
        <w:rPr>
          <w:rFonts w:hint="eastAsia" w:ascii="Times New Roman" w:hAnsi="Times New Roman"/>
          <w:kern w:val="0"/>
          <w:szCs w:val="20"/>
          <w:lang w:val="en-US" w:eastAsia="zh-CN"/>
        </w:rPr>
        <w:t>cm</w:t>
      </w:r>
      <w:r>
        <w:rPr>
          <w:rFonts w:ascii="Times New Roman" w:hAnsi="Times New Roman"/>
          <w:kern w:val="0"/>
          <w:szCs w:val="20"/>
        </w:rPr>
        <w:t>～20 cm，达到地平土碎土细的播种条件。有机肥、土壤改良肥符合NY525、GB/T42817的规定。推荐使用的生物有机肥</w:t>
      </w:r>
      <w:r>
        <w:rPr>
          <w:rFonts w:hint="eastAsia" w:ascii="Times New Roman" w:hAnsi="Times New Roman"/>
          <w:kern w:val="0"/>
          <w:szCs w:val="20"/>
          <w:lang w:eastAsia="zh-CN"/>
        </w:rPr>
        <w:t>、</w:t>
      </w:r>
      <w:r>
        <w:rPr>
          <w:rFonts w:ascii="Times New Roman" w:hAnsi="Times New Roman"/>
          <w:kern w:val="0"/>
          <w:szCs w:val="20"/>
        </w:rPr>
        <w:t>碱性土壤改良肥见附录A。</w:t>
      </w:r>
      <w:bookmarkEnd w:id="60"/>
    </w:p>
    <w:p w14:paraId="62AD434A">
      <w:pPr>
        <w:pStyle w:val="106"/>
        <w:numPr>
          <w:ilvl w:val="2"/>
          <w:numId w:val="0"/>
        </w:numPr>
        <w:spacing w:before="156" w:after="156"/>
        <w:ind w:left="284" w:leftChars="0"/>
      </w:pPr>
      <w:r>
        <w:rPr>
          <w:rFonts w:hint="eastAsia"/>
          <w:lang w:val="en-US" w:eastAsia="zh-CN"/>
        </w:rPr>
        <w:t>4.3</w:t>
      </w:r>
      <w:r>
        <w:rPr>
          <w:rFonts w:hint="eastAsia"/>
        </w:rPr>
        <w:t>种肥</w:t>
      </w:r>
    </w:p>
    <w:p w14:paraId="2BFB5BE1">
      <w:pPr>
        <w:spacing w:before="180" w:line="289" w:lineRule="auto"/>
        <w:ind w:left="1" w:right="124" w:firstLine="427"/>
        <w:rPr>
          <w:rFonts w:ascii="Times New Roman" w:hAnsi="Times New Roman"/>
          <w:kern w:val="0"/>
          <w:szCs w:val="20"/>
        </w:rPr>
      </w:pPr>
      <w:r>
        <w:rPr>
          <w:rFonts w:ascii="Times New Roman" w:hAnsi="Times New Roman"/>
          <w:kern w:val="0"/>
          <w:szCs w:val="20"/>
        </w:rPr>
        <w:t>播种时施用磷酸二铵225</w:t>
      </w:r>
      <w:r>
        <w:rPr>
          <w:rFonts w:hint="eastAsia" w:ascii="Times New Roman" w:hAnsi="Times New Roman" w:cs="Times New Roman"/>
          <w:kern w:val="0"/>
          <w:szCs w:val="20"/>
          <w:lang w:val="en-US" w:eastAsia="zh-CN"/>
        </w:rPr>
        <w:t>kg</w:t>
      </w:r>
      <w:r>
        <w:rPr>
          <w:rFonts w:hint="default" w:ascii="Times New Roman" w:hAnsi="Times New Roman"/>
          <w:kern w:val="0"/>
          <w:szCs w:val="20"/>
        </w:rPr>
        <w:t>/hm</w:t>
      </w:r>
      <w:r>
        <w:rPr>
          <w:rFonts w:hint="default" w:ascii="Times New Roman" w:hAnsi="Times New Roman"/>
          <w:kern w:val="0"/>
          <w:szCs w:val="20"/>
          <w:vertAlign w:val="superscript"/>
        </w:rPr>
        <w:t>2</w:t>
      </w:r>
      <w:r>
        <w:rPr>
          <w:rFonts w:ascii="Times New Roman" w:hAnsi="Times New Roman"/>
          <w:kern w:val="0"/>
          <w:szCs w:val="20"/>
        </w:rPr>
        <w:t>~300</w:t>
      </w:r>
      <w:r>
        <w:rPr>
          <w:rFonts w:hint="eastAsia" w:ascii="Times New Roman" w:hAnsi="Times New Roman" w:cs="Times New Roman"/>
          <w:kern w:val="0"/>
          <w:szCs w:val="20"/>
          <w:lang w:val="en-US" w:eastAsia="zh-CN"/>
        </w:rPr>
        <w:t>kg</w:t>
      </w:r>
      <w:r>
        <w:rPr>
          <w:rFonts w:hint="default" w:ascii="Times New Roman" w:hAnsi="Times New Roman"/>
          <w:kern w:val="0"/>
          <w:szCs w:val="20"/>
        </w:rPr>
        <w:t>/hm</w:t>
      </w:r>
      <w:r>
        <w:rPr>
          <w:rFonts w:ascii="Times New Roman" w:hAnsi="Times New Roman"/>
          <w:kern w:val="0"/>
          <w:szCs w:val="20"/>
          <w:vertAlign w:val="superscript"/>
        </w:rPr>
        <w:t>2</w:t>
      </w:r>
      <w:r>
        <w:rPr>
          <w:rFonts w:ascii="Times New Roman" w:hAnsi="Times New Roman"/>
          <w:kern w:val="0"/>
          <w:szCs w:val="20"/>
        </w:rPr>
        <w:t>。肥料使用符合NY/T 496的规定。</w:t>
      </w:r>
    </w:p>
    <w:p w14:paraId="17D61B60">
      <w:pPr>
        <w:pStyle w:val="106"/>
        <w:numPr>
          <w:ilvl w:val="2"/>
          <w:numId w:val="0"/>
        </w:numPr>
        <w:spacing w:before="156" w:after="156"/>
        <w:ind w:left="284" w:leftChars="0"/>
      </w:pPr>
      <w:bookmarkStart w:id="61" w:name="_Toc152084946"/>
      <w:bookmarkStart w:id="62" w:name="_Toc76570254"/>
      <w:r>
        <w:rPr>
          <w:rFonts w:hint="eastAsia"/>
          <w:lang w:val="en-US" w:eastAsia="zh-CN"/>
        </w:rPr>
        <w:t>4.4品种</w:t>
      </w:r>
      <w:r>
        <w:rPr>
          <w:rFonts w:hint="eastAsia"/>
        </w:rPr>
        <w:t>选择</w:t>
      </w:r>
    </w:p>
    <w:p w14:paraId="693688BC">
      <w:pPr>
        <w:widowControl/>
        <w:ind w:firstLine="420" w:firstLineChars="200"/>
        <w:jc w:val="left"/>
        <w:rPr>
          <w:rFonts w:ascii="Times New Roman" w:hAnsi="Times New Roman"/>
          <w:kern w:val="0"/>
          <w:szCs w:val="20"/>
        </w:rPr>
      </w:pPr>
      <w:bookmarkStart w:id="63" w:name="_Hlk206604437"/>
      <w:bookmarkStart w:id="64" w:name="_Hlk206603141"/>
      <w:r>
        <w:rPr>
          <w:rFonts w:ascii="Times New Roman" w:hAnsi="Times New Roman"/>
          <w:kern w:val="0"/>
          <w:szCs w:val="20"/>
        </w:rPr>
        <w:t>选择适宜高海拔寒旱区种植的燕麦品种</w:t>
      </w:r>
      <w:r>
        <w:rPr>
          <w:rFonts w:hint="eastAsia" w:ascii="Times New Roman" w:hAnsi="Times New Roman"/>
          <w:kern w:val="0"/>
          <w:szCs w:val="20"/>
          <w:lang w:val="en-US" w:eastAsia="zh-CN"/>
        </w:rPr>
        <w:t>（推荐品种见附录</w:t>
      </w:r>
      <w:r>
        <w:rPr>
          <w:rFonts w:hint="default" w:ascii="Times New Roman" w:hAnsi="Times New Roman"/>
          <w:kern w:val="0"/>
          <w:szCs w:val="20"/>
          <w:lang w:val="en-US" w:eastAsia="zh-CN"/>
        </w:rPr>
        <w:t>B</w:t>
      </w:r>
      <w:r>
        <w:rPr>
          <w:rFonts w:hint="eastAsia" w:ascii="Times New Roman" w:hAnsi="Times New Roman"/>
          <w:kern w:val="0"/>
          <w:szCs w:val="20"/>
          <w:lang w:val="en-US" w:eastAsia="zh-CN"/>
        </w:rPr>
        <w:t>）</w:t>
      </w:r>
      <w:r>
        <w:rPr>
          <w:rFonts w:ascii="Times New Roman" w:hAnsi="Times New Roman"/>
          <w:kern w:val="0"/>
          <w:szCs w:val="20"/>
        </w:rPr>
        <w:t>，种子质量符合GB/T 6142的规定。</w:t>
      </w:r>
    </w:p>
    <w:bookmarkEnd w:id="61"/>
    <w:bookmarkEnd w:id="62"/>
    <w:bookmarkEnd w:id="63"/>
    <w:bookmarkEnd w:id="64"/>
    <w:p w14:paraId="3EADFCD3">
      <w:pPr>
        <w:pStyle w:val="106"/>
        <w:numPr>
          <w:ilvl w:val="2"/>
          <w:numId w:val="0"/>
        </w:numPr>
        <w:spacing w:before="156" w:after="156"/>
        <w:ind w:left="284" w:leftChars="0"/>
      </w:pPr>
      <w:bookmarkStart w:id="65" w:name="_Toc152084943"/>
      <w:bookmarkStart w:id="66" w:name="_Toc76570250"/>
      <w:bookmarkStart w:id="67" w:name="_Toc153440754"/>
      <w:bookmarkStart w:id="68" w:name="_Toc152086416"/>
      <w:r>
        <w:rPr>
          <w:rFonts w:hint="eastAsia"/>
          <w:lang w:val="en-US" w:eastAsia="zh-CN"/>
        </w:rPr>
        <w:t>4.5</w:t>
      </w:r>
      <w:r>
        <w:rPr>
          <w:rFonts w:hint="eastAsia"/>
        </w:rPr>
        <w:t>种</w:t>
      </w:r>
      <w:bookmarkEnd w:id="65"/>
      <w:bookmarkEnd w:id="66"/>
      <w:bookmarkEnd w:id="67"/>
      <w:bookmarkEnd w:id="68"/>
      <w:r>
        <w:rPr>
          <w:rFonts w:hint="eastAsia"/>
        </w:rPr>
        <w:t>子准备</w:t>
      </w:r>
    </w:p>
    <w:p w14:paraId="5DBDAC44">
      <w:pPr>
        <w:widowControl/>
        <w:tabs>
          <w:tab w:val="center" w:pos="4201"/>
          <w:tab w:val="right" w:leader="dot" w:pos="9298"/>
        </w:tabs>
        <w:autoSpaceDE w:val="0"/>
        <w:autoSpaceDN w:val="0"/>
        <w:ind w:firstLine="420" w:firstLineChars="200"/>
        <w:rPr>
          <w:rFonts w:ascii="Times New Roman" w:hAnsi="Times New Roman"/>
          <w:kern w:val="0"/>
          <w:szCs w:val="20"/>
        </w:rPr>
      </w:pPr>
      <w:r>
        <w:rPr>
          <w:rFonts w:ascii="Times New Roman" w:hAnsi="Times New Roman"/>
          <w:kern w:val="0"/>
          <w:szCs w:val="20"/>
        </w:rPr>
        <w:t>种子质量执行GB/T 6142禾本科草种子质量分级规定，</w:t>
      </w:r>
      <w:r>
        <w:rPr>
          <w:rFonts w:hint="eastAsia" w:ascii="Times New Roman" w:hAnsi="Times New Roman"/>
          <w:kern w:val="0"/>
          <w:szCs w:val="20"/>
          <w:lang w:val="en-US" w:eastAsia="zh-CN"/>
        </w:rPr>
        <w:t>种子纯度≥75%、发芽率≥85%</w:t>
      </w:r>
      <w:r>
        <w:rPr>
          <w:rFonts w:ascii="Times New Roman" w:hAnsi="Times New Roman"/>
          <w:kern w:val="0"/>
          <w:szCs w:val="20"/>
        </w:rPr>
        <w:t>。</w:t>
      </w:r>
      <w:bookmarkStart w:id="69" w:name="_Toc76570256"/>
      <w:bookmarkStart w:id="70" w:name="_Toc212224721"/>
      <w:bookmarkStart w:id="71" w:name="_Toc152084948"/>
      <w:bookmarkStart w:id="72" w:name="_Toc153440756"/>
      <w:bookmarkStart w:id="73" w:name="_Toc152086418"/>
    </w:p>
    <w:p w14:paraId="40BE52F5">
      <w:pPr>
        <w:pStyle w:val="105"/>
        <w:spacing w:before="312" w:after="312"/>
        <w:rPr>
          <w:rFonts w:hint="eastAsia"/>
        </w:rPr>
      </w:pPr>
      <w:r>
        <w:rPr>
          <w:rFonts w:hint="eastAsia"/>
        </w:rPr>
        <w:t>播种</w:t>
      </w:r>
      <w:bookmarkEnd w:id="69"/>
      <w:bookmarkEnd w:id="70"/>
      <w:bookmarkEnd w:id="71"/>
      <w:bookmarkEnd w:id="72"/>
      <w:bookmarkEnd w:id="73"/>
    </w:p>
    <w:p w14:paraId="60814988">
      <w:pPr>
        <w:pStyle w:val="106"/>
        <w:numPr>
          <w:ilvl w:val="2"/>
          <w:numId w:val="33"/>
        </w:numPr>
        <w:spacing w:before="156" w:after="156"/>
      </w:pPr>
      <w:bookmarkStart w:id="74" w:name="_Toc152084949"/>
      <w:bookmarkStart w:id="75" w:name="_Toc152086419"/>
      <w:bookmarkStart w:id="76" w:name="_Toc76570257"/>
      <w:bookmarkStart w:id="77" w:name="_Toc153440757"/>
      <w:r>
        <w:rPr>
          <w:rFonts w:hint="eastAsia"/>
        </w:rPr>
        <w:t>播种期</w:t>
      </w:r>
      <w:bookmarkEnd w:id="74"/>
      <w:bookmarkEnd w:id="75"/>
      <w:bookmarkEnd w:id="76"/>
      <w:bookmarkEnd w:id="77"/>
    </w:p>
    <w:p w14:paraId="6DBD3087">
      <w:pPr>
        <w:widowControl/>
        <w:spacing w:line="360" w:lineRule="auto"/>
        <w:ind w:firstLine="420" w:firstLineChars="200"/>
        <w:jc w:val="left"/>
        <w:rPr>
          <w:rFonts w:ascii="Times New Roman" w:hAnsi="Times New Roman"/>
          <w:color w:val="000000"/>
          <w:kern w:val="0"/>
          <w:lang w:bidi="ar"/>
        </w:rPr>
      </w:pPr>
      <w:bookmarkStart w:id="78" w:name="_Hlk206603205"/>
      <w:r>
        <w:rPr>
          <w:rFonts w:ascii="Times New Roman" w:hAnsi="Times New Roman"/>
          <w:kern w:val="0"/>
          <w:szCs w:val="20"/>
        </w:rPr>
        <w:t>5月下旬～6月上旬。</w:t>
      </w:r>
    </w:p>
    <w:bookmarkEnd w:id="78"/>
    <w:p w14:paraId="1914CBBA">
      <w:pPr>
        <w:pStyle w:val="106"/>
        <w:numPr>
          <w:ilvl w:val="2"/>
          <w:numId w:val="33"/>
        </w:numPr>
        <w:spacing w:before="156" w:after="156"/>
      </w:pPr>
      <w:bookmarkStart w:id="79" w:name="_Toc152084951"/>
      <w:bookmarkStart w:id="80" w:name="_Toc153440759"/>
      <w:bookmarkStart w:id="81" w:name="_Toc152086421"/>
      <w:bookmarkStart w:id="82" w:name="_Toc76570259"/>
      <w:r>
        <w:rPr>
          <w:rFonts w:hint="eastAsia"/>
        </w:rPr>
        <w:t>播种深度</w:t>
      </w:r>
    </w:p>
    <w:p w14:paraId="4DD862FB">
      <w:pPr>
        <w:widowControl/>
        <w:tabs>
          <w:tab w:val="center" w:pos="4201"/>
          <w:tab w:val="right" w:leader="dot" w:pos="9298"/>
        </w:tabs>
        <w:autoSpaceDE w:val="0"/>
        <w:autoSpaceDN w:val="0"/>
        <w:ind w:firstLine="428" w:firstLineChars="200"/>
        <w:rPr>
          <w:rFonts w:ascii="Times New Roman" w:hAnsi="Times New Roman"/>
          <w:kern w:val="0"/>
          <w:szCs w:val="20"/>
        </w:rPr>
      </w:pPr>
      <w:bookmarkStart w:id="83" w:name="_Hlk206603215"/>
      <w:r>
        <w:rPr>
          <w:rFonts w:hint="eastAsia" w:ascii="Times New Roman" w:hAnsi="Times New Roman"/>
          <w:spacing w:val="7"/>
          <w:position w:val="2"/>
          <w:sz w:val="20"/>
          <w:szCs w:val="20"/>
          <w:lang w:val="en-US" w:eastAsia="zh-CN"/>
        </w:rPr>
        <w:t>3</w:t>
      </w:r>
      <w:r>
        <w:rPr>
          <w:rFonts w:ascii="Times New Roman" w:hAnsi="Times New Roman"/>
          <w:spacing w:val="7"/>
          <w:position w:val="2"/>
          <w:sz w:val="20"/>
          <w:szCs w:val="20"/>
        </w:rPr>
        <w:t xml:space="preserve"> </w:t>
      </w:r>
      <w:r>
        <w:rPr>
          <w:rFonts w:ascii="Times New Roman" w:hAnsi="Times New Roman" w:eastAsia="Times New Roman"/>
          <w:position w:val="2"/>
          <w:sz w:val="20"/>
          <w:szCs w:val="20"/>
        </w:rPr>
        <w:t>cm</w:t>
      </w:r>
      <w:r>
        <w:rPr>
          <w:rFonts w:ascii="Times New Roman" w:hAnsi="Times New Roman"/>
          <w:spacing w:val="7"/>
          <w:position w:val="2"/>
          <w:sz w:val="20"/>
          <w:szCs w:val="20"/>
        </w:rPr>
        <w:t>～</w:t>
      </w:r>
      <w:r>
        <w:rPr>
          <w:rFonts w:hint="eastAsia" w:ascii="Times New Roman" w:hAnsi="Times New Roman" w:eastAsia="宋体"/>
          <w:spacing w:val="7"/>
          <w:position w:val="2"/>
          <w:sz w:val="20"/>
          <w:szCs w:val="20"/>
          <w:lang w:val="en-US" w:eastAsia="zh-CN"/>
        </w:rPr>
        <w:t>5</w:t>
      </w:r>
      <w:r>
        <w:rPr>
          <w:rFonts w:ascii="Times New Roman" w:hAnsi="Times New Roman" w:eastAsia="Times New Roman"/>
          <w:spacing w:val="37"/>
          <w:w w:val="101"/>
          <w:position w:val="2"/>
          <w:sz w:val="20"/>
          <w:szCs w:val="20"/>
        </w:rPr>
        <w:t xml:space="preserve"> </w:t>
      </w:r>
      <w:r>
        <w:rPr>
          <w:rFonts w:ascii="Times New Roman" w:hAnsi="Times New Roman" w:eastAsia="Times New Roman"/>
          <w:position w:val="2"/>
          <w:sz w:val="20"/>
          <w:szCs w:val="20"/>
        </w:rPr>
        <w:t>cm</w:t>
      </w:r>
      <w:r>
        <w:rPr>
          <w:rFonts w:ascii="Times New Roman" w:hAnsi="Times New Roman"/>
          <w:kern w:val="0"/>
          <w:szCs w:val="20"/>
        </w:rPr>
        <w:t>。</w:t>
      </w:r>
    </w:p>
    <w:bookmarkEnd w:id="83"/>
    <w:p w14:paraId="015A0ACF">
      <w:pPr>
        <w:pStyle w:val="106"/>
        <w:numPr>
          <w:ilvl w:val="2"/>
          <w:numId w:val="33"/>
        </w:numPr>
        <w:spacing w:before="156" w:after="156"/>
      </w:pPr>
      <w:r>
        <w:rPr>
          <w:rFonts w:hint="eastAsia"/>
        </w:rPr>
        <w:t>播种方式</w:t>
      </w:r>
      <w:bookmarkEnd w:id="79"/>
      <w:bookmarkEnd w:id="80"/>
      <w:bookmarkEnd w:id="81"/>
    </w:p>
    <w:p w14:paraId="74902C70">
      <w:pPr>
        <w:widowControl/>
        <w:spacing w:line="360" w:lineRule="auto"/>
        <w:ind w:firstLine="420" w:firstLineChars="200"/>
        <w:jc w:val="left"/>
        <w:rPr>
          <w:rFonts w:ascii="Times New Roman" w:hAnsi="Times New Roman"/>
          <w:kern w:val="0"/>
          <w:szCs w:val="20"/>
        </w:rPr>
      </w:pPr>
      <w:bookmarkStart w:id="84" w:name="_Toc152084950"/>
      <w:bookmarkStart w:id="85" w:name="_Toc152086420"/>
      <w:bookmarkStart w:id="86" w:name="_Toc76570258"/>
      <w:bookmarkStart w:id="87" w:name="_Toc153440758"/>
      <w:r>
        <w:rPr>
          <w:rFonts w:hint="eastAsia" w:ascii="Times New Roman" w:hAnsi="Times New Roman"/>
          <w:kern w:val="0"/>
          <w:szCs w:val="20"/>
          <w:lang w:val="en-US" w:eastAsia="zh-CN"/>
        </w:rPr>
        <w:t>条播或撒播；条播</w:t>
      </w:r>
      <w:r>
        <w:rPr>
          <w:rFonts w:ascii="Times New Roman" w:hAnsi="Times New Roman"/>
          <w:kern w:val="0"/>
          <w:szCs w:val="20"/>
        </w:rPr>
        <w:t>采用播种机条播，行距15 cm</w:t>
      </w:r>
      <w:r>
        <w:rPr>
          <w:rFonts w:hint="eastAsia" w:ascii="Times New Roman" w:hAnsi="Times New Roman"/>
          <w:kern w:val="0"/>
          <w:szCs w:val="20"/>
        </w:rPr>
        <w:t>~</w:t>
      </w:r>
      <w:r>
        <w:rPr>
          <w:rFonts w:ascii="Times New Roman" w:hAnsi="Times New Roman"/>
          <w:kern w:val="0"/>
          <w:szCs w:val="20"/>
        </w:rPr>
        <w:t>20 cm。</w:t>
      </w:r>
    </w:p>
    <w:p w14:paraId="74C303A8">
      <w:pPr>
        <w:pStyle w:val="106"/>
        <w:numPr>
          <w:ilvl w:val="2"/>
          <w:numId w:val="33"/>
        </w:numPr>
        <w:spacing w:before="156" w:after="156"/>
      </w:pPr>
      <w:r>
        <w:rPr>
          <w:rFonts w:hint="eastAsia"/>
        </w:rPr>
        <w:t>播种量</w:t>
      </w:r>
      <w:bookmarkEnd w:id="84"/>
      <w:bookmarkEnd w:id="85"/>
      <w:bookmarkEnd w:id="86"/>
      <w:bookmarkEnd w:id="87"/>
    </w:p>
    <w:bookmarkEnd w:id="82"/>
    <w:p w14:paraId="541C238E">
      <w:pPr>
        <w:widowControl/>
        <w:tabs>
          <w:tab w:val="center" w:pos="4201"/>
          <w:tab w:val="right" w:leader="dot" w:pos="9298"/>
        </w:tabs>
        <w:autoSpaceDE w:val="0"/>
        <w:autoSpaceDN w:val="0"/>
        <w:ind w:firstLine="420" w:firstLineChars="200"/>
        <w:rPr>
          <w:rFonts w:ascii="Times New Roman" w:hAnsi="Times New Roman"/>
          <w:kern w:val="0"/>
          <w:szCs w:val="20"/>
        </w:rPr>
      </w:pPr>
      <w:bookmarkStart w:id="88" w:name="_Toc76570261"/>
      <w:bookmarkStart w:id="89" w:name="_Toc152086423"/>
      <w:bookmarkStart w:id="90" w:name="_Toc153440761"/>
      <w:bookmarkStart w:id="91" w:name="_Toc152084953"/>
      <w:r>
        <w:rPr>
          <w:rFonts w:ascii="Times New Roman" w:hAnsi="Times New Roman"/>
          <w:kern w:val="0"/>
          <w:szCs w:val="20"/>
        </w:rPr>
        <w:t>330kg/hm</w:t>
      </w:r>
      <w:r>
        <w:rPr>
          <w:rFonts w:ascii="Times New Roman" w:hAnsi="Times New Roman"/>
          <w:kern w:val="0"/>
          <w:szCs w:val="20"/>
          <w:vertAlign w:val="superscript"/>
        </w:rPr>
        <w:t>2</w:t>
      </w:r>
      <w:r>
        <w:rPr>
          <w:rFonts w:ascii="Times New Roman" w:hAnsi="Times New Roman"/>
          <w:kern w:val="0"/>
          <w:szCs w:val="20"/>
        </w:rPr>
        <w:t xml:space="preserve"> ~375kg/hm</w:t>
      </w:r>
      <w:r>
        <w:rPr>
          <w:rFonts w:ascii="Times New Roman" w:hAnsi="Times New Roman"/>
          <w:kern w:val="0"/>
          <w:szCs w:val="20"/>
          <w:vertAlign w:val="superscript"/>
        </w:rPr>
        <w:t>2</w:t>
      </w:r>
      <w:r>
        <w:rPr>
          <w:rFonts w:ascii="Times New Roman" w:hAnsi="Times New Roman"/>
          <w:kern w:val="0"/>
          <w:szCs w:val="20"/>
        </w:rPr>
        <w:t>。</w:t>
      </w:r>
    </w:p>
    <w:p w14:paraId="070A7722">
      <w:pPr>
        <w:pStyle w:val="106"/>
        <w:numPr>
          <w:ilvl w:val="2"/>
          <w:numId w:val="33"/>
        </w:numPr>
        <w:spacing w:before="156" w:after="156"/>
      </w:pPr>
      <w:r>
        <w:rPr>
          <w:rFonts w:hint="eastAsia"/>
        </w:rPr>
        <w:t>镇压</w:t>
      </w:r>
      <w:bookmarkEnd w:id="88"/>
      <w:bookmarkEnd w:id="89"/>
      <w:bookmarkEnd w:id="90"/>
      <w:bookmarkEnd w:id="91"/>
    </w:p>
    <w:p w14:paraId="3789016F">
      <w:pPr>
        <w:widowControl/>
        <w:tabs>
          <w:tab w:val="center" w:pos="4201"/>
          <w:tab w:val="right" w:leader="dot" w:pos="9298"/>
        </w:tabs>
        <w:autoSpaceDE w:val="0"/>
        <w:autoSpaceDN w:val="0"/>
        <w:ind w:firstLine="420" w:firstLineChars="200"/>
        <w:rPr>
          <w:rFonts w:hint="eastAsia" w:ascii="宋体"/>
          <w:kern w:val="0"/>
          <w:szCs w:val="20"/>
        </w:rPr>
      </w:pPr>
      <w:r>
        <w:rPr>
          <w:rFonts w:hint="eastAsia" w:ascii="宋体"/>
          <w:kern w:val="0"/>
          <w:szCs w:val="20"/>
        </w:rPr>
        <w:t>播后及时镇压。</w:t>
      </w:r>
    </w:p>
    <w:p w14:paraId="5C51C512">
      <w:pPr>
        <w:widowControl/>
        <w:tabs>
          <w:tab w:val="center" w:pos="4201"/>
          <w:tab w:val="right" w:leader="dot" w:pos="9298"/>
        </w:tabs>
        <w:autoSpaceDE w:val="0"/>
        <w:autoSpaceDN w:val="0"/>
        <w:ind w:firstLine="420" w:firstLineChars="200"/>
        <w:rPr>
          <w:rFonts w:hint="eastAsia" w:ascii="宋体"/>
          <w:kern w:val="0"/>
          <w:szCs w:val="20"/>
        </w:rPr>
      </w:pPr>
    </w:p>
    <w:p w14:paraId="2E58864C">
      <w:pPr>
        <w:widowControl/>
        <w:tabs>
          <w:tab w:val="center" w:pos="4201"/>
          <w:tab w:val="right" w:leader="dot" w:pos="9298"/>
        </w:tabs>
        <w:autoSpaceDE w:val="0"/>
        <w:autoSpaceDN w:val="0"/>
        <w:ind w:firstLine="420" w:firstLineChars="200"/>
        <w:rPr>
          <w:rFonts w:hint="eastAsia" w:ascii="宋体"/>
          <w:kern w:val="0"/>
          <w:szCs w:val="20"/>
        </w:rPr>
      </w:pPr>
    </w:p>
    <w:p w14:paraId="1E08CE00">
      <w:pPr>
        <w:pStyle w:val="105"/>
        <w:spacing w:before="312" w:after="312"/>
      </w:pPr>
      <w:bookmarkStart w:id="92" w:name="_Toc152084954"/>
      <w:bookmarkStart w:id="93" w:name="_Toc212224722"/>
      <w:bookmarkStart w:id="94" w:name="_Toc76570266"/>
      <w:bookmarkStart w:id="95" w:name="_Toc153440762"/>
      <w:bookmarkStart w:id="96" w:name="_Toc152086424"/>
      <w:r>
        <w:rPr>
          <w:rFonts w:hint="eastAsia"/>
        </w:rPr>
        <w:t>田间管理</w:t>
      </w:r>
      <w:bookmarkEnd w:id="92"/>
      <w:bookmarkEnd w:id="93"/>
      <w:bookmarkEnd w:id="94"/>
      <w:bookmarkEnd w:id="95"/>
      <w:bookmarkEnd w:id="96"/>
    </w:p>
    <w:p w14:paraId="5BC219C4">
      <w:pPr>
        <w:pStyle w:val="106"/>
        <w:numPr>
          <w:ilvl w:val="2"/>
          <w:numId w:val="33"/>
        </w:numPr>
        <w:spacing w:before="156" w:after="156"/>
      </w:pPr>
      <w:bookmarkStart w:id="97" w:name="_Toc153440763"/>
      <w:bookmarkStart w:id="98" w:name="_Toc152086425"/>
      <w:bookmarkStart w:id="99" w:name="_Toc76570267"/>
      <w:bookmarkStart w:id="100" w:name="_Toc152084955"/>
      <w:bookmarkStart w:id="101" w:name="_Hlk212223433"/>
      <w:r>
        <w:rPr>
          <w:rFonts w:hint="eastAsia"/>
          <w:lang w:val="en-US" w:eastAsia="zh-CN"/>
        </w:rPr>
        <w:t>除草</w:t>
      </w:r>
    </w:p>
    <w:p w14:paraId="512D79DA">
      <w:pPr>
        <w:pStyle w:val="57"/>
        <w:spacing w:line="400" w:lineRule="exact"/>
        <w:ind w:firstLine="420"/>
        <w:rPr>
          <w:rFonts w:hint="default" w:ascii="Times New Roman" w:hAnsi="Times New Roman" w:eastAsia="宋体" w:cs="Times New Roman"/>
          <w:lang w:val="en-US"/>
        </w:rPr>
      </w:pPr>
      <w:r>
        <w:rPr>
          <w:rFonts w:hint="eastAsia" w:ascii="Times New Roman" w:cs="Times New Roman"/>
          <w:lang w:val="en-US" w:eastAsia="zh-CN"/>
        </w:rPr>
        <w:t>及时清除杂草</w:t>
      </w:r>
      <w:r>
        <w:rPr>
          <w:rFonts w:hint="eastAsia" w:ascii="Times New Roman" w:hAnsi="Times New Roman" w:eastAsia="宋体" w:cs="Times New Roman"/>
          <w:lang w:val="en-US" w:eastAsia="zh-CN"/>
        </w:rPr>
        <w:t>。</w:t>
      </w:r>
    </w:p>
    <w:p w14:paraId="60359B35">
      <w:pPr>
        <w:pStyle w:val="106"/>
        <w:numPr>
          <w:ilvl w:val="2"/>
          <w:numId w:val="33"/>
        </w:numPr>
        <w:spacing w:before="156" w:after="156"/>
      </w:pPr>
      <w:r>
        <w:rPr>
          <w:rFonts w:hint="eastAsia"/>
        </w:rPr>
        <w:t>灌溉</w:t>
      </w:r>
      <w:bookmarkEnd w:id="97"/>
      <w:bookmarkEnd w:id="98"/>
      <w:bookmarkEnd w:id="99"/>
      <w:bookmarkEnd w:id="100"/>
    </w:p>
    <w:bookmarkEnd w:id="101"/>
    <w:p w14:paraId="408B009B">
      <w:pPr>
        <w:pStyle w:val="57"/>
        <w:spacing w:line="400" w:lineRule="exact"/>
        <w:ind w:firstLine="420"/>
        <w:rPr>
          <w:rFonts w:ascii="Times New Roman"/>
        </w:rPr>
      </w:pPr>
      <w:r>
        <w:rPr>
          <w:rFonts w:hint="eastAsia" w:ascii="Times New Roman"/>
          <w:lang w:val="en-US" w:eastAsia="zh-CN"/>
        </w:rPr>
        <w:t>适时灌溉保持土壤墒情</w:t>
      </w:r>
      <w:r>
        <w:rPr>
          <w:rFonts w:ascii="Times New Roman"/>
        </w:rPr>
        <w:t>。</w:t>
      </w:r>
    </w:p>
    <w:p w14:paraId="4C0EE7D4">
      <w:pPr>
        <w:pStyle w:val="106"/>
        <w:numPr>
          <w:ilvl w:val="2"/>
          <w:numId w:val="33"/>
        </w:numPr>
        <w:spacing w:before="156" w:after="156"/>
      </w:pPr>
      <w:r>
        <w:rPr>
          <w:rFonts w:hint="eastAsia"/>
        </w:rPr>
        <w:t>追肥</w:t>
      </w:r>
    </w:p>
    <w:p w14:paraId="3CD90C62">
      <w:pPr>
        <w:widowControl/>
        <w:tabs>
          <w:tab w:val="center" w:pos="4201"/>
          <w:tab w:val="right" w:leader="dot" w:pos="9298"/>
        </w:tabs>
        <w:autoSpaceDE w:val="0"/>
        <w:autoSpaceDN w:val="0"/>
        <w:ind w:firstLine="420" w:firstLineChars="200"/>
        <w:rPr>
          <w:rFonts w:ascii="Times New Roman" w:hAnsi="Times New Roman"/>
          <w:kern w:val="0"/>
          <w:szCs w:val="20"/>
        </w:rPr>
      </w:pPr>
      <w:bookmarkStart w:id="102" w:name="_Hlk206603340"/>
      <w:r>
        <w:rPr>
          <w:rFonts w:ascii="Times New Roman" w:hAnsi="Times New Roman"/>
          <w:kern w:val="0"/>
          <w:szCs w:val="20"/>
        </w:rPr>
        <w:t>在分蘖期至拔节期结合灌溉施用尿素120kg/hm</w:t>
      </w:r>
      <w:r>
        <w:rPr>
          <w:rFonts w:ascii="Times New Roman" w:hAnsi="Times New Roman"/>
          <w:kern w:val="0"/>
          <w:szCs w:val="20"/>
          <w:vertAlign w:val="superscript"/>
        </w:rPr>
        <w:t>2</w:t>
      </w:r>
      <w:r>
        <w:rPr>
          <w:rFonts w:ascii="Times New Roman" w:hAnsi="Times New Roman"/>
          <w:kern w:val="0"/>
          <w:szCs w:val="20"/>
        </w:rPr>
        <w:t>~225kg/hm</w:t>
      </w:r>
      <w:r>
        <w:rPr>
          <w:rFonts w:ascii="Times New Roman" w:hAnsi="Times New Roman"/>
          <w:kern w:val="0"/>
          <w:szCs w:val="20"/>
          <w:vertAlign w:val="superscript"/>
        </w:rPr>
        <w:t>2</w:t>
      </w:r>
      <w:r>
        <w:rPr>
          <w:rFonts w:ascii="Times New Roman" w:hAnsi="Times New Roman"/>
          <w:kern w:val="0"/>
          <w:szCs w:val="20"/>
        </w:rPr>
        <w:t>。</w:t>
      </w:r>
    </w:p>
    <w:bookmarkEnd w:id="102"/>
    <w:p w14:paraId="2A8E4E4F">
      <w:pPr>
        <w:pStyle w:val="106"/>
        <w:numPr>
          <w:ilvl w:val="2"/>
          <w:numId w:val="33"/>
        </w:numPr>
        <w:spacing w:before="156" w:after="156"/>
      </w:pPr>
      <w:r>
        <w:rPr>
          <w:rFonts w:hint="eastAsia"/>
        </w:rPr>
        <w:t>病虫害防治</w:t>
      </w:r>
      <w:r>
        <w:rPr>
          <w:rFonts w:hint="eastAsia"/>
          <w:lang w:val="en-US" w:eastAsia="zh-CN"/>
        </w:rPr>
        <w:t xml:space="preserve">  </w:t>
      </w:r>
    </w:p>
    <w:p w14:paraId="305F080A">
      <w:pPr>
        <w:widowControl/>
        <w:spacing w:line="360" w:lineRule="auto"/>
        <w:ind w:firstLine="420" w:firstLineChars="200"/>
        <w:jc w:val="left"/>
        <w:rPr>
          <w:rFonts w:ascii="Times New Roman" w:hAnsi="Times New Roman"/>
          <w:color w:val="000000"/>
          <w:kern w:val="0"/>
          <w:lang w:bidi="ar"/>
        </w:rPr>
      </w:pPr>
      <w:bookmarkStart w:id="103" w:name="_Hlk206603375"/>
      <w:r>
        <w:rPr>
          <w:rFonts w:ascii="Times New Roman" w:hAnsi="Times New Roman"/>
          <w:color w:val="000000"/>
          <w:kern w:val="0"/>
          <w:lang w:bidi="ar"/>
        </w:rPr>
        <w:t>燕麦常见的病害有红叶病、锈病等。防治方</w:t>
      </w:r>
      <w:r>
        <w:rPr>
          <w:rFonts w:ascii="Times New Roman" w:hAnsi="Times New Roman"/>
          <w:kern w:val="0"/>
          <w:lang w:bidi="ar"/>
        </w:rPr>
        <w:t>法参照附录C ,</w:t>
      </w:r>
      <w:r>
        <w:rPr>
          <w:rFonts w:ascii="Times New Roman" w:hAnsi="Times New Roman"/>
          <w:spacing w:val="6"/>
          <w:position w:val="1"/>
        </w:rPr>
        <w:t>农药使用符合</w:t>
      </w:r>
      <w:r>
        <w:rPr>
          <w:rFonts w:ascii="Times New Roman" w:hAnsi="Times New Roman"/>
          <w:position w:val="1"/>
        </w:rPr>
        <w:t>GB</w:t>
      </w:r>
      <w:r>
        <w:rPr>
          <w:rFonts w:ascii="Times New Roman" w:hAnsi="Times New Roman"/>
          <w:spacing w:val="6"/>
          <w:position w:val="1"/>
        </w:rPr>
        <w:t>/T 8321.8、</w:t>
      </w:r>
      <w:r>
        <w:rPr>
          <w:rFonts w:ascii="Times New Roman" w:hAnsi="Times New Roman"/>
          <w:position w:val="1"/>
        </w:rPr>
        <w:t>NY</w:t>
      </w:r>
      <w:r>
        <w:rPr>
          <w:rFonts w:ascii="Times New Roman" w:hAnsi="Times New Roman"/>
          <w:spacing w:val="6"/>
          <w:position w:val="1"/>
        </w:rPr>
        <w:t>/T 1276的规定</w:t>
      </w:r>
      <w:r>
        <w:rPr>
          <w:rFonts w:ascii="Times New Roman" w:hAnsi="Times New Roman"/>
          <w:color w:val="000000"/>
          <w:kern w:val="0"/>
          <w:lang w:bidi="ar"/>
        </w:rPr>
        <w:t>。常见的虫害有蚜虫、粘虫、蛴螬等；防治方法</w:t>
      </w:r>
      <w:r>
        <w:rPr>
          <w:rFonts w:ascii="Times New Roman" w:hAnsi="Times New Roman"/>
          <w:kern w:val="0"/>
          <w:lang w:bidi="ar"/>
        </w:rPr>
        <w:t>参照附录D</w:t>
      </w:r>
      <w:r>
        <w:rPr>
          <w:rFonts w:ascii="Times New Roman" w:hAnsi="Times New Roman"/>
          <w:color w:val="000000"/>
          <w:kern w:val="0"/>
          <w:lang w:bidi="ar"/>
        </w:rPr>
        <w:t>，</w:t>
      </w:r>
      <w:r>
        <w:rPr>
          <w:rFonts w:ascii="Times New Roman" w:hAnsi="Times New Roman"/>
          <w:spacing w:val="6"/>
          <w:position w:val="1"/>
        </w:rPr>
        <w:t>农药使用符合</w:t>
      </w:r>
      <w:r>
        <w:rPr>
          <w:rFonts w:ascii="Times New Roman" w:hAnsi="Times New Roman"/>
          <w:position w:val="1"/>
        </w:rPr>
        <w:t>GB</w:t>
      </w:r>
      <w:r>
        <w:rPr>
          <w:rFonts w:ascii="Times New Roman" w:hAnsi="Times New Roman"/>
          <w:spacing w:val="6"/>
          <w:position w:val="1"/>
        </w:rPr>
        <w:t>/T 8321.8、</w:t>
      </w:r>
      <w:r>
        <w:rPr>
          <w:rFonts w:ascii="Times New Roman" w:hAnsi="Times New Roman"/>
          <w:position w:val="1"/>
        </w:rPr>
        <w:t>NY</w:t>
      </w:r>
      <w:r>
        <w:rPr>
          <w:rFonts w:ascii="Times New Roman" w:hAnsi="Times New Roman"/>
          <w:spacing w:val="6"/>
          <w:position w:val="1"/>
        </w:rPr>
        <w:t>/T 1276的规定</w:t>
      </w:r>
      <w:r>
        <w:rPr>
          <w:rFonts w:hint="eastAsia" w:ascii="Times New Roman" w:hAnsi="Times New Roman"/>
          <w:spacing w:val="6"/>
          <w:position w:val="1"/>
          <w:lang w:eastAsia="zh-CN"/>
        </w:rPr>
        <w:t>、</w:t>
      </w:r>
      <w:r>
        <w:rPr>
          <w:rFonts w:hint="eastAsia" w:ascii="Times New Roman" w:hAnsi="Times New Roman"/>
          <w:kern w:val="0"/>
          <w:szCs w:val="20"/>
          <w:lang w:val="en-US" w:eastAsia="zh-CN"/>
        </w:rPr>
        <w:t>DB54/T0093-2015</w:t>
      </w:r>
      <w:r>
        <w:rPr>
          <w:rFonts w:ascii="Times New Roman" w:hAnsi="Times New Roman"/>
          <w:color w:val="000000"/>
          <w:kern w:val="0"/>
          <w:lang w:bidi="ar"/>
        </w:rPr>
        <w:t>。</w:t>
      </w:r>
    </w:p>
    <w:bookmarkEnd w:id="53"/>
    <w:bookmarkEnd w:id="103"/>
    <w:p w14:paraId="57D31386">
      <w:pPr>
        <w:pStyle w:val="105"/>
        <w:spacing w:before="312" w:after="312"/>
      </w:pPr>
      <w:bookmarkStart w:id="104" w:name="_Toc212224723"/>
      <w:r>
        <w:rPr>
          <w:rFonts w:hint="eastAsia"/>
        </w:rPr>
        <w:t>收割与贮藏</w:t>
      </w:r>
      <w:bookmarkEnd w:id="104"/>
    </w:p>
    <w:p w14:paraId="5406981A">
      <w:pPr>
        <w:pStyle w:val="231"/>
        <w:spacing w:line="360" w:lineRule="auto"/>
        <w:rPr>
          <w:rFonts w:ascii="Times New Roman"/>
        </w:rPr>
      </w:pPr>
      <w:r>
        <w:rPr>
          <w:rFonts w:ascii="Times New Roman"/>
        </w:rPr>
        <w:t>开花期刈割，留茬高度10cm~15cm。刈割后</w:t>
      </w:r>
      <w:r>
        <w:rPr>
          <w:rFonts w:hint="eastAsia" w:ascii="Times New Roman"/>
          <w:lang w:val="en-US" w:eastAsia="zh-CN"/>
        </w:rPr>
        <w:t>牧草</w:t>
      </w:r>
      <w:r>
        <w:rPr>
          <w:rFonts w:ascii="Times New Roman"/>
        </w:rPr>
        <w:t>含水量降至14%左右</w:t>
      </w:r>
      <w:r>
        <w:rPr>
          <w:rFonts w:hint="eastAsia" w:ascii="Times New Roman"/>
        </w:rPr>
        <w:t>时</w:t>
      </w:r>
      <w:r>
        <w:rPr>
          <w:rFonts w:ascii="Times New Roman"/>
        </w:rPr>
        <w:t>储藏。</w:t>
      </w:r>
    </w:p>
    <w:p w14:paraId="60F9CF30">
      <w:pPr>
        <w:widowControl/>
        <w:jc w:val="left"/>
        <w:rPr>
          <w:rFonts w:ascii="宋体"/>
          <w:kern w:val="0"/>
          <w:szCs w:val="20"/>
        </w:rPr>
      </w:pPr>
      <w:r>
        <w:br w:type="page"/>
      </w:r>
    </w:p>
    <w:p w14:paraId="6A8E452B">
      <w:pPr>
        <w:pStyle w:val="239"/>
        <w:numPr>
          <w:ilvl w:val="0"/>
          <w:numId w:val="4"/>
        </w:numPr>
      </w:pPr>
      <w:bookmarkStart w:id="105" w:name="_Hlk153468179"/>
      <w:r>
        <w:br w:type="textWrapping"/>
      </w:r>
      <w:bookmarkStart w:id="106" w:name="_Toc76570273"/>
      <w:bookmarkStart w:id="107" w:name="_Toc152084962"/>
      <w:bookmarkStart w:id="108" w:name="_Toc152086431"/>
      <w:bookmarkStart w:id="109" w:name="_Toc153440769"/>
      <w:bookmarkStart w:id="110" w:name="_Toc212224724"/>
      <w:r>
        <w:rPr>
          <w:rFonts w:hint="eastAsia"/>
        </w:rPr>
        <w:t>（资料性附录）</w:t>
      </w:r>
      <w:r>
        <w:br w:type="textWrapping"/>
      </w:r>
      <w:r>
        <w:rPr>
          <w:rFonts w:hint="eastAsia"/>
        </w:rPr>
        <w:t>推荐使用的生物有机肥参数</w:t>
      </w:r>
      <w:bookmarkEnd w:id="106"/>
      <w:bookmarkEnd w:id="107"/>
      <w:bookmarkEnd w:id="108"/>
      <w:bookmarkEnd w:id="109"/>
      <w:bookmarkEnd w:id="110"/>
    </w:p>
    <w:p w14:paraId="3042B00D">
      <w:pPr>
        <w:pStyle w:val="231"/>
        <w:ind w:left="0" w:leftChars="0" w:firstLine="0" w:firstLineChars="0"/>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推荐使用的生物有机肥参数见表A。</w:t>
      </w:r>
    </w:p>
    <w:p w14:paraId="60EBA78B">
      <w:pPr>
        <w:pStyle w:val="231"/>
        <w:rPr>
          <w:rFonts w:hint="default"/>
          <w:lang w:val="en-US" w:eastAsia="zh-CN"/>
        </w:rPr>
      </w:pPr>
      <w:r>
        <w:rPr>
          <w:rFonts w:hint="eastAsia" w:ascii="黑体" w:hAnsi="Times New Roman" w:eastAsia="黑体" w:cs="Times New Roman"/>
          <w:kern w:val="0"/>
          <w:sz w:val="21"/>
          <w:szCs w:val="20"/>
          <w:lang w:val="en-US" w:eastAsia="zh-CN" w:bidi="ar-SA"/>
        </w:rPr>
        <w:t xml:space="preserve">                         表A   推荐使用的生物有机肥参数  </w:t>
      </w:r>
      <w:r>
        <w:rPr>
          <w:rFonts w:hint="eastAsia"/>
          <w:lang w:val="en-US" w:eastAsia="zh-CN"/>
        </w:rPr>
        <w:t xml:space="preserve">                    </w:t>
      </w:r>
    </w:p>
    <w:bookmarkEnd w:id="105"/>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2"/>
        <w:gridCol w:w="7738"/>
      </w:tblGrid>
      <w:tr w14:paraId="1C5E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832" w:type="dxa"/>
          </w:tcPr>
          <w:p w14:paraId="5358BD0D">
            <w:pPr>
              <w:spacing w:line="460" w:lineRule="exact"/>
              <w:jc w:val="center"/>
              <w:rPr>
                <w:b/>
                <w:bCs/>
              </w:rPr>
            </w:pPr>
            <w:r>
              <w:rPr>
                <w:rFonts w:hint="eastAsia"/>
                <w:b/>
                <w:bCs/>
              </w:rPr>
              <w:t>生物有机肥</w:t>
            </w:r>
          </w:p>
        </w:tc>
        <w:tc>
          <w:tcPr>
            <w:tcW w:w="7738" w:type="dxa"/>
          </w:tcPr>
          <w:p w14:paraId="0E598C0B">
            <w:pPr>
              <w:spacing w:line="460" w:lineRule="exact"/>
              <w:jc w:val="center"/>
              <w:rPr>
                <w:b/>
                <w:bCs/>
              </w:rPr>
            </w:pPr>
            <w:r>
              <w:rPr>
                <w:rFonts w:hint="eastAsia"/>
                <w:b/>
                <w:bCs/>
              </w:rPr>
              <w:t>产品参数要求</w:t>
            </w:r>
          </w:p>
        </w:tc>
      </w:tr>
      <w:tr w14:paraId="1426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832" w:type="dxa"/>
            <w:vAlign w:val="center"/>
          </w:tcPr>
          <w:p w14:paraId="66D14222">
            <w:pPr>
              <w:spacing w:line="460" w:lineRule="exact"/>
              <w:jc w:val="center"/>
            </w:pPr>
            <w:r>
              <w:rPr>
                <w:rFonts w:ascii="Times New Roman" w:hAnsi="Times New Roman"/>
              </w:rPr>
              <w:t>微生物有机肥</w:t>
            </w:r>
          </w:p>
        </w:tc>
        <w:tc>
          <w:tcPr>
            <w:tcW w:w="7738" w:type="dxa"/>
          </w:tcPr>
          <w:p w14:paraId="04E3043F">
            <w:pPr>
              <w:spacing w:line="460" w:lineRule="exact"/>
            </w:pPr>
            <w:r>
              <w:rPr>
                <w:rFonts w:ascii="Times New Roman" w:hAnsi="Times New Roman"/>
                <w:color w:val="000000"/>
                <w:kern w:val="0"/>
                <w:lang w:bidi="ar"/>
              </w:rPr>
              <w:t>有机质≥20%，N+P</w:t>
            </w:r>
            <w:r>
              <w:rPr>
                <w:rFonts w:ascii="Times New Roman" w:hAnsi="Times New Roman"/>
                <w:color w:val="000000"/>
                <w:kern w:val="0"/>
                <w:vertAlign w:val="subscript"/>
                <w:lang w:bidi="ar"/>
              </w:rPr>
              <w:t>2</w:t>
            </w:r>
            <w:r>
              <w:rPr>
                <w:rFonts w:ascii="Times New Roman" w:hAnsi="Times New Roman"/>
                <w:color w:val="000000"/>
                <w:kern w:val="0"/>
                <w:lang w:bidi="ar"/>
              </w:rPr>
              <w:t>O</w:t>
            </w:r>
            <w:r>
              <w:rPr>
                <w:rFonts w:hint="eastAsia" w:ascii="Times New Roman" w:hAnsi="Times New Roman"/>
                <w:color w:val="000000"/>
                <w:kern w:val="0"/>
                <w:vertAlign w:val="subscript"/>
                <w:lang w:bidi="ar"/>
              </w:rPr>
              <w:t>5</w:t>
            </w:r>
            <w:r>
              <w:rPr>
                <w:rFonts w:ascii="Times New Roman" w:hAnsi="Times New Roman"/>
                <w:color w:val="000000"/>
                <w:kern w:val="0"/>
                <w:lang w:bidi="ar"/>
              </w:rPr>
              <w:t>+K</w:t>
            </w:r>
            <w:r>
              <w:rPr>
                <w:rFonts w:ascii="Times New Roman" w:hAnsi="Times New Roman"/>
                <w:color w:val="000000"/>
                <w:kern w:val="0"/>
                <w:vertAlign w:val="subscript"/>
                <w:lang w:bidi="ar"/>
              </w:rPr>
              <w:t>2</w:t>
            </w:r>
            <w:r>
              <w:rPr>
                <w:rFonts w:ascii="Times New Roman" w:hAnsi="Times New Roman"/>
                <w:color w:val="000000"/>
                <w:kern w:val="0"/>
                <w:lang w:bidi="ar"/>
              </w:rPr>
              <w:t>O≥15%，有效活菌(cfu)0.2亿个/克</w:t>
            </w:r>
            <w:r>
              <w:rPr>
                <w:rFonts w:hint="eastAsia" w:ascii="Times New Roman" w:hAnsi="Times New Roman"/>
                <w:color w:val="000000"/>
                <w:kern w:val="0"/>
                <w:lang w:bidi="ar"/>
              </w:rPr>
              <w:t>。</w:t>
            </w:r>
          </w:p>
        </w:tc>
      </w:tr>
      <w:tr w14:paraId="1C5D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2" w:type="dxa"/>
            <w:vAlign w:val="center"/>
          </w:tcPr>
          <w:p w14:paraId="2839F340">
            <w:pPr>
              <w:spacing w:line="460" w:lineRule="exact"/>
              <w:jc w:val="center"/>
            </w:pPr>
            <w:r>
              <w:rPr>
                <w:rFonts w:hint="eastAsia" w:ascii="Times New Roman" w:hAnsi="Times New Roman"/>
                <w:lang w:val="en-US" w:eastAsia="zh-CN"/>
              </w:rPr>
              <w:t>碱性</w:t>
            </w:r>
            <w:r>
              <w:rPr>
                <w:rFonts w:ascii="Times New Roman" w:hAnsi="Times New Roman"/>
              </w:rPr>
              <w:t>土壤改良肥</w:t>
            </w:r>
          </w:p>
        </w:tc>
        <w:tc>
          <w:tcPr>
            <w:tcW w:w="7738" w:type="dxa"/>
          </w:tcPr>
          <w:p w14:paraId="4B6C7F56">
            <w:pPr>
              <w:spacing w:line="460" w:lineRule="exact"/>
              <w:rPr>
                <w:color w:val="000000"/>
                <w:kern w:val="0"/>
                <w:lang w:bidi="ar"/>
              </w:rPr>
            </w:pPr>
            <w:r>
              <w:rPr>
                <w:rFonts w:ascii="Times New Roman" w:hAnsi="Times New Roman"/>
                <w:color w:val="000000"/>
                <w:kern w:val="0"/>
                <w:lang w:bidi="ar"/>
              </w:rPr>
              <w:t>有机质≥20%</w:t>
            </w:r>
            <w:r>
              <w:rPr>
                <w:rFonts w:hint="eastAsia" w:ascii="Times New Roman" w:hAnsi="Times New Roman"/>
                <w:color w:val="000000"/>
                <w:kern w:val="0"/>
                <w:lang w:bidi="ar"/>
              </w:rPr>
              <w:t>，</w:t>
            </w:r>
            <w:r>
              <w:rPr>
                <w:rFonts w:ascii="Times New Roman" w:hAnsi="Times New Roman"/>
                <w:color w:val="000000"/>
                <w:kern w:val="0"/>
                <w:lang w:bidi="ar"/>
              </w:rPr>
              <w:t>N+P</w:t>
            </w:r>
            <w:r>
              <w:rPr>
                <w:rFonts w:ascii="Times New Roman" w:hAnsi="Times New Roman"/>
                <w:color w:val="000000"/>
                <w:kern w:val="0"/>
                <w:vertAlign w:val="subscript"/>
                <w:lang w:bidi="ar"/>
              </w:rPr>
              <w:t>2</w:t>
            </w:r>
            <w:r>
              <w:rPr>
                <w:rFonts w:ascii="Times New Roman" w:hAnsi="Times New Roman"/>
                <w:color w:val="000000"/>
                <w:kern w:val="0"/>
                <w:lang w:bidi="ar"/>
              </w:rPr>
              <w:t>O</w:t>
            </w:r>
            <w:r>
              <w:rPr>
                <w:rFonts w:hint="eastAsia" w:ascii="Times New Roman" w:hAnsi="Times New Roman"/>
                <w:color w:val="000000"/>
                <w:kern w:val="0"/>
                <w:vertAlign w:val="subscript"/>
                <w:lang w:bidi="ar"/>
              </w:rPr>
              <w:t>5</w:t>
            </w:r>
            <w:r>
              <w:rPr>
                <w:rFonts w:ascii="Times New Roman" w:hAnsi="Times New Roman"/>
                <w:color w:val="000000"/>
                <w:kern w:val="0"/>
                <w:lang w:bidi="ar"/>
              </w:rPr>
              <w:t>+K</w:t>
            </w:r>
            <w:r>
              <w:rPr>
                <w:rFonts w:ascii="Times New Roman" w:hAnsi="Times New Roman"/>
                <w:color w:val="000000"/>
                <w:kern w:val="0"/>
                <w:vertAlign w:val="subscript"/>
                <w:lang w:bidi="ar"/>
              </w:rPr>
              <w:t>2</w:t>
            </w:r>
            <w:r>
              <w:rPr>
                <w:rFonts w:ascii="Times New Roman" w:hAnsi="Times New Roman"/>
                <w:color w:val="000000"/>
                <w:kern w:val="0"/>
                <w:lang w:bidi="ar"/>
              </w:rPr>
              <w:t>O≥5%，中量元素(钙+镁)≥15%</w:t>
            </w:r>
            <w:r>
              <w:rPr>
                <w:rFonts w:hint="eastAsia"/>
                <w:color w:val="000000"/>
                <w:kern w:val="0"/>
                <w:lang w:bidi="ar"/>
              </w:rPr>
              <w:t>，</w:t>
            </w:r>
            <w:r>
              <w:rPr>
                <w:rFonts w:ascii="Times New Roman" w:hAnsi="Times New Roman"/>
                <w:color w:val="000000"/>
                <w:kern w:val="0"/>
                <w:lang w:bidi="ar"/>
              </w:rPr>
              <w:t>pH 4~5，有效活菌数(cfu)≥0.2亿/</w:t>
            </w:r>
            <w:r>
              <w:rPr>
                <w:rFonts w:hint="eastAsia" w:ascii="Times New Roman" w:hAnsi="Times New Roman"/>
                <w:color w:val="000000"/>
                <w:kern w:val="0"/>
                <w:lang w:bidi="ar"/>
              </w:rPr>
              <w:t>克</w:t>
            </w:r>
            <w:r>
              <w:rPr>
                <w:rFonts w:ascii="Times New Roman" w:hAnsi="Times New Roman"/>
                <w:color w:val="000000"/>
                <w:kern w:val="0"/>
                <w:lang w:bidi="ar"/>
              </w:rPr>
              <w:t>。</w:t>
            </w:r>
          </w:p>
        </w:tc>
      </w:tr>
    </w:tbl>
    <w:p w14:paraId="02E27EBB">
      <w:pPr>
        <w:pStyle w:val="231"/>
      </w:pPr>
      <w:r>
        <w:br w:type="page"/>
      </w:r>
    </w:p>
    <w:p w14:paraId="38E93EC3">
      <w:pPr>
        <w:pStyle w:val="239"/>
        <w:numPr>
          <w:ilvl w:val="0"/>
          <w:numId w:val="4"/>
        </w:numPr>
      </w:pPr>
      <w:r>
        <w:br w:type="textWrapping"/>
      </w:r>
      <w:bookmarkStart w:id="111" w:name="_Toc212224725"/>
      <w:r>
        <w:rPr>
          <w:rFonts w:hint="eastAsia"/>
        </w:rPr>
        <w:t>（资料性附录）</w:t>
      </w:r>
      <w:r>
        <w:br w:type="textWrapping"/>
      </w:r>
      <w:r>
        <w:rPr>
          <w:rFonts w:hint="eastAsia"/>
        </w:rPr>
        <w:t>推荐使用的燕麦品种</w:t>
      </w:r>
      <w:bookmarkEnd w:id="111"/>
    </w:p>
    <w:p w14:paraId="293815A4">
      <w:pPr>
        <w:pStyle w:val="231"/>
        <w:ind w:left="0" w:leftChars="0" w:firstLine="0" w:firstLineChars="0"/>
        <w:rPr>
          <w:rFonts w:hint="default"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推荐使用的燕麦品种见表B</w:t>
      </w:r>
      <w:r>
        <w:rPr>
          <w:rFonts w:hint="eastAsia" w:ascii="黑体" w:eastAsia="黑体" w:cs="Times New Roman"/>
          <w:kern w:val="0"/>
          <w:sz w:val="21"/>
          <w:szCs w:val="20"/>
          <w:lang w:val="en-US" w:eastAsia="zh-CN" w:bidi="ar-SA"/>
        </w:rPr>
        <w:t>。</w:t>
      </w:r>
    </w:p>
    <w:p w14:paraId="59795CCA">
      <w:pPr>
        <w:pStyle w:val="231"/>
        <w:ind w:firstLine="3570" w:firstLineChars="1700"/>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表B  推荐使用的燕麦品种</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2"/>
        <w:gridCol w:w="7738"/>
      </w:tblGrid>
      <w:tr w14:paraId="15E0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2" w:type="dxa"/>
          </w:tcPr>
          <w:p w14:paraId="685D2260">
            <w:pPr>
              <w:spacing w:line="460" w:lineRule="exact"/>
              <w:jc w:val="center"/>
              <w:rPr>
                <w:rFonts w:ascii="Times New Roman" w:hAnsi="Times New Roman"/>
                <w:b/>
                <w:bCs/>
              </w:rPr>
            </w:pPr>
            <w:r>
              <w:rPr>
                <w:rFonts w:ascii="Times New Roman" w:hAnsi="Times New Roman"/>
                <w:b/>
                <w:bCs/>
              </w:rPr>
              <w:t>燕麦品种</w:t>
            </w:r>
          </w:p>
        </w:tc>
        <w:tc>
          <w:tcPr>
            <w:tcW w:w="7738" w:type="dxa"/>
          </w:tcPr>
          <w:p w14:paraId="57FCBCB4">
            <w:pPr>
              <w:spacing w:line="460" w:lineRule="exact"/>
              <w:jc w:val="center"/>
              <w:rPr>
                <w:rFonts w:ascii="Times New Roman" w:hAnsi="Times New Roman"/>
                <w:b/>
                <w:bCs/>
              </w:rPr>
            </w:pPr>
            <w:r>
              <w:rPr>
                <w:rFonts w:ascii="Times New Roman" w:hAnsi="Times New Roman"/>
                <w:b/>
                <w:bCs/>
              </w:rPr>
              <w:t>品种特性</w:t>
            </w:r>
          </w:p>
        </w:tc>
      </w:tr>
      <w:tr w14:paraId="1ACA6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2" w:type="dxa"/>
            <w:vAlign w:val="center"/>
          </w:tcPr>
          <w:p w14:paraId="5168B41F">
            <w:pPr>
              <w:spacing w:line="460" w:lineRule="exact"/>
              <w:jc w:val="center"/>
              <w:rPr>
                <w:rFonts w:ascii="Times New Roman" w:hAnsi="Times New Roman"/>
              </w:rPr>
            </w:pPr>
            <w:r>
              <w:rPr>
                <w:rFonts w:ascii="Times New Roman" w:hAnsi="Times New Roman"/>
              </w:rPr>
              <w:t>藏燕2号</w:t>
            </w:r>
          </w:p>
        </w:tc>
        <w:tc>
          <w:tcPr>
            <w:tcW w:w="7738" w:type="dxa"/>
          </w:tcPr>
          <w:p w14:paraId="1119832F">
            <w:pPr>
              <w:spacing w:line="460" w:lineRule="exact"/>
              <w:ind w:firstLine="420" w:firstLineChars="200"/>
              <w:rPr>
                <w:rFonts w:ascii="Times New Roman" w:hAnsi="Times New Roman"/>
                <w:kern w:val="0"/>
              </w:rPr>
            </w:pPr>
            <w:r>
              <w:rPr>
                <w:rFonts w:ascii="Times New Roman" w:hAnsi="Times New Roman"/>
                <w:kern w:val="0"/>
              </w:rPr>
              <w:t>茎杆粗壮，叶鞘松弛，叶舌透明膜质，叶片扁平，微粗糙，圆锥花序顶生，开展，叶片偏长，植株具3</w:t>
            </w:r>
            <w:r>
              <w:rPr>
                <w:rFonts w:hint="eastAsia" w:ascii="Times New Roman" w:hAnsi="Times New Roman"/>
                <w:kern w:val="0"/>
                <w:lang w:val="en-US" w:eastAsia="zh-CN"/>
              </w:rPr>
              <w:t>节</w:t>
            </w:r>
            <w:r>
              <w:rPr>
                <w:rFonts w:ascii="Times New Roman"/>
              </w:rPr>
              <w:t>~</w:t>
            </w:r>
            <w:r>
              <w:rPr>
                <w:rFonts w:ascii="Times New Roman" w:hAnsi="Times New Roman"/>
                <w:kern w:val="0"/>
              </w:rPr>
              <w:t>6节，穗型圆锥花絮周散，小穗数40</w:t>
            </w:r>
            <w:r>
              <w:rPr>
                <w:rFonts w:hint="eastAsia" w:ascii="Times New Roman" w:hAnsi="Times New Roman"/>
                <w:kern w:val="0"/>
                <w:lang w:val="en-US" w:eastAsia="zh-CN"/>
              </w:rPr>
              <w:t>个</w:t>
            </w:r>
            <w:r>
              <w:rPr>
                <w:rFonts w:ascii="Times New Roman"/>
              </w:rPr>
              <w:t>~</w:t>
            </w:r>
            <w:r>
              <w:rPr>
                <w:rFonts w:ascii="Times New Roman" w:hAnsi="Times New Roman"/>
                <w:kern w:val="0"/>
              </w:rPr>
              <w:t>60个。该品种具生长整齐、早熟、稳产、耐寒、耐旱、耐盐碱、耐贫瘠、适应性强等特点。在拉萨市曲水县全生育期100</w:t>
            </w:r>
            <w:r>
              <w:rPr>
                <w:rFonts w:hint="eastAsia" w:ascii="Times New Roman" w:hAnsi="Times New Roman"/>
                <w:kern w:val="0"/>
                <w:lang w:val="en-US" w:eastAsia="zh-CN"/>
              </w:rPr>
              <w:t>天</w:t>
            </w:r>
            <w:r>
              <w:rPr>
                <w:rFonts w:ascii="Times New Roman"/>
              </w:rPr>
              <w:t>~</w:t>
            </w:r>
            <w:r>
              <w:rPr>
                <w:rFonts w:ascii="Times New Roman" w:hAnsi="Times New Roman"/>
                <w:kern w:val="0"/>
              </w:rPr>
              <w:t>115天，成熟期株高130</w:t>
            </w:r>
            <w:r>
              <w:rPr>
                <w:rFonts w:hint="eastAsia" w:ascii="Times New Roman" w:hAnsi="Times New Roman"/>
                <w:kern w:val="0"/>
                <w:lang w:val="en-US" w:eastAsia="zh-CN"/>
              </w:rPr>
              <w:t>cm</w:t>
            </w:r>
            <w:r>
              <w:rPr>
                <w:rFonts w:ascii="Times New Roman"/>
              </w:rPr>
              <w:t>~</w:t>
            </w:r>
            <w:r>
              <w:rPr>
                <w:rFonts w:ascii="Times New Roman" w:hAnsi="Times New Roman"/>
                <w:kern w:val="0"/>
              </w:rPr>
              <w:t>160cm，籽粒黑褐色，千粒重33.3</w:t>
            </w:r>
            <w:r>
              <w:rPr>
                <w:rFonts w:hint="eastAsia" w:ascii="Times New Roman" w:hAnsi="Times New Roman"/>
                <w:kern w:val="0"/>
                <w:lang w:val="en-US" w:eastAsia="zh-CN"/>
              </w:rPr>
              <w:t>g</w:t>
            </w:r>
            <w:r>
              <w:rPr>
                <w:rFonts w:ascii="Times New Roman"/>
              </w:rPr>
              <w:t>~</w:t>
            </w:r>
            <w:r>
              <w:rPr>
                <w:rFonts w:ascii="Times New Roman" w:hAnsi="Times New Roman"/>
                <w:kern w:val="0"/>
              </w:rPr>
              <w:t>36.7g，种子平均产量1992kg/hm</w:t>
            </w:r>
            <w:r>
              <w:rPr>
                <w:rFonts w:ascii="Times New Roman" w:hAnsi="Times New Roman"/>
                <w:kern w:val="0"/>
                <w:vertAlign w:val="superscript"/>
              </w:rPr>
              <w:t>2</w:t>
            </w:r>
            <w:r>
              <w:rPr>
                <w:rFonts w:ascii="Times New Roman" w:hAnsi="Times New Roman"/>
                <w:kern w:val="0"/>
              </w:rPr>
              <w:t>。在西藏气候干旱、寒冷、海拔3800</w:t>
            </w:r>
            <w:r>
              <w:rPr>
                <w:rFonts w:hint="eastAsia" w:ascii="Times New Roman" w:hAnsi="Times New Roman"/>
                <w:kern w:val="0"/>
                <w:lang w:val="en-US" w:eastAsia="zh-CN"/>
              </w:rPr>
              <w:t>m</w:t>
            </w:r>
            <w:r>
              <w:rPr>
                <w:rFonts w:ascii="Times New Roman"/>
              </w:rPr>
              <w:t>~</w:t>
            </w:r>
            <w:r>
              <w:rPr>
                <w:rFonts w:ascii="Times New Roman" w:hAnsi="Times New Roman"/>
                <w:kern w:val="0"/>
              </w:rPr>
              <w:t>4600m的区域能获得较高的饲草产量，在那曲市尼玛县、色尼区，日喀则康马县平均干草产量达8.98t/hm</w:t>
            </w:r>
            <w:r>
              <w:rPr>
                <w:rFonts w:ascii="Times New Roman" w:hAnsi="Times New Roman"/>
                <w:kern w:val="0"/>
                <w:vertAlign w:val="superscript"/>
              </w:rPr>
              <w:t>2</w:t>
            </w:r>
            <w:r>
              <w:rPr>
                <w:rFonts w:ascii="Times New Roman"/>
              </w:rPr>
              <w:t>~</w:t>
            </w:r>
            <w:r>
              <w:rPr>
                <w:rFonts w:ascii="Times New Roman" w:hAnsi="Times New Roman"/>
                <w:kern w:val="0"/>
              </w:rPr>
              <w:t>10.07t/hm</w:t>
            </w:r>
            <w:r>
              <w:rPr>
                <w:rFonts w:ascii="Times New Roman" w:hAnsi="Times New Roman"/>
                <w:kern w:val="0"/>
                <w:vertAlign w:val="superscript"/>
              </w:rPr>
              <w:t>2</w:t>
            </w:r>
            <w:r>
              <w:rPr>
                <w:rFonts w:ascii="Times New Roman" w:hAnsi="Times New Roman"/>
                <w:kern w:val="0"/>
              </w:rPr>
              <w:t>。</w:t>
            </w:r>
          </w:p>
        </w:tc>
      </w:tr>
      <w:tr w14:paraId="31AA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2" w:type="dxa"/>
            <w:vAlign w:val="center"/>
          </w:tcPr>
          <w:p w14:paraId="611DFE6D">
            <w:pPr>
              <w:spacing w:line="460" w:lineRule="exact"/>
              <w:jc w:val="center"/>
              <w:rPr>
                <w:rFonts w:ascii="Times New Roman" w:hAnsi="Times New Roman"/>
              </w:rPr>
            </w:pPr>
            <w:r>
              <w:rPr>
                <w:rFonts w:ascii="Times New Roman" w:hAnsi="Times New Roman"/>
              </w:rPr>
              <w:t>青海444</w:t>
            </w:r>
          </w:p>
        </w:tc>
        <w:tc>
          <w:tcPr>
            <w:tcW w:w="7738" w:type="dxa"/>
          </w:tcPr>
          <w:p w14:paraId="56B67B6E">
            <w:pPr>
              <w:spacing w:line="460" w:lineRule="exact"/>
              <w:ind w:firstLine="420" w:firstLineChars="200"/>
              <w:rPr>
                <w:rFonts w:ascii="Times New Roman" w:hAnsi="Times New Roman"/>
              </w:rPr>
            </w:pPr>
            <w:r>
              <w:rPr>
                <w:rFonts w:ascii="Times New Roman" w:hAnsi="Times New Roman"/>
                <w:kern w:val="0"/>
              </w:rPr>
              <w:t>株高130</w:t>
            </w:r>
            <w:r>
              <w:rPr>
                <w:rFonts w:hint="eastAsia" w:ascii="Times New Roman" w:hAnsi="Times New Roman"/>
                <w:kern w:val="0"/>
                <w:lang w:val="en-US" w:eastAsia="zh-CN"/>
              </w:rPr>
              <w:t>cm</w:t>
            </w:r>
            <w:r>
              <w:rPr>
                <w:rFonts w:ascii="Times New Roman"/>
              </w:rPr>
              <w:t>~</w:t>
            </w:r>
            <w:r>
              <w:rPr>
                <w:rFonts w:ascii="Times New Roman" w:hAnsi="Times New Roman"/>
                <w:kern w:val="0"/>
              </w:rPr>
              <w:t>145cm，茎秆坚韧；颖壳黑色发亮，籽粒带绒毛，千粒重28</w:t>
            </w:r>
            <w:r>
              <w:rPr>
                <w:rFonts w:hint="eastAsia" w:ascii="Times New Roman" w:hAnsi="Times New Roman"/>
                <w:kern w:val="0"/>
                <w:lang w:val="en-US" w:eastAsia="zh-CN"/>
              </w:rPr>
              <w:t>g</w:t>
            </w:r>
            <w:r>
              <w:rPr>
                <w:rFonts w:ascii="Times New Roman"/>
              </w:rPr>
              <w:t>~</w:t>
            </w:r>
            <w:r>
              <w:rPr>
                <w:rFonts w:ascii="Times New Roman" w:hAnsi="Times New Roman"/>
                <w:kern w:val="0"/>
              </w:rPr>
              <w:t>35g耐-2℃低温（幼苗5℃可生长），耐旱、耐瘠薄、耐盐碱，适配年降水量300</w:t>
            </w:r>
            <w:r>
              <w:rPr>
                <w:rFonts w:hint="eastAsia" w:ascii="Times New Roman" w:hAnsi="Times New Roman"/>
                <w:kern w:val="0"/>
                <w:lang w:val="en-US" w:eastAsia="zh-CN"/>
              </w:rPr>
              <w:t>mm</w:t>
            </w:r>
            <w:r>
              <w:rPr>
                <w:rFonts w:ascii="Times New Roman"/>
              </w:rPr>
              <w:t>~</w:t>
            </w:r>
            <w:r>
              <w:rPr>
                <w:rFonts w:ascii="Times New Roman" w:hAnsi="Times New Roman"/>
                <w:kern w:val="0"/>
              </w:rPr>
              <w:t>1000mm区域。300kg/hm²播量下鲜草亩产</w:t>
            </w:r>
            <w:r>
              <w:rPr>
                <w:rFonts w:hint="eastAsia" w:ascii="Times New Roman" w:hAnsi="Times New Roman"/>
                <w:kern w:val="0"/>
                <w:lang w:val="en-US" w:eastAsia="zh-CN"/>
              </w:rPr>
              <w:t>32</w:t>
            </w:r>
            <w:r>
              <w:rPr>
                <w:rFonts w:ascii="Times New Roman" w:hAnsi="Times New Roman"/>
                <w:kern w:val="0"/>
              </w:rPr>
              <w:t>88.91kg。</w:t>
            </w:r>
          </w:p>
        </w:tc>
      </w:tr>
    </w:tbl>
    <w:p w14:paraId="45FB95CC">
      <w:pPr>
        <w:pStyle w:val="231"/>
        <w:ind w:firstLine="0" w:firstLineChars="0"/>
        <w:rPr>
          <w:rFonts w:ascii="Times New Roman"/>
        </w:rPr>
      </w:pPr>
    </w:p>
    <w:p w14:paraId="51F1A68E">
      <w:pPr>
        <w:pStyle w:val="231"/>
        <w:ind w:firstLine="0" w:firstLineChars="0"/>
        <w:rPr>
          <w:rFonts w:ascii="Times New Roman"/>
        </w:rPr>
      </w:pPr>
    </w:p>
    <w:p w14:paraId="6938E68A">
      <w:pPr>
        <w:pStyle w:val="231"/>
        <w:ind w:firstLine="0" w:firstLineChars="0"/>
        <w:rPr>
          <w:rFonts w:ascii="Times New Roman"/>
        </w:rPr>
      </w:pPr>
    </w:p>
    <w:p w14:paraId="5A282EDD">
      <w:pPr>
        <w:pStyle w:val="231"/>
        <w:ind w:firstLine="0" w:firstLineChars="0"/>
        <w:rPr>
          <w:rFonts w:ascii="Times New Roman"/>
        </w:rPr>
      </w:pPr>
    </w:p>
    <w:p w14:paraId="6EB09692">
      <w:pPr>
        <w:pStyle w:val="231"/>
        <w:ind w:firstLine="0" w:firstLineChars="0"/>
        <w:rPr>
          <w:rFonts w:ascii="Times New Roman"/>
        </w:rPr>
      </w:pPr>
    </w:p>
    <w:p w14:paraId="5F0E6CF2">
      <w:pPr>
        <w:pStyle w:val="231"/>
        <w:ind w:firstLine="0" w:firstLineChars="0"/>
        <w:rPr>
          <w:rFonts w:ascii="Times New Roman"/>
        </w:rPr>
      </w:pPr>
    </w:p>
    <w:p w14:paraId="56211B8B">
      <w:pPr>
        <w:pStyle w:val="231"/>
        <w:ind w:firstLine="0" w:firstLineChars="0"/>
        <w:rPr>
          <w:rFonts w:ascii="Times New Roman"/>
        </w:rPr>
      </w:pPr>
    </w:p>
    <w:p w14:paraId="594716AA">
      <w:pPr>
        <w:pStyle w:val="231"/>
        <w:ind w:firstLine="0" w:firstLineChars="0"/>
        <w:rPr>
          <w:rFonts w:ascii="Times New Roman"/>
        </w:rPr>
      </w:pPr>
    </w:p>
    <w:p w14:paraId="441D314B">
      <w:pPr>
        <w:pStyle w:val="231"/>
        <w:ind w:firstLine="0" w:firstLineChars="0"/>
        <w:rPr>
          <w:rFonts w:ascii="Times New Roman"/>
        </w:rPr>
      </w:pPr>
    </w:p>
    <w:p w14:paraId="6CD99B5E">
      <w:pPr>
        <w:pStyle w:val="231"/>
        <w:ind w:firstLine="0" w:firstLineChars="0"/>
        <w:rPr>
          <w:rFonts w:ascii="Times New Roman"/>
        </w:rPr>
      </w:pPr>
    </w:p>
    <w:p w14:paraId="537A355D">
      <w:pPr>
        <w:pStyle w:val="231"/>
        <w:ind w:firstLine="0" w:firstLineChars="0"/>
        <w:rPr>
          <w:rFonts w:ascii="Times New Roman"/>
        </w:rPr>
      </w:pPr>
    </w:p>
    <w:p w14:paraId="17D6F46B">
      <w:pPr>
        <w:pStyle w:val="231"/>
        <w:ind w:firstLine="0" w:firstLineChars="0"/>
        <w:rPr>
          <w:rFonts w:ascii="Times New Roman"/>
        </w:rPr>
      </w:pPr>
    </w:p>
    <w:p w14:paraId="7875D4BE">
      <w:pPr>
        <w:pStyle w:val="231"/>
        <w:ind w:firstLine="0" w:firstLineChars="0"/>
        <w:rPr>
          <w:rFonts w:ascii="Times New Roman"/>
        </w:rPr>
      </w:pPr>
    </w:p>
    <w:p w14:paraId="45914B51">
      <w:pPr>
        <w:pStyle w:val="231"/>
        <w:ind w:firstLine="0" w:firstLineChars="0"/>
        <w:rPr>
          <w:rFonts w:ascii="Times New Roman"/>
        </w:rPr>
      </w:pPr>
    </w:p>
    <w:p w14:paraId="345C8018">
      <w:pPr>
        <w:pStyle w:val="231"/>
        <w:ind w:firstLine="0" w:firstLineChars="0"/>
        <w:rPr>
          <w:rFonts w:ascii="Times New Roman"/>
        </w:rPr>
      </w:pPr>
    </w:p>
    <w:p w14:paraId="0FF125ED">
      <w:pPr>
        <w:pStyle w:val="231"/>
        <w:ind w:firstLine="0" w:firstLineChars="0"/>
        <w:rPr>
          <w:rFonts w:ascii="Times New Roman"/>
        </w:rPr>
      </w:pPr>
    </w:p>
    <w:p w14:paraId="2DEA4F18">
      <w:pPr>
        <w:pStyle w:val="231"/>
        <w:rPr>
          <w:rFonts w:ascii="Times New Roman"/>
        </w:rPr>
      </w:pPr>
    </w:p>
    <w:p w14:paraId="3C0D8468">
      <w:pPr>
        <w:pStyle w:val="231"/>
        <w:rPr>
          <w:rFonts w:ascii="Times New Roman"/>
        </w:rPr>
      </w:pPr>
    </w:p>
    <w:p w14:paraId="284B5B2B">
      <w:pPr>
        <w:pStyle w:val="57"/>
        <w:ind w:firstLine="420"/>
        <w:rPr>
          <w:rFonts w:ascii="Times New Roman"/>
        </w:rPr>
      </w:pPr>
    </w:p>
    <w:p w14:paraId="6DF543D4">
      <w:pPr>
        <w:pStyle w:val="57"/>
        <w:ind w:firstLine="420"/>
        <w:rPr>
          <w:rFonts w:ascii="Times New Roman"/>
        </w:rPr>
      </w:pPr>
    </w:p>
    <w:p w14:paraId="75381998">
      <w:pPr>
        <w:pStyle w:val="57"/>
        <w:ind w:firstLine="420"/>
        <w:rPr>
          <w:rFonts w:ascii="Times New Roman"/>
        </w:rPr>
      </w:pPr>
    </w:p>
    <w:bookmarkEnd w:id="26"/>
    <w:p w14:paraId="11212BBD">
      <w:pPr>
        <w:pStyle w:val="239"/>
        <w:numPr>
          <w:ilvl w:val="0"/>
          <w:numId w:val="4"/>
        </w:numPr>
        <w:rPr>
          <w:rFonts w:ascii="Times New Roman"/>
        </w:rPr>
      </w:pPr>
      <w:r>
        <w:rPr>
          <w:rFonts w:ascii="Times New Roman"/>
        </w:rPr>
        <w:br w:type="textWrapping"/>
      </w:r>
      <w:bookmarkStart w:id="112" w:name="_Toc212224726"/>
      <w:r>
        <w:rPr>
          <w:rFonts w:ascii="Times New Roman"/>
        </w:rPr>
        <w:t>（资料性附录）</w:t>
      </w:r>
      <w:r>
        <w:rPr>
          <w:rFonts w:ascii="Times New Roman"/>
        </w:rPr>
        <w:br w:type="textWrapping"/>
      </w:r>
      <w:r>
        <w:rPr>
          <w:rFonts w:ascii="Times New Roman"/>
        </w:rPr>
        <w:t>燕麦常见病害防治措施</w:t>
      </w:r>
      <w:bookmarkEnd w:id="112"/>
    </w:p>
    <w:p w14:paraId="6539FB65">
      <w:pPr>
        <w:pStyle w:val="231"/>
        <w:ind w:left="0" w:leftChars="0" w:firstLine="0" w:firstLineChars="0"/>
        <w:rPr>
          <w:rFonts w:hint="default" w:ascii="Times New Roman" w:hAnsi="Times New Roman" w:eastAsia="黑体" w:cs="Times New Roman"/>
          <w:kern w:val="0"/>
          <w:sz w:val="21"/>
          <w:szCs w:val="20"/>
          <w:lang w:val="en-US" w:eastAsia="zh-CN" w:bidi="ar-SA"/>
        </w:rPr>
      </w:pPr>
      <w:r>
        <w:rPr>
          <w:rFonts w:ascii="Times New Roman" w:hAnsi="Times New Roman" w:eastAsia="黑体" w:cs="Times New Roman"/>
          <w:kern w:val="0"/>
          <w:sz w:val="21"/>
          <w:szCs w:val="20"/>
          <w:lang w:val="en-US" w:eastAsia="zh-CN" w:bidi="ar-SA"/>
        </w:rPr>
        <w:t>燕麦常见病害防治措施</w:t>
      </w:r>
      <w:r>
        <w:rPr>
          <w:rFonts w:hint="eastAsia" w:ascii="Times New Roman" w:hAnsi="Times New Roman" w:eastAsia="黑体" w:cs="Times New Roman"/>
          <w:kern w:val="0"/>
          <w:sz w:val="21"/>
          <w:szCs w:val="20"/>
          <w:lang w:val="en-US" w:eastAsia="zh-CN" w:bidi="ar-SA"/>
        </w:rPr>
        <w:t>见表C。</w:t>
      </w:r>
    </w:p>
    <w:p w14:paraId="132A0AB5">
      <w:pPr>
        <w:pStyle w:val="231"/>
        <w:ind w:firstLine="3360" w:firstLineChars="1600"/>
        <w:rPr>
          <w:rFonts w:ascii="Times New Roman" w:hAnsi="Times New Roman" w:eastAsia="黑体" w:cs="Times New Roman"/>
          <w:kern w:val="0"/>
          <w:sz w:val="21"/>
          <w:szCs w:val="20"/>
          <w:lang w:val="en-US" w:eastAsia="zh-CN" w:bidi="ar-SA"/>
        </w:rPr>
      </w:pPr>
      <w:r>
        <w:rPr>
          <w:rFonts w:hint="eastAsia" w:ascii="Times New Roman" w:hAnsi="Times New Roman" w:eastAsia="黑体" w:cs="Times New Roman"/>
          <w:kern w:val="0"/>
          <w:sz w:val="21"/>
          <w:szCs w:val="20"/>
          <w:lang w:val="en-US" w:eastAsia="zh-CN" w:bidi="ar-SA"/>
        </w:rPr>
        <w:t xml:space="preserve">表C  </w:t>
      </w:r>
      <w:r>
        <w:rPr>
          <w:rFonts w:ascii="Times New Roman" w:hAnsi="Times New Roman" w:eastAsia="黑体" w:cs="Times New Roman"/>
          <w:kern w:val="0"/>
          <w:sz w:val="21"/>
          <w:szCs w:val="20"/>
          <w:lang w:val="en-US" w:eastAsia="zh-CN" w:bidi="ar-SA"/>
        </w:rPr>
        <w:t>燕麦常见病害防治措施</w:t>
      </w:r>
    </w:p>
    <w:tbl>
      <w:tblPr>
        <w:tblStyle w:val="28"/>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9"/>
        <w:gridCol w:w="3066"/>
        <w:gridCol w:w="3560"/>
        <w:gridCol w:w="1228"/>
      </w:tblGrid>
      <w:tr w14:paraId="61D7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689" w:type="dxa"/>
            <w:vAlign w:val="center"/>
          </w:tcPr>
          <w:p w14:paraId="4EACD8FE">
            <w:pPr>
              <w:pStyle w:val="231"/>
              <w:spacing w:line="360" w:lineRule="auto"/>
              <w:ind w:firstLine="0" w:firstLineChars="0"/>
              <w:jc w:val="center"/>
              <w:rPr>
                <w:rFonts w:ascii="Times New Roman"/>
                <w:b/>
                <w:bCs/>
                <w:szCs w:val="21"/>
              </w:rPr>
            </w:pPr>
            <w:r>
              <w:rPr>
                <w:rFonts w:ascii="Times New Roman"/>
                <w:b/>
                <w:bCs/>
                <w:szCs w:val="21"/>
              </w:rPr>
              <w:t>主要病害种类</w:t>
            </w:r>
          </w:p>
        </w:tc>
        <w:tc>
          <w:tcPr>
            <w:tcW w:w="3066" w:type="dxa"/>
            <w:vAlign w:val="center"/>
          </w:tcPr>
          <w:p w14:paraId="580D55E6">
            <w:pPr>
              <w:pStyle w:val="231"/>
              <w:spacing w:line="360" w:lineRule="auto"/>
              <w:ind w:firstLine="0" w:firstLineChars="0"/>
              <w:jc w:val="center"/>
              <w:rPr>
                <w:rFonts w:ascii="Times New Roman"/>
                <w:b/>
                <w:bCs/>
                <w:szCs w:val="21"/>
              </w:rPr>
            </w:pPr>
            <w:r>
              <w:rPr>
                <w:rFonts w:ascii="Times New Roman"/>
                <w:b/>
                <w:bCs/>
                <w:szCs w:val="21"/>
              </w:rPr>
              <w:t>症状</w:t>
            </w:r>
          </w:p>
        </w:tc>
        <w:tc>
          <w:tcPr>
            <w:tcW w:w="3560" w:type="dxa"/>
            <w:vAlign w:val="center"/>
          </w:tcPr>
          <w:p w14:paraId="12A5504B">
            <w:pPr>
              <w:pStyle w:val="231"/>
              <w:spacing w:line="360" w:lineRule="auto"/>
              <w:ind w:firstLine="0" w:firstLineChars="0"/>
              <w:jc w:val="center"/>
              <w:rPr>
                <w:rFonts w:ascii="Times New Roman"/>
                <w:b/>
                <w:bCs/>
                <w:szCs w:val="21"/>
              </w:rPr>
            </w:pPr>
            <w:r>
              <w:rPr>
                <w:rFonts w:ascii="Times New Roman"/>
                <w:b/>
                <w:bCs/>
                <w:szCs w:val="21"/>
              </w:rPr>
              <w:t>防治措施</w:t>
            </w:r>
          </w:p>
        </w:tc>
        <w:tc>
          <w:tcPr>
            <w:tcW w:w="1228" w:type="dxa"/>
            <w:vAlign w:val="center"/>
          </w:tcPr>
          <w:p w14:paraId="6B060AC3">
            <w:pPr>
              <w:pStyle w:val="231"/>
              <w:spacing w:line="360" w:lineRule="auto"/>
              <w:ind w:firstLine="0" w:firstLineChars="0"/>
              <w:jc w:val="center"/>
              <w:rPr>
                <w:rFonts w:ascii="Times New Roman"/>
                <w:b/>
                <w:bCs/>
                <w:szCs w:val="21"/>
              </w:rPr>
            </w:pPr>
            <w:r>
              <w:rPr>
                <w:rFonts w:ascii="Times New Roman"/>
                <w:b/>
                <w:bCs/>
                <w:szCs w:val="21"/>
              </w:rPr>
              <w:t>注意事项</w:t>
            </w:r>
          </w:p>
        </w:tc>
      </w:tr>
      <w:tr w14:paraId="435BD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1689" w:type="dxa"/>
            <w:vAlign w:val="center"/>
          </w:tcPr>
          <w:p w14:paraId="2BF6207A">
            <w:pPr>
              <w:pStyle w:val="231"/>
              <w:spacing w:line="460" w:lineRule="exact"/>
              <w:ind w:firstLine="0" w:firstLineChars="0"/>
              <w:jc w:val="center"/>
              <w:rPr>
                <w:rFonts w:ascii="Times New Roman"/>
                <w:szCs w:val="21"/>
              </w:rPr>
            </w:pPr>
            <w:r>
              <w:rPr>
                <w:rFonts w:ascii="Times New Roman"/>
                <w:szCs w:val="21"/>
              </w:rPr>
              <w:t>红叶病</w:t>
            </w:r>
          </w:p>
        </w:tc>
        <w:tc>
          <w:tcPr>
            <w:tcW w:w="3066" w:type="dxa"/>
            <w:vAlign w:val="center"/>
          </w:tcPr>
          <w:p w14:paraId="1C48C263">
            <w:pPr>
              <w:pStyle w:val="231"/>
              <w:spacing w:line="460" w:lineRule="exact"/>
              <w:rPr>
                <w:rFonts w:ascii="Times New Roman"/>
                <w:szCs w:val="21"/>
              </w:rPr>
            </w:pPr>
            <w:r>
              <w:rPr>
                <w:rFonts w:ascii="Times New Roman"/>
                <w:szCs w:val="21"/>
              </w:rPr>
              <w:t>植株染病后一般上部叶片先表现病症。叶部受害后，先自叶尖或叶缘开始，呈现紫红色或红色，逐渐向下扩展成红绿相间的条纹或斑驳，病叶变厚、变硬。后期叶片桔红色，叶鞘紫色，病株有不同程度的矮化现象，病株表现十分明显。</w:t>
            </w:r>
          </w:p>
        </w:tc>
        <w:tc>
          <w:tcPr>
            <w:tcW w:w="3560" w:type="dxa"/>
            <w:vAlign w:val="center"/>
          </w:tcPr>
          <w:p w14:paraId="36B781BD">
            <w:pPr>
              <w:pStyle w:val="231"/>
              <w:spacing w:line="460" w:lineRule="exact"/>
              <w:rPr>
                <w:rFonts w:ascii="Times New Roman"/>
                <w:szCs w:val="21"/>
              </w:rPr>
            </w:pPr>
            <w:r>
              <w:rPr>
                <w:rFonts w:ascii="Times New Roman"/>
                <w:szCs w:val="21"/>
              </w:rPr>
              <w:t>发现零星病株时，立即人工拔除，带出田间深埋或烧毁，避免病株中的病毒通过蚜虫扩散到健株。病株率超过5%时，每亩用10%吡虫啉可湿性粉剂1</w:t>
            </w:r>
            <w:r>
              <w:rPr>
                <w:rFonts w:hint="eastAsia" w:ascii="Times New Roman"/>
                <w:szCs w:val="21"/>
                <w:lang w:val="en-US" w:eastAsia="zh-CN"/>
              </w:rPr>
              <w:t>g</w:t>
            </w:r>
            <w:r>
              <w:rPr>
                <w:rFonts w:ascii="Times New Roman"/>
                <w:szCs w:val="21"/>
              </w:rPr>
              <w:t>5</w:t>
            </w:r>
            <w:r>
              <w:rPr>
                <w:rFonts w:ascii="Times New Roman"/>
              </w:rPr>
              <w:t>~</w:t>
            </w:r>
            <w:r>
              <w:rPr>
                <w:rFonts w:ascii="Times New Roman"/>
                <w:szCs w:val="21"/>
              </w:rPr>
              <w:t>20g或20%噻虫嗪悬浮剂 10</w:t>
            </w:r>
            <w:r>
              <w:rPr>
                <w:rFonts w:hint="eastAsia" w:ascii="Times New Roman"/>
                <w:szCs w:val="21"/>
                <w:lang w:val="en-US" w:eastAsia="zh-CN"/>
              </w:rPr>
              <w:t>g</w:t>
            </w:r>
            <w:r>
              <w:rPr>
                <w:rFonts w:ascii="Times New Roman"/>
              </w:rPr>
              <w:t>~</w:t>
            </w:r>
            <w:r>
              <w:rPr>
                <w:rFonts w:ascii="Times New Roman"/>
                <w:szCs w:val="21"/>
              </w:rPr>
              <w:t>15ml，兑水30</w:t>
            </w:r>
            <w:r>
              <w:rPr>
                <w:rFonts w:hint="eastAsia" w:ascii="Times New Roman"/>
                <w:szCs w:val="21"/>
                <w:lang w:val="en-US" w:eastAsia="zh-CN"/>
              </w:rPr>
              <w:t>kg</w:t>
            </w:r>
            <w:r>
              <w:rPr>
                <w:rFonts w:ascii="Times New Roman"/>
              </w:rPr>
              <w:t>~</w:t>
            </w:r>
            <w:r>
              <w:rPr>
                <w:rFonts w:ascii="Times New Roman"/>
                <w:szCs w:val="21"/>
              </w:rPr>
              <w:t>40kg喷雾，重点喷洒植株下部和叶背，间隔10</w:t>
            </w:r>
            <w:r>
              <w:rPr>
                <w:rFonts w:hint="eastAsia" w:ascii="Times New Roman"/>
                <w:szCs w:val="21"/>
                <w:lang w:eastAsia="zh-CN"/>
              </w:rPr>
              <w:t>天</w:t>
            </w:r>
            <w:r>
              <w:rPr>
                <w:rFonts w:ascii="Times New Roman"/>
              </w:rPr>
              <w:t>~</w:t>
            </w:r>
            <w:r>
              <w:rPr>
                <w:rFonts w:ascii="Times New Roman"/>
                <w:szCs w:val="21"/>
              </w:rPr>
              <w:t>15天喷 1 次，连喷2次。同时每亩喷施20%盐酸吗啉胍可湿性粉剂50g或5%氨基寡糖素水剂80</w:t>
            </w:r>
            <w:r>
              <w:rPr>
                <w:rFonts w:hint="eastAsia" w:ascii="Times New Roman"/>
                <w:szCs w:val="21"/>
                <w:lang w:val="en-US" w:eastAsia="zh-CN"/>
              </w:rPr>
              <w:t>ml</w:t>
            </w:r>
            <w:r>
              <w:rPr>
                <w:rFonts w:ascii="Times New Roman"/>
              </w:rPr>
              <w:t>~</w:t>
            </w:r>
            <w:r>
              <w:rPr>
                <w:rFonts w:ascii="Times New Roman"/>
                <w:szCs w:val="21"/>
              </w:rPr>
              <w:t>100ml，增强植株抗病毒能力，减少病株扩散。</w:t>
            </w:r>
          </w:p>
        </w:tc>
        <w:tc>
          <w:tcPr>
            <w:tcW w:w="1228" w:type="dxa"/>
            <w:vAlign w:val="center"/>
          </w:tcPr>
          <w:p w14:paraId="38F8FF03">
            <w:pPr>
              <w:pStyle w:val="231"/>
              <w:spacing w:line="460" w:lineRule="exact"/>
              <w:rPr>
                <w:rFonts w:ascii="Times New Roman"/>
                <w:szCs w:val="21"/>
              </w:rPr>
            </w:pPr>
            <w:r>
              <w:rPr>
                <w:rFonts w:ascii="Times New Roman"/>
                <w:szCs w:val="21"/>
              </w:rPr>
              <w:t>无</w:t>
            </w:r>
          </w:p>
        </w:tc>
      </w:tr>
      <w:tr w14:paraId="13B9E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9" w:hRule="atLeast"/>
          <w:jc w:val="center"/>
        </w:trPr>
        <w:tc>
          <w:tcPr>
            <w:tcW w:w="1689" w:type="dxa"/>
            <w:vAlign w:val="center"/>
          </w:tcPr>
          <w:p w14:paraId="355E99AF">
            <w:pPr>
              <w:pStyle w:val="231"/>
              <w:spacing w:line="460" w:lineRule="exact"/>
              <w:ind w:firstLine="0" w:firstLineChars="0"/>
              <w:jc w:val="center"/>
              <w:rPr>
                <w:rFonts w:ascii="Times New Roman"/>
                <w:szCs w:val="21"/>
              </w:rPr>
            </w:pPr>
            <w:r>
              <w:rPr>
                <w:rFonts w:ascii="Times New Roman"/>
                <w:szCs w:val="21"/>
              </w:rPr>
              <w:t>锈病</w:t>
            </w:r>
          </w:p>
        </w:tc>
        <w:tc>
          <w:tcPr>
            <w:tcW w:w="3066" w:type="dxa"/>
            <w:vAlign w:val="center"/>
          </w:tcPr>
          <w:p w14:paraId="093A8EB7">
            <w:pPr>
              <w:pStyle w:val="231"/>
              <w:spacing w:line="460" w:lineRule="exact"/>
              <w:rPr>
                <w:rFonts w:ascii="Times New Roman"/>
                <w:szCs w:val="21"/>
              </w:rPr>
            </w:pPr>
            <w:r>
              <w:rPr>
                <w:rFonts w:ascii="Times New Roman"/>
                <w:szCs w:val="21"/>
              </w:rPr>
              <w:t>燕麦锈病主要发生在燕麦生长的中后期，病斑生在叶、叶鞘及茎秆上。发病初期，叶片上产生橙黄色椭圆形小斑，后病斑渐扩展出现夏孢子堆。后期燕麦近枯黄时，在夏孢子堆基础上产生黑色的、表皮不破裂的冬孢子堆。</w:t>
            </w:r>
          </w:p>
        </w:tc>
        <w:tc>
          <w:tcPr>
            <w:tcW w:w="3560" w:type="dxa"/>
            <w:vAlign w:val="center"/>
          </w:tcPr>
          <w:p w14:paraId="2681C88A">
            <w:pPr>
              <w:pStyle w:val="231"/>
              <w:spacing w:line="460" w:lineRule="exact"/>
              <w:ind w:firstLine="0" w:firstLineChars="0"/>
              <w:rPr>
                <w:rFonts w:ascii="Times New Roman"/>
                <w:szCs w:val="21"/>
              </w:rPr>
            </w:pPr>
            <w:r>
              <w:rPr>
                <w:rFonts w:ascii="Times New Roman"/>
                <w:szCs w:val="21"/>
              </w:rPr>
              <w:t>锈病发病初期喷施25%三唑酮可湿性粉剂1000倍液喷施。</w:t>
            </w:r>
          </w:p>
          <w:p w14:paraId="5BF7299A">
            <w:pPr>
              <w:pStyle w:val="231"/>
              <w:spacing w:line="460" w:lineRule="exact"/>
              <w:rPr>
                <w:rFonts w:ascii="Times New Roman"/>
                <w:szCs w:val="21"/>
              </w:rPr>
            </w:pPr>
          </w:p>
        </w:tc>
        <w:tc>
          <w:tcPr>
            <w:tcW w:w="1228" w:type="dxa"/>
            <w:vAlign w:val="center"/>
          </w:tcPr>
          <w:p w14:paraId="3403E01F">
            <w:pPr>
              <w:pStyle w:val="231"/>
              <w:spacing w:line="460" w:lineRule="exact"/>
              <w:ind w:firstLine="0" w:firstLineChars="0"/>
              <w:jc w:val="center"/>
              <w:rPr>
                <w:rFonts w:ascii="Times New Roman"/>
                <w:szCs w:val="21"/>
              </w:rPr>
            </w:pPr>
            <w:r>
              <w:rPr>
                <w:rFonts w:ascii="Times New Roman"/>
                <w:szCs w:val="21"/>
              </w:rPr>
              <w:t>三唑酮安全间隔期为20天</w:t>
            </w:r>
            <w:r>
              <w:rPr>
                <w:rFonts w:hint="eastAsia" w:ascii="Times New Roman"/>
                <w:szCs w:val="21"/>
              </w:rPr>
              <w:t>。</w:t>
            </w:r>
          </w:p>
        </w:tc>
      </w:tr>
    </w:tbl>
    <w:p w14:paraId="043AC68C">
      <w:pPr>
        <w:pStyle w:val="57"/>
        <w:ind w:firstLine="0" w:firstLineChars="0"/>
        <w:rPr>
          <w:rFonts w:ascii="Times New Roman"/>
        </w:rPr>
      </w:pPr>
    </w:p>
    <w:p w14:paraId="37C1B753">
      <w:pPr>
        <w:pStyle w:val="57"/>
        <w:ind w:firstLine="0" w:firstLineChars="0"/>
        <w:rPr>
          <w:rFonts w:ascii="Times New Roman"/>
        </w:rPr>
      </w:pPr>
    </w:p>
    <w:p w14:paraId="7520CCC9">
      <w:pPr>
        <w:pStyle w:val="57"/>
        <w:ind w:firstLine="0" w:firstLineChars="0"/>
        <w:rPr>
          <w:rFonts w:ascii="Times New Roman"/>
        </w:rPr>
      </w:pPr>
    </w:p>
    <w:p w14:paraId="409AA4E9">
      <w:pPr>
        <w:pStyle w:val="57"/>
        <w:ind w:firstLine="0" w:firstLineChars="0"/>
        <w:rPr>
          <w:rFonts w:ascii="Times New Roman"/>
        </w:rPr>
      </w:pPr>
    </w:p>
    <w:p w14:paraId="0778E5CD">
      <w:pPr>
        <w:pStyle w:val="57"/>
        <w:ind w:firstLine="0" w:firstLineChars="0"/>
        <w:rPr>
          <w:rFonts w:ascii="Times New Roman"/>
        </w:rPr>
      </w:pPr>
    </w:p>
    <w:p w14:paraId="27E46BF4">
      <w:pPr>
        <w:pStyle w:val="57"/>
        <w:ind w:firstLine="0" w:firstLineChars="0"/>
        <w:rPr>
          <w:rFonts w:ascii="Times New Roman"/>
        </w:rPr>
      </w:pPr>
    </w:p>
    <w:p w14:paraId="6B50B4BE">
      <w:pPr>
        <w:pStyle w:val="239"/>
        <w:numPr>
          <w:ilvl w:val="0"/>
          <w:numId w:val="4"/>
        </w:numPr>
        <w:rPr>
          <w:rFonts w:ascii="Times New Roman"/>
        </w:rPr>
      </w:pPr>
      <w:r>
        <w:rPr>
          <w:rFonts w:ascii="Times New Roman"/>
        </w:rPr>
        <w:br w:type="textWrapping"/>
      </w:r>
      <w:bookmarkStart w:id="113" w:name="_Toc212224727"/>
      <w:r>
        <w:rPr>
          <w:rFonts w:ascii="Times New Roman"/>
        </w:rPr>
        <w:t>（资料性附录）</w:t>
      </w:r>
      <w:r>
        <w:rPr>
          <w:rFonts w:ascii="Times New Roman"/>
        </w:rPr>
        <w:br w:type="textWrapping"/>
      </w:r>
      <w:r>
        <w:rPr>
          <w:rFonts w:ascii="Times New Roman"/>
        </w:rPr>
        <w:t>燕麦常见虫害防治措施</w:t>
      </w:r>
      <w:bookmarkEnd w:id="113"/>
    </w:p>
    <w:p w14:paraId="2428E0B8">
      <w:pPr>
        <w:pStyle w:val="231"/>
        <w:ind w:left="0" w:leftChars="0" w:firstLine="0" w:firstLineChars="0"/>
        <w:rPr>
          <w:rFonts w:hint="default" w:ascii="Times New Roman" w:hAnsi="Times New Roman" w:eastAsia="黑体" w:cs="Times New Roman"/>
          <w:kern w:val="0"/>
          <w:sz w:val="21"/>
          <w:szCs w:val="20"/>
          <w:lang w:val="en-US" w:eastAsia="zh-CN" w:bidi="ar-SA"/>
        </w:rPr>
      </w:pPr>
      <w:r>
        <w:rPr>
          <w:rFonts w:ascii="Times New Roman" w:hAnsi="Times New Roman" w:eastAsia="黑体" w:cs="Times New Roman"/>
          <w:kern w:val="0"/>
          <w:sz w:val="21"/>
          <w:szCs w:val="20"/>
          <w:lang w:val="en-US" w:eastAsia="zh-CN" w:bidi="ar-SA"/>
        </w:rPr>
        <w:t>燕麦常见虫害防治措施</w:t>
      </w:r>
      <w:r>
        <w:rPr>
          <w:rFonts w:hint="eastAsia" w:ascii="Times New Roman" w:hAnsi="Times New Roman" w:eastAsia="黑体" w:cs="Times New Roman"/>
          <w:kern w:val="0"/>
          <w:sz w:val="21"/>
          <w:szCs w:val="20"/>
          <w:lang w:val="en-US" w:eastAsia="zh-CN" w:bidi="ar-SA"/>
        </w:rPr>
        <w:t>见表D。</w:t>
      </w:r>
      <w:bookmarkStart w:id="114" w:name="_GoBack"/>
      <w:bookmarkEnd w:id="114"/>
    </w:p>
    <w:p w14:paraId="71C4B2CE">
      <w:pPr>
        <w:pStyle w:val="231"/>
        <w:ind w:firstLine="3360" w:firstLineChars="1600"/>
        <w:rPr>
          <w:rFonts w:ascii="Times New Roman" w:hAnsi="Times New Roman" w:eastAsia="黑体" w:cs="Times New Roman"/>
          <w:kern w:val="0"/>
          <w:sz w:val="21"/>
          <w:szCs w:val="20"/>
          <w:lang w:val="en-US" w:eastAsia="zh-CN" w:bidi="ar-SA"/>
        </w:rPr>
      </w:pPr>
      <w:r>
        <w:rPr>
          <w:rFonts w:hint="eastAsia" w:ascii="Times New Roman" w:hAnsi="Times New Roman" w:eastAsia="黑体" w:cs="Times New Roman"/>
          <w:kern w:val="0"/>
          <w:sz w:val="21"/>
          <w:szCs w:val="20"/>
          <w:lang w:val="en-US" w:eastAsia="zh-CN" w:bidi="ar-SA"/>
        </w:rPr>
        <w:t>表D</w:t>
      </w:r>
      <w:r>
        <w:rPr>
          <w:rFonts w:ascii="Times New Roman" w:hAnsi="Times New Roman" w:eastAsia="黑体" w:cs="Times New Roman"/>
          <w:kern w:val="0"/>
          <w:sz w:val="21"/>
          <w:szCs w:val="20"/>
          <w:lang w:val="en-US" w:eastAsia="zh-CN" w:bidi="ar-SA"/>
        </w:rPr>
        <w:t>燕麦常见虫害防治措施</w:t>
      </w:r>
    </w:p>
    <w:tbl>
      <w:tblPr>
        <w:tblStyle w:val="28"/>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5244"/>
        <w:gridCol w:w="3065"/>
      </w:tblGrid>
      <w:tr w14:paraId="26596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555" w:type="dxa"/>
            <w:vAlign w:val="center"/>
          </w:tcPr>
          <w:p w14:paraId="23B80421">
            <w:pPr>
              <w:pStyle w:val="231"/>
              <w:spacing w:line="360" w:lineRule="auto"/>
              <w:ind w:firstLine="0" w:firstLineChars="0"/>
              <w:jc w:val="center"/>
              <w:rPr>
                <w:rFonts w:ascii="Times New Roman"/>
                <w:b/>
                <w:bCs/>
              </w:rPr>
            </w:pPr>
            <w:r>
              <w:rPr>
                <w:rFonts w:ascii="Times New Roman"/>
                <w:b/>
                <w:bCs/>
                <w:szCs w:val="18"/>
              </w:rPr>
              <w:t>主要害虫种类</w:t>
            </w:r>
          </w:p>
        </w:tc>
        <w:tc>
          <w:tcPr>
            <w:tcW w:w="5244" w:type="dxa"/>
            <w:vAlign w:val="center"/>
          </w:tcPr>
          <w:p w14:paraId="65831976">
            <w:pPr>
              <w:pStyle w:val="231"/>
              <w:spacing w:line="360" w:lineRule="auto"/>
              <w:ind w:firstLine="0" w:firstLineChars="0"/>
              <w:jc w:val="center"/>
              <w:rPr>
                <w:rFonts w:ascii="Times New Roman"/>
                <w:b/>
                <w:bCs/>
              </w:rPr>
            </w:pPr>
            <w:r>
              <w:rPr>
                <w:rFonts w:ascii="Times New Roman"/>
                <w:b/>
                <w:bCs/>
                <w:szCs w:val="18"/>
              </w:rPr>
              <w:t>防治方法</w:t>
            </w:r>
          </w:p>
        </w:tc>
        <w:tc>
          <w:tcPr>
            <w:tcW w:w="3065" w:type="dxa"/>
            <w:vAlign w:val="center"/>
          </w:tcPr>
          <w:p w14:paraId="7174BBE6">
            <w:pPr>
              <w:pStyle w:val="231"/>
              <w:spacing w:line="360" w:lineRule="auto"/>
              <w:ind w:firstLine="0" w:firstLineChars="0"/>
              <w:jc w:val="center"/>
              <w:rPr>
                <w:rFonts w:ascii="Times New Roman"/>
                <w:b/>
                <w:bCs/>
              </w:rPr>
            </w:pPr>
            <w:r>
              <w:rPr>
                <w:rFonts w:ascii="Times New Roman"/>
                <w:b/>
                <w:bCs/>
                <w:szCs w:val="18"/>
              </w:rPr>
              <w:t>注意事项</w:t>
            </w:r>
          </w:p>
        </w:tc>
      </w:tr>
      <w:tr w14:paraId="6BD7A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555" w:type="dxa"/>
            <w:vAlign w:val="center"/>
          </w:tcPr>
          <w:p w14:paraId="4EB6B300">
            <w:pPr>
              <w:pStyle w:val="231"/>
              <w:spacing w:line="360" w:lineRule="auto"/>
              <w:ind w:firstLine="0" w:firstLineChars="0"/>
              <w:jc w:val="center"/>
              <w:rPr>
                <w:rFonts w:ascii="Times New Roman"/>
              </w:rPr>
            </w:pPr>
            <w:r>
              <w:rPr>
                <w:rFonts w:ascii="Times New Roman"/>
                <w:szCs w:val="18"/>
              </w:rPr>
              <w:t>粘虫</w:t>
            </w:r>
          </w:p>
        </w:tc>
        <w:tc>
          <w:tcPr>
            <w:tcW w:w="5244" w:type="dxa"/>
            <w:vAlign w:val="center"/>
          </w:tcPr>
          <w:p w14:paraId="51FDD9B8">
            <w:pPr>
              <w:pStyle w:val="231"/>
              <w:spacing w:line="360" w:lineRule="auto"/>
              <w:rPr>
                <w:rFonts w:ascii="Times New Roman"/>
              </w:rPr>
            </w:pPr>
            <w:r>
              <w:rPr>
                <w:rFonts w:ascii="Times New Roman"/>
                <w:szCs w:val="18"/>
              </w:rPr>
              <w:t>（一）幼虫防治</w:t>
            </w:r>
          </w:p>
          <w:p w14:paraId="12965611">
            <w:pPr>
              <w:pStyle w:val="231"/>
              <w:spacing w:line="360" w:lineRule="auto"/>
              <w:rPr>
                <w:rFonts w:ascii="Times New Roman"/>
              </w:rPr>
            </w:pPr>
            <w:r>
              <w:rPr>
                <w:rFonts w:ascii="Times New Roman"/>
                <w:szCs w:val="18"/>
              </w:rPr>
              <w:t>在幼虫发生初期及时喷药防治，把幼虫消灭在3龄之前。当虫害密度达30头/每百株以上时，每亩用5%甲氰菊酯(灭扫利)乳油、5%氰戊菊酯(来福灵)乳油、2.5%高效氯氟氰菊酯(功夫)乳油、2.5%溴氰菊酯(敌杀死)乳油1000倍-1500倍液、40%氧化乐果1500倍~2000倍液、10%吡虫啉2000</w:t>
            </w:r>
            <w:r>
              <w:rPr>
                <w:rFonts w:hint="eastAsia" w:ascii="Times New Roman"/>
                <w:szCs w:val="18"/>
                <w:lang w:val="en-US" w:eastAsia="zh-CN"/>
              </w:rPr>
              <w:t>倍</w:t>
            </w:r>
            <w:r>
              <w:rPr>
                <w:rFonts w:ascii="Times New Roman"/>
                <w:szCs w:val="18"/>
              </w:rPr>
              <w:t>~2500倍液喷雾防治。</w:t>
            </w:r>
          </w:p>
          <w:p w14:paraId="2C708512">
            <w:pPr>
              <w:pStyle w:val="231"/>
              <w:spacing w:line="360" w:lineRule="auto"/>
              <w:rPr>
                <w:rFonts w:ascii="Times New Roman"/>
              </w:rPr>
            </w:pPr>
            <w:r>
              <w:rPr>
                <w:rFonts w:ascii="Times New Roman"/>
                <w:szCs w:val="18"/>
              </w:rPr>
              <w:t>低龄幼虫期可用5%卡死克乳油4000倍液、灭幼脲1号、灭幼脲2号或灭幼脲3号500倍~1000倍液喷雾防治，防治粘虫幼虫效果好，且不杀伤天敌。</w:t>
            </w:r>
          </w:p>
          <w:p w14:paraId="73ADD489">
            <w:pPr>
              <w:pStyle w:val="231"/>
              <w:spacing w:line="360" w:lineRule="auto"/>
              <w:rPr>
                <w:rFonts w:ascii="Times New Roman"/>
              </w:rPr>
            </w:pPr>
            <w:r>
              <w:rPr>
                <w:rFonts w:ascii="Times New Roman"/>
                <w:szCs w:val="18"/>
              </w:rPr>
              <w:t>(二)成虫防治</w:t>
            </w:r>
          </w:p>
          <w:p w14:paraId="6EBF732B">
            <w:pPr>
              <w:pStyle w:val="231"/>
              <w:spacing w:line="360" w:lineRule="auto"/>
              <w:rPr>
                <w:rFonts w:ascii="Times New Roman"/>
              </w:rPr>
            </w:pPr>
            <w:r>
              <w:rPr>
                <w:rFonts w:ascii="Times New Roman"/>
                <w:szCs w:val="18"/>
              </w:rPr>
              <w:t>利用粘虫成虫产卵习性、趋光、趋化性，采用谷草把、糖醋液、性诱捕器、杀虫灯等诱杀成虫，以减少成虫产卵量，降低田间虫口密度。</w:t>
            </w:r>
          </w:p>
        </w:tc>
        <w:tc>
          <w:tcPr>
            <w:tcW w:w="3065" w:type="dxa"/>
            <w:vAlign w:val="center"/>
          </w:tcPr>
          <w:p w14:paraId="71383F60">
            <w:pPr>
              <w:pStyle w:val="231"/>
              <w:spacing w:line="360" w:lineRule="auto"/>
              <w:rPr>
                <w:rFonts w:ascii="Times New Roman"/>
                <w:szCs w:val="18"/>
              </w:rPr>
            </w:pPr>
            <w:r>
              <w:rPr>
                <w:rFonts w:ascii="Times New Roman"/>
                <w:szCs w:val="18"/>
              </w:rPr>
              <w:t>施药时间应在晴天上午9点以前或下午5点以后，若遇雨天应及时补喷，要求喷雾均匀周到、田间地头，路边的杂草都要喷到。虫龄较大时，适当加大用药量。虫量特别大的田块，先拍打植株将粘虫抖落地面，再向地面喷药。</w:t>
            </w:r>
          </w:p>
          <w:p w14:paraId="1BB8DEF8">
            <w:pPr>
              <w:pStyle w:val="231"/>
              <w:spacing w:line="360" w:lineRule="auto"/>
              <w:rPr>
                <w:rFonts w:ascii="Times New Roman"/>
              </w:rPr>
            </w:pPr>
            <w:r>
              <w:rPr>
                <w:rFonts w:ascii="Times New Roman"/>
                <w:szCs w:val="18"/>
              </w:rPr>
              <w:t>建封锁带，防止转移。在粘虫迁移危害时，在其转移的道路上撒成15cm宽的药带进行封锁;或用40%辛硫磷乳</w:t>
            </w:r>
            <w:r>
              <w:rPr>
                <w:rFonts w:ascii="Times New Roman"/>
                <w:szCs w:val="18"/>
              </w:rPr>
              <w:tab/>
            </w:r>
            <w:r>
              <w:rPr>
                <w:rFonts w:ascii="Times New Roman"/>
                <w:szCs w:val="18"/>
              </w:rPr>
              <w:t>油75g-100g</w:t>
            </w:r>
          </w:p>
          <w:p w14:paraId="6B4C5EA4">
            <w:pPr>
              <w:pStyle w:val="231"/>
              <w:spacing w:line="360" w:lineRule="auto"/>
              <w:ind w:firstLine="0" w:firstLineChars="0"/>
              <w:rPr>
                <w:rFonts w:ascii="Times New Roman"/>
                <w:szCs w:val="18"/>
              </w:rPr>
            </w:pPr>
            <w:r>
              <w:rPr>
                <w:rFonts w:ascii="Times New Roman"/>
                <w:szCs w:val="18"/>
              </w:rPr>
              <w:t>加适量水，拌砂土30kg制成毒土撒施进行隔离。</w:t>
            </w:r>
          </w:p>
        </w:tc>
      </w:tr>
      <w:tr w14:paraId="5C43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7" w:hRule="atLeast"/>
          <w:jc w:val="center"/>
        </w:trPr>
        <w:tc>
          <w:tcPr>
            <w:tcW w:w="1555" w:type="dxa"/>
            <w:vAlign w:val="center"/>
          </w:tcPr>
          <w:p w14:paraId="4BF6B6E3">
            <w:pPr>
              <w:pStyle w:val="231"/>
              <w:spacing w:line="360" w:lineRule="auto"/>
              <w:ind w:firstLine="0" w:firstLineChars="0"/>
              <w:jc w:val="center"/>
              <w:rPr>
                <w:rFonts w:ascii="Times New Roman"/>
              </w:rPr>
            </w:pPr>
            <w:r>
              <w:rPr>
                <w:rFonts w:ascii="Times New Roman"/>
                <w:szCs w:val="18"/>
              </w:rPr>
              <w:t>蛴螬</w:t>
            </w:r>
          </w:p>
        </w:tc>
        <w:tc>
          <w:tcPr>
            <w:tcW w:w="5244" w:type="dxa"/>
            <w:vAlign w:val="center"/>
          </w:tcPr>
          <w:p w14:paraId="52D2F483">
            <w:pPr>
              <w:pStyle w:val="231"/>
              <w:spacing w:line="360" w:lineRule="auto"/>
              <w:rPr>
                <w:rFonts w:ascii="Times New Roman"/>
              </w:rPr>
            </w:pPr>
            <w:r>
              <w:rPr>
                <w:rFonts w:ascii="Times New Roman"/>
                <w:szCs w:val="18"/>
              </w:rPr>
              <w:t>(一)幼虫防治</w:t>
            </w:r>
          </w:p>
          <w:p w14:paraId="01FB1B76">
            <w:pPr>
              <w:pStyle w:val="231"/>
              <w:spacing w:line="360" w:lineRule="auto"/>
              <w:rPr>
                <w:rFonts w:ascii="Times New Roman"/>
              </w:rPr>
            </w:pPr>
            <w:r>
              <w:rPr>
                <w:rFonts w:ascii="Times New Roman"/>
                <w:szCs w:val="18"/>
              </w:rPr>
              <w:t>播种时可用40%毒丝本，按药、水、种子1:20:1000的比例播种，或用5%佳丝本颗粒剂1kg拌细土30kg混匀撒施。</w:t>
            </w:r>
          </w:p>
          <w:p w14:paraId="1959377D">
            <w:pPr>
              <w:pStyle w:val="231"/>
              <w:spacing w:line="360" w:lineRule="auto"/>
              <w:rPr>
                <w:rFonts w:ascii="Times New Roman"/>
              </w:rPr>
            </w:pPr>
            <w:r>
              <w:rPr>
                <w:rFonts w:ascii="Times New Roman"/>
                <w:szCs w:val="18"/>
              </w:rPr>
              <w:t>药剂灌根:在幼虫孵化盛期用40%毒丝本乳油800倍或40%甲基异柳磷乳油800倍，去掉喷头，喷灌植株周围根际，每堆0.15kg~0.2kg。喷灌后浇1次水。</w:t>
            </w:r>
          </w:p>
          <w:p w14:paraId="0EB2840B">
            <w:pPr>
              <w:pStyle w:val="231"/>
              <w:spacing w:line="360" w:lineRule="auto"/>
              <w:rPr>
                <w:rFonts w:ascii="Times New Roman"/>
              </w:rPr>
            </w:pPr>
            <w:r>
              <w:rPr>
                <w:rFonts w:ascii="Times New Roman"/>
                <w:szCs w:val="18"/>
              </w:rPr>
              <w:t>药剂浇灌:有水利条件的地方，结合抗旱浇水，将药液注入输液瓶内，架在进水口处边滴边浇水，让药随水漫溢，每亩需用药1.5kg~2kg。</w:t>
            </w:r>
          </w:p>
          <w:p w14:paraId="71804501">
            <w:pPr>
              <w:pStyle w:val="231"/>
              <w:spacing w:line="360" w:lineRule="auto"/>
              <w:rPr>
                <w:rFonts w:ascii="Times New Roman"/>
              </w:rPr>
            </w:pPr>
            <w:r>
              <w:rPr>
                <w:rFonts w:ascii="Times New Roman"/>
                <w:szCs w:val="18"/>
              </w:rPr>
              <w:t>4、撒施毒土:在播前每亩用3%地虫杀星1.8kg撒施。(二)成虫防治</w:t>
            </w:r>
          </w:p>
          <w:p w14:paraId="60E41B3E">
            <w:pPr>
              <w:pStyle w:val="231"/>
              <w:spacing w:line="360" w:lineRule="auto"/>
              <w:rPr>
                <w:rFonts w:ascii="Times New Roman"/>
              </w:rPr>
            </w:pPr>
            <w:r>
              <w:rPr>
                <w:rFonts w:ascii="Times New Roman"/>
                <w:szCs w:val="18"/>
              </w:rPr>
              <w:t>为将成虫消灭在产卵危害之前，在成虫发生始期到盛末期，利用90%敌百虫晶体800、50%辛硫乳油800倍、40%毒丝本1000倍或50%马拉硫磷乳油800倍液喷雾，隔10日~15日喷1次，连喷3次~4次，基本可以控制危害。</w:t>
            </w:r>
          </w:p>
        </w:tc>
        <w:tc>
          <w:tcPr>
            <w:tcW w:w="3065" w:type="dxa"/>
            <w:vAlign w:val="center"/>
          </w:tcPr>
          <w:p w14:paraId="29F5F84F">
            <w:pPr>
              <w:pStyle w:val="231"/>
              <w:spacing w:line="360" w:lineRule="auto"/>
              <w:jc w:val="center"/>
              <w:rPr>
                <w:rFonts w:ascii="Times New Roman"/>
              </w:rPr>
            </w:pPr>
            <w:r>
              <w:rPr>
                <w:rFonts w:ascii="Times New Roman"/>
                <w:szCs w:val="18"/>
              </w:rPr>
              <w:t>无</w:t>
            </w:r>
          </w:p>
        </w:tc>
      </w:tr>
      <w:tr w14:paraId="0559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1" w:hRule="atLeast"/>
          <w:jc w:val="center"/>
        </w:trPr>
        <w:tc>
          <w:tcPr>
            <w:tcW w:w="1555" w:type="dxa"/>
            <w:vAlign w:val="center"/>
          </w:tcPr>
          <w:p w14:paraId="2E2696AE">
            <w:pPr>
              <w:pStyle w:val="231"/>
              <w:spacing w:line="360" w:lineRule="auto"/>
              <w:ind w:firstLine="0" w:firstLineChars="0"/>
              <w:jc w:val="center"/>
              <w:rPr>
                <w:rFonts w:ascii="Times New Roman"/>
              </w:rPr>
            </w:pPr>
            <w:r>
              <w:rPr>
                <w:rFonts w:ascii="Times New Roman"/>
                <w:szCs w:val="18"/>
              </w:rPr>
              <w:t>蚜虫</w:t>
            </w:r>
          </w:p>
        </w:tc>
        <w:tc>
          <w:tcPr>
            <w:tcW w:w="5244" w:type="dxa"/>
            <w:vAlign w:val="center"/>
          </w:tcPr>
          <w:p w14:paraId="196F51CD">
            <w:pPr>
              <w:pStyle w:val="231"/>
              <w:spacing w:line="360" w:lineRule="auto"/>
              <w:rPr>
                <w:rFonts w:ascii="Times New Roman"/>
              </w:rPr>
            </w:pPr>
            <w:r>
              <w:rPr>
                <w:rFonts w:ascii="Times New Roman"/>
                <w:szCs w:val="18"/>
              </w:rPr>
              <w:t>在蚜虫发生初期，每亩用25%蚜螨清乳油50ml，或吡虫啉系列产品1500倍~2000倍液喷雾。</w:t>
            </w:r>
          </w:p>
        </w:tc>
        <w:tc>
          <w:tcPr>
            <w:tcW w:w="3065" w:type="dxa"/>
            <w:vAlign w:val="center"/>
          </w:tcPr>
          <w:p w14:paraId="5EA1EEFA">
            <w:pPr>
              <w:pStyle w:val="231"/>
              <w:spacing w:line="360" w:lineRule="auto"/>
              <w:jc w:val="center"/>
              <w:rPr>
                <w:rFonts w:ascii="Times New Roman"/>
              </w:rPr>
            </w:pPr>
            <w:r>
              <w:rPr>
                <w:rFonts w:ascii="Times New Roman"/>
                <w:szCs w:val="18"/>
              </w:rPr>
              <w:t>无</w:t>
            </w:r>
          </w:p>
        </w:tc>
      </w:tr>
    </w:tbl>
    <w:p w14:paraId="5CE3072D">
      <w:pPr>
        <w:pStyle w:val="57"/>
        <w:ind w:firstLine="0" w:firstLineChars="0"/>
        <w:rPr>
          <w:rFonts w:ascii="Times New Roman"/>
        </w:rPr>
      </w:pPr>
    </w:p>
    <w:p w14:paraId="5DDF92BE">
      <w:pPr>
        <w:pStyle w:val="57"/>
        <w:ind w:firstLine="420"/>
        <w:rPr>
          <w:rFonts w:ascii="Times New Roman"/>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603F01FF" w:csb1="FFFF0000"/>
  </w:font>
  <w:font w:name="Microsoft Himalaya">
    <w:panose1 w:val="01010100010101010101"/>
    <w:charset w:val="00"/>
    <w:family w:val="auto"/>
    <w:pitch w:val="default"/>
    <w:sig w:usb0="80000003" w:usb1="00010000" w:usb2="0000004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DC08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0B6B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34AA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7B390">
    <w:pPr>
      <w:pStyle w:val="53"/>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6BF7C">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56EA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00F2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D105C">
    <w:pPr>
      <w:pStyle w:val="62"/>
      <w:rPr>
        <w:rFonts w:hint="eastAsia"/>
      </w:rPr>
    </w:pPr>
    <w:r>
      <w:fldChar w:fldCharType="begin"/>
    </w:r>
    <w:r>
      <w:instrText xml:space="preserve"> STYLEREF  标准文件_文件编号  \* MERGEFORMAT </w:instrText>
    </w:r>
    <w:r>
      <w:fldChar w:fldCharType="separate"/>
    </w:r>
    <w:r>
      <w:t>DB 54/T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D462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54/T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4EBEDE8D"/>
    <w:multiLevelType w:val="multilevel"/>
    <w:tmpl w:val="4EBEDE8D"/>
    <w:lvl w:ilvl="0" w:tentative="0">
      <w:start w:val="1"/>
      <w:numFmt w:val="decimal"/>
      <w:suff w:val="nothing"/>
      <w:lvlText w:val="%1　"/>
      <w:lvlJc w:val="left"/>
      <w:pPr>
        <w:ind w:left="0" w:firstLine="0"/>
      </w:pPr>
      <w:rPr>
        <w:rFonts w:hint="eastAsia" w:ascii="黑体" w:hAnsi="Times New Roman" w:eastAsia="黑体" w:cs="黑体"/>
        <w:b w:val="0"/>
        <w:i w:val="0"/>
        <w:sz w:val="21"/>
        <w:szCs w:val="21"/>
      </w:rPr>
    </w:lvl>
    <w:lvl w:ilvl="1" w:tentative="0">
      <w:start w:val="1"/>
      <w:numFmt w:val="decimal"/>
      <w:pStyle w:val="250"/>
      <w:suff w:val="nothing"/>
      <w:lvlText w:val="%1.%2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6"/>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3D"/>
    <w:rsid w:val="0000040A"/>
    <w:rsid w:val="000005F1"/>
    <w:rsid w:val="00000A94"/>
    <w:rsid w:val="00001972"/>
    <w:rsid w:val="00001D9A"/>
    <w:rsid w:val="0000409D"/>
    <w:rsid w:val="00005DCA"/>
    <w:rsid w:val="00007B3A"/>
    <w:rsid w:val="000107E0"/>
    <w:rsid w:val="00011FDE"/>
    <w:rsid w:val="000123BF"/>
    <w:rsid w:val="00012FFD"/>
    <w:rsid w:val="00014162"/>
    <w:rsid w:val="00014340"/>
    <w:rsid w:val="000163FD"/>
    <w:rsid w:val="00016A9C"/>
    <w:rsid w:val="00017215"/>
    <w:rsid w:val="00020F19"/>
    <w:rsid w:val="00022184"/>
    <w:rsid w:val="00022762"/>
    <w:rsid w:val="000238E0"/>
    <w:rsid w:val="000249DB"/>
    <w:rsid w:val="000251B8"/>
    <w:rsid w:val="0002595E"/>
    <w:rsid w:val="000303C3"/>
    <w:rsid w:val="000331D3"/>
    <w:rsid w:val="000346A5"/>
    <w:rsid w:val="000359C3"/>
    <w:rsid w:val="00035A7D"/>
    <w:rsid w:val="000364AC"/>
    <w:rsid w:val="000365ED"/>
    <w:rsid w:val="0004049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406"/>
    <w:rsid w:val="000619E9"/>
    <w:rsid w:val="000622D4"/>
    <w:rsid w:val="0006357D"/>
    <w:rsid w:val="00067F1E"/>
    <w:rsid w:val="00071CC0"/>
    <w:rsid w:val="00073C8C"/>
    <w:rsid w:val="00077B64"/>
    <w:rsid w:val="00080A1C"/>
    <w:rsid w:val="0008135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EA6"/>
    <w:rsid w:val="000C7666"/>
    <w:rsid w:val="000D0A9C"/>
    <w:rsid w:val="000D1237"/>
    <w:rsid w:val="000D16A2"/>
    <w:rsid w:val="000D1795"/>
    <w:rsid w:val="000D329A"/>
    <w:rsid w:val="000D4B9C"/>
    <w:rsid w:val="000D4EB6"/>
    <w:rsid w:val="000D753B"/>
    <w:rsid w:val="000E0822"/>
    <w:rsid w:val="000E4C9E"/>
    <w:rsid w:val="000E6FD7"/>
    <w:rsid w:val="000F06E1"/>
    <w:rsid w:val="000F0E3C"/>
    <w:rsid w:val="000F19D5"/>
    <w:rsid w:val="000F3609"/>
    <w:rsid w:val="000F3AD3"/>
    <w:rsid w:val="000F4AEA"/>
    <w:rsid w:val="000F633F"/>
    <w:rsid w:val="000F67E9"/>
    <w:rsid w:val="00103EEF"/>
    <w:rsid w:val="00104926"/>
    <w:rsid w:val="00104AB3"/>
    <w:rsid w:val="00113B1E"/>
    <w:rsid w:val="0011711C"/>
    <w:rsid w:val="0012059C"/>
    <w:rsid w:val="001224A7"/>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B32"/>
    <w:rsid w:val="00153C7E"/>
    <w:rsid w:val="0015636D"/>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CB6"/>
    <w:rsid w:val="0017340B"/>
    <w:rsid w:val="00173FB1"/>
    <w:rsid w:val="00176DFD"/>
    <w:rsid w:val="00183088"/>
    <w:rsid w:val="001852C9"/>
    <w:rsid w:val="00187C6A"/>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065"/>
    <w:rsid w:val="001C680C"/>
    <w:rsid w:val="001C7FEA"/>
    <w:rsid w:val="001D0499"/>
    <w:rsid w:val="001D0BBE"/>
    <w:rsid w:val="001D0ED4"/>
    <w:rsid w:val="001D212F"/>
    <w:rsid w:val="001D29D7"/>
    <w:rsid w:val="001D2DE7"/>
    <w:rsid w:val="001D411C"/>
    <w:rsid w:val="001E1B6A"/>
    <w:rsid w:val="001E2484"/>
    <w:rsid w:val="001E3CC4"/>
    <w:rsid w:val="001E4882"/>
    <w:rsid w:val="001E604E"/>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BA9"/>
    <w:rsid w:val="002040E6"/>
    <w:rsid w:val="0020527B"/>
    <w:rsid w:val="00205F2C"/>
    <w:rsid w:val="00210B15"/>
    <w:rsid w:val="002142EA"/>
    <w:rsid w:val="00220061"/>
    <w:rsid w:val="002204BB"/>
    <w:rsid w:val="00221B79"/>
    <w:rsid w:val="00221C6B"/>
    <w:rsid w:val="002253A1"/>
    <w:rsid w:val="00225CF8"/>
    <w:rsid w:val="00226179"/>
    <w:rsid w:val="0022794E"/>
    <w:rsid w:val="00231E62"/>
    <w:rsid w:val="00233D64"/>
    <w:rsid w:val="0023482A"/>
    <w:rsid w:val="002348DB"/>
    <w:rsid w:val="002359CB"/>
    <w:rsid w:val="002404B5"/>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EC4"/>
    <w:rsid w:val="00281BB8"/>
    <w:rsid w:val="00281E9E"/>
    <w:rsid w:val="00282405"/>
    <w:rsid w:val="00285170"/>
    <w:rsid w:val="00285361"/>
    <w:rsid w:val="00292D60"/>
    <w:rsid w:val="00293B30"/>
    <w:rsid w:val="00294A56"/>
    <w:rsid w:val="00294D34"/>
    <w:rsid w:val="00294E3B"/>
    <w:rsid w:val="00296193"/>
    <w:rsid w:val="00296C66"/>
    <w:rsid w:val="00296EBE"/>
    <w:rsid w:val="002974E3"/>
    <w:rsid w:val="002A084B"/>
    <w:rsid w:val="002A1260"/>
    <w:rsid w:val="002A1589"/>
    <w:rsid w:val="002A1608"/>
    <w:rsid w:val="002A2022"/>
    <w:rsid w:val="002A25DC"/>
    <w:rsid w:val="002A3AAB"/>
    <w:rsid w:val="002A4CEA"/>
    <w:rsid w:val="002A5977"/>
    <w:rsid w:val="002A5A13"/>
    <w:rsid w:val="002A757F"/>
    <w:rsid w:val="002A7F44"/>
    <w:rsid w:val="002B0C40"/>
    <w:rsid w:val="002B1966"/>
    <w:rsid w:val="002B4508"/>
    <w:rsid w:val="002B5779"/>
    <w:rsid w:val="002B5D71"/>
    <w:rsid w:val="002B7332"/>
    <w:rsid w:val="002B7F51"/>
    <w:rsid w:val="002C0152"/>
    <w:rsid w:val="002C09E7"/>
    <w:rsid w:val="002C1E06"/>
    <w:rsid w:val="002C1E1C"/>
    <w:rsid w:val="002C3F07"/>
    <w:rsid w:val="002C5278"/>
    <w:rsid w:val="002C68D0"/>
    <w:rsid w:val="002C7EBB"/>
    <w:rsid w:val="002D06C1"/>
    <w:rsid w:val="002D42B5"/>
    <w:rsid w:val="002D4F1A"/>
    <w:rsid w:val="002D6EC6"/>
    <w:rsid w:val="002D79AC"/>
    <w:rsid w:val="002E039D"/>
    <w:rsid w:val="002E4087"/>
    <w:rsid w:val="002E4D5A"/>
    <w:rsid w:val="002E4FF0"/>
    <w:rsid w:val="002E6326"/>
    <w:rsid w:val="002F30E0"/>
    <w:rsid w:val="002F35E4"/>
    <w:rsid w:val="002F3730"/>
    <w:rsid w:val="002F38E1"/>
    <w:rsid w:val="002F7AF6"/>
    <w:rsid w:val="00300E63"/>
    <w:rsid w:val="00302F5F"/>
    <w:rsid w:val="00303771"/>
    <w:rsid w:val="0030441D"/>
    <w:rsid w:val="00306063"/>
    <w:rsid w:val="00313B85"/>
    <w:rsid w:val="00317988"/>
    <w:rsid w:val="003221B4"/>
    <w:rsid w:val="0032258D"/>
    <w:rsid w:val="00322E62"/>
    <w:rsid w:val="00324D13"/>
    <w:rsid w:val="00324D2A"/>
    <w:rsid w:val="00324EDD"/>
    <w:rsid w:val="003331E4"/>
    <w:rsid w:val="00335242"/>
    <w:rsid w:val="00336C64"/>
    <w:rsid w:val="00337162"/>
    <w:rsid w:val="0034194F"/>
    <w:rsid w:val="00344605"/>
    <w:rsid w:val="003474AA"/>
    <w:rsid w:val="00350D1D"/>
    <w:rsid w:val="00352C83"/>
    <w:rsid w:val="0035413F"/>
    <w:rsid w:val="003615D2"/>
    <w:rsid w:val="0036429C"/>
    <w:rsid w:val="00364A53"/>
    <w:rsid w:val="00365198"/>
    <w:rsid w:val="003654CB"/>
    <w:rsid w:val="00365AA9"/>
    <w:rsid w:val="00365F86"/>
    <w:rsid w:val="00365F87"/>
    <w:rsid w:val="00366E89"/>
    <w:rsid w:val="003705F4"/>
    <w:rsid w:val="00370D58"/>
    <w:rsid w:val="00371316"/>
    <w:rsid w:val="00376713"/>
    <w:rsid w:val="00376B04"/>
    <w:rsid w:val="003804A0"/>
    <w:rsid w:val="00381032"/>
    <w:rsid w:val="00381815"/>
    <w:rsid w:val="003819AF"/>
    <w:rsid w:val="003820E9"/>
    <w:rsid w:val="00382DE7"/>
    <w:rsid w:val="00384FFC"/>
    <w:rsid w:val="00386D36"/>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A1B"/>
    <w:rsid w:val="003B5BF0"/>
    <w:rsid w:val="003B60BF"/>
    <w:rsid w:val="003B6BE3"/>
    <w:rsid w:val="003C010C"/>
    <w:rsid w:val="003C0A6C"/>
    <w:rsid w:val="003C14F8"/>
    <w:rsid w:val="003C5A43"/>
    <w:rsid w:val="003D0519"/>
    <w:rsid w:val="003D0FF6"/>
    <w:rsid w:val="003D1013"/>
    <w:rsid w:val="003D1051"/>
    <w:rsid w:val="003D262C"/>
    <w:rsid w:val="003D6D61"/>
    <w:rsid w:val="003D79C6"/>
    <w:rsid w:val="003E091D"/>
    <w:rsid w:val="003E0A3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DCC"/>
    <w:rsid w:val="00405884"/>
    <w:rsid w:val="00407D39"/>
    <w:rsid w:val="0041477A"/>
    <w:rsid w:val="004167A3"/>
    <w:rsid w:val="00432DAA"/>
    <w:rsid w:val="00434305"/>
    <w:rsid w:val="00435DF7"/>
    <w:rsid w:val="0044083F"/>
    <w:rsid w:val="00441AE7"/>
    <w:rsid w:val="00445574"/>
    <w:rsid w:val="004467FB"/>
    <w:rsid w:val="00450AE6"/>
    <w:rsid w:val="00452D6B"/>
    <w:rsid w:val="00454484"/>
    <w:rsid w:val="0045517B"/>
    <w:rsid w:val="00463B77"/>
    <w:rsid w:val="00463C7B"/>
    <w:rsid w:val="004644A6"/>
    <w:rsid w:val="004659BD"/>
    <w:rsid w:val="00470775"/>
    <w:rsid w:val="004746B1"/>
    <w:rsid w:val="00475160"/>
    <w:rsid w:val="0047583F"/>
    <w:rsid w:val="00475DE8"/>
    <w:rsid w:val="00476AD6"/>
    <w:rsid w:val="00481C44"/>
    <w:rsid w:val="00483DBD"/>
    <w:rsid w:val="00483F19"/>
    <w:rsid w:val="00484936"/>
    <w:rsid w:val="00485C89"/>
    <w:rsid w:val="00486BE3"/>
    <w:rsid w:val="00487BB8"/>
    <w:rsid w:val="004905E4"/>
    <w:rsid w:val="00490A89"/>
    <w:rsid w:val="00490AB4"/>
    <w:rsid w:val="00492F02"/>
    <w:rsid w:val="004931C3"/>
    <w:rsid w:val="004939AE"/>
    <w:rsid w:val="00494511"/>
    <w:rsid w:val="004A0CC6"/>
    <w:rsid w:val="004A12DF"/>
    <w:rsid w:val="004A17E6"/>
    <w:rsid w:val="004A1BA8"/>
    <w:rsid w:val="004A4B57"/>
    <w:rsid w:val="004A63FA"/>
    <w:rsid w:val="004B0272"/>
    <w:rsid w:val="004B2701"/>
    <w:rsid w:val="004B2E1B"/>
    <w:rsid w:val="004B3AA8"/>
    <w:rsid w:val="004B3E93"/>
    <w:rsid w:val="004B4630"/>
    <w:rsid w:val="004C1FBC"/>
    <w:rsid w:val="004C3F1D"/>
    <w:rsid w:val="004C458D"/>
    <w:rsid w:val="004C7556"/>
    <w:rsid w:val="004C7E8B"/>
    <w:rsid w:val="004C7E9D"/>
    <w:rsid w:val="004C7F67"/>
    <w:rsid w:val="004D076D"/>
    <w:rsid w:val="004D0EF1"/>
    <w:rsid w:val="004D17DE"/>
    <w:rsid w:val="004D2253"/>
    <w:rsid w:val="004D4406"/>
    <w:rsid w:val="004D7C42"/>
    <w:rsid w:val="004E0465"/>
    <w:rsid w:val="004E127B"/>
    <w:rsid w:val="004E18F5"/>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51C"/>
    <w:rsid w:val="00525B16"/>
    <w:rsid w:val="00532A68"/>
    <w:rsid w:val="00533D04"/>
    <w:rsid w:val="00534804"/>
    <w:rsid w:val="00534BDF"/>
    <w:rsid w:val="005354EA"/>
    <w:rsid w:val="0053585F"/>
    <w:rsid w:val="00535EC4"/>
    <w:rsid w:val="00535ED9"/>
    <w:rsid w:val="0053692B"/>
    <w:rsid w:val="00541853"/>
    <w:rsid w:val="0054297F"/>
    <w:rsid w:val="00543BDA"/>
    <w:rsid w:val="005441CC"/>
    <w:rsid w:val="0054591B"/>
    <w:rsid w:val="005479DA"/>
    <w:rsid w:val="00547BCC"/>
    <w:rsid w:val="0055013B"/>
    <w:rsid w:val="00551F6F"/>
    <w:rsid w:val="00555044"/>
    <w:rsid w:val="00561475"/>
    <w:rsid w:val="005631D6"/>
    <w:rsid w:val="0056487B"/>
    <w:rsid w:val="00564FB9"/>
    <w:rsid w:val="00573D9E"/>
    <w:rsid w:val="00577718"/>
    <w:rsid w:val="005801E3"/>
    <w:rsid w:val="00581802"/>
    <w:rsid w:val="005836A8"/>
    <w:rsid w:val="0058409C"/>
    <w:rsid w:val="00584262"/>
    <w:rsid w:val="005850DD"/>
    <w:rsid w:val="00585226"/>
    <w:rsid w:val="00586630"/>
    <w:rsid w:val="005871BB"/>
    <w:rsid w:val="00587ADD"/>
    <w:rsid w:val="00590BC5"/>
    <w:rsid w:val="00591E27"/>
    <w:rsid w:val="00596160"/>
    <w:rsid w:val="005966E2"/>
    <w:rsid w:val="00597007"/>
    <w:rsid w:val="00597785"/>
    <w:rsid w:val="005A0966"/>
    <w:rsid w:val="005A11B7"/>
    <w:rsid w:val="005A260B"/>
    <w:rsid w:val="005A3BE7"/>
    <w:rsid w:val="005A4A1B"/>
    <w:rsid w:val="005A7830"/>
    <w:rsid w:val="005A7FCE"/>
    <w:rsid w:val="005B0F3F"/>
    <w:rsid w:val="005B4903"/>
    <w:rsid w:val="005B51CE"/>
    <w:rsid w:val="005B580D"/>
    <w:rsid w:val="005B5885"/>
    <w:rsid w:val="005B5CD7"/>
    <w:rsid w:val="005B6CF6"/>
    <w:rsid w:val="005B7422"/>
    <w:rsid w:val="005C29B8"/>
    <w:rsid w:val="005C5F21"/>
    <w:rsid w:val="005C7156"/>
    <w:rsid w:val="005D0C75"/>
    <w:rsid w:val="005D4171"/>
    <w:rsid w:val="005D6A95"/>
    <w:rsid w:val="005D6B2C"/>
    <w:rsid w:val="005D6D9C"/>
    <w:rsid w:val="005E2335"/>
    <w:rsid w:val="005E32E2"/>
    <w:rsid w:val="005E34CA"/>
    <w:rsid w:val="005E3C18"/>
    <w:rsid w:val="005E52B5"/>
    <w:rsid w:val="005E6812"/>
    <w:rsid w:val="005E7881"/>
    <w:rsid w:val="005E78E0"/>
    <w:rsid w:val="005F0D9C"/>
    <w:rsid w:val="005F152F"/>
    <w:rsid w:val="005F284E"/>
    <w:rsid w:val="005F4712"/>
    <w:rsid w:val="005F76DA"/>
    <w:rsid w:val="006015CE"/>
    <w:rsid w:val="00604784"/>
    <w:rsid w:val="00606419"/>
    <w:rsid w:val="00607D29"/>
    <w:rsid w:val="00611D31"/>
    <w:rsid w:val="00612952"/>
    <w:rsid w:val="00614CC1"/>
    <w:rsid w:val="00615A9D"/>
    <w:rsid w:val="0061694F"/>
    <w:rsid w:val="00617387"/>
    <w:rsid w:val="006205D6"/>
    <w:rsid w:val="006229F5"/>
    <w:rsid w:val="006252D8"/>
    <w:rsid w:val="006259BC"/>
    <w:rsid w:val="0062636B"/>
    <w:rsid w:val="00632182"/>
    <w:rsid w:val="00632AE0"/>
    <w:rsid w:val="00633C17"/>
    <w:rsid w:val="00634D9E"/>
    <w:rsid w:val="00636E3E"/>
    <w:rsid w:val="006379F7"/>
    <w:rsid w:val="00637E4D"/>
    <w:rsid w:val="00640620"/>
    <w:rsid w:val="00641A1F"/>
    <w:rsid w:val="006444B0"/>
    <w:rsid w:val="006458F9"/>
    <w:rsid w:val="00645904"/>
    <w:rsid w:val="00646CA1"/>
    <w:rsid w:val="0065026A"/>
    <w:rsid w:val="00651ACB"/>
    <w:rsid w:val="00651C47"/>
    <w:rsid w:val="00652AB2"/>
    <w:rsid w:val="006532FD"/>
    <w:rsid w:val="00653FED"/>
    <w:rsid w:val="00654EC0"/>
    <w:rsid w:val="0065525B"/>
    <w:rsid w:val="00655D4F"/>
    <w:rsid w:val="00656D29"/>
    <w:rsid w:val="00663716"/>
    <w:rsid w:val="006640E5"/>
    <w:rsid w:val="006646F1"/>
    <w:rsid w:val="00664929"/>
    <w:rsid w:val="00664F62"/>
    <w:rsid w:val="006655E1"/>
    <w:rsid w:val="0066636E"/>
    <w:rsid w:val="00671CAD"/>
    <w:rsid w:val="00672060"/>
    <w:rsid w:val="00672BFD"/>
    <w:rsid w:val="00675D7A"/>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2B59"/>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EF6"/>
    <w:rsid w:val="006D6593"/>
    <w:rsid w:val="006D7877"/>
    <w:rsid w:val="006E23EA"/>
    <w:rsid w:val="006E26E9"/>
    <w:rsid w:val="006F03A8"/>
    <w:rsid w:val="006F2ACA"/>
    <w:rsid w:val="006F2ADC"/>
    <w:rsid w:val="006F2BFE"/>
    <w:rsid w:val="006F31E9"/>
    <w:rsid w:val="006F58CC"/>
    <w:rsid w:val="006F6284"/>
    <w:rsid w:val="006F6A2D"/>
    <w:rsid w:val="007002C5"/>
    <w:rsid w:val="00704387"/>
    <w:rsid w:val="00706ED7"/>
    <w:rsid w:val="00707669"/>
    <w:rsid w:val="00711CBA"/>
    <w:rsid w:val="00711FB5"/>
    <w:rsid w:val="00712A01"/>
    <w:rsid w:val="00714F58"/>
    <w:rsid w:val="00720B12"/>
    <w:rsid w:val="00722FBF"/>
    <w:rsid w:val="00722FC2"/>
    <w:rsid w:val="007237B7"/>
    <w:rsid w:val="00724879"/>
    <w:rsid w:val="00724E1B"/>
    <w:rsid w:val="00725949"/>
    <w:rsid w:val="00727FA2"/>
    <w:rsid w:val="007322D9"/>
    <w:rsid w:val="0073290E"/>
    <w:rsid w:val="00732BC0"/>
    <w:rsid w:val="00733EB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706"/>
    <w:rsid w:val="007959E8"/>
    <w:rsid w:val="00795E9C"/>
    <w:rsid w:val="007A0521"/>
    <w:rsid w:val="007A2949"/>
    <w:rsid w:val="007A2E12"/>
    <w:rsid w:val="007A3475"/>
    <w:rsid w:val="007A41C8"/>
    <w:rsid w:val="007A54CE"/>
    <w:rsid w:val="007A6863"/>
    <w:rsid w:val="007A6FD9"/>
    <w:rsid w:val="007A7FFA"/>
    <w:rsid w:val="007B04EB"/>
    <w:rsid w:val="007B0D4F"/>
    <w:rsid w:val="007B55AE"/>
    <w:rsid w:val="007B5A3D"/>
    <w:rsid w:val="007B5B95"/>
    <w:rsid w:val="007B68EA"/>
    <w:rsid w:val="007B7453"/>
    <w:rsid w:val="007C0A5F"/>
    <w:rsid w:val="007C163A"/>
    <w:rsid w:val="007C1E8B"/>
    <w:rsid w:val="007C2B98"/>
    <w:rsid w:val="007C2D89"/>
    <w:rsid w:val="007C4593"/>
    <w:rsid w:val="007C5309"/>
    <w:rsid w:val="007C6069"/>
    <w:rsid w:val="007C6A03"/>
    <w:rsid w:val="007C79FD"/>
    <w:rsid w:val="007D06C4"/>
    <w:rsid w:val="007D1352"/>
    <w:rsid w:val="007D2508"/>
    <w:rsid w:val="007D346A"/>
    <w:rsid w:val="007D4E98"/>
    <w:rsid w:val="007D5157"/>
    <w:rsid w:val="007D6518"/>
    <w:rsid w:val="007D76BD"/>
    <w:rsid w:val="007E0BF1"/>
    <w:rsid w:val="007F0ED8"/>
    <w:rsid w:val="007F0F63"/>
    <w:rsid w:val="007F1B37"/>
    <w:rsid w:val="007F6EA2"/>
    <w:rsid w:val="007F75CE"/>
    <w:rsid w:val="008013A4"/>
    <w:rsid w:val="008027CE"/>
    <w:rsid w:val="00802F42"/>
    <w:rsid w:val="008030AA"/>
    <w:rsid w:val="00804383"/>
    <w:rsid w:val="00804BB7"/>
    <w:rsid w:val="00804D41"/>
    <w:rsid w:val="00810257"/>
    <w:rsid w:val="008104F5"/>
    <w:rsid w:val="00811072"/>
    <w:rsid w:val="00811369"/>
    <w:rsid w:val="00815419"/>
    <w:rsid w:val="008163C8"/>
    <w:rsid w:val="008164A1"/>
    <w:rsid w:val="00817325"/>
    <w:rsid w:val="00817A28"/>
    <w:rsid w:val="00820078"/>
    <w:rsid w:val="00820178"/>
    <w:rsid w:val="008209E6"/>
    <w:rsid w:val="00823303"/>
    <w:rsid w:val="008233B2"/>
    <w:rsid w:val="00823A9F"/>
    <w:rsid w:val="00823C85"/>
    <w:rsid w:val="00825138"/>
    <w:rsid w:val="008259AB"/>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285A"/>
    <w:rsid w:val="00863E05"/>
    <w:rsid w:val="00865ACA"/>
    <w:rsid w:val="00865D28"/>
    <w:rsid w:val="00865F85"/>
    <w:rsid w:val="00867C10"/>
    <w:rsid w:val="00870439"/>
    <w:rsid w:val="00870DA1"/>
    <w:rsid w:val="0087409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0BDA"/>
    <w:rsid w:val="008C0E9F"/>
    <w:rsid w:val="008C1797"/>
    <w:rsid w:val="008C1995"/>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6BD1"/>
    <w:rsid w:val="008F0CDC"/>
    <w:rsid w:val="008F17A3"/>
    <w:rsid w:val="008F1ED3"/>
    <w:rsid w:val="008F23A5"/>
    <w:rsid w:val="008F4C29"/>
    <w:rsid w:val="008F70BD"/>
    <w:rsid w:val="008F788F"/>
    <w:rsid w:val="008F7EA2"/>
    <w:rsid w:val="00900C0C"/>
    <w:rsid w:val="00902722"/>
    <w:rsid w:val="009027BC"/>
    <w:rsid w:val="009062E6"/>
    <w:rsid w:val="00911BE5"/>
    <w:rsid w:val="00913CA9"/>
    <w:rsid w:val="009145AE"/>
    <w:rsid w:val="009146CE"/>
    <w:rsid w:val="00914CA7"/>
    <w:rsid w:val="00915306"/>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C58"/>
    <w:rsid w:val="00977010"/>
    <w:rsid w:val="00977D02"/>
    <w:rsid w:val="009809BB"/>
    <w:rsid w:val="0098364B"/>
    <w:rsid w:val="0098404A"/>
    <w:rsid w:val="009911AF"/>
    <w:rsid w:val="00991875"/>
    <w:rsid w:val="00991F92"/>
    <w:rsid w:val="00992985"/>
    <w:rsid w:val="00993889"/>
    <w:rsid w:val="0099457C"/>
    <w:rsid w:val="0099551B"/>
    <w:rsid w:val="00997BF1"/>
    <w:rsid w:val="009A089C"/>
    <w:rsid w:val="009A118E"/>
    <w:rsid w:val="009A21CD"/>
    <w:rsid w:val="009A278C"/>
    <w:rsid w:val="009A2BC2"/>
    <w:rsid w:val="009A42C1"/>
    <w:rsid w:val="009A5429"/>
    <w:rsid w:val="009A5D7B"/>
    <w:rsid w:val="009A72AD"/>
    <w:rsid w:val="009B09E0"/>
    <w:rsid w:val="009B0BC5"/>
    <w:rsid w:val="009B1247"/>
    <w:rsid w:val="009B46F9"/>
    <w:rsid w:val="009B6029"/>
    <w:rsid w:val="009B6971"/>
    <w:rsid w:val="009C12F2"/>
    <w:rsid w:val="009C27F1"/>
    <w:rsid w:val="009C3152"/>
    <w:rsid w:val="009C4CFA"/>
    <w:rsid w:val="009C5070"/>
    <w:rsid w:val="009D112C"/>
    <w:rsid w:val="009D47FA"/>
    <w:rsid w:val="009D4C5B"/>
    <w:rsid w:val="009D50D2"/>
    <w:rsid w:val="009D6BCA"/>
    <w:rsid w:val="009E0F62"/>
    <w:rsid w:val="009E2B6B"/>
    <w:rsid w:val="009E4A58"/>
    <w:rsid w:val="009E5796"/>
    <w:rsid w:val="009E5A2D"/>
    <w:rsid w:val="009E5AB2"/>
    <w:rsid w:val="009E6219"/>
    <w:rsid w:val="009F02C3"/>
    <w:rsid w:val="009F03B3"/>
    <w:rsid w:val="00A0096C"/>
    <w:rsid w:val="00A01757"/>
    <w:rsid w:val="00A02699"/>
    <w:rsid w:val="00A028C0"/>
    <w:rsid w:val="00A02BAE"/>
    <w:rsid w:val="00A06A6B"/>
    <w:rsid w:val="00A07E47"/>
    <w:rsid w:val="00A1038D"/>
    <w:rsid w:val="00A129D0"/>
    <w:rsid w:val="00A12C33"/>
    <w:rsid w:val="00A138BA"/>
    <w:rsid w:val="00A14C8E"/>
    <w:rsid w:val="00A153D9"/>
    <w:rsid w:val="00A15599"/>
    <w:rsid w:val="00A15F09"/>
    <w:rsid w:val="00A169B6"/>
    <w:rsid w:val="00A2271D"/>
    <w:rsid w:val="00A237D5"/>
    <w:rsid w:val="00A252A2"/>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F5A"/>
    <w:rsid w:val="00A4661E"/>
    <w:rsid w:val="00A52882"/>
    <w:rsid w:val="00A55BD6"/>
    <w:rsid w:val="00A55D50"/>
    <w:rsid w:val="00A564A7"/>
    <w:rsid w:val="00A57142"/>
    <w:rsid w:val="00A648CD"/>
    <w:rsid w:val="00A6537A"/>
    <w:rsid w:val="00A67866"/>
    <w:rsid w:val="00A70B07"/>
    <w:rsid w:val="00A723F8"/>
    <w:rsid w:val="00A725C0"/>
    <w:rsid w:val="00A77CCB"/>
    <w:rsid w:val="00A80B42"/>
    <w:rsid w:val="00A83D8D"/>
    <w:rsid w:val="00A8446B"/>
    <w:rsid w:val="00A8473F"/>
    <w:rsid w:val="00A862D6"/>
    <w:rsid w:val="00A86965"/>
    <w:rsid w:val="00A8715E"/>
    <w:rsid w:val="00A90A56"/>
    <w:rsid w:val="00A9295B"/>
    <w:rsid w:val="00A93B09"/>
    <w:rsid w:val="00A94247"/>
    <w:rsid w:val="00A952D7"/>
    <w:rsid w:val="00A963F7"/>
    <w:rsid w:val="00A96AD8"/>
    <w:rsid w:val="00AA052C"/>
    <w:rsid w:val="00AA0B82"/>
    <w:rsid w:val="00AA1E45"/>
    <w:rsid w:val="00AA4286"/>
    <w:rsid w:val="00AA456B"/>
    <w:rsid w:val="00AA57F5"/>
    <w:rsid w:val="00AA672E"/>
    <w:rsid w:val="00AA6EC9"/>
    <w:rsid w:val="00AB41D5"/>
    <w:rsid w:val="00AB6309"/>
    <w:rsid w:val="00AB6C5F"/>
    <w:rsid w:val="00AB7129"/>
    <w:rsid w:val="00AC27A6"/>
    <w:rsid w:val="00AC2F05"/>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0DDB"/>
    <w:rsid w:val="00AF47C5"/>
    <w:rsid w:val="00AF5398"/>
    <w:rsid w:val="00AF7D37"/>
    <w:rsid w:val="00B03F65"/>
    <w:rsid w:val="00B049AF"/>
    <w:rsid w:val="00B07242"/>
    <w:rsid w:val="00B10534"/>
    <w:rsid w:val="00B11283"/>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697"/>
    <w:rsid w:val="00B41989"/>
    <w:rsid w:val="00B4346D"/>
    <w:rsid w:val="00B440F4"/>
    <w:rsid w:val="00B447A5"/>
    <w:rsid w:val="00B4654C"/>
    <w:rsid w:val="00B46AF0"/>
    <w:rsid w:val="00B47293"/>
    <w:rsid w:val="00B4793F"/>
    <w:rsid w:val="00B50E50"/>
    <w:rsid w:val="00B52120"/>
    <w:rsid w:val="00B54ABC"/>
    <w:rsid w:val="00B54DDE"/>
    <w:rsid w:val="00B56FBE"/>
    <w:rsid w:val="00B570EF"/>
    <w:rsid w:val="00B60ACF"/>
    <w:rsid w:val="00B62B58"/>
    <w:rsid w:val="00B65149"/>
    <w:rsid w:val="00B66567"/>
    <w:rsid w:val="00B66F52"/>
    <w:rsid w:val="00B66FE5"/>
    <w:rsid w:val="00B7117B"/>
    <w:rsid w:val="00B72880"/>
    <w:rsid w:val="00B74798"/>
    <w:rsid w:val="00B758BF"/>
    <w:rsid w:val="00B77EC8"/>
    <w:rsid w:val="00B827A6"/>
    <w:rsid w:val="00B831CE"/>
    <w:rsid w:val="00B86677"/>
    <w:rsid w:val="00B87131"/>
    <w:rsid w:val="00B939B1"/>
    <w:rsid w:val="00B9671D"/>
    <w:rsid w:val="00B96D40"/>
    <w:rsid w:val="00B97386"/>
    <w:rsid w:val="00BA0BE6"/>
    <w:rsid w:val="00BA263B"/>
    <w:rsid w:val="00BA42B2"/>
    <w:rsid w:val="00BA47C1"/>
    <w:rsid w:val="00BA58D4"/>
    <w:rsid w:val="00BA5B9E"/>
    <w:rsid w:val="00BA5CB6"/>
    <w:rsid w:val="00BA66A0"/>
    <w:rsid w:val="00BA7C9A"/>
    <w:rsid w:val="00BB203B"/>
    <w:rsid w:val="00BB5A3F"/>
    <w:rsid w:val="00BB5F8F"/>
    <w:rsid w:val="00BB657A"/>
    <w:rsid w:val="00BC1A4E"/>
    <w:rsid w:val="00BC4790"/>
    <w:rsid w:val="00BC5DC7"/>
    <w:rsid w:val="00BC6B8B"/>
    <w:rsid w:val="00BC73D8"/>
    <w:rsid w:val="00BD4474"/>
    <w:rsid w:val="00BD52D7"/>
    <w:rsid w:val="00BD5AD2"/>
    <w:rsid w:val="00BD7703"/>
    <w:rsid w:val="00BE22F3"/>
    <w:rsid w:val="00BE5B52"/>
    <w:rsid w:val="00BE687C"/>
    <w:rsid w:val="00BE7B8D"/>
    <w:rsid w:val="00BF0993"/>
    <w:rsid w:val="00BF10A9"/>
    <w:rsid w:val="00BF1703"/>
    <w:rsid w:val="00BF231C"/>
    <w:rsid w:val="00BF51E5"/>
    <w:rsid w:val="00BF67AC"/>
    <w:rsid w:val="00BF74A6"/>
    <w:rsid w:val="00C013AD"/>
    <w:rsid w:val="00C04904"/>
    <w:rsid w:val="00C04D5F"/>
    <w:rsid w:val="00C054A3"/>
    <w:rsid w:val="00C056B3"/>
    <w:rsid w:val="00C103E5"/>
    <w:rsid w:val="00C13319"/>
    <w:rsid w:val="00C13EE9"/>
    <w:rsid w:val="00C14CF9"/>
    <w:rsid w:val="00C21540"/>
    <w:rsid w:val="00C21906"/>
    <w:rsid w:val="00C21BFA"/>
    <w:rsid w:val="00C22148"/>
    <w:rsid w:val="00C24C8D"/>
    <w:rsid w:val="00C25FE2"/>
    <w:rsid w:val="00C26B53"/>
    <w:rsid w:val="00C279B2"/>
    <w:rsid w:val="00C33E50"/>
    <w:rsid w:val="00C34C20"/>
    <w:rsid w:val="00C35A3E"/>
    <w:rsid w:val="00C4121C"/>
    <w:rsid w:val="00C42130"/>
    <w:rsid w:val="00C423A4"/>
    <w:rsid w:val="00C44BF5"/>
    <w:rsid w:val="00C450C0"/>
    <w:rsid w:val="00C521D6"/>
    <w:rsid w:val="00C55232"/>
    <w:rsid w:val="00C553A4"/>
    <w:rsid w:val="00C55A06"/>
    <w:rsid w:val="00C55D03"/>
    <w:rsid w:val="00C601BC"/>
    <w:rsid w:val="00C6329F"/>
    <w:rsid w:val="00C63340"/>
    <w:rsid w:val="00C643F9"/>
    <w:rsid w:val="00C64E95"/>
    <w:rsid w:val="00C656C4"/>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3FFD"/>
    <w:rsid w:val="00CA662A"/>
    <w:rsid w:val="00CA7AFD"/>
    <w:rsid w:val="00CA7C3C"/>
    <w:rsid w:val="00CB0189"/>
    <w:rsid w:val="00CB0BA2"/>
    <w:rsid w:val="00CB0FEA"/>
    <w:rsid w:val="00CB1A42"/>
    <w:rsid w:val="00CB1B0C"/>
    <w:rsid w:val="00CB2C0B"/>
    <w:rsid w:val="00CB517D"/>
    <w:rsid w:val="00CC038D"/>
    <w:rsid w:val="00CC08DB"/>
    <w:rsid w:val="00CC1EC0"/>
    <w:rsid w:val="00CC39FF"/>
    <w:rsid w:val="00CC3C2F"/>
    <w:rsid w:val="00CC4AC8"/>
    <w:rsid w:val="00CC4D05"/>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00D"/>
    <w:rsid w:val="00CF7BCA"/>
    <w:rsid w:val="00D008FD"/>
    <w:rsid w:val="00D0321C"/>
    <w:rsid w:val="00D035EC"/>
    <w:rsid w:val="00D06AB1"/>
    <w:rsid w:val="00D072ED"/>
    <w:rsid w:val="00D07A16"/>
    <w:rsid w:val="00D1067E"/>
    <w:rsid w:val="00D10F50"/>
    <w:rsid w:val="00D11272"/>
    <w:rsid w:val="00D126F5"/>
    <w:rsid w:val="00D13E95"/>
    <w:rsid w:val="00D143EF"/>
    <w:rsid w:val="00D1489E"/>
    <w:rsid w:val="00D20737"/>
    <w:rsid w:val="00D21E81"/>
    <w:rsid w:val="00D223DE"/>
    <w:rsid w:val="00D225AD"/>
    <w:rsid w:val="00D25E37"/>
    <w:rsid w:val="00D2661A"/>
    <w:rsid w:val="00D27582"/>
    <w:rsid w:val="00D27EC4"/>
    <w:rsid w:val="00D32719"/>
    <w:rsid w:val="00D33333"/>
    <w:rsid w:val="00D33457"/>
    <w:rsid w:val="00D352A2"/>
    <w:rsid w:val="00D3660F"/>
    <w:rsid w:val="00D40053"/>
    <w:rsid w:val="00D4162B"/>
    <w:rsid w:val="00D42F7A"/>
    <w:rsid w:val="00D4514F"/>
    <w:rsid w:val="00D451E2"/>
    <w:rsid w:val="00D45E89"/>
    <w:rsid w:val="00D45E8D"/>
    <w:rsid w:val="00D466AE"/>
    <w:rsid w:val="00D4734F"/>
    <w:rsid w:val="00D51BF3"/>
    <w:rsid w:val="00D559F0"/>
    <w:rsid w:val="00D60745"/>
    <w:rsid w:val="00D63FBF"/>
    <w:rsid w:val="00D66846"/>
    <w:rsid w:val="00D675FB"/>
    <w:rsid w:val="00D70639"/>
    <w:rsid w:val="00D71F25"/>
    <w:rsid w:val="00D72A9C"/>
    <w:rsid w:val="00D77031"/>
    <w:rsid w:val="00D84941"/>
    <w:rsid w:val="00D84FA1"/>
    <w:rsid w:val="00D851F0"/>
    <w:rsid w:val="00D86DB7"/>
    <w:rsid w:val="00D926D0"/>
    <w:rsid w:val="00D93030"/>
    <w:rsid w:val="00D950E1"/>
    <w:rsid w:val="00D952A6"/>
    <w:rsid w:val="00D961E8"/>
    <w:rsid w:val="00D97319"/>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766"/>
    <w:rsid w:val="00DD4FE5"/>
    <w:rsid w:val="00DD54B0"/>
    <w:rsid w:val="00DD57EE"/>
    <w:rsid w:val="00DD6BCC"/>
    <w:rsid w:val="00DD7BF0"/>
    <w:rsid w:val="00DE0A4B"/>
    <w:rsid w:val="00DE2410"/>
    <w:rsid w:val="00DE2939"/>
    <w:rsid w:val="00DE5B51"/>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193"/>
    <w:rsid w:val="00E15CCD"/>
    <w:rsid w:val="00E202EF"/>
    <w:rsid w:val="00E209BB"/>
    <w:rsid w:val="00E210B5"/>
    <w:rsid w:val="00E21D3A"/>
    <w:rsid w:val="00E23D99"/>
    <w:rsid w:val="00E2552F"/>
    <w:rsid w:val="00E3137A"/>
    <w:rsid w:val="00E32CCF"/>
    <w:rsid w:val="00E34A98"/>
    <w:rsid w:val="00E35D1E"/>
    <w:rsid w:val="00E364F9"/>
    <w:rsid w:val="00E365FA"/>
    <w:rsid w:val="00E36789"/>
    <w:rsid w:val="00E41F5B"/>
    <w:rsid w:val="00E44A83"/>
    <w:rsid w:val="00E502C1"/>
    <w:rsid w:val="00E502DD"/>
    <w:rsid w:val="00E50D3A"/>
    <w:rsid w:val="00E51387"/>
    <w:rsid w:val="00E51E68"/>
    <w:rsid w:val="00E52EFD"/>
    <w:rsid w:val="00E5408A"/>
    <w:rsid w:val="00E56800"/>
    <w:rsid w:val="00E60C63"/>
    <w:rsid w:val="00E61AB5"/>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5E3"/>
    <w:rsid w:val="00EA58D1"/>
    <w:rsid w:val="00EA61BC"/>
    <w:rsid w:val="00EA681A"/>
    <w:rsid w:val="00EA735B"/>
    <w:rsid w:val="00EA7864"/>
    <w:rsid w:val="00EA7C98"/>
    <w:rsid w:val="00EB17DE"/>
    <w:rsid w:val="00EB1E69"/>
    <w:rsid w:val="00EB2086"/>
    <w:rsid w:val="00EB5EDF"/>
    <w:rsid w:val="00EB60FE"/>
    <w:rsid w:val="00EB7494"/>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37E5"/>
    <w:rsid w:val="00F25BB6"/>
    <w:rsid w:val="00F26B7E"/>
    <w:rsid w:val="00F27A3B"/>
    <w:rsid w:val="00F32128"/>
    <w:rsid w:val="00F33817"/>
    <w:rsid w:val="00F420D5"/>
    <w:rsid w:val="00F451EA"/>
    <w:rsid w:val="00F45447"/>
    <w:rsid w:val="00F456C6"/>
    <w:rsid w:val="00F4577B"/>
    <w:rsid w:val="00F46496"/>
    <w:rsid w:val="00F474D0"/>
    <w:rsid w:val="00F50179"/>
    <w:rsid w:val="00F50376"/>
    <w:rsid w:val="00F50D56"/>
    <w:rsid w:val="00F515EE"/>
    <w:rsid w:val="00F56511"/>
    <w:rsid w:val="00F6194E"/>
    <w:rsid w:val="00F623AC"/>
    <w:rsid w:val="00F6378F"/>
    <w:rsid w:val="00F6412A"/>
    <w:rsid w:val="00F65893"/>
    <w:rsid w:val="00F66A4A"/>
    <w:rsid w:val="00F71E22"/>
    <w:rsid w:val="00F72142"/>
    <w:rsid w:val="00F72AE7"/>
    <w:rsid w:val="00F81141"/>
    <w:rsid w:val="00F833BA"/>
    <w:rsid w:val="00F8486C"/>
    <w:rsid w:val="00F84FD0"/>
    <w:rsid w:val="00F859A8"/>
    <w:rsid w:val="00F86D87"/>
    <w:rsid w:val="00F90985"/>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0E8"/>
    <w:rsid w:val="00FC2CB7"/>
    <w:rsid w:val="00FC4090"/>
    <w:rsid w:val="00FC55B4"/>
    <w:rsid w:val="00FD00E6"/>
    <w:rsid w:val="00FD09A1"/>
    <w:rsid w:val="00FD1A39"/>
    <w:rsid w:val="00FD2A7C"/>
    <w:rsid w:val="00FD59EB"/>
    <w:rsid w:val="00FD5B8D"/>
    <w:rsid w:val="00FD69A6"/>
    <w:rsid w:val="00FD6CB6"/>
    <w:rsid w:val="00FD7299"/>
    <w:rsid w:val="00FE1FBE"/>
    <w:rsid w:val="00FE3901"/>
    <w:rsid w:val="00FE39D3"/>
    <w:rsid w:val="00FE4BCE"/>
    <w:rsid w:val="00FE54AE"/>
    <w:rsid w:val="00FE576A"/>
    <w:rsid w:val="00FE7E79"/>
    <w:rsid w:val="00FF3E7D"/>
    <w:rsid w:val="00FF5B99"/>
    <w:rsid w:val="00FF730C"/>
    <w:rsid w:val="00FF73F4"/>
    <w:rsid w:val="00FF75A0"/>
    <w:rsid w:val="00FF7CE4"/>
    <w:rsid w:val="00FF7E39"/>
    <w:rsid w:val="013A42A6"/>
    <w:rsid w:val="01E02CA0"/>
    <w:rsid w:val="026701F4"/>
    <w:rsid w:val="03E07A24"/>
    <w:rsid w:val="03EC63C9"/>
    <w:rsid w:val="080D4B60"/>
    <w:rsid w:val="08430582"/>
    <w:rsid w:val="0AA7305F"/>
    <w:rsid w:val="0AC91212"/>
    <w:rsid w:val="0F0E3698"/>
    <w:rsid w:val="11B96888"/>
    <w:rsid w:val="120140F9"/>
    <w:rsid w:val="127F48AC"/>
    <w:rsid w:val="15510782"/>
    <w:rsid w:val="17CF598E"/>
    <w:rsid w:val="194F4FD8"/>
    <w:rsid w:val="19A22404"/>
    <w:rsid w:val="19AC41D9"/>
    <w:rsid w:val="19BB04E7"/>
    <w:rsid w:val="1AD87250"/>
    <w:rsid w:val="1C694603"/>
    <w:rsid w:val="1C9A47BD"/>
    <w:rsid w:val="1F1D3483"/>
    <w:rsid w:val="20AC0F62"/>
    <w:rsid w:val="21191C6E"/>
    <w:rsid w:val="222008D5"/>
    <w:rsid w:val="25787665"/>
    <w:rsid w:val="26EA00EF"/>
    <w:rsid w:val="2A092F82"/>
    <w:rsid w:val="2CD535EF"/>
    <w:rsid w:val="2DF126AA"/>
    <w:rsid w:val="30071D11"/>
    <w:rsid w:val="306C426A"/>
    <w:rsid w:val="31F84007"/>
    <w:rsid w:val="32C1089D"/>
    <w:rsid w:val="34BC7F3D"/>
    <w:rsid w:val="353A0493"/>
    <w:rsid w:val="37E44396"/>
    <w:rsid w:val="39494261"/>
    <w:rsid w:val="3B834BA7"/>
    <w:rsid w:val="3CE358B4"/>
    <w:rsid w:val="3CED4ADC"/>
    <w:rsid w:val="441E71D2"/>
    <w:rsid w:val="444C3D3F"/>
    <w:rsid w:val="447A6AFE"/>
    <w:rsid w:val="48E12563"/>
    <w:rsid w:val="48FB5D34"/>
    <w:rsid w:val="492068D5"/>
    <w:rsid w:val="494C3B78"/>
    <w:rsid w:val="49C51A06"/>
    <w:rsid w:val="4A456D3F"/>
    <w:rsid w:val="4BA12BC2"/>
    <w:rsid w:val="4C8F5111"/>
    <w:rsid w:val="4D2910C1"/>
    <w:rsid w:val="4DA56AF2"/>
    <w:rsid w:val="4E832A53"/>
    <w:rsid w:val="4E9B7D9D"/>
    <w:rsid w:val="500D4684"/>
    <w:rsid w:val="500D4CCA"/>
    <w:rsid w:val="55172147"/>
    <w:rsid w:val="56153315"/>
    <w:rsid w:val="56382375"/>
    <w:rsid w:val="574F6167"/>
    <w:rsid w:val="589C4E3D"/>
    <w:rsid w:val="59A57D21"/>
    <w:rsid w:val="5B2D1732"/>
    <w:rsid w:val="5B465534"/>
    <w:rsid w:val="5D1D7FB2"/>
    <w:rsid w:val="5D997B9D"/>
    <w:rsid w:val="63365E8E"/>
    <w:rsid w:val="65181CEF"/>
    <w:rsid w:val="68AB4F58"/>
    <w:rsid w:val="6C00528B"/>
    <w:rsid w:val="6C255926"/>
    <w:rsid w:val="6D772466"/>
    <w:rsid w:val="6FAD74D8"/>
    <w:rsid w:val="6FC62348"/>
    <w:rsid w:val="6FCF744E"/>
    <w:rsid w:val="70605E21"/>
    <w:rsid w:val="74423939"/>
    <w:rsid w:val="74A0760B"/>
    <w:rsid w:val="753206F5"/>
    <w:rsid w:val="76C23869"/>
    <w:rsid w:val="77106CCA"/>
    <w:rsid w:val="78C67A9C"/>
    <w:rsid w:val="7BCC6F38"/>
    <w:rsid w:val="7C9C3264"/>
    <w:rsid w:val="7F6E0A3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uiPriority w:val="0"/>
    <w:pPr>
      <w:numPr>
        <w:ilvl w:val="0"/>
        <w:numId w:val="3"/>
      </w:numPr>
      <w:ind w:firstLine="0" w:firstLineChars="0"/>
    </w:pPr>
  </w:style>
  <w:style w:type="paragraph" w:customStyle="1" w:styleId="69">
    <w:name w:val="标准文件_封面标准编号"/>
    <w:basedOn w:val="1"/>
    <w:next w:val="60"/>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pPr>
  </w:style>
  <w:style w:type="paragraph" w:customStyle="1" w:styleId="95">
    <w:name w:val="标准文件_三级条标题"/>
    <w:basedOn w:val="66"/>
    <w:next w:val="57"/>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uiPriority w:val="0"/>
    <w:pPr>
      <w:adjustRightInd/>
      <w:spacing w:line="240" w:lineRule="auto"/>
      <w:jc w:val="left"/>
    </w:pPr>
    <w:rPr>
      <w:bCs/>
      <w:iCs/>
    </w:rPr>
  </w:style>
  <w:style w:type="paragraph" w:customStyle="1" w:styleId="144">
    <w:name w:val="目录 31"/>
    <w:basedOn w:val="1"/>
    <w:next w:val="1"/>
    <w:autoRedefine/>
    <w:semiHidden/>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link w:val="231"/>
    <w:qFormat/>
    <w:uiPriority w:val="0"/>
    <w:rPr>
      <w:rFonts w:ascii="宋体" w:hAnsi="Times New Roman"/>
      <w:sz w:val="21"/>
    </w:rPr>
  </w:style>
  <w:style w:type="paragraph" w:customStyle="1" w:styleId="233">
    <w:name w:val="一级条标题"/>
    <w:next w:val="231"/>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章标题"/>
    <w:next w:val="231"/>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231"/>
    <w:qFormat/>
    <w:uiPriority w:val="0"/>
    <w:pPr>
      <w:spacing w:before="50" w:after="50"/>
      <w:outlineLvl w:val="3"/>
    </w:pPr>
  </w:style>
  <w:style w:type="paragraph" w:customStyle="1" w:styleId="236">
    <w:name w:val="三级条标题"/>
    <w:basedOn w:val="235"/>
    <w:next w:val="231"/>
    <w:qFormat/>
    <w:uiPriority w:val="0"/>
    <w:pPr>
      <w:outlineLvl w:val="4"/>
    </w:pPr>
  </w:style>
  <w:style w:type="paragraph" w:customStyle="1" w:styleId="237">
    <w:name w:val="四级条标题"/>
    <w:basedOn w:val="236"/>
    <w:next w:val="231"/>
    <w:qFormat/>
    <w:uiPriority w:val="0"/>
    <w:pPr>
      <w:outlineLvl w:val="5"/>
    </w:pPr>
  </w:style>
  <w:style w:type="paragraph" w:customStyle="1" w:styleId="238">
    <w:name w:val="五级条标题"/>
    <w:basedOn w:val="237"/>
    <w:next w:val="231"/>
    <w:qFormat/>
    <w:uiPriority w:val="0"/>
    <w:pPr>
      <w:outlineLvl w:val="6"/>
    </w:pPr>
  </w:style>
  <w:style w:type="paragraph" w:customStyle="1" w:styleId="239">
    <w:name w:val="附录标识"/>
    <w:basedOn w:val="1"/>
    <w:next w:val="231"/>
    <w:qFormat/>
    <w:uiPriority w:val="0"/>
    <w:pPr>
      <w:keepNext/>
      <w:widowControl/>
      <w:shd w:val="clear" w:color="FFFFFF" w:fill="FFFFFF"/>
      <w:tabs>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40">
    <w:name w:val="附录二级条标题"/>
    <w:basedOn w:val="1"/>
    <w:next w:val="231"/>
    <w:qFormat/>
    <w:uiPriority w:val="0"/>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hAnsi="Times New Roman" w:eastAsia="黑体"/>
      <w:kern w:val="21"/>
      <w:szCs w:val="20"/>
    </w:rPr>
  </w:style>
  <w:style w:type="paragraph" w:customStyle="1" w:styleId="241">
    <w:name w:val="附录三级条标题"/>
    <w:basedOn w:val="240"/>
    <w:next w:val="231"/>
    <w:qFormat/>
    <w:uiPriority w:val="0"/>
    <w:pPr>
      <w:outlineLvl w:val="4"/>
    </w:pPr>
  </w:style>
  <w:style w:type="paragraph" w:customStyle="1" w:styleId="242">
    <w:name w:val="附录四级条标题"/>
    <w:basedOn w:val="241"/>
    <w:next w:val="231"/>
    <w:qFormat/>
    <w:uiPriority w:val="0"/>
    <w:pPr>
      <w:outlineLvl w:val="5"/>
    </w:pPr>
  </w:style>
  <w:style w:type="paragraph" w:customStyle="1" w:styleId="243">
    <w:name w:val="附录五级条标题"/>
    <w:basedOn w:val="242"/>
    <w:next w:val="231"/>
    <w:qFormat/>
    <w:uiPriority w:val="0"/>
    <w:pPr>
      <w:outlineLvl w:val="6"/>
    </w:pPr>
  </w:style>
  <w:style w:type="paragraph" w:customStyle="1" w:styleId="244">
    <w:name w:val="附录章标题"/>
    <w:next w:val="231"/>
    <w:qFormat/>
    <w:uiPriority w:val="0"/>
    <w:p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5">
    <w:name w:val="附录一级条标题"/>
    <w:basedOn w:val="244"/>
    <w:next w:val="231"/>
    <w:qFormat/>
    <w:uiPriority w:val="0"/>
    <w:pPr>
      <w:autoSpaceDN w:val="0"/>
      <w:spacing w:beforeLines="50" w:afterLines="50"/>
      <w:outlineLvl w:val="2"/>
    </w:pPr>
  </w:style>
  <w:style w:type="paragraph" w:customStyle="1" w:styleId="246">
    <w:name w:val="zny表头"/>
    <w:basedOn w:val="1"/>
    <w:link w:val="247"/>
    <w:qFormat/>
    <w:uiPriority w:val="0"/>
    <w:pPr>
      <w:tabs>
        <w:tab w:val="right" w:leader="dot" w:pos="9061"/>
      </w:tabs>
      <w:adjustRightInd/>
      <w:snapToGrid w:val="0"/>
      <w:spacing w:line="360" w:lineRule="auto"/>
      <w:ind w:firstLine="480" w:firstLineChars="200"/>
      <w:jc w:val="center"/>
    </w:pPr>
    <w:rPr>
      <w:rFonts w:ascii="等线" w:hAnsi="等线" w:eastAsia="华文中宋"/>
      <w:b/>
      <w:color w:val="000000"/>
      <w:sz w:val="24"/>
      <w:szCs w:val="28"/>
      <w:lang w:val="zh-CN"/>
    </w:rPr>
  </w:style>
  <w:style w:type="character" w:customStyle="1" w:styleId="247">
    <w:name w:val="zny表头 字符"/>
    <w:link w:val="246"/>
    <w:qFormat/>
    <w:uiPriority w:val="0"/>
    <w:rPr>
      <w:rFonts w:ascii="等线" w:hAnsi="等线" w:eastAsia="华文中宋"/>
      <w:b/>
      <w:color w:val="000000"/>
      <w:kern w:val="2"/>
      <w:sz w:val="24"/>
      <w:szCs w:val="28"/>
      <w:lang w:val="zh-CN"/>
    </w:rPr>
  </w:style>
  <w:style w:type="character" w:customStyle="1" w:styleId="248">
    <w:name w:val="font20"/>
    <w:basedOn w:val="29"/>
    <w:qFormat/>
    <w:uiPriority w:val="0"/>
  </w:style>
  <w:style w:type="character" w:customStyle="1" w:styleId="249">
    <w:name w:val="text_piice"/>
    <w:basedOn w:val="29"/>
    <w:qFormat/>
    <w:uiPriority w:val="0"/>
  </w:style>
  <w:style w:type="paragraph" w:customStyle="1" w:styleId="250">
    <w:name w:val="一级无"/>
    <w:link w:val="251"/>
    <w:qFormat/>
    <w:uiPriority w:val="0"/>
    <w:pPr>
      <w:numPr>
        <w:ilvl w:val="1"/>
        <w:numId w:val="32"/>
      </w:numPr>
      <w:outlineLvl w:val="2"/>
    </w:pPr>
    <w:rPr>
      <w:rFonts w:hint="eastAsia" w:ascii="宋体" w:hAnsi="Times New Roman" w:eastAsia="宋体" w:cs="Arial Unicode MS"/>
      <w:sz w:val="21"/>
      <w:szCs w:val="21"/>
      <w:lang w:val="en-US" w:eastAsia="zh-CN" w:bidi="bo-CN"/>
    </w:rPr>
  </w:style>
  <w:style w:type="character" w:customStyle="1" w:styleId="251">
    <w:name w:val="一级无 Char"/>
    <w:basedOn w:val="29"/>
    <w:link w:val="250"/>
    <w:qFormat/>
    <w:uiPriority w:val="0"/>
    <w:rPr>
      <w:rFonts w:hint="eastAsia" w:ascii="宋体" w:hAnsi="宋体" w:eastAsia="宋体" w:cs="宋体"/>
      <w:sz w:val="21"/>
      <w:szCs w:val="21"/>
      <w:lang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60FF3B31743495F8F0FCBDF6D51354F"/>
        <w:style w:val=""/>
        <w:category>
          <w:name w:val="常规"/>
          <w:gallery w:val="placeholder"/>
        </w:category>
        <w:types>
          <w:type w:val="bbPlcHdr"/>
        </w:types>
        <w:behaviors>
          <w:behavior w:val="content"/>
        </w:behaviors>
        <w:description w:val=""/>
        <w:guid w:val="{F741036A-324C-424A-A485-6632487EA666}"/>
      </w:docPartPr>
      <w:docPartBody>
        <w:p w14:paraId="4637A3DB">
          <w:pPr>
            <w:pStyle w:val="5"/>
            <w:rPr>
              <w:rFonts w:hint="eastAsia"/>
            </w:rPr>
          </w:pPr>
          <w:r>
            <w:rPr>
              <w:rStyle w:val="4"/>
              <w:rFonts w:hint="eastAsia"/>
            </w:rPr>
            <w:t>单击或点击此处输入文字。</w:t>
          </w:r>
        </w:p>
      </w:docPartBody>
    </w:docPart>
    <w:docPart>
      <w:docPartPr>
        <w:name w:val="8C207EF8EE5641BE900721C84F7592F1"/>
        <w:style w:val=""/>
        <w:category>
          <w:name w:val="常规"/>
          <w:gallery w:val="placeholder"/>
        </w:category>
        <w:types>
          <w:type w:val="bbPlcHdr"/>
        </w:types>
        <w:behaviors>
          <w:behavior w:val="content"/>
        </w:behaviors>
        <w:description w:val=""/>
        <w:guid w:val="{67525A28-59DC-4E32-B080-E1B7DAA6CA0F}"/>
      </w:docPartPr>
      <w:docPartBody>
        <w:p w14:paraId="6584BB86">
          <w:pPr>
            <w:pStyle w:val="6"/>
            <w:rPr>
              <w:rFonts w:hint="eastAsia"/>
            </w:rPr>
          </w:pPr>
          <w:r>
            <w:rPr>
              <w:rStyle w:val="4"/>
              <w:rFonts w:hint="eastAsia"/>
            </w:rPr>
            <w:t>选择一项。</w:t>
          </w:r>
        </w:p>
      </w:docPartBody>
    </w:docPart>
    <w:docPart>
      <w:docPartPr>
        <w:name w:val="D6E1C4B80E694BD3B9FE70776C36E0C5"/>
        <w:style w:val=""/>
        <w:category>
          <w:name w:val="常规"/>
          <w:gallery w:val="placeholder"/>
        </w:category>
        <w:types>
          <w:type w:val="bbPlcHdr"/>
        </w:types>
        <w:behaviors>
          <w:behavior w:val="content"/>
        </w:behaviors>
        <w:description w:val=""/>
        <w:guid w:val="{C9CE4039-0143-4D85-9E3B-94150CFAE273}"/>
      </w:docPartPr>
      <w:docPartBody>
        <w:p w14:paraId="2CCD4DC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Himalaya">
    <w:panose1 w:val="01010100010101010101"/>
    <w:charset w:val="00"/>
    <w:family w:val="auto"/>
    <w:pitch w:val="default"/>
    <w:sig w:usb0="80000003" w:usb1="00010000" w:usb2="00000040" w:usb3="00000000" w:csb0="00000001"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4E"/>
    <w:rsid w:val="000123BF"/>
    <w:rsid w:val="0006480B"/>
    <w:rsid w:val="00123814"/>
    <w:rsid w:val="00132119"/>
    <w:rsid w:val="00231E62"/>
    <w:rsid w:val="003D7464"/>
    <w:rsid w:val="003E792B"/>
    <w:rsid w:val="003F1D58"/>
    <w:rsid w:val="00400A14"/>
    <w:rsid w:val="0045366D"/>
    <w:rsid w:val="004B298D"/>
    <w:rsid w:val="0054297F"/>
    <w:rsid w:val="005871BB"/>
    <w:rsid w:val="005D5ECF"/>
    <w:rsid w:val="005E018C"/>
    <w:rsid w:val="005F76DA"/>
    <w:rsid w:val="0063394E"/>
    <w:rsid w:val="00641D87"/>
    <w:rsid w:val="0066437F"/>
    <w:rsid w:val="006E26E9"/>
    <w:rsid w:val="006F648C"/>
    <w:rsid w:val="00720B12"/>
    <w:rsid w:val="00795E17"/>
    <w:rsid w:val="00820178"/>
    <w:rsid w:val="0086360F"/>
    <w:rsid w:val="008824AC"/>
    <w:rsid w:val="00893693"/>
    <w:rsid w:val="0089471F"/>
    <w:rsid w:val="008C1995"/>
    <w:rsid w:val="008D5D15"/>
    <w:rsid w:val="008F47D9"/>
    <w:rsid w:val="00972C58"/>
    <w:rsid w:val="00A720C7"/>
    <w:rsid w:val="00AD066F"/>
    <w:rsid w:val="00B25D9A"/>
    <w:rsid w:val="00B71E1A"/>
    <w:rsid w:val="00BA66A0"/>
    <w:rsid w:val="00BF750F"/>
    <w:rsid w:val="00C10980"/>
    <w:rsid w:val="00C55014"/>
    <w:rsid w:val="00C656C4"/>
    <w:rsid w:val="00C96881"/>
    <w:rsid w:val="00D60745"/>
    <w:rsid w:val="00D63AE7"/>
    <w:rsid w:val="00D775AA"/>
    <w:rsid w:val="00DC4084"/>
    <w:rsid w:val="00F81A3D"/>
    <w:rsid w:val="00FE199D"/>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60FF3B31743495F8F0FCBDF6D51354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C207EF8EE5641BE900721C84F7592F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6E1C4B80E694BD3B9FE70776C36E0C5"/>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5EA8CC-4C73-459E-BEFE-EF0BFA0F07B2}">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2110</Words>
  <Characters>2651</Characters>
  <Lines>36</Lines>
  <Paragraphs>10</Paragraphs>
  <TotalTime>1</TotalTime>
  <ScaleCrop>false</ScaleCrop>
  <LinksUpToDate>false</LinksUpToDate>
  <CharactersWithSpaces>2830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2023-11-28T09:29:00Z</dcterms:created>
  <dc:creator>hp</dc:creator>
  <cp:lastModifiedBy>史九先</cp:lastModifiedBy>
  <cp:lastPrinted>2025-11-11T03:24:12Z</cp:lastPrinted>
  <dcterms:modified xsi:type="dcterms:W3CDTF">2025-11-11T04:20:10Z</dcterms:modified>
  <dc:title>地方标准</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eyJoZGlkIjoiZWYwYmM2MDM2MzA3NDUxZmZhNDQ4OGVhOTQ3MjFlZGEiLCJ1c2VySWQiOiIyMDI4ODU3MCJ9</vt:lpwstr>
  </property>
  <property fmtid="{D5CDD505-2E9C-101B-9397-08002B2CF9AE}" pid="15" name="KSOProductBuildVer">
    <vt:lpwstr>2052-12.1.0.23125</vt:lpwstr>
  </property>
  <property fmtid="{D5CDD505-2E9C-101B-9397-08002B2CF9AE}" pid="16" name="ICV">
    <vt:lpwstr>76A40C62A01A451887EFDD333F851C6E_13</vt:lpwstr>
  </property>
</Properties>
</file>