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4FC5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3F55E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C09A75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65.020.20</w:t>
            </w:r>
            <w:r>
              <w:rPr>
                <w:rFonts w:ascii="黑体" w:hAnsi="黑体" w:eastAsia="黑体"/>
                <w:sz w:val="21"/>
                <w:szCs w:val="21"/>
              </w:rPr>
              <w:fldChar w:fldCharType="end"/>
            </w:r>
            <w:bookmarkEnd w:id="0"/>
          </w:p>
        </w:tc>
      </w:tr>
      <w:tr w14:paraId="74DA8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08E27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BC4B71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6BDDC1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3B1E41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54</w:t>
            </w:r>
            <w:r>
              <w:fldChar w:fldCharType="end"/>
            </w:r>
            <w:bookmarkEnd w:id="3"/>
          </w:p>
        </w:tc>
      </w:tr>
    </w:tbl>
    <w:p w14:paraId="13CF36AB">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FCA1783">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126C886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5E8340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7E2F86">
      <w:pPr>
        <w:pStyle w:val="50"/>
        <w:framePr w:w="9639" w:h="6976" w:hRule="exact" w:hSpace="0" w:vSpace="0" w:wrap="around" w:hAnchor="page" w:y="6408"/>
        <w:jc w:val="center"/>
        <w:rPr>
          <w:rFonts w:ascii="黑体" w:hAnsi="黑体" w:eastAsia="黑体"/>
          <w:b w:val="0"/>
          <w:bCs w:val="0"/>
          <w:w w:val="100"/>
        </w:rPr>
      </w:pPr>
    </w:p>
    <w:p w14:paraId="53EAE2C4">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马蔺移栽</w:t>
      </w:r>
      <w:r>
        <w:t>技术规程</w:t>
      </w:r>
      <w:r>
        <w:fldChar w:fldCharType="end"/>
      </w:r>
      <w:bookmarkEnd w:id="9"/>
    </w:p>
    <w:p w14:paraId="1635F9A8">
      <w:pPr>
        <w:framePr w:w="9639" w:h="6974" w:hRule="exact" w:wrap="around" w:vAnchor="page" w:hAnchor="page" w:x="1419" w:y="6408" w:anchorLock="1"/>
        <w:ind w:left="-1418"/>
      </w:pPr>
    </w:p>
    <w:p w14:paraId="257831F1">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1DC04E62">
      <w:pPr>
        <w:framePr w:w="9639" w:h="6974" w:hRule="exact" w:wrap="around" w:vAnchor="page" w:hAnchor="page" w:x="1419" w:y="6408" w:anchorLock="1"/>
        <w:spacing w:line="760" w:lineRule="exact"/>
        <w:ind w:left="-1418"/>
      </w:pPr>
    </w:p>
    <w:p w14:paraId="1B707AA1">
      <w:pPr>
        <w:pStyle w:val="125"/>
        <w:framePr w:w="9639" w:h="6974" w:hRule="exact" w:wrap="around" w:vAnchor="page" w:hAnchor="page" w:x="1419" w:y="6408" w:anchorLock="1"/>
        <w:textAlignment w:val="bottom"/>
        <w:rPr>
          <w:rFonts w:eastAsia="黑体"/>
          <w:szCs w:val="28"/>
        </w:rPr>
      </w:pPr>
    </w:p>
    <w:p w14:paraId="626C180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8F33F7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w:t>
      </w:r>
      <w:r>
        <w:rPr>
          <w:sz w:val="21"/>
          <w:szCs w:val="28"/>
        </w:rPr>
        <w:fldChar w:fldCharType="end"/>
      </w:r>
      <w:bookmarkEnd w:id="12"/>
    </w:p>
    <w:p w14:paraId="26881E4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C482F7D">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52E1BF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15E376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西藏自治区市场监督管理局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823F35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DA812CE">
      <w:pPr>
        <w:pStyle w:val="91"/>
        <w:spacing w:after="468"/>
      </w:pPr>
      <w:bookmarkStart w:id="21" w:name="BookMark1"/>
      <w:bookmarkStart w:id="22" w:name="_Toc152086407"/>
      <w:bookmarkStart w:id="23" w:name="_Toc153440745"/>
      <w:r>
        <w:rPr>
          <w:rFonts w:hint="eastAsia"/>
          <w:spacing w:val="320"/>
        </w:rPr>
        <w:t>目</w:t>
      </w:r>
      <w:r>
        <w:rPr>
          <w:rFonts w:hint="eastAsia"/>
        </w:rPr>
        <w:t>次</w:t>
      </w:r>
    </w:p>
    <w:p w14:paraId="37F2FBB3">
      <w:pPr>
        <w:pStyle w:val="19"/>
        <w:tabs>
          <w:tab w:val="right" w:leader="dot" w:pos="9354"/>
        </w:tabs>
      </w:pPr>
      <w:r>
        <w:fldChar w:fldCharType="begin"/>
      </w:r>
      <w:r>
        <w:instrText xml:space="preserve"> TOC \o "1-1" \h </w:instrText>
      </w:r>
      <w:r>
        <w:fldChar w:fldCharType="separate"/>
      </w:r>
      <w:r>
        <w:fldChar w:fldCharType="begin"/>
      </w:r>
      <w:r>
        <w:instrText xml:space="preserve"> HYPERLINK \l _Toc5405 </w:instrText>
      </w:r>
      <w:r>
        <w:fldChar w:fldCharType="separate"/>
      </w:r>
      <w:r>
        <w:rPr>
          <w:rFonts w:ascii="Times New Roman"/>
          <w:spacing w:val="320"/>
        </w:rPr>
        <w:t>前</w:t>
      </w:r>
      <w:r>
        <w:rPr>
          <w:rFonts w:ascii="Times New Roman"/>
        </w:rPr>
        <w:t>言</w:t>
      </w:r>
      <w:r>
        <w:tab/>
      </w:r>
      <w:r>
        <w:fldChar w:fldCharType="begin"/>
      </w:r>
      <w:r>
        <w:instrText xml:space="preserve"> PAGEREF _Toc5405 \h </w:instrText>
      </w:r>
      <w:r>
        <w:fldChar w:fldCharType="separate"/>
      </w:r>
      <w:r>
        <w:t>II</w:t>
      </w:r>
      <w:r>
        <w:fldChar w:fldCharType="end"/>
      </w:r>
      <w:r>
        <w:fldChar w:fldCharType="end"/>
      </w:r>
    </w:p>
    <w:p w14:paraId="6ED3F41F">
      <w:pPr>
        <w:pStyle w:val="19"/>
        <w:tabs>
          <w:tab w:val="right" w:leader="dot" w:pos="9354"/>
        </w:tabs>
      </w:pPr>
      <w:r>
        <w:fldChar w:fldCharType="begin"/>
      </w:r>
      <w:r>
        <w:instrText xml:space="preserve"> HYPERLINK \l _Toc25765 </w:instrText>
      </w:r>
      <w:r>
        <w:fldChar w:fldCharType="separate"/>
      </w:r>
      <w:r>
        <w:rPr>
          <w:rFonts w:hint="eastAsia" w:ascii="黑体" w:eastAsia="黑体"/>
          <w:i w:val="0"/>
        </w:rPr>
        <w:t xml:space="preserve">1 </w:t>
      </w:r>
      <w:r>
        <w:rPr>
          <w:rFonts w:ascii="Times New Roman"/>
        </w:rPr>
        <w:t>范围</w:t>
      </w:r>
      <w:r>
        <w:tab/>
      </w:r>
      <w:r>
        <w:fldChar w:fldCharType="begin"/>
      </w:r>
      <w:r>
        <w:instrText xml:space="preserve"> PAGEREF _Toc25765 \h </w:instrText>
      </w:r>
      <w:r>
        <w:fldChar w:fldCharType="separate"/>
      </w:r>
      <w:r>
        <w:t>1</w:t>
      </w:r>
      <w:r>
        <w:fldChar w:fldCharType="end"/>
      </w:r>
      <w:r>
        <w:fldChar w:fldCharType="end"/>
      </w:r>
    </w:p>
    <w:p w14:paraId="7F38FC1A">
      <w:pPr>
        <w:pStyle w:val="19"/>
        <w:tabs>
          <w:tab w:val="right" w:leader="dot" w:pos="9354"/>
        </w:tabs>
      </w:pPr>
      <w:r>
        <w:fldChar w:fldCharType="begin"/>
      </w:r>
      <w:r>
        <w:instrText xml:space="preserve"> HYPERLINK \l _Toc5840 </w:instrText>
      </w:r>
      <w:r>
        <w:fldChar w:fldCharType="separate"/>
      </w:r>
      <w:r>
        <w:rPr>
          <w:rFonts w:hint="eastAsia" w:ascii="黑体" w:eastAsia="黑体"/>
          <w:i w:val="0"/>
        </w:rPr>
        <w:t xml:space="preserve">2 </w:t>
      </w:r>
      <w:r>
        <w:rPr>
          <w:rFonts w:ascii="Times New Roman"/>
        </w:rPr>
        <w:t>规范性引用文件</w:t>
      </w:r>
      <w:r>
        <w:tab/>
      </w:r>
      <w:r>
        <w:fldChar w:fldCharType="begin"/>
      </w:r>
      <w:r>
        <w:instrText xml:space="preserve"> PAGEREF _Toc5840 \h </w:instrText>
      </w:r>
      <w:r>
        <w:fldChar w:fldCharType="separate"/>
      </w:r>
      <w:r>
        <w:t>1</w:t>
      </w:r>
      <w:r>
        <w:fldChar w:fldCharType="end"/>
      </w:r>
      <w:r>
        <w:fldChar w:fldCharType="end"/>
      </w:r>
    </w:p>
    <w:p w14:paraId="3B6D4CC9">
      <w:pPr>
        <w:pStyle w:val="19"/>
        <w:tabs>
          <w:tab w:val="right" w:leader="dot" w:pos="9354"/>
        </w:tabs>
      </w:pPr>
      <w:r>
        <w:fldChar w:fldCharType="begin"/>
      </w:r>
      <w:r>
        <w:instrText xml:space="preserve"> HYPERLINK \l _Toc377 </w:instrText>
      </w:r>
      <w:r>
        <w:fldChar w:fldCharType="separate"/>
      </w:r>
      <w:r>
        <w:rPr>
          <w:rFonts w:hint="eastAsia" w:ascii="黑体" w:eastAsia="黑体"/>
          <w:i w:val="0"/>
        </w:rPr>
        <w:t xml:space="preserve">3 </w:t>
      </w:r>
      <w:r>
        <w:rPr>
          <w:rFonts w:ascii="Times New Roman"/>
          <w:szCs w:val="21"/>
        </w:rPr>
        <w:t>术语和定义</w:t>
      </w:r>
      <w:r>
        <w:tab/>
      </w:r>
      <w:r>
        <w:fldChar w:fldCharType="begin"/>
      </w:r>
      <w:r>
        <w:instrText xml:space="preserve"> PAGEREF _Toc377 \h </w:instrText>
      </w:r>
      <w:r>
        <w:fldChar w:fldCharType="separate"/>
      </w:r>
      <w:r>
        <w:t>1</w:t>
      </w:r>
      <w:r>
        <w:fldChar w:fldCharType="end"/>
      </w:r>
      <w:r>
        <w:fldChar w:fldCharType="end"/>
      </w:r>
    </w:p>
    <w:p w14:paraId="4EB3D0E9">
      <w:pPr>
        <w:pStyle w:val="19"/>
        <w:tabs>
          <w:tab w:val="right" w:leader="dot" w:pos="9354"/>
        </w:tabs>
      </w:pPr>
      <w:r>
        <w:fldChar w:fldCharType="begin"/>
      </w:r>
      <w:r>
        <w:instrText xml:space="preserve"> HYPERLINK \l _Toc21426 </w:instrText>
      </w:r>
      <w:r>
        <w:fldChar w:fldCharType="separate"/>
      </w:r>
      <w:r>
        <w:rPr>
          <w:rFonts w:hint="eastAsia" w:ascii="黑体" w:eastAsia="黑体"/>
          <w:i w:val="0"/>
        </w:rPr>
        <w:t xml:space="preserve">4 </w:t>
      </w:r>
      <w:r>
        <w:rPr>
          <w:rFonts w:hint="eastAsia" w:ascii="Times New Roman"/>
          <w:lang w:eastAsia="zh-CN"/>
        </w:rPr>
        <w:t>圃地选择</w:t>
      </w:r>
      <w:r>
        <w:tab/>
      </w:r>
      <w:r>
        <w:fldChar w:fldCharType="begin"/>
      </w:r>
      <w:r>
        <w:instrText xml:space="preserve"> PAGEREF _Toc21426 \h </w:instrText>
      </w:r>
      <w:r>
        <w:fldChar w:fldCharType="separate"/>
      </w:r>
      <w:r>
        <w:t>1</w:t>
      </w:r>
      <w:r>
        <w:fldChar w:fldCharType="end"/>
      </w:r>
      <w:r>
        <w:fldChar w:fldCharType="end"/>
      </w:r>
    </w:p>
    <w:p w14:paraId="0D0245A8">
      <w:pPr>
        <w:pStyle w:val="19"/>
        <w:tabs>
          <w:tab w:val="right" w:leader="dot" w:pos="9354"/>
        </w:tabs>
      </w:pPr>
      <w:r>
        <w:fldChar w:fldCharType="begin"/>
      </w:r>
      <w:r>
        <w:instrText xml:space="preserve"> HYPERLINK \l _Toc9565 </w:instrText>
      </w:r>
      <w:r>
        <w:fldChar w:fldCharType="separate"/>
      </w:r>
      <w:r>
        <w:rPr>
          <w:rFonts w:hint="eastAsia" w:ascii="黑体" w:eastAsia="黑体"/>
          <w:i w:val="0"/>
        </w:rPr>
        <w:t xml:space="preserve">5 </w:t>
      </w:r>
      <w:r>
        <w:rPr>
          <w:rFonts w:hint="eastAsia" w:ascii="Times New Roman"/>
          <w:lang w:eastAsia="zh-CN"/>
        </w:rPr>
        <w:t>种苗选择</w:t>
      </w:r>
      <w:r>
        <w:tab/>
      </w:r>
      <w:r>
        <w:fldChar w:fldCharType="begin"/>
      </w:r>
      <w:r>
        <w:instrText xml:space="preserve"> PAGEREF _Toc9565 \h </w:instrText>
      </w:r>
      <w:r>
        <w:fldChar w:fldCharType="separate"/>
      </w:r>
      <w:r>
        <w:t>1</w:t>
      </w:r>
      <w:r>
        <w:fldChar w:fldCharType="end"/>
      </w:r>
      <w:r>
        <w:fldChar w:fldCharType="end"/>
      </w:r>
    </w:p>
    <w:p w14:paraId="709F286D">
      <w:pPr>
        <w:pStyle w:val="19"/>
        <w:tabs>
          <w:tab w:val="right" w:leader="dot" w:pos="9354"/>
        </w:tabs>
      </w:pPr>
      <w:r>
        <w:fldChar w:fldCharType="begin"/>
      </w:r>
      <w:r>
        <w:instrText xml:space="preserve"> HYPERLINK \l _Toc6790 </w:instrText>
      </w:r>
      <w:r>
        <w:fldChar w:fldCharType="separate"/>
      </w:r>
      <w:r>
        <w:rPr>
          <w:rFonts w:hint="eastAsia" w:ascii="黑体" w:eastAsia="黑体"/>
          <w:i w:val="0"/>
        </w:rPr>
        <w:t xml:space="preserve">6 </w:t>
      </w:r>
      <w:r>
        <w:rPr>
          <w:rFonts w:hint="eastAsia" w:ascii="Times New Roman"/>
          <w:lang w:eastAsia="zh-CN"/>
        </w:rPr>
        <w:t>移栽技术</w:t>
      </w:r>
      <w:r>
        <w:tab/>
      </w:r>
      <w:r>
        <w:fldChar w:fldCharType="begin"/>
      </w:r>
      <w:r>
        <w:instrText xml:space="preserve"> PAGEREF _Toc6790 \h </w:instrText>
      </w:r>
      <w:r>
        <w:fldChar w:fldCharType="separate"/>
      </w:r>
      <w:r>
        <w:t>2</w:t>
      </w:r>
      <w:r>
        <w:fldChar w:fldCharType="end"/>
      </w:r>
      <w:r>
        <w:fldChar w:fldCharType="end"/>
      </w:r>
    </w:p>
    <w:p w14:paraId="2C8FF2C5">
      <w:pPr>
        <w:pStyle w:val="19"/>
        <w:tabs>
          <w:tab w:val="right" w:leader="dot" w:pos="9354"/>
        </w:tabs>
      </w:pPr>
      <w:r>
        <w:fldChar w:fldCharType="begin"/>
      </w:r>
      <w:r>
        <w:instrText xml:space="preserve"> HYPERLINK \l _Toc29436 </w:instrText>
      </w:r>
      <w:r>
        <w:fldChar w:fldCharType="separate"/>
      </w:r>
      <w:r>
        <w:rPr>
          <w:rFonts w:hint="eastAsia" w:ascii="Times New Roman"/>
        </w:rPr>
        <w:t xml:space="preserve">7 </w:t>
      </w:r>
      <w:r>
        <w:rPr>
          <w:rFonts w:hint="eastAsia" w:ascii="Times New Roman"/>
          <w:lang w:eastAsia="zh-CN"/>
        </w:rPr>
        <w:t>田间管理</w:t>
      </w:r>
      <w:r>
        <w:tab/>
      </w:r>
      <w:r>
        <w:fldChar w:fldCharType="begin"/>
      </w:r>
      <w:r>
        <w:instrText xml:space="preserve"> PAGEREF _Toc29436 \h </w:instrText>
      </w:r>
      <w:r>
        <w:fldChar w:fldCharType="separate"/>
      </w:r>
      <w:r>
        <w:t>2</w:t>
      </w:r>
      <w:r>
        <w:fldChar w:fldCharType="end"/>
      </w:r>
      <w:r>
        <w:fldChar w:fldCharType="end"/>
      </w:r>
    </w:p>
    <w:p w14:paraId="3F66F8C0">
      <w:pPr>
        <w:pStyle w:val="19"/>
        <w:tabs>
          <w:tab w:val="right" w:leader="dot" w:pos="9354"/>
        </w:tabs>
      </w:pPr>
      <w:r>
        <w:fldChar w:fldCharType="begin"/>
      </w:r>
      <w:r>
        <w:instrText xml:space="preserve"> HYPERLINK \l _Toc7804 </w:instrText>
      </w:r>
      <w:r>
        <w:fldChar w:fldCharType="separate"/>
      </w:r>
      <w:r>
        <w:rPr>
          <w:rFonts w:hint="eastAsia" w:ascii="Times New Roman"/>
          <w:spacing w:val="100"/>
        </w:rPr>
        <w:t xml:space="preserve">附录A </w:t>
      </w:r>
      <w:r>
        <w:tab/>
      </w:r>
      <w:r>
        <w:fldChar w:fldCharType="begin"/>
      </w:r>
      <w:r>
        <w:instrText xml:space="preserve"> PAGEREF _Toc7804 \h </w:instrText>
      </w:r>
      <w:r>
        <w:fldChar w:fldCharType="separate"/>
      </w:r>
      <w:r>
        <w:t>3</w:t>
      </w:r>
      <w:r>
        <w:fldChar w:fldCharType="end"/>
      </w:r>
      <w:r>
        <w:fldChar w:fldCharType="end"/>
      </w:r>
    </w:p>
    <w:p w14:paraId="56550246">
      <w:pPr>
        <w:pStyle w:val="19"/>
        <w:tabs>
          <w:tab w:val="right" w:leader="dot" w:pos="9354"/>
        </w:tabs>
      </w:pPr>
      <w:r>
        <w:fldChar w:fldCharType="begin"/>
      </w:r>
      <w:r>
        <w:instrText xml:space="preserve"> HYPERLINK \l _Toc10055 </w:instrText>
      </w:r>
      <w:r>
        <w:fldChar w:fldCharType="separate"/>
      </w:r>
      <w:r>
        <w:rPr>
          <w:rFonts w:ascii="Times New Roman"/>
        </w:rPr>
        <w:t>（资料性</w:t>
      </w:r>
      <w:r>
        <w:rPr>
          <w:rFonts w:hint="eastAsia" w:ascii="Times New Roman"/>
          <w:lang w:eastAsia="zh-CN"/>
        </w:rPr>
        <w:t>附录</w:t>
      </w:r>
      <w:r>
        <w:rPr>
          <w:rFonts w:ascii="Times New Roman"/>
        </w:rPr>
        <w:t xml:space="preserve">） </w:t>
      </w:r>
      <w:r>
        <w:rPr>
          <w:rFonts w:hint="eastAsia" w:ascii="Times New Roman"/>
          <w:lang w:eastAsia="zh-CN"/>
        </w:rPr>
        <w:t>马蔺</w:t>
      </w:r>
      <w:r>
        <w:rPr>
          <w:rFonts w:ascii="Times New Roman"/>
        </w:rPr>
        <w:t>特征特性</w:t>
      </w:r>
      <w:r>
        <w:tab/>
      </w:r>
      <w:r>
        <w:fldChar w:fldCharType="begin"/>
      </w:r>
      <w:r>
        <w:instrText xml:space="preserve"> PAGEREF _Toc10055 \h </w:instrText>
      </w:r>
      <w:r>
        <w:fldChar w:fldCharType="separate"/>
      </w:r>
      <w:r>
        <w:t>3</w:t>
      </w:r>
      <w:r>
        <w:fldChar w:fldCharType="end"/>
      </w:r>
      <w:r>
        <w:fldChar w:fldCharType="end"/>
      </w:r>
    </w:p>
    <w:p w14:paraId="7A08B337">
      <w:pPr>
        <w:pStyle w:val="19"/>
        <w:tabs>
          <w:tab w:val="right" w:leader="dot" w:pos="9354"/>
        </w:tabs>
      </w:pPr>
      <w:r>
        <w:fldChar w:fldCharType="begin"/>
      </w:r>
      <w:r>
        <w:instrText xml:space="preserve"> HYPERLINK \l _Toc11573 </w:instrText>
      </w:r>
      <w:r>
        <w:fldChar w:fldCharType="separate"/>
      </w:r>
      <w:r>
        <w:rPr>
          <w:rFonts w:hint="eastAsia" w:ascii="Times New Roman"/>
          <w:spacing w:val="100"/>
        </w:rPr>
        <w:t xml:space="preserve">附录B </w:t>
      </w:r>
      <w:r>
        <w:tab/>
      </w:r>
      <w:r>
        <w:fldChar w:fldCharType="begin"/>
      </w:r>
      <w:r>
        <w:instrText xml:space="preserve"> PAGEREF _Toc11573 \h </w:instrText>
      </w:r>
      <w:r>
        <w:fldChar w:fldCharType="separate"/>
      </w:r>
      <w:r>
        <w:t>4</w:t>
      </w:r>
      <w:r>
        <w:fldChar w:fldCharType="end"/>
      </w:r>
      <w:r>
        <w:fldChar w:fldCharType="end"/>
      </w:r>
    </w:p>
    <w:p w14:paraId="3379C78E">
      <w:pPr>
        <w:pStyle w:val="19"/>
        <w:tabs>
          <w:tab w:val="right" w:leader="dot" w:pos="9354"/>
        </w:tabs>
      </w:pPr>
      <w:r>
        <w:fldChar w:fldCharType="begin"/>
      </w:r>
      <w:r>
        <w:instrText xml:space="preserve"> HYPERLINK \l _Toc13292 </w:instrText>
      </w:r>
      <w:r>
        <w:fldChar w:fldCharType="separate"/>
      </w:r>
      <w:r>
        <w:rPr>
          <w:rFonts w:ascii="Times New Roman"/>
        </w:rPr>
        <w:t>（资料性</w:t>
      </w:r>
      <w:r>
        <w:rPr>
          <w:rFonts w:hint="eastAsia" w:ascii="Times New Roman"/>
          <w:lang w:eastAsia="zh-CN"/>
        </w:rPr>
        <w:t>附录</w:t>
      </w:r>
      <w:r>
        <w:rPr>
          <w:rFonts w:ascii="Times New Roman"/>
        </w:rPr>
        <w:t xml:space="preserve">） </w:t>
      </w:r>
      <w:r>
        <w:rPr>
          <w:rFonts w:hint="eastAsia" w:ascii="Times New Roman"/>
          <w:lang w:eastAsia="zh-CN"/>
        </w:rPr>
        <w:t>马蔺病虫害防治</w:t>
      </w:r>
      <w:r>
        <w:tab/>
      </w:r>
      <w:r>
        <w:fldChar w:fldCharType="begin"/>
      </w:r>
      <w:r>
        <w:instrText xml:space="preserve"> PAGEREF _Toc13292 \h </w:instrText>
      </w:r>
      <w:r>
        <w:fldChar w:fldCharType="separate"/>
      </w:r>
      <w:r>
        <w:t>4</w:t>
      </w:r>
      <w:r>
        <w:fldChar w:fldCharType="end"/>
      </w:r>
      <w:r>
        <w:fldChar w:fldCharType="end"/>
      </w:r>
    </w:p>
    <w:p w14:paraId="51108F65">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11E5300">
      <w:pPr>
        <w:pStyle w:val="89"/>
        <w:spacing w:before="900" w:after="468"/>
        <w:rPr>
          <w:rFonts w:ascii="Times New Roman"/>
        </w:rPr>
      </w:pPr>
      <w:bookmarkStart w:id="24" w:name="_Toc5405"/>
      <w:bookmarkStart w:id="25" w:name="BookMark2"/>
      <w:r>
        <w:rPr>
          <w:rFonts w:ascii="Times New Roman"/>
          <w:spacing w:val="320"/>
        </w:rPr>
        <w:t>前</w:t>
      </w:r>
      <w:r>
        <w:rPr>
          <w:rFonts w:ascii="Times New Roman"/>
        </w:rPr>
        <w:t>言</w:t>
      </w:r>
      <w:bookmarkEnd w:id="22"/>
      <w:bookmarkEnd w:id="23"/>
      <w:bookmarkEnd w:id="24"/>
    </w:p>
    <w:p w14:paraId="2E094930">
      <w:pPr>
        <w:pStyle w:val="56"/>
        <w:ind w:firstLine="420"/>
        <w:rPr>
          <w:rFonts w:ascii="Times New Roman"/>
        </w:rPr>
      </w:pPr>
      <w:r>
        <w:rPr>
          <w:rFonts w:ascii="Times New Roman"/>
        </w:rPr>
        <w:t>本文件按照GB/T 1.1—2020《标准化工作导则  第1部分：标准化文件的结构和起草规则》的规定起草。</w:t>
      </w:r>
    </w:p>
    <w:p w14:paraId="4835FCC4">
      <w:pPr>
        <w:pStyle w:val="56"/>
        <w:ind w:firstLine="420"/>
        <w:rPr>
          <w:rFonts w:ascii="Times New Roman"/>
        </w:rPr>
      </w:pPr>
      <w:r>
        <w:rPr>
          <w:rFonts w:ascii="Times New Roman"/>
        </w:rPr>
        <w:t>请注意本文件的某些内容可能涉及专利，本文件的发布机构不承担识别专利的责任。</w:t>
      </w:r>
    </w:p>
    <w:p w14:paraId="76944B63">
      <w:pPr>
        <w:pStyle w:val="56"/>
        <w:ind w:firstLine="420"/>
        <w:rPr>
          <w:rFonts w:ascii="Times New Roman"/>
        </w:rPr>
      </w:pPr>
      <w:r>
        <w:rPr>
          <w:rFonts w:ascii="Times New Roman"/>
        </w:rPr>
        <w:t>本文件由西藏自治区农业农村标准化技术委员会提出并归口。</w:t>
      </w:r>
    </w:p>
    <w:p w14:paraId="2AD28B6B">
      <w:pPr>
        <w:pStyle w:val="56"/>
        <w:ind w:firstLine="420"/>
        <w:rPr>
          <w:rFonts w:ascii="Times New Roman"/>
        </w:rPr>
      </w:pPr>
      <w:r>
        <w:rPr>
          <w:rFonts w:ascii="Times New Roman"/>
        </w:rPr>
        <w:t>本文件起草单位：西藏自治区农牧科学院草业科学研究所。</w:t>
      </w:r>
    </w:p>
    <w:p w14:paraId="78697509">
      <w:pPr>
        <w:pStyle w:val="56"/>
        <w:ind w:firstLine="420"/>
        <w:rPr>
          <w:rFonts w:ascii="Times New Roman"/>
        </w:rPr>
      </w:pPr>
      <w:r>
        <w:rPr>
          <w:rFonts w:ascii="Times New Roman"/>
        </w:rPr>
        <w:t>本文件主要起草人：</w:t>
      </w:r>
      <w:r>
        <w:rPr>
          <w:rFonts w:hint="eastAsia" w:ascii="Times New Roman"/>
        </w:rPr>
        <w:t>秀花、</w:t>
      </w:r>
      <w:r>
        <w:rPr>
          <w:rFonts w:hint="eastAsia" w:ascii="Times New Roman"/>
          <w:lang w:eastAsia="zh-CN"/>
        </w:rPr>
        <w:t>曲广鹏、</w:t>
      </w:r>
      <w:r>
        <w:rPr>
          <w:rFonts w:hint="eastAsia" w:ascii="Times New Roman"/>
        </w:rPr>
        <w:t>黄界、杨文才、</w:t>
      </w:r>
      <w:r>
        <w:rPr>
          <w:rFonts w:hint="eastAsia" w:ascii="Times New Roman"/>
          <w:lang w:eastAsia="zh-CN"/>
        </w:rPr>
        <w:t>魏巍、白玛嘎翁、</w:t>
      </w:r>
      <w:r>
        <w:rPr>
          <w:rFonts w:ascii="Times New Roman"/>
        </w:rPr>
        <w:t>陈少锋、</w:t>
      </w:r>
      <w:r>
        <w:rPr>
          <w:rFonts w:hint="eastAsia" w:ascii="Times New Roman"/>
          <w:lang w:eastAsia="zh-CN"/>
        </w:rPr>
        <w:t>罗珍</w:t>
      </w:r>
      <w:r>
        <w:rPr>
          <w:rFonts w:ascii="Times New Roman"/>
        </w:rPr>
        <w:t>。</w:t>
      </w:r>
    </w:p>
    <w:p w14:paraId="0468249D">
      <w:pPr>
        <w:pStyle w:val="56"/>
        <w:ind w:firstLine="0" w:firstLineChars="0"/>
        <w:rPr>
          <w:rFonts w:ascii="Times New Roman"/>
        </w:rPr>
        <w:sectPr>
          <w:pgSz w:w="11906" w:h="16838"/>
          <w:pgMar w:top="1928" w:right="1134" w:bottom="1134" w:left="1134" w:header="1418" w:footer="1134" w:gutter="284"/>
          <w:pgNumType w:fmt="upperRoman"/>
          <w:cols w:space="425" w:num="1"/>
          <w:formProt w:val="0"/>
          <w:docGrid w:type="lines" w:linePitch="312" w:charSpace="0"/>
        </w:sectPr>
      </w:pPr>
    </w:p>
    <w:bookmarkEnd w:id="25"/>
    <w:p w14:paraId="7D378DE0">
      <w:pPr>
        <w:spacing w:line="20" w:lineRule="exact"/>
        <w:jc w:val="center"/>
        <w:rPr>
          <w:rFonts w:ascii="Times New Roman" w:hAnsi="Times New Roman" w:eastAsia="黑体"/>
          <w:sz w:val="32"/>
          <w:szCs w:val="32"/>
        </w:rPr>
      </w:pPr>
      <w:bookmarkStart w:id="26" w:name="BookMark4"/>
    </w:p>
    <w:p w14:paraId="68046245">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C60FF3B31743495F8F0FCBDF6D51354F"/>
        </w:placeholder>
      </w:sdtPr>
      <w:sdtEndPr>
        <w:rPr>
          <w:rFonts w:ascii="Times New Roman" w:hAnsi="Times New Roman"/>
        </w:rPr>
      </w:sdtEndPr>
      <w:sdtContent>
        <w:p w14:paraId="20C8770F">
          <w:pPr>
            <w:pStyle w:val="177"/>
            <w:spacing w:before="3" w:beforeLines="1" w:after="686" w:afterLines="220"/>
            <w:rPr>
              <w:rFonts w:ascii="Times New Roman" w:hAnsi="Times New Roman"/>
            </w:rPr>
          </w:pPr>
          <w:bookmarkStart w:id="27" w:name="NEW_STAND_NAME"/>
          <w:r>
            <w:rPr>
              <w:rFonts w:hint="eastAsia" w:ascii="Times New Roman" w:hAnsi="Times New Roman"/>
              <w:lang w:eastAsia="zh-CN"/>
            </w:rPr>
            <w:t>马蔺移栽</w:t>
          </w:r>
          <w:r>
            <w:rPr>
              <w:rFonts w:ascii="Times New Roman" w:hAnsi="Times New Roman"/>
            </w:rPr>
            <w:t>技术规程</w:t>
          </w:r>
        </w:p>
      </w:sdtContent>
    </w:sdt>
    <w:bookmarkEnd w:id="27"/>
    <w:p w14:paraId="108B8D09">
      <w:pPr>
        <w:pStyle w:val="104"/>
        <w:spacing w:before="312" w:after="312"/>
        <w:rPr>
          <w:rFonts w:ascii="Times New Roman"/>
        </w:rPr>
      </w:pPr>
      <w:bookmarkStart w:id="28" w:name="_Toc97191423"/>
      <w:bookmarkStart w:id="29" w:name="_Toc152086408"/>
      <w:bookmarkStart w:id="30" w:name="_Toc24884218"/>
      <w:bookmarkStart w:id="31" w:name="_Toc24884211"/>
      <w:bookmarkStart w:id="32" w:name="_Toc17233325"/>
      <w:bookmarkStart w:id="33" w:name="_Toc26986771"/>
      <w:bookmarkStart w:id="34" w:name="_Toc26718930"/>
      <w:bookmarkStart w:id="35" w:name="_Toc153440746"/>
      <w:bookmarkStart w:id="36" w:name="_Toc26986530"/>
      <w:bookmarkStart w:id="37" w:name="_Toc25765"/>
      <w:bookmarkStart w:id="38" w:name="_Toc17233333"/>
      <w:bookmarkStart w:id="39" w:name="_Toc26648465"/>
      <w:r>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p>
    <w:p w14:paraId="5170E0CA">
      <w:pPr>
        <w:pStyle w:val="56"/>
        <w:ind w:firstLine="420"/>
        <w:rPr>
          <w:rFonts w:ascii="Times New Roman"/>
        </w:rPr>
      </w:pPr>
      <w:bookmarkStart w:id="40" w:name="_Toc17233326"/>
      <w:bookmarkStart w:id="41" w:name="_Toc24884212"/>
      <w:bookmarkStart w:id="42" w:name="_Toc26648466"/>
      <w:bookmarkStart w:id="43" w:name="_Toc17233334"/>
      <w:bookmarkStart w:id="44" w:name="_Toc24884219"/>
      <w:r>
        <w:rPr>
          <w:rFonts w:ascii="Times New Roman"/>
        </w:rPr>
        <w:t>本文件规定了</w:t>
      </w:r>
      <w:bookmarkStart w:id="45" w:name="_Hlk153467715"/>
      <w:r>
        <w:rPr>
          <w:rFonts w:hint="eastAsia" w:ascii="Times New Roman"/>
          <w:lang w:eastAsia="zh-CN"/>
        </w:rPr>
        <w:t>马蔺移栽</w:t>
      </w:r>
      <w:r>
        <w:rPr>
          <w:rFonts w:hint="eastAsia" w:hAnsi="宋体" w:cs="宋体"/>
          <w:color w:val="000000"/>
          <w:szCs w:val="21"/>
          <w:lang w:bidi="ar"/>
        </w:rPr>
        <w:t>技术的</w:t>
      </w:r>
      <w:r>
        <w:rPr>
          <w:rFonts w:hint="eastAsia" w:hAnsi="宋体" w:cs="宋体"/>
          <w:color w:val="000000"/>
          <w:szCs w:val="21"/>
          <w:lang w:eastAsia="zh-CN" w:bidi="ar"/>
        </w:rPr>
        <w:t>圃地选择</w:t>
      </w:r>
      <w:r>
        <w:rPr>
          <w:rFonts w:hint="eastAsia" w:hAnsi="宋体" w:cs="宋体"/>
          <w:color w:val="000000"/>
          <w:szCs w:val="21"/>
          <w:lang w:bidi="ar"/>
        </w:rPr>
        <w:t>、</w:t>
      </w:r>
      <w:r>
        <w:rPr>
          <w:rFonts w:hint="eastAsia" w:hAnsi="宋体" w:cs="宋体"/>
          <w:color w:val="000000"/>
          <w:szCs w:val="21"/>
          <w:lang w:eastAsia="zh-CN" w:bidi="ar"/>
        </w:rPr>
        <w:t>种苗选择、移栽</w:t>
      </w:r>
      <w:r>
        <w:rPr>
          <w:rFonts w:hint="eastAsia" w:hAnsi="宋体" w:cs="宋体"/>
          <w:color w:val="000000"/>
          <w:szCs w:val="21"/>
          <w:lang w:bidi="ar"/>
        </w:rPr>
        <w:t>技术、田间管理</w:t>
      </w:r>
      <w:r>
        <w:rPr>
          <w:rFonts w:hint="eastAsia"/>
        </w:rPr>
        <w:t>、病虫害防治</w:t>
      </w:r>
      <w:r>
        <w:rPr>
          <w:rFonts w:hint="eastAsia" w:hAnsi="宋体" w:cs="宋体"/>
          <w:color w:val="000000"/>
          <w:szCs w:val="21"/>
          <w:lang w:bidi="ar"/>
        </w:rPr>
        <w:t>。</w:t>
      </w:r>
    </w:p>
    <w:bookmarkEnd w:id="45"/>
    <w:p w14:paraId="51BE777D">
      <w:pPr>
        <w:pStyle w:val="56"/>
        <w:ind w:firstLine="420"/>
        <w:rPr>
          <w:rFonts w:ascii="Times New Roman"/>
        </w:rPr>
      </w:pPr>
      <w:bookmarkStart w:id="46" w:name="_Hlk153467782"/>
      <w:r>
        <w:rPr>
          <w:rFonts w:ascii="Times New Roman"/>
        </w:rPr>
        <w:t>本文件适用于</w:t>
      </w:r>
      <w:r>
        <w:rPr>
          <w:rFonts w:hint="eastAsia" w:ascii="Times New Roman"/>
          <w:lang w:eastAsia="zh-CN"/>
        </w:rPr>
        <w:t>海拔</w:t>
      </w:r>
      <w:r>
        <w:rPr>
          <w:rFonts w:hint="eastAsia" w:ascii="Times New Roman"/>
          <w:lang w:val="en-US" w:eastAsia="zh-CN"/>
        </w:rPr>
        <w:t>4000m以下区域马蔺</w:t>
      </w:r>
      <w:r>
        <w:rPr>
          <w:rFonts w:hint="eastAsia" w:ascii="Times New Roman"/>
        </w:rPr>
        <w:t>的</w:t>
      </w:r>
      <w:r>
        <w:rPr>
          <w:rFonts w:hint="eastAsia" w:ascii="Times New Roman"/>
          <w:lang w:eastAsia="zh-CN"/>
        </w:rPr>
        <w:t>移栽</w:t>
      </w:r>
      <w:r>
        <w:rPr>
          <w:rFonts w:ascii="Times New Roman"/>
        </w:rPr>
        <w:t>。</w:t>
      </w:r>
    </w:p>
    <w:bookmarkEnd w:id="46"/>
    <w:p w14:paraId="7D168A4D">
      <w:pPr>
        <w:pStyle w:val="104"/>
        <w:spacing w:before="312" w:after="312"/>
        <w:rPr>
          <w:rFonts w:ascii="Times New Roman"/>
        </w:rPr>
      </w:pPr>
      <w:bookmarkStart w:id="47" w:name="_Toc97191424"/>
      <w:bookmarkStart w:id="48" w:name="_Toc5840"/>
      <w:bookmarkStart w:id="49" w:name="_Toc26986531"/>
      <w:bookmarkStart w:id="50" w:name="_Toc153440747"/>
      <w:bookmarkStart w:id="51" w:name="_Toc152086409"/>
      <w:bookmarkStart w:id="52" w:name="_Toc26718931"/>
      <w:bookmarkStart w:id="53" w:name="_Toc26986772"/>
      <w:bookmarkStart w:id="54" w:name="_Hlk153467826"/>
      <w:r>
        <w:rPr>
          <w:rFonts w:ascii="Times New Roman"/>
        </w:rPr>
        <w:t>规范性引用文件</w:t>
      </w:r>
      <w:bookmarkEnd w:id="40"/>
      <w:bookmarkEnd w:id="41"/>
      <w:bookmarkEnd w:id="42"/>
      <w:bookmarkEnd w:id="43"/>
      <w:bookmarkEnd w:id="44"/>
      <w:bookmarkEnd w:id="47"/>
      <w:bookmarkEnd w:id="48"/>
      <w:bookmarkEnd w:id="49"/>
      <w:bookmarkEnd w:id="50"/>
      <w:bookmarkEnd w:id="51"/>
      <w:bookmarkEnd w:id="52"/>
      <w:bookmarkEnd w:id="53"/>
    </w:p>
    <w:sdt>
      <w:sdtPr>
        <w:rPr>
          <w:rFonts w:ascii="Times New Roman"/>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098A7268">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19AC513">
      <w:pPr>
        <w:widowControl/>
        <w:tabs>
          <w:tab w:val="center" w:pos="4201"/>
          <w:tab w:val="right" w:leader="dot" w:pos="9298"/>
        </w:tabs>
        <w:autoSpaceDE w:val="0"/>
        <w:autoSpaceDN w:val="0"/>
        <w:ind w:firstLine="420" w:firstLineChars="200"/>
        <w:rPr>
          <w:rFonts w:hint="eastAsia" w:ascii="Times New Roman" w:hAnsi="Times New Roman"/>
          <w:kern w:val="0"/>
          <w:szCs w:val="20"/>
        </w:rPr>
      </w:pPr>
      <w:r>
        <w:rPr>
          <w:rFonts w:hint="eastAsia" w:ascii="Times New Roman" w:hAnsi="Times New Roman"/>
          <w:kern w:val="0"/>
          <w:szCs w:val="20"/>
        </w:rPr>
        <w:t>GB/T 8321</w:t>
      </w:r>
      <w:r>
        <w:rPr>
          <w:rFonts w:hint="eastAsia" w:ascii="Times New Roman" w:hAnsi="Times New Roman"/>
          <w:kern w:val="0"/>
          <w:szCs w:val="20"/>
          <w:lang w:val="en-US" w:eastAsia="zh-CN"/>
        </w:rPr>
        <w:t xml:space="preserve">          </w:t>
      </w:r>
      <w:r>
        <w:rPr>
          <w:rFonts w:hint="eastAsia" w:ascii="Times New Roman" w:hAnsi="Times New Roman"/>
          <w:kern w:val="0"/>
          <w:szCs w:val="20"/>
        </w:rPr>
        <w:t xml:space="preserve"> 农药合理使用准则</w:t>
      </w:r>
    </w:p>
    <w:p w14:paraId="6307ABFE">
      <w:pPr>
        <w:widowControl/>
        <w:tabs>
          <w:tab w:val="center" w:pos="4201"/>
          <w:tab w:val="right" w:leader="dot" w:pos="9298"/>
        </w:tabs>
        <w:autoSpaceDE w:val="0"/>
        <w:autoSpaceDN w:val="0"/>
        <w:ind w:firstLine="420" w:firstLineChars="200"/>
        <w:rPr>
          <w:rFonts w:ascii="Times New Roman" w:hAnsi="Times New Roman"/>
          <w:kern w:val="0"/>
          <w:szCs w:val="20"/>
        </w:rPr>
      </w:pPr>
      <w:r>
        <w:rPr>
          <w:rFonts w:hint="eastAsia" w:ascii="Times New Roman" w:hAnsi="Times New Roman"/>
          <w:kern w:val="0"/>
          <w:szCs w:val="20"/>
        </w:rPr>
        <w:t xml:space="preserve">NY/T 496 </w:t>
      </w:r>
      <w:r>
        <w:rPr>
          <w:rFonts w:hint="eastAsia" w:ascii="Times New Roman" w:hAnsi="Times New Roman"/>
          <w:kern w:val="0"/>
          <w:szCs w:val="20"/>
          <w:lang w:val="en-US" w:eastAsia="zh-CN"/>
        </w:rPr>
        <w:t xml:space="preserve">           </w:t>
      </w:r>
      <w:r>
        <w:rPr>
          <w:rFonts w:hint="eastAsia" w:ascii="Times New Roman" w:hAnsi="Times New Roman"/>
          <w:kern w:val="0"/>
          <w:szCs w:val="20"/>
        </w:rPr>
        <w:t>肥料合理使用准则 通则</w:t>
      </w:r>
    </w:p>
    <w:p w14:paraId="009EF3E5">
      <w:pPr>
        <w:pStyle w:val="104"/>
        <w:spacing w:before="312" w:after="312"/>
        <w:rPr>
          <w:rFonts w:ascii="Times New Roman"/>
        </w:rPr>
      </w:pPr>
      <w:bookmarkStart w:id="55" w:name="_Toc152086410"/>
      <w:bookmarkStart w:id="56" w:name="_Toc377"/>
      <w:bookmarkStart w:id="57" w:name="_Toc97191425"/>
      <w:bookmarkStart w:id="58" w:name="_Toc153440748"/>
      <w:r>
        <w:rPr>
          <w:rFonts w:ascii="Times New Roman"/>
          <w:szCs w:val="21"/>
        </w:rPr>
        <w:t>术语和定义</w:t>
      </w:r>
      <w:bookmarkEnd w:id="55"/>
      <w:bookmarkEnd w:id="56"/>
      <w:bookmarkEnd w:id="57"/>
      <w:bookmarkEnd w:id="58"/>
    </w:p>
    <w:sdt>
      <w:sdtPr>
        <w:rPr>
          <w:rFonts w:ascii="Times New Roman"/>
        </w:r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083C2426">
          <w:pPr>
            <w:pStyle w:val="56"/>
            <w:ind w:firstLine="420"/>
            <w:rPr>
              <w:rFonts w:ascii="Times New Roman"/>
            </w:rPr>
          </w:pPr>
          <w:bookmarkStart w:id="59" w:name="_Toc26986532"/>
          <w:bookmarkEnd w:id="59"/>
          <w:r>
            <w:rPr>
              <w:rFonts w:ascii="Times New Roman"/>
            </w:rPr>
            <w:t>下列术语和定义适用于本文件。</w:t>
          </w:r>
        </w:p>
      </w:sdtContent>
    </w:sdt>
    <w:p w14:paraId="27B3752D">
      <w:pPr>
        <w:pStyle w:val="105"/>
        <w:numPr>
          <w:ilvl w:val="2"/>
          <w:numId w:val="32"/>
        </w:numPr>
        <w:spacing w:before="156" w:after="156"/>
        <w:rPr>
          <w:rFonts w:ascii="Times New Roman"/>
        </w:rPr>
      </w:pPr>
      <w:bookmarkStart w:id="60" w:name="_Toc152084938"/>
      <w:bookmarkStart w:id="61" w:name="_Toc153440749"/>
      <w:bookmarkStart w:id="62" w:name="_Toc152086411"/>
    </w:p>
    <w:bookmarkEnd w:id="60"/>
    <w:bookmarkEnd w:id="61"/>
    <w:bookmarkEnd w:id="62"/>
    <w:p w14:paraId="3281126A">
      <w:pPr>
        <w:pStyle w:val="105"/>
        <w:numPr>
          <w:ilvl w:val="0"/>
          <w:numId w:val="0"/>
        </w:numPr>
        <w:spacing w:before="156" w:after="156"/>
        <w:ind w:firstLine="420" w:firstLineChars="200"/>
        <w:rPr>
          <w:rFonts w:hint="eastAsia" w:ascii="Times New Roman" w:eastAsia="黑体"/>
          <w:lang w:eastAsia="zh-CN"/>
        </w:rPr>
      </w:pPr>
      <w:r>
        <w:rPr>
          <w:rFonts w:hint="eastAsia" w:ascii="Times New Roman"/>
          <w:lang w:eastAsia="zh-CN"/>
        </w:rPr>
        <w:t>马蔺</w:t>
      </w:r>
    </w:p>
    <w:p w14:paraId="5CBBEC92">
      <w:pPr>
        <w:pStyle w:val="230"/>
        <w:rPr>
          <w:rFonts w:hint="eastAsia" w:ascii="Times New Roman"/>
          <w:lang w:eastAsia="zh-CN"/>
        </w:rPr>
      </w:pPr>
      <w:r>
        <w:rPr>
          <w:rFonts w:hint="eastAsia"/>
          <w:lang w:val="en-US" w:eastAsia="zh-CN"/>
        </w:rPr>
        <w:t>马蔺（</w:t>
      </w:r>
      <w:r>
        <w:rPr>
          <w:rFonts w:hint="eastAsia"/>
          <w:i/>
          <w:iCs/>
          <w:lang w:val="en-US" w:eastAsia="zh-CN"/>
        </w:rPr>
        <w:t>Iris lactea Pall. var. chinensis (Fisch.) Koidz.</w:t>
      </w:r>
      <w:r>
        <w:rPr>
          <w:rFonts w:hint="eastAsia"/>
          <w:lang w:val="en-US" w:eastAsia="zh-CN"/>
        </w:rPr>
        <w:t>）是鸢尾科鸢尾属植物，为多年生宿根草本植物。多生于荒地，尤以过度放牧的盐碱化草场上生长较多，马蔺植根在盐碱地、沙丘里，不仅耐干旱，适宜牲畜食用，同时也是防风固沙的一种植物</w:t>
      </w:r>
      <w:r>
        <w:rPr>
          <w:rFonts w:hint="eastAsia" w:ascii="Times New Roman"/>
        </w:rPr>
        <w:t>。</w:t>
      </w:r>
    </w:p>
    <w:p w14:paraId="6A4FFD58">
      <w:pPr>
        <w:pStyle w:val="104"/>
        <w:spacing w:before="312" w:after="312"/>
        <w:rPr>
          <w:rFonts w:ascii="Times New Roman"/>
        </w:rPr>
      </w:pPr>
      <w:r>
        <w:rPr>
          <w:rFonts w:hint="eastAsia" w:ascii="Times New Roman"/>
          <w:lang w:eastAsia="zh-CN"/>
        </w:rPr>
        <w:t>移栽环境</w:t>
      </w:r>
    </w:p>
    <w:p w14:paraId="7DAD5363">
      <w:pPr>
        <w:ind w:firstLine="420" w:firstLineChars="200"/>
        <w:rPr>
          <w:rFonts w:hint="eastAsia"/>
        </w:rPr>
      </w:pPr>
      <w:r>
        <w:rPr>
          <w:rFonts w:hint="eastAsia"/>
        </w:rPr>
        <w:t>地势平坦、土层厚度</w:t>
      </w:r>
      <w:r>
        <w:rPr>
          <w:rFonts w:hint="eastAsia"/>
          <w:lang w:val="en-US" w:eastAsia="zh-CN"/>
        </w:rPr>
        <w:t>6</w:t>
      </w:r>
      <w:r>
        <w:rPr>
          <w:rFonts w:hint="eastAsia"/>
        </w:rPr>
        <w:t>0 cm以上，土壤PH值在6.5～8.5，具备灌溉条件、易于排水保墒的砂壤土为宜。</w:t>
      </w:r>
    </w:p>
    <w:p w14:paraId="5F10C0C6">
      <w:pPr>
        <w:pStyle w:val="104"/>
        <w:spacing w:before="312" w:after="312"/>
        <w:ind w:left="0" w:firstLine="0"/>
        <w:rPr>
          <w:rFonts w:ascii="Times New Roman"/>
        </w:rPr>
      </w:pPr>
      <w:r>
        <w:rPr>
          <w:rFonts w:hint="eastAsia" w:ascii="Times New Roman"/>
          <w:lang w:eastAsia="zh-CN"/>
        </w:rPr>
        <w:t>育苗</w:t>
      </w:r>
    </w:p>
    <w:p w14:paraId="156E7EE4">
      <w:pPr>
        <w:widowControl/>
        <w:jc w:val="left"/>
        <w:rPr>
          <w:rFonts w:hint="eastAsia" w:ascii="黑体" w:hAnsi="宋体" w:eastAsia="黑体" w:cs="黑体"/>
          <w:color w:val="000000"/>
          <w:kern w:val="0"/>
          <w:lang w:val="en-US" w:eastAsia="zh-CN" w:bidi="ar"/>
        </w:rPr>
      </w:pPr>
      <w:r>
        <w:rPr>
          <w:rFonts w:hint="eastAsia" w:ascii="黑体" w:hAnsi="宋体" w:eastAsia="黑体" w:cs="黑体"/>
          <w:color w:val="000000"/>
          <w:kern w:val="0"/>
          <w:lang w:val="en-US" w:eastAsia="zh-CN" w:bidi="ar"/>
        </w:rPr>
        <w:t>5.1 整地施肥</w:t>
      </w:r>
    </w:p>
    <w:p w14:paraId="17AC9673">
      <w:pPr>
        <w:ind w:firstLine="420" w:firstLineChars="200"/>
        <w:rPr>
          <w:rFonts w:hint="eastAsia"/>
        </w:rPr>
      </w:pPr>
      <w:r>
        <w:rPr>
          <w:rFonts w:hint="eastAsia"/>
        </w:rPr>
        <w:t>施有机肥200kg</w:t>
      </w:r>
      <w:r>
        <w:rPr>
          <w:rFonts w:hint="eastAsia"/>
          <w:lang w:val="en-US" w:eastAsia="zh-CN"/>
        </w:rPr>
        <w:t>/亩</w:t>
      </w:r>
      <w:r>
        <w:rPr>
          <w:rFonts w:hint="eastAsia"/>
        </w:rPr>
        <w:t>～300kg</w:t>
      </w:r>
      <w:r>
        <w:rPr>
          <w:rFonts w:hint="eastAsia"/>
          <w:lang w:val="en-US" w:eastAsia="zh-CN"/>
        </w:rPr>
        <w:t>/亩</w:t>
      </w:r>
      <w:r>
        <w:rPr>
          <w:rFonts w:hint="eastAsia"/>
        </w:rPr>
        <w:t>，磷酸二氢钾20kg</w:t>
      </w:r>
      <w:r>
        <w:rPr>
          <w:rFonts w:hint="eastAsia"/>
          <w:lang w:val="en-US" w:eastAsia="zh-CN"/>
        </w:rPr>
        <w:t>/亩</w:t>
      </w:r>
      <w:r>
        <w:rPr>
          <w:rFonts w:hint="eastAsia"/>
        </w:rPr>
        <w:t>，施肥后进行翻耕整地</w:t>
      </w:r>
      <w:r>
        <w:rPr>
          <w:rFonts w:hint="eastAsia"/>
          <w:lang w:eastAsia="zh-CN"/>
        </w:rPr>
        <w:t>，</w:t>
      </w:r>
      <w:r>
        <w:rPr>
          <w:rFonts w:hint="eastAsia"/>
        </w:rPr>
        <w:t>肥料使用应符合NY/T 496的规定。</w:t>
      </w:r>
    </w:p>
    <w:p w14:paraId="6CB83DAB">
      <w:pPr>
        <w:widowControl/>
        <w:jc w:val="left"/>
        <w:rPr>
          <w:rFonts w:hint="eastAsia" w:ascii="黑体" w:hAnsi="宋体" w:eastAsia="黑体" w:cs="黑体"/>
          <w:color w:val="000000"/>
          <w:kern w:val="0"/>
          <w:lang w:val="en-US" w:eastAsia="zh-CN" w:bidi="ar"/>
        </w:rPr>
      </w:pPr>
      <w:r>
        <w:rPr>
          <w:rFonts w:hint="eastAsia" w:ascii="黑体" w:hAnsi="宋体" w:eastAsia="黑体" w:cs="黑体"/>
          <w:color w:val="000000"/>
          <w:kern w:val="0"/>
          <w:lang w:val="en-US" w:eastAsia="zh-CN" w:bidi="ar"/>
        </w:rPr>
        <w:t>5.2 播种时间及温度</w:t>
      </w:r>
    </w:p>
    <w:p w14:paraId="5716E06E">
      <w:pPr>
        <w:ind w:firstLine="420" w:firstLineChars="200"/>
        <w:rPr>
          <w:rFonts w:hint="eastAsia"/>
        </w:rPr>
      </w:pPr>
      <w:r>
        <w:rPr>
          <w:rFonts w:hint="eastAsia"/>
        </w:rPr>
        <w:t>3月～4月进行播种</w:t>
      </w:r>
      <w:r>
        <w:rPr>
          <w:rFonts w:hint="eastAsia"/>
          <w:lang w:eastAsia="zh-CN"/>
        </w:rPr>
        <w:t>，</w:t>
      </w:r>
      <w:r>
        <w:rPr>
          <w:rFonts w:hint="eastAsia"/>
        </w:rPr>
        <w:t>播种温度宜在15℃～25℃之间。</w:t>
      </w:r>
    </w:p>
    <w:p w14:paraId="178A20E3">
      <w:pPr>
        <w:widowControl/>
        <w:jc w:val="left"/>
        <w:rPr>
          <w:rFonts w:hint="eastAsia" w:ascii="黑体" w:hAnsi="宋体" w:eastAsia="黑体" w:cs="黑体"/>
          <w:color w:val="000000"/>
          <w:kern w:val="0"/>
          <w:lang w:val="en-US" w:eastAsia="zh-CN" w:bidi="ar"/>
        </w:rPr>
      </w:pPr>
      <w:r>
        <w:rPr>
          <w:rFonts w:hint="eastAsia" w:ascii="黑体" w:hAnsi="宋体" w:eastAsia="黑体" w:cs="黑体"/>
          <w:color w:val="000000"/>
          <w:kern w:val="0"/>
          <w:lang w:val="en-US" w:eastAsia="zh-CN" w:bidi="ar"/>
        </w:rPr>
        <w:t>5.3 种子选择</w:t>
      </w:r>
    </w:p>
    <w:p w14:paraId="61849803">
      <w:pPr>
        <w:ind w:firstLine="420" w:firstLineChars="200"/>
        <w:rPr>
          <w:rFonts w:hint="eastAsia"/>
        </w:rPr>
      </w:pPr>
      <w:r>
        <w:rPr>
          <w:rFonts w:hint="eastAsia"/>
        </w:rPr>
        <w:t>选择颗粒饱满、品质好、无病虫害、纯度高的种子。</w:t>
      </w:r>
    </w:p>
    <w:p w14:paraId="0BBCE434">
      <w:pPr>
        <w:widowControl/>
        <w:jc w:val="left"/>
        <w:rPr>
          <w:rFonts w:hint="eastAsia" w:ascii="黑体" w:hAnsi="宋体" w:eastAsia="黑体" w:cs="黑体"/>
          <w:color w:val="000000"/>
          <w:kern w:val="0"/>
          <w:lang w:val="en-US" w:eastAsia="zh-CN" w:bidi="ar"/>
        </w:rPr>
      </w:pPr>
      <w:r>
        <w:rPr>
          <w:rFonts w:hint="eastAsia" w:ascii="黑体" w:hAnsi="宋体" w:eastAsia="黑体" w:cs="黑体"/>
          <w:color w:val="000000"/>
          <w:kern w:val="0"/>
          <w:lang w:val="en-US" w:eastAsia="zh-CN" w:bidi="ar"/>
        </w:rPr>
        <w:t>5.4 种子处理</w:t>
      </w:r>
    </w:p>
    <w:p w14:paraId="73C5CF03">
      <w:pPr>
        <w:ind w:firstLine="420" w:firstLineChars="200"/>
        <w:rPr>
          <w:rFonts w:hint="eastAsia"/>
        </w:rPr>
      </w:pPr>
      <w:r>
        <w:rPr>
          <w:rFonts w:hint="eastAsia"/>
        </w:rPr>
        <w:t>播种前将种子用50%多菌灵可湿性粉剂800倍液浸泡3 min后捞出，然后放入30℃～40℃温水中浸泡24小时或清水浸泡48小时，使种子充分吸水膨胀。</w:t>
      </w:r>
    </w:p>
    <w:p w14:paraId="6C3C0EE8">
      <w:pPr>
        <w:widowControl/>
        <w:jc w:val="left"/>
        <w:rPr>
          <w:rFonts w:hint="eastAsia" w:ascii="黑体" w:hAnsi="宋体" w:eastAsia="黑体" w:cs="黑体"/>
          <w:color w:val="000000"/>
          <w:kern w:val="0"/>
          <w:lang w:val="en-US" w:eastAsia="zh-CN" w:bidi="ar"/>
        </w:rPr>
      </w:pPr>
      <w:r>
        <w:rPr>
          <w:rFonts w:hint="eastAsia" w:ascii="黑体" w:hAnsi="宋体" w:eastAsia="黑体" w:cs="黑体"/>
          <w:color w:val="000000"/>
          <w:kern w:val="0"/>
          <w:lang w:val="en-US" w:eastAsia="zh-CN" w:bidi="ar"/>
        </w:rPr>
        <w:t>5.5 播种</w:t>
      </w:r>
    </w:p>
    <w:p w14:paraId="3E2F0093">
      <w:pPr>
        <w:ind w:firstLine="420" w:firstLineChars="200"/>
        <w:rPr>
          <w:rFonts w:hint="eastAsia"/>
        </w:rPr>
      </w:pPr>
      <w:r>
        <w:rPr>
          <w:rFonts w:hint="eastAsia"/>
        </w:rPr>
        <w:t>采用开沟条播的方法播种。播种沟行距30 cm，沟深3 cm。播前先将土壤灌水浇透，待土壤表面稍</w:t>
      </w:r>
    </w:p>
    <w:p w14:paraId="7D52C4E3">
      <w:pPr>
        <w:rPr>
          <w:rFonts w:hint="eastAsia"/>
        </w:rPr>
      </w:pPr>
      <w:r>
        <w:rPr>
          <w:rFonts w:hint="eastAsia"/>
        </w:rPr>
        <w:t>干后，将种子均匀点播在沟内，用0.5 cm的细土覆盖，</w:t>
      </w:r>
      <w:r>
        <w:rPr>
          <w:rFonts w:hint="eastAsia"/>
          <w:lang w:eastAsia="zh-CN"/>
        </w:rPr>
        <w:t>播</w:t>
      </w:r>
      <w:r>
        <w:rPr>
          <w:rFonts w:hint="eastAsia"/>
        </w:rPr>
        <w:t>种量为</w:t>
      </w:r>
      <w:r>
        <w:rPr>
          <w:rFonts w:hint="eastAsia"/>
          <w:lang w:val="en-US" w:eastAsia="zh-CN"/>
        </w:rPr>
        <w:t>6kg/亩</w:t>
      </w:r>
      <w:r>
        <w:rPr>
          <w:rFonts w:hint="eastAsia"/>
        </w:rPr>
        <w:t>～</w:t>
      </w:r>
      <w:r>
        <w:rPr>
          <w:rFonts w:hint="eastAsia"/>
          <w:lang w:val="en-US" w:eastAsia="zh-CN"/>
        </w:rPr>
        <w:t>8k</w:t>
      </w:r>
      <w:r>
        <w:rPr>
          <w:rFonts w:hint="eastAsia"/>
        </w:rPr>
        <w:t>g</w:t>
      </w:r>
      <w:r>
        <w:rPr>
          <w:rFonts w:hint="eastAsia"/>
          <w:lang w:val="en-US" w:eastAsia="zh-CN"/>
        </w:rPr>
        <w:t>/亩</w:t>
      </w:r>
      <w:r>
        <w:rPr>
          <w:rFonts w:hint="eastAsia"/>
        </w:rPr>
        <w:t>。</w:t>
      </w:r>
    </w:p>
    <w:p w14:paraId="57953499">
      <w:pPr>
        <w:pStyle w:val="104"/>
        <w:spacing w:before="312" w:after="312"/>
        <w:ind w:left="0" w:firstLine="0"/>
        <w:rPr>
          <w:rFonts w:hint="eastAsia"/>
          <w:lang w:eastAsia="zh-CN"/>
        </w:rPr>
      </w:pPr>
      <w:r>
        <w:rPr>
          <w:rFonts w:hint="eastAsia" w:ascii="Times New Roman"/>
          <w:lang w:eastAsia="zh-CN"/>
        </w:rPr>
        <w:t>移栽</w:t>
      </w:r>
    </w:p>
    <w:p w14:paraId="636A6733">
      <w:pPr>
        <w:widowControl/>
        <w:jc w:val="left"/>
        <w:rPr>
          <w:rFonts w:hint="eastAsia" w:ascii="黑体" w:hAnsi="宋体" w:eastAsia="黑体" w:cs="黑体"/>
          <w:color w:val="000000"/>
          <w:kern w:val="0"/>
          <w:lang w:val="en-US" w:eastAsia="zh-CN" w:bidi="ar"/>
        </w:rPr>
      </w:pPr>
      <w:bookmarkStart w:id="63" w:name="_Toc9565"/>
      <w:r>
        <w:rPr>
          <w:rFonts w:hint="eastAsia" w:ascii="黑体" w:hAnsi="宋体" w:eastAsia="黑体" w:cs="黑体"/>
          <w:color w:val="000000"/>
          <w:kern w:val="0"/>
          <w:lang w:val="en-US" w:eastAsia="zh-CN" w:bidi="ar"/>
        </w:rPr>
        <w:t>6.1 种苗选择</w:t>
      </w:r>
      <w:bookmarkEnd w:id="63"/>
    </w:p>
    <w:p w14:paraId="76A7AAC5">
      <w:pPr>
        <w:ind w:firstLine="420" w:firstLineChars="200"/>
        <w:rPr>
          <w:rFonts w:ascii="Times New Roman"/>
        </w:rPr>
      </w:pPr>
      <w:r>
        <w:rPr>
          <w:rFonts w:hint="eastAsia"/>
        </w:rPr>
        <w:t>选健康、长势良好、根系完整、植株较大的</w:t>
      </w:r>
      <w:r>
        <w:rPr>
          <w:rFonts w:hint="eastAsia"/>
          <w:lang w:val="en-US" w:eastAsia="zh-CN"/>
        </w:rPr>
        <w:t>3</w:t>
      </w:r>
      <w:r>
        <w:rPr>
          <w:rFonts w:hint="eastAsia"/>
        </w:rPr>
        <w:t>～</w:t>
      </w:r>
      <w:r>
        <w:rPr>
          <w:rFonts w:hint="eastAsia"/>
          <w:lang w:val="en-US" w:eastAsia="zh-CN"/>
        </w:rPr>
        <w:t>4</w:t>
      </w:r>
      <w:r>
        <w:rPr>
          <w:rFonts w:hint="eastAsia"/>
        </w:rPr>
        <w:t>年生</w:t>
      </w:r>
      <w:r>
        <w:rPr>
          <w:rFonts w:hint="eastAsia"/>
          <w:lang w:eastAsia="zh-CN"/>
        </w:rPr>
        <w:t>种苗</w:t>
      </w:r>
      <w:r>
        <w:rPr>
          <w:rFonts w:hint="eastAsia"/>
        </w:rPr>
        <w:t>。</w:t>
      </w:r>
    </w:p>
    <w:p w14:paraId="0D658090">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6</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2</w:t>
      </w:r>
      <w:r>
        <w:rPr>
          <w:rFonts w:hint="eastAsia" w:ascii="黑体" w:hAnsi="宋体" w:eastAsia="黑体" w:cs="黑体"/>
          <w:color w:val="000000"/>
          <w:kern w:val="0"/>
          <w:lang w:bidi="ar"/>
        </w:rPr>
        <w:t xml:space="preserve"> </w:t>
      </w:r>
      <w:r>
        <w:rPr>
          <w:rFonts w:hint="eastAsia" w:ascii="黑体" w:hAnsi="宋体" w:eastAsia="黑体" w:cs="黑体"/>
          <w:color w:val="000000"/>
          <w:kern w:val="0"/>
          <w:lang w:eastAsia="zh-CN" w:bidi="ar"/>
        </w:rPr>
        <w:t>整地</w:t>
      </w:r>
    </w:p>
    <w:p w14:paraId="676E6106">
      <w:pPr>
        <w:ind w:firstLine="420" w:firstLineChars="200"/>
        <w:rPr>
          <w:rFonts w:hint="eastAsia" w:ascii="黑体" w:hAnsi="宋体" w:eastAsia="黑体" w:cs="黑体"/>
          <w:color w:val="000000"/>
          <w:kern w:val="0"/>
          <w:lang w:eastAsia="zh-CN" w:bidi="ar"/>
        </w:rPr>
      </w:pPr>
      <w:r>
        <w:rPr>
          <w:rFonts w:hint="eastAsia"/>
        </w:rPr>
        <w:t>翻耕后将土壤整细耙平，畦长度视场地及育苗量而定。</w:t>
      </w:r>
    </w:p>
    <w:p w14:paraId="32FB29CE">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6</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 xml:space="preserve">3 </w:t>
      </w:r>
      <w:r>
        <w:rPr>
          <w:rFonts w:hint="eastAsia" w:ascii="黑体" w:hAnsi="宋体" w:eastAsia="黑体" w:cs="黑体"/>
          <w:color w:val="000000"/>
          <w:kern w:val="0"/>
          <w:lang w:eastAsia="zh-CN" w:bidi="ar"/>
        </w:rPr>
        <w:t>施肥</w:t>
      </w:r>
    </w:p>
    <w:p w14:paraId="22D39EAC">
      <w:pPr>
        <w:ind w:firstLine="420" w:firstLineChars="200"/>
        <w:rPr>
          <w:rFonts w:hint="eastAsia"/>
        </w:rPr>
      </w:pPr>
      <w:r>
        <w:rPr>
          <w:rFonts w:hint="eastAsia"/>
        </w:rPr>
        <w:t>均匀撒施2000 kg</w:t>
      </w:r>
      <w:r>
        <w:rPr>
          <w:rFonts w:hint="eastAsia"/>
          <w:lang w:val="en-US" w:eastAsia="zh-CN"/>
        </w:rPr>
        <w:t>/亩</w:t>
      </w:r>
      <w:r>
        <w:rPr>
          <w:rFonts w:hint="eastAsia"/>
        </w:rPr>
        <w:t>腐熟的农家肥，肥料使用应符合NY/T 496的规定。</w:t>
      </w:r>
    </w:p>
    <w:p w14:paraId="78557D52">
      <w:pPr>
        <w:widowControl/>
        <w:jc w:val="left"/>
        <w:rPr>
          <w:rFonts w:hint="eastAsia" w:eastAsia="黑体"/>
          <w:lang w:eastAsia="zh-CN"/>
        </w:rPr>
      </w:pPr>
      <w:r>
        <w:rPr>
          <w:rFonts w:hint="eastAsia" w:ascii="黑体" w:hAnsi="宋体" w:eastAsia="黑体" w:cs="黑体"/>
          <w:color w:val="000000"/>
          <w:kern w:val="0"/>
          <w:lang w:val="en-US" w:eastAsia="zh-CN" w:bidi="ar"/>
        </w:rPr>
        <w:t>6</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4</w:t>
      </w:r>
      <w:r>
        <w:rPr>
          <w:rFonts w:hint="eastAsia" w:ascii="黑体" w:hAnsi="宋体" w:eastAsia="黑体" w:cs="黑体"/>
          <w:color w:val="000000"/>
          <w:kern w:val="0"/>
          <w:lang w:bidi="ar"/>
        </w:rPr>
        <w:t xml:space="preserve"> </w:t>
      </w:r>
      <w:r>
        <w:rPr>
          <w:rFonts w:hint="eastAsia" w:ascii="黑体" w:hAnsi="宋体" w:eastAsia="黑体" w:cs="黑体"/>
          <w:color w:val="000000"/>
          <w:kern w:val="0"/>
          <w:lang w:eastAsia="zh-CN" w:bidi="ar"/>
        </w:rPr>
        <w:t>移栽时间</w:t>
      </w:r>
    </w:p>
    <w:p w14:paraId="0E218681">
      <w:pPr>
        <w:widowControl/>
        <w:ind w:firstLine="420" w:firstLineChars="200"/>
        <w:jc w:val="left"/>
        <w:rPr>
          <w:rFonts w:hint="eastAsia"/>
        </w:rPr>
      </w:pPr>
      <w:r>
        <w:rPr>
          <w:rFonts w:hint="eastAsia"/>
          <w:lang w:val="en-US" w:eastAsia="zh-CN"/>
        </w:rPr>
        <w:t>4</w:t>
      </w:r>
      <w:r>
        <w:rPr>
          <w:rFonts w:hint="eastAsia"/>
        </w:rPr>
        <w:t>月中下旬或9月中上旬进行。</w:t>
      </w:r>
    </w:p>
    <w:p w14:paraId="5F9570E2">
      <w:pPr>
        <w:widowControl/>
        <w:jc w:val="left"/>
        <w:rPr>
          <w:rFonts w:hint="eastAsia" w:eastAsia="黑体"/>
          <w:lang w:eastAsia="zh-CN"/>
        </w:rPr>
      </w:pPr>
      <w:r>
        <w:rPr>
          <w:rFonts w:hint="eastAsia" w:ascii="黑体" w:hAnsi="宋体" w:eastAsia="黑体" w:cs="黑体"/>
          <w:color w:val="000000"/>
          <w:kern w:val="0"/>
          <w:lang w:val="en-US" w:eastAsia="zh-CN" w:bidi="ar"/>
        </w:rPr>
        <w:t>6</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5</w:t>
      </w:r>
      <w:r>
        <w:rPr>
          <w:rFonts w:hint="eastAsia" w:ascii="黑体" w:hAnsi="宋体" w:eastAsia="黑体" w:cs="黑体"/>
          <w:color w:val="000000"/>
          <w:kern w:val="0"/>
          <w:lang w:bidi="ar"/>
        </w:rPr>
        <w:t xml:space="preserve"> </w:t>
      </w:r>
      <w:r>
        <w:rPr>
          <w:rFonts w:hint="eastAsia" w:ascii="黑体" w:hAnsi="宋体" w:eastAsia="黑体" w:cs="黑体"/>
          <w:color w:val="000000"/>
          <w:kern w:val="0"/>
          <w:lang w:eastAsia="zh-CN" w:bidi="ar"/>
        </w:rPr>
        <w:t>分株</w:t>
      </w:r>
    </w:p>
    <w:p w14:paraId="785499BA">
      <w:pPr>
        <w:widowControl/>
        <w:ind w:firstLine="420" w:firstLineChars="200"/>
        <w:jc w:val="left"/>
        <w:rPr>
          <w:rFonts w:hint="eastAsia" w:ascii="宋体" w:hAnsi="宋体" w:cs="宋体"/>
          <w:color w:val="000000"/>
          <w:kern w:val="0"/>
          <w:lang w:bidi="ar"/>
        </w:rPr>
      </w:pPr>
      <w:r>
        <w:rPr>
          <w:rFonts w:hint="eastAsia"/>
        </w:rPr>
        <w:t>将</w:t>
      </w:r>
      <w:r>
        <w:rPr>
          <w:rFonts w:hint="eastAsia"/>
          <w:lang w:eastAsia="zh-CN"/>
        </w:rPr>
        <w:t>种苗</w:t>
      </w:r>
      <w:r>
        <w:rPr>
          <w:rFonts w:hint="eastAsia"/>
        </w:rPr>
        <w:t>从根部均匀分割，每株带2</w:t>
      </w:r>
      <w:r>
        <w:rPr>
          <w:rFonts w:hint="eastAsia"/>
          <w:lang w:eastAsia="zh-CN"/>
        </w:rPr>
        <w:t>个</w:t>
      </w:r>
      <w:r>
        <w:rPr>
          <w:rFonts w:hint="eastAsia"/>
        </w:rPr>
        <w:t>～3个芽，用50 %多菌灵可湿性粉剂800倍溶液蘸根消毒，阴干后栽于圃地，株行距</w:t>
      </w:r>
      <w:r>
        <w:rPr>
          <w:rFonts w:hint="eastAsia"/>
          <w:lang w:val="en-US" w:eastAsia="zh-CN"/>
        </w:rPr>
        <w:t>30</w:t>
      </w:r>
      <w:r>
        <w:rPr>
          <w:rFonts w:hint="eastAsia"/>
        </w:rPr>
        <w:t xml:space="preserve"> cm×</w:t>
      </w:r>
      <w:r>
        <w:rPr>
          <w:rFonts w:hint="eastAsia"/>
          <w:lang w:val="en-US" w:eastAsia="zh-CN"/>
        </w:rPr>
        <w:t>30</w:t>
      </w:r>
      <w:r>
        <w:rPr>
          <w:rFonts w:hint="eastAsia"/>
        </w:rPr>
        <w:t xml:space="preserve"> cm</w:t>
      </w:r>
      <w:r>
        <w:rPr>
          <w:rFonts w:hint="default" w:ascii="Times New Roman" w:hAnsi="Times New Roman" w:cs="Times New Roman"/>
        </w:rPr>
        <w:t>~</w:t>
      </w:r>
      <w:r>
        <w:rPr>
          <w:rFonts w:hint="eastAsia"/>
          <w:lang w:val="en-US" w:eastAsia="zh-CN"/>
        </w:rPr>
        <w:t>50</w:t>
      </w:r>
      <w:r>
        <w:rPr>
          <w:rFonts w:hint="eastAsia"/>
        </w:rPr>
        <w:t xml:space="preserve"> cm×</w:t>
      </w:r>
      <w:r>
        <w:rPr>
          <w:rFonts w:hint="eastAsia"/>
          <w:lang w:val="en-US" w:eastAsia="zh-CN"/>
        </w:rPr>
        <w:t>50</w:t>
      </w:r>
      <w:r>
        <w:rPr>
          <w:rFonts w:hint="eastAsia"/>
        </w:rPr>
        <w:t xml:space="preserve"> cm。</w:t>
      </w:r>
      <w:r>
        <w:rPr>
          <w:rFonts w:hint="eastAsia" w:ascii="宋体" w:hAnsi="宋体" w:cs="宋体"/>
          <w:color w:val="000000"/>
          <w:kern w:val="0"/>
          <w:lang w:bidi="ar"/>
        </w:rPr>
        <w:t xml:space="preserve"> </w:t>
      </w:r>
    </w:p>
    <w:p w14:paraId="2AACB9DF">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6</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6</w:t>
      </w:r>
      <w:r>
        <w:rPr>
          <w:rFonts w:hint="eastAsia" w:ascii="黑体" w:hAnsi="宋体" w:eastAsia="黑体" w:cs="黑体"/>
          <w:color w:val="000000"/>
          <w:kern w:val="0"/>
          <w:lang w:bidi="ar"/>
        </w:rPr>
        <w:t xml:space="preserve"> </w:t>
      </w:r>
      <w:r>
        <w:rPr>
          <w:rFonts w:hint="eastAsia" w:ascii="黑体" w:hAnsi="宋体" w:eastAsia="黑体" w:cs="黑体"/>
          <w:color w:val="000000"/>
          <w:kern w:val="0"/>
          <w:lang w:eastAsia="zh-CN" w:bidi="ar"/>
        </w:rPr>
        <w:t>分株后管理</w:t>
      </w:r>
    </w:p>
    <w:p w14:paraId="2D12ECC7">
      <w:pPr>
        <w:widowControl/>
        <w:jc w:val="left"/>
        <w:rPr>
          <w:rFonts w:hint="default" w:ascii="宋体" w:hAnsi="宋体" w:cs="宋体"/>
          <w:color w:val="000000"/>
          <w:kern w:val="0"/>
          <w:lang w:val="en-US" w:eastAsia="zh-CN" w:bidi="ar"/>
        </w:rPr>
      </w:pPr>
      <w:r>
        <w:rPr>
          <w:rFonts w:hint="eastAsia" w:ascii="黑体" w:hAnsi="宋体" w:eastAsia="黑体" w:cs="黑体"/>
          <w:color w:val="000000"/>
          <w:kern w:val="0"/>
          <w:lang w:val="en-US" w:eastAsia="zh-CN" w:bidi="ar"/>
        </w:rPr>
        <w:t xml:space="preserve">   </w:t>
      </w:r>
      <w:r>
        <w:rPr>
          <w:rFonts w:hint="eastAsia" w:ascii="宋体" w:hAnsi="宋体" w:cs="宋体"/>
          <w:color w:val="000000"/>
          <w:kern w:val="0"/>
          <w:lang w:val="en-US" w:eastAsia="zh-CN" w:bidi="ar"/>
        </w:rPr>
        <w:t xml:space="preserve"> </w:t>
      </w:r>
      <w:r>
        <w:rPr>
          <w:rFonts w:hint="eastAsia"/>
          <w:lang w:eastAsia="zh-CN"/>
        </w:rPr>
        <w:t>移栽</w:t>
      </w:r>
      <w:r>
        <w:rPr>
          <w:rFonts w:hint="eastAsia"/>
        </w:rPr>
        <w:t>后</w:t>
      </w:r>
      <w:r>
        <w:rPr>
          <w:rFonts w:hint="eastAsia"/>
          <w:lang w:eastAsia="zh-CN"/>
        </w:rPr>
        <w:t>及时</w:t>
      </w:r>
      <w:r>
        <w:rPr>
          <w:rFonts w:hint="eastAsia"/>
        </w:rPr>
        <w:t>浇水，一周内用遮阳网遮荫。</w:t>
      </w:r>
    </w:p>
    <w:p w14:paraId="2ECF3B16">
      <w:pPr>
        <w:pStyle w:val="104"/>
        <w:spacing w:before="312" w:after="312"/>
        <w:rPr>
          <w:rFonts w:hint="eastAsia" w:ascii="Times New Roman"/>
        </w:rPr>
      </w:pPr>
      <w:bookmarkStart w:id="64" w:name="_Toc29436"/>
      <w:r>
        <w:rPr>
          <w:rFonts w:hint="eastAsia" w:ascii="Times New Roman"/>
          <w:lang w:eastAsia="zh-CN"/>
        </w:rPr>
        <w:t>田间管理</w:t>
      </w:r>
    </w:p>
    <w:bookmarkEnd w:id="64"/>
    <w:p w14:paraId="44954B94">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7</w:t>
      </w:r>
      <w:r>
        <w:rPr>
          <w:rFonts w:hint="eastAsia" w:ascii="黑体" w:hAnsi="宋体" w:eastAsia="黑体" w:cs="黑体"/>
          <w:color w:val="000000"/>
          <w:kern w:val="0"/>
          <w:lang w:bidi="ar"/>
        </w:rPr>
        <w:t>.1</w:t>
      </w:r>
      <w:r>
        <w:rPr>
          <w:rFonts w:hint="eastAsia" w:ascii="黑体" w:hAnsi="宋体" w:eastAsia="黑体" w:cs="黑体"/>
          <w:color w:val="000000"/>
          <w:kern w:val="0"/>
          <w:lang w:val="en-US" w:eastAsia="zh-CN" w:bidi="ar"/>
        </w:rPr>
        <w:t xml:space="preserve"> 灌溉</w:t>
      </w:r>
    </w:p>
    <w:p w14:paraId="5ABE368D">
      <w:pPr>
        <w:widowControl/>
        <w:ind w:firstLine="420" w:firstLineChars="200"/>
        <w:jc w:val="left"/>
        <w:rPr>
          <w:rFonts w:hint="eastAsia" w:ascii="宋体" w:hAnsi="宋体" w:eastAsia="宋体" w:cs="宋体"/>
          <w:color w:val="000000"/>
          <w:kern w:val="0"/>
          <w:lang w:val="en-US" w:eastAsia="zh-CN" w:bidi="ar"/>
        </w:rPr>
      </w:pPr>
      <w:r>
        <w:rPr>
          <w:rFonts w:hint="eastAsia"/>
          <w:lang w:eastAsia="zh-CN"/>
        </w:rPr>
        <w:t>及时</w:t>
      </w:r>
      <w:r>
        <w:rPr>
          <w:rFonts w:hint="eastAsia"/>
        </w:rPr>
        <w:t>浇水</w:t>
      </w:r>
      <w:r>
        <w:rPr>
          <w:rFonts w:hint="eastAsia"/>
          <w:lang w:eastAsia="zh-CN"/>
        </w:rPr>
        <w:t>，</w:t>
      </w:r>
      <w:r>
        <w:rPr>
          <w:rFonts w:hint="eastAsia"/>
        </w:rPr>
        <w:t>注意排水防涝。避免高温时段浇水。</w:t>
      </w:r>
    </w:p>
    <w:p w14:paraId="6B60378D">
      <w:pPr>
        <w:widowControl/>
        <w:jc w:val="left"/>
        <w:rPr>
          <w:rFonts w:hint="eastAsia" w:ascii="黑体" w:hAnsi="宋体" w:eastAsia="黑体" w:cs="黑体"/>
          <w:color w:val="000000"/>
          <w:kern w:val="0"/>
          <w:lang w:val="en-US" w:eastAsia="zh-CN" w:bidi="ar"/>
        </w:rPr>
      </w:pPr>
      <w:r>
        <w:rPr>
          <w:rFonts w:hint="eastAsia" w:ascii="黑体" w:hAnsi="宋体" w:eastAsia="黑体" w:cs="黑体"/>
          <w:color w:val="000000"/>
          <w:kern w:val="0"/>
          <w:lang w:val="en-US" w:eastAsia="zh-CN" w:bidi="ar"/>
        </w:rPr>
        <w:t>7</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2 施肥</w:t>
      </w:r>
    </w:p>
    <w:p w14:paraId="344AB108">
      <w:pPr>
        <w:widowControl/>
        <w:ind w:firstLine="420" w:firstLineChars="200"/>
        <w:jc w:val="left"/>
        <w:rPr>
          <w:rFonts w:hint="eastAsia" w:ascii="黑体" w:hAnsi="宋体" w:eastAsia="黑体" w:cs="黑体"/>
          <w:color w:val="000000"/>
          <w:kern w:val="0"/>
          <w:lang w:val="en-US" w:eastAsia="zh-CN" w:bidi="ar"/>
        </w:rPr>
      </w:pPr>
      <w:r>
        <w:rPr>
          <w:rFonts w:hint="eastAsia"/>
        </w:rPr>
        <w:t>每年3月下旬～4月上旬</w:t>
      </w:r>
      <w:r>
        <w:rPr>
          <w:rFonts w:hint="eastAsia"/>
          <w:lang w:eastAsia="zh-CN"/>
        </w:rPr>
        <w:t>施复合肥一次，有机质含量</w:t>
      </w:r>
      <w:r>
        <w:rPr>
          <w:rFonts w:hint="default" w:ascii="Arial" w:hAnsi="Arial" w:cs="Arial"/>
          <w:lang w:eastAsia="zh-CN"/>
        </w:rPr>
        <w:t>≥</w:t>
      </w:r>
      <w:r>
        <w:rPr>
          <w:rFonts w:hint="eastAsia" w:ascii="Arial" w:hAnsi="Arial" w:cs="Arial"/>
          <w:lang w:val="en-US" w:eastAsia="zh-CN"/>
        </w:rPr>
        <w:t>30%、</w:t>
      </w:r>
      <w:r>
        <w:rPr>
          <w:rFonts w:hint="eastAsia"/>
          <w:lang w:eastAsia="zh-CN"/>
        </w:rPr>
        <w:t>总养分含量</w:t>
      </w:r>
      <w:r>
        <w:rPr>
          <w:rFonts w:hint="default" w:ascii="Arial" w:hAnsi="Arial" w:cs="Arial"/>
          <w:lang w:eastAsia="zh-CN"/>
        </w:rPr>
        <w:t>≥</w:t>
      </w:r>
      <w:r>
        <w:rPr>
          <w:rFonts w:hint="eastAsia" w:ascii="Arial" w:hAnsi="Arial" w:cs="Arial"/>
          <w:lang w:val="en-US" w:eastAsia="zh-CN"/>
        </w:rPr>
        <w:t>4%，</w:t>
      </w:r>
      <w:r>
        <w:rPr>
          <w:rFonts w:hint="eastAsia"/>
        </w:rPr>
        <w:t>施肥量为10 kg</w:t>
      </w:r>
      <w:r>
        <w:rPr>
          <w:rFonts w:hint="eastAsia"/>
          <w:lang w:val="en-US" w:eastAsia="zh-CN"/>
        </w:rPr>
        <w:t>/亩</w:t>
      </w:r>
      <w:r>
        <w:rPr>
          <w:rFonts w:hint="eastAsia"/>
        </w:rPr>
        <w:t>～20 kg</w:t>
      </w:r>
      <w:r>
        <w:rPr>
          <w:rFonts w:hint="eastAsia"/>
          <w:lang w:val="en-US" w:eastAsia="zh-CN"/>
        </w:rPr>
        <w:t>/亩</w:t>
      </w:r>
      <w:r>
        <w:rPr>
          <w:rFonts w:hint="eastAsia"/>
        </w:rPr>
        <w:t>，行间均匀撒施，肥料使用应符合NY/T 496的规定。</w:t>
      </w:r>
    </w:p>
    <w:p w14:paraId="61EF3227">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7</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3 除草</w:t>
      </w:r>
    </w:p>
    <w:p w14:paraId="79ED9569">
      <w:pPr>
        <w:ind w:firstLine="420" w:firstLineChars="200"/>
        <w:rPr>
          <w:rFonts w:hint="eastAsia"/>
        </w:rPr>
      </w:pPr>
      <w:r>
        <w:rPr>
          <w:rFonts w:hint="eastAsia"/>
        </w:rPr>
        <w:t>中耕除草。</w:t>
      </w:r>
    </w:p>
    <w:p w14:paraId="73DC768D">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7</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4 修剪</w:t>
      </w:r>
    </w:p>
    <w:p w14:paraId="01CB6E1E">
      <w:pPr>
        <w:pStyle w:val="105"/>
        <w:numPr>
          <w:ilvl w:val="0"/>
          <w:numId w:val="0"/>
        </w:numPr>
        <w:spacing w:before="156" w:after="156"/>
        <w:ind w:firstLine="420" w:firstLineChars="200"/>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及时修剪干枯叶片，根据需要控制株形、株高。</w:t>
      </w:r>
    </w:p>
    <w:p w14:paraId="418A7B41">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7</w:t>
      </w:r>
      <w:r>
        <w:rPr>
          <w:rFonts w:hint="eastAsia" w:ascii="黑体" w:hAnsi="宋体" w:eastAsia="黑体" w:cs="黑体"/>
          <w:color w:val="000000"/>
          <w:kern w:val="0"/>
          <w:lang w:bidi="ar"/>
        </w:rPr>
        <w:t>.</w:t>
      </w:r>
      <w:r>
        <w:rPr>
          <w:rFonts w:hint="eastAsia" w:ascii="黑体" w:hAnsi="宋体" w:eastAsia="黑体" w:cs="黑体"/>
          <w:color w:val="000000"/>
          <w:kern w:val="0"/>
          <w:lang w:val="en-US" w:eastAsia="zh-CN" w:bidi="ar"/>
        </w:rPr>
        <w:t>5 病虫害防治</w:t>
      </w:r>
    </w:p>
    <w:p w14:paraId="25E15EEB">
      <w:pPr>
        <w:ind w:firstLine="420" w:firstLineChars="200"/>
        <w:rPr>
          <w:rFonts w:ascii="Times New Roman"/>
        </w:rPr>
      </w:pPr>
      <w:r>
        <w:rPr>
          <w:rFonts w:hint="eastAsia"/>
        </w:rPr>
        <w:t>马蔺主要病害是锈病，主要虫害是小地老虎。病虫害防治技术措施见附录B。农药使用应符合GB/T 8321的规定。</w:t>
      </w:r>
    </w:p>
    <w:p w14:paraId="6DD94301">
      <w:pPr>
        <w:pStyle w:val="104"/>
        <w:spacing w:before="312" w:after="312"/>
        <w:rPr>
          <w:rFonts w:hint="eastAsia" w:ascii="Times New Roman"/>
          <w:lang w:val="en-US" w:eastAsia="zh-CN"/>
        </w:rPr>
      </w:pPr>
      <w:r>
        <w:rPr>
          <w:rFonts w:hint="eastAsia" w:ascii="Times New Roman"/>
          <w:lang w:val="en-US" w:eastAsia="zh-CN"/>
        </w:rPr>
        <w:t>越冬管理</w:t>
      </w:r>
    </w:p>
    <w:p w14:paraId="1A5B4B8E">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8.1 秋末养护</w:t>
      </w:r>
    </w:p>
    <w:p w14:paraId="595B207C">
      <w:pPr>
        <w:ind w:firstLine="420" w:firstLineChars="200"/>
        <w:rPr>
          <w:rFonts w:hint="eastAsia"/>
        </w:rPr>
      </w:pPr>
      <w:r>
        <w:rPr>
          <w:rFonts w:hint="eastAsia"/>
        </w:rPr>
        <w:t>霜前半月剪除枯叶</w:t>
      </w:r>
      <w:r>
        <w:rPr>
          <w:rFonts w:hint="eastAsia"/>
          <w:lang w:eastAsia="zh-CN"/>
        </w:rPr>
        <w:t>，</w:t>
      </w:r>
      <w:r>
        <w:rPr>
          <w:rFonts w:hint="eastAsia"/>
        </w:rPr>
        <w:t xml:space="preserve">留茬5cm；浇灌封冻水；基部培土3cm防冻。  </w:t>
      </w:r>
    </w:p>
    <w:p w14:paraId="553C0B3E">
      <w:pPr>
        <w:widowControl/>
        <w:jc w:val="left"/>
        <w:rPr>
          <w:rFonts w:hint="eastAsia" w:ascii="黑体" w:hAnsi="宋体" w:eastAsia="黑体" w:cs="黑体"/>
          <w:color w:val="000000"/>
          <w:kern w:val="0"/>
          <w:lang w:eastAsia="zh-CN" w:bidi="ar"/>
        </w:rPr>
      </w:pPr>
      <w:r>
        <w:rPr>
          <w:rFonts w:hint="eastAsia" w:ascii="黑体" w:hAnsi="宋体" w:eastAsia="黑体" w:cs="黑体"/>
          <w:color w:val="000000"/>
          <w:kern w:val="0"/>
          <w:lang w:val="en-US" w:eastAsia="zh-CN" w:bidi="ar"/>
        </w:rPr>
        <w:t>8.2 春季解冻</w:t>
      </w:r>
    </w:p>
    <w:p w14:paraId="54E1A867">
      <w:pPr>
        <w:ind w:firstLine="420" w:firstLineChars="200"/>
        <w:rPr>
          <w:rFonts w:hint="eastAsia"/>
        </w:rPr>
      </w:pPr>
      <w:r>
        <w:rPr>
          <w:rFonts w:hint="eastAsia"/>
        </w:rPr>
        <w:t>清除覆土，划锄松土促返青。</w:t>
      </w:r>
      <w:bookmarkStart w:id="75" w:name="_GoBack"/>
      <w:bookmarkEnd w:id="75"/>
    </w:p>
    <w:p w14:paraId="62906405">
      <w:pPr>
        <w:pStyle w:val="56"/>
        <w:ind w:firstLine="420"/>
        <w:rPr>
          <w:rFonts w:ascii="Times New Roman"/>
        </w:rPr>
      </w:pPr>
    </w:p>
    <w:p w14:paraId="4A1BB28B">
      <w:pPr>
        <w:pStyle w:val="56"/>
        <w:ind w:firstLine="420"/>
        <w:rPr>
          <w:rFonts w:ascii="Times New Roman"/>
        </w:rPr>
      </w:pPr>
    </w:p>
    <w:p w14:paraId="6E4EE591">
      <w:pPr>
        <w:pStyle w:val="56"/>
        <w:ind w:firstLine="420"/>
        <w:rPr>
          <w:rFonts w:ascii="Times New Roman"/>
        </w:rPr>
      </w:pPr>
    </w:p>
    <w:p w14:paraId="69414DBF">
      <w:pPr>
        <w:pStyle w:val="56"/>
        <w:ind w:firstLine="420"/>
        <w:rPr>
          <w:rFonts w:ascii="Times New Roman"/>
        </w:rPr>
      </w:pPr>
    </w:p>
    <w:p w14:paraId="39329952">
      <w:pPr>
        <w:pStyle w:val="56"/>
        <w:ind w:firstLine="420"/>
        <w:rPr>
          <w:rFonts w:ascii="Times New Roman"/>
        </w:rPr>
      </w:pPr>
    </w:p>
    <w:p w14:paraId="3924F918">
      <w:pPr>
        <w:pStyle w:val="56"/>
        <w:ind w:firstLine="420"/>
        <w:rPr>
          <w:rFonts w:ascii="Times New Roman"/>
        </w:rPr>
      </w:pPr>
    </w:p>
    <w:p w14:paraId="64FB3059">
      <w:pPr>
        <w:pStyle w:val="56"/>
        <w:ind w:firstLine="420"/>
        <w:rPr>
          <w:rFonts w:ascii="Times New Roman"/>
        </w:rPr>
      </w:pPr>
    </w:p>
    <w:p w14:paraId="2EE5F23E">
      <w:pPr>
        <w:pStyle w:val="56"/>
        <w:ind w:firstLine="420"/>
        <w:rPr>
          <w:rFonts w:ascii="Times New Roman"/>
        </w:rPr>
      </w:pPr>
    </w:p>
    <w:p w14:paraId="757D895E">
      <w:pPr>
        <w:pStyle w:val="56"/>
        <w:ind w:firstLine="420"/>
        <w:rPr>
          <w:rFonts w:ascii="Times New Roman"/>
        </w:rPr>
      </w:pPr>
    </w:p>
    <w:p w14:paraId="3DD1393F">
      <w:pPr>
        <w:pStyle w:val="56"/>
        <w:ind w:firstLine="420"/>
        <w:rPr>
          <w:rFonts w:ascii="Times New Roman"/>
        </w:rPr>
      </w:pPr>
    </w:p>
    <w:p w14:paraId="32089AF1">
      <w:pPr>
        <w:pStyle w:val="56"/>
        <w:ind w:firstLine="420"/>
        <w:rPr>
          <w:rFonts w:ascii="Times New Roman"/>
        </w:rPr>
      </w:pPr>
    </w:p>
    <w:p w14:paraId="43F634AE">
      <w:pPr>
        <w:pStyle w:val="56"/>
        <w:ind w:firstLine="420"/>
        <w:rPr>
          <w:rFonts w:ascii="Times New Roman"/>
        </w:rPr>
      </w:pPr>
    </w:p>
    <w:p w14:paraId="005A3F7F">
      <w:pPr>
        <w:pStyle w:val="56"/>
        <w:ind w:firstLine="420"/>
        <w:rPr>
          <w:rFonts w:ascii="Times New Roman"/>
        </w:rPr>
      </w:pPr>
    </w:p>
    <w:p w14:paraId="146B29B8">
      <w:pPr>
        <w:pStyle w:val="56"/>
        <w:ind w:firstLine="420"/>
        <w:rPr>
          <w:rFonts w:ascii="Times New Roman"/>
        </w:rPr>
      </w:pPr>
    </w:p>
    <w:p w14:paraId="59BB2FCB">
      <w:pPr>
        <w:pStyle w:val="56"/>
        <w:ind w:firstLine="420"/>
        <w:rPr>
          <w:rFonts w:ascii="Times New Roman"/>
        </w:rPr>
      </w:pPr>
    </w:p>
    <w:p w14:paraId="6AD720D7">
      <w:pPr>
        <w:pStyle w:val="56"/>
        <w:ind w:firstLine="420"/>
        <w:rPr>
          <w:rFonts w:ascii="Times New Roman"/>
        </w:rPr>
      </w:pPr>
    </w:p>
    <w:p w14:paraId="2B957745">
      <w:pPr>
        <w:pStyle w:val="56"/>
        <w:ind w:firstLine="420"/>
        <w:rPr>
          <w:rFonts w:ascii="Times New Roman"/>
        </w:rPr>
      </w:pPr>
    </w:p>
    <w:p w14:paraId="182E046A">
      <w:pPr>
        <w:pStyle w:val="56"/>
        <w:ind w:firstLine="420"/>
        <w:rPr>
          <w:rFonts w:ascii="Times New Roman"/>
        </w:rPr>
      </w:pPr>
    </w:p>
    <w:p w14:paraId="1552F231">
      <w:pPr>
        <w:pStyle w:val="56"/>
        <w:ind w:firstLine="420"/>
        <w:rPr>
          <w:rFonts w:ascii="Times New Roman"/>
        </w:rPr>
      </w:pPr>
    </w:p>
    <w:p w14:paraId="715FDF0A">
      <w:pPr>
        <w:pStyle w:val="56"/>
        <w:ind w:firstLine="420"/>
        <w:rPr>
          <w:rFonts w:ascii="Times New Roman"/>
        </w:rPr>
      </w:pPr>
    </w:p>
    <w:p w14:paraId="4809563F">
      <w:pPr>
        <w:pStyle w:val="56"/>
        <w:ind w:firstLine="420"/>
        <w:rPr>
          <w:rFonts w:ascii="Times New Roman"/>
        </w:rPr>
      </w:pPr>
    </w:p>
    <w:p w14:paraId="7B38252D">
      <w:pPr>
        <w:pStyle w:val="56"/>
        <w:ind w:firstLine="420"/>
        <w:rPr>
          <w:rFonts w:ascii="Times New Roman"/>
        </w:rPr>
      </w:pPr>
    </w:p>
    <w:p w14:paraId="752AAC9E">
      <w:pPr>
        <w:pStyle w:val="56"/>
        <w:ind w:left="0" w:leftChars="0" w:firstLine="0" w:firstLineChars="0"/>
        <w:rPr>
          <w:rFonts w:ascii="Times New Roman"/>
        </w:rPr>
      </w:pPr>
    </w:p>
    <w:bookmarkEnd w:id="54"/>
    <w:p w14:paraId="37931C6D">
      <w:pPr>
        <w:pStyle w:val="238"/>
        <w:numPr>
          <w:ilvl w:val="0"/>
          <w:numId w:val="4"/>
        </w:numPr>
        <w:rPr>
          <w:rFonts w:ascii="Times New Roman"/>
        </w:rPr>
      </w:pPr>
      <w:bookmarkStart w:id="65" w:name="_Toc7804"/>
      <w:bookmarkEnd w:id="65"/>
      <w:bookmarkStart w:id="66" w:name="_Hlk153468179"/>
    </w:p>
    <w:p w14:paraId="13CDDABC">
      <w:pPr>
        <w:pStyle w:val="238"/>
        <w:numPr>
          <w:ilvl w:val="0"/>
          <w:numId w:val="0"/>
        </w:numPr>
        <w:ind w:leftChars="0"/>
        <w:jc w:val="center"/>
        <w:rPr>
          <w:rFonts w:ascii="Times New Roman"/>
        </w:rPr>
      </w:pPr>
      <w:bookmarkStart w:id="67" w:name="_Toc153440769"/>
      <w:bookmarkStart w:id="68" w:name="_Toc76570273"/>
      <w:bookmarkStart w:id="69" w:name="_Toc152084962"/>
      <w:bookmarkStart w:id="70" w:name="_Toc152086431"/>
      <w:bookmarkStart w:id="71" w:name="_Toc10055"/>
      <w:r>
        <w:rPr>
          <w:rFonts w:ascii="Times New Roman"/>
        </w:rPr>
        <w:t>（资料性</w:t>
      </w:r>
      <w:r>
        <w:rPr>
          <w:rFonts w:hint="eastAsia" w:ascii="Times New Roman"/>
          <w:lang w:eastAsia="zh-CN"/>
        </w:rPr>
        <w:t>附录</w:t>
      </w:r>
      <w:r>
        <w:rPr>
          <w:rFonts w:ascii="Times New Roman"/>
        </w:rPr>
        <w:t>）</w:t>
      </w:r>
      <w:r>
        <w:rPr>
          <w:rFonts w:ascii="Times New Roman"/>
        </w:rPr>
        <w:br w:type="textWrapping"/>
      </w:r>
      <w:r>
        <w:rPr>
          <w:rFonts w:hint="eastAsia" w:ascii="Times New Roman"/>
          <w:lang w:eastAsia="zh-CN"/>
        </w:rPr>
        <w:t>马蔺</w:t>
      </w:r>
      <w:r>
        <w:rPr>
          <w:rFonts w:ascii="Times New Roman"/>
        </w:rPr>
        <w:t>特征特性</w:t>
      </w:r>
      <w:bookmarkEnd w:id="67"/>
      <w:bookmarkEnd w:id="68"/>
      <w:bookmarkEnd w:id="69"/>
      <w:bookmarkEnd w:id="70"/>
      <w:bookmarkEnd w:id="71"/>
    </w:p>
    <w:p w14:paraId="4B19A7B8">
      <w:pPr>
        <w:pStyle w:val="243"/>
        <w:numPr>
          <w:ilvl w:val="1"/>
          <w:numId w:val="4"/>
        </w:numPr>
        <w:spacing w:before="312" w:after="312"/>
        <w:rPr>
          <w:rFonts w:ascii="Times New Roman"/>
        </w:rPr>
      </w:pPr>
      <w:r>
        <w:rPr>
          <w:rFonts w:hint="eastAsia" w:ascii="Times New Roman"/>
          <w:lang w:eastAsia="zh-CN"/>
        </w:rPr>
        <w:t>马蔺</w:t>
      </w:r>
      <w:r>
        <w:rPr>
          <w:rFonts w:ascii="Times New Roman"/>
        </w:rPr>
        <w:t>主要特征特性</w:t>
      </w:r>
    </w:p>
    <w:p w14:paraId="085D7235">
      <w:pPr>
        <w:pStyle w:val="244"/>
        <w:numPr>
          <w:ilvl w:val="2"/>
          <w:numId w:val="4"/>
        </w:numPr>
        <w:spacing w:before="156" w:after="156"/>
        <w:jc w:val="left"/>
        <w:rPr>
          <w:rFonts w:ascii="Times New Roman"/>
        </w:rPr>
      </w:pPr>
      <w:r>
        <w:rPr>
          <w:rFonts w:ascii="Times New Roman"/>
        </w:rPr>
        <w:t>植物学特性</w:t>
      </w:r>
    </w:p>
    <w:p w14:paraId="46816645">
      <w:pPr>
        <w:ind w:firstLine="420" w:firstLineChars="200"/>
        <w:rPr>
          <w:rFonts w:hint="eastAsia"/>
        </w:rPr>
      </w:pPr>
      <w:r>
        <w:rPr>
          <w:rFonts w:hint="eastAsia"/>
        </w:rPr>
        <w:t>马蔺（Iris lactea Pall. var.chinensis (Fisch.) Koidz.）别称马莲、马兰等，鸢尾科鸢尾属草本宿根植物，白花马蔺的变种。根、茎、叶粗壮，须根稠密发达，长度可达100 cm以上，呈伞状分布；叶基生，宽线形，高度可达到125 cm，宽度4 cm～5 cm，灰绿色；花茎高约25 cm，2～4朵花，花为浅蓝色、蓝色或蓝紫色，花被上有较深色的条纹；花期5月～6月，果期6月～9月；蒴果，长椭圆状柱形，有6条明显的肋，顶端有短喙；长0.4 cm～1.5 cm；种子为不规则的多面体，棕褐色，略有光泽，9月份成熟。</w:t>
      </w:r>
    </w:p>
    <w:p w14:paraId="52D62024">
      <w:pPr>
        <w:pStyle w:val="244"/>
        <w:numPr>
          <w:ilvl w:val="2"/>
          <w:numId w:val="4"/>
        </w:numPr>
        <w:spacing w:before="156" w:after="156"/>
        <w:jc w:val="left"/>
        <w:rPr>
          <w:rFonts w:ascii="Times New Roman"/>
        </w:rPr>
      </w:pPr>
      <w:r>
        <w:rPr>
          <w:rFonts w:ascii="Times New Roman"/>
        </w:rPr>
        <w:t>生物学特性</w:t>
      </w:r>
    </w:p>
    <w:p w14:paraId="5B6B6052">
      <w:pPr>
        <w:ind w:firstLine="420" w:firstLineChars="200"/>
        <w:rPr>
          <w:rFonts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耐盐碱、耐旱、耐涝、耐践踏，能在盐碱土、贫瘠土壤及干旱环境中生长，是盐碱地绿化和水土保持的优良植物。常生于荒地、路旁、山坡草地，尤以盐碱化草场较多。北方地区3月底返青，4月下旬始花，5月中旬至5月底盛花期，6月中旬终花，11月上旬枯黄，绿期长达280天以上，</w:t>
      </w:r>
      <w:r>
        <w:rPr>
          <w:rFonts w:hint="eastAsia"/>
        </w:rPr>
        <w:t>在中国分布广泛，</w:t>
      </w:r>
      <w:r>
        <w:rPr>
          <w:rFonts w:hint="eastAsia"/>
          <w:lang w:eastAsia="zh-CN"/>
        </w:rPr>
        <w:t>西藏主要</w:t>
      </w:r>
      <w:r>
        <w:rPr>
          <w:rFonts w:hint="eastAsia"/>
        </w:rPr>
        <w:t>分布于</w:t>
      </w:r>
      <w:r>
        <w:rPr>
          <w:rFonts w:hint="eastAsia"/>
          <w:lang w:eastAsia="zh-CN"/>
        </w:rPr>
        <w:t>拉萨、山南、日喀则</w:t>
      </w:r>
      <w:r>
        <w:rPr>
          <w:rFonts w:hint="eastAsia"/>
        </w:rPr>
        <w:t>。</w:t>
      </w:r>
    </w:p>
    <w:p w14:paraId="46D65BC0">
      <w:pPr>
        <w:pStyle w:val="244"/>
        <w:numPr>
          <w:ilvl w:val="2"/>
          <w:numId w:val="4"/>
        </w:numPr>
        <w:spacing w:before="156" w:after="156"/>
        <w:jc w:val="left"/>
        <w:rPr>
          <w:rFonts w:ascii="Times New Roman"/>
        </w:rPr>
      </w:pPr>
      <w:r>
        <w:rPr>
          <w:rFonts w:ascii="Times New Roman"/>
        </w:rPr>
        <w:t>生产性能</w:t>
      </w:r>
    </w:p>
    <w:p w14:paraId="17132892">
      <w:pPr>
        <w:pStyle w:val="230"/>
        <w:rPr>
          <w:rFonts w:ascii="Times New Roman"/>
        </w:rPr>
      </w:pPr>
      <w:r>
        <w:rPr>
          <w:rFonts w:ascii="Times New Roman"/>
        </w:rPr>
        <w:t>马蔺习性耐盐碱、耐践踏，根系发达，可用于水土保持和改良盐碱土；</w:t>
      </w:r>
      <w:r>
        <w:rPr>
          <w:rFonts w:hint="eastAsia" w:ascii="Times New Roman"/>
          <w:lang w:eastAsia="zh-CN"/>
        </w:rPr>
        <w:t>叶</w:t>
      </w:r>
      <w:r>
        <w:rPr>
          <w:rFonts w:hint="eastAsia" w:ascii="Times New Roman"/>
          <w:lang w:val="en-US" w:eastAsia="zh-CN"/>
        </w:rPr>
        <w:t>色泽青绿，花淡雅美丽，花期长达50天以上，观赏价值高，可用于园林绿化；</w:t>
      </w:r>
      <w:r>
        <w:rPr>
          <w:rFonts w:ascii="Times New Roman"/>
        </w:rPr>
        <w:t>叶在冬季可作牛、羊、骆驼的饲料，并可供造纸及编织用；根的木质部坚韧而细长，可制刷子；花和种子入药，马蔺种子中含有马蔺子甲素，可作口服避孕药。</w:t>
      </w:r>
    </w:p>
    <w:p w14:paraId="7C07C7C7">
      <w:pPr>
        <w:pStyle w:val="244"/>
        <w:numPr>
          <w:ilvl w:val="2"/>
          <w:numId w:val="4"/>
        </w:numPr>
        <w:spacing w:before="156" w:after="156"/>
        <w:jc w:val="left"/>
        <w:rPr>
          <w:rFonts w:ascii="Times New Roman"/>
        </w:rPr>
      </w:pPr>
      <w:r>
        <w:rPr>
          <w:rFonts w:ascii="Times New Roman"/>
        </w:rPr>
        <w:t>适宜推广区域</w:t>
      </w:r>
    </w:p>
    <w:p w14:paraId="6E417390">
      <w:pPr>
        <w:widowControl/>
        <w:ind w:firstLine="420" w:firstLineChars="200"/>
        <w:jc w:val="left"/>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适用于</w:t>
      </w:r>
      <w:r>
        <w:rPr>
          <w:rFonts w:ascii="Times New Roman"/>
          <w:color w:val="000000" w:themeColor="text1"/>
          <w14:textFill>
            <w14:solidFill>
              <w14:schemeClr w14:val="tx1"/>
            </w14:solidFill>
          </w14:textFill>
        </w:rPr>
        <w:t>海拔</w:t>
      </w:r>
      <w:r>
        <w:rPr>
          <w:rFonts w:hint="eastAsia" w:ascii="Times New Roman"/>
          <w:color w:val="000000" w:themeColor="text1"/>
          <w14:textFill>
            <w14:solidFill>
              <w14:schemeClr w14:val="tx1"/>
            </w14:solidFill>
          </w14:textFill>
        </w:rPr>
        <w:t>4000m</w:t>
      </w:r>
      <w:r>
        <w:rPr>
          <w:rFonts w:hint="eastAsia" w:ascii="Times New Roman"/>
          <w:color w:val="000000" w:themeColor="text1"/>
          <w:lang w:eastAsia="zh-CN"/>
          <w14:textFill>
            <w14:solidFill>
              <w14:schemeClr w14:val="tx1"/>
            </w14:solidFill>
          </w14:textFill>
        </w:rPr>
        <w:t>以下</w:t>
      </w:r>
      <w:r>
        <w:rPr>
          <w:rFonts w:hint="eastAsia" w:ascii="仿宋" w:hAnsi="仿宋" w:cs="仿宋"/>
        </w:rPr>
        <w:t>区</w:t>
      </w:r>
      <w:r>
        <w:rPr>
          <w:rFonts w:hint="eastAsia" w:ascii="Times New Roman"/>
          <w:color w:val="000000" w:themeColor="text1"/>
          <w14:textFill>
            <w14:solidFill>
              <w14:schemeClr w14:val="tx1"/>
            </w14:solidFill>
          </w14:textFill>
        </w:rPr>
        <w:t>域</w:t>
      </w:r>
      <w:r>
        <w:rPr>
          <w:rFonts w:hint="eastAsia" w:ascii="Times New Roman"/>
          <w:color w:val="000000" w:themeColor="text1"/>
          <w:lang w:eastAsia="zh-CN"/>
          <w14:textFill>
            <w14:solidFill>
              <w14:schemeClr w14:val="tx1"/>
            </w14:solidFill>
          </w14:textFill>
        </w:rPr>
        <w:t>移栽</w:t>
      </w:r>
      <w:r>
        <w:rPr>
          <w:rFonts w:hint="eastAsia" w:ascii="Times New Roman"/>
          <w:color w:val="000000" w:themeColor="text1"/>
          <w14:textFill>
            <w14:solidFill>
              <w14:schemeClr w14:val="tx1"/>
            </w14:solidFill>
          </w14:textFill>
        </w:rPr>
        <w:t>。</w:t>
      </w:r>
    </w:p>
    <w:p w14:paraId="2C94A3FC">
      <w:pPr>
        <w:widowControl/>
        <w:ind w:firstLine="420" w:firstLineChars="200"/>
        <w:jc w:val="left"/>
        <w:rPr>
          <w:rFonts w:hint="eastAsia" w:ascii="Times New Roman"/>
          <w:color w:val="000000" w:themeColor="text1"/>
          <w14:textFill>
            <w14:solidFill>
              <w14:schemeClr w14:val="tx1"/>
            </w14:solidFill>
          </w14:textFill>
        </w:rPr>
      </w:pPr>
    </w:p>
    <w:p w14:paraId="744151B9">
      <w:pPr>
        <w:widowControl/>
        <w:ind w:firstLine="420" w:firstLineChars="200"/>
        <w:jc w:val="left"/>
        <w:rPr>
          <w:rFonts w:hint="eastAsia" w:ascii="Times New Roman" w:hAnsi="Times New Roman"/>
          <w:kern w:val="0"/>
          <w:szCs w:val="20"/>
        </w:rPr>
      </w:pPr>
    </w:p>
    <w:p w14:paraId="2FE5606C">
      <w:pPr>
        <w:widowControl/>
        <w:ind w:firstLine="420" w:firstLineChars="200"/>
        <w:jc w:val="left"/>
        <w:rPr>
          <w:rFonts w:hint="eastAsia" w:ascii="Times New Roman" w:hAnsi="Times New Roman"/>
          <w:kern w:val="0"/>
          <w:szCs w:val="20"/>
        </w:rPr>
      </w:pPr>
    </w:p>
    <w:p w14:paraId="0CCC18E0">
      <w:pPr>
        <w:widowControl/>
        <w:ind w:firstLine="420" w:firstLineChars="200"/>
        <w:jc w:val="left"/>
        <w:rPr>
          <w:rFonts w:hint="eastAsia" w:ascii="Times New Roman" w:hAnsi="Times New Roman"/>
          <w:kern w:val="0"/>
          <w:szCs w:val="20"/>
        </w:rPr>
      </w:pPr>
    </w:p>
    <w:p w14:paraId="236AE4E8">
      <w:pPr>
        <w:widowControl/>
        <w:ind w:firstLine="420" w:firstLineChars="200"/>
        <w:jc w:val="left"/>
        <w:rPr>
          <w:rFonts w:hint="eastAsia" w:ascii="Times New Roman" w:hAnsi="Times New Roman"/>
          <w:kern w:val="0"/>
          <w:szCs w:val="20"/>
        </w:rPr>
      </w:pPr>
    </w:p>
    <w:p w14:paraId="381300EE">
      <w:pPr>
        <w:widowControl/>
        <w:ind w:firstLine="420" w:firstLineChars="200"/>
        <w:jc w:val="left"/>
        <w:rPr>
          <w:rFonts w:hint="eastAsia" w:ascii="Times New Roman" w:hAnsi="Times New Roman"/>
          <w:kern w:val="0"/>
          <w:szCs w:val="20"/>
        </w:rPr>
      </w:pPr>
    </w:p>
    <w:p w14:paraId="54BFCAA4">
      <w:pPr>
        <w:pStyle w:val="238"/>
        <w:numPr>
          <w:ilvl w:val="0"/>
          <w:numId w:val="4"/>
        </w:numPr>
        <w:rPr>
          <w:rFonts w:ascii="Times New Roman"/>
        </w:rPr>
      </w:pPr>
      <w:bookmarkStart w:id="72" w:name="_Toc11573"/>
      <w:bookmarkEnd w:id="72"/>
    </w:p>
    <w:p w14:paraId="6D887BA1">
      <w:pPr>
        <w:pStyle w:val="238"/>
        <w:numPr>
          <w:ilvl w:val="0"/>
          <w:numId w:val="0"/>
        </w:numPr>
        <w:ind w:leftChars="0"/>
        <w:jc w:val="center"/>
        <w:rPr>
          <w:rFonts w:hint="default" w:ascii="Times New Roman"/>
          <w:lang w:val="en-US"/>
        </w:rPr>
      </w:pPr>
      <w:bookmarkStart w:id="73" w:name="_Toc13292"/>
      <w:r>
        <w:rPr>
          <w:rFonts w:ascii="Times New Roman"/>
        </w:rPr>
        <w:t>（资料性</w:t>
      </w:r>
      <w:r>
        <w:rPr>
          <w:rFonts w:hint="eastAsia" w:ascii="Times New Roman"/>
          <w:lang w:eastAsia="zh-CN"/>
        </w:rPr>
        <w:t>附录</w:t>
      </w:r>
      <w:r>
        <w:rPr>
          <w:rFonts w:ascii="Times New Roman"/>
        </w:rPr>
        <w:t>）</w:t>
      </w:r>
      <w:r>
        <w:rPr>
          <w:rFonts w:ascii="Times New Roman"/>
        </w:rPr>
        <w:br w:type="textWrapping"/>
      </w:r>
      <w:r>
        <w:rPr>
          <w:rFonts w:hint="eastAsia" w:ascii="Times New Roman"/>
          <w:lang w:eastAsia="zh-CN"/>
        </w:rPr>
        <w:t>马蔺病虫害防治</w:t>
      </w:r>
      <w:bookmarkEnd w:id="73"/>
    </w:p>
    <w:p w14:paraId="6A638BCA">
      <w:pPr>
        <w:tabs>
          <w:tab w:val="left" w:pos="1003"/>
        </w:tabs>
        <w:bidi w:val="0"/>
        <w:jc w:val="left"/>
        <w:rPr>
          <w:rFonts w:hint="eastAsia" w:ascii="微软雅黑" w:hAnsi="微软雅黑" w:eastAsia="微软雅黑" w:cs="微软雅黑"/>
          <w:i w:val="0"/>
          <w:iCs w:val="0"/>
          <w:caps w:val="0"/>
          <w:color w:val="333333"/>
          <w:spacing w:val="0"/>
          <w:sz w:val="18"/>
          <w:szCs w:val="18"/>
          <w:shd w:val="clear" w:fill="FFFFFF"/>
        </w:rPr>
      </w:pPr>
      <w:r>
        <w:rPr>
          <w:rFonts w:hint="eastAsia" w:ascii="微软雅黑" w:hAnsi="微软雅黑" w:eastAsia="微软雅黑" w:cs="微软雅黑"/>
          <w:i w:val="0"/>
          <w:iCs w:val="0"/>
          <w:caps w:val="0"/>
          <w:color w:val="333333"/>
          <w:spacing w:val="0"/>
          <w:sz w:val="18"/>
          <w:szCs w:val="18"/>
          <w:shd w:val="clear" w:fill="FFFFFF"/>
        </w:rPr>
        <w:t>马蔺主要病</w:t>
      </w:r>
      <w:r>
        <w:rPr>
          <w:rFonts w:hint="eastAsia" w:ascii="微软雅黑" w:hAnsi="微软雅黑" w:eastAsia="微软雅黑" w:cs="微软雅黑"/>
          <w:i w:val="0"/>
          <w:iCs w:val="0"/>
          <w:caps w:val="0"/>
          <w:color w:val="333333"/>
          <w:spacing w:val="0"/>
          <w:sz w:val="18"/>
          <w:szCs w:val="18"/>
          <w:shd w:val="clear" w:fill="FFFFFF"/>
          <w:lang w:eastAsia="zh-CN"/>
        </w:rPr>
        <w:t>虫</w:t>
      </w:r>
      <w:r>
        <w:rPr>
          <w:rFonts w:hint="eastAsia" w:ascii="微软雅黑" w:hAnsi="微软雅黑" w:eastAsia="微软雅黑" w:cs="微软雅黑"/>
          <w:i w:val="0"/>
          <w:iCs w:val="0"/>
          <w:caps w:val="0"/>
          <w:color w:val="333333"/>
          <w:spacing w:val="0"/>
          <w:sz w:val="18"/>
          <w:szCs w:val="18"/>
          <w:shd w:val="clear" w:fill="FFFFFF"/>
        </w:rPr>
        <w:t>害防治技术措施见表</w:t>
      </w:r>
      <w:r>
        <w:rPr>
          <w:rFonts w:hint="eastAsia" w:ascii="微软雅黑" w:hAnsi="微软雅黑" w:eastAsia="微软雅黑" w:cs="微软雅黑"/>
          <w:i w:val="0"/>
          <w:iCs w:val="0"/>
          <w:caps w:val="0"/>
          <w:color w:val="333333"/>
          <w:spacing w:val="0"/>
          <w:sz w:val="18"/>
          <w:szCs w:val="18"/>
          <w:shd w:val="clear" w:fill="FFFFFF"/>
          <w:lang w:val="en-US" w:eastAsia="zh-CN"/>
        </w:rPr>
        <w:t>B</w:t>
      </w:r>
      <w:r>
        <w:rPr>
          <w:rFonts w:hint="eastAsia" w:ascii="微软雅黑" w:hAnsi="微软雅黑" w:eastAsia="微软雅黑" w:cs="微软雅黑"/>
          <w:i w:val="0"/>
          <w:iCs w:val="0"/>
          <w:caps w:val="0"/>
          <w:color w:val="333333"/>
          <w:spacing w:val="0"/>
          <w:sz w:val="18"/>
          <w:szCs w:val="18"/>
          <w:shd w:val="clear" w:fill="FFFFFF"/>
        </w:rPr>
        <w:t>.1</w:t>
      </w:r>
      <w:r>
        <w:rPr>
          <w:rFonts w:hint="eastAsia" w:ascii="微软雅黑" w:hAnsi="微软雅黑" w:eastAsia="微软雅黑" w:cs="微软雅黑"/>
          <w:i w:val="0"/>
          <w:iCs w:val="0"/>
          <w:caps w:val="0"/>
          <w:color w:val="333333"/>
          <w:spacing w:val="0"/>
          <w:sz w:val="18"/>
          <w:szCs w:val="18"/>
          <w:shd w:val="clear" w:fill="FFFFFF"/>
          <w:lang w:val="en-US" w:eastAsia="zh-CN"/>
        </w:rPr>
        <w:t>。</w:t>
      </w:r>
    </w:p>
    <w:tbl>
      <w:tblPr>
        <w:tblStyle w:val="27"/>
        <w:tblpPr w:leftFromText="180" w:rightFromText="180" w:vertAnchor="text" w:horzAnchor="page" w:tblpX="1526" w:tblpY="402"/>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8"/>
        <w:gridCol w:w="3188"/>
        <w:gridCol w:w="3190"/>
      </w:tblGrid>
      <w:tr w14:paraId="697D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14:paraId="2D7BAAFF">
            <w:pPr>
              <w:jc w:val="center"/>
              <w:rPr>
                <w:rFonts w:hint="eastAsia" w:ascii="宋体" w:hAnsi="宋体" w:eastAsia="宋体" w:cs="宋体"/>
                <w:sz w:val="18"/>
                <w:szCs w:val="18"/>
                <w:vertAlign w:val="baseline"/>
              </w:rPr>
            </w:pPr>
            <w:r>
              <w:rPr>
                <w:rFonts w:hint="eastAsia" w:ascii="宋体" w:hAnsi="宋体" w:eastAsia="宋体" w:cs="宋体"/>
                <w:sz w:val="18"/>
                <w:szCs w:val="18"/>
                <w:vertAlign w:val="baseline"/>
              </w:rPr>
              <w:t>病虫害名称</w:t>
            </w:r>
          </w:p>
        </w:tc>
        <w:tc>
          <w:tcPr>
            <w:tcW w:w="1666" w:type="pct"/>
            <w:vAlign w:val="center"/>
          </w:tcPr>
          <w:p w14:paraId="52635D2C">
            <w:pPr>
              <w:jc w:val="center"/>
              <w:rPr>
                <w:rFonts w:hint="eastAsia" w:ascii="宋体" w:hAnsi="宋体" w:eastAsia="宋体" w:cs="宋体"/>
                <w:sz w:val="18"/>
                <w:szCs w:val="18"/>
                <w:vertAlign w:val="baseline"/>
              </w:rPr>
            </w:pPr>
            <w:r>
              <w:rPr>
                <w:rFonts w:hint="eastAsia" w:ascii="宋体" w:hAnsi="宋体" w:eastAsia="宋体" w:cs="宋体"/>
                <w:sz w:val="18"/>
                <w:szCs w:val="18"/>
                <w:vertAlign w:val="baseline"/>
              </w:rPr>
              <w:t>危害症状</w:t>
            </w:r>
          </w:p>
        </w:tc>
        <w:tc>
          <w:tcPr>
            <w:tcW w:w="1667" w:type="pct"/>
            <w:vAlign w:val="center"/>
          </w:tcPr>
          <w:p w14:paraId="78E48E03">
            <w:pPr>
              <w:jc w:val="center"/>
              <w:rPr>
                <w:rFonts w:hint="eastAsia" w:ascii="宋体" w:hAnsi="宋体" w:eastAsia="宋体" w:cs="宋体"/>
                <w:sz w:val="18"/>
                <w:szCs w:val="18"/>
                <w:vertAlign w:val="baseline"/>
              </w:rPr>
            </w:pPr>
            <w:r>
              <w:rPr>
                <w:rFonts w:hint="eastAsia" w:ascii="宋体" w:hAnsi="宋体" w:eastAsia="宋体" w:cs="宋体"/>
                <w:sz w:val="18"/>
                <w:szCs w:val="18"/>
                <w:vertAlign w:val="baseline"/>
              </w:rPr>
              <w:t>防治措施</w:t>
            </w:r>
          </w:p>
        </w:tc>
      </w:tr>
      <w:tr w14:paraId="3EC7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14:paraId="61708A9A">
            <w:pPr>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锈病</w:t>
            </w:r>
          </w:p>
        </w:tc>
        <w:tc>
          <w:tcPr>
            <w:tcW w:w="1666" w:type="pct"/>
            <w:vAlign w:val="center"/>
          </w:tcPr>
          <w:p w14:paraId="547B543B">
            <w:pPr>
              <w:ind w:firstLine="360" w:firstLineChars="200"/>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rPr>
              <w:t>危害植物的叶、茎。受害部位可因孢子积集而产生不同颜色的小疱点或疱状、杯状、毛状物，造成焦梢、生长不良等。</w:t>
            </w:r>
          </w:p>
          <w:p w14:paraId="5F71EB99">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rPr>
              <w:t>严重时孢子堆密集成片，植株因体内水分大量蒸发而迅速枯死。</w:t>
            </w:r>
          </w:p>
        </w:tc>
        <w:tc>
          <w:tcPr>
            <w:tcW w:w="1667" w:type="pct"/>
            <w:vAlign w:val="center"/>
          </w:tcPr>
          <w:p w14:paraId="0B67CA04">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rPr>
              <w:t>1、及时清理病株。</w:t>
            </w:r>
          </w:p>
          <w:p w14:paraId="37C37D34">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rPr>
              <w:t>2、喷施25%三唑酮可湿性粉剂600～800倍溶液，7 d后喷施第二遍，15 d后喷施第三遍进行处理。</w:t>
            </w:r>
          </w:p>
        </w:tc>
      </w:tr>
      <w:tr w14:paraId="0E7E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14:paraId="4770DFA9">
            <w:pPr>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val="en-US" w:eastAsia="zh-CN"/>
              </w:rPr>
              <w:t>小地老虎</w:t>
            </w:r>
          </w:p>
        </w:tc>
        <w:tc>
          <w:tcPr>
            <w:tcW w:w="1666" w:type="pct"/>
            <w:vAlign w:val="center"/>
          </w:tcPr>
          <w:p w14:paraId="012D569D">
            <w:pPr>
              <w:tabs>
                <w:tab w:val="left" w:pos="1003"/>
              </w:tabs>
              <w:bidi w:val="0"/>
              <w:ind w:firstLine="360" w:firstLineChars="20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一年发生3代，小龄幼虫将叶片啃食成孔洞、缺刻，大龄幼虫白天潜伏于根部土中，傍晚和夜间切断近地面的根茎部，使植株叶片干枯，直至</w:t>
            </w:r>
          </w:p>
          <w:p w14:paraId="28B33E66">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lang w:val="en-US" w:eastAsia="zh-CN"/>
              </w:rPr>
              <w:t>死亡。</w:t>
            </w:r>
          </w:p>
        </w:tc>
        <w:tc>
          <w:tcPr>
            <w:tcW w:w="1667" w:type="pct"/>
            <w:vAlign w:val="center"/>
          </w:tcPr>
          <w:p w14:paraId="788A86AC">
            <w:pPr>
              <w:tabs>
                <w:tab w:val="left" w:pos="1003"/>
              </w:tabs>
              <w:bidi w:val="0"/>
              <w:ind w:firstLine="360" w:firstLineChars="20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物理防治：1.诱杀成虫。配制糖、醋、酒诱杀液或甘薯、胡萝卜等发酵液诱杀成虫。</w:t>
            </w:r>
          </w:p>
          <w:p w14:paraId="569DFFC9">
            <w:pPr>
              <w:tabs>
                <w:tab w:val="left" w:pos="1003"/>
              </w:tabs>
              <w:bidi w:val="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2.诱捕幼虫。用泡桐叶或莴苣叶诱捕幼虫，于每日清晨到田间捕捉；对高龄幼虫也可在清晨到田间检查，如果发现有断苗，拨开附近的土块，进行捕杀。</w:t>
            </w:r>
          </w:p>
          <w:p w14:paraId="544AF3F0">
            <w:pPr>
              <w:tabs>
                <w:tab w:val="left" w:pos="1003"/>
              </w:tabs>
              <w:bidi w:val="0"/>
              <w:ind w:firstLine="360" w:firstLineChars="20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化学防治：1.喷雾。每667 ㎡可选用50%辛硫磷</w:t>
            </w:r>
          </w:p>
          <w:p w14:paraId="6CD1809A">
            <w:pPr>
              <w:tabs>
                <w:tab w:val="left" w:pos="1003"/>
              </w:tabs>
              <w:bidi w:val="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乳油1000倍液，或40%氯氰菊酯乳油1000倍液喷雾。</w:t>
            </w:r>
          </w:p>
          <w:p w14:paraId="7436A263">
            <w:pPr>
              <w:tabs>
                <w:tab w:val="left" w:pos="1003"/>
              </w:tabs>
              <w:bidi w:val="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喷药适期应在幼虫3龄盛发前。</w:t>
            </w:r>
          </w:p>
          <w:p w14:paraId="21BC135A">
            <w:pPr>
              <w:tabs>
                <w:tab w:val="left" w:pos="1003"/>
              </w:tabs>
              <w:bidi w:val="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2.毒土或毒砂。50%辛硫磷乳油或40%氯氰菊酯乳油</w:t>
            </w:r>
          </w:p>
          <w:p w14:paraId="2C4A27EA">
            <w:pPr>
              <w:tabs>
                <w:tab w:val="left" w:pos="1003"/>
              </w:tabs>
              <w:bidi w:val="0"/>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100倍液，喷拌细土50 kg配成毒土，20 kg/667 ㎡～</w:t>
            </w:r>
          </w:p>
          <w:p w14:paraId="2710C578">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lang w:val="en-US" w:eastAsia="zh-CN"/>
              </w:rPr>
              <w:t>25 kg/667 ㎡顺垄撒施于幼苗根系附近。</w:t>
            </w:r>
          </w:p>
        </w:tc>
      </w:tr>
    </w:tbl>
    <w:p w14:paraId="0DB06CE6">
      <w:pPr>
        <w:widowControl/>
        <w:ind w:firstLine="360" w:firstLineChars="200"/>
        <w:jc w:val="center"/>
      </w:pPr>
      <w:r>
        <w:rPr>
          <w:rFonts w:hint="eastAsia" w:ascii="微软雅黑" w:hAnsi="微软雅黑" w:eastAsia="微软雅黑" w:cs="微软雅黑"/>
          <w:i w:val="0"/>
          <w:iCs w:val="0"/>
          <w:caps w:val="0"/>
          <w:color w:val="333333"/>
          <w:spacing w:val="0"/>
          <w:sz w:val="18"/>
          <w:szCs w:val="18"/>
          <w:shd w:val="clear" w:fill="FFFFFF"/>
        </w:rPr>
        <w:t>表</w:t>
      </w:r>
      <w:r>
        <w:rPr>
          <w:rFonts w:hint="eastAsia" w:ascii="微软雅黑" w:hAnsi="微软雅黑" w:eastAsia="微软雅黑" w:cs="微软雅黑"/>
          <w:i w:val="0"/>
          <w:iCs w:val="0"/>
          <w:caps w:val="0"/>
          <w:color w:val="333333"/>
          <w:spacing w:val="0"/>
          <w:sz w:val="18"/>
          <w:szCs w:val="18"/>
          <w:shd w:val="clear" w:fill="FFFFFF"/>
          <w:lang w:val="en-US" w:eastAsia="zh-CN"/>
        </w:rPr>
        <w:t>B</w:t>
      </w:r>
      <w:r>
        <w:rPr>
          <w:rFonts w:hint="eastAsia" w:ascii="微软雅黑" w:hAnsi="微软雅黑" w:eastAsia="微软雅黑" w:cs="微软雅黑"/>
          <w:i w:val="0"/>
          <w:iCs w:val="0"/>
          <w:caps w:val="0"/>
          <w:color w:val="333333"/>
          <w:spacing w:val="0"/>
          <w:sz w:val="18"/>
          <w:szCs w:val="18"/>
          <w:shd w:val="clear" w:fill="FFFFFF"/>
        </w:rPr>
        <w:t>.1 马蔺主要病</w:t>
      </w:r>
      <w:r>
        <w:rPr>
          <w:rFonts w:hint="eastAsia" w:ascii="微软雅黑" w:hAnsi="微软雅黑" w:eastAsia="微软雅黑" w:cs="微软雅黑"/>
          <w:i w:val="0"/>
          <w:iCs w:val="0"/>
          <w:caps w:val="0"/>
          <w:color w:val="333333"/>
          <w:spacing w:val="0"/>
          <w:sz w:val="18"/>
          <w:szCs w:val="18"/>
          <w:shd w:val="clear" w:fill="FFFFFF"/>
          <w:lang w:eastAsia="zh-CN"/>
        </w:rPr>
        <w:t>虫</w:t>
      </w:r>
      <w:r>
        <w:rPr>
          <w:rFonts w:hint="eastAsia" w:ascii="微软雅黑" w:hAnsi="微软雅黑" w:eastAsia="微软雅黑" w:cs="微软雅黑"/>
          <w:i w:val="0"/>
          <w:iCs w:val="0"/>
          <w:caps w:val="0"/>
          <w:color w:val="333333"/>
          <w:spacing w:val="0"/>
          <w:sz w:val="18"/>
          <w:szCs w:val="18"/>
          <w:shd w:val="clear" w:fill="FFFFFF"/>
        </w:rPr>
        <w:t>害防治技术措施</w:t>
      </w:r>
      <w:bookmarkEnd w:id="26"/>
      <w:bookmarkEnd w:id="66"/>
      <w:bookmarkStart w:id="74" w:name="BookMark8"/>
    </w:p>
    <w:p w14:paraId="1C6C463F">
      <w:pPr>
        <w:widowControl/>
        <w:jc w:val="both"/>
      </w:pPr>
    </w:p>
    <w:p w14:paraId="60F1A37C">
      <w:pPr>
        <w:widowControl/>
        <w:jc w:val="center"/>
      </w:pPr>
      <w:r>
        <w:drawing>
          <wp:inline distT="0" distB="0" distL="0" distR="0">
            <wp:extent cx="1485900" cy="317500"/>
            <wp:effectExtent l="0" t="0" r="0" b="6350"/>
            <wp:docPr id="124533496" name="图片 1"/>
            <wp:cNvGraphicFramePr/>
            <a:graphic xmlns:a="http://schemas.openxmlformats.org/drawingml/2006/main">
              <a:graphicData uri="http://schemas.openxmlformats.org/drawingml/2006/picture">
                <pic:pic xmlns:pic="http://schemas.openxmlformats.org/drawingml/2006/picture">
                  <pic:nvPicPr>
                    <pic:cNvPr id="124533496"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A0F1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C033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1ACC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32E46">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D841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80EE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E893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D26CC">
    <w:pPr>
      <w:pStyle w:val="61"/>
    </w:pPr>
    <w:r>
      <w:fldChar w:fldCharType="begin"/>
    </w:r>
    <w:r>
      <w:instrText xml:space="preserve"> STYLEREF  标准文件_文件编号  \* MERGEFORMAT </w:instrText>
    </w:r>
    <w:r>
      <w:fldChar w:fldCharType="separate"/>
    </w:r>
    <w:r>
      <w:t>DB 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4844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Full" w:cryptAlgorithmClass="hash" w:cryptAlgorithmType="typeAny" w:cryptAlgorithmSid="4" w:cryptSpinCount="100000" w:hash="lI2qx1JvqWCU58fVeeRWXetDDy8=" w:salt="0jCKGSt4aperj6RaFxlvg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5ZTk3MTRmZDNlMzRlYzA0NDVlNWE1MDQxN2U5M2IifQ=="/>
  </w:docVars>
  <w:rsids>
    <w:rsidRoot w:val="003E0A3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4A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04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022"/>
    <w:rsid w:val="002A25DC"/>
    <w:rsid w:val="002A3AAB"/>
    <w:rsid w:val="002A4CEA"/>
    <w:rsid w:val="002A5977"/>
    <w:rsid w:val="002A5A13"/>
    <w:rsid w:val="002A757F"/>
    <w:rsid w:val="002A7F44"/>
    <w:rsid w:val="002B0C40"/>
    <w:rsid w:val="002B1966"/>
    <w:rsid w:val="002B4508"/>
    <w:rsid w:val="002B5779"/>
    <w:rsid w:val="002B7332"/>
    <w:rsid w:val="002B7F51"/>
    <w:rsid w:val="002C0152"/>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B04"/>
    <w:rsid w:val="00381815"/>
    <w:rsid w:val="003819AF"/>
    <w:rsid w:val="003820E9"/>
    <w:rsid w:val="00382DE7"/>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0A3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DBD"/>
    <w:rsid w:val="00484936"/>
    <w:rsid w:val="00485C89"/>
    <w:rsid w:val="00486BE3"/>
    <w:rsid w:val="004905E4"/>
    <w:rsid w:val="00490A89"/>
    <w:rsid w:val="00490AB4"/>
    <w:rsid w:val="00492F02"/>
    <w:rsid w:val="004939AE"/>
    <w:rsid w:val="004A0CC6"/>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51C"/>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7D7"/>
    <w:rsid w:val="0056487B"/>
    <w:rsid w:val="00564FB9"/>
    <w:rsid w:val="00573D9E"/>
    <w:rsid w:val="00576A3C"/>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D31"/>
    <w:rsid w:val="00612952"/>
    <w:rsid w:val="006140F3"/>
    <w:rsid w:val="00614CC1"/>
    <w:rsid w:val="00615A9D"/>
    <w:rsid w:val="0061694F"/>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70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63A"/>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A88"/>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306"/>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58E"/>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882"/>
    <w:rsid w:val="00A55BD6"/>
    <w:rsid w:val="00A55D50"/>
    <w:rsid w:val="00A57142"/>
    <w:rsid w:val="00A648CD"/>
    <w:rsid w:val="00A6537A"/>
    <w:rsid w:val="00A67866"/>
    <w:rsid w:val="00A70B07"/>
    <w:rsid w:val="00A723F8"/>
    <w:rsid w:val="00A725C0"/>
    <w:rsid w:val="00A77CCB"/>
    <w:rsid w:val="00A83D8D"/>
    <w:rsid w:val="00A8446B"/>
    <w:rsid w:val="00A8473F"/>
    <w:rsid w:val="00A862D6"/>
    <w:rsid w:val="00A8715E"/>
    <w:rsid w:val="00A90A56"/>
    <w:rsid w:val="00A9295B"/>
    <w:rsid w:val="00A93B09"/>
    <w:rsid w:val="00A94247"/>
    <w:rsid w:val="00A952D7"/>
    <w:rsid w:val="00A963F7"/>
    <w:rsid w:val="00A96AD8"/>
    <w:rsid w:val="00AA052C"/>
    <w:rsid w:val="00AA0B82"/>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0EF"/>
    <w:rsid w:val="00B60ACF"/>
    <w:rsid w:val="00B62B58"/>
    <w:rsid w:val="00B65149"/>
    <w:rsid w:val="00B66567"/>
    <w:rsid w:val="00B66F52"/>
    <w:rsid w:val="00B66FE5"/>
    <w:rsid w:val="00B7117B"/>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DAC"/>
    <w:rsid w:val="00BB5A3F"/>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AA4"/>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EC0"/>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6DC"/>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193"/>
    <w:rsid w:val="00E15CCD"/>
    <w:rsid w:val="00E2013F"/>
    <w:rsid w:val="00E202EF"/>
    <w:rsid w:val="00E209BB"/>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864"/>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EF7FF8"/>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F167A9"/>
    <w:rsid w:val="0C91467A"/>
    <w:rsid w:val="0CAA246F"/>
    <w:rsid w:val="0DA815B3"/>
    <w:rsid w:val="0E5928AD"/>
    <w:rsid w:val="11BE1C61"/>
    <w:rsid w:val="1A0A7B07"/>
    <w:rsid w:val="1A693E78"/>
    <w:rsid w:val="1AC75042"/>
    <w:rsid w:val="1C0C71B1"/>
    <w:rsid w:val="1EC10726"/>
    <w:rsid w:val="1FFC578E"/>
    <w:rsid w:val="20887022"/>
    <w:rsid w:val="20F863A2"/>
    <w:rsid w:val="21D5280D"/>
    <w:rsid w:val="23307C29"/>
    <w:rsid w:val="2432471F"/>
    <w:rsid w:val="24C04260"/>
    <w:rsid w:val="29A24CB1"/>
    <w:rsid w:val="2C161986"/>
    <w:rsid w:val="2CD930DF"/>
    <w:rsid w:val="2DA37249"/>
    <w:rsid w:val="35AD33EA"/>
    <w:rsid w:val="36331F78"/>
    <w:rsid w:val="3793032E"/>
    <w:rsid w:val="381E1825"/>
    <w:rsid w:val="3AA52853"/>
    <w:rsid w:val="401929C7"/>
    <w:rsid w:val="40A72A25"/>
    <w:rsid w:val="40C003E6"/>
    <w:rsid w:val="42C63014"/>
    <w:rsid w:val="458A4B1F"/>
    <w:rsid w:val="45C4279B"/>
    <w:rsid w:val="4ACD47AD"/>
    <w:rsid w:val="4CA534D7"/>
    <w:rsid w:val="4DFC67D6"/>
    <w:rsid w:val="51A0391C"/>
    <w:rsid w:val="567E79B3"/>
    <w:rsid w:val="59CD1026"/>
    <w:rsid w:val="59D93E6F"/>
    <w:rsid w:val="5A4A4609"/>
    <w:rsid w:val="5A4F5EDF"/>
    <w:rsid w:val="5ADF31C8"/>
    <w:rsid w:val="5B345801"/>
    <w:rsid w:val="61A30FEA"/>
    <w:rsid w:val="62B62F9F"/>
    <w:rsid w:val="63515EFF"/>
    <w:rsid w:val="65492AB6"/>
    <w:rsid w:val="66DB2FD4"/>
    <w:rsid w:val="704235CC"/>
    <w:rsid w:val="7295387D"/>
    <w:rsid w:val="76E77774"/>
    <w:rsid w:val="771A36A5"/>
    <w:rsid w:val="79645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link w:val="23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next w:val="230"/>
    <w:autoRedefine/>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230"/>
    <w:autoRedefine/>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autoRedefine/>
    <w:qFormat/>
    <w:uiPriority w:val="0"/>
    <w:pPr>
      <w:spacing w:before="50" w:after="50"/>
      <w:outlineLvl w:val="3"/>
    </w:pPr>
  </w:style>
  <w:style w:type="paragraph" w:customStyle="1" w:styleId="235">
    <w:name w:val="三级条标题"/>
    <w:basedOn w:val="234"/>
    <w:next w:val="230"/>
    <w:autoRedefine/>
    <w:qFormat/>
    <w:uiPriority w:val="0"/>
    <w:pPr>
      <w:outlineLvl w:val="4"/>
    </w:pPr>
  </w:style>
  <w:style w:type="paragraph" w:customStyle="1" w:styleId="236">
    <w:name w:val="四级条标题"/>
    <w:basedOn w:val="235"/>
    <w:next w:val="230"/>
    <w:autoRedefine/>
    <w:qFormat/>
    <w:uiPriority w:val="0"/>
    <w:pPr>
      <w:outlineLvl w:val="5"/>
    </w:pPr>
  </w:style>
  <w:style w:type="paragraph" w:customStyle="1" w:styleId="237">
    <w:name w:val="五级条标题"/>
    <w:basedOn w:val="236"/>
    <w:next w:val="230"/>
    <w:autoRedefine/>
    <w:qFormat/>
    <w:uiPriority w:val="0"/>
    <w:pPr>
      <w:outlineLvl w:val="6"/>
    </w:pPr>
  </w:style>
  <w:style w:type="paragraph" w:customStyle="1" w:styleId="238">
    <w:name w:val="附录标识"/>
    <w:basedOn w:val="1"/>
    <w:next w:val="230"/>
    <w:autoRedefine/>
    <w:qFormat/>
    <w:uiPriority w:val="0"/>
    <w:pPr>
      <w:keepNext/>
      <w:widowControl/>
      <w:shd w:val="clear" w:color="FFFFFF" w:fill="FFFFFF"/>
      <w:tabs>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39">
    <w:name w:val="附录二级条标题"/>
    <w:basedOn w:val="1"/>
    <w:next w:val="230"/>
    <w:autoRedefine/>
    <w:qFormat/>
    <w:uiPriority w:val="0"/>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40">
    <w:name w:val="附录三级条标题"/>
    <w:basedOn w:val="239"/>
    <w:next w:val="230"/>
    <w:autoRedefine/>
    <w:qFormat/>
    <w:uiPriority w:val="0"/>
    <w:pPr>
      <w:outlineLvl w:val="4"/>
    </w:pPr>
  </w:style>
  <w:style w:type="paragraph" w:customStyle="1" w:styleId="241">
    <w:name w:val="附录四级条标题"/>
    <w:basedOn w:val="240"/>
    <w:next w:val="230"/>
    <w:autoRedefine/>
    <w:qFormat/>
    <w:uiPriority w:val="0"/>
    <w:pPr>
      <w:outlineLvl w:val="5"/>
    </w:pPr>
  </w:style>
  <w:style w:type="paragraph" w:customStyle="1" w:styleId="242">
    <w:name w:val="附录五级条标题"/>
    <w:basedOn w:val="241"/>
    <w:next w:val="230"/>
    <w:autoRedefine/>
    <w:qFormat/>
    <w:uiPriority w:val="0"/>
    <w:pPr>
      <w:outlineLvl w:val="6"/>
    </w:pPr>
  </w:style>
  <w:style w:type="paragraph" w:customStyle="1" w:styleId="243">
    <w:name w:val="附录章标题"/>
    <w:next w:val="230"/>
    <w:autoRedefine/>
    <w:qFormat/>
    <w:uiPriority w:val="0"/>
    <w:p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4">
    <w:name w:val="附录一级条标题"/>
    <w:basedOn w:val="243"/>
    <w:next w:val="230"/>
    <w:autoRedefine/>
    <w:qFormat/>
    <w:uiPriority w:val="0"/>
    <w:pPr>
      <w:autoSpaceDN w:val="0"/>
      <w:spacing w:beforeLines="50" w:afterLines="50"/>
      <w:outlineLvl w:val="2"/>
    </w:pPr>
  </w:style>
  <w:style w:type="paragraph" w:customStyle="1" w:styleId="245">
    <w:name w:val="zny表头"/>
    <w:basedOn w:val="1"/>
    <w:link w:val="246"/>
    <w:autoRedefine/>
    <w:qFormat/>
    <w:uiPriority w:val="0"/>
    <w:pPr>
      <w:tabs>
        <w:tab w:val="right" w:leader="dot" w:pos="9061"/>
      </w:tabs>
      <w:adjustRightInd/>
      <w:snapToGrid w:val="0"/>
      <w:spacing w:line="360" w:lineRule="auto"/>
      <w:ind w:firstLine="480" w:firstLineChars="200"/>
      <w:jc w:val="center"/>
    </w:pPr>
    <w:rPr>
      <w:rFonts w:ascii="等线" w:hAnsi="等线" w:eastAsia="华文中宋"/>
      <w:b/>
      <w:color w:val="000000"/>
      <w:sz w:val="24"/>
      <w:szCs w:val="28"/>
      <w:lang w:val="zh-CN"/>
    </w:rPr>
  </w:style>
  <w:style w:type="character" w:customStyle="1" w:styleId="246">
    <w:name w:val="zny表头 字符"/>
    <w:link w:val="245"/>
    <w:autoRedefine/>
    <w:qFormat/>
    <w:uiPriority w:val="0"/>
    <w:rPr>
      <w:rFonts w:ascii="等线" w:hAnsi="等线" w:eastAsia="华文中宋"/>
      <w:b/>
      <w:color w:val="000000"/>
      <w:kern w:val="2"/>
      <w:sz w:val="24"/>
      <w:szCs w:val="28"/>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60FF3B31743495F8F0FCBDF6D51354F"/>
        <w:style w:val=""/>
        <w:category>
          <w:name w:val="常规"/>
          <w:gallery w:val="placeholder"/>
        </w:category>
        <w:types>
          <w:type w:val="bbPlcHdr"/>
        </w:types>
        <w:behaviors>
          <w:behavior w:val="content"/>
        </w:behaviors>
        <w:description w:val=""/>
        <w:guid w:val="{F741036A-324C-424A-A485-6632487EA666}"/>
      </w:docPartPr>
      <w:docPartBody>
        <w:p w14:paraId="5F29D940">
          <w:pPr>
            <w:pStyle w:val="5"/>
          </w:pPr>
          <w:r>
            <w:rPr>
              <w:rStyle w:val="4"/>
              <w:rFonts w:hint="eastAsia"/>
            </w:rPr>
            <w:t>单击或点击此处输入文字。</w:t>
          </w:r>
        </w:p>
      </w:docPartBody>
    </w:docPart>
    <w:docPart>
      <w:docPartPr>
        <w:name w:val="8C207EF8EE5641BE900721C84F7592F1"/>
        <w:style w:val=""/>
        <w:category>
          <w:name w:val="常规"/>
          <w:gallery w:val="placeholder"/>
        </w:category>
        <w:types>
          <w:type w:val="bbPlcHdr"/>
        </w:types>
        <w:behaviors>
          <w:behavior w:val="content"/>
        </w:behaviors>
        <w:description w:val=""/>
        <w:guid w:val="{67525A28-59DC-4E32-B080-E1B7DAA6CA0F}"/>
      </w:docPartPr>
      <w:docPartBody>
        <w:p w14:paraId="6FCCFFF1">
          <w:pPr>
            <w:pStyle w:val="6"/>
          </w:pPr>
          <w:r>
            <w:rPr>
              <w:rStyle w:val="4"/>
              <w:rFonts w:hint="eastAsia"/>
            </w:rPr>
            <w:t>选择一项。</w:t>
          </w:r>
        </w:p>
      </w:docPartBody>
    </w:docPart>
    <w:docPart>
      <w:docPartPr>
        <w:name w:val="D6E1C4B80E694BD3B9FE70776C36E0C5"/>
        <w:style w:val=""/>
        <w:category>
          <w:name w:val="常规"/>
          <w:gallery w:val="placeholder"/>
        </w:category>
        <w:types>
          <w:type w:val="bbPlcHdr"/>
        </w:types>
        <w:behaviors>
          <w:behavior w:val="content"/>
        </w:behaviors>
        <w:description w:val=""/>
        <w:guid w:val="{C9CE4039-0143-4D85-9E3B-94150CFAE273}"/>
      </w:docPartPr>
      <w:docPartBody>
        <w:p w14:paraId="7CB28DD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4E"/>
    <w:rsid w:val="001C51AA"/>
    <w:rsid w:val="002D7B15"/>
    <w:rsid w:val="00400A14"/>
    <w:rsid w:val="0063394E"/>
    <w:rsid w:val="008F47D9"/>
    <w:rsid w:val="00B71E1A"/>
    <w:rsid w:val="00C10980"/>
    <w:rsid w:val="00D775AA"/>
    <w:rsid w:val="00DA6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60FF3B31743495F8F0FCBDF6D51354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C207EF8EE5641BE900721C84F7592F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6E1C4B80E694BD3B9FE70776C36E0C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67ADB9-6F9A-4DF2-8905-6EA90E69467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167</Words>
  <Characters>208</Characters>
  <Lines>19</Lines>
  <Paragraphs>5</Paragraphs>
  <TotalTime>40</TotalTime>
  <ScaleCrop>false</ScaleCrop>
  <LinksUpToDate>false</LinksUpToDate>
  <CharactersWithSpaces>247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2023-11-28T09:29:00Z</dcterms:created>
  <dc:creator>hp</dc:creator>
  <dc:description>&lt;config cover="true" show_menu="true" version="1.0.0" doctype="SDKXY"&gt;_x000d_
&lt;/config&gt;</dc:description>
  <cp:lastModifiedBy>秀花</cp:lastModifiedBy>
  <cp:lastPrinted>2025-08-10T02:06:00Z</cp:lastPrinted>
  <dcterms:modified xsi:type="dcterms:W3CDTF">2025-11-10T04:27:55Z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E96672F248C84C3B92F06DDC63292DC2_13</vt:lpwstr>
  </property>
  <property fmtid="{D5CDD505-2E9C-101B-9397-08002B2CF9AE}" pid="16" name="KSOTemplateDocerSaveRecord">
    <vt:lpwstr>eyJoZGlkIjoiMGI5ZTk3MTRmZDNlMzRlYzA0NDVlNWE1MDQxN2U5M2IiLCJ1c2VySWQiOiIzNTA2NjAxNTEifQ==</vt:lpwstr>
  </property>
</Properties>
</file>