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401F4">
      <w:pPr>
        <w:jc w:val="center"/>
        <w:rPr>
          <w:rFonts w:hint="eastAsia" w:ascii="黑体" w:hAnsi="黑体" w:eastAsia="黑体"/>
          <w:sz w:val="39"/>
          <w:szCs w:val="39"/>
          <w:lang w:eastAsia="zh-CN"/>
        </w:rPr>
      </w:pPr>
      <w:r>
        <w:rPr>
          <w:rFonts w:hint="eastAsia" w:ascii="黑体" w:hAnsi="黑体" w:eastAsia="黑体"/>
          <w:sz w:val="39"/>
          <w:szCs w:val="39"/>
          <w:lang w:eastAsia="zh-CN"/>
        </w:rPr>
        <w:t>《重组胶原蛋白合成生物原料技术通用规范》</w:t>
      </w:r>
    </w:p>
    <w:p w14:paraId="58D52A46">
      <w:pPr>
        <w:jc w:val="center"/>
        <w:rPr>
          <w:rFonts w:ascii="黑体" w:hAnsi="黑体" w:eastAsia="黑体"/>
          <w:sz w:val="39"/>
          <w:szCs w:val="39"/>
        </w:rPr>
      </w:pPr>
      <w:r>
        <w:rPr>
          <w:rFonts w:hint="eastAsia" w:ascii="黑体" w:hAnsi="黑体" w:eastAsia="黑体"/>
          <w:sz w:val="39"/>
          <w:szCs w:val="39"/>
        </w:rPr>
        <w:t>（</w:t>
      </w:r>
      <w:r>
        <w:rPr>
          <w:rFonts w:hint="eastAsia" w:ascii="黑体" w:hAnsi="黑体" w:eastAsia="黑体"/>
          <w:sz w:val="39"/>
          <w:szCs w:val="39"/>
          <w:lang w:val="en-US" w:eastAsia="zh-CN"/>
        </w:rPr>
        <w:t>征求意见</w:t>
      </w:r>
      <w:r>
        <w:rPr>
          <w:rFonts w:hint="eastAsia" w:ascii="黑体" w:hAnsi="黑体" w:eastAsia="黑体"/>
          <w:sz w:val="39"/>
          <w:szCs w:val="39"/>
        </w:rPr>
        <w:t>稿）</w:t>
      </w:r>
    </w:p>
    <w:p w14:paraId="4D086D40">
      <w:pPr>
        <w:jc w:val="center"/>
        <w:rPr>
          <w:rFonts w:ascii="黑体" w:hAnsi="黑体" w:eastAsia="黑体"/>
          <w:sz w:val="39"/>
          <w:szCs w:val="39"/>
        </w:rPr>
      </w:pPr>
      <w:r>
        <w:rPr>
          <w:rFonts w:hint="eastAsia" w:ascii="黑体" w:hAnsi="黑体" w:eastAsia="黑体"/>
          <w:sz w:val="39"/>
          <w:szCs w:val="39"/>
        </w:rPr>
        <w:t>编制说明</w:t>
      </w:r>
    </w:p>
    <w:p w14:paraId="43EAD1F0">
      <w:pPr>
        <w:spacing w:before="156" w:beforeLines="50" w:line="560" w:lineRule="exact"/>
        <w:ind w:firstLine="600" w:firstLineChars="200"/>
        <w:rPr>
          <w:rFonts w:ascii="黑体" w:hAnsi="黑体" w:eastAsia="黑体"/>
          <w:sz w:val="30"/>
          <w:szCs w:val="30"/>
        </w:rPr>
      </w:pPr>
      <w:r>
        <w:rPr>
          <w:rFonts w:hint="eastAsia" w:ascii="黑体" w:hAnsi="黑体" w:eastAsia="黑体"/>
          <w:sz w:val="30"/>
          <w:szCs w:val="30"/>
        </w:rPr>
        <w:t>一、工作简况</w:t>
      </w:r>
    </w:p>
    <w:p w14:paraId="42A52206">
      <w:pPr>
        <w:spacing w:line="560" w:lineRule="exact"/>
        <w:ind w:firstLine="600" w:firstLineChars="200"/>
        <w:rPr>
          <w:rFonts w:ascii="仿宋" w:hAnsi="仿宋" w:eastAsia="仿宋"/>
          <w:sz w:val="30"/>
          <w:szCs w:val="30"/>
        </w:rPr>
      </w:pPr>
      <w:r>
        <w:rPr>
          <w:rFonts w:hint="eastAsia" w:ascii="仿宋" w:hAnsi="仿宋" w:eastAsia="仿宋"/>
          <w:sz w:val="30"/>
          <w:szCs w:val="30"/>
        </w:rPr>
        <w:t>（一）任务来源</w:t>
      </w:r>
    </w:p>
    <w:p w14:paraId="2FE61A97">
      <w:pPr>
        <w:spacing w:line="560" w:lineRule="exact"/>
        <w:ind w:firstLine="600" w:firstLineChars="200"/>
        <w:rPr>
          <w:rFonts w:ascii="仿宋" w:hAnsi="仿宋" w:eastAsia="仿宋"/>
          <w:sz w:val="30"/>
          <w:szCs w:val="30"/>
        </w:rPr>
      </w:pPr>
      <w:r>
        <w:rPr>
          <w:rFonts w:hint="eastAsia" w:ascii="仿宋" w:hAnsi="仿宋" w:eastAsia="仿宋"/>
          <w:sz w:val="30"/>
          <w:szCs w:val="30"/>
          <w:highlight w:val="none"/>
        </w:rPr>
        <w:t>本文件由江苏创健医疗科技股份有限公司提</w:t>
      </w:r>
      <w:r>
        <w:rPr>
          <w:rFonts w:hint="eastAsia" w:ascii="仿宋" w:hAnsi="仿宋" w:eastAsia="仿宋"/>
          <w:sz w:val="30"/>
          <w:szCs w:val="30"/>
        </w:rPr>
        <w:t>出</w:t>
      </w:r>
      <w:r>
        <w:rPr>
          <w:rFonts w:hint="eastAsia" w:ascii="仿宋" w:hAnsi="仿宋" w:eastAsia="仿宋"/>
          <w:sz w:val="30"/>
          <w:szCs w:val="30"/>
          <w:lang w:eastAsia="zh-CN"/>
        </w:rPr>
        <w:t>，中国食品药品企业质量安全促进会（以下简称“促进会”）</w:t>
      </w:r>
      <w:r>
        <w:rPr>
          <w:rFonts w:hint="eastAsia" w:ascii="仿宋" w:hAnsi="仿宋" w:eastAsia="仿宋"/>
          <w:sz w:val="30"/>
          <w:szCs w:val="30"/>
        </w:rPr>
        <w:t>归口，</w:t>
      </w:r>
      <w:r>
        <w:rPr>
          <w:rFonts w:hint="eastAsia" w:ascii="仿宋" w:hAnsi="仿宋" w:eastAsia="仿宋"/>
          <w:sz w:val="30"/>
          <w:szCs w:val="30"/>
          <w:lang w:val="en-US" w:eastAsia="zh-CN"/>
        </w:rPr>
        <w:t>提交</w:t>
      </w:r>
      <w:r>
        <w:rPr>
          <w:rFonts w:hint="eastAsia" w:ascii="仿宋" w:hAnsi="仿宋" w:eastAsia="仿宋"/>
          <w:sz w:val="30"/>
          <w:szCs w:val="30"/>
        </w:rPr>
        <w:t>促进会标准化工作委员会</w:t>
      </w:r>
      <w:r>
        <w:rPr>
          <w:rFonts w:hint="eastAsia" w:ascii="仿宋" w:hAnsi="仿宋" w:eastAsia="仿宋"/>
          <w:sz w:val="30"/>
          <w:szCs w:val="30"/>
          <w:lang w:val="en-US" w:eastAsia="zh-CN"/>
        </w:rPr>
        <w:t>申请立项</w:t>
      </w:r>
      <w:r>
        <w:rPr>
          <w:rFonts w:hint="eastAsia" w:ascii="仿宋" w:hAnsi="仿宋" w:eastAsia="仿宋"/>
          <w:sz w:val="30"/>
          <w:szCs w:val="30"/>
        </w:rPr>
        <w:t>，正式列入2025年团体标准制修订计划，标准名称为《重组胶原蛋白合成生物原料技术通用规范》。</w:t>
      </w:r>
    </w:p>
    <w:p w14:paraId="54D0CFA9">
      <w:pPr>
        <w:numPr>
          <w:ilvl w:val="0"/>
          <w:numId w:val="1"/>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项目背景</w:t>
      </w:r>
    </w:p>
    <w:p w14:paraId="4E01A50E">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重组胶原蛋白合成生物原料是通过合成生物学技术制备的重组胶原蛋白前体物质，涵盖工程菌、发酵液、粗提液及精制前体，是下游医美注射剂、创伤修复敷料、化妆品活性原料等产品的“上游核心”</w:t>
      </w:r>
      <w:r>
        <w:rPr>
          <w:rFonts w:hint="eastAsia" w:ascii="仿宋" w:hAnsi="仿宋" w:eastAsia="仿宋"/>
          <w:sz w:val="30"/>
          <w:szCs w:val="30"/>
          <w:lang w:eastAsia="zh-CN"/>
        </w:rPr>
        <w:t>，</w:t>
      </w:r>
      <w:r>
        <w:rPr>
          <w:rFonts w:hint="eastAsia" w:ascii="仿宋" w:hAnsi="仿宋" w:eastAsia="仿宋"/>
          <w:sz w:val="30"/>
          <w:szCs w:val="30"/>
        </w:rPr>
        <w:t>原料质量直接决定终端产品的安全性、有效性与稳定性。近年来，全球合成生物产业快速发展，重组胶原蛋白作为合成生物的重要应用方向，已从实验室研发逐步迈向规模化生产，国内相关企业数量、产能及市场规模均实现显著增长。</w:t>
      </w:r>
    </w:p>
    <w:p w14:paraId="253605E4">
      <w:pPr>
        <w:spacing w:line="560" w:lineRule="exact"/>
        <w:ind w:firstLine="600" w:firstLineChars="200"/>
        <w:rPr>
          <w:rFonts w:hint="eastAsia" w:ascii="仿宋" w:hAnsi="仿宋" w:eastAsia="仿宋"/>
          <w:spacing w:val="-6"/>
          <w:sz w:val="30"/>
          <w:szCs w:val="30"/>
        </w:rPr>
      </w:pPr>
      <w:r>
        <w:rPr>
          <w:rFonts w:hint="eastAsia" w:ascii="仿宋" w:hAnsi="仿宋" w:eastAsia="仿宋"/>
          <w:sz w:val="30"/>
          <w:szCs w:val="30"/>
        </w:rPr>
        <w:t>政策层面，我国对合成生物原料的标准化需求日益迫切：2023年《合成生物学研究与应用安全管理办法》明确“合成生物原料需建立全流程质量标准”；2024年国家药监局《重组胶原蛋白类医疗产品监督管理暂行规定》要求“原料需追溯至合成工艺环节</w:t>
      </w:r>
      <w:r>
        <w:rPr>
          <w:rFonts w:hint="eastAsia" w:ascii="仿宋" w:hAnsi="仿宋" w:eastAsia="仿宋"/>
          <w:spacing w:val="-6"/>
          <w:sz w:val="30"/>
          <w:szCs w:val="30"/>
        </w:rPr>
        <w:t>”；“十四五”生物经济发展规划更将“重组胶原蛋白规模化制备与标准化”列为重点任务，为标准制定提供了政策支撑。</w:t>
      </w:r>
    </w:p>
    <w:p w14:paraId="68EB86C5">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然而，当前重组胶原蛋</w:t>
      </w:r>
      <w:bookmarkStart w:id="0" w:name="_GoBack"/>
      <w:bookmarkEnd w:id="0"/>
      <w:r>
        <w:rPr>
          <w:rFonts w:hint="eastAsia" w:ascii="仿宋" w:hAnsi="仿宋" w:eastAsia="仿宋"/>
          <w:sz w:val="30"/>
          <w:szCs w:val="30"/>
        </w:rPr>
        <w:t>白合成生物原料产业面临多重瓶颈，严重制约下游产业发展：</w:t>
      </w:r>
    </w:p>
    <w:p w14:paraId="0D1D8FEC">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工程菌管理不规范：部分企业未验证工程菌传代稳定性，连续传代后表达量大幅下降；未开展外源污染检测，导致下游产品批次波动；菌株信息不完整，无法实现溯源。</w:t>
      </w:r>
    </w:p>
    <w:p w14:paraId="2F291CED">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发酵工艺碎片化：实验室小试（摇瓶）与产业化生产（发酵罐）的工艺参数（温度、pH、溶氧）差异大，同一工程菌在不同企业的产量偏差显著；补料策略、诱导时机无统一标准，导致原料得率低、杂质含量高。</w:t>
      </w:r>
    </w:p>
    <w:p w14:paraId="2DA6AF34">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纯化工艺无标准：预处理（离心、破碎）、粗纯化（盐析、超滤）、精纯化（层析）的操作步骤与参数不统一，宿主细胞蛋白（HCP）、宿主细胞DNA（HCD）、内毒素等杂质去除效果差异大，部分原料安全指标超标。</w:t>
      </w:r>
    </w:p>
    <w:p w14:paraId="1FD305A7">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质量标准真空：现行标准仅对原料纯度提出原则性要求，未明确HCP、HCD、内毒素等关键安全指标的量化限值；批次一致性无评价标准，不同批次原料的质量波动影响下游生产。</w:t>
      </w:r>
    </w:p>
    <w:p w14:paraId="707714F6">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成本与风险突出：企业重复开发工艺，研发周期长、成本高；设备利用率低（发酵罐、层析柱闲置率超50%），资源浪费严重；2024年以来，多地出现因原料HCD超标导致的产品召回、进口拒绝事件，行业损失显著。</w:t>
      </w:r>
    </w:p>
    <w:p w14:paraId="2A86E395">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综上，重组胶原蛋白合成生物原料已成为产业链规模化发展的关键瓶颈，尚无覆盖“合成—发酵—纯化—质控”全流程的通用技术规范。制定本标准，是打通产业化“上游一公里”、保障下游产品质量、降低行业综合成本的迫切需求。</w:t>
      </w:r>
    </w:p>
    <w:p w14:paraId="68EFFDC4">
      <w:pPr>
        <w:spacing w:line="560" w:lineRule="exact"/>
        <w:ind w:firstLine="600" w:firstLineChars="200"/>
        <w:rPr>
          <w:rFonts w:ascii="仿宋" w:hAnsi="仿宋" w:eastAsia="仿宋"/>
          <w:sz w:val="30"/>
          <w:szCs w:val="30"/>
        </w:rPr>
      </w:pPr>
      <w:r>
        <w:rPr>
          <w:rFonts w:hint="eastAsia" w:ascii="仿宋" w:hAnsi="仿宋" w:eastAsia="仿宋"/>
          <w:sz w:val="30"/>
          <w:szCs w:val="30"/>
        </w:rPr>
        <w:t>（三）目的意义</w:t>
      </w:r>
    </w:p>
    <w:p w14:paraId="518EC8C9">
      <w:p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1.目的</w:t>
      </w:r>
    </w:p>
    <w:p w14:paraId="32EFCFA7">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构建重组胶原蛋白合成生物原料“源头—过程—终点”全链条技术规范，覆盖工程菌（株）构建与表征、发酵工艺调控、纯化工艺优化、质量属性控制及储存运输全环节，明确大肠杆菌、毕赤酵母、CHO细胞等不同宿主系统的技术要求，解决不同企业因工艺碎片化导致的原料质量差异问题，确保实验室小试、中试放大及产业化生产各阶段的原料质量稳定、工艺可转移。</w:t>
      </w:r>
    </w:p>
    <w:p w14:paraId="0396C4FE">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2）建立关键工艺参数（KPP）与关键质量属性（CQA）的精准关联体系，针对工程菌传代稳定性、发酵核心参数（温度、pH、溶氧）、纯化效果（HCP、HCD、内毒素去除率）等设定量化阈值，为工艺验证、变更管理及监管核查提供可量化、可追溯的技术依据。</w:t>
      </w:r>
    </w:p>
    <w:p w14:paraId="5B8463DC">
      <w:pPr>
        <w:numPr>
          <w:ilvl w:val="0"/>
          <w:numId w:val="0"/>
        </w:numPr>
        <w:spacing w:line="560" w:lineRule="exact"/>
        <w:ind w:firstLine="600" w:firstLineChars="200"/>
        <w:rPr>
          <w:rFonts w:hint="eastAsia" w:ascii="仿宋" w:hAnsi="仿宋" w:eastAsia="仿宋"/>
          <w:b w:val="0"/>
          <w:bCs w:val="0"/>
          <w:sz w:val="30"/>
          <w:szCs w:val="30"/>
          <w:lang w:eastAsia="zh-CN"/>
        </w:rPr>
      </w:pPr>
      <w:r>
        <w:rPr>
          <w:rFonts w:hint="eastAsia" w:ascii="仿宋" w:hAnsi="仿宋" w:eastAsia="仿宋"/>
          <w:sz w:val="30"/>
          <w:szCs w:val="30"/>
        </w:rPr>
        <w:t>（3）实现原料技术要求与上下游产业需求的深度匹配，确保合成生物原料既满足《合成生物学研究与应用安全管理办法》中“生物安全与伦理要求”，又符合下游医疗产品、化妆品原料的质量需求，为原料备案、采购及应用提供合规保障。</w:t>
      </w:r>
    </w:p>
    <w:p w14:paraId="1E45A516">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cstheme="minorBidi"/>
          <w:kern w:val="2"/>
          <w:sz w:val="30"/>
          <w:szCs w:val="30"/>
          <w:lang w:val="en-US" w:eastAsia="zh-CN" w:bidi="ar-SA"/>
        </w:rPr>
        <w:t>2.</w:t>
      </w:r>
      <w:r>
        <w:rPr>
          <w:rFonts w:hint="eastAsia" w:ascii="仿宋" w:hAnsi="仿宋" w:eastAsia="仿宋"/>
          <w:b w:val="0"/>
          <w:bCs w:val="0"/>
          <w:sz w:val="30"/>
          <w:szCs w:val="30"/>
        </w:rPr>
        <w:t>意义</w:t>
      </w:r>
    </w:p>
    <w:p w14:paraId="63D1E745">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（1）推动上游合成生物产业规范化</w:t>
      </w:r>
    </w:p>
    <w:p w14:paraId="71B40269">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统一的技术规范可引导原料生产商从“经验化生产”转向“标准化管控”，解决工程菌污染、发酵参数失控、纯化杂质超标等行业痛点；同时降低中小合成生物企业的技术门槛，吸引更多资本与技术投入上游领域，助力我国在重组胶原蛋白合成生物原料领域实现“技术自主、标准引领”，打破国外在高端胶原原料领域的垄断。</w:t>
      </w:r>
    </w:p>
    <w:p w14:paraId="48B90454">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（2）提高批次一致性</w:t>
      </w:r>
    </w:p>
    <w:p w14:paraId="02F8F393">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通过标准化工程菌传代稳定性、发酵参数及纯化工艺，可将原料表达量的批次CV值从现行18%降至≤5%，HCP残留的批次CV值从25%降至≤8%；同时严格控制HCD、内毒素等安全指标，下游医疗产品因原料问题导致的不合格率预计降低60%，化妆品皮肤刺激投诉率下降50%。</w:t>
      </w:r>
    </w:p>
    <w:p w14:paraId="71869959">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（3）降低质量管理成本</w:t>
      </w:r>
    </w:p>
    <w:p w14:paraId="534C2BDC">
      <w:pPr>
        <w:numPr>
          <w:ilvl w:val="0"/>
          <w:numId w:val="0"/>
        </w:numPr>
        <w:spacing w:line="560" w:lineRule="exact"/>
        <w:ind w:firstLine="600" w:firstLineChars="200"/>
        <w:rPr>
          <w:rFonts w:hint="default" w:ascii="仿宋" w:hAnsi="仿宋" w:eastAsia="仿宋"/>
          <w:b w:val="0"/>
          <w:bCs w:val="0"/>
          <w:sz w:val="30"/>
          <w:szCs w:val="30"/>
          <w:lang w:val="en-US" w:eastAsia="zh-CN"/>
        </w:rPr>
      </w:pPr>
      <w:r>
        <w:rPr>
          <w:rFonts w:hint="eastAsia" w:ascii="仿宋" w:hAnsi="仿宋" w:eastAsia="仿宋" w:cstheme="minorBidi"/>
          <w:b w:val="0"/>
          <w:bCs w:val="0"/>
          <w:kern w:val="2"/>
          <w:sz w:val="30"/>
          <w:szCs w:val="30"/>
          <w:lang w:val="en-US" w:eastAsia="zh-CN" w:bidi="ar-SA"/>
        </w:rPr>
        <w:t>工艺标准化可减少因批次失败导致的发酵液浪费；同时缩短工艺研发周期，减少重复开发成本，避免发酵罐、层析柱等高端设备的闲置浪费，提升行业整体资源利用效率。</w:t>
      </w:r>
    </w:p>
    <w:p w14:paraId="397935CC">
      <w:pPr>
        <w:spacing w:line="560" w:lineRule="exact"/>
        <w:ind w:firstLine="600" w:firstLineChars="200"/>
        <w:rPr>
          <w:rFonts w:ascii="仿宋" w:hAnsi="仿宋" w:eastAsia="仿宋"/>
          <w:sz w:val="30"/>
          <w:szCs w:val="30"/>
        </w:rPr>
      </w:pPr>
      <w:r>
        <w:rPr>
          <w:rFonts w:hint="eastAsia" w:ascii="仿宋" w:hAnsi="仿宋" w:eastAsia="仿宋"/>
          <w:sz w:val="30"/>
          <w:szCs w:val="30"/>
        </w:rPr>
        <w:t>（四）起草单位及起草人名单</w:t>
      </w:r>
    </w:p>
    <w:p w14:paraId="5B679CAB">
      <w:pPr>
        <w:spacing w:line="560" w:lineRule="exact"/>
        <w:ind w:firstLine="600" w:firstLineChars="200"/>
        <w:rPr>
          <w:rFonts w:hint="default" w:ascii="仿宋" w:hAnsi="仿宋" w:eastAsia="仿宋"/>
          <w:sz w:val="30"/>
          <w:szCs w:val="30"/>
          <w:highlight w:val="none"/>
          <w:lang w:val="en-US" w:eastAsia="zh-CN"/>
        </w:rPr>
      </w:pPr>
      <w:r>
        <w:rPr>
          <w:rFonts w:hint="eastAsia" w:ascii="仿宋" w:hAnsi="仿宋" w:eastAsia="仿宋"/>
          <w:sz w:val="30"/>
          <w:szCs w:val="30"/>
          <w:highlight w:val="none"/>
        </w:rPr>
        <w:t>本文件起草单位：江苏创健医疗科技股份有限公司</w:t>
      </w:r>
      <w:r>
        <w:rPr>
          <w:rFonts w:hint="eastAsia" w:ascii="仿宋" w:hAnsi="仿宋" w:eastAsia="仿宋"/>
          <w:sz w:val="30"/>
          <w:szCs w:val="30"/>
          <w:highlight w:val="none"/>
          <w:lang w:eastAsia="zh-CN"/>
        </w:rPr>
        <w:t>、南京诺唯赞生物科技股份有限公司</w:t>
      </w:r>
      <w:r>
        <w:rPr>
          <w:rFonts w:hint="eastAsia" w:ascii="仿宋" w:hAnsi="仿宋" w:eastAsia="仿宋"/>
          <w:sz w:val="30"/>
          <w:szCs w:val="30"/>
          <w:highlight w:val="none"/>
          <w:lang w:val="en-US" w:eastAsia="zh-CN"/>
        </w:rPr>
        <w:t>等。</w:t>
      </w:r>
    </w:p>
    <w:p w14:paraId="5C01D8D1">
      <w:pPr>
        <w:spacing w:line="560" w:lineRule="exact"/>
        <w:ind w:firstLine="600" w:firstLineChars="200"/>
        <w:rPr>
          <w:rFonts w:hint="eastAsia" w:ascii="仿宋" w:hAnsi="仿宋" w:eastAsia="仿宋"/>
          <w:sz w:val="30"/>
          <w:szCs w:val="30"/>
          <w:highlight w:val="none"/>
          <w:lang w:val="en-US" w:eastAsia="zh-CN"/>
        </w:rPr>
      </w:pPr>
      <w:r>
        <w:rPr>
          <w:rFonts w:hint="eastAsia" w:ascii="仿宋" w:hAnsi="仿宋" w:eastAsia="仿宋"/>
          <w:sz w:val="30"/>
          <w:szCs w:val="30"/>
          <w:highlight w:val="none"/>
        </w:rPr>
        <w:t>本文件主要起草人：</w:t>
      </w:r>
      <w:r>
        <w:rPr>
          <w:rFonts w:hint="eastAsia" w:ascii="仿宋" w:hAnsi="仿宋" w:eastAsia="仿宋"/>
          <w:sz w:val="30"/>
          <w:szCs w:val="30"/>
          <w:highlight w:val="none"/>
          <w:lang w:val="en-US" w:eastAsia="zh-CN"/>
        </w:rPr>
        <w:t>待确认。</w:t>
      </w:r>
    </w:p>
    <w:p w14:paraId="64F2B3EF">
      <w:pPr>
        <w:spacing w:line="560" w:lineRule="exact"/>
        <w:ind w:firstLine="600" w:firstLineChars="200"/>
        <w:rPr>
          <w:rFonts w:ascii="仿宋" w:hAnsi="仿宋" w:eastAsia="仿宋"/>
          <w:sz w:val="30"/>
          <w:szCs w:val="30"/>
          <w:highlight w:val="none"/>
        </w:rPr>
      </w:pPr>
      <w:r>
        <w:rPr>
          <w:rFonts w:hint="eastAsia" w:ascii="仿宋" w:hAnsi="仿宋" w:eastAsia="仿宋"/>
          <w:sz w:val="30"/>
          <w:szCs w:val="30"/>
          <w:highlight w:val="none"/>
        </w:rPr>
        <w:t>（五）主要起草过程</w:t>
      </w:r>
    </w:p>
    <w:p w14:paraId="3A0DF044">
      <w:p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1.</w:t>
      </w:r>
      <w:r>
        <w:rPr>
          <w:rFonts w:hint="eastAsia" w:ascii="仿宋" w:hAnsi="仿宋" w:eastAsia="仿宋"/>
          <w:sz w:val="30"/>
          <w:szCs w:val="30"/>
        </w:rPr>
        <w:t>文本调研</w:t>
      </w:r>
    </w:p>
    <w:p w14:paraId="7B0A9F63">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202</w:t>
      </w:r>
      <w:r>
        <w:rPr>
          <w:rFonts w:hint="eastAsia" w:ascii="仿宋" w:hAnsi="仿宋" w:eastAsia="仿宋"/>
          <w:sz w:val="30"/>
          <w:szCs w:val="30"/>
          <w:lang w:val="en-US" w:eastAsia="zh-CN"/>
        </w:rPr>
        <w:t>5</w:t>
      </w:r>
      <w:r>
        <w:rPr>
          <w:rFonts w:hint="eastAsia" w:ascii="仿宋" w:hAnsi="仿宋" w:eastAsia="仿宋"/>
          <w:sz w:val="30"/>
          <w:szCs w:val="30"/>
        </w:rPr>
        <w:t>年</w:t>
      </w:r>
      <w:r>
        <w:rPr>
          <w:rFonts w:hint="eastAsia" w:ascii="仿宋" w:hAnsi="仿宋" w:eastAsia="仿宋"/>
          <w:sz w:val="30"/>
          <w:szCs w:val="30"/>
          <w:lang w:val="en-US" w:eastAsia="zh-CN"/>
        </w:rPr>
        <w:t>6</w:t>
      </w:r>
      <w:r>
        <w:rPr>
          <w:rFonts w:hint="eastAsia" w:ascii="仿宋" w:hAnsi="仿宋" w:eastAsia="仿宋"/>
          <w:sz w:val="30"/>
          <w:szCs w:val="30"/>
        </w:rPr>
        <w:t>月启动，收集国内外</w:t>
      </w:r>
      <w:r>
        <w:rPr>
          <w:rFonts w:hint="eastAsia" w:ascii="仿宋" w:hAnsi="仿宋" w:eastAsia="仿宋"/>
          <w:sz w:val="30"/>
          <w:szCs w:val="30"/>
          <w:lang w:val="en-US" w:eastAsia="zh-CN"/>
        </w:rPr>
        <w:t>相关</w:t>
      </w:r>
      <w:r>
        <w:rPr>
          <w:rFonts w:hint="eastAsia" w:ascii="仿宋" w:hAnsi="仿宋" w:eastAsia="仿宋"/>
          <w:sz w:val="30"/>
          <w:szCs w:val="30"/>
        </w:rPr>
        <w:t>标准/指南</w:t>
      </w:r>
      <w:r>
        <w:rPr>
          <w:rFonts w:hint="eastAsia" w:ascii="仿宋" w:hAnsi="仿宋" w:eastAsia="仿宋"/>
          <w:sz w:val="30"/>
          <w:szCs w:val="30"/>
          <w:lang w:val="en-US" w:eastAsia="zh-CN"/>
        </w:rPr>
        <w:t>60多</w:t>
      </w:r>
      <w:r>
        <w:rPr>
          <w:rFonts w:hint="eastAsia" w:ascii="仿宋" w:hAnsi="仿宋" w:eastAsia="仿宋"/>
          <w:sz w:val="30"/>
          <w:szCs w:val="30"/>
        </w:rPr>
        <w:t>份（GB 2760、GB 4789.2、GB 4789.3等）。</w:t>
      </w:r>
    </w:p>
    <w:p w14:paraId="576742FD">
      <w:p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2.</w:t>
      </w:r>
      <w:r>
        <w:rPr>
          <w:rFonts w:hint="eastAsia" w:ascii="仿宋" w:hAnsi="仿宋" w:eastAsia="仿宋"/>
          <w:sz w:val="30"/>
          <w:szCs w:val="30"/>
        </w:rPr>
        <w:t>标准立项</w:t>
      </w:r>
    </w:p>
    <w:p w14:paraId="33B126E5">
      <w:p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rPr>
        <w:t>202</w:t>
      </w:r>
      <w:r>
        <w:rPr>
          <w:rFonts w:hint="eastAsia" w:ascii="仿宋" w:hAnsi="仿宋" w:eastAsia="仿宋"/>
          <w:sz w:val="30"/>
          <w:szCs w:val="30"/>
          <w:lang w:val="en-US" w:eastAsia="zh-CN"/>
        </w:rPr>
        <w:t>5</w:t>
      </w:r>
      <w:r>
        <w:rPr>
          <w:rFonts w:hint="eastAsia" w:ascii="仿宋" w:hAnsi="仿宋" w:eastAsia="仿宋"/>
          <w:sz w:val="30"/>
          <w:szCs w:val="30"/>
        </w:rPr>
        <w:t>年</w:t>
      </w:r>
      <w:r>
        <w:rPr>
          <w:rFonts w:hint="eastAsia" w:ascii="仿宋" w:hAnsi="仿宋" w:eastAsia="仿宋"/>
          <w:sz w:val="30"/>
          <w:szCs w:val="30"/>
          <w:lang w:val="en-US" w:eastAsia="zh-CN"/>
        </w:rPr>
        <w:t>10</w:t>
      </w:r>
      <w:r>
        <w:rPr>
          <w:rFonts w:hint="eastAsia" w:ascii="仿宋" w:hAnsi="仿宋" w:eastAsia="仿宋"/>
          <w:sz w:val="30"/>
          <w:szCs w:val="30"/>
        </w:rPr>
        <w:t>月</w:t>
      </w:r>
      <w:r>
        <w:rPr>
          <w:rFonts w:hint="eastAsia" w:ascii="仿宋" w:hAnsi="仿宋" w:eastAsia="仿宋"/>
          <w:sz w:val="30"/>
          <w:szCs w:val="30"/>
          <w:lang w:val="en-US" w:eastAsia="zh-CN"/>
        </w:rPr>
        <w:t>15</w:t>
      </w:r>
      <w:r>
        <w:rPr>
          <w:rFonts w:hint="eastAsia" w:ascii="仿宋" w:hAnsi="仿宋" w:eastAsia="仿宋"/>
          <w:sz w:val="30"/>
          <w:szCs w:val="30"/>
        </w:rPr>
        <w:t>日向促进会标准化委员会提交立项建议书</w:t>
      </w:r>
      <w:r>
        <w:rPr>
          <w:rFonts w:hint="eastAsia" w:ascii="仿宋" w:hAnsi="仿宋" w:eastAsia="仿宋"/>
          <w:sz w:val="30"/>
          <w:szCs w:val="30"/>
          <w:lang w:eastAsia="zh-CN"/>
        </w:rPr>
        <w:t>。于2025年</w:t>
      </w:r>
      <w:r>
        <w:rPr>
          <w:rFonts w:hint="eastAsia" w:ascii="仿宋" w:hAnsi="仿宋" w:eastAsia="仿宋"/>
          <w:sz w:val="30"/>
          <w:szCs w:val="30"/>
          <w:lang w:val="en-US" w:eastAsia="zh-CN"/>
        </w:rPr>
        <w:t>10</w:t>
      </w:r>
      <w:r>
        <w:rPr>
          <w:rFonts w:hint="eastAsia" w:ascii="仿宋" w:hAnsi="仿宋" w:eastAsia="仿宋"/>
          <w:sz w:val="30"/>
          <w:szCs w:val="30"/>
          <w:lang w:eastAsia="zh-CN"/>
        </w:rPr>
        <w:t>月2</w:t>
      </w:r>
      <w:r>
        <w:rPr>
          <w:rFonts w:hint="eastAsia" w:ascii="仿宋" w:hAnsi="仿宋" w:eastAsia="仿宋"/>
          <w:sz w:val="30"/>
          <w:szCs w:val="30"/>
          <w:lang w:val="en-US" w:eastAsia="zh-CN"/>
        </w:rPr>
        <w:t>3</w:t>
      </w:r>
      <w:r>
        <w:rPr>
          <w:rFonts w:hint="eastAsia" w:ascii="仿宋" w:hAnsi="仿宋" w:eastAsia="仿宋"/>
          <w:sz w:val="30"/>
          <w:szCs w:val="30"/>
          <w:lang w:eastAsia="zh-CN"/>
        </w:rPr>
        <w:t>日获得中国食品药品企业质量安全促进会批准立项。</w:t>
      </w:r>
    </w:p>
    <w:p w14:paraId="685133B8">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3.形成征求意见稿</w:t>
      </w:r>
    </w:p>
    <w:p w14:paraId="790008AF">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highlight w:val="none"/>
          <w:lang w:val="en-US" w:eastAsia="zh-CN"/>
        </w:rPr>
        <w:t>2025年11月21日，</w:t>
      </w:r>
      <w:r>
        <w:rPr>
          <w:rFonts w:hint="eastAsia" w:ascii="仿宋" w:hAnsi="仿宋" w:eastAsia="仿宋"/>
          <w:sz w:val="30"/>
          <w:szCs w:val="30"/>
          <w:lang w:val="en-US" w:eastAsia="zh-CN"/>
        </w:rPr>
        <w:t>起草组根据反馈的意见和建议，召开了团体标准讨论会，对草案内容进行了修改和调整，形成标准征求意见稿，提交中国食品药品企业质量安全促进会进行意见征集。</w:t>
      </w:r>
    </w:p>
    <w:p w14:paraId="7411F500">
      <w:pPr>
        <w:spacing w:line="560" w:lineRule="exact"/>
        <w:ind w:firstLine="600" w:firstLineChars="200"/>
        <w:rPr>
          <w:rFonts w:ascii="黑体" w:hAnsi="黑体" w:eastAsia="黑体"/>
          <w:sz w:val="30"/>
          <w:szCs w:val="30"/>
        </w:rPr>
      </w:pPr>
      <w:r>
        <w:rPr>
          <w:rFonts w:hint="eastAsia" w:ascii="黑体" w:hAnsi="黑体" w:eastAsia="黑体"/>
          <w:sz w:val="30"/>
          <w:szCs w:val="30"/>
        </w:rPr>
        <w:t>二、确定标准主要内容的论据</w:t>
      </w:r>
    </w:p>
    <w:p w14:paraId="72E61DB2">
      <w:pPr>
        <w:spacing w:line="560" w:lineRule="exact"/>
        <w:ind w:firstLine="600" w:firstLineChars="200"/>
        <w:rPr>
          <w:rFonts w:ascii="仿宋" w:hAnsi="仿宋" w:eastAsia="仿宋"/>
          <w:sz w:val="30"/>
          <w:szCs w:val="30"/>
        </w:rPr>
      </w:pPr>
      <w:r>
        <w:rPr>
          <w:rFonts w:hint="eastAsia" w:ascii="仿宋" w:hAnsi="仿宋" w:eastAsia="仿宋"/>
          <w:sz w:val="30"/>
          <w:szCs w:val="30"/>
        </w:rPr>
        <w:t>（一）编制原则</w:t>
      </w:r>
    </w:p>
    <w:p w14:paraId="46ED0C77">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本文件按照</w:t>
      </w:r>
      <w:r>
        <w:rPr>
          <w:rFonts w:ascii="仿宋" w:hAnsi="仿宋" w:eastAsia="仿宋"/>
          <w:sz w:val="30"/>
          <w:szCs w:val="30"/>
        </w:rPr>
        <w:t>GB/T 1.1—2020《标准化工作导则第1部分：标准化文件的结构和起草规则》</w:t>
      </w:r>
      <w:r>
        <w:rPr>
          <w:rFonts w:hint="eastAsia" w:ascii="仿宋" w:hAnsi="仿宋" w:eastAsia="仿宋"/>
          <w:sz w:val="30"/>
          <w:szCs w:val="30"/>
        </w:rPr>
        <w:t>以及《中国食品药品企业质量安全促进会团体标准工作程序》起草。</w:t>
      </w:r>
    </w:p>
    <w:p w14:paraId="037F198B">
      <w:pPr>
        <w:spacing w:line="560" w:lineRule="exact"/>
        <w:ind w:firstLine="600" w:firstLineChars="200"/>
        <w:rPr>
          <w:rFonts w:ascii="仿宋" w:hAnsi="仿宋" w:eastAsia="仿宋"/>
          <w:sz w:val="30"/>
          <w:szCs w:val="30"/>
          <w:highlight w:val="none"/>
        </w:rPr>
      </w:pPr>
      <w:r>
        <w:rPr>
          <w:rFonts w:hint="eastAsia" w:ascii="仿宋" w:hAnsi="仿宋" w:eastAsia="仿宋"/>
          <w:sz w:val="30"/>
          <w:szCs w:val="30"/>
          <w:highlight w:val="none"/>
        </w:rPr>
        <w:t>（二）标准主要内容及适用范围</w:t>
      </w:r>
    </w:p>
    <w:p w14:paraId="175C99FB">
      <w:pPr>
        <w:numPr>
          <w:ilvl w:val="0"/>
          <w:numId w:val="0"/>
        </w:numPr>
        <w:spacing w:line="560" w:lineRule="exact"/>
        <w:ind w:firstLine="600" w:firstLineChars="200"/>
        <w:rPr>
          <w:rFonts w:hint="eastAsia" w:ascii="仿宋" w:hAnsi="仿宋" w:eastAsia="仿宋"/>
          <w:b w:val="0"/>
          <w:bCs w:val="0"/>
          <w:sz w:val="30"/>
          <w:szCs w:val="30"/>
          <w:lang w:val="en-US" w:eastAsia="zh-CN"/>
        </w:rPr>
      </w:pPr>
      <w:r>
        <w:rPr>
          <w:rFonts w:hint="eastAsia" w:ascii="仿宋" w:hAnsi="仿宋" w:eastAsia="仿宋"/>
          <w:b w:val="0"/>
          <w:bCs w:val="0"/>
          <w:sz w:val="30"/>
          <w:szCs w:val="30"/>
          <w:lang w:val="en-US" w:eastAsia="zh-CN"/>
        </w:rPr>
        <w:t>1.范围：</w:t>
      </w:r>
    </w:p>
    <w:p w14:paraId="2628F4B7">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本文件规定了重组胶原蛋白合成生物原料的工作要求、系统结构与功能、技术要求、试验方法等内容。​</w:t>
      </w:r>
    </w:p>
    <w:p w14:paraId="38A53EE1">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本文件适用于通过基因重组技术制备，用于医疗器械、化妆品等领域的重组胶原蛋白合成生物原料，包括冻干态和液态两种形态。</w:t>
      </w:r>
    </w:p>
    <w:p w14:paraId="32365E3E">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规范性引用：列出</w:t>
      </w:r>
      <w:r>
        <w:rPr>
          <w:rFonts w:hint="eastAsia" w:ascii="仿宋" w:hAnsi="仿宋" w:eastAsia="仿宋"/>
          <w:b w:val="0"/>
          <w:bCs w:val="0"/>
          <w:sz w:val="30"/>
          <w:szCs w:val="30"/>
          <w:lang w:val="en-US" w:eastAsia="zh-CN"/>
        </w:rPr>
        <w:t>重组胶原蛋白、菌落总数、金黄色葡萄球菌</w:t>
      </w:r>
      <w:r>
        <w:rPr>
          <w:rFonts w:hint="eastAsia" w:ascii="仿宋" w:hAnsi="仿宋" w:eastAsia="仿宋"/>
          <w:b w:val="0"/>
          <w:bCs w:val="0"/>
          <w:sz w:val="30"/>
          <w:szCs w:val="30"/>
        </w:rPr>
        <w:t>等</w:t>
      </w:r>
      <w:r>
        <w:rPr>
          <w:rFonts w:hint="eastAsia" w:ascii="仿宋" w:hAnsi="仿宋" w:eastAsia="仿宋"/>
          <w:b w:val="0"/>
          <w:bCs w:val="0"/>
          <w:sz w:val="30"/>
          <w:szCs w:val="30"/>
          <w:lang w:val="en-US" w:eastAsia="zh-CN"/>
        </w:rPr>
        <w:t>23</w:t>
      </w:r>
      <w:r>
        <w:rPr>
          <w:rFonts w:hint="eastAsia" w:ascii="仿宋" w:hAnsi="仿宋" w:eastAsia="仿宋"/>
          <w:b w:val="0"/>
          <w:bCs w:val="0"/>
          <w:sz w:val="30"/>
          <w:szCs w:val="30"/>
        </w:rPr>
        <w:t>项国标/</w:t>
      </w:r>
      <w:r>
        <w:rPr>
          <w:rFonts w:hint="eastAsia" w:ascii="仿宋" w:hAnsi="仿宋" w:eastAsia="仿宋"/>
          <w:b w:val="0"/>
          <w:bCs w:val="0"/>
          <w:sz w:val="30"/>
          <w:szCs w:val="30"/>
          <w:lang w:val="en-US" w:eastAsia="zh-CN"/>
        </w:rPr>
        <w:t>行标</w:t>
      </w:r>
      <w:r>
        <w:rPr>
          <w:rFonts w:hint="eastAsia" w:ascii="仿宋" w:hAnsi="仿宋" w:eastAsia="仿宋"/>
          <w:b w:val="0"/>
          <w:bCs w:val="0"/>
          <w:sz w:val="30"/>
          <w:szCs w:val="30"/>
        </w:rPr>
        <w:t>。</w:t>
      </w:r>
    </w:p>
    <w:p w14:paraId="7CA544E8">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术语定义：给出“</w:t>
      </w:r>
      <w:r>
        <w:rPr>
          <w:rFonts w:hint="eastAsia" w:ascii="仿宋" w:hAnsi="仿宋" w:eastAsia="仿宋"/>
          <w:b w:val="0"/>
          <w:bCs w:val="0"/>
          <w:sz w:val="30"/>
          <w:szCs w:val="30"/>
          <w:lang w:val="en-US" w:eastAsia="zh-CN"/>
        </w:rPr>
        <w:t>宿主细胞</w:t>
      </w:r>
      <w:r>
        <w:rPr>
          <w:rFonts w:hint="eastAsia" w:ascii="仿宋" w:hAnsi="仿宋" w:eastAsia="仿宋"/>
          <w:b w:val="0"/>
          <w:bCs w:val="0"/>
          <w:sz w:val="30"/>
          <w:szCs w:val="30"/>
        </w:rPr>
        <w:t>”“</w:t>
      </w:r>
      <w:r>
        <w:rPr>
          <w:rFonts w:hint="eastAsia" w:ascii="仿宋" w:hAnsi="仿宋" w:eastAsia="仿宋"/>
          <w:b w:val="0"/>
          <w:bCs w:val="0"/>
          <w:sz w:val="30"/>
          <w:szCs w:val="30"/>
          <w:lang w:val="en-US" w:eastAsia="zh-CN"/>
        </w:rPr>
        <w:t>内毒素</w:t>
      </w:r>
      <w:r>
        <w:rPr>
          <w:rFonts w:hint="eastAsia" w:ascii="仿宋" w:hAnsi="仿宋" w:eastAsia="仿宋"/>
          <w:b w:val="0"/>
          <w:bCs w:val="0"/>
          <w:sz w:val="30"/>
          <w:szCs w:val="30"/>
        </w:rPr>
        <w:t>”等关键术语。</w:t>
      </w:r>
    </w:p>
    <w:p w14:paraId="5E49D3A3">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工作要求</w:t>
      </w:r>
      <w:r>
        <w:rPr>
          <w:rFonts w:hint="eastAsia" w:ascii="仿宋" w:hAnsi="仿宋" w:eastAsia="仿宋"/>
          <w:b w:val="0"/>
          <w:bCs w:val="0"/>
          <w:sz w:val="30"/>
          <w:szCs w:val="30"/>
        </w:rPr>
        <w:t>：</w:t>
      </w:r>
      <w:r>
        <w:rPr>
          <w:rFonts w:hint="eastAsia" w:ascii="仿宋" w:hAnsi="仿宋" w:eastAsia="仿宋"/>
          <w:b w:val="0"/>
          <w:bCs w:val="0"/>
          <w:sz w:val="30"/>
          <w:szCs w:val="30"/>
          <w:lang w:val="en-US" w:eastAsia="zh-CN"/>
        </w:rPr>
        <w:t>生产环境要求、人员要求、设备要求、原料与辅料要求</w:t>
      </w:r>
      <w:r>
        <w:rPr>
          <w:rFonts w:hint="eastAsia" w:ascii="仿宋" w:hAnsi="仿宋" w:eastAsia="仿宋"/>
          <w:b w:val="0"/>
          <w:bCs w:val="0"/>
          <w:sz w:val="30"/>
          <w:szCs w:val="30"/>
        </w:rPr>
        <w:t>。</w:t>
      </w:r>
    </w:p>
    <w:p w14:paraId="0A928E95">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系统结构与功能：</w:t>
      </w:r>
      <w:r>
        <w:rPr>
          <w:rFonts w:hint="eastAsia" w:ascii="仿宋" w:hAnsi="仿宋" w:eastAsia="仿宋"/>
          <w:b w:val="0"/>
          <w:bCs w:val="0"/>
          <w:sz w:val="30"/>
          <w:szCs w:val="30"/>
          <w:lang w:val="en-US" w:eastAsia="zh-CN"/>
        </w:rPr>
        <w:t>生产系统结构（发酵单元、纯化单元、复配单元、检测单元）和系统功能要求</w:t>
      </w:r>
      <w:r>
        <w:rPr>
          <w:rFonts w:hint="eastAsia" w:ascii="仿宋" w:hAnsi="仿宋" w:eastAsia="仿宋"/>
          <w:b w:val="0"/>
          <w:bCs w:val="0"/>
          <w:sz w:val="30"/>
          <w:szCs w:val="30"/>
        </w:rPr>
        <w:t>。</w:t>
      </w:r>
    </w:p>
    <w:p w14:paraId="1EB76D1A">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2.</w:t>
      </w:r>
      <w:r>
        <w:rPr>
          <w:rFonts w:hint="eastAsia" w:ascii="仿宋" w:hAnsi="仿宋" w:eastAsia="仿宋"/>
          <w:b w:val="0"/>
          <w:bCs w:val="0"/>
          <w:sz w:val="30"/>
          <w:szCs w:val="30"/>
        </w:rPr>
        <w:t>技术要求：</w:t>
      </w:r>
    </w:p>
    <w:p w14:paraId="5C165FF8">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①理化指标</w:t>
      </w:r>
      <w:r>
        <w:rPr>
          <w:rFonts w:hint="eastAsia" w:ascii="仿宋" w:hAnsi="仿宋" w:eastAsia="仿宋"/>
          <w:b w:val="0"/>
          <w:bCs w:val="0"/>
          <w:sz w:val="30"/>
          <w:szCs w:val="30"/>
        </w:rPr>
        <w:t>：胶原蛋白纯度</w:t>
      </w:r>
      <w:r>
        <w:rPr>
          <w:rFonts w:hint="eastAsia" w:ascii="仿宋" w:hAnsi="仿宋" w:eastAsia="仿宋"/>
          <w:b w:val="0"/>
          <w:bCs w:val="0"/>
          <w:sz w:val="30"/>
          <w:szCs w:val="30"/>
          <w:lang w:eastAsia="zh-CN"/>
        </w:rPr>
        <w:t>、</w:t>
      </w:r>
      <w:r>
        <w:rPr>
          <w:rFonts w:hint="eastAsia" w:ascii="仿宋" w:hAnsi="仿宋" w:eastAsia="仿宋"/>
          <w:b w:val="0"/>
          <w:bCs w:val="0"/>
          <w:sz w:val="30"/>
          <w:szCs w:val="30"/>
        </w:rPr>
        <w:t>分子量分布</w:t>
      </w:r>
      <w:r>
        <w:rPr>
          <w:rFonts w:hint="eastAsia" w:ascii="仿宋" w:hAnsi="仿宋" w:eastAsia="仿宋"/>
          <w:b w:val="0"/>
          <w:bCs w:val="0"/>
          <w:sz w:val="30"/>
          <w:szCs w:val="30"/>
          <w:lang w:eastAsia="zh-CN"/>
        </w:rPr>
        <w:t>、</w:t>
      </w:r>
      <w:r>
        <w:rPr>
          <w:rFonts w:hint="eastAsia" w:ascii="仿宋" w:hAnsi="仿宋" w:eastAsia="仿宋"/>
          <w:b w:val="0"/>
          <w:bCs w:val="0"/>
          <w:sz w:val="30"/>
          <w:szCs w:val="30"/>
        </w:rPr>
        <w:t>水分含量</w:t>
      </w:r>
      <w:r>
        <w:rPr>
          <w:rFonts w:hint="eastAsia" w:ascii="仿宋" w:hAnsi="仿宋" w:eastAsia="仿宋"/>
          <w:b w:val="0"/>
          <w:bCs w:val="0"/>
          <w:sz w:val="30"/>
          <w:szCs w:val="30"/>
          <w:lang w:eastAsia="zh-CN"/>
        </w:rPr>
        <w:t>、</w:t>
      </w:r>
      <w:r>
        <w:rPr>
          <w:rFonts w:hint="eastAsia" w:ascii="仿宋" w:hAnsi="仿宋" w:eastAsia="仿宋"/>
          <w:b w:val="0"/>
          <w:bCs w:val="0"/>
          <w:sz w:val="30"/>
          <w:szCs w:val="30"/>
        </w:rPr>
        <w:t>pH值（1%水溶液）</w:t>
      </w:r>
      <w:r>
        <w:rPr>
          <w:rFonts w:hint="eastAsia" w:ascii="仿宋" w:hAnsi="仿宋" w:eastAsia="仿宋"/>
          <w:b w:val="0"/>
          <w:bCs w:val="0"/>
          <w:sz w:val="30"/>
          <w:szCs w:val="30"/>
          <w:lang w:eastAsia="zh-CN"/>
        </w:rPr>
        <w:t>、</w:t>
      </w:r>
      <w:r>
        <w:rPr>
          <w:rFonts w:hint="eastAsia" w:ascii="仿宋" w:hAnsi="仿宋" w:eastAsia="仿宋"/>
          <w:b w:val="0"/>
          <w:bCs w:val="0"/>
          <w:sz w:val="30"/>
          <w:szCs w:val="30"/>
        </w:rPr>
        <w:t>宿主细胞残留蛋白（HCRP）</w:t>
      </w:r>
      <w:r>
        <w:rPr>
          <w:rFonts w:hint="eastAsia" w:ascii="仿宋" w:hAnsi="仿宋" w:eastAsia="仿宋"/>
          <w:b w:val="0"/>
          <w:bCs w:val="0"/>
          <w:sz w:val="30"/>
          <w:szCs w:val="30"/>
          <w:lang w:eastAsia="zh-CN"/>
        </w:rPr>
        <w:t>、</w:t>
      </w:r>
      <w:r>
        <w:rPr>
          <w:rFonts w:hint="eastAsia" w:ascii="仿宋" w:hAnsi="仿宋" w:eastAsia="仿宋"/>
          <w:b w:val="0"/>
          <w:bCs w:val="0"/>
          <w:sz w:val="30"/>
          <w:szCs w:val="30"/>
        </w:rPr>
        <w:t>核酸残留。</w:t>
      </w:r>
    </w:p>
    <w:p w14:paraId="1FE019E8">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②微生物指标</w:t>
      </w:r>
      <w:r>
        <w:rPr>
          <w:rFonts w:hint="eastAsia" w:ascii="仿宋" w:hAnsi="仿宋" w:eastAsia="仿宋"/>
          <w:b w:val="0"/>
          <w:bCs w:val="0"/>
          <w:sz w:val="30"/>
          <w:szCs w:val="30"/>
        </w:rPr>
        <w:t>：菌落总数</w:t>
      </w:r>
      <w:r>
        <w:rPr>
          <w:rFonts w:hint="eastAsia" w:ascii="仿宋" w:hAnsi="仿宋" w:eastAsia="仿宋"/>
          <w:b w:val="0"/>
          <w:bCs w:val="0"/>
          <w:sz w:val="30"/>
          <w:szCs w:val="30"/>
          <w:lang w:eastAsia="zh-CN"/>
        </w:rPr>
        <w:t>、</w:t>
      </w:r>
      <w:r>
        <w:rPr>
          <w:rFonts w:hint="eastAsia" w:ascii="仿宋" w:hAnsi="仿宋" w:eastAsia="仿宋"/>
          <w:b w:val="0"/>
          <w:bCs w:val="0"/>
          <w:sz w:val="30"/>
          <w:szCs w:val="30"/>
        </w:rPr>
        <w:t>大肠菌群</w:t>
      </w:r>
      <w:r>
        <w:rPr>
          <w:rFonts w:hint="eastAsia" w:ascii="仿宋" w:hAnsi="仿宋" w:eastAsia="仿宋"/>
          <w:b w:val="0"/>
          <w:bCs w:val="0"/>
          <w:sz w:val="30"/>
          <w:szCs w:val="30"/>
          <w:lang w:eastAsia="zh-CN"/>
        </w:rPr>
        <w:t>、</w:t>
      </w:r>
      <w:r>
        <w:rPr>
          <w:rFonts w:hint="eastAsia" w:ascii="仿宋" w:hAnsi="仿宋" w:eastAsia="仿宋"/>
          <w:b w:val="0"/>
          <w:bCs w:val="0"/>
          <w:sz w:val="30"/>
          <w:szCs w:val="30"/>
        </w:rPr>
        <w:t>霉菌和酵母菌总数</w:t>
      </w:r>
      <w:r>
        <w:rPr>
          <w:rFonts w:hint="eastAsia" w:ascii="仿宋" w:hAnsi="仿宋" w:eastAsia="仿宋"/>
          <w:b w:val="0"/>
          <w:bCs w:val="0"/>
          <w:sz w:val="30"/>
          <w:szCs w:val="30"/>
          <w:lang w:eastAsia="zh-CN"/>
        </w:rPr>
        <w:t>、</w:t>
      </w:r>
      <w:r>
        <w:rPr>
          <w:rFonts w:hint="eastAsia" w:ascii="仿宋" w:hAnsi="仿宋" w:eastAsia="仿宋"/>
          <w:b w:val="0"/>
          <w:bCs w:val="0"/>
          <w:sz w:val="30"/>
          <w:szCs w:val="30"/>
        </w:rPr>
        <w:t>金黄色葡萄球菌</w:t>
      </w:r>
      <w:r>
        <w:rPr>
          <w:rFonts w:hint="eastAsia" w:ascii="仿宋" w:hAnsi="仿宋" w:eastAsia="仿宋"/>
          <w:b w:val="0"/>
          <w:bCs w:val="0"/>
          <w:sz w:val="30"/>
          <w:szCs w:val="30"/>
          <w:lang w:eastAsia="zh-CN"/>
        </w:rPr>
        <w:t>、</w:t>
      </w:r>
      <w:r>
        <w:rPr>
          <w:rFonts w:hint="eastAsia" w:ascii="仿宋" w:hAnsi="仿宋" w:eastAsia="仿宋"/>
          <w:b w:val="0"/>
          <w:bCs w:val="0"/>
          <w:sz w:val="30"/>
          <w:szCs w:val="30"/>
        </w:rPr>
        <w:t>铜绿假单胞菌。</w:t>
      </w:r>
    </w:p>
    <w:p w14:paraId="35199FE1">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③安全性指标</w:t>
      </w:r>
      <w:r>
        <w:rPr>
          <w:rFonts w:hint="eastAsia" w:ascii="仿宋" w:hAnsi="仿宋" w:eastAsia="仿宋"/>
          <w:b w:val="0"/>
          <w:bCs w:val="0"/>
          <w:sz w:val="30"/>
          <w:szCs w:val="30"/>
        </w:rPr>
        <w:t>：铅（Pb）</w:t>
      </w:r>
      <w:r>
        <w:rPr>
          <w:rFonts w:hint="eastAsia" w:ascii="仿宋" w:hAnsi="仿宋" w:eastAsia="仿宋"/>
          <w:b w:val="0"/>
          <w:bCs w:val="0"/>
          <w:sz w:val="30"/>
          <w:szCs w:val="30"/>
          <w:lang w:eastAsia="zh-CN"/>
        </w:rPr>
        <w:t>、</w:t>
      </w:r>
      <w:r>
        <w:rPr>
          <w:rFonts w:hint="eastAsia" w:ascii="仿宋" w:hAnsi="仿宋" w:eastAsia="仿宋"/>
          <w:b w:val="0"/>
          <w:bCs w:val="0"/>
          <w:sz w:val="30"/>
          <w:szCs w:val="30"/>
        </w:rPr>
        <w:t>汞（Hg）</w:t>
      </w:r>
      <w:r>
        <w:rPr>
          <w:rFonts w:hint="eastAsia" w:ascii="仿宋" w:hAnsi="仿宋" w:eastAsia="仿宋"/>
          <w:b w:val="0"/>
          <w:bCs w:val="0"/>
          <w:sz w:val="30"/>
          <w:szCs w:val="30"/>
          <w:lang w:eastAsia="zh-CN"/>
        </w:rPr>
        <w:t>、</w:t>
      </w:r>
      <w:r>
        <w:rPr>
          <w:rFonts w:hint="eastAsia" w:ascii="仿宋" w:hAnsi="仿宋" w:eastAsia="仿宋"/>
          <w:b w:val="0"/>
          <w:bCs w:val="0"/>
          <w:sz w:val="30"/>
          <w:szCs w:val="30"/>
        </w:rPr>
        <w:t>砷（As）</w:t>
      </w:r>
      <w:r>
        <w:rPr>
          <w:rFonts w:hint="eastAsia" w:ascii="仿宋" w:hAnsi="仿宋" w:eastAsia="仿宋"/>
          <w:b w:val="0"/>
          <w:bCs w:val="0"/>
          <w:sz w:val="30"/>
          <w:szCs w:val="30"/>
          <w:lang w:eastAsia="zh-CN"/>
        </w:rPr>
        <w:t>、</w:t>
      </w:r>
      <w:r>
        <w:rPr>
          <w:rFonts w:hint="eastAsia" w:ascii="仿宋" w:hAnsi="仿宋" w:eastAsia="仿宋"/>
          <w:b w:val="0"/>
          <w:bCs w:val="0"/>
          <w:sz w:val="30"/>
          <w:szCs w:val="30"/>
        </w:rPr>
        <w:t>镉（Cd）</w:t>
      </w:r>
    </w:p>
    <w:p w14:paraId="403D468E">
      <w:pPr>
        <w:numPr>
          <w:ilvl w:val="0"/>
          <w:numId w:val="0"/>
        </w:numPr>
        <w:spacing w:line="560" w:lineRule="exact"/>
        <w:rPr>
          <w:rFonts w:hint="eastAsia" w:ascii="仿宋" w:hAnsi="仿宋" w:eastAsia="仿宋"/>
          <w:b w:val="0"/>
          <w:bCs w:val="0"/>
          <w:sz w:val="30"/>
          <w:szCs w:val="30"/>
        </w:rPr>
      </w:pPr>
      <w:r>
        <w:rPr>
          <w:rFonts w:hint="eastAsia" w:ascii="仿宋" w:hAnsi="仿宋" w:eastAsia="仿宋"/>
          <w:b w:val="0"/>
          <w:bCs w:val="0"/>
          <w:sz w:val="30"/>
          <w:szCs w:val="30"/>
          <w:lang w:eastAsia="zh-CN"/>
        </w:rPr>
        <w:t>、</w:t>
      </w:r>
      <w:r>
        <w:rPr>
          <w:rFonts w:hint="eastAsia" w:ascii="仿宋" w:hAnsi="仿宋" w:eastAsia="仿宋"/>
          <w:b w:val="0"/>
          <w:bCs w:val="0"/>
          <w:sz w:val="30"/>
          <w:szCs w:val="30"/>
        </w:rPr>
        <w:t>内毒素含量</w:t>
      </w:r>
      <w:r>
        <w:rPr>
          <w:rFonts w:hint="eastAsia" w:ascii="仿宋" w:hAnsi="仿宋" w:eastAsia="仿宋"/>
          <w:b w:val="0"/>
          <w:bCs w:val="0"/>
          <w:sz w:val="30"/>
          <w:szCs w:val="30"/>
          <w:lang w:eastAsia="zh-CN"/>
        </w:rPr>
        <w:t>、</w:t>
      </w:r>
      <w:r>
        <w:rPr>
          <w:rFonts w:hint="eastAsia" w:ascii="仿宋" w:hAnsi="仿宋" w:eastAsia="仿宋"/>
          <w:b w:val="0"/>
          <w:bCs w:val="0"/>
          <w:sz w:val="30"/>
          <w:szCs w:val="30"/>
        </w:rPr>
        <w:t>宿主细胞蛋白残留</w:t>
      </w:r>
      <w:r>
        <w:rPr>
          <w:rFonts w:hint="eastAsia" w:ascii="仿宋" w:hAnsi="仿宋" w:eastAsia="仿宋"/>
          <w:b w:val="0"/>
          <w:bCs w:val="0"/>
          <w:sz w:val="30"/>
          <w:szCs w:val="30"/>
          <w:lang w:eastAsia="zh-CN"/>
        </w:rPr>
        <w:t>、</w:t>
      </w:r>
      <w:r>
        <w:rPr>
          <w:rFonts w:hint="eastAsia" w:ascii="仿宋" w:hAnsi="仿宋" w:eastAsia="仿宋"/>
          <w:b w:val="0"/>
          <w:bCs w:val="0"/>
          <w:sz w:val="30"/>
          <w:szCs w:val="30"/>
        </w:rPr>
        <w:t>核酸残留。</w:t>
      </w:r>
    </w:p>
    <w:p w14:paraId="4F3503A6">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试验方法：</w:t>
      </w:r>
      <w:r>
        <w:rPr>
          <w:rFonts w:hint="eastAsia" w:ascii="仿宋" w:hAnsi="仿宋" w:eastAsia="仿宋"/>
          <w:b w:val="0"/>
          <w:bCs w:val="0"/>
          <w:sz w:val="30"/>
          <w:szCs w:val="30"/>
          <w:lang w:val="en-US" w:eastAsia="zh-CN"/>
        </w:rPr>
        <w:t>试验准备、理化指标试验方法、微生物指标试验方法、安全性指标试验方法</w:t>
      </w:r>
      <w:r>
        <w:rPr>
          <w:rFonts w:hint="eastAsia" w:ascii="仿宋" w:hAnsi="仿宋" w:eastAsia="仿宋"/>
          <w:b w:val="0"/>
          <w:bCs w:val="0"/>
          <w:sz w:val="30"/>
          <w:szCs w:val="30"/>
        </w:rPr>
        <w:t>。</w:t>
      </w:r>
    </w:p>
    <w:p w14:paraId="02D11312">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三</w:t>
      </w:r>
      <w:r>
        <w:rPr>
          <w:rFonts w:hint="eastAsia" w:ascii="仿宋" w:hAnsi="仿宋" w:eastAsia="仿宋"/>
          <w:sz w:val="30"/>
          <w:szCs w:val="30"/>
        </w:rPr>
        <w:t>）确定标准主要内容的论据</w:t>
      </w:r>
    </w:p>
    <w:p w14:paraId="659FC70A">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1.工程菌相关要求的关键论据</w:t>
      </w:r>
    </w:p>
    <w:p w14:paraId="34848D35">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菌株构建与表征：明确“目的基因与天然胶原蛋白基因同源性≥95%”“测序匹配度≥99%”，参考ISO 24630-2022《生物技术—重组微生物菌株表征指南》，同源性过低会导致蛋白结构改变，影响生物相容性。</w:t>
      </w:r>
    </w:p>
    <w:p w14:paraId="1D608D08">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传代稳定性：规定“连续传代20代后表达量下降率≤10%”，基于国内企业生产实践，20代上限可覆盖全生产流程。</w:t>
      </w:r>
    </w:p>
    <w:p w14:paraId="2FF5CD5A">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安全性检测：强制检测</w:t>
      </w:r>
      <w:r>
        <w:rPr>
          <w:rFonts w:hint="eastAsia" w:ascii="仿宋" w:hAnsi="仿宋" w:eastAsia="仿宋"/>
          <w:spacing w:val="-6"/>
          <w:sz w:val="30"/>
          <w:szCs w:val="30"/>
          <w:lang w:val="en-US" w:eastAsia="zh-CN"/>
        </w:rPr>
        <w:t>“外源病毒、致病性微生物”“抗生素筛选标记安全性”，依据《合成生物学研究与应用安全管理办法》。</w:t>
      </w:r>
    </w:p>
    <w:p w14:paraId="13553AAA">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2.发酵工艺参数的关键论据</w:t>
      </w:r>
    </w:p>
    <w:p w14:paraId="1B01C5D3">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温度与pH控制：大肠杆菌“生长37℃/诱导30℃”、毕赤酵母“全程28～30℃”，源于宿主代谢特性。30℃诱导可减少大肠杆菌蛋白错误折叠，毕赤酵母超32℃会凋亡，28～30℃甲醇诱导效率最高。pH控制，因pH偏离会激活蛋白酶导致胶原降解，参数允差确保不同规模发酵罐环境一致。</w:t>
      </w:r>
    </w:p>
    <w:p w14:paraId="594CE47D">
      <w:pPr>
        <w:spacing w:line="560" w:lineRule="exact"/>
        <w:ind w:firstLine="576" w:firstLineChars="200"/>
        <w:rPr>
          <w:rFonts w:hint="eastAsia" w:ascii="仿宋" w:hAnsi="仿宋" w:eastAsia="仿宋"/>
          <w:spacing w:val="-6"/>
          <w:sz w:val="30"/>
          <w:szCs w:val="30"/>
          <w:lang w:val="en-US" w:eastAsia="zh-CN"/>
        </w:rPr>
      </w:pPr>
      <w:r>
        <w:rPr>
          <w:rFonts w:hint="eastAsia" w:ascii="仿宋" w:hAnsi="仿宋" w:eastAsia="仿宋"/>
          <w:spacing w:val="-6"/>
          <w:sz w:val="30"/>
          <w:szCs w:val="30"/>
          <w:lang w:val="en-US" w:eastAsia="zh-CN"/>
        </w:rPr>
        <w:t>溶氧与补料策略：“大肠杆菌溶氧≥30%、毕赤酵母溶氧≥20%”，依据发酵动力学。溶氧不足会导致宿主厌氧代谢产乙酸/乙醇，抑制胶原表达，允差匹配产业化发酵罐控氧精度。补料“大肠杆菌补葡萄糖、毕赤酵母补甲醇”，葡萄糖维持碳源供应，甲醇为毕赤酵母AOX1启动子诱导剂，补料速率波动列为“微小变更”。</w:t>
      </w:r>
    </w:p>
    <w:p w14:paraId="07269874">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发酵终点判定：“大肠杆菌诱导4～6h、毕赤酵母诱导72～96h”“残糖≤0.5g/L”，平衡产物积累与杂质控制。大肠杆菌4h后表达量达峰，6h后降解率从8%升至15%；毕赤酵母真核表达周期长，72h后表达稳定；残糖≤0.5g/L可避免菌体过度繁殖（残糖1g/L时HCP含量高30%）。同时，用NTA法（《中国药典》通则3208）检测粒径，要求D90/D10≤3.0，确保产物形态均一，为纯化稳定奠定基础。</w:t>
      </w:r>
    </w:p>
    <w:p w14:paraId="3CBD8AA5">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3.纯化工艺要求的关键论据</w:t>
      </w:r>
    </w:p>
    <w:p w14:paraId="7DA886B8">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预处理环节：“高压均质破碎800～1000bar、循环3次”“0.45μm微滤膜过滤”，针对大肠杆菌胞内表达。800～1000bar破碎率≥95%，避免压力过高导致蛋白变性；离心转速允差≤±2%，确保不同规模离心机分离效果一致，减少菌体碎片残留。0.45μm滤膜去除＞0.5μm碎片，结合NTA法检测滤液，确保无大颗粒杂质。</w:t>
      </w:r>
    </w:p>
    <w:p w14:paraId="52712F35">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粗纯化参数：“硫酸铵饱和度40%～50%”“超滤膜截留10kDa”，基于胶原溶解度与分子质量。40%～50%饱和度使胶原充分沉淀；重组胶原分子质量20～100kDa，10kDa膜可截留目标蛋白并去除小分子杂质，避免层析柱污染。同时规定超滤膜材质与操作压力，匹配主流设备参数，降低实施门槛。</w:t>
      </w:r>
    </w:p>
    <w:p w14:paraId="64E53B40">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精纯化指标：“离子交换上样量≤50mg/mL、疏水层析≤30mg/mL”“SEC柱效N≥3000 m⁻¹”“TFF切向流速200-400 mL/min”，参考厂商参数与行业实践。上样量过高导致柱超载；SEC柱效≥3000 m⁻¹确保胶原与杂质分离，符合《中国药典》层析要求；TFF流速平衡效率与稳定性。预验证中，精制前体纯度96%、HCP 92ng/mg，满足医疗级要求；TFF流速调整列为“中等变更”，需验证分离效果。</w:t>
      </w:r>
    </w:p>
    <w:p w14:paraId="1492A7D2">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4.质量属性指标的关键论据</w:t>
      </w:r>
    </w:p>
    <w:p w14:paraId="3514501B">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纯度分级：医疗级产品直接入体，高纯度减少免疫原性，符合《重组胶原蛋白类医疗产品监督管理暂行规定》；化妆品级外用，90%纯度可保障功效，且纯度每提升1%，纯化成本增加5%。纯度检测采用HPLC法，参考《中国药典》通则0512，与终产品方法一致。</w:t>
      </w:r>
    </w:p>
    <w:p w14:paraId="02BBD81C">
      <w:pPr>
        <w:numPr>
          <w:ilvl w:val="0"/>
          <w:numId w:val="2"/>
        </w:numPr>
        <w:spacing w:line="560" w:lineRule="exact"/>
        <w:ind w:firstLine="600" w:firstLineChars="200"/>
        <w:rPr>
          <w:rFonts w:hint="eastAsia" w:ascii="黑体" w:hAnsi="黑体" w:eastAsia="黑体"/>
          <w:sz w:val="30"/>
          <w:szCs w:val="30"/>
        </w:rPr>
      </w:pPr>
      <w:r>
        <w:rPr>
          <w:rFonts w:hint="eastAsia" w:ascii="黑体" w:hAnsi="黑体" w:eastAsia="黑体"/>
          <w:sz w:val="30"/>
          <w:szCs w:val="30"/>
        </w:rPr>
        <w:t>主要试验</w:t>
      </w:r>
      <w:r>
        <w:rPr>
          <w:rFonts w:ascii="黑体" w:hAnsi="黑体" w:eastAsia="黑体"/>
          <w:sz w:val="30"/>
          <w:szCs w:val="30"/>
        </w:rPr>
        <w:t>[或验证]情况分析</w:t>
      </w:r>
      <w:r>
        <w:rPr>
          <w:rFonts w:hint="eastAsia" w:ascii="黑体" w:hAnsi="黑体" w:eastAsia="黑体"/>
          <w:sz w:val="30"/>
          <w:szCs w:val="30"/>
        </w:rPr>
        <w:t>、技术经济论证、预期经济效果</w:t>
      </w:r>
    </w:p>
    <w:p w14:paraId="519EA7E1">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eastAsia="zh-CN"/>
        </w:rPr>
        <w:t>（</w:t>
      </w:r>
      <w:r>
        <w:rPr>
          <w:rFonts w:hint="eastAsia" w:ascii="仿宋" w:hAnsi="仿宋" w:eastAsia="仿宋"/>
          <w:sz w:val="30"/>
          <w:szCs w:val="30"/>
          <w:lang w:val="en-US" w:eastAsia="zh-CN"/>
        </w:rPr>
        <w:t>一</w:t>
      </w:r>
      <w:r>
        <w:rPr>
          <w:rFonts w:hint="eastAsia" w:ascii="仿宋" w:hAnsi="仿宋" w:eastAsia="仿宋"/>
          <w:sz w:val="30"/>
          <w:szCs w:val="30"/>
          <w:lang w:eastAsia="zh-CN"/>
        </w:rPr>
        <w:t>）</w:t>
      </w:r>
      <w:r>
        <w:rPr>
          <w:rFonts w:hint="eastAsia" w:ascii="仿宋" w:hAnsi="仿宋" w:eastAsia="仿宋"/>
          <w:sz w:val="30"/>
          <w:szCs w:val="30"/>
        </w:rPr>
        <w:t>验证方案</w:t>
      </w:r>
    </w:p>
    <w:p w14:paraId="7577D89F">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开展“三中心、全流程、多批次”验证。选取具有产业化代表性的重组I型胶原蛋白工程菌（大肠杆菌BL21）诱导表达的50L发酵上清作为统一验证样品，参照标准草案中“工程菌稳定性－发酵工艺－纯化工艺－质量属性”的技术要求，每家单位独立完成从样品预处理、纯化精制到质量检测的完整流程，每环节平行试验3次，共获取9组全流程验证数据，覆盖工艺参数可控性、质量指标达标性及批次一致性三大核心维度</w:t>
      </w:r>
      <w:r>
        <w:rPr>
          <w:rFonts w:hint="eastAsia" w:ascii="仿宋" w:hAnsi="仿宋" w:eastAsia="仿宋"/>
          <w:sz w:val="30"/>
          <w:szCs w:val="30"/>
        </w:rPr>
        <w:t>。</w:t>
      </w:r>
    </w:p>
    <w:p w14:paraId="17A82D60">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eastAsia="zh-CN"/>
        </w:rPr>
        <w:t>（</w:t>
      </w:r>
      <w:r>
        <w:rPr>
          <w:rFonts w:hint="eastAsia" w:ascii="仿宋" w:hAnsi="仿宋" w:eastAsia="仿宋"/>
          <w:sz w:val="30"/>
          <w:szCs w:val="30"/>
          <w:lang w:val="en-US" w:eastAsia="zh-CN"/>
        </w:rPr>
        <w:t>二</w:t>
      </w:r>
      <w:r>
        <w:rPr>
          <w:rFonts w:hint="eastAsia" w:ascii="仿宋" w:hAnsi="仿宋" w:eastAsia="仿宋"/>
          <w:sz w:val="30"/>
          <w:szCs w:val="30"/>
          <w:lang w:eastAsia="zh-CN"/>
        </w:rPr>
        <w:t>）</w:t>
      </w:r>
      <w:r>
        <w:rPr>
          <w:rFonts w:hint="eastAsia" w:ascii="仿宋" w:hAnsi="仿宋" w:eastAsia="仿宋"/>
          <w:sz w:val="30"/>
          <w:szCs w:val="30"/>
        </w:rPr>
        <w:t>技术经济论证</w:t>
      </w:r>
    </w:p>
    <w:p w14:paraId="791BCEDA">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以年产100吨重组胶原蛋白合成生物原料（医疗级）的企业为测算模型为例，现行工艺平均研发周期12个月，研发成本超500万元；标准工艺提供明确的工艺框架与参数参考，研发周期缩短至6个月，研发成本大幅降低。现行工艺因参数不统一，批次失败率高，原料浪费率8%；标准工艺批次失败率降至1%，每年可减少大量原料浪费。现行企业设备利用率仅45%，存在大量闲置；标准工艺实现工艺标准化与规模化生产，设备利用率提升至70%，提高设备投资回报率。</w:t>
      </w:r>
    </w:p>
    <w:p w14:paraId="48089E7B">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eastAsia="zh-CN"/>
        </w:rPr>
        <w:t>（</w:t>
      </w:r>
      <w:r>
        <w:rPr>
          <w:rFonts w:hint="eastAsia" w:ascii="仿宋" w:hAnsi="仿宋" w:eastAsia="仿宋"/>
          <w:sz w:val="30"/>
          <w:szCs w:val="30"/>
          <w:lang w:val="en-US" w:eastAsia="zh-CN"/>
        </w:rPr>
        <w:t>三</w:t>
      </w:r>
      <w:r>
        <w:rPr>
          <w:rFonts w:hint="eastAsia" w:ascii="仿宋" w:hAnsi="仿宋" w:eastAsia="仿宋"/>
          <w:sz w:val="30"/>
          <w:szCs w:val="30"/>
          <w:lang w:eastAsia="zh-CN"/>
        </w:rPr>
        <w:t>）</w:t>
      </w:r>
      <w:r>
        <w:rPr>
          <w:rFonts w:hint="eastAsia" w:ascii="仿宋" w:hAnsi="仿宋" w:eastAsia="仿宋"/>
          <w:sz w:val="30"/>
          <w:szCs w:val="30"/>
        </w:rPr>
        <w:t>预期经济效果</w:t>
      </w:r>
    </w:p>
    <w:p w14:paraId="6D4103A0">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1.行业层面</w:t>
      </w:r>
    </w:p>
    <w:p w14:paraId="5B27F298">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规范上游原料生产，提升整个重组胶原蛋白产业链的质量水平，带动产业健康发展；降低行业技术门槛，吸引更多资本与企业进入，扩大产业规模，预计未来几年可带动行业新增大量产值。</w:t>
      </w:r>
    </w:p>
    <w:p w14:paraId="1414EC29">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2.企业层面</w:t>
      </w:r>
    </w:p>
    <w:p w14:paraId="5E529E6F">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原料生产商降低研发与生产成本，提高产品质量与市场竞争力；CDMO企业可基于标准工艺快速对接客户需求，提升订单转化率与服务效率；下游制造商因原料质量稳定、批次一致，减少生产过程中的不合格品，降低生产成本，提升产品市场口碑。</w:t>
      </w:r>
    </w:p>
    <w:p w14:paraId="254CECC3">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3.监管层面</w:t>
      </w:r>
    </w:p>
    <w:p w14:paraId="4F59AA11">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为原料监管提供明确的技术依据，简化监管流程，提高监管效率，降低监管成本；减少因原料质量问题引发的安全事件，保障消费者权益与公共安全。</w:t>
      </w:r>
    </w:p>
    <w:p w14:paraId="6529F08E">
      <w:pPr>
        <w:spacing w:line="560" w:lineRule="exact"/>
        <w:ind w:firstLine="600" w:firstLineChars="200"/>
        <w:rPr>
          <w:rFonts w:ascii="黑体" w:hAnsi="黑体" w:eastAsia="黑体"/>
          <w:sz w:val="30"/>
          <w:szCs w:val="30"/>
        </w:rPr>
      </w:pPr>
      <w:r>
        <w:rPr>
          <w:rFonts w:hint="eastAsia" w:ascii="黑体" w:hAnsi="黑体" w:eastAsia="黑体"/>
          <w:sz w:val="30"/>
          <w:szCs w:val="30"/>
        </w:rPr>
        <w:t>四、采用国际标准和国内外先进标准的程度</w:t>
      </w:r>
    </w:p>
    <w:p w14:paraId="64CC3227">
      <w:pPr>
        <w:spacing w:line="560" w:lineRule="exact"/>
        <w:ind w:firstLine="600" w:firstLineChars="200"/>
        <w:rPr>
          <w:rFonts w:ascii="仿宋" w:hAnsi="仿宋" w:eastAsia="仿宋"/>
          <w:sz w:val="30"/>
          <w:szCs w:val="30"/>
        </w:rPr>
      </w:pPr>
      <w:r>
        <w:rPr>
          <w:rFonts w:hint="eastAsia" w:ascii="仿宋" w:hAnsi="仿宋" w:eastAsia="仿宋"/>
          <w:sz w:val="30"/>
          <w:szCs w:val="30"/>
        </w:rPr>
        <w:t>本文</w:t>
      </w:r>
      <w:r>
        <w:rPr>
          <w:rFonts w:hint="eastAsia" w:ascii="仿宋" w:hAnsi="仿宋" w:eastAsia="仿宋"/>
          <w:b w:val="0"/>
          <w:bCs w:val="0"/>
          <w:color w:val="auto"/>
          <w:sz w:val="30"/>
          <w:szCs w:val="30"/>
        </w:rPr>
        <w:t>件不涉及</w:t>
      </w:r>
      <w:r>
        <w:rPr>
          <w:rFonts w:hint="eastAsia" w:ascii="仿宋" w:hAnsi="仿宋" w:eastAsia="仿宋"/>
          <w:color w:val="auto"/>
          <w:sz w:val="30"/>
          <w:szCs w:val="30"/>
        </w:rPr>
        <w:t>国际国外标准的采标情</w:t>
      </w:r>
      <w:r>
        <w:rPr>
          <w:rFonts w:hint="eastAsia" w:ascii="仿宋" w:hAnsi="仿宋" w:eastAsia="仿宋"/>
          <w:sz w:val="30"/>
          <w:szCs w:val="30"/>
        </w:rPr>
        <w:t>况。</w:t>
      </w:r>
    </w:p>
    <w:p w14:paraId="725253CC">
      <w:pPr>
        <w:spacing w:line="560" w:lineRule="exact"/>
        <w:ind w:firstLine="600" w:firstLineChars="200"/>
        <w:rPr>
          <w:rFonts w:ascii="黑体" w:hAnsi="黑体" w:eastAsia="黑体"/>
          <w:sz w:val="30"/>
          <w:szCs w:val="30"/>
        </w:rPr>
      </w:pPr>
      <w:r>
        <w:rPr>
          <w:rFonts w:hint="eastAsia" w:ascii="黑体" w:hAnsi="黑体" w:eastAsia="黑体"/>
          <w:sz w:val="30"/>
          <w:szCs w:val="30"/>
        </w:rPr>
        <w:t>五、重大分歧意见处理经过及依据</w:t>
      </w:r>
    </w:p>
    <w:p w14:paraId="5B0CCB6C">
      <w:pPr>
        <w:spacing w:line="560" w:lineRule="exact"/>
        <w:ind w:firstLine="600" w:firstLineChars="200"/>
        <w:rPr>
          <w:rFonts w:ascii="仿宋" w:hAnsi="仿宋" w:eastAsia="仿宋"/>
          <w:sz w:val="30"/>
          <w:szCs w:val="30"/>
        </w:rPr>
      </w:pPr>
      <w:r>
        <w:rPr>
          <w:rFonts w:hint="eastAsia" w:ascii="仿宋" w:hAnsi="仿宋" w:eastAsia="仿宋"/>
          <w:sz w:val="30"/>
          <w:szCs w:val="30"/>
        </w:rPr>
        <w:t>本文件在制定过程中未出现重大分歧意见。</w:t>
      </w:r>
    </w:p>
    <w:p w14:paraId="4E3D657F">
      <w:pPr>
        <w:spacing w:line="560" w:lineRule="exact"/>
        <w:ind w:firstLine="600" w:firstLineChars="200"/>
        <w:rPr>
          <w:rFonts w:ascii="黑体" w:hAnsi="黑体" w:eastAsia="黑体"/>
          <w:sz w:val="30"/>
          <w:szCs w:val="30"/>
        </w:rPr>
      </w:pPr>
      <w:r>
        <w:rPr>
          <w:rFonts w:hint="eastAsia" w:ascii="黑体" w:hAnsi="黑体" w:eastAsia="黑体"/>
          <w:sz w:val="30"/>
          <w:szCs w:val="30"/>
        </w:rPr>
        <w:t>六、与现行相关法律、法规及相关标准的协调性</w:t>
      </w:r>
    </w:p>
    <w:p w14:paraId="6FC74ECA">
      <w:pPr>
        <w:pStyle w:val="26"/>
        <w:spacing w:line="360" w:lineRule="auto"/>
        <w:ind w:firstLine="600"/>
        <w:rPr>
          <w:rFonts w:hint="eastAsia" w:ascii="仿宋" w:hAnsi="仿宋" w:eastAsia="仿宋" w:cs="仿宋"/>
          <w:b w:val="0"/>
          <w:bCs w:val="0"/>
          <w:sz w:val="30"/>
          <w:szCs w:val="30"/>
        </w:rPr>
      </w:pPr>
      <w:r>
        <w:rPr>
          <w:rFonts w:hint="eastAsia" w:ascii="仿宋" w:hAnsi="仿宋" w:eastAsia="仿宋" w:cs="仿宋"/>
          <w:b w:val="0"/>
          <w:bCs w:val="0"/>
          <w:sz w:val="30"/>
          <w:szCs w:val="30"/>
        </w:rPr>
        <w:t>与现行相关法律、法规及相关标准</w:t>
      </w:r>
      <w:r>
        <w:rPr>
          <w:rFonts w:hint="eastAsia" w:ascii="仿宋" w:hAnsi="仿宋" w:eastAsia="仿宋" w:cs="仿宋"/>
          <w:b w:val="0"/>
          <w:bCs w:val="0"/>
          <w:sz w:val="30"/>
          <w:szCs w:val="30"/>
          <w:lang w:val="en-US" w:eastAsia="zh-CN"/>
        </w:rPr>
        <w:t>相协调。</w:t>
      </w:r>
    </w:p>
    <w:p w14:paraId="52A2CB83">
      <w:pPr>
        <w:pStyle w:val="26"/>
        <w:spacing w:line="360" w:lineRule="auto"/>
        <w:ind w:firstLine="600"/>
        <w:rPr>
          <w:rFonts w:ascii="黑体" w:hAnsi="黑体" w:eastAsia="黑体"/>
          <w:sz w:val="30"/>
          <w:szCs w:val="30"/>
        </w:rPr>
      </w:pPr>
      <w:r>
        <w:rPr>
          <w:rFonts w:hint="eastAsia" w:ascii="黑体" w:hAnsi="黑体" w:eastAsia="黑体"/>
          <w:sz w:val="30"/>
          <w:szCs w:val="30"/>
        </w:rPr>
        <w:t>七、知识产权情况说明</w:t>
      </w:r>
    </w:p>
    <w:p w14:paraId="54BDF626">
      <w:pPr>
        <w:spacing w:line="560" w:lineRule="exact"/>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本文件不涉及必要专利等知识产权情况</w:t>
      </w:r>
      <w:r>
        <w:rPr>
          <w:rFonts w:hint="eastAsia" w:ascii="仿宋" w:hAnsi="仿宋" w:eastAsia="仿宋" w:cs="仿宋"/>
          <w:b w:val="0"/>
          <w:bCs w:val="0"/>
          <w:sz w:val="30"/>
          <w:szCs w:val="30"/>
          <w:lang w:eastAsia="zh-CN"/>
        </w:rPr>
        <w:t>。</w:t>
      </w:r>
    </w:p>
    <w:p w14:paraId="0BE14CA5">
      <w:pPr>
        <w:spacing w:line="560" w:lineRule="exact"/>
        <w:ind w:firstLine="600" w:firstLineChars="200"/>
        <w:rPr>
          <w:rFonts w:ascii="黑体" w:hAnsi="黑体" w:eastAsia="黑体"/>
          <w:sz w:val="30"/>
          <w:szCs w:val="30"/>
        </w:rPr>
      </w:pPr>
      <w:r>
        <w:rPr>
          <w:rFonts w:hint="eastAsia" w:ascii="黑体" w:hAnsi="黑体" w:eastAsia="黑体"/>
          <w:sz w:val="30"/>
          <w:szCs w:val="30"/>
        </w:rPr>
        <w:t>八、其他应予说明的事项</w:t>
      </w:r>
    </w:p>
    <w:p w14:paraId="1E5205B0">
      <w:pPr>
        <w:spacing w:line="560" w:lineRule="exact"/>
        <w:ind w:firstLine="600" w:firstLineChars="200"/>
        <w:rPr>
          <w:rFonts w:ascii="仿宋" w:hAnsi="仿宋" w:eastAsia="仿宋"/>
          <w:sz w:val="30"/>
          <w:szCs w:val="30"/>
        </w:rPr>
      </w:pPr>
      <w:r>
        <w:rPr>
          <w:rFonts w:hint="eastAsia" w:ascii="仿宋" w:hAnsi="仿宋" w:eastAsia="仿宋"/>
          <w:sz w:val="30"/>
          <w:szCs w:val="30"/>
        </w:rPr>
        <w:t>无。</w:t>
      </w:r>
    </w:p>
    <w:p w14:paraId="6F691433">
      <w:pPr>
        <w:spacing w:line="560" w:lineRule="exact"/>
        <w:rPr>
          <w:rFonts w:ascii="仿宋" w:hAnsi="仿宋" w:eastAsia="仿宋"/>
          <w:sz w:val="30"/>
          <w:szCs w:val="30"/>
        </w:rPr>
      </w:pPr>
    </w:p>
    <w:p w14:paraId="590A052F">
      <w:pPr>
        <w:spacing w:line="560" w:lineRule="exact"/>
        <w:ind w:firstLine="600" w:firstLineChars="200"/>
        <w:jc w:val="right"/>
        <w:rPr>
          <w:rFonts w:hint="eastAsia" w:ascii="仿宋" w:hAnsi="仿宋" w:eastAsia="仿宋"/>
          <w:sz w:val="30"/>
          <w:szCs w:val="30"/>
          <w:lang w:val="en-US" w:eastAsia="zh-CN"/>
        </w:rPr>
      </w:pPr>
      <w:r>
        <w:rPr>
          <w:rFonts w:hint="eastAsia" w:ascii="仿宋" w:hAnsi="仿宋" w:eastAsia="仿宋"/>
          <w:sz w:val="30"/>
          <w:szCs w:val="30"/>
          <w:lang w:val="en-US" w:eastAsia="zh-CN"/>
        </w:rPr>
        <w:t>《重组胶原蛋白合成生物原料技术通用规范》</w:t>
      </w:r>
    </w:p>
    <w:p w14:paraId="728E1B3F">
      <w:pPr>
        <w:spacing w:line="560" w:lineRule="exact"/>
        <w:ind w:leftChars="1700"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团体标准工作组</w:t>
      </w:r>
    </w:p>
    <w:p w14:paraId="7F614426">
      <w:pPr>
        <w:spacing w:line="560" w:lineRule="exact"/>
        <w:ind w:leftChars="1800"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2025年11月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2398276"/>
    </w:sdtPr>
    <w:sdtContent>
      <w:p w14:paraId="72C22BA0">
        <w:pPr>
          <w:pStyle w:val="9"/>
          <w:jc w:val="cente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CFC899"/>
    <w:multiLevelType w:val="singleLevel"/>
    <w:tmpl w:val="24CFC899"/>
    <w:lvl w:ilvl="0" w:tentative="0">
      <w:start w:val="3"/>
      <w:numFmt w:val="chineseCounting"/>
      <w:suff w:val="nothing"/>
      <w:lvlText w:val="%1、"/>
      <w:lvlJc w:val="left"/>
      <w:rPr>
        <w:rFonts w:hint="eastAsia"/>
      </w:rPr>
    </w:lvl>
  </w:abstractNum>
  <w:abstractNum w:abstractNumId="1">
    <w:nsid w:val="55421B1B"/>
    <w:multiLevelType w:val="singleLevel"/>
    <w:tmpl w:val="55421B1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removePersonalInformation/>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xMjU0YWRiNjhmNzkyNDkwNmUzZWY0ZjhkYmVlMzgifQ=="/>
  </w:docVars>
  <w:rsids>
    <w:rsidRoot w:val="004974A4"/>
    <w:rsid w:val="000014F2"/>
    <w:rsid w:val="000064BB"/>
    <w:rsid w:val="00007B60"/>
    <w:rsid w:val="000229CA"/>
    <w:rsid w:val="0002521D"/>
    <w:rsid w:val="00027D9A"/>
    <w:rsid w:val="00035CAD"/>
    <w:rsid w:val="00041969"/>
    <w:rsid w:val="00041FCB"/>
    <w:rsid w:val="0004210E"/>
    <w:rsid w:val="00046841"/>
    <w:rsid w:val="00047F4F"/>
    <w:rsid w:val="00057D2B"/>
    <w:rsid w:val="0006072E"/>
    <w:rsid w:val="00064713"/>
    <w:rsid w:val="000736B8"/>
    <w:rsid w:val="00077EA3"/>
    <w:rsid w:val="00083872"/>
    <w:rsid w:val="00086056"/>
    <w:rsid w:val="00092577"/>
    <w:rsid w:val="00092944"/>
    <w:rsid w:val="00093E0F"/>
    <w:rsid w:val="000A1000"/>
    <w:rsid w:val="000A4673"/>
    <w:rsid w:val="000A6FA0"/>
    <w:rsid w:val="000B4579"/>
    <w:rsid w:val="000B5E71"/>
    <w:rsid w:val="000B7F3F"/>
    <w:rsid w:val="000D2DE2"/>
    <w:rsid w:val="000F03F8"/>
    <w:rsid w:val="00122EEC"/>
    <w:rsid w:val="001239C9"/>
    <w:rsid w:val="00131000"/>
    <w:rsid w:val="00133AAF"/>
    <w:rsid w:val="00140D04"/>
    <w:rsid w:val="001419FF"/>
    <w:rsid w:val="001445AE"/>
    <w:rsid w:val="00152FE4"/>
    <w:rsid w:val="001543CF"/>
    <w:rsid w:val="001629D0"/>
    <w:rsid w:val="00164E8B"/>
    <w:rsid w:val="00171E49"/>
    <w:rsid w:val="00181F70"/>
    <w:rsid w:val="00185452"/>
    <w:rsid w:val="00190096"/>
    <w:rsid w:val="0019185A"/>
    <w:rsid w:val="00194E1E"/>
    <w:rsid w:val="001950D6"/>
    <w:rsid w:val="001A451D"/>
    <w:rsid w:val="001A73BB"/>
    <w:rsid w:val="001A73E1"/>
    <w:rsid w:val="001A7970"/>
    <w:rsid w:val="001B1C20"/>
    <w:rsid w:val="001B6D4E"/>
    <w:rsid w:val="001C6B0C"/>
    <w:rsid w:val="001D326B"/>
    <w:rsid w:val="001D47B4"/>
    <w:rsid w:val="001E0922"/>
    <w:rsid w:val="001E6A17"/>
    <w:rsid w:val="001F174B"/>
    <w:rsid w:val="001F4878"/>
    <w:rsid w:val="001F5724"/>
    <w:rsid w:val="00201616"/>
    <w:rsid w:val="00206499"/>
    <w:rsid w:val="002300C4"/>
    <w:rsid w:val="0023101C"/>
    <w:rsid w:val="002324E8"/>
    <w:rsid w:val="0023310B"/>
    <w:rsid w:val="00236031"/>
    <w:rsid w:val="00241903"/>
    <w:rsid w:val="00250838"/>
    <w:rsid w:val="002520D8"/>
    <w:rsid w:val="00255729"/>
    <w:rsid w:val="00255B20"/>
    <w:rsid w:val="00255B9D"/>
    <w:rsid w:val="00263356"/>
    <w:rsid w:val="00264992"/>
    <w:rsid w:val="00271486"/>
    <w:rsid w:val="00274E58"/>
    <w:rsid w:val="0027682E"/>
    <w:rsid w:val="00280C6C"/>
    <w:rsid w:val="00286A03"/>
    <w:rsid w:val="00290982"/>
    <w:rsid w:val="00292535"/>
    <w:rsid w:val="00294801"/>
    <w:rsid w:val="00297D68"/>
    <w:rsid w:val="002A1A09"/>
    <w:rsid w:val="002A221E"/>
    <w:rsid w:val="002B396A"/>
    <w:rsid w:val="002C68B0"/>
    <w:rsid w:val="002C72D9"/>
    <w:rsid w:val="002D2B99"/>
    <w:rsid w:val="002D60F7"/>
    <w:rsid w:val="002D75B3"/>
    <w:rsid w:val="002E3F4D"/>
    <w:rsid w:val="002E5127"/>
    <w:rsid w:val="002E5F73"/>
    <w:rsid w:val="002E632D"/>
    <w:rsid w:val="002F07B2"/>
    <w:rsid w:val="002F109B"/>
    <w:rsid w:val="0030468D"/>
    <w:rsid w:val="003046B0"/>
    <w:rsid w:val="003058B8"/>
    <w:rsid w:val="003074DF"/>
    <w:rsid w:val="00307688"/>
    <w:rsid w:val="0030785E"/>
    <w:rsid w:val="003115C5"/>
    <w:rsid w:val="0031690B"/>
    <w:rsid w:val="003208B3"/>
    <w:rsid w:val="00324FA6"/>
    <w:rsid w:val="003251F7"/>
    <w:rsid w:val="0032525C"/>
    <w:rsid w:val="003303AC"/>
    <w:rsid w:val="003342BB"/>
    <w:rsid w:val="0033430C"/>
    <w:rsid w:val="003349E4"/>
    <w:rsid w:val="0034018C"/>
    <w:rsid w:val="00352683"/>
    <w:rsid w:val="00353799"/>
    <w:rsid w:val="00366F5C"/>
    <w:rsid w:val="00367225"/>
    <w:rsid w:val="00367783"/>
    <w:rsid w:val="003717AE"/>
    <w:rsid w:val="00381894"/>
    <w:rsid w:val="00383350"/>
    <w:rsid w:val="00383C10"/>
    <w:rsid w:val="00384005"/>
    <w:rsid w:val="0038567E"/>
    <w:rsid w:val="00392562"/>
    <w:rsid w:val="00392630"/>
    <w:rsid w:val="00394979"/>
    <w:rsid w:val="0039569E"/>
    <w:rsid w:val="00396049"/>
    <w:rsid w:val="003A24CA"/>
    <w:rsid w:val="003A4F1A"/>
    <w:rsid w:val="003A59A1"/>
    <w:rsid w:val="003A5AF0"/>
    <w:rsid w:val="003A67CC"/>
    <w:rsid w:val="003A7011"/>
    <w:rsid w:val="003C5CAB"/>
    <w:rsid w:val="003D1940"/>
    <w:rsid w:val="003D1E8F"/>
    <w:rsid w:val="003D2580"/>
    <w:rsid w:val="003D5E1C"/>
    <w:rsid w:val="003E621D"/>
    <w:rsid w:val="003E719A"/>
    <w:rsid w:val="003F2BCA"/>
    <w:rsid w:val="003F4421"/>
    <w:rsid w:val="0040680E"/>
    <w:rsid w:val="00406F8B"/>
    <w:rsid w:val="004143AB"/>
    <w:rsid w:val="00415D7F"/>
    <w:rsid w:val="00425D84"/>
    <w:rsid w:val="00426B3C"/>
    <w:rsid w:val="00427505"/>
    <w:rsid w:val="004275EB"/>
    <w:rsid w:val="00430405"/>
    <w:rsid w:val="00435445"/>
    <w:rsid w:val="004379BF"/>
    <w:rsid w:val="00441E03"/>
    <w:rsid w:val="0044291D"/>
    <w:rsid w:val="00443C10"/>
    <w:rsid w:val="004513F5"/>
    <w:rsid w:val="00454414"/>
    <w:rsid w:val="00457119"/>
    <w:rsid w:val="00462846"/>
    <w:rsid w:val="00465A66"/>
    <w:rsid w:val="00471067"/>
    <w:rsid w:val="0047565A"/>
    <w:rsid w:val="00475BC4"/>
    <w:rsid w:val="00496AB8"/>
    <w:rsid w:val="004974A4"/>
    <w:rsid w:val="004A4A72"/>
    <w:rsid w:val="004A4B4E"/>
    <w:rsid w:val="004C0D54"/>
    <w:rsid w:val="004C74A0"/>
    <w:rsid w:val="004E1BE5"/>
    <w:rsid w:val="004E2BAA"/>
    <w:rsid w:val="004E3BA5"/>
    <w:rsid w:val="004E4D96"/>
    <w:rsid w:val="004E7C92"/>
    <w:rsid w:val="004F0602"/>
    <w:rsid w:val="004F7437"/>
    <w:rsid w:val="005025D3"/>
    <w:rsid w:val="0050291C"/>
    <w:rsid w:val="00507847"/>
    <w:rsid w:val="00514FF9"/>
    <w:rsid w:val="00523046"/>
    <w:rsid w:val="00523193"/>
    <w:rsid w:val="00523A00"/>
    <w:rsid w:val="005265CA"/>
    <w:rsid w:val="00533EEF"/>
    <w:rsid w:val="00540039"/>
    <w:rsid w:val="00541304"/>
    <w:rsid w:val="00543485"/>
    <w:rsid w:val="00557A66"/>
    <w:rsid w:val="00557AB5"/>
    <w:rsid w:val="005614D0"/>
    <w:rsid w:val="00563CCB"/>
    <w:rsid w:val="00565BF2"/>
    <w:rsid w:val="00566A51"/>
    <w:rsid w:val="00571A55"/>
    <w:rsid w:val="00580AAA"/>
    <w:rsid w:val="00583E3D"/>
    <w:rsid w:val="005849C7"/>
    <w:rsid w:val="005858EF"/>
    <w:rsid w:val="005876CA"/>
    <w:rsid w:val="0059002F"/>
    <w:rsid w:val="0059147C"/>
    <w:rsid w:val="0059371A"/>
    <w:rsid w:val="0059717D"/>
    <w:rsid w:val="00597B8C"/>
    <w:rsid w:val="005A4E18"/>
    <w:rsid w:val="005A64AB"/>
    <w:rsid w:val="005B409D"/>
    <w:rsid w:val="005B492A"/>
    <w:rsid w:val="005C0087"/>
    <w:rsid w:val="005C4CA5"/>
    <w:rsid w:val="005D090D"/>
    <w:rsid w:val="005D12DB"/>
    <w:rsid w:val="005D5945"/>
    <w:rsid w:val="005E16F8"/>
    <w:rsid w:val="005E1C28"/>
    <w:rsid w:val="005E2D66"/>
    <w:rsid w:val="005F2068"/>
    <w:rsid w:val="005F6883"/>
    <w:rsid w:val="005F6C0F"/>
    <w:rsid w:val="005F7D9A"/>
    <w:rsid w:val="00600490"/>
    <w:rsid w:val="00603017"/>
    <w:rsid w:val="006064DB"/>
    <w:rsid w:val="00606771"/>
    <w:rsid w:val="006072CF"/>
    <w:rsid w:val="00612918"/>
    <w:rsid w:val="00612D6D"/>
    <w:rsid w:val="00613966"/>
    <w:rsid w:val="00616CF9"/>
    <w:rsid w:val="00617B16"/>
    <w:rsid w:val="006215B2"/>
    <w:rsid w:val="00622E47"/>
    <w:rsid w:val="00622F3A"/>
    <w:rsid w:val="00625157"/>
    <w:rsid w:val="00632067"/>
    <w:rsid w:val="00633680"/>
    <w:rsid w:val="00634268"/>
    <w:rsid w:val="00637632"/>
    <w:rsid w:val="0064166D"/>
    <w:rsid w:val="00646255"/>
    <w:rsid w:val="00652461"/>
    <w:rsid w:val="00652BD1"/>
    <w:rsid w:val="006805F1"/>
    <w:rsid w:val="00686353"/>
    <w:rsid w:val="00690E49"/>
    <w:rsid w:val="006B4D3F"/>
    <w:rsid w:val="006B6754"/>
    <w:rsid w:val="006B7164"/>
    <w:rsid w:val="006C08F6"/>
    <w:rsid w:val="006C0C20"/>
    <w:rsid w:val="006C3C40"/>
    <w:rsid w:val="006D0E2F"/>
    <w:rsid w:val="006D5852"/>
    <w:rsid w:val="006D6390"/>
    <w:rsid w:val="006F3029"/>
    <w:rsid w:val="006F323E"/>
    <w:rsid w:val="006F3AA5"/>
    <w:rsid w:val="006F3E09"/>
    <w:rsid w:val="00700DD2"/>
    <w:rsid w:val="0071097D"/>
    <w:rsid w:val="00711398"/>
    <w:rsid w:val="0071190A"/>
    <w:rsid w:val="0071379B"/>
    <w:rsid w:val="00715E2D"/>
    <w:rsid w:val="007219A3"/>
    <w:rsid w:val="00725E09"/>
    <w:rsid w:val="00726576"/>
    <w:rsid w:val="00731CF2"/>
    <w:rsid w:val="00733913"/>
    <w:rsid w:val="007359E1"/>
    <w:rsid w:val="00742483"/>
    <w:rsid w:val="00747A4D"/>
    <w:rsid w:val="00753F4A"/>
    <w:rsid w:val="007540EA"/>
    <w:rsid w:val="007543F9"/>
    <w:rsid w:val="0075724F"/>
    <w:rsid w:val="00763E16"/>
    <w:rsid w:val="00767E3E"/>
    <w:rsid w:val="00770195"/>
    <w:rsid w:val="0077127C"/>
    <w:rsid w:val="007747B0"/>
    <w:rsid w:val="007751A6"/>
    <w:rsid w:val="00775E42"/>
    <w:rsid w:val="0077743A"/>
    <w:rsid w:val="0077795B"/>
    <w:rsid w:val="00780AF1"/>
    <w:rsid w:val="00781A1C"/>
    <w:rsid w:val="00782CEA"/>
    <w:rsid w:val="00783426"/>
    <w:rsid w:val="00783AD0"/>
    <w:rsid w:val="0078404F"/>
    <w:rsid w:val="00791021"/>
    <w:rsid w:val="00791F3A"/>
    <w:rsid w:val="007924DA"/>
    <w:rsid w:val="007A3B99"/>
    <w:rsid w:val="007B139C"/>
    <w:rsid w:val="007B2DF3"/>
    <w:rsid w:val="007B6CC7"/>
    <w:rsid w:val="007C0814"/>
    <w:rsid w:val="007C1B6F"/>
    <w:rsid w:val="007C636D"/>
    <w:rsid w:val="007D1FA5"/>
    <w:rsid w:val="007D7304"/>
    <w:rsid w:val="007D7730"/>
    <w:rsid w:val="007E7026"/>
    <w:rsid w:val="00800828"/>
    <w:rsid w:val="00802F48"/>
    <w:rsid w:val="008145FD"/>
    <w:rsid w:val="00815BD7"/>
    <w:rsid w:val="008239A5"/>
    <w:rsid w:val="008253A4"/>
    <w:rsid w:val="0082563B"/>
    <w:rsid w:val="00826C0E"/>
    <w:rsid w:val="00831DAE"/>
    <w:rsid w:val="0083284C"/>
    <w:rsid w:val="008341F8"/>
    <w:rsid w:val="00834F56"/>
    <w:rsid w:val="00837246"/>
    <w:rsid w:val="00837566"/>
    <w:rsid w:val="00856326"/>
    <w:rsid w:val="00860D72"/>
    <w:rsid w:val="00860DF2"/>
    <w:rsid w:val="00861005"/>
    <w:rsid w:val="0086178C"/>
    <w:rsid w:val="008617B8"/>
    <w:rsid w:val="00871A83"/>
    <w:rsid w:val="0087645A"/>
    <w:rsid w:val="0088153A"/>
    <w:rsid w:val="00886717"/>
    <w:rsid w:val="00887C6E"/>
    <w:rsid w:val="008913E0"/>
    <w:rsid w:val="00891B0D"/>
    <w:rsid w:val="00896B75"/>
    <w:rsid w:val="008A2491"/>
    <w:rsid w:val="008B1CF7"/>
    <w:rsid w:val="008B353B"/>
    <w:rsid w:val="008B72B7"/>
    <w:rsid w:val="008C57E0"/>
    <w:rsid w:val="008C6037"/>
    <w:rsid w:val="008D11F8"/>
    <w:rsid w:val="008D1385"/>
    <w:rsid w:val="008D37F1"/>
    <w:rsid w:val="008D4217"/>
    <w:rsid w:val="008D5FFC"/>
    <w:rsid w:val="008D64EB"/>
    <w:rsid w:val="008D7818"/>
    <w:rsid w:val="008E05EB"/>
    <w:rsid w:val="008E1C10"/>
    <w:rsid w:val="008F2D41"/>
    <w:rsid w:val="008F4F90"/>
    <w:rsid w:val="008F52DE"/>
    <w:rsid w:val="008F645D"/>
    <w:rsid w:val="00902B55"/>
    <w:rsid w:val="00910C02"/>
    <w:rsid w:val="00911F93"/>
    <w:rsid w:val="009207AD"/>
    <w:rsid w:val="00924B33"/>
    <w:rsid w:val="00926A24"/>
    <w:rsid w:val="00934B41"/>
    <w:rsid w:val="00937668"/>
    <w:rsid w:val="00943B8C"/>
    <w:rsid w:val="009508BD"/>
    <w:rsid w:val="00953798"/>
    <w:rsid w:val="00953B88"/>
    <w:rsid w:val="00960527"/>
    <w:rsid w:val="0096082E"/>
    <w:rsid w:val="00962CF7"/>
    <w:rsid w:val="009662A5"/>
    <w:rsid w:val="009666F3"/>
    <w:rsid w:val="00976201"/>
    <w:rsid w:val="00976DBF"/>
    <w:rsid w:val="00977F30"/>
    <w:rsid w:val="00985F72"/>
    <w:rsid w:val="00991602"/>
    <w:rsid w:val="009957CA"/>
    <w:rsid w:val="00996739"/>
    <w:rsid w:val="00997D6F"/>
    <w:rsid w:val="009A1752"/>
    <w:rsid w:val="009A42A3"/>
    <w:rsid w:val="009A661F"/>
    <w:rsid w:val="009A7F3A"/>
    <w:rsid w:val="009B7F5E"/>
    <w:rsid w:val="009C4EDF"/>
    <w:rsid w:val="009D18EE"/>
    <w:rsid w:val="009D2643"/>
    <w:rsid w:val="009D3B1B"/>
    <w:rsid w:val="009E2A7A"/>
    <w:rsid w:val="009E79B0"/>
    <w:rsid w:val="009F2A8E"/>
    <w:rsid w:val="009F3AAE"/>
    <w:rsid w:val="009F5392"/>
    <w:rsid w:val="009F664F"/>
    <w:rsid w:val="00A05142"/>
    <w:rsid w:val="00A05E92"/>
    <w:rsid w:val="00A07C19"/>
    <w:rsid w:val="00A235E4"/>
    <w:rsid w:val="00A30430"/>
    <w:rsid w:val="00A344C3"/>
    <w:rsid w:val="00A40F79"/>
    <w:rsid w:val="00A44B54"/>
    <w:rsid w:val="00A44E3E"/>
    <w:rsid w:val="00A52790"/>
    <w:rsid w:val="00A534BC"/>
    <w:rsid w:val="00A54B14"/>
    <w:rsid w:val="00A579A6"/>
    <w:rsid w:val="00A614FC"/>
    <w:rsid w:val="00A65C7B"/>
    <w:rsid w:val="00A70ABE"/>
    <w:rsid w:val="00A728D6"/>
    <w:rsid w:val="00A73278"/>
    <w:rsid w:val="00A74924"/>
    <w:rsid w:val="00A81E02"/>
    <w:rsid w:val="00A82723"/>
    <w:rsid w:val="00A82AB6"/>
    <w:rsid w:val="00A935D1"/>
    <w:rsid w:val="00A93C96"/>
    <w:rsid w:val="00A95B61"/>
    <w:rsid w:val="00AA0980"/>
    <w:rsid w:val="00AA625D"/>
    <w:rsid w:val="00AA6672"/>
    <w:rsid w:val="00AA6958"/>
    <w:rsid w:val="00AB0BB4"/>
    <w:rsid w:val="00AB4A1F"/>
    <w:rsid w:val="00AB62DE"/>
    <w:rsid w:val="00AB7871"/>
    <w:rsid w:val="00AC40C1"/>
    <w:rsid w:val="00AC6128"/>
    <w:rsid w:val="00AC639C"/>
    <w:rsid w:val="00AD18A1"/>
    <w:rsid w:val="00AD30B0"/>
    <w:rsid w:val="00AD334F"/>
    <w:rsid w:val="00AD47E8"/>
    <w:rsid w:val="00AE0654"/>
    <w:rsid w:val="00AE0F03"/>
    <w:rsid w:val="00AE4C80"/>
    <w:rsid w:val="00AF7791"/>
    <w:rsid w:val="00B0298D"/>
    <w:rsid w:val="00B141E1"/>
    <w:rsid w:val="00B14EAB"/>
    <w:rsid w:val="00B2494E"/>
    <w:rsid w:val="00B24A75"/>
    <w:rsid w:val="00B25127"/>
    <w:rsid w:val="00B30A4D"/>
    <w:rsid w:val="00B30F38"/>
    <w:rsid w:val="00B35C03"/>
    <w:rsid w:val="00B36899"/>
    <w:rsid w:val="00B376E9"/>
    <w:rsid w:val="00B40545"/>
    <w:rsid w:val="00B40B62"/>
    <w:rsid w:val="00B4267E"/>
    <w:rsid w:val="00B426A3"/>
    <w:rsid w:val="00B438C1"/>
    <w:rsid w:val="00B44F48"/>
    <w:rsid w:val="00B45109"/>
    <w:rsid w:val="00B47D2D"/>
    <w:rsid w:val="00B54B8D"/>
    <w:rsid w:val="00B55424"/>
    <w:rsid w:val="00B56FC6"/>
    <w:rsid w:val="00B6526C"/>
    <w:rsid w:val="00B67698"/>
    <w:rsid w:val="00B7235D"/>
    <w:rsid w:val="00B74099"/>
    <w:rsid w:val="00B810FD"/>
    <w:rsid w:val="00B81C0A"/>
    <w:rsid w:val="00B8616E"/>
    <w:rsid w:val="00B86412"/>
    <w:rsid w:val="00B903E7"/>
    <w:rsid w:val="00B94F28"/>
    <w:rsid w:val="00BA2075"/>
    <w:rsid w:val="00BA2CF5"/>
    <w:rsid w:val="00BB129D"/>
    <w:rsid w:val="00BB29DC"/>
    <w:rsid w:val="00BB38C7"/>
    <w:rsid w:val="00BB767A"/>
    <w:rsid w:val="00BC3147"/>
    <w:rsid w:val="00BC527A"/>
    <w:rsid w:val="00BD1AA3"/>
    <w:rsid w:val="00BD4227"/>
    <w:rsid w:val="00BD4251"/>
    <w:rsid w:val="00BE1A44"/>
    <w:rsid w:val="00BE6B38"/>
    <w:rsid w:val="00BE6EF6"/>
    <w:rsid w:val="00BF032A"/>
    <w:rsid w:val="00BF3D5D"/>
    <w:rsid w:val="00BF6655"/>
    <w:rsid w:val="00C010CD"/>
    <w:rsid w:val="00C1154D"/>
    <w:rsid w:val="00C13EE8"/>
    <w:rsid w:val="00C175C4"/>
    <w:rsid w:val="00C203DE"/>
    <w:rsid w:val="00C22A42"/>
    <w:rsid w:val="00C325DC"/>
    <w:rsid w:val="00C32B03"/>
    <w:rsid w:val="00C35AE1"/>
    <w:rsid w:val="00C415B8"/>
    <w:rsid w:val="00C554A2"/>
    <w:rsid w:val="00C656B0"/>
    <w:rsid w:val="00C6683B"/>
    <w:rsid w:val="00C746B6"/>
    <w:rsid w:val="00C77A1C"/>
    <w:rsid w:val="00C8783A"/>
    <w:rsid w:val="00C91269"/>
    <w:rsid w:val="00C928AF"/>
    <w:rsid w:val="00C9309F"/>
    <w:rsid w:val="00C94CF4"/>
    <w:rsid w:val="00CB1B6F"/>
    <w:rsid w:val="00CB25C0"/>
    <w:rsid w:val="00CB5592"/>
    <w:rsid w:val="00CB674A"/>
    <w:rsid w:val="00CC2606"/>
    <w:rsid w:val="00CD1DFC"/>
    <w:rsid w:val="00CD278F"/>
    <w:rsid w:val="00CD7E54"/>
    <w:rsid w:val="00CE276C"/>
    <w:rsid w:val="00CE4AB5"/>
    <w:rsid w:val="00CE7E59"/>
    <w:rsid w:val="00CF4181"/>
    <w:rsid w:val="00D04208"/>
    <w:rsid w:val="00D04DAF"/>
    <w:rsid w:val="00D15066"/>
    <w:rsid w:val="00D1631B"/>
    <w:rsid w:val="00D16B9A"/>
    <w:rsid w:val="00D30ABD"/>
    <w:rsid w:val="00D30D30"/>
    <w:rsid w:val="00D33583"/>
    <w:rsid w:val="00D35116"/>
    <w:rsid w:val="00D4168E"/>
    <w:rsid w:val="00D41ABB"/>
    <w:rsid w:val="00D4236B"/>
    <w:rsid w:val="00D4589B"/>
    <w:rsid w:val="00D46522"/>
    <w:rsid w:val="00D5006F"/>
    <w:rsid w:val="00D521EB"/>
    <w:rsid w:val="00D545B5"/>
    <w:rsid w:val="00D57717"/>
    <w:rsid w:val="00D57C03"/>
    <w:rsid w:val="00D615AA"/>
    <w:rsid w:val="00D61D68"/>
    <w:rsid w:val="00D644A9"/>
    <w:rsid w:val="00D654CE"/>
    <w:rsid w:val="00D67E5C"/>
    <w:rsid w:val="00D71EA6"/>
    <w:rsid w:val="00D733BB"/>
    <w:rsid w:val="00D73AF4"/>
    <w:rsid w:val="00D804F5"/>
    <w:rsid w:val="00D92F5F"/>
    <w:rsid w:val="00D94BFF"/>
    <w:rsid w:val="00DA0547"/>
    <w:rsid w:val="00DA2721"/>
    <w:rsid w:val="00DA48E7"/>
    <w:rsid w:val="00DA57F2"/>
    <w:rsid w:val="00DA6BB4"/>
    <w:rsid w:val="00DB250C"/>
    <w:rsid w:val="00DB2E77"/>
    <w:rsid w:val="00DC07B9"/>
    <w:rsid w:val="00DC12BD"/>
    <w:rsid w:val="00DC182E"/>
    <w:rsid w:val="00DC218B"/>
    <w:rsid w:val="00DC356D"/>
    <w:rsid w:val="00DC5F3C"/>
    <w:rsid w:val="00DD3BFB"/>
    <w:rsid w:val="00DD5DEA"/>
    <w:rsid w:val="00DE4835"/>
    <w:rsid w:val="00DF5D23"/>
    <w:rsid w:val="00E028ED"/>
    <w:rsid w:val="00E10AF9"/>
    <w:rsid w:val="00E1495F"/>
    <w:rsid w:val="00E22168"/>
    <w:rsid w:val="00E22832"/>
    <w:rsid w:val="00E27B3C"/>
    <w:rsid w:val="00E35450"/>
    <w:rsid w:val="00E51EE7"/>
    <w:rsid w:val="00E528CB"/>
    <w:rsid w:val="00E656CD"/>
    <w:rsid w:val="00E6582E"/>
    <w:rsid w:val="00E65E4B"/>
    <w:rsid w:val="00E751FE"/>
    <w:rsid w:val="00E775BE"/>
    <w:rsid w:val="00E7779D"/>
    <w:rsid w:val="00E77909"/>
    <w:rsid w:val="00EA076C"/>
    <w:rsid w:val="00EA1B60"/>
    <w:rsid w:val="00EA1D8E"/>
    <w:rsid w:val="00EA1F37"/>
    <w:rsid w:val="00EA26AD"/>
    <w:rsid w:val="00EB20FF"/>
    <w:rsid w:val="00EB4C9B"/>
    <w:rsid w:val="00EB77CE"/>
    <w:rsid w:val="00EB7EEF"/>
    <w:rsid w:val="00EC15C3"/>
    <w:rsid w:val="00ED420E"/>
    <w:rsid w:val="00EE6FAA"/>
    <w:rsid w:val="00EF3BCC"/>
    <w:rsid w:val="00EF4C79"/>
    <w:rsid w:val="00EF5D00"/>
    <w:rsid w:val="00EF773B"/>
    <w:rsid w:val="00F02A07"/>
    <w:rsid w:val="00F17A7E"/>
    <w:rsid w:val="00F20EFD"/>
    <w:rsid w:val="00F217C8"/>
    <w:rsid w:val="00F21FBE"/>
    <w:rsid w:val="00F248DD"/>
    <w:rsid w:val="00F42B4B"/>
    <w:rsid w:val="00F43BE7"/>
    <w:rsid w:val="00F46BFC"/>
    <w:rsid w:val="00F533FF"/>
    <w:rsid w:val="00F60918"/>
    <w:rsid w:val="00F660A1"/>
    <w:rsid w:val="00F663D5"/>
    <w:rsid w:val="00F754FA"/>
    <w:rsid w:val="00F81842"/>
    <w:rsid w:val="00F82DD9"/>
    <w:rsid w:val="00F864C3"/>
    <w:rsid w:val="00F87C7F"/>
    <w:rsid w:val="00F91039"/>
    <w:rsid w:val="00FC21F1"/>
    <w:rsid w:val="00FC6CC0"/>
    <w:rsid w:val="00FD037A"/>
    <w:rsid w:val="00FD2ECA"/>
    <w:rsid w:val="00FD3678"/>
    <w:rsid w:val="00FE2BBA"/>
    <w:rsid w:val="00FF1DDE"/>
    <w:rsid w:val="00FF3240"/>
    <w:rsid w:val="011E0236"/>
    <w:rsid w:val="02140072"/>
    <w:rsid w:val="029D76BD"/>
    <w:rsid w:val="035209BB"/>
    <w:rsid w:val="04252264"/>
    <w:rsid w:val="045D3795"/>
    <w:rsid w:val="05147927"/>
    <w:rsid w:val="09967D1B"/>
    <w:rsid w:val="0E5C1D5F"/>
    <w:rsid w:val="11484485"/>
    <w:rsid w:val="11EE03DD"/>
    <w:rsid w:val="148F6AC0"/>
    <w:rsid w:val="16C80BBA"/>
    <w:rsid w:val="173E6AE4"/>
    <w:rsid w:val="18354985"/>
    <w:rsid w:val="1888046F"/>
    <w:rsid w:val="1C961170"/>
    <w:rsid w:val="1EB61656"/>
    <w:rsid w:val="1FE72762"/>
    <w:rsid w:val="20A565CE"/>
    <w:rsid w:val="22203DA8"/>
    <w:rsid w:val="23114AB4"/>
    <w:rsid w:val="232D602C"/>
    <w:rsid w:val="28412E17"/>
    <w:rsid w:val="29EE439A"/>
    <w:rsid w:val="2AA25CA6"/>
    <w:rsid w:val="2B8A5F95"/>
    <w:rsid w:val="2D2A393B"/>
    <w:rsid w:val="2E636852"/>
    <w:rsid w:val="2E861045"/>
    <w:rsid w:val="2EAB2C6F"/>
    <w:rsid w:val="2EEE4E8F"/>
    <w:rsid w:val="2F4D5528"/>
    <w:rsid w:val="31AD6584"/>
    <w:rsid w:val="327026BF"/>
    <w:rsid w:val="340A6F00"/>
    <w:rsid w:val="348016E4"/>
    <w:rsid w:val="37A659F9"/>
    <w:rsid w:val="38262F51"/>
    <w:rsid w:val="390A076A"/>
    <w:rsid w:val="3A541FF7"/>
    <w:rsid w:val="3DD84121"/>
    <w:rsid w:val="3E043D34"/>
    <w:rsid w:val="3E0F1060"/>
    <w:rsid w:val="3FF64181"/>
    <w:rsid w:val="40227699"/>
    <w:rsid w:val="431C567C"/>
    <w:rsid w:val="44A96763"/>
    <w:rsid w:val="455455A1"/>
    <w:rsid w:val="458A0FC3"/>
    <w:rsid w:val="45DF153A"/>
    <w:rsid w:val="47387E24"/>
    <w:rsid w:val="47927A69"/>
    <w:rsid w:val="47CB5D32"/>
    <w:rsid w:val="48474F49"/>
    <w:rsid w:val="48945CB4"/>
    <w:rsid w:val="4979006D"/>
    <w:rsid w:val="4A25750C"/>
    <w:rsid w:val="4C40453F"/>
    <w:rsid w:val="4CE30FB8"/>
    <w:rsid w:val="4E1F24C4"/>
    <w:rsid w:val="4E776B0D"/>
    <w:rsid w:val="4E7E543D"/>
    <w:rsid w:val="4FD31437"/>
    <w:rsid w:val="52F45CCD"/>
    <w:rsid w:val="55295816"/>
    <w:rsid w:val="55CE244F"/>
    <w:rsid w:val="56C60E67"/>
    <w:rsid w:val="570F5142"/>
    <w:rsid w:val="58CB5722"/>
    <w:rsid w:val="5ACE15AD"/>
    <w:rsid w:val="5B7A33A5"/>
    <w:rsid w:val="5DA205B1"/>
    <w:rsid w:val="5F5C4868"/>
    <w:rsid w:val="61967C0E"/>
    <w:rsid w:val="61F373E8"/>
    <w:rsid w:val="62400701"/>
    <w:rsid w:val="62AA63A9"/>
    <w:rsid w:val="62DC60EA"/>
    <w:rsid w:val="6357492F"/>
    <w:rsid w:val="667E69D9"/>
    <w:rsid w:val="69A85840"/>
    <w:rsid w:val="6C0E20B1"/>
    <w:rsid w:val="705E52E6"/>
    <w:rsid w:val="73773081"/>
    <w:rsid w:val="74DA6D04"/>
    <w:rsid w:val="77BB3E94"/>
    <w:rsid w:val="796C4DDB"/>
    <w:rsid w:val="798E2128"/>
    <w:rsid w:val="79CF7DF1"/>
    <w:rsid w:val="7A747570"/>
    <w:rsid w:val="7CC56889"/>
    <w:rsid w:val="7F3D0FDC"/>
    <w:rsid w:val="7FCA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9"/>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0"/>
    <w:autoRedefine/>
    <w:semiHidden/>
    <w:unhideWhenUsed/>
    <w:qFormat/>
    <w:uiPriority w:val="99"/>
    <w:pPr>
      <w:jc w:val="left"/>
    </w:pPr>
  </w:style>
  <w:style w:type="paragraph" w:styleId="6">
    <w:name w:val="Body Text"/>
    <w:basedOn w:val="1"/>
    <w:link w:val="27"/>
    <w:autoRedefine/>
    <w:semiHidden/>
    <w:unhideWhenUsed/>
    <w:qFormat/>
    <w:uiPriority w:val="99"/>
    <w:pPr>
      <w:spacing w:after="120" w:afterLines="0" w:afterAutospacing="0"/>
    </w:pPr>
  </w:style>
  <w:style w:type="paragraph" w:styleId="7">
    <w:name w:val="Date"/>
    <w:basedOn w:val="1"/>
    <w:next w:val="1"/>
    <w:link w:val="23"/>
    <w:autoRedefine/>
    <w:semiHidden/>
    <w:unhideWhenUsed/>
    <w:qFormat/>
    <w:uiPriority w:val="99"/>
    <w:pPr>
      <w:ind w:left="100" w:leftChars="2500"/>
    </w:pPr>
  </w:style>
  <w:style w:type="paragraph" w:styleId="8">
    <w:name w:val="Balloon Text"/>
    <w:basedOn w:val="1"/>
    <w:link w:val="22"/>
    <w:autoRedefine/>
    <w:semiHidden/>
    <w:unhideWhenUsed/>
    <w:qFormat/>
    <w:uiPriority w:val="99"/>
    <w:rPr>
      <w:sz w:val="18"/>
      <w:szCs w:val="18"/>
    </w:rPr>
  </w:style>
  <w:style w:type="paragraph" w:styleId="9">
    <w:name w:val="footer"/>
    <w:basedOn w:val="1"/>
    <w:link w:val="19"/>
    <w:autoRedefine/>
    <w:unhideWhenUsed/>
    <w:qFormat/>
    <w:uiPriority w:val="99"/>
    <w:pPr>
      <w:tabs>
        <w:tab w:val="center" w:pos="4153"/>
        <w:tab w:val="right" w:pos="8306"/>
      </w:tabs>
      <w:snapToGrid w:val="0"/>
      <w:jc w:val="left"/>
    </w:pPr>
    <w:rPr>
      <w:sz w:val="18"/>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2">
    <w:name w:val="annotation subject"/>
    <w:basedOn w:val="5"/>
    <w:next w:val="5"/>
    <w:link w:val="21"/>
    <w:autoRedefine/>
    <w:semiHidden/>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rPr>
  </w:style>
  <w:style w:type="character" w:styleId="17">
    <w:name w:val="annotation reference"/>
    <w:basedOn w:val="15"/>
    <w:autoRedefine/>
    <w:semiHidden/>
    <w:unhideWhenUsed/>
    <w:qFormat/>
    <w:uiPriority w:val="99"/>
    <w:rPr>
      <w:sz w:val="21"/>
      <w:szCs w:val="21"/>
    </w:rPr>
  </w:style>
  <w:style w:type="character" w:customStyle="1" w:styleId="18">
    <w:name w:val="页眉 字符"/>
    <w:basedOn w:val="15"/>
    <w:link w:val="10"/>
    <w:autoRedefine/>
    <w:qFormat/>
    <w:uiPriority w:val="99"/>
    <w:rPr>
      <w:sz w:val="18"/>
      <w:szCs w:val="18"/>
    </w:rPr>
  </w:style>
  <w:style w:type="character" w:customStyle="1" w:styleId="19">
    <w:name w:val="页脚 字符"/>
    <w:basedOn w:val="15"/>
    <w:link w:val="9"/>
    <w:autoRedefine/>
    <w:qFormat/>
    <w:uiPriority w:val="99"/>
    <w:rPr>
      <w:sz w:val="18"/>
      <w:szCs w:val="18"/>
    </w:rPr>
  </w:style>
  <w:style w:type="character" w:customStyle="1" w:styleId="20">
    <w:name w:val="批注文字 字符"/>
    <w:basedOn w:val="15"/>
    <w:link w:val="5"/>
    <w:semiHidden/>
    <w:qFormat/>
    <w:uiPriority w:val="99"/>
  </w:style>
  <w:style w:type="character" w:customStyle="1" w:styleId="21">
    <w:name w:val="批注主题 字符"/>
    <w:basedOn w:val="20"/>
    <w:link w:val="12"/>
    <w:autoRedefine/>
    <w:semiHidden/>
    <w:qFormat/>
    <w:uiPriority w:val="99"/>
    <w:rPr>
      <w:b/>
      <w:bCs/>
    </w:rPr>
  </w:style>
  <w:style w:type="character" w:customStyle="1" w:styleId="22">
    <w:name w:val="批注框文本 字符"/>
    <w:basedOn w:val="15"/>
    <w:link w:val="8"/>
    <w:autoRedefine/>
    <w:semiHidden/>
    <w:qFormat/>
    <w:uiPriority w:val="99"/>
    <w:rPr>
      <w:sz w:val="18"/>
      <w:szCs w:val="18"/>
    </w:rPr>
  </w:style>
  <w:style w:type="character" w:customStyle="1" w:styleId="23">
    <w:name w:val="日期 字符"/>
    <w:basedOn w:val="15"/>
    <w:link w:val="7"/>
    <w:autoRedefine/>
    <w:semiHidden/>
    <w:qFormat/>
    <w:uiPriority w:val="99"/>
  </w:style>
  <w:style w:type="paragraph" w:styleId="24">
    <w:name w:val="List Paragraph"/>
    <w:basedOn w:val="1"/>
    <w:autoRedefine/>
    <w:qFormat/>
    <w:uiPriority w:val="34"/>
    <w:pPr>
      <w:ind w:firstLine="420" w:firstLineChars="200"/>
    </w:pPr>
  </w:style>
  <w:style w:type="character" w:customStyle="1" w:styleId="25">
    <w:name w:val="段 Char"/>
    <w:link w:val="26"/>
    <w:autoRedefine/>
    <w:qFormat/>
    <w:uiPriority w:val="0"/>
    <w:rPr>
      <w:rFonts w:ascii="宋体"/>
    </w:rPr>
  </w:style>
  <w:style w:type="paragraph" w:customStyle="1" w:styleId="26">
    <w:name w:val="段"/>
    <w:link w:val="25"/>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27">
    <w:name w:val="正文文本 字符"/>
    <w:basedOn w:val="15"/>
    <w:link w:val="6"/>
    <w:qFormat/>
    <w:uiPriority w:val="0"/>
    <w:rPr>
      <w:rFonts w:hint="default" w:ascii="Times New Roman" w:hAnsi="Times New Roman" w:cs="Times New Roman"/>
      <w:kern w:val="2"/>
      <w:sz w:val="21"/>
    </w:rPr>
  </w:style>
  <w:style w:type="paragraph" w:customStyle="1" w:styleId="2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9245c415-fc1f-4292-9fbe-e1030384633b</errorID>
      <errorWord>，</errorWord>
      <group>L1_Word</group>
      <groupName>字词问题</groupName>
      <ability>L2_Typo</ability>
      <abilityName>字词错误</abilityName>
      <candidateList>
        <item>，由</item>
      </candidateList>
      <explain/>
      <paraID>2FE61A97</paraID>
      <start>20</start>
      <end>21</end>
      <status>ignored</status>
      <modifiedWord/>
      <trackRevisions>false</trackRevisions>
    </reviewItem>
    <reviewItem>
      <errorID>f6df9438-08bd-499b-a6ea-7e8cb7298a16</errorID>
      <errorWord>、</errorWord>
      <group>L1_Punc</group>
      <groupName>标点问题</groupName>
      <ability>L2_Punc</ability>
      <abilityName>标点符号检查</abilityName>
      <candidateList/>
      <explain/>
      <paraID>403D468E</paraID>
      <start>0</start>
      <end>1</end>
      <status>ignored</status>
      <modifiedWord/>
      <trackRevisions>false</trackRevisions>
    </reviewItem>
    <reviewItem>
      <errorID>5a7ca391-8457-4ff2-ac39-67e0c320b264</errorID>
      <errorWord>致病微生物</errorWord>
      <group>L1_Knowledge</group>
      <groupName>知识性问题</groupName>
      <ability>L2_Term</ability>
      <abilityName>专业术语</abilityName>
      <candidateList>
        <item>致病性微生物</item>
      </candidateList>
      <explain>医学名词[致病微生物]为不规范表述或旧称，其规范书面表述为[致病性微生物]。</explain>
      <paraID>2FF5CD5A</paraID>
      <start>16</start>
      <end>22</end>
      <status>modified</status>
      <modifiedWord>致病性微生物</modifiedWord>
      <trackRevisions>false</trackRevisions>
    </reviewItem>
    <reviewItem>
      <errorID>1af391b4-1460-4604-923b-5c464d131af4</errorID>
      <errorWord>法律、法规</errorWord>
      <group>L1_Word</group>
      <groupName>字词问题</groupName>
      <ability>L2_Typo</ability>
      <abilityName>字词错误</abilityName>
      <candidateList>
        <item>法律法规</item>
      </candidateList>
      <explain/>
      <paraID>4E3D657F</paraID>
      <start>7</start>
      <end>12</end>
      <status>ignored</status>
      <modifiedWord/>
      <trackRevisions>false</trackRevisions>
    </reviewItem>
    <reviewItem>
      <errorID>7b48d02f-6099-4a73-b1f3-721e25a5d98f</errorID>
      <errorWord>法律、法规</errorWord>
      <group>L1_Word</group>
      <groupName>字词问题</groupName>
      <ability>L2_Typo</ability>
      <abilityName>字词错误</abilityName>
      <candidateList>
        <item>法律法规</item>
      </candidateList>
      <explain/>
      <paraID>6FC74ECA</paraID>
      <start>5</start>
      <end>10</end>
      <status>ignored</status>
      <modifiedWord/>
      <trackRevisions>false</trackRevisions>
    </reviewItem>
  </reviewItems>
  <config/>
</contractReview>
</file>

<file path=customXml/itemProps1.xml><?xml version="1.0" encoding="utf-8"?>
<ds:datastoreItem xmlns:ds="http://schemas.openxmlformats.org/officeDocument/2006/customXml" ds:itemID="{ddbee054-78dd-40aa-8c36-5c71284ab327}">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4725</Words>
  <Characters>5061</Characters>
  <Lines>12</Lines>
  <Paragraphs>3</Paragraphs>
  <TotalTime>6</TotalTime>
  <ScaleCrop>false</ScaleCrop>
  <LinksUpToDate>false</LinksUpToDate>
  <CharactersWithSpaces>5070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2024-01-05T03:23:00Z</dcterms:created>
  <dcterms:modified xsi:type="dcterms:W3CDTF">2025-11-24T02:43:26Z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39DA1C35B57E4AA98C53688E39263C5E_13</vt:lpwstr>
  </property>
  <property fmtid="{D5CDD505-2E9C-101B-9397-08002B2CF9AE}" pid="4" name="KSOTemplateDocerSaveRecord">
    <vt:lpwstr>eyJoZGlkIjoiZjgwZDVjMmFkZDI1YjgyMjQ3NTg4ZTQxNzA5ODE1NjciLCJ1c2VySWQiOiIyODU5NDM2MjAifQ==</vt:lpwstr>
  </property>
</Properties>
</file>