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3401F4">
      <w:pPr>
        <w:jc w:val="center"/>
        <w:rPr>
          <w:rFonts w:hint="eastAsia" w:ascii="黑体" w:hAnsi="黑体" w:eastAsia="黑体"/>
          <w:sz w:val="39"/>
          <w:szCs w:val="39"/>
          <w:lang w:eastAsia="zh-CN"/>
        </w:rPr>
      </w:pPr>
      <w:r>
        <w:rPr>
          <w:rFonts w:hint="eastAsia" w:ascii="黑体" w:hAnsi="黑体" w:eastAsia="黑体"/>
          <w:sz w:val="39"/>
          <w:szCs w:val="39"/>
          <w:lang w:eastAsia="zh-CN"/>
        </w:rPr>
        <w:t>《重组胶原蛋白纯化工艺通用要求》</w:t>
      </w:r>
    </w:p>
    <w:p w14:paraId="58D52A46">
      <w:pPr>
        <w:jc w:val="center"/>
        <w:rPr>
          <w:rFonts w:ascii="黑体" w:hAnsi="黑体" w:eastAsia="黑体"/>
          <w:sz w:val="39"/>
          <w:szCs w:val="39"/>
        </w:rPr>
      </w:pPr>
      <w:r>
        <w:rPr>
          <w:rFonts w:hint="eastAsia" w:ascii="黑体" w:hAnsi="黑体" w:eastAsia="黑体"/>
          <w:sz w:val="39"/>
          <w:szCs w:val="39"/>
        </w:rPr>
        <w:t>（</w:t>
      </w:r>
      <w:r>
        <w:rPr>
          <w:rFonts w:hint="eastAsia" w:ascii="黑体" w:hAnsi="黑体" w:eastAsia="黑体"/>
          <w:sz w:val="39"/>
          <w:szCs w:val="39"/>
          <w:lang w:val="en-US" w:eastAsia="zh-CN"/>
        </w:rPr>
        <w:t>征求意见</w:t>
      </w:r>
      <w:r>
        <w:rPr>
          <w:rFonts w:hint="eastAsia" w:ascii="黑体" w:hAnsi="黑体" w:eastAsia="黑体"/>
          <w:sz w:val="39"/>
          <w:szCs w:val="39"/>
        </w:rPr>
        <w:t>稿）</w:t>
      </w:r>
    </w:p>
    <w:p w14:paraId="4D086D40">
      <w:pPr>
        <w:jc w:val="center"/>
        <w:rPr>
          <w:rFonts w:ascii="黑体" w:hAnsi="黑体" w:eastAsia="黑体"/>
          <w:sz w:val="39"/>
          <w:szCs w:val="39"/>
        </w:rPr>
      </w:pPr>
      <w:r>
        <w:rPr>
          <w:rFonts w:hint="eastAsia" w:ascii="黑体" w:hAnsi="黑体" w:eastAsia="黑体"/>
          <w:sz w:val="39"/>
          <w:szCs w:val="39"/>
        </w:rPr>
        <w:t>编制说明</w:t>
      </w:r>
    </w:p>
    <w:p w14:paraId="43EAD1F0">
      <w:pPr>
        <w:spacing w:before="156" w:beforeLines="50" w:line="560" w:lineRule="exact"/>
        <w:ind w:firstLine="600" w:firstLineChars="200"/>
        <w:rPr>
          <w:rFonts w:ascii="黑体" w:hAnsi="黑体" w:eastAsia="黑体"/>
          <w:sz w:val="30"/>
          <w:szCs w:val="30"/>
        </w:rPr>
      </w:pPr>
      <w:r>
        <w:rPr>
          <w:rFonts w:hint="eastAsia" w:ascii="黑体" w:hAnsi="黑体" w:eastAsia="黑体"/>
          <w:sz w:val="30"/>
          <w:szCs w:val="30"/>
        </w:rPr>
        <w:t>一、工作简况</w:t>
      </w:r>
    </w:p>
    <w:p w14:paraId="42A52206">
      <w:pPr>
        <w:spacing w:line="560" w:lineRule="exact"/>
        <w:ind w:firstLine="600" w:firstLineChars="200"/>
        <w:rPr>
          <w:rFonts w:ascii="仿宋" w:hAnsi="仿宋" w:eastAsia="仿宋"/>
          <w:sz w:val="30"/>
          <w:szCs w:val="30"/>
        </w:rPr>
      </w:pPr>
      <w:r>
        <w:rPr>
          <w:rFonts w:hint="eastAsia" w:ascii="仿宋" w:hAnsi="仿宋" w:eastAsia="仿宋"/>
          <w:sz w:val="30"/>
          <w:szCs w:val="30"/>
        </w:rPr>
        <w:t>（一）任务来源</w:t>
      </w:r>
    </w:p>
    <w:p w14:paraId="2FE61A97">
      <w:pPr>
        <w:spacing w:line="560" w:lineRule="exact"/>
        <w:ind w:firstLine="600" w:firstLineChars="200"/>
        <w:rPr>
          <w:rFonts w:ascii="仿宋" w:hAnsi="仿宋" w:eastAsia="仿宋"/>
          <w:sz w:val="30"/>
          <w:szCs w:val="30"/>
        </w:rPr>
      </w:pPr>
      <w:r>
        <w:rPr>
          <w:rFonts w:hint="eastAsia" w:ascii="仿宋" w:hAnsi="仿宋" w:eastAsia="仿宋"/>
          <w:sz w:val="30"/>
          <w:szCs w:val="30"/>
        </w:rPr>
        <w:t>本文件</w:t>
      </w:r>
      <w:r>
        <w:rPr>
          <w:rFonts w:hint="eastAsia" w:ascii="仿宋" w:hAnsi="仿宋" w:eastAsia="仿宋"/>
          <w:sz w:val="30"/>
          <w:szCs w:val="30"/>
          <w:lang w:eastAsia="zh-CN"/>
        </w:rPr>
        <w:t>由</w:t>
      </w:r>
      <w:r>
        <w:rPr>
          <w:rFonts w:hint="eastAsia" w:ascii="仿宋" w:hAnsi="仿宋" w:eastAsia="仿宋"/>
          <w:sz w:val="30"/>
          <w:szCs w:val="30"/>
        </w:rPr>
        <w:t>江苏创健医疗科技股份有限公司</w:t>
      </w:r>
      <w:r>
        <w:rPr>
          <w:rFonts w:hint="eastAsia" w:ascii="仿宋" w:hAnsi="仿宋" w:eastAsia="仿宋"/>
          <w:sz w:val="30"/>
          <w:szCs w:val="30"/>
          <w:lang w:eastAsia="zh-CN"/>
        </w:rPr>
        <w:t>提</w:t>
      </w:r>
      <w:r>
        <w:rPr>
          <w:rFonts w:hint="eastAsia" w:ascii="仿宋" w:hAnsi="仿宋" w:eastAsia="仿宋"/>
          <w:sz w:val="30"/>
          <w:szCs w:val="30"/>
        </w:rPr>
        <w:t>出</w:t>
      </w:r>
      <w:r>
        <w:rPr>
          <w:rFonts w:hint="eastAsia" w:ascii="仿宋" w:hAnsi="仿宋" w:eastAsia="仿宋"/>
          <w:sz w:val="30"/>
          <w:szCs w:val="30"/>
          <w:lang w:eastAsia="zh-CN"/>
        </w:rPr>
        <w:t>，中国食品药品企业质量安全促进会（以下简称“促进会”）</w:t>
      </w:r>
      <w:r>
        <w:rPr>
          <w:rFonts w:hint="eastAsia" w:ascii="仿宋" w:hAnsi="仿宋" w:eastAsia="仿宋"/>
          <w:sz w:val="30"/>
          <w:szCs w:val="30"/>
        </w:rPr>
        <w:t>归口，</w:t>
      </w:r>
      <w:r>
        <w:rPr>
          <w:rFonts w:hint="eastAsia" w:ascii="仿宋" w:hAnsi="仿宋" w:eastAsia="仿宋"/>
          <w:sz w:val="30"/>
          <w:szCs w:val="30"/>
          <w:lang w:val="en-US" w:eastAsia="zh-CN"/>
        </w:rPr>
        <w:t>提交</w:t>
      </w:r>
      <w:r>
        <w:rPr>
          <w:rFonts w:hint="eastAsia" w:ascii="仿宋" w:hAnsi="仿宋" w:eastAsia="仿宋"/>
          <w:sz w:val="30"/>
          <w:szCs w:val="30"/>
        </w:rPr>
        <w:t>促进会标准化工作委员会</w:t>
      </w:r>
      <w:r>
        <w:rPr>
          <w:rFonts w:hint="eastAsia" w:ascii="仿宋" w:hAnsi="仿宋" w:eastAsia="仿宋"/>
          <w:sz w:val="30"/>
          <w:szCs w:val="30"/>
          <w:lang w:val="en-US" w:eastAsia="zh-CN"/>
        </w:rPr>
        <w:t>申请立项</w:t>
      </w:r>
      <w:r>
        <w:rPr>
          <w:rFonts w:hint="eastAsia" w:ascii="仿宋" w:hAnsi="仿宋" w:eastAsia="仿宋"/>
          <w:sz w:val="30"/>
          <w:szCs w:val="30"/>
        </w:rPr>
        <w:t>，正式列入2025年团体标准制修订计划，标准名称为《</w:t>
      </w:r>
      <w:r>
        <w:rPr>
          <w:rFonts w:hint="eastAsia" w:ascii="仿宋" w:hAnsi="仿宋" w:eastAsia="仿宋"/>
          <w:sz w:val="30"/>
          <w:szCs w:val="30"/>
          <w:lang w:eastAsia="zh-CN"/>
        </w:rPr>
        <w:t>重组胶原蛋白纯化工艺通用要求</w:t>
      </w:r>
      <w:r>
        <w:rPr>
          <w:rFonts w:hint="eastAsia" w:ascii="仿宋" w:hAnsi="仿宋" w:eastAsia="仿宋"/>
          <w:sz w:val="30"/>
          <w:szCs w:val="30"/>
        </w:rPr>
        <w:t>》。</w:t>
      </w:r>
    </w:p>
    <w:p w14:paraId="54D0CFA9">
      <w:pPr>
        <w:numPr>
          <w:ilvl w:val="0"/>
          <w:numId w:val="0"/>
        </w:numPr>
        <w:spacing w:line="560" w:lineRule="exact"/>
        <w:ind w:firstLine="600" w:firstLineChars="200"/>
        <w:rPr>
          <w:rFonts w:hint="eastAsia" w:ascii="仿宋" w:hAnsi="仿宋" w:eastAsia="仿宋"/>
          <w:sz w:val="30"/>
          <w:szCs w:val="30"/>
        </w:rPr>
      </w:pPr>
      <w:r>
        <w:rPr>
          <w:rFonts w:hint="eastAsia" w:ascii="仿宋" w:hAnsi="仿宋" w:eastAsia="仿宋" w:cstheme="minorBidi"/>
          <w:kern w:val="2"/>
          <w:sz w:val="30"/>
          <w:szCs w:val="30"/>
          <w:lang w:val="en-US" w:eastAsia="zh-CN" w:bidi="ar-SA"/>
        </w:rPr>
        <w:t>（二）</w:t>
      </w:r>
      <w:r>
        <w:rPr>
          <w:rFonts w:hint="eastAsia" w:ascii="仿宋" w:hAnsi="仿宋" w:eastAsia="仿宋"/>
          <w:sz w:val="30"/>
          <w:szCs w:val="30"/>
        </w:rPr>
        <w:t>项目背景</w:t>
      </w:r>
    </w:p>
    <w:p w14:paraId="24993F7B">
      <w:pPr>
        <w:numPr>
          <w:ilvl w:val="0"/>
          <w:numId w:val="0"/>
        </w:num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重组胶原蛋白作为一类具有优异生物相容性、可降解性及低免疫原性的生物活性材料，已成为医疗美容、创伤修复、组织工程及生物医药领域的核心原材料。近年来，国内外基于重组胶原蛋白的医疗器械注册、创新药临床前研究及IND申报数量呈快速增长态势，但行业内纯化工艺缺乏统一规范，导致产品批次间纯度差异大、活性成分回收率不稳定、杂质残留控制标准不统一，严重制约了产业规模化转化与监管审评工作的高效推进。</w:t>
      </w:r>
    </w:p>
    <w:p w14:paraId="71EBA436">
      <w:pPr>
        <w:numPr>
          <w:ilvl w:val="0"/>
          <w:numId w:val="0"/>
        </w:num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目前，国内尚无专门针对“重组胶原蛋白纯化工艺”全流程的团体标准或行业标准。药典、ISO及相关监管指南仅对重组胶原蛋白终产品的质量控制提出原则性要求，未对纯化工艺步骤、关键工艺参数、过程质量控制、工艺验证方法等作出系统且可操作的规定。中国食品药品企业质量安全促进会基于2024年度“生物活性材料质量提升行动”专项调研结果，组织产学研检多方力量启动本标准制定工作，旨在填补重组胶原蛋白纯化工艺领域的标准空白，为重组胶原蛋白原料药、医疗器械及创新药注册提供清晰、统一的工艺规范依据。</w:t>
      </w:r>
    </w:p>
    <w:p w14:paraId="7C266BD1">
      <w:pPr>
        <w:numPr>
          <w:ilvl w:val="0"/>
          <w:numId w:val="0"/>
        </w:num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从时代背景分析：全球重组胶原蛋白产业步入产业化加速期。2020—2024年，全球基于重组胶原蛋白的医疗器械注册数量及临床试验项目数量均实现大幅增长，医疗美容、创伤修复类产品市场接受度持续提升，行业规模呈快速扩张趋势。截至2024年底，美国FDA、欧盟CE已批准多款重组胶原蛋白类医疗器械及外用产品，日本PMDA也逐步完善相关产品的审评技术要求，全球产业格局加速形成。</w:t>
      </w:r>
    </w:p>
    <w:p w14:paraId="2804AB9A">
      <w:pPr>
        <w:numPr>
          <w:ilvl w:val="0"/>
          <w:numId w:val="0"/>
        </w:num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市场端：全球重组胶原蛋白治疗与医美市场规模2024年已达到较高水平，预计未来几年将保持稳定增长态势，其中医疗美容、高端创伤修复领域成为主要增长驱动力。</w:t>
      </w:r>
    </w:p>
    <w:p w14:paraId="6F81C7AD">
      <w:pPr>
        <w:numPr>
          <w:ilvl w:val="0"/>
          <w:numId w:val="0"/>
        </w:num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我国政策与监管快速跟进。2023年国家药监局发布《医疗器械分类目录调整通知》，明确部分重组胶原蛋白产品的分类界定；2024年11月发布《重组胶原蛋白产品研究与评价技术指导原则（试行）》，首次提出“纯化工艺关键步骤确认”“工艺稳定性验证”等核心要求。“十四五”生物经济发展规划中也明确提出“突破重组胶原蛋白规模化制备、高效纯化及质量控制瓶颈”，为行业发展提供政策支撑。</w:t>
      </w:r>
    </w:p>
    <w:p w14:paraId="5787F1A9">
      <w:pPr>
        <w:numPr>
          <w:ilvl w:val="0"/>
          <w:numId w:val="0"/>
        </w:num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同时，京津冀、长三角、粤港澳大湾区等地先后布局重组胶原蛋白产业园区及专业孵化器，注册企业数量快速增加，2024年行业融资总额显著增长，产业链上下游协同发展格局逐步形成。</w:t>
      </w:r>
    </w:p>
    <w:p w14:paraId="00AD0E5D">
      <w:pPr>
        <w:numPr>
          <w:ilvl w:val="0"/>
          <w:numId w:val="0"/>
        </w:num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产业链痛点——“纯化工艺”成为制约产业发展的关键环节。来源与表达体系复杂：重组胶原蛋白来源于大肠杆菌、酵母菌、哺乳动物细胞等多种表达系统，不同表达系统的产物杂质谱、活性结构差异巨大，行业内缺乏统一的工艺“语言”；工艺碎片化：实验室阶段常用的“层析－透析”两步法，存在回收率偏低、纯度不稳定等问题，放大至百升级以上生产规模时，批次失败率较高；标准真空：药典、ISO及监管指南仅规定终产品的纯度、杂质等质检项目，对“粗提-精制-脱盐-除菌”全流程的工艺参数无量化要求，导致CDMO企业工艺转移难度大、产品注册发补率高。2024年国家药监局针对重组胶原蛋白产品发布的审评意见中，超过六成涉及“纯化工艺控制缺少关键参数”或“工艺验证数据不充分”。</w:t>
      </w:r>
    </w:p>
    <w:p w14:paraId="38EC41C5">
      <w:pPr>
        <w:numPr>
          <w:ilvl w:val="0"/>
          <w:numId w:val="0"/>
        </w:num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成本高昂：进口层析介质、超滤膜等耗材价格较高，千升规模生产单次耗材成本居高不下；因无统一工艺规范，部分企业存在设备重复投资、利用率低等问题，进一步增加了生产成本。</w:t>
      </w:r>
    </w:p>
    <w:p w14:paraId="69730F0B">
      <w:pPr>
        <w:numPr>
          <w:ilvl w:val="0"/>
          <w:numId w:val="0"/>
        </w:num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质量事件敲响警钟：2024年7月，某企业重组胶原蛋白医用修复贴因“纯度不达标”导致产品召回，根因调查显示其层析柱洗脱流速未锁定，批次间流速差异超出合理范围，造成目标蛋白纯度波动；2024年9月，某CDMO企业出口的重组胶原蛋白原料药被欧盟QP拒绝放行，原因是未建立超滤过程的可提取物评估方法，缺少相关安全性数据。</w:t>
      </w:r>
    </w:p>
    <w:p w14:paraId="251C0C73">
      <w:pPr>
        <w:numPr>
          <w:ilvl w:val="0"/>
          <w:numId w:val="0"/>
        </w:numPr>
        <w:spacing w:line="560" w:lineRule="exact"/>
        <w:ind w:firstLine="600" w:firstLineChars="200"/>
        <w:rPr>
          <w:rFonts w:hint="default" w:ascii="仿宋" w:hAnsi="仿宋" w:eastAsia="仿宋"/>
          <w:sz w:val="30"/>
          <w:szCs w:val="30"/>
          <w:lang w:val="en-US" w:eastAsia="zh-CN"/>
        </w:rPr>
      </w:pPr>
      <w:r>
        <w:rPr>
          <w:rFonts w:hint="eastAsia" w:ascii="仿宋" w:hAnsi="仿宋" w:eastAsia="仿宋"/>
          <w:sz w:val="30"/>
          <w:szCs w:val="30"/>
          <w:lang w:val="en-US" w:eastAsia="zh-CN"/>
        </w:rPr>
        <w:t>综上，重组胶原蛋白产业已从“科研探索阶段”快速切入“规模化产业化阶段”，而“纯化工艺”作为产业链价值链的核心环节，却无国家标准、行业标准或团体标准可依。制定《重组胶原蛋白纯化工艺通用要求》团体标准，是打通产业化“关键环节”、支撑监管科学、降低行业综合成本的迫切需求。</w:t>
      </w:r>
    </w:p>
    <w:p w14:paraId="68EFFDC4">
      <w:pPr>
        <w:spacing w:line="560" w:lineRule="exact"/>
        <w:ind w:firstLine="600" w:firstLineChars="200"/>
        <w:rPr>
          <w:rFonts w:ascii="仿宋" w:hAnsi="仿宋" w:eastAsia="仿宋"/>
          <w:sz w:val="30"/>
          <w:szCs w:val="30"/>
        </w:rPr>
      </w:pPr>
      <w:r>
        <w:rPr>
          <w:rFonts w:hint="eastAsia" w:ascii="仿宋" w:hAnsi="仿宋" w:eastAsia="仿宋"/>
          <w:sz w:val="30"/>
          <w:szCs w:val="30"/>
        </w:rPr>
        <w:t>（三）目的意义</w:t>
      </w:r>
    </w:p>
    <w:p w14:paraId="518EC8C9">
      <w:p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rPr>
        <w:t>1.目的</w:t>
      </w:r>
    </w:p>
    <w:p w14:paraId="5145C3ED">
      <w:pPr>
        <w:numPr>
          <w:ilvl w:val="0"/>
          <w:numId w:val="0"/>
        </w:num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1）建立重组胶原蛋白纯化全工艺的通用技术语言，确保不同表达系统（大肠杆菌、酵母菌、哺乳动物细胞等）、不同应用场景（医疗美容、创伤修复、组织工程等）的重组胶原蛋白在工艺转移与规模放大时，质量具有可比性、数据具有可追溯性。</w:t>
      </w:r>
    </w:p>
    <w:p w14:paraId="66F4D52B">
      <w:pPr>
        <w:numPr>
          <w:ilvl w:val="0"/>
          <w:numId w:val="0"/>
        </w:num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（2）规定重组胶原蛋白纯化工艺的关键工艺参数与关键质量属性的映射关系，为工艺验证、工艺变更管理及监管现场核查提供量化依据，减少工艺不确定性对产品质量的影响。</w:t>
      </w:r>
    </w:p>
    <w:p w14:paraId="5B8463DC">
      <w:pPr>
        <w:numPr>
          <w:ilvl w:val="0"/>
          <w:numId w:val="0"/>
        </w:numPr>
        <w:spacing w:line="560" w:lineRule="exact"/>
        <w:ind w:firstLine="600" w:firstLineChars="200"/>
        <w:rPr>
          <w:rFonts w:hint="eastAsia" w:ascii="仿宋" w:hAnsi="仿宋" w:eastAsia="仿宋"/>
          <w:b w:val="0"/>
          <w:bCs w:val="0"/>
          <w:sz w:val="30"/>
          <w:szCs w:val="30"/>
          <w:lang w:eastAsia="zh-CN"/>
        </w:rPr>
      </w:pPr>
      <w:r>
        <w:rPr>
          <w:rFonts w:hint="eastAsia" w:ascii="仿宋" w:hAnsi="仿宋" w:eastAsia="仿宋"/>
          <w:sz w:val="30"/>
          <w:szCs w:val="30"/>
        </w:rPr>
        <w:t>（3）为重组胶原蛋白生产企业、CDMO企业、检验检测机构及监管部门提供一套明确的工艺评估、检测和验证方法，确保重组胶原蛋白终产品符合《中国药典》2025版（拟增）“重组胶原蛋白总论”草案及相关监管要求。</w:t>
      </w:r>
    </w:p>
    <w:p w14:paraId="1E45A516">
      <w:pPr>
        <w:numPr>
          <w:ilvl w:val="0"/>
          <w:numId w:val="0"/>
        </w:numPr>
        <w:spacing w:line="560" w:lineRule="exact"/>
        <w:ind w:firstLine="600" w:firstLineChars="200"/>
        <w:rPr>
          <w:rFonts w:hint="eastAsia" w:ascii="仿宋" w:hAnsi="仿宋" w:eastAsia="仿宋"/>
          <w:sz w:val="30"/>
          <w:szCs w:val="30"/>
        </w:rPr>
      </w:pPr>
      <w:r>
        <w:rPr>
          <w:rFonts w:hint="eastAsia" w:ascii="仿宋" w:hAnsi="仿宋" w:eastAsia="仿宋" w:cstheme="minorBidi"/>
          <w:kern w:val="2"/>
          <w:sz w:val="30"/>
          <w:szCs w:val="30"/>
          <w:lang w:val="en-US" w:eastAsia="zh-CN" w:bidi="ar-SA"/>
        </w:rPr>
        <w:t>2.</w:t>
      </w:r>
      <w:r>
        <w:rPr>
          <w:rFonts w:hint="eastAsia" w:ascii="仿宋" w:hAnsi="仿宋" w:eastAsia="仿宋"/>
          <w:b w:val="0"/>
          <w:bCs w:val="0"/>
          <w:sz w:val="30"/>
          <w:szCs w:val="30"/>
        </w:rPr>
        <w:t>意义</w:t>
      </w:r>
    </w:p>
    <w:p w14:paraId="32098FD8">
      <w:pPr>
        <w:numPr>
          <w:ilvl w:val="0"/>
          <w:numId w:val="0"/>
        </w:numPr>
        <w:spacing w:line="560" w:lineRule="exact"/>
        <w:ind w:firstLine="600" w:firstLineChars="200"/>
        <w:rPr>
          <w:rFonts w:hint="eastAsia" w:ascii="仿宋" w:hAnsi="仿宋" w:eastAsia="仿宋" w:cstheme="minorBidi"/>
          <w:b w:val="0"/>
          <w:bCs w:val="0"/>
          <w:kern w:val="2"/>
          <w:sz w:val="30"/>
          <w:szCs w:val="30"/>
          <w:lang w:val="en-US" w:eastAsia="zh-CN" w:bidi="ar-SA"/>
        </w:rPr>
      </w:pPr>
      <w:r>
        <w:rPr>
          <w:rFonts w:hint="eastAsia" w:ascii="仿宋" w:hAnsi="仿宋" w:eastAsia="仿宋" w:cstheme="minorBidi"/>
          <w:b w:val="0"/>
          <w:bCs w:val="0"/>
          <w:kern w:val="2"/>
          <w:sz w:val="30"/>
          <w:szCs w:val="30"/>
          <w:lang w:val="en-US" w:eastAsia="zh-CN" w:bidi="ar-SA"/>
        </w:rPr>
        <w:t>（1）推动行业高质量发展</w:t>
      </w:r>
    </w:p>
    <w:p w14:paraId="7B265A4E">
      <w:pPr>
        <w:numPr>
          <w:ilvl w:val="0"/>
          <w:numId w:val="0"/>
        </w:numPr>
        <w:spacing w:line="560" w:lineRule="exact"/>
        <w:ind w:firstLine="600" w:firstLineChars="200"/>
        <w:rPr>
          <w:rFonts w:hint="eastAsia" w:ascii="仿宋" w:hAnsi="仿宋" w:eastAsia="仿宋" w:cstheme="minorBidi"/>
          <w:b w:val="0"/>
          <w:bCs w:val="0"/>
          <w:kern w:val="2"/>
          <w:sz w:val="30"/>
          <w:szCs w:val="30"/>
          <w:lang w:val="en-US" w:eastAsia="zh-CN" w:bidi="ar-SA"/>
        </w:rPr>
      </w:pPr>
      <w:r>
        <w:rPr>
          <w:rFonts w:hint="eastAsia" w:ascii="仿宋" w:hAnsi="仿宋" w:eastAsia="仿宋" w:cstheme="minorBidi"/>
          <w:b w:val="0"/>
          <w:bCs w:val="0"/>
          <w:kern w:val="2"/>
          <w:sz w:val="30"/>
          <w:szCs w:val="30"/>
          <w:lang w:val="en-US" w:eastAsia="zh-CN" w:bidi="ar-SA"/>
        </w:rPr>
        <w:t>统一的纯化工艺规范可降低行业技术壁垒，加速重组胶原蛋白创新产品（包括组织工程支架、高端医美产品、创新药辅料等）的产业化进程，助力我国在重组胶原蛋白生物材料领域形成核心竞争力。</w:t>
      </w:r>
    </w:p>
    <w:p w14:paraId="4A6FD23F">
      <w:pPr>
        <w:numPr>
          <w:ilvl w:val="0"/>
          <w:numId w:val="0"/>
        </w:numPr>
        <w:spacing w:line="560" w:lineRule="exact"/>
        <w:ind w:firstLine="600" w:firstLineChars="200"/>
        <w:rPr>
          <w:rFonts w:hint="eastAsia" w:ascii="仿宋" w:hAnsi="仿宋" w:eastAsia="仿宋" w:cstheme="minorBidi"/>
          <w:b w:val="0"/>
          <w:bCs w:val="0"/>
          <w:kern w:val="2"/>
          <w:sz w:val="30"/>
          <w:szCs w:val="30"/>
          <w:lang w:val="en-US" w:eastAsia="zh-CN" w:bidi="ar-SA"/>
        </w:rPr>
      </w:pPr>
      <w:r>
        <w:rPr>
          <w:rFonts w:hint="eastAsia" w:ascii="仿宋" w:hAnsi="仿宋" w:eastAsia="仿宋" w:cstheme="minorBidi"/>
          <w:b w:val="0"/>
          <w:bCs w:val="0"/>
          <w:kern w:val="2"/>
          <w:sz w:val="30"/>
          <w:szCs w:val="30"/>
          <w:lang w:val="en-US" w:eastAsia="zh-CN" w:bidi="ar-SA"/>
        </w:rPr>
        <w:t>（2）提升产品批次一致性</w:t>
      </w:r>
    </w:p>
    <w:p w14:paraId="4C8130C0">
      <w:pPr>
        <w:numPr>
          <w:ilvl w:val="0"/>
          <w:numId w:val="0"/>
        </w:numPr>
        <w:spacing w:line="560" w:lineRule="exact"/>
        <w:ind w:firstLine="600" w:firstLineChars="200"/>
        <w:rPr>
          <w:rFonts w:hint="eastAsia" w:ascii="仿宋" w:hAnsi="仿宋" w:eastAsia="仿宋" w:cstheme="minorBidi"/>
          <w:b w:val="0"/>
          <w:bCs w:val="0"/>
          <w:kern w:val="2"/>
          <w:sz w:val="30"/>
          <w:szCs w:val="30"/>
          <w:lang w:val="en-US" w:eastAsia="zh-CN" w:bidi="ar-SA"/>
        </w:rPr>
      </w:pPr>
      <w:r>
        <w:rPr>
          <w:rFonts w:hint="eastAsia" w:ascii="仿宋" w:hAnsi="仿宋" w:eastAsia="仿宋" w:cstheme="minorBidi"/>
          <w:b w:val="0"/>
          <w:bCs w:val="0"/>
          <w:kern w:val="2"/>
          <w:sz w:val="30"/>
          <w:szCs w:val="30"/>
          <w:lang w:val="en-US" w:eastAsia="zh-CN" w:bidi="ar-SA"/>
        </w:rPr>
        <w:t>通过标准化层析条件、超滤参数、脱盐工艺及除菌过滤等关键步骤，可显著降低重组胶原蛋白产品纯度、活性等关键指标的批次波动，提升产品质量稳定性，保障临床应用安全。</w:t>
      </w:r>
    </w:p>
    <w:p w14:paraId="1EA7C56D">
      <w:pPr>
        <w:numPr>
          <w:ilvl w:val="0"/>
          <w:numId w:val="0"/>
        </w:numPr>
        <w:spacing w:line="560" w:lineRule="exact"/>
        <w:ind w:firstLine="600" w:firstLineChars="200"/>
        <w:rPr>
          <w:rFonts w:hint="eastAsia" w:ascii="仿宋" w:hAnsi="仿宋" w:eastAsia="仿宋" w:cstheme="minorBidi"/>
          <w:b w:val="0"/>
          <w:bCs w:val="0"/>
          <w:kern w:val="2"/>
          <w:sz w:val="30"/>
          <w:szCs w:val="30"/>
          <w:lang w:val="en-US" w:eastAsia="zh-CN" w:bidi="ar-SA"/>
        </w:rPr>
      </w:pPr>
      <w:r>
        <w:rPr>
          <w:rFonts w:hint="eastAsia" w:ascii="仿宋" w:hAnsi="仿宋" w:eastAsia="仿宋" w:cstheme="minorBidi"/>
          <w:b w:val="0"/>
          <w:bCs w:val="0"/>
          <w:kern w:val="2"/>
          <w:sz w:val="30"/>
          <w:szCs w:val="30"/>
          <w:lang w:val="en-US" w:eastAsia="zh-CN" w:bidi="ar-SA"/>
        </w:rPr>
        <w:t>（3）降低行业质量管理成本</w:t>
      </w:r>
    </w:p>
    <w:p w14:paraId="534C2BDC">
      <w:pPr>
        <w:numPr>
          <w:ilvl w:val="0"/>
          <w:numId w:val="0"/>
        </w:numPr>
        <w:spacing w:line="560" w:lineRule="exact"/>
        <w:ind w:firstLine="600" w:firstLineChars="200"/>
        <w:rPr>
          <w:rFonts w:hint="default" w:ascii="仿宋" w:hAnsi="仿宋" w:eastAsia="仿宋"/>
          <w:b w:val="0"/>
          <w:bCs w:val="0"/>
          <w:sz w:val="30"/>
          <w:szCs w:val="30"/>
          <w:lang w:val="en-US" w:eastAsia="zh-CN"/>
        </w:rPr>
      </w:pPr>
      <w:r>
        <w:rPr>
          <w:rFonts w:hint="eastAsia" w:ascii="仿宋" w:hAnsi="仿宋" w:eastAsia="仿宋" w:cstheme="minorBidi"/>
          <w:b w:val="0"/>
          <w:bCs w:val="0"/>
          <w:kern w:val="2"/>
          <w:sz w:val="30"/>
          <w:szCs w:val="30"/>
          <w:lang w:val="en-US" w:eastAsia="zh-CN" w:bidi="ar-SA"/>
        </w:rPr>
        <w:t>工艺标准化可减少因批次失败导致的物料浪费、生产返工及注册发补，降低企业研发与生产成本，提升行业整体经济效益，推动产业资源优化配置。</w:t>
      </w:r>
    </w:p>
    <w:p w14:paraId="397935CC">
      <w:pPr>
        <w:spacing w:line="560" w:lineRule="exact"/>
        <w:ind w:firstLine="600" w:firstLineChars="200"/>
        <w:rPr>
          <w:rFonts w:ascii="仿宋" w:hAnsi="仿宋" w:eastAsia="仿宋"/>
          <w:sz w:val="30"/>
          <w:szCs w:val="30"/>
        </w:rPr>
      </w:pPr>
      <w:r>
        <w:rPr>
          <w:rFonts w:hint="eastAsia" w:ascii="仿宋" w:hAnsi="仿宋" w:eastAsia="仿宋"/>
          <w:sz w:val="30"/>
          <w:szCs w:val="30"/>
        </w:rPr>
        <w:t>（四）起草单位及起草人名单</w:t>
      </w:r>
    </w:p>
    <w:p w14:paraId="5B679CAB">
      <w:pPr>
        <w:spacing w:line="560" w:lineRule="exact"/>
        <w:ind w:firstLine="600" w:firstLineChars="200"/>
        <w:rPr>
          <w:rFonts w:hint="default" w:ascii="仿宋" w:hAnsi="仿宋" w:eastAsia="仿宋"/>
          <w:sz w:val="30"/>
          <w:szCs w:val="30"/>
          <w:lang w:val="en-US" w:eastAsia="zh-CN"/>
        </w:rPr>
      </w:pPr>
      <w:r>
        <w:rPr>
          <w:rFonts w:hint="eastAsia" w:ascii="仿宋" w:hAnsi="仿宋" w:eastAsia="仿宋"/>
          <w:sz w:val="30"/>
          <w:szCs w:val="30"/>
        </w:rPr>
        <w:t>本文件起草单位：江苏创健医疗科技股份有限公司</w:t>
      </w:r>
      <w:r>
        <w:rPr>
          <w:rFonts w:hint="eastAsia" w:ascii="仿宋" w:hAnsi="仿宋" w:eastAsia="仿宋"/>
          <w:sz w:val="30"/>
          <w:szCs w:val="30"/>
          <w:lang w:eastAsia="zh-CN"/>
        </w:rPr>
        <w:t>、上海建华精细生物制品有限公司、常州天地人和生物科技有限公司</w:t>
      </w:r>
      <w:r>
        <w:rPr>
          <w:rFonts w:hint="eastAsia" w:ascii="仿宋" w:hAnsi="仿宋" w:eastAsia="仿宋"/>
          <w:sz w:val="30"/>
          <w:szCs w:val="30"/>
          <w:lang w:val="en-US" w:eastAsia="zh-CN"/>
        </w:rPr>
        <w:t>等。</w:t>
      </w:r>
    </w:p>
    <w:p w14:paraId="5C01D8D1">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rPr>
        <w:t>本文件主要起草人：</w:t>
      </w:r>
      <w:r>
        <w:rPr>
          <w:rFonts w:hint="eastAsia" w:ascii="仿宋" w:hAnsi="仿宋" w:eastAsia="仿宋"/>
          <w:sz w:val="30"/>
          <w:szCs w:val="30"/>
          <w:lang w:eastAsia="zh-CN"/>
        </w:rPr>
        <w:t>待确定。</w:t>
      </w:r>
      <w:bookmarkStart w:id="0" w:name="_GoBack"/>
      <w:bookmarkEnd w:id="0"/>
    </w:p>
    <w:p w14:paraId="64F2B3EF">
      <w:pPr>
        <w:spacing w:line="560" w:lineRule="exact"/>
        <w:ind w:firstLine="600" w:firstLineChars="200"/>
        <w:rPr>
          <w:rFonts w:ascii="仿宋" w:hAnsi="仿宋" w:eastAsia="仿宋"/>
          <w:sz w:val="30"/>
          <w:szCs w:val="30"/>
        </w:rPr>
      </w:pPr>
      <w:r>
        <w:rPr>
          <w:rFonts w:hint="eastAsia" w:ascii="仿宋" w:hAnsi="仿宋" w:eastAsia="仿宋"/>
          <w:sz w:val="30"/>
          <w:szCs w:val="30"/>
        </w:rPr>
        <w:t>（五）主要起草过程</w:t>
      </w:r>
    </w:p>
    <w:p w14:paraId="3A0DF044">
      <w:pPr>
        <w:spacing w:line="560" w:lineRule="exact"/>
        <w:ind w:firstLine="600" w:firstLineChars="200"/>
        <w:rPr>
          <w:rFonts w:hint="eastAsia" w:ascii="仿宋" w:hAnsi="仿宋" w:eastAsia="仿宋"/>
          <w:sz w:val="30"/>
          <w:szCs w:val="30"/>
        </w:rPr>
      </w:pPr>
      <w:r>
        <w:rPr>
          <w:rFonts w:hint="eastAsia" w:ascii="仿宋" w:hAnsi="仿宋" w:eastAsia="仿宋"/>
          <w:sz w:val="30"/>
          <w:szCs w:val="30"/>
          <w:lang w:val="en-US" w:eastAsia="zh-CN"/>
        </w:rPr>
        <w:t>1.</w:t>
      </w:r>
      <w:r>
        <w:rPr>
          <w:rFonts w:hint="eastAsia" w:ascii="仿宋" w:hAnsi="仿宋" w:eastAsia="仿宋"/>
          <w:sz w:val="30"/>
          <w:szCs w:val="30"/>
        </w:rPr>
        <w:t>文本调研</w:t>
      </w:r>
    </w:p>
    <w:p w14:paraId="7B0A9F63">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202</w:t>
      </w:r>
      <w:r>
        <w:rPr>
          <w:rFonts w:hint="eastAsia" w:ascii="仿宋" w:hAnsi="仿宋" w:eastAsia="仿宋"/>
          <w:sz w:val="30"/>
          <w:szCs w:val="30"/>
          <w:lang w:val="en-US" w:eastAsia="zh-CN"/>
        </w:rPr>
        <w:t>5</w:t>
      </w:r>
      <w:r>
        <w:rPr>
          <w:rFonts w:hint="eastAsia" w:ascii="仿宋" w:hAnsi="仿宋" w:eastAsia="仿宋"/>
          <w:sz w:val="30"/>
          <w:szCs w:val="30"/>
        </w:rPr>
        <w:t>年</w:t>
      </w:r>
      <w:r>
        <w:rPr>
          <w:rFonts w:hint="eastAsia" w:ascii="仿宋" w:hAnsi="仿宋" w:eastAsia="仿宋"/>
          <w:sz w:val="30"/>
          <w:szCs w:val="30"/>
          <w:lang w:val="en-US" w:eastAsia="zh-CN"/>
        </w:rPr>
        <w:t>5</w:t>
      </w:r>
      <w:r>
        <w:rPr>
          <w:rFonts w:hint="eastAsia" w:ascii="仿宋" w:hAnsi="仿宋" w:eastAsia="仿宋"/>
          <w:sz w:val="30"/>
          <w:szCs w:val="30"/>
        </w:rPr>
        <w:t>月启动了文本的调研工作，并完成了相关资料的收集和分析工作。</w:t>
      </w:r>
    </w:p>
    <w:p w14:paraId="576742FD">
      <w:pPr>
        <w:spacing w:line="560" w:lineRule="exact"/>
        <w:ind w:firstLine="600" w:firstLineChars="200"/>
        <w:rPr>
          <w:rFonts w:hint="eastAsia" w:ascii="仿宋" w:hAnsi="仿宋" w:eastAsia="仿宋"/>
          <w:sz w:val="30"/>
          <w:szCs w:val="30"/>
        </w:rPr>
      </w:pPr>
      <w:r>
        <w:rPr>
          <w:rFonts w:hint="eastAsia" w:ascii="仿宋" w:hAnsi="仿宋" w:eastAsia="仿宋"/>
          <w:sz w:val="30"/>
          <w:szCs w:val="30"/>
          <w:lang w:val="en-US" w:eastAsia="zh-CN"/>
        </w:rPr>
        <w:t>2.</w:t>
      </w:r>
      <w:r>
        <w:rPr>
          <w:rFonts w:hint="eastAsia" w:ascii="仿宋" w:hAnsi="仿宋" w:eastAsia="仿宋"/>
          <w:sz w:val="30"/>
          <w:szCs w:val="30"/>
        </w:rPr>
        <w:t>标准立项</w:t>
      </w:r>
    </w:p>
    <w:p w14:paraId="33B126E5">
      <w:pPr>
        <w:spacing w:line="560" w:lineRule="exact"/>
        <w:ind w:firstLine="600" w:firstLineChars="200"/>
        <w:rPr>
          <w:rFonts w:hint="eastAsia" w:ascii="仿宋" w:hAnsi="仿宋" w:eastAsia="仿宋"/>
          <w:sz w:val="30"/>
          <w:szCs w:val="30"/>
          <w:lang w:eastAsia="zh-CN"/>
        </w:rPr>
      </w:pPr>
      <w:r>
        <w:rPr>
          <w:rFonts w:hint="eastAsia" w:ascii="仿宋" w:hAnsi="仿宋" w:eastAsia="仿宋"/>
          <w:sz w:val="30"/>
          <w:szCs w:val="30"/>
        </w:rPr>
        <w:t>202</w:t>
      </w:r>
      <w:r>
        <w:rPr>
          <w:rFonts w:hint="eastAsia" w:ascii="仿宋" w:hAnsi="仿宋" w:eastAsia="仿宋"/>
          <w:sz w:val="30"/>
          <w:szCs w:val="30"/>
          <w:lang w:val="en-US" w:eastAsia="zh-CN"/>
        </w:rPr>
        <w:t>5</w:t>
      </w:r>
      <w:r>
        <w:rPr>
          <w:rFonts w:hint="eastAsia" w:ascii="仿宋" w:hAnsi="仿宋" w:eastAsia="仿宋"/>
          <w:sz w:val="30"/>
          <w:szCs w:val="30"/>
        </w:rPr>
        <w:t>年</w:t>
      </w:r>
      <w:r>
        <w:rPr>
          <w:rFonts w:hint="eastAsia" w:ascii="仿宋" w:hAnsi="仿宋" w:eastAsia="仿宋"/>
          <w:sz w:val="30"/>
          <w:szCs w:val="30"/>
          <w:lang w:val="en-US" w:eastAsia="zh-CN"/>
        </w:rPr>
        <w:t>10</w:t>
      </w:r>
      <w:r>
        <w:rPr>
          <w:rFonts w:hint="eastAsia" w:ascii="仿宋" w:hAnsi="仿宋" w:eastAsia="仿宋"/>
          <w:sz w:val="30"/>
          <w:szCs w:val="30"/>
        </w:rPr>
        <w:t>月</w:t>
      </w:r>
      <w:r>
        <w:rPr>
          <w:rFonts w:hint="eastAsia" w:ascii="仿宋" w:hAnsi="仿宋" w:eastAsia="仿宋"/>
          <w:sz w:val="30"/>
          <w:szCs w:val="30"/>
          <w:lang w:val="en-US" w:eastAsia="zh-CN"/>
        </w:rPr>
        <w:t>15</w:t>
      </w:r>
      <w:r>
        <w:rPr>
          <w:rFonts w:hint="eastAsia" w:ascii="仿宋" w:hAnsi="仿宋" w:eastAsia="仿宋"/>
          <w:sz w:val="30"/>
          <w:szCs w:val="30"/>
        </w:rPr>
        <w:t>日向促进会标准化委员会提交立项建议书</w:t>
      </w:r>
      <w:r>
        <w:rPr>
          <w:rFonts w:hint="eastAsia" w:ascii="仿宋" w:hAnsi="仿宋" w:eastAsia="仿宋"/>
          <w:sz w:val="30"/>
          <w:szCs w:val="30"/>
          <w:lang w:eastAsia="zh-CN"/>
        </w:rPr>
        <w:t>。于2025年</w:t>
      </w:r>
      <w:r>
        <w:rPr>
          <w:rFonts w:hint="eastAsia" w:ascii="仿宋" w:hAnsi="仿宋" w:eastAsia="仿宋"/>
          <w:sz w:val="30"/>
          <w:szCs w:val="30"/>
          <w:lang w:val="en-US" w:eastAsia="zh-CN"/>
        </w:rPr>
        <w:t>10</w:t>
      </w:r>
      <w:r>
        <w:rPr>
          <w:rFonts w:hint="eastAsia" w:ascii="仿宋" w:hAnsi="仿宋" w:eastAsia="仿宋"/>
          <w:sz w:val="30"/>
          <w:szCs w:val="30"/>
          <w:lang w:eastAsia="zh-CN"/>
        </w:rPr>
        <w:t>月2</w:t>
      </w:r>
      <w:r>
        <w:rPr>
          <w:rFonts w:hint="eastAsia" w:ascii="仿宋" w:hAnsi="仿宋" w:eastAsia="仿宋"/>
          <w:sz w:val="30"/>
          <w:szCs w:val="30"/>
          <w:lang w:val="en-US" w:eastAsia="zh-CN"/>
        </w:rPr>
        <w:t>3</w:t>
      </w:r>
      <w:r>
        <w:rPr>
          <w:rFonts w:hint="eastAsia" w:ascii="仿宋" w:hAnsi="仿宋" w:eastAsia="仿宋"/>
          <w:sz w:val="30"/>
          <w:szCs w:val="30"/>
          <w:lang w:eastAsia="zh-CN"/>
        </w:rPr>
        <w:t>日获得中国食品药品企业质量安全促进会批准立项。</w:t>
      </w:r>
    </w:p>
    <w:p w14:paraId="685133B8">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3.形成征求意见稿</w:t>
      </w:r>
    </w:p>
    <w:p w14:paraId="790008AF">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highlight w:val="none"/>
          <w:lang w:val="en-US" w:eastAsia="zh-CN"/>
        </w:rPr>
        <w:t>2025年11月21日，</w:t>
      </w:r>
      <w:r>
        <w:rPr>
          <w:rFonts w:hint="eastAsia" w:ascii="仿宋" w:hAnsi="仿宋" w:eastAsia="仿宋"/>
          <w:sz w:val="30"/>
          <w:szCs w:val="30"/>
          <w:lang w:val="en-US" w:eastAsia="zh-CN"/>
        </w:rPr>
        <w:t>起草组根据反馈的意见和建议，召开了团体标准讨论会，对草案内容进行了修改和调整，形成标准征求意见稿，提交中国食品药品企业质量安全促进会进行意见征集。</w:t>
      </w:r>
    </w:p>
    <w:p w14:paraId="7411F500">
      <w:pPr>
        <w:spacing w:line="560" w:lineRule="exact"/>
        <w:ind w:firstLine="600" w:firstLineChars="200"/>
        <w:rPr>
          <w:rFonts w:ascii="黑体" w:hAnsi="黑体" w:eastAsia="黑体"/>
          <w:sz w:val="30"/>
          <w:szCs w:val="30"/>
        </w:rPr>
      </w:pPr>
      <w:r>
        <w:rPr>
          <w:rFonts w:hint="eastAsia" w:ascii="黑体" w:hAnsi="黑体" w:eastAsia="黑体"/>
          <w:sz w:val="30"/>
          <w:szCs w:val="30"/>
        </w:rPr>
        <w:t>二、确定标准主要内容的论据</w:t>
      </w:r>
    </w:p>
    <w:p w14:paraId="72E61DB2">
      <w:pPr>
        <w:spacing w:line="560" w:lineRule="exact"/>
        <w:ind w:firstLine="600" w:firstLineChars="200"/>
        <w:rPr>
          <w:rFonts w:ascii="仿宋" w:hAnsi="仿宋" w:eastAsia="仿宋"/>
          <w:sz w:val="30"/>
          <w:szCs w:val="30"/>
        </w:rPr>
      </w:pPr>
      <w:r>
        <w:rPr>
          <w:rFonts w:hint="eastAsia" w:ascii="仿宋" w:hAnsi="仿宋" w:eastAsia="仿宋"/>
          <w:sz w:val="30"/>
          <w:szCs w:val="30"/>
        </w:rPr>
        <w:t>（一）编制原则</w:t>
      </w:r>
    </w:p>
    <w:p w14:paraId="46ED0C77">
      <w:p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本文件按照</w:t>
      </w:r>
      <w:r>
        <w:rPr>
          <w:rFonts w:ascii="仿宋" w:hAnsi="仿宋" w:eastAsia="仿宋"/>
          <w:sz w:val="30"/>
          <w:szCs w:val="30"/>
        </w:rPr>
        <w:t>GB/T 1.1—2020《标准化工作导则第1部分：标准化文件的结构和起草规则》</w:t>
      </w:r>
      <w:r>
        <w:rPr>
          <w:rFonts w:hint="eastAsia" w:ascii="仿宋" w:hAnsi="仿宋" w:eastAsia="仿宋"/>
          <w:sz w:val="30"/>
          <w:szCs w:val="30"/>
        </w:rPr>
        <w:t>以及《中国食品药品企业质量安全促进会团体标准工作程序》起草。</w:t>
      </w:r>
    </w:p>
    <w:p w14:paraId="037F198B">
      <w:pPr>
        <w:spacing w:line="560" w:lineRule="exact"/>
        <w:ind w:firstLine="600" w:firstLineChars="200"/>
        <w:rPr>
          <w:rFonts w:ascii="仿宋" w:hAnsi="仿宋" w:eastAsia="仿宋"/>
          <w:sz w:val="30"/>
          <w:szCs w:val="30"/>
        </w:rPr>
      </w:pPr>
      <w:r>
        <w:rPr>
          <w:rFonts w:hint="eastAsia" w:ascii="仿宋" w:hAnsi="仿宋" w:eastAsia="仿宋"/>
          <w:sz w:val="30"/>
          <w:szCs w:val="30"/>
        </w:rPr>
        <w:t>（二）标准主要内容及适用范围</w:t>
      </w:r>
    </w:p>
    <w:p w14:paraId="5D528067">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rPr>
        <w:t>本文件规定了重组胶原蛋白纯化工艺的一般要求、技术要求、工艺控制、试验方法、质量控制等内容。</w:t>
      </w:r>
    </w:p>
    <w:p w14:paraId="102D0817">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rPr>
        <w:t>本文件适用于以微生物、酵母、哺乳动物细胞等为表达体系生产的重组人源胶原蛋白的纯化工艺的开发、验证、生产和质量控制。</w:t>
      </w:r>
    </w:p>
    <w:p w14:paraId="79845B00">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lang w:val="en-US" w:eastAsia="zh-CN"/>
        </w:rPr>
        <w:t>1.</w:t>
      </w:r>
      <w:r>
        <w:rPr>
          <w:rFonts w:hint="eastAsia" w:ascii="仿宋" w:hAnsi="仿宋" w:eastAsia="仿宋"/>
          <w:b w:val="0"/>
          <w:bCs w:val="0"/>
          <w:sz w:val="30"/>
          <w:szCs w:val="30"/>
        </w:rPr>
        <w:t>范围：</w:t>
      </w:r>
    </w:p>
    <w:p w14:paraId="40ADA60A">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rPr>
        <w:t>适用表达体系（微生物、酵母、哺乳动物细胞）与场景（纯化工艺的开发、验证、生产和质量控制）。</w:t>
      </w:r>
    </w:p>
    <w:p w14:paraId="0A0DBF1E">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lang w:val="en-US" w:eastAsia="zh-CN"/>
        </w:rPr>
        <w:t>2.</w:t>
      </w:r>
      <w:r>
        <w:rPr>
          <w:rFonts w:hint="eastAsia" w:ascii="仿宋" w:hAnsi="仿宋" w:eastAsia="仿宋"/>
          <w:b w:val="0"/>
          <w:bCs w:val="0"/>
          <w:sz w:val="30"/>
          <w:szCs w:val="30"/>
        </w:rPr>
        <w:t>规范性引用：列出重组胶原蛋白、药典等4项国标/药典。</w:t>
      </w:r>
    </w:p>
    <w:p w14:paraId="0EBF9915">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lang w:val="en-US" w:eastAsia="zh-CN"/>
        </w:rPr>
        <w:t>3.</w:t>
      </w:r>
      <w:r>
        <w:rPr>
          <w:rFonts w:hint="eastAsia" w:ascii="仿宋" w:hAnsi="仿宋" w:eastAsia="仿宋"/>
          <w:b w:val="0"/>
          <w:bCs w:val="0"/>
          <w:sz w:val="30"/>
          <w:szCs w:val="30"/>
        </w:rPr>
        <w:t>术语定义：</w:t>
      </w:r>
    </w:p>
    <w:p w14:paraId="58C54635">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rPr>
        <w:t>给出“重组胶原蛋白纯化工艺”术语。</w:t>
      </w:r>
    </w:p>
    <w:p w14:paraId="593FBEAF">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lang w:val="en-US" w:eastAsia="zh-CN"/>
        </w:rPr>
        <w:t>4.</w:t>
      </w:r>
      <w:r>
        <w:rPr>
          <w:rFonts w:hint="eastAsia" w:ascii="仿宋" w:hAnsi="仿宋" w:eastAsia="仿宋"/>
          <w:b w:val="0"/>
          <w:bCs w:val="0"/>
          <w:sz w:val="30"/>
          <w:szCs w:val="30"/>
        </w:rPr>
        <w:t>一般要求：</w:t>
      </w:r>
    </w:p>
    <w:p w14:paraId="7DE3F4FE">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rPr>
        <w:t>生产环境、设备要求、人员要求、原材料要求。</w:t>
      </w:r>
    </w:p>
    <w:p w14:paraId="4A27F9CB">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lang w:val="en-US" w:eastAsia="zh-CN"/>
        </w:rPr>
        <w:t>5.</w:t>
      </w:r>
      <w:r>
        <w:rPr>
          <w:rFonts w:hint="eastAsia" w:ascii="仿宋" w:hAnsi="仿宋" w:eastAsia="仿宋"/>
          <w:b w:val="0"/>
          <w:bCs w:val="0"/>
          <w:sz w:val="30"/>
          <w:szCs w:val="30"/>
        </w:rPr>
        <w:t>技术要求：</w:t>
      </w:r>
    </w:p>
    <w:p w14:paraId="01419749">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rPr>
        <w:t>包括对纯化后重组胶原蛋白的“蛋白质纯度、分子量分布、宿主细胞蛋白残留、宿主细胞DNA残留、内毒素含量、pH值、等电点（pI）、微生物限度、回收率、稳定性”十个技术指标的要求。</w:t>
      </w:r>
    </w:p>
    <w:p w14:paraId="1E20CA57">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lang w:val="en-US" w:eastAsia="zh-CN"/>
        </w:rPr>
        <w:t>6.</w:t>
      </w:r>
      <w:r>
        <w:rPr>
          <w:rFonts w:hint="eastAsia" w:ascii="仿宋" w:hAnsi="仿宋" w:eastAsia="仿宋"/>
          <w:b w:val="0"/>
          <w:bCs w:val="0"/>
          <w:sz w:val="30"/>
          <w:szCs w:val="30"/>
        </w:rPr>
        <w:t>工艺控制：</w:t>
      </w:r>
    </w:p>
    <w:p w14:paraId="0ADF6799">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rPr>
        <w:t>确定了重组胶原蛋白纯化工艺流程，“发酵液/细胞裂解液、收获与澄清、初级纯化（捕获）、精纯（精制）、成品处理与质量控制、质量检验与放行”，并对各个流程的步骤进行了说明。</w:t>
      </w:r>
    </w:p>
    <w:p w14:paraId="5B823DE4">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lang w:val="en-US" w:eastAsia="zh-CN"/>
        </w:rPr>
        <w:t>7.</w:t>
      </w:r>
      <w:r>
        <w:rPr>
          <w:rFonts w:hint="eastAsia" w:ascii="仿宋" w:hAnsi="仿宋" w:eastAsia="仿宋"/>
          <w:b w:val="0"/>
          <w:bCs w:val="0"/>
          <w:sz w:val="30"/>
          <w:szCs w:val="30"/>
        </w:rPr>
        <w:t>试验方法：</w:t>
      </w:r>
    </w:p>
    <w:p w14:paraId="3CFCA999">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rPr>
        <w:t>对应第5章技术要求，明确“蛋白质纯度、分子量分布、宿主细胞蛋白残留、宿主细胞DNA残留”等十项指标的执行标准以及适当的试验方法说明。</w:t>
      </w:r>
    </w:p>
    <w:p w14:paraId="262745B5">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lang w:val="en-US" w:eastAsia="zh-CN"/>
        </w:rPr>
        <w:t>8.</w:t>
      </w:r>
      <w:r>
        <w:rPr>
          <w:rFonts w:hint="eastAsia" w:ascii="仿宋" w:hAnsi="仿宋" w:eastAsia="仿宋"/>
          <w:b w:val="0"/>
          <w:bCs w:val="0"/>
          <w:sz w:val="30"/>
          <w:szCs w:val="30"/>
        </w:rPr>
        <w:t>质量控制：</w:t>
      </w:r>
    </w:p>
    <w:p w14:paraId="50A477FC">
      <w:pPr>
        <w:numPr>
          <w:ilvl w:val="0"/>
          <w:numId w:val="0"/>
        </w:numPr>
        <w:spacing w:line="560" w:lineRule="exact"/>
        <w:ind w:firstLine="600" w:firstLineChars="200"/>
        <w:rPr>
          <w:rFonts w:hint="eastAsia" w:ascii="仿宋" w:hAnsi="仿宋" w:eastAsia="仿宋"/>
          <w:b w:val="0"/>
          <w:bCs w:val="0"/>
          <w:sz w:val="30"/>
          <w:szCs w:val="30"/>
        </w:rPr>
      </w:pPr>
      <w:r>
        <w:rPr>
          <w:rFonts w:hint="eastAsia" w:ascii="仿宋" w:hAnsi="仿宋" w:eastAsia="仿宋"/>
          <w:b w:val="0"/>
          <w:bCs w:val="0"/>
          <w:sz w:val="30"/>
          <w:szCs w:val="30"/>
        </w:rPr>
        <w:t>针对重组胶原蛋白纯化工艺流程，提出“过程质量控制、原材料质量控制、设备与系统控制、偏差、变更控制、记录与文件管理”的要求。</w:t>
      </w:r>
    </w:p>
    <w:p w14:paraId="02D11312">
      <w:pPr>
        <w:numPr>
          <w:ilvl w:val="0"/>
          <w:numId w:val="0"/>
        </w:numPr>
        <w:spacing w:line="560" w:lineRule="exact"/>
        <w:ind w:firstLine="600" w:firstLineChars="200"/>
        <w:rPr>
          <w:rFonts w:hint="eastAsia" w:ascii="仿宋" w:hAnsi="仿宋" w:eastAsia="仿宋"/>
          <w:sz w:val="30"/>
          <w:szCs w:val="30"/>
        </w:rPr>
      </w:pPr>
      <w:r>
        <w:rPr>
          <w:rFonts w:hint="eastAsia" w:ascii="仿宋" w:hAnsi="仿宋" w:eastAsia="仿宋"/>
          <w:sz w:val="30"/>
          <w:szCs w:val="30"/>
        </w:rPr>
        <w:t>（</w:t>
      </w:r>
      <w:r>
        <w:rPr>
          <w:rFonts w:hint="eastAsia" w:ascii="仿宋" w:hAnsi="仿宋" w:eastAsia="仿宋"/>
          <w:sz w:val="30"/>
          <w:szCs w:val="30"/>
          <w:lang w:val="en-US" w:eastAsia="zh-CN"/>
        </w:rPr>
        <w:t>三</w:t>
      </w:r>
      <w:r>
        <w:rPr>
          <w:rFonts w:hint="eastAsia" w:ascii="仿宋" w:hAnsi="仿宋" w:eastAsia="仿宋"/>
          <w:sz w:val="30"/>
          <w:szCs w:val="30"/>
        </w:rPr>
        <w:t>）确定标准主要内容的论据</w:t>
      </w:r>
    </w:p>
    <w:p w14:paraId="283C75E3">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1.保障工艺一致性</w:t>
      </w:r>
    </w:p>
    <w:p w14:paraId="633A4D76">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通过限定层析流速允差≤±3%、超滤跨膜压≤0.3 MPa、在线清洗电导率终点≤0.5 mS/cm等量化指标，确保不同产地、不同规模设备所得重组胶原蛋白纯度（SEC-HPLC主峰面积百分比）与宿主蛋白残留CV≤10%。</w:t>
      </w:r>
    </w:p>
    <w:p w14:paraId="7F7F7A03">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2.规范过程检验与验证方法</w:t>
      </w:r>
    </w:p>
    <w:p w14:paraId="3B0CF9DB">
      <w:p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引入《中华人民共和国药典》相关通则、医药工业洁净厂房设计标准等作为规范性引用文件，明确纯化过程中关键参数监控方法与验证要求，填补行业内纯化工艺验证标准空白。</w:t>
      </w:r>
    </w:p>
    <w:p w14:paraId="02BBD81C">
      <w:pPr>
        <w:numPr>
          <w:ilvl w:val="0"/>
          <w:numId w:val="0"/>
        </w:numPr>
        <w:spacing w:line="560" w:lineRule="exact"/>
        <w:ind w:firstLine="600" w:firstLineChars="200"/>
        <w:rPr>
          <w:rFonts w:hint="eastAsia" w:ascii="黑体" w:hAnsi="黑体" w:eastAsia="黑体"/>
          <w:sz w:val="30"/>
          <w:szCs w:val="30"/>
        </w:rPr>
      </w:pPr>
      <w:r>
        <w:rPr>
          <w:rFonts w:hint="eastAsia" w:ascii="黑体" w:hAnsi="黑体" w:eastAsia="黑体" w:cstheme="minorBidi"/>
          <w:kern w:val="2"/>
          <w:sz w:val="30"/>
          <w:szCs w:val="30"/>
          <w:lang w:val="en-US" w:eastAsia="zh-CN" w:bidi="ar-SA"/>
        </w:rPr>
        <w:t>三、</w:t>
      </w:r>
      <w:r>
        <w:rPr>
          <w:rFonts w:hint="eastAsia" w:ascii="黑体" w:hAnsi="黑体" w:eastAsia="黑体"/>
          <w:sz w:val="30"/>
          <w:szCs w:val="30"/>
        </w:rPr>
        <w:t>主要试验</w:t>
      </w:r>
      <w:r>
        <w:rPr>
          <w:rFonts w:ascii="黑体" w:hAnsi="黑体" w:eastAsia="黑体"/>
          <w:sz w:val="30"/>
          <w:szCs w:val="30"/>
        </w:rPr>
        <w:t>[或验证]情况分析</w:t>
      </w:r>
      <w:r>
        <w:rPr>
          <w:rFonts w:hint="eastAsia" w:ascii="黑体" w:hAnsi="黑体" w:eastAsia="黑体"/>
          <w:sz w:val="30"/>
          <w:szCs w:val="30"/>
        </w:rPr>
        <w:t>、技术经济论证、预期经济效果</w:t>
      </w:r>
    </w:p>
    <w:p w14:paraId="5FA38CBB">
      <w:pPr>
        <w:numPr>
          <w:ilvl w:val="0"/>
          <w:numId w:val="0"/>
        </w:num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一、主要试验[或验证]情况分析</w:t>
      </w:r>
    </w:p>
    <w:p w14:paraId="206CF661">
      <w:pPr>
        <w:numPr>
          <w:ilvl w:val="0"/>
          <w:numId w:val="0"/>
        </w:num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（一）验证方案</w:t>
      </w:r>
    </w:p>
    <w:p w14:paraId="1379EBB4">
      <w:pPr>
        <w:numPr>
          <w:ilvl w:val="0"/>
          <w:numId w:val="0"/>
        </w:num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对同一批次重组胶原蛋白发酵液/细胞裂解液（特定规模），采用本文件草案规定的纯化工艺进行多中心验证，重点验证以下指标：</w:t>
      </w:r>
    </w:p>
    <w:p w14:paraId="07B26BD4">
      <w:pPr>
        <w:numPr>
          <w:ilvl w:val="0"/>
          <w:numId w:val="0"/>
        </w:num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a）蛋白纯度：采用SEC-HPLC法与SDS-PAGE银染法检测，确保纯度符合标准要求，且不同验证中心检测结果一致性良好；</w:t>
      </w:r>
    </w:p>
    <w:p w14:paraId="6D794290">
      <w:pPr>
        <w:numPr>
          <w:ilvl w:val="0"/>
          <w:numId w:val="0"/>
        </w:num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b）杂质去除率：包括宿主细胞蛋白、宿主细胞DNA、内毒素等，验证各纯化步骤对杂质的去除效果；</w:t>
      </w:r>
    </w:p>
    <w:p w14:paraId="2CD08ADC">
      <w:pPr>
        <w:numPr>
          <w:ilvl w:val="0"/>
          <w:numId w:val="0"/>
        </w:num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c）活性保留率：通过特定生物学活性检测方法，评估纯化过程对重组胶原蛋白活性的影响；</w:t>
      </w:r>
    </w:p>
    <w:p w14:paraId="6152E40C">
      <w:pPr>
        <w:numPr>
          <w:ilvl w:val="0"/>
          <w:numId w:val="0"/>
        </w:num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d）微生物限度与无菌性：针对非无菌产品与无菌产品，分别验证微生物限度及无菌检查结果是否符合标准；</w:t>
      </w:r>
    </w:p>
    <w:p w14:paraId="130BDC99">
      <w:pPr>
        <w:numPr>
          <w:ilvl w:val="0"/>
          <w:numId w:val="0"/>
        </w:num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e）回收率：计算从起始物料到终产品的总回收率，验证工艺效率。</w:t>
      </w:r>
    </w:p>
    <w:p w14:paraId="2D39F58C">
      <w:pPr>
        <w:numPr>
          <w:ilvl w:val="0"/>
          <w:numId w:val="0"/>
        </w:num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（二）技术经济论证</w:t>
      </w:r>
    </w:p>
    <w:p w14:paraId="2BB0E9D7">
      <w:pPr>
        <w:numPr>
          <w:ilvl w:val="0"/>
          <w:numId w:val="0"/>
        </w:num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以产业化常规生产规模为例，采用标准推荐的“收获与澄清—初级纯化—精纯—成品处理”全流程工艺，对比传统非标准化纯化工艺：在设备折旧、耗材采购、人工成本及能耗方面，标准化工艺可通过优化步骤衔接与参数控制，降低综合成本；同时，批次成功率显著提升，减少因批次失败导致的物料浪费与返工损失，进一步降低企业生产成本。</w:t>
      </w:r>
    </w:p>
    <w:p w14:paraId="3F160D76">
      <w:pPr>
        <w:numPr>
          <w:ilvl w:val="0"/>
          <w:numId w:val="0"/>
        </w:num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（三）预期经济效果</w:t>
      </w:r>
    </w:p>
    <w:p w14:paraId="556F4065">
      <w:pPr>
        <w:numPr>
          <w:ilvl w:val="0"/>
          <w:numId w:val="0"/>
        </w:num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1.缩短产品研发与注册周期</w:t>
      </w:r>
    </w:p>
    <w:p w14:paraId="3E858C3A">
      <w:pPr>
        <w:numPr>
          <w:ilvl w:val="0"/>
          <w:numId w:val="0"/>
        </w:num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标准化工艺可减少工艺优化与验证的重复工作，加速CMC研究进程，助力产品早日进入市场，提升企业市场竞争力。</w:t>
      </w:r>
    </w:p>
    <w:p w14:paraId="335F7D3C">
      <w:pPr>
        <w:numPr>
          <w:ilvl w:val="0"/>
          <w:numId w:val="0"/>
        </w:num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2.提升工艺转移与CDMO合作效率</w:t>
      </w:r>
    </w:p>
    <w:p w14:paraId="398938EA">
      <w:pPr>
        <w:numPr>
          <w:ilvl w:val="0"/>
          <w:numId w:val="0"/>
        </w:num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统一的工艺标准使企业间工艺转移更顺畅，CDMO机构承接订单的转化率预计提升，推动行业协作发展。</w:t>
      </w:r>
    </w:p>
    <w:p w14:paraId="0D8E11CC">
      <w:pPr>
        <w:numPr>
          <w:ilvl w:val="0"/>
          <w:numId w:val="0"/>
        </w:numPr>
        <w:spacing w:line="560" w:lineRule="exact"/>
        <w:ind w:firstLine="600" w:firstLineChars="200"/>
        <w:rPr>
          <w:rFonts w:hint="eastAsia" w:ascii="仿宋" w:hAnsi="仿宋" w:eastAsia="仿宋"/>
          <w:sz w:val="30"/>
          <w:szCs w:val="30"/>
          <w:lang w:val="en-US" w:eastAsia="zh-CN"/>
        </w:rPr>
      </w:pPr>
      <w:r>
        <w:rPr>
          <w:rFonts w:hint="eastAsia" w:ascii="仿宋" w:hAnsi="仿宋" w:eastAsia="仿宋"/>
          <w:sz w:val="30"/>
          <w:szCs w:val="30"/>
          <w:lang w:val="en-US" w:eastAsia="zh-CN"/>
        </w:rPr>
        <w:t>3.降低监管沟通成本</w:t>
      </w:r>
    </w:p>
    <w:p w14:paraId="33763B73">
      <w:pPr>
        <w:numPr>
          <w:ilvl w:val="0"/>
          <w:numId w:val="0"/>
        </w:numPr>
        <w:spacing w:line="560" w:lineRule="exact"/>
        <w:ind w:firstLine="600" w:firstLineChars="200"/>
        <w:rPr>
          <w:rFonts w:hint="eastAsia" w:ascii="仿宋" w:hAnsi="仿宋" w:eastAsia="仿宋"/>
          <w:sz w:val="30"/>
          <w:szCs w:val="30"/>
        </w:rPr>
      </w:pPr>
      <w:r>
        <w:rPr>
          <w:rFonts w:hint="eastAsia" w:ascii="仿宋" w:hAnsi="仿宋" w:eastAsia="仿宋"/>
          <w:sz w:val="30"/>
          <w:szCs w:val="30"/>
          <w:lang w:val="en-US" w:eastAsia="zh-CN"/>
        </w:rPr>
        <w:t>标准化的工艺控制与质量数据可减少注册发布频次，节约企业注册费用与时间成本，提升产品上市效率。</w:t>
      </w:r>
    </w:p>
    <w:p w14:paraId="6529F08E">
      <w:pPr>
        <w:spacing w:line="560" w:lineRule="exact"/>
        <w:ind w:firstLine="600" w:firstLineChars="200"/>
        <w:rPr>
          <w:rFonts w:ascii="黑体" w:hAnsi="黑体" w:eastAsia="黑体"/>
          <w:sz w:val="30"/>
          <w:szCs w:val="30"/>
        </w:rPr>
      </w:pPr>
      <w:r>
        <w:rPr>
          <w:rFonts w:hint="eastAsia" w:ascii="黑体" w:hAnsi="黑体" w:eastAsia="黑体"/>
          <w:sz w:val="30"/>
          <w:szCs w:val="30"/>
        </w:rPr>
        <w:t>四、采用国际标准和国内外先进标准的程度</w:t>
      </w:r>
    </w:p>
    <w:p w14:paraId="64CC3227">
      <w:pPr>
        <w:spacing w:line="560" w:lineRule="exact"/>
        <w:ind w:firstLine="600" w:firstLineChars="200"/>
        <w:rPr>
          <w:rFonts w:ascii="仿宋" w:hAnsi="仿宋" w:eastAsia="仿宋"/>
          <w:sz w:val="30"/>
          <w:szCs w:val="30"/>
        </w:rPr>
      </w:pPr>
      <w:r>
        <w:rPr>
          <w:rFonts w:hint="eastAsia" w:ascii="仿宋" w:hAnsi="仿宋" w:eastAsia="仿宋"/>
          <w:sz w:val="30"/>
          <w:szCs w:val="30"/>
        </w:rPr>
        <w:t>本文</w:t>
      </w:r>
      <w:r>
        <w:rPr>
          <w:rFonts w:hint="eastAsia" w:ascii="仿宋" w:hAnsi="仿宋" w:eastAsia="仿宋"/>
          <w:b w:val="0"/>
          <w:bCs w:val="0"/>
          <w:color w:val="auto"/>
          <w:sz w:val="30"/>
          <w:szCs w:val="30"/>
        </w:rPr>
        <w:t>件不涉及</w:t>
      </w:r>
      <w:r>
        <w:rPr>
          <w:rFonts w:hint="eastAsia" w:ascii="仿宋" w:hAnsi="仿宋" w:eastAsia="仿宋"/>
          <w:color w:val="auto"/>
          <w:sz w:val="30"/>
          <w:szCs w:val="30"/>
        </w:rPr>
        <w:t>国际国外标准的采标情</w:t>
      </w:r>
      <w:r>
        <w:rPr>
          <w:rFonts w:hint="eastAsia" w:ascii="仿宋" w:hAnsi="仿宋" w:eastAsia="仿宋"/>
          <w:sz w:val="30"/>
          <w:szCs w:val="30"/>
        </w:rPr>
        <w:t>况。</w:t>
      </w:r>
    </w:p>
    <w:p w14:paraId="725253CC">
      <w:pPr>
        <w:spacing w:line="560" w:lineRule="exact"/>
        <w:ind w:firstLine="600" w:firstLineChars="200"/>
        <w:rPr>
          <w:rFonts w:ascii="黑体" w:hAnsi="黑体" w:eastAsia="黑体"/>
          <w:sz w:val="30"/>
          <w:szCs w:val="30"/>
        </w:rPr>
      </w:pPr>
      <w:r>
        <w:rPr>
          <w:rFonts w:hint="eastAsia" w:ascii="黑体" w:hAnsi="黑体" w:eastAsia="黑体"/>
          <w:sz w:val="30"/>
          <w:szCs w:val="30"/>
        </w:rPr>
        <w:t>五、重大分歧意见处理经过及依据</w:t>
      </w:r>
    </w:p>
    <w:p w14:paraId="5B0CCB6C">
      <w:pPr>
        <w:spacing w:line="560" w:lineRule="exact"/>
        <w:ind w:firstLine="600" w:firstLineChars="200"/>
        <w:rPr>
          <w:rFonts w:ascii="仿宋" w:hAnsi="仿宋" w:eastAsia="仿宋"/>
          <w:sz w:val="30"/>
          <w:szCs w:val="30"/>
        </w:rPr>
      </w:pPr>
      <w:r>
        <w:rPr>
          <w:rFonts w:hint="eastAsia" w:ascii="仿宋" w:hAnsi="仿宋" w:eastAsia="仿宋"/>
          <w:sz w:val="30"/>
          <w:szCs w:val="30"/>
        </w:rPr>
        <w:t>本文件在制定过程中未出现重大分歧意见。</w:t>
      </w:r>
    </w:p>
    <w:p w14:paraId="4E3D657F">
      <w:pPr>
        <w:spacing w:line="560" w:lineRule="exact"/>
        <w:ind w:firstLine="600" w:firstLineChars="200"/>
        <w:rPr>
          <w:rFonts w:ascii="黑体" w:hAnsi="黑体" w:eastAsia="黑体"/>
          <w:sz w:val="30"/>
          <w:szCs w:val="30"/>
        </w:rPr>
      </w:pPr>
      <w:r>
        <w:rPr>
          <w:rFonts w:hint="eastAsia" w:ascii="黑体" w:hAnsi="黑体" w:eastAsia="黑体"/>
          <w:sz w:val="30"/>
          <w:szCs w:val="30"/>
        </w:rPr>
        <w:t>六、与现行相关法律、法规及相关标准的协调性</w:t>
      </w:r>
    </w:p>
    <w:p w14:paraId="6FC74ECA">
      <w:pPr>
        <w:pStyle w:val="26"/>
        <w:spacing w:line="360" w:lineRule="auto"/>
        <w:ind w:firstLine="600"/>
        <w:rPr>
          <w:rFonts w:hint="eastAsia" w:ascii="仿宋" w:hAnsi="仿宋" w:eastAsia="仿宋" w:cs="仿宋"/>
          <w:b w:val="0"/>
          <w:bCs w:val="0"/>
          <w:sz w:val="30"/>
          <w:szCs w:val="30"/>
        </w:rPr>
      </w:pPr>
      <w:r>
        <w:rPr>
          <w:rFonts w:hint="eastAsia" w:ascii="仿宋" w:hAnsi="仿宋" w:eastAsia="仿宋" w:cs="仿宋"/>
          <w:b w:val="0"/>
          <w:bCs w:val="0"/>
          <w:sz w:val="30"/>
          <w:szCs w:val="30"/>
        </w:rPr>
        <w:t>与现行相关法律、法规及相关标准</w:t>
      </w:r>
      <w:r>
        <w:rPr>
          <w:rFonts w:hint="eastAsia" w:ascii="仿宋" w:hAnsi="仿宋" w:eastAsia="仿宋" w:cs="仿宋"/>
          <w:b w:val="0"/>
          <w:bCs w:val="0"/>
          <w:sz w:val="30"/>
          <w:szCs w:val="30"/>
          <w:lang w:val="en-US" w:eastAsia="zh-CN"/>
        </w:rPr>
        <w:t>相协调。</w:t>
      </w:r>
    </w:p>
    <w:p w14:paraId="52A2CB83">
      <w:pPr>
        <w:pStyle w:val="26"/>
        <w:spacing w:line="360" w:lineRule="auto"/>
        <w:ind w:firstLine="600"/>
        <w:rPr>
          <w:rFonts w:ascii="黑体" w:hAnsi="黑体" w:eastAsia="黑体"/>
          <w:sz w:val="30"/>
          <w:szCs w:val="30"/>
        </w:rPr>
      </w:pPr>
      <w:r>
        <w:rPr>
          <w:rFonts w:hint="eastAsia" w:ascii="黑体" w:hAnsi="黑体" w:eastAsia="黑体"/>
          <w:sz w:val="30"/>
          <w:szCs w:val="30"/>
        </w:rPr>
        <w:t>七、知识产权情况说明</w:t>
      </w:r>
    </w:p>
    <w:p w14:paraId="54BDF626">
      <w:pPr>
        <w:spacing w:line="560" w:lineRule="exact"/>
        <w:ind w:firstLine="600" w:firstLineChars="200"/>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val="en-US" w:eastAsia="zh-CN"/>
        </w:rPr>
        <w:t>本文件不涉及必要专利等知识产权情况</w:t>
      </w:r>
      <w:r>
        <w:rPr>
          <w:rFonts w:hint="eastAsia" w:ascii="仿宋" w:hAnsi="仿宋" w:eastAsia="仿宋" w:cs="仿宋"/>
          <w:b w:val="0"/>
          <w:bCs w:val="0"/>
          <w:sz w:val="30"/>
          <w:szCs w:val="30"/>
          <w:lang w:eastAsia="zh-CN"/>
        </w:rPr>
        <w:t>。</w:t>
      </w:r>
    </w:p>
    <w:p w14:paraId="0BE14CA5">
      <w:pPr>
        <w:spacing w:line="560" w:lineRule="exact"/>
        <w:ind w:firstLine="600" w:firstLineChars="200"/>
        <w:rPr>
          <w:rFonts w:ascii="黑体" w:hAnsi="黑体" w:eastAsia="黑体"/>
          <w:sz w:val="30"/>
          <w:szCs w:val="30"/>
        </w:rPr>
      </w:pPr>
      <w:r>
        <w:rPr>
          <w:rFonts w:hint="eastAsia" w:ascii="黑体" w:hAnsi="黑体" w:eastAsia="黑体"/>
          <w:sz w:val="30"/>
          <w:szCs w:val="30"/>
        </w:rPr>
        <w:t>八、其他应予说明的事项</w:t>
      </w:r>
    </w:p>
    <w:p w14:paraId="1E5205B0">
      <w:pPr>
        <w:spacing w:line="560" w:lineRule="exact"/>
        <w:ind w:firstLine="600" w:firstLineChars="200"/>
        <w:rPr>
          <w:rFonts w:ascii="仿宋" w:hAnsi="仿宋" w:eastAsia="仿宋"/>
          <w:sz w:val="30"/>
          <w:szCs w:val="30"/>
        </w:rPr>
      </w:pPr>
      <w:r>
        <w:rPr>
          <w:rFonts w:hint="eastAsia" w:ascii="仿宋" w:hAnsi="仿宋" w:eastAsia="仿宋"/>
          <w:sz w:val="30"/>
          <w:szCs w:val="30"/>
        </w:rPr>
        <w:t>无。</w:t>
      </w:r>
    </w:p>
    <w:p w14:paraId="6F691433">
      <w:pPr>
        <w:spacing w:line="560" w:lineRule="exact"/>
        <w:rPr>
          <w:rFonts w:ascii="仿宋" w:hAnsi="仿宋" w:eastAsia="仿宋"/>
          <w:sz w:val="30"/>
          <w:szCs w:val="30"/>
        </w:rPr>
      </w:pPr>
    </w:p>
    <w:p w14:paraId="590A052F">
      <w:pPr>
        <w:spacing w:line="560" w:lineRule="exact"/>
        <w:ind w:firstLine="600" w:firstLineChars="200"/>
        <w:jc w:val="right"/>
        <w:rPr>
          <w:rFonts w:hint="eastAsia" w:ascii="仿宋" w:hAnsi="仿宋" w:eastAsia="仿宋"/>
          <w:sz w:val="30"/>
          <w:szCs w:val="30"/>
          <w:lang w:val="en-US" w:eastAsia="zh-CN"/>
        </w:rPr>
      </w:pPr>
      <w:r>
        <w:rPr>
          <w:rFonts w:hint="eastAsia" w:ascii="仿宋" w:hAnsi="仿宋" w:eastAsia="仿宋"/>
          <w:sz w:val="30"/>
          <w:szCs w:val="30"/>
          <w:lang w:val="en-US" w:eastAsia="zh-CN"/>
        </w:rPr>
        <w:t>《重组胶原蛋白纯化工艺通用要求》</w:t>
      </w:r>
    </w:p>
    <w:p w14:paraId="728E1B3F">
      <w:pPr>
        <w:spacing w:line="560" w:lineRule="exact"/>
        <w:ind w:left="4200" w:leftChars="2000" w:firstLine="600" w:firstLineChars="200"/>
        <w:jc w:val="both"/>
        <w:rPr>
          <w:rFonts w:hint="eastAsia" w:ascii="仿宋" w:hAnsi="仿宋" w:eastAsia="仿宋"/>
          <w:sz w:val="30"/>
          <w:szCs w:val="30"/>
          <w:lang w:val="en-US" w:eastAsia="zh-CN"/>
        </w:rPr>
      </w:pPr>
      <w:r>
        <w:rPr>
          <w:rFonts w:hint="eastAsia" w:ascii="仿宋" w:hAnsi="仿宋" w:eastAsia="仿宋"/>
          <w:sz w:val="30"/>
          <w:szCs w:val="30"/>
          <w:lang w:val="en-US" w:eastAsia="zh-CN"/>
        </w:rPr>
        <w:t>团体标准工作组</w:t>
      </w:r>
    </w:p>
    <w:p w14:paraId="7F614426">
      <w:pPr>
        <w:spacing w:line="560" w:lineRule="exact"/>
        <w:ind w:leftChars="2100" w:firstLine="600" w:firstLineChars="200"/>
        <w:jc w:val="both"/>
        <w:rPr>
          <w:rFonts w:hint="eastAsia" w:ascii="仿宋" w:hAnsi="仿宋" w:eastAsia="仿宋"/>
          <w:sz w:val="30"/>
          <w:szCs w:val="30"/>
          <w:lang w:val="en-US" w:eastAsia="zh-CN"/>
        </w:rPr>
      </w:pPr>
      <w:r>
        <w:rPr>
          <w:rFonts w:hint="eastAsia" w:ascii="仿宋" w:hAnsi="仿宋" w:eastAsia="仿宋"/>
          <w:sz w:val="30"/>
          <w:szCs w:val="30"/>
          <w:lang w:val="en-US" w:eastAsia="zh-CN"/>
        </w:rPr>
        <w:t>2025年11月</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12398276"/>
    </w:sdtPr>
    <w:sdtContent>
      <w:p w14:paraId="72C22BA0">
        <w:pPr>
          <w:pStyle w:val="9"/>
          <w:jc w:val="center"/>
        </w:pPr>
        <w:r>
          <w:fldChar w:fldCharType="begin"/>
        </w:r>
        <w:r>
          <w:instrText xml:space="preserve">PAGE   \* MERGEFORMAT</w:instrText>
        </w:r>
        <w:r>
          <w:fldChar w:fldCharType="separate"/>
        </w:r>
        <w:r>
          <w:rPr>
            <w:lang w:val="zh-CN"/>
          </w:rPr>
          <w:t>2</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removePersonalInformation/>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cxMjU0YWRiNjhmNzkyNDkwNmUzZWY0ZjhkYmVlMzgifQ=="/>
  </w:docVars>
  <w:rsids>
    <w:rsidRoot w:val="004974A4"/>
    <w:rsid w:val="000014F2"/>
    <w:rsid w:val="000064BB"/>
    <w:rsid w:val="00007B60"/>
    <w:rsid w:val="000229CA"/>
    <w:rsid w:val="0002521D"/>
    <w:rsid w:val="00027D9A"/>
    <w:rsid w:val="00035CAD"/>
    <w:rsid w:val="00041969"/>
    <w:rsid w:val="00041FCB"/>
    <w:rsid w:val="0004210E"/>
    <w:rsid w:val="00046841"/>
    <w:rsid w:val="00047F4F"/>
    <w:rsid w:val="00057D2B"/>
    <w:rsid w:val="0006072E"/>
    <w:rsid w:val="00064713"/>
    <w:rsid w:val="000736B8"/>
    <w:rsid w:val="00077EA3"/>
    <w:rsid w:val="00083872"/>
    <w:rsid w:val="00086056"/>
    <w:rsid w:val="00092577"/>
    <w:rsid w:val="00092944"/>
    <w:rsid w:val="00093E0F"/>
    <w:rsid w:val="000A1000"/>
    <w:rsid w:val="000A4673"/>
    <w:rsid w:val="000A6FA0"/>
    <w:rsid w:val="000B4579"/>
    <w:rsid w:val="000B5E71"/>
    <w:rsid w:val="000B7F3F"/>
    <w:rsid w:val="000D2DE2"/>
    <w:rsid w:val="000F03F8"/>
    <w:rsid w:val="00122EEC"/>
    <w:rsid w:val="001239C9"/>
    <w:rsid w:val="00131000"/>
    <w:rsid w:val="00133AAF"/>
    <w:rsid w:val="00140D04"/>
    <w:rsid w:val="001419FF"/>
    <w:rsid w:val="001445AE"/>
    <w:rsid w:val="00152FE4"/>
    <w:rsid w:val="001543CF"/>
    <w:rsid w:val="001629D0"/>
    <w:rsid w:val="00164E8B"/>
    <w:rsid w:val="00171E49"/>
    <w:rsid w:val="00181F70"/>
    <w:rsid w:val="00185452"/>
    <w:rsid w:val="00190096"/>
    <w:rsid w:val="0019185A"/>
    <w:rsid w:val="00194E1E"/>
    <w:rsid w:val="001950D6"/>
    <w:rsid w:val="001A451D"/>
    <w:rsid w:val="001A73BB"/>
    <w:rsid w:val="001A73E1"/>
    <w:rsid w:val="001A7970"/>
    <w:rsid w:val="001B1C20"/>
    <w:rsid w:val="001B6D4E"/>
    <w:rsid w:val="001C6B0C"/>
    <w:rsid w:val="001D326B"/>
    <w:rsid w:val="001D47B4"/>
    <w:rsid w:val="001E0922"/>
    <w:rsid w:val="001E6A17"/>
    <w:rsid w:val="001F174B"/>
    <w:rsid w:val="001F4878"/>
    <w:rsid w:val="001F5724"/>
    <w:rsid w:val="00201616"/>
    <w:rsid w:val="00206499"/>
    <w:rsid w:val="002300C4"/>
    <w:rsid w:val="0023101C"/>
    <w:rsid w:val="002324E8"/>
    <w:rsid w:val="0023310B"/>
    <w:rsid w:val="00236031"/>
    <w:rsid w:val="00241903"/>
    <w:rsid w:val="00250838"/>
    <w:rsid w:val="002520D8"/>
    <w:rsid w:val="00255729"/>
    <w:rsid w:val="00255B20"/>
    <w:rsid w:val="00255B9D"/>
    <w:rsid w:val="00263356"/>
    <w:rsid w:val="00264992"/>
    <w:rsid w:val="00271486"/>
    <w:rsid w:val="00274E58"/>
    <w:rsid w:val="0027682E"/>
    <w:rsid w:val="00280C6C"/>
    <w:rsid w:val="00286A03"/>
    <w:rsid w:val="00290982"/>
    <w:rsid w:val="00292535"/>
    <w:rsid w:val="00294801"/>
    <w:rsid w:val="00297D68"/>
    <w:rsid w:val="002A1A09"/>
    <w:rsid w:val="002A221E"/>
    <w:rsid w:val="002B396A"/>
    <w:rsid w:val="002C68B0"/>
    <w:rsid w:val="002C72D9"/>
    <w:rsid w:val="002D2B99"/>
    <w:rsid w:val="002D60F7"/>
    <w:rsid w:val="002D75B3"/>
    <w:rsid w:val="002E3F4D"/>
    <w:rsid w:val="002E5127"/>
    <w:rsid w:val="002E5F73"/>
    <w:rsid w:val="002E632D"/>
    <w:rsid w:val="002F07B2"/>
    <w:rsid w:val="002F109B"/>
    <w:rsid w:val="0030468D"/>
    <w:rsid w:val="003046B0"/>
    <w:rsid w:val="003058B8"/>
    <w:rsid w:val="003074DF"/>
    <w:rsid w:val="00307688"/>
    <w:rsid w:val="0030785E"/>
    <w:rsid w:val="003115C5"/>
    <w:rsid w:val="0031690B"/>
    <w:rsid w:val="003208B3"/>
    <w:rsid w:val="00324FA6"/>
    <w:rsid w:val="003251F7"/>
    <w:rsid w:val="0032525C"/>
    <w:rsid w:val="003303AC"/>
    <w:rsid w:val="003342BB"/>
    <w:rsid w:val="0033430C"/>
    <w:rsid w:val="003349E4"/>
    <w:rsid w:val="0034018C"/>
    <w:rsid w:val="00352683"/>
    <w:rsid w:val="00353799"/>
    <w:rsid w:val="00366F5C"/>
    <w:rsid w:val="00367225"/>
    <w:rsid w:val="00367783"/>
    <w:rsid w:val="003717AE"/>
    <w:rsid w:val="00381894"/>
    <w:rsid w:val="00383350"/>
    <w:rsid w:val="00383C10"/>
    <w:rsid w:val="00384005"/>
    <w:rsid w:val="0038567E"/>
    <w:rsid w:val="00392562"/>
    <w:rsid w:val="00392630"/>
    <w:rsid w:val="00394979"/>
    <w:rsid w:val="0039569E"/>
    <w:rsid w:val="00396049"/>
    <w:rsid w:val="003A24CA"/>
    <w:rsid w:val="003A4F1A"/>
    <w:rsid w:val="003A59A1"/>
    <w:rsid w:val="003A5AF0"/>
    <w:rsid w:val="003A67CC"/>
    <w:rsid w:val="003A7011"/>
    <w:rsid w:val="003C5CAB"/>
    <w:rsid w:val="003D1940"/>
    <w:rsid w:val="003D1E8F"/>
    <w:rsid w:val="003D2580"/>
    <w:rsid w:val="003D5E1C"/>
    <w:rsid w:val="003E621D"/>
    <w:rsid w:val="003E719A"/>
    <w:rsid w:val="003F2BCA"/>
    <w:rsid w:val="003F4421"/>
    <w:rsid w:val="0040680E"/>
    <w:rsid w:val="00406F8B"/>
    <w:rsid w:val="004143AB"/>
    <w:rsid w:val="00415D7F"/>
    <w:rsid w:val="00425D84"/>
    <w:rsid w:val="00426B3C"/>
    <w:rsid w:val="00427505"/>
    <w:rsid w:val="004275EB"/>
    <w:rsid w:val="00430405"/>
    <w:rsid w:val="00435445"/>
    <w:rsid w:val="004379BF"/>
    <w:rsid w:val="00441E03"/>
    <w:rsid w:val="0044291D"/>
    <w:rsid w:val="00443C10"/>
    <w:rsid w:val="004513F5"/>
    <w:rsid w:val="00454414"/>
    <w:rsid w:val="00457119"/>
    <w:rsid w:val="00462846"/>
    <w:rsid w:val="00465A66"/>
    <w:rsid w:val="00471067"/>
    <w:rsid w:val="0047565A"/>
    <w:rsid w:val="00475BC4"/>
    <w:rsid w:val="00496AB8"/>
    <w:rsid w:val="004974A4"/>
    <w:rsid w:val="004A4A72"/>
    <w:rsid w:val="004A4B4E"/>
    <w:rsid w:val="004C0D54"/>
    <w:rsid w:val="004C74A0"/>
    <w:rsid w:val="004E1BE5"/>
    <w:rsid w:val="004E2BAA"/>
    <w:rsid w:val="004E3BA5"/>
    <w:rsid w:val="004E4D96"/>
    <w:rsid w:val="004E7C92"/>
    <w:rsid w:val="004F0602"/>
    <w:rsid w:val="004F7437"/>
    <w:rsid w:val="005025D3"/>
    <w:rsid w:val="0050291C"/>
    <w:rsid w:val="00507847"/>
    <w:rsid w:val="00514FF9"/>
    <w:rsid w:val="00523046"/>
    <w:rsid w:val="00523193"/>
    <w:rsid w:val="00523A00"/>
    <w:rsid w:val="005265CA"/>
    <w:rsid w:val="00533EEF"/>
    <w:rsid w:val="00540039"/>
    <w:rsid w:val="00541304"/>
    <w:rsid w:val="00543485"/>
    <w:rsid w:val="00557A66"/>
    <w:rsid w:val="00557AB5"/>
    <w:rsid w:val="005614D0"/>
    <w:rsid w:val="00563CCB"/>
    <w:rsid w:val="00565BF2"/>
    <w:rsid w:val="00566A51"/>
    <w:rsid w:val="00571A55"/>
    <w:rsid w:val="00580AAA"/>
    <w:rsid w:val="00583E3D"/>
    <w:rsid w:val="005849C7"/>
    <w:rsid w:val="005858EF"/>
    <w:rsid w:val="005876CA"/>
    <w:rsid w:val="0059002F"/>
    <w:rsid w:val="0059147C"/>
    <w:rsid w:val="0059371A"/>
    <w:rsid w:val="0059717D"/>
    <w:rsid w:val="00597B8C"/>
    <w:rsid w:val="005A4E18"/>
    <w:rsid w:val="005A64AB"/>
    <w:rsid w:val="005B409D"/>
    <w:rsid w:val="005B492A"/>
    <w:rsid w:val="005C0087"/>
    <w:rsid w:val="005C4CA5"/>
    <w:rsid w:val="005D090D"/>
    <w:rsid w:val="005D12DB"/>
    <w:rsid w:val="005D5945"/>
    <w:rsid w:val="005E16F8"/>
    <w:rsid w:val="005E1C28"/>
    <w:rsid w:val="005E2D66"/>
    <w:rsid w:val="005F2068"/>
    <w:rsid w:val="005F6883"/>
    <w:rsid w:val="005F6C0F"/>
    <w:rsid w:val="005F7D9A"/>
    <w:rsid w:val="00600490"/>
    <w:rsid w:val="00603017"/>
    <w:rsid w:val="006064DB"/>
    <w:rsid w:val="00606771"/>
    <w:rsid w:val="006072CF"/>
    <w:rsid w:val="00612918"/>
    <w:rsid w:val="00612D6D"/>
    <w:rsid w:val="00613966"/>
    <w:rsid w:val="00616CF9"/>
    <w:rsid w:val="00617B16"/>
    <w:rsid w:val="006215B2"/>
    <w:rsid w:val="00622E47"/>
    <w:rsid w:val="00622F3A"/>
    <w:rsid w:val="00625157"/>
    <w:rsid w:val="00632067"/>
    <w:rsid w:val="00633680"/>
    <w:rsid w:val="00634268"/>
    <w:rsid w:val="00637632"/>
    <w:rsid w:val="0064166D"/>
    <w:rsid w:val="00646255"/>
    <w:rsid w:val="00652461"/>
    <w:rsid w:val="00652BD1"/>
    <w:rsid w:val="006805F1"/>
    <w:rsid w:val="00686353"/>
    <w:rsid w:val="00690E49"/>
    <w:rsid w:val="006B4D3F"/>
    <w:rsid w:val="006B6754"/>
    <w:rsid w:val="006B7164"/>
    <w:rsid w:val="006C08F6"/>
    <w:rsid w:val="006C0C20"/>
    <w:rsid w:val="006C3C40"/>
    <w:rsid w:val="006D0E2F"/>
    <w:rsid w:val="006D5852"/>
    <w:rsid w:val="006D6390"/>
    <w:rsid w:val="006F3029"/>
    <w:rsid w:val="006F323E"/>
    <w:rsid w:val="006F3AA5"/>
    <w:rsid w:val="006F3E09"/>
    <w:rsid w:val="00700DD2"/>
    <w:rsid w:val="0071097D"/>
    <w:rsid w:val="00711398"/>
    <w:rsid w:val="0071190A"/>
    <w:rsid w:val="0071379B"/>
    <w:rsid w:val="00715E2D"/>
    <w:rsid w:val="007219A3"/>
    <w:rsid w:val="00725E09"/>
    <w:rsid w:val="00726576"/>
    <w:rsid w:val="00731CF2"/>
    <w:rsid w:val="00733913"/>
    <w:rsid w:val="007359E1"/>
    <w:rsid w:val="00742483"/>
    <w:rsid w:val="00747A4D"/>
    <w:rsid w:val="00753F4A"/>
    <w:rsid w:val="007540EA"/>
    <w:rsid w:val="007543F9"/>
    <w:rsid w:val="0075724F"/>
    <w:rsid w:val="00763E16"/>
    <w:rsid w:val="00767E3E"/>
    <w:rsid w:val="00770195"/>
    <w:rsid w:val="0077127C"/>
    <w:rsid w:val="007747B0"/>
    <w:rsid w:val="007751A6"/>
    <w:rsid w:val="00775E42"/>
    <w:rsid w:val="0077743A"/>
    <w:rsid w:val="0077795B"/>
    <w:rsid w:val="00780AF1"/>
    <w:rsid w:val="00781A1C"/>
    <w:rsid w:val="00782CEA"/>
    <w:rsid w:val="00783426"/>
    <w:rsid w:val="00783AD0"/>
    <w:rsid w:val="0078404F"/>
    <w:rsid w:val="00791021"/>
    <w:rsid w:val="00791F3A"/>
    <w:rsid w:val="007924DA"/>
    <w:rsid w:val="007A3B99"/>
    <w:rsid w:val="007B139C"/>
    <w:rsid w:val="007B2DF3"/>
    <w:rsid w:val="007B6CC7"/>
    <w:rsid w:val="007C0814"/>
    <w:rsid w:val="007C1B6F"/>
    <w:rsid w:val="007C636D"/>
    <w:rsid w:val="007D1FA5"/>
    <w:rsid w:val="007D7304"/>
    <w:rsid w:val="007D7730"/>
    <w:rsid w:val="007E7026"/>
    <w:rsid w:val="00800828"/>
    <w:rsid w:val="00802F48"/>
    <w:rsid w:val="008145FD"/>
    <w:rsid w:val="00815BD7"/>
    <w:rsid w:val="008239A5"/>
    <w:rsid w:val="008253A4"/>
    <w:rsid w:val="0082563B"/>
    <w:rsid w:val="00826C0E"/>
    <w:rsid w:val="00831DAE"/>
    <w:rsid w:val="0083284C"/>
    <w:rsid w:val="008341F8"/>
    <w:rsid w:val="00834F56"/>
    <w:rsid w:val="00837246"/>
    <w:rsid w:val="00837566"/>
    <w:rsid w:val="00856326"/>
    <w:rsid w:val="00860D72"/>
    <w:rsid w:val="00860DF2"/>
    <w:rsid w:val="00861005"/>
    <w:rsid w:val="0086178C"/>
    <w:rsid w:val="008617B8"/>
    <w:rsid w:val="00871A83"/>
    <w:rsid w:val="0087645A"/>
    <w:rsid w:val="0088153A"/>
    <w:rsid w:val="00886717"/>
    <w:rsid w:val="00887C6E"/>
    <w:rsid w:val="008913E0"/>
    <w:rsid w:val="00891B0D"/>
    <w:rsid w:val="00896B75"/>
    <w:rsid w:val="008A2491"/>
    <w:rsid w:val="008B1CF7"/>
    <w:rsid w:val="008B353B"/>
    <w:rsid w:val="008B72B7"/>
    <w:rsid w:val="008C57E0"/>
    <w:rsid w:val="008C6037"/>
    <w:rsid w:val="008D11F8"/>
    <w:rsid w:val="008D1385"/>
    <w:rsid w:val="008D37F1"/>
    <w:rsid w:val="008D4217"/>
    <w:rsid w:val="008D5FFC"/>
    <w:rsid w:val="008D64EB"/>
    <w:rsid w:val="008D7818"/>
    <w:rsid w:val="008E05EB"/>
    <w:rsid w:val="008E1C10"/>
    <w:rsid w:val="008F2D41"/>
    <w:rsid w:val="008F4F90"/>
    <w:rsid w:val="008F52DE"/>
    <w:rsid w:val="008F645D"/>
    <w:rsid w:val="00902B55"/>
    <w:rsid w:val="00910C02"/>
    <w:rsid w:val="00911F93"/>
    <w:rsid w:val="009207AD"/>
    <w:rsid w:val="00924B33"/>
    <w:rsid w:val="00926A24"/>
    <w:rsid w:val="00934B41"/>
    <w:rsid w:val="00937668"/>
    <w:rsid w:val="00943B8C"/>
    <w:rsid w:val="009508BD"/>
    <w:rsid w:val="00953798"/>
    <w:rsid w:val="00953B88"/>
    <w:rsid w:val="00960527"/>
    <w:rsid w:val="0096082E"/>
    <w:rsid w:val="00962CF7"/>
    <w:rsid w:val="009662A5"/>
    <w:rsid w:val="009666F3"/>
    <w:rsid w:val="00976201"/>
    <w:rsid w:val="00976DBF"/>
    <w:rsid w:val="00977F30"/>
    <w:rsid w:val="00985F72"/>
    <w:rsid w:val="00991602"/>
    <w:rsid w:val="009957CA"/>
    <w:rsid w:val="00996739"/>
    <w:rsid w:val="00997D6F"/>
    <w:rsid w:val="009A1752"/>
    <w:rsid w:val="009A42A3"/>
    <w:rsid w:val="009A661F"/>
    <w:rsid w:val="009A7F3A"/>
    <w:rsid w:val="009B7F5E"/>
    <w:rsid w:val="009C4EDF"/>
    <w:rsid w:val="009D18EE"/>
    <w:rsid w:val="009D2643"/>
    <w:rsid w:val="009D3B1B"/>
    <w:rsid w:val="009E2A7A"/>
    <w:rsid w:val="009E79B0"/>
    <w:rsid w:val="009F2A8E"/>
    <w:rsid w:val="009F3AAE"/>
    <w:rsid w:val="009F5392"/>
    <w:rsid w:val="009F664F"/>
    <w:rsid w:val="00A05142"/>
    <w:rsid w:val="00A05E92"/>
    <w:rsid w:val="00A07C19"/>
    <w:rsid w:val="00A235E4"/>
    <w:rsid w:val="00A30430"/>
    <w:rsid w:val="00A344C3"/>
    <w:rsid w:val="00A40F79"/>
    <w:rsid w:val="00A44B54"/>
    <w:rsid w:val="00A44E3E"/>
    <w:rsid w:val="00A52790"/>
    <w:rsid w:val="00A534BC"/>
    <w:rsid w:val="00A54B14"/>
    <w:rsid w:val="00A579A6"/>
    <w:rsid w:val="00A614FC"/>
    <w:rsid w:val="00A65C7B"/>
    <w:rsid w:val="00A70ABE"/>
    <w:rsid w:val="00A728D6"/>
    <w:rsid w:val="00A73278"/>
    <w:rsid w:val="00A74924"/>
    <w:rsid w:val="00A81E02"/>
    <w:rsid w:val="00A82723"/>
    <w:rsid w:val="00A82AB6"/>
    <w:rsid w:val="00A935D1"/>
    <w:rsid w:val="00A93C96"/>
    <w:rsid w:val="00A95B61"/>
    <w:rsid w:val="00AA0980"/>
    <w:rsid w:val="00AA625D"/>
    <w:rsid w:val="00AA6672"/>
    <w:rsid w:val="00AA6958"/>
    <w:rsid w:val="00AB0BB4"/>
    <w:rsid w:val="00AB4A1F"/>
    <w:rsid w:val="00AB62DE"/>
    <w:rsid w:val="00AB7871"/>
    <w:rsid w:val="00AC40C1"/>
    <w:rsid w:val="00AC6128"/>
    <w:rsid w:val="00AC639C"/>
    <w:rsid w:val="00AD18A1"/>
    <w:rsid w:val="00AD30B0"/>
    <w:rsid w:val="00AD334F"/>
    <w:rsid w:val="00AD47E8"/>
    <w:rsid w:val="00AE0654"/>
    <w:rsid w:val="00AE0F03"/>
    <w:rsid w:val="00AE4C80"/>
    <w:rsid w:val="00AF7791"/>
    <w:rsid w:val="00B0298D"/>
    <w:rsid w:val="00B141E1"/>
    <w:rsid w:val="00B14EAB"/>
    <w:rsid w:val="00B2494E"/>
    <w:rsid w:val="00B24A75"/>
    <w:rsid w:val="00B25127"/>
    <w:rsid w:val="00B30A4D"/>
    <w:rsid w:val="00B30F38"/>
    <w:rsid w:val="00B35C03"/>
    <w:rsid w:val="00B36899"/>
    <w:rsid w:val="00B376E9"/>
    <w:rsid w:val="00B40545"/>
    <w:rsid w:val="00B40B62"/>
    <w:rsid w:val="00B4267E"/>
    <w:rsid w:val="00B426A3"/>
    <w:rsid w:val="00B438C1"/>
    <w:rsid w:val="00B44F48"/>
    <w:rsid w:val="00B45109"/>
    <w:rsid w:val="00B47D2D"/>
    <w:rsid w:val="00B54B8D"/>
    <w:rsid w:val="00B55424"/>
    <w:rsid w:val="00B56FC6"/>
    <w:rsid w:val="00B6526C"/>
    <w:rsid w:val="00B67698"/>
    <w:rsid w:val="00B7235D"/>
    <w:rsid w:val="00B74099"/>
    <w:rsid w:val="00B810FD"/>
    <w:rsid w:val="00B81C0A"/>
    <w:rsid w:val="00B8616E"/>
    <w:rsid w:val="00B86412"/>
    <w:rsid w:val="00B903E7"/>
    <w:rsid w:val="00B94F28"/>
    <w:rsid w:val="00BA2075"/>
    <w:rsid w:val="00BA2CF5"/>
    <w:rsid w:val="00BB129D"/>
    <w:rsid w:val="00BB29DC"/>
    <w:rsid w:val="00BB38C7"/>
    <w:rsid w:val="00BB767A"/>
    <w:rsid w:val="00BC3147"/>
    <w:rsid w:val="00BC527A"/>
    <w:rsid w:val="00BD1AA3"/>
    <w:rsid w:val="00BD4227"/>
    <w:rsid w:val="00BD4251"/>
    <w:rsid w:val="00BE1A44"/>
    <w:rsid w:val="00BE6B38"/>
    <w:rsid w:val="00BE6EF6"/>
    <w:rsid w:val="00BF032A"/>
    <w:rsid w:val="00BF3D5D"/>
    <w:rsid w:val="00BF6655"/>
    <w:rsid w:val="00C010CD"/>
    <w:rsid w:val="00C1154D"/>
    <w:rsid w:val="00C13EE8"/>
    <w:rsid w:val="00C175C4"/>
    <w:rsid w:val="00C203DE"/>
    <w:rsid w:val="00C22A42"/>
    <w:rsid w:val="00C325DC"/>
    <w:rsid w:val="00C32B03"/>
    <w:rsid w:val="00C35AE1"/>
    <w:rsid w:val="00C415B8"/>
    <w:rsid w:val="00C554A2"/>
    <w:rsid w:val="00C656B0"/>
    <w:rsid w:val="00C6683B"/>
    <w:rsid w:val="00C746B6"/>
    <w:rsid w:val="00C77A1C"/>
    <w:rsid w:val="00C8783A"/>
    <w:rsid w:val="00C91269"/>
    <w:rsid w:val="00C928AF"/>
    <w:rsid w:val="00C9309F"/>
    <w:rsid w:val="00C94CF4"/>
    <w:rsid w:val="00CB1B6F"/>
    <w:rsid w:val="00CB25C0"/>
    <w:rsid w:val="00CB5592"/>
    <w:rsid w:val="00CB674A"/>
    <w:rsid w:val="00CC2606"/>
    <w:rsid w:val="00CD1DFC"/>
    <w:rsid w:val="00CD278F"/>
    <w:rsid w:val="00CD7E54"/>
    <w:rsid w:val="00CE276C"/>
    <w:rsid w:val="00CE4AB5"/>
    <w:rsid w:val="00CE7E59"/>
    <w:rsid w:val="00CF4181"/>
    <w:rsid w:val="00D04208"/>
    <w:rsid w:val="00D04DAF"/>
    <w:rsid w:val="00D15066"/>
    <w:rsid w:val="00D1631B"/>
    <w:rsid w:val="00D16B9A"/>
    <w:rsid w:val="00D30ABD"/>
    <w:rsid w:val="00D30D30"/>
    <w:rsid w:val="00D33583"/>
    <w:rsid w:val="00D35116"/>
    <w:rsid w:val="00D4168E"/>
    <w:rsid w:val="00D41ABB"/>
    <w:rsid w:val="00D4236B"/>
    <w:rsid w:val="00D4589B"/>
    <w:rsid w:val="00D46522"/>
    <w:rsid w:val="00D5006F"/>
    <w:rsid w:val="00D521EB"/>
    <w:rsid w:val="00D545B5"/>
    <w:rsid w:val="00D57717"/>
    <w:rsid w:val="00D57C03"/>
    <w:rsid w:val="00D615AA"/>
    <w:rsid w:val="00D61D68"/>
    <w:rsid w:val="00D644A9"/>
    <w:rsid w:val="00D654CE"/>
    <w:rsid w:val="00D67E5C"/>
    <w:rsid w:val="00D71EA6"/>
    <w:rsid w:val="00D733BB"/>
    <w:rsid w:val="00D73AF4"/>
    <w:rsid w:val="00D804F5"/>
    <w:rsid w:val="00D92F5F"/>
    <w:rsid w:val="00D94BFF"/>
    <w:rsid w:val="00DA0547"/>
    <w:rsid w:val="00DA2721"/>
    <w:rsid w:val="00DA48E7"/>
    <w:rsid w:val="00DA57F2"/>
    <w:rsid w:val="00DA6BB4"/>
    <w:rsid w:val="00DB250C"/>
    <w:rsid w:val="00DB2E77"/>
    <w:rsid w:val="00DC07B9"/>
    <w:rsid w:val="00DC12BD"/>
    <w:rsid w:val="00DC182E"/>
    <w:rsid w:val="00DC218B"/>
    <w:rsid w:val="00DC356D"/>
    <w:rsid w:val="00DC5F3C"/>
    <w:rsid w:val="00DD3BFB"/>
    <w:rsid w:val="00DD5DEA"/>
    <w:rsid w:val="00DE4835"/>
    <w:rsid w:val="00DF5D23"/>
    <w:rsid w:val="00E028ED"/>
    <w:rsid w:val="00E10AF9"/>
    <w:rsid w:val="00E1495F"/>
    <w:rsid w:val="00E22168"/>
    <w:rsid w:val="00E22832"/>
    <w:rsid w:val="00E27B3C"/>
    <w:rsid w:val="00E35450"/>
    <w:rsid w:val="00E51EE7"/>
    <w:rsid w:val="00E528CB"/>
    <w:rsid w:val="00E656CD"/>
    <w:rsid w:val="00E6582E"/>
    <w:rsid w:val="00E65E4B"/>
    <w:rsid w:val="00E751FE"/>
    <w:rsid w:val="00E775BE"/>
    <w:rsid w:val="00E7779D"/>
    <w:rsid w:val="00E77909"/>
    <w:rsid w:val="00EA076C"/>
    <w:rsid w:val="00EA1B60"/>
    <w:rsid w:val="00EA1D8E"/>
    <w:rsid w:val="00EA1F37"/>
    <w:rsid w:val="00EA26AD"/>
    <w:rsid w:val="00EB20FF"/>
    <w:rsid w:val="00EB4C9B"/>
    <w:rsid w:val="00EB77CE"/>
    <w:rsid w:val="00EB7EEF"/>
    <w:rsid w:val="00EC15C3"/>
    <w:rsid w:val="00ED420E"/>
    <w:rsid w:val="00EE6FAA"/>
    <w:rsid w:val="00EF3BCC"/>
    <w:rsid w:val="00EF4C79"/>
    <w:rsid w:val="00EF5D00"/>
    <w:rsid w:val="00EF773B"/>
    <w:rsid w:val="00F02A07"/>
    <w:rsid w:val="00F17A7E"/>
    <w:rsid w:val="00F20EFD"/>
    <w:rsid w:val="00F217C8"/>
    <w:rsid w:val="00F21FBE"/>
    <w:rsid w:val="00F248DD"/>
    <w:rsid w:val="00F42B4B"/>
    <w:rsid w:val="00F43BE7"/>
    <w:rsid w:val="00F46BFC"/>
    <w:rsid w:val="00F533FF"/>
    <w:rsid w:val="00F60918"/>
    <w:rsid w:val="00F660A1"/>
    <w:rsid w:val="00F663D5"/>
    <w:rsid w:val="00F754FA"/>
    <w:rsid w:val="00F81842"/>
    <w:rsid w:val="00F82DD9"/>
    <w:rsid w:val="00F864C3"/>
    <w:rsid w:val="00F87C7F"/>
    <w:rsid w:val="00F91039"/>
    <w:rsid w:val="00FC21F1"/>
    <w:rsid w:val="00FC6CC0"/>
    <w:rsid w:val="00FD037A"/>
    <w:rsid w:val="00FD2ECA"/>
    <w:rsid w:val="00FD3678"/>
    <w:rsid w:val="00FE2BBA"/>
    <w:rsid w:val="00FF1DDE"/>
    <w:rsid w:val="00FF3240"/>
    <w:rsid w:val="011E0236"/>
    <w:rsid w:val="01E23E20"/>
    <w:rsid w:val="02140072"/>
    <w:rsid w:val="029D76BD"/>
    <w:rsid w:val="035209BB"/>
    <w:rsid w:val="045D3795"/>
    <w:rsid w:val="05013062"/>
    <w:rsid w:val="050C5A69"/>
    <w:rsid w:val="05147927"/>
    <w:rsid w:val="09967D1B"/>
    <w:rsid w:val="0B6727D9"/>
    <w:rsid w:val="0E5C1D5F"/>
    <w:rsid w:val="11484485"/>
    <w:rsid w:val="11EE03DD"/>
    <w:rsid w:val="158961CC"/>
    <w:rsid w:val="16C80BBA"/>
    <w:rsid w:val="173E6AE4"/>
    <w:rsid w:val="18354985"/>
    <w:rsid w:val="1EB61656"/>
    <w:rsid w:val="1FC077E0"/>
    <w:rsid w:val="1FE72762"/>
    <w:rsid w:val="206D3F96"/>
    <w:rsid w:val="22203DA8"/>
    <w:rsid w:val="23114AB4"/>
    <w:rsid w:val="232D602C"/>
    <w:rsid w:val="28412E17"/>
    <w:rsid w:val="29EE439A"/>
    <w:rsid w:val="2AA25CA6"/>
    <w:rsid w:val="2B8A5F95"/>
    <w:rsid w:val="2D2A393B"/>
    <w:rsid w:val="2DDD4A26"/>
    <w:rsid w:val="2E636852"/>
    <w:rsid w:val="2E861045"/>
    <w:rsid w:val="2EAB2C6F"/>
    <w:rsid w:val="2EEE4E8F"/>
    <w:rsid w:val="2F4D5528"/>
    <w:rsid w:val="31AD6584"/>
    <w:rsid w:val="327026BF"/>
    <w:rsid w:val="340A6F00"/>
    <w:rsid w:val="34253971"/>
    <w:rsid w:val="348016E4"/>
    <w:rsid w:val="373C4996"/>
    <w:rsid w:val="37A659F9"/>
    <w:rsid w:val="38262F51"/>
    <w:rsid w:val="3A541FF7"/>
    <w:rsid w:val="3DD84121"/>
    <w:rsid w:val="3E043D34"/>
    <w:rsid w:val="3E0F1060"/>
    <w:rsid w:val="3FF64181"/>
    <w:rsid w:val="40227699"/>
    <w:rsid w:val="40803DB7"/>
    <w:rsid w:val="41581404"/>
    <w:rsid w:val="431C567C"/>
    <w:rsid w:val="44A96763"/>
    <w:rsid w:val="44CB0CC9"/>
    <w:rsid w:val="455455A1"/>
    <w:rsid w:val="458A0FC3"/>
    <w:rsid w:val="45DF153A"/>
    <w:rsid w:val="47927A69"/>
    <w:rsid w:val="47CB5D32"/>
    <w:rsid w:val="47F91839"/>
    <w:rsid w:val="48474F49"/>
    <w:rsid w:val="48945CB4"/>
    <w:rsid w:val="48CB2AA2"/>
    <w:rsid w:val="4979006D"/>
    <w:rsid w:val="4A25750C"/>
    <w:rsid w:val="4A4F6337"/>
    <w:rsid w:val="4C40453F"/>
    <w:rsid w:val="4CE30FB8"/>
    <w:rsid w:val="4D8F5E58"/>
    <w:rsid w:val="4E1F24C4"/>
    <w:rsid w:val="4E776B0D"/>
    <w:rsid w:val="4FD31437"/>
    <w:rsid w:val="52F45CCD"/>
    <w:rsid w:val="55295816"/>
    <w:rsid w:val="55857026"/>
    <w:rsid w:val="55CE244F"/>
    <w:rsid w:val="56C60E67"/>
    <w:rsid w:val="570F5142"/>
    <w:rsid w:val="58BF3060"/>
    <w:rsid w:val="58CB5722"/>
    <w:rsid w:val="5B7A33A5"/>
    <w:rsid w:val="5DA205B1"/>
    <w:rsid w:val="5EF7101F"/>
    <w:rsid w:val="5F5C4868"/>
    <w:rsid w:val="61967C0E"/>
    <w:rsid w:val="61F373E8"/>
    <w:rsid w:val="622276E9"/>
    <w:rsid w:val="62400701"/>
    <w:rsid w:val="62AA63A9"/>
    <w:rsid w:val="659D28AF"/>
    <w:rsid w:val="667E69D9"/>
    <w:rsid w:val="69A85840"/>
    <w:rsid w:val="6C0E20B1"/>
    <w:rsid w:val="6E4C1858"/>
    <w:rsid w:val="705E52E6"/>
    <w:rsid w:val="73773081"/>
    <w:rsid w:val="7465193D"/>
    <w:rsid w:val="74DA6D04"/>
    <w:rsid w:val="77260AF8"/>
    <w:rsid w:val="7753396D"/>
    <w:rsid w:val="77BB3E94"/>
    <w:rsid w:val="781833E4"/>
    <w:rsid w:val="78826A0C"/>
    <w:rsid w:val="796C4DDB"/>
    <w:rsid w:val="798E2128"/>
    <w:rsid w:val="79CF7DF1"/>
    <w:rsid w:val="7A747570"/>
    <w:rsid w:val="7B664809"/>
    <w:rsid w:val="7C821558"/>
    <w:rsid w:val="7CC56889"/>
    <w:rsid w:val="7F3D0FDC"/>
    <w:rsid w:val="7FCA6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5"/>
    <w:basedOn w:val="1"/>
    <w:next w:val="1"/>
    <w:semiHidden/>
    <w:unhideWhenUsed/>
    <w:qFormat/>
    <w:uiPriority w:val="9"/>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annotation text"/>
    <w:basedOn w:val="1"/>
    <w:link w:val="20"/>
    <w:autoRedefine/>
    <w:semiHidden/>
    <w:unhideWhenUsed/>
    <w:qFormat/>
    <w:uiPriority w:val="99"/>
    <w:pPr>
      <w:jc w:val="left"/>
    </w:pPr>
  </w:style>
  <w:style w:type="paragraph" w:styleId="6">
    <w:name w:val="Body Text"/>
    <w:basedOn w:val="1"/>
    <w:link w:val="27"/>
    <w:autoRedefine/>
    <w:semiHidden/>
    <w:unhideWhenUsed/>
    <w:qFormat/>
    <w:uiPriority w:val="99"/>
    <w:pPr>
      <w:spacing w:after="120" w:afterLines="0" w:afterAutospacing="0"/>
    </w:pPr>
  </w:style>
  <w:style w:type="paragraph" w:styleId="7">
    <w:name w:val="Date"/>
    <w:basedOn w:val="1"/>
    <w:next w:val="1"/>
    <w:link w:val="23"/>
    <w:autoRedefine/>
    <w:semiHidden/>
    <w:unhideWhenUsed/>
    <w:qFormat/>
    <w:uiPriority w:val="99"/>
    <w:pPr>
      <w:ind w:left="100" w:leftChars="2500"/>
    </w:pPr>
  </w:style>
  <w:style w:type="paragraph" w:styleId="8">
    <w:name w:val="Balloon Text"/>
    <w:basedOn w:val="1"/>
    <w:link w:val="22"/>
    <w:autoRedefine/>
    <w:semiHidden/>
    <w:unhideWhenUsed/>
    <w:qFormat/>
    <w:uiPriority w:val="99"/>
    <w:rPr>
      <w:sz w:val="18"/>
      <w:szCs w:val="18"/>
    </w:rPr>
  </w:style>
  <w:style w:type="paragraph" w:styleId="9">
    <w:name w:val="footer"/>
    <w:basedOn w:val="1"/>
    <w:link w:val="19"/>
    <w:autoRedefine/>
    <w:unhideWhenUsed/>
    <w:qFormat/>
    <w:uiPriority w:val="99"/>
    <w:pPr>
      <w:tabs>
        <w:tab w:val="center" w:pos="4153"/>
        <w:tab w:val="right" w:pos="8306"/>
      </w:tabs>
      <w:snapToGrid w:val="0"/>
      <w:jc w:val="left"/>
    </w:pPr>
    <w:rPr>
      <w:sz w:val="18"/>
      <w:szCs w:val="18"/>
    </w:rPr>
  </w:style>
  <w:style w:type="paragraph" w:styleId="10">
    <w:name w:val="header"/>
    <w:basedOn w:val="1"/>
    <w:link w:val="1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2">
    <w:name w:val="annotation subject"/>
    <w:basedOn w:val="5"/>
    <w:next w:val="5"/>
    <w:link w:val="21"/>
    <w:autoRedefine/>
    <w:semiHidden/>
    <w:unhideWhenUsed/>
    <w:qFormat/>
    <w:uiPriority w:val="99"/>
    <w:rPr>
      <w:b/>
      <w:bCs/>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22"/>
    <w:rPr>
      <w:b/>
    </w:rPr>
  </w:style>
  <w:style w:type="character" w:styleId="17">
    <w:name w:val="annotation reference"/>
    <w:basedOn w:val="15"/>
    <w:autoRedefine/>
    <w:semiHidden/>
    <w:unhideWhenUsed/>
    <w:qFormat/>
    <w:uiPriority w:val="99"/>
    <w:rPr>
      <w:sz w:val="21"/>
      <w:szCs w:val="21"/>
    </w:rPr>
  </w:style>
  <w:style w:type="character" w:customStyle="1" w:styleId="18">
    <w:name w:val="页眉 字符"/>
    <w:basedOn w:val="15"/>
    <w:link w:val="10"/>
    <w:autoRedefine/>
    <w:qFormat/>
    <w:uiPriority w:val="99"/>
    <w:rPr>
      <w:sz w:val="18"/>
      <w:szCs w:val="18"/>
    </w:rPr>
  </w:style>
  <w:style w:type="character" w:customStyle="1" w:styleId="19">
    <w:name w:val="页脚 字符"/>
    <w:basedOn w:val="15"/>
    <w:link w:val="9"/>
    <w:autoRedefine/>
    <w:qFormat/>
    <w:uiPriority w:val="99"/>
    <w:rPr>
      <w:sz w:val="18"/>
      <w:szCs w:val="18"/>
    </w:rPr>
  </w:style>
  <w:style w:type="character" w:customStyle="1" w:styleId="20">
    <w:name w:val="批注文字 字符"/>
    <w:basedOn w:val="15"/>
    <w:link w:val="5"/>
    <w:semiHidden/>
    <w:qFormat/>
    <w:uiPriority w:val="99"/>
  </w:style>
  <w:style w:type="character" w:customStyle="1" w:styleId="21">
    <w:name w:val="批注主题 字符"/>
    <w:basedOn w:val="20"/>
    <w:link w:val="12"/>
    <w:autoRedefine/>
    <w:semiHidden/>
    <w:qFormat/>
    <w:uiPriority w:val="99"/>
    <w:rPr>
      <w:b/>
      <w:bCs/>
    </w:rPr>
  </w:style>
  <w:style w:type="character" w:customStyle="1" w:styleId="22">
    <w:name w:val="批注框文本 字符"/>
    <w:basedOn w:val="15"/>
    <w:link w:val="8"/>
    <w:autoRedefine/>
    <w:semiHidden/>
    <w:qFormat/>
    <w:uiPriority w:val="99"/>
    <w:rPr>
      <w:sz w:val="18"/>
      <w:szCs w:val="18"/>
    </w:rPr>
  </w:style>
  <w:style w:type="character" w:customStyle="1" w:styleId="23">
    <w:name w:val="日期 字符"/>
    <w:basedOn w:val="15"/>
    <w:link w:val="7"/>
    <w:autoRedefine/>
    <w:semiHidden/>
    <w:qFormat/>
    <w:uiPriority w:val="99"/>
  </w:style>
  <w:style w:type="paragraph" w:styleId="24">
    <w:name w:val="List Paragraph"/>
    <w:basedOn w:val="1"/>
    <w:autoRedefine/>
    <w:qFormat/>
    <w:uiPriority w:val="34"/>
    <w:pPr>
      <w:ind w:firstLine="420" w:firstLineChars="200"/>
    </w:pPr>
  </w:style>
  <w:style w:type="character" w:customStyle="1" w:styleId="25">
    <w:name w:val="段 Char"/>
    <w:link w:val="26"/>
    <w:autoRedefine/>
    <w:qFormat/>
    <w:uiPriority w:val="0"/>
    <w:rPr>
      <w:rFonts w:ascii="宋体"/>
    </w:rPr>
  </w:style>
  <w:style w:type="paragraph" w:customStyle="1" w:styleId="26">
    <w:name w:val="段"/>
    <w:link w:val="25"/>
    <w:autoRedefine/>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character" w:customStyle="1" w:styleId="27">
    <w:name w:val="正文文本 字符"/>
    <w:basedOn w:val="15"/>
    <w:link w:val="6"/>
    <w:qFormat/>
    <w:uiPriority w:val="0"/>
    <w:rPr>
      <w:rFonts w:hint="default" w:ascii="Times New Roman" w:hAnsi="Times New Roman" w:cs="Times New Roman"/>
      <w:kern w:val="2"/>
      <w:sz w:val="21"/>
    </w:rPr>
  </w:style>
  <w:style w:type="paragraph" w:customStyle="1" w:styleId="28">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36fd03de-b97b-4224-9e1e-2d3166551314</errorID>
      <errorWord>，</errorWord>
      <group>L1_Word</group>
      <groupName>字词问题</groupName>
      <ability>L2_Typo</ability>
      <abilityName>字词错误</abilityName>
      <candidateList>
        <item>，由</item>
      </candidateList>
      <explain/>
      <paraID>2FE61A97</paraID>
      <start>20</start>
      <end>21</end>
      <status>ignored</status>
      <modifiedWord/>
      <trackRevisions>false</trackRevisions>
    </reviewItem>
    <reviewItem>
      <errorID>4d9e092b-cf12-4c46-916a-a018e547792a</errorID>
      <errorWord>-</errorWord>
      <group>L1_Format</group>
      <groupName>格式问题</groupName>
      <ability>L2_HalfPunc</ability>
      <abilityName>全半角检查</abilityName>
      <candidateList>
        <item>－</item>
      </candidateList>
      <explain>文本全半角错误。</explain>
      <paraID>  AD0E5D</paraID>
      <start>123</start>
      <end>124</end>
      <status>modified</status>
      <modifiedWord>－</modifiedWord>
      <trackRevisions>false</trackRevisions>
    </reviewItem>
    <reviewItem>
      <errorID>bf5252b9-8db8-40eb-b476-412b642a3660</errorID>
      <errorWord>发补</errorWord>
      <group>L1_Word</group>
      <groupName>字词问题</groupName>
      <ability>L2_Typo</ability>
      <abilityName>字词错误</abilityName>
      <candidateList>
        <item>发布</item>
      </candidateList>
      <explain/>
      <paraID>33763B73</paraID>
      <start>18</start>
      <end>20</end>
      <status>modified</status>
      <modifiedWord>发布</modifiedWord>
      <trackRevisions>false</trackRevisions>
    </reviewItem>
    <reviewItem>
      <errorID>2c920b82-3d48-4456-871c-be40a5e5686e</errorID>
      <errorWord>法律、法规</errorWord>
      <group>L1_Word</group>
      <groupName>字词问题</groupName>
      <ability>L2_Typo</ability>
      <abilityName>字词错误</abilityName>
      <candidateList>
        <item>法律法规</item>
      </candidateList>
      <explain/>
      <paraID>4E3D657F</paraID>
      <start>7</start>
      <end>12</end>
      <status>ignored</status>
      <modifiedWord/>
      <trackRevisions>false</trackRevisions>
    </reviewItem>
    <reviewItem>
      <errorID>aefd2223-e01c-4e41-a05d-ccd39663ffee</errorID>
      <errorWord>法律、法规</errorWord>
      <group>L1_Word</group>
      <groupName>字词问题</groupName>
      <ability>L2_Typo</ability>
      <abilityName>字词错误</abilityName>
      <candidateList>
        <item>法律法规</item>
      </candidateList>
      <explain/>
      <paraID>6FC74ECA</paraID>
      <start>5</start>
      <end>10</end>
      <status>ignored</status>
      <modifiedWord/>
      <trackRevisions>false</trackRevisions>
    </reviewItem>
  </reviewItems>
  <config/>
</contractReview>
</file>

<file path=customXml/itemProps1.xml><?xml version="1.0" encoding="utf-8"?>
<ds:datastoreItem xmlns:ds="http://schemas.openxmlformats.org/officeDocument/2006/customXml" ds:itemID="{fd946949-177b-4301-a323-55d858c33794}">
  <ds:schemaRefs/>
</ds:datastoreItem>
</file>

<file path=docProps/app.xml><?xml version="1.0" encoding="utf-8"?>
<Properties xmlns="http://schemas.openxmlformats.org/officeDocument/2006/extended-properties" xmlns:vt="http://schemas.openxmlformats.org/officeDocument/2006/docPropsVTypes">
  <Template>Normal.dotm</Template>
  <Pages>9</Pages>
  <Words>4260</Words>
  <Characters>4421</Characters>
  <Lines>12</Lines>
  <Paragraphs>3</Paragraphs>
  <TotalTime>7</TotalTime>
  <ScaleCrop>false</ScaleCrop>
  <LinksUpToDate>false</LinksUpToDate>
  <CharactersWithSpaces>4424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2024-01-05T03:23:00Z</dcterms:created>
  <dcterms:modified xsi:type="dcterms:W3CDTF">2025-11-24T02:44:01Z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39DA1C35B57E4AA98C53688E39263C5E_13</vt:lpwstr>
  </property>
  <property fmtid="{D5CDD505-2E9C-101B-9397-08002B2CF9AE}" pid="4" name="KSOTemplateDocerSaveRecord">
    <vt:lpwstr>eyJoZGlkIjoiZjgwZDVjMmFkZDI1YjgyMjQ3NTg4ZTQxNzA5ODE1NjciLCJ1c2VySWQiOiIyODU5NDM2MjAifQ==</vt:lpwstr>
  </property>
</Properties>
</file>