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401F4">
      <w:pPr>
        <w:jc w:val="center"/>
        <w:rPr>
          <w:rFonts w:hint="eastAsia" w:ascii="黑体" w:hAnsi="黑体" w:eastAsia="黑体"/>
          <w:sz w:val="39"/>
          <w:szCs w:val="39"/>
          <w:lang w:eastAsia="zh-CN"/>
        </w:rPr>
      </w:pPr>
      <w:r>
        <w:rPr>
          <w:rFonts w:hint="eastAsia" w:ascii="黑体" w:hAnsi="黑体" w:eastAsia="黑体"/>
          <w:sz w:val="39"/>
          <w:szCs w:val="39"/>
          <w:lang w:eastAsia="zh-CN"/>
        </w:rPr>
        <w:t>《重组胶原蛋白纯度要求与检测方法（HPLC法）》</w:t>
      </w:r>
    </w:p>
    <w:p w14:paraId="58D52A46">
      <w:pPr>
        <w:jc w:val="center"/>
        <w:rPr>
          <w:rFonts w:ascii="黑体" w:hAnsi="黑体" w:eastAsia="黑体"/>
          <w:sz w:val="39"/>
          <w:szCs w:val="39"/>
        </w:rPr>
      </w:pPr>
      <w:r>
        <w:rPr>
          <w:rFonts w:hint="eastAsia" w:ascii="黑体" w:hAnsi="黑体" w:eastAsia="黑体"/>
          <w:sz w:val="39"/>
          <w:szCs w:val="39"/>
        </w:rPr>
        <w:t>（</w:t>
      </w:r>
      <w:r>
        <w:rPr>
          <w:rFonts w:hint="eastAsia" w:ascii="黑体" w:hAnsi="黑体" w:eastAsia="黑体"/>
          <w:sz w:val="39"/>
          <w:szCs w:val="39"/>
          <w:lang w:val="en-US" w:eastAsia="zh-CN"/>
        </w:rPr>
        <w:t>征求意见</w:t>
      </w:r>
      <w:r>
        <w:rPr>
          <w:rFonts w:hint="eastAsia" w:ascii="黑体" w:hAnsi="黑体" w:eastAsia="黑体"/>
          <w:sz w:val="39"/>
          <w:szCs w:val="39"/>
        </w:rPr>
        <w:t>稿）</w:t>
      </w:r>
    </w:p>
    <w:p w14:paraId="4D086D40">
      <w:pPr>
        <w:jc w:val="center"/>
        <w:rPr>
          <w:rFonts w:ascii="黑体" w:hAnsi="黑体" w:eastAsia="黑体"/>
          <w:sz w:val="39"/>
          <w:szCs w:val="39"/>
        </w:rPr>
      </w:pPr>
      <w:r>
        <w:rPr>
          <w:rFonts w:hint="eastAsia" w:ascii="黑体" w:hAnsi="黑体" w:eastAsia="黑体"/>
          <w:sz w:val="39"/>
          <w:szCs w:val="39"/>
        </w:rPr>
        <w:t>编制说明</w:t>
      </w:r>
    </w:p>
    <w:p w14:paraId="43EAD1F0">
      <w:pPr>
        <w:spacing w:before="156" w:beforeLines="50" w:line="560" w:lineRule="exact"/>
        <w:ind w:firstLine="600" w:firstLineChars="200"/>
        <w:rPr>
          <w:rFonts w:ascii="黑体" w:hAnsi="黑体" w:eastAsia="黑体"/>
          <w:sz w:val="30"/>
          <w:szCs w:val="30"/>
        </w:rPr>
      </w:pPr>
      <w:r>
        <w:rPr>
          <w:rFonts w:hint="eastAsia" w:ascii="黑体" w:hAnsi="黑体" w:eastAsia="黑体"/>
          <w:sz w:val="30"/>
          <w:szCs w:val="30"/>
        </w:rPr>
        <w:t>一、工作简况</w:t>
      </w:r>
    </w:p>
    <w:p w14:paraId="42A52206">
      <w:pPr>
        <w:spacing w:line="560" w:lineRule="exact"/>
        <w:ind w:firstLine="600" w:firstLineChars="200"/>
        <w:rPr>
          <w:rFonts w:ascii="仿宋" w:hAnsi="仿宋" w:eastAsia="仿宋"/>
          <w:sz w:val="30"/>
          <w:szCs w:val="30"/>
        </w:rPr>
      </w:pPr>
      <w:r>
        <w:rPr>
          <w:rFonts w:hint="eastAsia" w:ascii="仿宋" w:hAnsi="仿宋" w:eastAsia="仿宋"/>
          <w:sz w:val="30"/>
          <w:szCs w:val="30"/>
        </w:rPr>
        <w:t>（一）任务来源</w:t>
      </w:r>
    </w:p>
    <w:p w14:paraId="2FE61A97">
      <w:pPr>
        <w:spacing w:line="560" w:lineRule="exact"/>
        <w:ind w:firstLine="600" w:firstLineChars="200"/>
        <w:rPr>
          <w:rFonts w:ascii="仿宋" w:hAnsi="仿宋" w:eastAsia="仿宋"/>
          <w:sz w:val="30"/>
          <w:szCs w:val="30"/>
        </w:rPr>
      </w:pPr>
      <w:r>
        <w:rPr>
          <w:rFonts w:hint="eastAsia" w:ascii="仿宋" w:hAnsi="仿宋" w:eastAsia="仿宋"/>
          <w:sz w:val="30"/>
          <w:szCs w:val="30"/>
          <w:highlight w:val="none"/>
        </w:rPr>
        <w:t>本文件由江苏创健医疗科技股份有限公司提出</w:t>
      </w:r>
      <w:bookmarkStart w:id="0" w:name="_GoBack"/>
      <w:r>
        <w:rPr>
          <w:rFonts w:hint="eastAsia" w:ascii="仿宋" w:hAnsi="仿宋" w:eastAsia="仿宋"/>
          <w:sz w:val="30"/>
          <w:szCs w:val="30"/>
          <w:highlight w:val="none"/>
          <w:lang w:eastAsia="zh-CN"/>
        </w:rPr>
        <w:t>，</w:t>
      </w:r>
      <w:bookmarkEnd w:id="0"/>
      <w:r>
        <w:rPr>
          <w:rFonts w:hint="eastAsia" w:ascii="仿宋" w:hAnsi="仿宋" w:eastAsia="仿宋"/>
          <w:sz w:val="30"/>
          <w:szCs w:val="30"/>
          <w:highlight w:val="none"/>
          <w:lang w:eastAsia="zh-CN"/>
        </w:rPr>
        <w:t>中</w:t>
      </w:r>
      <w:r>
        <w:rPr>
          <w:rFonts w:hint="eastAsia" w:ascii="仿宋" w:hAnsi="仿宋" w:eastAsia="仿宋"/>
          <w:sz w:val="30"/>
          <w:szCs w:val="30"/>
          <w:lang w:eastAsia="zh-CN"/>
        </w:rPr>
        <w:t>国食品药品企业质量安全促进会（以下简称“促进会”）</w:t>
      </w:r>
      <w:r>
        <w:rPr>
          <w:rFonts w:hint="eastAsia" w:ascii="仿宋" w:hAnsi="仿宋" w:eastAsia="仿宋"/>
          <w:sz w:val="30"/>
          <w:szCs w:val="30"/>
        </w:rPr>
        <w:t>归口，提交促进会标准化工作委员会申请立项，正式列入2025年团体标准制修订计划，标准名称为《重组胶原蛋白纯度要求与检测方法</w:t>
      </w:r>
      <w:r>
        <w:rPr>
          <w:rFonts w:hint="eastAsia" w:ascii="仿宋" w:hAnsi="仿宋" w:eastAsia="仿宋"/>
          <w:sz w:val="30"/>
          <w:szCs w:val="30"/>
          <w:lang w:eastAsia="zh-CN"/>
        </w:rPr>
        <w:t>（</w:t>
      </w:r>
      <w:r>
        <w:rPr>
          <w:rFonts w:hint="eastAsia" w:ascii="仿宋" w:hAnsi="仿宋" w:eastAsia="仿宋"/>
          <w:sz w:val="30"/>
          <w:szCs w:val="30"/>
        </w:rPr>
        <w:t>HPLC法</w:t>
      </w:r>
      <w:r>
        <w:rPr>
          <w:rFonts w:hint="eastAsia" w:ascii="仿宋" w:hAnsi="仿宋" w:eastAsia="仿宋"/>
          <w:sz w:val="30"/>
          <w:szCs w:val="30"/>
          <w:lang w:eastAsia="zh-CN"/>
        </w:rPr>
        <w:t>）</w:t>
      </w:r>
      <w:r>
        <w:rPr>
          <w:rFonts w:hint="eastAsia" w:ascii="仿宋" w:hAnsi="仿宋" w:eastAsia="仿宋"/>
          <w:sz w:val="30"/>
          <w:szCs w:val="30"/>
        </w:rPr>
        <w:t>》。</w:t>
      </w:r>
    </w:p>
    <w:p w14:paraId="54D0CFA9">
      <w:pPr>
        <w:numPr>
          <w:ilvl w:val="0"/>
          <w:numId w:val="1"/>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项目背景</w:t>
      </w:r>
    </w:p>
    <w:p w14:paraId="178C60D3">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近年来，重组胶原蛋白凭借低免疫原性、高生物相容性等优势，成为化妆品、医疗器械领域的“黄金原料”。据统计，2024年国内重组胶原蛋白原料市场规模达45亿元，较2020年增长275%，年复合增长率38.7%；下游化妆品用重组胶原蛋白新原料备案数从2020年的5项增至2024年的62项，医疗器械注册产品从18款增至97款，产业呈现“爆发式增长”。​</w:t>
      </w:r>
    </w:p>
    <w:p w14:paraId="391BCADC">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但与此同时，纯度检测方法不统一已成为制约产业高质量发展的核心瓶颈：​</w:t>
      </w:r>
    </w:p>
    <w:p w14:paraId="3D7DC29F">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检测结果偏差大：行业调研显示，不同实验室对同批重组胶原蛋白原料的纯度检测结果偏差最高达15%，如某HEK293来源重组人Ⅲ型胶原蛋白原料，在A实验室检测纯度为96.2%，在B实验室仅为89.5%，差异源于色谱柱规格、流动相配比、检测波长的选择差异。​</w:t>
      </w:r>
    </w:p>
    <w:p w14:paraId="51C268D6">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前处理无规范：化妆品成品中表面活性剂、防腐剂等辅料易干扰检测，部分企业省略离心、萃取步骤，导致检测结果偏高10%～15%。</w:t>
      </w:r>
    </w:p>
    <w:p w14:paraId="29AFDE90">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系统适用性缺失：仅30%企业会验证HPLC系统的理论塔板数、分离度，部分低柱效系统无法有效分离重组胶原蛋白与宿主蛋白杂质，导致纯度误判。​</w:t>
      </w:r>
    </w:p>
    <w:p w14:paraId="0885AFAC">
      <w:pPr>
        <w:spacing w:line="560" w:lineRule="exact"/>
        <w:ind w:firstLine="576" w:firstLineChars="200"/>
        <w:rPr>
          <w:rFonts w:hint="eastAsia" w:ascii="仿宋" w:hAnsi="仿宋" w:eastAsia="仿宋"/>
          <w:spacing w:val="-6"/>
          <w:sz w:val="30"/>
          <w:szCs w:val="30"/>
          <w:lang w:val="en-US" w:eastAsia="zh-CN"/>
        </w:rPr>
      </w:pPr>
      <w:r>
        <w:rPr>
          <w:rFonts w:hint="eastAsia" w:ascii="仿宋" w:hAnsi="仿宋" w:eastAsia="仿宋"/>
          <w:spacing w:val="-6"/>
          <w:sz w:val="30"/>
          <w:szCs w:val="30"/>
          <w:lang w:val="en-US" w:eastAsia="zh-CN"/>
        </w:rPr>
        <w:t>现行标准体系存在明显短板：国家/行业标准空白：YY/T 1849-2022《重组胶原蛋白》仅规定原料纯度≥95%、成品纯度≥90%，未明确HPLC检测的色谱条件、前处理方法及系统适用性要求；GB/T 32687-2016《化妆品中胶原蛋白的测定高效液相色谱法》仅适用于天然胶原蛋白，无法覆盖重组胶原蛋白的特异性杂质。</w:t>
      </w:r>
    </w:p>
    <w:p w14:paraId="68EFFDC4">
      <w:pPr>
        <w:spacing w:line="560" w:lineRule="exact"/>
        <w:ind w:firstLine="600" w:firstLineChars="200"/>
        <w:rPr>
          <w:rFonts w:ascii="仿宋" w:hAnsi="仿宋" w:eastAsia="仿宋"/>
          <w:sz w:val="30"/>
          <w:szCs w:val="30"/>
        </w:rPr>
      </w:pPr>
      <w:r>
        <w:rPr>
          <w:rFonts w:hint="eastAsia" w:ascii="仿宋" w:hAnsi="仿宋" w:eastAsia="仿宋"/>
          <w:sz w:val="30"/>
          <w:szCs w:val="30"/>
        </w:rPr>
        <w:t>（三）目的意义</w:t>
      </w:r>
    </w:p>
    <w:p w14:paraId="403E4E0F">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1.</w:t>
      </w:r>
      <w:r>
        <w:rPr>
          <w:rFonts w:hint="eastAsia" w:ascii="仿宋" w:hAnsi="仿宋" w:eastAsia="仿宋"/>
          <w:b w:val="0"/>
          <w:bCs w:val="0"/>
          <w:sz w:val="30"/>
          <w:szCs w:val="30"/>
        </w:rPr>
        <w:t>目的</w:t>
      </w:r>
    </w:p>
    <w:p w14:paraId="578B116E">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1）统一检测方法：明确HPLC系统参数（色谱柱规格、流动相配比、检测波长）、样品前处理步骤（原料/化妆品/医疗器械差异化流程）及数据计算规则（面积归一化法公式），解决“方法各异、数据离散”问题，确保不同实验室检测结果偏差≤3%；</w:t>
      </w:r>
    </w:p>
    <w:p w14:paraId="3E291DFD">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w:t>
      </w:r>
      <w:r>
        <w:rPr>
          <w:rFonts w:hint="eastAsia" w:ascii="仿宋" w:hAnsi="仿宋" w:eastAsia="仿宋"/>
          <w:b w:val="0"/>
          <w:bCs w:val="0"/>
          <w:sz w:val="30"/>
          <w:szCs w:val="30"/>
          <w:lang w:val="en-US" w:eastAsia="zh-CN"/>
        </w:rPr>
        <w:t>2</w:t>
      </w:r>
      <w:r>
        <w:rPr>
          <w:rFonts w:hint="eastAsia" w:ascii="仿宋" w:hAnsi="仿宋" w:eastAsia="仿宋"/>
          <w:b w:val="0"/>
          <w:bCs w:val="0"/>
          <w:sz w:val="30"/>
          <w:szCs w:val="30"/>
        </w:rPr>
        <w:t>）规范质量控制：规定系统适用性验证指标（理论塔板数、分离度、重复性RSD）及纯度限值（原料≥95%、化妆品成品≥90%、医疗器械成品≥92%），为企业出厂检验、监管部门抽检提供量化依据；​</w:t>
      </w:r>
    </w:p>
    <w:p w14:paraId="543064D1">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w:t>
      </w:r>
      <w:r>
        <w:rPr>
          <w:rFonts w:hint="eastAsia" w:ascii="仿宋" w:hAnsi="仿宋" w:eastAsia="仿宋"/>
          <w:b w:val="0"/>
          <w:bCs w:val="0"/>
          <w:sz w:val="30"/>
          <w:szCs w:val="30"/>
          <w:lang w:val="en-US" w:eastAsia="zh-CN"/>
        </w:rPr>
        <w:t>3</w:t>
      </w:r>
      <w:r>
        <w:rPr>
          <w:rFonts w:hint="eastAsia" w:ascii="仿宋" w:hAnsi="仿宋" w:eastAsia="仿宋"/>
          <w:b w:val="0"/>
          <w:bCs w:val="0"/>
          <w:sz w:val="30"/>
          <w:szCs w:val="30"/>
        </w:rPr>
        <w:t>）支撑产业升级：建立检测方法的验证流程（精密度、准确度、稳定性），引导企业提升检测能力，推动重组胶原蛋白从“合规型”向“高质量型”发展。</w:t>
      </w:r>
    </w:p>
    <w:p w14:paraId="781D69F2">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2.</w:t>
      </w:r>
      <w:r>
        <w:rPr>
          <w:rFonts w:hint="eastAsia" w:ascii="仿宋" w:hAnsi="仿宋" w:eastAsia="仿宋"/>
          <w:b w:val="0"/>
          <w:bCs w:val="0"/>
          <w:sz w:val="30"/>
          <w:szCs w:val="30"/>
        </w:rPr>
        <w:t>意义</w:t>
      </w:r>
    </w:p>
    <w:p w14:paraId="54D32E88">
      <w:p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1）产业层面：统一检测方法可减少企业在检测方案开发、重复检测上的成本投入，同时引导企业聚焦原料纯度提升，推动重组胶原蛋白产业从规模扩张向质量提升转型，促进产业整体高质量发展，提升行业整体竞争力。</w:t>
      </w:r>
    </w:p>
    <w:p w14:paraId="0D149EDD">
      <w:p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w:t>
      </w:r>
      <w:r>
        <w:rPr>
          <w:rFonts w:hint="eastAsia" w:ascii="仿宋" w:hAnsi="仿宋" w:eastAsia="仿宋"/>
          <w:b w:val="0"/>
          <w:bCs w:val="0"/>
          <w:sz w:val="30"/>
          <w:szCs w:val="30"/>
          <w:lang w:val="en-US" w:eastAsia="zh-CN"/>
        </w:rPr>
        <w:t>2</w:t>
      </w:r>
      <w:r>
        <w:rPr>
          <w:rFonts w:hint="eastAsia" w:ascii="仿宋" w:hAnsi="仿宋" w:eastAsia="仿宋"/>
          <w:b w:val="0"/>
          <w:bCs w:val="0"/>
          <w:sz w:val="30"/>
          <w:szCs w:val="30"/>
        </w:rPr>
        <w:t>）监管层面：为监管部门开展质量监督、抽查工作提供明确的技术工具，提高监管效率，帮助监管部门精准识别不合格产品，维护市场秩序，保障消费者权益。</w:t>
      </w:r>
    </w:p>
    <w:p w14:paraId="7A9F29E2">
      <w:p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w:t>
      </w:r>
      <w:r>
        <w:rPr>
          <w:rFonts w:hint="eastAsia" w:ascii="仿宋" w:hAnsi="仿宋" w:eastAsia="仿宋"/>
          <w:b w:val="0"/>
          <w:bCs w:val="0"/>
          <w:sz w:val="30"/>
          <w:szCs w:val="30"/>
          <w:lang w:val="en-US" w:eastAsia="zh-CN"/>
        </w:rPr>
        <w:t>3</w:t>
      </w:r>
      <w:r>
        <w:rPr>
          <w:rFonts w:hint="eastAsia" w:ascii="仿宋" w:hAnsi="仿宋" w:eastAsia="仿宋"/>
          <w:b w:val="0"/>
          <w:bCs w:val="0"/>
          <w:sz w:val="30"/>
          <w:szCs w:val="30"/>
        </w:rPr>
        <w:t>）应用层面：确保终端应用领域（如医美、创伤修复、化妆品）使用的重组胶原蛋白原料纯度达标，减少因原料纯度问题引发的产品安全风险，为下游产品的安全应用提供基础保障。</w:t>
      </w:r>
    </w:p>
    <w:p w14:paraId="397935CC">
      <w:pPr>
        <w:spacing w:line="560" w:lineRule="exact"/>
        <w:ind w:firstLine="600" w:firstLineChars="200"/>
        <w:rPr>
          <w:rFonts w:ascii="仿宋" w:hAnsi="仿宋" w:eastAsia="仿宋"/>
          <w:sz w:val="30"/>
          <w:szCs w:val="30"/>
        </w:rPr>
      </w:pPr>
      <w:r>
        <w:rPr>
          <w:rFonts w:hint="eastAsia" w:ascii="仿宋" w:hAnsi="仿宋" w:eastAsia="仿宋"/>
          <w:sz w:val="30"/>
          <w:szCs w:val="30"/>
        </w:rPr>
        <w:t>（四）起草单位及起草人名单</w:t>
      </w:r>
    </w:p>
    <w:p w14:paraId="5B679CAB">
      <w:pPr>
        <w:spacing w:line="560" w:lineRule="exact"/>
        <w:ind w:firstLine="600" w:firstLineChars="200"/>
        <w:rPr>
          <w:rFonts w:hint="default" w:ascii="仿宋" w:hAnsi="仿宋" w:eastAsia="仿宋"/>
          <w:sz w:val="30"/>
          <w:szCs w:val="30"/>
          <w:highlight w:val="none"/>
          <w:lang w:val="en-US" w:eastAsia="zh-CN"/>
        </w:rPr>
      </w:pPr>
      <w:r>
        <w:rPr>
          <w:rFonts w:hint="eastAsia" w:ascii="仿宋" w:hAnsi="仿宋" w:eastAsia="仿宋"/>
          <w:sz w:val="30"/>
          <w:szCs w:val="30"/>
          <w:highlight w:val="none"/>
        </w:rPr>
        <w:t>本文件起草单位：江苏创健医疗科技股份有限公司</w:t>
      </w:r>
      <w:r>
        <w:rPr>
          <w:rFonts w:hint="eastAsia" w:ascii="仿宋" w:hAnsi="仿宋" w:eastAsia="仿宋"/>
          <w:sz w:val="30"/>
          <w:szCs w:val="30"/>
          <w:highlight w:val="none"/>
          <w:lang w:eastAsia="zh-CN"/>
        </w:rPr>
        <w:t>、元一（天津）生物科技有限公司</w:t>
      </w:r>
      <w:r>
        <w:rPr>
          <w:rFonts w:hint="eastAsia" w:ascii="仿宋" w:hAnsi="仿宋" w:eastAsia="仿宋"/>
          <w:sz w:val="30"/>
          <w:szCs w:val="30"/>
          <w:highlight w:val="none"/>
          <w:lang w:val="en-US" w:eastAsia="zh-CN"/>
        </w:rPr>
        <w:t>等。</w:t>
      </w:r>
    </w:p>
    <w:p w14:paraId="5C01D8D1">
      <w:pPr>
        <w:spacing w:line="560" w:lineRule="exact"/>
        <w:ind w:firstLine="600" w:firstLineChars="200"/>
        <w:rPr>
          <w:rFonts w:hint="eastAsia" w:ascii="仿宋" w:hAnsi="仿宋" w:eastAsia="仿宋"/>
          <w:sz w:val="30"/>
          <w:szCs w:val="30"/>
          <w:highlight w:val="none"/>
          <w:lang w:val="en-US" w:eastAsia="zh-CN"/>
        </w:rPr>
      </w:pPr>
      <w:r>
        <w:rPr>
          <w:rFonts w:hint="eastAsia" w:ascii="仿宋" w:hAnsi="仿宋" w:eastAsia="仿宋"/>
          <w:sz w:val="30"/>
          <w:szCs w:val="30"/>
          <w:highlight w:val="none"/>
        </w:rPr>
        <w:t>本文件主要起草人：</w:t>
      </w:r>
      <w:r>
        <w:rPr>
          <w:rFonts w:hint="eastAsia" w:ascii="仿宋" w:hAnsi="仿宋" w:eastAsia="仿宋"/>
          <w:sz w:val="30"/>
          <w:szCs w:val="30"/>
          <w:highlight w:val="none"/>
          <w:lang w:val="en-US" w:eastAsia="zh-CN"/>
        </w:rPr>
        <w:t>待确定。</w:t>
      </w:r>
    </w:p>
    <w:p w14:paraId="64F2B3EF">
      <w:pPr>
        <w:spacing w:line="560" w:lineRule="exact"/>
        <w:ind w:firstLine="600" w:firstLineChars="200"/>
        <w:rPr>
          <w:rFonts w:ascii="仿宋" w:hAnsi="仿宋" w:eastAsia="仿宋"/>
          <w:sz w:val="30"/>
          <w:szCs w:val="30"/>
        </w:rPr>
      </w:pPr>
      <w:r>
        <w:rPr>
          <w:rFonts w:hint="eastAsia" w:ascii="仿宋" w:hAnsi="仿宋" w:eastAsia="仿宋"/>
          <w:sz w:val="30"/>
          <w:szCs w:val="30"/>
        </w:rPr>
        <w:t>（五）主要起草过程</w:t>
      </w:r>
    </w:p>
    <w:p w14:paraId="3A0DF044">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1.</w:t>
      </w:r>
      <w:r>
        <w:rPr>
          <w:rFonts w:hint="eastAsia" w:ascii="仿宋" w:hAnsi="仿宋" w:eastAsia="仿宋"/>
          <w:sz w:val="30"/>
          <w:szCs w:val="30"/>
        </w:rPr>
        <w:t>文本调研</w:t>
      </w:r>
    </w:p>
    <w:p w14:paraId="7B0A9F63">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sz w:val="30"/>
          <w:szCs w:val="30"/>
        </w:rPr>
        <w:t>年</w:t>
      </w:r>
      <w:r>
        <w:rPr>
          <w:rFonts w:hint="eastAsia" w:ascii="仿宋" w:hAnsi="仿宋" w:eastAsia="仿宋"/>
          <w:sz w:val="30"/>
          <w:szCs w:val="30"/>
          <w:lang w:val="en-US" w:eastAsia="zh-CN"/>
        </w:rPr>
        <w:t>6</w:t>
      </w:r>
      <w:r>
        <w:rPr>
          <w:rFonts w:hint="eastAsia" w:ascii="仿宋" w:hAnsi="仿宋" w:eastAsia="仿宋"/>
          <w:sz w:val="30"/>
          <w:szCs w:val="30"/>
        </w:rPr>
        <w:t>月启动，收集国内外相关标准/指南</w:t>
      </w:r>
      <w:r>
        <w:rPr>
          <w:rFonts w:hint="eastAsia" w:ascii="仿宋" w:hAnsi="仿宋" w:eastAsia="仿宋"/>
          <w:sz w:val="30"/>
          <w:szCs w:val="30"/>
          <w:lang w:val="en-US" w:eastAsia="zh-CN"/>
        </w:rPr>
        <w:t>45</w:t>
      </w:r>
      <w:r>
        <w:rPr>
          <w:rFonts w:hint="eastAsia" w:ascii="仿宋" w:hAnsi="仿宋" w:eastAsia="仿宋"/>
          <w:sz w:val="30"/>
          <w:szCs w:val="30"/>
        </w:rPr>
        <w:t>份（GB/T 6682</w:t>
      </w:r>
      <w:r>
        <w:rPr>
          <w:rFonts w:hint="eastAsia" w:ascii="仿宋" w:hAnsi="仿宋" w:eastAsia="仿宋"/>
          <w:sz w:val="30"/>
          <w:szCs w:val="30"/>
          <w:lang w:eastAsia="zh-CN"/>
        </w:rPr>
        <w:t>、GB/T 29790</w:t>
      </w:r>
      <w:r>
        <w:rPr>
          <w:rFonts w:hint="eastAsia" w:ascii="仿宋" w:hAnsi="仿宋" w:eastAsia="仿宋"/>
          <w:sz w:val="30"/>
          <w:szCs w:val="30"/>
        </w:rPr>
        <w:t>等）。</w:t>
      </w:r>
    </w:p>
    <w:p w14:paraId="10831366">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形成标准草案</w:t>
      </w:r>
    </w:p>
    <w:p w14:paraId="13A3190C">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2025年</w:t>
      </w:r>
      <w:r>
        <w:rPr>
          <w:rFonts w:hint="eastAsia" w:ascii="仿宋" w:hAnsi="仿宋" w:eastAsia="仿宋"/>
          <w:sz w:val="30"/>
          <w:szCs w:val="30"/>
          <w:lang w:val="en-US" w:eastAsia="zh-CN"/>
        </w:rPr>
        <w:t>6月</w:t>
      </w:r>
      <w:r>
        <w:rPr>
          <w:rFonts w:hint="eastAsia" w:ascii="仿宋" w:hAnsi="仿宋" w:eastAsia="仿宋"/>
          <w:sz w:val="30"/>
          <w:szCs w:val="30"/>
        </w:rPr>
        <w:t>召开首次工作组会，确定框架。2025年</w:t>
      </w:r>
      <w:r>
        <w:rPr>
          <w:rFonts w:hint="eastAsia" w:ascii="仿宋" w:hAnsi="仿宋" w:eastAsia="仿宋"/>
          <w:sz w:val="30"/>
          <w:szCs w:val="30"/>
          <w:lang w:val="en-US" w:eastAsia="zh-CN"/>
        </w:rPr>
        <w:t>8</w:t>
      </w:r>
      <w:r>
        <w:rPr>
          <w:rFonts w:hint="eastAsia" w:ascii="仿宋" w:hAnsi="仿宋" w:eastAsia="仿宋"/>
          <w:sz w:val="30"/>
          <w:szCs w:val="30"/>
        </w:rPr>
        <w:t>月</w:t>
      </w:r>
      <w:r>
        <w:rPr>
          <w:rFonts w:hint="eastAsia" w:ascii="仿宋" w:hAnsi="仿宋" w:eastAsia="仿宋"/>
          <w:sz w:val="30"/>
          <w:szCs w:val="30"/>
          <w:lang w:val="en-US" w:eastAsia="zh-CN"/>
        </w:rPr>
        <w:t>20</w:t>
      </w:r>
      <w:r>
        <w:rPr>
          <w:rFonts w:hint="eastAsia" w:ascii="仿宋" w:hAnsi="仿宋" w:eastAsia="仿宋"/>
          <w:sz w:val="30"/>
          <w:szCs w:val="30"/>
        </w:rPr>
        <w:t>日完成草案V1.0。</w:t>
      </w:r>
    </w:p>
    <w:p w14:paraId="576742FD">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标准立项</w:t>
      </w:r>
    </w:p>
    <w:p w14:paraId="33B126E5">
      <w:p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sz w:val="30"/>
          <w:szCs w:val="30"/>
        </w:rPr>
        <w:t>年</w:t>
      </w:r>
      <w:r>
        <w:rPr>
          <w:rFonts w:hint="eastAsia" w:ascii="仿宋" w:hAnsi="仿宋" w:eastAsia="仿宋"/>
          <w:sz w:val="30"/>
          <w:szCs w:val="30"/>
          <w:lang w:val="en-US" w:eastAsia="zh-CN"/>
        </w:rPr>
        <w:t>10</w:t>
      </w:r>
      <w:r>
        <w:rPr>
          <w:rFonts w:hint="eastAsia" w:ascii="仿宋" w:hAnsi="仿宋" w:eastAsia="仿宋"/>
          <w:sz w:val="30"/>
          <w:szCs w:val="30"/>
        </w:rPr>
        <w:t>月</w:t>
      </w:r>
      <w:r>
        <w:rPr>
          <w:rFonts w:hint="eastAsia" w:ascii="仿宋" w:hAnsi="仿宋" w:eastAsia="仿宋"/>
          <w:sz w:val="30"/>
          <w:szCs w:val="30"/>
          <w:lang w:val="en-US" w:eastAsia="zh-CN"/>
        </w:rPr>
        <w:t>15</w:t>
      </w:r>
      <w:r>
        <w:rPr>
          <w:rFonts w:hint="eastAsia" w:ascii="仿宋" w:hAnsi="仿宋" w:eastAsia="仿宋"/>
          <w:sz w:val="30"/>
          <w:szCs w:val="30"/>
        </w:rPr>
        <w:t>日向促进会标准化委员会提交立项建议书</w:t>
      </w:r>
      <w:r>
        <w:rPr>
          <w:rFonts w:hint="eastAsia" w:ascii="仿宋" w:hAnsi="仿宋" w:eastAsia="仿宋"/>
          <w:sz w:val="30"/>
          <w:szCs w:val="30"/>
          <w:lang w:eastAsia="zh-CN"/>
        </w:rPr>
        <w:t>。于2025年</w:t>
      </w:r>
      <w:r>
        <w:rPr>
          <w:rFonts w:hint="eastAsia" w:ascii="仿宋" w:hAnsi="仿宋" w:eastAsia="仿宋"/>
          <w:sz w:val="30"/>
          <w:szCs w:val="30"/>
          <w:lang w:val="en-US" w:eastAsia="zh-CN"/>
        </w:rPr>
        <w:t>10</w:t>
      </w:r>
      <w:r>
        <w:rPr>
          <w:rFonts w:hint="eastAsia" w:ascii="仿宋" w:hAnsi="仿宋" w:eastAsia="仿宋"/>
          <w:sz w:val="30"/>
          <w:szCs w:val="30"/>
          <w:lang w:eastAsia="zh-CN"/>
        </w:rPr>
        <w:t>月2</w:t>
      </w:r>
      <w:r>
        <w:rPr>
          <w:rFonts w:hint="eastAsia" w:ascii="仿宋" w:hAnsi="仿宋" w:eastAsia="仿宋"/>
          <w:sz w:val="30"/>
          <w:szCs w:val="30"/>
          <w:lang w:val="en-US" w:eastAsia="zh-CN"/>
        </w:rPr>
        <w:t>3</w:t>
      </w:r>
      <w:r>
        <w:rPr>
          <w:rFonts w:hint="eastAsia" w:ascii="仿宋" w:hAnsi="仿宋" w:eastAsia="仿宋"/>
          <w:sz w:val="30"/>
          <w:szCs w:val="30"/>
          <w:lang w:eastAsia="zh-CN"/>
        </w:rPr>
        <w:t>日获得中国食品药品企业质量安全促进会批准立项。</w:t>
      </w:r>
    </w:p>
    <w:p w14:paraId="685133B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3.形成征求意见稿</w:t>
      </w:r>
    </w:p>
    <w:p w14:paraId="790008AF">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highlight w:val="none"/>
          <w:lang w:val="en-US" w:eastAsia="zh-CN"/>
        </w:rPr>
        <w:t>2025年11月21日，</w:t>
      </w:r>
      <w:r>
        <w:rPr>
          <w:rFonts w:hint="eastAsia" w:ascii="仿宋" w:hAnsi="仿宋" w:eastAsia="仿宋"/>
          <w:sz w:val="30"/>
          <w:szCs w:val="30"/>
          <w:lang w:val="en-US" w:eastAsia="zh-CN"/>
        </w:rPr>
        <w:t>起草组根据反馈的意见和建议，召开了团体标准讨论会，对草案内容进行了修改和调整，形成标准征求意见稿，提交中国食品药品企业质量安全促进会进行意见征集。</w:t>
      </w:r>
    </w:p>
    <w:p w14:paraId="7411F500">
      <w:pPr>
        <w:spacing w:line="560" w:lineRule="exact"/>
        <w:ind w:firstLine="600" w:firstLineChars="200"/>
        <w:rPr>
          <w:rFonts w:ascii="黑体" w:hAnsi="黑体" w:eastAsia="黑体"/>
          <w:sz w:val="30"/>
          <w:szCs w:val="30"/>
        </w:rPr>
      </w:pPr>
      <w:r>
        <w:rPr>
          <w:rFonts w:hint="eastAsia" w:ascii="黑体" w:hAnsi="黑体" w:eastAsia="黑体"/>
          <w:sz w:val="30"/>
          <w:szCs w:val="30"/>
        </w:rPr>
        <w:t>二、确定标准主要内容的论据</w:t>
      </w:r>
    </w:p>
    <w:p w14:paraId="72E61DB2">
      <w:pPr>
        <w:spacing w:line="560" w:lineRule="exact"/>
        <w:ind w:firstLine="600" w:firstLineChars="200"/>
        <w:rPr>
          <w:rFonts w:ascii="仿宋" w:hAnsi="仿宋" w:eastAsia="仿宋"/>
          <w:sz w:val="30"/>
          <w:szCs w:val="30"/>
        </w:rPr>
      </w:pPr>
      <w:r>
        <w:rPr>
          <w:rFonts w:hint="eastAsia" w:ascii="仿宋" w:hAnsi="仿宋" w:eastAsia="仿宋"/>
          <w:sz w:val="30"/>
          <w:szCs w:val="30"/>
        </w:rPr>
        <w:t>（一）编制原则</w:t>
      </w:r>
    </w:p>
    <w:p w14:paraId="46ED0C77">
      <w:pPr>
        <w:spacing w:line="560" w:lineRule="exact"/>
        <w:ind w:firstLine="600" w:firstLineChars="200"/>
        <w:rPr>
          <w:rFonts w:hint="eastAsia" w:ascii="仿宋" w:hAnsi="仿宋" w:eastAsia="仿宋"/>
          <w:sz w:val="30"/>
          <w:szCs w:val="30"/>
          <w:highlight w:val="none"/>
        </w:rPr>
      </w:pPr>
      <w:r>
        <w:rPr>
          <w:rFonts w:hint="eastAsia" w:ascii="仿宋" w:hAnsi="仿宋" w:eastAsia="仿宋"/>
          <w:sz w:val="30"/>
          <w:szCs w:val="30"/>
          <w:highlight w:val="none"/>
        </w:rPr>
        <w:t>本文件按照</w:t>
      </w:r>
      <w:r>
        <w:rPr>
          <w:rFonts w:ascii="仿宋" w:hAnsi="仿宋" w:eastAsia="仿宋"/>
          <w:sz w:val="30"/>
          <w:szCs w:val="30"/>
          <w:highlight w:val="none"/>
        </w:rPr>
        <w:t>GB/T 1.1—2020《标准化工作导则第1部分：标准化文件的结构和起草规则》</w:t>
      </w:r>
      <w:r>
        <w:rPr>
          <w:rFonts w:hint="eastAsia" w:ascii="仿宋" w:hAnsi="仿宋" w:eastAsia="仿宋"/>
          <w:sz w:val="30"/>
          <w:szCs w:val="30"/>
          <w:highlight w:val="none"/>
        </w:rPr>
        <w:t>以及《中国食品药品企业质量安全促进会团体标准工作程序》起草。</w:t>
      </w:r>
    </w:p>
    <w:p w14:paraId="037F198B">
      <w:pPr>
        <w:spacing w:line="560" w:lineRule="exact"/>
        <w:ind w:firstLine="600" w:firstLineChars="200"/>
        <w:rPr>
          <w:rFonts w:ascii="仿宋" w:hAnsi="仿宋" w:eastAsia="仿宋"/>
          <w:sz w:val="30"/>
          <w:szCs w:val="30"/>
          <w:highlight w:val="none"/>
        </w:rPr>
      </w:pPr>
      <w:r>
        <w:rPr>
          <w:rFonts w:hint="eastAsia" w:ascii="仿宋" w:hAnsi="仿宋" w:eastAsia="仿宋"/>
          <w:sz w:val="30"/>
          <w:szCs w:val="30"/>
          <w:highlight w:val="none"/>
        </w:rPr>
        <w:t>（二）标准主要内容及适用范围</w:t>
      </w:r>
    </w:p>
    <w:p w14:paraId="46DEF763">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rPr>
        <w:t>本文件规定了采用高效液相色谱法（HPLC法）检测重组胶原蛋白纯度的工作要求、系统结构与功能、技术要求、</w:t>
      </w:r>
      <w:r>
        <w:rPr>
          <w:rFonts w:hint="eastAsia" w:ascii="仿宋" w:hAnsi="仿宋" w:eastAsia="仿宋"/>
          <w:b w:val="0"/>
          <w:bCs w:val="0"/>
          <w:sz w:val="30"/>
          <w:szCs w:val="30"/>
          <w:highlight w:val="none"/>
          <w:lang w:val="en-US" w:eastAsia="zh-CN"/>
        </w:rPr>
        <w:t>检测</w:t>
      </w:r>
      <w:r>
        <w:rPr>
          <w:rFonts w:hint="eastAsia" w:ascii="仿宋" w:hAnsi="仿宋" w:eastAsia="仿宋"/>
          <w:b w:val="0"/>
          <w:bCs w:val="0"/>
          <w:sz w:val="30"/>
          <w:szCs w:val="30"/>
          <w:highlight w:val="none"/>
        </w:rPr>
        <w:t>方法及</w:t>
      </w:r>
      <w:r>
        <w:rPr>
          <w:rFonts w:hint="eastAsia" w:ascii="仿宋" w:hAnsi="仿宋" w:eastAsia="仿宋"/>
          <w:b w:val="0"/>
          <w:bCs w:val="0"/>
          <w:sz w:val="30"/>
          <w:szCs w:val="30"/>
          <w:highlight w:val="none"/>
          <w:lang w:val="en-US" w:eastAsia="zh-CN"/>
        </w:rPr>
        <w:t>检测</w:t>
      </w:r>
      <w:r>
        <w:rPr>
          <w:rFonts w:hint="eastAsia" w:ascii="仿宋" w:hAnsi="仿宋" w:eastAsia="仿宋"/>
          <w:b w:val="0"/>
          <w:bCs w:val="0"/>
          <w:sz w:val="30"/>
          <w:szCs w:val="30"/>
          <w:highlight w:val="none"/>
        </w:rPr>
        <w:t>报告。</w:t>
      </w:r>
    </w:p>
    <w:p w14:paraId="1E95C278">
      <w:pPr>
        <w:numPr>
          <w:ilvl w:val="0"/>
          <w:numId w:val="0"/>
        </w:numPr>
        <w:spacing w:line="560" w:lineRule="exact"/>
        <w:ind w:firstLine="600" w:firstLineChars="200"/>
        <w:rPr>
          <w:rFonts w:hint="eastAsia" w:ascii="仿宋" w:hAnsi="仿宋" w:eastAsia="仿宋"/>
          <w:b w:val="0"/>
          <w:bCs w:val="0"/>
          <w:sz w:val="30"/>
          <w:szCs w:val="30"/>
          <w:highlight w:val="none"/>
          <w:lang w:eastAsia="zh-CN"/>
        </w:rPr>
      </w:pPr>
      <w:r>
        <w:rPr>
          <w:rFonts w:hint="eastAsia" w:ascii="仿宋" w:hAnsi="仿宋" w:eastAsia="仿宋"/>
          <w:b w:val="0"/>
          <w:bCs w:val="0"/>
          <w:sz w:val="30"/>
          <w:szCs w:val="30"/>
          <w:highlight w:val="none"/>
        </w:rPr>
        <w:t>本文件适用于重组胶原蛋白原料及以重组胶原蛋白为主要功能成分的化妆品、医疗器械中重组胶原蛋白纯度的测定</w:t>
      </w:r>
      <w:r>
        <w:rPr>
          <w:rFonts w:hint="eastAsia" w:ascii="仿宋" w:hAnsi="仿宋" w:eastAsia="仿宋"/>
          <w:b w:val="0"/>
          <w:bCs w:val="0"/>
          <w:sz w:val="30"/>
          <w:szCs w:val="30"/>
          <w:highlight w:val="none"/>
          <w:lang w:eastAsia="zh-CN"/>
        </w:rPr>
        <w:t>。</w:t>
      </w:r>
    </w:p>
    <w:p w14:paraId="34E5B5FF">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rPr>
        <w:t>本文件不适用于天然胶原蛋白及含高浓度小分子杂质（分子量＜1kDa且含量＞10%）的重组胶原蛋白样品检测。</w:t>
      </w:r>
    </w:p>
    <w:p w14:paraId="039940B7">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rPr>
        <w:t>规范性引用：引用</w:t>
      </w:r>
      <w:r>
        <w:rPr>
          <w:rFonts w:hint="eastAsia" w:ascii="仿宋" w:hAnsi="仿宋" w:eastAsia="仿宋"/>
          <w:b w:val="0"/>
          <w:bCs w:val="0"/>
          <w:sz w:val="30"/>
          <w:szCs w:val="30"/>
          <w:highlight w:val="none"/>
          <w:lang w:val="en-US" w:eastAsia="zh-CN"/>
        </w:rPr>
        <w:t>重组胶原蛋白、分析实验室试验方法</w:t>
      </w:r>
      <w:r>
        <w:rPr>
          <w:rFonts w:hint="eastAsia" w:ascii="仿宋" w:hAnsi="仿宋" w:eastAsia="仿宋"/>
          <w:b w:val="0"/>
          <w:bCs w:val="0"/>
          <w:sz w:val="30"/>
          <w:szCs w:val="30"/>
          <w:highlight w:val="none"/>
        </w:rPr>
        <w:t>等</w:t>
      </w:r>
      <w:r>
        <w:rPr>
          <w:rFonts w:hint="eastAsia" w:ascii="仿宋" w:hAnsi="仿宋" w:eastAsia="仿宋"/>
          <w:b w:val="0"/>
          <w:bCs w:val="0"/>
          <w:sz w:val="30"/>
          <w:szCs w:val="30"/>
          <w:highlight w:val="none"/>
          <w:lang w:val="en-US" w:eastAsia="zh-CN"/>
        </w:rPr>
        <w:t>4</w:t>
      </w:r>
      <w:r>
        <w:rPr>
          <w:rFonts w:hint="eastAsia" w:ascii="仿宋" w:hAnsi="仿宋" w:eastAsia="仿宋"/>
          <w:b w:val="0"/>
          <w:bCs w:val="0"/>
          <w:sz w:val="30"/>
          <w:szCs w:val="30"/>
          <w:highlight w:val="none"/>
        </w:rPr>
        <w:t>项国标/</w:t>
      </w:r>
      <w:r>
        <w:rPr>
          <w:rFonts w:hint="eastAsia" w:ascii="仿宋" w:hAnsi="仿宋" w:eastAsia="仿宋"/>
          <w:b w:val="0"/>
          <w:bCs w:val="0"/>
          <w:sz w:val="30"/>
          <w:szCs w:val="30"/>
          <w:highlight w:val="none"/>
          <w:lang w:val="en-US" w:eastAsia="zh-CN"/>
        </w:rPr>
        <w:t>行标</w:t>
      </w:r>
      <w:r>
        <w:rPr>
          <w:rFonts w:hint="eastAsia" w:ascii="仿宋" w:hAnsi="仿宋" w:eastAsia="仿宋"/>
          <w:b w:val="0"/>
          <w:bCs w:val="0"/>
          <w:sz w:val="30"/>
          <w:szCs w:val="30"/>
          <w:highlight w:val="none"/>
        </w:rPr>
        <w:t>。</w:t>
      </w:r>
    </w:p>
    <w:p w14:paraId="05EDBB32">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rPr>
        <w:t>术语定义：给出“</w:t>
      </w:r>
      <w:r>
        <w:rPr>
          <w:rFonts w:hint="eastAsia" w:ascii="仿宋" w:hAnsi="仿宋" w:eastAsia="仿宋"/>
          <w:b w:val="0"/>
          <w:bCs w:val="0"/>
          <w:sz w:val="30"/>
          <w:szCs w:val="30"/>
          <w:highlight w:val="none"/>
          <w:lang w:val="en-US" w:eastAsia="zh-CN"/>
        </w:rPr>
        <w:t>纯度</w:t>
      </w:r>
      <w:r>
        <w:rPr>
          <w:rFonts w:hint="eastAsia" w:ascii="仿宋" w:hAnsi="仿宋" w:eastAsia="仿宋"/>
          <w:b w:val="0"/>
          <w:bCs w:val="0"/>
          <w:sz w:val="30"/>
          <w:szCs w:val="30"/>
          <w:highlight w:val="none"/>
        </w:rPr>
        <w:t>”等关键术语。</w:t>
      </w:r>
    </w:p>
    <w:p w14:paraId="4AE5CF74">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lang w:val="en-US" w:eastAsia="zh-CN"/>
        </w:rPr>
        <w:t>工作要求</w:t>
      </w:r>
      <w:r>
        <w:rPr>
          <w:rFonts w:hint="eastAsia" w:ascii="仿宋" w:hAnsi="仿宋" w:eastAsia="仿宋"/>
          <w:b w:val="0"/>
          <w:bCs w:val="0"/>
          <w:sz w:val="30"/>
          <w:szCs w:val="30"/>
          <w:highlight w:val="none"/>
        </w:rPr>
        <w:t>：</w:t>
      </w:r>
      <w:r>
        <w:rPr>
          <w:rFonts w:hint="eastAsia" w:ascii="仿宋" w:hAnsi="仿宋" w:eastAsia="仿宋"/>
          <w:b w:val="0"/>
          <w:bCs w:val="0"/>
          <w:sz w:val="30"/>
          <w:szCs w:val="30"/>
          <w:highlight w:val="none"/>
          <w:lang w:val="en-US" w:eastAsia="zh-CN"/>
        </w:rPr>
        <w:t>人员要求、环境要求、试剂与材料要求、仪器维护要求</w:t>
      </w:r>
      <w:r>
        <w:rPr>
          <w:rFonts w:hint="eastAsia" w:ascii="仿宋" w:hAnsi="仿宋" w:eastAsia="仿宋"/>
          <w:b w:val="0"/>
          <w:bCs w:val="0"/>
          <w:sz w:val="30"/>
          <w:szCs w:val="30"/>
          <w:highlight w:val="none"/>
        </w:rPr>
        <w:t>。</w:t>
      </w:r>
    </w:p>
    <w:p w14:paraId="69116CCC">
      <w:pPr>
        <w:numPr>
          <w:ilvl w:val="0"/>
          <w:numId w:val="0"/>
        </w:numPr>
        <w:spacing w:line="560" w:lineRule="exact"/>
        <w:ind w:firstLine="600" w:firstLineChars="200"/>
        <w:rPr>
          <w:rFonts w:hint="eastAsia" w:ascii="仿宋" w:hAnsi="仿宋" w:eastAsia="仿宋"/>
          <w:b w:val="0"/>
          <w:bCs w:val="0"/>
          <w:sz w:val="30"/>
          <w:szCs w:val="30"/>
          <w:highlight w:val="none"/>
          <w:lang w:val="en-US" w:eastAsia="zh-CN"/>
        </w:rPr>
      </w:pPr>
      <w:r>
        <w:rPr>
          <w:rFonts w:hint="eastAsia" w:ascii="仿宋" w:hAnsi="仿宋" w:eastAsia="仿宋"/>
          <w:b w:val="0"/>
          <w:bCs w:val="0"/>
          <w:sz w:val="30"/>
          <w:szCs w:val="30"/>
          <w:highlight w:val="none"/>
          <w:lang w:val="en-US" w:eastAsia="zh-CN"/>
        </w:rPr>
        <w:t>系统结构与功能</w:t>
      </w:r>
      <w:r>
        <w:rPr>
          <w:rFonts w:hint="eastAsia" w:ascii="仿宋" w:hAnsi="仿宋" w:eastAsia="仿宋"/>
          <w:b w:val="0"/>
          <w:bCs w:val="0"/>
          <w:sz w:val="30"/>
          <w:szCs w:val="30"/>
          <w:highlight w:val="none"/>
          <w:lang w:eastAsia="zh-CN"/>
        </w:rPr>
        <w:t>：</w:t>
      </w:r>
      <w:r>
        <w:rPr>
          <w:rFonts w:hint="eastAsia" w:ascii="仿宋" w:hAnsi="仿宋" w:eastAsia="仿宋"/>
          <w:b w:val="0"/>
          <w:bCs w:val="0"/>
          <w:sz w:val="30"/>
          <w:szCs w:val="30"/>
          <w:highlight w:val="none"/>
          <w:lang w:val="en-US" w:eastAsia="zh-CN"/>
        </w:rPr>
        <w:t>系统组成、组件功能与技术参数。</w:t>
      </w:r>
    </w:p>
    <w:p w14:paraId="1002443C">
      <w:pPr>
        <w:numPr>
          <w:ilvl w:val="0"/>
          <w:numId w:val="0"/>
        </w:numPr>
        <w:spacing w:line="560" w:lineRule="exact"/>
        <w:ind w:firstLine="600" w:firstLineChars="200"/>
        <w:rPr>
          <w:rFonts w:hint="default" w:ascii="仿宋" w:hAnsi="仿宋" w:eastAsia="仿宋"/>
          <w:b w:val="0"/>
          <w:bCs w:val="0"/>
          <w:sz w:val="30"/>
          <w:szCs w:val="30"/>
          <w:highlight w:val="none"/>
          <w:lang w:val="en-US" w:eastAsia="zh-CN"/>
        </w:rPr>
      </w:pPr>
      <w:r>
        <w:rPr>
          <w:rFonts w:hint="eastAsia" w:ascii="仿宋" w:hAnsi="仿宋" w:eastAsia="仿宋"/>
          <w:b w:val="0"/>
          <w:bCs w:val="0"/>
          <w:sz w:val="30"/>
          <w:szCs w:val="30"/>
          <w:highlight w:val="none"/>
          <w:lang w:val="en-US" w:eastAsia="zh-CN"/>
        </w:rPr>
        <w:t>技术要求：</w:t>
      </w:r>
    </w:p>
    <w:p w14:paraId="6A0F03AD">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lang w:val="en-US" w:eastAsia="zh-CN"/>
        </w:rPr>
        <w:t>①系统适用性：理论塔板数、分离度、对称因子、峰面积重复性</w:t>
      </w:r>
      <w:r>
        <w:rPr>
          <w:rFonts w:hint="eastAsia" w:ascii="仿宋" w:hAnsi="仿宋" w:eastAsia="仿宋"/>
          <w:b w:val="0"/>
          <w:bCs w:val="0"/>
          <w:sz w:val="30"/>
          <w:szCs w:val="30"/>
          <w:highlight w:val="none"/>
        </w:rPr>
        <w:t>。</w:t>
      </w:r>
    </w:p>
    <w:p w14:paraId="7943131C">
      <w:pPr>
        <w:numPr>
          <w:ilvl w:val="0"/>
          <w:numId w:val="0"/>
        </w:numPr>
        <w:spacing w:line="560" w:lineRule="exact"/>
        <w:ind w:firstLine="600" w:firstLineChars="200"/>
        <w:rPr>
          <w:rFonts w:hint="default" w:ascii="仿宋" w:hAnsi="仿宋" w:eastAsia="仿宋"/>
          <w:b w:val="0"/>
          <w:bCs w:val="0"/>
          <w:sz w:val="30"/>
          <w:szCs w:val="30"/>
          <w:highlight w:val="none"/>
          <w:lang w:val="en-US" w:eastAsia="zh-CN"/>
        </w:rPr>
      </w:pPr>
      <w:r>
        <w:rPr>
          <w:rFonts w:hint="eastAsia" w:ascii="仿宋" w:hAnsi="仿宋" w:eastAsia="仿宋"/>
          <w:b w:val="0"/>
          <w:bCs w:val="0"/>
          <w:sz w:val="30"/>
          <w:szCs w:val="30"/>
          <w:highlight w:val="none"/>
          <w:lang w:val="en-US" w:eastAsia="zh-CN"/>
        </w:rPr>
        <w:t>②纯度指标：重组胶原蛋白原料纯度、化妆品用原料纯度、医疗器械用原料纯度。</w:t>
      </w:r>
    </w:p>
    <w:p w14:paraId="435AB689">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lang w:val="en-US" w:eastAsia="zh-CN"/>
        </w:rPr>
        <w:t>③检出能力</w:t>
      </w:r>
      <w:r>
        <w:rPr>
          <w:rFonts w:hint="eastAsia" w:ascii="仿宋" w:hAnsi="仿宋" w:eastAsia="仿宋"/>
          <w:b w:val="0"/>
          <w:bCs w:val="0"/>
          <w:sz w:val="30"/>
          <w:szCs w:val="30"/>
          <w:highlight w:val="none"/>
        </w:rPr>
        <w:t>：</w:t>
      </w:r>
      <w:r>
        <w:rPr>
          <w:rFonts w:hint="eastAsia" w:ascii="仿宋" w:hAnsi="仿宋" w:eastAsia="仿宋"/>
          <w:b w:val="0"/>
          <w:bCs w:val="0"/>
          <w:sz w:val="30"/>
          <w:szCs w:val="30"/>
          <w:highlight w:val="none"/>
          <w:lang w:val="en-US" w:eastAsia="zh-CN"/>
        </w:rPr>
        <w:t>检测限、定量限</w:t>
      </w:r>
      <w:r>
        <w:rPr>
          <w:rFonts w:hint="eastAsia" w:ascii="仿宋" w:hAnsi="仿宋" w:eastAsia="仿宋"/>
          <w:b w:val="0"/>
          <w:bCs w:val="0"/>
          <w:sz w:val="30"/>
          <w:szCs w:val="30"/>
          <w:highlight w:val="none"/>
        </w:rPr>
        <w:t>。</w:t>
      </w:r>
    </w:p>
    <w:p w14:paraId="395E6033">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lang w:val="en-US" w:eastAsia="zh-CN"/>
        </w:rPr>
        <w:t>④溶液稳定性</w:t>
      </w:r>
      <w:r>
        <w:rPr>
          <w:rFonts w:hint="eastAsia" w:ascii="仿宋" w:hAnsi="仿宋" w:eastAsia="仿宋"/>
          <w:b w:val="0"/>
          <w:bCs w:val="0"/>
          <w:sz w:val="30"/>
          <w:szCs w:val="30"/>
          <w:highlight w:val="none"/>
        </w:rPr>
        <w:t>：</w:t>
      </w:r>
      <w:r>
        <w:rPr>
          <w:rFonts w:hint="eastAsia" w:ascii="仿宋" w:hAnsi="仿宋" w:eastAsia="仿宋"/>
          <w:b w:val="0"/>
          <w:bCs w:val="0"/>
          <w:sz w:val="30"/>
          <w:szCs w:val="30"/>
          <w:highlight w:val="none"/>
          <w:lang w:val="en-US" w:eastAsia="zh-CN"/>
        </w:rPr>
        <w:t>标准品溶液</w:t>
      </w:r>
      <w:r>
        <w:rPr>
          <w:rFonts w:hint="eastAsia" w:ascii="仿宋" w:hAnsi="仿宋" w:eastAsia="仿宋"/>
          <w:b w:val="0"/>
          <w:bCs w:val="0"/>
          <w:sz w:val="30"/>
          <w:szCs w:val="30"/>
          <w:highlight w:val="none"/>
        </w:rPr>
        <w:t>。</w:t>
      </w:r>
    </w:p>
    <w:p w14:paraId="7B16D7B7">
      <w:pPr>
        <w:numPr>
          <w:ilvl w:val="0"/>
          <w:numId w:val="0"/>
        </w:numPr>
        <w:spacing w:line="560" w:lineRule="exact"/>
        <w:ind w:firstLine="600" w:firstLineChars="200"/>
        <w:rPr>
          <w:rFonts w:hint="eastAsia" w:ascii="仿宋" w:hAnsi="仿宋" w:eastAsia="仿宋"/>
          <w:b w:val="0"/>
          <w:bCs w:val="0"/>
          <w:sz w:val="30"/>
          <w:szCs w:val="30"/>
          <w:highlight w:val="none"/>
        </w:rPr>
      </w:pPr>
      <w:r>
        <w:rPr>
          <w:rFonts w:hint="eastAsia" w:ascii="仿宋" w:hAnsi="仿宋" w:eastAsia="仿宋"/>
          <w:b w:val="0"/>
          <w:bCs w:val="0"/>
          <w:sz w:val="30"/>
          <w:szCs w:val="30"/>
          <w:highlight w:val="none"/>
          <w:lang w:val="en-US" w:eastAsia="zh-CN"/>
        </w:rPr>
        <w:t>检测方法：检测方法及执行标准、计算公式</w:t>
      </w:r>
      <w:r>
        <w:rPr>
          <w:rFonts w:hint="eastAsia" w:ascii="仿宋" w:hAnsi="仿宋" w:eastAsia="仿宋"/>
          <w:b w:val="0"/>
          <w:bCs w:val="0"/>
          <w:sz w:val="30"/>
          <w:szCs w:val="30"/>
          <w:highlight w:val="none"/>
        </w:rPr>
        <w:t>。</w:t>
      </w:r>
    </w:p>
    <w:p w14:paraId="31674D3E">
      <w:pPr>
        <w:numPr>
          <w:ilvl w:val="0"/>
          <w:numId w:val="0"/>
        </w:numPr>
        <w:spacing w:line="560" w:lineRule="exact"/>
        <w:ind w:firstLine="600" w:firstLineChars="200"/>
        <w:rPr>
          <w:rFonts w:hint="default" w:ascii="仿宋" w:hAnsi="仿宋" w:eastAsia="仿宋"/>
          <w:b w:val="0"/>
          <w:bCs w:val="0"/>
          <w:sz w:val="30"/>
          <w:szCs w:val="30"/>
          <w:highlight w:val="none"/>
          <w:lang w:val="en-US" w:eastAsia="zh-CN"/>
        </w:rPr>
      </w:pPr>
      <w:r>
        <w:rPr>
          <w:rFonts w:hint="eastAsia" w:ascii="仿宋" w:hAnsi="仿宋" w:eastAsia="仿宋"/>
          <w:b w:val="0"/>
          <w:bCs w:val="0"/>
          <w:sz w:val="30"/>
          <w:szCs w:val="30"/>
          <w:highlight w:val="none"/>
          <w:lang w:val="en-US" w:eastAsia="zh-CN"/>
        </w:rPr>
        <w:t>检测报告：给出了检测报告的报告内容等。</w:t>
      </w:r>
    </w:p>
    <w:p w14:paraId="02D11312">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三</w:t>
      </w:r>
      <w:r>
        <w:rPr>
          <w:rFonts w:hint="eastAsia" w:ascii="仿宋" w:hAnsi="仿宋" w:eastAsia="仿宋"/>
          <w:sz w:val="30"/>
          <w:szCs w:val="30"/>
        </w:rPr>
        <w:t>）确定标准主要内容的论据</w:t>
      </w:r>
    </w:p>
    <w:p w14:paraId="13999DB7">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1.色谱条件的科学性依据</w:t>
      </w:r>
    </w:p>
    <w:p w14:paraId="13577243">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检测波长选择214nm：重组胶原蛋白由大量氨基酸残基构成，肽键在214nm处有强吸收，而280nm吸收依赖色氨酸/酪氨酸残基（重组胶原中含量低，约0.5%～1%），214nm可提高检测灵敏度（LOD降低50%），避免因氨基酸组成差异导致的纯度低估。</w:t>
      </w:r>
    </w:p>
    <w:p w14:paraId="0E595F47">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反相C18柱与梯度洗脱：重组胶原蛋白分子质量较大（20～100kDa），反相色谱中需通过梯度洗脱（乙腈比例从5%升至40%）实现极性差异分离。疏水性较强的杂质在高乙腈比例下先出峰，亲水性较强的胶原主峰后出峰，分离度可达1.8～2.2（预验证数据）。</w:t>
      </w:r>
    </w:p>
    <w:p w14:paraId="3AB08512">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柱温与流速设定：30℃为C18柱的常用工作温度，可避免温度过低导致的峰形拖尾；1.0mL/min流速兼顾分离效率与检测时间（50min完成分析），符合实验室常规操作需求。</w:t>
      </w:r>
    </w:p>
    <w:p w14:paraId="7D94C2E2">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2.系统适用性指标的合理性</w:t>
      </w:r>
    </w:p>
    <w:p w14:paraId="7FB604FE">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理论塔板数≥5000、分离度≥1.5，参考《中国药典》2020版通则0512对蛋白质类产品HPLC检测的要求，结合3家起草单位的预验证结果（理论塔板数均值6200，分离度均值1.9），确保系统能有效分离胶原与杂质；重复性RSD≤2.0%可避免仪器误差导致的结果波动，符合监管对检测方法精密度的要求。</w:t>
      </w:r>
    </w:p>
    <w:p w14:paraId="0E12237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3.样品前处理的必要性</w:t>
      </w:r>
    </w:p>
    <w:p w14:paraId="57336465">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0.22μm滤膜过滤：重组胶原蛋白溶液可能含微量不溶性颗粒，过滤可避免堵塞色谱柱，延长柱寿命。</w:t>
      </w:r>
    </w:p>
    <w:p w14:paraId="479FFEAE">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固相萃取净化（含防腐剂样品）：化妆品原料中常见的苯氧乙醇、山梨酸钾等防腐剂在214nm处有吸收，会干扰杂质峰判定，经C18小柱净化后，防腐剂去除率≥98%（验证数据），不影响胶原纯度计算。</w:t>
      </w:r>
    </w:p>
    <w:p w14:paraId="0C716C9F">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4.验证方法的全面性</w:t>
      </w:r>
    </w:p>
    <w:p w14:paraId="1809786E">
      <w:pPr>
        <w:spacing w:line="560" w:lineRule="exact"/>
        <w:ind w:firstLine="600" w:firstLineChars="200"/>
        <w:rPr>
          <w:rFonts w:hint="eastAsia" w:ascii="黑体" w:hAnsi="黑体" w:eastAsia="黑体"/>
          <w:sz w:val="30"/>
          <w:szCs w:val="30"/>
        </w:rPr>
      </w:pPr>
      <w:r>
        <w:rPr>
          <w:rFonts w:hint="eastAsia" w:ascii="仿宋" w:hAnsi="仿宋" w:eastAsia="仿宋"/>
          <w:sz w:val="30"/>
          <w:szCs w:val="30"/>
          <w:lang w:val="en-US" w:eastAsia="zh-CN"/>
        </w:rPr>
        <w:t>精密度、准确度、耐用性等验证项目参考ISO 23947，确保方法在不同实验室、不同操作条件下的可靠性；加标回收率95%～105%的范围符合痕量杂质检测的行业惯例，可准确评估方法的误差水平。</w:t>
      </w:r>
    </w:p>
    <w:p w14:paraId="02BBD81C">
      <w:pPr>
        <w:numPr>
          <w:ilvl w:val="0"/>
          <w:numId w:val="2"/>
        </w:numPr>
        <w:spacing w:line="560" w:lineRule="exact"/>
        <w:ind w:firstLine="600" w:firstLineChars="200"/>
        <w:rPr>
          <w:rFonts w:hint="eastAsia" w:ascii="黑体" w:hAnsi="黑体" w:eastAsia="黑体"/>
          <w:sz w:val="30"/>
          <w:szCs w:val="30"/>
        </w:rPr>
      </w:pPr>
      <w:r>
        <w:rPr>
          <w:rFonts w:hint="eastAsia" w:ascii="黑体" w:hAnsi="黑体" w:eastAsia="黑体"/>
          <w:sz w:val="30"/>
          <w:szCs w:val="30"/>
        </w:rPr>
        <w:t>主要试验</w:t>
      </w:r>
      <w:r>
        <w:rPr>
          <w:rFonts w:ascii="黑体" w:hAnsi="黑体" w:eastAsia="黑体"/>
          <w:sz w:val="30"/>
          <w:szCs w:val="30"/>
        </w:rPr>
        <w:t>[或验证]情况分析</w:t>
      </w:r>
      <w:r>
        <w:rPr>
          <w:rFonts w:hint="eastAsia" w:ascii="黑体" w:hAnsi="黑体" w:eastAsia="黑体"/>
          <w:sz w:val="30"/>
          <w:szCs w:val="30"/>
        </w:rPr>
        <w:t>、技术经济论证、预期经济效果</w:t>
      </w:r>
    </w:p>
    <w:p w14:paraId="34FC9DDA">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w:t>
      </w:r>
      <w:r>
        <w:rPr>
          <w:rFonts w:hint="eastAsia" w:ascii="仿宋" w:hAnsi="仿宋" w:eastAsia="仿宋"/>
          <w:sz w:val="30"/>
          <w:szCs w:val="30"/>
          <w:lang w:val="en-US" w:eastAsia="zh-CN"/>
        </w:rPr>
        <w:t>一</w:t>
      </w:r>
      <w:r>
        <w:rPr>
          <w:rFonts w:hint="eastAsia" w:ascii="仿宋" w:hAnsi="仿宋" w:eastAsia="仿宋"/>
          <w:sz w:val="30"/>
          <w:szCs w:val="30"/>
          <w:lang w:eastAsia="zh-CN"/>
        </w:rPr>
        <w:t>）技术经济论证</w:t>
      </w:r>
    </w:p>
    <w:p w14:paraId="2378CAA9">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以年产1000批次重组胶原蛋白（医疗级，每批次检测10个样品）的企业为例，对比标准方法与现行企业自检方法：</w:t>
      </w:r>
    </w:p>
    <w:p w14:paraId="7347A330">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检测周期：现行方法需6小时/样品，标准方法仅需1.5小时/样品，大幅缩短检测耗时，提升检测效率。</w:t>
      </w:r>
    </w:p>
    <w:p w14:paraId="36354CD8">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设备投入：现行方法需同时配备电泳仪与HPLC仪，初始投入80万元；标准方法仅需HPLC仪，投入50万元，减少设备重复投资。</w:t>
      </w:r>
    </w:p>
    <w:p w14:paraId="5A20FA29">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耗材与人工成本：标准方法在耗材使用与人工配置上更高效，年耗材成本从25万元降至12万元，人工成本从36万元降至18万元。</w:t>
      </w:r>
    </w:p>
    <w:p w14:paraId="2D6EF13A">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经测算，采用标准方法后，企业年综合成本显著降低，同时因检测周期缩短，产品上市时间提前，可新增可观销售额。</w:t>
      </w:r>
    </w:p>
    <w:p w14:paraId="54869EC2">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w:t>
      </w:r>
      <w:r>
        <w:rPr>
          <w:rFonts w:hint="eastAsia" w:ascii="仿宋" w:hAnsi="仿宋" w:eastAsia="仿宋"/>
          <w:sz w:val="30"/>
          <w:szCs w:val="30"/>
          <w:lang w:val="en-US" w:eastAsia="zh-CN"/>
        </w:rPr>
        <w:t>二</w:t>
      </w:r>
      <w:r>
        <w:rPr>
          <w:rFonts w:hint="eastAsia" w:ascii="仿宋" w:hAnsi="仿宋" w:eastAsia="仿宋"/>
          <w:sz w:val="30"/>
          <w:szCs w:val="30"/>
          <w:lang w:eastAsia="zh-CN"/>
        </w:rPr>
        <w:t>）预期经济效果</w:t>
      </w:r>
    </w:p>
    <w:p w14:paraId="6BEEF1A2">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1.</w:t>
      </w:r>
      <w:r>
        <w:rPr>
          <w:rFonts w:hint="eastAsia" w:ascii="仿宋" w:hAnsi="仿宋" w:eastAsia="仿宋"/>
          <w:sz w:val="30"/>
          <w:szCs w:val="30"/>
          <w:lang w:eastAsia="zh-CN"/>
        </w:rPr>
        <w:t>行业层面</w:t>
      </w:r>
    </w:p>
    <w:p w14:paraId="2C19A8ED">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统一检测方法降低产业技术壁垒，吸引更多中小企业进入市场，带动行业新增产值；减少国际贸易中的检测方法壁垒，提升产品出口量。</w:t>
      </w:r>
    </w:p>
    <w:p w14:paraId="65CFB9F1">
      <w:pPr>
        <w:numPr>
          <w:ilvl w:val="0"/>
          <w:numId w:val="0"/>
        </w:numPr>
        <w:spacing w:line="560" w:lineRule="exact"/>
        <w:ind w:firstLine="576" w:firstLineChars="200"/>
        <w:rPr>
          <w:rFonts w:hint="eastAsia" w:ascii="仿宋" w:hAnsi="仿宋" w:eastAsia="仿宋"/>
          <w:spacing w:val="-6"/>
          <w:sz w:val="30"/>
          <w:szCs w:val="30"/>
          <w:lang w:eastAsia="zh-CN"/>
        </w:rPr>
      </w:pPr>
      <w:r>
        <w:rPr>
          <w:rFonts w:hint="eastAsia" w:ascii="仿宋" w:hAnsi="仿宋" w:eastAsia="仿宋"/>
          <w:spacing w:val="-6"/>
          <w:sz w:val="30"/>
          <w:szCs w:val="30"/>
          <w:lang w:val="en-US" w:eastAsia="zh-CN"/>
        </w:rPr>
        <w:t>2.</w:t>
      </w:r>
      <w:r>
        <w:rPr>
          <w:rFonts w:hint="eastAsia" w:ascii="仿宋" w:hAnsi="仿宋" w:eastAsia="仿宋"/>
          <w:spacing w:val="-6"/>
          <w:sz w:val="30"/>
          <w:szCs w:val="30"/>
          <w:lang w:eastAsia="zh-CN"/>
        </w:rPr>
        <w:t>企业层面</w:t>
      </w:r>
    </w:p>
    <w:p w14:paraId="457E831E">
      <w:pPr>
        <w:numPr>
          <w:ilvl w:val="0"/>
          <w:numId w:val="0"/>
        </w:numPr>
        <w:spacing w:line="560" w:lineRule="exact"/>
        <w:ind w:firstLine="576" w:firstLineChars="200"/>
        <w:rPr>
          <w:rFonts w:hint="eastAsia" w:ascii="仿宋" w:hAnsi="仿宋" w:eastAsia="仿宋"/>
          <w:spacing w:val="-6"/>
          <w:sz w:val="30"/>
          <w:szCs w:val="30"/>
          <w:lang w:eastAsia="zh-CN"/>
        </w:rPr>
      </w:pPr>
      <w:r>
        <w:rPr>
          <w:rFonts w:hint="eastAsia" w:ascii="仿宋" w:hAnsi="仿宋" w:eastAsia="仿宋"/>
          <w:spacing w:val="-6"/>
          <w:sz w:val="30"/>
          <w:szCs w:val="30"/>
          <w:lang w:eastAsia="zh-CN"/>
        </w:rPr>
        <w:t>缩短产品备案/注册周期，降低监管发补率，每品种节约注册费用；提高CDMO企业检测对接效率与订单转化率。</w:t>
      </w:r>
    </w:p>
    <w:p w14:paraId="4D8C2503">
      <w:pPr>
        <w:numPr>
          <w:ilvl w:val="0"/>
          <w:numId w:val="0"/>
        </w:num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3.</w:t>
      </w:r>
      <w:r>
        <w:rPr>
          <w:rFonts w:hint="eastAsia" w:ascii="仿宋" w:hAnsi="仿宋" w:eastAsia="仿宋"/>
          <w:sz w:val="30"/>
          <w:szCs w:val="30"/>
          <w:lang w:eastAsia="zh-CN"/>
        </w:rPr>
        <w:t>监管层面</w:t>
      </w:r>
    </w:p>
    <w:p w14:paraId="33763B73">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eastAsia="zh-CN"/>
        </w:rPr>
        <w:t>为监管核查提供明确依据，缩短现场核查时间，节约监管成本；降低产品质量风险，减少消费者投诉</w:t>
      </w:r>
      <w:r>
        <w:rPr>
          <w:rFonts w:hint="eastAsia" w:ascii="仿宋" w:hAnsi="仿宋" w:eastAsia="仿宋"/>
          <w:sz w:val="30"/>
          <w:szCs w:val="30"/>
        </w:rPr>
        <w:t>。</w:t>
      </w:r>
    </w:p>
    <w:p w14:paraId="6529F08E">
      <w:pPr>
        <w:spacing w:line="560" w:lineRule="exact"/>
        <w:ind w:firstLine="600" w:firstLineChars="200"/>
        <w:rPr>
          <w:rFonts w:ascii="黑体" w:hAnsi="黑体" w:eastAsia="黑体"/>
          <w:sz w:val="30"/>
          <w:szCs w:val="30"/>
        </w:rPr>
      </w:pPr>
      <w:r>
        <w:rPr>
          <w:rFonts w:hint="eastAsia" w:ascii="黑体" w:hAnsi="黑体" w:eastAsia="黑体"/>
          <w:sz w:val="30"/>
          <w:szCs w:val="30"/>
        </w:rPr>
        <w:t>四、采用国际标准和国内外先进标准的程度</w:t>
      </w:r>
    </w:p>
    <w:p w14:paraId="64CC3227">
      <w:pPr>
        <w:spacing w:line="560" w:lineRule="exact"/>
        <w:ind w:firstLine="600" w:firstLineChars="200"/>
        <w:rPr>
          <w:rFonts w:ascii="仿宋" w:hAnsi="仿宋" w:eastAsia="仿宋"/>
          <w:sz w:val="30"/>
          <w:szCs w:val="30"/>
        </w:rPr>
      </w:pPr>
      <w:r>
        <w:rPr>
          <w:rFonts w:hint="eastAsia" w:ascii="仿宋" w:hAnsi="仿宋" w:eastAsia="仿宋"/>
          <w:sz w:val="30"/>
          <w:szCs w:val="30"/>
        </w:rPr>
        <w:t>本文</w:t>
      </w:r>
      <w:r>
        <w:rPr>
          <w:rFonts w:hint="eastAsia" w:ascii="仿宋" w:hAnsi="仿宋" w:eastAsia="仿宋"/>
          <w:b w:val="0"/>
          <w:bCs w:val="0"/>
          <w:color w:val="auto"/>
          <w:sz w:val="30"/>
          <w:szCs w:val="30"/>
        </w:rPr>
        <w:t>件不涉及</w:t>
      </w:r>
      <w:r>
        <w:rPr>
          <w:rFonts w:hint="eastAsia" w:ascii="仿宋" w:hAnsi="仿宋" w:eastAsia="仿宋"/>
          <w:color w:val="auto"/>
          <w:sz w:val="30"/>
          <w:szCs w:val="30"/>
        </w:rPr>
        <w:t>国际国外标准的采标情</w:t>
      </w:r>
      <w:r>
        <w:rPr>
          <w:rFonts w:hint="eastAsia" w:ascii="仿宋" w:hAnsi="仿宋" w:eastAsia="仿宋"/>
          <w:sz w:val="30"/>
          <w:szCs w:val="30"/>
        </w:rPr>
        <w:t>况。</w:t>
      </w:r>
    </w:p>
    <w:p w14:paraId="725253CC">
      <w:pPr>
        <w:spacing w:line="560" w:lineRule="exact"/>
        <w:ind w:firstLine="600" w:firstLineChars="200"/>
        <w:rPr>
          <w:rFonts w:ascii="黑体" w:hAnsi="黑体" w:eastAsia="黑体"/>
          <w:sz w:val="30"/>
          <w:szCs w:val="30"/>
        </w:rPr>
      </w:pPr>
      <w:r>
        <w:rPr>
          <w:rFonts w:hint="eastAsia" w:ascii="黑体" w:hAnsi="黑体" w:eastAsia="黑体"/>
          <w:sz w:val="30"/>
          <w:szCs w:val="30"/>
        </w:rPr>
        <w:t>五、重大分歧意见处理经过及依据</w:t>
      </w:r>
    </w:p>
    <w:p w14:paraId="5B0CCB6C">
      <w:pPr>
        <w:spacing w:line="560" w:lineRule="exact"/>
        <w:ind w:firstLine="600" w:firstLineChars="200"/>
        <w:rPr>
          <w:rFonts w:ascii="仿宋" w:hAnsi="仿宋" w:eastAsia="仿宋"/>
          <w:sz w:val="30"/>
          <w:szCs w:val="30"/>
        </w:rPr>
      </w:pPr>
      <w:r>
        <w:rPr>
          <w:rFonts w:hint="eastAsia" w:ascii="仿宋" w:hAnsi="仿宋" w:eastAsia="仿宋"/>
          <w:sz w:val="30"/>
          <w:szCs w:val="30"/>
        </w:rPr>
        <w:t>本文件在制定过程中未出现重大分歧意见。</w:t>
      </w:r>
    </w:p>
    <w:p w14:paraId="4E3D657F">
      <w:pPr>
        <w:spacing w:line="560" w:lineRule="exact"/>
        <w:ind w:firstLine="600" w:firstLineChars="200"/>
        <w:rPr>
          <w:rFonts w:ascii="黑体" w:hAnsi="黑体" w:eastAsia="黑体"/>
          <w:sz w:val="30"/>
          <w:szCs w:val="30"/>
        </w:rPr>
      </w:pPr>
      <w:r>
        <w:rPr>
          <w:rFonts w:hint="eastAsia" w:ascii="黑体" w:hAnsi="黑体" w:eastAsia="黑体"/>
          <w:sz w:val="30"/>
          <w:szCs w:val="30"/>
        </w:rPr>
        <w:t>六、与现行相关法律、法规及相关标准的协调性</w:t>
      </w:r>
    </w:p>
    <w:p w14:paraId="6FC74ECA">
      <w:pPr>
        <w:pStyle w:val="26"/>
        <w:spacing w:line="360" w:lineRule="auto"/>
        <w:ind w:firstLine="600"/>
        <w:rPr>
          <w:rFonts w:hint="eastAsia" w:ascii="仿宋" w:hAnsi="仿宋" w:eastAsia="仿宋" w:cs="仿宋"/>
          <w:b w:val="0"/>
          <w:bCs w:val="0"/>
          <w:sz w:val="30"/>
          <w:szCs w:val="30"/>
        </w:rPr>
      </w:pPr>
      <w:r>
        <w:rPr>
          <w:rFonts w:hint="eastAsia" w:ascii="仿宋" w:hAnsi="仿宋" w:eastAsia="仿宋" w:cs="仿宋"/>
          <w:b w:val="0"/>
          <w:bCs w:val="0"/>
          <w:sz w:val="30"/>
          <w:szCs w:val="30"/>
        </w:rPr>
        <w:t>与现行相关法律、法规及相关标准</w:t>
      </w:r>
      <w:r>
        <w:rPr>
          <w:rFonts w:hint="eastAsia" w:ascii="仿宋" w:hAnsi="仿宋" w:eastAsia="仿宋" w:cs="仿宋"/>
          <w:b w:val="0"/>
          <w:bCs w:val="0"/>
          <w:sz w:val="30"/>
          <w:szCs w:val="30"/>
          <w:lang w:val="en-US" w:eastAsia="zh-CN"/>
        </w:rPr>
        <w:t>相协调。</w:t>
      </w:r>
    </w:p>
    <w:p w14:paraId="52A2CB83">
      <w:pPr>
        <w:pStyle w:val="26"/>
        <w:spacing w:line="360" w:lineRule="auto"/>
        <w:ind w:firstLine="600"/>
        <w:rPr>
          <w:rFonts w:ascii="黑体" w:hAnsi="黑体" w:eastAsia="黑体"/>
          <w:sz w:val="30"/>
          <w:szCs w:val="30"/>
        </w:rPr>
      </w:pPr>
      <w:r>
        <w:rPr>
          <w:rFonts w:hint="eastAsia" w:ascii="黑体" w:hAnsi="黑体" w:eastAsia="黑体"/>
          <w:sz w:val="30"/>
          <w:szCs w:val="30"/>
        </w:rPr>
        <w:t>七、知识产权情况说明</w:t>
      </w:r>
    </w:p>
    <w:p w14:paraId="54BDF626">
      <w:pPr>
        <w:spacing w:line="560" w:lineRule="exact"/>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本文件不涉及必要专利等知识产权情况</w:t>
      </w:r>
      <w:r>
        <w:rPr>
          <w:rFonts w:hint="eastAsia" w:ascii="仿宋" w:hAnsi="仿宋" w:eastAsia="仿宋" w:cs="仿宋"/>
          <w:b w:val="0"/>
          <w:bCs w:val="0"/>
          <w:sz w:val="30"/>
          <w:szCs w:val="30"/>
          <w:lang w:eastAsia="zh-CN"/>
        </w:rPr>
        <w:t>。</w:t>
      </w:r>
    </w:p>
    <w:p w14:paraId="0BE14CA5">
      <w:pPr>
        <w:spacing w:line="560" w:lineRule="exact"/>
        <w:ind w:firstLine="600" w:firstLineChars="200"/>
        <w:rPr>
          <w:rFonts w:ascii="黑体" w:hAnsi="黑体" w:eastAsia="黑体"/>
          <w:sz w:val="30"/>
          <w:szCs w:val="30"/>
        </w:rPr>
      </w:pPr>
      <w:r>
        <w:rPr>
          <w:rFonts w:hint="eastAsia" w:ascii="黑体" w:hAnsi="黑体" w:eastAsia="黑体"/>
          <w:sz w:val="30"/>
          <w:szCs w:val="30"/>
        </w:rPr>
        <w:t>八、其他应予说明的事项</w:t>
      </w:r>
    </w:p>
    <w:p w14:paraId="6F691433">
      <w:pPr>
        <w:spacing w:line="560" w:lineRule="exact"/>
        <w:ind w:firstLine="600" w:firstLineChars="200"/>
        <w:rPr>
          <w:rFonts w:ascii="仿宋" w:hAnsi="仿宋" w:eastAsia="仿宋"/>
          <w:sz w:val="30"/>
          <w:szCs w:val="30"/>
        </w:rPr>
      </w:pPr>
      <w:r>
        <w:rPr>
          <w:rFonts w:hint="eastAsia" w:ascii="仿宋" w:hAnsi="仿宋" w:eastAsia="仿宋"/>
          <w:sz w:val="30"/>
          <w:szCs w:val="30"/>
        </w:rPr>
        <w:t>无。</w:t>
      </w:r>
    </w:p>
    <w:p w14:paraId="590A052F">
      <w:pPr>
        <w:spacing w:line="560" w:lineRule="exact"/>
        <w:ind w:firstLine="600" w:firstLineChars="200"/>
        <w:jc w:val="right"/>
        <w:rPr>
          <w:rFonts w:hint="eastAsia" w:ascii="仿宋" w:hAnsi="仿宋" w:eastAsia="仿宋"/>
          <w:sz w:val="30"/>
          <w:szCs w:val="30"/>
          <w:lang w:val="en-US" w:eastAsia="zh-CN"/>
        </w:rPr>
      </w:pPr>
      <w:r>
        <w:rPr>
          <w:rFonts w:hint="eastAsia" w:ascii="仿宋" w:hAnsi="仿宋" w:eastAsia="仿宋"/>
          <w:sz w:val="30"/>
          <w:szCs w:val="30"/>
          <w:lang w:val="en-US" w:eastAsia="zh-CN"/>
        </w:rPr>
        <w:t>《重组胶原蛋白纯度检测方法（HPLC法）》</w:t>
      </w:r>
    </w:p>
    <w:p w14:paraId="728E1B3F">
      <w:pPr>
        <w:spacing w:line="560" w:lineRule="exact"/>
        <w:ind w:left="3570" w:leftChars="1700"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团体标准工作组</w:t>
      </w:r>
    </w:p>
    <w:p w14:paraId="7F614426">
      <w:pPr>
        <w:spacing w:line="560" w:lineRule="exact"/>
        <w:ind w:leftChars="1800"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2025年11月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398276"/>
    </w:sdtPr>
    <w:sdtContent>
      <w:p w14:paraId="72C22BA0">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CFC899"/>
    <w:multiLevelType w:val="singleLevel"/>
    <w:tmpl w:val="24CFC899"/>
    <w:lvl w:ilvl="0" w:tentative="0">
      <w:start w:val="3"/>
      <w:numFmt w:val="chineseCounting"/>
      <w:suff w:val="nothing"/>
      <w:lvlText w:val="%1、"/>
      <w:lvlJc w:val="left"/>
      <w:rPr>
        <w:rFonts w:hint="eastAsia"/>
      </w:rPr>
    </w:lvl>
  </w:abstractNum>
  <w:abstractNum w:abstractNumId="1">
    <w:nsid w:val="55421B1B"/>
    <w:multiLevelType w:val="singleLevel"/>
    <w:tmpl w:val="55421B1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removePersonalInformation/>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xMjU0YWRiNjhmNzkyNDkwNmUzZWY0ZjhkYmVlMzgifQ=="/>
  </w:docVars>
  <w:rsids>
    <w:rsidRoot w:val="004974A4"/>
    <w:rsid w:val="000014F2"/>
    <w:rsid w:val="000064BB"/>
    <w:rsid w:val="00007B60"/>
    <w:rsid w:val="000229CA"/>
    <w:rsid w:val="0002521D"/>
    <w:rsid w:val="00027D9A"/>
    <w:rsid w:val="00035CAD"/>
    <w:rsid w:val="00041969"/>
    <w:rsid w:val="00041FCB"/>
    <w:rsid w:val="0004210E"/>
    <w:rsid w:val="00046841"/>
    <w:rsid w:val="00047F4F"/>
    <w:rsid w:val="00057D2B"/>
    <w:rsid w:val="0006072E"/>
    <w:rsid w:val="00064713"/>
    <w:rsid w:val="000736B8"/>
    <w:rsid w:val="00077EA3"/>
    <w:rsid w:val="00083872"/>
    <w:rsid w:val="00086056"/>
    <w:rsid w:val="00092577"/>
    <w:rsid w:val="00092944"/>
    <w:rsid w:val="00093E0F"/>
    <w:rsid w:val="000A1000"/>
    <w:rsid w:val="000A4673"/>
    <w:rsid w:val="000A6FA0"/>
    <w:rsid w:val="000B4579"/>
    <w:rsid w:val="000B5E71"/>
    <w:rsid w:val="000B7F3F"/>
    <w:rsid w:val="000D2DE2"/>
    <w:rsid w:val="000F03F8"/>
    <w:rsid w:val="00122EEC"/>
    <w:rsid w:val="001239C9"/>
    <w:rsid w:val="00131000"/>
    <w:rsid w:val="00133AAF"/>
    <w:rsid w:val="00140D04"/>
    <w:rsid w:val="001419FF"/>
    <w:rsid w:val="001445AE"/>
    <w:rsid w:val="00152FE4"/>
    <w:rsid w:val="001543CF"/>
    <w:rsid w:val="001629D0"/>
    <w:rsid w:val="00164E8B"/>
    <w:rsid w:val="00171E49"/>
    <w:rsid w:val="00181F70"/>
    <w:rsid w:val="00185452"/>
    <w:rsid w:val="00190096"/>
    <w:rsid w:val="0019185A"/>
    <w:rsid w:val="00194E1E"/>
    <w:rsid w:val="001950D6"/>
    <w:rsid w:val="001A451D"/>
    <w:rsid w:val="001A73BB"/>
    <w:rsid w:val="001A73E1"/>
    <w:rsid w:val="001A7970"/>
    <w:rsid w:val="001B1C20"/>
    <w:rsid w:val="001B6D4E"/>
    <w:rsid w:val="001C6B0C"/>
    <w:rsid w:val="001D326B"/>
    <w:rsid w:val="001D47B4"/>
    <w:rsid w:val="001E0922"/>
    <w:rsid w:val="001E6A17"/>
    <w:rsid w:val="001F174B"/>
    <w:rsid w:val="001F4878"/>
    <w:rsid w:val="001F5724"/>
    <w:rsid w:val="00201616"/>
    <w:rsid w:val="00206499"/>
    <w:rsid w:val="002300C4"/>
    <w:rsid w:val="0023101C"/>
    <w:rsid w:val="002324E8"/>
    <w:rsid w:val="0023310B"/>
    <w:rsid w:val="00236031"/>
    <w:rsid w:val="00241903"/>
    <w:rsid w:val="00250838"/>
    <w:rsid w:val="002520D8"/>
    <w:rsid w:val="00255729"/>
    <w:rsid w:val="00255B20"/>
    <w:rsid w:val="00255B9D"/>
    <w:rsid w:val="00263356"/>
    <w:rsid w:val="00264992"/>
    <w:rsid w:val="00271486"/>
    <w:rsid w:val="00274E58"/>
    <w:rsid w:val="0027682E"/>
    <w:rsid w:val="00280C6C"/>
    <w:rsid w:val="00286A03"/>
    <w:rsid w:val="00290982"/>
    <w:rsid w:val="00292535"/>
    <w:rsid w:val="00294801"/>
    <w:rsid w:val="00297D68"/>
    <w:rsid w:val="002A1A09"/>
    <w:rsid w:val="002A221E"/>
    <w:rsid w:val="002B396A"/>
    <w:rsid w:val="002C68B0"/>
    <w:rsid w:val="002C72D9"/>
    <w:rsid w:val="002D2B99"/>
    <w:rsid w:val="002D60F7"/>
    <w:rsid w:val="002D75B3"/>
    <w:rsid w:val="002E3F4D"/>
    <w:rsid w:val="002E5127"/>
    <w:rsid w:val="002E5F73"/>
    <w:rsid w:val="002E632D"/>
    <w:rsid w:val="002F07B2"/>
    <w:rsid w:val="002F109B"/>
    <w:rsid w:val="0030468D"/>
    <w:rsid w:val="003046B0"/>
    <w:rsid w:val="003058B8"/>
    <w:rsid w:val="003074DF"/>
    <w:rsid w:val="00307688"/>
    <w:rsid w:val="0030785E"/>
    <w:rsid w:val="003115C5"/>
    <w:rsid w:val="0031690B"/>
    <w:rsid w:val="003208B3"/>
    <w:rsid w:val="00324FA6"/>
    <w:rsid w:val="003251F7"/>
    <w:rsid w:val="0032525C"/>
    <w:rsid w:val="003303AC"/>
    <w:rsid w:val="003342BB"/>
    <w:rsid w:val="0033430C"/>
    <w:rsid w:val="003349E4"/>
    <w:rsid w:val="0034018C"/>
    <w:rsid w:val="00352683"/>
    <w:rsid w:val="00353799"/>
    <w:rsid w:val="00366F5C"/>
    <w:rsid w:val="00367225"/>
    <w:rsid w:val="00367783"/>
    <w:rsid w:val="003717AE"/>
    <w:rsid w:val="00381894"/>
    <w:rsid w:val="00383350"/>
    <w:rsid w:val="00383C10"/>
    <w:rsid w:val="00384005"/>
    <w:rsid w:val="0038567E"/>
    <w:rsid w:val="00392562"/>
    <w:rsid w:val="00392630"/>
    <w:rsid w:val="00394979"/>
    <w:rsid w:val="0039569E"/>
    <w:rsid w:val="00396049"/>
    <w:rsid w:val="003A24CA"/>
    <w:rsid w:val="003A4F1A"/>
    <w:rsid w:val="003A59A1"/>
    <w:rsid w:val="003A5AF0"/>
    <w:rsid w:val="003A67CC"/>
    <w:rsid w:val="003A7011"/>
    <w:rsid w:val="003C5CAB"/>
    <w:rsid w:val="003D1940"/>
    <w:rsid w:val="003D1E8F"/>
    <w:rsid w:val="003D2580"/>
    <w:rsid w:val="003D5E1C"/>
    <w:rsid w:val="003E621D"/>
    <w:rsid w:val="003E719A"/>
    <w:rsid w:val="003F2BCA"/>
    <w:rsid w:val="003F4421"/>
    <w:rsid w:val="0040680E"/>
    <w:rsid w:val="00406F8B"/>
    <w:rsid w:val="004143AB"/>
    <w:rsid w:val="00415D7F"/>
    <w:rsid w:val="00425D84"/>
    <w:rsid w:val="00426B3C"/>
    <w:rsid w:val="00427505"/>
    <w:rsid w:val="004275EB"/>
    <w:rsid w:val="00430405"/>
    <w:rsid w:val="00435445"/>
    <w:rsid w:val="004379BF"/>
    <w:rsid w:val="00441E03"/>
    <w:rsid w:val="0044291D"/>
    <w:rsid w:val="00443C10"/>
    <w:rsid w:val="004513F5"/>
    <w:rsid w:val="00454414"/>
    <w:rsid w:val="00457119"/>
    <w:rsid w:val="00462846"/>
    <w:rsid w:val="00465A66"/>
    <w:rsid w:val="00471067"/>
    <w:rsid w:val="0047565A"/>
    <w:rsid w:val="00475BC4"/>
    <w:rsid w:val="00496AB8"/>
    <w:rsid w:val="004974A4"/>
    <w:rsid w:val="004A4A72"/>
    <w:rsid w:val="004A4B4E"/>
    <w:rsid w:val="004C0D54"/>
    <w:rsid w:val="004C74A0"/>
    <w:rsid w:val="004E1BE5"/>
    <w:rsid w:val="004E2BAA"/>
    <w:rsid w:val="004E3BA5"/>
    <w:rsid w:val="004E4D96"/>
    <w:rsid w:val="004E7C92"/>
    <w:rsid w:val="004F0602"/>
    <w:rsid w:val="004F7437"/>
    <w:rsid w:val="005025D3"/>
    <w:rsid w:val="0050291C"/>
    <w:rsid w:val="00507847"/>
    <w:rsid w:val="00514FF9"/>
    <w:rsid w:val="00523046"/>
    <w:rsid w:val="00523193"/>
    <w:rsid w:val="00523A00"/>
    <w:rsid w:val="005265CA"/>
    <w:rsid w:val="00533EEF"/>
    <w:rsid w:val="00540039"/>
    <w:rsid w:val="00541304"/>
    <w:rsid w:val="00543485"/>
    <w:rsid w:val="00557A66"/>
    <w:rsid w:val="00557AB5"/>
    <w:rsid w:val="005614D0"/>
    <w:rsid w:val="00563CCB"/>
    <w:rsid w:val="00565BF2"/>
    <w:rsid w:val="00566A51"/>
    <w:rsid w:val="00571A55"/>
    <w:rsid w:val="00580AAA"/>
    <w:rsid w:val="00583E3D"/>
    <w:rsid w:val="005849C7"/>
    <w:rsid w:val="005858EF"/>
    <w:rsid w:val="005876CA"/>
    <w:rsid w:val="0059002F"/>
    <w:rsid w:val="0059147C"/>
    <w:rsid w:val="0059371A"/>
    <w:rsid w:val="0059717D"/>
    <w:rsid w:val="00597B8C"/>
    <w:rsid w:val="005A4E18"/>
    <w:rsid w:val="005A64AB"/>
    <w:rsid w:val="005B409D"/>
    <w:rsid w:val="005B492A"/>
    <w:rsid w:val="005C0087"/>
    <w:rsid w:val="005C4CA5"/>
    <w:rsid w:val="005D090D"/>
    <w:rsid w:val="005D12DB"/>
    <w:rsid w:val="005D5945"/>
    <w:rsid w:val="005E16F8"/>
    <w:rsid w:val="005E1C28"/>
    <w:rsid w:val="005E2D66"/>
    <w:rsid w:val="005F2068"/>
    <w:rsid w:val="005F6883"/>
    <w:rsid w:val="005F6C0F"/>
    <w:rsid w:val="005F7D9A"/>
    <w:rsid w:val="00600490"/>
    <w:rsid w:val="00603017"/>
    <w:rsid w:val="006064DB"/>
    <w:rsid w:val="00606771"/>
    <w:rsid w:val="006072CF"/>
    <w:rsid w:val="00612918"/>
    <w:rsid w:val="00612D6D"/>
    <w:rsid w:val="00613966"/>
    <w:rsid w:val="00616CF9"/>
    <w:rsid w:val="00617B16"/>
    <w:rsid w:val="006215B2"/>
    <w:rsid w:val="00622E47"/>
    <w:rsid w:val="00622F3A"/>
    <w:rsid w:val="00625157"/>
    <w:rsid w:val="00632067"/>
    <w:rsid w:val="00633680"/>
    <w:rsid w:val="00634268"/>
    <w:rsid w:val="00637632"/>
    <w:rsid w:val="0064166D"/>
    <w:rsid w:val="00646255"/>
    <w:rsid w:val="00652461"/>
    <w:rsid w:val="00652BD1"/>
    <w:rsid w:val="006805F1"/>
    <w:rsid w:val="00686353"/>
    <w:rsid w:val="00690E49"/>
    <w:rsid w:val="006B4D3F"/>
    <w:rsid w:val="006B6754"/>
    <w:rsid w:val="006B7164"/>
    <w:rsid w:val="006C08F6"/>
    <w:rsid w:val="006C0C20"/>
    <w:rsid w:val="006C3C40"/>
    <w:rsid w:val="006D0E2F"/>
    <w:rsid w:val="006D5852"/>
    <w:rsid w:val="006D6390"/>
    <w:rsid w:val="006F3029"/>
    <w:rsid w:val="006F323E"/>
    <w:rsid w:val="006F3AA5"/>
    <w:rsid w:val="006F3E09"/>
    <w:rsid w:val="00700DD2"/>
    <w:rsid w:val="0071097D"/>
    <w:rsid w:val="00711398"/>
    <w:rsid w:val="0071190A"/>
    <w:rsid w:val="0071379B"/>
    <w:rsid w:val="00715E2D"/>
    <w:rsid w:val="007219A3"/>
    <w:rsid w:val="00725E09"/>
    <w:rsid w:val="00726576"/>
    <w:rsid w:val="00731CF2"/>
    <w:rsid w:val="00733913"/>
    <w:rsid w:val="007359E1"/>
    <w:rsid w:val="00742483"/>
    <w:rsid w:val="00747A4D"/>
    <w:rsid w:val="00753F4A"/>
    <w:rsid w:val="007540EA"/>
    <w:rsid w:val="007543F9"/>
    <w:rsid w:val="0075724F"/>
    <w:rsid w:val="00763E16"/>
    <w:rsid w:val="00767E3E"/>
    <w:rsid w:val="00770195"/>
    <w:rsid w:val="0077127C"/>
    <w:rsid w:val="007747B0"/>
    <w:rsid w:val="007751A6"/>
    <w:rsid w:val="00775E42"/>
    <w:rsid w:val="0077743A"/>
    <w:rsid w:val="0077795B"/>
    <w:rsid w:val="00780AF1"/>
    <w:rsid w:val="00781A1C"/>
    <w:rsid w:val="00782CEA"/>
    <w:rsid w:val="00783426"/>
    <w:rsid w:val="00783AD0"/>
    <w:rsid w:val="0078404F"/>
    <w:rsid w:val="00791021"/>
    <w:rsid w:val="00791F3A"/>
    <w:rsid w:val="007924DA"/>
    <w:rsid w:val="007A3B99"/>
    <w:rsid w:val="007B139C"/>
    <w:rsid w:val="007B2DF3"/>
    <w:rsid w:val="007B6CC7"/>
    <w:rsid w:val="007C0814"/>
    <w:rsid w:val="007C1B6F"/>
    <w:rsid w:val="007C636D"/>
    <w:rsid w:val="007D1FA5"/>
    <w:rsid w:val="007D7304"/>
    <w:rsid w:val="007D7730"/>
    <w:rsid w:val="007E7026"/>
    <w:rsid w:val="00800828"/>
    <w:rsid w:val="00802F48"/>
    <w:rsid w:val="008145FD"/>
    <w:rsid w:val="00815BD7"/>
    <w:rsid w:val="008239A5"/>
    <w:rsid w:val="008253A4"/>
    <w:rsid w:val="0082563B"/>
    <w:rsid w:val="00826C0E"/>
    <w:rsid w:val="00831DAE"/>
    <w:rsid w:val="0083284C"/>
    <w:rsid w:val="008341F8"/>
    <w:rsid w:val="00834F56"/>
    <w:rsid w:val="00837246"/>
    <w:rsid w:val="00837566"/>
    <w:rsid w:val="00856326"/>
    <w:rsid w:val="00860D72"/>
    <w:rsid w:val="00860DF2"/>
    <w:rsid w:val="00861005"/>
    <w:rsid w:val="0086178C"/>
    <w:rsid w:val="008617B8"/>
    <w:rsid w:val="00871A83"/>
    <w:rsid w:val="0087645A"/>
    <w:rsid w:val="0088153A"/>
    <w:rsid w:val="00886717"/>
    <w:rsid w:val="00887C6E"/>
    <w:rsid w:val="008913E0"/>
    <w:rsid w:val="00891B0D"/>
    <w:rsid w:val="00896B75"/>
    <w:rsid w:val="008A2491"/>
    <w:rsid w:val="008B1CF7"/>
    <w:rsid w:val="008B353B"/>
    <w:rsid w:val="008B72B7"/>
    <w:rsid w:val="008C57E0"/>
    <w:rsid w:val="008C6037"/>
    <w:rsid w:val="008D11F8"/>
    <w:rsid w:val="008D1385"/>
    <w:rsid w:val="008D37F1"/>
    <w:rsid w:val="008D4217"/>
    <w:rsid w:val="008D5FFC"/>
    <w:rsid w:val="008D64EB"/>
    <w:rsid w:val="008D7818"/>
    <w:rsid w:val="008E05EB"/>
    <w:rsid w:val="008E1C10"/>
    <w:rsid w:val="008F2D41"/>
    <w:rsid w:val="008F4F90"/>
    <w:rsid w:val="008F52DE"/>
    <w:rsid w:val="008F645D"/>
    <w:rsid w:val="00902B55"/>
    <w:rsid w:val="00910C02"/>
    <w:rsid w:val="00911F93"/>
    <w:rsid w:val="009207AD"/>
    <w:rsid w:val="00924B33"/>
    <w:rsid w:val="00926A24"/>
    <w:rsid w:val="00934B41"/>
    <w:rsid w:val="00937668"/>
    <w:rsid w:val="00943B8C"/>
    <w:rsid w:val="009508BD"/>
    <w:rsid w:val="00953798"/>
    <w:rsid w:val="00953B88"/>
    <w:rsid w:val="00960527"/>
    <w:rsid w:val="0096082E"/>
    <w:rsid w:val="00962CF7"/>
    <w:rsid w:val="009662A5"/>
    <w:rsid w:val="009666F3"/>
    <w:rsid w:val="00976201"/>
    <w:rsid w:val="00976DBF"/>
    <w:rsid w:val="00977F30"/>
    <w:rsid w:val="00985F72"/>
    <w:rsid w:val="00991602"/>
    <w:rsid w:val="009957CA"/>
    <w:rsid w:val="00996739"/>
    <w:rsid w:val="00997D6F"/>
    <w:rsid w:val="009A1752"/>
    <w:rsid w:val="009A42A3"/>
    <w:rsid w:val="009A661F"/>
    <w:rsid w:val="009A7F3A"/>
    <w:rsid w:val="009B7F5E"/>
    <w:rsid w:val="009C4EDF"/>
    <w:rsid w:val="009D18EE"/>
    <w:rsid w:val="009D2643"/>
    <w:rsid w:val="009D3B1B"/>
    <w:rsid w:val="009E2A7A"/>
    <w:rsid w:val="009E79B0"/>
    <w:rsid w:val="009F2A8E"/>
    <w:rsid w:val="009F3AAE"/>
    <w:rsid w:val="009F5392"/>
    <w:rsid w:val="009F664F"/>
    <w:rsid w:val="00A05142"/>
    <w:rsid w:val="00A05E92"/>
    <w:rsid w:val="00A07C19"/>
    <w:rsid w:val="00A235E4"/>
    <w:rsid w:val="00A30430"/>
    <w:rsid w:val="00A344C3"/>
    <w:rsid w:val="00A40F79"/>
    <w:rsid w:val="00A44B54"/>
    <w:rsid w:val="00A44E3E"/>
    <w:rsid w:val="00A52790"/>
    <w:rsid w:val="00A534BC"/>
    <w:rsid w:val="00A54B14"/>
    <w:rsid w:val="00A579A6"/>
    <w:rsid w:val="00A614FC"/>
    <w:rsid w:val="00A65C7B"/>
    <w:rsid w:val="00A70ABE"/>
    <w:rsid w:val="00A728D6"/>
    <w:rsid w:val="00A73278"/>
    <w:rsid w:val="00A74924"/>
    <w:rsid w:val="00A81E02"/>
    <w:rsid w:val="00A82723"/>
    <w:rsid w:val="00A82AB6"/>
    <w:rsid w:val="00A935D1"/>
    <w:rsid w:val="00A93C96"/>
    <w:rsid w:val="00A95B61"/>
    <w:rsid w:val="00AA0980"/>
    <w:rsid w:val="00AA625D"/>
    <w:rsid w:val="00AA6672"/>
    <w:rsid w:val="00AA6958"/>
    <w:rsid w:val="00AB0BB4"/>
    <w:rsid w:val="00AB4A1F"/>
    <w:rsid w:val="00AB62DE"/>
    <w:rsid w:val="00AB7871"/>
    <w:rsid w:val="00AC40C1"/>
    <w:rsid w:val="00AC6128"/>
    <w:rsid w:val="00AC639C"/>
    <w:rsid w:val="00AD18A1"/>
    <w:rsid w:val="00AD30B0"/>
    <w:rsid w:val="00AD334F"/>
    <w:rsid w:val="00AD47E8"/>
    <w:rsid w:val="00AE0654"/>
    <w:rsid w:val="00AE0F03"/>
    <w:rsid w:val="00AE4C80"/>
    <w:rsid w:val="00AF7791"/>
    <w:rsid w:val="00B0298D"/>
    <w:rsid w:val="00B141E1"/>
    <w:rsid w:val="00B14EAB"/>
    <w:rsid w:val="00B2494E"/>
    <w:rsid w:val="00B24A75"/>
    <w:rsid w:val="00B25127"/>
    <w:rsid w:val="00B30A4D"/>
    <w:rsid w:val="00B30F38"/>
    <w:rsid w:val="00B35C03"/>
    <w:rsid w:val="00B36899"/>
    <w:rsid w:val="00B376E9"/>
    <w:rsid w:val="00B40545"/>
    <w:rsid w:val="00B40B62"/>
    <w:rsid w:val="00B4267E"/>
    <w:rsid w:val="00B426A3"/>
    <w:rsid w:val="00B438C1"/>
    <w:rsid w:val="00B44F48"/>
    <w:rsid w:val="00B45109"/>
    <w:rsid w:val="00B47D2D"/>
    <w:rsid w:val="00B54B8D"/>
    <w:rsid w:val="00B55424"/>
    <w:rsid w:val="00B56FC6"/>
    <w:rsid w:val="00B6526C"/>
    <w:rsid w:val="00B67698"/>
    <w:rsid w:val="00B7235D"/>
    <w:rsid w:val="00B74099"/>
    <w:rsid w:val="00B810FD"/>
    <w:rsid w:val="00B81C0A"/>
    <w:rsid w:val="00B8616E"/>
    <w:rsid w:val="00B86412"/>
    <w:rsid w:val="00B903E7"/>
    <w:rsid w:val="00B94F28"/>
    <w:rsid w:val="00BA2075"/>
    <w:rsid w:val="00BA2CF5"/>
    <w:rsid w:val="00BB129D"/>
    <w:rsid w:val="00BB29DC"/>
    <w:rsid w:val="00BB38C7"/>
    <w:rsid w:val="00BB767A"/>
    <w:rsid w:val="00BC3147"/>
    <w:rsid w:val="00BC527A"/>
    <w:rsid w:val="00BD1AA3"/>
    <w:rsid w:val="00BD4227"/>
    <w:rsid w:val="00BD4251"/>
    <w:rsid w:val="00BE1A44"/>
    <w:rsid w:val="00BE6B38"/>
    <w:rsid w:val="00BE6EF6"/>
    <w:rsid w:val="00BF032A"/>
    <w:rsid w:val="00BF3D5D"/>
    <w:rsid w:val="00BF6655"/>
    <w:rsid w:val="00C010CD"/>
    <w:rsid w:val="00C1154D"/>
    <w:rsid w:val="00C13EE8"/>
    <w:rsid w:val="00C175C4"/>
    <w:rsid w:val="00C203DE"/>
    <w:rsid w:val="00C22A42"/>
    <w:rsid w:val="00C325DC"/>
    <w:rsid w:val="00C32B03"/>
    <w:rsid w:val="00C35AE1"/>
    <w:rsid w:val="00C415B8"/>
    <w:rsid w:val="00C554A2"/>
    <w:rsid w:val="00C656B0"/>
    <w:rsid w:val="00C6683B"/>
    <w:rsid w:val="00C746B6"/>
    <w:rsid w:val="00C77A1C"/>
    <w:rsid w:val="00C8783A"/>
    <w:rsid w:val="00C91269"/>
    <w:rsid w:val="00C928AF"/>
    <w:rsid w:val="00C9309F"/>
    <w:rsid w:val="00C94CF4"/>
    <w:rsid w:val="00CB1B6F"/>
    <w:rsid w:val="00CB25C0"/>
    <w:rsid w:val="00CB5592"/>
    <w:rsid w:val="00CB674A"/>
    <w:rsid w:val="00CC2606"/>
    <w:rsid w:val="00CD1DFC"/>
    <w:rsid w:val="00CD278F"/>
    <w:rsid w:val="00CD7E54"/>
    <w:rsid w:val="00CE276C"/>
    <w:rsid w:val="00CE4AB5"/>
    <w:rsid w:val="00CE7E59"/>
    <w:rsid w:val="00CF4181"/>
    <w:rsid w:val="00D04208"/>
    <w:rsid w:val="00D04DAF"/>
    <w:rsid w:val="00D15066"/>
    <w:rsid w:val="00D1631B"/>
    <w:rsid w:val="00D16B9A"/>
    <w:rsid w:val="00D30ABD"/>
    <w:rsid w:val="00D30D30"/>
    <w:rsid w:val="00D33583"/>
    <w:rsid w:val="00D35116"/>
    <w:rsid w:val="00D4168E"/>
    <w:rsid w:val="00D41ABB"/>
    <w:rsid w:val="00D4236B"/>
    <w:rsid w:val="00D4589B"/>
    <w:rsid w:val="00D46522"/>
    <w:rsid w:val="00D5006F"/>
    <w:rsid w:val="00D521EB"/>
    <w:rsid w:val="00D545B5"/>
    <w:rsid w:val="00D57717"/>
    <w:rsid w:val="00D57C03"/>
    <w:rsid w:val="00D615AA"/>
    <w:rsid w:val="00D61D68"/>
    <w:rsid w:val="00D644A9"/>
    <w:rsid w:val="00D654CE"/>
    <w:rsid w:val="00D67E5C"/>
    <w:rsid w:val="00D71EA6"/>
    <w:rsid w:val="00D733BB"/>
    <w:rsid w:val="00D73AF4"/>
    <w:rsid w:val="00D804F5"/>
    <w:rsid w:val="00D92F5F"/>
    <w:rsid w:val="00D94BFF"/>
    <w:rsid w:val="00DA0547"/>
    <w:rsid w:val="00DA2721"/>
    <w:rsid w:val="00DA48E7"/>
    <w:rsid w:val="00DA57F2"/>
    <w:rsid w:val="00DA6BB4"/>
    <w:rsid w:val="00DB250C"/>
    <w:rsid w:val="00DB2E77"/>
    <w:rsid w:val="00DC07B9"/>
    <w:rsid w:val="00DC12BD"/>
    <w:rsid w:val="00DC182E"/>
    <w:rsid w:val="00DC218B"/>
    <w:rsid w:val="00DC356D"/>
    <w:rsid w:val="00DC5F3C"/>
    <w:rsid w:val="00DD3BFB"/>
    <w:rsid w:val="00DD5DEA"/>
    <w:rsid w:val="00DE4835"/>
    <w:rsid w:val="00DF5D23"/>
    <w:rsid w:val="00E028ED"/>
    <w:rsid w:val="00E10AF9"/>
    <w:rsid w:val="00E1495F"/>
    <w:rsid w:val="00E22168"/>
    <w:rsid w:val="00E22832"/>
    <w:rsid w:val="00E27B3C"/>
    <w:rsid w:val="00E35450"/>
    <w:rsid w:val="00E51EE7"/>
    <w:rsid w:val="00E528CB"/>
    <w:rsid w:val="00E656CD"/>
    <w:rsid w:val="00E6582E"/>
    <w:rsid w:val="00E65E4B"/>
    <w:rsid w:val="00E751FE"/>
    <w:rsid w:val="00E775BE"/>
    <w:rsid w:val="00E7779D"/>
    <w:rsid w:val="00E77909"/>
    <w:rsid w:val="00EA076C"/>
    <w:rsid w:val="00EA1B60"/>
    <w:rsid w:val="00EA1D8E"/>
    <w:rsid w:val="00EA1F37"/>
    <w:rsid w:val="00EA26AD"/>
    <w:rsid w:val="00EB20FF"/>
    <w:rsid w:val="00EB4C9B"/>
    <w:rsid w:val="00EB77CE"/>
    <w:rsid w:val="00EB7EEF"/>
    <w:rsid w:val="00EC15C3"/>
    <w:rsid w:val="00ED420E"/>
    <w:rsid w:val="00EE6FAA"/>
    <w:rsid w:val="00EF3BCC"/>
    <w:rsid w:val="00EF4C79"/>
    <w:rsid w:val="00EF5D00"/>
    <w:rsid w:val="00EF773B"/>
    <w:rsid w:val="00F02A07"/>
    <w:rsid w:val="00F17A7E"/>
    <w:rsid w:val="00F20EFD"/>
    <w:rsid w:val="00F217C8"/>
    <w:rsid w:val="00F21FBE"/>
    <w:rsid w:val="00F248DD"/>
    <w:rsid w:val="00F42B4B"/>
    <w:rsid w:val="00F43BE7"/>
    <w:rsid w:val="00F46BFC"/>
    <w:rsid w:val="00F533FF"/>
    <w:rsid w:val="00F60918"/>
    <w:rsid w:val="00F660A1"/>
    <w:rsid w:val="00F663D5"/>
    <w:rsid w:val="00F754FA"/>
    <w:rsid w:val="00F81842"/>
    <w:rsid w:val="00F82DD9"/>
    <w:rsid w:val="00F864C3"/>
    <w:rsid w:val="00F87C7F"/>
    <w:rsid w:val="00F91039"/>
    <w:rsid w:val="00FC21F1"/>
    <w:rsid w:val="00FC6CC0"/>
    <w:rsid w:val="00FD037A"/>
    <w:rsid w:val="00FD2ECA"/>
    <w:rsid w:val="00FD3678"/>
    <w:rsid w:val="00FE2BBA"/>
    <w:rsid w:val="00FF1DDE"/>
    <w:rsid w:val="00FF3240"/>
    <w:rsid w:val="02140072"/>
    <w:rsid w:val="029D76BD"/>
    <w:rsid w:val="035209BB"/>
    <w:rsid w:val="045D3795"/>
    <w:rsid w:val="05147927"/>
    <w:rsid w:val="05EB6F10"/>
    <w:rsid w:val="09967D1B"/>
    <w:rsid w:val="0BA63302"/>
    <w:rsid w:val="0E5C1D5F"/>
    <w:rsid w:val="11484485"/>
    <w:rsid w:val="11EE03DD"/>
    <w:rsid w:val="16C80BBA"/>
    <w:rsid w:val="173E6AE4"/>
    <w:rsid w:val="18354985"/>
    <w:rsid w:val="1EB61656"/>
    <w:rsid w:val="1FE72762"/>
    <w:rsid w:val="22203DA8"/>
    <w:rsid w:val="232D602C"/>
    <w:rsid w:val="25A919A0"/>
    <w:rsid w:val="28412E17"/>
    <w:rsid w:val="29EE439A"/>
    <w:rsid w:val="2AA25CA6"/>
    <w:rsid w:val="2B8A5F95"/>
    <w:rsid w:val="2D2A393B"/>
    <w:rsid w:val="2E636852"/>
    <w:rsid w:val="2E861045"/>
    <w:rsid w:val="2EAB2C6F"/>
    <w:rsid w:val="2EEE4E8F"/>
    <w:rsid w:val="2F300B39"/>
    <w:rsid w:val="2F4D5528"/>
    <w:rsid w:val="30F87018"/>
    <w:rsid w:val="315A5B23"/>
    <w:rsid w:val="31AD6584"/>
    <w:rsid w:val="340A6F00"/>
    <w:rsid w:val="348016E4"/>
    <w:rsid w:val="37A659F9"/>
    <w:rsid w:val="38262F51"/>
    <w:rsid w:val="38A13534"/>
    <w:rsid w:val="3A541FF7"/>
    <w:rsid w:val="3DD84121"/>
    <w:rsid w:val="3E043D34"/>
    <w:rsid w:val="3E0F1060"/>
    <w:rsid w:val="3E4A6F0D"/>
    <w:rsid w:val="3FF64181"/>
    <w:rsid w:val="40227699"/>
    <w:rsid w:val="431C567C"/>
    <w:rsid w:val="432C7A68"/>
    <w:rsid w:val="445B01D0"/>
    <w:rsid w:val="44A96763"/>
    <w:rsid w:val="455455A1"/>
    <w:rsid w:val="458A0FC3"/>
    <w:rsid w:val="45DF153A"/>
    <w:rsid w:val="47927A69"/>
    <w:rsid w:val="47CB5D32"/>
    <w:rsid w:val="48474F49"/>
    <w:rsid w:val="48945CB4"/>
    <w:rsid w:val="495E313E"/>
    <w:rsid w:val="4979006D"/>
    <w:rsid w:val="4A25750C"/>
    <w:rsid w:val="4C40453F"/>
    <w:rsid w:val="4CE30FB8"/>
    <w:rsid w:val="4DA22C22"/>
    <w:rsid w:val="4E1F24C4"/>
    <w:rsid w:val="4E776B0D"/>
    <w:rsid w:val="4FD31437"/>
    <w:rsid w:val="50E72B67"/>
    <w:rsid w:val="52F45CCD"/>
    <w:rsid w:val="5430374D"/>
    <w:rsid w:val="55295816"/>
    <w:rsid w:val="55CE244F"/>
    <w:rsid w:val="56147AC0"/>
    <w:rsid w:val="570F5142"/>
    <w:rsid w:val="58CB5722"/>
    <w:rsid w:val="5B7A33A5"/>
    <w:rsid w:val="5DA205B1"/>
    <w:rsid w:val="5F5C4868"/>
    <w:rsid w:val="61967C0E"/>
    <w:rsid w:val="61F373E8"/>
    <w:rsid w:val="62400701"/>
    <w:rsid w:val="62AA63A9"/>
    <w:rsid w:val="667E69D9"/>
    <w:rsid w:val="66E71979"/>
    <w:rsid w:val="69A85840"/>
    <w:rsid w:val="6C0E20B1"/>
    <w:rsid w:val="705E52E6"/>
    <w:rsid w:val="73773081"/>
    <w:rsid w:val="74DA6D04"/>
    <w:rsid w:val="774F2755"/>
    <w:rsid w:val="77BB3E94"/>
    <w:rsid w:val="78DC5206"/>
    <w:rsid w:val="796C4DDB"/>
    <w:rsid w:val="798E2128"/>
    <w:rsid w:val="7A747570"/>
    <w:rsid w:val="7CC56889"/>
    <w:rsid w:val="7F3D0FDC"/>
    <w:rsid w:val="7FCA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9"/>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0"/>
    <w:autoRedefine/>
    <w:semiHidden/>
    <w:unhideWhenUsed/>
    <w:qFormat/>
    <w:uiPriority w:val="99"/>
    <w:pPr>
      <w:jc w:val="left"/>
    </w:pPr>
  </w:style>
  <w:style w:type="paragraph" w:styleId="6">
    <w:name w:val="Body Text"/>
    <w:basedOn w:val="1"/>
    <w:link w:val="27"/>
    <w:autoRedefine/>
    <w:semiHidden/>
    <w:unhideWhenUsed/>
    <w:qFormat/>
    <w:uiPriority w:val="99"/>
    <w:pPr>
      <w:spacing w:after="120" w:afterLines="0" w:afterAutospacing="0"/>
    </w:pPr>
  </w:style>
  <w:style w:type="paragraph" w:styleId="7">
    <w:name w:val="Date"/>
    <w:basedOn w:val="1"/>
    <w:next w:val="1"/>
    <w:link w:val="23"/>
    <w:autoRedefine/>
    <w:semiHidden/>
    <w:unhideWhenUsed/>
    <w:qFormat/>
    <w:uiPriority w:val="99"/>
    <w:pPr>
      <w:ind w:left="100" w:leftChars="2500"/>
    </w:pPr>
  </w:style>
  <w:style w:type="paragraph" w:styleId="8">
    <w:name w:val="Balloon Text"/>
    <w:basedOn w:val="1"/>
    <w:link w:val="22"/>
    <w:autoRedefine/>
    <w:semiHidden/>
    <w:unhideWhenUsed/>
    <w:qFormat/>
    <w:uiPriority w:val="99"/>
    <w:rPr>
      <w:sz w:val="18"/>
      <w:szCs w:val="18"/>
    </w:rPr>
  </w:style>
  <w:style w:type="paragraph" w:styleId="9">
    <w:name w:val="footer"/>
    <w:basedOn w:val="1"/>
    <w:link w:val="19"/>
    <w:autoRedefine/>
    <w:unhideWhenUsed/>
    <w:qFormat/>
    <w:uiPriority w:val="99"/>
    <w:pPr>
      <w:tabs>
        <w:tab w:val="center" w:pos="4153"/>
        <w:tab w:val="right" w:pos="8306"/>
      </w:tabs>
      <w:snapToGrid w:val="0"/>
      <w:jc w:val="left"/>
    </w:pPr>
    <w:rPr>
      <w:sz w:val="18"/>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2">
    <w:name w:val="annotation subject"/>
    <w:basedOn w:val="5"/>
    <w:next w:val="5"/>
    <w:link w:val="21"/>
    <w:autoRedefine/>
    <w:semiHidden/>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annotation reference"/>
    <w:basedOn w:val="15"/>
    <w:autoRedefine/>
    <w:semiHidden/>
    <w:unhideWhenUsed/>
    <w:qFormat/>
    <w:uiPriority w:val="99"/>
    <w:rPr>
      <w:sz w:val="21"/>
      <w:szCs w:val="21"/>
    </w:rPr>
  </w:style>
  <w:style w:type="character" w:customStyle="1" w:styleId="18">
    <w:name w:val="页眉 字符"/>
    <w:basedOn w:val="15"/>
    <w:link w:val="10"/>
    <w:autoRedefine/>
    <w:qFormat/>
    <w:uiPriority w:val="99"/>
    <w:rPr>
      <w:sz w:val="18"/>
      <w:szCs w:val="18"/>
    </w:rPr>
  </w:style>
  <w:style w:type="character" w:customStyle="1" w:styleId="19">
    <w:name w:val="页脚 字符"/>
    <w:basedOn w:val="15"/>
    <w:link w:val="9"/>
    <w:autoRedefine/>
    <w:qFormat/>
    <w:uiPriority w:val="99"/>
    <w:rPr>
      <w:sz w:val="18"/>
      <w:szCs w:val="18"/>
    </w:rPr>
  </w:style>
  <w:style w:type="character" w:customStyle="1" w:styleId="20">
    <w:name w:val="批注文字 字符"/>
    <w:basedOn w:val="15"/>
    <w:link w:val="5"/>
    <w:semiHidden/>
    <w:qFormat/>
    <w:uiPriority w:val="99"/>
  </w:style>
  <w:style w:type="character" w:customStyle="1" w:styleId="21">
    <w:name w:val="批注主题 字符"/>
    <w:basedOn w:val="20"/>
    <w:link w:val="12"/>
    <w:autoRedefine/>
    <w:semiHidden/>
    <w:qFormat/>
    <w:uiPriority w:val="99"/>
    <w:rPr>
      <w:b/>
      <w:bCs/>
    </w:rPr>
  </w:style>
  <w:style w:type="character" w:customStyle="1" w:styleId="22">
    <w:name w:val="批注框文本 字符"/>
    <w:basedOn w:val="15"/>
    <w:link w:val="8"/>
    <w:autoRedefine/>
    <w:semiHidden/>
    <w:qFormat/>
    <w:uiPriority w:val="99"/>
    <w:rPr>
      <w:sz w:val="18"/>
      <w:szCs w:val="18"/>
    </w:rPr>
  </w:style>
  <w:style w:type="character" w:customStyle="1" w:styleId="23">
    <w:name w:val="日期 字符"/>
    <w:basedOn w:val="15"/>
    <w:link w:val="7"/>
    <w:autoRedefine/>
    <w:semiHidden/>
    <w:qFormat/>
    <w:uiPriority w:val="99"/>
  </w:style>
  <w:style w:type="paragraph" w:styleId="24">
    <w:name w:val="List Paragraph"/>
    <w:basedOn w:val="1"/>
    <w:autoRedefine/>
    <w:qFormat/>
    <w:uiPriority w:val="34"/>
    <w:pPr>
      <w:ind w:firstLine="420" w:firstLineChars="200"/>
    </w:pPr>
  </w:style>
  <w:style w:type="character" w:customStyle="1" w:styleId="25">
    <w:name w:val="段 Char"/>
    <w:link w:val="26"/>
    <w:autoRedefine/>
    <w:qFormat/>
    <w:uiPriority w:val="0"/>
    <w:rPr>
      <w:rFonts w:ascii="宋体"/>
    </w:rPr>
  </w:style>
  <w:style w:type="paragraph" w:customStyle="1" w:styleId="26">
    <w:name w:val="段"/>
    <w:link w:val="25"/>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27">
    <w:name w:val="正文文本 字符"/>
    <w:basedOn w:val="15"/>
    <w:link w:val="6"/>
    <w:qFormat/>
    <w:uiPriority w:val="0"/>
    <w:rPr>
      <w:rFonts w:hint="default" w:ascii="Times New Roman" w:hAnsi="Times New Roman" w:cs="Times New Roman"/>
      <w:kern w:val="2"/>
      <w:sz w:val="21"/>
    </w:rPr>
  </w:style>
  <w:style w:type="paragraph" w:customStyle="1" w:styleId="2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e46c96a3-16ea-45d6-b42a-09cf51e1cf79</errorID>
      <errorWord>，</errorWord>
      <group>L1_Word</group>
      <groupName>字词问题</groupName>
      <ability>L2_Typo</ability>
      <abilityName>字词错误</abilityName>
      <candidateList>
        <item>，由</item>
      </candidateList>
      <explain/>
      <paraID>2FE61A97</paraID>
      <start>20</start>
      <end>21</end>
      <status>unmodified</status>
      <modifiedWord/>
      <trackRevisions>false</trackRevisions>
    </reviewItem>
    <reviewItem>
      <errorID>d072d723-9bbc-4f33-aacc-e34e31c5e25a</errorID>
      <errorWord>法律、法规</errorWord>
      <group>L1_Word</group>
      <groupName>字词问题</groupName>
      <ability>L2_Typo</ability>
      <abilityName>字词错误</abilityName>
      <candidateList>
        <item>法律法规</item>
      </candidateList>
      <explain/>
      <paraID>4E3D657F</paraID>
      <start>7</start>
      <end>12</end>
      <status>unmodified</status>
      <modifiedWord/>
      <trackRevisions>false</trackRevisions>
    </reviewItem>
    <reviewItem>
      <errorID>419d0cac-3c57-4457-ba34-902de7bbc860</errorID>
      <errorWord>法律、法规</errorWord>
      <group>L1_Word</group>
      <groupName>字词问题</groupName>
      <ability>L2_Typo</ability>
      <abilityName>字词错误</abilityName>
      <candidateList>
        <item>法律法规</item>
      </candidateList>
      <explain/>
      <paraID>6FC74ECA</paraID>
      <start>5</start>
      <end>10</end>
      <status>unmodified</status>
      <modifiedWord/>
      <trackRevisions>false</trackRevisions>
    </reviewItem>
  </reviewItems>
  <config/>
</contractReview>
</file>

<file path=customXml/itemProps1.xml><?xml version="1.0" encoding="utf-8"?>
<ds:datastoreItem xmlns:ds="http://schemas.openxmlformats.org/officeDocument/2006/customXml" ds:itemID="{117ef89e-c58d-462b-98f7-d5179b49fac2}">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3326</Words>
  <Characters>3625</Characters>
  <Lines>12</Lines>
  <Paragraphs>3</Paragraphs>
  <TotalTime>9</TotalTime>
  <ScaleCrop>false</ScaleCrop>
  <LinksUpToDate>false</LinksUpToDate>
  <CharactersWithSpaces>3631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2024-01-05T03:23:00Z</dcterms:created>
  <dcterms:modified xsi:type="dcterms:W3CDTF">2025-11-24T03:03:52Z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39DA1C35B57E4AA98C53688E39263C5E_13</vt:lpwstr>
  </property>
  <property fmtid="{D5CDD505-2E9C-101B-9397-08002B2CF9AE}" pid="4" name="KSOTemplateDocerSaveRecord">
    <vt:lpwstr>eyJoZGlkIjoiZjgwZDVjMmFkZDI1YjgyMjQ3NTg4ZTQxNzA5ODE1NjciLCJ1c2VySWQiOiIyODU5NDM2MjAifQ==</vt:lpwstr>
  </property>
</Properties>
</file>