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BB8FE">
      <w:pPr>
        <w:pStyle w:val="79"/>
        <w:rPr>
          <w:rFonts w:hAnsi="黑体" w:cs="黑体"/>
        </w:rPr>
      </w:pPr>
      <w:r>
        <w:rPr>
          <w:rFonts w:hint="eastAsia" w:hAnsi="黑体" w:cs="黑体"/>
        </w:rPr>
        <w:t>ICS</w:t>
      </w:r>
      <w:bookmarkStart w:id="0" w:name="ICS"/>
      <w:r>
        <w:rPr>
          <w:rFonts w:hint="eastAsia" w:hAnsi="黑体" w:cs="黑体"/>
        </w:rPr>
        <w:t xml:space="preserve"> </w:t>
      </w:r>
      <w:bookmarkEnd w:id="0"/>
      <w:r>
        <w:rPr>
          <w:rFonts w:hint="eastAsia" w:hAnsi="黑体" w:cs="黑体"/>
        </w:rPr>
        <w:t>71.100.80</w:t>
      </w:r>
    </w:p>
    <w:p w14:paraId="55018CDA">
      <w:pPr>
        <w:pStyle w:val="79"/>
        <w:rPr>
          <w:rFonts w:hAnsi="黑体"/>
        </w:rPr>
      </w:pPr>
      <w:r>
        <w:rPr>
          <w:rFonts w:hint="eastAsia" w:hAnsi="黑体" w:cs="黑体"/>
        </w:rPr>
        <w:t>CCS</w:t>
      </w:r>
      <w:r>
        <w:rPr>
          <w:rFonts w:hAnsi="黑体"/>
        </w:rPr>
        <w:t xml:space="preserve"> </w:t>
      </w:r>
      <w:r>
        <w:rPr>
          <w:rFonts w:hint="eastAsia" w:hAnsi="黑体"/>
        </w:rPr>
        <w:t>G 77</w:t>
      </w:r>
    </w:p>
    <w:p w14:paraId="4ED8ACC6">
      <w:pPr>
        <w:pStyle w:val="80"/>
        <w:framePr w:y="3120"/>
        <w:rPr>
          <w:rFonts w:hint="eastAsia" w:hAnsi="黑体" w:cs="黑体"/>
        </w:rPr>
      </w:pPr>
      <w:r>
        <w:rPr>
          <w:rFonts w:hint="eastAsia" w:hAnsi="黑体" w:cs="黑体"/>
        </w:rPr>
        <w:t>T/XXX XXXX—XXXX</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1DCB3957">
        <w:tc>
          <w:tcPr>
            <w:tcW w:w="9356" w:type="dxa"/>
            <w:tcBorders>
              <w:top w:val="nil"/>
              <w:left w:val="nil"/>
              <w:bottom w:val="nil"/>
              <w:right w:val="nil"/>
            </w:tcBorders>
            <w:noWrap w:val="0"/>
            <w:vAlign w:val="top"/>
          </w:tcPr>
          <w:p w14:paraId="188ADCB0">
            <w:pPr>
              <w:pStyle w:val="133"/>
              <w:framePr w:y="3120"/>
              <w:rPr>
                <w:rFonts w:ascii="Times New Roman"/>
              </w:rPr>
            </w:pPr>
            <w:bookmarkStart w:id="1" w:name="DT"/>
            <w:r>
              <mc:AlternateContent>
                <mc:Choice Requires="wps">
                  <w:drawing>
                    <wp:anchor distT="0" distB="0" distL="114300" distR="114300" simplePos="0" relativeHeight="251661312" behindDoc="0" locked="0" layoutInCell="1" allowOverlap="1">
                      <wp:simplePos x="0" y="0"/>
                      <wp:positionH relativeFrom="column">
                        <wp:posOffset>-143510</wp:posOffset>
                      </wp:positionH>
                      <wp:positionV relativeFrom="paragraph">
                        <wp:posOffset>476885</wp:posOffset>
                      </wp:positionV>
                      <wp:extent cx="6120130" cy="0"/>
                      <wp:effectExtent l="0" t="4445" r="0" b="5080"/>
                      <wp:wrapNone/>
                      <wp:docPr id="3" name="直线 49"/>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9" o:spid="_x0000_s1026" o:spt="20" style="position:absolute;left:0pt;margin-left:-11.3pt;margin-top:37.55pt;height:0pt;width:481.9pt;z-index:251661312;mso-width-relative:page;mso-height-relative:page;" filled="f" stroked="t" coordsize="21600,21600" o:gfxdata="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OUiNp&#10;1wAAAAkBAAAPAAAAAAAAAAEAIAAAACIAAABkcnMvZG93bnJldi54bWxQSwECFAAUAAAACACHTuJA&#10;OfRIP+kBAADcAwAADgAAAAAAAAABACAAAAAmAQAAZHJzL2Uyb0RvYy54bWxQSwUGAAAAAAYABgBZ&#10;AQAAgQUAAAAA&#10;">
                      <v:fill on="f" focussize="0,0"/>
                      <v:stroke color="#000000" joinstyle="round"/>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1C435A99"/>
                              </w:txbxContent>
                            </wps:txbx>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mDyy9YA&#10;AAAIAQAADwAAAAAAAAABACAAAAAiAAAAZHJzL2Rvd25yZXYueG1sUEsBAhQAFAAAAAgAh07iQMUf&#10;+8+vAQAAcgMAAA4AAAAAAAAAAQAgAAAAJQEAAGRycy9lMm9Eb2MueG1sUEsFBgAAAAAGAAYAWQEA&#10;AEYFAAAAAA==&#10;">
                      <v:fill on="t" focussize="0,0"/>
                      <v:stroke on="f"/>
                      <v:imagedata o:title=""/>
                      <o:lock v:ext="edit" aspectratio="f"/>
                      <v:textbox>
                        <w:txbxContent>
                          <w:p w14:paraId="1C435A99"/>
                        </w:txbxContent>
                      </v:textbox>
                    </v:rect>
                  </w:pict>
                </mc:Fallback>
              </mc:AlternateContent>
            </w:r>
            <w:bookmarkEnd w:id="1"/>
          </w:p>
        </w:tc>
      </w:tr>
    </w:tbl>
    <w:p w14:paraId="295BDB07">
      <w:pPr>
        <w:pStyle w:val="80"/>
        <w:framePr w:y="3120"/>
        <w:rPr>
          <w:rFonts w:ascii="Times New Roman"/>
        </w:rPr>
      </w:pPr>
    </w:p>
    <w:p w14:paraId="1638E260">
      <w:pPr>
        <w:pStyle w:val="80"/>
        <w:framePr w:y="3120"/>
        <w:rPr>
          <w:rFonts w:ascii="Times New Roman"/>
        </w:rPr>
      </w:pPr>
    </w:p>
    <w:p w14:paraId="6100B184">
      <w:pPr>
        <w:framePr w:w="9639" w:h="6917" w:hRule="exact" w:wrap="around" w:vAnchor="page" w:hAnchor="page" w:xAlign="center" w:y="6408" w:anchorLock="1"/>
        <w:tabs>
          <w:tab w:val="left" w:pos="630"/>
        </w:tabs>
        <w:ind w:left="-15" w:leftChars="-7" w:firstLine="16"/>
        <w:jc w:val="center"/>
        <w:rPr>
          <w:rFonts w:ascii="黑体" w:hAnsi="黑体" w:eastAsia="黑体"/>
        </w:rPr>
      </w:pPr>
      <w:r>
        <w:rPr>
          <w:rFonts w:ascii="黑体" w:hAnsi="黑体" w:eastAsia="黑体"/>
          <w:sz w:val="52"/>
          <w:szCs w:val="52"/>
          <w:lang w:eastAsia="zh-Hans"/>
        </w:rPr>
        <w:t>生活饮用水处理用高纯纳米型聚氯化铝</w:t>
      </w:r>
    </w:p>
    <w:p w14:paraId="12101D83">
      <w:pPr>
        <w:framePr w:w="9639" w:h="6917" w:hRule="exact" w:wrap="around" w:vAnchor="page" w:hAnchor="page" w:xAlign="center" w:y="6408" w:anchorLock="1"/>
        <w:ind w:right="-21" w:rightChars="-10"/>
        <w:jc w:val="center"/>
        <w:rPr>
          <w:rFonts w:hint="eastAsia" w:ascii="黑体" w:hAnsi="黑体" w:eastAsia="黑体"/>
          <w:sz w:val="28"/>
        </w:rPr>
      </w:pPr>
      <w:r>
        <w:rPr>
          <w:rFonts w:hint="eastAsia" w:ascii="黑体" w:hAnsi="黑体" w:eastAsia="黑体"/>
          <w:sz w:val="28"/>
        </w:rPr>
        <w:t>High purity nano type polyaluminium chloride of drinking water</w:t>
      </w:r>
    </w:p>
    <w:tbl>
      <w:tblPr>
        <w:tblStyle w:val="35"/>
        <w:tblW w:w="9854" w:type="dxa"/>
        <w:tblInd w:w="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26CE501E">
        <w:tc>
          <w:tcPr>
            <w:tcW w:w="9854" w:type="dxa"/>
            <w:tcBorders>
              <w:top w:val="nil"/>
              <w:left w:val="nil"/>
              <w:bottom w:val="nil"/>
              <w:right w:val="nil"/>
            </w:tcBorders>
            <w:noWrap w:val="0"/>
            <w:vAlign w:val="top"/>
          </w:tcPr>
          <w:p w14:paraId="0A87A7B3">
            <w:pPr>
              <w:pStyle w:val="102"/>
              <w:rPr>
                <w:rFonts w:hint="eastAsia" w:ascii="Times New Roman"/>
                <w:lang w:eastAsia="zh-Hans"/>
              </w:rPr>
            </w:pPr>
          </w:p>
        </w:tc>
      </w:tr>
      <w:tr w14:paraId="798EF0EC">
        <w:tc>
          <w:tcPr>
            <w:tcW w:w="9854" w:type="dxa"/>
            <w:tcBorders>
              <w:top w:val="nil"/>
              <w:left w:val="nil"/>
              <w:bottom w:val="nil"/>
              <w:right w:val="nil"/>
            </w:tcBorders>
            <w:noWrap w:val="0"/>
            <w:vAlign w:val="top"/>
          </w:tcPr>
          <w:p w14:paraId="203C75CF">
            <w:pPr>
              <w:pStyle w:val="101"/>
              <w:rPr>
                <w:rFonts w:hint="eastAsia" w:ascii="Times New Roman"/>
              </w:rPr>
            </w:pPr>
            <w:r>
              <w:rPr>
                <w:rFonts w:hint="eastAsia" w:ascii="Times New Roman"/>
              </w:rPr>
              <w:t>（征求意见稿）</w:t>
            </w:r>
          </w:p>
        </w:tc>
      </w:tr>
    </w:tbl>
    <w:p w14:paraId="1E8BED94">
      <w:pPr>
        <w:pStyle w:val="150"/>
        <w:rPr>
          <w:rFonts w:ascii="黑体" w:hAnsi="黑体"/>
        </w:rPr>
      </w:pPr>
      <w:r>
        <w:rPr>
          <w:rFonts w:ascii="黑体" w:hAnsi="黑体"/>
        </w:rPr>
        <w:t>XXXX</w:t>
      </w:r>
      <w:r>
        <w:t xml:space="preserve"> </w:t>
      </w:r>
      <w:r>
        <w:rPr>
          <w:rFonts w:ascii="黑体" w:hAnsi="黑体"/>
        </w:rPr>
        <w:t>-</w:t>
      </w:r>
      <w:r>
        <w:t xml:space="preserve"> </w:t>
      </w:r>
      <w:r>
        <w:rPr>
          <w:rFonts w:ascii="黑体" w:hAnsi="黑体" w:cs="黑体"/>
        </w:rPr>
        <w:t>XX</w:t>
      </w:r>
      <w:r>
        <w:t xml:space="preserve"> </w:t>
      </w:r>
      <w:r>
        <w:rPr>
          <w:rFonts w:ascii="黑体" w:hAnsi="黑体"/>
        </w:rPr>
        <w:t>-</w:t>
      </w:r>
      <w:r>
        <w:t xml:space="preserve"> </w:t>
      </w:r>
      <w:r>
        <w:rPr>
          <w:rFonts w:ascii="黑体" w:hAnsi="黑体"/>
        </w:rPr>
        <w:t>XX发布</w:t>
      </w:r>
      <w:r>
        <w:rPr>
          <w:rFonts w:ascii="黑体" w:hAnsi="黑体"/>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2"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HvEgH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u+4MyBpYY/ff/x9PMX&#10;q4s4Y8CGYu7dJpJUeYdhEzPTQxdt/hMHdiiCHs+CqkNigg5va2L1lrQWz77qcjFETB+VtywbLTfa&#10;Za7QwP4TJkpGoc8h+dg4Nrb8/c3ihuC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Dh7xIB&#10;5gEAANwDAAAOAAAAAAAAAAEAIAAAACUBAABkcnMvZTJvRG9jLnhtbFBLBQYAAAAABgAGAFkBAAB9&#10;BQAAAAA=&#10;">
                <v:fill on="f" focussize="0,0"/>
                <v:stroke color="#000000" joinstyle="round"/>
                <v:imagedata o:title=""/>
                <o:lock v:ext="edit" aspectratio="f"/>
                <w10:anchorlock/>
              </v:line>
            </w:pict>
          </mc:Fallback>
        </mc:AlternateContent>
      </w:r>
    </w:p>
    <w:p w14:paraId="76EACDB9">
      <w:pPr>
        <w:pStyle w:val="90"/>
        <w:rPr>
          <w:rFonts w:ascii="黑体" w:hAnsi="黑体"/>
        </w:rPr>
      </w:pPr>
      <w:r>
        <w:rPr>
          <w:rFonts w:ascii="黑体" w:hAnsi="黑体"/>
        </w:rPr>
        <w:t>XXXX</w:t>
      </w:r>
      <w:r>
        <w:t xml:space="preserve"> </w:t>
      </w:r>
      <w:r>
        <w:rPr>
          <w:rFonts w:ascii="黑体" w:hAnsi="黑体"/>
        </w:rPr>
        <w:t>-</w:t>
      </w:r>
      <w:r>
        <w:t xml:space="preserve"> </w:t>
      </w:r>
      <w:r>
        <w:rPr>
          <w:rFonts w:ascii="黑体" w:hAnsi="黑体"/>
        </w:rPr>
        <w:t>XX</w:t>
      </w:r>
      <w:r>
        <w:t xml:space="preserve"> </w:t>
      </w:r>
      <w:r>
        <w:rPr>
          <w:rFonts w:ascii="黑体" w:hAnsi="黑体"/>
        </w:rPr>
        <w:t>-</w:t>
      </w:r>
      <w:r>
        <w:t xml:space="preserve"> </w:t>
      </w:r>
      <w:r>
        <w:rPr>
          <w:rFonts w:ascii="黑体" w:hAnsi="黑体"/>
        </w:rPr>
        <w:t>XX实施</w:t>
      </w:r>
    </w:p>
    <w:p w14:paraId="1A257332">
      <w:pPr>
        <w:pStyle w:val="65"/>
        <w:framePr w:w="9702" w:x="1360"/>
        <w:rPr>
          <w:rFonts w:hint="eastAsia"/>
        </w:rPr>
      </w:pPr>
      <w:bookmarkStart w:id="2" w:name="fm"/>
      <w:r>
        <w:rPr>
          <w:rFonts w:hint="eastAsia"/>
        </w:rPr>
        <w:fldChar w:fldCharType="begin">
          <w:ffData>
            <w:name w:val="fm"/>
            <w:enabled/>
            <w:calcOnExit w:val="0"/>
            <w:textInput>
              <w:default w:val="中国食品药品企业质量安全促进会"/>
            </w:textInput>
          </w:ffData>
        </w:fldChar>
      </w:r>
      <w:r>
        <w:rPr>
          <w:rFonts w:hint="eastAsia"/>
        </w:rPr>
        <w:instrText xml:space="preserve">FORMTEXT</w:instrText>
      </w:r>
      <w:r>
        <w:rPr>
          <w:rFonts w:hint="eastAsia"/>
        </w:rPr>
        <w:fldChar w:fldCharType="separate"/>
      </w:r>
      <w:r>
        <w:rPr>
          <w:rFonts w:hint="eastAsia"/>
        </w:rPr>
        <w:t>中国食品药品企业质量安全促进会</w:t>
      </w:r>
      <w:r>
        <w:rPr>
          <w:rFonts w:hint="eastAsia"/>
        </w:rPr>
        <w:fldChar w:fldCharType="end"/>
      </w:r>
      <w:bookmarkEnd w:id="2"/>
      <w:r>
        <w:rPr>
          <w:rFonts w:hint="eastAsia"/>
        </w:rPr>
        <w:t>   </w:t>
      </w:r>
      <w:r>
        <w:rPr>
          <w:rStyle w:val="53"/>
          <w:rFonts w:hint="eastAsia"/>
        </w:rPr>
        <w:t>发布</w:t>
      </w:r>
    </w:p>
    <w:p w14:paraId="0CB1DEE2">
      <w:pPr>
        <w:pStyle w:val="132"/>
        <w:framePr w:w="9702" w:x="1360"/>
        <w:rPr>
          <w:rFonts w:ascii="Times New Roman" w:hAnsi="Times New Roman"/>
          <w:sz w:val="72"/>
        </w:rPr>
      </w:pPr>
      <w:r>
        <w:rPr>
          <w:rFonts w:hint="eastAsia"/>
          <w:szCs w:val="48"/>
        </w:rPr>
        <w:t>团体标</w:t>
      </w:r>
      <w:r>
        <w:rPr>
          <w:rFonts w:hint="eastAsia" w:ascii="Times New Roman" w:hAnsi="Times New Roman"/>
          <w:szCs w:val="48"/>
        </w:rPr>
        <w:t>准</w:t>
      </w:r>
    </w:p>
    <w:p w14:paraId="13D0A3EA">
      <w:pPr>
        <w:pStyle w:val="25"/>
        <w:ind w:firstLine="0" w:firstLineChars="0"/>
        <w:rPr>
          <w:rFonts w:ascii="Times New Roman"/>
        </w:rPr>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p>
    <w:p w14:paraId="757400B0">
      <w:pPr>
        <w:pStyle w:val="107"/>
        <w:rPr>
          <w:rFonts w:hint="eastAsia"/>
        </w:rPr>
      </w:pPr>
      <w:bookmarkStart w:id="3" w:name="_Toc25426"/>
      <w:bookmarkStart w:id="4" w:name="_Toc29742"/>
      <w:bookmarkStart w:id="5" w:name="_Toc1547355629_WPSOffice_Level1"/>
      <w:bookmarkStart w:id="6" w:name="_Toc21516966"/>
      <w:bookmarkStart w:id="7" w:name="_Toc11531"/>
      <w:bookmarkStart w:id="8" w:name="_Toc1523147104_WPSOffice_Level1"/>
      <w:bookmarkStart w:id="9" w:name="_Toc4760"/>
      <w:r>
        <w:rPr>
          <w:rFonts w:hint="eastAsia"/>
        </w:rPr>
        <w:t>目</w:t>
      </w:r>
      <w:bookmarkStart w:id="10" w:name="BKML"/>
      <w:r>
        <w:rPr>
          <w:rFonts w:hint="eastAsia"/>
        </w:rPr>
        <w:t>  次</w:t>
      </w:r>
      <w:bookmarkEnd w:id="3"/>
      <w:bookmarkEnd w:id="4"/>
      <w:bookmarkEnd w:id="10"/>
    </w:p>
    <w:p w14:paraId="140CA7D8">
      <w:pPr>
        <w:pStyle w:val="21"/>
        <w:tabs>
          <w:tab w:val="right" w:leader="dot" w:pos="9355"/>
          <w:tab w:val="clear" w:pos="9242"/>
        </w:tabs>
        <w:spacing w:before="78" w:after="78"/>
      </w:pPr>
      <w:r>
        <w:rPr>
          <w:rFonts w:hint="eastAsia"/>
        </w:rPr>
        <w:fldChar w:fldCharType="begin" w:fldLock="1"/>
      </w:r>
      <w:r>
        <w:rPr>
          <w:rFonts w:hint="eastAsia"/>
        </w:rPr>
        <w:instrText xml:space="preserve"> TOC \h \z \t"前言、引言标题,1,参考文献、索引标题,1,章标题,1,参考文献,1,附录标识,1,一级条标题, 3" \* MERGEFORMAT </w:instrText>
      </w:r>
      <w:r>
        <w:rPr>
          <w:rFonts w:hint="eastAsia"/>
        </w:rPr>
        <w:fldChar w:fldCharType="separate"/>
      </w:r>
    </w:p>
    <w:p w14:paraId="26FDACC7">
      <w:pPr>
        <w:pStyle w:val="21"/>
        <w:tabs>
          <w:tab w:val="right" w:leader="dot" w:pos="9355"/>
          <w:tab w:val="clear" w:pos="9242"/>
        </w:tabs>
        <w:rPr>
          <w:rFonts w:hint="eastAsia" w:ascii="宋体" w:hAnsi="宋体" w:eastAsia="宋体" w:cs="宋体"/>
        </w:rPr>
      </w:pPr>
      <w:r>
        <w:fldChar w:fldCharType="begin"/>
      </w:r>
      <w:r>
        <w:instrText xml:space="preserve">TOC \o "1-2" \h \u </w:instrText>
      </w:r>
      <w: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_Toc25426 </w:instrText>
      </w:r>
      <w:r>
        <w:rPr>
          <w:rFonts w:hint="eastAsia" w:ascii="宋体" w:hAnsi="宋体" w:eastAsia="宋体" w:cs="宋体"/>
        </w:rPr>
        <w:fldChar w:fldCharType="separate"/>
      </w:r>
      <w:r>
        <w:rPr>
          <w:rFonts w:hint="eastAsia" w:ascii="宋体" w:hAnsi="宋体" w:eastAsia="宋体" w:cs="宋体"/>
        </w:rPr>
        <w:t>目次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_Toc25426 \h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r>
        <w:rPr>
          <w:rFonts w:hint="eastAsia" w:ascii="宋体" w:hAnsi="宋体" w:eastAsia="宋体" w:cs="宋体"/>
        </w:rPr>
        <w:fldChar w:fldCharType="end"/>
      </w:r>
    </w:p>
    <w:p w14:paraId="1A4AD901">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_Toc2772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_Toc2772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14:paraId="3A3BC896">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_Toc11701 </w:instrText>
      </w:r>
      <w:r>
        <w:rPr>
          <w:rFonts w:hint="eastAsia" w:ascii="宋体" w:hAnsi="宋体" w:eastAsia="宋体" w:cs="宋体"/>
        </w:rPr>
        <w:fldChar w:fldCharType="separate"/>
      </w:r>
      <w:r>
        <w:rPr>
          <w:rFonts w:hint="eastAsia" w:ascii="宋体" w:hAnsi="宋体" w:eastAsia="宋体" w:cs="宋体"/>
          <w:i w:val="0"/>
          <w:szCs w:val="21"/>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_Toc11701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338C869">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_Toc5820 </w:instrText>
      </w:r>
      <w:r>
        <w:rPr>
          <w:rFonts w:hint="eastAsia" w:ascii="宋体" w:hAnsi="宋体" w:eastAsia="宋体" w:cs="宋体"/>
        </w:rPr>
        <w:fldChar w:fldCharType="separate"/>
      </w:r>
      <w:r>
        <w:rPr>
          <w:rFonts w:hint="eastAsia" w:ascii="宋体" w:hAnsi="宋体" w:eastAsia="宋体" w:cs="宋体"/>
          <w:i w:val="0"/>
          <w:szCs w:val="21"/>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_Toc5820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D96034A">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_Toc30663 </w:instrText>
      </w:r>
      <w:r>
        <w:rPr>
          <w:rFonts w:hint="eastAsia" w:ascii="宋体" w:hAnsi="宋体" w:eastAsia="宋体" w:cs="宋体"/>
        </w:rPr>
        <w:fldChar w:fldCharType="separate"/>
      </w:r>
      <w:r>
        <w:rPr>
          <w:rFonts w:hint="eastAsia" w:ascii="宋体" w:hAnsi="宋体" w:eastAsia="宋体" w:cs="宋体"/>
          <w:i w:val="0"/>
          <w:szCs w:val="21"/>
        </w:rPr>
        <w:t xml:space="preserve">3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_Toc30663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628EBBA">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_Toc25198 </w:instrText>
      </w:r>
      <w:r>
        <w:rPr>
          <w:rFonts w:hint="eastAsia" w:ascii="宋体" w:hAnsi="宋体" w:eastAsia="宋体" w:cs="宋体"/>
        </w:rPr>
        <w:fldChar w:fldCharType="separate"/>
      </w:r>
      <w:r>
        <w:rPr>
          <w:rFonts w:hint="eastAsia" w:ascii="宋体" w:hAnsi="宋体" w:eastAsia="宋体" w:cs="宋体"/>
          <w:i w:val="0"/>
          <w:szCs w:val="21"/>
          <w:lang w:eastAsia="zh-Hans"/>
        </w:rPr>
        <w:t xml:space="preserve">4 </w:t>
      </w:r>
      <w:r>
        <w:rPr>
          <w:rFonts w:hint="eastAsia" w:ascii="宋体" w:hAnsi="宋体" w:eastAsia="宋体" w:cs="宋体"/>
        </w:rPr>
        <w:t>产品分类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_Toc25198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0B0BB2A">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_Toc6699 </w:instrText>
      </w:r>
      <w:r>
        <w:rPr>
          <w:rFonts w:hint="eastAsia" w:ascii="宋体" w:hAnsi="宋体" w:eastAsia="宋体" w:cs="宋体"/>
        </w:rPr>
        <w:fldChar w:fldCharType="separate"/>
      </w:r>
      <w:r>
        <w:rPr>
          <w:rFonts w:hint="eastAsia" w:ascii="宋体" w:hAnsi="宋体" w:eastAsia="宋体" w:cs="宋体"/>
          <w:i w:val="0"/>
          <w:szCs w:val="21"/>
          <w:lang w:eastAsia="zh-Hans"/>
        </w:rPr>
        <w:t xml:space="preserve">5 </w:t>
      </w:r>
      <w:r>
        <w:rPr>
          <w:rFonts w:hint="eastAsia" w:ascii="宋体" w:hAnsi="宋体" w:eastAsia="宋体" w:cs="宋体"/>
        </w:rPr>
        <w:t>原料要求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_Toc6699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6C1FD334">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_Toc9451 </w:instrText>
      </w:r>
      <w:r>
        <w:rPr>
          <w:rFonts w:hint="eastAsia" w:ascii="宋体" w:hAnsi="宋体" w:eastAsia="宋体" w:cs="宋体"/>
        </w:rPr>
        <w:fldChar w:fldCharType="separate"/>
      </w:r>
      <w:r>
        <w:rPr>
          <w:rFonts w:hint="eastAsia" w:ascii="宋体" w:hAnsi="宋体" w:eastAsia="宋体" w:cs="宋体"/>
          <w:i w:val="0"/>
          <w:szCs w:val="21"/>
          <w:lang w:eastAsia="zh-Hans"/>
        </w:rPr>
        <w:t xml:space="preserve">6 </w:t>
      </w:r>
      <w:r>
        <w:rPr>
          <w:rFonts w:hint="eastAsia" w:ascii="宋体" w:hAnsi="宋体" w:eastAsia="宋体" w:cs="宋体"/>
        </w:rPr>
        <w:t>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_Toc9451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6955BB0E">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_Toc31755 </w:instrText>
      </w:r>
      <w:r>
        <w:rPr>
          <w:rFonts w:hint="eastAsia" w:ascii="宋体" w:hAnsi="宋体" w:eastAsia="宋体" w:cs="宋体"/>
        </w:rPr>
        <w:fldChar w:fldCharType="separate"/>
      </w:r>
      <w:r>
        <w:rPr>
          <w:rFonts w:hint="eastAsia" w:ascii="宋体" w:hAnsi="宋体" w:eastAsia="宋体" w:cs="宋体"/>
          <w:i w:val="0"/>
          <w:szCs w:val="21"/>
          <w:lang w:eastAsia="zh-Hans"/>
        </w:rPr>
        <w:t xml:space="preserve">7 </w:t>
      </w:r>
      <w:r>
        <w:rPr>
          <w:rFonts w:hint="eastAsia" w:ascii="宋体" w:hAnsi="宋体" w:eastAsia="宋体" w:cs="宋体"/>
        </w:rPr>
        <w:t>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_Toc31755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3CA97120">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_Toc27433 </w:instrText>
      </w:r>
      <w:r>
        <w:rPr>
          <w:rFonts w:hint="eastAsia" w:ascii="宋体" w:hAnsi="宋体" w:eastAsia="宋体" w:cs="宋体"/>
        </w:rPr>
        <w:fldChar w:fldCharType="separate"/>
      </w:r>
      <w:r>
        <w:rPr>
          <w:rFonts w:hint="eastAsia" w:ascii="宋体" w:hAnsi="宋体" w:eastAsia="宋体" w:cs="宋体"/>
          <w:i w:val="0"/>
          <w:szCs w:val="21"/>
          <w:lang w:eastAsia="zh-Hans"/>
        </w:rPr>
        <w:t xml:space="preserve">8 </w:t>
      </w:r>
      <w:r>
        <w:rPr>
          <w:rFonts w:hint="eastAsia" w:ascii="宋体" w:hAnsi="宋体" w:eastAsia="宋体" w:cs="宋体"/>
        </w:rPr>
        <w:t>检验规则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_Toc27433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3F2762E8">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_Toc21161 </w:instrText>
      </w:r>
      <w:r>
        <w:rPr>
          <w:rFonts w:hint="eastAsia" w:ascii="宋体" w:hAnsi="宋体" w:eastAsia="宋体" w:cs="宋体"/>
        </w:rPr>
        <w:fldChar w:fldCharType="separate"/>
      </w:r>
      <w:r>
        <w:rPr>
          <w:rFonts w:hint="eastAsia" w:ascii="宋体" w:hAnsi="宋体" w:eastAsia="宋体" w:cs="宋体"/>
          <w:i w:val="0"/>
          <w:szCs w:val="21"/>
        </w:rPr>
        <w:t xml:space="preserve">9 </w:t>
      </w:r>
      <w:r>
        <w:rPr>
          <w:rFonts w:hint="eastAsia" w:ascii="宋体" w:hAnsi="宋体" w:eastAsia="宋体" w:cs="宋体"/>
        </w:rPr>
        <w:t>标志、包装、运输及贮存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_Toc21161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4990E972">
      <w:pPr>
        <w:pStyle w:val="2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_Toc30709 </w:instrText>
      </w:r>
      <w:r>
        <w:rPr>
          <w:rFonts w:hint="eastAsia" w:ascii="宋体" w:hAnsi="宋体" w:eastAsia="宋体" w:cs="宋体"/>
        </w:rPr>
        <w:fldChar w:fldCharType="separate"/>
      </w:r>
      <w:r>
        <w:rPr>
          <w:rFonts w:hint="eastAsia" w:ascii="宋体" w:hAnsi="宋体" w:eastAsia="宋体" w:cs="宋体"/>
          <w:i w:val="0"/>
          <w:spacing w:val="0"/>
          <w:w w:val="100"/>
          <w:lang w:eastAsia="zh-Hans"/>
        </w:rPr>
        <w:t>附录A</w:t>
      </w:r>
      <w:r>
        <w:rPr>
          <w:rFonts w:hint="eastAsia" w:ascii="宋体" w:hAnsi="宋体" w:eastAsia="宋体" w:cs="宋体"/>
        </w:rPr>
        <w:t>（规范性）聚合态铝Al</w:t>
      </w:r>
      <w:r>
        <w:rPr>
          <w:rFonts w:hint="eastAsia" w:ascii="宋体" w:hAnsi="宋体" w:eastAsia="宋体" w:cs="宋体"/>
          <w:vertAlign w:val="subscript"/>
        </w:rPr>
        <w:t>13</w:t>
      </w:r>
      <w:r>
        <w:rPr>
          <w:rFonts w:hint="eastAsia" w:ascii="宋体" w:hAnsi="宋体" w:eastAsia="宋体" w:cs="宋体"/>
        </w:rPr>
        <w:t>质量分数的测试方法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_Toc30709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79B016AE">
      <w:pPr>
        <w:pStyle w:val="21"/>
        <w:tabs>
          <w:tab w:val="right" w:leader="dot" w:pos="9355"/>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_Toc19799 </w:instrText>
      </w:r>
      <w:r>
        <w:rPr>
          <w:rFonts w:hint="eastAsia" w:ascii="宋体" w:hAnsi="宋体" w:eastAsia="宋体" w:cs="宋体"/>
        </w:rPr>
        <w:fldChar w:fldCharType="separate"/>
      </w:r>
      <w:r>
        <w:rPr>
          <w:rFonts w:hint="eastAsia" w:ascii="宋体" w:hAnsi="宋体" w:eastAsia="宋体" w:cs="宋体"/>
          <w:i w:val="0"/>
          <w:spacing w:val="0"/>
          <w:w w:val="100"/>
          <w:lang w:val="en-US" w:eastAsia="zh-CN" w:bidi="ar-SA"/>
        </w:rPr>
        <w:t>附录B</w:t>
      </w:r>
      <w:r>
        <w:rPr>
          <w:rFonts w:hint="eastAsia" w:ascii="宋体" w:hAnsi="宋体" w:eastAsia="宋体" w:cs="宋体"/>
          <w:lang w:val="en-US" w:eastAsia="zh-CN" w:bidi="ar-SA"/>
        </w:rPr>
        <w:t>（规范性）平均粒径测定方法（动态光散射法</w:t>
      </w:r>
      <w:r>
        <w:rPr>
          <w:rFonts w:hint="eastAsia" w:ascii="宋体" w:hAnsi="宋体" w:eastAsia="宋体" w:cs="宋体"/>
          <w:lang w:eastAsia="zh-CN"/>
        </w:rPr>
        <w:t>）</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_Toc19799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1912D547">
      <w:r>
        <w:fldChar w:fldCharType="end"/>
      </w:r>
    </w:p>
    <w:p w14:paraId="64BA9CB2">
      <w:pPr>
        <w:pStyle w:val="25"/>
        <w:ind w:firstLine="0" w:firstLineChars="0"/>
        <w:rPr>
          <w:rFonts w:ascii="Times New Roman"/>
        </w:rPr>
        <w:sectPr>
          <w:headerReference r:id="rId6" w:type="first"/>
          <w:footerReference r:id="rId9" w:type="first"/>
          <w:headerReference r:id="rId5" w:type="default"/>
          <w:footerReference r:id="rId7" w:type="default"/>
          <w:footerReference r:id="rId8" w:type="even"/>
          <w:pgSz w:w="11906" w:h="16838"/>
          <w:pgMar w:top="567" w:right="1134" w:bottom="1134" w:left="1417" w:header="1418" w:footer="1134" w:gutter="0"/>
          <w:pgNumType w:fmt="upperRoman" w:start="1"/>
          <w:cols w:space="720" w:num="1"/>
          <w:formProt w:val="0"/>
          <w:titlePg/>
          <w:docGrid w:type="lines" w:linePitch="312" w:charSpace="0"/>
        </w:sectPr>
      </w:pPr>
      <w:r>
        <w:rPr>
          <w:rFonts w:hint="eastAsia"/>
        </w:rPr>
        <w:fldChar w:fldCharType="end"/>
      </w:r>
      <w:bookmarkStart w:id="11" w:name="_Toc2985"/>
    </w:p>
    <w:p w14:paraId="3A5F3649">
      <w:pPr>
        <w:pStyle w:val="98"/>
        <w:spacing w:before="1120"/>
        <w:rPr>
          <w:rFonts w:hint="eastAsia" w:hAnsi="黑体" w:cs="黑体"/>
        </w:rPr>
      </w:pPr>
      <w:bookmarkStart w:id="12" w:name="_Toc2772"/>
      <w:r>
        <w:rPr>
          <w:rFonts w:hint="eastAsia" w:hAnsi="黑体" w:cs="黑体"/>
        </w:rPr>
        <w:t>前</w:t>
      </w:r>
      <w:bookmarkStart w:id="13" w:name="BKQY"/>
      <w:r>
        <w:rPr>
          <w:rFonts w:hint="eastAsia" w:hAnsi="黑体" w:cs="黑体"/>
        </w:rPr>
        <w:t>  言</w:t>
      </w:r>
      <w:bookmarkEnd w:id="5"/>
      <w:bookmarkEnd w:id="6"/>
      <w:bookmarkEnd w:id="7"/>
      <w:bookmarkEnd w:id="8"/>
      <w:bookmarkEnd w:id="9"/>
      <w:bookmarkEnd w:id="11"/>
      <w:bookmarkEnd w:id="12"/>
      <w:bookmarkEnd w:id="13"/>
    </w:p>
    <w:p w14:paraId="0F2037D0">
      <w:pPr>
        <w:pStyle w:val="25"/>
        <w:rPr>
          <w:rFonts w:hint="eastAsia"/>
        </w:rPr>
      </w:pPr>
      <w:r>
        <w:rPr>
          <w:rFonts w:hint="eastAsia"/>
        </w:rPr>
        <w:t>本文件按照GB/T 1.1</w:t>
      </w:r>
      <w:r>
        <w:t>—</w:t>
      </w:r>
      <w:r>
        <w:rPr>
          <w:rFonts w:hint="eastAsia"/>
        </w:rPr>
        <w:t>2020《标准化工作导则 第 1 部分：标准化文件的结构和起草规则》的规</w:t>
      </w:r>
      <w:r>
        <w:rPr>
          <w:rFonts w:hint="eastAsia"/>
          <w:lang w:eastAsia="zh-Hans"/>
        </w:rPr>
        <w:t>定</w:t>
      </w:r>
      <w:r>
        <w:rPr>
          <w:rFonts w:hint="eastAsia"/>
        </w:rPr>
        <w:t>起草。</w:t>
      </w:r>
    </w:p>
    <w:p w14:paraId="541B7085">
      <w:pPr>
        <w:pStyle w:val="25"/>
        <w:rPr>
          <w:rFonts w:hint="eastAsia"/>
        </w:rPr>
      </w:pPr>
      <w:r>
        <w:rPr>
          <w:rFonts w:hint="eastAsia"/>
        </w:rPr>
        <w:t>请注意本文件的某些内容可能涉及专利</w:t>
      </w:r>
      <w:r>
        <w:rPr>
          <w:rFonts w:hint="eastAsia"/>
          <w:lang w:eastAsia="zh-Hans"/>
        </w:rPr>
        <w:t>。</w:t>
      </w:r>
      <w:r>
        <w:t>本文件</w:t>
      </w:r>
      <w:r>
        <w:rPr>
          <w:rFonts w:hint="eastAsia"/>
        </w:rPr>
        <w:t>的发布机构不承担识别专利的责任。</w:t>
      </w:r>
    </w:p>
    <w:p w14:paraId="263C879D">
      <w:pPr>
        <w:pStyle w:val="25"/>
        <w:rPr>
          <w:rFonts w:hint="eastAsia"/>
        </w:rPr>
      </w:pPr>
      <w:r>
        <w:t>本文件</w:t>
      </w:r>
      <w:r>
        <w:rPr>
          <w:rFonts w:hint="eastAsia"/>
        </w:rPr>
        <w:t>由</w:t>
      </w:r>
      <w:r>
        <w:rPr>
          <w:lang w:eastAsia="zh-Hans"/>
        </w:rPr>
        <w:t>中国食品药品企业质量安全促进会</w:t>
      </w:r>
      <w:r>
        <w:rPr>
          <w:rFonts w:hint="eastAsia"/>
        </w:rPr>
        <w:t>提出并归口管理。</w:t>
      </w:r>
    </w:p>
    <w:p w14:paraId="6007EF07">
      <w:pPr>
        <w:pStyle w:val="25"/>
        <w:rPr>
          <w:rFonts w:hint="eastAsia" w:hAnsi="宋体" w:cs="宋体"/>
          <w:szCs w:val="21"/>
          <w:lang w:eastAsia="zh-Hans"/>
        </w:rPr>
      </w:pPr>
      <w:r>
        <w:t>本文件</w:t>
      </w:r>
      <w:r>
        <w:rPr>
          <w:rFonts w:hint="eastAsia"/>
        </w:rPr>
        <w:t>主要起草单位：</w:t>
      </w:r>
      <w:r>
        <w:rPr>
          <w:lang w:eastAsia="zh-Hans"/>
        </w:rPr>
        <w:t>广州市自来水有限公司、长三角（义乌）生态环境研究中心</w:t>
      </w:r>
      <w:r>
        <w:rPr>
          <w:rFonts w:hint="eastAsia" w:hAnsi="宋体" w:cs="宋体"/>
          <w:szCs w:val="21"/>
          <w:lang w:eastAsia="zh-Hans"/>
        </w:rPr>
        <w:t>。。。</w:t>
      </w:r>
    </w:p>
    <w:p w14:paraId="686500D3">
      <w:pPr>
        <w:pStyle w:val="25"/>
        <w:rPr>
          <w:rFonts w:hint="eastAsia" w:hAnsi="宋体" w:cs="宋体"/>
          <w:szCs w:val="21"/>
          <w:lang w:eastAsia="zh-Hans"/>
        </w:rPr>
      </w:pPr>
      <w:r>
        <w:rPr>
          <w:rFonts w:hint="eastAsia" w:hAnsi="宋体" w:cs="宋体"/>
          <w:szCs w:val="21"/>
          <w:lang w:eastAsia="zh-Hans"/>
        </w:rPr>
        <w:t>本文件主要起草人：</w:t>
      </w:r>
      <w:r>
        <w:rPr>
          <w:lang w:eastAsia="zh-Hans"/>
        </w:rPr>
        <w:t>XXXXXXXX</w:t>
      </w:r>
      <w:r>
        <w:rPr>
          <w:rFonts w:hint="eastAsia" w:hAnsi="宋体" w:cs="宋体"/>
          <w:szCs w:val="21"/>
          <w:lang w:eastAsia="zh-Hans"/>
        </w:rPr>
        <w:t>。</w:t>
      </w:r>
    </w:p>
    <w:p w14:paraId="5339EEA0">
      <w:pPr>
        <w:pStyle w:val="25"/>
        <w:rPr>
          <w:rFonts w:hint="eastAsia" w:hAnsi="宋体" w:cs="宋体"/>
          <w:szCs w:val="21"/>
          <w:lang w:eastAsia="zh-Hans"/>
        </w:rPr>
        <w:sectPr>
          <w:headerReference r:id="rId10" w:type="default"/>
          <w:footerReference r:id="rId11" w:type="default"/>
          <w:footerReference r:id="rId12" w:type="even"/>
          <w:pgSz w:w="11906" w:h="16838"/>
          <w:pgMar w:top="567" w:right="1134" w:bottom="1134" w:left="1417" w:header="1418" w:footer="1134" w:gutter="0"/>
          <w:pgNumType w:fmt="upperRoman"/>
          <w:cols w:space="720" w:num="1"/>
          <w:formProt w:val="0"/>
          <w:docGrid w:type="lines" w:linePitch="312" w:charSpace="0"/>
        </w:sectPr>
      </w:pPr>
    </w:p>
    <w:p w14:paraId="77B6BB09">
      <w:pPr>
        <w:pStyle w:val="107"/>
        <w:rPr>
          <w:lang w:eastAsia="zh-Hans"/>
        </w:rPr>
      </w:pPr>
      <w:bookmarkStart w:id="14" w:name="_Toc28064"/>
      <w:bookmarkStart w:id="15" w:name="_Toc13661"/>
      <w:bookmarkStart w:id="16" w:name="_Toc489260115"/>
      <w:bookmarkStart w:id="17" w:name="_Toc489260165"/>
      <w:r>
        <w:rPr>
          <w:lang w:eastAsia="zh-Hans"/>
        </w:rPr>
        <w:t>生活饮用水处理用高纯纳米型聚氯化铝</w:t>
      </w:r>
      <w:bookmarkEnd w:id="14"/>
      <w:bookmarkEnd w:id="15"/>
    </w:p>
    <w:p w14:paraId="66EA2C32">
      <w:pPr>
        <w:ind w:firstLine="420" w:firstLineChars="200"/>
        <w:jc w:val="left"/>
        <w:rPr>
          <w:rFonts w:hint="eastAsia" w:ascii="黑体" w:hAnsi="黑体" w:eastAsia="黑体"/>
          <w:szCs w:val="21"/>
        </w:rPr>
      </w:pPr>
      <w:r>
        <w:rPr>
          <w:rFonts w:hint="eastAsia" w:ascii="黑体" w:hAnsi="黑体" w:eastAsia="黑体"/>
          <w:szCs w:val="21"/>
        </w:rPr>
        <w:t>警示——水处理剂纳米型聚氯化铝具有一定的腐蚀性和刺激性，操作人员进行作业时，应佩戴防护用具，避免吸入或与人体直接接触。如不慎接触，应立即用大量水冲洗，严重时立即就医。本文件并未指出所有可能的安全问题，使用者有责任采取适当的安全和健康措施，并保证符合国家有关法规规定的条件。</w:t>
      </w:r>
    </w:p>
    <w:p w14:paraId="5FF29702">
      <w:pPr>
        <w:pStyle w:val="119"/>
        <w:outlineLvl w:val="0"/>
      </w:pPr>
      <w:bookmarkStart w:id="18" w:name="_Toc19828080"/>
      <w:bookmarkStart w:id="19" w:name="_Toc19875975"/>
      <w:bookmarkStart w:id="20" w:name="_Toc19826643"/>
      <w:bookmarkStart w:id="21" w:name="_Toc1953217429_WPSOffice_Level1"/>
      <w:bookmarkStart w:id="22" w:name="_Toc19828131"/>
      <w:bookmarkStart w:id="23" w:name="_Toc164989449_WPSOffice_Level1"/>
      <w:bookmarkStart w:id="24" w:name="_Toc8071"/>
      <w:bookmarkStart w:id="25" w:name="_Toc19828165"/>
      <w:bookmarkStart w:id="26" w:name="_Toc11701"/>
      <w:bookmarkStart w:id="27" w:name="_Toc16253"/>
      <w:bookmarkStart w:id="28" w:name="_Toc21516967"/>
      <w:bookmarkStart w:id="29" w:name="_Toc22722"/>
      <w: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9AB2F0B">
      <w:pPr>
        <w:ind w:firstLine="420" w:firstLineChars="200"/>
        <w:rPr>
          <w:rFonts w:hint="eastAsia" w:ascii="宋体" w:hAnsi="宋体" w:cs="宋体"/>
          <w:szCs w:val="20"/>
        </w:rPr>
      </w:pPr>
      <w:r>
        <w:rPr>
          <w:rFonts w:hint="eastAsia" w:ascii="宋体" w:hAnsi="宋体" w:cs="宋体"/>
          <w:szCs w:val="20"/>
        </w:rPr>
        <w:t>本文件规定了水处理剂高纯纳米型聚氯化铝（以下简称为纳米聚合铝）的产品分类、原料要求、技术要求、试验方法、检验规则、标志、包装、运输和贮存。</w:t>
      </w:r>
    </w:p>
    <w:p w14:paraId="7F608964">
      <w:pPr>
        <w:ind w:firstLine="420" w:firstLineChars="200"/>
        <w:rPr>
          <w:rFonts w:hint="eastAsia" w:ascii="宋体" w:hAnsi="宋体" w:cs="宋体"/>
          <w:szCs w:val="20"/>
        </w:rPr>
      </w:pPr>
      <w:r>
        <w:rPr>
          <w:rFonts w:hint="eastAsia" w:ascii="宋体" w:hAnsi="宋体" w:cs="宋体"/>
          <w:iCs/>
          <w:szCs w:val="21"/>
        </w:rPr>
        <w:t>本文件适用于由铝、氯和氢氧基团构成的高效混凝的饮用水处理用纳米聚合铝，该产品聚合态铝（Al</w:t>
      </w:r>
      <w:r>
        <w:rPr>
          <w:rFonts w:hint="eastAsia" w:ascii="宋体" w:hAnsi="宋体" w:cs="宋体"/>
          <w:iCs/>
          <w:szCs w:val="21"/>
          <w:vertAlign w:val="subscript"/>
        </w:rPr>
        <w:t>13</w:t>
      </w:r>
      <w:r>
        <w:rPr>
          <w:rFonts w:hint="eastAsia" w:ascii="宋体" w:hAnsi="宋体" w:cs="宋体"/>
          <w:iCs/>
          <w:szCs w:val="21"/>
        </w:rPr>
        <w:t>）含量不小于70%，平均粒径不大于100 nm，主要用于水库水、江河水、地下水和其他各种天然水体处理。</w:t>
      </w:r>
    </w:p>
    <w:p w14:paraId="5727CCB9">
      <w:pPr>
        <w:ind w:firstLine="420" w:firstLineChars="200"/>
        <w:rPr>
          <w:rFonts w:hint="eastAsia" w:ascii="宋体" w:hAnsi="宋体"/>
          <w:szCs w:val="21"/>
        </w:rPr>
      </w:pPr>
      <w:r>
        <w:rPr>
          <w:rFonts w:hint="eastAsia" w:ascii="宋体" w:hAnsi="宋体" w:cs="宋体"/>
          <w:bCs/>
          <w:szCs w:val="20"/>
        </w:rPr>
        <w:t>分子式：[Al</w:t>
      </w:r>
      <w:r>
        <w:rPr>
          <w:rFonts w:hint="eastAsia" w:ascii="宋体" w:hAnsi="宋体" w:cs="宋体"/>
          <w:bCs/>
          <w:szCs w:val="20"/>
          <w:vertAlign w:val="subscript"/>
        </w:rPr>
        <w:t>2</w:t>
      </w:r>
      <w:r>
        <w:rPr>
          <w:rFonts w:hint="eastAsia" w:ascii="宋体" w:hAnsi="宋体" w:cs="宋体"/>
          <w:bCs/>
          <w:szCs w:val="20"/>
        </w:rPr>
        <w:t>(OH)</w:t>
      </w:r>
      <w:r>
        <w:rPr>
          <w:rFonts w:hint="eastAsia" w:ascii="宋体" w:hAnsi="宋体" w:cs="宋体"/>
          <w:bCs/>
          <w:szCs w:val="20"/>
          <w:vertAlign w:val="subscript"/>
        </w:rPr>
        <w:t>n</w:t>
      </w:r>
      <w:r>
        <w:rPr>
          <w:rFonts w:hint="eastAsia" w:ascii="宋体" w:hAnsi="宋体" w:cs="宋体"/>
          <w:bCs/>
          <w:szCs w:val="20"/>
        </w:rPr>
        <w:t>Cl</w:t>
      </w:r>
      <w:r>
        <w:rPr>
          <w:rFonts w:hint="eastAsia" w:ascii="宋体" w:hAnsi="宋体" w:cs="宋体"/>
          <w:bCs/>
          <w:szCs w:val="20"/>
          <w:vertAlign w:val="subscript"/>
        </w:rPr>
        <w:t>6-n</w:t>
      </w:r>
      <w:r>
        <w:rPr>
          <w:rFonts w:hint="eastAsia" w:ascii="宋体" w:hAnsi="宋体" w:cs="宋体"/>
          <w:bCs/>
          <w:szCs w:val="20"/>
        </w:rPr>
        <w:t>]</w:t>
      </w:r>
      <w:r>
        <w:rPr>
          <w:rFonts w:hint="eastAsia" w:ascii="宋体" w:hAnsi="宋体" w:cs="宋体"/>
          <w:bCs/>
          <w:szCs w:val="20"/>
          <w:vertAlign w:val="subscript"/>
        </w:rPr>
        <w:t>m</w:t>
      </w:r>
      <w:r>
        <w:rPr>
          <w:rFonts w:hint="eastAsia" w:ascii="宋体" w:hAnsi="宋体" w:cs="宋体"/>
          <w:bCs/>
          <w:szCs w:val="20"/>
        </w:rPr>
        <w:t>，其中</w:t>
      </w:r>
      <w:r>
        <w:rPr>
          <w:rFonts w:ascii="宋体" w:hAnsi="宋体" w:cs="宋体"/>
          <w:bCs/>
          <w:szCs w:val="20"/>
        </w:rPr>
        <w:t>[AlO</w:t>
      </w:r>
      <w:r>
        <w:rPr>
          <w:rFonts w:hint="eastAsia" w:ascii="Cambria Math" w:hAnsi="Cambria Math" w:cs="Cambria Math"/>
          <w:bCs/>
          <w:szCs w:val="20"/>
          <w:vertAlign w:val="subscript"/>
        </w:rPr>
        <w:t>4</w:t>
      </w:r>
      <w:r>
        <w:rPr>
          <w:rFonts w:ascii="宋体" w:hAnsi="宋体" w:cs="宋体"/>
          <w:bCs/>
          <w:szCs w:val="20"/>
        </w:rPr>
        <w:t>Al</w:t>
      </w:r>
      <w:r>
        <w:rPr>
          <w:rFonts w:ascii="宋体" w:hAnsi="宋体" w:cs="宋体"/>
          <w:bCs/>
          <w:szCs w:val="20"/>
          <w:vertAlign w:val="subscript"/>
        </w:rPr>
        <w:t>12</w:t>
      </w:r>
      <w:r>
        <w:rPr>
          <w:rFonts w:ascii="宋体" w:hAnsi="宋体" w:cs="宋体"/>
          <w:bCs/>
          <w:szCs w:val="20"/>
        </w:rPr>
        <w:t>(OH)</w:t>
      </w:r>
      <w:r>
        <w:rPr>
          <w:rFonts w:ascii="宋体" w:hAnsi="宋体" w:cs="宋体"/>
          <w:bCs/>
          <w:szCs w:val="20"/>
          <w:vertAlign w:val="subscript"/>
        </w:rPr>
        <w:t>24</w:t>
      </w:r>
      <w:r>
        <w:rPr>
          <w:rFonts w:ascii="宋体" w:hAnsi="宋体" w:cs="宋体"/>
          <w:bCs/>
          <w:szCs w:val="20"/>
        </w:rPr>
        <w:t>(H</w:t>
      </w:r>
      <w:r>
        <w:rPr>
          <w:rFonts w:hint="eastAsia" w:ascii="Cambria Math" w:hAnsi="Cambria Math" w:cs="Cambria Math"/>
          <w:bCs/>
          <w:szCs w:val="20"/>
          <w:vertAlign w:val="subscript"/>
        </w:rPr>
        <w:t>2</w:t>
      </w:r>
      <w:r>
        <w:rPr>
          <w:rFonts w:ascii="宋体" w:hAnsi="宋体" w:cs="宋体"/>
          <w:bCs/>
          <w:szCs w:val="20"/>
        </w:rPr>
        <w:t>O)</w:t>
      </w:r>
      <w:r>
        <w:rPr>
          <w:rFonts w:ascii="宋体" w:hAnsi="宋体" w:cs="宋体"/>
          <w:bCs/>
          <w:szCs w:val="20"/>
          <w:vertAlign w:val="subscript"/>
        </w:rPr>
        <w:t>12</w:t>
      </w:r>
      <w:r>
        <w:rPr>
          <w:rFonts w:ascii="宋体" w:hAnsi="宋体" w:cs="宋体"/>
          <w:bCs/>
          <w:szCs w:val="20"/>
        </w:rPr>
        <w:t>]</w:t>
      </w:r>
      <w:r>
        <w:rPr>
          <w:rFonts w:ascii="宋体" w:hAnsi="宋体" w:cs="宋体"/>
          <w:bCs/>
          <w:szCs w:val="20"/>
          <w:vertAlign w:val="superscript"/>
        </w:rPr>
        <w:t>7+</w:t>
      </w:r>
      <w:r>
        <w:rPr>
          <w:rFonts w:hint="eastAsia" w:ascii="宋体" w:hAnsi="宋体" w:cs="宋体"/>
          <w:bCs/>
          <w:szCs w:val="20"/>
        </w:rPr>
        <w:t>含量不小于70%</w:t>
      </w:r>
    </w:p>
    <w:p w14:paraId="0E4396DF">
      <w:pPr>
        <w:pStyle w:val="119"/>
        <w:outlineLvl w:val="0"/>
      </w:pPr>
      <w:bookmarkStart w:id="30" w:name="_Toc7188"/>
      <w:bookmarkStart w:id="31" w:name="_Toc13869"/>
      <w:bookmarkStart w:id="32" w:name="_Toc19828134"/>
      <w:bookmarkStart w:id="33" w:name="_Toc5820"/>
      <w:bookmarkStart w:id="34" w:name="_Toc489260168"/>
      <w:bookmarkStart w:id="35" w:name="_Toc19875976"/>
      <w:bookmarkStart w:id="36" w:name="_Toc19828166"/>
      <w:bookmarkStart w:id="37" w:name="_Toc1290301161_WPSOffice_Level1"/>
      <w:bookmarkStart w:id="38" w:name="_Toc8360"/>
      <w:bookmarkStart w:id="39" w:name="_Toc19826646"/>
      <w:bookmarkStart w:id="40" w:name="_Toc576281066_WPSOffice_Level1"/>
      <w:bookmarkStart w:id="41" w:name="_Toc489260118"/>
      <w:bookmarkStart w:id="42" w:name="_Toc19828083"/>
      <w:bookmarkStart w:id="43" w:name="_Toc21516968"/>
      <w: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012A394">
      <w:pPr>
        <w:ind w:firstLine="420" w:firstLineChars="200"/>
        <w:rPr>
          <w:rFonts w:hint="eastAsia" w:ascii="宋体" w:hAnsi="宋体"/>
          <w:kern w:val="0"/>
          <w:szCs w:val="20"/>
        </w:rPr>
      </w:pPr>
      <w:bookmarkStart w:id="44" w:name="_Toc489260177"/>
      <w:bookmarkStart w:id="45" w:name="_Toc489260131"/>
      <w:r>
        <w:rPr>
          <w:rFonts w:hint="eastAsia" w:ascii="宋体" w:hAnsi="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ascii="宋体" w:hAnsi="宋体"/>
          <w:kern w:val="0"/>
          <w:szCs w:val="20"/>
        </w:rPr>
        <w:t>。</w:t>
      </w:r>
      <w:bookmarkStart w:id="46" w:name="_Toc19875977"/>
    </w:p>
    <w:p w14:paraId="73102F2D">
      <w:pPr>
        <w:ind w:firstLine="420" w:firstLineChars="200"/>
        <w:rPr>
          <w:rFonts w:hint="eastAsia" w:ascii="宋体" w:hAnsi="宋体" w:cs="宋体"/>
        </w:rPr>
      </w:pPr>
      <w:bookmarkStart w:id="47" w:name="_Toc404628292_WPSOffice_Level1"/>
      <w:bookmarkStart w:id="48" w:name="_Toc24658"/>
      <w:bookmarkStart w:id="49" w:name="_Toc801745521_WPSOffice_Level1"/>
      <w:bookmarkStart w:id="50" w:name="_Toc21516969"/>
      <w:bookmarkStart w:id="51" w:name="_Toc8745"/>
      <w:bookmarkStart w:id="52" w:name="_Toc21351"/>
      <w:r>
        <w:rPr>
          <w:rFonts w:hint="eastAsia" w:ascii="宋体" w:hAnsi="宋体" w:cs="宋体"/>
        </w:rPr>
        <w:t>GB/T 191  包装储运图示标志</w:t>
      </w:r>
    </w:p>
    <w:p w14:paraId="50D37B1C">
      <w:pPr>
        <w:ind w:firstLine="420" w:firstLineChars="200"/>
        <w:rPr>
          <w:rFonts w:ascii="宋体" w:hAnsi="宋体" w:cs="宋体"/>
        </w:rPr>
      </w:pPr>
      <w:r>
        <w:rPr>
          <w:rFonts w:hint="eastAsia" w:ascii="宋体" w:hAnsi="宋体" w:cs="宋体"/>
          <w:lang w:eastAsia="zh-Hans"/>
        </w:rPr>
        <w:t xml:space="preserve">GB/T </w:t>
      </w:r>
      <w:r>
        <w:rPr>
          <w:rFonts w:hint="eastAsia" w:ascii="宋体" w:hAnsi="宋体" w:cs="宋体"/>
        </w:rPr>
        <w:t>320  工业用合成盐酸</w:t>
      </w:r>
    </w:p>
    <w:p w14:paraId="44AF069B">
      <w:pPr>
        <w:ind w:firstLine="420" w:firstLineChars="200"/>
        <w:rPr>
          <w:rFonts w:hint="eastAsia" w:ascii="宋体" w:hAnsi="宋体" w:cs="宋体"/>
        </w:rPr>
      </w:pPr>
      <w:r>
        <w:rPr>
          <w:rFonts w:hint="eastAsia" w:ascii="宋体" w:hAnsi="宋体" w:cs="宋体"/>
        </w:rPr>
        <w:t>GB/T 601  化学试剂  标准滴定溶液的制备</w:t>
      </w:r>
    </w:p>
    <w:p w14:paraId="4D452D2F">
      <w:pPr>
        <w:ind w:firstLine="420" w:firstLineChars="200"/>
        <w:rPr>
          <w:rFonts w:ascii="宋体" w:hAnsi="宋体" w:cs="宋体"/>
        </w:rPr>
      </w:pPr>
      <w:r>
        <w:rPr>
          <w:rFonts w:hint="eastAsia" w:ascii="宋体" w:hAnsi="宋体" w:cs="宋体"/>
        </w:rPr>
        <w:t>GB/T 602  化学试剂  杂质测定用标准溶液的制备</w:t>
      </w:r>
    </w:p>
    <w:p w14:paraId="73EFE028">
      <w:pPr>
        <w:ind w:firstLine="420" w:firstLineChars="200"/>
        <w:rPr>
          <w:rFonts w:ascii="宋体" w:hAnsi="宋体" w:cs="宋体"/>
        </w:rPr>
      </w:pPr>
      <w:r>
        <w:rPr>
          <w:rFonts w:hint="eastAsia" w:ascii="宋体" w:hAnsi="宋体" w:cs="宋体"/>
        </w:rPr>
        <w:t>GB/T 603  化学试剂  试验方法中所用制剂及制品的制备</w:t>
      </w:r>
    </w:p>
    <w:p w14:paraId="67EC5C48">
      <w:pPr>
        <w:ind w:firstLine="420" w:firstLineChars="200"/>
        <w:rPr>
          <w:rFonts w:hint="eastAsia" w:ascii="宋体" w:hAnsi="宋体" w:cs="宋体"/>
        </w:rPr>
      </w:pPr>
      <w:r>
        <w:rPr>
          <w:rFonts w:hint="eastAsia" w:ascii="宋体" w:hAnsi="宋体" w:cs="宋体"/>
        </w:rPr>
        <w:t>GB/T 610</w:t>
      </w:r>
      <w:r>
        <w:rPr>
          <w:rFonts w:hint="eastAsia" w:ascii="宋体" w:hAnsi="宋体" w:cs="宋体"/>
          <w:lang w:eastAsia="zh-CN"/>
        </w:rPr>
        <w:t>—</w:t>
      </w:r>
      <w:r>
        <w:rPr>
          <w:rFonts w:hint="eastAsia" w:ascii="宋体" w:hAnsi="宋体" w:cs="宋体"/>
        </w:rPr>
        <w:t>2008  化学试剂  砷测定通用方法</w:t>
      </w:r>
    </w:p>
    <w:p w14:paraId="423E8ED4">
      <w:pPr>
        <w:ind w:firstLine="420" w:firstLineChars="200"/>
        <w:rPr>
          <w:rFonts w:ascii="宋体" w:hAnsi="宋体" w:cs="宋体"/>
        </w:rPr>
      </w:pPr>
      <w:r>
        <w:rPr>
          <w:rFonts w:hint="eastAsia" w:ascii="宋体" w:hAnsi="宋体" w:cs="宋体"/>
        </w:rPr>
        <w:t>GB/T 4294  氢氧化铝</w:t>
      </w:r>
    </w:p>
    <w:p w14:paraId="509943E7">
      <w:pPr>
        <w:ind w:firstLine="420" w:firstLineChars="200"/>
        <w:rPr>
          <w:rFonts w:hint="eastAsia" w:ascii="宋体" w:hAnsi="宋体" w:cs="宋体"/>
        </w:rPr>
      </w:pPr>
      <w:bookmarkStart w:id="53" w:name="OLE_LINK11"/>
      <w:r>
        <w:rPr>
          <w:rFonts w:hint="eastAsia" w:ascii="宋体" w:hAnsi="宋体" w:cs="宋体"/>
        </w:rPr>
        <w:t xml:space="preserve">GB/T 5750.6—2023  生活饮用水标准检验方法 </w:t>
      </w:r>
      <w:r>
        <w:rPr>
          <w:rFonts w:hint="eastAsia" w:ascii="宋体" w:hAnsi="宋体" w:cs="宋体"/>
          <w:lang w:val="en-US" w:eastAsia="zh-CN"/>
        </w:rPr>
        <w:t xml:space="preserve"> </w:t>
      </w:r>
      <w:r>
        <w:rPr>
          <w:rFonts w:hint="eastAsia" w:ascii="宋体" w:hAnsi="宋体" w:cs="宋体"/>
        </w:rPr>
        <w:t>第6部分：金属和类金属指标</w:t>
      </w:r>
    </w:p>
    <w:bookmarkEnd w:id="53"/>
    <w:p w14:paraId="5A9BDC9B">
      <w:pPr>
        <w:ind w:firstLine="420" w:firstLineChars="200"/>
        <w:rPr>
          <w:rFonts w:hint="eastAsia" w:ascii="宋体" w:hAnsi="宋体" w:cs="宋体"/>
        </w:rPr>
      </w:pPr>
      <w:r>
        <w:rPr>
          <w:rFonts w:hint="eastAsia" w:ascii="宋体" w:hAnsi="宋体" w:cs="宋体"/>
        </w:rPr>
        <w:t>GB/T 6678  化工产品采样总则</w:t>
      </w:r>
    </w:p>
    <w:p w14:paraId="2A913F23">
      <w:pPr>
        <w:ind w:firstLine="420" w:firstLineChars="200"/>
        <w:rPr>
          <w:rFonts w:hint="eastAsia" w:ascii="宋体" w:hAnsi="宋体" w:cs="宋体"/>
        </w:rPr>
      </w:pPr>
      <w:r>
        <w:rPr>
          <w:rFonts w:hint="eastAsia" w:ascii="宋体" w:hAnsi="宋体" w:cs="宋体"/>
        </w:rPr>
        <w:t>GB/T 6682</w:t>
      </w:r>
      <w:r>
        <w:rPr>
          <w:rFonts w:hint="eastAsia" w:ascii="宋体" w:hAnsi="宋体" w:cs="宋体"/>
          <w:lang w:eastAsia="zh-CN"/>
        </w:rPr>
        <w:t>—</w:t>
      </w:r>
      <w:r>
        <w:rPr>
          <w:rFonts w:hint="eastAsia" w:ascii="宋体" w:hAnsi="宋体" w:cs="宋体"/>
          <w:lang w:val="en-US" w:eastAsia="zh-CN"/>
        </w:rPr>
        <w:t>2008</w:t>
      </w:r>
      <w:r>
        <w:rPr>
          <w:rFonts w:hint="eastAsia" w:ascii="宋体" w:hAnsi="宋体" w:cs="宋体"/>
        </w:rPr>
        <w:t xml:space="preserve">  分析实验室用水规格和试验方法</w:t>
      </w:r>
    </w:p>
    <w:p w14:paraId="5A8EA2EF">
      <w:pPr>
        <w:ind w:firstLine="420" w:firstLineChars="200"/>
        <w:rPr>
          <w:rFonts w:ascii="宋体" w:hAnsi="宋体" w:cs="宋体"/>
        </w:rPr>
      </w:pPr>
      <w:r>
        <w:rPr>
          <w:rFonts w:hint="eastAsia" w:ascii="宋体" w:hAnsi="宋体" w:cs="宋体"/>
        </w:rPr>
        <w:t>GB/T 8170  数值修约规则与极限数值的表示和判定</w:t>
      </w:r>
    </w:p>
    <w:p w14:paraId="74A655C6">
      <w:pPr>
        <w:ind w:firstLine="420" w:firstLineChars="200"/>
        <w:rPr>
          <w:rFonts w:ascii="宋体" w:hAnsi="宋体" w:cs="宋体"/>
        </w:rPr>
      </w:pPr>
      <w:r>
        <w:rPr>
          <w:rFonts w:hint="eastAsia" w:ascii="宋体" w:hAnsi="宋体" w:cs="宋体"/>
        </w:rPr>
        <w:t>GB/T 15445.2—2006  粒度分析结果的表述  第2部分：由粒度分布计算平均粒径/直径和各次矩</w:t>
      </w:r>
    </w:p>
    <w:p w14:paraId="476FD893">
      <w:pPr>
        <w:ind w:firstLine="420" w:firstLineChars="200"/>
        <w:rPr>
          <w:rFonts w:hint="eastAsia" w:ascii="宋体" w:hAnsi="宋体" w:cs="宋体"/>
        </w:rPr>
      </w:pPr>
      <w:r>
        <w:rPr>
          <w:rFonts w:hint="eastAsia" w:ascii="宋体" w:hAnsi="宋体" w:cs="宋体"/>
        </w:rPr>
        <w:t>GB/T 15456—2008 工业循环冷却水中需氧量(COD)的测定高锰酸法</w:t>
      </w:r>
    </w:p>
    <w:p w14:paraId="69060978">
      <w:pPr>
        <w:ind w:firstLine="420" w:firstLineChars="200"/>
        <w:rPr>
          <w:rFonts w:ascii="宋体" w:hAnsi="宋体" w:cs="宋体"/>
        </w:rPr>
      </w:pPr>
      <w:r>
        <w:rPr>
          <w:rFonts w:hint="eastAsia" w:ascii="宋体" w:hAnsi="宋体" w:cs="宋体"/>
        </w:rPr>
        <w:t>GB 15892—2020  生活饮用水用聚氯化铝</w:t>
      </w:r>
    </w:p>
    <w:p w14:paraId="38675D39">
      <w:pPr>
        <w:ind w:firstLine="420" w:firstLineChars="200"/>
        <w:rPr>
          <w:rFonts w:ascii="宋体" w:hAnsi="宋体" w:cs="宋体"/>
        </w:rPr>
      </w:pPr>
      <w:r>
        <w:rPr>
          <w:rFonts w:hint="eastAsia" w:ascii="宋体" w:hAnsi="宋体" w:cs="宋体"/>
        </w:rPr>
        <w:t>GB/T 22592  水处理剂pH值测定方法通则</w:t>
      </w:r>
    </w:p>
    <w:p w14:paraId="5B238573">
      <w:pPr>
        <w:ind w:firstLine="420" w:firstLineChars="200"/>
        <w:rPr>
          <w:rFonts w:hint="eastAsia" w:ascii="宋体" w:hAnsi="宋体" w:cs="宋体"/>
        </w:rPr>
      </w:pPr>
      <w:r>
        <w:rPr>
          <w:rFonts w:hint="eastAsia" w:ascii="宋体" w:hAnsi="宋体" w:cs="宋体"/>
        </w:rPr>
        <w:t>GB/T 22594—2018  水处理剂密度测定方法通则</w:t>
      </w:r>
    </w:p>
    <w:p w14:paraId="614A9599">
      <w:pPr>
        <w:ind w:firstLine="420" w:firstLineChars="200"/>
        <w:rPr>
          <w:rFonts w:hint="eastAsia" w:ascii="宋体" w:hAnsi="宋体" w:cs="宋体"/>
        </w:rPr>
      </w:pPr>
      <w:r>
        <w:rPr>
          <w:rFonts w:hint="eastAsia" w:ascii="宋体" w:hAnsi="宋体" w:cs="宋体"/>
        </w:rPr>
        <w:t xml:space="preserve">GB/T 22596  水处理剂 </w:t>
      </w:r>
      <w:r>
        <w:rPr>
          <w:rFonts w:hint="eastAsia" w:ascii="宋体" w:hAnsi="宋体" w:cs="宋体"/>
          <w:lang w:val="en-US" w:eastAsia="zh-CN"/>
        </w:rPr>
        <w:t xml:space="preserve"> </w:t>
      </w:r>
      <w:r>
        <w:rPr>
          <w:rFonts w:hint="eastAsia" w:ascii="宋体" w:hAnsi="宋体" w:cs="宋体"/>
        </w:rPr>
        <w:t>铁含量测定方法通则</w:t>
      </w:r>
    </w:p>
    <w:p w14:paraId="1F5EB1DF">
      <w:pPr>
        <w:ind w:firstLine="420" w:firstLineChars="200"/>
        <w:rPr>
          <w:rFonts w:ascii="宋体" w:hAnsi="宋体"/>
        </w:rPr>
      </w:pPr>
      <w:bookmarkStart w:id="54" w:name="OLE_LINK1"/>
      <w:r>
        <w:rPr>
          <w:rFonts w:hint="eastAsia" w:ascii="宋体" w:hAnsi="宋体"/>
        </w:rPr>
        <w:t>GB/T 22627—2022</w:t>
      </w:r>
      <w:bookmarkEnd w:id="54"/>
      <w:r>
        <w:rPr>
          <w:rFonts w:hint="eastAsia" w:ascii="宋体" w:hAnsi="宋体"/>
        </w:rPr>
        <w:t xml:space="preserve">  水处理剂  聚氯化铝</w:t>
      </w:r>
    </w:p>
    <w:p w14:paraId="6867DD57">
      <w:pPr>
        <w:ind w:firstLine="420" w:firstLineChars="200"/>
        <w:rPr>
          <w:rFonts w:hint="eastAsia" w:ascii="宋体" w:hAnsi="宋体"/>
        </w:rPr>
      </w:pPr>
      <w:r>
        <w:rPr>
          <w:rFonts w:ascii="宋体" w:hAnsi="宋体"/>
        </w:rPr>
        <w:t>GB/T 29022</w:t>
      </w:r>
      <w:r>
        <w:rPr>
          <w:rFonts w:hint="eastAsia" w:ascii="宋体" w:hAnsi="宋体"/>
        </w:rPr>
        <w:t>—</w:t>
      </w:r>
      <w:r>
        <w:rPr>
          <w:rFonts w:ascii="宋体" w:hAnsi="宋体"/>
        </w:rPr>
        <w:t>2021</w:t>
      </w:r>
      <w:r>
        <w:rPr>
          <w:rFonts w:hint="eastAsia" w:ascii="宋体" w:hAnsi="宋体"/>
        </w:rPr>
        <w:t xml:space="preserve">  粒度分析 </w:t>
      </w:r>
      <w:r>
        <w:rPr>
          <w:rFonts w:hint="eastAsia" w:ascii="宋体" w:hAnsi="宋体"/>
          <w:lang w:val="en-US" w:eastAsia="zh-CN"/>
        </w:rPr>
        <w:t xml:space="preserve"> </w:t>
      </w:r>
      <w:r>
        <w:rPr>
          <w:rFonts w:hint="eastAsia" w:ascii="宋体" w:hAnsi="宋体"/>
        </w:rPr>
        <w:t>动态光散射法(DLS)</w:t>
      </w:r>
    </w:p>
    <w:p w14:paraId="1F3D150F">
      <w:pPr>
        <w:ind w:firstLine="420" w:firstLineChars="200"/>
        <w:rPr>
          <w:rFonts w:hint="eastAsia" w:ascii="宋体" w:hAnsi="宋体"/>
        </w:rPr>
      </w:pPr>
      <w:r>
        <w:rPr>
          <w:rFonts w:ascii="宋体" w:hAnsi="宋体"/>
        </w:rPr>
        <w:t>GB/T 44223</w:t>
      </w:r>
      <w:r>
        <w:rPr>
          <w:rFonts w:hint="eastAsia" w:ascii="宋体" w:hAnsi="宋体"/>
        </w:rPr>
        <w:t>—</w:t>
      </w:r>
      <w:r>
        <w:rPr>
          <w:rFonts w:ascii="宋体" w:hAnsi="宋体"/>
        </w:rPr>
        <w:t>2024</w:t>
      </w:r>
      <w:r>
        <w:rPr>
          <w:rFonts w:hint="eastAsia" w:ascii="宋体" w:hAnsi="宋体"/>
        </w:rPr>
        <w:t xml:space="preserve">  纳米技术 </w:t>
      </w:r>
      <w:r>
        <w:rPr>
          <w:rFonts w:hint="eastAsia" w:ascii="宋体" w:hAnsi="宋体"/>
          <w:lang w:val="en-US" w:eastAsia="zh-CN"/>
        </w:rPr>
        <w:t xml:space="preserve"> </w:t>
      </w:r>
      <w:r>
        <w:rPr>
          <w:rFonts w:hint="eastAsia" w:ascii="宋体" w:hAnsi="宋体"/>
        </w:rPr>
        <w:t>动态光散射法</w:t>
      </w:r>
      <w:r>
        <w:rPr>
          <w:rFonts w:hint="eastAsia" w:ascii="宋体" w:hAnsi="宋体"/>
          <w:lang w:val="en-US" w:eastAsia="zh-CN"/>
        </w:rPr>
        <w:t xml:space="preserve"> </w:t>
      </w:r>
      <w:r>
        <w:rPr>
          <w:rFonts w:hint="eastAsia" w:ascii="宋体" w:hAnsi="宋体"/>
        </w:rPr>
        <w:t xml:space="preserve"> 粒度分析仪技术要求</w:t>
      </w:r>
    </w:p>
    <w:p w14:paraId="7A9659C1">
      <w:pPr>
        <w:ind w:firstLine="420" w:firstLineChars="200"/>
        <w:rPr>
          <w:rFonts w:ascii="宋体" w:hAnsi="宋体"/>
        </w:rPr>
      </w:pPr>
      <w:r>
        <w:rPr>
          <w:rFonts w:hint="eastAsia" w:ascii="宋体"/>
          <w:szCs w:val="20"/>
        </w:rPr>
        <w:t>HG</w:t>
      </w:r>
      <w:r>
        <w:rPr>
          <w:rFonts w:ascii="宋体"/>
          <w:szCs w:val="20"/>
        </w:rPr>
        <w:t>/</w:t>
      </w:r>
      <w:r>
        <w:rPr>
          <w:rFonts w:hint="eastAsia" w:ascii="宋体"/>
          <w:szCs w:val="20"/>
        </w:rPr>
        <w:t>T 4331  水处理剂混凝性能的评价方法</w:t>
      </w:r>
    </w:p>
    <w:p w14:paraId="4BD833E0">
      <w:pPr>
        <w:pStyle w:val="119"/>
        <w:outlineLvl w:val="0"/>
        <w:rPr>
          <w:rFonts w:hint="eastAsia"/>
        </w:rPr>
      </w:pPr>
      <w:bookmarkStart w:id="55" w:name="_Toc30663"/>
      <w:r>
        <w:rPr>
          <w:rFonts w:hint="eastAsia"/>
        </w:rPr>
        <w:t>术语</w:t>
      </w:r>
      <w:r>
        <w:t>和定义</w:t>
      </w:r>
      <w:bookmarkEnd w:id="46"/>
      <w:bookmarkEnd w:id="47"/>
      <w:bookmarkEnd w:id="48"/>
      <w:bookmarkEnd w:id="49"/>
      <w:bookmarkEnd w:id="50"/>
      <w:bookmarkEnd w:id="51"/>
      <w:bookmarkEnd w:id="52"/>
      <w:bookmarkEnd w:id="55"/>
    </w:p>
    <w:p w14:paraId="3670F019">
      <w:pPr>
        <w:pStyle w:val="25"/>
        <w:rPr>
          <w:shd w:val="clear" w:color="auto" w:fill="FEFFFF"/>
        </w:rPr>
      </w:pPr>
      <w:r>
        <w:rPr>
          <w:rFonts w:hint="eastAsia"/>
          <w:shd w:val="clear" w:color="auto" w:fill="FEFFFF"/>
        </w:rPr>
        <w:t>下列术语和定义适用于本文件。</w:t>
      </w:r>
    </w:p>
    <w:p w14:paraId="4FB65E3B">
      <w:pPr>
        <w:pStyle w:val="63"/>
        <w:spacing w:before="0" w:beforeLines="0" w:after="0" w:afterLines="0"/>
        <w:rPr>
          <w:rFonts w:hint="eastAsia"/>
        </w:rPr>
      </w:pPr>
    </w:p>
    <w:p w14:paraId="1EA012EE">
      <w:pPr>
        <w:pStyle w:val="161"/>
        <w:numPr>
          <w:ilvl w:val="2"/>
          <w:numId w:val="0"/>
        </w:numPr>
        <w:ind w:left="-420" w:leftChars="-200" w:firstLine="840" w:firstLineChars="400"/>
        <w:rPr>
          <w:rFonts w:hint="eastAsia" w:ascii="黑体" w:hAnsi="黑体" w:eastAsia="黑体" w:cs="Times New Roman"/>
          <w:color w:val="auto"/>
        </w:rPr>
      </w:pPr>
      <w:r>
        <w:rPr>
          <w:rFonts w:hint="eastAsia" w:ascii="黑体" w:hAnsi="黑体" w:eastAsia="黑体" w:cs="Times New Roman"/>
          <w:color w:val="auto"/>
        </w:rPr>
        <w:t>平均流体动力学粒径</w:t>
      </w:r>
      <w:r>
        <w:rPr>
          <w:rFonts w:hint="eastAsia" w:ascii="黑体" w:hAnsi="黑体" w:eastAsia="黑体" w:cs="Times New Roman"/>
          <w:color w:val="auto"/>
          <w:lang w:val="en-US" w:eastAsia="zh-CN"/>
        </w:rPr>
        <w:t xml:space="preserve">  </w:t>
      </w:r>
      <w:r>
        <w:rPr>
          <w:rFonts w:hint="eastAsia" w:ascii="黑体" w:hAnsi="黑体" w:eastAsia="黑体" w:cs="Times New Roman"/>
          <w:color w:val="auto"/>
        </w:rPr>
        <w:t>average hydrodynamic diameter</w:t>
      </w:r>
    </w:p>
    <w:p w14:paraId="38099C76">
      <w:pPr>
        <w:pStyle w:val="161"/>
        <w:numPr>
          <w:ilvl w:val="2"/>
          <w:numId w:val="0"/>
        </w:numPr>
        <w:ind w:left="-420" w:leftChars="-200" w:firstLine="840" w:firstLineChars="400"/>
        <w:rPr>
          <w:rFonts w:hint="eastAsia" w:ascii="黑体" w:hAnsi="黑体" w:eastAsia="黑体" w:cs="Times New Roman"/>
          <w:color w:val="auto"/>
        </w:rPr>
      </w:pPr>
      <w:r>
        <w:rPr>
          <w:rFonts w:hint="eastAsia" w:ascii="黑体" w:hAnsi="黑体" w:eastAsia="黑体" w:cs="Times New Roman"/>
          <w:color w:val="auto"/>
        </w:rPr>
        <w:t>XDLS</w:t>
      </w:r>
    </w:p>
    <w:p w14:paraId="4C26EBFD">
      <w:pPr>
        <w:pStyle w:val="25"/>
        <w:rPr>
          <w:rFonts w:hint="eastAsia"/>
        </w:rPr>
      </w:pPr>
      <w:r>
        <w:rPr>
          <w:rFonts w:hint="eastAsia"/>
        </w:rPr>
        <w:t>反映粒度分布中值的流体动力学直径。</w:t>
      </w:r>
    </w:p>
    <w:p w14:paraId="4365EF91">
      <w:pPr>
        <w:pStyle w:val="25"/>
        <w:rPr>
          <w:rFonts w:hint="eastAsia"/>
          <w:sz w:val="18"/>
          <w:szCs w:val="16"/>
        </w:rPr>
      </w:pPr>
      <w:r>
        <w:rPr>
          <w:rFonts w:hint="eastAsia" w:ascii="黑体" w:hAnsi="黑体" w:eastAsia="黑体" w:cs="黑体"/>
          <w:sz w:val="18"/>
          <w:szCs w:val="16"/>
        </w:rPr>
        <w:t>注1</w:t>
      </w:r>
      <w:r>
        <w:rPr>
          <w:rFonts w:hint="eastAsia" w:ascii="黑体" w:hAnsi="黑体" w:eastAsia="黑体" w:cs="黑体"/>
          <w:sz w:val="18"/>
          <w:szCs w:val="16"/>
          <w:lang w:val="en-US" w:eastAsia="zh-CN"/>
        </w:rPr>
        <w:t>:</w:t>
      </w:r>
      <w:r>
        <w:rPr>
          <w:rFonts w:hint="eastAsia"/>
          <w:sz w:val="18"/>
          <w:szCs w:val="16"/>
        </w:rPr>
        <w:t>平均粒径直接测定，既可以不计算粒径分布，也可以从光强加权分布、体积加权分布或数量加权分布，以及拟合(转换)的密度函数中计算得到。颗粒平均粒径的确切意义与计算方法相关。</w:t>
      </w:r>
    </w:p>
    <w:p w14:paraId="4A7725B9">
      <w:pPr>
        <w:pStyle w:val="25"/>
        <w:rPr>
          <w:rFonts w:hint="eastAsia"/>
          <w:sz w:val="18"/>
          <w:szCs w:val="16"/>
        </w:rPr>
      </w:pPr>
      <w:r>
        <w:rPr>
          <w:rFonts w:hint="eastAsia" w:ascii="黑体" w:hAnsi="黑体" w:eastAsia="黑体" w:cs="黑体"/>
          <w:sz w:val="18"/>
          <w:szCs w:val="16"/>
        </w:rPr>
        <w:t>注2:</w:t>
      </w:r>
      <w:r>
        <w:rPr>
          <w:rFonts w:hint="eastAsia"/>
          <w:sz w:val="18"/>
          <w:szCs w:val="16"/>
        </w:rPr>
        <w:t>累积量法给出散射光强加权的谐平均粒径，有时也称为Z均粒径。</w:t>
      </w:r>
    </w:p>
    <w:p w14:paraId="41AB9998">
      <w:pPr>
        <w:pStyle w:val="25"/>
        <w:rPr>
          <w:rFonts w:hint="eastAsia"/>
          <w:sz w:val="18"/>
          <w:szCs w:val="16"/>
        </w:rPr>
      </w:pPr>
      <w:r>
        <w:rPr>
          <w:rFonts w:hint="eastAsia" w:ascii="黑体" w:hAnsi="黑体" w:eastAsia="黑体" w:cs="黑体"/>
          <w:sz w:val="18"/>
          <w:szCs w:val="16"/>
        </w:rPr>
        <w:t>注3:</w:t>
      </w:r>
      <w:r>
        <w:rPr>
          <w:rFonts w:hint="eastAsia"/>
          <w:sz w:val="18"/>
          <w:szCs w:val="16"/>
        </w:rPr>
        <w:t>根据ISO9276-2，算术、几何、谐平均值也可以从粒度分布计算得到。</w:t>
      </w:r>
    </w:p>
    <w:p w14:paraId="5BD676E5">
      <w:pPr>
        <w:pStyle w:val="25"/>
        <w:rPr>
          <w:rFonts w:hint="eastAsia"/>
          <w:sz w:val="18"/>
          <w:szCs w:val="16"/>
        </w:rPr>
      </w:pPr>
      <w:r>
        <w:rPr>
          <w:rFonts w:hint="eastAsia" w:ascii="黑体" w:hAnsi="黑体" w:eastAsia="黑体" w:cs="黑体"/>
          <w:sz w:val="18"/>
          <w:szCs w:val="16"/>
        </w:rPr>
        <w:t>注4:</w:t>
      </w:r>
      <w:r>
        <w:rPr>
          <w:rFonts w:hint="eastAsia"/>
          <w:sz w:val="18"/>
          <w:szCs w:val="16"/>
        </w:rPr>
        <w:t>由密度函数(线性坐标)和变换的密度函数(对数坐标)计算得到的平均值可能会有显著差异(见ISO 9276-1)。</w:t>
      </w:r>
    </w:p>
    <w:p w14:paraId="5344C714">
      <w:pPr>
        <w:pStyle w:val="25"/>
        <w:rPr>
          <w:rFonts w:hint="eastAsia"/>
          <w:sz w:val="18"/>
          <w:szCs w:val="16"/>
        </w:rPr>
      </w:pPr>
      <w:r>
        <w:rPr>
          <w:rFonts w:hint="eastAsia" w:ascii="黑体" w:hAnsi="黑体" w:eastAsia="黑体" w:cs="黑体"/>
          <w:sz w:val="18"/>
          <w:szCs w:val="16"/>
        </w:rPr>
        <w:t>注</w:t>
      </w:r>
      <w:r>
        <w:rPr>
          <w:rFonts w:hint="eastAsia" w:ascii="黑体" w:hAnsi="黑体" w:eastAsia="黑体" w:cs="黑体"/>
          <w:sz w:val="18"/>
          <w:szCs w:val="16"/>
          <w:lang w:val="en-US" w:eastAsia="zh-CN"/>
        </w:rPr>
        <w:t>5</w:t>
      </w:r>
      <w:r>
        <w:rPr>
          <w:rFonts w:hint="eastAsia" w:ascii="黑体" w:hAnsi="黑体" w:eastAsia="黑体" w:cs="黑体"/>
          <w:sz w:val="18"/>
          <w:szCs w:val="16"/>
        </w:rPr>
        <w:t>:</w:t>
      </w:r>
      <w:r>
        <w:rPr>
          <w:rFonts w:hint="eastAsia"/>
          <w:sz w:val="18"/>
          <w:szCs w:val="16"/>
        </w:rPr>
        <w:t>IDLS与颗粒形状和散射矢量(进而与探测角度、激光波长和悬浮液介质的折射率)相关。</w:t>
      </w:r>
    </w:p>
    <w:p w14:paraId="16B0FE4A">
      <w:pPr>
        <w:pStyle w:val="25"/>
        <w:rPr>
          <w:rFonts w:hint="eastAsia"/>
          <w:sz w:val="18"/>
          <w:szCs w:val="16"/>
        </w:rPr>
      </w:pPr>
      <w:r>
        <w:rPr>
          <w:rFonts w:hint="eastAsia" w:ascii="黑体" w:hAnsi="黑体" w:eastAsia="黑体" w:cs="黑体"/>
          <w:sz w:val="18"/>
          <w:szCs w:val="16"/>
        </w:rPr>
        <w:t>注</w:t>
      </w:r>
      <w:r>
        <w:rPr>
          <w:rFonts w:hint="eastAsia" w:ascii="黑体" w:hAnsi="黑体" w:eastAsia="黑体" w:cs="黑体"/>
          <w:sz w:val="18"/>
          <w:szCs w:val="16"/>
          <w:lang w:val="en-US" w:eastAsia="zh-CN"/>
        </w:rPr>
        <w:t>6</w:t>
      </w:r>
      <w:r>
        <w:rPr>
          <w:rFonts w:hint="eastAsia" w:ascii="黑体" w:hAnsi="黑体" w:eastAsia="黑体" w:cs="黑体"/>
          <w:sz w:val="18"/>
          <w:szCs w:val="16"/>
        </w:rPr>
        <w:t>:</w:t>
      </w:r>
      <w:r>
        <w:rPr>
          <w:rFonts w:hint="eastAsia"/>
          <w:sz w:val="18"/>
          <w:szCs w:val="16"/>
        </w:rPr>
        <w:t>又称平均粒径。</w:t>
      </w:r>
    </w:p>
    <w:p w14:paraId="019111F8">
      <w:pPr>
        <w:pStyle w:val="25"/>
      </w:pPr>
      <w:r>
        <w:rPr>
          <w:rFonts w:hint="eastAsia"/>
          <w:lang w:val="en-US" w:eastAsia="zh-CN"/>
        </w:rPr>
        <w:t>[</w:t>
      </w:r>
      <w:r>
        <w:rPr>
          <w:rFonts w:hint="eastAsia"/>
        </w:rPr>
        <w:t>来源:GB/T 29022</w:t>
      </w:r>
      <w:r>
        <w:rPr>
          <w:rFonts w:hint="eastAsia" w:ascii="宋体" w:hAnsi="宋体"/>
        </w:rPr>
        <w:t>—</w:t>
      </w:r>
      <w:r>
        <w:rPr>
          <w:rFonts w:hint="eastAsia"/>
        </w:rPr>
        <w:t>2021，3.2]</w:t>
      </w:r>
    </w:p>
    <w:p w14:paraId="441A2FB6">
      <w:pPr>
        <w:pStyle w:val="63"/>
        <w:spacing w:before="0" w:beforeLines="0" w:after="0" w:afterLines="0"/>
      </w:pPr>
    </w:p>
    <w:p w14:paraId="0F34D897">
      <w:pPr>
        <w:pStyle w:val="161"/>
        <w:numPr>
          <w:ilvl w:val="2"/>
          <w:numId w:val="0"/>
        </w:numPr>
        <w:ind w:left="-420" w:leftChars="-200" w:firstLine="840" w:firstLineChars="400"/>
        <w:rPr>
          <w:rFonts w:hint="eastAsia" w:ascii="黑体" w:hAnsi="黑体" w:eastAsia="黑体" w:cs="Times New Roman"/>
          <w:color w:val="auto"/>
        </w:rPr>
      </w:pPr>
      <w:r>
        <w:rPr>
          <w:rFonts w:hint="eastAsia" w:ascii="黑体" w:hAnsi="黑体" w:eastAsia="黑体" w:cs="Times New Roman"/>
          <w:color w:val="auto"/>
        </w:rPr>
        <w:t>多分散指数</w:t>
      </w:r>
      <w:r>
        <w:rPr>
          <w:rFonts w:hint="eastAsia" w:ascii="黑体" w:hAnsi="黑体" w:eastAsia="黑体" w:cs="Times New Roman"/>
          <w:color w:val="auto"/>
          <w:lang w:val="en-US" w:eastAsia="zh-CN"/>
        </w:rPr>
        <w:t xml:space="preserve">  </w:t>
      </w:r>
      <w:r>
        <w:rPr>
          <w:rFonts w:hint="eastAsia" w:ascii="黑体" w:hAnsi="黑体" w:eastAsia="黑体" w:cs="Times New Roman"/>
          <w:color w:val="auto"/>
        </w:rPr>
        <w:t>polydispersityindex</w:t>
      </w:r>
    </w:p>
    <w:p w14:paraId="276C26A9">
      <w:pPr>
        <w:pStyle w:val="25"/>
      </w:pPr>
      <w:r>
        <w:rPr>
          <w:rFonts w:hint="eastAsia"/>
        </w:rPr>
        <w:t>PI</w:t>
      </w:r>
    </w:p>
    <w:p w14:paraId="4FFF2161">
      <w:pPr>
        <w:pStyle w:val="25"/>
        <w:rPr>
          <w:rFonts w:hint="eastAsia"/>
          <w:color w:val="auto"/>
        </w:rPr>
      </w:pPr>
      <w:r>
        <w:rPr>
          <w:rFonts w:hint="eastAsia"/>
          <w:color w:val="auto"/>
        </w:rPr>
        <w:t>用于描述粒度分布宽度的无量纲量。</w:t>
      </w:r>
    </w:p>
    <w:p w14:paraId="4E969BBE">
      <w:pPr>
        <w:pStyle w:val="25"/>
        <w:rPr>
          <w:color w:val="auto"/>
          <w:sz w:val="18"/>
          <w:szCs w:val="16"/>
        </w:rPr>
      </w:pPr>
      <w:r>
        <w:rPr>
          <w:rFonts w:hint="eastAsia" w:ascii="黑体" w:hAnsi="黑体" w:eastAsia="黑体" w:cs="黑体"/>
          <w:color w:val="auto"/>
          <w:sz w:val="18"/>
          <w:szCs w:val="16"/>
        </w:rPr>
        <w:t>注:</w:t>
      </w:r>
      <w:r>
        <w:rPr>
          <w:rFonts w:hint="eastAsia"/>
          <w:color w:val="auto"/>
          <w:sz w:val="18"/>
          <w:szCs w:val="16"/>
        </w:rPr>
        <w:t>对于单分散球形颗粒样品，PI通常小于0.07。</w:t>
      </w:r>
    </w:p>
    <w:p w14:paraId="588BEB7D">
      <w:pPr>
        <w:pStyle w:val="25"/>
        <w:rPr>
          <w:color w:val="auto"/>
        </w:rPr>
      </w:pPr>
      <w:r>
        <w:rPr>
          <w:rFonts w:hint="eastAsia"/>
          <w:color w:val="auto"/>
        </w:rPr>
        <w:t>[来源:GB/T</w:t>
      </w:r>
      <w:r>
        <w:rPr>
          <w:rFonts w:hint="eastAsia"/>
          <w:color w:val="auto"/>
          <w:lang w:val="en-US" w:eastAsia="zh-CN"/>
        </w:rPr>
        <w:t xml:space="preserve"> </w:t>
      </w:r>
      <w:r>
        <w:rPr>
          <w:rFonts w:hint="eastAsia"/>
          <w:color w:val="auto"/>
        </w:rPr>
        <w:t>29022</w:t>
      </w:r>
      <w:r>
        <w:rPr>
          <w:rFonts w:hint="eastAsia" w:ascii="宋体" w:hAnsi="宋体"/>
          <w:color w:val="auto"/>
        </w:rPr>
        <w:t>—</w:t>
      </w:r>
      <w:r>
        <w:rPr>
          <w:rFonts w:hint="eastAsia"/>
          <w:color w:val="auto"/>
        </w:rPr>
        <w:t>2021，3.3]</w:t>
      </w:r>
    </w:p>
    <w:p w14:paraId="7AD0804C">
      <w:pPr>
        <w:pStyle w:val="63"/>
        <w:spacing w:before="0" w:beforeLines="0" w:after="0" w:afterLines="0"/>
        <w:rPr>
          <w:color w:val="auto"/>
        </w:rPr>
      </w:pPr>
    </w:p>
    <w:p w14:paraId="4FE26567">
      <w:pPr>
        <w:pStyle w:val="63"/>
        <w:numPr>
          <w:ilvl w:val="0"/>
          <w:numId w:val="0"/>
        </w:numPr>
        <w:spacing w:before="0" w:beforeLines="0" w:after="0" w:afterLines="0"/>
        <w:ind w:firstLine="420" w:firstLineChars="200"/>
        <w:outlineLvl w:val="1"/>
        <w:rPr>
          <w:color w:val="auto"/>
        </w:rPr>
      </w:pPr>
      <w:bookmarkStart w:id="56" w:name="_Toc30837"/>
      <w:r>
        <w:rPr>
          <w:rFonts w:hint="eastAsia"/>
          <w:color w:val="auto"/>
        </w:rPr>
        <w:t>纳米型聚氯化铝  nano-polyaluminum chloride</w:t>
      </w:r>
      <w:bookmarkEnd w:id="56"/>
      <w:r>
        <w:rPr>
          <w:rFonts w:hint="eastAsia"/>
          <w:color w:val="auto"/>
        </w:rPr>
        <w:t xml:space="preserve"> </w:t>
      </w:r>
    </w:p>
    <w:p w14:paraId="47E05556">
      <w:pPr>
        <w:pStyle w:val="25"/>
        <w:rPr>
          <w:rFonts w:hint="eastAsia"/>
          <w:color w:val="auto"/>
        </w:rPr>
      </w:pPr>
      <w:r>
        <w:rPr>
          <w:rFonts w:hint="eastAsia"/>
          <w:color w:val="auto"/>
          <w:shd w:val="clear" w:color="auto" w:fill="FEFFFF"/>
        </w:rPr>
        <w:t>特指平均粒径≤100 nm，其他理化指标符合生活饮用水用聚氯化铝应用范围的聚氯化铝</w:t>
      </w:r>
      <w:r>
        <w:rPr>
          <w:rFonts w:hint="eastAsia"/>
          <w:color w:val="auto"/>
        </w:rPr>
        <w:t>。</w:t>
      </w:r>
    </w:p>
    <w:p w14:paraId="10ED1CEB">
      <w:pPr>
        <w:pStyle w:val="119"/>
        <w:outlineLvl w:val="0"/>
        <w:rPr>
          <w:rFonts w:hint="eastAsia"/>
          <w:lang w:eastAsia="zh-Hans"/>
        </w:rPr>
      </w:pPr>
      <w:bookmarkStart w:id="57" w:name="_Toc25198"/>
      <w:r>
        <w:rPr>
          <w:rFonts w:hint="eastAsia"/>
        </w:rPr>
        <w:t>产品分类</w:t>
      </w:r>
      <w:bookmarkEnd w:id="57"/>
    </w:p>
    <w:p w14:paraId="4B53507B">
      <w:pPr>
        <w:pStyle w:val="25"/>
        <w:rPr>
          <w:rFonts w:hint="eastAsia"/>
          <w:lang w:eastAsia="zh-Hans"/>
        </w:rPr>
      </w:pPr>
      <w:r>
        <w:rPr>
          <w:rFonts w:hint="eastAsia"/>
        </w:rPr>
        <w:t>纳米聚合铝按形态分为液体和固体两类。</w:t>
      </w:r>
    </w:p>
    <w:p w14:paraId="057D5B45">
      <w:pPr>
        <w:pStyle w:val="119"/>
        <w:outlineLvl w:val="0"/>
        <w:rPr>
          <w:rFonts w:hint="eastAsia"/>
          <w:lang w:eastAsia="zh-Hans"/>
        </w:rPr>
      </w:pPr>
      <w:bookmarkStart w:id="58" w:name="_Toc6699"/>
      <w:r>
        <w:rPr>
          <w:rFonts w:hint="eastAsia"/>
        </w:rPr>
        <w:t>原料要求</w:t>
      </w:r>
      <w:bookmarkEnd w:id="58"/>
    </w:p>
    <w:p w14:paraId="0D7B1C53">
      <w:pPr>
        <w:pStyle w:val="25"/>
        <w:rPr>
          <w:rFonts w:hint="eastAsia"/>
        </w:rPr>
      </w:pPr>
      <w:r>
        <w:rPr>
          <w:rFonts w:hint="eastAsia"/>
        </w:rPr>
        <w:t>生产水处理剂纳米聚合铝所用</w:t>
      </w:r>
      <w:r>
        <w:rPr>
          <w:rFonts w:hint="eastAsia"/>
          <w:lang w:eastAsia="zh-Hans"/>
        </w:rPr>
        <w:t>盐酸</w:t>
      </w:r>
      <w:r>
        <w:rPr>
          <w:rFonts w:hint="eastAsia"/>
        </w:rPr>
        <w:t>原料</w:t>
      </w:r>
      <w:r>
        <w:rPr>
          <w:rFonts w:hint="eastAsia"/>
          <w:lang w:eastAsia="zh-Hans"/>
        </w:rPr>
        <w:t xml:space="preserve">应符合GB/T </w:t>
      </w:r>
      <w:r>
        <w:rPr>
          <w:rFonts w:hint="eastAsia"/>
        </w:rPr>
        <w:t>320</w:t>
      </w:r>
      <w:r>
        <w:rPr>
          <w:rFonts w:hint="eastAsia"/>
          <w:lang w:eastAsia="zh-Hans"/>
        </w:rPr>
        <w:t>规定</w:t>
      </w:r>
      <w:r>
        <w:rPr>
          <w:rFonts w:hint="eastAsia"/>
        </w:rPr>
        <w:t>的工业用合成盐酸，</w:t>
      </w:r>
      <w:r>
        <w:rPr>
          <w:rFonts w:hint="eastAsia"/>
          <w:lang w:eastAsia="zh-Hans"/>
        </w:rPr>
        <w:t>含铝原料应符合GB/T 4294的规定</w:t>
      </w:r>
      <w:r>
        <w:rPr>
          <w:rFonts w:hint="eastAsia"/>
        </w:rPr>
        <w:t>。</w:t>
      </w:r>
    </w:p>
    <w:p w14:paraId="357B5526">
      <w:pPr>
        <w:pStyle w:val="119"/>
        <w:outlineLvl w:val="0"/>
        <w:rPr>
          <w:rFonts w:hint="eastAsia"/>
          <w:lang w:eastAsia="zh-Hans"/>
        </w:rPr>
      </w:pPr>
      <w:bookmarkStart w:id="59" w:name="_Toc9451"/>
      <w:r>
        <w:rPr>
          <w:rFonts w:hint="eastAsia"/>
        </w:rPr>
        <w:t>技术要求</w:t>
      </w:r>
      <w:bookmarkEnd w:id="59"/>
    </w:p>
    <w:p w14:paraId="2896A6FA">
      <w:pPr>
        <w:pStyle w:val="62"/>
        <w:spacing w:before="156" w:beforeLines="50" w:after="156" w:afterLines="50"/>
        <w:outlineLvl w:val="1"/>
        <w:rPr>
          <w:rFonts w:hint="eastAsia" w:ascii="黑体" w:hAnsi="黑体" w:eastAsia="黑体" w:cs="黑体"/>
          <w:lang w:eastAsia="zh-Hans"/>
        </w:rPr>
      </w:pPr>
      <w:bookmarkStart w:id="60" w:name="_Toc30193"/>
      <w:r>
        <w:rPr>
          <w:rFonts w:hint="eastAsia" w:ascii="黑体" w:hAnsi="黑体" w:eastAsia="黑体" w:cs="黑体"/>
        </w:rPr>
        <w:t>外观</w:t>
      </w:r>
      <w:bookmarkEnd w:id="60"/>
    </w:p>
    <w:p w14:paraId="388D1585">
      <w:pPr>
        <w:pStyle w:val="73"/>
        <w:rPr>
          <w:rFonts w:hint="eastAsia"/>
          <w:lang w:eastAsia="zh-Hans"/>
        </w:rPr>
      </w:pPr>
      <w:r>
        <w:rPr>
          <w:rFonts w:hint="eastAsia"/>
        </w:rPr>
        <w:t>液体产品：无色至淡黄色透明液体，无异味。</w:t>
      </w:r>
    </w:p>
    <w:p w14:paraId="0CFE3B1E">
      <w:pPr>
        <w:pStyle w:val="73"/>
        <w:rPr>
          <w:rFonts w:hint="eastAsia"/>
          <w:lang w:eastAsia="zh-Hans"/>
        </w:rPr>
      </w:pPr>
      <w:r>
        <w:rPr>
          <w:rFonts w:hint="eastAsia"/>
        </w:rPr>
        <w:t>固体产品：白色至淡黄色颗粒或粉末</w:t>
      </w:r>
      <w:r>
        <w:rPr>
          <w:rFonts w:hint="eastAsia"/>
          <w:lang w:eastAsia="zh-Hans"/>
        </w:rPr>
        <w:t>。</w:t>
      </w:r>
    </w:p>
    <w:p w14:paraId="01816E32">
      <w:pPr>
        <w:pStyle w:val="62"/>
        <w:spacing w:before="156" w:beforeLines="50" w:after="156" w:afterLines="50"/>
        <w:outlineLvl w:val="1"/>
        <w:rPr>
          <w:rFonts w:hint="eastAsia" w:ascii="黑体" w:hAnsi="黑体" w:eastAsia="黑体" w:cs="黑体"/>
          <w:lang w:eastAsia="zh-Hans"/>
        </w:rPr>
      </w:pPr>
      <w:bookmarkStart w:id="61" w:name="_Toc22904"/>
      <w:r>
        <w:rPr>
          <w:rFonts w:hint="eastAsia" w:ascii="黑体" w:hAnsi="黑体" w:eastAsia="黑体" w:cs="黑体"/>
        </w:rPr>
        <w:t>理化指标</w:t>
      </w:r>
      <w:bookmarkEnd w:id="61"/>
    </w:p>
    <w:p w14:paraId="369EAC53">
      <w:pPr>
        <w:pStyle w:val="25"/>
        <w:rPr>
          <w:rFonts w:hint="eastAsia"/>
          <w:lang w:eastAsia="zh-Hans"/>
        </w:rPr>
      </w:pPr>
      <w:r>
        <w:rPr>
          <w:rFonts w:hint="eastAsia"/>
        </w:rPr>
        <w:t>纳米聚合铝的理化指标应符合表1的规定</w:t>
      </w:r>
      <w:r>
        <w:rPr>
          <w:rFonts w:hint="eastAsia"/>
          <w:lang w:eastAsia="zh-Hans"/>
        </w:rPr>
        <w:t>。</w:t>
      </w:r>
    </w:p>
    <w:p w14:paraId="11138373">
      <w:pPr>
        <w:pStyle w:val="148"/>
        <w:ind w:left="4253" w:hanging="4252" w:hangingChars="2025"/>
        <w:rPr>
          <w:rFonts w:hint="eastAsia"/>
        </w:rPr>
      </w:pPr>
      <w:r>
        <w:rPr>
          <w:rFonts w:hint="eastAsia"/>
        </w:rPr>
        <w:t>理化指标</w:t>
      </w:r>
    </w:p>
    <w:tbl>
      <w:tblPr>
        <w:tblStyle w:val="3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5"/>
        <w:gridCol w:w="2379"/>
        <w:gridCol w:w="2466"/>
      </w:tblGrid>
      <w:tr w14:paraId="674E88F8">
        <w:trPr>
          <w:trHeight w:val="23" w:hRule="atLeast"/>
        </w:trPr>
        <w:tc>
          <w:tcPr>
            <w:tcW w:w="2466" w:type="pct"/>
            <w:vMerge w:val="restart"/>
            <w:tcBorders>
              <w:top w:val="single" w:color="auto" w:sz="8" w:space="0"/>
              <w:left w:val="single" w:color="auto" w:sz="8" w:space="0"/>
            </w:tcBorders>
            <w:noWrap w:val="0"/>
            <w:vAlign w:val="center"/>
          </w:tcPr>
          <w:p w14:paraId="2365BC15">
            <w:pPr>
              <w:pStyle w:val="153"/>
              <w:widowControl w:val="0"/>
              <w:rPr>
                <w:rFonts w:hint="eastAsia" w:ascii="宋体" w:hAnsi="宋体" w:cs="宋体"/>
                <w:color w:val="auto"/>
                <w:kern w:val="2"/>
              </w:rPr>
            </w:pPr>
            <w:r>
              <w:rPr>
                <w:rFonts w:hint="eastAsia" w:ascii="宋体" w:hAnsi="宋体" w:cs="宋体"/>
                <w:color w:val="auto"/>
                <w:kern w:val="2"/>
              </w:rPr>
              <w:t>项目</w:t>
            </w:r>
          </w:p>
        </w:tc>
        <w:tc>
          <w:tcPr>
            <w:tcW w:w="2533" w:type="pct"/>
            <w:gridSpan w:val="2"/>
            <w:tcBorders>
              <w:top w:val="single" w:color="auto" w:sz="8" w:space="0"/>
              <w:bottom w:val="single" w:color="auto" w:sz="4" w:space="0"/>
              <w:right w:val="single" w:color="auto" w:sz="8" w:space="0"/>
            </w:tcBorders>
            <w:noWrap w:val="0"/>
            <w:vAlign w:val="top"/>
          </w:tcPr>
          <w:p w14:paraId="0C547D28">
            <w:pPr>
              <w:pStyle w:val="153"/>
              <w:widowControl w:val="0"/>
              <w:rPr>
                <w:rFonts w:hint="eastAsia" w:ascii="宋体" w:hAnsi="宋体" w:cs="宋体"/>
                <w:color w:val="auto"/>
                <w:kern w:val="2"/>
              </w:rPr>
            </w:pPr>
            <w:r>
              <w:rPr>
                <w:rFonts w:hint="eastAsia" w:ascii="宋体" w:hAnsi="宋体" w:cs="宋体"/>
                <w:color w:val="auto"/>
                <w:kern w:val="2"/>
              </w:rPr>
              <w:t>指标</w:t>
            </w:r>
          </w:p>
        </w:tc>
      </w:tr>
      <w:tr w14:paraId="14C5BAD5">
        <w:trPr>
          <w:trHeight w:val="23" w:hRule="atLeast"/>
        </w:trPr>
        <w:tc>
          <w:tcPr>
            <w:tcW w:w="2466" w:type="pct"/>
            <w:vMerge w:val="continue"/>
            <w:tcBorders>
              <w:left w:val="single" w:color="auto" w:sz="8" w:space="0"/>
              <w:bottom w:val="single" w:color="auto" w:sz="8" w:space="0"/>
            </w:tcBorders>
            <w:noWrap w:val="0"/>
            <w:vAlign w:val="top"/>
          </w:tcPr>
          <w:p w14:paraId="6726B128">
            <w:pPr>
              <w:pStyle w:val="153"/>
              <w:widowControl w:val="0"/>
              <w:rPr>
                <w:rFonts w:hint="eastAsia" w:ascii="宋体" w:hAnsi="宋体" w:cs="宋体"/>
                <w:color w:val="auto"/>
                <w:kern w:val="2"/>
              </w:rPr>
            </w:pPr>
          </w:p>
        </w:tc>
        <w:tc>
          <w:tcPr>
            <w:tcW w:w="1244" w:type="pct"/>
            <w:tcBorders>
              <w:top w:val="single" w:color="auto" w:sz="4" w:space="0"/>
              <w:bottom w:val="single" w:color="auto" w:sz="8" w:space="0"/>
              <w:right w:val="single" w:color="auto" w:sz="4" w:space="0"/>
            </w:tcBorders>
            <w:noWrap w:val="0"/>
            <w:vAlign w:val="top"/>
          </w:tcPr>
          <w:p w14:paraId="6AAE8F57">
            <w:pPr>
              <w:pStyle w:val="153"/>
              <w:widowControl w:val="0"/>
              <w:rPr>
                <w:rFonts w:hint="eastAsia" w:ascii="宋体" w:hAnsi="宋体" w:cs="宋体"/>
                <w:color w:val="auto"/>
                <w:kern w:val="2"/>
              </w:rPr>
            </w:pPr>
            <w:r>
              <w:rPr>
                <w:rFonts w:hint="eastAsia" w:ascii="宋体" w:hAnsi="宋体" w:cs="宋体"/>
                <w:color w:val="auto"/>
                <w:kern w:val="2"/>
              </w:rPr>
              <w:t>液体</w:t>
            </w:r>
          </w:p>
        </w:tc>
        <w:tc>
          <w:tcPr>
            <w:tcW w:w="1289" w:type="pct"/>
            <w:tcBorders>
              <w:top w:val="single" w:color="auto" w:sz="4" w:space="0"/>
              <w:left w:val="single" w:color="auto" w:sz="4" w:space="0"/>
              <w:bottom w:val="single" w:color="auto" w:sz="8" w:space="0"/>
              <w:right w:val="single" w:color="auto" w:sz="8" w:space="0"/>
            </w:tcBorders>
            <w:noWrap w:val="0"/>
            <w:vAlign w:val="top"/>
          </w:tcPr>
          <w:p w14:paraId="69E736DC">
            <w:pPr>
              <w:pStyle w:val="153"/>
              <w:widowControl w:val="0"/>
              <w:rPr>
                <w:rFonts w:hint="eastAsia" w:ascii="宋体" w:hAnsi="宋体" w:cs="宋体"/>
                <w:color w:val="auto"/>
                <w:kern w:val="2"/>
              </w:rPr>
            </w:pPr>
            <w:r>
              <w:rPr>
                <w:rFonts w:hint="eastAsia" w:ascii="宋体" w:hAnsi="宋体" w:cs="宋体"/>
                <w:color w:val="auto"/>
                <w:kern w:val="2"/>
              </w:rPr>
              <w:t>固体</w:t>
            </w:r>
          </w:p>
        </w:tc>
      </w:tr>
      <w:tr w14:paraId="4DDA24E9">
        <w:trPr>
          <w:trHeight w:val="23" w:hRule="atLeast"/>
        </w:trPr>
        <w:tc>
          <w:tcPr>
            <w:tcW w:w="2466" w:type="pct"/>
            <w:tcBorders>
              <w:top w:val="single" w:color="auto" w:sz="8" w:space="0"/>
              <w:left w:val="single" w:color="auto" w:sz="8" w:space="0"/>
            </w:tcBorders>
            <w:noWrap w:val="0"/>
            <w:vAlign w:val="top"/>
          </w:tcPr>
          <w:p w14:paraId="62B35FFC">
            <w:pPr>
              <w:pStyle w:val="153"/>
              <w:widowControl w:val="0"/>
              <w:rPr>
                <w:rFonts w:hint="eastAsia" w:ascii="宋体" w:hAnsi="宋体" w:cs="宋体"/>
                <w:color w:val="auto"/>
                <w:kern w:val="2"/>
              </w:rPr>
            </w:pPr>
            <w:r>
              <w:rPr>
                <w:rFonts w:hint="eastAsia" w:ascii="宋体" w:hAnsi="宋体" w:cs="宋体"/>
                <w:color w:val="auto"/>
                <w:kern w:val="2"/>
              </w:rPr>
              <w:t>氧化铝（Al</w:t>
            </w:r>
            <w:r>
              <w:rPr>
                <w:rFonts w:hint="eastAsia" w:ascii="宋体" w:hAnsi="宋体" w:cs="宋体"/>
                <w:color w:val="auto"/>
                <w:kern w:val="2"/>
                <w:vertAlign w:val="subscript"/>
              </w:rPr>
              <w:t>2</w:t>
            </w:r>
            <w:r>
              <w:rPr>
                <w:rFonts w:hint="eastAsia" w:ascii="宋体" w:hAnsi="宋体" w:cs="宋体"/>
                <w:color w:val="auto"/>
                <w:kern w:val="2"/>
              </w:rPr>
              <w:t>O</w:t>
            </w:r>
            <w:r>
              <w:rPr>
                <w:rFonts w:hint="eastAsia" w:ascii="宋体" w:hAnsi="宋体" w:cs="宋体"/>
                <w:color w:val="auto"/>
                <w:kern w:val="2"/>
                <w:vertAlign w:val="subscript"/>
              </w:rPr>
              <w:t>3</w:t>
            </w:r>
            <w:r>
              <w:rPr>
                <w:rFonts w:hint="eastAsia" w:ascii="宋体" w:hAnsi="宋体" w:cs="宋体"/>
                <w:color w:val="auto"/>
                <w:kern w:val="2"/>
              </w:rPr>
              <w:t>）的质量分数，%</w:t>
            </w:r>
          </w:p>
        </w:tc>
        <w:tc>
          <w:tcPr>
            <w:tcW w:w="1244" w:type="pct"/>
            <w:tcBorders>
              <w:top w:val="single" w:color="auto" w:sz="8" w:space="0"/>
              <w:right w:val="single" w:color="auto" w:sz="4" w:space="0"/>
            </w:tcBorders>
            <w:noWrap w:val="0"/>
            <w:vAlign w:val="top"/>
          </w:tcPr>
          <w:p w14:paraId="5744CCFA">
            <w:pPr>
              <w:pStyle w:val="153"/>
              <w:widowControl w:val="0"/>
              <w:rPr>
                <w:rFonts w:hint="eastAsia" w:ascii="宋体" w:hAnsi="宋体" w:cs="宋体"/>
                <w:color w:val="auto"/>
                <w:kern w:val="2"/>
              </w:rPr>
            </w:pPr>
            <w:r>
              <w:rPr>
                <w:rFonts w:hint="eastAsia" w:ascii="宋体" w:hAnsi="宋体" w:cs="宋体"/>
                <w:color w:val="auto"/>
                <w:kern w:val="2"/>
              </w:rPr>
              <w:t>≥10.0</w:t>
            </w:r>
          </w:p>
        </w:tc>
        <w:tc>
          <w:tcPr>
            <w:tcW w:w="1289" w:type="pct"/>
            <w:tcBorders>
              <w:top w:val="single" w:color="auto" w:sz="8" w:space="0"/>
              <w:left w:val="single" w:color="auto" w:sz="4" w:space="0"/>
              <w:right w:val="single" w:color="auto" w:sz="8" w:space="0"/>
            </w:tcBorders>
            <w:noWrap w:val="0"/>
            <w:vAlign w:val="top"/>
          </w:tcPr>
          <w:p w14:paraId="5E7F12AB">
            <w:pPr>
              <w:pStyle w:val="153"/>
              <w:widowControl w:val="0"/>
              <w:rPr>
                <w:rFonts w:hint="eastAsia" w:ascii="宋体" w:hAnsi="宋体" w:cs="宋体"/>
                <w:color w:val="auto"/>
                <w:kern w:val="2"/>
              </w:rPr>
            </w:pPr>
            <w:r>
              <w:rPr>
                <w:rFonts w:hint="eastAsia" w:ascii="宋体" w:hAnsi="宋体" w:cs="宋体"/>
                <w:color w:val="auto"/>
                <w:kern w:val="2"/>
              </w:rPr>
              <w:t>≥29</w:t>
            </w:r>
          </w:p>
        </w:tc>
      </w:tr>
      <w:tr w14:paraId="173532D6">
        <w:trPr>
          <w:trHeight w:val="23" w:hRule="atLeast"/>
        </w:trPr>
        <w:tc>
          <w:tcPr>
            <w:tcW w:w="2466" w:type="pct"/>
            <w:tcBorders>
              <w:left w:val="single" w:color="auto" w:sz="8" w:space="0"/>
            </w:tcBorders>
            <w:noWrap w:val="0"/>
            <w:vAlign w:val="top"/>
          </w:tcPr>
          <w:p w14:paraId="7A579318">
            <w:pPr>
              <w:pStyle w:val="153"/>
              <w:widowControl w:val="0"/>
              <w:rPr>
                <w:rFonts w:hint="eastAsia" w:ascii="宋体" w:hAnsi="宋体" w:cs="宋体"/>
                <w:color w:val="auto"/>
                <w:kern w:val="2"/>
              </w:rPr>
            </w:pPr>
            <w:r>
              <w:rPr>
                <w:rFonts w:hint="eastAsia" w:ascii="宋体" w:hAnsi="宋体" w:cs="宋体"/>
                <w:color w:val="auto"/>
                <w:kern w:val="2"/>
              </w:rPr>
              <w:t>盐基度，%</w:t>
            </w:r>
          </w:p>
        </w:tc>
        <w:tc>
          <w:tcPr>
            <w:tcW w:w="2533" w:type="pct"/>
            <w:gridSpan w:val="2"/>
            <w:tcBorders>
              <w:right w:val="single" w:color="auto" w:sz="8" w:space="0"/>
            </w:tcBorders>
            <w:noWrap w:val="0"/>
            <w:vAlign w:val="top"/>
          </w:tcPr>
          <w:p w14:paraId="1BFBBA24">
            <w:pPr>
              <w:pStyle w:val="153"/>
              <w:widowControl w:val="0"/>
              <w:rPr>
                <w:rFonts w:hint="eastAsia" w:ascii="宋体" w:hAnsi="宋体" w:cs="宋体"/>
                <w:color w:val="auto"/>
                <w:kern w:val="2"/>
              </w:rPr>
            </w:pPr>
            <w:r>
              <w:rPr>
                <w:rFonts w:hint="eastAsia" w:ascii="宋体" w:hAnsi="宋体" w:cs="宋体"/>
                <w:color w:val="auto"/>
                <w:kern w:val="2"/>
              </w:rPr>
              <w:t>60～90</w:t>
            </w:r>
          </w:p>
        </w:tc>
      </w:tr>
      <w:tr w14:paraId="11D1FEB6">
        <w:trPr>
          <w:trHeight w:val="23" w:hRule="atLeast"/>
        </w:trPr>
        <w:tc>
          <w:tcPr>
            <w:tcW w:w="2466" w:type="pct"/>
            <w:tcBorders>
              <w:left w:val="single" w:color="auto" w:sz="8" w:space="0"/>
            </w:tcBorders>
            <w:noWrap w:val="0"/>
            <w:vAlign w:val="top"/>
          </w:tcPr>
          <w:p w14:paraId="1F7B195C">
            <w:pPr>
              <w:pStyle w:val="153"/>
              <w:widowControl w:val="0"/>
              <w:rPr>
                <w:rFonts w:hint="eastAsia" w:ascii="宋体" w:hAnsi="宋体" w:cs="宋体"/>
                <w:color w:val="auto"/>
                <w:kern w:val="2"/>
              </w:rPr>
            </w:pPr>
            <w:r>
              <w:rPr>
                <w:rFonts w:hint="eastAsia" w:ascii="宋体" w:hAnsi="宋体" w:cs="宋体"/>
                <w:color w:val="auto"/>
                <w:kern w:val="2"/>
              </w:rPr>
              <w:t>密度</w:t>
            </w:r>
          </w:p>
        </w:tc>
        <w:tc>
          <w:tcPr>
            <w:tcW w:w="1244" w:type="pct"/>
            <w:tcBorders>
              <w:right w:val="single" w:color="auto" w:sz="4" w:space="0"/>
            </w:tcBorders>
            <w:noWrap w:val="0"/>
            <w:vAlign w:val="top"/>
          </w:tcPr>
          <w:p w14:paraId="7EC36188">
            <w:pPr>
              <w:pStyle w:val="153"/>
              <w:widowControl w:val="0"/>
              <w:rPr>
                <w:rFonts w:hint="eastAsia" w:ascii="宋体" w:hAnsi="宋体" w:cs="宋体"/>
                <w:color w:val="auto"/>
                <w:kern w:val="2"/>
              </w:rPr>
            </w:pPr>
            <w:r>
              <w:rPr>
                <w:rFonts w:hint="eastAsia" w:ascii="宋体" w:hAnsi="宋体" w:cs="宋体"/>
                <w:color w:val="auto"/>
                <w:kern w:val="2"/>
              </w:rPr>
              <w:t>≥1.20</w:t>
            </w:r>
          </w:p>
        </w:tc>
        <w:tc>
          <w:tcPr>
            <w:tcW w:w="1289" w:type="pct"/>
            <w:tcBorders>
              <w:left w:val="single" w:color="auto" w:sz="4" w:space="0"/>
              <w:right w:val="single" w:color="auto" w:sz="8" w:space="0"/>
            </w:tcBorders>
            <w:noWrap w:val="0"/>
            <w:vAlign w:val="top"/>
          </w:tcPr>
          <w:p w14:paraId="6FD3145E">
            <w:pPr>
              <w:pStyle w:val="153"/>
              <w:widowControl w:val="0"/>
              <w:rPr>
                <w:rFonts w:hint="eastAsia" w:ascii="宋体" w:hAnsi="宋体" w:cs="宋体"/>
                <w:color w:val="auto"/>
                <w:kern w:val="2"/>
              </w:rPr>
            </w:pPr>
            <w:r>
              <w:rPr>
                <w:rFonts w:hint="eastAsia" w:ascii="宋体" w:hAnsi="宋体" w:cs="宋体"/>
                <w:color w:val="auto"/>
                <w:kern w:val="2"/>
              </w:rPr>
              <w:t>/</w:t>
            </w:r>
          </w:p>
        </w:tc>
      </w:tr>
      <w:tr w14:paraId="67566DF0">
        <w:trPr>
          <w:trHeight w:val="23" w:hRule="atLeast"/>
        </w:trPr>
        <w:tc>
          <w:tcPr>
            <w:tcW w:w="2466" w:type="pct"/>
            <w:tcBorders>
              <w:left w:val="single" w:color="auto" w:sz="8" w:space="0"/>
            </w:tcBorders>
            <w:noWrap w:val="0"/>
            <w:vAlign w:val="top"/>
          </w:tcPr>
          <w:p w14:paraId="57C47B91">
            <w:pPr>
              <w:pStyle w:val="153"/>
              <w:widowControl w:val="0"/>
              <w:rPr>
                <w:rFonts w:hint="eastAsia" w:ascii="宋体" w:hAnsi="宋体" w:cs="宋体"/>
                <w:color w:val="auto"/>
                <w:kern w:val="2"/>
              </w:rPr>
            </w:pPr>
            <w:bookmarkStart w:id="62" w:name="OLE_LINK13"/>
            <w:r>
              <w:rPr>
                <w:rFonts w:hint="eastAsia" w:ascii="宋体" w:hAnsi="宋体" w:cs="宋体"/>
                <w:color w:val="auto"/>
                <w:kern w:val="2"/>
              </w:rPr>
              <w:t>不溶物的质量分数，%</w:t>
            </w:r>
          </w:p>
        </w:tc>
        <w:tc>
          <w:tcPr>
            <w:tcW w:w="2533" w:type="pct"/>
            <w:gridSpan w:val="2"/>
            <w:tcBorders>
              <w:right w:val="single" w:color="auto" w:sz="8" w:space="0"/>
            </w:tcBorders>
            <w:noWrap w:val="0"/>
            <w:vAlign w:val="top"/>
          </w:tcPr>
          <w:p w14:paraId="67D7723D">
            <w:pPr>
              <w:pStyle w:val="153"/>
              <w:widowControl w:val="0"/>
              <w:rPr>
                <w:rFonts w:hint="eastAsia" w:ascii="宋体" w:hAnsi="宋体" w:cs="宋体"/>
                <w:color w:val="auto"/>
                <w:kern w:val="2"/>
              </w:rPr>
            </w:pPr>
            <w:r>
              <w:rPr>
                <w:rFonts w:hint="eastAsia" w:ascii="宋体" w:hAnsi="宋体" w:cs="宋体"/>
                <w:color w:val="auto"/>
                <w:kern w:val="2"/>
              </w:rPr>
              <w:t>≤0.1</w:t>
            </w:r>
          </w:p>
        </w:tc>
      </w:tr>
      <w:tr w14:paraId="732EBC6D">
        <w:trPr>
          <w:trHeight w:val="23" w:hRule="atLeast"/>
        </w:trPr>
        <w:tc>
          <w:tcPr>
            <w:tcW w:w="2466" w:type="pct"/>
            <w:tcBorders>
              <w:left w:val="single" w:color="auto" w:sz="8" w:space="0"/>
            </w:tcBorders>
            <w:noWrap w:val="0"/>
            <w:vAlign w:val="top"/>
          </w:tcPr>
          <w:p w14:paraId="3FDB3007">
            <w:pPr>
              <w:pStyle w:val="153"/>
              <w:widowControl w:val="0"/>
              <w:rPr>
                <w:rFonts w:hint="eastAsia" w:ascii="宋体" w:hAnsi="宋体" w:cs="宋体"/>
                <w:color w:val="auto"/>
                <w:kern w:val="2"/>
              </w:rPr>
            </w:pPr>
            <w:r>
              <w:rPr>
                <w:rFonts w:hint="eastAsia" w:ascii="宋体" w:hAnsi="宋体" w:cs="宋体"/>
                <w:color w:val="auto"/>
                <w:kern w:val="2"/>
              </w:rPr>
              <w:t>pH值（10g/L水溶液）</w:t>
            </w:r>
          </w:p>
        </w:tc>
        <w:tc>
          <w:tcPr>
            <w:tcW w:w="2533" w:type="pct"/>
            <w:gridSpan w:val="2"/>
            <w:tcBorders>
              <w:right w:val="single" w:color="auto" w:sz="8" w:space="0"/>
            </w:tcBorders>
            <w:noWrap w:val="0"/>
            <w:vAlign w:val="top"/>
          </w:tcPr>
          <w:p w14:paraId="003ABCE6">
            <w:pPr>
              <w:pStyle w:val="153"/>
              <w:widowControl w:val="0"/>
              <w:rPr>
                <w:rFonts w:hint="eastAsia" w:ascii="宋体" w:hAnsi="宋体" w:cs="宋体"/>
                <w:color w:val="auto"/>
                <w:kern w:val="2"/>
              </w:rPr>
            </w:pPr>
            <w:r>
              <w:rPr>
                <w:rFonts w:hint="eastAsia" w:ascii="宋体" w:hAnsi="宋体" w:cs="宋体"/>
                <w:color w:val="auto"/>
                <w:kern w:val="2"/>
              </w:rPr>
              <w:t>3.5～5.0</w:t>
            </w:r>
          </w:p>
        </w:tc>
      </w:tr>
      <w:tr w14:paraId="702908A8">
        <w:trPr>
          <w:trHeight w:val="23" w:hRule="atLeast"/>
        </w:trPr>
        <w:tc>
          <w:tcPr>
            <w:tcW w:w="2466" w:type="pct"/>
            <w:tcBorders>
              <w:left w:val="single" w:color="auto" w:sz="8" w:space="0"/>
            </w:tcBorders>
            <w:noWrap w:val="0"/>
            <w:vAlign w:val="top"/>
          </w:tcPr>
          <w:p w14:paraId="17AEDFE4">
            <w:pPr>
              <w:pStyle w:val="153"/>
              <w:widowControl w:val="0"/>
              <w:rPr>
                <w:rFonts w:hint="eastAsia" w:ascii="宋体" w:hAnsi="宋体" w:cs="宋体"/>
                <w:color w:val="auto"/>
                <w:kern w:val="2"/>
              </w:rPr>
            </w:pPr>
            <w:r>
              <w:rPr>
                <w:rFonts w:hint="eastAsia" w:ascii="宋体" w:hAnsi="宋体" w:cs="宋体"/>
                <w:color w:val="auto"/>
                <w:kern w:val="2"/>
              </w:rPr>
              <w:t>平均粒径，nm</w:t>
            </w:r>
          </w:p>
        </w:tc>
        <w:tc>
          <w:tcPr>
            <w:tcW w:w="2533" w:type="pct"/>
            <w:gridSpan w:val="2"/>
            <w:tcBorders>
              <w:right w:val="single" w:color="auto" w:sz="8" w:space="0"/>
            </w:tcBorders>
            <w:noWrap w:val="0"/>
            <w:vAlign w:val="top"/>
          </w:tcPr>
          <w:p w14:paraId="106D90E3">
            <w:pPr>
              <w:pStyle w:val="153"/>
              <w:widowControl w:val="0"/>
              <w:rPr>
                <w:rFonts w:hint="eastAsia" w:ascii="宋体" w:hAnsi="宋体" w:cs="宋体"/>
                <w:color w:val="auto"/>
                <w:kern w:val="2"/>
              </w:rPr>
            </w:pPr>
            <w:r>
              <w:rPr>
                <w:rFonts w:hint="eastAsia" w:ascii="宋体" w:hAnsi="宋体" w:cs="宋体"/>
                <w:color w:val="auto"/>
                <w:kern w:val="2"/>
              </w:rPr>
              <w:t>≤100</w:t>
            </w:r>
          </w:p>
        </w:tc>
      </w:tr>
      <w:tr w14:paraId="6CA1E62C">
        <w:trPr>
          <w:trHeight w:val="23" w:hRule="atLeast"/>
        </w:trPr>
        <w:tc>
          <w:tcPr>
            <w:tcW w:w="2466" w:type="pct"/>
            <w:tcBorders>
              <w:left w:val="single" w:color="auto" w:sz="8" w:space="0"/>
            </w:tcBorders>
            <w:noWrap w:val="0"/>
            <w:vAlign w:val="top"/>
          </w:tcPr>
          <w:p w14:paraId="5D96C52C">
            <w:pPr>
              <w:pStyle w:val="153"/>
              <w:widowControl w:val="0"/>
              <w:rPr>
                <w:rFonts w:hint="eastAsia" w:ascii="宋体" w:hAnsi="宋体" w:cs="宋体"/>
                <w:color w:val="auto"/>
                <w:kern w:val="2"/>
              </w:rPr>
            </w:pPr>
            <w:r>
              <w:rPr>
                <w:rFonts w:hint="eastAsia" w:ascii="宋体" w:hAnsi="宋体" w:cs="宋体"/>
                <w:color w:val="auto"/>
                <w:kern w:val="2"/>
              </w:rPr>
              <w:t>聚合态铝Al</w:t>
            </w:r>
            <w:r>
              <w:rPr>
                <w:rFonts w:hint="eastAsia" w:ascii="宋体" w:hAnsi="宋体" w:cs="宋体"/>
                <w:color w:val="auto"/>
                <w:kern w:val="2"/>
                <w:vertAlign w:val="subscript"/>
              </w:rPr>
              <w:t>13</w:t>
            </w:r>
            <w:r>
              <w:rPr>
                <w:rFonts w:hint="eastAsia" w:ascii="宋体" w:hAnsi="宋体" w:cs="宋体"/>
                <w:color w:val="auto"/>
                <w:kern w:val="2"/>
              </w:rPr>
              <w:t>的</w:t>
            </w:r>
            <w:bookmarkEnd w:id="62"/>
            <w:r>
              <w:rPr>
                <w:rFonts w:hint="eastAsia" w:ascii="宋体" w:hAnsi="宋体" w:cs="宋体"/>
                <w:color w:val="auto"/>
                <w:kern w:val="2"/>
              </w:rPr>
              <w:t>形态占比，%</w:t>
            </w:r>
          </w:p>
        </w:tc>
        <w:tc>
          <w:tcPr>
            <w:tcW w:w="1244" w:type="pct"/>
            <w:tcBorders>
              <w:right w:val="single" w:color="auto" w:sz="4" w:space="0"/>
            </w:tcBorders>
            <w:noWrap w:val="0"/>
            <w:vAlign w:val="top"/>
          </w:tcPr>
          <w:p w14:paraId="1B80736E">
            <w:pPr>
              <w:pStyle w:val="153"/>
              <w:widowControl w:val="0"/>
              <w:rPr>
                <w:rFonts w:hint="eastAsia" w:ascii="宋体" w:hAnsi="宋体" w:cs="宋体"/>
                <w:color w:val="auto"/>
                <w:kern w:val="2"/>
              </w:rPr>
            </w:pPr>
            <w:r>
              <w:rPr>
                <w:rFonts w:hint="eastAsia" w:ascii="宋体" w:hAnsi="宋体" w:cs="宋体"/>
                <w:color w:val="auto"/>
                <w:kern w:val="2"/>
              </w:rPr>
              <w:t>≥70%</w:t>
            </w:r>
          </w:p>
        </w:tc>
        <w:tc>
          <w:tcPr>
            <w:tcW w:w="1289" w:type="pct"/>
            <w:tcBorders>
              <w:left w:val="single" w:color="auto" w:sz="4" w:space="0"/>
              <w:right w:val="single" w:color="auto" w:sz="8" w:space="0"/>
            </w:tcBorders>
            <w:noWrap w:val="0"/>
            <w:vAlign w:val="top"/>
          </w:tcPr>
          <w:p w14:paraId="0DDE19D3">
            <w:pPr>
              <w:pStyle w:val="153"/>
              <w:widowControl w:val="0"/>
              <w:rPr>
                <w:rFonts w:hint="eastAsia" w:ascii="宋体" w:hAnsi="宋体" w:cs="宋体"/>
                <w:color w:val="auto"/>
                <w:kern w:val="2"/>
              </w:rPr>
            </w:pPr>
            <w:r>
              <w:rPr>
                <w:rFonts w:hint="eastAsia" w:ascii="宋体" w:hAnsi="宋体" w:cs="宋体"/>
                <w:color w:val="auto"/>
                <w:kern w:val="2"/>
              </w:rPr>
              <w:t>/</w:t>
            </w:r>
          </w:p>
        </w:tc>
      </w:tr>
      <w:tr w14:paraId="03FC97CB">
        <w:trPr>
          <w:trHeight w:val="23" w:hRule="atLeast"/>
        </w:trPr>
        <w:tc>
          <w:tcPr>
            <w:tcW w:w="2466" w:type="pct"/>
            <w:tcBorders>
              <w:left w:val="single" w:color="auto" w:sz="8" w:space="0"/>
            </w:tcBorders>
            <w:noWrap w:val="0"/>
            <w:vAlign w:val="top"/>
          </w:tcPr>
          <w:p w14:paraId="6541DFD7">
            <w:pPr>
              <w:pStyle w:val="153"/>
              <w:widowControl w:val="0"/>
              <w:rPr>
                <w:rFonts w:hint="eastAsia" w:ascii="宋体" w:hAnsi="宋体" w:cs="宋体"/>
                <w:color w:val="auto"/>
                <w:kern w:val="2"/>
              </w:rPr>
            </w:pPr>
            <w:r>
              <w:rPr>
                <w:rFonts w:hint="eastAsia" w:ascii="宋体" w:hAnsi="宋体" w:cs="宋体"/>
                <w:color w:val="auto"/>
                <w:kern w:val="2"/>
              </w:rPr>
              <w:t>铁（Fe）的质量分数，%</w:t>
            </w:r>
          </w:p>
        </w:tc>
        <w:tc>
          <w:tcPr>
            <w:tcW w:w="2533" w:type="pct"/>
            <w:gridSpan w:val="2"/>
            <w:tcBorders>
              <w:right w:val="single" w:color="auto" w:sz="8" w:space="0"/>
            </w:tcBorders>
            <w:noWrap w:val="0"/>
            <w:vAlign w:val="top"/>
          </w:tcPr>
          <w:p w14:paraId="39274070">
            <w:pPr>
              <w:pStyle w:val="153"/>
              <w:widowControl w:val="0"/>
              <w:rPr>
                <w:rFonts w:hint="eastAsia" w:ascii="宋体" w:hAnsi="宋体" w:cs="宋体"/>
                <w:color w:val="auto"/>
                <w:kern w:val="2"/>
              </w:rPr>
            </w:pPr>
            <w:r>
              <w:rPr>
                <w:rFonts w:hint="eastAsia" w:ascii="宋体" w:hAnsi="宋体" w:cs="宋体"/>
                <w:color w:val="auto"/>
                <w:kern w:val="2"/>
              </w:rPr>
              <w:t>≤0.2</w:t>
            </w:r>
          </w:p>
        </w:tc>
      </w:tr>
      <w:tr w14:paraId="11F5F32C">
        <w:trPr>
          <w:trHeight w:val="23" w:hRule="atLeast"/>
        </w:trPr>
        <w:tc>
          <w:tcPr>
            <w:tcW w:w="2466" w:type="pct"/>
            <w:tcBorders>
              <w:left w:val="single" w:color="auto" w:sz="8" w:space="0"/>
            </w:tcBorders>
            <w:noWrap w:val="0"/>
            <w:vAlign w:val="top"/>
          </w:tcPr>
          <w:p w14:paraId="15D119E4">
            <w:pPr>
              <w:pStyle w:val="153"/>
              <w:widowControl w:val="0"/>
              <w:rPr>
                <w:rFonts w:hint="eastAsia" w:ascii="宋体" w:hAnsi="宋体" w:cs="宋体"/>
                <w:color w:val="auto"/>
                <w:kern w:val="2"/>
              </w:rPr>
            </w:pPr>
            <w:r>
              <w:rPr>
                <w:rFonts w:hint="eastAsia" w:ascii="宋体" w:hAnsi="宋体" w:cs="宋体"/>
                <w:color w:val="auto"/>
                <w:kern w:val="2"/>
              </w:rPr>
              <w:t>砷(As)的质量分数，%</w:t>
            </w:r>
          </w:p>
        </w:tc>
        <w:tc>
          <w:tcPr>
            <w:tcW w:w="2533" w:type="pct"/>
            <w:gridSpan w:val="2"/>
            <w:tcBorders>
              <w:right w:val="single" w:color="auto" w:sz="8" w:space="0"/>
            </w:tcBorders>
            <w:noWrap w:val="0"/>
            <w:vAlign w:val="top"/>
          </w:tcPr>
          <w:p w14:paraId="1A331CCC">
            <w:pPr>
              <w:pStyle w:val="153"/>
              <w:widowControl w:val="0"/>
              <w:rPr>
                <w:rFonts w:hint="eastAsia" w:ascii="宋体" w:hAnsi="宋体" w:cs="宋体"/>
                <w:color w:val="auto"/>
                <w:kern w:val="2"/>
              </w:rPr>
            </w:pPr>
            <w:r>
              <w:rPr>
                <w:rFonts w:hint="eastAsia" w:ascii="宋体" w:hAnsi="宋体" w:cs="宋体"/>
                <w:color w:val="auto"/>
                <w:kern w:val="2"/>
              </w:rPr>
              <w:t>≤0.000 1</w:t>
            </w:r>
          </w:p>
        </w:tc>
      </w:tr>
      <w:tr w14:paraId="489E667E">
        <w:trPr>
          <w:trHeight w:val="23" w:hRule="atLeast"/>
        </w:trPr>
        <w:tc>
          <w:tcPr>
            <w:tcW w:w="2466" w:type="pct"/>
            <w:tcBorders>
              <w:left w:val="single" w:color="auto" w:sz="8" w:space="0"/>
            </w:tcBorders>
            <w:noWrap w:val="0"/>
            <w:vAlign w:val="top"/>
          </w:tcPr>
          <w:p w14:paraId="445C7E82">
            <w:pPr>
              <w:pStyle w:val="153"/>
              <w:widowControl w:val="0"/>
              <w:rPr>
                <w:rFonts w:hint="eastAsia" w:ascii="宋体" w:hAnsi="宋体" w:cs="宋体"/>
                <w:color w:val="auto"/>
                <w:kern w:val="2"/>
              </w:rPr>
            </w:pPr>
            <w:r>
              <w:rPr>
                <w:rFonts w:hint="eastAsia" w:ascii="宋体" w:hAnsi="宋体" w:cs="宋体"/>
                <w:color w:val="auto"/>
                <w:kern w:val="2"/>
              </w:rPr>
              <w:t>铅(Pb)的质量分数，%</w:t>
            </w:r>
          </w:p>
        </w:tc>
        <w:tc>
          <w:tcPr>
            <w:tcW w:w="2533" w:type="pct"/>
            <w:gridSpan w:val="2"/>
            <w:tcBorders>
              <w:right w:val="single" w:color="auto" w:sz="8" w:space="0"/>
            </w:tcBorders>
            <w:noWrap w:val="0"/>
            <w:vAlign w:val="top"/>
          </w:tcPr>
          <w:p w14:paraId="5AE71762">
            <w:pPr>
              <w:pStyle w:val="153"/>
              <w:widowControl w:val="0"/>
              <w:rPr>
                <w:rFonts w:hint="eastAsia" w:ascii="宋体" w:hAnsi="宋体" w:cs="宋体"/>
                <w:color w:val="auto"/>
                <w:kern w:val="2"/>
              </w:rPr>
            </w:pPr>
            <w:r>
              <w:rPr>
                <w:rFonts w:hint="eastAsia" w:ascii="宋体" w:hAnsi="宋体" w:cs="宋体"/>
                <w:color w:val="auto"/>
                <w:kern w:val="2"/>
              </w:rPr>
              <w:t>≤0.000 5</w:t>
            </w:r>
          </w:p>
        </w:tc>
      </w:tr>
      <w:tr w14:paraId="73629BED">
        <w:trPr>
          <w:trHeight w:val="23" w:hRule="atLeast"/>
        </w:trPr>
        <w:tc>
          <w:tcPr>
            <w:tcW w:w="2466" w:type="pct"/>
            <w:tcBorders>
              <w:left w:val="single" w:color="auto" w:sz="8" w:space="0"/>
            </w:tcBorders>
            <w:noWrap w:val="0"/>
            <w:vAlign w:val="top"/>
          </w:tcPr>
          <w:p w14:paraId="4F92B109">
            <w:pPr>
              <w:pStyle w:val="153"/>
              <w:widowControl w:val="0"/>
              <w:rPr>
                <w:rFonts w:hint="eastAsia" w:ascii="宋体" w:hAnsi="宋体" w:cs="宋体"/>
                <w:color w:val="auto"/>
                <w:kern w:val="2"/>
              </w:rPr>
            </w:pPr>
            <w:r>
              <w:rPr>
                <w:rFonts w:hint="eastAsia" w:ascii="宋体" w:hAnsi="宋体" w:cs="宋体"/>
                <w:color w:val="auto"/>
                <w:kern w:val="2"/>
              </w:rPr>
              <w:t>镉(Cd)的质量分数，%</w:t>
            </w:r>
          </w:p>
        </w:tc>
        <w:tc>
          <w:tcPr>
            <w:tcW w:w="2533" w:type="pct"/>
            <w:gridSpan w:val="2"/>
            <w:tcBorders>
              <w:right w:val="single" w:color="auto" w:sz="8" w:space="0"/>
            </w:tcBorders>
            <w:noWrap w:val="0"/>
            <w:vAlign w:val="top"/>
          </w:tcPr>
          <w:p w14:paraId="54B17828">
            <w:pPr>
              <w:pStyle w:val="153"/>
              <w:widowControl w:val="0"/>
              <w:rPr>
                <w:rFonts w:hint="eastAsia" w:ascii="宋体" w:hAnsi="宋体" w:cs="宋体"/>
                <w:color w:val="auto"/>
                <w:kern w:val="2"/>
              </w:rPr>
            </w:pPr>
            <w:r>
              <w:rPr>
                <w:rFonts w:hint="eastAsia" w:ascii="宋体" w:hAnsi="宋体" w:cs="宋体"/>
                <w:color w:val="auto"/>
                <w:kern w:val="2"/>
              </w:rPr>
              <w:t>≤0.000 1</w:t>
            </w:r>
          </w:p>
        </w:tc>
      </w:tr>
      <w:tr w14:paraId="775CF8A2">
        <w:trPr>
          <w:trHeight w:val="23" w:hRule="atLeast"/>
        </w:trPr>
        <w:tc>
          <w:tcPr>
            <w:tcW w:w="2466" w:type="pct"/>
            <w:tcBorders>
              <w:left w:val="single" w:color="auto" w:sz="8" w:space="0"/>
            </w:tcBorders>
            <w:noWrap w:val="0"/>
            <w:vAlign w:val="top"/>
          </w:tcPr>
          <w:p w14:paraId="7D53AFAE">
            <w:pPr>
              <w:pStyle w:val="153"/>
              <w:widowControl w:val="0"/>
              <w:rPr>
                <w:rFonts w:hint="eastAsia" w:ascii="宋体" w:hAnsi="宋体" w:cs="宋体"/>
                <w:color w:val="auto"/>
                <w:kern w:val="2"/>
              </w:rPr>
            </w:pPr>
            <w:r>
              <w:rPr>
                <w:rFonts w:hint="eastAsia" w:ascii="宋体" w:hAnsi="宋体" w:cs="宋体"/>
                <w:color w:val="auto"/>
                <w:kern w:val="2"/>
              </w:rPr>
              <w:t>汞(Hg)的质量分数，%</w:t>
            </w:r>
          </w:p>
        </w:tc>
        <w:tc>
          <w:tcPr>
            <w:tcW w:w="2533" w:type="pct"/>
            <w:gridSpan w:val="2"/>
            <w:tcBorders>
              <w:right w:val="single" w:color="auto" w:sz="8" w:space="0"/>
            </w:tcBorders>
            <w:noWrap w:val="0"/>
            <w:vAlign w:val="top"/>
          </w:tcPr>
          <w:p w14:paraId="4EC744B0">
            <w:pPr>
              <w:pStyle w:val="153"/>
              <w:widowControl w:val="0"/>
              <w:rPr>
                <w:rFonts w:hint="eastAsia" w:ascii="宋体" w:hAnsi="宋体" w:cs="宋体"/>
                <w:color w:val="auto"/>
                <w:kern w:val="2"/>
              </w:rPr>
            </w:pPr>
            <w:r>
              <w:rPr>
                <w:rFonts w:hint="eastAsia" w:ascii="宋体" w:hAnsi="宋体" w:cs="宋体"/>
                <w:color w:val="auto"/>
                <w:kern w:val="2"/>
              </w:rPr>
              <w:t>≤0.000 01</w:t>
            </w:r>
          </w:p>
        </w:tc>
      </w:tr>
      <w:tr w14:paraId="1FE279A2">
        <w:trPr>
          <w:trHeight w:val="23" w:hRule="atLeast"/>
        </w:trPr>
        <w:tc>
          <w:tcPr>
            <w:tcW w:w="2466" w:type="pct"/>
            <w:tcBorders>
              <w:left w:val="single" w:color="auto" w:sz="8" w:space="0"/>
              <w:bottom w:val="single" w:color="auto" w:sz="4" w:space="0"/>
            </w:tcBorders>
            <w:noWrap w:val="0"/>
            <w:vAlign w:val="top"/>
          </w:tcPr>
          <w:p w14:paraId="32F54672">
            <w:pPr>
              <w:pStyle w:val="153"/>
              <w:widowControl w:val="0"/>
              <w:rPr>
                <w:rFonts w:hint="eastAsia" w:ascii="宋体" w:hAnsi="宋体" w:cs="宋体"/>
                <w:color w:val="auto"/>
                <w:kern w:val="2"/>
              </w:rPr>
            </w:pPr>
            <w:r>
              <w:rPr>
                <w:rFonts w:hint="eastAsia" w:ascii="宋体" w:hAnsi="宋体" w:cs="宋体"/>
                <w:color w:val="auto"/>
                <w:kern w:val="2"/>
              </w:rPr>
              <w:t>铬(Cr)的质量分数，%</w:t>
            </w:r>
          </w:p>
        </w:tc>
        <w:tc>
          <w:tcPr>
            <w:tcW w:w="2533" w:type="pct"/>
            <w:gridSpan w:val="2"/>
            <w:tcBorders>
              <w:bottom w:val="single" w:color="auto" w:sz="4" w:space="0"/>
              <w:right w:val="single" w:color="auto" w:sz="8" w:space="0"/>
            </w:tcBorders>
            <w:noWrap w:val="0"/>
            <w:vAlign w:val="top"/>
          </w:tcPr>
          <w:p w14:paraId="7CBCC82A">
            <w:pPr>
              <w:pStyle w:val="153"/>
              <w:widowControl w:val="0"/>
              <w:rPr>
                <w:rFonts w:hint="eastAsia" w:ascii="宋体" w:hAnsi="宋体" w:cs="宋体"/>
                <w:color w:val="auto"/>
                <w:kern w:val="2"/>
              </w:rPr>
            </w:pPr>
            <w:r>
              <w:rPr>
                <w:rFonts w:hint="eastAsia" w:ascii="宋体" w:hAnsi="宋体" w:cs="宋体"/>
                <w:color w:val="auto"/>
                <w:kern w:val="2"/>
              </w:rPr>
              <w:t>≤0.000 5</w:t>
            </w:r>
          </w:p>
        </w:tc>
      </w:tr>
      <w:tr w14:paraId="3BA25240">
        <w:trPr>
          <w:trHeight w:val="23" w:hRule="atLeast"/>
        </w:trPr>
        <w:tc>
          <w:tcPr>
            <w:tcW w:w="5000" w:type="pct"/>
            <w:gridSpan w:val="3"/>
            <w:tcBorders>
              <w:top w:val="single" w:color="auto" w:sz="8" w:space="0"/>
              <w:left w:val="single" w:color="auto" w:sz="8" w:space="0"/>
              <w:bottom w:val="single" w:color="auto" w:sz="8" w:space="0"/>
              <w:right w:val="single" w:color="auto" w:sz="8" w:space="0"/>
            </w:tcBorders>
            <w:noWrap w:val="0"/>
            <w:vAlign w:val="top"/>
          </w:tcPr>
          <w:p w14:paraId="2CD05B94">
            <w:pPr>
              <w:pStyle w:val="153"/>
              <w:widowControl w:val="0"/>
              <w:ind w:left="408" w:leftChars="101" w:hanging="196"/>
              <w:jc w:val="left"/>
              <w:rPr>
                <w:rFonts w:hint="eastAsia" w:ascii="宋体" w:hAnsi="宋体" w:cs="宋体"/>
                <w:color w:val="auto"/>
                <w:kern w:val="2"/>
              </w:rPr>
            </w:pPr>
            <w:r>
              <w:rPr>
                <w:rFonts w:hint="eastAsia" w:ascii="黑体" w:hAnsi="黑体" w:eastAsia="黑体" w:cs="黑体"/>
                <w:color w:val="auto"/>
                <w:kern w:val="2"/>
                <w:szCs w:val="18"/>
              </w:rPr>
              <w:t>注：</w:t>
            </w:r>
            <w:r>
              <w:rPr>
                <w:rFonts w:ascii="宋体"/>
                <w:color w:val="auto"/>
                <w:kern w:val="2"/>
                <w:szCs w:val="18"/>
                <w:lang w:eastAsia="zh-Hans"/>
              </w:rPr>
              <w:t>表中所列产品的铁、砷、铅、镉、汞、饹的质量分效均按Al</w:t>
            </w:r>
            <w:r>
              <w:rPr>
                <w:rFonts w:ascii="宋体"/>
                <w:color w:val="auto"/>
                <w:kern w:val="2"/>
                <w:szCs w:val="18"/>
                <w:vertAlign w:val="subscript"/>
                <w:lang w:eastAsia="zh-Hans"/>
              </w:rPr>
              <w:t>2</w:t>
            </w:r>
            <w:r>
              <w:rPr>
                <w:rFonts w:ascii="宋体"/>
                <w:color w:val="auto"/>
                <w:kern w:val="2"/>
                <w:szCs w:val="18"/>
                <w:lang w:eastAsia="zh-Hans"/>
              </w:rPr>
              <w:t>O</w:t>
            </w:r>
            <w:r>
              <w:rPr>
                <w:rFonts w:ascii="宋体"/>
                <w:color w:val="auto"/>
                <w:kern w:val="2"/>
                <w:szCs w:val="18"/>
                <w:vertAlign w:val="subscript"/>
                <w:lang w:eastAsia="zh-Hans"/>
              </w:rPr>
              <w:t>3</w:t>
            </w:r>
            <w:r>
              <w:rPr>
                <w:rFonts w:ascii="宋体"/>
                <w:color w:val="auto"/>
                <w:kern w:val="2"/>
                <w:szCs w:val="18"/>
                <w:lang w:eastAsia="zh-Hans"/>
              </w:rPr>
              <w:t>的质量分效为10.0%计。Al</w:t>
            </w:r>
            <w:r>
              <w:rPr>
                <w:rFonts w:ascii="宋体"/>
                <w:color w:val="auto"/>
                <w:kern w:val="2"/>
                <w:szCs w:val="18"/>
                <w:vertAlign w:val="subscript"/>
                <w:lang w:eastAsia="zh-Hans"/>
              </w:rPr>
              <w:t>2</w:t>
            </w:r>
            <w:r>
              <w:rPr>
                <w:rFonts w:ascii="宋体"/>
                <w:color w:val="auto"/>
                <w:kern w:val="2"/>
                <w:szCs w:val="18"/>
                <w:lang w:eastAsia="zh-Hans"/>
              </w:rPr>
              <w:t>O</w:t>
            </w:r>
            <w:r>
              <w:rPr>
                <w:rFonts w:ascii="宋体"/>
                <w:color w:val="auto"/>
                <w:kern w:val="2"/>
                <w:szCs w:val="18"/>
                <w:vertAlign w:val="subscript"/>
                <w:lang w:eastAsia="zh-Hans"/>
              </w:rPr>
              <w:t>3</w:t>
            </w:r>
            <w:r>
              <w:rPr>
                <w:rFonts w:ascii="宋体"/>
                <w:color w:val="auto"/>
                <w:kern w:val="2"/>
                <w:szCs w:val="18"/>
                <w:lang w:eastAsia="zh-Hans"/>
              </w:rPr>
              <w:t>的质量分数</w:t>
            </w:r>
            <w:r>
              <w:rPr>
                <w:rFonts w:ascii="宋体"/>
                <w:color w:val="auto"/>
                <w:kern w:val="2"/>
                <w:szCs w:val="18"/>
              </w:rPr>
              <w:t>&gt;</w:t>
            </w:r>
            <w:r>
              <w:rPr>
                <w:rFonts w:ascii="宋体"/>
                <w:color w:val="auto"/>
                <w:kern w:val="2"/>
                <w:szCs w:val="18"/>
                <w:lang w:eastAsia="zh-Hans"/>
              </w:rPr>
              <w:t>10.0%时，应按实际含量折算成氧化铝的质量分</w:t>
            </w:r>
            <w:r>
              <w:rPr>
                <w:rFonts w:hint="eastAsia" w:ascii="宋体"/>
                <w:color w:val="auto"/>
                <w:kern w:val="2"/>
                <w:szCs w:val="18"/>
              </w:rPr>
              <w:t>数</w:t>
            </w:r>
            <w:r>
              <w:rPr>
                <w:rFonts w:ascii="宋体"/>
                <w:color w:val="auto"/>
                <w:kern w:val="2"/>
                <w:szCs w:val="18"/>
                <w:lang w:eastAsia="zh-Hans"/>
              </w:rPr>
              <w:t>为10.0%产品比例，计算出相应的质量分数</w:t>
            </w:r>
            <w:r>
              <w:rPr>
                <w:rFonts w:hint="eastAsia" w:ascii="宋体"/>
                <w:color w:val="auto"/>
                <w:kern w:val="2"/>
                <w:szCs w:val="18"/>
                <w:lang w:eastAsia="zh-Hans"/>
              </w:rPr>
              <w:t>。</w:t>
            </w:r>
          </w:p>
        </w:tc>
      </w:tr>
    </w:tbl>
    <w:p w14:paraId="48AC00F2">
      <w:pPr>
        <w:pStyle w:val="62"/>
        <w:spacing w:before="156" w:beforeLines="50" w:after="156" w:afterLines="50"/>
        <w:outlineLvl w:val="1"/>
        <w:rPr>
          <w:rFonts w:hint="eastAsia" w:ascii="黑体" w:hAnsi="黑体" w:eastAsia="黑体" w:cs="黑体"/>
          <w:lang w:eastAsia="zh-Hans"/>
        </w:rPr>
      </w:pPr>
      <w:bookmarkStart w:id="63" w:name="_Toc27596"/>
      <w:r>
        <w:rPr>
          <w:rFonts w:hint="eastAsia" w:ascii="黑体" w:hAnsi="黑体" w:eastAsia="黑体" w:cs="黑体"/>
        </w:rPr>
        <w:t>混凝性能</w:t>
      </w:r>
      <w:bookmarkEnd w:id="63"/>
    </w:p>
    <w:p w14:paraId="6068B50C">
      <w:pPr>
        <w:numPr>
          <w:ilvl w:val="2"/>
          <w:numId w:val="3"/>
        </w:numPr>
        <w:spacing w:before="156" w:beforeLines="50" w:after="156" w:afterLines="50"/>
        <w:ind w:left="0"/>
        <w:outlineLvl w:val="3"/>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sz w:val="21"/>
          <w:szCs w:val="21"/>
          <w:lang w:val="en-US" w:eastAsia="zh-CN" w:bidi="ar-SA"/>
        </w:rPr>
        <w:t>混凝沉淀、</w:t>
      </w:r>
      <w:r>
        <w:rPr>
          <w:rFonts w:hint="eastAsia" w:ascii="黑体" w:hAnsi="黑体" w:eastAsia="黑体" w:cs="黑体"/>
          <w:color w:val="auto"/>
          <w:kern w:val="2"/>
          <w:sz w:val="21"/>
          <w:szCs w:val="21"/>
          <w:lang w:val="en-US" w:eastAsia="zh-CN" w:bidi="ar-SA"/>
        </w:rPr>
        <w:t>混凝脱色率、混凝去除有机物性能</w:t>
      </w:r>
    </w:p>
    <w:p w14:paraId="6300D86F">
      <w:pPr>
        <w:pStyle w:val="25"/>
        <w:rPr>
          <w:rFonts w:hint="eastAsia" w:hAnsi="Times New Roman" w:eastAsia="宋体" w:cs="Times New Roman"/>
          <w:color w:val="auto"/>
        </w:rPr>
      </w:pPr>
      <w:r>
        <w:rPr>
          <w:rFonts w:hint="eastAsia" w:hAnsi="Times New Roman" w:eastAsia="宋体" w:cs="Times New Roman"/>
          <w:color w:val="auto"/>
          <w:lang w:eastAsia="zh-CN"/>
        </w:rPr>
        <w:t>根据客户协商确定</w:t>
      </w:r>
      <w:r>
        <w:rPr>
          <w:rFonts w:hint="eastAsia" w:hAnsi="Times New Roman" w:eastAsia="宋体" w:cs="Times New Roman"/>
          <w:color w:val="auto"/>
        </w:rPr>
        <w:t>。</w:t>
      </w:r>
    </w:p>
    <w:p w14:paraId="4A0D1983">
      <w:pPr>
        <w:numPr>
          <w:ilvl w:val="2"/>
          <w:numId w:val="3"/>
        </w:numPr>
        <w:spacing w:before="156" w:beforeLines="50" w:after="156" w:afterLines="50"/>
        <w:ind w:left="0"/>
        <w:outlineLvl w:val="3"/>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出水余铝</w:t>
      </w:r>
      <w:bookmarkStart w:id="101" w:name="_GoBack"/>
      <w:bookmarkEnd w:id="101"/>
    </w:p>
    <w:p w14:paraId="10222DE9">
      <w:pPr>
        <w:pStyle w:val="25"/>
        <w:rPr>
          <w:rFonts w:hint="eastAsia"/>
          <w:color w:val="auto"/>
          <w:lang w:eastAsia="zh-Hans"/>
        </w:rPr>
      </w:pPr>
      <w:r>
        <w:rPr>
          <w:rFonts w:hint="eastAsia" w:hAnsi="Times New Roman" w:eastAsia="宋体" w:cs="Times New Roman"/>
          <w:strike w:val="0"/>
          <w:dstrike w:val="0"/>
          <w:color w:val="auto"/>
          <w:lang w:eastAsia="zh-CN"/>
        </w:rPr>
        <w:t>试验</w:t>
      </w:r>
      <w:r>
        <w:rPr>
          <w:rFonts w:hint="eastAsia" w:hAnsi="Times New Roman" w:eastAsia="宋体" w:cs="Times New Roman"/>
          <w:color w:val="auto"/>
        </w:rPr>
        <w:t>沉淀后澄清水样中的铝含量</w:t>
      </w:r>
      <w:r>
        <w:rPr>
          <w:rFonts w:hint="eastAsia" w:cs="Times New Roman"/>
          <w:color w:val="auto"/>
          <w:lang w:eastAsia="zh-CN"/>
        </w:rPr>
        <w:t>小</w:t>
      </w:r>
      <w:r>
        <w:rPr>
          <w:rFonts w:hint="eastAsia" w:hAnsi="Times New Roman" w:eastAsia="宋体" w:cs="Times New Roman"/>
          <w:color w:val="auto"/>
        </w:rPr>
        <w:t>于0.2</w:t>
      </w:r>
      <w:r>
        <w:rPr>
          <w:rFonts w:hint="eastAsia" w:hAnsi="Times New Roman" w:eastAsia="宋体" w:cs="Times New Roman"/>
          <w:color w:val="auto"/>
          <w:lang w:val="en-US" w:eastAsia="zh-CN"/>
        </w:rPr>
        <w:t xml:space="preserve"> </w:t>
      </w:r>
      <w:r>
        <w:rPr>
          <w:rFonts w:hint="eastAsia" w:hAnsi="Times New Roman" w:eastAsia="宋体" w:cs="Times New Roman"/>
          <w:color w:val="auto"/>
        </w:rPr>
        <w:t>mg/L。</w:t>
      </w:r>
    </w:p>
    <w:p w14:paraId="0E0D56C1">
      <w:pPr>
        <w:pStyle w:val="119"/>
        <w:outlineLvl w:val="0"/>
        <w:rPr>
          <w:rFonts w:hint="eastAsia"/>
          <w:lang w:eastAsia="zh-Hans"/>
        </w:rPr>
      </w:pPr>
      <w:bookmarkStart w:id="64" w:name="_Toc31755"/>
      <w:r>
        <w:rPr>
          <w:rFonts w:hint="eastAsia"/>
        </w:rPr>
        <w:t>试验方法</w:t>
      </w:r>
      <w:bookmarkEnd w:id="64"/>
    </w:p>
    <w:p w14:paraId="4C23FD1E">
      <w:pPr>
        <w:ind w:firstLine="420" w:firstLineChars="200"/>
        <w:rPr>
          <w:rFonts w:hint="eastAsia" w:ascii="黑体" w:hAnsi="黑体" w:eastAsia="黑体" w:cs="黑体"/>
          <w:szCs w:val="21"/>
          <w:lang w:eastAsia="zh-Hans"/>
        </w:rPr>
      </w:pPr>
      <w:r>
        <w:rPr>
          <w:rFonts w:hint="eastAsia" w:ascii="黑体" w:hAnsi="黑体" w:eastAsia="黑体"/>
        </w:rPr>
        <w:t>警示——本试验方法中使用的部分试剂具有毒性或腐蚀性，一些试验过程可能导致危险情况，操作者应采取适当的安全和健康措施。</w:t>
      </w:r>
    </w:p>
    <w:p w14:paraId="5FE220DD">
      <w:pPr>
        <w:numPr>
          <w:ilvl w:val="1"/>
          <w:numId w:val="3"/>
        </w:numPr>
        <w:spacing w:before="156" w:beforeLines="50" w:after="156" w:afterLines="50"/>
        <w:outlineLvl w:val="1"/>
        <w:rPr>
          <w:rFonts w:hint="eastAsia" w:ascii="黑体" w:hAnsi="黑体" w:eastAsia="黑体" w:cs="黑体"/>
          <w:szCs w:val="21"/>
          <w:lang w:eastAsia="zh-Hans"/>
        </w:rPr>
      </w:pPr>
      <w:bookmarkStart w:id="65" w:name="_Toc15306"/>
      <w:r>
        <w:rPr>
          <w:rFonts w:hint="eastAsia" w:ascii="黑体" w:hAnsi="黑体" w:eastAsia="黑体" w:cs="黑体"/>
          <w:szCs w:val="21"/>
        </w:rPr>
        <w:t>通则</w:t>
      </w:r>
      <w:bookmarkEnd w:id="65"/>
    </w:p>
    <w:p w14:paraId="73720A05">
      <w:pPr>
        <w:ind w:firstLine="420" w:firstLineChars="200"/>
        <w:rPr>
          <w:rFonts w:hint="eastAsia" w:ascii="黑体" w:hAnsi="黑体" w:eastAsia="黑体" w:cs="黑体"/>
          <w:szCs w:val="21"/>
          <w:lang w:eastAsia="zh-Hans"/>
        </w:rPr>
      </w:pPr>
      <w:r>
        <w:rPr>
          <w:rFonts w:hint="eastAsia" w:ascii="宋体" w:hAnsi="宋体"/>
          <w:szCs w:val="21"/>
        </w:rPr>
        <w:t>本章中除另有规定外，所用标准滴定溶液、制剂及制品，均按</w:t>
      </w:r>
      <w:r>
        <w:rPr>
          <w:rFonts w:ascii="宋体" w:hAnsi="宋体"/>
          <w:szCs w:val="21"/>
        </w:rPr>
        <w:t>GB/T 601</w:t>
      </w:r>
      <w:r>
        <w:rPr>
          <w:rFonts w:hint="eastAsia" w:ascii="宋体" w:hAnsi="宋体"/>
          <w:szCs w:val="21"/>
        </w:rPr>
        <w:t>、</w:t>
      </w:r>
      <w:r>
        <w:rPr>
          <w:rFonts w:ascii="宋体" w:hAnsi="宋体"/>
          <w:szCs w:val="21"/>
        </w:rPr>
        <w:t>GB/T 603</w:t>
      </w:r>
      <w:r>
        <w:rPr>
          <w:rFonts w:hint="eastAsia" w:ascii="宋体" w:hAnsi="宋体"/>
          <w:szCs w:val="21"/>
        </w:rPr>
        <w:t>的规定制备，</w:t>
      </w:r>
      <w:r>
        <w:rPr>
          <w:rFonts w:hint="eastAsia" w:ascii="宋体" w:hAnsi="宋体"/>
          <w:szCs w:val="21"/>
          <w:lang w:eastAsia="zh-CN"/>
        </w:rPr>
        <w:t>试验用水</w:t>
      </w:r>
      <w:r>
        <w:rPr>
          <w:rFonts w:hint="eastAsia" w:ascii="宋体" w:hAnsi="宋体"/>
          <w:szCs w:val="21"/>
        </w:rPr>
        <w:t>应符合</w:t>
      </w:r>
      <w:r>
        <w:rPr>
          <w:rFonts w:ascii="宋体" w:hAnsi="宋体"/>
          <w:szCs w:val="21"/>
        </w:rPr>
        <w:t>GB/T 6682</w:t>
      </w:r>
      <w:r>
        <w:rPr>
          <w:rFonts w:hint="eastAsia" w:ascii="宋体" w:hAnsi="宋体"/>
          <w:szCs w:val="21"/>
          <w:lang w:eastAsia="zh-CN"/>
        </w:rPr>
        <w:t>—</w:t>
      </w:r>
      <w:r>
        <w:rPr>
          <w:rFonts w:hint="eastAsia" w:ascii="宋体" w:hAnsi="宋体"/>
          <w:szCs w:val="21"/>
          <w:lang w:val="en-US" w:eastAsia="zh-CN"/>
        </w:rPr>
        <w:t>2008</w:t>
      </w:r>
      <w:r>
        <w:rPr>
          <w:rFonts w:hint="eastAsia" w:ascii="宋体" w:hAnsi="宋体"/>
          <w:szCs w:val="21"/>
        </w:rPr>
        <w:t>中三级水规格，样品均按精确至</w:t>
      </w:r>
      <w:r>
        <w:rPr>
          <w:rFonts w:hint="eastAsia" w:ascii="宋体" w:hAnsi="宋体" w:cs="宋体"/>
        </w:rPr>
        <w:t>0.01g</w:t>
      </w:r>
      <w:r>
        <w:rPr>
          <w:rFonts w:hint="eastAsia"/>
        </w:rPr>
        <w:t>称量</w:t>
      </w:r>
      <w:r>
        <w:rPr>
          <w:rFonts w:hint="eastAsia" w:ascii="宋体" w:hAnsi="宋体"/>
          <w:szCs w:val="21"/>
        </w:rPr>
        <w:t>，所用溶液以“</w:t>
      </w:r>
      <w:r>
        <w:rPr>
          <w:rFonts w:ascii="宋体" w:hAnsi="宋体"/>
          <w:szCs w:val="21"/>
        </w:rPr>
        <w:t>%”</w:t>
      </w:r>
      <w:r>
        <w:rPr>
          <w:rFonts w:hint="eastAsia" w:ascii="宋体" w:hAnsi="宋体"/>
          <w:szCs w:val="21"/>
        </w:rPr>
        <w:t>表示的均为质量分数。</w:t>
      </w:r>
    </w:p>
    <w:p w14:paraId="7AB6A5D7">
      <w:pPr>
        <w:numPr>
          <w:ilvl w:val="1"/>
          <w:numId w:val="3"/>
        </w:numPr>
        <w:spacing w:before="156" w:beforeLines="50" w:after="156" w:afterLines="50"/>
        <w:outlineLvl w:val="1"/>
        <w:rPr>
          <w:rFonts w:hint="eastAsia" w:ascii="黑体" w:hAnsi="黑体" w:eastAsia="黑体" w:cs="黑体"/>
          <w:szCs w:val="21"/>
          <w:lang w:eastAsia="zh-Hans"/>
        </w:rPr>
      </w:pPr>
      <w:bookmarkStart w:id="66" w:name="_Toc6280"/>
      <w:r>
        <w:rPr>
          <w:rFonts w:hint="eastAsia" w:ascii="黑体" w:hAnsi="黑体" w:eastAsia="黑体" w:cs="黑体"/>
          <w:szCs w:val="21"/>
        </w:rPr>
        <w:t>外观</w:t>
      </w:r>
      <w:bookmarkEnd w:id="66"/>
    </w:p>
    <w:p w14:paraId="19DC6EC8">
      <w:pPr>
        <w:tabs>
          <w:tab w:val="center" w:pos="4201"/>
          <w:tab w:val="right" w:leader="dot" w:pos="9298"/>
        </w:tabs>
        <w:ind w:firstLine="425"/>
        <w:rPr>
          <w:rFonts w:hint="eastAsia" w:ascii="宋体"/>
          <w:szCs w:val="20"/>
          <w:lang w:eastAsia="zh-Hans"/>
        </w:rPr>
      </w:pPr>
      <w:r>
        <w:rPr>
          <w:rFonts w:hint="eastAsia" w:ascii="宋体"/>
          <w:szCs w:val="20"/>
        </w:rPr>
        <w:t>按GB/T 22627—2022中6.2的规定进行。</w:t>
      </w:r>
    </w:p>
    <w:p w14:paraId="2D72FFD7">
      <w:pPr>
        <w:numPr>
          <w:ilvl w:val="1"/>
          <w:numId w:val="3"/>
        </w:numPr>
        <w:spacing w:before="156" w:beforeLines="50" w:after="156" w:afterLines="50"/>
        <w:outlineLvl w:val="1"/>
        <w:rPr>
          <w:rFonts w:hint="eastAsia" w:ascii="黑体" w:hAnsi="黑体" w:eastAsia="黑体" w:cs="黑体"/>
          <w:szCs w:val="21"/>
          <w:lang w:eastAsia="zh-Hans"/>
        </w:rPr>
      </w:pPr>
      <w:bookmarkStart w:id="67" w:name="_Toc9742"/>
      <w:r>
        <w:rPr>
          <w:rFonts w:hint="eastAsia" w:ascii="黑体" w:hAnsi="黑体" w:eastAsia="黑体" w:cs="黑体"/>
          <w:szCs w:val="21"/>
        </w:rPr>
        <w:t>理化指标</w:t>
      </w:r>
      <w:bookmarkEnd w:id="67"/>
    </w:p>
    <w:p w14:paraId="0652558D">
      <w:pPr>
        <w:pStyle w:val="74"/>
        <w:spacing w:before="156" w:after="156"/>
        <w:ind w:left="0"/>
        <w:rPr>
          <w:rFonts w:hint="eastAsia" w:hAnsi="黑体" w:cs="黑体"/>
          <w:lang w:eastAsia="zh-Hans"/>
        </w:rPr>
      </w:pPr>
      <w:r>
        <w:rPr>
          <w:rFonts w:hint="eastAsia" w:hAnsi="黑体" w:cs="黑体"/>
        </w:rPr>
        <w:t>氧化铝（Al</w:t>
      </w:r>
      <w:r>
        <w:rPr>
          <w:rFonts w:hint="eastAsia" w:hAnsi="黑体" w:cs="黑体"/>
          <w:vertAlign w:val="subscript"/>
        </w:rPr>
        <w:t>2</w:t>
      </w:r>
      <w:r>
        <w:rPr>
          <w:rFonts w:hint="eastAsia" w:hAnsi="黑体" w:cs="黑体"/>
        </w:rPr>
        <w:t>O</w:t>
      </w:r>
      <w:r>
        <w:rPr>
          <w:rFonts w:hint="eastAsia" w:hAnsi="黑体" w:cs="黑体"/>
          <w:vertAlign w:val="subscript"/>
        </w:rPr>
        <w:t>3</w:t>
      </w:r>
      <w:r>
        <w:rPr>
          <w:rFonts w:hint="eastAsia" w:hAnsi="黑体" w:cs="黑体"/>
        </w:rPr>
        <w:t>）的质量分数</w:t>
      </w:r>
    </w:p>
    <w:p w14:paraId="136E3075">
      <w:pPr>
        <w:tabs>
          <w:tab w:val="center" w:pos="4201"/>
          <w:tab w:val="right" w:leader="dot" w:pos="9298"/>
        </w:tabs>
        <w:ind w:firstLine="425"/>
        <w:rPr>
          <w:rFonts w:hint="eastAsia" w:ascii="宋体"/>
        </w:rPr>
      </w:pPr>
      <w:r>
        <w:rPr>
          <w:rFonts w:hint="eastAsia" w:ascii="宋体"/>
          <w:szCs w:val="20"/>
        </w:rPr>
        <w:t>按GB 15892—2020中6.2.</w:t>
      </w:r>
      <w:r>
        <w:rPr>
          <w:rFonts w:ascii="宋体"/>
          <w:szCs w:val="20"/>
        </w:rPr>
        <w:t>2</w:t>
      </w:r>
      <w:r>
        <w:rPr>
          <w:rFonts w:hint="eastAsia" w:ascii="宋体"/>
          <w:szCs w:val="20"/>
        </w:rPr>
        <w:t>硫酸铜标准溶液滴定法进行，仲裁时按照GB 15892—2020中6.2.1中氯化铝标准溶液滴定法进行。</w:t>
      </w:r>
    </w:p>
    <w:p w14:paraId="66BB6285">
      <w:pPr>
        <w:pStyle w:val="74"/>
        <w:spacing w:before="156" w:after="156"/>
        <w:ind w:left="0"/>
        <w:rPr>
          <w:rFonts w:hint="eastAsia" w:hAnsi="黑体" w:cs="黑体"/>
        </w:rPr>
      </w:pPr>
      <w:r>
        <w:rPr>
          <w:rFonts w:hint="eastAsia" w:hAnsi="黑体" w:cs="黑体"/>
        </w:rPr>
        <w:t>盐基度</w:t>
      </w:r>
    </w:p>
    <w:p w14:paraId="2B4F3E73">
      <w:pPr>
        <w:ind w:firstLine="425"/>
        <w:rPr>
          <w:rFonts w:hint="eastAsia"/>
        </w:rPr>
      </w:pPr>
      <w:r>
        <w:rPr>
          <w:rFonts w:hint="eastAsia" w:ascii="宋体"/>
          <w:szCs w:val="20"/>
        </w:rPr>
        <w:t>按GB 15892—2020中6.3规定的方法进行。</w:t>
      </w:r>
    </w:p>
    <w:p w14:paraId="16B01A0E">
      <w:pPr>
        <w:pStyle w:val="74"/>
        <w:spacing w:before="156" w:after="156"/>
        <w:ind w:left="0"/>
        <w:rPr>
          <w:rFonts w:hint="eastAsia" w:hAnsi="黑体" w:cs="黑体"/>
        </w:rPr>
      </w:pPr>
      <w:r>
        <w:rPr>
          <w:rFonts w:hint="eastAsia" w:hAnsi="黑体" w:cs="黑体"/>
        </w:rPr>
        <w:t>密度</w:t>
      </w:r>
    </w:p>
    <w:p w14:paraId="18CB8506">
      <w:pPr>
        <w:ind w:firstLine="425"/>
        <w:rPr>
          <w:rFonts w:hint="eastAsia"/>
        </w:rPr>
      </w:pPr>
      <w:r>
        <w:rPr>
          <w:rFonts w:hint="eastAsia" w:ascii="宋体"/>
          <w:szCs w:val="20"/>
        </w:rPr>
        <w:t>按GB 15892—2020中6.4规定的方法进行。</w:t>
      </w:r>
    </w:p>
    <w:p w14:paraId="69094C73">
      <w:pPr>
        <w:pStyle w:val="74"/>
        <w:spacing w:before="156" w:after="156"/>
        <w:ind w:left="0"/>
        <w:rPr>
          <w:rFonts w:hint="eastAsia" w:hAnsi="黑体" w:cs="黑体"/>
        </w:rPr>
      </w:pPr>
      <w:r>
        <w:rPr>
          <w:rFonts w:hint="eastAsia" w:hAnsi="黑体" w:cs="黑体"/>
        </w:rPr>
        <w:t>不溶物质量分数</w:t>
      </w:r>
    </w:p>
    <w:p w14:paraId="0E7C7776">
      <w:pPr>
        <w:ind w:firstLine="425"/>
        <w:rPr>
          <w:rFonts w:hint="eastAsia"/>
        </w:rPr>
      </w:pPr>
      <w:r>
        <w:rPr>
          <w:rFonts w:hint="eastAsia" w:ascii="宋体"/>
          <w:szCs w:val="20"/>
        </w:rPr>
        <w:t>按GB 15892—2020中6.5规定的方法进行。</w:t>
      </w:r>
    </w:p>
    <w:p w14:paraId="3FA1FF92">
      <w:pPr>
        <w:pStyle w:val="74"/>
        <w:spacing w:before="156" w:after="156"/>
        <w:ind w:left="0"/>
        <w:rPr>
          <w:rFonts w:hint="eastAsia" w:hAnsi="黑体" w:cs="黑体"/>
        </w:rPr>
      </w:pPr>
      <w:r>
        <w:rPr>
          <w:rFonts w:hint="eastAsia" w:hAnsi="黑体" w:cs="黑体"/>
        </w:rPr>
        <w:t>pH值</w:t>
      </w:r>
    </w:p>
    <w:p w14:paraId="01BE57BD">
      <w:pPr>
        <w:ind w:firstLine="425"/>
        <w:rPr>
          <w:rFonts w:hint="eastAsia"/>
        </w:rPr>
      </w:pPr>
      <w:r>
        <w:rPr>
          <w:rFonts w:hint="eastAsia" w:ascii="宋体"/>
          <w:szCs w:val="20"/>
        </w:rPr>
        <w:t>按GB 15892—2020中6.6规定的方法进行。</w:t>
      </w:r>
    </w:p>
    <w:p w14:paraId="73AAC1D0">
      <w:pPr>
        <w:pStyle w:val="74"/>
        <w:spacing w:before="156" w:after="156"/>
        <w:ind w:left="0"/>
        <w:rPr>
          <w:rFonts w:hint="eastAsia" w:hAnsi="黑体" w:cs="黑体"/>
        </w:rPr>
      </w:pPr>
      <w:r>
        <w:rPr>
          <w:rFonts w:hint="eastAsia" w:hAnsi="黑体" w:cs="黑体"/>
        </w:rPr>
        <w:t>聚合态铝Al</w:t>
      </w:r>
      <w:r>
        <w:rPr>
          <w:rFonts w:hint="eastAsia" w:hAnsi="黑体" w:cs="黑体"/>
          <w:vertAlign w:val="subscript"/>
        </w:rPr>
        <w:t>13</w:t>
      </w:r>
      <w:r>
        <w:rPr>
          <w:rFonts w:hint="eastAsia" w:hAnsi="黑体" w:cs="黑体"/>
        </w:rPr>
        <w:t>的质量分数</w:t>
      </w:r>
    </w:p>
    <w:p w14:paraId="5094DF0A">
      <w:pPr>
        <w:ind w:firstLine="425"/>
        <w:rPr>
          <w:rFonts w:hint="eastAsia"/>
        </w:rPr>
      </w:pPr>
      <w:r>
        <w:rPr>
          <w:rFonts w:hint="eastAsia" w:ascii="宋体"/>
          <w:szCs w:val="20"/>
        </w:rPr>
        <w:t>按附录</w:t>
      </w:r>
      <w:r>
        <w:rPr>
          <w:rFonts w:hint="eastAsia" w:ascii="宋体"/>
          <w:szCs w:val="20"/>
          <w:lang w:val="en-US" w:eastAsia="zh-CN"/>
        </w:rPr>
        <w:t>A</w:t>
      </w:r>
      <w:r>
        <w:rPr>
          <w:rFonts w:hint="eastAsia" w:ascii="宋体"/>
          <w:szCs w:val="20"/>
        </w:rPr>
        <w:t>的规定进行。</w:t>
      </w:r>
    </w:p>
    <w:p w14:paraId="5D315BD4">
      <w:pPr>
        <w:pStyle w:val="74"/>
        <w:spacing w:before="156" w:after="156"/>
        <w:ind w:left="0"/>
        <w:rPr>
          <w:rFonts w:hint="eastAsia" w:hAnsi="黑体" w:cs="黑体"/>
        </w:rPr>
      </w:pPr>
      <w:r>
        <w:rPr>
          <w:rFonts w:hint="eastAsia" w:hAnsi="黑体" w:cs="黑体"/>
        </w:rPr>
        <w:t>铁（Fe）的质量分数</w:t>
      </w:r>
    </w:p>
    <w:p w14:paraId="3D4EF47E">
      <w:pPr>
        <w:ind w:firstLine="425"/>
        <w:rPr>
          <w:rFonts w:hint="eastAsia"/>
        </w:rPr>
      </w:pPr>
      <w:r>
        <w:rPr>
          <w:rFonts w:hint="eastAsia" w:ascii="宋体"/>
          <w:szCs w:val="20"/>
        </w:rPr>
        <w:t>按</w:t>
      </w:r>
      <w:r>
        <w:rPr>
          <w:rFonts w:ascii="宋体"/>
          <w:szCs w:val="20"/>
        </w:rPr>
        <w:t>GB/T 22596</w:t>
      </w:r>
      <w:r>
        <w:rPr>
          <w:rFonts w:hint="eastAsia" w:ascii="宋体"/>
          <w:szCs w:val="20"/>
        </w:rPr>
        <w:t>规定的方法进行。</w:t>
      </w:r>
    </w:p>
    <w:p w14:paraId="2E3C400D">
      <w:pPr>
        <w:pStyle w:val="74"/>
        <w:spacing w:before="156" w:after="156"/>
        <w:ind w:left="0"/>
        <w:rPr>
          <w:rFonts w:hint="eastAsia" w:hAnsi="黑体" w:cs="黑体"/>
        </w:rPr>
      </w:pPr>
      <w:r>
        <w:rPr>
          <w:rFonts w:hint="eastAsia" w:hAnsi="黑体" w:cs="黑体"/>
        </w:rPr>
        <w:t>砷（As）的质量分数</w:t>
      </w:r>
    </w:p>
    <w:p w14:paraId="5C26DB81">
      <w:pPr>
        <w:ind w:firstLine="425"/>
        <w:rPr>
          <w:rFonts w:hint="eastAsia"/>
        </w:rPr>
      </w:pPr>
      <w:r>
        <w:rPr>
          <w:rFonts w:hint="eastAsia" w:ascii="宋体"/>
          <w:szCs w:val="20"/>
        </w:rPr>
        <w:t>按</w:t>
      </w:r>
      <w:r>
        <w:rPr>
          <w:rFonts w:ascii="宋体"/>
          <w:szCs w:val="20"/>
        </w:rPr>
        <w:t xml:space="preserve">GB </w:t>
      </w:r>
      <w:r>
        <w:rPr>
          <w:rFonts w:hint="eastAsia" w:ascii="宋体"/>
          <w:szCs w:val="20"/>
        </w:rPr>
        <w:t>15892—2020中6.8.2规定的方法进行，仲裁时按</w:t>
      </w:r>
      <w:r>
        <w:rPr>
          <w:rFonts w:ascii="宋体"/>
          <w:szCs w:val="20"/>
        </w:rPr>
        <w:t xml:space="preserve">GB </w:t>
      </w:r>
      <w:r>
        <w:rPr>
          <w:rFonts w:hint="eastAsia" w:ascii="宋体"/>
          <w:szCs w:val="20"/>
        </w:rPr>
        <w:t>15892—2020中6.8.1进行。</w:t>
      </w:r>
    </w:p>
    <w:p w14:paraId="44EBECAE">
      <w:pPr>
        <w:pStyle w:val="74"/>
        <w:spacing w:before="156" w:after="156"/>
        <w:ind w:left="0"/>
        <w:rPr>
          <w:rFonts w:hint="eastAsia" w:hAnsi="黑体" w:cs="黑体"/>
        </w:rPr>
      </w:pPr>
      <w:r>
        <w:rPr>
          <w:rFonts w:hint="eastAsia" w:hAnsi="黑体" w:cs="黑体"/>
        </w:rPr>
        <w:t>铅（Pb）的质量分数</w:t>
      </w:r>
    </w:p>
    <w:p w14:paraId="49E5F3F4">
      <w:pPr>
        <w:ind w:firstLine="425"/>
        <w:rPr>
          <w:rFonts w:hint="eastAsia"/>
        </w:rPr>
      </w:pPr>
      <w:r>
        <w:rPr>
          <w:rFonts w:hint="eastAsia" w:ascii="宋体"/>
          <w:szCs w:val="20"/>
        </w:rPr>
        <w:t>按</w:t>
      </w:r>
      <w:r>
        <w:rPr>
          <w:rFonts w:ascii="宋体"/>
          <w:szCs w:val="20"/>
        </w:rPr>
        <w:t xml:space="preserve">GB </w:t>
      </w:r>
      <w:r>
        <w:rPr>
          <w:rFonts w:hint="eastAsia" w:ascii="宋体"/>
          <w:szCs w:val="20"/>
        </w:rPr>
        <w:t>15892—2020中6.9.2规定的方法进行，仲裁时按</w:t>
      </w:r>
      <w:r>
        <w:rPr>
          <w:rFonts w:ascii="宋体"/>
          <w:szCs w:val="20"/>
        </w:rPr>
        <w:t xml:space="preserve">GB </w:t>
      </w:r>
      <w:r>
        <w:rPr>
          <w:rFonts w:hint="eastAsia" w:ascii="宋体"/>
          <w:szCs w:val="20"/>
        </w:rPr>
        <w:t>15892—2020中6.9.1进行。</w:t>
      </w:r>
    </w:p>
    <w:p w14:paraId="27592852">
      <w:pPr>
        <w:pStyle w:val="74"/>
        <w:spacing w:before="156" w:after="156"/>
        <w:ind w:left="0"/>
        <w:rPr>
          <w:rFonts w:hint="eastAsia" w:hAnsi="黑体" w:cs="黑体"/>
        </w:rPr>
      </w:pPr>
      <w:r>
        <w:rPr>
          <w:rFonts w:hint="eastAsia" w:hAnsi="黑体" w:cs="黑体"/>
        </w:rPr>
        <w:t>镉（Cd）的质量分数</w:t>
      </w:r>
    </w:p>
    <w:p w14:paraId="59B527A9">
      <w:pPr>
        <w:ind w:firstLine="425"/>
        <w:rPr>
          <w:rFonts w:hint="eastAsia"/>
        </w:rPr>
      </w:pPr>
      <w:r>
        <w:rPr>
          <w:rFonts w:hint="eastAsia" w:ascii="宋体"/>
          <w:szCs w:val="20"/>
        </w:rPr>
        <w:t>按</w:t>
      </w:r>
      <w:r>
        <w:rPr>
          <w:rFonts w:ascii="宋体"/>
          <w:szCs w:val="20"/>
        </w:rPr>
        <w:t xml:space="preserve">GB </w:t>
      </w:r>
      <w:r>
        <w:rPr>
          <w:rFonts w:hint="eastAsia" w:ascii="宋体"/>
          <w:szCs w:val="20"/>
        </w:rPr>
        <w:t>15892—2020中6.10.2规定的方法进行，仲裁时按</w:t>
      </w:r>
      <w:r>
        <w:rPr>
          <w:rFonts w:ascii="宋体"/>
          <w:szCs w:val="20"/>
        </w:rPr>
        <w:t xml:space="preserve">GB </w:t>
      </w:r>
      <w:r>
        <w:rPr>
          <w:rFonts w:hint="eastAsia" w:ascii="宋体"/>
          <w:szCs w:val="20"/>
        </w:rPr>
        <w:t>15892—2020中6.10.1进行。</w:t>
      </w:r>
    </w:p>
    <w:p w14:paraId="0DE59502">
      <w:pPr>
        <w:pStyle w:val="74"/>
        <w:spacing w:before="156" w:after="156"/>
        <w:ind w:left="0"/>
        <w:rPr>
          <w:rFonts w:hint="eastAsia" w:hAnsi="黑体" w:cs="黑体"/>
        </w:rPr>
      </w:pPr>
      <w:r>
        <w:rPr>
          <w:rFonts w:hint="eastAsia" w:hAnsi="黑体" w:cs="黑体"/>
        </w:rPr>
        <w:t>汞（Hg）的质量分数</w:t>
      </w:r>
    </w:p>
    <w:p w14:paraId="3A5F8C1A">
      <w:pPr>
        <w:ind w:firstLine="425"/>
        <w:rPr>
          <w:rFonts w:hint="eastAsia"/>
        </w:rPr>
      </w:pPr>
      <w:r>
        <w:rPr>
          <w:rFonts w:hint="eastAsia" w:ascii="宋体"/>
          <w:szCs w:val="20"/>
        </w:rPr>
        <w:t>按</w:t>
      </w:r>
      <w:r>
        <w:rPr>
          <w:rFonts w:ascii="宋体"/>
          <w:szCs w:val="20"/>
        </w:rPr>
        <w:t xml:space="preserve">GB </w:t>
      </w:r>
      <w:r>
        <w:rPr>
          <w:rFonts w:hint="eastAsia" w:ascii="宋体"/>
          <w:szCs w:val="20"/>
        </w:rPr>
        <w:t>15892—2020中6.11.2规定的方法进行，仲裁时按</w:t>
      </w:r>
      <w:r>
        <w:rPr>
          <w:rFonts w:ascii="宋体"/>
          <w:szCs w:val="20"/>
        </w:rPr>
        <w:t xml:space="preserve">GB </w:t>
      </w:r>
      <w:r>
        <w:rPr>
          <w:rFonts w:hint="eastAsia" w:ascii="宋体"/>
          <w:szCs w:val="20"/>
        </w:rPr>
        <w:t>15892—2020中6.11.1进行。</w:t>
      </w:r>
    </w:p>
    <w:p w14:paraId="3B53CCEC">
      <w:pPr>
        <w:pStyle w:val="74"/>
        <w:spacing w:before="156" w:after="156"/>
        <w:ind w:left="0"/>
        <w:rPr>
          <w:rFonts w:hint="eastAsia" w:hAnsi="黑体" w:cs="黑体"/>
        </w:rPr>
      </w:pPr>
      <w:r>
        <w:rPr>
          <w:rFonts w:hint="eastAsia" w:hAnsi="黑体" w:cs="黑体"/>
        </w:rPr>
        <w:t>铬（Cr）的质量分数</w:t>
      </w:r>
    </w:p>
    <w:p w14:paraId="6582AB7A">
      <w:pPr>
        <w:ind w:firstLine="425"/>
        <w:rPr>
          <w:rFonts w:hint="eastAsia" w:ascii="宋体"/>
          <w:szCs w:val="20"/>
        </w:rPr>
      </w:pPr>
      <w:r>
        <w:rPr>
          <w:rFonts w:hint="eastAsia" w:ascii="宋体"/>
          <w:szCs w:val="20"/>
        </w:rPr>
        <w:t>按</w:t>
      </w:r>
      <w:r>
        <w:rPr>
          <w:rFonts w:ascii="宋体"/>
          <w:szCs w:val="20"/>
        </w:rPr>
        <w:t xml:space="preserve">GB </w:t>
      </w:r>
      <w:r>
        <w:rPr>
          <w:rFonts w:hint="eastAsia" w:ascii="宋体"/>
          <w:szCs w:val="20"/>
        </w:rPr>
        <w:t>15892—2020中6.12规定的方法进行。</w:t>
      </w:r>
    </w:p>
    <w:p w14:paraId="4776D74F">
      <w:pPr>
        <w:pStyle w:val="74"/>
        <w:spacing w:before="156" w:after="156"/>
        <w:ind w:left="0"/>
        <w:rPr>
          <w:rFonts w:hAnsi="黑体" w:cs="黑体"/>
        </w:rPr>
      </w:pPr>
      <w:r>
        <w:rPr>
          <w:rFonts w:hint="eastAsia" w:hAnsi="黑体" w:cs="黑体"/>
        </w:rPr>
        <w:t>平均粒径</w:t>
      </w:r>
    </w:p>
    <w:p w14:paraId="7D59D567">
      <w:pPr>
        <w:pStyle w:val="25"/>
        <w:rPr>
          <w:rFonts w:hint="eastAsia"/>
        </w:rPr>
      </w:pPr>
      <w:r>
        <w:rPr>
          <w:rFonts w:hint="eastAsia"/>
        </w:rPr>
        <w:t>按附录</w:t>
      </w:r>
      <w:r>
        <w:rPr>
          <w:rFonts w:hint="eastAsia"/>
          <w:lang w:val="en-US" w:eastAsia="zh-CN"/>
        </w:rPr>
        <w:t>B</w:t>
      </w:r>
      <w:r>
        <w:rPr>
          <w:rFonts w:hint="eastAsia"/>
        </w:rPr>
        <w:t>的规定进行。</w:t>
      </w:r>
    </w:p>
    <w:p w14:paraId="0C92935D">
      <w:pPr>
        <w:pStyle w:val="74"/>
        <w:spacing w:before="156" w:after="156"/>
        <w:ind w:left="0"/>
        <w:rPr>
          <w:rFonts w:hint="eastAsia" w:hAnsi="黑体" w:cs="黑体"/>
        </w:rPr>
      </w:pPr>
      <w:r>
        <w:rPr>
          <w:rFonts w:hint="eastAsia" w:hAnsi="黑体" w:cs="黑体"/>
        </w:rPr>
        <w:t>混凝效果</w:t>
      </w:r>
    </w:p>
    <w:p w14:paraId="516511E5">
      <w:pPr>
        <w:pStyle w:val="78"/>
        <w:spacing w:before="156" w:after="156"/>
        <w:ind w:left="420" w:hanging="420" w:hangingChars="200"/>
        <w:rPr>
          <w:rFonts w:hint="eastAsia"/>
          <w:color w:val="auto"/>
        </w:rPr>
      </w:pPr>
      <w:r>
        <w:rPr>
          <w:rFonts w:hint="eastAsia"/>
          <w:color w:val="auto"/>
          <w:lang w:eastAsia="zh-CN"/>
        </w:rPr>
        <w:t>混凝沉淀</w:t>
      </w:r>
      <w:r>
        <w:rPr>
          <w:rFonts w:hint="eastAsia" w:hAnsi="Times New Roman" w:cs="Times New Roman"/>
          <w:color w:val="auto"/>
          <w:lang w:eastAsia="zh-CN"/>
        </w:rPr>
        <w:t>、混凝脱色率、混凝去除有机物性能</w:t>
      </w:r>
    </w:p>
    <w:p w14:paraId="4B7396C4">
      <w:pPr>
        <w:tabs>
          <w:tab w:val="center" w:pos="4201"/>
          <w:tab w:val="right" w:leader="dot" w:pos="9298"/>
        </w:tabs>
        <w:spacing w:before="283"/>
        <w:ind w:firstLine="425"/>
        <w:rPr>
          <w:rFonts w:hint="eastAsia"/>
        </w:rPr>
      </w:pPr>
      <w:r>
        <w:rPr>
          <w:rFonts w:hint="eastAsia" w:ascii="宋体" w:hAnsi="宋体" w:eastAsia="宋体" w:cs="Times New Roman"/>
          <w:color w:val="auto"/>
          <w:szCs w:val="21"/>
        </w:rPr>
        <w:t>按HG</w:t>
      </w:r>
      <w:r>
        <w:rPr>
          <w:rFonts w:ascii="宋体" w:hAnsi="宋体" w:eastAsia="宋体" w:cs="Times New Roman"/>
          <w:color w:val="auto"/>
          <w:szCs w:val="21"/>
        </w:rPr>
        <w:t>/</w:t>
      </w:r>
      <w:r>
        <w:rPr>
          <w:rFonts w:hint="eastAsia" w:ascii="宋体" w:hAnsi="宋体" w:eastAsia="宋体" w:cs="Times New Roman"/>
          <w:color w:val="auto"/>
          <w:szCs w:val="21"/>
        </w:rPr>
        <w:t>T 4331</w:t>
      </w:r>
      <w:r>
        <w:rPr>
          <w:rFonts w:hint="eastAsia" w:ascii="宋体" w:hAnsi="宋体" w:eastAsia="宋体" w:cs="Times New Roman"/>
          <w:color w:val="auto"/>
          <w:szCs w:val="21"/>
          <w:lang w:val="en-US" w:eastAsia="zh-CN"/>
        </w:rPr>
        <w:t>中</w:t>
      </w:r>
      <w:r>
        <w:rPr>
          <w:rFonts w:hint="eastAsia" w:ascii="宋体" w:hAnsi="宋体" w:eastAsia="宋体" w:cs="Times New Roman"/>
          <w:color w:val="auto"/>
          <w:szCs w:val="21"/>
        </w:rPr>
        <w:t>规定的方法进行。</w:t>
      </w:r>
    </w:p>
    <w:p w14:paraId="0E02F534">
      <w:pPr>
        <w:pStyle w:val="78"/>
        <w:spacing w:before="156" w:after="156"/>
        <w:ind w:left="420" w:hanging="420" w:hangingChars="200"/>
        <w:rPr>
          <w:rFonts w:hint="eastAsia"/>
          <w:color w:val="auto"/>
        </w:rPr>
      </w:pPr>
      <w:r>
        <w:rPr>
          <w:rFonts w:hint="eastAsia"/>
          <w:color w:val="auto"/>
        </w:rPr>
        <w:t>出水余铝</w:t>
      </w:r>
    </w:p>
    <w:p w14:paraId="2B6A74FD">
      <w:pPr>
        <w:ind w:firstLine="420"/>
        <w:rPr>
          <w:rFonts w:hint="eastAsia" w:ascii="宋体" w:hAnsi="宋体" w:cs="宋体"/>
          <w:color w:val="auto"/>
        </w:rPr>
      </w:pPr>
      <w:r>
        <w:rPr>
          <w:rFonts w:hint="eastAsia" w:ascii="宋体" w:hAnsi="宋体" w:cs="宋体"/>
          <w:color w:val="auto"/>
        </w:rPr>
        <w:t>按GB/T 5750.6—2023规定的方法进行。</w:t>
      </w:r>
    </w:p>
    <w:p w14:paraId="5A695671">
      <w:pPr>
        <w:pStyle w:val="119"/>
        <w:outlineLvl w:val="0"/>
        <w:rPr>
          <w:lang w:eastAsia="zh-Hans"/>
        </w:rPr>
      </w:pPr>
      <w:bookmarkStart w:id="68" w:name="_Toc27433"/>
      <w:r>
        <w:rPr>
          <w:rFonts w:hint="eastAsia"/>
        </w:rPr>
        <w:t>检验规则</w:t>
      </w:r>
      <w:bookmarkEnd w:id="68"/>
    </w:p>
    <w:p w14:paraId="399B1EA0">
      <w:pPr>
        <w:pStyle w:val="63"/>
        <w:outlineLvl w:val="1"/>
        <w:rPr>
          <w:lang w:eastAsia="zh-Hans"/>
        </w:rPr>
      </w:pPr>
      <w:bookmarkStart w:id="69" w:name="_Toc2053"/>
      <w:r>
        <w:rPr>
          <w:rFonts w:hint="eastAsia"/>
        </w:rPr>
        <w:t>检验分类</w:t>
      </w:r>
      <w:bookmarkEnd w:id="69"/>
    </w:p>
    <w:p w14:paraId="0B53E239">
      <w:pPr>
        <w:tabs>
          <w:tab w:val="center" w:pos="4201"/>
          <w:tab w:val="right" w:leader="dot" w:pos="9298"/>
        </w:tabs>
        <w:spacing w:before="283"/>
        <w:ind w:firstLine="425"/>
        <w:rPr>
          <w:rFonts w:hint="eastAsia" w:ascii="宋体" w:hAnsi="宋体"/>
          <w:szCs w:val="21"/>
        </w:rPr>
      </w:pPr>
      <w:r>
        <w:rPr>
          <w:rFonts w:hint="eastAsia" w:ascii="宋体" w:hAnsi="宋体"/>
          <w:szCs w:val="21"/>
        </w:rPr>
        <w:t>检验分为出厂检验和型式检验。</w:t>
      </w:r>
    </w:p>
    <w:p w14:paraId="72D95F21">
      <w:pPr>
        <w:pStyle w:val="63"/>
        <w:outlineLvl w:val="1"/>
        <w:rPr>
          <w:lang w:eastAsia="zh-Hans"/>
        </w:rPr>
      </w:pPr>
      <w:bookmarkStart w:id="70" w:name="_Toc3417"/>
      <w:r>
        <w:rPr>
          <w:rFonts w:hint="eastAsia"/>
        </w:rPr>
        <w:t>检验项目</w:t>
      </w:r>
      <w:bookmarkEnd w:id="70"/>
    </w:p>
    <w:p w14:paraId="7FF46482">
      <w:pPr>
        <w:tabs>
          <w:tab w:val="center" w:pos="4201"/>
          <w:tab w:val="right" w:leader="dot" w:pos="9298"/>
        </w:tabs>
        <w:spacing w:before="283"/>
        <w:ind w:firstLine="425"/>
        <w:rPr>
          <w:rFonts w:hint="eastAsia" w:ascii="宋体" w:hAnsi="宋体"/>
          <w:szCs w:val="21"/>
        </w:rPr>
      </w:pPr>
      <w:r>
        <w:rPr>
          <w:rFonts w:hint="eastAsia" w:ascii="宋体"/>
          <w:szCs w:val="20"/>
        </w:rPr>
        <w:t>检验项目、技术要求和试验方法按表2的规定。</w:t>
      </w:r>
    </w:p>
    <w:p w14:paraId="52A24E95">
      <w:pPr>
        <w:pStyle w:val="148"/>
        <w:ind w:left="4253" w:hanging="4252" w:hangingChars="2025"/>
        <w:rPr>
          <w:rFonts w:hint="eastAsia"/>
        </w:rPr>
      </w:pPr>
      <w:r>
        <w:rPr>
          <w:rFonts w:hint="eastAsia"/>
        </w:rPr>
        <w:t>检验分类及检验项目</w:t>
      </w:r>
    </w:p>
    <w:tbl>
      <w:tblPr>
        <w:tblStyle w:val="35"/>
        <w:tblW w:w="935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59"/>
        <w:gridCol w:w="865"/>
        <w:gridCol w:w="2706"/>
        <w:gridCol w:w="1274"/>
        <w:gridCol w:w="1266"/>
        <w:gridCol w:w="1491"/>
        <w:gridCol w:w="1290"/>
      </w:tblGrid>
      <w:tr w14:paraId="5ED17FE2">
        <w:trPr>
          <w:tblHeader/>
          <w:jc w:val="center"/>
        </w:trPr>
        <w:tc>
          <w:tcPr>
            <w:tcW w:w="459" w:type="dxa"/>
            <w:tcBorders>
              <w:bottom w:val="single" w:color="auto" w:sz="8" w:space="0"/>
            </w:tcBorders>
            <w:noWrap w:val="0"/>
            <w:vAlign w:val="center"/>
          </w:tcPr>
          <w:p w14:paraId="704AF440">
            <w:pPr>
              <w:pStyle w:val="159"/>
              <w:widowControl w:val="0"/>
              <w:rPr>
                <w:rFonts w:hint="eastAsia" w:hAnsi="宋体" w:cs="宋体"/>
                <w:kern w:val="2"/>
                <w:szCs w:val="18"/>
              </w:rPr>
            </w:pPr>
            <w:r>
              <w:rPr>
                <w:rFonts w:hint="eastAsia" w:hAnsi="宋体" w:cs="宋体"/>
                <w:kern w:val="2"/>
                <w:szCs w:val="18"/>
              </w:rPr>
              <w:t>序号</w:t>
            </w:r>
          </w:p>
        </w:tc>
        <w:tc>
          <w:tcPr>
            <w:tcW w:w="3571" w:type="dxa"/>
            <w:gridSpan w:val="2"/>
            <w:tcBorders>
              <w:bottom w:val="single" w:color="auto" w:sz="8" w:space="0"/>
            </w:tcBorders>
            <w:noWrap w:val="0"/>
            <w:vAlign w:val="center"/>
          </w:tcPr>
          <w:p w14:paraId="31CF3AF9">
            <w:pPr>
              <w:pStyle w:val="159"/>
              <w:widowControl w:val="0"/>
              <w:rPr>
                <w:rFonts w:hint="eastAsia" w:hAnsi="宋体" w:cs="宋体"/>
                <w:kern w:val="2"/>
                <w:szCs w:val="18"/>
              </w:rPr>
            </w:pPr>
            <w:r>
              <w:rPr>
                <w:rFonts w:hint="eastAsia" w:hAnsi="宋体" w:cs="宋体"/>
                <w:kern w:val="2"/>
                <w:szCs w:val="18"/>
              </w:rPr>
              <w:t>检验项目</w:t>
            </w:r>
          </w:p>
        </w:tc>
        <w:tc>
          <w:tcPr>
            <w:tcW w:w="1274" w:type="dxa"/>
            <w:tcBorders>
              <w:bottom w:val="single" w:color="auto" w:sz="8" w:space="0"/>
            </w:tcBorders>
            <w:noWrap w:val="0"/>
            <w:vAlign w:val="center"/>
          </w:tcPr>
          <w:p w14:paraId="2F04CF11">
            <w:pPr>
              <w:pStyle w:val="159"/>
              <w:widowControl w:val="0"/>
              <w:rPr>
                <w:rFonts w:hint="eastAsia" w:hAnsi="宋体" w:cs="宋体"/>
                <w:kern w:val="2"/>
                <w:szCs w:val="18"/>
                <w:highlight w:val="yellow"/>
              </w:rPr>
            </w:pPr>
            <w:r>
              <w:rPr>
                <w:rFonts w:hint="eastAsia" w:hAnsi="宋体" w:cs="宋体"/>
                <w:kern w:val="2"/>
                <w:szCs w:val="18"/>
              </w:rPr>
              <w:t>出厂检验</w:t>
            </w:r>
          </w:p>
        </w:tc>
        <w:tc>
          <w:tcPr>
            <w:tcW w:w="1266" w:type="dxa"/>
            <w:tcBorders>
              <w:bottom w:val="single" w:color="auto" w:sz="8" w:space="0"/>
            </w:tcBorders>
            <w:noWrap w:val="0"/>
            <w:vAlign w:val="center"/>
          </w:tcPr>
          <w:p w14:paraId="1C6662C4">
            <w:pPr>
              <w:pStyle w:val="159"/>
              <w:widowControl w:val="0"/>
              <w:rPr>
                <w:rFonts w:hint="eastAsia" w:hAnsi="宋体" w:cs="宋体"/>
                <w:kern w:val="2"/>
                <w:szCs w:val="18"/>
                <w:highlight w:val="yellow"/>
              </w:rPr>
            </w:pPr>
            <w:r>
              <w:rPr>
                <w:rFonts w:hint="eastAsia" w:hAnsi="宋体" w:cs="宋体"/>
                <w:kern w:val="2"/>
                <w:szCs w:val="18"/>
              </w:rPr>
              <w:t>型式检验</w:t>
            </w:r>
          </w:p>
        </w:tc>
        <w:tc>
          <w:tcPr>
            <w:tcW w:w="1491" w:type="dxa"/>
            <w:tcBorders>
              <w:bottom w:val="single" w:color="auto" w:sz="8" w:space="0"/>
            </w:tcBorders>
            <w:noWrap w:val="0"/>
            <w:vAlign w:val="center"/>
          </w:tcPr>
          <w:p w14:paraId="4AF047DA">
            <w:pPr>
              <w:pStyle w:val="159"/>
              <w:widowControl w:val="0"/>
              <w:rPr>
                <w:rFonts w:hint="eastAsia" w:hAnsi="宋体" w:cs="宋体"/>
                <w:kern w:val="2"/>
                <w:szCs w:val="18"/>
              </w:rPr>
            </w:pPr>
            <w:r>
              <w:rPr>
                <w:rFonts w:hint="eastAsia" w:hAnsi="宋体" w:cs="宋体"/>
                <w:kern w:val="2"/>
                <w:szCs w:val="18"/>
              </w:rPr>
              <w:t>技术要求</w:t>
            </w:r>
          </w:p>
        </w:tc>
        <w:tc>
          <w:tcPr>
            <w:tcW w:w="1290" w:type="dxa"/>
            <w:tcBorders>
              <w:bottom w:val="single" w:color="auto" w:sz="8" w:space="0"/>
            </w:tcBorders>
            <w:noWrap w:val="0"/>
            <w:vAlign w:val="center"/>
          </w:tcPr>
          <w:p w14:paraId="448E5C11">
            <w:pPr>
              <w:pStyle w:val="159"/>
              <w:widowControl w:val="0"/>
              <w:rPr>
                <w:rFonts w:hint="eastAsia" w:hAnsi="宋体" w:cs="宋体"/>
                <w:kern w:val="2"/>
                <w:szCs w:val="18"/>
              </w:rPr>
            </w:pPr>
            <w:r>
              <w:rPr>
                <w:rFonts w:hint="eastAsia" w:hAnsi="宋体" w:cs="宋体"/>
                <w:kern w:val="2"/>
                <w:szCs w:val="18"/>
              </w:rPr>
              <w:t>试验方法</w:t>
            </w:r>
          </w:p>
        </w:tc>
      </w:tr>
      <w:tr w14:paraId="6D021475">
        <w:trPr>
          <w:jc w:val="center"/>
        </w:trPr>
        <w:tc>
          <w:tcPr>
            <w:tcW w:w="459" w:type="dxa"/>
            <w:tcBorders>
              <w:top w:val="single" w:color="auto" w:sz="8" w:space="0"/>
            </w:tcBorders>
            <w:noWrap w:val="0"/>
            <w:vAlign w:val="center"/>
          </w:tcPr>
          <w:p w14:paraId="5F5BFFC0">
            <w:pPr>
              <w:pStyle w:val="159"/>
              <w:widowControl w:val="0"/>
              <w:rPr>
                <w:rFonts w:hint="eastAsia" w:hAnsi="宋体" w:cs="宋体"/>
                <w:kern w:val="2"/>
                <w:szCs w:val="18"/>
              </w:rPr>
            </w:pPr>
            <w:r>
              <w:rPr>
                <w:rFonts w:hint="eastAsia" w:hAnsi="宋体" w:cs="宋体"/>
                <w:kern w:val="2"/>
                <w:szCs w:val="18"/>
              </w:rPr>
              <w:t>1</w:t>
            </w:r>
          </w:p>
        </w:tc>
        <w:tc>
          <w:tcPr>
            <w:tcW w:w="3571" w:type="dxa"/>
            <w:gridSpan w:val="2"/>
            <w:tcBorders>
              <w:top w:val="single" w:color="auto" w:sz="8" w:space="0"/>
            </w:tcBorders>
            <w:noWrap w:val="0"/>
            <w:vAlign w:val="center"/>
          </w:tcPr>
          <w:p w14:paraId="19968B8E">
            <w:pPr>
              <w:pStyle w:val="159"/>
              <w:widowControl w:val="0"/>
              <w:rPr>
                <w:rFonts w:hint="eastAsia" w:hAnsi="宋体" w:cs="宋体"/>
                <w:kern w:val="2"/>
                <w:szCs w:val="18"/>
              </w:rPr>
            </w:pPr>
            <w:r>
              <w:rPr>
                <w:rFonts w:hint="eastAsia" w:hAnsi="宋体" w:cs="宋体"/>
                <w:kern w:val="2"/>
                <w:szCs w:val="18"/>
              </w:rPr>
              <w:t>外观</w:t>
            </w:r>
          </w:p>
        </w:tc>
        <w:tc>
          <w:tcPr>
            <w:tcW w:w="1274" w:type="dxa"/>
            <w:tcBorders>
              <w:top w:val="single" w:color="auto" w:sz="8" w:space="0"/>
            </w:tcBorders>
            <w:noWrap w:val="0"/>
            <w:vAlign w:val="center"/>
          </w:tcPr>
          <w:p w14:paraId="3A09A32F">
            <w:pPr>
              <w:pStyle w:val="159"/>
              <w:widowControl w:val="0"/>
              <w:rPr>
                <w:rFonts w:hint="eastAsia" w:hAnsi="宋体" w:cs="宋体"/>
                <w:kern w:val="2"/>
                <w:szCs w:val="18"/>
              </w:rPr>
            </w:pPr>
            <w:r>
              <w:rPr>
                <w:rFonts w:hint="eastAsia" w:hAnsi="宋体" w:cs="宋体"/>
                <w:kern w:val="2"/>
                <w:szCs w:val="18"/>
              </w:rPr>
              <w:t>√</w:t>
            </w:r>
          </w:p>
        </w:tc>
        <w:tc>
          <w:tcPr>
            <w:tcW w:w="1266" w:type="dxa"/>
            <w:tcBorders>
              <w:top w:val="single" w:color="auto" w:sz="8" w:space="0"/>
            </w:tcBorders>
            <w:noWrap w:val="0"/>
            <w:vAlign w:val="center"/>
          </w:tcPr>
          <w:p w14:paraId="1742EA4F">
            <w:pPr>
              <w:pStyle w:val="159"/>
              <w:widowControl w:val="0"/>
              <w:rPr>
                <w:rFonts w:hint="eastAsia" w:hAnsi="宋体" w:cs="宋体"/>
                <w:kern w:val="2"/>
                <w:szCs w:val="18"/>
              </w:rPr>
            </w:pPr>
            <w:r>
              <w:rPr>
                <w:rFonts w:hint="eastAsia" w:hAnsi="宋体" w:cs="宋体"/>
                <w:kern w:val="2"/>
                <w:szCs w:val="18"/>
              </w:rPr>
              <w:t>√</w:t>
            </w:r>
          </w:p>
        </w:tc>
        <w:tc>
          <w:tcPr>
            <w:tcW w:w="1491" w:type="dxa"/>
            <w:tcBorders>
              <w:top w:val="single" w:color="auto" w:sz="8" w:space="0"/>
            </w:tcBorders>
            <w:noWrap w:val="0"/>
            <w:vAlign w:val="center"/>
          </w:tcPr>
          <w:p w14:paraId="091E2DF4">
            <w:pPr>
              <w:pStyle w:val="159"/>
              <w:widowControl w:val="0"/>
              <w:rPr>
                <w:rFonts w:hint="eastAsia" w:hAnsi="宋体" w:cs="宋体"/>
                <w:kern w:val="2"/>
                <w:szCs w:val="18"/>
              </w:rPr>
            </w:pPr>
            <w:r>
              <w:rPr>
                <w:rFonts w:hint="eastAsia" w:hAnsi="宋体" w:cs="宋体"/>
                <w:kern w:val="2"/>
                <w:szCs w:val="18"/>
              </w:rPr>
              <w:t>6.1</w:t>
            </w:r>
          </w:p>
        </w:tc>
        <w:tc>
          <w:tcPr>
            <w:tcW w:w="1290" w:type="dxa"/>
            <w:tcBorders>
              <w:top w:val="single" w:color="auto" w:sz="8" w:space="0"/>
            </w:tcBorders>
            <w:noWrap w:val="0"/>
            <w:vAlign w:val="center"/>
          </w:tcPr>
          <w:p w14:paraId="47BF23AA">
            <w:pPr>
              <w:pStyle w:val="159"/>
              <w:widowControl w:val="0"/>
              <w:rPr>
                <w:rFonts w:hint="eastAsia" w:hAnsi="宋体" w:cs="宋体"/>
                <w:kern w:val="2"/>
                <w:szCs w:val="18"/>
              </w:rPr>
            </w:pPr>
            <w:r>
              <w:rPr>
                <w:rFonts w:hint="eastAsia" w:hAnsi="宋体" w:cs="宋体"/>
                <w:kern w:val="2"/>
                <w:szCs w:val="18"/>
              </w:rPr>
              <w:t>7.2</w:t>
            </w:r>
          </w:p>
        </w:tc>
      </w:tr>
      <w:tr w14:paraId="4F97C79B">
        <w:trPr>
          <w:jc w:val="center"/>
        </w:trPr>
        <w:tc>
          <w:tcPr>
            <w:tcW w:w="459" w:type="dxa"/>
            <w:noWrap w:val="0"/>
            <w:vAlign w:val="center"/>
          </w:tcPr>
          <w:p w14:paraId="3FA512BA">
            <w:pPr>
              <w:pStyle w:val="159"/>
              <w:widowControl w:val="0"/>
              <w:rPr>
                <w:rFonts w:hint="eastAsia" w:hAnsi="宋体" w:cs="宋体"/>
                <w:kern w:val="2"/>
                <w:szCs w:val="18"/>
              </w:rPr>
            </w:pPr>
            <w:r>
              <w:rPr>
                <w:rFonts w:hint="eastAsia" w:hAnsi="宋体" w:cs="宋体"/>
                <w:kern w:val="2"/>
                <w:szCs w:val="18"/>
              </w:rPr>
              <w:t>2</w:t>
            </w:r>
          </w:p>
        </w:tc>
        <w:tc>
          <w:tcPr>
            <w:tcW w:w="865" w:type="dxa"/>
            <w:vMerge w:val="restart"/>
            <w:noWrap w:val="0"/>
            <w:vAlign w:val="center"/>
          </w:tcPr>
          <w:p w14:paraId="7C10A966">
            <w:pPr>
              <w:pStyle w:val="159"/>
              <w:widowControl w:val="0"/>
              <w:rPr>
                <w:rFonts w:hint="eastAsia" w:hAnsi="宋体" w:cs="宋体"/>
                <w:kern w:val="2"/>
                <w:szCs w:val="18"/>
              </w:rPr>
            </w:pPr>
            <w:r>
              <w:rPr>
                <w:rFonts w:hint="eastAsia" w:hAnsi="宋体" w:cs="宋体"/>
                <w:kern w:val="2"/>
                <w:szCs w:val="18"/>
              </w:rPr>
              <w:t>理化指标</w:t>
            </w:r>
          </w:p>
        </w:tc>
        <w:tc>
          <w:tcPr>
            <w:tcW w:w="2706" w:type="dxa"/>
            <w:noWrap w:val="0"/>
            <w:vAlign w:val="center"/>
          </w:tcPr>
          <w:p w14:paraId="759FC90F">
            <w:pPr>
              <w:pStyle w:val="159"/>
              <w:widowControl w:val="0"/>
              <w:rPr>
                <w:rFonts w:hint="eastAsia" w:hAnsi="宋体" w:cs="宋体"/>
                <w:kern w:val="2"/>
                <w:szCs w:val="18"/>
              </w:rPr>
            </w:pPr>
            <w:r>
              <w:rPr>
                <w:rFonts w:hint="eastAsia" w:hAnsi="宋体" w:cs="宋体"/>
                <w:kern w:val="2"/>
                <w:szCs w:val="18"/>
              </w:rPr>
              <w:t>氧化铝（Al</w:t>
            </w:r>
            <w:r>
              <w:rPr>
                <w:rFonts w:hint="eastAsia" w:hAnsi="宋体" w:cs="宋体"/>
                <w:kern w:val="2"/>
                <w:szCs w:val="18"/>
                <w:vertAlign w:val="subscript"/>
              </w:rPr>
              <w:t>2</w:t>
            </w:r>
            <w:r>
              <w:rPr>
                <w:rFonts w:hint="eastAsia" w:hAnsi="宋体" w:cs="宋体"/>
                <w:kern w:val="2"/>
                <w:szCs w:val="18"/>
              </w:rPr>
              <w:t>O</w:t>
            </w:r>
            <w:r>
              <w:rPr>
                <w:rFonts w:hint="eastAsia" w:hAnsi="宋体" w:cs="宋体"/>
                <w:kern w:val="2"/>
                <w:szCs w:val="18"/>
                <w:vertAlign w:val="subscript"/>
              </w:rPr>
              <w:t>3</w:t>
            </w:r>
            <w:r>
              <w:rPr>
                <w:rFonts w:hint="eastAsia" w:hAnsi="宋体" w:cs="宋体"/>
                <w:kern w:val="2"/>
                <w:szCs w:val="18"/>
              </w:rPr>
              <w:t>）的质量分数</w:t>
            </w:r>
          </w:p>
        </w:tc>
        <w:tc>
          <w:tcPr>
            <w:tcW w:w="1274" w:type="dxa"/>
            <w:noWrap w:val="0"/>
            <w:vAlign w:val="center"/>
          </w:tcPr>
          <w:p w14:paraId="4985B27C">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3B094AF3">
            <w:pPr>
              <w:jc w:val="center"/>
              <w:rPr>
                <w:rFonts w:hint="eastAsia" w:ascii="宋体" w:hAnsi="宋体" w:cs="宋体"/>
                <w:sz w:val="18"/>
                <w:szCs w:val="18"/>
              </w:rPr>
            </w:pPr>
            <w:r>
              <w:rPr>
                <w:rFonts w:hint="eastAsia" w:ascii="宋体" w:hAnsi="宋体" w:cs="宋体"/>
                <w:sz w:val="18"/>
                <w:szCs w:val="18"/>
              </w:rPr>
              <w:t>√</w:t>
            </w:r>
          </w:p>
        </w:tc>
        <w:tc>
          <w:tcPr>
            <w:tcW w:w="1491" w:type="dxa"/>
            <w:vMerge w:val="restart"/>
            <w:noWrap w:val="0"/>
            <w:vAlign w:val="center"/>
          </w:tcPr>
          <w:p w14:paraId="58168760">
            <w:pPr>
              <w:pStyle w:val="159"/>
              <w:widowControl w:val="0"/>
              <w:rPr>
                <w:rFonts w:hint="eastAsia" w:hAnsi="宋体" w:cs="宋体"/>
                <w:kern w:val="2"/>
                <w:szCs w:val="18"/>
              </w:rPr>
            </w:pPr>
            <w:r>
              <w:rPr>
                <w:rFonts w:hint="eastAsia" w:hAnsi="宋体" w:cs="宋体"/>
                <w:kern w:val="2"/>
                <w:szCs w:val="18"/>
              </w:rPr>
              <w:t>6.2</w:t>
            </w:r>
          </w:p>
        </w:tc>
        <w:tc>
          <w:tcPr>
            <w:tcW w:w="1290" w:type="dxa"/>
            <w:noWrap w:val="0"/>
            <w:vAlign w:val="center"/>
          </w:tcPr>
          <w:p w14:paraId="3F0DDB37">
            <w:pPr>
              <w:pStyle w:val="159"/>
              <w:widowControl w:val="0"/>
              <w:rPr>
                <w:rFonts w:hAnsi="宋体" w:cs="宋体"/>
                <w:kern w:val="2"/>
                <w:szCs w:val="18"/>
              </w:rPr>
            </w:pPr>
            <w:r>
              <w:rPr>
                <w:rFonts w:hint="eastAsia" w:hAnsi="宋体" w:cs="宋体"/>
                <w:kern w:val="2"/>
                <w:szCs w:val="18"/>
              </w:rPr>
              <w:t>7.3.1</w:t>
            </w:r>
          </w:p>
        </w:tc>
      </w:tr>
      <w:tr w14:paraId="577E388C">
        <w:trPr>
          <w:jc w:val="center"/>
        </w:trPr>
        <w:tc>
          <w:tcPr>
            <w:tcW w:w="459" w:type="dxa"/>
            <w:noWrap w:val="0"/>
            <w:vAlign w:val="center"/>
          </w:tcPr>
          <w:p w14:paraId="386B4DD6">
            <w:pPr>
              <w:pStyle w:val="159"/>
              <w:widowControl w:val="0"/>
              <w:rPr>
                <w:rFonts w:hint="eastAsia" w:hAnsi="宋体" w:cs="宋体"/>
                <w:kern w:val="2"/>
                <w:szCs w:val="18"/>
              </w:rPr>
            </w:pPr>
            <w:r>
              <w:rPr>
                <w:rFonts w:hint="eastAsia" w:hAnsi="宋体" w:cs="宋体"/>
                <w:kern w:val="2"/>
                <w:szCs w:val="18"/>
              </w:rPr>
              <w:t>3</w:t>
            </w:r>
          </w:p>
        </w:tc>
        <w:tc>
          <w:tcPr>
            <w:tcW w:w="865" w:type="dxa"/>
            <w:vMerge w:val="continue"/>
            <w:noWrap w:val="0"/>
            <w:vAlign w:val="center"/>
          </w:tcPr>
          <w:p w14:paraId="54C65FDF">
            <w:pPr>
              <w:pStyle w:val="159"/>
              <w:widowControl w:val="0"/>
              <w:rPr>
                <w:rFonts w:hint="eastAsia" w:hAnsi="宋体" w:cs="宋体"/>
                <w:kern w:val="2"/>
                <w:szCs w:val="18"/>
              </w:rPr>
            </w:pPr>
          </w:p>
        </w:tc>
        <w:tc>
          <w:tcPr>
            <w:tcW w:w="2706" w:type="dxa"/>
            <w:noWrap w:val="0"/>
            <w:vAlign w:val="center"/>
          </w:tcPr>
          <w:p w14:paraId="3E2520FC">
            <w:pPr>
              <w:pStyle w:val="159"/>
              <w:widowControl w:val="0"/>
              <w:rPr>
                <w:rFonts w:hint="eastAsia" w:hAnsi="宋体" w:cs="宋体"/>
                <w:kern w:val="2"/>
                <w:szCs w:val="18"/>
              </w:rPr>
            </w:pPr>
            <w:r>
              <w:rPr>
                <w:rFonts w:hint="eastAsia" w:hAnsi="宋体" w:cs="宋体"/>
                <w:kern w:val="2"/>
                <w:szCs w:val="18"/>
              </w:rPr>
              <w:t>盐基度</w:t>
            </w:r>
          </w:p>
        </w:tc>
        <w:tc>
          <w:tcPr>
            <w:tcW w:w="1274" w:type="dxa"/>
            <w:noWrap w:val="0"/>
            <w:vAlign w:val="center"/>
          </w:tcPr>
          <w:p w14:paraId="333C320E">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59A0A98C">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00C9C844">
            <w:pPr>
              <w:pStyle w:val="159"/>
              <w:widowControl w:val="0"/>
              <w:rPr>
                <w:rFonts w:hint="eastAsia" w:hAnsi="宋体" w:cs="宋体"/>
                <w:kern w:val="2"/>
                <w:szCs w:val="18"/>
              </w:rPr>
            </w:pPr>
          </w:p>
        </w:tc>
        <w:tc>
          <w:tcPr>
            <w:tcW w:w="1290" w:type="dxa"/>
            <w:noWrap w:val="0"/>
            <w:vAlign w:val="center"/>
          </w:tcPr>
          <w:p w14:paraId="0C183683">
            <w:pPr>
              <w:jc w:val="center"/>
              <w:rPr>
                <w:rFonts w:ascii="宋体" w:hAnsi="宋体" w:cs="宋体"/>
                <w:sz w:val="18"/>
                <w:szCs w:val="18"/>
              </w:rPr>
            </w:pPr>
            <w:r>
              <w:rPr>
                <w:rFonts w:hint="eastAsia" w:ascii="宋体" w:hAnsi="宋体" w:cs="宋体"/>
                <w:sz w:val="18"/>
                <w:szCs w:val="18"/>
              </w:rPr>
              <w:t>7.3.2</w:t>
            </w:r>
          </w:p>
        </w:tc>
      </w:tr>
      <w:tr w14:paraId="2499DCF6">
        <w:trPr>
          <w:jc w:val="center"/>
        </w:trPr>
        <w:tc>
          <w:tcPr>
            <w:tcW w:w="459" w:type="dxa"/>
            <w:noWrap w:val="0"/>
            <w:vAlign w:val="center"/>
          </w:tcPr>
          <w:p w14:paraId="45591FA2">
            <w:pPr>
              <w:pStyle w:val="159"/>
              <w:widowControl w:val="0"/>
              <w:rPr>
                <w:rFonts w:hint="eastAsia" w:hAnsi="宋体" w:cs="宋体"/>
                <w:kern w:val="2"/>
                <w:szCs w:val="18"/>
              </w:rPr>
            </w:pPr>
            <w:r>
              <w:rPr>
                <w:rFonts w:hint="eastAsia" w:hAnsi="宋体" w:cs="宋体"/>
                <w:kern w:val="2"/>
                <w:szCs w:val="18"/>
              </w:rPr>
              <w:t>4</w:t>
            </w:r>
          </w:p>
        </w:tc>
        <w:tc>
          <w:tcPr>
            <w:tcW w:w="865" w:type="dxa"/>
            <w:vMerge w:val="continue"/>
            <w:noWrap w:val="0"/>
            <w:vAlign w:val="center"/>
          </w:tcPr>
          <w:p w14:paraId="3E01DBDC">
            <w:pPr>
              <w:pStyle w:val="159"/>
              <w:widowControl w:val="0"/>
              <w:rPr>
                <w:rFonts w:hint="eastAsia" w:hAnsi="宋体" w:cs="宋体"/>
                <w:kern w:val="2"/>
                <w:szCs w:val="18"/>
              </w:rPr>
            </w:pPr>
          </w:p>
        </w:tc>
        <w:tc>
          <w:tcPr>
            <w:tcW w:w="2706" w:type="dxa"/>
            <w:noWrap w:val="0"/>
            <w:vAlign w:val="center"/>
          </w:tcPr>
          <w:p w14:paraId="06C906E5">
            <w:pPr>
              <w:pStyle w:val="159"/>
              <w:widowControl w:val="0"/>
              <w:rPr>
                <w:rFonts w:hint="eastAsia" w:hAnsi="宋体" w:cs="宋体"/>
                <w:kern w:val="2"/>
                <w:szCs w:val="18"/>
              </w:rPr>
            </w:pPr>
            <w:r>
              <w:rPr>
                <w:rFonts w:hint="eastAsia" w:hAnsi="宋体" w:cs="宋体"/>
                <w:kern w:val="2"/>
                <w:szCs w:val="18"/>
              </w:rPr>
              <w:t>密度</w:t>
            </w:r>
          </w:p>
        </w:tc>
        <w:tc>
          <w:tcPr>
            <w:tcW w:w="1274" w:type="dxa"/>
            <w:noWrap w:val="0"/>
            <w:vAlign w:val="center"/>
          </w:tcPr>
          <w:p w14:paraId="17454945">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08FF35C3">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2FC50F55">
            <w:pPr>
              <w:pStyle w:val="159"/>
              <w:widowControl w:val="0"/>
              <w:rPr>
                <w:rFonts w:hint="eastAsia" w:hAnsi="宋体" w:cs="宋体"/>
                <w:kern w:val="2"/>
                <w:szCs w:val="18"/>
              </w:rPr>
            </w:pPr>
          </w:p>
        </w:tc>
        <w:tc>
          <w:tcPr>
            <w:tcW w:w="1290" w:type="dxa"/>
            <w:noWrap w:val="0"/>
            <w:vAlign w:val="center"/>
          </w:tcPr>
          <w:p w14:paraId="5BA3F736">
            <w:pPr>
              <w:jc w:val="center"/>
              <w:rPr>
                <w:rFonts w:ascii="宋体" w:hAnsi="宋体" w:cs="宋体"/>
                <w:sz w:val="18"/>
                <w:szCs w:val="18"/>
              </w:rPr>
            </w:pPr>
            <w:r>
              <w:rPr>
                <w:rFonts w:hint="eastAsia" w:ascii="宋体" w:hAnsi="宋体" w:cs="宋体"/>
                <w:sz w:val="18"/>
                <w:szCs w:val="18"/>
              </w:rPr>
              <w:t>7.3.3</w:t>
            </w:r>
          </w:p>
        </w:tc>
      </w:tr>
      <w:tr w14:paraId="5412F949">
        <w:trPr>
          <w:jc w:val="center"/>
        </w:trPr>
        <w:tc>
          <w:tcPr>
            <w:tcW w:w="459" w:type="dxa"/>
            <w:noWrap w:val="0"/>
            <w:vAlign w:val="center"/>
          </w:tcPr>
          <w:p w14:paraId="76EEBBB0">
            <w:pPr>
              <w:pStyle w:val="159"/>
              <w:widowControl w:val="0"/>
              <w:rPr>
                <w:rFonts w:hint="eastAsia" w:hAnsi="宋体" w:cs="宋体"/>
                <w:kern w:val="2"/>
                <w:szCs w:val="18"/>
              </w:rPr>
            </w:pPr>
            <w:r>
              <w:rPr>
                <w:rFonts w:hint="eastAsia" w:hAnsi="宋体" w:cs="宋体"/>
                <w:kern w:val="2"/>
                <w:szCs w:val="18"/>
              </w:rPr>
              <w:t>5</w:t>
            </w:r>
          </w:p>
        </w:tc>
        <w:tc>
          <w:tcPr>
            <w:tcW w:w="865" w:type="dxa"/>
            <w:vMerge w:val="continue"/>
            <w:noWrap w:val="0"/>
            <w:vAlign w:val="center"/>
          </w:tcPr>
          <w:p w14:paraId="2A47520C">
            <w:pPr>
              <w:pStyle w:val="159"/>
              <w:widowControl w:val="0"/>
              <w:rPr>
                <w:rFonts w:hint="eastAsia" w:hAnsi="宋体" w:cs="宋体"/>
                <w:kern w:val="2"/>
                <w:szCs w:val="18"/>
              </w:rPr>
            </w:pPr>
          </w:p>
        </w:tc>
        <w:tc>
          <w:tcPr>
            <w:tcW w:w="2706" w:type="dxa"/>
            <w:noWrap w:val="0"/>
            <w:vAlign w:val="center"/>
          </w:tcPr>
          <w:p w14:paraId="02E49B8B">
            <w:pPr>
              <w:pStyle w:val="159"/>
              <w:widowControl w:val="0"/>
              <w:rPr>
                <w:rFonts w:hint="eastAsia" w:hAnsi="宋体" w:cs="宋体"/>
                <w:kern w:val="2"/>
                <w:szCs w:val="18"/>
              </w:rPr>
            </w:pPr>
            <w:r>
              <w:rPr>
                <w:rFonts w:hint="eastAsia" w:hAnsi="宋体" w:cs="宋体"/>
                <w:kern w:val="2"/>
                <w:szCs w:val="18"/>
              </w:rPr>
              <w:t>不溶物质量分数</w:t>
            </w:r>
          </w:p>
        </w:tc>
        <w:tc>
          <w:tcPr>
            <w:tcW w:w="1274" w:type="dxa"/>
            <w:noWrap w:val="0"/>
            <w:vAlign w:val="center"/>
          </w:tcPr>
          <w:p w14:paraId="28FD28B7">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46A9C427">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10C84BB5">
            <w:pPr>
              <w:pStyle w:val="159"/>
              <w:widowControl w:val="0"/>
              <w:rPr>
                <w:rFonts w:hint="eastAsia" w:hAnsi="宋体" w:cs="宋体"/>
                <w:kern w:val="2"/>
                <w:szCs w:val="18"/>
              </w:rPr>
            </w:pPr>
          </w:p>
        </w:tc>
        <w:tc>
          <w:tcPr>
            <w:tcW w:w="1290" w:type="dxa"/>
            <w:noWrap w:val="0"/>
            <w:vAlign w:val="center"/>
          </w:tcPr>
          <w:p w14:paraId="3DF538AB">
            <w:pPr>
              <w:jc w:val="center"/>
              <w:rPr>
                <w:rFonts w:ascii="宋体" w:hAnsi="宋体" w:cs="宋体"/>
                <w:sz w:val="18"/>
                <w:szCs w:val="18"/>
              </w:rPr>
            </w:pPr>
            <w:r>
              <w:rPr>
                <w:rFonts w:hint="eastAsia" w:ascii="宋体" w:hAnsi="宋体" w:cs="宋体"/>
                <w:sz w:val="18"/>
                <w:szCs w:val="18"/>
              </w:rPr>
              <w:t>7.3.4</w:t>
            </w:r>
          </w:p>
        </w:tc>
      </w:tr>
      <w:tr w14:paraId="50FBB018">
        <w:trPr>
          <w:jc w:val="center"/>
        </w:trPr>
        <w:tc>
          <w:tcPr>
            <w:tcW w:w="459" w:type="dxa"/>
            <w:noWrap w:val="0"/>
            <w:vAlign w:val="center"/>
          </w:tcPr>
          <w:p w14:paraId="190977B3">
            <w:pPr>
              <w:pStyle w:val="159"/>
              <w:widowControl w:val="0"/>
              <w:rPr>
                <w:rFonts w:hint="eastAsia" w:hAnsi="宋体" w:cs="宋体"/>
                <w:kern w:val="2"/>
                <w:szCs w:val="18"/>
              </w:rPr>
            </w:pPr>
            <w:r>
              <w:rPr>
                <w:rFonts w:hint="eastAsia" w:hAnsi="宋体" w:cs="宋体"/>
                <w:kern w:val="2"/>
                <w:szCs w:val="18"/>
              </w:rPr>
              <w:t>6</w:t>
            </w:r>
          </w:p>
        </w:tc>
        <w:tc>
          <w:tcPr>
            <w:tcW w:w="865" w:type="dxa"/>
            <w:vMerge w:val="continue"/>
            <w:noWrap w:val="0"/>
            <w:vAlign w:val="center"/>
          </w:tcPr>
          <w:p w14:paraId="52C59A28">
            <w:pPr>
              <w:pStyle w:val="159"/>
              <w:widowControl w:val="0"/>
              <w:rPr>
                <w:rFonts w:hint="eastAsia" w:hAnsi="宋体" w:cs="宋体"/>
                <w:kern w:val="2"/>
                <w:szCs w:val="18"/>
              </w:rPr>
            </w:pPr>
          </w:p>
        </w:tc>
        <w:tc>
          <w:tcPr>
            <w:tcW w:w="2706" w:type="dxa"/>
            <w:noWrap w:val="0"/>
            <w:vAlign w:val="center"/>
          </w:tcPr>
          <w:p w14:paraId="4D5DA5C2">
            <w:pPr>
              <w:pStyle w:val="159"/>
              <w:widowControl w:val="0"/>
              <w:rPr>
                <w:rFonts w:hint="eastAsia" w:hAnsi="宋体" w:cs="宋体"/>
                <w:kern w:val="2"/>
                <w:szCs w:val="18"/>
              </w:rPr>
            </w:pPr>
            <w:r>
              <w:rPr>
                <w:rFonts w:hint="eastAsia" w:hAnsi="宋体" w:cs="宋体"/>
                <w:kern w:val="2"/>
                <w:szCs w:val="18"/>
              </w:rPr>
              <w:t>pH值</w:t>
            </w:r>
          </w:p>
        </w:tc>
        <w:tc>
          <w:tcPr>
            <w:tcW w:w="1274" w:type="dxa"/>
            <w:noWrap w:val="0"/>
            <w:vAlign w:val="center"/>
          </w:tcPr>
          <w:p w14:paraId="11467737">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5FC2E7E3">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3C7272A8">
            <w:pPr>
              <w:pStyle w:val="159"/>
              <w:widowControl w:val="0"/>
              <w:rPr>
                <w:rFonts w:hint="eastAsia" w:hAnsi="宋体" w:cs="宋体"/>
                <w:kern w:val="2"/>
                <w:szCs w:val="18"/>
              </w:rPr>
            </w:pPr>
          </w:p>
        </w:tc>
        <w:tc>
          <w:tcPr>
            <w:tcW w:w="1290" w:type="dxa"/>
            <w:noWrap w:val="0"/>
            <w:vAlign w:val="center"/>
          </w:tcPr>
          <w:p w14:paraId="677E522F">
            <w:pPr>
              <w:jc w:val="center"/>
              <w:rPr>
                <w:rFonts w:ascii="宋体" w:hAnsi="宋体" w:cs="宋体"/>
                <w:sz w:val="18"/>
                <w:szCs w:val="18"/>
              </w:rPr>
            </w:pPr>
            <w:r>
              <w:rPr>
                <w:rFonts w:hint="eastAsia" w:ascii="宋体" w:hAnsi="宋体" w:cs="宋体"/>
                <w:sz w:val="18"/>
                <w:szCs w:val="18"/>
              </w:rPr>
              <w:t>7.3.5</w:t>
            </w:r>
          </w:p>
        </w:tc>
      </w:tr>
      <w:tr w14:paraId="704F542A">
        <w:trPr>
          <w:jc w:val="center"/>
        </w:trPr>
        <w:tc>
          <w:tcPr>
            <w:tcW w:w="459" w:type="dxa"/>
            <w:noWrap w:val="0"/>
            <w:vAlign w:val="center"/>
          </w:tcPr>
          <w:p w14:paraId="26FF328D">
            <w:pPr>
              <w:pStyle w:val="159"/>
              <w:widowControl w:val="0"/>
              <w:rPr>
                <w:rFonts w:hint="eastAsia" w:hAnsi="宋体" w:cs="宋体"/>
                <w:kern w:val="2"/>
                <w:szCs w:val="18"/>
              </w:rPr>
            </w:pPr>
            <w:r>
              <w:rPr>
                <w:rFonts w:hint="eastAsia" w:hAnsi="宋体" w:cs="宋体"/>
                <w:kern w:val="2"/>
                <w:szCs w:val="18"/>
              </w:rPr>
              <w:t>7</w:t>
            </w:r>
          </w:p>
        </w:tc>
        <w:tc>
          <w:tcPr>
            <w:tcW w:w="865" w:type="dxa"/>
            <w:vMerge w:val="continue"/>
            <w:noWrap w:val="0"/>
            <w:vAlign w:val="center"/>
          </w:tcPr>
          <w:p w14:paraId="0C1779BA">
            <w:pPr>
              <w:pStyle w:val="159"/>
              <w:widowControl w:val="0"/>
              <w:rPr>
                <w:rFonts w:hint="eastAsia" w:hAnsi="宋体" w:cs="宋体"/>
                <w:kern w:val="2"/>
                <w:szCs w:val="18"/>
              </w:rPr>
            </w:pPr>
          </w:p>
        </w:tc>
        <w:tc>
          <w:tcPr>
            <w:tcW w:w="2706" w:type="dxa"/>
            <w:shd w:val="clear" w:color="auto" w:fill="auto"/>
            <w:noWrap w:val="0"/>
            <w:vAlign w:val="center"/>
          </w:tcPr>
          <w:p w14:paraId="38582E45">
            <w:pPr>
              <w:pStyle w:val="159"/>
              <w:widowControl w:val="0"/>
              <w:rPr>
                <w:rFonts w:hint="eastAsia" w:ascii="宋体" w:hAnsi="宋体" w:cs="宋体"/>
                <w:kern w:val="2"/>
                <w:sz w:val="18"/>
                <w:szCs w:val="18"/>
                <w:lang w:val="en-US" w:eastAsia="zh-CN" w:bidi="ar-SA"/>
              </w:rPr>
            </w:pPr>
            <w:r>
              <w:rPr>
                <w:rFonts w:hint="eastAsia" w:hAnsi="宋体" w:cs="宋体"/>
                <w:kern w:val="2"/>
                <w:szCs w:val="18"/>
              </w:rPr>
              <w:t>聚合态铝Al</w:t>
            </w:r>
            <w:r>
              <w:rPr>
                <w:rFonts w:hint="eastAsia" w:hAnsi="宋体" w:cs="宋体"/>
                <w:kern w:val="2"/>
                <w:szCs w:val="18"/>
                <w:vertAlign w:val="subscript"/>
              </w:rPr>
              <w:t>13</w:t>
            </w:r>
            <w:r>
              <w:rPr>
                <w:rFonts w:hint="eastAsia" w:hAnsi="宋体" w:cs="宋体"/>
                <w:kern w:val="2"/>
                <w:szCs w:val="18"/>
              </w:rPr>
              <w:t>的质量分数</w:t>
            </w:r>
          </w:p>
        </w:tc>
        <w:tc>
          <w:tcPr>
            <w:tcW w:w="1274" w:type="dxa"/>
            <w:noWrap w:val="0"/>
            <w:vAlign w:val="center"/>
          </w:tcPr>
          <w:p w14:paraId="39195EC3">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7E864151">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44BE54DE">
            <w:pPr>
              <w:pStyle w:val="159"/>
              <w:widowControl w:val="0"/>
              <w:rPr>
                <w:rFonts w:hint="eastAsia" w:hAnsi="宋体" w:cs="宋体"/>
                <w:kern w:val="2"/>
                <w:szCs w:val="18"/>
              </w:rPr>
            </w:pPr>
          </w:p>
        </w:tc>
        <w:tc>
          <w:tcPr>
            <w:tcW w:w="1290" w:type="dxa"/>
            <w:noWrap w:val="0"/>
            <w:vAlign w:val="center"/>
          </w:tcPr>
          <w:p w14:paraId="1F15360B">
            <w:pPr>
              <w:jc w:val="center"/>
              <w:rPr>
                <w:rFonts w:ascii="宋体" w:hAnsi="宋体" w:cs="宋体"/>
                <w:sz w:val="18"/>
                <w:szCs w:val="18"/>
              </w:rPr>
            </w:pPr>
            <w:r>
              <w:rPr>
                <w:rFonts w:hint="eastAsia" w:ascii="宋体" w:hAnsi="宋体" w:cs="宋体"/>
                <w:sz w:val="18"/>
                <w:szCs w:val="18"/>
              </w:rPr>
              <w:t>7.3.6</w:t>
            </w:r>
          </w:p>
        </w:tc>
      </w:tr>
      <w:tr w14:paraId="5D8EF6BC">
        <w:trPr>
          <w:jc w:val="center"/>
        </w:trPr>
        <w:tc>
          <w:tcPr>
            <w:tcW w:w="459" w:type="dxa"/>
            <w:noWrap w:val="0"/>
            <w:vAlign w:val="center"/>
          </w:tcPr>
          <w:p w14:paraId="7A1C206B">
            <w:pPr>
              <w:pStyle w:val="159"/>
              <w:widowControl w:val="0"/>
              <w:rPr>
                <w:rFonts w:hint="eastAsia" w:hAnsi="宋体" w:cs="宋体"/>
                <w:kern w:val="2"/>
                <w:szCs w:val="18"/>
              </w:rPr>
            </w:pPr>
            <w:r>
              <w:rPr>
                <w:rFonts w:hint="eastAsia" w:hAnsi="宋体" w:cs="宋体"/>
                <w:kern w:val="2"/>
                <w:szCs w:val="18"/>
              </w:rPr>
              <w:t>8</w:t>
            </w:r>
          </w:p>
        </w:tc>
        <w:tc>
          <w:tcPr>
            <w:tcW w:w="865" w:type="dxa"/>
            <w:vMerge w:val="continue"/>
            <w:noWrap w:val="0"/>
            <w:vAlign w:val="center"/>
          </w:tcPr>
          <w:p w14:paraId="2D2D6826">
            <w:pPr>
              <w:pStyle w:val="159"/>
              <w:widowControl w:val="0"/>
              <w:rPr>
                <w:rFonts w:hint="eastAsia" w:hAnsi="宋体" w:cs="宋体"/>
                <w:kern w:val="2"/>
                <w:szCs w:val="18"/>
              </w:rPr>
            </w:pPr>
          </w:p>
        </w:tc>
        <w:tc>
          <w:tcPr>
            <w:tcW w:w="2706" w:type="dxa"/>
            <w:shd w:val="clear" w:color="auto" w:fill="auto"/>
            <w:noWrap w:val="0"/>
            <w:vAlign w:val="center"/>
          </w:tcPr>
          <w:p w14:paraId="540767EF">
            <w:pPr>
              <w:pStyle w:val="159"/>
              <w:widowControl w:val="0"/>
              <w:rPr>
                <w:rFonts w:hint="eastAsia" w:ascii="宋体" w:hAnsi="宋体" w:cs="宋体"/>
                <w:kern w:val="2"/>
                <w:sz w:val="18"/>
                <w:szCs w:val="18"/>
                <w:lang w:val="en-US" w:eastAsia="zh-CN" w:bidi="ar-SA"/>
              </w:rPr>
            </w:pPr>
            <w:r>
              <w:rPr>
                <w:rFonts w:hint="eastAsia" w:hAnsi="宋体" w:cs="宋体"/>
                <w:kern w:val="2"/>
                <w:szCs w:val="18"/>
              </w:rPr>
              <w:t>铁（Fe）的质量分数</w:t>
            </w:r>
          </w:p>
        </w:tc>
        <w:tc>
          <w:tcPr>
            <w:tcW w:w="1274" w:type="dxa"/>
            <w:noWrap w:val="0"/>
            <w:vAlign w:val="center"/>
          </w:tcPr>
          <w:p w14:paraId="7112C9DF">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5AC2B283">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51676126">
            <w:pPr>
              <w:pStyle w:val="159"/>
              <w:widowControl w:val="0"/>
              <w:rPr>
                <w:rFonts w:hint="eastAsia" w:hAnsi="宋体" w:cs="宋体"/>
                <w:kern w:val="2"/>
                <w:szCs w:val="18"/>
              </w:rPr>
            </w:pPr>
          </w:p>
        </w:tc>
        <w:tc>
          <w:tcPr>
            <w:tcW w:w="1290" w:type="dxa"/>
            <w:noWrap w:val="0"/>
            <w:vAlign w:val="center"/>
          </w:tcPr>
          <w:p w14:paraId="654B616C">
            <w:pPr>
              <w:jc w:val="center"/>
              <w:rPr>
                <w:rFonts w:ascii="宋体" w:hAnsi="宋体" w:cs="宋体"/>
                <w:sz w:val="18"/>
                <w:szCs w:val="18"/>
              </w:rPr>
            </w:pPr>
            <w:r>
              <w:rPr>
                <w:rFonts w:hint="eastAsia" w:ascii="宋体" w:hAnsi="宋体" w:cs="宋体"/>
                <w:sz w:val="18"/>
                <w:szCs w:val="18"/>
              </w:rPr>
              <w:t>7.3.7</w:t>
            </w:r>
          </w:p>
        </w:tc>
      </w:tr>
      <w:tr w14:paraId="45A472D2">
        <w:trPr>
          <w:jc w:val="center"/>
        </w:trPr>
        <w:tc>
          <w:tcPr>
            <w:tcW w:w="459" w:type="dxa"/>
            <w:noWrap w:val="0"/>
            <w:vAlign w:val="center"/>
          </w:tcPr>
          <w:p w14:paraId="573842CB">
            <w:pPr>
              <w:pStyle w:val="159"/>
              <w:widowControl w:val="0"/>
              <w:rPr>
                <w:rFonts w:hint="eastAsia" w:hAnsi="宋体" w:cs="宋体"/>
                <w:kern w:val="2"/>
                <w:szCs w:val="18"/>
              </w:rPr>
            </w:pPr>
            <w:r>
              <w:rPr>
                <w:rFonts w:hint="eastAsia" w:hAnsi="宋体" w:cs="宋体"/>
                <w:kern w:val="2"/>
                <w:szCs w:val="18"/>
              </w:rPr>
              <w:t>9</w:t>
            </w:r>
          </w:p>
        </w:tc>
        <w:tc>
          <w:tcPr>
            <w:tcW w:w="865" w:type="dxa"/>
            <w:vMerge w:val="continue"/>
            <w:noWrap w:val="0"/>
            <w:vAlign w:val="center"/>
          </w:tcPr>
          <w:p w14:paraId="2D1FA109">
            <w:pPr>
              <w:pStyle w:val="159"/>
              <w:widowControl w:val="0"/>
              <w:rPr>
                <w:rFonts w:hint="eastAsia" w:hAnsi="宋体" w:cs="宋体"/>
                <w:kern w:val="2"/>
                <w:szCs w:val="18"/>
              </w:rPr>
            </w:pPr>
          </w:p>
        </w:tc>
        <w:tc>
          <w:tcPr>
            <w:tcW w:w="2706" w:type="dxa"/>
            <w:shd w:val="clear" w:color="auto" w:fill="auto"/>
            <w:noWrap w:val="0"/>
            <w:vAlign w:val="center"/>
          </w:tcPr>
          <w:p w14:paraId="4DC9070F">
            <w:pPr>
              <w:pStyle w:val="159"/>
              <w:widowControl w:val="0"/>
              <w:rPr>
                <w:rFonts w:hint="eastAsia" w:ascii="宋体" w:hAnsi="宋体" w:cs="宋体"/>
                <w:kern w:val="2"/>
                <w:sz w:val="18"/>
                <w:szCs w:val="18"/>
                <w:lang w:val="en-US" w:eastAsia="zh-CN" w:bidi="ar-SA"/>
              </w:rPr>
            </w:pPr>
            <w:r>
              <w:rPr>
                <w:rFonts w:hint="eastAsia" w:hAnsi="宋体" w:cs="宋体"/>
                <w:kern w:val="2"/>
                <w:szCs w:val="18"/>
              </w:rPr>
              <w:t>砷（As）的质量分数</w:t>
            </w:r>
          </w:p>
        </w:tc>
        <w:tc>
          <w:tcPr>
            <w:tcW w:w="1274" w:type="dxa"/>
            <w:noWrap w:val="0"/>
            <w:vAlign w:val="center"/>
          </w:tcPr>
          <w:p w14:paraId="272B2902">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74FB5788">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7559DDDA">
            <w:pPr>
              <w:pStyle w:val="159"/>
              <w:widowControl w:val="0"/>
              <w:rPr>
                <w:rFonts w:hint="eastAsia" w:hAnsi="宋体" w:cs="宋体"/>
                <w:kern w:val="2"/>
                <w:szCs w:val="18"/>
              </w:rPr>
            </w:pPr>
          </w:p>
        </w:tc>
        <w:tc>
          <w:tcPr>
            <w:tcW w:w="1290" w:type="dxa"/>
            <w:noWrap w:val="0"/>
            <w:vAlign w:val="center"/>
          </w:tcPr>
          <w:p w14:paraId="0D1F70C1">
            <w:pPr>
              <w:jc w:val="center"/>
              <w:rPr>
                <w:rFonts w:ascii="宋体" w:hAnsi="宋体" w:cs="宋体"/>
                <w:sz w:val="18"/>
                <w:szCs w:val="18"/>
              </w:rPr>
            </w:pPr>
            <w:r>
              <w:rPr>
                <w:rFonts w:hint="eastAsia" w:ascii="宋体" w:hAnsi="宋体" w:cs="宋体"/>
                <w:sz w:val="18"/>
                <w:szCs w:val="18"/>
              </w:rPr>
              <w:t>7.3.8</w:t>
            </w:r>
          </w:p>
        </w:tc>
      </w:tr>
      <w:tr w14:paraId="55EA7499">
        <w:trPr>
          <w:jc w:val="center"/>
        </w:trPr>
        <w:tc>
          <w:tcPr>
            <w:tcW w:w="459" w:type="dxa"/>
            <w:noWrap w:val="0"/>
            <w:vAlign w:val="center"/>
          </w:tcPr>
          <w:p w14:paraId="5F97E157">
            <w:pPr>
              <w:pStyle w:val="159"/>
              <w:widowControl w:val="0"/>
              <w:rPr>
                <w:rFonts w:hint="eastAsia" w:hAnsi="宋体" w:cs="宋体"/>
                <w:kern w:val="2"/>
                <w:szCs w:val="18"/>
              </w:rPr>
            </w:pPr>
            <w:r>
              <w:rPr>
                <w:rFonts w:hint="eastAsia" w:hAnsi="宋体" w:cs="宋体"/>
                <w:kern w:val="2"/>
                <w:szCs w:val="18"/>
              </w:rPr>
              <w:t>10</w:t>
            </w:r>
          </w:p>
        </w:tc>
        <w:tc>
          <w:tcPr>
            <w:tcW w:w="865" w:type="dxa"/>
            <w:vMerge w:val="continue"/>
            <w:noWrap w:val="0"/>
            <w:vAlign w:val="center"/>
          </w:tcPr>
          <w:p w14:paraId="5302ED2E">
            <w:pPr>
              <w:pStyle w:val="159"/>
              <w:widowControl w:val="0"/>
              <w:rPr>
                <w:rFonts w:hint="eastAsia" w:hAnsi="宋体" w:cs="宋体"/>
                <w:kern w:val="2"/>
                <w:szCs w:val="18"/>
              </w:rPr>
            </w:pPr>
          </w:p>
        </w:tc>
        <w:tc>
          <w:tcPr>
            <w:tcW w:w="2706" w:type="dxa"/>
            <w:shd w:val="clear" w:color="auto" w:fill="auto"/>
            <w:noWrap w:val="0"/>
            <w:vAlign w:val="center"/>
          </w:tcPr>
          <w:p w14:paraId="7C59EA27">
            <w:pPr>
              <w:pStyle w:val="159"/>
              <w:widowControl w:val="0"/>
              <w:rPr>
                <w:rFonts w:hint="eastAsia" w:ascii="宋体" w:hAnsi="宋体" w:cs="宋体"/>
                <w:kern w:val="2"/>
                <w:sz w:val="18"/>
                <w:szCs w:val="18"/>
                <w:lang w:val="en-US" w:eastAsia="zh-CN" w:bidi="ar-SA"/>
              </w:rPr>
            </w:pPr>
            <w:r>
              <w:rPr>
                <w:rFonts w:hint="eastAsia" w:hAnsi="宋体" w:cs="宋体"/>
                <w:kern w:val="2"/>
                <w:szCs w:val="18"/>
              </w:rPr>
              <w:t>铅（Pb）的质量分数</w:t>
            </w:r>
          </w:p>
        </w:tc>
        <w:tc>
          <w:tcPr>
            <w:tcW w:w="1274" w:type="dxa"/>
            <w:noWrap w:val="0"/>
            <w:vAlign w:val="center"/>
          </w:tcPr>
          <w:p w14:paraId="65FB838E">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442B32AF">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02298B8B">
            <w:pPr>
              <w:pStyle w:val="159"/>
              <w:widowControl w:val="0"/>
              <w:rPr>
                <w:rFonts w:hint="eastAsia" w:hAnsi="宋体" w:cs="宋体"/>
                <w:kern w:val="2"/>
                <w:szCs w:val="18"/>
              </w:rPr>
            </w:pPr>
          </w:p>
        </w:tc>
        <w:tc>
          <w:tcPr>
            <w:tcW w:w="1290" w:type="dxa"/>
            <w:noWrap w:val="0"/>
            <w:vAlign w:val="center"/>
          </w:tcPr>
          <w:p w14:paraId="0CBDA9EA">
            <w:pPr>
              <w:jc w:val="center"/>
              <w:rPr>
                <w:rFonts w:ascii="宋体" w:hAnsi="宋体" w:cs="宋体"/>
                <w:sz w:val="18"/>
                <w:szCs w:val="18"/>
              </w:rPr>
            </w:pPr>
            <w:r>
              <w:rPr>
                <w:rFonts w:hint="eastAsia" w:ascii="宋体" w:hAnsi="宋体" w:cs="宋体"/>
                <w:sz w:val="18"/>
                <w:szCs w:val="18"/>
              </w:rPr>
              <w:t>7.3.9</w:t>
            </w:r>
          </w:p>
        </w:tc>
      </w:tr>
      <w:tr w14:paraId="5E399BAE">
        <w:trPr>
          <w:jc w:val="center"/>
        </w:trPr>
        <w:tc>
          <w:tcPr>
            <w:tcW w:w="459" w:type="dxa"/>
            <w:noWrap w:val="0"/>
            <w:vAlign w:val="center"/>
          </w:tcPr>
          <w:p w14:paraId="053A7E85">
            <w:pPr>
              <w:pStyle w:val="159"/>
              <w:widowControl w:val="0"/>
              <w:rPr>
                <w:rFonts w:hint="eastAsia" w:hAnsi="宋体" w:cs="宋体"/>
                <w:kern w:val="2"/>
                <w:szCs w:val="18"/>
              </w:rPr>
            </w:pPr>
            <w:r>
              <w:rPr>
                <w:rFonts w:hint="eastAsia" w:hAnsi="宋体" w:cs="宋体"/>
                <w:kern w:val="2"/>
                <w:szCs w:val="18"/>
              </w:rPr>
              <w:t>11</w:t>
            </w:r>
          </w:p>
        </w:tc>
        <w:tc>
          <w:tcPr>
            <w:tcW w:w="865" w:type="dxa"/>
            <w:vMerge w:val="continue"/>
            <w:noWrap w:val="0"/>
            <w:vAlign w:val="center"/>
          </w:tcPr>
          <w:p w14:paraId="0D2DE489">
            <w:pPr>
              <w:pStyle w:val="159"/>
              <w:widowControl w:val="0"/>
              <w:rPr>
                <w:rFonts w:hint="eastAsia" w:hAnsi="宋体" w:cs="宋体"/>
                <w:kern w:val="2"/>
                <w:szCs w:val="18"/>
              </w:rPr>
            </w:pPr>
          </w:p>
        </w:tc>
        <w:tc>
          <w:tcPr>
            <w:tcW w:w="2706" w:type="dxa"/>
            <w:shd w:val="clear" w:color="auto" w:fill="auto"/>
            <w:noWrap w:val="0"/>
            <w:vAlign w:val="center"/>
          </w:tcPr>
          <w:p w14:paraId="0AC8C4CA">
            <w:pPr>
              <w:pStyle w:val="159"/>
              <w:widowControl w:val="0"/>
              <w:rPr>
                <w:rFonts w:hint="eastAsia" w:ascii="宋体" w:hAnsi="宋体" w:cs="宋体"/>
                <w:kern w:val="2"/>
                <w:sz w:val="18"/>
                <w:szCs w:val="18"/>
                <w:lang w:val="en-US" w:eastAsia="zh-CN" w:bidi="ar-SA"/>
              </w:rPr>
            </w:pPr>
            <w:r>
              <w:rPr>
                <w:rFonts w:hint="eastAsia" w:hAnsi="宋体" w:cs="宋体"/>
                <w:kern w:val="2"/>
                <w:szCs w:val="18"/>
              </w:rPr>
              <w:t>镉（Cd）的质量分数</w:t>
            </w:r>
          </w:p>
        </w:tc>
        <w:tc>
          <w:tcPr>
            <w:tcW w:w="1274" w:type="dxa"/>
            <w:noWrap w:val="0"/>
            <w:vAlign w:val="center"/>
          </w:tcPr>
          <w:p w14:paraId="354094FA">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2B4D0D27">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281F23BA">
            <w:pPr>
              <w:pStyle w:val="159"/>
              <w:widowControl w:val="0"/>
              <w:rPr>
                <w:rFonts w:hint="eastAsia" w:hAnsi="宋体" w:cs="宋体"/>
                <w:kern w:val="2"/>
                <w:szCs w:val="18"/>
              </w:rPr>
            </w:pPr>
          </w:p>
        </w:tc>
        <w:tc>
          <w:tcPr>
            <w:tcW w:w="1290" w:type="dxa"/>
            <w:noWrap w:val="0"/>
            <w:vAlign w:val="center"/>
          </w:tcPr>
          <w:p w14:paraId="2E6ECFFD">
            <w:pPr>
              <w:jc w:val="center"/>
              <w:rPr>
                <w:rFonts w:ascii="宋体" w:hAnsi="宋体" w:cs="宋体"/>
                <w:sz w:val="18"/>
                <w:szCs w:val="18"/>
              </w:rPr>
            </w:pPr>
            <w:r>
              <w:rPr>
                <w:rFonts w:hint="eastAsia" w:ascii="宋体" w:hAnsi="宋体" w:cs="宋体"/>
                <w:sz w:val="18"/>
                <w:szCs w:val="18"/>
              </w:rPr>
              <w:t>7.3.10</w:t>
            </w:r>
          </w:p>
        </w:tc>
      </w:tr>
      <w:tr w14:paraId="50A6B08E">
        <w:trPr>
          <w:jc w:val="center"/>
        </w:trPr>
        <w:tc>
          <w:tcPr>
            <w:tcW w:w="459" w:type="dxa"/>
            <w:noWrap w:val="0"/>
            <w:vAlign w:val="center"/>
          </w:tcPr>
          <w:p w14:paraId="7CF3C840">
            <w:pPr>
              <w:pStyle w:val="159"/>
              <w:widowControl w:val="0"/>
              <w:rPr>
                <w:rFonts w:hint="eastAsia" w:hAnsi="宋体" w:cs="宋体"/>
                <w:kern w:val="2"/>
                <w:szCs w:val="18"/>
              </w:rPr>
            </w:pPr>
            <w:r>
              <w:rPr>
                <w:rFonts w:hint="eastAsia" w:hAnsi="宋体" w:cs="宋体"/>
                <w:kern w:val="2"/>
                <w:szCs w:val="18"/>
              </w:rPr>
              <w:t>12</w:t>
            </w:r>
          </w:p>
        </w:tc>
        <w:tc>
          <w:tcPr>
            <w:tcW w:w="865" w:type="dxa"/>
            <w:vMerge w:val="continue"/>
            <w:noWrap w:val="0"/>
            <w:vAlign w:val="center"/>
          </w:tcPr>
          <w:p w14:paraId="27BD495D">
            <w:pPr>
              <w:pStyle w:val="159"/>
              <w:widowControl w:val="0"/>
              <w:rPr>
                <w:rFonts w:hint="eastAsia" w:hAnsi="宋体" w:cs="宋体"/>
                <w:kern w:val="2"/>
                <w:szCs w:val="18"/>
              </w:rPr>
            </w:pPr>
          </w:p>
        </w:tc>
        <w:tc>
          <w:tcPr>
            <w:tcW w:w="2706" w:type="dxa"/>
            <w:shd w:val="clear" w:color="auto" w:fill="auto"/>
            <w:noWrap w:val="0"/>
            <w:vAlign w:val="center"/>
          </w:tcPr>
          <w:p w14:paraId="3B84E96E">
            <w:pPr>
              <w:pStyle w:val="159"/>
              <w:widowControl w:val="0"/>
              <w:rPr>
                <w:rFonts w:hint="eastAsia" w:ascii="宋体" w:hAnsi="宋体" w:cs="宋体"/>
                <w:kern w:val="2"/>
                <w:sz w:val="18"/>
                <w:szCs w:val="18"/>
                <w:lang w:val="en-US" w:eastAsia="zh-CN" w:bidi="ar-SA"/>
              </w:rPr>
            </w:pPr>
            <w:r>
              <w:rPr>
                <w:rFonts w:hint="eastAsia" w:hAnsi="宋体" w:cs="宋体"/>
                <w:kern w:val="2"/>
                <w:szCs w:val="18"/>
              </w:rPr>
              <w:t>汞（Hg）的质量分数</w:t>
            </w:r>
          </w:p>
        </w:tc>
        <w:tc>
          <w:tcPr>
            <w:tcW w:w="1274" w:type="dxa"/>
            <w:noWrap w:val="0"/>
            <w:vAlign w:val="center"/>
          </w:tcPr>
          <w:p w14:paraId="0FEFB1A5">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3519838D">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1A0ACDF8">
            <w:pPr>
              <w:pStyle w:val="159"/>
              <w:widowControl w:val="0"/>
              <w:rPr>
                <w:rFonts w:hint="eastAsia" w:hAnsi="宋体" w:cs="宋体"/>
                <w:kern w:val="2"/>
                <w:szCs w:val="18"/>
              </w:rPr>
            </w:pPr>
          </w:p>
        </w:tc>
        <w:tc>
          <w:tcPr>
            <w:tcW w:w="1290" w:type="dxa"/>
            <w:noWrap w:val="0"/>
            <w:vAlign w:val="center"/>
          </w:tcPr>
          <w:p w14:paraId="1F3FDF67">
            <w:pPr>
              <w:jc w:val="center"/>
              <w:rPr>
                <w:rFonts w:ascii="宋体" w:hAnsi="宋体" w:cs="宋体"/>
                <w:sz w:val="18"/>
                <w:szCs w:val="18"/>
              </w:rPr>
            </w:pPr>
            <w:r>
              <w:rPr>
                <w:rFonts w:hint="eastAsia" w:ascii="宋体" w:hAnsi="宋体" w:cs="宋体"/>
                <w:sz w:val="18"/>
                <w:szCs w:val="18"/>
              </w:rPr>
              <w:t>7.3.11</w:t>
            </w:r>
          </w:p>
        </w:tc>
      </w:tr>
      <w:tr w14:paraId="220605C8">
        <w:trPr>
          <w:jc w:val="center"/>
        </w:trPr>
        <w:tc>
          <w:tcPr>
            <w:tcW w:w="459" w:type="dxa"/>
            <w:noWrap w:val="0"/>
            <w:vAlign w:val="center"/>
          </w:tcPr>
          <w:p w14:paraId="17797D3D">
            <w:pPr>
              <w:pStyle w:val="159"/>
              <w:widowControl w:val="0"/>
              <w:rPr>
                <w:rFonts w:hint="eastAsia" w:hAnsi="宋体" w:cs="宋体"/>
                <w:kern w:val="2"/>
                <w:szCs w:val="18"/>
              </w:rPr>
            </w:pPr>
            <w:r>
              <w:rPr>
                <w:rFonts w:hint="eastAsia" w:hAnsi="宋体" w:cs="宋体"/>
                <w:kern w:val="2"/>
                <w:szCs w:val="18"/>
              </w:rPr>
              <w:t>13</w:t>
            </w:r>
          </w:p>
        </w:tc>
        <w:tc>
          <w:tcPr>
            <w:tcW w:w="865" w:type="dxa"/>
            <w:vMerge w:val="continue"/>
            <w:noWrap w:val="0"/>
            <w:vAlign w:val="center"/>
          </w:tcPr>
          <w:p w14:paraId="10094E1C">
            <w:pPr>
              <w:pStyle w:val="159"/>
              <w:widowControl w:val="0"/>
              <w:rPr>
                <w:rFonts w:hint="eastAsia" w:hAnsi="宋体" w:cs="宋体"/>
                <w:kern w:val="2"/>
                <w:szCs w:val="18"/>
              </w:rPr>
            </w:pPr>
          </w:p>
        </w:tc>
        <w:tc>
          <w:tcPr>
            <w:tcW w:w="2706" w:type="dxa"/>
            <w:shd w:val="clear" w:color="auto" w:fill="auto"/>
            <w:noWrap w:val="0"/>
            <w:vAlign w:val="center"/>
          </w:tcPr>
          <w:p w14:paraId="4E765A56">
            <w:pPr>
              <w:pStyle w:val="159"/>
              <w:widowControl w:val="0"/>
              <w:rPr>
                <w:rFonts w:hint="eastAsia" w:ascii="宋体" w:hAnsi="宋体" w:cs="宋体"/>
                <w:kern w:val="2"/>
                <w:sz w:val="18"/>
                <w:szCs w:val="18"/>
                <w:lang w:val="en-US" w:eastAsia="zh-CN" w:bidi="ar-SA"/>
              </w:rPr>
            </w:pPr>
            <w:r>
              <w:rPr>
                <w:rFonts w:hint="eastAsia" w:hAnsi="宋体" w:cs="宋体"/>
                <w:kern w:val="2"/>
                <w:szCs w:val="18"/>
              </w:rPr>
              <w:t>铬（Cr）的质量分数</w:t>
            </w:r>
          </w:p>
        </w:tc>
        <w:tc>
          <w:tcPr>
            <w:tcW w:w="1274" w:type="dxa"/>
            <w:noWrap w:val="0"/>
            <w:vAlign w:val="center"/>
          </w:tcPr>
          <w:p w14:paraId="3F38F62F">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7810761E">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704147FA">
            <w:pPr>
              <w:pStyle w:val="159"/>
              <w:widowControl w:val="0"/>
              <w:rPr>
                <w:rFonts w:hint="eastAsia" w:hAnsi="宋体" w:cs="宋体"/>
                <w:kern w:val="2"/>
                <w:szCs w:val="18"/>
              </w:rPr>
            </w:pPr>
          </w:p>
        </w:tc>
        <w:tc>
          <w:tcPr>
            <w:tcW w:w="1290" w:type="dxa"/>
            <w:noWrap w:val="0"/>
            <w:vAlign w:val="center"/>
          </w:tcPr>
          <w:p w14:paraId="3C193BA3">
            <w:pPr>
              <w:jc w:val="center"/>
              <w:rPr>
                <w:rFonts w:ascii="宋体" w:hAnsi="宋体" w:cs="宋体"/>
                <w:sz w:val="18"/>
                <w:szCs w:val="18"/>
              </w:rPr>
            </w:pPr>
            <w:r>
              <w:rPr>
                <w:rFonts w:hint="eastAsia" w:ascii="宋体" w:hAnsi="宋体" w:cs="宋体"/>
                <w:sz w:val="18"/>
                <w:szCs w:val="18"/>
              </w:rPr>
              <w:t>7.3.12</w:t>
            </w:r>
          </w:p>
        </w:tc>
      </w:tr>
      <w:tr w14:paraId="2EE98C03">
        <w:trPr>
          <w:jc w:val="center"/>
        </w:trPr>
        <w:tc>
          <w:tcPr>
            <w:tcW w:w="459" w:type="dxa"/>
            <w:noWrap w:val="0"/>
            <w:vAlign w:val="center"/>
          </w:tcPr>
          <w:p w14:paraId="08562C05">
            <w:pPr>
              <w:pStyle w:val="159"/>
              <w:widowControl w:val="0"/>
              <w:rPr>
                <w:rFonts w:hint="eastAsia" w:hAnsi="宋体" w:cs="宋体"/>
                <w:kern w:val="2"/>
                <w:szCs w:val="18"/>
              </w:rPr>
            </w:pPr>
            <w:r>
              <w:rPr>
                <w:rFonts w:hint="eastAsia" w:hAnsi="宋体" w:cs="宋体"/>
                <w:kern w:val="2"/>
                <w:szCs w:val="18"/>
              </w:rPr>
              <w:t>14</w:t>
            </w:r>
          </w:p>
        </w:tc>
        <w:tc>
          <w:tcPr>
            <w:tcW w:w="865" w:type="dxa"/>
            <w:vMerge w:val="continue"/>
            <w:noWrap w:val="0"/>
            <w:vAlign w:val="center"/>
          </w:tcPr>
          <w:p w14:paraId="27691871">
            <w:pPr>
              <w:pStyle w:val="159"/>
              <w:widowControl w:val="0"/>
              <w:rPr>
                <w:rFonts w:hint="eastAsia" w:hAnsi="宋体" w:cs="宋体"/>
                <w:kern w:val="2"/>
                <w:szCs w:val="18"/>
              </w:rPr>
            </w:pPr>
          </w:p>
        </w:tc>
        <w:tc>
          <w:tcPr>
            <w:tcW w:w="2706" w:type="dxa"/>
            <w:noWrap w:val="0"/>
            <w:vAlign w:val="center"/>
          </w:tcPr>
          <w:p w14:paraId="37D8468A">
            <w:pPr>
              <w:pStyle w:val="159"/>
              <w:widowControl w:val="0"/>
              <w:rPr>
                <w:rFonts w:hint="eastAsia" w:hAnsi="宋体" w:cs="宋体"/>
                <w:kern w:val="2"/>
                <w:szCs w:val="18"/>
              </w:rPr>
            </w:pPr>
            <w:r>
              <w:rPr>
                <w:rFonts w:hint="eastAsia" w:hAnsi="宋体" w:cs="宋体"/>
                <w:kern w:val="2"/>
                <w:szCs w:val="18"/>
              </w:rPr>
              <w:t>平均粒径</w:t>
            </w:r>
          </w:p>
        </w:tc>
        <w:tc>
          <w:tcPr>
            <w:tcW w:w="1274" w:type="dxa"/>
            <w:noWrap w:val="0"/>
            <w:vAlign w:val="center"/>
          </w:tcPr>
          <w:p w14:paraId="2255C930">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18F3458B">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5235A78E">
            <w:pPr>
              <w:pStyle w:val="159"/>
              <w:widowControl w:val="0"/>
              <w:rPr>
                <w:rFonts w:hint="eastAsia" w:hAnsi="宋体" w:cs="宋体"/>
                <w:kern w:val="2"/>
                <w:szCs w:val="18"/>
              </w:rPr>
            </w:pPr>
          </w:p>
        </w:tc>
        <w:tc>
          <w:tcPr>
            <w:tcW w:w="1290" w:type="dxa"/>
            <w:noWrap w:val="0"/>
            <w:vAlign w:val="center"/>
          </w:tcPr>
          <w:p w14:paraId="7C7E3B11">
            <w:pPr>
              <w:jc w:val="center"/>
              <w:rPr>
                <w:rFonts w:ascii="宋体" w:hAnsi="宋体" w:cs="宋体"/>
                <w:sz w:val="18"/>
                <w:szCs w:val="18"/>
              </w:rPr>
            </w:pPr>
            <w:r>
              <w:rPr>
                <w:rFonts w:hint="eastAsia" w:ascii="宋体" w:hAnsi="宋体" w:cs="宋体"/>
                <w:sz w:val="18"/>
                <w:szCs w:val="18"/>
              </w:rPr>
              <w:t>7.3.13</w:t>
            </w:r>
          </w:p>
        </w:tc>
      </w:tr>
      <w:tr w14:paraId="7F22C137">
        <w:trPr>
          <w:jc w:val="center"/>
        </w:trPr>
        <w:tc>
          <w:tcPr>
            <w:tcW w:w="459" w:type="dxa"/>
            <w:noWrap w:val="0"/>
            <w:vAlign w:val="center"/>
          </w:tcPr>
          <w:p w14:paraId="47017334">
            <w:pPr>
              <w:pStyle w:val="159"/>
              <w:widowControl w:val="0"/>
              <w:rPr>
                <w:rFonts w:hint="default" w:hAnsi="宋体" w:eastAsia="宋体" w:cs="宋体"/>
                <w:kern w:val="2"/>
                <w:szCs w:val="18"/>
                <w:lang w:val="en-US" w:eastAsia="zh-CN"/>
              </w:rPr>
            </w:pPr>
            <w:r>
              <w:rPr>
                <w:rFonts w:hint="eastAsia" w:hAnsi="宋体" w:cs="宋体"/>
                <w:kern w:val="2"/>
                <w:szCs w:val="18"/>
                <w:lang w:val="en-US" w:eastAsia="zh-CN"/>
              </w:rPr>
              <w:t>15</w:t>
            </w:r>
          </w:p>
        </w:tc>
        <w:tc>
          <w:tcPr>
            <w:tcW w:w="865" w:type="dxa"/>
            <w:vMerge w:val="restart"/>
            <w:noWrap w:val="0"/>
            <w:vAlign w:val="center"/>
          </w:tcPr>
          <w:p w14:paraId="774DAB9E">
            <w:pPr>
              <w:pStyle w:val="159"/>
              <w:widowControl w:val="0"/>
              <w:rPr>
                <w:rFonts w:hint="eastAsia"/>
                <w:color w:val="auto"/>
                <w:szCs w:val="18"/>
              </w:rPr>
            </w:pPr>
            <w:r>
              <w:rPr>
                <w:rFonts w:hint="eastAsia"/>
                <w:color w:val="auto"/>
                <w:szCs w:val="18"/>
              </w:rPr>
              <w:t>混凝效果</w:t>
            </w:r>
          </w:p>
        </w:tc>
        <w:tc>
          <w:tcPr>
            <w:tcW w:w="2706" w:type="dxa"/>
            <w:noWrap w:val="0"/>
            <w:vAlign w:val="center"/>
          </w:tcPr>
          <w:p w14:paraId="1D1125FD">
            <w:pPr>
              <w:pStyle w:val="159"/>
              <w:widowControl w:val="0"/>
              <w:rPr>
                <w:color w:val="auto"/>
                <w:szCs w:val="18"/>
              </w:rPr>
            </w:pPr>
            <w:r>
              <w:rPr>
                <w:rFonts w:hint="eastAsia" w:ascii="宋体" w:hAnsi="宋体" w:cs="宋体"/>
                <w:color w:val="auto"/>
                <w:kern w:val="2"/>
              </w:rPr>
              <w:t>混凝沉淀</w:t>
            </w:r>
          </w:p>
        </w:tc>
        <w:tc>
          <w:tcPr>
            <w:tcW w:w="1274" w:type="dxa"/>
            <w:noWrap w:val="0"/>
            <w:vAlign w:val="center"/>
          </w:tcPr>
          <w:p w14:paraId="6DAA7116">
            <w:pPr>
              <w:pStyle w:val="159"/>
              <w:widowControl w:val="0"/>
              <w:rPr>
                <w:rFonts w:hint="eastAsia" w:hAnsi="宋体" w:cs="宋体"/>
                <w:kern w:val="2"/>
                <w:szCs w:val="18"/>
              </w:rPr>
            </w:pPr>
            <w:r>
              <w:rPr>
                <w:rFonts w:hint="eastAsia" w:hAnsi="宋体" w:cs="宋体"/>
                <w:kern w:val="2"/>
                <w:szCs w:val="18"/>
              </w:rPr>
              <w:t>—</w:t>
            </w:r>
          </w:p>
        </w:tc>
        <w:tc>
          <w:tcPr>
            <w:tcW w:w="1266" w:type="dxa"/>
            <w:noWrap w:val="0"/>
            <w:vAlign w:val="center"/>
          </w:tcPr>
          <w:p w14:paraId="12CD5521">
            <w:pPr>
              <w:jc w:val="center"/>
              <w:rPr>
                <w:rFonts w:hint="eastAsia" w:ascii="宋体" w:hAnsi="宋体" w:cs="宋体"/>
                <w:sz w:val="18"/>
                <w:szCs w:val="18"/>
              </w:rPr>
            </w:pPr>
            <w:r>
              <w:rPr>
                <w:rFonts w:hint="eastAsia" w:ascii="宋体" w:hAnsi="宋体" w:cs="宋体"/>
                <w:sz w:val="18"/>
                <w:szCs w:val="18"/>
              </w:rPr>
              <w:t>√</w:t>
            </w:r>
          </w:p>
        </w:tc>
        <w:tc>
          <w:tcPr>
            <w:tcW w:w="1491" w:type="dxa"/>
            <w:vMerge w:val="restart"/>
            <w:noWrap w:val="0"/>
            <w:vAlign w:val="center"/>
          </w:tcPr>
          <w:p w14:paraId="56F88EBD">
            <w:pPr>
              <w:pStyle w:val="159"/>
              <w:widowControl w:val="0"/>
              <w:rPr>
                <w:rFonts w:hint="default" w:hAnsi="宋体" w:eastAsia="宋体" w:cs="宋体"/>
                <w:kern w:val="2"/>
                <w:szCs w:val="18"/>
                <w:lang w:val="en-US" w:eastAsia="zh-CN"/>
              </w:rPr>
            </w:pPr>
            <w:r>
              <w:rPr>
                <w:rFonts w:hint="eastAsia" w:hAnsi="宋体" w:cs="宋体"/>
                <w:kern w:val="2"/>
                <w:szCs w:val="18"/>
              </w:rPr>
              <w:t>6.3</w:t>
            </w:r>
            <w:r>
              <w:rPr>
                <w:rFonts w:hint="eastAsia" w:hAnsi="宋体" w:cs="宋体"/>
                <w:kern w:val="2"/>
                <w:szCs w:val="18"/>
                <w:lang w:val="en-US" w:eastAsia="zh-CN"/>
              </w:rPr>
              <w:t>.1</w:t>
            </w:r>
          </w:p>
        </w:tc>
        <w:tc>
          <w:tcPr>
            <w:tcW w:w="1290" w:type="dxa"/>
            <w:vMerge w:val="restart"/>
            <w:noWrap w:val="0"/>
            <w:vAlign w:val="center"/>
          </w:tcPr>
          <w:p w14:paraId="202E305F">
            <w:pPr>
              <w:jc w:val="center"/>
              <w:rPr>
                <w:rFonts w:ascii="宋体" w:hAnsi="宋体" w:cs="宋体"/>
                <w:sz w:val="18"/>
                <w:szCs w:val="18"/>
              </w:rPr>
            </w:pPr>
            <w:r>
              <w:rPr>
                <w:rFonts w:hint="eastAsia" w:ascii="宋体" w:hAnsi="宋体" w:cs="宋体"/>
                <w:sz w:val="18"/>
                <w:szCs w:val="18"/>
              </w:rPr>
              <w:t>7.3.14.1</w:t>
            </w:r>
          </w:p>
        </w:tc>
      </w:tr>
      <w:tr w14:paraId="032EB861">
        <w:trPr>
          <w:jc w:val="center"/>
        </w:trPr>
        <w:tc>
          <w:tcPr>
            <w:tcW w:w="459" w:type="dxa"/>
            <w:noWrap w:val="0"/>
            <w:vAlign w:val="center"/>
          </w:tcPr>
          <w:p w14:paraId="47D64E97">
            <w:pPr>
              <w:pStyle w:val="159"/>
              <w:widowControl w:val="0"/>
              <w:rPr>
                <w:rFonts w:hAnsi="宋体" w:cs="宋体"/>
                <w:kern w:val="2"/>
                <w:szCs w:val="18"/>
              </w:rPr>
            </w:pPr>
            <w:r>
              <w:rPr>
                <w:rFonts w:hint="eastAsia" w:hAnsi="宋体" w:cs="宋体"/>
                <w:kern w:val="2"/>
                <w:szCs w:val="18"/>
              </w:rPr>
              <w:t>16</w:t>
            </w:r>
          </w:p>
        </w:tc>
        <w:tc>
          <w:tcPr>
            <w:tcW w:w="865" w:type="dxa"/>
            <w:vMerge w:val="continue"/>
            <w:noWrap w:val="0"/>
            <w:vAlign w:val="center"/>
          </w:tcPr>
          <w:p w14:paraId="6074696A">
            <w:pPr>
              <w:pStyle w:val="159"/>
              <w:widowControl w:val="0"/>
              <w:rPr>
                <w:rFonts w:hint="eastAsia"/>
                <w:color w:val="auto"/>
                <w:szCs w:val="18"/>
              </w:rPr>
            </w:pPr>
          </w:p>
        </w:tc>
        <w:tc>
          <w:tcPr>
            <w:tcW w:w="2706" w:type="dxa"/>
            <w:noWrap w:val="0"/>
            <w:vAlign w:val="top"/>
          </w:tcPr>
          <w:p w14:paraId="710C2087">
            <w:pPr>
              <w:pStyle w:val="153"/>
              <w:widowControl w:val="0"/>
              <w:rPr>
                <w:rFonts w:hint="eastAsia" w:ascii="宋体" w:hAnsi="宋体" w:cs="宋体"/>
                <w:color w:val="auto"/>
                <w:kern w:val="2"/>
              </w:rPr>
            </w:pPr>
            <w:r>
              <w:rPr>
                <w:rFonts w:hint="eastAsia" w:ascii="宋体" w:hAnsi="宋体" w:cs="宋体"/>
                <w:color w:val="auto"/>
                <w:kern w:val="2"/>
              </w:rPr>
              <w:t>混凝脱色率</w:t>
            </w:r>
          </w:p>
        </w:tc>
        <w:tc>
          <w:tcPr>
            <w:tcW w:w="1274" w:type="dxa"/>
            <w:noWrap w:val="0"/>
            <w:vAlign w:val="center"/>
          </w:tcPr>
          <w:p w14:paraId="0FECFE4B">
            <w:pPr>
              <w:widowControl w:val="0"/>
              <w:jc w:val="center"/>
              <w:rPr>
                <w:rFonts w:hint="eastAsia" w:hAnsi="宋体" w:cs="宋体"/>
                <w:kern w:val="2"/>
                <w:szCs w:val="18"/>
              </w:rPr>
            </w:pPr>
            <w:r>
              <w:rPr>
                <w:rFonts w:hint="eastAsia" w:hAnsi="宋体" w:cs="宋体"/>
                <w:kern w:val="2"/>
                <w:szCs w:val="18"/>
              </w:rPr>
              <w:t>—</w:t>
            </w:r>
          </w:p>
        </w:tc>
        <w:tc>
          <w:tcPr>
            <w:tcW w:w="1266" w:type="dxa"/>
            <w:noWrap w:val="0"/>
            <w:vAlign w:val="center"/>
          </w:tcPr>
          <w:p w14:paraId="2A749A8D">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2D10B6A8">
            <w:pPr>
              <w:pStyle w:val="159"/>
              <w:widowControl w:val="0"/>
              <w:rPr>
                <w:rFonts w:hAnsi="宋体" w:cs="宋体"/>
                <w:kern w:val="2"/>
                <w:szCs w:val="18"/>
              </w:rPr>
            </w:pPr>
          </w:p>
        </w:tc>
        <w:tc>
          <w:tcPr>
            <w:tcW w:w="1290" w:type="dxa"/>
            <w:vMerge w:val="continue"/>
            <w:noWrap w:val="0"/>
            <w:vAlign w:val="center"/>
          </w:tcPr>
          <w:p w14:paraId="0F7A7385">
            <w:pPr>
              <w:jc w:val="center"/>
              <w:rPr>
                <w:rFonts w:ascii="宋体" w:hAnsi="宋体" w:cs="宋体"/>
                <w:sz w:val="18"/>
                <w:szCs w:val="18"/>
              </w:rPr>
            </w:pPr>
          </w:p>
        </w:tc>
      </w:tr>
      <w:tr w14:paraId="4E9C7571">
        <w:trPr>
          <w:jc w:val="center"/>
        </w:trPr>
        <w:tc>
          <w:tcPr>
            <w:tcW w:w="459" w:type="dxa"/>
            <w:noWrap w:val="0"/>
            <w:vAlign w:val="center"/>
          </w:tcPr>
          <w:p w14:paraId="7BBC5D56">
            <w:pPr>
              <w:pStyle w:val="159"/>
              <w:widowControl w:val="0"/>
              <w:rPr>
                <w:rFonts w:hAnsi="宋体" w:cs="宋体"/>
                <w:kern w:val="2"/>
                <w:szCs w:val="18"/>
              </w:rPr>
            </w:pPr>
            <w:r>
              <w:rPr>
                <w:rFonts w:hint="eastAsia" w:hAnsi="宋体" w:cs="宋体"/>
                <w:kern w:val="2"/>
                <w:szCs w:val="18"/>
              </w:rPr>
              <w:t>17</w:t>
            </w:r>
          </w:p>
        </w:tc>
        <w:tc>
          <w:tcPr>
            <w:tcW w:w="865" w:type="dxa"/>
            <w:vMerge w:val="continue"/>
            <w:noWrap w:val="0"/>
            <w:vAlign w:val="center"/>
          </w:tcPr>
          <w:p w14:paraId="2B4D66E0">
            <w:pPr>
              <w:pStyle w:val="159"/>
              <w:widowControl w:val="0"/>
              <w:rPr>
                <w:rFonts w:hint="eastAsia"/>
                <w:color w:val="auto"/>
                <w:szCs w:val="18"/>
              </w:rPr>
            </w:pPr>
          </w:p>
        </w:tc>
        <w:tc>
          <w:tcPr>
            <w:tcW w:w="2706" w:type="dxa"/>
            <w:noWrap w:val="0"/>
            <w:vAlign w:val="top"/>
          </w:tcPr>
          <w:p w14:paraId="0FD0EB82">
            <w:pPr>
              <w:pStyle w:val="153"/>
              <w:widowControl w:val="0"/>
              <w:rPr>
                <w:rFonts w:hint="eastAsia" w:ascii="宋体" w:hAnsi="宋体" w:cs="宋体"/>
                <w:color w:val="auto"/>
                <w:kern w:val="2"/>
              </w:rPr>
            </w:pPr>
            <w:r>
              <w:rPr>
                <w:rFonts w:hint="eastAsia" w:ascii="宋体" w:hAnsi="宋体" w:cs="宋体"/>
                <w:color w:val="auto"/>
                <w:kern w:val="2"/>
              </w:rPr>
              <w:t>混凝去除有机物性能</w:t>
            </w:r>
          </w:p>
        </w:tc>
        <w:tc>
          <w:tcPr>
            <w:tcW w:w="1274" w:type="dxa"/>
            <w:noWrap w:val="0"/>
            <w:vAlign w:val="center"/>
          </w:tcPr>
          <w:p w14:paraId="72C115A0">
            <w:pPr>
              <w:widowControl w:val="0"/>
              <w:jc w:val="center"/>
              <w:rPr>
                <w:rFonts w:hint="eastAsia" w:hAnsi="宋体" w:cs="宋体"/>
                <w:kern w:val="2"/>
                <w:szCs w:val="18"/>
              </w:rPr>
            </w:pPr>
            <w:r>
              <w:rPr>
                <w:rFonts w:hint="eastAsia" w:hAnsi="宋体" w:cs="宋体"/>
                <w:kern w:val="2"/>
                <w:szCs w:val="18"/>
              </w:rPr>
              <w:t>—</w:t>
            </w:r>
          </w:p>
        </w:tc>
        <w:tc>
          <w:tcPr>
            <w:tcW w:w="1266" w:type="dxa"/>
            <w:noWrap w:val="0"/>
            <w:vAlign w:val="center"/>
          </w:tcPr>
          <w:p w14:paraId="4AB43C9D">
            <w:pPr>
              <w:jc w:val="center"/>
              <w:rPr>
                <w:rFonts w:hint="eastAsia" w:ascii="宋体" w:hAnsi="宋体" w:cs="宋体"/>
                <w:sz w:val="18"/>
                <w:szCs w:val="18"/>
              </w:rPr>
            </w:pPr>
            <w:r>
              <w:rPr>
                <w:rFonts w:hint="eastAsia" w:ascii="宋体" w:hAnsi="宋体" w:cs="宋体"/>
                <w:sz w:val="18"/>
                <w:szCs w:val="18"/>
              </w:rPr>
              <w:t>√</w:t>
            </w:r>
          </w:p>
        </w:tc>
        <w:tc>
          <w:tcPr>
            <w:tcW w:w="1491" w:type="dxa"/>
            <w:vMerge w:val="continue"/>
            <w:noWrap w:val="0"/>
            <w:vAlign w:val="center"/>
          </w:tcPr>
          <w:p w14:paraId="34C70882">
            <w:pPr>
              <w:pStyle w:val="159"/>
              <w:widowControl w:val="0"/>
              <w:rPr>
                <w:rFonts w:hint="eastAsia" w:hAnsi="宋体" w:cs="宋体"/>
                <w:kern w:val="2"/>
                <w:szCs w:val="18"/>
              </w:rPr>
            </w:pPr>
          </w:p>
        </w:tc>
        <w:tc>
          <w:tcPr>
            <w:tcW w:w="1290" w:type="dxa"/>
            <w:vMerge w:val="continue"/>
            <w:noWrap w:val="0"/>
            <w:vAlign w:val="center"/>
          </w:tcPr>
          <w:p w14:paraId="5B6B25CB">
            <w:pPr>
              <w:jc w:val="center"/>
              <w:rPr>
                <w:rFonts w:ascii="宋体" w:hAnsi="宋体" w:cs="宋体"/>
                <w:sz w:val="18"/>
                <w:szCs w:val="18"/>
              </w:rPr>
            </w:pPr>
          </w:p>
        </w:tc>
      </w:tr>
      <w:tr w14:paraId="416AA468">
        <w:trPr>
          <w:jc w:val="center"/>
        </w:trPr>
        <w:tc>
          <w:tcPr>
            <w:tcW w:w="459" w:type="dxa"/>
            <w:tcBorders>
              <w:bottom w:val="single" w:color="auto" w:sz="8" w:space="0"/>
            </w:tcBorders>
            <w:noWrap w:val="0"/>
            <w:vAlign w:val="center"/>
          </w:tcPr>
          <w:p w14:paraId="7A49A091">
            <w:pPr>
              <w:pStyle w:val="159"/>
              <w:widowControl w:val="0"/>
              <w:rPr>
                <w:rFonts w:hAnsi="宋体" w:cs="宋体"/>
                <w:kern w:val="2"/>
                <w:szCs w:val="18"/>
              </w:rPr>
            </w:pPr>
            <w:r>
              <w:rPr>
                <w:rFonts w:hint="eastAsia" w:hAnsi="宋体" w:cs="宋体"/>
                <w:kern w:val="2"/>
                <w:szCs w:val="18"/>
              </w:rPr>
              <w:t>18</w:t>
            </w:r>
          </w:p>
        </w:tc>
        <w:tc>
          <w:tcPr>
            <w:tcW w:w="865" w:type="dxa"/>
            <w:vMerge w:val="continue"/>
            <w:tcBorders>
              <w:bottom w:val="single" w:color="auto" w:sz="8" w:space="0"/>
            </w:tcBorders>
            <w:noWrap w:val="0"/>
            <w:vAlign w:val="center"/>
          </w:tcPr>
          <w:p w14:paraId="4D1BFE96">
            <w:pPr>
              <w:pStyle w:val="159"/>
              <w:widowControl w:val="0"/>
              <w:rPr>
                <w:rFonts w:hint="eastAsia"/>
                <w:color w:val="auto"/>
                <w:szCs w:val="18"/>
              </w:rPr>
            </w:pPr>
          </w:p>
        </w:tc>
        <w:tc>
          <w:tcPr>
            <w:tcW w:w="2706" w:type="dxa"/>
            <w:tcBorders>
              <w:bottom w:val="single" w:color="auto" w:sz="8" w:space="0"/>
            </w:tcBorders>
            <w:noWrap w:val="0"/>
            <w:vAlign w:val="top"/>
          </w:tcPr>
          <w:p w14:paraId="681A4346">
            <w:pPr>
              <w:pStyle w:val="153"/>
              <w:widowControl w:val="0"/>
              <w:rPr>
                <w:rFonts w:hint="eastAsia" w:ascii="宋体" w:hAnsi="宋体" w:cs="宋体"/>
                <w:color w:val="auto"/>
                <w:kern w:val="2"/>
              </w:rPr>
            </w:pPr>
            <w:r>
              <w:rPr>
                <w:rFonts w:hint="eastAsia"/>
                <w:color w:val="auto"/>
                <w:szCs w:val="18"/>
              </w:rPr>
              <w:t>出水余铝</w:t>
            </w:r>
          </w:p>
        </w:tc>
        <w:tc>
          <w:tcPr>
            <w:tcW w:w="1274" w:type="dxa"/>
            <w:tcBorders>
              <w:bottom w:val="single" w:color="auto" w:sz="8" w:space="0"/>
            </w:tcBorders>
            <w:noWrap w:val="0"/>
            <w:vAlign w:val="center"/>
          </w:tcPr>
          <w:p w14:paraId="48546043">
            <w:pPr>
              <w:pStyle w:val="159"/>
              <w:widowControl w:val="0"/>
              <w:rPr>
                <w:rFonts w:hint="eastAsia" w:hAnsi="宋体" w:cs="宋体"/>
                <w:kern w:val="2"/>
                <w:szCs w:val="18"/>
              </w:rPr>
            </w:pPr>
            <w:r>
              <w:rPr>
                <w:rFonts w:hint="eastAsia" w:hAnsi="宋体" w:cs="宋体"/>
                <w:kern w:val="2"/>
                <w:szCs w:val="18"/>
              </w:rPr>
              <w:t>—</w:t>
            </w:r>
          </w:p>
        </w:tc>
        <w:tc>
          <w:tcPr>
            <w:tcW w:w="1266" w:type="dxa"/>
            <w:tcBorders>
              <w:bottom w:val="single" w:color="auto" w:sz="8" w:space="0"/>
            </w:tcBorders>
            <w:noWrap w:val="0"/>
            <w:vAlign w:val="center"/>
          </w:tcPr>
          <w:p w14:paraId="697573D8">
            <w:pPr>
              <w:jc w:val="center"/>
              <w:rPr>
                <w:rFonts w:hint="eastAsia" w:ascii="宋体" w:hAnsi="宋体" w:cs="宋体"/>
                <w:sz w:val="18"/>
                <w:szCs w:val="18"/>
              </w:rPr>
            </w:pPr>
            <w:r>
              <w:rPr>
                <w:rFonts w:hint="eastAsia" w:ascii="宋体" w:hAnsi="宋体" w:cs="宋体"/>
                <w:sz w:val="18"/>
                <w:szCs w:val="18"/>
              </w:rPr>
              <w:t>√</w:t>
            </w:r>
          </w:p>
        </w:tc>
        <w:tc>
          <w:tcPr>
            <w:tcW w:w="1491" w:type="dxa"/>
            <w:tcBorders>
              <w:bottom w:val="single" w:color="auto" w:sz="8" w:space="0"/>
            </w:tcBorders>
            <w:noWrap w:val="0"/>
            <w:vAlign w:val="center"/>
          </w:tcPr>
          <w:p w14:paraId="0669551C">
            <w:pPr>
              <w:pStyle w:val="159"/>
              <w:widowControl w:val="0"/>
              <w:rPr>
                <w:rFonts w:hint="default" w:hAnsi="宋体" w:eastAsia="宋体" w:cs="宋体"/>
                <w:kern w:val="2"/>
                <w:szCs w:val="18"/>
                <w:lang w:val="en-US" w:eastAsia="zh-CN"/>
              </w:rPr>
            </w:pPr>
            <w:r>
              <w:rPr>
                <w:rFonts w:hint="eastAsia" w:hAnsi="宋体" w:cs="宋体"/>
                <w:kern w:val="2"/>
                <w:szCs w:val="18"/>
                <w:lang w:val="en-US" w:eastAsia="zh-CN"/>
              </w:rPr>
              <w:t>6.3.2</w:t>
            </w:r>
          </w:p>
        </w:tc>
        <w:tc>
          <w:tcPr>
            <w:tcW w:w="1290" w:type="dxa"/>
            <w:tcBorders>
              <w:bottom w:val="single" w:color="auto" w:sz="8" w:space="0"/>
            </w:tcBorders>
            <w:noWrap w:val="0"/>
            <w:vAlign w:val="center"/>
          </w:tcPr>
          <w:p w14:paraId="2FDCFC10">
            <w:pPr>
              <w:jc w:val="center"/>
              <w:rPr>
                <w:rFonts w:hint="eastAsia" w:ascii="宋体" w:hAnsi="宋体" w:cs="宋体"/>
                <w:sz w:val="18"/>
                <w:szCs w:val="18"/>
              </w:rPr>
            </w:pPr>
            <w:r>
              <w:rPr>
                <w:rFonts w:hint="eastAsia" w:ascii="宋体" w:hAnsi="宋体" w:cs="宋体"/>
                <w:sz w:val="18"/>
                <w:szCs w:val="18"/>
              </w:rPr>
              <w:t>7.3.14.2</w:t>
            </w:r>
          </w:p>
        </w:tc>
      </w:tr>
      <w:tr w14:paraId="66D0619C">
        <w:trPr>
          <w:jc w:val="center"/>
        </w:trPr>
        <w:tc>
          <w:tcPr>
            <w:tcW w:w="9351" w:type="dxa"/>
            <w:gridSpan w:val="7"/>
            <w:tcBorders>
              <w:top w:val="single" w:color="auto" w:sz="8" w:space="0"/>
              <w:left w:val="single" w:color="auto" w:sz="8" w:space="0"/>
              <w:bottom w:val="single" w:color="auto" w:sz="8" w:space="0"/>
              <w:right w:val="single" w:color="auto" w:sz="8" w:space="0"/>
            </w:tcBorders>
            <w:noWrap w:val="0"/>
            <w:vAlign w:val="center"/>
          </w:tcPr>
          <w:p w14:paraId="1B61E9B8">
            <w:pPr>
              <w:ind w:firstLine="360" w:firstLineChars="200"/>
              <w:jc w:val="left"/>
              <w:rPr>
                <w:rFonts w:hint="eastAsia" w:ascii="宋体" w:hAnsi="宋体" w:cs="宋体"/>
                <w:sz w:val="18"/>
                <w:szCs w:val="18"/>
              </w:rPr>
            </w:pPr>
            <w:r>
              <w:rPr>
                <w:rFonts w:hint="eastAsia" w:ascii="黑体" w:hAnsi="黑体" w:eastAsia="黑体" w:cs="黑体"/>
                <w:sz w:val="18"/>
                <w:szCs w:val="18"/>
              </w:rPr>
              <w:t>注：</w:t>
            </w:r>
            <w:r>
              <w:rPr>
                <w:rFonts w:hint="eastAsia" w:ascii="宋体" w:hAnsi="宋体" w:cs="宋体"/>
                <w:sz w:val="18"/>
                <w:szCs w:val="18"/>
              </w:rPr>
              <w:t>标有“√”的为需要检验项目，标有“—”的为非检验项目。</w:t>
            </w:r>
          </w:p>
        </w:tc>
      </w:tr>
    </w:tbl>
    <w:p w14:paraId="1251023D">
      <w:pPr>
        <w:pStyle w:val="63"/>
        <w:outlineLvl w:val="1"/>
        <w:rPr>
          <w:lang w:eastAsia="zh-Hans"/>
        </w:rPr>
      </w:pPr>
      <w:bookmarkStart w:id="71" w:name="_Toc18518"/>
      <w:r>
        <w:rPr>
          <w:rFonts w:hint="eastAsia"/>
        </w:rPr>
        <w:t>组批</w:t>
      </w:r>
      <w:bookmarkEnd w:id="71"/>
    </w:p>
    <w:p w14:paraId="55382AB1">
      <w:pPr>
        <w:pStyle w:val="25"/>
        <w:rPr>
          <w:rFonts w:hint="eastAsia"/>
        </w:rPr>
      </w:pPr>
      <w:r>
        <w:rPr>
          <w:rFonts w:hint="eastAsia"/>
        </w:rPr>
        <w:t>每批产品液体应不超过200 t，固定应不超过60 t</w:t>
      </w:r>
      <w:r>
        <w:rPr>
          <w:rFonts w:hint="eastAsia"/>
          <w:kern w:val="2"/>
        </w:rPr>
        <w:t>。</w:t>
      </w:r>
    </w:p>
    <w:p w14:paraId="71FAB461">
      <w:pPr>
        <w:pStyle w:val="63"/>
        <w:outlineLvl w:val="1"/>
      </w:pPr>
      <w:bookmarkStart w:id="72" w:name="_Toc23141"/>
      <w:r>
        <w:rPr>
          <w:rFonts w:hint="eastAsia"/>
        </w:rPr>
        <w:t>出厂检验</w:t>
      </w:r>
      <w:bookmarkEnd w:id="72"/>
    </w:p>
    <w:p w14:paraId="56018370">
      <w:pPr>
        <w:pStyle w:val="74"/>
        <w:spacing w:before="156" w:after="156"/>
        <w:ind w:left="0"/>
      </w:pPr>
      <w:r>
        <w:rPr>
          <w:rFonts w:hint="eastAsia"/>
        </w:rPr>
        <w:t>检验项目</w:t>
      </w:r>
    </w:p>
    <w:p w14:paraId="064145DD">
      <w:pPr>
        <w:ind w:firstLine="425"/>
        <w:rPr>
          <w:rFonts w:ascii="宋体"/>
          <w:szCs w:val="20"/>
        </w:rPr>
      </w:pPr>
      <w:r>
        <w:rPr>
          <w:rFonts w:hint="eastAsia" w:ascii="宋体"/>
          <w:szCs w:val="20"/>
        </w:rPr>
        <w:t>出厂检验项目按表2。</w:t>
      </w:r>
    </w:p>
    <w:p w14:paraId="36FB7B60">
      <w:pPr>
        <w:pStyle w:val="74"/>
        <w:spacing w:before="156" w:after="156"/>
        <w:ind w:left="0"/>
      </w:pPr>
      <w:r>
        <w:rPr>
          <w:rFonts w:hint="eastAsia"/>
        </w:rPr>
        <w:t>抽样</w:t>
      </w:r>
    </w:p>
    <w:p w14:paraId="7812820F">
      <w:pPr>
        <w:pStyle w:val="95"/>
      </w:pPr>
      <w:r>
        <w:rPr>
          <w:rFonts w:hint="eastAsia"/>
        </w:rPr>
        <w:t>按GB/T 6678规定确定采样单元数。</w:t>
      </w:r>
    </w:p>
    <w:p w14:paraId="19DB8DCE">
      <w:pPr>
        <w:pStyle w:val="95"/>
        <w:rPr>
          <w:rFonts w:hint="eastAsia"/>
        </w:rPr>
      </w:pPr>
      <w:r>
        <w:rPr>
          <w:rFonts w:hint="eastAsia"/>
        </w:rPr>
        <w:t>液体产品采样时，应将采样容器深入桶内，从上、中、下部位采样量不少于100 mL。将所采样品混匀，从中取出约800 mL，分装于两个清洁、干燥的玻璃瓶中，密封。</w:t>
      </w:r>
    </w:p>
    <w:p w14:paraId="37F65A8E">
      <w:pPr>
        <w:pStyle w:val="95"/>
        <w:rPr>
          <w:rFonts w:hint="eastAsia"/>
        </w:rPr>
      </w:pPr>
      <w:r>
        <w:rPr>
          <w:rFonts w:hint="eastAsia"/>
        </w:rPr>
        <w:t>贮罐装运的液体产品采样时，应用采样器从罐的上、中、下部位采样。每个部位采样量不少于250 mL。将所采样品混匀，取出约800 mL，分装于两个清洁、干燥的玻璃瓶中，密封。</w:t>
      </w:r>
    </w:p>
    <w:p w14:paraId="53765DB6">
      <w:pPr>
        <w:pStyle w:val="95"/>
        <w:rPr>
          <w:rFonts w:hint="eastAsia"/>
        </w:rPr>
      </w:pPr>
      <w:r>
        <w:rPr>
          <w:rFonts w:hint="eastAsia"/>
        </w:rPr>
        <w:t>在密封的样品瓶上贴上标签，注明生产厂名、产品名称、批号、采样日期和采样姓名。一瓶供检验用，另一瓶保存3个月备查。</w:t>
      </w:r>
    </w:p>
    <w:p w14:paraId="4945991B">
      <w:pPr>
        <w:pStyle w:val="74"/>
        <w:spacing w:before="156" w:after="156"/>
        <w:ind w:left="0"/>
        <w:rPr>
          <w:rFonts w:hint="eastAsia"/>
        </w:rPr>
      </w:pPr>
      <w:r>
        <w:rPr>
          <w:rFonts w:hint="eastAsia"/>
        </w:rPr>
        <w:t>判定</w:t>
      </w:r>
    </w:p>
    <w:p w14:paraId="24E8C7DB">
      <w:pPr>
        <w:pStyle w:val="95"/>
        <w:rPr>
          <w:rFonts w:hint="eastAsia"/>
        </w:rPr>
      </w:pPr>
      <w:r>
        <w:rPr>
          <w:rFonts w:hint="eastAsia"/>
        </w:rPr>
        <w:t>检验项目全部合格，该批产品判定为合格品。若有一项不合格，允许加倍抽样复检；检验结果仍不符合时，则判该批产品为不合格。</w:t>
      </w:r>
    </w:p>
    <w:p w14:paraId="6B0C3F0F">
      <w:pPr>
        <w:pStyle w:val="95"/>
        <w:rPr>
          <w:rFonts w:hint="eastAsia"/>
        </w:rPr>
      </w:pPr>
      <w:r>
        <w:rPr>
          <w:rFonts w:hint="eastAsia"/>
        </w:rPr>
        <w:t>每批产品应经出厂检验合格并签发合格证后方可出厂。</w:t>
      </w:r>
    </w:p>
    <w:p w14:paraId="6AB4015A">
      <w:pPr>
        <w:pStyle w:val="63"/>
        <w:outlineLvl w:val="1"/>
        <w:rPr>
          <w:rFonts w:hint="eastAsia"/>
          <w:lang w:eastAsia="zh-Hans"/>
        </w:rPr>
      </w:pPr>
      <w:bookmarkStart w:id="73" w:name="_Toc12116"/>
      <w:r>
        <w:rPr>
          <w:rFonts w:hint="eastAsia"/>
        </w:rPr>
        <w:t>型式检验</w:t>
      </w:r>
      <w:bookmarkEnd w:id="73"/>
    </w:p>
    <w:p w14:paraId="7646CF14">
      <w:pPr>
        <w:pStyle w:val="74"/>
        <w:spacing w:before="156" w:after="156"/>
        <w:ind w:left="0"/>
        <w:rPr>
          <w:rFonts w:hint="eastAsia"/>
        </w:rPr>
      </w:pPr>
      <w:r>
        <w:rPr>
          <w:rFonts w:hint="eastAsia"/>
        </w:rPr>
        <w:t>检验项目</w:t>
      </w:r>
    </w:p>
    <w:p w14:paraId="3C6A8F0F">
      <w:pPr>
        <w:ind w:firstLine="425"/>
        <w:rPr>
          <w:rFonts w:ascii="宋体"/>
          <w:szCs w:val="20"/>
        </w:rPr>
      </w:pPr>
      <w:r>
        <w:rPr>
          <w:rFonts w:hint="eastAsia" w:ascii="宋体"/>
          <w:szCs w:val="20"/>
        </w:rPr>
        <w:t>型式检验项目按表2。</w:t>
      </w:r>
    </w:p>
    <w:p w14:paraId="790AB725">
      <w:pPr>
        <w:pStyle w:val="74"/>
        <w:spacing w:before="156" w:after="156"/>
        <w:ind w:left="0"/>
        <w:rPr>
          <w:rFonts w:hint="eastAsia"/>
        </w:rPr>
      </w:pPr>
      <w:r>
        <w:rPr>
          <w:rFonts w:hint="eastAsia"/>
        </w:rPr>
        <w:t>检验时机</w:t>
      </w:r>
    </w:p>
    <w:p w14:paraId="5D794543">
      <w:pPr>
        <w:autoSpaceDE w:val="0"/>
        <w:autoSpaceDN w:val="0"/>
        <w:ind w:firstLine="420" w:firstLineChars="200"/>
        <w:rPr>
          <w:rFonts w:ascii="宋体"/>
        </w:rPr>
      </w:pPr>
      <w:r>
        <w:rPr>
          <w:rFonts w:hint="eastAsia" w:ascii="宋体"/>
        </w:rPr>
        <w:t>有下列情况之一时，应进行型式检验：</w:t>
      </w:r>
    </w:p>
    <w:p w14:paraId="42DDD861">
      <w:pPr>
        <w:numPr>
          <w:ilvl w:val="0"/>
          <w:numId w:val="21"/>
        </w:numPr>
        <w:ind w:left="851" w:hanging="425"/>
        <w:rPr>
          <w:rFonts w:hint="eastAsia" w:ascii="宋体" w:hAnsi="宋体" w:cs="黑体"/>
        </w:rPr>
      </w:pPr>
      <w:r>
        <w:rPr>
          <w:rFonts w:hint="eastAsia" w:ascii="宋体" w:hAnsi="宋体" w:cs="黑体"/>
        </w:rPr>
        <w:t>新产品或老产品转厂生产的试制定型鉴定；</w:t>
      </w:r>
    </w:p>
    <w:p w14:paraId="428BDA4E">
      <w:pPr>
        <w:numPr>
          <w:ilvl w:val="0"/>
          <w:numId w:val="21"/>
        </w:numPr>
        <w:ind w:left="851" w:hanging="425"/>
        <w:rPr>
          <w:rFonts w:hint="eastAsia" w:ascii="宋体" w:hAnsi="宋体" w:cs="黑体"/>
        </w:rPr>
      </w:pPr>
      <w:r>
        <w:rPr>
          <w:rFonts w:hint="eastAsia" w:ascii="宋体" w:hAnsi="宋体" w:cs="黑体"/>
        </w:rPr>
        <w:t>正式生产后，如结构、工艺、材料有较大改变，可能影响产品性能时；</w:t>
      </w:r>
    </w:p>
    <w:p w14:paraId="4661791A">
      <w:pPr>
        <w:numPr>
          <w:ilvl w:val="0"/>
          <w:numId w:val="21"/>
        </w:numPr>
        <w:ind w:left="851" w:hanging="425"/>
        <w:rPr>
          <w:rFonts w:hint="eastAsia" w:ascii="宋体" w:hAnsi="宋体" w:cs="黑体"/>
        </w:rPr>
      </w:pPr>
      <w:r>
        <w:rPr>
          <w:rFonts w:hint="eastAsia" w:ascii="宋体" w:hAnsi="宋体" w:cs="黑体"/>
        </w:rPr>
        <w:t>正常生产情况下每3个月至少进行一次型式检验；</w:t>
      </w:r>
    </w:p>
    <w:p w14:paraId="2970EF55">
      <w:pPr>
        <w:numPr>
          <w:ilvl w:val="0"/>
          <w:numId w:val="21"/>
        </w:numPr>
        <w:ind w:left="851" w:hanging="425"/>
        <w:rPr>
          <w:rFonts w:hint="eastAsia" w:ascii="宋体" w:hAnsi="宋体" w:cs="黑体"/>
        </w:rPr>
      </w:pPr>
      <w:r>
        <w:rPr>
          <w:rFonts w:hint="eastAsia" w:ascii="宋体" w:hAnsi="宋体" w:cs="黑体"/>
        </w:rPr>
        <w:t>停产6个月以上恢复生产时；</w:t>
      </w:r>
    </w:p>
    <w:p w14:paraId="4151A1A6">
      <w:pPr>
        <w:numPr>
          <w:ilvl w:val="0"/>
          <w:numId w:val="21"/>
        </w:numPr>
        <w:ind w:left="851" w:hanging="425"/>
        <w:rPr>
          <w:rFonts w:hint="eastAsia" w:ascii="宋体" w:hAnsi="宋体" w:cs="黑体"/>
        </w:rPr>
      </w:pPr>
      <w:r>
        <w:rPr>
          <w:rFonts w:hint="eastAsia" w:ascii="宋体" w:hAnsi="宋体" w:cs="黑体"/>
        </w:rPr>
        <w:t>出厂检验结果与上次型式检验有较大差异时；</w:t>
      </w:r>
    </w:p>
    <w:p w14:paraId="2F36CD37">
      <w:pPr>
        <w:numPr>
          <w:ilvl w:val="0"/>
          <w:numId w:val="21"/>
        </w:numPr>
        <w:ind w:left="851" w:hanging="425"/>
        <w:rPr>
          <w:rFonts w:hint="eastAsia" w:ascii="宋体" w:hAnsi="宋体" w:cs="黑体"/>
        </w:rPr>
      </w:pPr>
      <w:r>
        <w:rPr>
          <w:rFonts w:hint="eastAsia" w:ascii="宋体" w:hAnsi="宋体" w:cs="黑体"/>
        </w:rPr>
        <w:t>行业主管部门提出要求时。</w:t>
      </w:r>
    </w:p>
    <w:p w14:paraId="33A95563">
      <w:pPr>
        <w:pStyle w:val="74"/>
        <w:spacing w:before="156" w:after="156"/>
        <w:ind w:left="0"/>
        <w:rPr>
          <w:rFonts w:hint="eastAsia"/>
        </w:rPr>
      </w:pPr>
      <w:r>
        <w:rPr>
          <w:rFonts w:hint="eastAsia"/>
        </w:rPr>
        <w:t>抽样</w:t>
      </w:r>
    </w:p>
    <w:p w14:paraId="14A172FA">
      <w:pPr>
        <w:ind w:firstLine="425"/>
        <w:rPr>
          <w:rFonts w:ascii="宋体"/>
          <w:szCs w:val="20"/>
        </w:rPr>
      </w:pPr>
      <w:r>
        <w:rPr>
          <w:rFonts w:ascii="宋体"/>
          <w:szCs w:val="20"/>
        </w:rPr>
        <w:t>型式检验抽样应从出厂检验合格的产品中随机抽取不少于6</w:t>
      </w:r>
      <w:r>
        <w:rPr>
          <w:rFonts w:hint="eastAsia" w:ascii="宋体"/>
          <w:szCs w:val="20"/>
        </w:rPr>
        <w:t xml:space="preserve"> </w:t>
      </w:r>
      <w:r>
        <w:rPr>
          <w:rFonts w:ascii="宋体"/>
          <w:szCs w:val="20"/>
        </w:rPr>
        <w:t>kg</w:t>
      </w:r>
      <w:r>
        <w:rPr>
          <w:rFonts w:hint="eastAsia" w:ascii="宋体"/>
          <w:szCs w:val="20"/>
        </w:rPr>
        <w:t>。</w:t>
      </w:r>
    </w:p>
    <w:p w14:paraId="55468E32">
      <w:pPr>
        <w:pStyle w:val="74"/>
        <w:spacing w:before="156" w:after="156"/>
        <w:ind w:left="0"/>
        <w:rPr>
          <w:rFonts w:hint="eastAsia"/>
        </w:rPr>
      </w:pPr>
      <w:r>
        <w:rPr>
          <w:rFonts w:hint="eastAsia"/>
        </w:rPr>
        <w:t>判定</w:t>
      </w:r>
    </w:p>
    <w:p w14:paraId="2578899A">
      <w:pPr>
        <w:pStyle w:val="95"/>
        <w:rPr>
          <w:rFonts w:hint="eastAsia"/>
        </w:rPr>
      </w:pPr>
      <w:r>
        <w:rPr>
          <w:rFonts w:hint="eastAsia"/>
        </w:rPr>
        <w:t>按GB/T 8170</w:t>
      </w:r>
      <w:r>
        <w:rPr>
          <w:rFonts w:hint="eastAsia"/>
          <w:lang w:eastAsia="zh-CN"/>
        </w:rPr>
        <w:t>—</w:t>
      </w:r>
      <w:r>
        <w:rPr>
          <w:rFonts w:hint="eastAsia"/>
          <w:lang w:val="en-US" w:eastAsia="zh-CN"/>
        </w:rPr>
        <w:t>2008</w:t>
      </w:r>
      <w:r>
        <w:rPr>
          <w:rFonts w:hint="eastAsia"/>
        </w:rPr>
        <w:t>中修约值比较法进行判定。</w:t>
      </w:r>
    </w:p>
    <w:p w14:paraId="6142A02F">
      <w:pPr>
        <w:pStyle w:val="95"/>
        <w:rPr>
          <w:rFonts w:hint="eastAsia"/>
        </w:rPr>
      </w:pPr>
      <w:r>
        <w:rPr>
          <w:rFonts w:hint="eastAsia"/>
        </w:rPr>
        <w:t>检验结果全部符合本文件要求时，则判定型式检验合格；检验结果若有一项不符合本文件要求时，允许加倍抽样复检，检验结果仍有一项不符合本文件要求时，则判定型式检验为不合格。</w:t>
      </w:r>
    </w:p>
    <w:p w14:paraId="2D2327FD">
      <w:pPr>
        <w:pStyle w:val="119"/>
        <w:outlineLvl w:val="0"/>
        <w:rPr>
          <w:rFonts w:hint="eastAsia"/>
        </w:rPr>
      </w:pPr>
      <w:bookmarkStart w:id="74" w:name="_Toc21161"/>
      <w:r>
        <w:rPr>
          <w:rFonts w:hint="eastAsia"/>
        </w:rPr>
        <w:t>标志、包装、运输及贮存</w:t>
      </w:r>
      <w:bookmarkEnd w:id="74"/>
    </w:p>
    <w:p w14:paraId="14E8332E">
      <w:pPr>
        <w:pStyle w:val="62"/>
        <w:rPr>
          <w:rFonts w:hint="eastAsia"/>
        </w:rPr>
      </w:pPr>
      <w:r>
        <w:rPr>
          <w:rFonts w:hint="eastAsia"/>
        </w:rPr>
        <w:t>纳米聚合铝产品的外包装上应涂刷牢固清晰的标志，注明生产厂名、产品名称、商标、净质量、批号和生产日期、标准编号以及GB/T 191规定的“怕雨”标志。</w:t>
      </w:r>
    </w:p>
    <w:p w14:paraId="1AA9769F">
      <w:pPr>
        <w:pStyle w:val="62"/>
        <w:rPr>
          <w:rFonts w:hint="eastAsia"/>
        </w:rPr>
      </w:pPr>
      <w:bookmarkStart w:id="75" w:name="_Toc5538"/>
      <w:r>
        <w:rPr>
          <w:rFonts w:hint="eastAsia"/>
        </w:rPr>
        <w:t>每批出厂的纳米聚合铝产品都应附有质量检验报告及质量合格证。</w:t>
      </w:r>
      <w:bookmarkEnd w:id="75"/>
    </w:p>
    <w:p w14:paraId="2741B8FE">
      <w:pPr>
        <w:pStyle w:val="62"/>
        <w:rPr>
          <w:rFonts w:hint="eastAsia"/>
        </w:rPr>
      </w:pPr>
      <w:r>
        <w:rPr>
          <w:rFonts w:hint="eastAsia"/>
        </w:rPr>
        <w:t>纳米聚合铝（液体）采用聚乙烯塑料桶包装。用户需要时，纳米聚合铝（液体）也可用贮罐装运。</w:t>
      </w:r>
    </w:p>
    <w:p w14:paraId="50581D1B">
      <w:pPr>
        <w:pStyle w:val="62"/>
        <w:rPr>
          <w:rFonts w:hint="eastAsia"/>
        </w:rPr>
      </w:pPr>
      <w:r>
        <w:rPr>
          <w:rFonts w:hint="eastAsia"/>
        </w:rPr>
        <w:t>纳米聚合铝（固体）采用双层包装，内包装采用食品级聚乙烯薄膜袋，厚度不小于0.05 mm，包装容积应大于外包装，外包装的性能和检验方法应符合GB/T 8946的规定或依客户要求而定。</w:t>
      </w:r>
    </w:p>
    <w:p w14:paraId="6F4C438D">
      <w:pPr>
        <w:pStyle w:val="62"/>
        <w:rPr>
          <w:rFonts w:hint="eastAsia"/>
        </w:rPr>
      </w:pPr>
      <w:r>
        <w:rPr>
          <w:rFonts w:hint="eastAsia"/>
        </w:rPr>
        <w:t>纳米聚合铝在运输过程中应有遮盖物，避免雨淋、受潮，并保持包装完整、标志清晰。</w:t>
      </w:r>
    </w:p>
    <w:p w14:paraId="52829CC2">
      <w:pPr>
        <w:pStyle w:val="62"/>
        <w:rPr>
          <w:rFonts w:hint="eastAsia"/>
        </w:rPr>
      </w:pPr>
      <w:bookmarkStart w:id="76" w:name="_Toc6521"/>
      <w:r>
        <w:rPr>
          <w:rFonts w:hint="eastAsia"/>
        </w:rPr>
        <w:t>纳米聚合铝应贮存在通风干燥的库房内。</w:t>
      </w:r>
      <w:bookmarkEnd w:id="76"/>
    </w:p>
    <w:p w14:paraId="542A1864">
      <w:pPr>
        <w:pStyle w:val="62"/>
        <w:rPr>
          <w:rFonts w:hint="eastAsia"/>
        </w:rPr>
      </w:pPr>
      <w:bookmarkStart w:id="77" w:name="_Toc2434"/>
      <w:r>
        <w:rPr>
          <w:rFonts w:hint="eastAsia"/>
        </w:rPr>
        <w:t>液体产品贮存期为6个月，固体产品贮存期为12个月。</w:t>
      </w:r>
      <w:bookmarkEnd w:id="77"/>
    </w:p>
    <w:p w14:paraId="0D6C2AE2">
      <w:pPr>
        <w:pStyle w:val="25"/>
        <w:rPr>
          <w:rFonts w:hint="eastAsia"/>
        </w:rPr>
      </w:pPr>
    </w:p>
    <w:p w14:paraId="4E5BAF74">
      <w:pPr>
        <w:pStyle w:val="125"/>
        <w:rPr>
          <w:rFonts w:hint="eastAsia"/>
          <w:lang w:eastAsia="zh-Hans"/>
        </w:rPr>
      </w:pPr>
      <w:r>
        <w:rPr>
          <w:rFonts w:hint="eastAsia"/>
          <w:lang w:eastAsia="zh-Hans"/>
        </w:rPr>
        <w:br w:type="page"/>
      </w:r>
      <w:bookmarkStart w:id="78" w:name="_Toc30709"/>
      <w:bookmarkStart w:id="79" w:name="_Toc21278"/>
      <w:bookmarkStart w:id="80" w:name="_Toc5816"/>
      <w:r>
        <w:rPr>
          <w:lang w:eastAsia="zh-Hans"/>
        </w:rPr>
        <w:br w:type="textWrapping"/>
      </w:r>
      <w:r>
        <w:rPr>
          <w:rFonts w:hint="eastAsia"/>
        </w:rPr>
        <w:t>（规范性）</w:t>
      </w:r>
      <w:r>
        <w:rPr>
          <w:rFonts w:hint="eastAsia"/>
        </w:rPr>
        <w:br w:type="textWrapping"/>
      </w:r>
      <w:r>
        <w:rPr>
          <w:rFonts w:hint="eastAsia"/>
        </w:rPr>
        <w:t>聚合态铝Al</w:t>
      </w:r>
      <w:r>
        <w:rPr>
          <w:rFonts w:hint="eastAsia"/>
          <w:vertAlign w:val="subscript"/>
        </w:rPr>
        <w:t>13</w:t>
      </w:r>
      <w:r>
        <w:rPr>
          <w:rFonts w:hint="eastAsia"/>
        </w:rPr>
        <w:t>质量分数的测试方法</w:t>
      </w:r>
      <w:bookmarkEnd w:id="78"/>
      <w:bookmarkEnd w:id="79"/>
      <w:bookmarkEnd w:id="80"/>
    </w:p>
    <w:p w14:paraId="496CED25">
      <w:pPr>
        <w:pStyle w:val="84"/>
        <w:spacing w:before="156" w:beforeLines="50" w:after="156" w:afterLines="50"/>
        <w:rPr>
          <w:rFonts w:hint="eastAsia"/>
          <w:lang w:eastAsia="zh-Hans"/>
        </w:rPr>
      </w:pPr>
      <w:bookmarkStart w:id="81" w:name="_Toc14624"/>
      <w:r>
        <w:rPr>
          <w:rFonts w:hint="eastAsia"/>
        </w:rPr>
        <w:t>综述</w:t>
      </w:r>
      <w:bookmarkEnd w:id="81"/>
    </w:p>
    <w:p w14:paraId="0B85C9AB">
      <w:pPr>
        <w:ind w:firstLine="420" w:firstLineChars="200"/>
        <w:rPr>
          <w:rFonts w:hint="eastAsia" w:ascii="宋体" w:hAnsi="宋体" w:cs="宋体"/>
          <w:szCs w:val="21"/>
        </w:rPr>
      </w:pPr>
      <w:r>
        <w:rPr>
          <w:rFonts w:hint="eastAsia" w:ascii="宋体" w:hAnsi="宋体" w:cs="宋体"/>
          <w:szCs w:val="21"/>
        </w:rPr>
        <w:t>在水解铝溶液形态分布特征的研究中，越来越多采用</w:t>
      </w:r>
      <w:r>
        <w:rPr>
          <w:rFonts w:hint="eastAsia" w:ascii="宋体" w:hAnsi="宋体" w:cs="宋体"/>
          <w:szCs w:val="21"/>
          <w:vertAlign w:val="superscript"/>
        </w:rPr>
        <w:t>27</w:t>
      </w:r>
      <w:r>
        <w:rPr>
          <w:rFonts w:hint="eastAsia" w:ascii="宋体" w:hAnsi="宋体" w:cs="宋体"/>
          <w:szCs w:val="21"/>
        </w:rPr>
        <w:t xml:space="preserve">Al NMR法和Ferron逐时络合法进行综合分析研究。结合两种方法，研究 </w:t>
      </w:r>
      <w:r>
        <w:rPr>
          <w:rFonts w:hint="eastAsia" w:ascii="宋体" w:hAnsi="宋体" w:cs="宋体"/>
          <w:szCs w:val="21"/>
          <w:vertAlign w:val="superscript"/>
        </w:rPr>
        <w:t>27</w:t>
      </w:r>
      <w:r>
        <w:rPr>
          <w:rFonts w:hint="eastAsia" w:ascii="宋体" w:hAnsi="宋体" w:cs="宋体"/>
          <w:szCs w:val="21"/>
        </w:rPr>
        <w:t>Al-NMR 测定的 Al</w:t>
      </w:r>
      <w:r>
        <w:rPr>
          <w:rFonts w:hint="eastAsia" w:ascii="宋体" w:hAnsi="宋体" w:cs="宋体"/>
          <w:szCs w:val="21"/>
          <w:vertAlign w:val="subscript"/>
        </w:rPr>
        <w:t>13</w:t>
      </w:r>
      <w:r>
        <w:rPr>
          <w:rFonts w:hint="eastAsia" w:ascii="宋体" w:hAnsi="宋体" w:cs="宋体"/>
          <w:szCs w:val="21"/>
        </w:rPr>
        <w:t xml:space="preserve"> 和 Ferron 法测定的 Al</w:t>
      </w:r>
      <w:r>
        <w:rPr>
          <w:rFonts w:hint="eastAsia" w:ascii="宋体" w:hAnsi="宋体" w:cs="宋体"/>
          <w:szCs w:val="21"/>
          <w:vertAlign w:val="subscript"/>
        </w:rPr>
        <w:t>b</w:t>
      </w:r>
      <w:r>
        <w:rPr>
          <w:rFonts w:hint="eastAsia" w:ascii="宋体" w:hAnsi="宋体" w:cs="宋体"/>
          <w:szCs w:val="21"/>
        </w:rPr>
        <w:t>之间的关系，认为Al</w:t>
      </w:r>
      <w:r>
        <w:rPr>
          <w:rFonts w:hint="eastAsia" w:ascii="宋体" w:hAnsi="宋体" w:cs="宋体"/>
          <w:szCs w:val="21"/>
          <w:vertAlign w:val="subscript"/>
        </w:rPr>
        <w:t>b</w:t>
      </w:r>
      <w:r>
        <w:rPr>
          <w:rFonts w:hint="eastAsia" w:ascii="宋体" w:hAnsi="宋体" w:cs="宋体"/>
          <w:szCs w:val="21"/>
        </w:rPr>
        <w:t>可以准确地反映Al</w:t>
      </w:r>
      <w:r>
        <w:rPr>
          <w:rFonts w:hint="eastAsia" w:ascii="宋体" w:hAnsi="宋体" w:cs="宋体"/>
          <w:szCs w:val="21"/>
          <w:vertAlign w:val="subscript"/>
        </w:rPr>
        <w:t>13</w:t>
      </w:r>
      <w:r>
        <w:rPr>
          <w:rFonts w:hint="eastAsia" w:ascii="宋体" w:hAnsi="宋体" w:cs="宋体"/>
          <w:szCs w:val="21"/>
        </w:rPr>
        <w:t>的含量。在 Al&lt;10</w:t>
      </w:r>
      <w:r>
        <w:rPr>
          <w:rFonts w:hint="eastAsia" w:ascii="宋体" w:hAnsi="宋体" w:cs="宋体"/>
          <w:szCs w:val="21"/>
          <w:vertAlign w:val="superscript"/>
        </w:rPr>
        <w:t xml:space="preserve">-4 </w:t>
      </w:r>
      <w:r>
        <w:rPr>
          <w:rFonts w:hint="eastAsia" w:ascii="宋体" w:hAnsi="宋体" w:cs="宋体"/>
          <w:szCs w:val="21"/>
        </w:rPr>
        <w:t>mol/L，</w:t>
      </w:r>
      <w:r>
        <w:rPr>
          <w:rFonts w:hint="eastAsia" w:ascii="宋体" w:hAnsi="宋体" w:cs="宋体"/>
          <w:szCs w:val="21"/>
          <w:vertAlign w:val="superscript"/>
        </w:rPr>
        <w:t>27</w:t>
      </w:r>
      <w:r>
        <w:rPr>
          <w:rFonts w:hint="eastAsia" w:ascii="宋体" w:hAnsi="宋体" w:cs="宋体"/>
          <w:szCs w:val="21"/>
        </w:rPr>
        <w:t>Al NMR法很难得到较好的定量信息，Ferron法可以发挥独特的优势。在 Al=10</w:t>
      </w:r>
      <w:r>
        <w:rPr>
          <w:rFonts w:hint="eastAsia" w:ascii="宋体" w:hAnsi="宋体" w:cs="宋体"/>
          <w:szCs w:val="21"/>
          <w:vertAlign w:val="superscript"/>
        </w:rPr>
        <w:t>-4</w:t>
      </w:r>
      <w:r>
        <w:rPr>
          <w:rFonts w:hint="eastAsia" w:ascii="宋体" w:hAnsi="宋体" w:cs="宋体"/>
          <w:szCs w:val="21"/>
        </w:rPr>
        <w:t xml:space="preserve"> -10</w:t>
      </w:r>
      <w:r>
        <w:rPr>
          <w:rFonts w:hint="eastAsia" w:ascii="宋体" w:hAnsi="宋体" w:cs="宋体"/>
          <w:szCs w:val="21"/>
          <w:vertAlign w:val="superscript"/>
        </w:rPr>
        <w:t xml:space="preserve">-2 </w:t>
      </w:r>
      <w:r>
        <w:rPr>
          <w:rFonts w:hint="eastAsia" w:ascii="宋体" w:hAnsi="宋体" w:cs="宋体"/>
          <w:szCs w:val="21"/>
        </w:rPr>
        <w:t>mol/L，</w:t>
      </w:r>
      <w:r>
        <w:rPr>
          <w:rFonts w:hint="eastAsia" w:ascii="宋体" w:hAnsi="宋体" w:cs="宋体"/>
          <w:szCs w:val="21"/>
          <w:vertAlign w:val="superscript"/>
        </w:rPr>
        <w:t>27</w:t>
      </w:r>
      <w:r>
        <w:rPr>
          <w:rFonts w:hint="eastAsia" w:ascii="宋体" w:hAnsi="宋体" w:cs="宋体"/>
          <w:szCs w:val="21"/>
        </w:rPr>
        <w:t>Al核磁共振法所检测的Al</w:t>
      </w:r>
      <w:r>
        <w:rPr>
          <w:rFonts w:hint="eastAsia" w:ascii="宋体" w:hAnsi="宋体" w:cs="宋体"/>
          <w:szCs w:val="21"/>
          <w:vertAlign w:val="subscript"/>
        </w:rPr>
        <w:t>13</w:t>
      </w:r>
      <w:r>
        <w:rPr>
          <w:rFonts w:hint="eastAsia" w:ascii="宋体" w:hAnsi="宋体" w:cs="宋体"/>
          <w:szCs w:val="21"/>
        </w:rPr>
        <w:t>和Ferron逐时络合法所测定的 Al</w:t>
      </w:r>
      <w:r>
        <w:rPr>
          <w:rFonts w:hint="eastAsia" w:ascii="宋体" w:hAnsi="宋体" w:cs="宋体"/>
          <w:szCs w:val="21"/>
          <w:vertAlign w:val="subscript"/>
        </w:rPr>
        <w:t>b</w:t>
      </w:r>
      <w:r>
        <w:rPr>
          <w:rFonts w:hint="eastAsia" w:ascii="宋体" w:hAnsi="宋体" w:cs="宋体"/>
          <w:szCs w:val="21"/>
        </w:rPr>
        <w:t>(10 min-30 min)间具有良好的线性相关关系。Al</w:t>
      </w:r>
      <w:r>
        <w:rPr>
          <w:rFonts w:hint="eastAsia" w:ascii="宋体" w:hAnsi="宋体" w:cs="宋体"/>
          <w:szCs w:val="21"/>
          <w:vertAlign w:val="subscript"/>
        </w:rPr>
        <w:t>13</w:t>
      </w:r>
      <w:r>
        <w:rPr>
          <w:rFonts w:hint="eastAsia" w:ascii="宋体" w:hAnsi="宋体" w:cs="宋体"/>
          <w:szCs w:val="21"/>
        </w:rPr>
        <w:t>形态是在缓慢碱化条件下形成，并在 B≥1.8 溶液中成为优势形态，此时 Al</w:t>
      </w:r>
      <w:r>
        <w:rPr>
          <w:rFonts w:hint="eastAsia" w:ascii="宋体" w:hAnsi="宋体" w:cs="宋体"/>
          <w:szCs w:val="21"/>
          <w:vertAlign w:val="subscript"/>
        </w:rPr>
        <w:t>b</w:t>
      </w:r>
      <w:r>
        <w:rPr>
          <w:rFonts w:hint="eastAsia" w:ascii="宋体" w:hAnsi="宋体" w:cs="宋体"/>
          <w:szCs w:val="21"/>
        </w:rPr>
        <w:t>形态可视为Al</w:t>
      </w:r>
      <w:r>
        <w:rPr>
          <w:rFonts w:hint="eastAsia" w:ascii="宋体" w:hAnsi="宋体" w:cs="宋体"/>
          <w:szCs w:val="21"/>
          <w:vertAlign w:val="subscript"/>
        </w:rPr>
        <w:t>13</w:t>
      </w:r>
      <w:r>
        <w:rPr>
          <w:rFonts w:hint="eastAsia" w:ascii="宋体" w:hAnsi="宋体" w:cs="宋体"/>
          <w:szCs w:val="21"/>
        </w:rPr>
        <w:t>形态。</w:t>
      </w:r>
    </w:p>
    <w:p w14:paraId="36EE30F1">
      <w:pPr>
        <w:pStyle w:val="84"/>
        <w:spacing w:before="156" w:beforeLines="50" w:after="156" w:afterLines="50"/>
        <w:rPr>
          <w:rFonts w:hint="eastAsia"/>
          <w:lang w:eastAsia="zh-Hans"/>
        </w:rPr>
      </w:pPr>
      <w:bookmarkStart w:id="82" w:name="_Toc1441"/>
      <w:r>
        <w:rPr>
          <w:rFonts w:hint="eastAsia"/>
        </w:rPr>
        <w:t>Al-Ferron 逐时络合比色法</w:t>
      </w:r>
      <w:bookmarkEnd w:id="82"/>
    </w:p>
    <w:p w14:paraId="7D661EE2">
      <w:pPr>
        <w:spacing w:before="156" w:beforeLines="50" w:after="156" w:afterLines="50"/>
        <w:rPr>
          <w:rFonts w:hint="eastAsia"/>
          <w:lang w:eastAsia="zh-Hans"/>
        </w:rPr>
      </w:pPr>
      <w:r>
        <w:rPr>
          <w:rFonts w:hint="eastAsia" w:ascii="黑体" w:hAnsi="黑体" w:eastAsia="黑体" w:cs="黑体"/>
          <w:szCs w:val="20"/>
        </w:rPr>
        <w:t>A.2.1  原理</w:t>
      </w:r>
    </w:p>
    <w:p w14:paraId="564A6AD7">
      <w:pPr>
        <w:ind w:firstLine="420" w:firstLineChars="200"/>
        <w:rPr>
          <w:rFonts w:hint="eastAsia" w:ascii="宋体" w:hAnsi="宋体" w:cs="宋体"/>
          <w:szCs w:val="21"/>
        </w:rPr>
      </w:pPr>
      <w:r>
        <w:rPr>
          <w:rFonts w:hint="eastAsia" w:ascii="宋体" w:hAnsi="宋体" w:cs="宋体"/>
          <w:szCs w:val="21"/>
        </w:rPr>
        <w:t>PAC溶液中不同铝形态与Ferron间的络合反应主要是Ferron试剂的磺酸基官能团与PAC中羟基基团竞争铝离子的解离-络合反应，因此其逐时络合反应速度在某种意义上反映了PAC溶液的形态分子大小及羟基结构转化状况。当B增大时，聚合铝的结构单元也相应增大，由低聚合态向中、高聚合态逐渐发展，并由线型结构向核环状面形结构转化，从而导致Ferron对羟基聚合铝结构中的铝原子的解离-络合反应难以顺利进行反应逐渐减慢。Smith基于不同铝水解形态与Ferron试剂的络合速度不同而将铝水解形态大致分为3种类型：</w:t>
      </w:r>
    </w:p>
    <w:p w14:paraId="48756B8F">
      <w:pPr>
        <w:numPr>
          <w:ilvl w:val="0"/>
          <w:numId w:val="22"/>
        </w:numPr>
        <w:tabs>
          <w:tab w:val="left" w:pos="840"/>
          <w:tab w:val="left" w:pos="851"/>
        </w:tabs>
        <w:ind w:left="851" w:hanging="425"/>
        <w:rPr>
          <w:rFonts w:ascii="宋体"/>
        </w:rPr>
      </w:pPr>
      <w:r>
        <w:rPr>
          <w:rFonts w:hint="eastAsia" w:ascii="宋体"/>
        </w:rPr>
        <w:t>与Ferron试剂瞬时反应（时间t=0）的是单体形态，即Al</w:t>
      </w:r>
      <w:r>
        <w:rPr>
          <w:rFonts w:hint="eastAsia" w:ascii="宋体"/>
          <w:vertAlign w:val="subscript"/>
        </w:rPr>
        <w:t>a</w:t>
      </w:r>
      <w:r>
        <w:rPr>
          <w:rFonts w:hint="eastAsia" w:ascii="宋体"/>
        </w:rPr>
        <w:t xml:space="preserve">; </w:t>
      </w:r>
    </w:p>
    <w:p w14:paraId="78A54FB1">
      <w:pPr>
        <w:numPr>
          <w:ilvl w:val="0"/>
          <w:numId w:val="22"/>
        </w:numPr>
        <w:tabs>
          <w:tab w:val="left" w:pos="840"/>
          <w:tab w:val="left" w:pos="851"/>
        </w:tabs>
        <w:ind w:left="851" w:hanging="425"/>
        <w:rPr>
          <w:rFonts w:ascii="宋体"/>
        </w:rPr>
      </w:pPr>
      <w:r>
        <w:rPr>
          <w:rFonts w:hint="eastAsia" w:ascii="宋体"/>
        </w:rPr>
        <w:t>缓慢反应的是聚合态，即Al</w:t>
      </w:r>
      <w:r>
        <w:rPr>
          <w:rFonts w:hint="eastAsia" w:ascii="宋体"/>
          <w:vertAlign w:val="subscript"/>
        </w:rPr>
        <w:t>b</w:t>
      </w:r>
      <w:r>
        <w:rPr>
          <w:rFonts w:hint="eastAsia" w:ascii="宋体"/>
        </w:rPr>
        <w:t>，它服从一级反应动力学；</w:t>
      </w:r>
    </w:p>
    <w:p w14:paraId="1C84164F">
      <w:pPr>
        <w:numPr>
          <w:ilvl w:val="0"/>
          <w:numId w:val="22"/>
        </w:numPr>
        <w:tabs>
          <w:tab w:val="left" w:pos="840"/>
          <w:tab w:val="left" w:pos="851"/>
        </w:tabs>
        <w:ind w:left="851" w:hanging="425"/>
        <w:rPr>
          <w:rFonts w:ascii="宋体"/>
        </w:rPr>
      </w:pPr>
      <w:r>
        <w:rPr>
          <w:rFonts w:hint="eastAsia" w:ascii="宋体"/>
        </w:rPr>
        <w:t>未反应或极慢反应的为性形态，即Al</w:t>
      </w:r>
      <w:r>
        <w:rPr>
          <w:rFonts w:hint="eastAsia" w:ascii="宋体"/>
          <w:vertAlign w:val="subscript"/>
        </w:rPr>
        <w:t>c</w:t>
      </w:r>
      <w:r>
        <w:rPr>
          <w:rFonts w:hint="eastAsia" w:ascii="宋体"/>
        </w:rPr>
        <w:t>，可以认为是氢氧化铝溶胶态或凝胶物。</w:t>
      </w:r>
    </w:p>
    <w:p w14:paraId="1A8DD316">
      <w:pPr>
        <w:ind w:firstLine="420" w:firstLineChars="200"/>
        <w:rPr>
          <w:rFonts w:hint="eastAsia" w:ascii="宋体" w:hAnsi="宋体" w:cs="宋体"/>
          <w:szCs w:val="21"/>
        </w:rPr>
      </w:pPr>
      <w:r>
        <w:rPr>
          <w:rFonts w:hint="eastAsia" w:ascii="宋体" w:hAnsi="宋体" w:cs="宋体"/>
          <w:szCs w:val="21"/>
        </w:rPr>
        <w:t>这3种类型反应可以概括为公式（</w:t>
      </w:r>
      <w:r>
        <w:rPr>
          <w:rFonts w:hint="eastAsia" w:ascii="宋体" w:hAnsi="宋体" w:cs="宋体"/>
          <w:szCs w:val="21"/>
          <w:lang w:val="en-US" w:eastAsia="zh-CN"/>
        </w:rPr>
        <w:t>A.</w:t>
      </w:r>
      <w:r>
        <w:rPr>
          <w:rFonts w:hint="eastAsia" w:ascii="宋体" w:hAnsi="宋体" w:cs="宋体"/>
          <w:szCs w:val="21"/>
        </w:rPr>
        <w:t>1）:</w:t>
      </w:r>
    </w:p>
    <w:p w14:paraId="0C88A9A6">
      <w:pPr>
        <w:pStyle w:val="25"/>
        <w:autoSpaceDE/>
        <w:autoSpaceDN/>
        <w:spacing w:before="156" w:beforeLines="50" w:after="156" w:afterLines="50"/>
        <w:jc w:val="right"/>
        <w:rPr>
          <w:rFonts w:hint="eastAsia" w:hAnsi="宋体" w:cs="宋体"/>
          <w:szCs w:val="21"/>
          <w:lang w:eastAsia="zh-Hans"/>
        </w:rPr>
      </w:pPr>
      <w:r>
        <w:rPr>
          <w:rFonts w:hint="eastAsia" w:hAnsi="宋体" w:cs="宋体"/>
          <w:kern w:val="2"/>
        </w:rPr>
        <w:t>Al</w:t>
      </w:r>
      <w:r>
        <w:rPr>
          <w:rFonts w:hint="eastAsia" w:hAnsi="宋体" w:cs="宋体"/>
          <w:kern w:val="2"/>
          <w:vertAlign w:val="subscript"/>
        </w:rPr>
        <w:t>T</w:t>
      </w:r>
      <w:r>
        <w:rPr>
          <w:rFonts w:hint="eastAsia" w:hAnsi="宋体" w:cs="宋体"/>
          <w:kern w:val="2"/>
        </w:rPr>
        <w:t>=Al</w:t>
      </w:r>
      <w:r>
        <w:rPr>
          <w:rFonts w:hint="eastAsia" w:hAnsi="宋体" w:cs="宋体"/>
          <w:kern w:val="2"/>
          <w:vertAlign w:val="subscript"/>
        </w:rPr>
        <w:t>a</w:t>
      </w:r>
      <w:r>
        <w:rPr>
          <w:rFonts w:hint="eastAsia" w:hAnsi="宋体" w:cs="宋体"/>
          <w:kern w:val="2"/>
        </w:rPr>
        <w:t>+Al</w:t>
      </w:r>
      <w:r>
        <w:rPr>
          <w:rFonts w:hint="eastAsia" w:hAnsi="宋体" w:cs="宋体"/>
          <w:kern w:val="2"/>
          <w:vertAlign w:val="subscript"/>
        </w:rPr>
        <w:t>ь</w:t>
      </w:r>
      <w:r>
        <w:rPr>
          <w:rFonts w:hint="eastAsia" w:hAnsi="宋体" w:cs="宋体"/>
          <w:kern w:val="2"/>
        </w:rPr>
        <w:t>+Al</w:t>
      </w:r>
      <w:r>
        <w:rPr>
          <w:rFonts w:hint="eastAsia" w:hAnsi="宋体" w:cs="宋体"/>
          <w:kern w:val="2"/>
          <w:vertAlign w:val="subscript"/>
        </w:rPr>
        <w:t xml:space="preserve">c             </w:t>
      </w:r>
      <w:r>
        <w:rPr>
          <w:rFonts w:hint="eastAsia" w:hAnsi="宋体" w:cs="宋体"/>
          <w:szCs w:val="21"/>
          <w:lang w:eastAsia="zh-Hans"/>
        </w:rPr>
        <w:t>…………………………………</w:t>
      </w:r>
      <w:r>
        <w:rPr>
          <w:rFonts w:hint="eastAsia" w:hAnsi="宋体" w:cs="宋体"/>
          <w:szCs w:val="21"/>
        </w:rPr>
        <w:t>(</w:t>
      </w:r>
      <w:r>
        <w:rPr>
          <w:rFonts w:hint="eastAsia" w:hAnsi="宋体" w:cs="宋体"/>
          <w:szCs w:val="21"/>
          <w:lang w:val="en-US" w:eastAsia="zh-CN"/>
        </w:rPr>
        <w:t>A.</w:t>
      </w:r>
      <w:r>
        <w:rPr>
          <w:rFonts w:hint="eastAsia" w:hAnsi="宋体" w:cs="宋体"/>
          <w:szCs w:val="21"/>
        </w:rPr>
        <w:t>1</w:t>
      </w:r>
      <w:r>
        <w:rPr>
          <w:rFonts w:hint="eastAsia" w:hAnsi="宋体" w:cs="宋体"/>
          <w:szCs w:val="21"/>
          <w:lang w:eastAsia="zh-Hans"/>
        </w:rPr>
        <w:t>）</w:t>
      </w:r>
    </w:p>
    <w:p w14:paraId="2F205473">
      <w:pPr>
        <w:ind w:firstLine="420" w:firstLineChars="200"/>
        <w:jc w:val="left"/>
        <w:rPr>
          <w:rFonts w:hint="eastAsia" w:hAnsi="宋体" w:cs="宋体"/>
          <w:szCs w:val="21"/>
        </w:rPr>
      </w:pPr>
      <w:r>
        <w:rPr>
          <w:rFonts w:hint="eastAsia" w:hAnsi="宋体" w:cs="宋体"/>
          <w:szCs w:val="21"/>
        </w:rPr>
        <w:t>式中：</w:t>
      </w:r>
    </w:p>
    <w:p w14:paraId="2CD5ABF6">
      <w:pPr>
        <w:ind w:firstLine="420" w:firstLineChars="200"/>
        <w:jc w:val="left"/>
        <w:rPr>
          <w:rFonts w:hint="eastAsia" w:ascii="宋体" w:hAnsi="宋体" w:cs="宋体"/>
          <w:szCs w:val="21"/>
        </w:rPr>
      </w:pPr>
      <w:r>
        <w:rPr>
          <w:rFonts w:hint="eastAsia" w:ascii="宋体" w:hAnsi="宋体" w:cs="宋体"/>
          <w:szCs w:val="21"/>
        </w:rPr>
        <w:t>Al</w:t>
      </w:r>
      <w:r>
        <w:rPr>
          <w:rFonts w:hint="eastAsia" w:ascii="宋体" w:hAnsi="宋体" w:cs="宋体"/>
          <w:szCs w:val="21"/>
          <w:vertAlign w:val="subscript"/>
        </w:rPr>
        <w:t>t</w:t>
      </w:r>
      <w:r>
        <w:rPr>
          <w:rFonts w:hint="eastAsia" w:ascii="宋体" w:hAnsi="宋体" w:cs="宋体"/>
          <w:i/>
          <w:iCs/>
          <w:szCs w:val="21"/>
        </w:rPr>
        <w:t>——</w:t>
      </w:r>
      <w:r>
        <w:rPr>
          <w:rFonts w:hint="eastAsia" w:ascii="宋体" w:hAnsi="宋体" w:cs="宋体"/>
          <w:szCs w:val="21"/>
        </w:rPr>
        <w:t>溶液中铝的总含量；</w:t>
      </w:r>
    </w:p>
    <w:p w14:paraId="01962B0D">
      <w:pPr>
        <w:ind w:firstLine="420" w:firstLineChars="200"/>
        <w:jc w:val="left"/>
        <w:rPr>
          <w:rFonts w:hint="eastAsia" w:ascii="宋体" w:hAnsi="宋体" w:cs="宋体"/>
          <w:szCs w:val="21"/>
        </w:rPr>
      </w:pPr>
      <w:r>
        <w:rPr>
          <w:rFonts w:hint="eastAsia" w:ascii="宋体" w:hAnsi="宋体" w:cs="宋体"/>
        </w:rPr>
        <w:t>Al</w:t>
      </w:r>
      <w:r>
        <w:rPr>
          <w:rFonts w:hint="eastAsia" w:ascii="宋体" w:hAnsi="宋体" w:cs="宋体"/>
          <w:vertAlign w:val="subscript"/>
        </w:rPr>
        <w:t>a</w:t>
      </w:r>
      <w:r>
        <w:rPr>
          <w:rFonts w:hint="eastAsia" w:ascii="宋体" w:hAnsi="宋体" w:cs="宋体"/>
          <w:i/>
          <w:iCs/>
          <w:szCs w:val="21"/>
        </w:rPr>
        <w:t>——</w:t>
      </w:r>
      <w:r>
        <w:rPr>
          <w:rFonts w:hint="eastAsia" w:ascii="宋体" w:hAnsi="宋体" w:cs="宋体"/>
        </w:rPr>
        <w:t>单体形态</w:t>
      </w:r>
      <w:r>
        <w:rPr>
          <w:rFonts w:hint="eastAsia" w:ascii="宋体" w:hAnsi="宋体" w:cs="宋体"/>
          <w:szCs w:val="21"/>
        </w:rPr>
        <w:t>铝的含量；</w:t>
      </w:r>
    </w:p>
    <w:p w14:paraId="7F574D69">
      <w:pPr>
        <w:ind w:firstLine="420" w:firstLineChars="200"/>
        <w:jc w:val="left"/>
        <w:rPr>
          <w:rFonts w:hint="eastAsia" w:ascii="宋体" w:hAnsi="宋体" w:cs="宋体"/>
          <w:szCs w:val="21"/>
        </w:rPr>
      </w:pPr>
      <w:r>
        <w:rPr>
          <w:rFonts w:hint="eastAsia" w:ascii="宋体" w:hAnsi="宋体" w:cs="宋体"/>
        </w:rPr>
        <w:t>Al</w:t>
      </w:r>
      <w:r>
        <w:rPr>
          <w:rFonts w:hint="eastAsia" w:ascii="宋体" w:hAnsi="宋体" w:cs="宋体"/>
          <w:vertAlign w:val="subscript"/>
        </w:rPr>
        <w:t>b</w:t>
      </w:r>
      <w:r>
        <w:rPr>
          <w:rFonts w:hint="eastAsia" w:ascii="宋体" w:hAnsi="宋体" w:cs="宋体"/>
          <w:i/>
          <w:iCs/>
          <w:szCs w:val="21"/>
        </w:rPr>
        <w:t>——</w:t>
      </w:r>
      <w:r>
        <w:rPr>
          <w:rFonts w:hint="eastAsia" w:ascii="宋体" w:hAnsi="宋体" w:cs="宋体"/>
          <w:szCs w:val="21"/>
        </w:rPr>
        <w:t>聚合态铝的含量；</w:t>
      </w:r>
    </w:p>
    <w:p w14:paraId="3E26DDBC">
      <w:pPr>
        <w:ind w:firstLine="420" w:firstLineChars="200"/>
        <w:jc w:val="left"/>
        <w:rPr>
          <w:rFonts w:hint="eastAsia" w:ascii="宋体" w:hAnsi="宋体" w:cs="宋体"/>
          <w:szCs w:val="21"/>
        </w:rPr>
      </w:pPr>
      <w:r>
        <w:rPr>
          <w:rFonts w:hint="eastAsia" w:ascii="宋体" w:hAnsi="宋体" w:cs="宋体"/>
        </w:rPr>
        <w:t>Al</w:t>
      </w:r>
      <w:r>
        <w:rPr>
          <w:rFonts w:hint="eastAsia" w:ascii="宋体" w:hAnsi="宋体" w:cs="宋体"/>
          <w:vertAlign w:val="subscript"/>
        </w:rPr>
        <w:t>c</w:t>
      </w:r>
      <w:r>
        <w:rPr>
          <w:rFonts w:hint="eastAsia" w:ascii="宋体" w:hAnsi="宋体" w:cs="宋体"/>
          <w:i/>
          <w:iCs/>
          <w:szCs w:val="21"/>
        </w:rPr>
        <w:t>——</w:t>
      </w:r>
      <w:r>
        <w:rPr>
          <w:rFonts w:hint="eastAsia" w:ascii="宋体" w:hAnsi="宋体" w:cs="宋体"/>
          <w:szCs w:val="21"/>
        </w:rPr>
        <w:t>氢氧化铝溶胶态或凝胶物的含量。</w:t>
      </w:r>
    </w:p>
    <w:p w14:paraId="6F55BC49">
      <w:pPr>
        <w:spacing w:before="156" w:beforeLines="50" w:after="156" w:afterLines="50"/>
        <w:rPr>
          <w:rFonts w:hint="eastAsia"/>
          <w:lang w:eastAsia="zh-Hans"/>
        </w:rPr>
      </w:pPr>
      <w:r>
        <w:rPr>
          <w:rFonts w:hint="eastAsia" w:ascii="黑体" w:hAnsi="黑体" w:eastAsia="黑体" w:cs="黑体"/>
          <w:szCs w:val="20"/>
        </w:rPr>
        <w:t>A.2.2  仪器</w:t>
      </w:r>
    </w:p>
    <w:p w14:paraId="0107F45A">
      <w:pPr>
        <w:ind w:firstLine="420" w:firstLineChars="200"/>
        <w:rPr>
          <w:rFonts w:hint="eastAsia" w:ascii="宋体" w:hAnsi="宋体" w:cs="宋体"/>
          <w:szCs w:val="21"/>
        </w:rPr>
      </w:pPr>
      <w:r>
        <w:rPr>
          <w:rFonts w:hint="eastAsia" w:ascii="宋体" w:hAnsi="宋体" w:cs="宋体"/>
          <w:szCs w:val="21"/>
        </w:rPr>
        <w:t>应配备UV-8500 紫外/可见分光光度计。</w:t>
      </w:r>
    </w:p>
    <w:p w14:paraId="3B09714D">
      <w:pPr>
        <w:spacing w:before="156" w:beforeLines="50" w:after="156" w:afterLines="50"/>
        <w:rPr>
          <w:rFonts w:hint="eastAsia" w:ascii="黑体" w:hAnsi="黑体" w:eastAsia="黑体" w:cs="黑体"/>
          <w:szCs w:val="20"/>
        </w:rPr>
      </w:pPr>
      <w:r>
        <w:rPr>
          <w:rFonts w:hint="eastAsia" w:ascii="黑体" w:hAnsi="黑体" w:eastAsia="黑体" w:cs="黑体"/>
          <w:szCs w:val="20"/>
        </w:rPr>
        <w:t>A.2.3  试剂的配置</w:t>
      </w:r>
    </w:p>
    <w:p w14:paraId="10A1A635">
      <w:pPr>
        <w:ind w:firstLine="420" w:firstLineChars="200"/>
        <w:rPr>
          <w:rFonts w:hint="eastAsia" w:ascii="宋体" w:hAnsi="宋体" w:cs="宋体"/>
          <w:szCs w:val="20"/>
        </w:rPr>
      </w:pPr>
      <w:r>
        <w:rPr>
          <w:rFonts w:hint="eastAsia" w:ascii="宋体" w:hAnsi="宋体" w:cs="宋体"/>
          <w:szCs w:val="20"/>
        </w:rPr>
        <w:t>Ferron试剂按以下方法进行配置：</w:t>
      </w:r>
    </w:p>
    <w:p w14:paraId="3E8CA070">
      <w:pPr>
        <w:numPr>
          <w:ilvl w:val="0"/>
          <w:numId w:val="23"/>
        </w:numPr>
        <w:tabs>
          <w:tab w:val="left" w:pos="840"/>
          <w:tab w:val="left" w:pos="851"/>
        </w:tabs>
        <w:ind w:left="851" w:hanging="425"/>
        <w:rPr>
          <w:rFonts w:ascii="宋体"/>
        </w:rPr>
      </w:pPr>
      <w:r>
        <w:rPr>
          <w:rFonts w:hint="eastAsia" w:ascii="宋体"/>
        </w:rPr>
        <w:t>配置试剂A(0.2% m/v Ferron溶液）：</w:t>
      </w:r>
    </w:p>
    <w:p w14:paraId="04D40CA5">
      <w:pPr>
        <w:numPr>
          <w:ilvl w:val="1"/>
          <w:numId w:val="23"/>
        </w:numPr>
        <w:tabs>
          <w:tab w:val="left" w:pos="851"/>
          <w:tab w:val="left" w:pos="1260"/>
        </w:tabs>
        <w:ind w:left="1271" w:hanging="425"/>
        <w:rPr>
          <w:rFonts w:ascii="宋体"/>
        </w:rPr>
      </w:pPr>
      <w:r>
        <w:rPr>
          <w:rFonts w:hint="eastAsia" w:ascii="宋体"/>
        </w:rPr>
        <w:t>称取2.0 g Ferron试剂，溶解于1 020 mL去离子水中；</w:t>
      </w:r>
    </w:p>
    <w:p w14:paraId="719131FE">
      <w:pPr>
        <w:numPr>
          <w:ilvl w:val="1"/>
          <w:numId w:val="23"/>
        </w:numPr>
        <w:tabs>
          <w:tab w:val="left" w:pos="851"/>
          <w:tab w:val="left" w:pos="1260"/>
        </w:tabs>
        <w:ind w:left="1271" w:hanging="425"/>
        <w:rPr>
          <w:rFonts w:ascii="宋体"/>
        </w:rPr>
      </w:pPr>
      <w:r>
        <w:rPr>
          <w:rFonts w:hint="eastAsia" w:ascii="宋体"/>
        </w:rPr>
        <w:t>将溶液加热至沸腾，磁力搅拌24 h另试剂溶解；</w:t>
      </w:r>
    </w:p>
    <w:p w14:paraId="4CA355CE">
      <w:pPr>
        <w:numPr>
          <w:ilvl w:val="1"/>
          <w:numId w:val="23"/>
        </w:numPr>
        <w:tabs>
          <w:tab w:val="left" w:pos="851"/>
          <w:tab w:val="left" w:pos="1260"/>
        </w:tabs>
        <w:ind w:left="1271" w:hanging="425"/>
        <w:rPr>
          <w:rFonts w:ascii="宋体"/>
        </w:rPr>
      </w:pPr>
      <w:r>
        <w:rPr>
          <w:rFonts w:hint="eastAsia" w:ascii="宋体"/>
        </w:rPr>
        <w:t>将滤液通过0.45μm滤膜过滤后，4°C冷藏保存于冰箱中。</w:t>
      </w:r>
    </w:p>
    <w:p w14:paraId="396CBA14">
      <w:pPr>
        <w:numPr>
          <w:ilvl w:val="0"/>
          <w:numId w:val="23"/>
        </w:numPr>
        <w:tabs>
          <w:tab w:val="left" w:pos="840"/>
          <w:tab w:val="left" w:pos="851"/>
        </w:tabs>
        <w:ind w:left="851" w:hanging="425"/>
        <w:rPr>
          <w:rFonts w:ascii="宋体"/>
        </w:rPr>
      </w:pPr>
      <w:r>
        <w:rPr>
          <w:rFonts w:hint="eastAsia" w:ascii="宋体"/>
        </w:rPr>
        <w:t>配置试剂B(20% w/v乙酸钠溶液）：称取200.0 g乙酸钠，溶解于适量去离子水中，定容到1 L。</w:t>
      </w:r>
    </w:p>
    <w:p w14:paraId="5284C6A3">
      <w:pPr>
        <w:numPr>
          <w:ilvl w:val="0"/>
          <w:numId w:val="23"/>
        </w:numPr>
        <w:tabs>
          <w:tab w:val="left" w:pos="840"/>
          <w:tab w:val="left" w:pos="851"/>
        </w:tabs>
        <w:ind w:left="851" w:hanging="425"/>
        <w:rPr>
          <w:rFonts w:ascii="宋体"/>
        </w:rPr>
      </w:pPr>
      <w:r>
        <w:rPr>
          <w:rFonts w:hint="eastAsia" w:ascii="宋体"/>
        </w:rPr>
        <w:t>配置试剂C(1:9 v/v盐酸溶液）：将100 mL盐酸与900 mL去离子水混合；</w:t>
      </w:r>
    </w:p>
    <w:p w14:paraId="04A05220">
      <w:pPr>
        <w:numPr>
          <w:ilvl w:val="0"/>
          <w:numId w:val="23"/>
        </w:numPr>
        <w:tabs>
          <w:tab w:val="left" w:pos="840"/>
          <w:tab w:val="left" w:pos="851"/>
        </w:tabs>
        <w:ind w:left="851" w:hanging="425"/>
        <w:rPr>
          <w:rFonts w:ascii="宋体"/>
        </w:rPr>
      </w:pPr>
      <w:r>
        <w:rPr>
          <w:rFonts w:hint="eastAsia" w:ascii="宋体"/>
        </w:rPr>
        <w:t>按2.5:2:1的体积比，先将试剂B+试剂C混合，再加试剂A混合，即可得到Ferron试剂。</w:t>
      </w:r>
    </w:p>
    <w:p w14:paraId="10DC031E">
      <w:pPr>
        <w:spacing w:before="156" w:beforeLines="50" w:after="156" w:afterLines="50"/>
        <w:rPr>
          <w:rFonts w:hint="eastAsia" w:ascii="黑体" w:hAnsi="黑体" w:eastAsia="黑体" w:cs="黑体"/>
          <w:szCs w:val="20"/>
        </w:rPr>
      </w:pPr>
      <w:r>
        <w:rPr>
          <w:rFonts w:hint="eastAsia" w:ascii="黑体" w:hAnsi="黑体" w:eastAsia="黑体" w:cs="黑体"/>
          <w:szCs w:val="20"/>
        </w:rPr>
        <w:t>A.2.4  测试方法</w:t>
      </w:r>
    </w:p>
    <w:p w14:paraId="40A55BE1">
      <w:pPr>
        <w:spacing w:before="156" w:beforeLines="50" w:after="156" w:afterLines="50"/>
        <w:rPr>
          <w:rFonts w:hint="eastAsia" w:ascii="黑体" w:hAnsi="黑体" w:eastAsia="黑体" w:cs="黑体"/>
          <w:szCs w:val="20"/>
        </w:rPr>
      </w:pPr>
      <w:r>
        <w:rPr>
          <w:rFonts w:hint="eastAsia" w:ascii="黑体" w:hAnsi="黑体" w:eastAsia="黑体" w:cs="黑体"/>
          <w:szCs w:val="20"/>
        </w:rPr>
        <w:t>A.2.4.1 标准曲线的配置</w:t>
      </w:r>
    </w:p>
    <w:p w14:paraId="7859B0E6">
      <w:pPr>
        <w:spacing w:before="156" w:beforeLines="50" w:after="156" w:afterLines="50"/>
        <w:ind w:firstLine="420" w:firstLineChars="200"/>
        <w:rPr>
          <w:rFonts w:hint="eastAsia" w:ascii="宋体" w:hAnsi="宋体" w:cs="宋体"/>
          <w:szCs w:val="21"/>
        </w:rPr>
      </w:pPr>
      <w:r>
        <w:rPr>
          <w:rFonts w:hint="eastAsia" w:ascii="宋体" w:hAnsi="宋体" w:cs="宋体"/>
          <w:szCs w:val="21"/>
        </w:rPr>
        <w:t>取一定体积的高浓度母液（由Al标液稀释所得），稀释到25.0 mg/L。分别取上述稀释后的铝标液0.5 mL、1.0 mL、1.5 mL、2.0 mL、2.5 mL于25 mL比色管中。各加入5.5 mL Ferron试剂，并用纯水定容至刻度线。将样品装入1 cm石英比色皿内，以稀释的Ferron试剂（5.5 mL+去离子水19.5 mL）为空白，利用紫外分光光度计，对366 nm处的吸光度进行测定。根据各浓度梯度下的铝标液吸光度测定值，拟合铝浓度-吸光度标准曲线。</w:t>
      </w:r>
    </w:p>
    <w:p w14:paraId="77F9ABBF">
      <w:pPr>
        <w:spacing w:before="156" w:beforeLines="50" w:after="156" w:afterLines="50"/>
        <w:rPr>
          <w:rFonts w:hint="eastAsia" w:ascii="黑体" w:hAnsi="黑体" w:eastAsia="黑体" w:cs="黑体"/>
          <w:szCs w:val="20"/>
        </w:rPr>
      </w:pPr>
      <w:bookmarkStart w:id="83" w:name="_Toc29236"/>
      <w:bookmarkStart w:id="84" w:name="_Toc10147"/>
      <w:r>
        <w:rPr>
          <w:rFonts w:hint="eastAsia" w:ascii="黑体" w:hAnsi="黑体" w:eastAsia="黑体" w:cs="黑体"/>
          <w:szCs w:val="20"/>
        </w:rPr>
        <w:t>A.2.4.2 Ferron比色测定分析过程</w:t>
      </w:r>
      <w:bookmarkEnd w:id="83"/>
      <w:bookmarkEnd w:id="84"/>
    </w:p>
    <w:p w14:paraId="318F3A71">
      <w:pPr>
        <w:spacing w:before="156" w:beforeLines="50" w:after="156" w:afterLines="50"/>
        <w:ind w:firstLine="420" w:firstLineChars="200"/>
        <w:rPr>
          <w:rFonts w:hint="eastAsia" w:ascii="宋体" w:hAnsi="宋体" w:cs="宋体"/>
          <w:szCs w:val="21"/>
        </w:rPr>
      </w:pPr>
      <w:r>
        <w:rPr>
          <w:rFonts w:hint="eastAsia" w:ascii="宋体" w:hAnsi="宋体" w:cs="宋体"/>
          <w:szCs w:val="21"/>
        </w:rPr>
        <w:t>取5.5 mL Ferron试剂于25 mL比色管并定容。加入20 μL待测液的同时开始计时，迅速摇匀比色液并装入比色皿中（60 s内放入）。在366 nm波长下，对混合后30 s至7 200 s内的吸光度进行时间扫描。60 s时吸光度由Al</w:t>
      </w:r>
      <w:r>
        <w:rPr>
          <w:rFonts w:hint="eastAsia" w:ascii="宋体" w:hAnsi="宋体" w:cs="宋体"/>
          <w:szCs w:val="21"/>
          <w:vertAlign w:val="subscript"/>
        </w:rPr>
        <w:t>a</w:t>
      </w:r>
      <w:r>
        <w:rPr>
          <w:rFonts w:hint="eastAsia" w:ascii="宋体" w:hAnsi="宋体" w:cs="宋体"/>
          <w:szCs w:val="21"/>
        </w:rPr>
        <w:t>贡献，1 min到2 h间的吸光度变化反映Al</w:t>
      </w:r>
      <w:r>
        <w:rPr>
          <w:rFonts w:hint="eastAsia" w:ascii="宋体" w:hAnsi="宋体" w:cs="宋体"/>
          <w:szCs w:val="21"/>
          <w:vertAlign w:val="subscript"/>
        </w:rPr>
        <w:t>b</w:t>
      </w:r>
      <w:r>
        <w:rPr>
          <w:rFonts w:hint="eastAsia" w:ascii="宋体" w:hAnsi="宋体" w:cs="宋体"/>
          <w:szCs w:val="21"/>
        </w:rPr>
        <w:t>含量。而Al</w:t>
      </w:r>
      <w:r>
        <w:rPr>
          <w:rFonts w:hint="eastAsia" w:ascii="宋体" w:hAnsi="宋体" w:cs="宋体"/>
          <w:szCs w:val="21"/>
          <w:vertAlign w:val="subscript"/>
        </w:rPr>
        <w:t>c</w:t>
      </w:r>
      <w:r>
        <w:rPr>
          <w:rFonts w:hint="eastAsia" w:ascii="宋体" w:hAnsi="宋体" w:cs="宋体"/>
          <w:szCs w:val="21"/>
        </w:rPr>
        <w:t>含量则由溶液中铝的总含量Al</w:t>
      </w:r>
      <w:r>
        <w:rPr>
          <w:rFonts w:hint="eastAsia" w:ascii="宋体" w:hAnsi="宋体" w:cs="宋体"/>
          <w:szCs w:val="21"/>
          <w:vertAlign w:val="subscript"/>
        </w:rPr>
        <w:t>T</w:t>
      </w:r>
      <w:r>
        <w:rPr>
          <w:rFonts w:hint="eastAsia" w:ascii="宋体" w:hAnsi="宋体" w:cs="宋体"/>
          <w:szCs w:val="21"/>
        </w:rPr>
        <w:t>减去上述两种形态总和计算得到。</w:t>
      </w:r>
    </w:p>
    <w:p w14:paraId="505D7904">
      <w:pPr>
        <w:spacing w:before="156" w:beforeLines="50" w:after="156" w:afterLines="50"/>
        <w:ind w:firstLine="360" w:firstLineChars="200"/>
        <w:rPr>
          <w:rFonts w:hint="eastAsia" w:ascii="宋体" w:hAnsi="宋体" w:cs="宋体"/>
          <w:sz w:val="18"/>
          <w:szCs w:val="18"/>
        </w:rPr>
      </w:pPr>
      <w:r>
        <w:rPr>
          <w:rFonts w:hint="eastAsia" w:ascii="黑体" w:hAnsi="黑体" w:eastAsia="黑体" w:cs="黑体"/>
          <w:sz w:val="18"/>
          <w:szCs w:val="18"/>
        </w:rPr>
        <w:t>注：</w:t>
      </w:r>
      <w:r>
        <w:rPr>
          <w:rFonts w:hint="eastAsia" w:ascii="宋体" w:hAnsi="宋体" w:cs="宋体"/>
          <w:sz w:val="18"/>
          <w:szCs w:val="18"/>
        </w:rPr>
        <w:t>测量前设置两个调零空白。</w:t>
      </w:r>
    </w:p>
    <w:p w14:paraId="4FF281A4">
      <w:pPr>
        <w:spacing w:before="156" w:beforeLines="50" w:after="156" w:afterLines="50"/>
        <w:rPr>
          <w:rFonts w:hint="eastAsia" w:ascii="黑体" w:hAnsi="黑体" w:eastAsia="黑体" w:cs="黑体"/>
          <w:szCs w:val="20"/>
        </w:rPr>
      </w:pPr>
      <w:bookmarkStart w:id="85" w:name="_Toc30144"/>
      <w:r>
        <w:rPr>
          <w:rFonts w:hint="eastAsia" w:ascii="黑体" w:hAnsi="黑体" w:eastAsia="黑体" w:cs="黑体"/>
          <w:szCs w:val="20"/>
        </w:rPr>
        <w:t>A.2.4.3 溶液中铝的总含量（Al</w:t>
      </w:r>
      <w:r>
        <w:rPr>
          <w:rFonts w:hint="eastAsia" w:ascii="黑体" w:hAnsi="黑体" w:eastAsia="黑体" w:cs="黑体"/>
          <w:szCs w:val="20"/>
          <w:vertAlign w:val="subscript"/>
        </w:rPr>
        <w:t>T</w:t>
      </w:r>
      <w:r>
        <w:rPr>
          <w:rFonts w:hint="eastAsia" w:ascii="黑体" w:hAnsi="黑体" w:eastAsia="黑体" w:cs="黑体"/>
          <w:szCs w:val="20"/>
        </w:rPr>
        <w:t>）的测定</w:t>
      </w:r>
      <w:bookmarkEnd w:id="85"/>
    </w:p>
    <w:p w14:paraId="55254DC1">
      <w:pPr>
        <w:spacing w:before="156" w:beforeLines="50" w:after="156" w:afterLines="50"/>
        <w:ind w:firstLine="420" w:firstLineChars="200"/>
        <w:rPr>
          <w:rFonts w:hint="eastAsia" w:ascii="宋体" w:hAnsi="宋体" w:cs="宋体"/>
          <w:szCs w:val="21"/>
        </w:rPr>
      </w:pPr>
      <w:r>
        <w:rPr>
          <w:rFonts w:hint="eastAsia" w:ascii="宋体" w:hAnsi="宋体" w:cs="宋体"/>
          <w:szCs w:val="21"/>
        </w:rPr>
        <w:t>Al</w:t>
      </w:r>
      <w:r>
        <w:rPr>
          <w:rFonts w:hint="eastAsia" w:ascii="宋体" w:hAnsi="宋体" w:cs="宋体"/>
          <w:szCs w:val="21"/>
          <w:vertAlign w:val="subscript"/>
        </w:rPr>
        <w:t>T</w:t>
      </w:r>
      <w:r>
        <w:rPr>
          <w:rFonts w:hint="eastAsia" w:ascii="宋体" w:hAnsi="宋体" w:cs="宋体"/>
          <w:szCs w:val="21"/>
        </w:rPr>
        <w:t>的测定是通过酸水解得到铝单体，然后进行测定。2.5 mL水+20 μL样品+25 μL HCl（多于样品的量，且加入盐酸后立即盖盖以防止挥发，该操作在通风橱进行），该过程设置三个平行样。在100 ℃煮沸15 min，冷却后加入Ferron 5.5mL，定容至25 mL，在366 nm处的吸光度进行测定。</w:t>
      </w:r>
    </w:p>
    <w:p w14:paraId="0D069210">
      <w:pPr>
        <w:spacing w:before="156" w:beforeLines="50" w:after="156" w:afterLines="50"/>
        <w:jc w:val="center"/>
      </w:pPr>
      <w:r>
        <w:drawing>
          <wp:inline distT="0" distB="0" distL="114300" distR="114300">
            <wp:extent cx="5156200" cy="2909570"/>
            <wp:effectExtent l="0" t="0" r="635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5156200" cy="2909570"/>
                    </a:xfrm>
                    <a:prstGeom prst="rect">
                      <a:avLst/>
                    </a:prstGeom>
                    <a:noFill/>
                    <a:ln>
                      <a:noFill/>
                    </a:ln>
                  </pic:spPr>
                </pic:pic>
              </a:graphicData>
            </a:graphic>
          </wp:inline>
        </w:drawing>
      </w:r>
    </w:p>
    <w:p w14:paraId="6A2C700D">
      <w:pPr>
        <w:spacing w:before="156" w:beforeLines="50" w:after="156" w:afterLines="50"/>
        <w:jc w:val="center"/>
        <w:rPr>
          <w:rFonts w:hint="eastAsia" w:ascii="黑体" w:hAnsi="黑体" w:eastAsia="黑体" w:cs="黑体"/>
        </w:rPr>
      </w:pPr>
      <w:r>
        <w:rPr>
          <w:rFonts w:hint="eastAsia" w:ascii="黑体" w:hAnsi="黑体" w:eastAsia="黑体" w:cs="黑体"/>
        </w:rPr>
        <w:t>图 A.1 Al-Ferron 逐时络合比色法工作曲线</w:t>
      </w:r>
    </w:p>
    <w:p w14:paraId="56FB41A1">
      <w:pPr>
        <w:pStyle w:val="84"/>
        <w:spacing w:before="156" w:beforeLines="50" w:after="156" w:afterLines="50"/>
        <w:outlineLvl w:val="0"/>
        <w:rPr>
          <w:rFonts w:hint="eastAsia"/>
          <w:lang w:eastAsia="zh-Hans"/>
        </w:rPr>
      </w:pPr>
      <w:bookmarkStart w:id="86" w:name="_Toc18052"/>
      <w:r>
        <w:rPr>
          <w:rFonts w:hint="eastAsia" w:hAnsi="黑体" w:cs="黑体"/>
          <w:vertAlign w:val="superscript"/>
        </w:rPr>
        <w:t>27</w:t>
      </w:r>
      <w:r>
        <w:rPr>
          <w:rFonts w:hint="eastAsia" w:hAnsi="黑体" w:cs="黑体"/>
        </w:rPr>
        <w:t>Al NMR法</w:t>
      </w:r>
      <w:bookmarkEnd w:id="86"/>
    </w:p>
    <w:p w14:paraId="4A4DA433">
      <w:pPr>
        <w:spacing w:before="156" w:beforeLines="50" w:after="156" w:afterLines="50"/>
        <w:rPr>
          <w:rFonts w:hint="eastAsia" w:ascii="黑体" w:hAnsi="黑体" w:eastAsia="黑体" w:cs="黑体"/>
          <w:szCs w:val="20"/>
        </w:rPr>
      </w:pPr>
      <w:r>
        <w:rPr>
          <w:rFonts w:hint="eastAsia" w:ascii="黑体" w:hAnsi="黑体" w:eastAsia="黑体" w:cs="黑体"/>
          <w:szCs w:val="20"/>
        </w:rPr>
        <w:t>A.3.1  原理</w:t>
      </w:r>
    </w:p>
    <w:p w14:paraId="58F8AEBC">
      <w:pPr>
        <w:adjustRightInd w:val="0"/>
        <w:snapToGrid w:val="0"/>
        <w:ind w:firstLine="420" w:firstLineChars="200"/>
        <w:jc w:val="left"/>
        <w:rPr>
          <w:rFonts w:hint="eastAsia" w:ascii="宋体" w:hAnsi="宋体" w:cs="宋体"/>
          <w:kern w:val="0"/>
          <w:szCs w:val="21"/>
        </w:rPr>
      </w:pPr>
      <w:r>
        <w:rPr>
          <w:rFonts w:hint="eastAsia" w:ascii="宋体" w:hAnsi="宋体" w:cs="宋体"/>
          <w:kern w:val="0"/>
          <w:szCs w:val="21"/>
          <w:vertAlign w:val="superscript"/>
        </w:rPr>
        <w:t>27</w:t>
      </w:r>
      <w:r>
        <w:rPr>
          <w:rFonts w:hint="eastAsia" w:ascii="宋体" w:hAnsi="宋体" w:cs="宋体"/>
          <w:kern w:val="0"/>
          <w:szCs w:val="21"/>
        </w:rPr>
        <w:t>Al NMR鉴定PAC水解溶液中的聚合形态分布和结构，是由Akitt等于20世纪70年代后期提出，已经得到众多研究者的认同，这种方法可以鉴定出单体铝、二聚体及Al</w:t>
      </w:r>
      <w:r>
        <w:rPr>
          <w:rFonts w:hint="eastAsia" w:ascii="宋体" w:hAnsi="宋体" w:cs="宋体"/>
          <w:kern w:val="0"/>
          <w:szCs w:val="21"/>
          <w:vertAlign w:val="subscript"/>
        </w:rPr>
        <w:t>13</w:t>
      </w:r>
      <w:r>
        <w:rPr>
          <w:rFonts w:hint="eastAsia" w:ascii="宋体" w:hAnsi="宋体" w:cs="宋体"/>
          <w:kern w:val="0"/>
          <w:szCs w:val="21"/>
        </w:rPr>
        <w:t>聚合体。在0.0处的共振峰是[A1(H</w:t>
      </w:r>
      <w:r>
        <w:rPr>
          <w:rFonts w:hint="eastAsia" w:ascii="宋体" w:hAnsi="宋体" w:cs="宋体"/>
          <w:kern w:val="0"/>
          <w:szCs w:val="21"/>
          <w:vertAlign w:val="subscript"/>
        </w:rPr>
        <w:t>2</w:t>
      </w:r>
      <w:r>
        <w:rPr>
          <w:rFonts w:hint="eastAsia" w:ascii="宋体" w:hAnsi="宋体" w:cs="宋体"/>
          <w:kern w:val="0"/>
          <w:szCs w:val="21"/>
        </w:rPr>
        <w:t>O</w:t>
      </w:r>
      <w:r>
        <w:rPr>
          <w:rFonts w:hint="eastAsia" w:ascii="宋体" w:hAnsi="宋体" w:cs="宋体"/>
          <w:kern w:val="0"/>
          <w:szCs w:val="21"/>
          <w:vertAlign w:val="subscript"/>
        </w:rPr>
        <w:t>6</w:t>
      </w:r>
      <w:r>
        <w:rPr>
          <w:rFonts w:hint="eastAsia" w:ascii="宋体" w:hAnsi="宋体" w:cs="宋体"/>
          <w:kern w:val="0"/>
          <w:szCs w:val="21"/>
        </w:rPr>
        <w:t>)]</w:t>
      </w:r>
      <w:r>
        <w:rPr>
          <w:rFonts w:hint="eastAsia" w:ascii="宋体" w:hAnsi="宋体" w:cs="宋体"/>
          <w:kern w:val="0"/>
          <w:szCs w:val="21"/>
          <w:vertAlign w:val="superscript"/>
        </w:rPr>
        <w:t>3+</w:t>
      </w:r>
      <w:r>
        <w:rPr>
          <w:rFonts w:hint="eastAsia" w:ascii="宋体" w:hAnsi="宋体" w:cs="宋体"/>
          <w:kern w:val="0"/>
          <w:szCs w:val="21"/>
        </w:rPr>
        <w:t>、[Al(OH)(H</w:t>
      </w:r>
      <w:r>
        <w:rPr>
          <w:rFonts w:hint="eastAsia" w:ascii="宋体" w:hAnsi="宋体" w:cs="宋体"/>
          <w:kern w:val="0"/>
          <w:szCs w:val="21"/>
          <w:vertAlign w:val="subscript"/>
        </w:rPr>
        <w:t>2</w:t>
      </w:r>
      <w:r>
        <w:rPr>
          <w:rFonts w:hint="eastAsia" w:ascii="宋体" w:hAnsi="宋体" w:cs="宋体"/>
          <w:kern w:val="0"/>
          <w:szCs w:val="21"/>
        </w:rPr>
        <w:t>O</w:t>
      </w:r>
      <w:r>
        <w:rPr>
          <w:rFonts w:hint="eastAsia" w:ascii="宋体" w:hAnsi="宋体" w:cs="宋体"/>
          <w:kern w:val="0"/>
          <w:szCs w:val="21"/>
          <w:vertAlign w:val="subscript"/>
        </w:rPr>
        <w:t>5</w:t>
      </w:r>
      <w:r>
        <w:rPr>
          <w:rFonts w:hint="eastAsia" w:ascii="宋体" w:hAnsi="宋体" w:cs="宋体"/>
          <w:kern w:val="0"/>
          <w:szCs w:val="21"/>
        </w:rPr>
        <w:t>)]</w:t>
      </w:r>
      <w:r>
        <w:rPr>
          <w:rFonts w:hint="eastAsia" w:ascii="宋体" w:hAnsi="宋体" w:cs="宋体"/>
          <w:kern w:val="0"/>
          <w:szCs w:val="21"/>
          <w:vertAlign w:val="superscript"/>
        </w:rPr>
        <w:t>2+</w:t>
      </w:r>
      <w:r>
        <w:rPr>
          <w:rFonts w:hint="eastAsia" w:ascii="宋体" w:hAnsi="宋体" w:cs="宋体"/>
          <w:kern w:val="0"/>
          <w:szCs w:val="21"/>
        </w:rPr>
        <w:t>、[Al(OH)</w:t>
      </w:r>
      <w:r>
        <w:rPr>
          <w:rFonts w:hint="eastAsia" w:ascii="宋体" w:hAnsi="宋体" w:cs="宋体"/>
          <w:kern w:val="0"/>
          <w:szCs w:val="21"/>
          <w:vertAlign w:val="subscript"/>
        </w:rPr>
        <w:t>2</w:t>
      </w:r>
      <w:r>
        <w:rPr>
          <w:rFonts w:hint="eastAsia" w:ascii="宋体" w:hAnsi="宋体" w:cs="宋体"/>
          <w:kern w:val="0"/>
          <w:szCs w:val="21"/>
        </w:rPr>
        <w:t>(H</w:t>
      </w:r>
      <w:r>
        <w:rPr>
          <w:rFonts w:hint="eastAsia" w:ascii="宋体" w:hAnsi="宋体" w:cs="宋体"/>
          <w:kern w:val="0"/>
          <w:szCs w:val="21"/>
          <w:vertAlign w:val="subscript"/>
        </w:rPr>
        <w:t>2</w:t>
      </w:r>
      <w:r>
        <w:rPr>
          <w:rFonts w:hint="eastAsia" w:ascii="宋体" w:hAnsi="宋体" w:cs="宋体"/>
          <w:kern w:val="0"/>
          <w:szCs w:val="21"/>
        </w:rPr>
        <w:t>O</w:t>
      </w:r>
      <w:r>
        <w:rPr>
          <w:rFonts w:hint="eastAsia" w:ascii="宋体" w:hAnsi="宋体" w:cs="宋体"/>
          <w:kern w:val="0"/>
          <w:szCs w:val="21"/>
          <w:vertAlign w:val="subscript"/>
        </w:rPr>
        <w:t>4</w:t>
      </w:r>
      <w:r>
        <w:rPr>
          <w:rFonts w:hint="eastAsia" w:ascii="宋体" w:hAnsi="宋体" w:cs="宋体"/>
          <w:kern w:val="0"/>
          <w:szCs w:val="21"/>
        </w:rPr>
        <w:t>)]</w:t>
      </w:r>
      <w:r>
        <w:rPr>
          <w:rFonts w:hint="eastAsia" w:ascii="宋体" w:hAnsi="宋体" w:cs="宋体"/>
          <w:kern w:val="0"/>
          <w:szCs w:val="21"/>
          <w:vertAlign w:val="superscript"/>
        </w:rPr>
        <w:t>+</w:t>
      </w:r>
      <w:r>
        <w:rPr>
          <w:rFonts w:hint="eastAsia" w:ascii="宋体" w:hAnsi="宋体" w:cs="宋体"/>
          <w:kern w:val="0"/>
          <w:szCs w:val="21"/>
        </w:rPr>
        <w:t>；4.5×10</w:t>
      </w:r>
      <w:r>
        <w:rPr>
          <w:rFonts w:hint="eastAsia" w:ascii="宋体" w:hAnsi="宋体" w:cs="宋体"/>
          <w:kern w:val="0"/>
          <w:szCs w:val="21"/>
          <w:vertAlign w:val="superscript"/>
        </w:rPr>
        <w:t>-6</w:t>
      </w:r>
      <w:r>
        <w:rPr>
          <w:rFonts w:hint="eastAsia" w:ascii="宋体" w:hAnsi="宋体" w:cs="宋体"/>
          <w:kern w:val="0"/>
          <w:szCs w:val="21"/>
        </w:rPr>
        <w:t>处的吸收峰是[Al</w:t>
      </w:r>
      <w:r>
        <w:rPr>
          <w:rFonts w:hint="eastAsia" w:ascii="宋体" w:hAnsi="宋体" w:cs="宋体"/>
          <w:kern w:val="0"/>
          <w:szCs w:val="21"/>
          <w:vertAlign w:val="subscript"/>
        </w:rPr>
        <w:t>2</w:t>
      </w:r>
      <w:r>
        <w:rPr>
          <w:rFonts w:hint="eastAsia" w:ascii="宋体" w:hAnsi="宋体" w:cs="宋体"/>
          <w:kern w:val="0"/>
          <w:szCs w:val="21"/>
        </w:rPr>
        <w:t>(OH)</w:t>
      </w:r>
      <w:r>
        <w:rPr>
          <w:rFonts w:hint="eastAsia" w:ascii="宋体" w:hAnsi="宋体" w:cs="宋体"/>
          <w:kern w:val="0"/>
          <w:szCs w:val="21"/>
          <w:vertAlign w:val="subscript"/>
        </w:rPr>
        <w:t>2</w:t>
      </w:r>
      <w:r>
        <w:rPr>
          <w:rFonts w:hint="eastAsia" w:ascii="宋体" w:hAnsi="宋体" w:cs="宋体"/>
          <w:kern w:val="0"/>
          <w:szCs w:val="21"/>
        </w:rPr>
        <w:t>(H</w:t>
      </w:r>
      <w:r>
        <w:rPr>
          <w:rFonts w:hint="eastAsia" w:ascii="宋体" w:hAnsi="宋体" w:cs="宋体"/>
          <w:kern w:val="0"/>
          <w:szCs w:val="21"/>
          <w:vertAlign w:val="subscript"/>
        </w:rPr>
        <w:t>2</w:t>
      </w:r>
      <w:r>
        <w:rPr>
          <w:rFonts w:hint="eastAsia" w:ascii="宋体" w:hAnsi="宋体" w:cs="宋体"/>
          <w:kern w:val="0"/>
          <w:szCs w:val="21"/>
        </w:rPr>
        <w:t>O)</w:t>
      </w:r>
      <w:r>
        <w:rPr>
          <w:rFonts w:hint="eastAsia" w:ascii="宋体" w:hAnsi="宋体" w:cs="宋体"/>
          <w:kern w:val="0"/>
          <w:szCs w:val="21"/>
          <w:vertAlign w:val="subscript"/>
        </w:rPr>
        <w:t>2</w:t>
      </w:r>
      <w:r>
        <w:rPr>
          <w:rFonts w:hint="eastAsia" w:ascii="宋体" w:hAnsi="宋体" w:cs="宋体"/>
          <w:kern w:val="0"/>
          <w:szCs w:val="21"/>
        </w:rPr>
        <w:t>]</w:t>
      </w:r>
      <w:r>
        <w:rPr>
          <w:rFonts w:hint="eastAsia" w:ascii="宋体" w:hAnsi="宋体" w:cs="宋体"/>
          <w:kern w:val="0"/>
          <w:szCs w:val="21"/>
          <w:vertAlign w:val="superscript"/>
        </w:rPr>
        <w:t>4+</w:t>
      </w:r>
      <w:r>
        <w:rPr>
          <w:rFonts w:hint="eastAsia" w:ascii="宋体" w:hAnsi="宋体" w:cs="宋体"/>
          <w:kern w:val="0"/>
          <w:szCs w:val="21"/>
        </w:rPr>
        <w:t>;(63.0±0.5)×10</w:t>
      </w:r>
      <w:r>
        <w:rPr>
          <w:rFonts w:hint="eastAsia" w:ascii="宋体" w:hAnsi="宋体" w:cs="宋体"/>
          <w:kern w:val="0"/>
          <w:szCs w:val="21"/>
          <w:vertAlign w:val="superscript"/>
        </w:rPr>
        <w:t>-6</w:t>
      </w:r>
      <w:r>
        <w:rPr>
          <w:rFonts w:hint="eastAsia" w:ascii="宋体" w:hAnsi="宋体" w:cs="宋体"/>
          <w:kern w:val="0"/>
          <w:szCs w:val="21"/>
        </w:rPr>
        <w:t>处代表的共振峰是[A1O</w:t>
      </w:r>
      <w:r>
        <w:rPr>
          <w:rFonts w:hint="eastAsia" w:ascii="宋体" w:hAnsi="宋体" w:cs="宋体"/>
          <w:kern w:val="0"/>
          <w:szCs w:val="21"/>
          <w:vertAlign w:val="subscript"/>
        </w:rPr>
        <w:t>4</w:t>
      </w:r>
      <w:r>
        <w:rPr>
          <w:rFonts w:hint="eastAsia" w:ascii="宋体" w:hAnsi="宋体" w:cs="宋体"/>
          <w:kern w:val="0"/>
          <w:szCs w:val="21"/>
        </w:rPr>
        <w:t>Al</w:t>
      </w:r>
      <w:r>
        <w:rPr>
          <w:rFonts w:hint="eastAsia" w:ascii="宋体" w:hAnsi="宋体" w:cs="宋体"/>
          <w:kern w:val="0"/>
          <w:szCs w:val="21"/>
          <w:vertAlign w:val="subscript"/>
        </w:rPr>
        <w:t>12</w:t>
      </w:r>
      <w:r>
        <w:rPr>
          <w:rFonts w:hint="eastAsia" w:ascii="宋体" w:hAnsi="宋体" w:cs="宋体"/>
          <w:kern w:val="0"/>
          <w:szCs w:val="21"/>
        </w:rPr>
        <w:t>(OH)</w:t>
      </w:r>
      <w:r>
        <w:rPr>
          <w:rFonts w:hint="eastAsia" w:ascii="宋体" w:hAnsi="宋体" w:cs="宋体"/>
          <w:kern w:val="0"/>
          <w:szCs w:val="21"/>
          <w:vertAlign w:val="subscript"/>
        </w:rPr>
        <w:t>24</w:t>
      </w:r>
      <w:r>
        <w:rPr>
          <w:rFonts w:hint="eastAsia" w:ascii="宋体" w:hAnsi="宋体" w:cs="宋体"/>
          <w:kern w:val="0"/>
          <w:szCs w:val="21"/>
        </w:rPr>
        <w:t>(H</w:t>
      </w:r>
      <w:r>
        <w:rPr>
          <w:rFonts w:hint="eastAsia" w:ascii="宋体" w:hAnsi="宋体" w:cs="宋体"/>
          <w:kern w:val="0"/>
          <w:szCs w:val="21"/>
          <w:vertAlign w:val="subscript"/>
        </w:rPr>
        <w:t>2</w:t>
      </w:r>
      <w:r>
        <w:rPr>
          <w:rFonts w:hint="eastAsia" w:ascii="宋体" w:hAnsi="宋体" w:cs="宋体"/>
          <w:kern w:val="0"/>
          <w:szCs w:val="21"/>
        </w:rPr>
        <w:t>O)</w:t>
      </w:r>
      <w:r>
        <w:rPr>
          <w:rFonts w:hint="eastAsia" w:ascii="宋体" w:hAnsi="宋体" w:cs="宋体"/>
          <w:kern w:val="0"/>
          <w:szCs w:val="21"/>
          <w:vertAlign w:val="subscript"/>
        </w:rPr>
        <w:t>12</w:t>
      </w:r>
      <w:r>
        <w:rPr>
          <w:rFonts w:hint="eastAsia" w:ascii="宋体" w:hAnsi="宋体" w:cs="宋体"/>
          <w:kern w:val="0"/>
          <w:szCs w:val="21"/>
        </w:rPr>
        <w:t>]</w:t>
      </w:r>
      <w:r>
        <w:rPr>
          <w:rFonts w:hint="eastAsia" w:ascii="宋体" w:hAnsi="宋体" w:cs="宋体"/>
          <w:kern w:val="0"/>
          <w:szCs w:val="21"/>
          <w:vertAlign w:val="superscript"/>
        </w:rPr>
        <w:t>7+</w:t>
      </w:r>
      <w:r>
        <w:rPr>
          <w:rFonts w:hint="eastAsia" w:ascii="宋体" w:hAnsi="宋体" w:cs="宋体"/>
          <w:kern w:val="0"/>
          <w:szCs w:val="21"/>
        </w:rPr>
        <w:t>。Al</w:t>
      </w:r>
      <w:r>
        <w:rPr>
          <w:rFonts w:hint="eastAsia" w:ascii="宋体" w:hAnsi="宋体" w:cs="宋体"/>
          <w:kern w:val="0"/>
          <w:szCs w:val="21"/>
          <w:vertAlign w:val="subscript"/>
        </w:rPr>
        <w:t>13</w:t>
      </w:r>
      <w:r>
        <w:rPr>
          <w:rFonts w:hint="eastAsia" w:ascii="宋体" w:hAnsi="宋体" w:cs="宋体"/>
          <w:kern w:val="0"/>
          <w:szCs w:val="21"/>
        </w:rPr>
        <w:t>中处于对称环境中的四配位铝部分，化学位移在低场（62.5×10</w:t>
      </w:r>
      <w:r>
        <w:rPr>
          <w:rFonts w:hint="eastAsia" w:ascii="宋体" w:hAnsi="宋体" w:cs="宋体"/>
          <w:kern w:val="0"/>
          <w:szCs w:val="21"/>
          <w:vertAlign w:val="superscript"/>
        </w:rPr>
        <w:t>-6</w:t>
      </w:r>
      <w:r>
        <w:rPr>
          <w:rFonts w:hint="eastAsia" w:ascii="宋体" w:hAnsi="宋体" w:cs="宋体"/>
          <w:kern w:val="0"/>
          <w:szCs w:val="21"/>
        </w:rPr>
        <w:t>)能产生共振峰，谱线较窄，周围12个铝处在扭曲八面体配位场中，谱线很宽(8 000 Hz)，在NMR图谱中很难显示。因此目前人们公认的(63.0±0.5)×10</w:t>
      </w:r>
      <w:r>
        <w:rPr>
          <w:rFonts w:hint="eastAsia" w:ascii="宋体" w:hAnsi="宋体" w:cs="宋体"/>
          <w:kern w:val="0"/>
          <w:szCs w:val="21"/>
          <w:vertAlign w:val="superscript"/>
        </w:rPr>
        <w:t>-6</w:t>
      </w:r>
      <w:r>
        <w:rPr>
          <w:rFonts w:hint="eastAsia" w:ascii="宋体" w:hAnsi="宋体" w:cs="宋体"/>
          <w:kern w:val="0"/>
          <w:szCs w:val="21"/>
        </w:rPr>
        <w:t>处代表的共振峰是Al</w:t>
      </w:r>
      <w:r>
        <w:rPr>
          <w:rFonts w:hint="eastAsia" w:ascii="宋体" w:hAnsi="宋体" w:cs="宋体"/>
          <w:kern w:val="0"/>
          <w:szCs w:val="21"/>
          <w:vertAlign w:val="subscript"/>
        </w:rPr>
        <w:t>13</w:t>
      </w:r>
      <w:r>
        <w:rPr>
          <w:rFonts w:hint="eastAsia" w:ascii="宋体" w:hAnsi="宋体" w:cs="宋体"/>
          <w:kern w:val="0"/>
          <w:szCs w:val="21"/>
        </w:rPr>
        <w:t>的核心结构--四面体AlO</w:t>
      </w:r>
      <w:r>
        <w:rPr>
          <w:rFonts w:hint="eastAsia" w:ascii="宋体" w:hAnsi="宋体" w:cs="宋体"/>
          <w:kern w:val="0"/>
          <w:szCs w:val="21"/>
          <w:vertAlign w:val="subscript"/>
        </w:rPr>
        <w:t>4+/4</w:t>
      </w:r>
      <w:r>
        <w:rPr>
          <w:rFonts w:hint="eastAsia" w:ascii="宋体" w:hAnsi="宋体" w:cs="宋体"/>
          <w:kern w:val="0"/>
          <w:szCs w:val="21"/>
        </w:rPr>
        <w:t>表现出的峰，该核心被12个八面体[AlO</w:t>
      </w:r>
      <w:r>
        <w:rPr>
          <w:rFonts w:hint="eastAsia" w:ascii="宋体" w:hAnsi="宋体" w:cs="宋体"/>
          <w:kern w:val="0"/>
          <w:szCs w:val="21"/>
          <w:vertAlign w:val="subscript"/>
        </w:rPr>
        <w:t>1/4</w:t>
      </w:r>
      <w:r>
        <w:rPr>
          <w:rFonts w:hint="eastAsia" w:ascii="宋体" w:hAnsi="宋体" w:cs="宋体"/>
          <w:kern w:val="0"/>
          <w:szCs w:val="21"/>
        </w:rPr>
        <w:t>(OH)</w:t>
      </w:r>
      <w:r>
        <w:rPr>
          <w:rFonts w:hint="eastAsia" w:ascii="宋体" w:hAnsi="宋体" w:cs="宋体"/>
          <w:kern w:val="0"/>
          <w:szCs w:val="21"/>
          <w:vertAlign w:val="subscript"/>
        </w:rPr>
        <w:t>4/2</w:t>
      </w:r>
      <w:r>
        <w:rPr>
          <w:rFonts w:hint="eastAsia" w:ascii="宋体" w:hAnsi="宋体" w:cs="宋体"/>
          <w:kern w:val="0"/>
          <w:szCs w:val="21"/>
        </w:rPr>
        <w:t>(H</w:t>
      </w:r>
      <w:r>
        <w:rPr>
          <w:rFonts w:hint="eastAsia" w:ascii="宋体" w:hAnsi="宋体" w:cs="宋体"/>
          <w:kern w:val="0"/>
          <w:szCs w:val="21"/>
          <w:vertAlign w:val="subscript"/>
        </w:rPr>
        <w:t>2</w:t>
      </w:r>
      <w:r>
        <w:rPr>
          <w:rFonts w:hint="eastAsia" w:ascii="宋体" w:hAnsi="宋体" w:cs="宋体"/>
          <w:kern w:val="0"/>
          <w:szCs w:val="21"/>
        </w:rPr>
        <w:t>O)]</w:t>
      </w:r>
      <w:r>
        <w:rPr>
          <w:rFonts w:hint="eastAsia" w:ascii="宋体" w:hAnsi="宋体" w:cs="宋体"/>
          <w:kern w:val="0"/>
          <w:szCs w:val="21"/>
          <w:vertAlign w:val="superscript"/>
        </w:rPr>
        <w:t>0.5+</w:t>
      </w:r>
      <w:r>
        <w:rPr>
          <w:rFonts w:hint="eastAsia" w:ascii="宋体" w:hAnsi="宋体" w:cs="宋体"/>
          <w:kern w:val="0"/>
          <w:szCs w:val="21"/>
        </w:rPr>
        <w:t>所包围，被称为Keggin 结构，该结构也为x射线法所证实。</w:t>
      </w:r>
    </w:p>
    <w:p w14:paraId="29D47B6D">
      <w:pPr>
        <w:spacing w:before="156" w:beforeLines="50" w:after="156" w:afterLines="50"/>
        <w:rPr>
          <w:rFonts w:hint="eastAsia" w:ascii="黑体" w:hAnsi="黑体" w:eastAsia="黑体" w:cs="黑体"/>
          <w:szCs w:val="20"/>
        </w:rPr>
      </w:pPr>
      <w:r>
        <w:rPr>
          <w:rFonts w:hint="eastAsia" w:ascii="黑体" w:hAnsi="黑体" w:eastAsia="黑体" w:cs="黑体"/>
          <w:szCs w:val="20"/>
        </w:rPr>
        <w:t>A.3.2  仪器</w:t>
      </w:r>
    </w:p>
    <w:p w14:paraId="2CB34776">
      <w:pPr>
        <w:ind w:firstLine="420" w:firstLineChars="200"/>
        <w:rPr>
          <w:rFonts w:hint="eastAsia" w:ascii="宋体" w:hAnsi="宋体" w:cs="宋体"/>
          <w:szCs w:val="21"/>
        </w:rPr>
      </w:pPr>
      <w:r>
        <w:rPr>
          <w:rFonts w:hint="eastAsia" w:ascii="宋体" w:hAnsi="宋体" w:cs="宋体"/>
          <w:szCs w:val="21"/>
        </w:rPr>
        <w:t>应配备Advance 500 Bruker 脉冲傅立叶核磁共振仪。</w:t>
      </w:r>
    </w:p>
    <w:p w14:paraId="2FC12F8B">
      <w:pPr>
        <w:spacing w:before="156" w:beforeLines="50" w:after="156" w:afterLines="50"/>
        <w:rPr>
          <w:rFonts w:hint="eastAsia" w:ascii="黑体" w:hAnsi="黑体" w:eastAsia="黑体" w:cs="黑体"/>
          <w:szCs w:val="20"/>
        </w:rPr>
      </w:pPr>
      <w:r>
        <w:rPr>
          <w:rFonts w:hint="eastAsia" w:ascii="黑体" w:hAnsi="黑体" w:eastAsia="黑体" w:cs="黑体"/>
          <w:szCs w:val="20"/>
        </w:rPr>
        <w:t>A.3.3  试剂配置</w:t>
      </w:r>
    </w:p>
    <w:p w14:paraId="5D96E119">
      <w:pPr>
        <w:spacing w:before="156" w:beforeLines="50" w:after="156" w:afterLines="50"/>
        <w:rPr>
          <w:rFonts w:hint="eastAsia" w:ascii="黑体" w:hAnsi="黑体" w:eastAsia="黑体" w:cs="黑体"/>
          <w:szCs w:val="20"/>
        </w:rPr>
      </w:pPr>
      <w:r>
        <w:rPr>
          <w:rFonts w:hint="eastAsia" w:ascii="黑体" w:hAnsi="黑体" w:eastAsia="黑体" w:cs="黑体"/>
          <w:szCs w:val="20"/>
        </w:rPr>
        <w:t>A.3.3.1  Al标准储备溶液</w:t>
      </w:r>
    </w:p>
    <w:p w14:paraId="790B4E8D">
      <w:pPr>
        <w:spacing w:before="156" w:beforeLines="50" w:after="156" w:afterLines="50"/>
        <w:ind w:firstLine="420" w:firstLineChars="200"/>
        <w:rPr>
          <w:rFonts w:hint="eastAsia" w:ascii="宋体" w:hAnsi="宋体" w:cs="宋体"/>
          <w:szCs w:val="21"/>
        </w:rPr>
      </w:pPr>
      <w:r>
        <w:rPr>
          <w:rFonts w:hint="eastAsia" w:ascii="宋体" w:hAnsi="宋体" w:cs="宋体"/>
          <w:szCs w:val="21"/>
        </w:rPr>
        <w:t>纯铝片用稀盐酸浸泡2 h～4 h，取出迅速洗净烘干，冷至室温后，准确称取一定量，加HCl溶液(1:1)溶解，定容至250 ml，浓度为0.2 mol/l。</w:t>
      </w:r>
    </w:p>
    <w:p w14:paraId="78FDEBE3">
      <w:pPr>
        <w:spacing w:before="156" w:beforeLines="50" w:after="156" w:afterLines="50"/>
        <w:rPr>
          <w:rFonts w:hint="eastAsia" w:ascii="黑体" w:hAnsi="黑体" w:eastAsia="黑体" w:cs="黑体"/>
          <w:szCs w:val="20"/>
        </w:rPr>
      </w:pPr>
      <w:r>
        <w:rPr>
          <w:rFonts w:hint="eastAsia" w:ascii="黑体" w:hAnsi="黑体" w:eastAsia="黑体" w:cs="黑体"/>
          <w:szCs w:val="20"/>
        </w:rPr>
        <w:t>A.3.3.2  铝酸钠溶液</w:t>
      </w:r>
    </w:p>
    <w:p w14:paraId="25F550E9">
      <w:pPr>
        <w:spacing w:before="156" w:beforeLines="50" w:after="156" w:afterLines="50"/>
        <w:ind w:firstLine="420" w:firstLineChars="200"/>
        <w:rPr>
          <w:rFonts w:hint="eastAsia" w:ascii="宋体" w:hAnsi="宋体" w:cs="宋体"/>
          <w:szCs w:val="21"/>
        </w:rPr>
      </w:pPr>
      <w:r>
        <w:rPr>
          <w:rFonts w:hint="eastAsia" w:ascii="宋体" w:hAnsi="宋体" w:cs="宋体"/>
          <w:szCs w:val="21"/>
        </w:rPr>
        <w:t>纯铝片事先用稀盐酸浸泡处理后，称取准确质量（精确至0.000 2 g），加入NaOH溶液（约0.5 mol/L）溶解，pH大约在9～10左右。稀释定容至 100 ml，浓度为0.2mol/l。实验中需用重水（D2O）稀释至所需浓度（使用重水的目的在于锁场），用作内标液（背景样品）。</w:t>
      </w:r>
    </w:p>
    <w:p w14:paraId="6557EFBB">
      <w:pPr>
        <w:spacing w:before="156" w:beforeLines="50" w:after="156" w:afterLines="50"/>
        <w:rPr>
          <w:rFonts w:hint="eastAsia" w:ascii="黑体" w:hAnsi="黑体" w:eastAsia="黑体" w:cs="黑体"/>
          <w:szCs w:val="20"/>
        </w:rPr>
      </w:pPr>
      <w:r>
        <w:rPr>
          <w:rFonts w:hint="eastAsia" w:ascii="黑体" w:hAnsi="黑体" w:eastAsia="黑体" w:cs="黑体"/>
          <w:szCs w:val="20"/>
        </w:rPr>
        <w:t>A.3.3  Al</w:t>
      </w:r>
      <w:r>
        <w:rPr>
          <w:rFonts w:hint="eastAsia" w:ascii="黑体" w:hAnsi="黑体" w:eastAsia="黑体" w:cs="黑体"/>
          <w:szCs w:val="20"/>
          <w:vertAlign w:val="subscript"/>
        </w:rPr>
        <w:t>13</w:t>
      </w:r>
      <w:r>
        <w:rPr>
          <w:rFonts w:hint="eastAsia" w:ascii="黑体" w:hAnsi="黑体" w:eastAsia="黑体" w:cs="黑体"/>
          <w:szCs w:val="20"/>
        </w:rPr>
        <w:t>的测定方法</w:t>
      </w:r>
    </w:p>
    <w:p w14:paraId="75104A4E">
      <w:pPr>
        <w:spacing w:before="156" w:beforeLines="50" w:after="156" w:afterLines="50"/>
        <w:ind w:firstLine="420" w:firstLineChars="200"/>
        <w:rPr>
          <w:rFonts w:hint="eastAsia" w:ascii="宋体" w:hAnsi="宋体" w:cs="宋体"/>
          <w:szCs w:val="21"/>
        </w:rPr>
      </w:pPr>
      <w:r>
        <w:rPr>
          <w:rFonts w:hint="eastAsia" w:ascii="宋体" w:hAnsi="宋体" w:cs="宋体"/>
          <w:szCs w:val="21"/>
        </w:rPr>
        <w:t>将样品在Advance 500 Bruker 脉冲傅立叶核磁共振仪上进行测试，共振频率为500 MHz，操作温度293 K。测量时将一定体积的（200 µl）样品溶液用加样器加入直径为5 mm的核磁样品管内，并将与样品浓度近似的内标毛细管插入样品管内，聚合态铝Al</w:t>
      </w:r>
      <w:r>
        <w:rPr>
          <w:rFonts w:hint="eastAsia" w:ascii="宋体" w:hAnsi="宋体" w:cs="宋体"/>
          <w:szCs w:val="21"/>
          <w:vertAlign w:val="subscript"/>
        </w:rPr>
        <w:t>13</w:t>
      </w:r>
      <w:r>
        <w:rPr>
          <w:rFonts w:hint="eastAsia" w:ascii="宋体" w:hAnsi="宋体" w:cs="宋体"/>
          <w:szCs w:val="21"/>
        </w:rPr>
        <w:t>的质量分数（Al</w:t>
      </w:r>
      <w:r>
        <w:rPr>
          <w:rFonts w:hint="eastAsia" w:ascii="宋体" w:hAnsi="宋体" w:cs="宋体"/>
          <w:szCs w:val="21"/>
          <w:vertAlign w:val="subscript"/>
        </w:rPr>
        <w:t>13</w:t>
      </w:r>
      <w:r>
        <w:rPr>
          <w:rFonts w:hint="eastAsia" w:ascii="宋体" w:hAnsi="宋体" w:cs="宋体"/>
          <w:szCs w:val="21"/>
        </w:rPr>
        <w:t>）按以下公式（</w:t>
      </w:r>
      <w:r>
        <w:rPr>
          <w:rFonts w:hint="eastAsia" w:ascii="宋体" w:hAnsi="宋体" w:cs="宋体"/>
          <w:szCs w:val="21"/>
          <w:lang w:val="en-US" w:eastAsia="zh-CN"/>
        </w:rPr>
        <w:t>A.</w:t>
      </w:r>
      <w:r>
        <w:rPr>
          <w:rFonts w:hint="eastAsia" w:ascii="宋体" w:hAnsi="宋体" w:cs="宋体"/>
          <w:szCs w:val="21"/>
        </w:rPr>
        <w:t>2）进行计算：</w:t>
      </w:r>
    </w:p>
    <w:p w14:paraId="66673F77">
      <w:pPr>
        <w:spacing w:before="156" w:beforeLines="50" w:after="156" w:afterLines="50"/>
        <w:ind w:firstLine="420" w:firstLineChars="200"/>
        <w:jc w:val="right"/>
        <w:rPr>
          <w:rFonts w:hint="eastAsia" w:hAnsi="宋体" w:cs="宋体"/>
          <w:szCs w:val="21"/>
          <w:lang w:eastAsia="zh-Hans"/>
        </w:rPr>
      </w:pPr>
      <m:oMath>
        <m:sSub>
          <m:sSubPr>
            <m:ctrlPr>
              <w:rPr>
                <w:rFonts w:hint="default" w:ascii="Cambria Math" w:hAnsi="Cambria Math" w:cs="宋体"/>
                <w:szCs w:val="21"/>
              </w:rPr>
            </m:ctrlPr>
          </m:sSubPr>
          <m:e>
            <m:r>
              <m:rPr>
                <m:sty m:val="p"/>
              </m:rPr>
              <w:rPr>
                <w:rFonts w:hint="default" w:ascii="Cambria Math" w:hAnsi="Cambria Math" w:cs="宋体"/>
                <w:szCs w:val="21"/>
              </w:rPr>
              <m:t>Al</m:t>
            </m:r>
            <m:ctrlPr>
              <w:rPr>
                <w:rFonts w:hint="default" w:ascii="Cambria Math" w:hAnsi="Cambria Math" w:cs="宋体"/>
                <w:szCs w:val="21"/>
              </w:rPr>
            </m:ctrlPr>
          </m:e>
          <m:sub>
            <m:r>
              <m:rPr>
                <m:sty m:val="p"/>
              </m:rPr>
              <w:rPr>
                <w:rFonts w:hint="default" w:ascii="Cambria Math" w:hAnsi="Cambria Math" w:cs="宋体"/>
                <w:szCs w:val="21"/>
              </w:rPr>
              <m:t>13</m:t>
            </m:r>
            <m:ctrlPr>
              <w:rPr>
                <w:rFonts w:hint="default" w:ascii="Cambria Math" w:hAnsi="Cambria Math" w:cs="宋体"/>
                <w:szCs w:val="21"/>
              </w:rPr>
            </m:ctrlPr>
          </m:sub>
        </m:sSub>
        <m:r>
          <m:rPr>
            <m:sty m:val="p"/>
          </m:rPr>
          <w:rPr>
            <w:rFonts w:hint="default" w:ascii="Cambria Math" w:hAnsi="Cambria Math" w:cs="Cambria Math"/>
            <w:szCs w:val="21"/>
          </w:rPr>
          <m:t>=</m:t>
        </m:r>
        <m:f>
          <m:fPr>
            <m:ctrlPr>
              <w:rPr>
                <w:rFonts w:hint="default" w:ascii="Cambria Math" w:hAnsi="Cambria Math" w:cs="Cambria Math"/>
                <w:szCs w:val="21"/>
              </w:rPr>
            </m:ctrlPr>
          </m:fPr>
          <m:num>
            <m:d>
              <m:dPr>
                <m:ctrlPr>
                  <w:rPr>
                    <w:rFonts w:hint="default" w:ascii="Cambria Math" w:hAnsi="Cambria Math" w:cs="Cambria Math"/>
                    <w:szCs w:val="21"/>
                  </w:rPr>
                </m:ctrlPr>
              </m:dPr>
              <m:e>
                <m:r>
                  <m:rPr>
                    <m:sty m:val="p"/>
                  </m:rPr>
                  <w:rPr>
                    <w:rFonts w:hint="default" w:ascii="Cambria Math" w:hAnsi="Cambria Math" w:cs="Cambria Math"/>
                    <w:szCs w:val="21"/>
                  </w:rPr>
                  <m:t>K×13×</m:t>
                </m:r>
                <m:sSub>
                  <m:sSubPr>
                    <m:ctrlPr>
                      <w:rPr>
                        <w:rFonts w:hint="default" w:ascii="Cambria Math" w:hAnsi="Cambria Math" w:cs="Cambria Math"/>
                        <w:szCs w:val="21"/>
                      </w:rPr>
                    </m:ctrlPr>
                  </m:sSubPr>
                  <m:e>
                    <m:r>
                      <m:rPr>
                        <m:sty m:val="p"/>
                      </m:rPr>
                      <w:rPr>
                        <w:rFonts w:hint="default" w:ascii="Cambria Math" w:hAnsi="Cambria Math" w:cs="Cambria Math"/>
                        <w:szCs w:val="21"/>
                      </w:rPr>
                      <m:t>C</m:t>
                    </m:r>
                    <m:ctrlPr>
                      <w:rPr>
                        <w:rFonts w:hint="default" w:ascii="Cambria Math" w:hAnsi="Cambria Math" w:cs="Cambria Math"/>
                        <w:szCs w:val="21"/>
                      </w:rPr>
                    </m:ctrlPr>
                  </m:e>
                  <m:sub>
                    <m:r>
                      <m:rPr>
                        <m:sty m:val="p"/>
                      </m:rPr>
                      <w:rPr>
                        <w:rFonts w:hint="default" w:ascii="Cambria Math" w:hAnsi="Cambria Math" w:cs="Cambria Math"/>
                        <w:szCs w:val="21"/>
                      </w:rPr>
                      <m:t>0</m:t>
                    </m:r>
                    <m:ctrlPr>
                      <w:rPr>
                        <w:rFonts w:hint="default" w:ascii="Cambria Math" w:hAnsi="Cambria Math" w:cs="Cambria Math"/>
                        <w:szCs w:val="21"/>
                      </w:rPr>
                    </m:ctrlPr>
                  </m:sub>
                </m:sSub>
                <m:r>
                  <m:rPr>
                    <m:sty m:val="p"/>
                  </m:rPr>
                  <w:rPr>
                    <w:rFonts w:hint="default" w:ascii="Cambria Math" w:hAnsi="Cambria Math" w:cs="Cambria Math"/>
                    <w:szCs w:val="21"/>
                  </w:rPr>
                  <m:t>×</m:t>
                </m:r>
                <m:f>
                  <m:fPr>
                    <m:ctrlPr>
                      <w:rPr>
                        <w:rFonts w:hint="default" w:ascii="Cambria Math" w:hAnsi="Cambria Math" w:cs="Cambria Math"/>
                        <w:szCs w:val="21"/>
                      </w:rPr>
                    </m:ctrlPr>
                  </m:fPr>
                  <m:num>
                    <m:sSub>
                      <m:sSubPr>
                        <m:ctrlPr>
                          <w:rPr>
                            <w:rFonts w:hint="default" w:ascii="Cambria Math" w:hAnsi="Cambria Math" w:cs="Cambria Math"/>
                            <w:szCs w:val="21"/>
                          </w:rPr>
                        </m:ctrlPr>
                      </m:sSubPr>
                      <m:e>
                        <m:r>
                          <m:rPr>
                            <m:sty m:val="p"/>
                          </m:rPr>
                          <w:rPr>
                            <w:rFonts w:hint="default" w:ascii="Cambria Math" w:hAnsi="Cambria Math" w:cs="Cambria Math"/>
                            <w:szCs w:val="21"/>
                          </w:rPr>
                          <m:t>S</m:t>
                        </m:r>
                        <m:ctrlPr>
                          <w:rPr>
                            <w:rFonts w:hint="default" w:ascii="Cambria Math" w:hAnsi="Cambria Math" w:cs="Cambria Math"/>
                            <w:szCs w:val="21"/>
                          </w:rPr>
                        </m:ctrlPr>
                      </m:e>
                      <m:sub>
                        <m:r>
                          <m:rPr>
                            <m:sty m:val="p"/>
                          </m:rPr>
                          <w:rPr>
                            <w:rFonts w:hint="default" w:ascii="Cambria Math" w:hAnsi="Cambria Math" w:cs="Cambria Math"/>
                            <w:szCs w:val="21"/>
                          </w:rPr>
                          <m:t>13</m:t>
                        </m:r>
                        <m:ctrlPr>
                          <w:rPr>
                            <w:rFonts w:hint="default" w:ascii="Cambria Math" w:hAnsi="Cambria Math" w:cs="Cambria Math"/>
                            <w:szCs w:val="21"/>
                          </w:rPr>
                        </m:ctrlPr>
                      </m:sub>
                    </m:sSub>
                    <m:ctrlPr>
                      <w:rPr>
                        <w:rFonts w:hint="default" w:ascii="Cambria Math" w:hAnsi="Cambria Math" w:cs="Cambria Math"/>
                        <w:szCs w:val="21"/>
                      </w:rPr>
                    </m:ctrlPr>
                  </m:num>
                  <m:den>
                    <m:sSub>
                      <m:sSubPr>
                        <m:ctrlPr>
                          <w:rPr>
                            <w:rFonts w:hint="default" w:ascii="Cambria Math" w:hAnsi="Cambria Math" w:cs="Cambria Math"/>
                            <w:szCs w:val="21"/>
                          </w:rPr>
                        </m:ctrlPr>
                      </m:sSubPr>
                      <m:e>
                        <m:r>
                          <m:rPr>
                            <m:sty m:val="p"/>
                          </m:rPr>
                          <w:rPr>
                            <w:rFonts w:hint="default" w:ascii="Cambria Math" w:hAnsi="Cambria Math" w:cs="Cambria Math"/>
                            <w:szCs w:val="21"/>
                          </w:rPr>
                          <m:t>S</m:t>
                        </m:r>
                        <m:ctrlPr>
                          <w:rPr>
                            <w:rFonts w:hint="default" w:ascii="Cambria Math" w:hAnsi="Cambria Math" w:cs="Cambria Math"/>
                            <w:szCs w:val="21"/>
                          </w:rPr>
                        </m:ctrlPr>
                      </m:e>
                      <m:sub>
                        <m:r>
                          <m:rPr>
                            <m:sty m:val="p"/>
                          </m:rPr>
                          <w:rPr>
                            <w:rFonts w:hint="default" w:ascii="Cambria Math" w:hAnsi="Cambria Math" w:cs="Cambria Math"/>
                            <w:szCs w:val="21"/>
                          </w:rPr>
                          <m:t>0</m:t>
                        </m:r>
                        <m:ctrlPr>
                          <w:rPr>
                            <w:rFonts w:hint="default" w:ascii="Cambria Math" w:hAnsi="Cambria Math" w:cs="Cambria Math"/>
                            <w:szCs w:val="21"/>
                          </w:rPr>
                        </m:ctrlPr>
                      </m:sub>
                    </m:sSub>
                    <m:ctrlPr>
                      <w:rPr>
                        <w:rFonts w:hint="default" w:ascii="Cambria Math" w:hAnsi="Cambria Math" w:cs="Cambria Math"/>
                        <w:szCs w:val="21"/>
                      </w:rPr>
                    </m:ctrlPr>
                  </m:den>
                </m:f>
                <m:ctrlPr>
                  <w:rPr>
                    <w:rFonts w:hint="default" w:ascii="Cambria Math" w:hAnsi="Cambria Math" w:cs="Cambria Math"/>
                    <w:szCs w:val="21"/>
                  </w:rPr>
                </m:ctrlPr>
              </m:e>
            </m:d>
            <m:r>
              <m:rPr>
                <m:sty m:val="p"/>
              </m:rPr>
              <w:rPr>
                <w:rFonts w:hint="default" w:ascii="Cambria Math" w:hAnsi="Cambria Math" w:cs="Cambria Math"/>
                <w:szCs w:val="21"/>
              </w:rPr>
              <m:t>×100%</m:t>
            </m:r>
            <m:ctrlPr>
              <w:rPr>
                <w:rFonts w:hint="default" w:ascii="Cambria Math" w:hAnsi="Cambria Math" w:cs="Cambria Math"/>
                <w:szCs w:val="21"/>
              </w:rPr>
            </m:ctrlPr>
          </m:num>
          <m:den>
            <m:sSub>
              <m:sSubPr>
                <m:ctrlPr>
                  <w:rPr>
                    <w:rFonts w:hint="default" w:ascii="Cambria Math" w:hAnsi="Cambria Math" w:cs="Cambria Math"/>
                    <w:szCs w:val="21"/>
                  </w:rPr>
                </m:ctrlPr>
              </m:sSubPr>
              <m:e>
                <m:r>
                  <m:rPr>
                    <m:sty m:val="p"/>
                  </m:rPr>
                  <w:rPr>
                    <w:rFonts w:hint="default" w:ascii="Cambria Math" w:hAnsi="Cambria Math" w:cs="Cambria Math"/>
                    <w:szCs w:val="21"/>
                  </w:rPr>
                  <m:t>C</m:t>
                </m:r>
                <m:ctrlPr>
                  <w:rPr>
                    <w:rFonts w:hint="default" w:ascii="Cambria Math" w:hAnsi="Cambria Math" w:cs="Cambria Math"/>
                    <w:szCs w:val="21"/>
                  </w:rPr>
                </m:ctrlPr>
              </m:e>
              <m:sub>
                <m:r>
                  <m:rPr>
                    <m:sty m:val="p"/>
                  </m:rPr>
                  <w:rPr>
                    <w:rFonts w:hint="default" w:ascii="Cambria Math" w:hAnsi="Cambria Math" w:cs="Cambria Math"/>
                    <w:szCs w:val="21"/>
                  </w:rPr>
                  <m:t>T</m:t>
                </m:r>
                <m:ctrlPr>
                  <w:rPr>
                    <w:rFonts w:hint="default" w:ascii="Cambria Math" w:hAnsi="Cambria Math" w:cs="Cambria Math"/>
                    <w:szCs w:val="21"/>
                  </w:rPr>
                </m:ctrlPr>
              </m:sub>
            </m:sSub>
            <m:ctrlPr>
              <w:rPr>
                <w:rFonts w:hint="default" w:ascii="Cambria Math" w:hAnsi="Cambria Math" w:cs="Cambria Math"/>
                <w:szCs w:val="21"/>
              </w:rPr>
            </m:ctrlPr>
          </m:den>
        </m:f>
      </m:oMath>
      <w:r>
        <w:rPr>
          <w:rFonts w:ascii="Cambria Math" w:hAnsi="Cambria Math" w:cs="Cambria Math"/>
          <w:szCs w:val="21"/>
        </w:rPr>
        <w:t xml:space="preserve"> </w:t>
      </w:r>
      <w:r>
        <w:rPr>
          <w:rFonts w:hint="eastAsia" w:hAnsi="宋体" w:cs="宋体"/>
          <w:szCs w:val="21"/>
        </w:rPr>
        <w:t xml:space="preserve">       </w:t>
      </w:r>
      <w:r>
        <w:rPr>
          <w:rFonts w:hint="eastAsia" w:hAnsi="宋体" w:cs="宋体"/>
          <w:szCs w:val="21"/>
          <w:lang w:eastAsia="zh-Hans"/>
        </w:rPr>
        <w:t>………………………………</w:t>
      </w:r>
      <w:r>
        <w:rPr>
          <w:rFonts w:hint="eastAsia" w:ascii="宋体" w:hAnsi="宋体" w:cs="宋体"/>
          <w:szCs w:val="21"/>
          <w:lang w:eastAsia="zh-Hans"/>
        </w:rPr>
        <w:t>…（</w:t>
      </w:r>
      <w:r>
        <w:rPr>
          <w:rFonts w:hint="eastAsia" w:ascii="宋体" w:hAnsi="宋体" w:cs="宋体"/>
          <w:szCs w:val="21"/>
          <w:lang w:val="en-US" w:eastAsia="zh-CN"/>
        </w:rPr>
        <w:t>A.</w:t>
      </w:r>
      <w:r>
        <w:rPr>
          <w:rFonts w:hint="eastAsia" w:ascii="宋体" w:hAnsi="宋体" w:cs="宋体"/>
          <w:szCs w:val="21"/>
        </w:rPr>
        <w:t>2</w:t>
      </w:r>
      <w:r>
        <w:rPr>
          <w:rFonts w:hint="eastAsia" w:ascii="宋体" w:hAnsi="宋体" w:cs="宋体"/>
          <w:szCs w:val="21"/>
          <w:lang w:eastAsia="zh-Hans"/>
        </w:rPr>
        <w:t>）</w:t>
      </w:r>
    </w:p>
    <w:p w14:paraId="3C0A69C7">
      <w:pPr>
        <w:ind w:firstLine="420" w:firstLineChars="200"/>
        <w:jc w:val="left"/>
        <w:rPr>
          <w:rFonts w:hint="eastAsia" w:hAnsi="宋体" w:cs="宋体"/>
          <w:szCs w:val="21"/>
        </w:rPr>
      </w:pPr>
      <w:r>
        <w:rPr>
          <w:rFonts w:hint="eastAsia" w:hAnsi="宋体" w:cs="宋体"/>
          <w:szCs w:val="21"/>
        </w:rPr>
        <w:t>式中：</w:t>
      </w:r>
    </w:p>
    <w:p w14:paraId="56814471">
      <w:pPr>
        <w:ind w:firstLine="420" w:firstLineChars="200"/>
        <w:jc w:val="left"/>
        <w:rPr>
          <w:szCs w:val="21"/>
          <w:vertAlign w:val="subscript"/>
        </w:rPr>
      </w:pPr>
      <w:r>
        <w:rPr>
          <w:rFonts w:hint="eastAsia"/>
          <w:i/>
          <w:iCs/>
          <w:szCs w:val="21"/>
        </w:rPr>
        <w:t>Al</w:t>
      </w:r>
      <w:r>
        <w:rPr>
          <w:rFonts w:hint="eastAsia"/>
          <w:szCs w:val="21"/>
          <w:vertAlign w:val="subscript"/>
        </w:rPr>
        <w:t>13</w:t>
      </w:r>
      <w:r>
        <w:rPr>
          <w:rFonts w:hint="eastAsia" w:hAnsi="宋体" w:cs="宋体"/>
          <w:i/>
          <w:iCs/>
          <w:szCs w:val="21"/>
        </w:rPr>
        <w:t>——</w:t>
      </w:r>
      <w:r>
        <w:rPr>
          <w:rFonts w:hint="eastAsia" w:hAnsi="宋体" w:cs="宋体"/>
          <w:szCs w:val="21"/>
        </w:rPr>
        <w:t>聚合态铝Al</w:t>
      </w:r>
      <w:r>
        <w:rPr>
          <w:rFonts w:hint="eastAsia" w:hAnsi="宋体" w:cs="宋体"/>
          <w:szCs w:val="21"/>
          <w:vertAlign w:val="subscript"/>
        </w:rPr>
        <w:t>13</w:t>
      </w:r>
      <w:r>
        <w:rPr>
          <w:rFonts w:hint="eastAsia" w:hAnsi="宋体" w:cs="宋体"/>
          <w:szCs w:val="21"/>
        </w:rPr>
        <w:t>的质量分数；</w:t>
      </w:r>
    </w:p>
    <w:p w14:paraId="1FE166F2">
      <w:pPr>
        <w:ind w:left="1058" w:leftChars="200" w:hanging="638" w:hangingChars="304"/>
        <w:jc w:val="left"/>
        <w:rPr>
          <w:szCs w:val="21"/>
        </w:rPr>
      </w:pPr>
      <w:r>
        <w:rPr>
          <w:i/>
          <w:iCs/>
          <w:szCs w:val="21"/>
        </w:rPr>
        <w:t>K</w:t>
      </w:r>
      <w:r>
        <w:rPr>
          <w:rFonts w:hint="eastAsia" w:hAnsi="宋体" w:cs="宋体"/>
          <w:i/>
          <w:iCs/>
          <w:szCs w:val="21"/>
        </w:rPr>
        <w:t>——</w:t>
      </w:r>
      <w:r>
        <w:rPr>
          <w:szCs w:val="21"/>
        </w:rPr>
        <w:t>峰面积系数</w:t>
      </w:r>
      <w:r>
        <w:rPr>
          <w:rFonts w:hint="eastAsia"/>
          <w:szCs w:val="21"/>
        </w:rPr>
        <w:t>，固定值，与内标液浓度、毛细管内径和核磁管内径等因素有关，可通过标准曲线求得；</w:t>
      </w:r>
    </w:p>
    <w:p w14:paraId="1DBE1283">
      <w:pPr>
        <w:ind w:firstLine="420" w:firstLineChars="200"/>
        <w:jc w:val="left"/>
        <w:rPr>
          <w:szCs w:val="21"/>
        </w:rPr>
      </w:pPr>
      <w:r>
        <w:rPr>
          <w:rFonts w:hint="eastAsia"/>
          <w:i/>
          <w:iCs/>
          <w:szCs w:val="21"/>
        </w:rPr>
        <w:t>C</w:t>
      </w:r>
      <w:r>
        <w:rPr>
          <w:rFonts w:hint="eastAsia"/>
          <w:szCs w:val="21"/>
          <w:vertAlign w:val="subscript"/>
        </w:rPr>
        <w:t>0</w:t>
      </w:r>
      <w:r>
        <w:rPr>
          <w:rFonts w:hint="eastAsia"/>
          <w:szCs w:val="21"/>
        </w:rPr>
        <w:t>——内标液铝酸钠浓度，单位为摩尔每升（mol/l）；</w:t>
      </w:r>
    </w:p>
    <w:p w14:paraId="105E15D2">
      <w:pPr>
        <w:ind w:firstLine="420" w:firstLineChars="200"/>
        <w:jc w:val="left"/>
        <w:rPr>
          <w:szCs w:val="21"/>
        </w:rPr>
      </w:pPr>
      <w:r>
        <w:rPr>
          <w:rFonts w:hint="eastAsia"/>
          <w:i/>
          <w:iCs/>
          <w:szCs w:val="21"/>
        </w:rPr>
        <w:t>C</w:t>
      </w:r>
      <w:r>
        <w:rPr>
          <w:rFonts w:hint="eastAsia"/>
          <w:i/>
          <w:iCs/>
          <w:szCs w:val="21"/>
          <w:vertAlign w:val="subscript"/>
        </w:rPr>
        <w:t>T</w:t>
      </w:r>
      <w:r>
        <w:rPr>
          <w:rFonts w:hint="eastAsia"/>
          <w:szCs w:val="21"/>
        </w:rPr>
        <w:t>——PAC样品总铝浓度，单位为摩尔每升（mol/l）；</w:t>
      </w:r>
    </w:p>
    <w:p w14:paraId="78272899">
      <w:pPr>
        <w:ind w:firstLine="420" w:firstLineChars="200"/>
        <w:jc w:val="left"/>
        <w:rPr>
          <w:szCs w:val="21"/>
          <w:vertAlign w:val="subscript"/>
        </w:rPr>
      </w:pPr>
      <w:r>
        <w:rPr>
          <w:i/>
          <w:iCs/>
          <w:szCs w:val="21"/>
        </w:rPr>
        <w:t>S</w:t>
      </w:r>
      <w:r>
        <w:rPr>
          <w:i/>
          <w:iCs/>
          <w:szCs w:val="21"/>
          <w:vertAlign w:val="subscript"/>
        </w:rPr>
        <w:t>0</w:t>
      </w:r>
      <w:r>
        <w:rPr>
          <w:rFonts w:hint="eastAsia"/>
          <w:szCs w:val="21"/>
        </w:rPr>
        <w:t>——内标液铝酸钠的峰面积；</w:t>
      </w:r>
    </w:p>
    <w:p w14:paraId="76284967">
      <w:pPr>
        <w:ind w:firstLine="420" w:firstLineChars="200"/>
        <w:jc w:val="left"/>
        <w:rPr>
          <w:szCs w:val="21"/>
        </w:rPr>
      </w:pPr>
      <w:r>
        <w:rPr>
          <w:i/>
          <w:iCs/>
          <w:szCs w:val="21"/>
        </w:rPr>
        <w:t>S</w:t>
      </w:r>
      <w:r>
        <w:rPr>
          <w:szCs w:val="21"/>
          <w:vertAlign w:val="subscript"/>
        </w:rPr>
        <w:t>13</w:t>
      </w:r>
      <w:r>
        <w:rPr>
          <w:rFonts w:hint="eastAsia"/>
          <w:szCs w:val="21"/>
        </w:rPr>
        <w:t>——</w:t>
      </w:r>
      <w:r>
        <w:rPr>
          <w:rFonts w:hint="eastAsia" w:hAnsi="宋体" w:cs="宋体"/>
          <w:szCs w:val="21"/>
        </w:rPr>
        <w:t>聚合态铝</w:t>
      </w:r>
      <w:r>
        <w:rPr>
          <w:rFonts w:hint="eastAsia"/>
          <w:i/>
          <w:iCs/>
          <w:szCs w:val="21"/>
        </w:rPr>
        <w:t>Al</w:t>
      </w:r>
      <w:r>
        <w:rPr>
          <w:rFonts w:hint="eastAsia"/>
          <w:szCs w:val="21"/>
          <w:vertAlign w:val="subscript"/>
        </w:rPr>
        <w:t>13</w:t>
      </w:r>
      <w:r>
        <w:rPr>
          <w:rFonts w:hint="eastAsia"/>
          <w:szCs w:val="21"/>
        </w:rPr>
        <w:t>的峰面积。</w:t>
      </w:r>
    </w:p>
    <w:p w14:paraId="42BD47D3">
      <w:pPr>
        <w:jc w:val="left"/>
        <w:rPr>
          <w:szCs w:val="21"/>
        </w:rPr>
      </w:pPr>
    </w:p>
    <w:p w14:paraId="455C0F8C">
      <w:pPr>
        <w:numPr>
          <w:ilvl w:val="0"/>
          <w:numId w:val="8"/>
        </w:numPr>
        <w:shd w:val="clear" w:color="FFFFFF" w:fill="FFFFFF"/>
        <w:tabs>
          <w:tab w:val="left" w:pos="6406"/>
        </w:tabs>
        <w:spacing w:before="560" w:after="156" w:afterLines="50"/>
        <w:ind w:left="0"/>
        <w:jc w:val="center"/>
        <w:outlineLvl w:val="0"/>
        <w:rPr>
          <w:rFonts w:ascii="黑体" w:hAnsi="Times New Roman" w:eastAsia="黑体" w:cs="Times New Roman"/>
          <w:color w:val="auto"/>
          <w:sz w:val="21"/>
          <w:lang w:val="en-US" w:eastAsia="zh-CN" w:bidi="ar-SA"/>
        </w:rPr>
      </w:pPr>
      <w:bookmarkStart w:id="87" w:name="_Toc12910"/>
      <w:bookmarkStart w:id="88" w:name="_Toc19799"/>
      <w:r>
        <w:rPr>
          <w:rFonts w:ascii="黑体" w:hAnsi="Times New Roman" w:eastAsia="黑体" w:cs="Times New Roman"/>
          <w:color w:val="auto"/>
          <w:sz w:val="21"/>
          <w:lang w:val="en-US" w:eastAsia="zh-CN" w:bidi="ar-SA"/>
        </w:rPr>
        <w:br w:type="textWrapping"/>
      </w:r>
      <w:bookmarkStart w:id="89" w:name="_Toc113374488"/>
      <w:r>
        <w:rPr>
          <w:rFonts w:hint="eastAsia" w:ascii="黑体" w:hAnsi="Times New Roman" w:eastAsia="黑体" w:cs="Times New Roman"/>
          <w:color w:val="auto"/>
          <w:sz w:val="21"/>
          <w:lang w:val="en-US" w:eastAsia="zh-CN" w:bidi="ar-SA"/>
        </w:rPr>
        <w:t>（规范性）</w:t>
      </w:r>
      <w:r>
        <w:rPr>
          <w:rFonts w:ascii="黑体" w:hAnsi="Times New Roman" w:eastAsia="黑体" w:cs="Times New Roman"/>
          <w:color w:val="auto"/>
          <w:sz w:val="21"/>
          <w:lang w:val="en-US" w:eastAsia="zh-CN" w:bidi="ar-SA"/>
        </w:rPr>
        <w:br w:type="textWrapping"/>
      </w:r>
      <w:r>
        <w:rPr>
          <w:rFonts w:hint="eastAsia" w:ascii="黑体" w:hAnsi="Times New Roman" w:eastAsia="黑体" w:cs="Times New Roman"/>
          <w:color w:val="auto"/>
          <w:sz w:val="21"/>
          <w:lang w:val="en-US" w:eastAsia="zh-CN" w:bidi="ar-SA"/>
        </w:rPr>
        <w:t>平均粒径测定方法（动态光散射</w:t>
      </w:r>
      <w:r>
        <w:rPr>
          <w:rFonts w:hint="eastAsia" w:ascii="黑体" w:hAnsi="黑体" w:eastAsia="黑体" w:cs="黑体"/>
          <w:color w:val="auto"/>
          <w:sz w:val="21"/>
          <w:lang w:val="en-US" w:eastAsia="zh-CN" w:bidi="ar-SA"/>
        </w:rPr>
        <w:t>法</w:t>
      </w:r>
      <w:r>
        <w:rPr>
          <w:rFonts w:hint="eastAsia" w:ascii="黑体" w:hAnsi="黑体" w:eastAsia="黑体" w:cs="黑体"/>
          <w:lang w:eastAsia="zh-CN"/>
        </w:rPr>
        <w:t>）</w:t>
      </w:r>
      <w:bookmarkEnd w:id="87"/>
      <w:bookmarkEnd w:id="88"/>
      <w:bookmarkEnd w:id="89"/>
    </w:p>
    <w:p w14:paraId="39E878CF">
      <w:pPr>
        <w:pStyle w:val="84"/>
        <w:spacing w:before="156" w:beforeLines="50" w:after="156" w:afterLines="50"/>
        <w:rPr>
          <w:rFonts w:hint="eastAsia" w:hAnsi="Times New Roman" w:cs="Times New Roman"/>
        </w:rPr>
      </w:pPr>
      <w:bookmarkStart w:id="90" w:name="_Toc26208"/>
      <w:r>
        <w:rPr>
          <w:rFonts w:hint="eastAsia" w:hAnsi="Times New Roman" w:cs="Times New Roman"/>
        </w:rPr>
        <w:t>方法原理</w:t>
      </w:r>
      <w:bookmarkEnd w:id="90"/>
    </w:p>
    <w:p w14:paraId="600D633E">
      <w:pPr>
        <w:ind w:firstLine="420" w:firstLineChars="200"/>
        <w:jc w:val="left"/>
        <w:rPr>
          <w:rFonts w:hint="eastAsia" w:ascii="宋体" w:hAnsi="宋体" w:eastAsia="宋体" w:cs="宋体"/>
          <w:szCs w:val="21"/>
        </w:rPr>
      </w:pPr>
      <w:r>
        <w:rPr>
          <w:rFonts w:hint="eastAsia" w:ascii="宋体" w:hAnsi="宋体" w:eastAsia="宋体" w:cs="宋体"/>
          <w:szCs w:val="21"/>
        </w:rPr>
        <w:t>本方法依据 GB/T 44223—2024和GB/T 29022的规定，采用动态光散射（Dynamic Light Scattering, DLS）技术测定纳米型聚氯化铝中颗粒的平均流体动力学直径（Average Hydrodynamic Diameter）。</w:t>
      </w:r>
    </w:p>
    <w:p w14:paraId="78B64956">
      <w:pPr>
        <w:ind w:firstLine="420" w:firstLineChars="200"/>
        <w:jc w:val="left"/>
        <w:rPr>
          <w:rFonts w:hint="eastAsia" w:ascii="宋体" w:hAnsi="宋体" w:eastAsia="宋体" w:cs="宋体"/>
          <w:szCs w:val="21"/>
        </w:rPr>
      </w:pPr>
      <w:r>
        <w:rPr>
          <w:rFonts w:hint="eastAsia" w:ascii="宋体" w:hAnsi="宋体" w:eastAsia="宋体" w:cs="宋体"/>
          <w:szCs w:val="21"/>
        </w:rPr>
        <w:t>悬浮在液体中的纳米颗粒由于受到溶剂分子的撞击而进行布朗运动（Brownian Motion）。颗粒越小，运动速度越快；颗粒越大，运动速度越慢。当激光束照射到这些运动的颗粒上时，散射光的强度会随时间发生涨落。仪器通过相关器测量散射光强的自相关函数（Autocorrelation Function），计算出颗粒的平移扩散系数（</w:t>
      </w:r>
      <w:r>
        <w:rPr>
          <w:rFonts w:hint="eastAsia" w:ascii="宋体" w:hAnsi="宋体" w:eastAsia="宋体" w:cs="宋体"/>
          <w:i/>
          <w:iCs/>
          <w:szCs w:val="21"/>
        </w:rPr>
        <w:fldChar w:fldCharType="begin"/>
      </w:r>
      <w:r>
        <w:rPr>
          <w:rFonts w:hint="eastAsia" w:ascii="宋体" w:hAnsi="宋体" w:eastAsia="宋体" w:cs="宋体"/>
          <w:i/>
          <w:iCs/>
          <w:szCs w:val="21"/>
        </w:rPr>
        <w:instrText xml:space="preserve"> QUOTE </w:instrText>
      </w:r>
      <w:r>
        <w:rPr>
          <w:rFonts w:hint="eastAsia" w:ascii="宋体" w:hAnsi="宋体" w:eastAsia="宋体" w:cs="宋体"/>
          <w:i/>
          <w:iCs/>
          <w:szCs w:val="21"/>
        </w:rPr>
        <w:pict>
          <v:shape id="_x0000_i1025" o:spt="75" type="#_x0000_t75" style="height:15.75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mirrorMargin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ODdiNDM5ZjM0MmZlNTdhMWFiNmM1NjYzYmNlN2ZjYjEifQ==&quot;/&gt;&lt;/w:docVars&gt;&lt;wsp:rsids&gt;&lt;wsp:rsidRoot wsp:val=&quot;00035925&quot;/&gt;&lt;wsp:rsid wsp:val=&quot;00000244&quot;/&gt;&lt;wsp:rsid wsp:val=&quot;0000185F&quot;/&gt;&lt;wsp:rsid wsp:val=&quot;0000586F&quot;/&gt;&lt;wsp:rsid wsp:val=&quot;00013D86&quot;/&gt;&lt;wsp:rsid wsp:val=&quot;00013E02&quot;/&gt;&lt;wsp:rsid wsp:val=&quot;00016D29&quot;/&gt;&lt;wsp:rsid wsp:val=&quot;0002143C&quot;/&gt;&lt;wsp:rsid wsp:val=&quot;00024D73&quot;/&gt;&lt;wsp:rsid wsp:val=&quot;00025A65&quot;/&gt;&lt;wsp:rsid wsp:val=&quot;00026C31&quot;/&gt;&lt;wsp:rsid wsp:val=&quot;00027280&quot;/&gt;&lt;wsp:rsid wsp:val=&quot;00031663&quot;/&gt;&lt;wsp:rsid wsp:val=&quot;000320A7&quot;/&gt;&lt;wsp:rsid wsp:val=&quot;00033841&quot;/&gt;&lt;wsp:rsid wsp:val=&quot;0003559F&quot;/&gt;&lt;wsp:rsid wsp:val=&quot;000358B6&quot;/&gt;&lt;wsp:rsid wsp:val=&quot;00035925&quot;/&gt;&lt;wsp:rsid wsp:val=&quot;00040B5B&quot;/&gt;&lt;wsp:rsid wsp:val=&quot;000438F1&quot;/&gt;&lt;wsp:rsid wsp:val=&quot;0005035D&quot;/&gt;&lt;wsp:rsid wsp:val=&quot;00052C18&quot;/&gt;&lt;wsp:rsid wsp:val=&quot;00054692&quot;/&gt;&lt;wsp:rsid wsp:val=&quot;00056315&quot;/&gt;&lt;wsp:rsid wsp:val=&quot;00062B2F&quot;/&gt;&lt;wsp:rsid wsp:val=&quot;00067CDF&quot;/&gt;&lt;wsp:rsid wsp:val=&quot;00074FBE&quot;/&gt;&lt;wsp:rsid wsp:val=&quot;00083415&quot;/&gt;&lt;wsp:rsid wsp:val=&quot;00083A09&quot;/&gt;&lt;wsp:rsid wsp:val=&quot;000868F2&quot;/&gt;&lt;wsp:rsid wsp:val=&quot;0009005E&quot;/&gt;&lt;wsp:rsid wsp:val=&quot;00092857&quot;/&gt;&lt;wsp:rsid wsp:val=&quot;00096A0D&quot;/&gt;&lt;wsp:rsid wsp:val=&quot;000A20A9&quot;/&gt;&lt;wsp:rsid wsp:val=&quot;000A48B1&quot;/&gt;&lt;wsp:rsid wsp:val=&quot;000A67E5&quot;/&gt;&lt;wsp:rsid wsp:val=&quot;000B3143&quot;/&gt;&lt;wsp:rsid wsp:val=&quot;000B4B1C&quot;/&gt;&lt;wsp:rsid wsp:val=&quot;000C47A1&quot;/&gt;&lt;wsp:rsid wsp:val=&quot;000C4928&quot;/&gt;&lt;wsp:rsid wsp:val=&quot;000C651B&quot;/&gt;&lt;wsp:rsid wsp:val=&quot;000C6B05&quot;/&gt;&lt;wsp:rsid wsp:val=&quot;000C6DD6&quot;/&gt;&lt;wsp:rsid wsp:val=&quot;000C73D4&quot;/&gt;&lt;wsp:rsid wsp:val=&quot;000D3D4C&quot;/&gt;&lt;wsp:rsid wsp:val=&quot;000D4F51&quot;/&gt;&lt;wsp:rsid wsp:val=&quot;000D718B&quot;/&gt;&lt;wsp:rsid wsp:val=&quot;000E059A&quot;/&gt;&lt;wsp:rsid wsp:val=&quot;000E0B88&quot;/&gt;&lt;wsp:rsid wsp:val=&quot;000E0C46&quot;/&gt;&lt;wsp:rsid wsp:val=&quot;000E630F&quot;/&gt;&lt;wsp:rsid wsp:val=&quot;000F030C&quot;/&gt;&lt;wsp:rsid wsp:val=&quot;000F129C&quot;/&gt;&lt;wsp:rsid wsp:val=&quot;000F19AE&quot;/&gt;&lt;wsp:rsid wsp:val=&quot;000F3707&quot;/&gt;&lt;wsp:rsid wsp:val=&quot;001020F3&quot;/&gt;&lt;wsp:rsid wsp:val=&quot;001036BE&quot;/&gt;&lt;wsp:rsid wsp:val=&quot;001045EA&quot;/&gt;&lt;wsp:rsid wsp:val=&quot;001056DE&quot;/&gt;&lt;wsp:rsid wsp:val=&quot;00107050&quot;/&gt;&lt;wsp:rsid wsp:val=&quot;001124C0&quot;/&gt;&lt;wsp:rsid wsp:val=&quot;00124188&quot;/&gt;&lt;wsp:rsid wsp:val=&quot;0013175F&quot;/&gt;&lt;wsp:rsid wsp:val=&quot;00146E25&quot;/&gt;&lt;wsp:rsid wsp:val=&quot;001512B4&quot;/&gt;&lt;wsp:rsid wsp:val=&quot;00151CF1&quot;/&gt;&lt;wsp:rsid wsp:val=&quot;00152CB5&quot;/&gt;&lt;wsp:rsid wsp:val=&quot;001620A5&quot;/&gt;&lt;wsp:rsid wsp:val=&quot;00164E53&quot;/&gt;&lt;wsp:rsid wsp:val=&quot;00166910&quot;/&gt;&lt;wsp:rsid wsp:val=&quot;0016699D&quot;/&gt;&lt;wsp:rsid wsp:val=&quot;001676C9&quot;/&gt;&lt;wsp:rsid wsp:val=&quot;00174563&quot;/&gt;&lt;wsp:rsid wsp:val=&quot;00175159&quot;/&gt;&lt;wsp:rsid wsp:val=&quot;00176208&quot;/&gt;&lt;wsp:rsid wsp:val=&quot;0018211B&quot;/&gt;&lt;wsp:rsid wsp:val=&quot;00183884&quot;/&gt;&lt;wsp:rsid wsp:val=&quot;001840D3&quot;/&gt;&lt;wsp:rsid wsp:val=&quot;001900F8&quot;/&gt;&lt;wsp:rsid wsp:val=&quot;00191258&quot;/&gt;&lt;wsp:rsid wsp:val=&quot;00191268&quot;/&gt;&lt;wsp:rsid wsp:val=&quot;00192680&quot;/&gt;&lt;wsp:rsid wsp:val=&quot;001926A1&quot;/&gt;&lt;wsp:rsid wsp:val=&quot;00193037&quot;/&gt;&lt;wsp:rsid wsp:val=&quot;00193A2C&quot;/&gt;&lt;wsp:rsid wsp:val=&quot;001A288E&quot;/&gt;&lt;wsp:rsid wsp:val=&quot;001A4192&quot;/&gt;&lt;wsp:rsid wsp:val=&quot;001A64C8&quot;/&gt;&lt;wsp:rsid wsp:val=&quot;001A6E9E&quot;/&gt;&lt;wsp:rsid wsp:val=&quot;001B1355&quot;/&gt;&lt;wsp:rsid wsp:val=&quot;001B6DC2&quot;/&gt;&lt;wsp:rsid wsp:val=&quot;001C149C&quot;/&gt;&lt;wsp:rsid wsp:val=&quot;001C1B0E&quot;/&gt;&lt;wsp:rsid wsp:val=&quot;001C21AC&quot;/&gt;&lt;wsp:rsid wsp:val=&quot;001C47BA&quot;/&gt;&lt;wsp:rsid wsp:val=&quot;001C59EA&quot;/&gt;&lt;wsp:rsid wsp:val=&quot;001D406C&quot;/&gt;&lt;wsp:rsid wsp:val=&quot;001D41EE&quot;/&gt;&lt;wsp:rsid wsp:val=&quot;001D5AD1&quot;/&gt;&lt;wsp:rsid wsp:val=&quot;001E0380&quot;/&gt;&lt;wsp:rsid wsp:val=&quot;001E13B1&quot;/&gt;&lt;wsp:rsid wsp:val=&quot;001E37B1&quot;/&gt;&lt;wsp:rsid wsp:val=&quot;001E3E08&quot;/&gt;&lt;wsp:rsid wsp:val=&quot;001E62F1&quot;/&gt;&lt;wsp:rsid wsp:val=&quot;001F3A19&quot;/&gt;&lt;wsp:rsid wsp:val=&quot;00204999&quot;/&gt;&lt;wsp:rsid wsp:val=&quot;00234467&quot;/&gt;&lt;wsp:rsid wsp:val=&quot;00236563&quot;/&gt;&lt;wsp:rsid wsp:val=&quot;00237D8D&quot;/&gt;&lt;wsp:rsid wsp:val=&quot;0024164C&quot;/&gt;&lt;wsp:rsid wsp:val=&quot;00241DA2&quot;/&gt;&lt;wsp:rsid wsp:val=&quot;00245AC4&quot;/&gt;&lt;wsp:rsid wsp:val=&quot;0024669F&quot;/&gt;&lt;wsp:rsid wsp:val=&quot;00247FEE&quot;/&gt;&lt;wsp:rsid wsp:val=&quot;00250E7D&quot;/&gt;&lt;wsp:rsid wsp:val=&quot;00252BC8&quot;/&gt;&lt;wsp:rsid wsp:val=&quot;00253453&quot;/&gt;&lt;wsp:rsid wsp:val=&quot;002565D5&quot;/&gt;&lt;wsp:rsid wsp:val=&quot;0026016A&quot;/&gt;&lt;wsp:rsid wsp:val=&quot;002622C0&quot;/&gt;&lt;wsp:rsid wsp:val=&quot;0026410B&quot;/&gt;&lt;wsp:rsid wsp:val=&quot;00271141&quot;/&gt;&lt;wsp:rsid wsp:val=&quot;0027759F&quot;/&gt;&lt;wsp:rsid wsp:val=&quot;002778AE&quot;/&gt;&lt;wsp:rsid wsp:val=&quot;0028098B&quot;/&gt;&lt;wsp:rsid wsp:val=&quot;00280E4B&quot;/&gt;&lt;wsp:rsid wsp:val=&quot;0028269A&quot;/&gt;&lt;wsp:rsid wsp:val=&quot;00283590&quot;/&gt;&lt;wsp:rsid wsp:val=&quot;00286478&quot;/&gt;&lt;wsp:rsid wsp:val=&quot;002868D2&quot;/&gt;&lt;wsp:rsid wsp:val=&quot;00286973&quot;/&gt;&lt;wsp:rsid wsp:val=&quot;00290075&quot;/&gt;&lt;wsp:rsid wsp:val=&quot;00294E70&quot;/&gt;&lt;wsp:rsid wsp:val=&quot;00296269&quot;/&gt;&lt;wsp:rsid wsp:val=&quot;002A1924&quot;/&gt;&lt;wsp:rsid wsp:val=&quot;002A7420&quot;/&gt;&lt;wsp:rsid wsp:val=&quot;002B0F12&quot;/&gt;&lt;wsp:rsid wsp:val=&quot;002B1308&quot;/&gt;&lt;wsp:rsid wsp:val=&quot;002B2632&quot;/&gt;&lt;wsp:rsid wsp:val=&quot;002B3ECF&quot;/&gt;&lt;wsp:rsid wsp:val=&quot;002B4554&quot;/&gt;&lt;wsp:rsid wsp:val=&quot;002C1BF3&quot;/&gt;&lt;wsp:rsid wsp:val=&quot;002C72D8&quot;/&gt;&lt;wsp:rsid wsp:val=&quot;002D0E66&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301F39&quot;/&gt;&lt;wsp:rsid wsp:val=&quot;00305BFC&quot;/&gt;&lt;wsp:rsid wsp:val=&quot;00307272&quot;/&gt;&lt;wsp:rsid wsp:val=&quot;00317F54&quot;/&gt;&lt;wsp:rsid wsp:val=&quot;00320581&quot;/&gt;&lt;wsp:rsid wsp:val=&quot;00325926&quot;/&gt;&lt;wsp:rsid wsp:val=&quot;00325B6D&quot;/&gt;&lt;wsp:rsid wsp:val=&quot;003261E3&quot;/&gt;&lt;wsp:rsid wsp:val=&quot;00327A8A&quot;/&gt;&lt;wsp:rsid wsp:val=&quot;00331B2F&quot;/&gt;&lt;wsp:rsid wsp:val=&quot;0033608E&quot;/&gt;&lt;wsp:rsid wsp:val=&quot;00336610&quot;/&gt;&lt;wsp:rsid wsp:val=&quot;00343F73&quot;/&gt;&lt;wsp:rsid wsp:val=&quot;00345060&quot;/&gt;&lt;wsp:rsid wsp:val=&quot;003457C2&quot;/&gt;&lt;wsp:rsid wsp:val=&quot;003471BD&quot;/&gt;&lt;wsp:rsid wsp:val=&quot;00347452&quot;/&gt;&lt;wsp:rsid wsp:val=&quot;0035323B&quot;/&gt;&lt;wsp:rsid wsp:val=&quot;003578BA&quot;/&gt;&lt;wsp:rsid wsp:val=&quot;0036015A&quot;/&gt;&lt;wsp:rsid wsp:val=&quot;003609D2&quot;/&gt;&lt;wsp:rsid wsp:val=&quot;00363F22&quot;/&gt;&lt;wsp:rsid wsp:val=&quot;00364E5C&quot;/&gt;&lt;wsp:rsid wsp:val=&quot;0036506B&quot;/&gt;&lt;wsp:rsid wsp:val=&quot;00370C90&quot;/&gt;&lt;wsp:rsid wsp:val=&quot;00375564&quot;/&gt;&lt;wsp:rsid wsp:val=&quot;0038088A&quot;/&gt;&lt;wsp:rsid wsp:val=&quot;00383191&quot;/&gt;&lt;wsp:rsid wsp:val=&quot;00386624&quot;/&gt;&lt;wsp:rsid wsp:val=&quot;00386DED&quot;/&gt;&lt;wsp:rsid wsp:val=&quot;00387FC4&quot;/&gt;&lt;wsp:rsid wsp:val=&quot;003912E7&quot;/&gt;&lt;wsp:rsid wsp:val=&quot;00392A0C&quot;/&gt;&lt;wsp:rsid wsp:val=&quot;00393947&quot;/&gt;&lt;wsp:rsid wsp:val=&quot;003A2275&quot;/&gt;&lt;wsp:rsid wsp:val=&quot;003A6A4F&quot;/&gt;&lt;wsp:rsid wsp:val=&quot;003A7088&quot;/&gt;&lt;wsp:rsid wsp:val=&quot;003B00DF&quot;/&gt;&lt;wsp:rsid wsp:val=&quot;003B1275&quot;/&gt;&lt;wsp:rsid wsp:val=&quot;003B1778&quot;/&gt;&lt;wsp:rsid wsp:val=&quot;003B6F85&quot;/&gt;&lt;wsp:rsid wsp:val=&quot;003B7FE0&quot;/&gt;&lt;wsp:rsid wsp:val=&quot;003C11CB&quot;/&gt;&lt;wsp:rsid wsp:val=&quot;003C75F3&quot;/&gt;&lt;wsp:rsid wsp:val=&quot;003C78A3&quot;/&gt;&lt;wsp:rsid wsp:val=&quot;003D672F&quot;/&gt;&lt;wsp:rsid wsp:val=&quot;003E005B&quot;/&gt;&lt;wsp:rsid wsp:val=&quot;003E1867&quot;/&gt;&lt;wsp:rsid wsp:val=&quot;003E5729&quot;/&gt;&lt;wsp:rsid wsp:val=&quot;003E5A5C&quot;/&gt;&lt;wsp:rsid wsp:val=&quot;003F160B&quot;/&gt;&lt;wsp:rsid wsp:val=&quot;003F4EE0&quot;/&gt;&lt;wsp:rsid wsp:val=&quot;004011AB&quot;/&gt;&lt;wsp:rsid wsp:val=&quot;00402153&quot;/&gt;&lt;wsp:rsid wsp:val=&quot;00402FC1&quot;/&gt;&lt;wsp:rsid wsp:val=&quot;00404ADE&quot;/&gt;&lt;wsp:rsid wsp:val=&quot;00410A0C&quot;/&gt;&lt;wsp:rsid wsp:val=&quot;004208F2&quot;/&gt;&lt;wsp:rsid wsp:val=&quot;00421A26&quot;/&gt;&lt;wsp:rsid wsp:val=&quot;00425082&quot;/&gt;&lt;wsp:rsid wsp:val=&quot;00431BE8&quot;/&gt;&lt;wsp:rsid wsp:val=&quot;00431DEB&quot;/&gt;&lt;wsp:rsid wsp:val=&quot;00433A8B&quot;/&gt;&lt;wsp:rsid wsp:val=&quot;00435823&quot;/&gt;&lt;wsp:rsid wsp:val=&quot;00442C64&quot;/&gt;&lt;wsp:rsid wsp:val=&quot;00446B29&quot;/&gt;&lt;wsp:rsid wsp:val=&quot;00453F9A&quot;/&gt;&lt;wsp:rsid wsp:val=&quot;00471E91&quot;/&gt;&lt;wsp:rsid wsp:val=&quot;00474675&quot;/&gt;&lt;wsp:rsid wsp:val=&quot;0047470C&quot;/&gt;&lt;wsp:rsid wsp:val=&quot;00481E99&quot;/&gt;&lt;wsp:rsid wsp:val=&quot;0048466A&quot;/&gt;&lt;wsp:rsid wsp:val=&quot;00484AC3&quot;/&gt;&lt;wsp:rsid wsp:val=&quot;00486BC0&quot;/&gt;&lt;wsp:rsid wsp:val=&quot;00494314&quot;/&gt;&lt;wsp:rsid wsp:val=&quot;00496379&quot;/&gt;&lt;wsp:rsid wsp:val=&quot;004A25B8&quot;/&gt;&lt;wsp:rsid wsp:val=&quot;004A35F9&quot;/&gt;&lt;wsp:rsid wsp:val=&quot;004A61F3&quot;/&gt;&lt;wsp:rsid wsp:val=&quot;004A6C87&quot;/&gt;&lt;wsp:rsid wsp:val=&quot;004B154F&quot;/&gt;&lt;wsp:rsid wsp:val=&quot;004B202F&quot;/&gt;&lt;wsp:rsid wsp:val=&quot;004B24C1&quot;/&gt;&lt;wsp:rsid wsp:val=&quot;004B410B&quot;/&gt;&lt;wsp:rsid wsp:val=&quot;004C292F&quot;/&gt;&lt;wsp:rsid wsp:val=&quot;004C57F8&quot;/&gt;&lt;wsp:rsid wsp:val=&quot;004D06B5&quot;/&gt;&lt;wsp:rsid wsp:val=&quot;004D5B5D&quot;/&gt;&lt;wsp:rsid wsp:val=&quot;004D6EBF&quot;/&gt;&lt;wsp:rsid wsp:val=&quot;004E2083&quot;/&gt;&lt;wsp:rsid wsp:val=&quot;004E287F&quot;/&gt;&lt;wsp:rsid wsp:val=&quot;004E5004&quot;/&gt;&lt;wsp:rsid wsp:val=&quot;004E5141&quot;/&gt;&lt;wsp:rsid wsp:val=&quot;004E7B20&quot;/&gt;&lt;wsp:rsid wsp:val=&quot;00501A8F&quot;/&gt;&lt;wsp:rsid wsp:val=&quot;0050709E&quot;/&gt;&lt;wsp:rsid wsp:val=&quot;00510280&quot;/&gt;&lt;wsp:rsid wsp:val=&quot;00513D73&quot;/&gt;&lt;wsp:rsid wsp:val=&quot;00514A43&quot;/&gt;&lt;wsp:rsid wsp:val=&quot;005174E5&quot;/&gt;&lt;wsp:rsid wsp:val=&quot;00522393&quot;/&gt;&lt;wsp:rsid wsp:val=&quot;00522620&quot;/&gt;&lt;wsp:rsid wsp:val=&quot;00522E8F&quot;/&gt;&lt;wsp:rsid wsp:val=&quot;0052302C&quot;/&gt;&lt;wsp:rsid wsp:val=&quot;00524376&quot;/&gt;&lt;wsp:rsid wsp:val=&quot;00525656&quot;/&gt;&lt;wsp:rsid wsp:val=&quot;0052625F&quot;/&gt;&lt;wsp:rsid wsp:val=&quot;00532FB0&quot;/&gt;&lt;wsp:rsid wsp:val=&quot;00534C02&quot;/&gt;&lt;wsp:rsid wsp:val=&quot;00541489&quot;/&gt;&lt;wsp:rsid wsp:val=&quot;0054264B&quot;/&gt;&lt;wsp:rsid wsp:val=&quot;00543786&quot;/&gt;&lt;wsp:rsid wsp:val=&quot;005460DC&quot;/&gt;&lt;wsp:rsid wsp:val=&quot;005533D7&quot;/&gt;&lt;wsp:rsid wsp:val=&quot;005703DE&quot;/&gt;&lt;wsp:rsid wsp:val=&quot;0058464E&quot;/&gt;&lt;wsp:rsid wsp:val=&quot;005921CF&quot;/&gt;&lt;wsp:rsid wsp:val=&quot;005A01CB&quot;/&gt;&lt;wsp:rsid wsp:val=&quot;005A58FF&quot;/&gt;&lt;wsp:rsid wsp:val=&quot;005A5EAF&quot;/&gt;&lt;wsp:rsid wsp:val=&quot;005A64C0&quot;/&gt;&lt;wsp:rsid wsp:val=&quot;005B0A39&quot;/&gt;&lt;wsp:rsid wsp:val=&quot;005B3C11&quot;/&gt;&lt;wsp:rsid wsp:val=&quot;005C1C28&quot;/&gt;&lt;wsp:rsid wsp:val=&quot;005C6DB5&quot;/&gt;&lt;wsp:rsid wsp:val=&quot;005D4D2B&quot;/&gt;&lt;wsp:rsid wsp:val=&quot;005E19E7&quot;/&gt;&lt;wsp:rsid wsp:val=&quot;005E2C4D&quot;/&gt;&lt;wsp:rsid wsp:val=&quot;005F48F2&quot;/&gt;&lt;wsp:rsid wsp:val=&quot;00604385&quot;/&gt;&lt;wsp:rsid wsp:val=&quot;00610DCF&quot;/&gt;&lt;wsp:rsid wsp:val=&quot;0061447A&quot;/&gt;&lt;wsp:rsid wsp:val=&quot;0061716C&quot;/&gt;&lt;wsp:rsid wsp:val=&quot;00623DF0&quot;/&gt;&lt;wsp:rsid wsp:val=&quot;006243A1&quot;/&gt;&lt;wsp:rsid wsp:val=&quot;006327D3&quot;/&gt;&lt;wsp:rsid wsp:val=&quot;00632E56&quot;/&gt;&lt;wsp:rsid wsp:val=&quot;006345FE&quot;/&gt;&lt;wsp:rsid wsp:val=&quot;006353A8&quot;/&gt;&lt;wsp:rsid wsp:val=&quot;00635CBA&quot;/&gt;&lt;wsp:rsid wsp:val=&quot;0063656A&quot;/&gt;&lt;wsp:rsid wsp:val=&quot;0064338B&quot;/&gt;&lt;wsp:rsid wsp:val=&quot;00645B06&quot;/&gt;&lt;wsp:rsid wsp:val=&quot;00646542&quot;/&gt;&lt;wsp:rsid wsp:val=&quot;006504F4&quot;/&gt;&lt;wsp:rsid wsp:val=&quot;006515B3&quot;/&gt;&lt;wsp:rsid wsp:val=&quot;00654BC9&quot;/&gt;&lt;wsp:rsid wsp:val=&quot;006552FD&quot;/&gt;&lt;wsp:rsid wsp:val=&quot;00657059&quot;/&gt;&lt;wsp:rsid wsp:val=&quot;00663AF3&quot;/&gt;&lt;wsp:rsid wsp:val=&quot;00664DD8&quot;/&gt;&lt;wsp:rsid wsp:val=&quot;00666B6C&quot;/&gt;&lt;wsp:rsid wsp:val=&quot;00667189&quot;/&gt;&lt;wsp:rsid wsp:val=&quot;0067609E&quot;/&gt;&lt;wsp:rsid wsp:val=&quot;00676627&quot;/&gt;&lt;wsp:rsid wsp:val=&quot;00681BA0&quot;/&gt;&lt;wsp:rsid wsp:val=&quot;00682682&quot;/&gt;&lt;wsp:rsid wsp:val=&quot;00682702&quot;/&gt;&lt;wsp:rsid wsp:val=&quot;00692368&quot;/&gt;&lt;wsp:rsid wsp:val=&quot;006941C1&quot;/&gt;&lt;wsp:rsid wsp:val=&quot;00694CF1&quot;/&gt;&lt;wsp:rsid wsp:val=&quot;006A00F2&quot;/&gt;&lt;wsp:rsid wsp:val=&quot;006A2EBC&quot;/&gt;&lt;wsp:rsid wsp:val=&quot;006A3AA1&quot;/&gt;&lt;wsp:rsid wsp:val=&quot;006A5EA0&quot;/&gt;&lt;wsp:rsid wsp:val=&quot;006A783B&quot;/&gt;&lt;wsp:rsid wsp:val=&quot;006A7B33&quot;/&gt;&lt;wsp:rsid wsp:val=&quot;006B41F3&quot;/&gt;&lt;wsp:rsid wsp:val=&quot;006B4E13&quot;/&gt;&lt;wsp:rsid wsp:val=&quot;006B75DD&quot;/&gt;&lt;wsp:rsid wsp:val=&quot;006B7CA2&quot;/&gt;&lt;wsp:rsid wsp:val=&quot;006C67E0&quot;/&gt;&lt;wsp:rsid wsp:val=&quot;006C7ABA&quot;/&gt;&lt;wsp:rsid wsp:val=&quot;006D0D60&quot;/&gt;&lt;wsp:rsid wsp:val=&quot;006D1122&quot;/&gt;&lt;wsp:rsid wsp:val=&quot;006D3C00&quot;/&gt;&lt;wsp:rsid wsp:val=&quot;006D7260&quot;/&gt;&lt;wsp:rsid wsp:val=&quot;006E3675&quot;/&gt;&lt;wsp:rsid wsp:val=&quot;006E4A7F&quot;/&gt;&lt;wsp:rsid wsp:val=&quot;006E5254&quot;/&gt;&lt;wsp:rsid wsp:val=&quot;006F0D88&quot;/&gt;&lt;wsp:rsid wsp:val=&quot;006F5381&quot;/&gt;&lt;wsp:rsid wsp:val=&quot;006F565E&quot;/&gt;&lt;wsp:rsid wsp:val=&quot;00704DF6&quot;/&gt;&lt;wsp:rsid wsp:val=&quot;0070651C&quot;/&gt;&lt;wsp:rsid wsp:val=&quot;007132A3&quot;/&gt;&lt;wsp:rsid wsp:val=&quot;00714204&quot;/&gt;&lt;wsp:rsid wsp:val=&quot;00716421&quot;/&gt;&lt;wsp:rsid wsp:val=&quot;00724EFB&quot;/&gt;&lt;wsp:rsid wsp:val=&quot;00737558&quot;/&gt;&lt;wsp:rsid wsp:val=&quot;0074177A&quot;/&gt;&lt;wsp:rsid wsp:val=&quot;007419C3&quot;/&gt;&lt;wsp:rsid wsp:val=&quot;00746508&quot;/&gt;&lt;wsp:rsid wsp:val=&quot;007467A7&quot;/&gt;&lt;wsp:rsid wsp:val=&quot;007469DD&quot;/&gt;&lt;wsp:rsid wsp:val=&quot;0074741B&quot;/&gt;&lt;wsp:rsid wsp:val=&quot;0074759E&quot;/&gt;&lt;wsp:rsid wsp:val=&quot;007478EA&quot;/&gt;&lt;wsp:rsid wsp:val=&quot;0075415C&quot;/&gt;&lt;wsp:rsid wsp:val=&quot;00757471&quot;/&gt;&lt;wsp:rsid wsp:val=&quot;00761930&quot;/&gt;&lt;wsp:rsid wsp:val=&quot;00763502&quot;/&gt;&lt;wsp:rsid wsp:val=&quot;0076399D&quot;/&gt;&lt;wsp:rsid wsp:val=&quot;007753F7&quot;/&gt;&lt;wsp:rsid wsp:val=&quot;00777106&quot;/&gt;&lt;wsp:rsid wsp:val=&quot;0078220E&quot;/&gt;&lt;wsp:rsid wsp:val=&quot;007863C3&quot;/&gt;&lt;wsp:rsid wsp:val=&quot;00786CD0&quot;/&gt;&lt;wsp:rsid wsp:val=&quot;00787A13&quot;/&gt;&lt;wsp:rsid wsp:val=&quot;0079077F&quot;/&gt;&lt;wsp:rsid wsp:val=&quot;007913AB&quot;/&gt;&lt;wsp:rsid wsp:val=&quot;007914F7&quot;/&gt;&lt;wsp:rsid wsp:val=&quot;007A62F1&quot;/&gt;&lt;wsp:rsid wsp:val=&quot;007A7A93&quot;/&gt;&lt;wsp:rsid wsp:val=&quot;007B016B&quot;/&gt;&lt;wsp:rsid wsp:val=&quot;007B1625&quot;/&gt;&lt;wsp:rsid wsp:val=&quot;007B403F&quot;/&gt;&lt;wsp:rsid wsp:val=&quot;007B706E&quot;/&gt;&lt;wsp:rsid wsp:val=&quot;007B71EB&quot;/&gt;&lt;wsp:rsid wsp:val=&quot;007C2123&quot;/&gt;&lt;wsp:rsid wsp:val=&quot;007C5590&quot;/&gt;&lt;wsp:rsid wsp:val=&quot;007C6205&quot;/&gt;&lt;wsp:rsid wsp:val=&quot;007C686A&quot;/&gt;&lt;wsp:rsid wsp:val=&quot;007C728E&quot;/&gt;&lt;wsp:rsid wsp:val=&quot;007D15F1&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E0B&quot;/&gt;&lt;wsp:rsid wsp:val=&quot;007F758D&quot;/&gt;&lt;wsp:rsid wsp:val=&quot;007F7D52&quot;/&gt;&lt;wsp:rsid wsp:val=&quot;00804ADB&quot;/&gt;&lt;wsp:rsid wsp:val=&quot;0080654C&quot;/&gt;&lt;wsp:rsid wsp:val=&quot;008071C6&quot;/&gt;&lt;wsp:rsid wsp:val=&quot;00810028&quot;/&gt;&lt;wsp:rsid wsp:val=&quot;00817A00&quot;/&gt;&lt;wsp:rsid wsp:val=&quot;00820F56&quot;/&gt;&lt;wsp:rsid wsp:val=&quot;00823015&quot;/&gt;&lt;wsp:rsid wsp:val=&quot;00827BFC&quot;/&gt;&lt;wsp:rsid wsp:val=&quot;00835DB3&quot;/&gt;&lt;wsp:rsid wsp:val=&quot;0083617B&quot;/&gt;&lt;wsp:rsid wsp:val=&quot;008371BD&quot;/&gt;&lt;wsp:rsid wsp:val=&quot;00846855&quot;/&gt;&lt;wsp:rsid wsp:val=&quot;008504A8&quot;/&gt;&lt;wsp:rsid wsp:val=&quot;0085282E&quot;/&gt;&lt;wsp:rsid wsp:val=&quot;008620B9&quot;/&gt;&lt;wsp:rsid wsp:val=&quot;0087198C&quot;/&gt;&lt;wsp:rsid wsp:val=&quot;00872C1F&quot;/&gt;&lt;wsp:rsid wsp:val=&quot;00872CEE&quot;/&gt;&lt;wsp:rsid wsp:val=&quot;00873B42&quot;/&gt;&lt;wsp:rsid wsp:val=&quot;00875157&quot;/&gt;&lt;wsp:rsid wsp:val=&quot;00875D81&quot;/&gt;&lt;wsp:rsid wsp:val=&quot;008856D8&quot;/&gt;&lt;wsp:rsid wsp:val=&quot;00892E82&quot;/&gt;&lt;wsp:rsid wsp:val=&quot;00897415&quot;/&gt;&lt;wsp:rsid wsp:val=&quot;008A7B26&quot;/&gt;&lt;wsp:rsid wsp:val=&quot;008B44C2&quot;/&gt;&lt;wsp:rsid wsp:val=&quot;008B6A2E&quot;/&gt;&lt;wsp:rsid wsp:val=&quot;008B7F3B&quot;/&gt;&lt;wsp:rsid wsp:val=&quot;008C1B58&quot;/&gt;&lt;wsp:rsid wsp:val=&quot;008C39AE&quot;/&gt;&lt;wsp:rsid wsp:val=&quot;008C590D&quot;/&gt;&lt;wsp:rsid wsp:val=&quot;008C6ADB&quot;/&gt;&lt;wsp:rsid wsp:val=&quot;008D0AC3&quot;/&gt;&lt;wsp:rsid wsp:val=&quot;008E031B&quot;/&gt;&lt;wsp:rsid wsp:val=&quot;008E7029&quot;/&gt;&lt;wsp:rsid wsp:val=&quot;008E7EF6&quot;/&gt;&lt;wsp:rsid wsp:val=&quot;008F0478&quot;/&gt;&lt;wsp:rsid wsp:val=&quot;008F138F&quot;/&gt;&lt;wsp:rsid wsp:val=&quot;008F1F98&quot;/&gt;&lt;wsp:rsid wsp:val=&quot;008F5D93&quot;/&gt;&lt;wsp:rsid wsp:val=&quot;008F6758&quot;/&gt;&lt;wsp:rsid wsp:val=&quot;00901F00&quot;/&gt;&lt;wsp:rsid wsp:val=&quot;00901FCE&quot;/&gt;&lt;wsp:rsid wsp:val=&quot;009040DD&quot;/&gt;&lt;wsp:rsid wsp:val=&quot;00905B47&quot;/&gt;&lt;wsp:rsid wsp:val=&quot;009103EF&quot;/&gt;&lt;wsp:rsid wsp:val=&quot;00910497&quot;/&gt;&lt;wsp:rsid wsp:val=&quot;00911E47&quot;/&gt;&lt;wsp:rsid wsp:val=&quot;0091331C&quot;/&gt;&lt;wsp:rsid wsp:val=&quot;00914002&quot;/&gt;&lt;wsp:rsid wsp:val=&quot;00915C53&quot;/&gt;&lt;wsp:rsid wsp:val=&quot;009174FD&quot;/&gt;&lt;wsp:rsid wsp:val=&quot;009201D6&quot;/&gt;&lt;wsp:rsid wsp:val=&quot;0092670E&quot;/&gt;&lt;wsp:rsid wsp:val=&quot;00926917&quot;/&gt;&lt;wsp:rsid wsp:val=&quot;009269C4&quot;/&gt;&lt;wsp:rsid wsp:val=&quot;009279DE&quot;/&gt;&lt;wsp:rsid wsp:val=&quot;00930116&quot;/&gt;&lt;wsp:rsid wsp:val=&quot;0094212C&quot;/&gt;&lt;wsp:rsid wsp:val=&quot;0094666E&quot;/&gt;&lt;wsp:rsid wsp:val=&quot;00954689&quot;/&gt;&lt;wsp:rsid wsp:val=&quot;009551D1&quot;/&gt;&lt;wsp:rsid wsp:val=&quot;00956966&quot;/&gt;&lt;wsp:rsid wsp:val=&quot;009617C9&quot;/&gt;&lt;wsp:rsid wsp:val=&quot;00961C93&quot;/&gt;&lt;wsp:rsid wsp:val=&quot;00965324&quot;/&gt;&lt;wsp:rsid wsp:val=&quot;00966740&quot;/&gt;&lt;wsp:rsid wsp:val=&quot;0097047A&quot;/&gt;&lt;wsp:rsid wsp:val=&quot;0097091E&quot;/&gt;&lt;wsp:rsid wsp:val=&quot;009760D3&quot;/&gt;&lt;wsp:rsid wsp:val=&quot;00977132&quot;/&gt;&lt;wsp:rsid wsp:val=&quot;009776B8&quot;/&gt;&lt;wsp:rsid wsp:val=&quot;0097776E&quot;/&gt;&lt;wsp:rsid wsp:val=&quot;00981A4B&quot;/&gt;&lt;wsp:rsid wsp:val=&quot;00982501&quot;/&gt;&lt;wsp:rsid wsp:val=&quot;0098642A&quot;/&gt;&lt;wsp:rsid wsp:val=&quot;009877D3&quot;/&gt;&lt;wsp:rsid wsp:val=&quot;00990E49&quot;/&gt;&lt;wsp:rsid wsp:val=&quot;00994E8F&quot;/&gt;&lt;wsp:rsid wsp:val=&quot;009951DC&quot;/&gt;&lt;wsp:rsid wsp:val=&quot;009959BB&quot;/&gt;&lt;wsp:rsid wsp:val=&quot;00997158&quot;/&gt;&lt;wsp:rsid wsp:val=&quot;009A1D0B&quot;/&gt;&lt;wsp:rsid wsp:val=&quot;009A3A7C&quot;/&gt;&lt;wsp:rsid wsp:val=&quot;009A7D1B&quot;/&gt;&lt;wsp:rsid wsp:val=&quot;009B090E&quot;/&gt;&lt;wsp:rsid wsp:val=&quot;009B2ADB&quot;/&gt;&lt;wsp:rsid wsp:val=&quot;009B460D&quot;/&gt;&lt;wsp:rsid wsp:val=&quot;009B5586&quot;/&gt;&lt;wsp:rsid wsp:val=&quot;009B603A&quot;/&gt;&lt;wsp:rsid wsp:val=&quot;009B7AE1&quot;/&gt;&lt;wsp:rsid wsp:val=&quot;009C0C53&quot;/&gt;&lt;wsp:rsid wsp:val=&quot;009C2D0E&quot;/&gt;&lt;wsp:rsid wsp:val=&quot;009C3DAC&quot;/&gt;&lt;wsp:rsid wsp:val=&quot;009C42E0&quot;/&gt;&lt;wsp:rsid wsp:val=&quot;009D2E9E&quot;/&gt;&lt;wsp:rsid wsp:val=&quot;009D4630&quot;/&gt;&lt;wsp:rsid wsp:val=&quot;009D5362&quot;/&gt;&lt;wsp:rsid wsp:val=&quot;009E1415&quot;/&gt;&lt;wsp:rsid wsp:val=&quot;009E5FCB&quot;/&gt;&lt;wsp:rsid wsp:val=&quot;009E6116&quot;/&gt;&lt;wsp:rsid wsp:val=&quot;009F2572&quot;/&gt;&lt;wsp:rsid wsp:val=&quot;00A02E43&quot;/&gt;&lt;wsp:rsid wsp:val=&quot;00A05B4A&quot;/&gt;&lt;wsp:rsid wsp:val=&quot;00A065F9&quot;/&gt;&lt;wsp:rsid wsp:val=&quot;00A07F34&quot;/&gt;&lt;wsp:rsid wsp:val=&quot;00A11020&quot;/&gt;&lt;wsp:rsid wsp:val=&quot;00A22154&quot;/&gt;&lt;wsp:rsid wsp:val=&quot;00A23159&quot;/&gt;&lt;wsp:rsid wsp:val=&quot;00A25C38&quot;/&gt;&lt;wsp:rsid wsp:val=&quot;00A27AAE&quot;/&gt;&lt;wsp:rsid wsp:val=&quot;00A35933&quot;/&gt;&lt;wsp:rsid wsp:val=&quot;00A36BBE&quot;/&gt;&lt;wsp:rsid wsp:val=&quot;00A40AC4&quot;/&gt;&lt;wsp:rsid wsp:val=&quot;00A4307A&quot;/&gt;&lt;wsp:rsid wsp:val=&quot;00A47178&quot;/&gt;&lt;wsp:rsid wsp:val=&quot;00A47EBB&quot;/&gt;&lt;wsp:rsid wsp:val=&quot;00A51CDD&quot;/&gt;&lt;wsp:rsid wsp:val=&quot;00A529C1&quot;/&gt;&lt;wsp:rsid wsp:val=&quot;00A55F08&quot;/&gt;&lt;wsp:rsid wsp:val=&quot;00A62DE4&quot;/&gt;&lt;wsp:rsid wsp:val=&quot;00A6730D&quot;/&gt;&lt;wsp:rsid wsp:val=&quot;00A71625&quot;/&gt;&lt;wsp:rsid wsp:val=&quot;00A71B9B&quot;/&gt;&lt;wsp:rsid wsp:val=&quot;00A738F3&quot;/&gt;&lt;wsp:rsid wsp:val=&quot;00A751C7&quot;/&gt;&lt;wsp:rsid wsp:val=&quot;00A758B9&quot;/&gt;&lt;wsp:rsid wsp:val=&quot;00A76AE7&quot;/&gt;&lt;wsp:rsid wsp:val=&quot;00A87844&quot;/&gt;&lt;wsp:rsid wsp:val=&quot;00A92996&quot;/&gt;&lt;wsp:rsid wsp:val=&quot;00A933B6&quot;/&gt;&lt;wsp:rsid wsp:val=&quot;00AA038C&quot;/&gt;&lt;wsp:rsid wsp:val=&quot;00AA3CA7&quot;/&gt;&lt;wsp:rsid wsp:val=&quot;00AA7A09&quot;/&gt;&lt;wsp:rsid wsp:val=&quot;00AA7ED9&quot;/&gt;&lt;wsp:rsid wsp:val=&quot;00AB3B50&quot;/&gt;&lt;wsp:rsid wsp:val=&quot;00AC05B1&quot;/&gt;&lt;wsp:rsid wsp:val=&quot;00AD233B&quot;/&gt;&lt;wsp:rsid wsp:val=&quot;00AD3565&quot;/&gt;&lt;wsp:rsid wsp:val=&quot;00AD356C&quot;/&gt;&lt;wsp:rsid wsp:val=&quot;00AE2914&quot;/&gt;&lt;wsp:rsid wsp:val=&quot;00AE6D15&quot;/&gt;&lt;wsp:rsid wsp:val=&quot;00B01DA8&quot;/&gt;&lt;wsp:rsid wsp:val=&quot;00B04182&quot;/&gt;&lt;wsp:rsid wsp:val=&quot;00B05833&quot;/&gt;&lt;wsp:rsid wsp:val=&quot;00B07AE3&quot;/&gt;&lt;wsp:rsid wsp:val=&quot;00B11430&quot;/&gt;&lt;wsp:rsid wsp:val=&quot;00B12535&quot;/&gt;&lt;wsp:rsid wsp:val=&quot;00B17243&quot;/&gt;&lt;wsp:rsid wsp:val=&quot;00B26154&quot;/&gt;&lt;wsp:rsid wsp:val=&quot;00B303D8&quot;/&gt;&lt;wsp:rsid wsp:val=&quot;00B34825&quot;/&gt;&lt;wsp:rsid wsp:val=&quot;00B353EB&quot;/&gt;&lt;wsp:rsid wsp:val=&quot;00B35833&quot;/&gt;&lt;wsp:rsid wsp:val=&quot;00B439C4&quot;/&gt;&lt;wsp:rsid wsp:val=&quot;00B4535E&quot;/&gt;&lt;wsp:rsid wsp:val=&quot;00B45414&quot;/&gt;&lt;wsp:rsid wsp:val=&quot;00B52A8C&quot;/&gt;&lt;wsp:rsid wsp:val=&quot;00B61FF2&quot;/&gt;&lt;wsp:rsid wsp:val=&quot;00B636A8&quot;/&gt;&lt;wsp:rsid wsp:val=&quot;00B65CE7&quot;/&gt;&lt;wsp:rsid wsp:val=&quot;00B665C6&quot;/&gt;&lt;wsp:rsid wsp:val=&quot;00B70D5D&quot;/&gt;&lt;wsp:rsid wsp:val=&quot;00B72576&quot;/&gt;&lt;wsp:rsid wsp:val=&quot;00B736F8&quot;/&gt;&lt;wsp:rsid wsp:val=&quot;00B80097&quot;/&gt;&lt;wsp:rsid wsp:val=&quot;00B805AF&quot;/&gt;&lt;wsp:rsid wsp:val=&quot;00B869EC&quot;/&gt;&lt;wsp:rsid wsp:val=&quot;00B9397A&quot;/&gt;&lt;wsp:rsid wsp:val=&quot;00B9633D&quot;/&gt;&lt;wsp:rsid wsp:val=&quot;00B965B9&quot;/&gt;&lt;wsp:rsid wsp:val=&quot;00BA2EBE&quot;/&gt;&lt;wsp:rsid wsp:val=&quot;00BB0F28&quot;/&gt;&lt;wsp:rsid wsp:val=&quot;00BB2A9F&quot;/&gt;&lt;wsp:rsid wsp:val=&quot;00BB458A&quot;/&gt;&lt;wsp:rsid wsp:val=&quot;00BB5A2B&quot;/&gt;&lt;wsp:rsid wsp:val=&quot;00BC2D46&quot;/&gt;&lt;wsp:rsid wsp:val=&quot;00BD00D3&quot;/&gt;&lt;wsp:rsid wsp:val=&quot;00BD01CB&quot;/&gt;&lt;wsp:rsid wsp:val=&quot;00BD0B97&quot;/&gt;&lt;wsp:rsid wsp:val=&quot;00BD1659&quot;/&gt;&lt;wsp:rsid wsp:val=&quot;00BD3AA9&quot;/&gt;&lt;wsp:rsid wsp:val=&quot;00BD414B&quot;/&gt;&lt;wsp:rsid wsp:val=&quot;00BD4A18&quot;/&gt;&lt;wsp:rsid wsp:val=&quot;00BD6DB2&quot;/&gt;&lt;wsp:rsid wsp:val=&quot;00BE11CF&quot;/&gt;&lt;wsp:rsid wsp:val=&quot;00BE1AAD&quot;/&gt;&lt;wsp:rsid wsp:val=&quot;00BE21AB&quot;/&gt;&lt;wsp:rsid wsp:val=&quot;00BE3AAC&quot;/&gt;&lt;wsp:rsid wsp:val=&quot;00BE55CB&quot;/&gt;&lt;wsp:rsid wsp:val=&quot;00BF617A&quot;/&gt;&lt;wsp:rsid wsp:val=&quot;00C0027C&quot;/&gt;&lt;wsp:rsid wsp:val=&quot;00C0379D&quot;/&gt;&lt;wsp:rsid wsp:val=&quot;00C03931&quot;/&gt;&lt;wsp:rsid wsp:val=&quot;00C042AB&quot;/&gt;&lt;wsp:rsid wsp:val=&quot;00C05FE3&quot;/&gt;&lt;wsp:rsid wsp:val=&quot;00C128C7&quot;/&gt;&lt;wsp:rsid wsp:val=&quot;00C2136D&quot;/&gt;&lt;wsp:rsid wsp:val=&quot;00C214EE&quot;/&gt;&lt;wsp:rsid wsp:val=&quot;00C2314B&quot;/&gt;&lt;wsp:rsid wsp:val=&quot;00C24971&quot;/&gt;&lt;wsp:rsid wsp:val=&quot;00C25322&quot;/&gt;&lt;wsp:rsid wsp:val=&quot;00C26BE5&quot;/&gt;&lt;wsp:rsid wsp:val=&quot;00C26E4D&quot;/&gt;&lt;wsp:rsid wsp:val=&quot;00C27909&quot;/&gt;&lt;wsp:rsid wsp:val=&quot;00C27B03&quot;/&gt;&lt;wsp:rsid wsp:val=&quot;00C314E1&quot;/&gt;&lt;wsp:rsid wsp:val=&quot;00C32C07&quot;/&gt;&lt;wsp:rsid wsp:val=&quot;00C3436C&quot;/&gt;&lt;wsp:rsid wsp:val=&quot;00C34397&quot;/&gt;&lt;wsp:rsid wsp:val=&quot;00C37B9B&quot;/&gt;&lt;wsp:rsid wsp:val=&quot;00C4095D&quot;/&gt;&lt;wsp:rsid wsp:val=&quot;00C46FFC&quot;/&gt;&lt;wsp:rsid wsp:val=&quot;00C57465&quot;/&gt;&lt;wsp:rsid wsp:val=&quot;00C601D2&quot;/&gt;&lt;wsp:rsid wsp:val=&quot;00C60EC8&quot;/&gt;&lt;wsp:rsid wsp:val=&quot;00C65BCC&quot;/&gt;&lt;wsp:rsid wsp:val=&quot;00C66970&quot;/&gt;&lt;wsp:rsid wsp:val=&quot;00C72D53&quot;/&gt;&lt;wsp:rsid wsp:val=&quot;00C7733E&quot;/&gt;&lt;wsp:rsid wsp:val=&quot;00C81E28&quot;/&gt;&lt;wsp:rsid wsp:val=&quot;00C85226&quot;/&gt;&lt;wsp:rsid wsp:val=&quot;00C8691C&quot;/&gt;&lt;wsp:rsid wsp:val=&quot;00C96026&quot;/&gt;&lt;wsp:rsid wsp:val=&quot;00CA168A&quot;/&gt;&lt;wsp:rsid wsp:val=&quot;00CA357E&quot;/&gt;&lt;wsp:rsid wsp:val=&quot;00CA44F9&quot;/&gt;&lt;wsp:rsid wsp:val=&quot;00CA4A69&quot;/&gt;&lt;wsp:rsid wsp:val=&quot;00CB0632&quot;/&gt;&lt;wsp:rsid wsp:val=&quot;00CB301C&quot;/&gt;&lt;wsp:rsid wsp:val=&quot;00CB577C&quot;/&gt;&lt;wsp:rsid wsp:val=&quot;00CC3E0C&quot;/&gt;&lt;wsp:rsid wsp:val=&quot;00CC579C&quot;/&gt;&lt;wsp:rsid wsp:val=&quot;00CC58D3&quot;/&gt;&lt;wsp:rsid wsp:val=&quot;00CC784D&quot;/&gt;&lt;wsp:rsid wsp:val=&quot;00CD73F2&quot;/&gt;&lt;wsp:rsid wsp:val=&quot;00CE53C6&quot;/&gt;&lt;wsp:rsid wsp:val=&quot;00CF1A0D&quot;/&gt;&lt;wsp:rsid wsp:val=&quot;00D00CA4&quot;/&gt;&lt;wsp:rsid wsp:val=&quot;00D03332&quot;/&gt;&lt;wsp:rsid wsp:val=&quot;00D0337B&quot;/&gt;&lt;wsp:rsid wsp:val=&quot;00D05F4E&quot;/&gt;&lt;wsp:rsid wsp:val=&quot;00D079B2&quot;/&gt;&lt;wsp:rsid wsp:val=&quot;00D114E9&quot;/&gt;&lt;wsp:rsid wsp:val=&quot;00D21EA5&quot;/&gt;&lt;wsp:rsid wsp:val=&quot;00D3154A&quot;/&gt;&lt;wsp:rsid wsp:val=&quot;00D33EEB&quot;/&gt;&lt;wsp:rsid wsp:val=&quot;00D34345&quot;/&gt;&lt;wsp:rsid wsp:val=&quot;00D429C6&quot;/&gt;&lt;wsp:rsid wsp:val=&quot;00D4568F&quot;/&gt;&lt;wsp:rsid wsp:val=&quot;00D46D64&quot;/&gt;&lt;wsp:rsid wsp:val=&quot;00D47748&quot;/&gt;&lt;wsp:rsid wsp:val=&quot;00D47F20&quot;/&gt;&lt;wsp:rsid wsp:val=&quot;00D509EA&quot;/&gt;&lt;wsp:rsid wsp:val=&quot;00D52C0C&quot;/&gt;&lt;wsp:rsid wsp:val=&quot;00D54CC3&quot;/&gt;&lt;wsp:rsid wsp:val=&quot;00D5505F&quot;/&gt;&lt;wsp:rsid wsp:val=&quot;00D6041A&quot;/&gt;&lt;wsp:rsid wsp:val=&quot;00D633EB&quot;/&gt;&lt;wsp:rsid wsp:val=&quot;00D82FF7&quot;/&gt;&lt;wsp:rsid wsp:val=&quot;00D832C2&quot;/&gt;&lt;wsp:rsid wsp:val=&quot;00D847FE&quot;/&gt;&lt;wsp:rsid wsp:val=&quot;00D860AB&quot;/&gt;&lt;wsp:rsid wsp:val=&quot;00D91397&quot;/&gt;&lt;wsp:rsid wsp:val=&quot;00D9562D&quot;/&gt;&lt;wsp:rsid wsp:val=&quot;00D964EA&quot;/&gt;&lt;wsp:rsid wsp:val=&quot;00D966D0&quot;/&gt;&lt;wsp:rsid wsp:val=&quot;00DA0C59&quot;/&gt;&lt;wsp:rsid wsp:val=&quot;00DA3991&quot;/&gt;&lt;wsp:rsid wsp:val=&quot;00DB037A&quot;/&gt;&lt;wsp:rsid wsp:val=&quot;00DB0AD4&quot;/&gt;&lt;wsp:rsid wsp:val=&quot;00DB605A&quot;/&gt;&lt;wsp:rsid wsp:val=&quot;00DB7E6C&quot;/&gt;&lt;wsp:rsid wsp:val=&quot;00DC07E1&quot;/&gt;&lt;wsp:rsid wsp:val=&quot;00DD32C9&quot;/&gt;&lt;wsp:rsid wsp:val=&quot;00DD4D7C&quot;/&gt;&lt;wsp:rsid wsp:val=&quot;00DD5A29&quot;/&gt;&lt;wsp:rsid wsp:val=&quot;00DD5D9D&quot;/&gt;&lt;wsp:rsid wsp:val=&quot;00DE0AF0&quot;/&gt;&lt;wsp:rsid wsp:val=&quot;00DE35CB&quot;/&gt;&lt;wsp:rsid wsp:val=&quot;00DF21E9&quot;/&gt;&lt;wsp:rsid wsp:val=&quot;00E00F14&quot;/&gt;&lt;wsp:rsid wsp:val=&quot;00E02458&quot;/&gt;&lt;wsp:rsid wsp:val=&quot;00E059AA&quot;/&gt;&lt;wsp:rsid wsp:val=&quot;00E06386&quot;/&gt;&lt;wsp:rsid wsp:val=&quot;00E2049D&quot;/&gt;&lt;wsp:rsid wsp:val=&quot;00E24EB4&quot;/&gt;&lt;wsp:rsid wsp:val=&quot;00E320ED&quot;/&gt;&lt;wsp:rsid wsp:val=&quot;00E33AFB&quot;/&gt;&lt;wsp:rsid wsp:val=&quot;00E34218&quot;/&gt;&lt;wsp:rsid wsp:val=&quot;00E34E8E&quot;/&gt;&lt;wsp:rsid wsp:val=&quot;00E4207B&quot;/&gt;&lt;wsp:rsid wsp:val=&quot;00E459CC&quot;/&gt;&lt;wsp:rsid wsp:val=&quot;00E46282&quot;/&gt;&lt;wsp:rsid wsp:val=&quot;00E5216E&quot;/&gt;&lt;wsp:rsid wsp:val=&quot;00E611DB&quot;/&gt;&lt;wsp:rsid wsp:val=&quot;00E70ABD&quot;/&gt;&lt;wsp:rsid wsp:val=&quot;00E8149A&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5CDA&quot;/&gt;&lt;wsp:rsid wsp:val=&quot;00EB786A&quot;/&gt;&lt;wsp:rsid wsp:val=&quot;00EB79E7&quot;/&gt;&lt;wsp:rsid wsp:val=&quot;00EC1578&quot;/&gt;&lt;wsp:rsid wsp:val=&quot;00EC1C72&quot;/&gt;&lt;wsp:rsid wsp:val=&quot;00EC3CC9&quot;/&gt;&lt;wsp:rsid wsp:val=&quot;00EC5316&quot;/&gt;&lt;wsp:rsid wsp:val=&quot;00EC5F93&quot;/&gt;&lt;wsp:rsid wsp:val=&quot;00EC680A&quot;/&gt;&lt;wsp:rsid wsp:val=&quot;00ED0DFA&quot;/&gt;&lt;wsp:rsid wsp:val=&quot;00ED35A4&quot;/&gt;&lt;wsp:rsid wsp:val=&quot;00ED3A2B&quot;/&gt;&lt;wsp:rsid wsp:val=&quot;00ED5078&quot;/&gt;&lt;wsp:rsid wsp:val=&quot;00ED699F&quot;/&gt;&lt;wsp:rsid wsp:val=&quot;00EE2BED&quot;/&gt;&lt;wsp:rsid wsp:val=&quot;00EE374B&quot;/&gt;&lt;wsp:rsid wsp:val=&quot;00EE46AE&quot;/&gt;&lt;wsp:rsid wsp:val=&quot;00EE6E2C&quot;/&gt;&lt;wsp:rsid wsp:val=&quot;00EF42A6&quot;/&gt;&lt;wsp:rsid wsp:val=&quot;00F11BB5&quot;/&gt;&lt;wsp:rsid wsp:val=&quot;00F1417B&quot;/&gt;&lt;wsp:rsid wsp:val=&quot;00F15363&quot;/&gt;&lt;wsp:rsid wsp:val=&quot;00F1689B&quot;/&gt;&lt;wsp:rsid wsp:val=&quot;00F169F2&quot;/&gt;&lt;wsp:rsid wsp:val=&quot;00F3371B&quot;/&gt;&lt;wsp:rsid wsp:val=&quot;00F34B99&quot;/&gt;&lt;wsp:rsid wsp:val=&quot;00F378D0&quot;/&gt;&lt;wsp:rsid wsp:val=&quot;00F4757E&quot;/&gt;&lt;wsp:rsid wsp:val=&quot;00F52DAB&quot;/&gt;&lt;wsp:rsid wsp:val=&quot;00F543F0&quot;/&gt;&lt;wsp:rsid wsp:val=&quot;00F66E04&quot;/&gt;&lt;wsp:rsid wsp:val=&quot;00F705DD&quot;/&gt;&lt;wsp:rsid wsp:val=&quot;00F8078F&quot;/&gt;&lt;wsp:rsid wsp:val=&quot;00F818A7&quot;/&gt;&lt;wsp:rsid wsp:val=&quot;00F81D29&quot;/&gt;&lt;wsp:rsid wsp:val=&quot;00F91C4D&quot;/&gt;&lt;wsp:rsid wsp:val=&quot;00F92FD9&quot;/&gt;&lt;wsp:rsid wsp:val=&quot;00FA1ACA&quot;/&gt;&lt;wsp:rsid wsp:val=&quot;00FA29C5&quot;/&gt;&lt;wsp:rsid wsp:val=&quot;00FA3EF5&quot;/&gt;&lt;wsp:rsid wsp:val=&quot;00FA6684&quot;/&gt;&lt;wsp:rsid wsp:val=&quot;00FA731E&quot;/&gt;&lt;wsp:rsid wsp:val=&quot;00FB2B38&quot;/&gt;&lt;wsp:rsid wsp:val=&quot;00FB5033&quot;/&gt;&lt;wsp:rsid wsp:val=&quot;00FB768C&quot;/&gt;&lt;wsp:rsid wsp:val=&quot;00FC6358&quot;/&gt;&lt;wsp:rsid wsp:val=&quot;00FD320D&quot;/&gt;&lt;wsp:rsid wsp:val=&quot;00FD3605&quot;/&gt;&lt;wsp:rsid wsp:val=&quot;00FE23DE&quot;/&gt;&lt;wsp:rsid wsp:val=&quot;00FF2A7A&quot;/&gt;&lt;wsp:rsid wsp:val=&quot;011430C0&quot;/&gt;&lt;wsp:rsid wsp:val=&quot;018C152A&quot;/&gt;&lt;wsp:rsid wsp:val=&quot;03CD109D&quot;/&gt;&lt;wsp:rsid wsp:val=&quot;04A87B8B&quot;/&gt;&lt;wsp:rsid wsp:val=&quot;05816019&quot;/&gt;&lt;wsp:rsid wsp:val=&quot;05F477B7&quot;/&gt;&lt;wsp:rsid wsp:val=&quot;071172F8&quot;/&gt;&lt;wsp:rsid wsp:val=&quot;072938BC&quot;/&gt;&lt;wsp:rsid wsp:val=&quot;075E75DE&quot;/&gt;&lt;wsp:rsid wsp:val=&quot;083A0335&quot;/&gt;&lt;wsp:rsid wsp:val=&quot;09763FE4&quot;/&gt;&lt;wsp:rsid wsp:val=&quot;0B4B550C&quot;/&gt;&lt;wsp:rsid wsp:val=&quot;0B61157E&quot;/&gt;&lt;wsp:rsid wsp:val=&quot;0BFA390D&quot;/&gt;&lt;wsp:rsid wsp:val=&quot;0CC25F19&quot;/&gt;&lt;wsp:rsid wsp:val=&quot;0CEF5D97&quot;/&gt;&lt;wsp:rsid wsp:val=&quot;0EAA193B&quot;/&gt;&lt;wsp:rsid wsp:val=&quot;0EE23A80&quot;/&gt;&lt;wsp:rsid wsp:val=&quot;0EEA7E53&quot;/&gt;&lt;wsp:rsid wsp:val=&quot;11242651&quot;/&gt;&lt;wsp:rsid wsp:val=&quot;11703FAF&quot;/&gt;&lt;wsp:rsid wsp:val=&quot;11B84DF3&quot;/&gt;&lt;wsp:rsid wsp:val=&quot;1295124C&quot;/&gt;&lt;wsp:rsid wsp:val=&quot;12BB6B70&quot;/&gt;&lt;wsp:rsid wsp:val=&quot;147F45E5&quot;/&gt;&lt;wsp:rsid wsp:val=&quot;154741BF&quot;/&gt;&lt;wsp:rsid wsp:val=&quot;168E180C&quot;/&gt;&lt;wsp:rsid wsp:val=&quot;17681DB3&quot;/&gt;&lt;wsp:rsid wsp:val=&quot;17BEDEC0&quot;/&gt;&lt;wsp:rsid wsp:val=&quot;17D13FA2&quot;/&gt;&lt;wsp:rsid wsp:val=&quot;17E75C97&quot;/&gt;&lt;wsp:rsid wsp:val=&quot;186B09CA&quot;/&gt;&lt;wsp:rsid wsp:val=&quot;18E330A5&quot;/&gt;&lt;wsp:rsid wsp:val=&quot;19421AF3&quot;/&gt;&lt;wsp:rsid wsp:val=&quot;19A43221&quot;/&gt;&lt;wsp:rsid wsp:val=&quot;19B915F8&quot;/&gt;&lt;wsp:rsid wsp:val=&quot;19C42BAA&quot;/&gt;&lt;wsp:rsid wsp:val=&quot;19D131D2&quot;/&gt;&lt;wsp:rsid wsp:val=&quot;19ED59E3&quot;/&gt;&lt;wsp:rsid wsp:val=&quot;1A5F56EF&quot;/&gt;&lt;wsp:rsid wsp:val=&quot;1B3A723A&quot;/&gt;&lt;wsp:rsid wsp:val=&quot;1B8452D7&quot;/&gt;&lt;wsp:rsid wsp:val=&quot;1DF60C24&quot;/&gt;&lt;wsp:rsid wsp:val=&quot;1E4237DD&quot;/&gt;&lt;wsp:rsid wsp:val=&quot;1E4606D5&quot;/&gt;&lt;wsp:rsid wsp:val=&quot;1E8F40C9&quot;/&gt;&lt;wsp:rsid wsp:val=&quot;1EAC6902&quot;/&gt;&lt;wsp:rsid wsp:val=&quot;1ED531AF&quot;/&gt;&lt;wsp:rsid wsp:val=&quot;1F2A1205&quot;/&gt;&lt;wsp:rsid wsp:val=&quot;1F7D701D&quot;/&gt;&lt;wsp:rsid wsp:val=&quot;1F885AEF&quot;/&gt;&lt;wsp:rsid wsp:val=&quot;1FBFA108&quot;/&gt;&lt;wsp:rsid wsp:val=&quot;1FE20F7B&quot;/&gt;&lt;wsp:rsid wsp:val=&quot;1FEFA73F&quot;/&gt;&lt;wsp:rsid wsp:val=&quot;1FF7E849&quot;/&gt;&lt;wsp:rsid wsp:val=&quot;1FFE5FEE&quot;/&gt;&lt;wsp:rsid wsp:val=&quot;205D442E&quot;/&gt;&lt;wsp:rsid wsp:val=&quot;20FC540D&quot;/&gt;&lt;wsp:rsid wsp:val=&quot;222B73B3&quot;/&gt;&lt;wsp:rsid wsp:val=&quot;22CC1448&quot;/&gt;&lt;wsp:rsid wsp:val=&quot;22EE0732&quot;/&gt;&lt;wsp:rsid wsp:val=&quot;24940192&quot;/&gt;&lt;wsp:rsid wsp:val=&quot;25284930&quot;/&gt;&lt;wsp:rsid wsp:val=&quot;25CA1676&quot;/&gt;&lt;wsp:rsid wsp:val=&quot;25F6309F&quot;/&gt;&lt;wsp:rsid wsp:val=&quot;26A036C6&quot;/&gt;&lt;wsp:rsid wsp:val=&quot;27D960A5&quot;/&gt;&lt;wsp:rsid wsp:val=&quot;298A3E0B&quot;/&gt;&lt;wsp:rsid wsp:val=&quot;2A574C09&quot;/&gt;&lt;wsp:rsid wsp:val=&quot;2AF21D84&quot;/&gt;&lt;wsp:rsid wsp:val=&quot;2B22130A&quot;/&gt;&lt;wsp:rsid wsp:val=&quot;2B5C7036&quot;/&gt;&lt;wsp:rsid wsp:val=&quot;2B7F675F&quot;/&gt;&lt;wsp:rsid wsp:val=&quot;2BB94533&quot;/&gt;&lt;wsp:rsid wsp:val=&quot;2D012636&quot;/&gt;&lt;wsp:rsid wsp:val=&quot;2D6B2D3A&quot;/&gt;&lt;wsp:rsid wsp:val=&quot;2D787AC9&quot;/&gt;&lt;wsp:rsid wsp:val=&quot;2DB905BE&quot;/&gt;&lt;wsp:rsid wsp:val=&quot;2EDE49DD&quot;/&gt;&lt;wsp:rsid wsp:val=&quot;2EE79A49&quot;/&gt;&lt;wsp:rsid wsp:val=&quot;2FFE6E15&quot;/&gt;&lt;wsp:rsid wsp:val=&quot;30977539&quot;/&gt;&lt;wsp:rsid wsp:val=&quot;316F0C5E&quot;/&gt;&lt;wsp:rsid wsp:val=&quot;327D5B5F&quot;/&gt;&lt;wsp:rsid wsp:val=&quot;329F1D49&quot;/&gt;&lt;wsp:rsid wsp:val=&quot;331B5584&quot;/&gt;&lt;wsp:rsid wsp:val=&quot;33DFF8F7&quot;/&gt;&lt;wsp:rsid wsp:val=&quot;353BF113&quot;/&gt;&lt;wsp:rsid wsp:val=&quot;353F1275&quot;/&gt;&lt;wsp:rsid wsp:val=&quot;35B244CD&quot;/&gt;&lt;wsp:rsid wsp:val=&quot;36F75BC2&quot;/&gt;&lt;wsp:rsid wsp:val=&quot;37434788&quot;/&gt;&lt;wsp:rsid wsp:val=&quot;378765C5&quot;/&gt;&lt;wsp:rsid wsp:val=&quot;37D74657&quot;/&gt;&lt;wsp:rsid wsp:val=&quot;37E4351D&quot;/&gt;&lt;wsp:rsid wsp:val=&quot;37F6D891&quot;/&gt;&lt;wsp:rsid wsp:val=&quot;37F7CA95&quot;/&gt;&lt;wsp:rsid wsp:val=&quot;38D12A54&quot;/&gt;&lt;wsp:rsid wsp:val=&quot;38F2046B&quot;/&gt;&lt;wsp:rsid wsp:val=&quot;392F17AB&quot;/&gt;&lt;wsp:rsid wsp:val=&quot;394E0B17&quot;/&gt;&lt;wsp:rsid wsp:val=&quot;395D3BC4&quot;/&gt;&lt;wsp:rsid wsp:val=&quot;39BF4E37&quot;/&gt;&lt;wsp:rsid wsp:val=&quot;3A7601BF&quot;/&gt;&lt;wsp:rsid wsp:val=&quot;3A9C6B2F&quot;/&gt;&lt;wsp:rsid wsp:val=&quot;3AB27D34&quot;/&gt;&lt;wsp:rsid wsp:val=&quot;3BB79C7A&quot;/&gt;&lt;wsp:rsid wsp:val=&quot;3BE7E76B&quot;/&gt;&lt;wsp:rsid wsp:val=&quot;3BFD138B&quot;/&gt;&lt;wsp:rsid wsp:val=&quot;3CA906B7&quot;/&gt;&lt;wsp:rsid wsp:val=&quot;3CCD471F&quot;/&gt;&lt;wsp:rsid wsp:val=&quot;3CF4B372&quot;/&gt;&lt;wsp:rsid wsp:val=&quot;3D768775&quot;/&gt;&lt;wsp:rsid wsp:val=&quot;3DC54FBA&quot;/&gt;&lt;wsp:rsid wsp:val=&quot;3E86513A&quot;/&gt;&lt;wsp:rsid wsp:val=&quot;3E9B0C30&quot;/&gt;&lt;wsp:rsid wsp:val=&quot;3EA370A9&quot;/&gt;&lt;wsp:rsid wsp:val=&quot;3EFD4D0F&quot;/&gt;&lt;wsp:rsid wsp:val=&quot;3EFD5C2F&quot;/&gt;&lt;wsp:rsid wsp:val=&quot;3F3B6ABC&quot;/&gt;&lt;wsp:rsid wsp:val=&quot;3F6BE8CE&quot;/&gt;&lt;wsp:rsid wsp:val=&quot;3F718E50&quot;/&gt;&lt;wsp:rsid wsp:val=&quot;3F76D50C&quot;/&gt;&lt;wsp:rsid wsp:val=&quot;3F7D0027&quot;/&gt;&lt;wsp:rsid wsp:val=&quot;3FD61A37&quot;/&gt;&lt;wsp:rsid wsp:val=&quot;3FDC6D60&quot;/&gt;&lt;wsp:rsid wsp:val=&quot;3FED59CF&quot;/&gt;&lt;wsp:rsid wsp:val=&quot;3FEE24E0&quot;/&gt;&lt;wsp:rsid wsp:val=&quot;3FEEE000&quot;/&gt;&lt;wsp:rsid wsp:val=&quot;3FFE01B9&quot;/&gt;&lt;wsp:rsid wsp:val=&quot;40652829&quot;/&gt;&lt;wsp:rsid wsp:val=&quot;411150BF&quot;/&gt;&lt;wsp:rsid wsp:val=&quot;41B16F4C&quot;/&gt;&lt;wsp:rsid wsp:val=&quot;430C6778&quot;/&gt;&lt;wsp:rsid wsp:val=&quot;4387757C&quot;/&gt;&lt;wsp:rsid wsp:val=&quot;43DF200D&quot;/&gt;&lt;wsp:rsid wsp:val=&quot;445F3A72&quot;/&gt;&lt;wsp:rsid wsp:val=&quot;44D44A10&quot;/&gt;&lt;wsp:rsid wsp:val=&quot;45050ABD&quot;/&gt;&lt;wsp:rsid wsp:val=&quot;464A138F&quot;/&gt;&lt;wsp:rsid wsp:val=&quot;46A662CB&quot;/&gt;&lt;wsp:rsid wsp:val=&quot;473FA501&quot;/&gt;&lt;wsp:rsid wsp:val=&quot;476B317A&quot;/&gt;&lt;wsp:rsid wsp:val=&quot;4A066551&quot;/&gt;&lt;wsp:rsid wsp:val=&quot;4A5A7640&quot;/&gt;&lt;wsp:rsid wsp:val=&quot;4A90661B&quot;/&gt;&lt;wsp:rsid wsp:val=&quot;4AA77D0E&quot;/&gt;&lt;wsp:rsid wsp:val=&quot;4ADC2772&quot;/&gt;&lt;wsp:rsid wsp:val=&quot;4B5F6B82&quot;/&gt;&lt;wsp:rsid wsp:val=&quot;4BBB9640&quot;/&gt;&lt;wsp:rsid wsp:val=&quot;4BF7716B&quot;/&gt;&lt;wsp:rsid wsp:val=&quot;4BFF492D&quot;/&gt;&lt;wsp:rsid wsp:val=&quot;4C2F3185&quot;/&gt;&lt;wsp:rsid wsp:val=&quot;4C362B0B&quot;/&gt;&lt;wsp:rsid wsp:val=&quot;4DB7491F&quot;/&gt;&lt;wsp:rsid wsp:val=&quot;4E685C19&quot;/&gt;&lt;wsp:rsid wsp:val=&quot;4E873D5D&quot;/&gt;&lt;wsp:rsid wsp:val=&quot;4EA07BA7&quot;/&gt;&lt;wsp:rsid wsp:val=&quot;4EB500DB&quot;/&gt;&lt;wsp:rsid wsp:val=&quot;4EFF931F&quot;/&gt;&lt;wsp:rsid wsp:val=&quot;4F77DEEF&quot;/&gt;&lt;wsp:rsid wsp:val=&quot;4FBA9BB8&quot;/&gt;&lt;wsp:rsid wsp:val=&quot;4FDCBBFA&quot;/&gt;&lt;wsp:rsid wsp:val=&quot;4FEBB8A8&quot;/&gt;&lt;wsp:rsid wsp:val=&quot;519E5272&quot;/&gt;&lt;wsp:rsid wsp:val=&quot;51C61425&quot;/&gt;&lt;wsp:rsid wsp:val=&quot;53E3376D&quot;/&gt;&lt;wsp:rsid wsp:val=&quot;53F61577&quot;/&gt;&lt;wsp:rsid wsp:val=&quot;540C7047&quot;/&gt;&lt;wsp:rsid wsp:val=&quot;5475496B&quot;/&gt;&lt;wsp:rsid wsp:val=&quot;54DF4431&quot;/&gt;&lt;wsp:rsid wsp:val=&quot;5516FC44&quot;/&gt;&lt;wsp:rsid wsp:val=&quot;55390EB8&quot;/&gt;&lt;wsp:rsid wsp:val=&quot;56116B96&quot;/&gt;&lt;wsp:rsid wsp:val=&quot;56777A5B&quot;/&gt;&lt;wsp:rsid wsp:val=&quot;56CC6F8C&quot;/&gt;&lt;wsp:rsid wsp:val=&quot;56DB28FA&quot;/&gt;&lt;wsp:rsid wsp:val=&quot;56F6006A&quot;/&gt;&lt;wsp:rsid wsp:val=&quot;570C6B15&quot;/&gt;&lt;wsp:rsid wsp:val=&quot;571302D9&quot;/&gt;&lt;wsp:rsid wsp:val=&quot;57C7BFD9&quot;/&gt;&lt;wsp:rsid wsp:val=&quot;57D7883B&quot;/&gt;&lt;wsp:rsid wsp:val=&quot;580924CF&quot;/&gt;&lt;wsp:rsid wsp:val=&quot;58BD21A3&quot;/&gt;&lt;wsp:rsid wsp:val=&quot;59FE05B0&quot;/&gt;&lt;wsp:rsid wsp:val=&quot;5A37BAA7&quot;/&gt;&lt;wsp:rsid wsp:val=&quot;5A3F0F94&quot;/&gt;&lt;wsp:rsid wsp:val=&quot;5B6927A3&quot;/&gt;&lt;wsp:rsid wsp:val=&quot;5B6E0B14&quot;/&gt;&lt;wsp:rsid wsp:val=&quot;5B9FEEFD&quot;/&gt;&lt;wsp:rsid wsp:val=&quot;5BA26922&quot;/&gt;&lt;wsp:rsid wsp:val=&quot;5BBF245D&quot;/&gt;&lt;wsp:rsid wsp:val=&quot;5C533830&quot;/&gt;&lt;wsp:rsid wsp:val=&quot;5C870281&quot;/&gt;&lt;wsp:rsid wsp:val=&quot;5CAB6A70&quot;/&gt;&lt;wsp:rsid wsp:val=&quot;5CCE1101&quot;/&gt;&lt;wsp:rsid wsp:val=&quot;5CCEE7A1&quot;/&gt;&lt;wsp:rsid wsp:val=&quot;5CEF4510&quot;/&gt;&lt;wsp:rsid wsp:val=&quot;5D2D4D36&quot;/&gt;&lt;wsp:rsid wsp:val=&quot;5D534E5C&quot;/&gt;&lt;wsp:rsid wsp:val=&quot;5E69593F&quot;/&gt;&lt;wsp:rsid wsp:val=&quot;5E732FCB&quot;/&gt;&lt;wsp:rsid wsp:val=&quot;5EB61B49&quot;/&gt;&lt;wsp:rsid wsp:val=&quot;5EDC2E85&quot;/&gt;&lt;wsp:rsid wsp:val=&quot;5EFFE5A3&quot;/&gt;&lt;wsp:rsid wsp:val=&quot;5F354FCC&quot;/&gt;&lt;wsp:rsid wsp:val=&quot;5F4EB3AD&quot;/&gt;&lt;wsp:rsid wsp:val=&quot;5F5812A1&quot;/&gt;&lt;wsp:rsid wsp:val=&quot;5F7F87AF&quot;/&gt;&lt;wsp:rsid wsp:val=&quot;5F8C681E&quot;/&gt;&lt;wsp:rsid wsp:val=&quot;5FB5560F&quot;/&gt;&lt;wsp:rsid wsp:val=&quot;5FBF8BF8&quot;/&gt;&lt;wsp:rsid wsp:val=&quot;5FBFCC85&quot;/&gt;&lt;wsp:rsid wsp:val=&quot;5FC53F03&quot;/&gt;&lt;wsp:rsid wsp:val=&quot;5FD783DC&quot;/&gt;&lt;wsp:rsid wsp:val=&quot;5FD7E5A2&quot;/&gt;&lt;wsp:rsid wsp:val=&quot;5FDB5C37&quot;/&gt;&lt;wsp:rsid wsp:val=&quot;5FE5747F&quot;/&gt;&lt;wsp:rsid wsp:val=&quot;5FED8CBF&quot;/&gt;&lt;wsp:rsid wsp:val=&quot;5FF775E2&quot;/&gt;&lt;wsp:rsid wsp:val=&quot;5FFAE202&quot;/&gt;&lt;wsp:rsid wsp:val=&quot;5FFF26CD&quot;/&gt;&lt;wsp:rsid wsp:val=&quot;5FFF2F30&quot;/&gt;&lt;wsp:rsid wsp:val=&quot;5FFF9FC9&quot;/&gt;&lt;wsp:rsid wsp:val=&quot;61A364CC&quot;/&gt;&lt;wsp:rsid wsp:val=&quot;61F25BC1&quot;/&gt;&lt;wsp:rsid wsp:val=&quot;62130DE2&quot;/&gt;&lt;wsp:rsid wsp:val=&quot;629633D0&quot;/&gt;&lt;wsp:rsid wsp:val=&quot;62D73B0C&quot;/&gt;&lt;wsp:rsid wsp:val=&quot;62E8530F&quot;/&gt;&lt;wsp:rsid wsp:val=&quot;62EA4535&quot;/&gt;&lt;wsp:rsid wsp:val=&quot;632D4257&quot;/&gt;&lt;wsp:rsid wsp:val=&quot;66A63D78&quot;/&gt;&lt;wsp:rsid wsp:val=&quot;66FA7027&quot;/&gt;&lt;wsp:rsid wsp:val=&quot;670536A6&quot;/&gt;&lt;wsp:rsid wsp:val=&quot;6759214B&quot;/&gt;&lt;wsp:rsid wsp:val=&quot;6769221B&quot;/&gt;&lt;wsp:rsid wsp:val=&quot;677F5E13&quot;/&gt;&lt;wsp:rsid wsp:val=&quot;677F954D&quot;/&gt;&lt;wsp:rsid wsp:val=&quot;67EEF77C&quot;/&gt;&lt;wsp:rsid wsp:val=&quot;67F7942A&quot;/&gt;&lt;wsp:rsid wsp:val=&quot;67FA7653&quot;/&gt;&lt;wsp:rsid wsp:val=&quot;68B27D65&quot;/&gt;&lt;wsp:rsid wsp:val=&quot;69124CA8&quot;/&gt;&lt;wsp:rsid wsp:val=&quot;69983A0D&quot;/&gt;&lt;wsp:rsid wsp:val=&quot;69E9AA42&quot;/&gt;&lt;wsp:rsid wsp:val=&quot;6A9D10D8&quot;/&gt;&lt;wsp:rsid wsp:val=&quot;6AEE5674&quot;/&gt;&lt;wsp:rsid wsp:val=&quot;6AF79A02&quot;/&gt;&lt;wsp:rsid wsp:val=&quot;6BAE9099&quot;/&gt;&lt;wsp:rsid wsp:val=&quot;6BAF543B&quot;/&gt;&lt;wsp:rsid wsp:val=&quot;6C465394&quot;/&gt;&lt;wsp:rsid wsp:val=&quot;6CD51C5E&quot;/&gt;&lt;wsp:rsid wsp:val=&quot;6D17189C&quot;/&gt;&lt;wsp:rsid wsp:val=&quot;6D6FB125&quot;/&gt;&lt;wsp:rsid wsp:val=&quot;6DB78655&quot;/&gt;&lt;wsp:rsid wsp:val=&quot;6E9315D8&quot;/&gt;&lt;wsp:rsid wsp:val=&quot;6F3FC2D2&quot;/&gt;&lt;wsp:rsid wsp:val=&quot;6F55DFE8&quot;/&gt;&lt;wsp:rsid wsp:val=&quot;6FAE5E2D&quot;/&gt;&lt;wsp:rsid wsp:val=&quot;6FDE2A8E&quot;/&gt;&lt;wsp:rsid wsp:val=&quot;6FEE2B7A&quot;/&gt;&lt;wsp:rsid wsp:val=&quot;6FFFCD7E&quot;/&gt;&lt;wsp:rsid wsp:val=&quot;712E57E3&quot;/&gt;&lt;wsp:rsid wsp:val=&quot;723E7657&quot;/&gt;&lt;wsp:rsid wsp:val=&quot;727D476A&quot;/&gt;&lt;wsp:rsid wsp:val=&quot;727F480A&quot;/&gt;&lt;wsp:rsid wsp:val=&quot;729F9021&quot;/&gt;&lt;wsp:rsid wsp:val=&quot;72A16565&quot;/&gt;&lt;wsp:rsid wsp:val=&quot;72DC25AE&quot;/&gt;&lt;wsp:rsid wsp:val=&quot;737D7C5A&quot;/&gt;&lt;wsp:rsid wsp:val=&quot;73896C46&quot;/&gt;&lt;wsp:rsid wsp:val=&quot;73BDF28E&quot;/&gt;&lt;wsp:rsid wsp:val=&quot;74401F7F&quot;/&gt;&lt;wsp:rsid wsp:val=&quot;744321B9&quot;/&gt;&lt;wsp:rsid wsp:val=&quot;751D7DBC&quot;/&gt;&lt;wsp:rsid wsp:val=&quot;752E4C17&quot;/&gt;&lt;wsp:rsid wsp:val=&quot;75324E28&quot;/&gt;&lt;wsp:rsid wsp:val=&quot;753F0677&quot;/&gt;&lt;wsp:rsid wsp:val=&quot;758515FA&quot;/&gt;&lt;wsp:rsid wsp:val=&quot;75B31E67&quot;/&gt;&lt;wsp:rsid wsp:val=&quot;75B7C825&quot;/&gt;&lt;wsp:rsid wsp:val=&quot;75BA2E02&quot;/&gt;&lt;wsp:rsid wsp:val=&quot;75BE4DDD&quot;/&gt;&lt;wsp:rsid wsp:val=&quot;75FD03F4&quot;/&gt;&lt;wsp:rsid wsp:val=&quot;75FED2C4&quot;/&gt;&lt;wsp:rsid wsp:val=&quot;7666841C&quot;/&gt;&lt;wsp:rsid wsp:val=&quot;76BBDFBA&quot;/&gt;&lt;wsp:rsid wsp:val=&quot;76BF9ECF&quot;/&gt;&lt;wsp:rsid wsp:val=&quot;76DF330F&quot;/&gt;&lt;wsp:rsid wsp:val=&quot;773F927D&quot;/&gt;&lt;wsp:rsid wsp:val=&quot;77676A20&quot;/&gt;&lt;wsp:rsid wsp:val=&quot;779D6084&quot;/&gt;&lt;wsp:rsid wsp:val=&quot;77AAA13B&quot;/&gt;&lt;wsp:rsid wsp:val=&quot;77ADA45B&quot;/&gt;&lt;wsp:rsid wsp:val=&quot;77BF23AA&quot;/&gt;&lt;wsp:rsid wsp:val=&quot;77BFA08F&quot;/&gt;&lt;wsp:rsid wsp:val=&quot;77CF6050&quot;/&gt;&lt;wsp:rsid wsp:val=&quot;77D61D22&quot;/&gt;&lt;wsp:rsid wsp:val=&quot;77DB7558&quot;/&gt;&lt;wsp:rsid wsp:val=&quot;77F963F5&quot;/&gt;&lt;wsp:rsid wsp:val=&quot;77F9A364&quot;/&gt;&lt;wsp:rsid wsp:val=&quot;787A42BD&quot;/&gt;&lt;wsp:rsid wsp:val=&quot;78992A40&quot;/&gt;&lt;wsp:rsid wsp:val=&quot;78F732C4&quot;/&gt;&lt;wsp:rsid wsp:val=&quot;79036043&quot;/&gt;&lt;wsp:rsid wsp:val=&quot;796FDD61&quot;/&gt;&lt;wsp:rsid wsp:val=&quot;7A480DB1&quot;/&gt;&lt;wsp:rsid wsp:val=&quot;7A6FC549&quot;/&gt;&lt;wsp:rsid wsp:val=&quot;7A7F8825&quot;/&gt;&lt;wsp:rsid wsp:val=&quot;7B0111B0&quot;/&gt;&lt;wsp:rsid wsp:val=&quot;7B37F8A2&quot;/&gt;&lt;wsp:rsid wsp:val=&quot;7B7B7AEF&quot;/&gt;&lt;wsp:rsid wsp:val=&quot;7BB987D3&quot;/&gt;&lt;wsp:rsid wsp:val=&quot;7BBE1752&quot;/&gt;&lt;wsp:rsid wsp:val=&quot;7BBF89A6&quot;/&gt;&lt;wsp:rsid wsp:val=&quot;7BBFC78A&quot;/&gt;&lt;wsp:rsid wsp:val=&quot;7BDF2EFE&quot;/&gt;&lt;wsp:rsid wsp:val=&quot;7BFF06C1&quot;/&gt;&lt;wsp:rsid wsp:val=&quot;7C330DCE&quot;/&gt;&lt;wsp:rsid wsp:val=&quot;7C6F688D&quot;/&gt;&lt;wsp:rsid wsp:val=&quot;7C8F0594&quot;/&gt;&lt;wsp:rsid wsp:val=&quot;7CF25910&quot;/&gt;&lt;wsp:rsid wsp:val=&quot;7D537911&quot;/&gt;&lt;wsp:rsid wsp:val=&quot;7DAF5283&quot;/&gt;&lt;wsp:rsid wsp:val=&quot;7DB6B7D3&quot;/&gt;&lt;wsp:rsid wsp:val=&quot;7DC7001B&quot;/&gt;&lt;wsp:rsid wsp:val=&quot;7DDF01C5&quot;/&gt;&lt;wsp:rsid wsp:val=&quot;7DF5935E&quot;/&gt;&lt;wsp:rsid wsp:val=&quot;7DF7D53C&quot;/&gt;&lt;wsp:rsid wsp:val=&quot;7DFD5678&quot;/&gt;&lt;wsp:rsid wsp:val=&quot;7DFF9227&quot;/&gt;&lt;wsp:rsid wsp:val=&quot;7E1370A0&quot;/&gt;&lt;wsp:rsid wsp:val=&quot;7E484F9C&quot;/&gt;&lt;wsp:rsid wsp:val=&quot;7E5C4C83&quot;/&gt;&lt;wsp:rsid wsp:val=&quot;7E8C5F4A&quot;/&gt;&lt;wsp:rsid wsp:val=&quot;7E923553&quot;/&gt;&lt;wsp:rsid wsp:val=&quot;7E93D165&quot;/&gt;&lt;wsp:rsid wsp:val=&quot;7EBBB6FB&quot;/&gt;&lt;wsp:rsid wsp:val=&quot;7EE715AE&quot;/&gt;&lt;wsp:rsid wsp:val=&quot;7EF03B20&quot;/&gt;&lt;wsp:rsid wsp:val=&quot;7EFDE231&quot;/&gt;&lt;wsp:rsid wsp:val=&quot;7EFF193F&quot;/&gt;&lt;wsp:rsid wsp:val=&quot;7F0DBD23&quot;/&gt;&lt;wsp:rsid wsp:val=&quot;7F1C8002&quot;/&gt;&lt;wsp:rsid wsp:val=&quot;7F3F1EA1&quot;/&gt;&lt;wsp:rsid wsp:val=&quot;7F571A5B&quot;/&gt;&lt;wsp:rsid wsp:val=&quot;7F777DDD&quot;/&gt;&lt;wsp:rsid wsp:val=&quot;7F778DBC&quot;/&gt;&lt;wsp:rsid wsp:val=&quot;7F8B2291&quot;/&gt;&lt;wsp:rsid wsp:val=&quot;7F923FF5&quot;/&gt;&lt;wsp:rsid wsp:val=&quot;7F9B4357&quot;/&gt;&lt;wsp:rsid wsp:val=&quot;7FAE2814&quot;/&gt;&lt;wsp:rsid wsp:val=&quot;7FBBE062&quot;/&gt;&lt;wsp:rsid wsp:val=&quot;7FBEB7EA&quot;/&gt;&lt;wsp:rsid wsp:val=&quot;7FBF7938&quot;/&gt;&lt;wsp:rsid wsp:val=&quot;7FC35E17&quot;/&gt;&lt;wsp:rsid wsp:val=&quot;7FC46E7B&quot;/&gt;&lt;wsp:rsid wsp:val=&quot;7FDD9770&quot;/&gt;&lt;wsp:rsid wsp:val=&quot;7FE0F8D8&quot;/&gt;&lt;wsp:rsid wsp:val=&quot;7FEBC062&quot;/&gt;&lt;wsp:rsid wsp:val=&quot;7FEFA09C&quot;/&gt;&lt;wsp:rsid wsp:val=&quot;7FF7DFD1&quot;/&gt;&lt;wsp:rsid wsp:val=&quot;7FF7E467&quot;/&gt;&lt;wsp:rsid wsp:val=&quot;7FF9BE37&quot;/&gt;&lt;wsp:rsid wsp:val=&quot;7FFA6CD2&quot;/&gt;&lt;wsp:rsid wsp:val=&quot;7FFB0A0B&quot;/&gt;&lt;wsp:rsid wsp:val=&quot;7FFD1491&quot;/&gt;&lt;wsp:rsid wsp:val=&quot;7FFE9832&quot;/&gt;&lt;wsp:rsid wsp:val=&quot;7FFF3792&quot;/&gt;&lt;wsp:rsid wsp:val=&quot;7FFF6E37&quot;/&gt;&lt;wsp:rsid wsp:val=&quot;7FFF9EA5&quot;/&gt;&lt;wsp:rsid wsp:val=&quot;8EC701F9&quot;/&gt;&lt;wsp:rsid wsp:val=&quot;9ADF39D4&quot;/&gt;&lt;wsp:rsid wsp:val=&quot;9BB60683&quot;/&gt;&lt;wsp:rsid wsp:val=&quot;9D3EBDF3&quot;/&gt;&lt;wsp:rsid wsp:val=&quot;9DD7F2D1&quot;/&gt;&lt;wsp:rsid wsp:val=&quot;9F6D8389&quot;/&gt;&lt;wsp:rsid wsp:val=&quot;A5DF8C53&quot;/&gt;&lt;wsp:rsid wsp:val=&quot;A8EE8CFE&quot;/&gt;&lt;wsp:rsid wsp:val=&quot;AB3F3160&quot;/&gt;&lt;wsp:rsid wsp:val=&quot;ABAB20F8&quot;/&gt;&lt;wsp:rsid wsp:val=&quot;ABAFFA38&quot;/&gt;&lt;wsp:rsid wsp:val=&quot;AEFFA6A9&quot;/&gt;&lt;wsp:rsid wsp:val=&quot;B3FFC2BF&quot;/&gt;&lt;wsp:rsid wsp:val=&quot;B43E04CF&quot;/&gt;&lt;wsp:rsid wsp:val=&quot;B5FBA294&quot;/&gt;&lt;wsp:rsid wsp:val=&quot;B5FC0050&quot;/&gt;&lt;wsp:rsid wsp:val=&quot;B7AFE55A&quot;/&gt;&lt;wsp:rsid wsp:val=&quot;B7E70AD6&quot;/&gt;&lt;wsp:rsid wsp:val=&quot;B7F9BA0C&quot;/&gt;&lt;wsp:rsid wsp:val=&quot;B844EB5B&quot;/&gt;&lt;wsp:rsid wsp:val=&quot;BA71753C&quot;/&gt;&lt;wsp:rsid wsp:val=&quot;BBBBB6E2&quot;/&gt;&lt;wsp:rsid wsp:val=&quot;BBCB363C&quot;/&gt;&lt;wsp:rsid wsp:val=&quot;BBFD6FC4&quot;/&gt;&lt;wsp:rsid wsp:val=&quot;BBFF136E&quot;/&gt;&lt;wsp:rsid wsp:val=&quot;BC7DC8A8&quot;/&gt;&lt;wsp:rsid wsp:val=&quot;BDFD99FD&quot;/&gt;&lt;wsp:rsid wsp:val=&quot;BDFF9351&quot;/&gt;&lt;wsp:rsid wsp:val=&quot;BEB5B626&quot;/&gt;&lt;wsp:rsid wsp:val=&quot;BEDFBDE7&quot;/&gt;&lt;wsp:rsid wsp:val=&quot;BEFE36A9&quot;/&gt;&lt;wsp:rsid wsp:val=&quot;BF366FB8&quot;/&gt;&lt;wsp:rsid wsp:val=&quot;BF37D914&quot;/&gt;&lt;wsp:rsid wsp:val=&quot;BFD93F38&quot;/&gt;&lt;wsp:rsid wsp:val=&quot;BFF17AEE&quot;/&gt;&lt;wsp:rsid wsp:val=&quot;BFFF0534&quot;/&gt;&lt;wsp:rsid wsp:val=&quot;BFFF27B0&quot;/&gt;&lt;wsp:rsid wsp:val=&quot;BFFF3280&quot;/&gt;&lt;wsp:rsid wsp:val=&quot;C1BFC450&quot;/&gt;&lt;wsp:rsid wsp:val=&quot;C73B43A4&quot;/&gt;&lt;wsp:rsid wsp:val=&quot;CCBD5D81&quot;/&gt;&lt;wsp:rsid wsp:val=&quot;CDB7D8B9&quot;/&gt;&lt;wsp:rsid wsp:val=&quot;CDBFFA34&quot;/&gt;&lt;wsp:rsid wsp:val=&quot;CDFB59D1&quot;/&gt;&lt;wsp:rsid wsp:val=&quot;CF9FE863&quot;/&gt;&lt;wsp:rsid wsp:val=&quot;D4F544E7&quot;/&gt;&lt;wsp:rsid wsp:val=&quot;D57FDD91&quot;/&gt;&lt;wsp:rsid wsp:val=&quot;D6FA8A8F&quot;/&gt;&lt;wsp:rsid wsp:val=&quot;D7BB5077&quot;/&gt;&lt;wsp:rsid wsp:val=&quot;D9FFAB7D&quot;/&gt;&lt;wsp:rsid wsp:val=&quot;DADEBCE5&quot;/&gt;&lt;wsp:rsid wsp:val=&quot;DB7DA3EC&quot;/&gt;&lt;wsp:rsid wsp:val=&quot;DBDC24B4&quot;/&gt;&lt;wsp:rsid wsp:val=&quot;DC7EDA14&quot;/&gt;&lt;wsp:rsid wsp:val=&quot;DDB5D592&quot;/&gt;&lt;wsp:rsid wsp:val=&quot;DDFD9847&quot;/&gt;&lt;wsp:rsid wsp:val=&quot;DE7F35E9&quot;/&gt;&lt;wsp:rsid wsp:val=&quot;DEDDE723&quot;/&gt;&lt;wsp:rsid wsp:val=&quot;DEF27A72&quot;/&gt;&lt;wsp:rsid wsp:val=&quot;DF75C3E8&quot;/&gt;&lt;wsp:rsid wsp:val=&quot;DF7B6304&quot;/&gt;&lt;wsp:rsid wsp:val=&quot;DF8DC08A&quot;/&gt;&lt;wsp:rsid wsp:val=&quot;DFBF382C&quot;/&gt;&lt;wsp:rsid wsp:val=&quot;DFFB1304&quot;/&gt;&lt;wsp:rsid wsp:val=&quot;DFFB7051&quot;/&gt;&lt;wsp:rsid wsp:val=&quot;DFFD3865&quot;/&gt;&lt;wsp:rsid wsp:val=&quot;DFFFE51F&quot;/&gt;&lt;wsp:rsid wsp:val=&quot;E33E4836&quot;/&gt;&lt;wsp:rsid wsp:val=&quot;E3FF71BE&quot;/&gt;&lt;wsp:rsid wsp:val=&quot;E7AE8F7A&quot;/&gt;&lt;wsp:rsid wsp:val=&quot;E7C3B6F4&quot;/&gt;&lt;wsp:rsid wsp:val=&quot;EB5E0D05&quot;/&gt;&lt;wsp:rsid wsp:val=&quot;EBD4BE48&quot;/&gt;&lt;wsp:rsid wsp:val=&quot;EBE70DF3&quot;/&gt;&lt;wsp:rsid wsp:val=&quot;EBF60A46&quot;/&gt;&lt;wsp:rsid wsp:val=&quot;EBF73CAA&quot;/&gt;&lt;wsp:rsid wsp:val=&quot;EBFF6737&quot;/&gt;&lt;wsp:rsid wsp:val=&quot;EBFF777A&quot;/&gt;&lt;wsp:rsid wsp:val=&quot;ED377B7B&quot;/&gt;&lt;wsp:rsid wsp:val=&quot;EDFDDE8C&quot;/&gt;&lt;wsp:rsid wsp:val=&quot;EEFF6487&quot;/&gt;&lt;wsp:rsid wsp:val=&quot;EF637166&quot;/&gt;&lt;wsp:rsid wsp:val=&quot;EF75ED13&quot;/&gt;&lt;wsp:rsid wsp:val=&quot;EFAFFEF5&quot;/&gt;&lt;wsp:rsid wsp:val=&quot;EFDC11E0&quot;/&gt;&lt;wsp:rsid wsp:val=&quot;EFECBDBC&quot;/&gt;&lt;wsp:rsid wsp:val=&quot;EFF736EB&quot;/&gt;&lt;wsp:rsid wsp:val=&quot;EFFB2693&quot;/&gt;&lt;wsp:rsid wsp:val=&quot;F39F54E5&quot;/&gt;&lt;wsp:rsid wsp:val=&quot;F3FF38E7&quot;/&gt;&lt;wsp:rsid wsp:val=&quot;F4A37EE4&quot;/&gt;&lt;wsp:rsid wsp:val=&quot;F5A7C8A5&quot;/&gt;&lt;wsp:rsid wsp:val=&quot;F5AB5158&quot;/&gt;&lt;wsp:rsid wsp:val=&quot;F6FBAE4F&quot;/&gt;&lt;wsp:rsid wsp:val=&quot;F7BF9CC5&quot;/&gt;&lt;wsp:rsid wsp:val=&quot;F7EFC410&quot;/&gt;&lt;wsp:rsid wsp:val=&quot;F8F671C6&quot;/&gt;&lt;wsp:rsid wsp:val=&quot;F95AE5D0&quot;/&gt;&lt;wsp:rsid wsp:val=&quot;FBBBF98E&quot;/&gt;&lt;wsp:rsid wsp:val=&quot;FBDC0FC3&quot;/&gt;&lt;wsp:rsid wsp:val=&quot;FBF7EA14&quot;/&gt;&lt;wsp:rsid wsp:val=&quot;FBFD177B&quot;/&gt;&lt;wsp:rsid wsp:val=&quot;FBFF0AA5&quot;/&gt;&lt;wsp:rsid wsp:val=&quot;FBFF15B3&quot;/&gt;&lt;wsp:rsid wsp:val=&quot;FCEB4C03&quot;/&gt;&lt;wsp:rsid wsp:val=&quot;FCFCEEA9&quot;/&gt;&lt;wsp:rsid wsp:val=&quot;FCFF80B8&quot;/&gt;&lt;wsp:rsid wsp:val=&quot;FD7B032A&quot;/&gt;&lt;wsp:rsid wsp:val=&quot;FD7DB8D2&quot;/&gt;&lt;wsp:rsid wsp:val=&quot;FDB35D97&quot;/&gt;&lt;wsp:rsid wsp:val=&quot;FDD65BCB&quot;/&gt;&lt;wsp:rsid wsp:val=&quot;FDEE0097&quot;/&gt;&lt;wsp:rsid wsp:val=&quot;FE3AE016&quot;/&gt;&lt;wsp:rsid wsp:val=&quot;FE3FD466&quot;/&gt;&lt;wsp:rsid wsp:val=&quot;FE9F6274&quot;/&gt;&lt;wsp:rsid wsp:val=&quot;FEDD1634&quot;/&gt;&lt;wsp:rsid wsp:val=&quot;FEFA1EB8&quot;/&gt;&lt;wsp:rsid wsp:val=&quot;FF1C1AB3&quot;/&gt;&lt;wsp:rsid wsp:val=&quot;FF2E3D85&quot;/&gt;&lt;wsp:rsid wsp:val=&quot;FF3FD125&quot;/&gt;&lt;wsp:rsid wsp:val=&quot;FF5F1445&quot;/&gt;&lt;wsp:rsid wsp:val=&quot;FF6C9B3A&quot;/&gt;&lt;wsp:rsid wsp:val=&quot;FF6FAE72&quot;/&gt;&lt;wsp:rsid wsp:val=&quot;FF7D18DE&quot;/&gt;&lt;wsp:rsid wsp:val=&quot;FF7F1A1F&quot;/&gt;&lt;wsp:rsid wsp:val=&quot;FF7F4874&quot;/&gt;&lt;wsp:rsid wsp:val=&quot;FF7FC562&quot;/&gt;&lt;wsp:rsid wsp:val=&quot;FF7FEAFE&quot;/&gt;&lt;wsp:rsid wsp:val=&quot;FF90B2D1&quot;/&gt;&lt;wsp:rsid wsp:val=&quot;FF9DBC46&quot;/&gt;&lt;wsp:rsid wsp:val=&quot;FFAEBEB2&quot;/&gt;&lt;wsp:rsid wsp:val=&quot;FFBDA77C&quot;/&gt;&lt;wsp:rsid wsp:val=&quot;FFBE1F58&quot;/&gt;&lt;wsp:rsid wsp:val=&quot;FFBF8FAA&quot;/&gt;&lt;wsp:rsid wsp:val=&quot;FFBF9C5A&quot;/&gt;&lt;wsp:rsid wsp:val=&quot;FFBFDEF1&quot;/&gt;&lt;wsp:rsid wsp:val=&quot;FFDD40DA&quot;/&gt;&lt;wsp:rsid wsp:val=&quot;FFE9547C&quot;/&gt;&lt;wsp:rsid wsp:val=&quot;FFF4C6AA&quot;/&gt;&lt;wsp:rsid wsp:val=&quot;FFF5566E&quot;/&gt;&lt;wsp:rsid wsp:val=&quot;FFF71B17&quot;/&gt;&lt;wsp:rsid wsp:val=&quot;FFF7534D&quot;/&gt;&lt;wsp:rsid wsp:val=&quot;FFF7A93B&quot;/&gt;&lt;wsp:rsid wsp:val=&quot;FFFBD57C&quot;/&gt;&lt;wsp:rsid wsp:val=&quot;FFFDBD57&quot;/&gt;&lt;wsp:rsid wsp:val=&quot;FFFE6206&quot;/&gt;&lt;wsp:rsid wsp:val=&quot;FFFF2656&quot;/&gt;&lt;wsp:rsid wsp:val=&quot;FFFFEE31&quot;/&gt;&lt;/wsp:rsids&gt;&lt;/w:docPr&gt;&lt;w:body&gt;&lt;wx:sect&gt;&lt;w:p wsp:rsidR=&quot;00433A8B&quot; wsp:rsidRDefault=&quot;00433A8B&quot; wsp:rsidP=&quot;00433A8B&quot;&gt;&lt;m:oMathPara&gt;&lt;m:oMath&gt;&lt;m:sSub&gt;&lt;m:sSubPr&gt;&lt;m:ctrlPr&gt;&lt;w:rPr&gt;&lt;w:rFonts w:ascii=&quot;Cambria Math&quot; w:fareast=&quot;等线&quot; w:h-ansi=&quot;Cambria Math&quot;/&gt;&lt;wx:font wx:val=&quot;Cambria Math&quot;/&gt;&lt;w:i/&gt;&lt;w:color w:val=&quot;1F1F1F&quot;/&gt;&lt;w:kern w:val=&quot;0&quot;/&gt;&lt;w:sz w:val=&quot;24&quot;/&gt;&lt;/w:rPr&gt;&lt;/m:ctrlPr&gt;&lt;/m:sSubPr&gt;&lt;m:e&gt;&lt;m:r&gt;&lt;w:rPr&gt;&lt;w:rFonts w:ascii=&quot;Cambria Math&quot; w:fareast=&quot;等线&quot; w:h-ansi=&quot;Cambria Math&quot;/&gt;&lt;wx:font wx:val=&quot;Cambria Math&quot;/&gt;&lt;w:i/&gt;&lt;w:color w:val=&quot;1F1F1F&quot;/&gt;&lt;w:kern w:val=&quot;0&quot;/&gt;&lt;w:sz w:val=&quot;24&quot;/&gt;&lt;/w:rPr&gt;&lt;m:t&gt;D&lt;/m:t&gt;&lt;/m:r&gt;&lt;/m:e&gt;&lt;m:sub&gt;&lt;m:r&gt;&lt;w:rPr&gt;&lt;w:rFonts w:ascii=&quot;Cambria Math&quot; w:fareast=&quot;等线&quot; w:h-ansi=&quot;Cambria Math&quot;/&gt;&lt;wx:font wx:val=&quot;Cambria Math&quot;/&gt;&lt;w:i/&gt;&lt;w:color w:val=&quot;1F1F1F&quot;/&gt;&lt;w:kern w:val=&quot;0&quot;/&gt;&lt;w:sz w:val=&quot;24&quot;/&gt;&lt;/w:rPr&gt;&lt;m:t&gt;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eastAsia" w:ascii="宋体" w:hAnsi="宋体" w:eastAsia="宋体" w:cs="宋体"/>
          <w:i/>
          <w:iCs/>
          <w:szCs w:val="21"/>
        </w:rPr>
        <w:instrText xml:space="preserve"> </w:instrText>
      </w:r>
      <w:r>
        <w:rPr>
          <w:rFonts w:hint="eastAsia" w:ascii="宋体" w:hAnsi="宋体" w:eastAsia="宋体" w:cs="宋体"/>
          <w:i/>
          <w:iCs/>
          <w:szCs w:val="21"/>
        </w:rPr>
        <w:fldChar w:fldCharType="separate"/>
      </w:r>
      <w:r>
        <w:rPr>
          <w:rFonts w:hint="eastAsia" w:ascii="宋体" w:hAnsi="宋体" w:eastAsia="宋体" w:cs="宋体"/>
          <w:i/>
          <w:iCs/>
          <w:szCs w:val="21"/>
          <w:lang w:val="en-US" w:eastAsia="zh-CN"/>
        </w:rPr>
        <w:t>D</w:t>
      </w:r>
      <w:r>
        <w:rPr>
          <w:rFonts w:hint="eastAsia" w:ascii="宋体" w:hAnsi="宋体" w:eastAsia="宋体" w:cs="宋体"/>
          <w:i/>
          <w:iCs/>
          <w:szCs w:val="21"/>
          <w:vertAlign w:val="subscript"/>
          <w:lang w:val="en-US" w:eastAsia="zh-CN"/>
        </w:rPr>
        <w:t>t</w:t>
      </w:r>
      <w:r>
        <w:rPr>
          <w:rFonts w:hint="eastAsia" w:ascii="宋体" w:hAnsi="宋体" w:eastAsia="宋体" w:cs="宋体"/>
          <w:i/>
          <w:iCs/>
          <w:szCs w:val="21"/>
        </w:rPr>
        <w:fldChar w:fldCharType="end"/>
      </w:r>
      <w:r>
        <w:rPr>
          <w:rFonts w:hint="eastAsia" w:ascii="宋体" w:hAnsi="宋体" w:eastAsia="宋体" w:cs="宋体"/>
          <w:szCs w:val="21"/>
        </w:rPr>
        <w:t>），并根据</w:t>
      </w:r>
      <w:r>
        <w:rPr>
          <w:rFonts w:hint="eastAsia" w:ascii="宋体" w:hAnsi="宋体" w:cs="宋体"/>
          <w:szCs w:val="21"/>
        </w:rPr>
        <w:t>公式（</w:t>
      </w:r>
      <w:r>
        <w:rPr>
          <w:rFonts w:hint="eastAsia" w:ascii="宋体" w:hAnsi="宋体" w:cs="宋体"/>
          <w:szCs w:val="21"/>
          <w:lang w:val="en-US" w:eastAsia="zh-CN"/>
        </w:rPr>
        <w:t>B.1</w:t>
      </w:r>
      <w:r>
        <w:rPr>
          <w:rFonts w:hint="eastAsia" w:ascii="宋体" w:hAnsi="宋体" w:cs="宋体"/>
          <w:szCs w:val="21"/>
        </w:rPr>
        <w:t>）</w:t>
      </w:r>
      <w:r>
        <w:rPr>
          <w:rFonts w:hint="eastAsia" w:ascii="宋体" w:hAnsi="宋体" w:eastAsia="宋体" w:cs="宋体"/>
          <w:szCs w:val="21"/>
        </w:rPr>
        <w:t>斯托克斯-爱因斯坦（Stokes-Einstein）方程计算颗粒的粒径：</w:t>
      </w:r>
    </w:p>
    <w:p w14:paraId="61936FE8">
      <w:pPr>
        <w:ind w:left="0" w:leftChars="0" w:firstLine="0" w:firstLineChars="0"/>
        <w:jc w:val="right"/>
        <w:rPr>
          <w:szCs w:val="21"/>
        </w:rPr>
      </w:pPr>
      <m:oMath>
        <m:sSub>
          <m:sSubPr>
            <m:ctrlPr>
              <w:rPr>
                <w:rFonts w:ascii="Cambria Math" w:hAnsi="Cambria Math" w:eastAsia="等线"/>
                <w:i/>
                <w:color w:val="1F1F1F"/>
                <w:kern w:val="0"/>
                <w:sz w:val="24"/>
              </w:rPr>
            </m:ctrlPr>
          </m:sSubPr>
          <m:e>
            <m:r>
              <m:rPr/>
              <w:rPr>
                <w:rFonts w:ascii="Cambria Math" w:hAnsi="Cambria Math" w:eastAsia="等线"/>
                <w:color w:val="1F1F1F"/>
                <w:kern w:val="0"/>
                <w:sz w:val="24"/>
              </w:rPr>
              <m:t>D</m:t>
            </m:r>
            <m:ctrlPr>
              <w:rPr>
                <w:rFonts w:ascii="Cambria Math" w:hAnsi="Cambria Math" w:eastAsia="等线"/>
                <w:i/>
                <w:color w:val="1F1F1F"/>
                <w:kern w:val="0"/>
                <w:sz w:val="24"/>
              </w:rPr>
            </m:ctrlPr>
          </m:e>
          <m:sub>
            <m:r>
              <m:rPr/>
              <w:rPr>
                <w:rFonts w:ascii="Cambria Math" w:hAnsi="Cambria Math" w:eastAsia="等线"/>
                <w:color w:val="1F1F1F"/>
                <w:kern w:val="0"/>
                <w:sz w:val="24"/>
              </w:rPr>
              <m:t>h</m:t>
            </m:r>
            <m:ctrlPr>
              <w:rPr>
                <w:rFonts w:ascii="Cambria Math" w:hAnsi="Cambria Math" w:eastAsia="等线"/>
                <w:i/>
                <w:color w:val="1F1F1F"/>
                <w:kern w:val="0"/>
                <w:sz w:val="24"/>
              </w:rPr>
            </m:ctrlPr>
          </m:sub>
        </m:sSub>
        <m:r>
          <m:rPr/>
          <w:rPr>
            <w:rFonts w:ascii="Cambria Math" w:hAnsi="Cambria Math" w:eastAsia="等线"/>
            <w:color w:val="1F1F1F"/>
            <w:kern w:val="0"/>
            <w:sz w:val="24"/>
          </w:rPr>
          <m:t>=</m:t>
        </m:r>
        <m:f>
          <m:fPr>
            <m:ctrlPr>
              <w:rPr>
                <w:rFonts w:ascii="Cambria Math" w:hAnsi="Cambria Math" w:eastAsia="等线"/>
                <w:i/>
                <w:color w:val="1F1F1F"/>
                <w:kern w:val="0"/>
                <w:sz w:val="24"/>
              </w:rPr>
            </m:ctrlPr>
          </m:fPr>
          <m:num>
            <m:sSub>
              <m:sSubPr>
                <m:ctrlPr>
                  <w:rPr>
                    <w:rFonts w:ascii="Cambria Math" w:hAnsi="Cambria Math" w:eastAsia="等线"/>
                    <w:i/>
                    <w:color w:val="1F1F1F"/>
                    <w:kern w:val="0"/>
                    <w:sz w:val="24"/>
                  </w:rPr>
                </m:ctrlPr>
              </m:sSubPr>
              <m:e>
                <m:r>
                  <m:rPr/>
                  <w:rPr>
                    <w:rFonts w:ascii="Cambria Math" w:hAnsi="Cambria Math" w:eastAsia="等线"/>
                    <w:color w:val="1F1F1F"/>
                    <w:kern w:val="0"/>
                    <w:sz w:val="24"/>
                  </w:rPr>
                  <m:t>k</m:t>
                </m:r>
                <m:ctrlPr>
                  <w:rPr>
                    <w:rFonts w:ascii="Cambria Math" w:hAnsi="Cambria Math" w:eastAsia="等线"/>
                    <w:i/>
                    <w:color w:val="1F1F1F"/>
                    <w:kern w:val="0"/>
                    <w:sz w:val="24"/>
                  </w:rPr>
                </m:ctrlPr>
              </m:e>
              <m:sub>
                <m:r>
                  <m:rPr/>
                  <w:rPr>
                    <w:rFonts w:ascii="Cambria Math" w:hAnsi="Cambria Math" w:eastAsia="等线"/>
                    <w:color w:val="1F1F1F"/>
                    <w:kern w:val="0"/>
                    <w:sz w:val="24"/>
                  </w:rPr>
                  <m:t>B</m:t>
                </m:r>
                <m:ctrlPr>
                  <w:rPr>
                    <w:rFonts w:ascii="Cambria Math" w:hAnsi="Cambria Math" w:eastAsia="等线"/>
                    <w:i/>
                    <w:color w:val="1F1F1F"/>
                    <w:kern w:val="0"/>
                    <w:sz w:val="24"/>
                  </w:rPr>
                </m:ctrlPr>
              </m:sub>
            </m:sSub>
            <m:r>
              <m:rPr/>
              <w:rPr>
                <w:rFonts w:ascii="Cambria Math" w:hAnsi="Cambria Math" w:eastAsia="等线"/>
                <w:color w:val="1F1F1F"/>
                <w:kern w:val="0"/>
                <w:sz w:val="24"/>
              </w:rPr>
              <m:t>T</m:t>
            </m:r>
            <m:ctrlPr>
              <w:rPr>
                <w:rFonts w:ascii="Cambria Math" w:hAnsi="Cambria Math" w:eastAsia="等线"/>
                <w:i/>
                <w:color w:val="1F1F1F"/>
                <w:kern w:val="0"/>
                <w:sz w:val="24"/>
              </w:rPr>
            </m:ctrlPr>
          </m:num>
          <m:den>
            <m:r>
              <m:rPr/>
              <w:rPr>
                <w:rFonts w:ascii="Cambria Math" w:hAnsi="Cambria Math" w:eastAsia="等线"/>
                <w:color w:val="1F1F1F"/>
                <w:kern w:val="0"/>
                <w:sz w:val="24"/>
              </w:rPr>
              <m:t>3πη</m:t>
            </m:r>
            <m:sSub>
              <m:sSubPr>
                <m:ctrlPr>
                  <w:rPr>
                    <w:rFonts w:ascii="Cambria Math" w:hAnsi="Cambria Math" w:eastAsia="等线"/>
                    <w:i/>
                    <w:color w:val="1F1F1F"/>
                    <w:kern w:val="0"/>
                    <w:sz w:val="24"/>
                  </w:rPr>
                </m:ctrlPr>
              </m:sSubPr>
              <w:bookmarkStart w:id="91" w:name="OLE_LINK5"/>
              <m:e>
                <m:r>
                  <m:rPr/>
                  <w:rPr>
                    <w:rFonts w:ascii="Cambria Math" w:hAnsi="Cambria Math" w:eastAsia="等线"/>
                    <w:color w:val="1F1F1F"/>
                    <w:kern w:val="0"/>
                    <w:sz w:val="24"/>
                  </w:rPr>
                  <m:t>D</m:t>
                </m:r>
                <m:ctrlPr>
                  <w:rPr>
                    <w:rFonts w:ascii="Cambria Math" w:hAnsi="Cambria Math" w:eastAsia="等线"/>
                    <w:i/>
                    <w:color w:val="1F1F1F"/>
                    <w:kern w:val="0"/>
                    <w:sz w:val="24"/>
                  </w:rPr>
                </m:ctrlPr>
              </m:e>
              <m:sub>
                <m:r>
                  <m:rPr/>
                  <w:rPr>
                    <w:rFonts w:ascii="Cambria Math" w:hAnsi="Cambria Math" w:eastAsia="等线"/>
                    <w:color w:val="1F1F1F"/>
                    <w:kern w:val="0"/>
                    <w:sz w:val="24"/>
                  </w:rPr>
                  <m:t>t</m:t>
                </m:r>
                <w:bookmarkEnd w:id="91"/>
                <m:ctrlPr>
                  <w:rPr>
                    <w:rFonts w:ascii="Cambria Math" w:hAnsi="Cambria Math" w:eastAsia="等线"/>
                    <w:i/>
                    <w:color w:val="1F1F1F"/>
                    <w:kern w:val="0"/>
                    <w:sz w:val="24"/>
                  </w:rPr>
                </m:ctrlPr>
              </m:sub>
            </m:sSub>
            <m:ctrlPr>
              <w:rPr>
                <w:rFonts w:ascii="Cambria Math" w:hAnsi="Cambria Math" w:eastAsia="等线"/>
                <w:i/>
                <w:color w:val="1F1F1F"/>
                <w:kern w:val="0"/>
                <w:sz w:val="24"/>
              </w:rPr>
            </m:ctrlPr>
          </m:den>
        </m:f>
      </m:oMath>
      <w:r>
        <w:rPr>
          <w:rFonts w:hint="eastAsia" w:hAnsi="宋体" w:cs="宋体"/>
          <w:szCs w:val="21"/>
          <w:lang w:eastAsia="zh-Hans"/>
        </w:rPr>
        <w:t>………………………………</w:t>
      </w:r>
      <w:r>
        <w:rPr>
          <w:rFonts w:hint="eastAsia" w:ascii="宋体" w:hAnsi="宋体" w:cs="宋体"/>
          <w:szCs w:val="21"/>
          <w:lang w:eastAsia="zh-Hans"/>
        </w:rPr>
        <w:t>…</w:t>
      </w:r>
      <w:r>
        <w:rPr>
          <w:rFonts w:hint="eastAsia" w:hAnsi="宋体" w:cs="宋体"/>
          <w:szCs w:val="21"/>
          <w:lang w:eastAsia="zh-Hans"/>
        </w:rPr>
        <w:t>……</w:t>
      </w:r>
      <w:r>
        <w:rPr>
          <w:rFonts w:hint="eastAsia" w:ascii="宋体" w:hAnsi="宋体" w:cs="宋体"/>
          <w:szCs w:val="21"/>
          <w:lang w:eastAsia="zh-Hans"/>
        </w:rPr>
        <w:t>…</w:t>
      </w:r>
      <w:r>
        <w:rPr>
          <w:rFonts w:hint="eastAsia" w:hAnsi="宋体" w:cs="宋体"/>
          <w:szCs w:val="21"/>
          <w:lang w:eastAsia="zh-Hans"/>
        </w:rPr>
        <w:t>…</w:t>
      </w:r>
      <w:r>
        <w:rPr>
          <w:rFonts w:hint="eastAsia" w:ascii="宋体" w:hAnsi="宋体" w:cs="宋体"/>
          <w:szCs w:val="21"/>
          <w:lang w:eastAsia="zh-Hans"/>
        </w:rPr>
        <w:t>（</w:t>
      </w:r>
      <w:r>
        <w:rPr>
          <w:rFonts w:hint="eastAsia" w:ascii="宋体" w:hAnsi="宋体" w:cs="宋体"/>
          <w:szCs w:val="21"/>
          <w:lang w:val="en-US" w:eastAsia="zh-CN"/>
        </w:rPr>
        <w:t>B.1</w:t>
      </w:r>
      <w:r>
        <w:rPr>
          <w:rFonts w:hint="eastAsia" w:ascii="宋体" w:hAnsi="宋体" w:cs="宋体"/>
          <w:szCs w:val="21"/>
          <w:lang w:eastAsia="zh-Hans"/>
        </w:rPr>
        <w:t>）</w:t>
      </w:r>
    </w:p>
    <w:p w14:paraId="4E3CAC26">
      <w:pPr>
        <w:ind w:firstLine="420" w:firstLineChars="200"/>
        <w:jc w:val="left"/>
        <w:rPr>
          <w:szCs w:val="21"/>
        </w:rPr>
      </w:pPr>
      <w:r>
        <w:rPr>
          <w:rFonts w:hint="eastAsia"/>
          <w:szCs w:val="21"/>
        </w:rPr>
        <w:t>式中：</w:t>
      </w:r>
    </w:p>
    <w:p w14:paraId="3169649D">
      <w:pPr>
        <w:numPr>
          <w:ilvl w:val="0"/>
          <w:numId w:val="0"/>
        </w:numPr>
        <w:ind w:leftChars="200"/>
        <w:jc w:val="left"/>
        <w:rPr>
          <w:rFonts w:hint="eastAsia" w:ascii="宋体" w:hAnsi="宋体" w:eastAsia="宋体" w:cs="宋体"/>
          <w:sz w:val="21"/>
          <w:szCs w:val="21"/>
        </w:rPr>
      </w:pPr>
      <w:r>
        <w:rPr>
          <w:rFonts w:hint="eastAsia" w:ascii="宋体" w:hAnsi="宋体" w:eastAsia="宋体" w:cs="宋体"/>
          <w:i/>
          <w:iCs/>
          <w:sz w:val="21"/>
          <w:szCs w:val="21"/>
          <w:vertAlign w:val="baseline"/>
          <w:lang w:val="en-US" w:eastAsia="zh-CN"/>
        </w:rPr>
        <w:t>D</w:t>
      </w:r>
      <w:r>
        <w:rPr>
          <w:rFonts w:hint="eastAsia" w:ascii="宋体" w:hAnsi="宋体" w:eastAsia="宋体" w:cs="宋体"/>
          <w:i/>
          <w:iCs/>
          <w:sz w:val="21"/>
          <w:szCs w:val="21"/>
          <w:vertAlign w:val="subscript"/>
          <w:lang w:val="en-US" w:eastAsia="zh-CN"/>
        </w:rPr>
        <w:t>h</w:t>
      </w:r>
      <w:r>
        <w:rPr>
          <w:rFonts w:hint="eastAsia" w:ascii="宋体" w:hAnsi="宋体" w:eastAsia="宋体" w:cs="宋体"/>
          <w:sz w:val="21"/>
          <w:szCs w:val="21"/>
        </w:rPr>
        <w:t>——颗粒的流体动力学直径（m）；</w:t>
      </w:r>
    </w:p>
    <w:p w14:paraId="2E418610">
      <w:pPr>
        <w:numPr>
          <w:ilvl w:val="0"/>
          <w:numId w:val="0"/>
        </w:numPr>
        <w:ind w:leftChars="200"/>
        <w:jc w:val="left"/>
        <w:rPr>
          <w:rFonts w:hint="eastAsia" w:ascii="宋体" w:hAnsi="宋体" w:eastAsia="宋体" w:cs="宋体"/>
          <w:sz w:val="21"/>
          <w:szCs w:val="21"/>
        </w:rPr>
      </w:pPr>
      <m:oMath>
        <m:sSub>
          <m:sSubPr>
            <m:ctrlPr>
              <w:rPr>
                <w:rFonts w:hint="eastAsia" w:ascii="Cambria Math" w:hAnsi="Cambria Math" w:eastAsia="宋体" w:cs="宋体"/>
                <w:i/>
                <w:color w:val="1F1F1F"/>
                <w:kern w:val="0"/>
                <w:sz w:val="21"/>
                <w:szCs w:val="21"/>
              </w:rPr>
            </m:ctrlPr>
          </m:sSubPr>
          <m:e>
            <m:r>
              <m:rPr/>
              <w:rPr>
                <w:rFonts w:hint="eastAsia" w:ascii="Cambria Math" w:hAnsi="Cambria Math" w:eastAsia="宋体" w:cs="宋体"/>
                <w:color w:val="1F1F1F"/>
                <w:kern w:val="0"/>
                <w:sz w:val="21"/>
                <w:szCs w:val="21"/>
              </w:rPr>
              <m:t>k</m:t>
            </m:r>
            <m:ctrlPr>
              <w:rPr>
                <w:rFonts w:hint="eastAsia" w:ascii="Cambria Math" w:hAnsi="Cambria Math" w:eastAsia="宋体" w:cs="宋体"/>
                <w:sz w:val="21"/>
                <w:szCs w:val="21"/>
              </w:rPr>
            </m:ctrlPr>
          </m:e>
          <m:sub>
            <m:r>
              <m:rPr/>
              <w:rPr>
                <w:rFonts w:hint="eastAsia" w:ascii="Cambria Math" w:hAnsi="Cambria Math" w:eastAsia="宋体" w:cs="宋体"/>
                <w:color w:val="1F1F1F"/>
                <w:kern w:val="0"/>
                <w:sz w:val="21"/>
                <w:szCs w:val="21"/>
              </w:rPr>
              <m:t>B</m:t>
            </m:r>
            <m:ctrlPr>
              <w:rPr>
                <w:rFonts w:hint="eastAsia" w:ascii="Cambria Math" w:hAnsi="Cambria Math" w:eastAsia="宋体" w:cs="宋体"/>
                <w:sz w:val="21"/>
                <w:szCs w:val="21"/>
              </w:rPr>
            </m:ctrlPr>
          </m:sub>
        </m:sSub>
      </m:oMath>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QUOTE </w:instrText>
      </w:r>
      <w:r>
        <w:rPr>
          <w:rFonts w:hint="eastAsia" w:ascii="宋体" w:hAnsi="宋体" w:eastAsia="宋体" w:cs="宋体"/>
          <w:sz w:val="21"/>
          <w:szCs w:val="21"/>
        </w:rPr>
        <w:pict>
          <v:shape id="_x0000_i1026" o:spt="75" type="#_x0000_t75" style="height:15.75pt;width:1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mirrorMargin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ODdiNDM5ZjM0MmZlNTdhMWFiNmM1NjYzYmNlN2ZjYjEifQ==&quot;/&gt;&lt;/w:docVars&gt;&lt;wsp:rsids&gt;&lt;wsp:rsidRoot wsp:val=&quot;00035925&quot;/&gt;&lt;wsp:rsid wsp:val=&quot;00000244&quot;/&gt;&lt;wsp:rsid wsp:val=&quot;0000185F&quot;/&gt;&lt;wsp:rsid wsp:val=&quot;0000586F&quot;/&gt;&lt;wsp:rsid wsp:val=&quot;00013D86&quot;/&gt;&lt;wsp:rsid wsp:val=&quot;00013E02&quot;/&gt;&lt;wsp:rsid wsp:val=&quot;00016D29&quot;/&gt;&lt;wsp:rsid wsp:val=&quot;0002143C&quot;/&gt;&lt;wsp:rsid wsp:val=&quot;00024D73&quot;/&gt;&lt;wsp:rsid wsp:val=&quot;00025A65&quot;/&gt;&lt;wsp:rsid wsp:val=&quot;00026C31&quot;/&gt;&lt;wsp:rsid wsp:val=&quot;00027280&quot;/&gt;&lt;wsp:rsid wsp:val=&quot;00031663&quot;/&gt;&lt;wsp:rsid wsp:val=&quot;000320A7&quot;/&gt;&lt;wsp:rsid wsp:val=&quot;00033841&quot;/&gt;&lt;wsp:rsid wsp:val=&quot;0003559F&quot;/&gt;&lt;wsp:rsid wsp:val=&quot;000358B6&quot;/&gt;&lt;wsp:rsid wsp:val=&quot;00035925&quot;/&gt;&lt;wsp:rsid wsp:val=&quot;00040B5B&quot;/&gt;&lt;wsp:rsid wsp:val=&quot;000438F1&quot;/&gt;&lt;wsp:rsid wsp:val=&quot;0005035D&quot;/&gt;&lt;wsp:rsid wsp:val=&quot;00052C18&quot;/&gt;&lt;wsp:rsid wsp:val=&quot;00054692&quot;/&gt;&lt;wsp:rsid wsp:val=&quot;00056315&quot;/&gt;&lt;wsp:rsid wsp:val=&quot;00062B2F&quot;/&gt;&lt;wsp:rsid wsp:val=&quot;00067CDF&quot;/&gt;&lt;wsp:rsid wsp:val=&quot;00074FBE&quot;/&gt;&lt;wsp:rsid wsp:val=&quot;00083415&quot;/&gt;&lt;wsp:rsid wsp:val=&quot;00083A09&quot;/&gt;&lt;wsp:rsid wsp:val=&quot;000868F2&quot;/&gt;&lt;wsp:rsid wsp:val=&quot;0009005E&quot;/&gt;&lt;wsp:rsid wsp:val=&quot;00092857&quot;/&gt;&lt;wsp:rsid wsp:val=&quot;00096A0D&quot;/&gt;&lt;wsp:rsid wsp:val=&quot;000A20A9&quot;/&gt;&lt;wsp:rsid wsp:val=&quot;000A48B1&quot;/&gt;&lt;wsp:rsid wsp:val=&quot;000A67E5&quot;/&gt;&lt;wsp:rsid wsp:val=&quot;000B3143&quot;/&gt;&lt;wsp:rsid wsp:val=&quot;000B4B1C&quot;/&gt;&lt;wsp:rsid wsp:val=&quot;000C47A1&quot;/&gt;&lt;wsp:rsid wsp:val=&quot;000C4928&quot;/&gt;&lt;wsp:rsid wsp:val=&quot;000C651B&quot;/&gt;&lt;wsp:rsid wsp:val=&quot;000C6B05&quot;/&gt;&lt;wsp:rsid wsp:val=&quot;000C6DD6&quot;/&gt;&lt;wsp:rsid wsp:val=&quot;000C73D4&quot;/&gt;&lt;wsp:rsid wsp:val=&quot;000D3D4C&quot;/&gt;&lt;wsp:rsid wsp:val=&quot;000D4F51&quot;/&gt;&lt;wsp:rsid wsp:val=&quot;000D718B&quot;/&gt;&lt;wsp:rsid wsp:val=&quot;000E059A&quot;/&gt;&lt;wsp:rsid wsp:val=&quot;000E0B88&quot;/&gt;&lt;wsp:rsid wsp:val=&quot;000E0C46&quot;/&gt;&lt;wsp:rsid wsp:val=&quot;000E630F&quot;/&gt;&lt;wsp:rsid wsp:val=&quot;000F030C&quot;/&gt;&lt;wsp:rsid wsp:val=&quot;000F129C&quot;/&gt;&lt;wsp:rsid wsp:val=&quot;000F19AE&quot;/&gt;&lt;wsp:rsid wsp:val=&quot;000F3707&quot;/&gt;&lt;wsp:rsid wsp:val=&quot;001020F3&quot;/&gt;&lt;wsp:rsid wsp:val=&quot;001036BE&quot;/&gt;&lt;wsp:rsid wsp:val=&quot;001045EA&quot;/&gt;&lt;wsp:rsid wsp:val=&quot;001056DE&quot;/&gt;&lt;wsp:rsid wsp:val=&quot;00107050&quot;/&gt;&lt;wsp:rsid wsp:val=&quot;001124C0&quot;/&gt;&lt;wsp:rsid wsp:val=&quot;00124188&quot;/&gt;&lt;wsp:rsid wsp:val=&quot;0013175F&quot;/&gt;&lt;wsp:rsid wsp:val=&quot;00146E25&quot;/&gt;&lt;wsp:rsid wsp:val=&quot;001512B4&quot;/&gt;&lt;wsp:rsid wsp:val=&quot;00151CF1&quot;/&gt;&lt;wsp:rsid wsp:val=&quot;00152CB5&quot;/&gt;&lt;wsp:rsid wsp:val=&quot;001620A5&quot;/&gt;&lt;wsp:rsid wsp:val=&quot;00164E53&quot;/&gt;&lt;wsp:rsid wsp:val=&quot;00166910&quot;/&gt;&lt;wsp:rsid wsp:val=&quot;0016699D&quot;/&gt;&lt;wsp:rsid wsp:val=&quot;001676C9&quot;/&gt;&lt;wsp:rsid wsp:val=&quot;00174563&quot;/&gt;&lt;wsp:rsid wsp:val=&quot;00175159&quot;/&gt;&lt;wsp:rsid wsp:val=&quot;00176208&quot;/&gt;&lt;wsp:rsid wsp:val=&quot;0018211B&quot;/&gt;&lt;wsp:rsid wsp:val=&quot;00183884&quot;/&gt;&lt;wsp:rsid wsp:val=&quot;001840D3&quot;/&gt;&lt;wsp:rsid wsp:val=&quot;001900F8&quot;/&gt;&lt;wsp:rsid wsp:val=&quot;00191258&quot;/&gt;&lt;wsp:rsid wsp:val=&quot;00191268&quot;/&gt;&lt;wsp:rsid wsp:val=&quot;00192680&quot;/&gt;&lt;wsp:rsid wsp:val=&quot;001926A1&quot;/&gt;&lt;wsp:rsid wsp:val=&quot;00193037&quot;/&gt;&lt;wsp:rsid wsp:val=&quot;00193A2C&quot;/&gt;&lt;wsp:rsid wsp:val=&quot;001A288E&quot;/&gt;&lt;wsp:rsid wsp:val=&quot;001A4192&quot;/&gt;&lt;wsp:rsid wsp:val=&quot;001A64C8&quot;/&gt;&lt;wsp:rsid wsp:val=&quot;001A6E9E&quot;/&gt;&lt;wsp:rsid wsp:val=&quot;001B1355&quot;/&gt;&lt;wsp:rsid wsp:val=&quot;001B6DC2&quot;/&gt;&lt;wsp:rsid wsp:val=&quot;001C149C&quot;/&gt;&lt;wsp:rsid wsp:val=&quot;001C1B0E&quot;/&gt;&lt;wsp:rsid wsp:val=&quot;001C21AC&quot;/&gt;&lt;wsp:rsid wsp:val=&quot;001C47BA&quot;/&gt;&lt;wsp:rsid wsp:val=&quot;001C59EA&quot;/&gt;&lt;wsp:rsid wsp:val=&quot;001D406C&quot;/&gt;&lt;wsp:rsid wsp:val=&quot;001D41EE&quot;/&gt;&lt;wsp:rsid wsp:val=&quot;001D5AD1&quot;/&gt;&lt;wsp:rsid wsp:val=&quot;001E0380&quot;/&gt;&lt;wsp:rsid wsp:val=&quot;001E13B1&quot;/&gt;&lt;wsp:rsid wsp:val=&quot;001E37B1&quot;/&gt;&lt;wsp:rsid wsp:val=&quot;001E3E08&quot;/&gt;&lt;wsp:rsid wsp:val=&quot;001E62F1&quot;/&gt;&lt;wsp:rsid wsp:val=&quot;001F3A19&quot;/&gt;&lt;wsp:rsid wsp:val=&quot;00204999&quot;/&gt;&lt;wsp:rsid wsp:val=&quot;00234467&quot;/&gt;&lt;wsp:rsid wsp:val=&quot;00236563&quot;/&gt;&lt;wsp:rsid wsp:val=&quot;00237D8D&quot;/&gt;&lt;wsp:rsid wsp:val=&quot;0024164C&quot;/&gt;&lt;wsp:rsid wsp:val=&quot;00241DA2&quot;/&gt;&lt;wsp:rsid wsp:val=&quot;00245AC4&quot;/&gt;&lt;wsp:rsid wsp:val=&quot;0024669F&quot;/&gt;&lt;wsp:rsid wsp:val=&quot;00247FEE&quot;/&gt;&lt;wsp:rsid wsp:val=&quot;00250E7D&quot;/&gt;&lt;wsp:rsid wsp:val=&quot;00252BC8&quot;/&gt;&lt;wsp:rsid wsp:val=&quot;00253453&quot;/&gt;&lt;wsp:rsid wsp:val=&quot;002565D5&quot;/&gt;&lt;wsp:rsid wsp:val=&quot;0026016A&quot;/&gt;&lt;wsp:rsid wsp:val=&quot;002622C0&quot;/&gt;&lt;wsp:rsid wsp:val=&quot;0026410B&quot;/&gt;&lt;wsp:rsid wsp:val=&quot;00271141&quot;/&gt;&lt;wsp:rsid wsp:val=&quot;0027759F&quot;/&gt;&lt;wsp:rsid wsp:val=&quot;002778AE&quot;/&gt;&lt;wsp:rsid wsp:val=&quot;0028098B&quot;/&gt;&lt;wsp:rsid wsp:val=&quot;00280E4B&quot;/&gt;&lt;wsp:rsid wsp:val=&quot;0028269A&quot;/&gt;&lt;wsp:rsid wsp:val=&quot;00283590&quot;/&gt;&lt;wsp:rsid wsp:val=&quot;00286478&quot;/&gt;&lt;wsp:rsid wsp:val=&quot;002868D2&quot;/&gt;&lt;wsp:rsid wsp:val=&quot;00286973&quot;/&gt;&lt;wsp:rsid wsp:val=&quot;00290075&quot;/&gt;&lt;wsp:rsid wsp:val=&quot;00294E70&quot;/&gt;&lt;wsp:rsid wsp:val=&quot;00296269&quot;/&gt;&lt;wsp:rsid wsp:val=&quot;002A1924&quot;/&gt;&lt;wsp:rsid wsp:val=&quot;002A7420&quot;/&gt;&lt;wsp:rsid wsp:val=&quot;002B0F12&quot;/&gt;&lt;wsp:rsid wsp:val=&quot;002B1308&quot;/&gt;&lt;wsp:rsid wsp:val=&quot;002B2632&quot;/&gt;&lt;wsp:rsid wsp:val=&quot;002B3ECF&quot;/&gt;&lt;wsp:rsid wsp:val=&quot;002B4554&quot;/&gt;&lt;wsp:rsid wsp:val=&quot;002C1BF3&quot;/&gt;&lt;wsp:rsid wsp:val=&quot;002C72D8&quot;/&gt;&lt;wsp:rsid wsp:val=&quot;002D0E66&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301F39&quot;/&gt;&lt;wsp:rsid wsp:val=&quot;00305BFC&quot;/&gt;&lt;wsp:rsid wsp:val=&quot;00307272&quot;/&gt;&lt;wsp:rsid wsp:val=&quot;00317F54&quot;/&gt;&lt;wsp:rsid wsp:val=&quot;00320581&quot;/&gt;&lt;wsp:rsid wsp:val=&quot;00325926&quot;/&gt;&lt;wsp:rsid wsp:val=&quot;00325B6D&quot;/&gt;&lt;wsp:rsid wsp:val=&quot;003261E3&quot;/&gt;&lt;wsp:rsid wsp:val=&quot;00327A8A&quot;/&gt;&lt;wsp:rsid wsp:val=&quot;00331B2F&quot;/&gt;&lt;wsp:rsid wsp:val=&quot;0033608E&quot;/&gt;&lt;wsp:rsid wsp:val=&quot;00336610&quot;/&gt;&lt;wsp:rsid wsp:val=&quot;00343F73&quot;/&gt;&lt;wsp:rsid wsp:val=&quot;00345060&quot;/&gt;&lt;wsp:rsid wsp:val=&quot;003457C2&quot;/&gt;&lt;wsp:rsid wsp:val=&quot;003471BD&quot;/&gt;&lt;wsp:rsid wsp:val=&quot;00347452&quot;/&gt;&lt;wsp:rsid wsp:val=&quot;0035323B&quot;/&gt;&lt;wsp:rsid wsp:val=&quot;003578BA&quot;/&gt;&lt;wsp:rsid wsp:val=&quot;0036015A&quot;/&gt;&lt;wsp:rsid wsp:val=&quot;003609D2&quot;/&gt;&lt;wsp:rsid wsp:val=&quot;00363F22&quot;/&gt;&lt;wsp:rsid wsp:val=&quot;00364E5C&quot;/&gt;&lt;wsp:rsid wsp:val=&quot;0036506B&quot;/&gt;&lt;wsp:rsid wsp:val=&quot;00370C90&quot;/&gt;&lt;wsp:rsid wsp:val=&quot;00375564&quot;/&gt;&lt;wsp:rsid wsp:val=&quot;0038088A&quot;/&gt;&lt;wsp:rsid wsp:val=&quot;00383191&quot;/&gt;&lt;wsp:rsid wsp:val=&quot;00386624&quot;/&gt;&lt;wsp:rsid wsp:val=&quot;00386DED&quot;/&gt;&lt;wsp:rsid wsp:val=&quot;00387FC4&quot;/&gt;&lt;wsp:rsid wsp:val=&quot;003912E7&quot;/&gt;&lt;wsp:rsid wsp:val=&quot;00392A0C&quot;/&gt;&lt;wsp:rsid wsp:val=&quot;00393947&quot;/&gt;&lt;wsp:rsid wsp:val=&quot;003A2275&quot;/&gt;&lt;wsp:rsid wsp:val=&quot;003A6A4F&quot;/&gt;&lt;wsp:rsid wsp:val=&quot;003A7088&quot;/&gt;&lt;wsp:rsid wsp:val=&quot;003B00DF&quot;/&gt;&lt;wsp:rsid wsp:val=&quot;003B1275&quot;/&gt;&lt;wsp:rsid wsp:val=&quot;003B1778&quot;/&gt;&lt;wsp:rsid wsp:val=&quot;003B6F85&quot;/&gt;&lt;wsp:rsid wsp:val=&quot;003B7FE0&quot;/&gt;&lt;wsp:rsid wsp:val=&quot;003C11CB&quot;/&gt;&lt;wsp:rsid wsp:val=&quot;003C75F3&quot;/&gt;&lt;wsp:rsid wsp:val=&quot;003C78A3&quot;/&gt;&lt;wsp:rsid wsp:val=&quot;003D672F&quot;/&gt;&lt;wsp:rsid wsp:val=&quot;003E005B&quot;/&gt;&lt;wsp:rsid wsp:val=&quot;003E1867&quot;/&gt;&lt;wsp:rsid wsp:val=&quot;003E5729&quot;/&gt;&lt;wsp:rsid wsp:val=&quot;003E5A5C&quot;/&gt;&lt;wsp:rsid wsp:val=&quot;003F160B&quot;/&gt;&lt;wsp:rsid wsp:val=&quot;003F4EE0&quot;/&gt;&lt;wsp:rsid wsp:val=&quot;004011AB&quot;/&gt;&lt;wsp:rsid wsp:val=&quot;00402153&quot;/&gt;&lt;wsp:rsid wsp:val=&quot;00402FC1&quot;/&gt;&lt;wsp:rsid wsp:val=&quot;00404ADE&quot;/&gt;&lt;wsp:rsid wsp:val=&quot;00410A0C&quot;/&gt;&lt;wsp:rsid wsp:val=&quot;004208F2&quot;/&gt;&lt;wsp:rsid wsp:val=&quot;00421A26&quot;/&gt;&lt;wsp:rsid wsp:val=&quot;00425082&quot;/&gt;&lt;wsp:rsid wsp:val=&quot;00431BE8&quot;/&gt;&lt;wsp:rsid wsp:val=&quot;00431DEB&quot;/&gt;&lt;wsp:rsid wsp:val=&quot;00435823&quot;/&gt;&lt;wsp:rsid wsp:val=&quot;00442C64&quot;/&gt;&lt;wsp:rsid wsp:val=&quot;00446B29&quot;/&gt;&lt;wsp:rsid wsp:val=&quot;00453F9A&quot;/&gt;&lt;wsp:rsid wsp:val=&quot;00471E91&quot;/&gt;&lt;wsp:rsid wsp:val=&quot;00474675&quot;/&gt;&lt;wsp:rsid wsp:val=&quot;0047470C&quot;/&gt;&lt;wsp:rsid wsp:val=&quot;00481E99&quot;/&gt;&lt;wsp:rsid wsp:val=&quot;0048466A&quot;/&gt;&lt;wsp:rsid wsp:val=&quot;00484AC3&quot;/&gt;&lt;wsp:rsid wsp:val=&quot;00486BC0&quot;/&gt;&lt;wsp:rsid wsp:val=&quot;00494314&quot;/&gt;&lt;wsp:rsid wsp:val=&quot;00496379&quot;/&gt;&lt;wsp:rsid wsp:val=&quot;004A25B8&quot;/&gt;&lt;wsp:rsid wsp:val=&quot;004A279A&quot;/&gt;&lt;wsp:rsid wsp:val=&quot;004A35F9&quot;/&gt;&lt;wsp:rsid wsp:val=&quot;004A61F3&quot;/&gt;&lt;wsp:rsid wsp:val=&quot;004A6C87&quot;/&gt;&lt;wsp:rsid wsp:val=&quot;004B154F&quot;/&gt;&lt;wsp:rsid wsp:val=&quot;004B202F&quot;/&gt;&lt;wsp:rsid wsp:val=&quot;004B24C1&quot;/&gt;&lt;wsp:rsid wsp:val=&quot;004B410B&quot;/&gt;&lt;wsp:rsid wsp:val=&quot;004C292F&quot;/&gt;&lt;wsp:rsid wsp:val=&quot;004C57F8&quot;/&gt;&lt;wsp:rsid wsp:val=&quot;004D06B5&quot;/&gt;&lt;wsp:rsid wsp:val=&quot;004D5B5D&quot;/&gt;&lt;wsp:rsid wsp:val=&quot;004D6EBF&quot;/&gt;&lt;wsp:rsid wsp:val=&quot;004E2083&quot;/&gt;&lt;wsp:rsid wsp:val=&quot;004E287F&quot;/&gt;&lt;wsp:rsid wsp:val=&quot;004E5004&quot;/&gt;&lt;wsp:rsid wsp:val=&quot;004E5141&quot;/&gt;&lt;wsp:rsid wsp:val=&quot;004E7B20&quot;/&gt;&lt;wsp:rsid wsp:val=&quot;00501A8F&quot;/&gt;&lt;wsp:rsid wsp:val=&quot;0050709E&quot;/&gt;&lt;wsp:rsid wsp:val=&quot;00510280&quot;/&gt;&lt;wsp:rsid wsp:val=&quot;00513D73&quot;/&gt;&lt;wsp:rsid wsp:val=&quot;00514A43&quot;/&gt;&lt;wsp:rsid wsp:val=&quot;005174E5&quot;/&gt;&lt;wsp:rsid wsp:val=&quot;00522393&quot;/&gt;&lt;wsp:rsid wsp:val=&quot;00522620&quot;/&gt;&lt;wsp:rsid wsp:val=&quot;00522E8F&quot;/&gt;&lt;wsp:rsid wsp:val=&quot;0052302C&quot;/&gt;&lt;wsp:rsid wsp:val=&quot;00524376&quot;/&gt;&lt;wsp:rsid wsp:val=&quot;00525656&quot;/&gt;&lt;wsp:rsid wsp:val=&quot;0052625F&quot;/&gt;&lt;wsp:rsid wsp:val=&quot;00532FB0&quot;/&gt;&lt;wsp:rsid wsp:val=&quot;00534C02&quot;/&gt;&lt;wsp:rsid wsp:val=&quot;00541489&quot;/&gt;&lt;wsp:rsid wsp:val=&quot;0054264B&quot;/&gt;&lt;wsp:rsid wsp:val=&quot;00543786&quot;/&gt;&lt;wsp:rsid wsp:val=&quot;005460DC&quot;/&gt;&lt;wsp:rsid wsp:val=&quot;005533D7&quot;/&gt;&lt;wsp:rsid wsp:val=&quot;005703DE&quot;/&gt;&lt;wsp:rsid wsp:val=&quot;0058464E&quot;/&gt;&lt;wsp:rsid wsp:val=&quot;005921CF&quot;/&gt;&lt;wsp:rsid wsp:val=&quot;005A01CB&quot;/&gt;&lt;wsp:rsid wsp:val=&quot;005A58FF&quot;/&gt;&lt;wsp:rsid wsp:val=&quot;005A5EAF&quot;/&gt;&lt;wsp:rsid wsp:val=&quot;005A64C0&quot;/&gt;&lt;wsp:rsid wsp:val=&quot;005B0A39&quot;/&gt;&lt;wsp:rsid wsp:val=&quot;005B3C11&quot;/&gt;&lt;wsp:rsid wsp:val=&quot;005C1C28&quot;/&gt;&lt;wsp:rsid wsp:val=&quot;005C6DB5&quot;/&gt;&lt;wsp:rsid wsp:val=&quot;005D4D2B&quot;/&gt;&lt;wsp:rsid wsp:val=&quot;005E19E7&quot;/&gt;&lt;wsp:rsid wsp:val=&quot;005E2C4D&quot;/&gt;&lt;wsp:rsid wsp:val=&quot;005F48F2&quot;/&gt;&lt;wsp:rsid wsp:val=&quot;00604385&quot;/&gt;&lt;wsp:rsid wsp:val=&quot;00610DCF&quot;/&gt;&lt;wsp:rsid wsp:val=&quot;0061447A&quot;/&gt;&lt;wsp:rsid wsp:val=&quot;0061716C&quot;/&gt;&lt;wsp:rsid wsp:val=&quot;00623DF0&quot;/&gt;&lt;wsp:rsid wsp:val=&quot;006243A1&quot;/&gt;&lt;wsp:rsid wsp:val=&quot;006327D3&quot;/&gt;&lt;wsp:rsid wsp:val=&quot;00632E56&quot;/&gt;&lt;wsp:rsid wsp:val=&quot;006345FE&quot;/&gt;&lt;wsp:rsid wsp:val=&quot;006353A8&quot;/&gt;&lt;wsp:rsid wsp:val=&quot;00635CBA&quot;/&gt;&lt;wsp:rsid wsp:val=&quot;0063656A&quot;/&gt;&lt;wsp:rsid wsp:val=&quot;0064338B&quot;/&gt;&lt;wsp:rsid wsp:val=&quot;00645B06&quot;/&gt;&lt;wsp:rsid wsp:val=&quot;00646542&quot;/&gt;&lt;wsp:rsid wsp:val=&quot;006504F4&quot;/&gt;&lt;wsp:rsid wsp:val=&quot;006515B3&quot;/&gt;&lt;wsp:rsid wsp:val=&quot;00654BC9&quot;/&gt;&lt;wsp:rsid wsp:val=&quot;006552FD&quot;/&gt;&lt;wsp:rsid wsp:val=&quot;00657059&quot;/&gt;&lt;wsp:rsid wsp:val=&quot;00663AF3&quot;/&gt;&lt;wsp:rsid wsp:val=&quot;00664DD8&quot;/&gt;&lt;wsp:rsid wsp:val=&quot;00666B6C&quot;/&gt;&lt;wsp:rsid wsp:val=&quot;00667189&quot;/&gt;&lt;wsp:rsid wsp:val=&quot;0067609E&quot;/&gt;&lt;wsp:rsid wsp:val=&quot;00676627&quot;/&gt;&lt;wsp:rsid wsp:val=&quot;00681BA0&quot;/&gt;&lt;wsp:rsid wsp:val=&quot;00682682&quot;/&gt;&lt;wsp:rsid wsp:val=&quot;00682702&quot;/&gt;&lt;wsp:rsid wsp:val=&quot;00692368&quot;/&gt;&lt;wsp:rsid wsp:val=&quot;006941C1&quot;/&gt;&lt;wsp:rsid wsp:val=&quot;00694CF1&quot;/&gt;&lt;wsp:rsid wsp:val=&quot;006A00F2&quot;/&gt;&lt;wsp:rsid wsp:val=&quot;006A2EBC&quot;/&gt;&lt;wsp:rsid wsp:val=&quot;006A3AA1&quot;/&gt;&lt;wsp:rsid wsp:val=&quot;006A5EA0&quot;/&gt;&lt;wsp:rsid wsp:val=&quot;006A783B&quot;/&gt;&lt;wsp:rsid wsp:val=&quot;006A7B33&quot;/&gt;&lt;wsp:rsid wsp:val=&quot;006B41F3&quot;/&gt;&lt;wsp:rsid wsp:val=&quot;006B4E13&quot;/&gt;&lt;wsp:rsid wsp:val=&quot;006B75DD&quot;/&gt;&lt;wsp:rsid wsp:val=&quot;006B7CA2&quot;/&gt;&lt;wsp:rsid wsp:val=&quot;006C67E0&quot;/&gt;&lt;wsp:rsid wsp:val=&quot;006C7ABA&quot;/&gt;&lt;wsp:rsid wsp:val=&quot;006D0D60&quot;/&gt;&lt;wsp:rsid wsp:val=&quot;006D1122&quot;/&gt;&lt;wsp:rsid wsp:val=&quot;006D3C00&quot;/&gt;&lt;wsp:rsid wsp:val=&quot;006D7260&quot;/&gt;&lt;wsp:rsid wsp:val=&quot;006E3675&quot;/&gt;&lt;wsp:rsid wsp:val=&quot;006E4A7F&quot;/&gt;&lt;wsp:rsid wsp:val=&quot;006E5254&quot;/&gt;&lt;wsp:rsid wsp:val=&quot;006F0D88&quot;/&gt;&lt;wsp:rsid wsp:val=&quot;006F5381&quot;/&gt;&lt;wsp:rsid wsp:val=&quot;006F565E&quot;/&gt;&lt;wsp:rsid wsp:val=&quot;00704DF6&quot;/&gt;&lt;wsp:rsid wsp:val=&quot;0070651C&quot;/&gt;&lt;wsp:rsid wsp:val=&quot;007132A3&quot;/&gt;&lt;wsp:rsid wsp:val=&quot;00714204&quot;/&gt;&lt;wsp:rsid wsp:val=&quot;00716421&quot;/&gt;&lt;wsp:rsid wsp:val=&quot;00724EFB&quot;/&gt;&lt;wsp:rsid wsp:val=&quot;00737558&quot;/&gt;&lt;wsp:rsid wsp:val=&quot;0074177A&quot;/&gt;&lt;wsp:rsid wsp:val=&quot;007419C3&quot;/&gt;&lt;wsp:rsid wsp:val=&quot;00746508&quot;/&gt;&lt;wsp:rsid wsp:val=&quot;007467A7&quot;/&gt;&lt;wsp:rsid wsp:val=&quot;007469DD&quot;/&gt;&lt;wsp:rsid wsp:val=&quot;0074741B&quot;/&gt;&lt;wsp:rsid wsp:val=&quot;0074759E&quot;/&gt;&lt;wsp:rsid wsp:val=&quot;007478EA&quot;/&gt;&lt;wsp:rsid wsp:val=&quot;0075415C&quot;/&gt;&lt;wsp:rsid wsp:val=&quot;00757471&quot;/&gt;&lt;wsp:rsid wsp:val=&quot;00761930&quot;/&gt;&lt;wsp:rsid wsp:val=&quot;00763502&quot;/&gt;&lt;wsp:rsid wsp:val=&quot;0076399D&quot;/&gt;&lt;wsp:rsid wsp:val=&quot;007753F7&quot;/&gt;&lt;wsp:rsid wsp:val=&quot;00777106&quot;/&gt;&lt;wsp:rsid wsp:val=&quot;0078220E&quot;/&gt;&lt;wsp:rsid wsp:val=&quot;007863C3&quot;/&gt;&lt;wsp:rsid wsp:val=&quot;00786CD0&quot;/&gt;&lt;wsp:rsid wsp:val=&quot;00787A13&quot;/&gt;&lt;wsp:rsid wsp:val=&quot;0079077F&quot;/&gt;&lt;wsp:rsid wsp:val=&quot;007913AB&quot;/&gt;&lt;wsp:rsid wsp:val=&quot;007914F7&quot;/&gt;&lt;wsp:rsid wsp:val=&quot;007A62F1&quot;/&gt;&lt;wsp:rsid wsp:val=&quot;007A7A93&quot;/&gt;&lt;wsp:rsid wsp:val=&quot;007B016B&quot;/&gt;&lt;wsp:rsid wsp:val=&quot;007B1625&quot;/&gt;&lt;wsp:rsid wsp:val=&quot;007B403F&quot;/&gt;&lt;wsp:rsid wsp:val=&quot;007B706E&quot;/&gt;&lt;wsp:rsid wsp:val=&quot;007B71EB&quot;/&gt;&lt;wsp:rsid wsp:val=&quot;007C2123&quot;/&gt;&lt;wsp:rsid wsp:val=&quot;007C5590&quot;/&gt;&lt;wsp:rsid wsp:val=&quot;007C6205&quot;/&gt;&lt;wsp:rsid wsp:val=&quot;007C686A&quot;/&gt;&lt;wsp:rsid wsp:val=&quot;007C728E&quot;/&gt;&lt;wsp:rsid wsp:val=&quot;007D15F1&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E0B&quot;/&gt;&lt;wsp:rsid wsp:val=&quot;007F758D&quot;/&gt;&lt;wsp:rsid wsp:val=&quot;007F7D52&quot;/&gt;&lt;wsp:rsid wsp:val=&quot;00804ADB&quot;/&gt;&lt;wsp:rsid wsp:val=&quot;0080654C&quot;/&gt;&lt;wsp:rsid wsp:val=&quot;008071C6&quot;/&gt;&lt;wsp:rsid wsp:val=&quot;00810028&quot;/&gt;&lt;wsp:rsid wsp:val=&quot;00817A00&quot;/&gt;&lt;wsp:rsid wsp:val=&quot;00820F56&quot;/&gt;&lt;wsp:rsid wsp:val=&quot;00823015&quot;/&gt;&lt;wsp:rsid wsp:val=&quot;00827BFC&quot;/&gt;&lt;wsp:rsid wsp:val=&quot;00835DB3&quot;/&gt;&lt;wsp:rsid wsp:val=&quot;0083617B&quot;/&gt;&lt;wsp:rsid wsp:val=&quot;008371BD&quot;/&gt;&lt;wsp:rsid wsp:val=&quot;00846855&quot;/&gt;&lt;wsp:rsid wsp:val=&quot;008504A8&quot;/&gt;&lt;wsp:rsid wsp:val=&quot;0085282E&quot;/&gt;&lt;wsp:rsid wsp:val=&quot;008620B9&quot;/&gt;&lt;wsp:rsid wsp:val=&quot;0087198C&quot;/&gt;&lt;wsp:rsid wsp:val=&quot;00872C1F&quot;/&gt;&lt;wsp:rsid wsp:val=&quot;00872CEE&quot;/&gt;&lt;wsp:rsid wsp:val=&quot;00873B42&quot;/&gt;&lt;wsp:rsid wsp:val=&quot;00875157&quot;/&gt;&lt;wsp:rsid wsp:val=&quot;00875D81&quot;/&gt;&lt;wsp:rsid wsp:val=&quot;008856D8&quot;/&gt;&lt;wsp:rsid wsp:val=&quot;00892E82&quot;/&gt;&lt;wsp:rsid wsp:val=&quot;00897415&quot;/&gt;&lt;wsp:rsid wsp:val=&quot;008A7B26&quot;/&gt;&lt;wsp:rsid wsp:val=&quot;008B44C2&quot;/&gt;&lt;wsp:rsid wsp:val=&quot;008B6A2E&quot;/&gt;&lt;wsp:rsid wsp:val=&quot;008B7F3B&quot;/&gt;&lt;wsp:rsid wsp:val=&quot;008C1B58&quot;/&gt;&lt;wsp:rsid wsp:val=&quot;008C39AE&quot;/&gt;&lt;wsp:rsid wsp:val=&quot;008C590D&quot;/&gt;&lt;wsp:rsid wsp:val=&quot;008C6ADB&quot;/&gt;&lt;wsp:rsid wsp:val=&quot;008D0AC3&quot;/&gt;&lt;wsp:rsid wsp:val=&quot;008E031B&quot;/&gt;&lt;wsp:rsid wsp:val=&quot;008E7029&quot;/&gt;&lt;wsp:rsid wsp:val=&quot;008E7EF6&quot;/&gt;&lt;wsp:rsid wsp:val=&quot;008F0478&quot;/&gt;&lt;wsp:rsid wsp:val=&quot;008F138F&quot;/&gt;&lt;wsp:rsid wsp:val=&quot;008F1F98&quot;/&gt;&lt;wsp:rsid wsp:val=&quot;008F5D93&quot;/&gt;&lt;wsp:rsid wsp:val=&quot;008F6758&quot;/&gt;&lt;wsp:rsid wsp:val=&quot;00901F00&quot;/&gt;&lt;wsp:rsid wsp:val=&quot;00901FCE&quot;/&gt;&lt;wsp:rsid wsp:val=&quot;009040DD&quot;/&gt;&lt;wsp:rsid wsp:val=&quot;00905B47&quot;/&gt;&lt;wsp:rsid wsp:val=&quot;009103EF&quot;/&gt;&lt;wsp:rsid wsp:val=&quot;00910497&quot;/&gt;&lt;wsp:rsid wsp:val=&quot;00911E47&quot;/&gt;&lt;wsp:rsid wsp:val=&quot;0091331C&quot;/&gt;&lt;wsp:rsid wsp:val=&quot;00914002&quot;/&gt;&lt;wsp:rsid wsp:val=&quot;00915C53&quot;/&gt;&lt;wsp:rsid wsp:val=&quot;009174FD&quot;/&gt;&lt;wsp:rsid wsp:val=&quot;009201D6&quot;/&gt;&lt;wsp:rsid wsp:val=&quot;0092670E&quot;/&gt;&lt;wsp:rsid wsp:val=&quot;00926917&quot;/&gt;&lt;wsp:rsid wsp:val=&quot;009269C4&quot;/&gt;&lt;wsp:rsid wsp:val=&quot;009279DE&quot;/&gt;&lt;wsp:rsid wsp:val=&quot;00930116&quot;/&gt;&lt;wsp:rsid wsp:val=&quot;0094212C&quot;/&gt;&lt;wsp:rsid wsp:val=&quot;0094666E&quot;/&gt;&lt;wsp:rsid wsp:val=&quot;00954689&quot;/&gt;&lt;wsp:rsid wsp:val=&quot;009551D1&quot;/&gt;&lt;wsp:rsid wsp:val=&quot;00956966&quot;/&gt;&lt;wsp:rsid wsp:val=&quot;009617C9&quot;/&gt;&lt;wsp:rsid wsp:val=&quot;00961C93&quot;/&gt;&lt;wsp:rsid wsp:val=&quot;00965324&quot;/&gt;&lt;wsp:rsid wsp:val=&quot;00966740&quot;/&gt;&lt;wsp:rsid wsp:val=&quot;0097047A&quot;/&gt;&lt;wsp:rsid wsp:val=&quot;0097091E&quot;/&gt;&lt;wsp:rsid wsp:val=&quot;009760D3&quot;/&gt;&lt;wsp:rsid wsp:val=&quot;00977132&quot;/&gt;&lt;wsp:rsid wsp:val=&quot;009776B8&quot;/&gt;&lt;wsp:rsid wsp:val=&quot;0097776E&quot;/&gt;&lt;wsp:rsid wsp:val=&quot;00981A4B&quot;/&gt;&lt;wsp:rsid wsp:val=&quot;00982501&quot;/&gt;&lt;wsp:rsid wsp:val=&quot;0098642A&quot;/&gt;&lt;wsp:rsid wsp:val=&quot;009877D3&quot;/&gt;&lt;wsp:rsid wsp:val=&quot;00990E49&quot;/&gt;&lt;wsp:rsid wsp:val=&quot;00994E8F&quot;/&gt;&lt;wsp:rsid wsp:val=&quot;009951DC&quot;/&gt;&lt;wsp:rsid wsp:val=&quot;009959BB&quot;/&gt;&lt;wsp:rsid wsp:val=&quot;00997158&quot;/&gt;&lt;wsp:rsid wsp:val=&quot;009A1D0B&quot;/&gt;&lt;wsp:rsid wsp:val=&quot;009A3A7C&quot;/&gt;&lt;wsp:rsid wsp:val=&quot;009A7D1B&quot;/&gt;&lt;wsp:rsid wsp:val=&quot;009B090E&quot;/&gt;&lt;wsp:rsid wsp:val=&quot;009B2ADB&quot;/&gt;&lt;wsp:rsid wsp:val=&quot;009B460D&quot;/&gt;&lt;wsp:rsid wsp:val=&quot;009B5586&quot;/&gt;&lt;wsp:rsid wsp:val=&quot;009B603A&quot;/&gt;&lt;wsp:rsid wsp:val=&quot;009B7AE1&quot;/&gt;&lt;wsp:rsid wsp:val=&quot;009C0C53&quot;/&gt;&lt;wsp:rsid wsp:val=&quot;009C2D0E&quot;/&gt;&lt;wsp:rsid wsp:val=&quot;009C3DAC&quot;/&gt;&lt;wsp:rsid wsp:val=&quot;009C42E0&quot;/&gt;&lt;wsp:rsid wsp:val=&quot;009D2E9E&quot;/&gt;&lt;wsp:rsid wsp:val=&quot;009D4630&quot;/&gt;&lt;wsp:rsid wsp:val=&quot;009D5362&quot;/&gt;&lt;wsp:rsid wsp:val=&quot;009E1415&quot;/&gt;&lt;wsp:rsid wsp:val=&quot;009E5FCB&quot;/&gt;&lt;wsp:rsid wsp:val=&quot;009E6116&quot;/&gt;&lt;wsp:rsid wsp:val=&quot;009F2572&quot;/&gt;&lt;wsp:rsid wsp:val=&quot;00A02E43&quot;/&gt;&lt;wsp:rsid wsp:val=&quot;00A05B4A&quot;/&gt;&lt;wsp:rsid wsp:val=&quot;00A065F9&quot;/&gt;&lt;wsp:rsid wsp:val=&quot;00A07F34&quot;/&gt;&lt;wsp:rsid wsp:val=&quot;00A11020&quot;/&gt;&lt;wsp:rsid wsp:val=&quot;00A22154&quot;/&gt;&lt;wsp:rsid wsp:val=&quot;00A23159&quot;/&gt;&lt;wsp:rsid wsp:val=&quot;00A25C38&quot;/&gt;&lt;wsp:rsid wsp:val=&quot;00A27AAE&quot;/&gt;&lt;wsp:rsid wsp:val=&quot;00A35933&quot;/&gt;&lt;wsp:rsid wsp:val=&quot;00A36BBE&quot;/&gt;&lt;wsp:rsid wsp:val=&quot;00A40AC4&quot;/&gt;&lt;wsp:rsid wsp:val=&quot;00A4307A&quot;/&gt;&lt;wsp:rsid wsp:val=&quot;00A47178&quot;/&gt;&lt;wsp:rsid wsp:val=&quot;00A47EBB&quot;/&gt;&lt;wsp:rsid wsp:val=&quot;00A51CDD&quot;/&gt;&lt;wsp:rsid wsp:val=&quot;00A529C1&quot;/&gt;&lt;wsp:rsid wsp:val=&quot;00A55F08&quot;/&gt;&lt;wsp:rsid wsp:val=&quot;00A62DE4&quot;/&gt;&lt;wsp:rsid wsp:val=&quot;00A6730D&quot;/&gt;&lt;wsp:rsid wsp:val=&quot;00A71625&quot;/&gt;&lt;wsp:rsid wsp:val=&quot;00A71B9B&quot;/&gt;&lt;wsp:rsid wsp:val=&quot;00A738F3&quot;/&gt;&lt;wsp:rsid wsp:val=&quot;00A751C7&quot;/&gt;&lt;wsp:rsid wsp:val=&quot;00A758B9&quot;/&gt;&lt;wsp:rsid wsp:val=&quot;00A76AE7&quot;/&gt;&lt;wsp:rsid wsp:val=&quot;00A87844&quot;/&gt;&lt;wsp:rsid wsp:val=&quot;00A92996&quot;/&gt;&lt;wsp:rsid wsp:val=&quot;00A933B6&quot;/&gt;&lt;wsp:rsid wsp:val=&quot;00AA038C&quot;/&gt;&lt;wsp:rsid wsp:val=&quot;00AA3CA7&quot;/&gt;&lt;wsp:rsid wsp:val=&quot;00AA7A09&quot;/&gt;&lt;wsp:rsid wsp:val=&quot;00AA7ED9&quot;/&gt;&lt;wsp:rsid wsp:val=&quot;00AB3B50&quot;/&gt;&lt;wsp:rsid wsp:val=&quot;00AC05B1&quot;/&gt;&lt;wsp:rsid wsp:val=&quot;00AD233B&quot;/&gt;&lt;wsp:rsid wsp:val=&quot;00AD3565&quot;/&gt;&lt;wsp:rsid wsp:val=&quot;00AD356C&quot;/&gt;&lt;wsp:rsid wsp:val=&quot;00AE2914&quot;/&gt;&lt;wsp:rsid wsp:val=&quot;00AE6D15&quot;/&gt;&lt;wsp:rsid wsp:val=&quot;00B01DA8&quot;/&gt;&lt;wsp:rsid wsp:val=&quot;00B04182&quot;/&gt;&lt;wsp:rsid wsp:val=&quot;00B05833&quot;/&gt;&lt;wsp:rsid wsp:val=&quot;00B07AE3&quot;/&gt;&lt;wsp:rsid wsp:val=&quot;00B11430&quot;/&gt;&lt;wsp:rsid wsp:val=&quot;00B12535&quot;/&gt;&lt;wsp:rsid wsp:val=&quot;00B17243&quot;/&gt;&lt;wsp:rsid wsp:val=&quot;00B26154&quot;/&gt;&lt;wsp:rsid wsp:val=&quot;00B303D8&quot;/&gt;&lt;wsp:rsid wsp:val=&quot;00B34825&quot;/&gt;&lt;wsp:rsid wsp:val=&quot;00B353EB&quot;/&gt;&lt;wsp:rsid wsp:val=&quot;00B35833&quot;/&gt;&lt;wsp:rsid wsp:val=&quot;00B439C4&quot;/&gt;&lt;wsp:rsid wsp:val=&quot;00B4535E&quot;/&gt;&lt;wsp:rsid wsp:val=&quot;00B45414&quot;/&gt;&lt;wsp:rsid wsp:val=&quot;00B52A8C&quot;/&gt;&lt;wsp:rsid wsp:val=&quot;00B61FF2&quot;/&gt;&lt;wsp:rsid wsp:val=&quot;00B636A8&quot;/&gt;&lt;wsp:rsid wsp:val=&quot;00B65CE7&quot;/&gt;&lt;wsp:rsid wsp:val=&quot;00B665C6&quot;/&gt;&lt;wsp:rsid wsp:val=&quot;00B70D5D&quot;/&gt;&lt;wsp:rsid wsp:val=&quot;00B72576&quot;/&gt;&lt;wsp:rsid wsp:val=&quot;00B736F8&quot;/&gt;&lt;wsp:rsid wsp:val=&quot;00B80097&quot;/&gt;&lt;wsp:rsid wsp:val=&quot;00B805AF&quot;/&gt;&lt;wsp:rsid wsp:val=&quot;00B869EC&quot;/&gt;&lt;wsp:rsid wsp:val=&quot;00B9397A&quot;/&gt;&lt;wsp:rsid wsp:val=&quot;00B9633D&quot;/&gt;&lt;wsp:rsid wsp:val=&quot;00B965B9&quot;/&gt;&lt;wsp:rsid wsp:val=&quot;00BA2EBE&quot;/&gt;&lt;wsp:rsid wsp:val=&quot;00BB0F28&quot;/&gt;&lt;wsp:rsid wsp:val=&quot;00BB2A9F&quot;/&gt;&lt;wsp:rsid wsp:val=&quot;00BB458A&quot;/&gt;&lt;wsp:rsid wsp:val=&quot;00BB5A2B&quot;/&gt;&lt;wsp:rsid wsp:val=&quot;00BC2D46&quot;/&gt;&lt;wsp:rsid wsp:val=&quot;00BD00D3&quot;/&gt;&lt;wsp:rsid wsp:val=&quot;00BD01CB&quot;/&gt;&lt;wsp:rsid wsp:val=&quot;00BD0B97&quot;/&gt;&lt;wsp:rsid wsp:val=&quot;00BD1659&quot;/&gt;&lt;wsp:rsid wsp:val=&quot;00BD3AA9&quot;/&gt;&lt;wsp:rsid wsp:val=&quot;00BD414B&quot;/&gt;&lt;wsp:rsid wsp:val=&quot;00BD4A18&quot;/&gt;&lt;wsp:rsid wsp:val=&quot;00BD6DB2&quot;/&gt;&lt;wsp:rsid wsp:val=&quot;00BE11CF&quot;/&gt;&lt;wsp:rsid wsp:val=&quot;00BE1AAD&quot;/&gt;&lt;wsp:rsid wsp:val=&quot;00BE21AB&quot;/&gt;&lt;wsp:rsid wsp:val=&quot;00BE3AAC&quot;/&gt;&lt;wsp:rsid wsp:val=&quot;00BE55CB&quot;/&gt;&lt;wsp:rsid wsp:val=&quot;00BF617A&quot;/&gt;&lt;wsp:rsid wsp:val=&quot;00C0027C&quot;/&gt;&lt;wsp:rsid wsp:val=&quot;00C0379D&quot;/&gt;&lt;wsp:rsid wsp:val=&quot;00C03931&quot;/&gt;&lt;wsp:rsid wsp:val=&quot;00C042AB&quot;/&gt;&lt;wsp:rsid wsp:val=&quot;00C05FE3&quot;/&gt;&lt;wsp:rsid wsp:val=&quot;00C128C7&quot;/&gt;&lt;wsp:rsid wsp:val=&quot;00C2136D&quot;/&gt;&lt;wsp:rsid wsp:val=&quot;00C214EE&quot;/&gt;&lt;wsp:rsid wsp:val=&quot;00C2314B&quot;/&gt;&lt;wsp:rsid wsp:val=&quot;00C24971&quot;/&gt;&lt;wsp:rsid wsp:val=&quot;00C25322&quot;/&gt;&lt;wsp:rsid wsp:val=&quot;00C26BE5&quot;/&gt;&lt;wsp:rsid wsp:val=&quot;00C26E4D&quot;/&gt;&lt;wsp:rsid wsp:val=&quot;00C27909&quot;/&gt;&lt;wsp:rsid wsp:val=&quot;00C27B03&quot;/&gt;&lt;wsp:rsid wsp:val=&quot;00C314E1&quot;/&gt;&lt;wsp:rsid wsp:val=&quot;00C32C07&quot;/&gt;&lt;wsp:rsid wsp:val=&quot;00C3436C&quot;/&gt;&lt;wsp:rsid wsp:val=&quot;00C34397&quot;/&gt;&lt;wsp:rsid wsp:val=&quot;00C37B9B&quot;/&gt;&lt;wsp:rsid wsp:val=&quot;00C4095D&quot;/&gt;&lt;wsp:rsid wsp:val=&quot;00C46FFC&quot;/&gt;&lt;wsp:rsid wsp:val=&quot;00C57465&quot;/&gt;&lt;wsp:rsid wsp:val=&quot;00C601D2&quot;/&gt;&lt;wsp:rsid wsp:val=&quot;00C60EC8&quot;/&gt;&lt;wsp:rsid wsp:val=&quot;00C65BCC&quot;/&gt;&lt;wsp:rsid wsp:val=&quot;00C66970&quot;/&gt;&lt;wsp:rsid wsp:val=&quot;00C72D53&quot;/&gt;&lt;wsp:rsid wsp:val=&quot;00C7733E&quot;/&gt;&lt;wsp:rsid wsp:val=&quot;00C81E28&quot;/&gt;&lt;wsp:rsid wsp:val=&quot;00C85226&quot;/&gt;&lt;wsp:rsid wsp:val=&quot;00C8691C&quot;/&gt;&lt;wsp:rsid wsp:val=&quot;00C96026&quot;/&gt;&lt;wsp:rsid wsp:val=&quot;00CA168A&quot;/&gt;&lt;wsp:rsid wsp:val=&quot;00CA357E&quot;/&gt;&lt;wsp:rsid wsp:val=&quot;00CA44F9&quot;/&gt;&lt;wsp:rsid wsp:val=&quot;00CA4A69&quot;/&gt;&lt;wsp:rsid wsp:val=&quot;00CB0632&quot;/&gt;&lt;wsp:rsid wsp:val=&quot;00CB301C&quot;/&gt;&lt;wsp:rsid wsp:val=&quot;00CB577C&quot;/&gt;&lt;wsp:rsid wsp:val=&quot;00CC3E0C&quot;/&gt;&lt;wsp:rsid wsp:val=&quot;00CC579C&quot;/&gt;&lt;wsp:rsid wsp:val=&quot;00CC58D3&quot;/&gt;&lt;wsp:rsid wsp:val=&quot;00CC784D&quot;/&gt;&lt;wsp:rsid wsp:val=&quot;00CD73F2&quot;/&gt;&lt;wsp:rsid wsp:val=&quot;00CE53C6&quot;/&gt;&lt;wsp:rsid wsp:val=&quot;00CF1A0D&quot;/&gt;&lt;wsp:rsid wsp:val=&quot;00D00CA4&quot;/&gt;&lt;wsp:rsid wsp:val=&quot;00D03332&quot;/&gt;&lt;wsp:rsid wsp:val=&quot;00D0337B&quot;/&gt;&lt;wsp:rsid wsp:val=&quot;00D05F4E&quot;/&gt;&lt;wsp:rsid wsp:val=&quot;00D079B2&quot;/&gt;&lt;wsp:rsid wsp:val=&quot;00D114E9&quot;/&gt;&lt;wsp:rsid wsp:val=&quot;00D21EA5&quot;/&gt;&lt;wsp:rsid wsp:val=&quot;00D3154A&quot;/&gt;&lt;wsp:rsid wsp:val=&quot;00D33EEB&quot;/&gt;&lt;wsp:rsid wsp:val=&quot;00D34345&quot;/&gt;&lt;wsp:rsid wsp:val=&quot;00D429C6&quot;/&gt;&lt;wsp:rsid wsp:val=&quot;00D4568F&quot;/&gt;&lt;wsp:rsid wsp:val=&quot;00D46D64&quot;/&gt;&lt;wsp:rsid wsp:val=&quot;00D47748&quot;/&gt;&lt;wsp:rsid wsp:val=&quot;00D47F20&quot;/&gt;&lt;wsp:rsid wsp:val=&quot;00D509EA&quot;/&gt;&lt;wsp:rsid wsp:val=&quot;00D52C0C&quot;/&gt;&lt;wsp:rsid wsp:val=&quot;00D54CC3&quot;/&gt;&lt;wsp:rsid wsp:val=&quot;00D5505F&quot;/&gt;&lt;wsp:rsid wsp:val=&quot;00D6041A&quot;/&gt;&lt;wsp:rsid wsp:val=&quot;00D633EB&quot;/&gt;&lt;wsp:rsid wsp:val=&quot;00D82FF7&quot;/&gt;&lt;wsp:rsid wsp:val=&quot;00D832C2&quot;/&gt;&lt;wsp:rsid wsp:val=&quot;00D847FE&quot;/&gt;&lt;wsp:rsid wsp:val=&quot;00D860AB&quot;/&gt;&lt;wsp:rsid wsp:val=&quot;00D91397&quot;/&gt;&lt;wsp:rsid wsp:val=&quot;00D9562D&quot;/&gt;&lt;wsp:rsid wsp:val=&quot;00D964EA&quot;/&gt;&lt;wsp:rsid wsp:val=&quot;00D966D0&quot;/&gt;&lt;wsp:rsid wsp:val=&quot;00DA0C59&quot;/&gt;&lt;wsp:rsid wsp:val=&quot;00DA3991&quot;/&gt;&lt;wsp:rsid wsp:val=&quot;00DB037A&quot;/&gt;&lt;wsp:rsid wsp:val=&quot;00DB0AD4&quot;/&gt;&lt;wsp:rsid wsp:val=&quot;00DB605A&quot;/&gt;&lt;wsp:rsid wsp:val=&quot;00DB7E6C&quot;/&gt;&lt;wsp:rsid wsp:val=&quot;00DC07E1&quot;/&gt;&lt;wsp:rsid wsp:val=&quot;00DD32C9&quot;/&gt;&lt;wsp:rsid wsp:val=&quot;00DD4D7C&quot;/&gt;&lt;wsp:rsid wsp:val=&quot;00DD5A29&quot;/&gt;&lt;wsp:rsid wsp:val=&quot;00DD5D9D&quot;/&gt;&lt;wsp:rsid wsp:val=&quot;00DE0AF0&quot;/&gt;&lt;wsp:rsid wsp:val=&quot;00DE35CB&quot;/&gt;&lt;wsp:rsid wsp:val=&quot;00DF21E9&quot;/&gt;&lt;wsp:rsid wsp:val=&quot;00E00F14&quot;/&gt;&lt;wsp:rsid wsp:val=&quot;00E02458&quot;/&gt;&lt;wsp:rsid wsp:val=&quot;00E059AA&quot;/&gt;&lt;wsp:rsid wsp:val=&quot;00E06386&quot;/&gt;&lt;wsp:rsid wsp:val=&quot;00E2049D&quot;/&gt;&lt;wsp:rsid wsp:val=&quot;00E24EB4&quot;/&gt;&lt;wsp:rsid wsp:val=&quot;00E320ED&quot;/&gt;&lt;wsp:rsid wsp:val=&quot;00E33AFB&quot;/&gt;&lt;wsp:rsid wsp:val=&quot;00E34218&quot;/&gt;&lt;wsp:rsid wsp:val=&quot;00E34E8E&quot;/&gt;&lt;wsp:rsid wsp:val=&quot;00E4207B&quot;/&gt;&lt;wsp:rsid wsp:val=&quot;00E459CC&quot;/&gt;&lt;wsp:rsid wsp:val=&quot;00E46282&quot;/&gt;&lt;wsp:rsid wsp:val=&quot;00E5216E&quot;/&gt;&lt;wsp:rsid wsp:val=&quot;00E611DB&quot;/&gt;&lt;wsp:rsid wsp:val=&quot;00E70ABD&quot;/&gt;&lt;wsp:rsid wsp:val=&quot;00E8149A&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5CDA&quot;/&gt;&lt;wsp:rsid wsp:val=&quot;00EB786A&quot;/&gt;&lt;wsp:rsid wsp:val=&quot;00EB79E7&quot;/&gt;&lt;wsp:rsid wsp:val=&quot;00EC1578&quot;/&gt;&lt;wsp:rsid wsp:val=&quot;00EC1C72&quot;/&gt;&lt;wsp:rsid wsp:val=&quot;00EC3CC9&quot;/&gt;&lt;wsp:rsid wsp:val=&quot;00EC5316&quot;/&gt;&lt;wsp:rsid wsp:val=&quot;00EC5F93&quot;/&gt;&lt;wsp:rsid wsp:val=&quot;00EC680A&quot;/&gt;&lt;wsp:rsid wsp:val=&quot;00ED0DFA&quot;/&gt;&lt;wsp:rsid wsp:val=&quot;00ED35A4&quot;/&gt;&lt;wsp:rsid wsp:val=&quot;00ED3A2B&quot;/&gt;&lt;wsp:rsid wsp:val=&quot;00ED5078&quot;/&gt;&lt;wsp:rsid wsp:val=&quot;00ED699F&quot;/&gt;&lt;wsp:rsid wsp:val=&quot;00EE2BED&quot;/&gt;&lt;wsp:rsid wsp:val=&quot;00EE374B&quot;/&gt;&lt;wsp:rsid wsp:val=&quot;00EE46AE&quot;/&gt;&lt;wsp:rsid wsp:val=&quot;00EE6E2C&quot;/&gt;&lt;wsp:rsid wsp:val=&quot;00EF42A6&quot;/&gt;&lt;wsp:rsid wsp:val=&quot;00F11BB5&quot;/&gt;&lt;wsp:rsid wsp:val=&quot;00F1417B&quot;/&gt;&lt;wsp:rsid wsp:val=&quot;00F15363&quot;/&gt;&lt;wsp:rsid wsp:val=&quot;00F1689B&quot;/&gt;&lt;wsp:rsid wsp:val=&quot;00F169F2&quot;/&gt;&lt;wsp:rsid wsp:val=&quot;00F3371B&quot;/&gt;&lt;wsp:rsid wsp:val=&quot;00F34B99&quot;/&gt;&lt;wsp:rsid wsp:val=&quot;00F378D0&quot;/&gt;&lt;wsp:rsid wsp:val=&quot;00F4757E&quot;/&gt;&lt;wsp:rsid wsp:val=&quot;00F52DAB&quot;/&gt;&lt;wsp:rsid wsp:val=&quot;00F543F0&quot;/&gt;&lt;wsp:rsid wsp:val=&quot;00F66E04&quot;/&gt;&lt;wsp:rsid wsp:val=&quot;00F705DD&quot;/&gt;&lt;wsp:rsid wsp:val=&quot;00F8078F&quot;/&gt;&lt;wsp:rsid wsp:val=&quot;00F818A7&quot;/&gt;&lt;wsp:rsid wsp:val=&quot;00F81D29&quot;/&gt;&lt;wsp:rsid wsp:val=&quot;00F91C4D&quot;/&gt;&lt;wsp:rsid wsp:val=&quot;00F92FD9&quot;/&gt;&lt;wsp:rsid wsp:val=&quot;00FA1ACA&quot;/&gt;&lt;wsp:rsid wsp:val=&quot;00FA29C5&quot;/&gt;&lt;wsp:rsid wsp:val=&quot;00FA3EF5&quot;/&gt;&lt;wsp:rsid wsp:val=&quot;00FA6684&quot;/&gt;&lt;wsp:rsid wsp:val=&quot;00FA731E&quot;/&gt;&lt;wsp:rsid wsp:val=&quot;00FB2B38&quot;/&gt;&lt;wsp:rsid wsp:val=&quot;00FB5033&quot;/&gt;&lt;wsp:rsid wsp:val=&quot;00FB768C&quot;/&gt;&lt;wsp:rsid wsp:val=&quot;00FC6358&quot;/&gt;&lt;wsp:rsid wsp:val=&quot;00FD320D&quot;/&gt;&lt;wsp:rsid wsp:val=&quot;00FD3605&quot;/&gt;&lt;wsp:rsid wsp:val=&quot;00FE23DE&quot;/&gt;&lt;wsp:rsid wsp:val=&quot;00FF2A7A&quot;/&gt;&lt;wsp:rsid wsp:val=&quot;011430C0&quot;/&gt;&lt;wsp:rsid wsp:val=&quot;018C152A&quot;/&gt;&lt;wsp:rsid wsp:val=&quot;03CD109D&quot;/&gt;&lt;wsp:rsid wsp:val=&quot;04A87B8B&quot;/&gt;&lt;wsp:rsid wsp:val=&quot;05816019&quot;/&gt;&lt;wsp:rsid wsp:val=&quot;05F477B7&quot;/&gt;&lt;wsp:rsid wsp:val=&quot;071172F8&quot;/&gt;&lt;wsp:rsid wsp:val=&quot;072938BC&quot;/&gt;&lt;wsp:rsid wsp:val=&quot;075E75DE&quot;/&gt;&lt;wsp:rsid wsp:val=&quot;083A0335&quot;/&gt;&lt;wsp:rsid wsp:val=&quot;09763FE4&quot;/&gt;&lt;wsp:rsid wsp:val=&quot;0B4B550C&quot;/&gt;&lt;wsp:rsid wsp:val=&quot;0B61157E&quot;/&gt;&lt;wsp:rsid wsp:val=&quot;0BFA390D&quot;/&gt;&lt;wsp:rsid wsp:val=&quot;0CC25F19&quot;/&gt;&lt;wsp:rsid wsp:val=&quot;0CEF5D97&quot;/&gt;&lt;wsp:rsid wsp:val=&quot;0EAA193B&quot;/&gt;&lt;wsp:rsid wsp:val=&quot;0EE23A80&quot;/&gt;&lt;wsp:rsid wsp:val=&quot;0EEA7E53&quot;/&gt;&lt;wsp:rsid wsp:val=&quot;11242651&quot;/&gt;&lt;wsp:rsid wsp:val=&quot;11703FAF&quot;/&gt;&lt;wsp:rsid wsp:val=&quot;11B84DF3&quot;/&gt;&lt;wsp:rsid wsp:val=&quot;1295124C&quot;/&gt;&lt;wsp:rsid wsp:val=&quot;12BB6B70&quot;/&gt;&lt;wsp:rsid wsp:val=&quot;147F45E5&quot;/&gt;&lt;wsp:rsid wsp:val=&quot;154741BF&quot;/&gt;&lt;wsp:rsid wsp:val=&quot;168E180C&quot;/&gt;&lt;wsp:rsid wsp:val=&quot;17681DB3&quot;/&gt;&lt;wsp:rsid wsp:val=&quot;17BEDEC0&quot;/&gt;&lt;wsp:rsid wsp:val=&quot;17D13FA2&quot;/&gt;&lt;wsp:rsid wsp:val=&quot;17E75C97&quot;/&gt;&lt;wsp:rsid wsp:val=&quot;186B09CA&quot;/&gt;&lt;wsp:rsid wsp:val=&quot;18E330A5&quot;/&gt;&lt;wsp:rsid wsp:val=&quot;19421AF3&quot;/&gt;&lt;wsp:rsid wsp:val=&quot;19A43221&quot;/&gt;&lt;wsp:rsid wsp:val=&quot;19B915F8&quot;/&gt;&lt;wsp:rsid wsp:val=&quot;19C42BAA&quot;/&gt;&lt;wsp:rsid wsp:val=&quot;19D131D2&quot;/&gt;&lt;wsp:rsid wsp:val=&quot;19ED59E3&quot;/&gt;&lt;wsp:rsid wsp:val=&quot;1A5F56EF&quot;/&gt;&lt;wsp:rsid wsp:val=&quot;1B3A723A&quot;/&gt;&lt;wsp:rsid wsp:val=&quot;1B8452D7&quot;/&gt;&lt;wsp:rsid wsp:val=&quot;1DF60C24&quot;/&gt;&lt;wsp:rsid wsp:val=&quot;1E4237DD&quot;/&gt;&lt;wsp:rsid wsp:val=&quot;1E4606D5&quot;/&gt;&lt;wsp:rsid wsp:val=&quot;1E8F40C9&quot;/&gt;&lt;wsp:rsid wsp:val=&quot;1EAC6902&quot;/&gt;&lt;wsp:rsid wsp:val=&quot;1ED531AF&quot;/&gt;&lt;wsp:rsid wsp:val=&quot;1F2A1205&quot;/&gt;&lt;wsp:rsid wsp:val=&quot;1F7D701D&quot;/&gt;&lt;wsp:rsid wsp:val=&quot;1F885AEF&quot;/&gt;&lt;wsp:rsid wsp:val=&quot;1FBFA108&quot;/&gt;&lt;wsp:rsid wsp:val=&quot;1FE20F7B&quot;/&gt;&lt;wsp:rsid wsp:val=&quot;1FEFA73F&quot;/&gt;&lt;wsp:rsid wsp:val=&quot;1FF7E849&quot;/&gt;&lt;wsp:rsid wsp:val=&quot;1FFE5FEE&quot;/&gt;&lt;wsp:rsid wsp:val=&quot;205D442E&quot;/&gt;&lt;wsp:rsid wsp:val=&quot;20FC540D&quot;/&gt;&lt;wsp:rsid wsp:val=&quot;222B73B3&quot;/&gt;&lt;wsp:rsid wsp:val=&quot;22CC1448&quot;/&gt;&lt;wsp:rsid wsp:val=&quot;22EE0732&quot;/&gt;&lt;wsp:rsid wsp:val=&quot;24940192&quot;/&gt;&lt;wsp:rsid wsp:val=&quot;25284930&quot;/&gt;&lt;wsp:rsid wsp:val=&quot;25CA1676&quot;/&gt;&lt;wsp:rsid wsp:val=&quot;25F6309F&quot;/&gt;&lt;wsp:rsid wsp:val=&quot;26A036C6&quot;/&gt;&lt;wsp:rsid wsp:val=&quot;27D960A5&quot;/&gt;&lt;wsp:rsid wsp:val=&quot;298A3E0B&quot;/&gt;&lt;wsp:rsid wsp:val=&quot;2A574C09&quot;/&gt;&lt;wsp:rsid wsp:val=&quot;2AF21D84&quot;/&gt;&lt;wsp:rsid wsp:val=&quot;2B22130A&quot;/&gt;&lt;wsp:rsid wsp:val=&quot;2B5C7036&quot;/&gt;&lt;wsp:rsid wsp:val=&quot;2B7F675F&quot;/&gt;&lt;wsp:rsid wsp:val=&quot;2BB94533&quot;/&gt;&lt;wsp:rsid wsp:val=&quot;2D012636&quot;/&gt;&lt;wsp:rsid wsp:val=&quot;2D6B2D3A&quot;/&gt;&lt;wsp:rsid wsp:val=&quot;2D787AC9&quot;/&gt;&lt;wsp:rsid wsp:val=&quot;2DB905BE&quot;/&gt;&lt;wsp:rsid wsp:val=&quot;2EDE49DD&quot;/&gt;&lt;wsp:rsid wsp:val=&quot;2EE79A49&quot;/&gt;&lt;wsp:rsid wsp:val=&quot;2FFE6E15&quot;/&gt;&lt;wsp:rsid wsp:val=&quot;30977539&quot;/&gt;&lt;wsp:rsid wsp:val=&quot;316F0C5E&quot;/&gt;&lt;wsp:rsid wsp:val=&quot;327D5B5F&quot;/&gt;&lt;wsp:rsid wsp:val=&quot;329F1D49&quot;/&gt;&lt;wsp:rsid wsp:val=&quot;331B5584&quot;/&gt;&lt;wsp:rsid wsp:val=&quot;33DFF8F7&quot;/&gt;&lt;wsp:rsid wsp:val=&quot;353BF113&quot;/&gt;&lt;wsp:rsid wsp:val=&quot;353F1275&quot;/&gt;&lt;wsp:rsid wsp:val=&quot;35B244CD&quot;/&gt;&lt;wsp:rsid wsp:val=&quot;36F75BC2&quot;/&gt;&lt;wsp:rsid wsp:val=&quot;37434788&quot;/&gt;&lt;wsp:rsid wsp:val=&quot;378765C5&quot;/&gt;&lt;wsp:rsid wsp:val=&quot;37D74657&quot;/&gt;&lt;wsp:rsid wsp:val=&quot;37E4351D&quot;/&gt;&lt;wsp:rsid wsp:val=&quot;37F6D891&quot;/&gt;&lt;wsp:rsid wsp:val=&quot;37F7CA95&quot;/&gt;&lt;wsp:rsid wsp:val=&quot;38D12A54&quot;/&gt;&lt;wsp:rsid wsp:val=&quot;38F2046B&quot;/&gt;&lt;wsp:rsid wsp:val=&quot;392F17AB&quot;/&gt;&lt;wsp:rsid wsp:val=&quot;394E0B17&quot;/&gt;&lt;wsp:rsid wsp:val=&quot;395D3BC4&quot;/&gt;&lt;wsp:rsid wsp:val=&quot;39BF4E37&quot;/&gt;&lt;wsp:rsid wsp:val=&quot;3A7601BF&quot;/&gt;&lt;wsp:rsid wsp:val=&quot;3A9C6B2F&quot;/&gt;&lt;wsp:rsid wsp:val=&quot;3AB27D34&quot;/&gt;&lt;wsp:rsid wsp:val=&quot;3BB79C7A&quot;/&gt;&lt;wsp:rsid wsp:val=&quot;3BE7E76B&quot;/&gt;&lt;wsp:rsid wsp:val=&quot;3BFD138B&quot;/&gt;&lt;wsp:rsid wsp:val=&quot;3CA906B7&quot;/&gt;&lt;wsp:rsid wsp:val=&quot;3CCD471F&quot;/&gt;&lt;wsp:rsid wsp:val=&quot;3CF4B372&quot;/&gt;&lt;wsp:rsid wsp:val=&quot;3D768775&quot;/&gt;&lt;wsp:rsid wsp:val=&quot;3DC54FBA&quot;/&gt;&lt;wsp:rsid wsp:val=&quot;3E86513A&quot;/&gt;&lt;wsp:rsid wsp:val=&quot;3E9B0C30&quot;/&gt;&lt;wsp:rsid wsp:val=&quot;3EA370A9&quot;/&gt;&lt;wsp:rsid wsp:val=&quot;3EFD4D0F&quot;/&gt;&lt;wsp:rsid wsp:val=&quot;3EFD5C2F&quot;/&gt;&lt;wsp:rsid wsp:val=&quot;3F3B6ABC&quot;/&gt;&lt;wsp:rsid wsp:val=&quot;3F6BE8CE&quot;/&gt;&lt;wsp:rsid wsp:val=&quot;3F718E50&quot;/&gt;&lt;wsp:rsid wsp:val=&quot;3F76D50C&quot;/&gt;&lt;wsp:rsid wsp:val=&quot;3F7D0027&quot;/&gt;&lt;wsp:rsid wsp:val=&quot;3FD61A37&quot;/&gt;&lt;wsp:rsid wsp:val=&quot;3FDC6D60&quot;/&gt;&lt;wsp:rsid wsp:val=&quot;3FED59CF&quot;/&gt;&lt;wsp:rsid wsp:val=&quot;3FEE24E0&quot;/&gt;&lt;wsp:rsid wsp:val=&quot;3FEEE000&quot;/&gt;&lt;wsp:rsid wsp:val=&quot;3FFE01B9&quot;/&gt;&lt;wsp:rsid wsp:val=&quot;40652829&quot;/&gt;&lt;wsp:rsid wsp:val=&quot;411150BF&quot;/&gt;&lt;wsp:rsid wsp:val=&quot;41B16F4C&quot;/&gt;&lt;wsp:rsid wsp:val=&quot;430C6778&quot;/&gt;&lt;wsp:rsid wsp:val=&quot;4387757C&quot;/&gt;&lt;wsp:rsid wsp:val=&quot;43DF200D&quot;/&gt;&lt;wsp:rsid wsp:val=&quot;445F3A72&quot;/&gt;&lt;wsp:rsid wsp:val=&quot;44D44A10&quot;/&gt;&lt;wsp:rsid wsp:val=&quot;45050ABD&quot;/&gt;&lt;wsp:rsid wsp:val=&quot;464A138F&quot;/&gt;&lt;wsp:rsid wsp:val=&quot;46A662CB&quot;/&gt;&lt;wsp:rsid wsp:val=&quot;473FA501&quot;/&gt;&lt;wsp:rsid wsp:val=&quot;476B317A&quot;/&gt;&lt;wsp:rsid wsp:val=&quot;4A066551&quot;/&gt;&lt;wsp:rsid wsp:val=&quot;4A5A7640&quot;/&gt;&lt;wsp:rsid wsp:val=&quot;4A90661B&quot;/&gt;&lt;wsp:rsid wsp:val=&quot;4AA77D0E&quot;/&gt;&lt;wsp:rsid wsp:val=&quot;4ADC2772&quot;/&gt;&lt;wsp:rsid wsp:val=&quot;4B5F6B82&quot;/&gt;&lt;wsp:rsid wsp:val=&quot;4BBB9640&quot;/&gt;&lt;wsp:rsid wsp:val=&quot;4BF7716B&quot;/&gt;&lt;wsp:rsid wsp:val=&quot;4BFF492D&quot;/&gt;&lt;wsp:rsid wsp:val=&quot;4C2F3185&quot;/&gt;&lt;wsp:rsid wsp:val=&quot;4C362B0B&quot;/&gt;&lt;wsp:rsid wsp:val=&quot;4DB7491F&quot;/&gt;&lt;wsp:rsid wsp:val=&quot;4E685C19&quot;/&gt;&lt;wsp:rsid wsp:val=&quot;4E873D5D&quot;/&gt;&lt;wsp:rsid wsp:val=&quot;4EA07BA7&quot;/&gt;&lt;wsp:rsid wsp:val=&quot;4EB500DB&quot;/&gt;&lt;wsp:rsid wsp:val=&quot;4EFF931F&quot;/&gt;&lt;wsp:rsid wsp:val=&quot;4F77DEEF&quot;/&gt;&lt;wsp:rsid wsp:val=&quot;4FBA9BB8&quot;/&gt;&lt;wsp:rsid wsp:val=&quot;4FDCBBFA&quot;/&gt;&lt;wsp:rsid wsp:val=&quot;4FEBB8A8&quot;/&gt;&lt;wsp:rsid wsp:val=&quot;519E5272&quot;/&gt;&lt;wsp:rsid wsp:val=&quot;51C61425&quot;/&gt;&lt;wsp:rsid wsp:val=&quot;53E3376D&quot;/&gt;&lt;wsp:rsid wsp:val=&quot;53F61577&quot;/&gt;&lt;wsp:rsid wsp:val=&quot;540C7047&quot;/&gt;&lt;wsp:rsid wsp:val=&quot;5475496B&quot;/&gt;&lt;wsp:rsid wsp:val=&quot;54DF4431&quot;/&gt;&lt;wsp:rsid wsp:val=&quot;5516FC44&quot;/&gt;&lt;wsp:rsid wsp:val=&quot;55390EB8&quot;/&gt;&lt;wsp:rsid wsp:val=&quot;56116B96&quot;/&gt;&lt;wsp:rsid wsp:val=&quot;56777A5B&quot;/&gt;&lt;wsp:rsid wsp:val=&quot;56CC6F8C&quot;/&gt;&lt;wsp:rsid wsp:val=&quot;56DB28FA&quot;/&gt;&lt;wsp:rsid wsp:val=&quot;56F6006A&quot;/&gt;&lt;wsp:rsid wsp:val=&quot;570C6B15&quot;/&gt;&lt;wsp:rsid wsp:val=&quot;571302D9&quot;/&gt;&lt;wsp:rsid wsp:val=&quot;57C7BFD9&quot;/&gt;&lt;wsp:rsid wsp:val=&quot;57D7883B&quot;/&gt;&lt;wsp:rsid wsp:val=&quot;580924CF&quot;/&gt;&lt;wsp:rsid wsp:val=&quot;58BD21A3&quot;/&gt;&lt;wsp:rsid wsp:val=&quot;59FE05B0&quot;/&gt;&lt;wsp:rsid wsp:val=&quot;5A37BAA7&quot;/&gt;&lt;wsp:rsid wsp:val=&quot;5A3F0F94&quot;/&gt;&lt;wsp:rsid wsp:val=&quot;5B6927A3&quot;/&gt;&lt;wsp:rsid wsp:val=&quot;5B6E0B14&quot;/&gt;&lt;wsp:rsid wsp:val=&quot;5B9FEEFD&quot;/&gt;&lt;wsp:rsid wsp:val=&quot;5BA26922&quot;/&gt;&lt;wsp:rsid wsp:val=&quot;5BBF245D&quot;/&gt;&lt;wsp:rsid wsp:val=&quot;5C533830&quot;/&gt;&lt;wsp:rsid wsp:val=&quot;5C870281&quot;/&gt;&lt;wsp:rsid wsp:val=&quot;5CAB6A70&quot;/&gt;&lt;wsp:rsid wsp:val=&quot;5CCE1101&quot;/&gt;&lt;wsp:rsid wsp:val=&quot;5CCEE7A1&quot;/&gt;&lt;wsp:rsid wsp:val=&quot;5CEF4510&quot;/&gt;&lt;wsp:rsid wsp:val=&quot;5D2D4D36&quot;/&gt;&lt;wsp:rsid wsp:val=&quot;5D534E5C&quot;/&gt;&lt;wsp:rsid wsp:val=&quot;5E69593F&quot;/&gt;&lt;wsp:rsid wsp:val=&quot;5E732FCB&quot;/&gt;&lt;wsp:rsid wsp:val=&quot;5EB61B49&quot;/&gt;&lt;wsp:rsid wsp:val=&quot;5EDC2E85&quot;/&gt;&lt;wsp:rsid wsp:val=&quot;5EFFE5A3&quot;/&gt;&lt;wsp:rsid wsp:val=&quot;5F354FCC&quot;/&gt;&lt;wsp:rsid wsp:val=&quot;5F4EB3AD&quot;/&gt;&lt;wsp:rsid wsp:val=&quot;5F5812A1&quot;/&gt;&lt;wsp:rsid wsp:val=&quot;5F7F87AF&quot;/&gt;&lt;wsp:rsid wsp:val=&quot;5F8C681E&quot;/&gt;&lt;wsp:rsid wsp:val=&quot;5FB5560F&quot;/&gt;&lt;wsp:rsid wsp:val=&quot;5FBF8BF8&quot;/&gt;&lt;wsp:rsid wsp:val=&quot;5FBFCC85&quot;/&gt;&lt;wsp:rsid wsp:val=&quot;5FC53F03&quot;/&gt;&lt;wsp:rsid wsp:val=&quot;5FD783DC&quot;/&gt;&lt;wsp:rsid wsp:val=&quot;5FD7E5A2&quot;/&gt;&lt;wsp:rsid wsp:val=&quot;5FDB5C37&quot;/&gt;&lt;wsp:rsid wsp:val=&quot;5FE5747F&quot;/&gt;&lt;wsp:rsid wsp:val=&quot;5FED8CBF&quot;/&gt;&lt;wsp:rsid wsp:val=&quot;5FF775E2&quot;/&gt;&lt;wsp:rsid wsp:val=&quot;5FFAE202&quot;/&gt;&lt;wsp:rsid wsp:val=&quot;5FFF26CD&quot;/&gt;&lt;wsp:rsid wsp:val=&quot;5FFF2F30&quot;/&gt;&lt;wsp:rsid wsp:val=&quot;5FFF9FC9&quot;/&gt;&lt;wsp:rsid wsp:val=&quot;61A364CC&quot;/&gt;&lt;wsp:rsid wsp:val=&quot;61F25BC1&quot;/&gt;&lt;wsp:rsid wsp:val=&quot;62130DE2&quot;/&gt;&lt;wsp:rsid wsp:val=&quot;629633D0&quot;/&gt;&lt;wsp:rsid wsp:val=&quot;62D73B0C&quot;/&gt;&lt;wsp:rsid wsp:val=&quot;62E8530F&quot;/&gt;&lt;wsp:rsid wsp:val=&quot;62EA4535&quot;/&gt;&lt;wsp:rsid wsp:val=&quot;632D4257&quot;/&gt;&lt;wsp:rsid wsp:val=&quot;66A63D78&quot;/&gt;&lt;wsp:rsid wsp:val=&quot;66FA7027&quot;/&gt;&lt;wsp:rsid wsp:val=&quot;670536A6&quot;/&gt;&lt;wsp:rsid wsp:val=&quot;6759214B&quot;/&gt;&lt;wsp:rsid wsp:val=&quot;6769221B&quot;/&gt;&lt;wsp:rsid wsp:val=&quot;677F5E13&quot;/&gt;&lt;wsp:rsid wsp:val=&quot;677F954D&quot;/&gt;&lt;wsp:rsid wsp:val=&quot;67EEF77C&quot;/&gt;&lt;wsp:rsid wsp:val=&quot;67F7942A&quot;/&gt;&lt;wsp:rsid wsp:val=&quot;67FA7653&quot;/&gt;&lt;wsp:rsid wsp:val=&quot;68B27D65&quot;/&gt;&lt;wsp:rsid wsp:val=&quot;69124CA8&quot;/&gt;&lt;wsp:rsid wsp:val=&quot;69983A0D&quot;/&gt;&lt;wsp:rsid wsp:val=&quot;69E9AA42&quot;/&gt;&lt;wsp:rsid wsp:val=&quot;6A9D10D8&quot;/&gt;&lt;wsp:rsid wsp:val=&quot;6AEE5674&quot;/&gt;&lt;wsp:rsid wsp:val=&quot;6AF79A02&quot;/&gt;&lt;wsp:rsid wsp:val=&quot;6BAE9099&quot;/&gt;&lt;wsp:rsid wsp:val=&quot;6BAF543B&quot;/&gt;&lt;wsp:rsid wsp:val=&quot;6C465394&quot;/&gt;&lt;wsp:rsid wsp:val=&quot;6CD51C5E&quot;/&gt;&lt;wsp:rsid wsp:val=&quot;6D17189C&quot;/&gt;&lt;wsp:rsid wsp:val=&quot;6D6FB125&quot;/&gt;&lt;wsp:rsid wsp:val=&quot;6DB78655&quot;/&gt;&lt;wsp:rsid wsp:val=&quot;6E9315D8&quot;/&gt;&lt;wsp:rsid wsp:val=&quot;6F3FC2D2&quot;/&gt;&lt;wsp:rsid wsp:val=&quot;6F55DFE8&quot;/&gt;&lt;wsp:rsid wsp:val=&quot;6FAE5E2D&quot;/&gt;&lt;wsp:rsid wsp:val=&quot;6FDE2A8E&quot;/&gt;&lt;wsp:rsid wsp:val=&quot;6FEE2B7A&quot;/&gt;&lt;wsp:rsid wsp:val=&quot;6FFFCD7E&quot;/&gt;&lt;wsp:rsid wsp:val=&quot;712E57E3&quot;/&gt;&lt;wsp:rsid wsp:val=&quot;723E7657&quot;/&gt;&lt;wsp:rsid wsp:val=&quot;727D476A&quot;/&gt;&lt;wsp:rsid wsp:val=&quot;727F480A&quot;/&gt;&lt;wsp:rsid wsp:val=&quot;729F9021&quot;/&gt;&lt;wsp:rsid wsp:val=&quot;72A16565&quot;/&gt;&lt;wsp:rsid wsp:val=&quot;72DC25AE&quot;/&gt;&lt;wsp:rsid wsp:val=&quot;737D7C5A&quot;/&gt;&lt;wsp:rsid wsp:val=&quot;73896C46&quot;/&gt;&lt;wsp:rsid wsp:val=&quot;73BDF28E&quot;/&gt;&lt;wsp:rsid wsp:val=&quot;74401F7F&quot;/&gt;&lt;wsp:rsid wsp:val=&quot;744321B9&quot;/&gt;&lt;wsp:rsid wsp:val=&quot;751D7DBC&quot;/&gt;&lt;wsp:rsid wsp:val=&quot;752E4C17&quot;/&gt;&lt;wsp:rsid wsp:val=&quot;75324E28&quot;/&gt;&lt;wsp:rsid wsp:val=&quot;753F0677&quot;/&gt;&lt;wsp:rsid wsp:val=&quot;758515FA&quot;/&gt;&lt;wsp:rsid wsp:val=&quot;75B31E67&quot;/&gt;&lt;wsp:rsid wsp:val=&quot;75B7C825&quot;/&gt;&lt;wsp:rsid wsp:val=&quot;75BA2E02&quot;/&gt;&lt;wsp:rsid wsp:val=&quot;75BE4DDD&quot;/&gt;&lt;wsp:rsid wsp:val=&quot;75FD03F4&quot;/&gt;&lt;wsp:rsid wsp:val=&quot;75FED2C4&quot;/&gt;&lt;wsp:rsid wsp:val=&quot;7666841C&quot;/&gt;&lt;wsp:rsid wsp:val=&quot;76BBDFBA&quot;/&gt;&lt;wsp:rsid wsp:val=&quot;76BF9ECF&quot;/&gt;&lt;wsp:rsid wsp:val=&quot;76DF330F&quot;/&gt;&lt;wsp:rsid wsp:val=&quot;773F927D&quot;/&gt;&lt;wsp:rsid wsp:val=&quot;77676A20&quot;/&gt;&lt;wsp:rsid wsp:val=&quot;779D6084&quot;/&gt;&lt;wsp:rsid wsp:val=&quot;77AAA13B&quot;/&gt;&lt;wsp:rsid wsp:val=&quot;77ADA45B&quot;/&gt;&lt;wsp:rsid wsp:val=&quot;77BF23AA&quot;/&gt;&lt;wsp:rsid wsp:val=&quot;77BFA08F&quot;/&gt;&lt;wsp:rsid wsp:val=&quot;77CF6050&quot;/&gt;&lt;wsp:rsid wsp:val=&quot;77D61D22&quot;/&gt;&lt;wsp:rsid wsp:val=&quot;77DB7558&quot;/&gt;&lt;wsp:rsid wsp:val=&quot;77F963F5&quot;/&gt;&lt;wsp:rsid wsp:val=&quot;77F9A364&quot;/&gt;&lt;wsp:rsid wsp:val=&quot;787A42BD&quot;/&gt;&lt;wsp:rsid wsp:val=&quot;78992A40&quot;/&gt;&lt;wsp:rsid wsp:val=&quot;78F732C4&quot;/&gt;&lt;wsp:rsid wsp:val=&quot;79036043&quot;/&gt;&lt;wsp:rsid wsp:val=&quot;796FDD61&quot;/&gt;&lt;wsp:rsid wsp:val=&quot;7A480DB1&quot;/&gt;&lt;wsp:rsid wsp:val=&quot;7A6FC549&quot;/&gt;&lt;wsp:rsid wsp:val=&quot;7A7F8825&quot;/&gt;&lt;wsp:rsid wsp:val=&quot;7B0111B0&quot;/&gt;&lt;wsp:rsid wsp:val=&quot;7B37F8A2&quot;/&gt;&lt;wsp:rsid wsp:val=&quot;7B7B7AEF&quot;/&gt;&lt;wsp:rsid wsp:val=&quot;7BB987D3&quot;/&gt;&lt;wsp:rsid wsp:val=&quot;7BBE1752&quot;/&gt;&lt;wsp:rsid wsp:val=&quot;7BBF89A6&quot;/&gt;&lt;wsp:rsid wsp:val=&quot;7BBFC78A&quot;/&gt;&lt;wsp:rsid wsp:val=&quot;7BDF2EFE&quot;/&gt;&lt;wsp:rsid wsp:val=&quot;7BFF06C1&quot;/&gt;&lt;wsp:rsid wsp:val=&quot;7C330DCE&quot;/&gt;&lt;wsp:rsid wsp:val=&quot;7C6F688D&quot;/&gt;&lt;wsp:rsid wsp:val=&quot;7C8F0594&quot;/&gt;&lt;wsp:rsid wsp:val=&quot;7CF25910&quot;/&gt;&lt;wsp:rsid wsp:val=&quot;7D537911&quot;/&gt;&lt;wsp:rsid wsp:val=&quot;7DAF5283&quot;/&gt;&lt;wsp:rsid wsp:val=&quot;7DB6B7D3&quot;/&gt;&lt;wsp:rsid wsp:val=&quot;7DC7001B&quot;/&gt;&lt;wsp:rsid wsp:val=&quot;7DDF01C5&quot;/&gt;&lt;wsp:rsid wsp:val=&quot;7DF5935E&quot;/&gt;&lt;wsp:rsid wsp:val=&quot;7DF7D53C&quot;/&gt;&lt;wsp:rsid wsp:val=&quot;7DFD5678&quot;/&gt;&lt;wsp:rsid wsp:val=&quot;7DFF9227&quot;/&gt;&lt;wsp:rsid wsp:val=&quot;7E1370A0&quot;/&gt;&lt;wsp:rsid wsp:val=&quot;7E484F9C&quot;/&gt;&lt;wsp:rsid wsp:val=&quot;7E5C4C83&quot;/&gt;&lt;wsp:rsid wsp:val=&quot;7E8C5F4A&quot;/&gt;&lt;wsp:rsid wsp:val=&quot;7E923553&quot;/&gt;&lt;wsp:rsid wsp:val=&quot;7E93D165&quot;/&gt;&lt;wsp:rsid wsp:val=&quot;7EBBB6FB&quot;/&gt;&lt;wsp:rsid wsp:val=&quot;7EE715AE&quot;/&gt;&lt;wsp:rsid wsp:val=&quot;7EF03B20&quot;/&gt;&lt;wsp:rsid wsp:val=&quot;7EFDE231&quot;/&gt;&lt;wsp:rsid wsp:val=&quot;7EFF193F&quot;/&gt;&lt;wsp:rsid wsp:val=&quot;7F0DBD23&quot;/&gt;&lt;wsp:rsid wsp:val=&quot;7F1C8002&quot;/&gt;&lt;wsp:rsid wsp:val=&quot;7F3F1EA1&quot;/&gt;&lt;wsp:rsid wsp:val=&quot;7F571A5B&quot;/&gt;&lt;wsp:rsid wsp:val=&quot;7F777DDD&quot;/&gt;&lt;wsp:rsid wsp:val=&quot;7F778DBC&quot;/&gt;&lt;wsp:rsid wsp:val=&quot;7F8B2291&quot;/&gt;&lt;wsp:rsid wsp:val=&quot;7F923FF5&quot;/&gt;&lt;wsp:rsid wsp:val=&quot;7F9B4357&quot;/&gt;&lt;wsp:rsid wsp:val=&quot;7FAE2814&quot;/&gt;&lt;wsp:rsid wsp:val=&quot;7FBBE062&quot;/&gt;&lt;wsp:rsid wsp:val=&quot;7FBEB7EA&quot;/&gt;&lt;wsp:rsid wsp:val=&quot;7FBF7938&quot;/&gt;&lt;wsp:rsid wsp:val=&quot;7FC35E17&quot;/&gt;&lt;wsp:rsid wsp:val=&quot;7FC46E7B&quot;/&gt;&lt;wsp:rsid wsp:val=&quot;7FDD9770&quot;/&gt;&lt;wsp:rsid wsp:val=&quot;7FE0F8D8&quot;/&gt;&lt;wsp:rsid wsp:val=&quot;7FEBC062&quot;/&gt;&lt;wsp:rsid wsp:val=&quot;7FEFA09C&quot;/&gt;&lt;wsp:rsid wsp:val=&quot;7FF7DFD1&quot;/&gt;&lt;wsp:rsid wsp:val=&quot;7FF7E467&quot;/&gt;&lt;wsp:rsid wsp:val=&quot;7FF9BE37&quot;/&gt;&lt;wsp:rsid wsp:val=&quot;7FFA6CD2&quot;/&gt;&lt;wsp:rsid wsp:val=&quot;7FFB0A0B&quot;/&gt;&lt;wsp:rsid wsp:val=&quot;7FFD1491&quot;/&gt;&lt;wsp:rsid wsp:val=&quot;7FFE9832&quot;/&gt;&lt;wsp:rsid wsp:val=&quot;7FFF3792&quot;/&gt;&lt;wsp:rsid wsp:val=&quot;7FFF6E37&quot;/&gt;&lt;wsp:rsid wsp:val=&quot;7FFF9EA5&quot;/&gt;&lt;wsp:rsid wsp:val=&quot;8EC701F9&quot;/&gt;&lt;wsp:rsid wsp:val=&quot;9ADF39D4&quot;/&gt;&lt;wsp:rsid wsp:val=&quot;9BB60683&quot;/&gt;&lt;wsp:rsid wsp:val=&quot;9D3EBDF3&quot;/&gt;&lt;wsp:rsid wsp:val=&quot;9DD7F2D1&quot;/&gt;&lt;wsp:rsid wsp:val=&quot;9F6D8389&quot;/&gt;&lt;wsp:rsid wsp:val=&quot;A5DF8C53&quot;/&gt;&lt;wsp:rsid wsp:val=&quot;A8EE8CFE&quot;/&gt;&lt;wsp:rsid wsp:val=&quot;AB3F3160&quot;/&gt;&lt;wsp:rsid wsp:val=&quot;ABAB20F8&quot;/&gt;&lt;wsp:rsid wsp:val=&quot;ABAFFA38&quot;/&gt;&lt;wsp:rsid wsp:val=&quot;AEFFA6A9&quot;/&gt;&lt;wsp:rsid wsp:val=&quot;B3FFC2BF&quot;/&gt;&lt;wsp:rsid wsp:val=&quot;B43E04CF&quot;/&gt;&lt;wsp:rsid wsp:val=&quot;B5FBA294&quot;/&gt;&lt;wsp:rsid wsp:val=&quot;B5FC0050&quot;/&gt;&lt;wsp:rsid wsp:val=&quot;B7AFE55A&quot;/&gt;&lt;wsp:rsid wsp:val=&quot;B7E70AD6&quot;/&gt;&lt;wsp:rsid wsp:val=&quot;B7F9BA0C&quot;/&gt;&lt;wsp:rsid wsp:val=&quot;B844EB5B&quot;/&gt;&lt;wsp:rsid wsp:val=&quot;BA71753C&quot;/&gt;&lt;wsp:rsid wsp:val=&quot;BBBBB6E2&quot;/&gt;&lt;wsp:rsid wsp:val=&quot;BBCB363C&quot;/&gt;&lt;wsp:rsid wsp:val=&quot;BBFD6FC4&quot;/&gt;&lt;wsp:rsid wsp:val=&quot;BBFF136E&quot;/&gt;&lt;wsp:rsid wsp:val=&quot;BC7DC8A8&quot;/&gt;&lt;wsp:rsid wsp:val=&quot;BDFD99FD&quot;/&gt;&lt;wsp:rsid wsp:val=&quot;BDFF9351&quot;/&gt;&lt;wsp:rsid wsp:val=&quot;BEB5B626&quot;/&gt;&lt;wsp:rsid wsp:val=&quot;BEDFBDE7&quot;/&gt;&lt;wsp:rsid wsp:val=&quot;BEFE36A9&quot;/&gt;&lt;wsp:rsid wsp:val=&quot;BF366FB8&quot;/&gt;&lt;wsp:rsid wsp:val=&quot;BF37D914&quot;/&gt;&lt;wsp:rsid wsp:val=&quot;BFD93F38&quot;/&gt;&lt;wsp:rsid wsp:val=&quot;BFF17AEE&quot;/&gt;&lt;wsp:rsid wsp:val=&quot;BFFF0534&quot;/&gt;&lt;wsp:rsid wsp:val=&quot;BFFF27B0&quot;/&gt;&lt;wsp:rsid wsp:val=&quot;BFFF3280&quot;/&gt;&lt;wsp:rsid wsp:val=&quot;C1BFC450&quot;/&gt;&lt;wsp:rsid wsp:val=&quot;C73B43A4&quot;/&gt;&lt;wsp:rsid wsp:val=&quot;CCBD5D81&quot;/&gt;&lt;wsp:rsid wsp:val=&quot;CDB7D8B9&quot;/&gt;&lt;wsp:rsid wsp:val=&quot;CDBFFA34&quot;/&gt;&lt;wsp:rsid wsp:val=&quot;CDFB59D1&quot;/&gt;&lt;wsp:rsid wsp:val=&quot;CF9FE863&quot;/&gt;&lt;wsp:rsid wsp:val=&quot;D4F544E7&quot;/&gt;&lt;wsp:rsid wsp:val=&quot;D57FDD91&quot;/&gt;&lt;wsp:rsid wsp:val=&quot;D6FA8A8F&quot;/&gt;&lt;wsp:rsid wsp:val=&quot;D7BB5077&quot;/&gt;&lt;wsp:rsid wsp:val=&quot;D9FFAB7D&quot;/&gt;&lt;wsp:rsid wsp:val=&quot;DADEBCE5&quot;/&gt;&lt;wsp:rsid wsp:val=&quot;DB7DA3EC&quot;/&gt;&lt;wsp:rsid wsp:val=&quot;DBDC24B4&quot;/&gt;&lt;wsp:rsid wsp:val=&quot;DC7EDA14&quot;/&gt;&lt;wsp:rsid wsp:val=&quot;DDB5D592&quot;/&gt;&lt;wsp:rsid wsp:val=&quot;DDFD9847&quot;/&gt;&lt;wsp:rsid wsp:val=&quot;DE7F35E9&quot;/&gt;&lt;wsp:rsid wsp:val=&quot;DEDDE723&quot;/&gt;&lt;wsp:rsid wsp:val=&quot;DEF27A72&quot;/&gt;&lt;wsp:rsid wsp:val=&quot;DF75C3E8&quot;/&gt;&lt;wsp:rsid wsp:val=&quot;DF7B6304&quot;/&gt;&lt;wsp:rsid wsp:val=&quot;DF8DC08A&quot;/&gt;&lt;wsp:rsid wsp:val=&quot;DFBF382C&quot;/&gt;&lt;wsp:rsid wsp:val=&quot;DFFB1304&quot;/&gt;&lt;wsp:rsid wsp:val=&quot;DFFB7051&quot;/&gt;&lt;wsp:rsid wsp:val=&quot;DFFD3865&quot;/&gt;&lt;wsp:rsid wsp:val=&quot;DFFFE51F&quot;/&gt;&lt;wsp:rsid wsp:val=&quot;E33E4836&quot;/&gt;&lt;wsp:rsid wsp:val=&quot;E3FF71BE&quot;/&gt;&lt;wsp:rsid wsp:val=&quot;E7AE8F7A&quot;/&gt;&lt;wsp:rsid wsp:val=&quot;E7C3B6F4&quot;/&gt;&lt;wsp:rsid wsp:val=&quot;EB5E0D05&quot;/&gt;&lt;wsp:rsid wsp:val=&quot;EBD4BE48&quot;/&gt;&lt;wsp:rsid wsp:val=&quot;EBE70DF3&quot;/&gt;&lt;wsp:rsid wsp:val=&quot;EBF60A46&quot;/&gt;&lt;wsp:rsid wsp:val=&quot;EBF73CAA&quot;/&gt;&lt;wsp:rsid wsp:val=&quot;EBFF6737&quot;/&gt;&lt;wsp:rsid wsp:val=&quot;EBFF777A&quot;/&gt;&lt;wsp:rsid wsp:val=&quot;ED377B7B&quot;/&gt;&lt;wsp:rsid wsp:val=&quot;EDFDDE8C&quot;/&gt;&lt;wsp:rsid wsp:val=&quot;EEFF6487&quot;/&gt;&lt;wsp:rsid wsp:val=&quot;EF637166&quot;/&gt;&lt;wsp:rsid wsp:val=&quot;EF75ED13&quot;/&gt;&lt;wsp:rsid wsp:val=&quot;EFAFFEF5&quot;/&gt;&lt;wsp:rsid wsp:val=&quot;EFDC11E0&quot;/&gt;&lt;wsp:rsid wsp:val=&quot;EFECBDBC&quot;/&gt;&lt;wsp:rsid wsp:val=&quot;EFF736EB&quot;/&gt;&lt;wsp:rsid wsp:val=&quot;EFFB2693&quot;/&gt;&lt;wsp:rsid wsp:val=&quot;F39F54E5&quot;/&gt;&lt;wsp:rsid wsp:val=&quot;F3FF38E7&quot;/&gt;&lt;wsp:rsid wsp:val=&quot;F4A37EE4&quot;/&gt;&lt;wsp:rsid wsp:val=&quot;F5A7C8A5&quot;/&gt;&lt;wsp:rsid wsp:val=&quot;F5AB5158&quot;/&gt;&lt;wsp:rsid wsp:val=&quot;F6FBAE4F&quot;/&gt;&lt;wsp:rsid wsp:val=&quot;F7BF9CC5&quot;/&gt;&lt;wsp:rsid wsp:val=&quot;F7EFC410&quot;/&gt;&lt;wsp:rsid wsp:val=&quot;F8F671C6&quot;/&gt;&lt;wsp:rsid wsp:val=&quot;F95AE5D0&quot;/&gt;&lt;wsp:rsid wsp:val=&quot;FBBBF98E&quot;/&gt;&lt;wsp:rsid wsp:val=&quot;FBDC0FC3&quot;/&gt;&lt;wsp:rsid wsp:val=&quot;FBF7EA14&quot;/&gt;&lt;wsp:rsid wsp:val=&quot;FBFD177B&quot;/&gt;&lt;wsp:rsid wsp:val=&quot;FBFF0AA5&quot;/&gt;&lt;wsp:rsid wsp:val=&quot;FBFF15B3&quot;/&gt;&lt;wsp:rsid wsp:val=&quot;FCEB4C03&quot;/&gt;&lt;wsp:rsid wsp:val=&quot;FCFCEEA9&quot;/&gt;&lt;wsp:rsid wsp:val=&quot;FCFF80B8&quot;/&gt;&lt;wsp:rsid wsp:val=&quot;FD7B032A&quot;/&gt;&lt;wsp:rsid wsp:val=&quot;FD7DB8D2&quot;/&gt;&lt;wsp:rsid wsp:val=&quot;FDB35D97&quot;/&gt;&lt;wsp:rsid wsp:val=&quot;FDD65BCB&quot;/&gt;&lt;wsp:rsid wsp:val=&quot;FDEE0097&quot;/&gt;&lt;wsp:rsid wsp:val=&quot;FE3AE016&quot;/&gt;&lt;wsp:rsid wsp:val=&quot;FE3FD466&quot;/&gt;&lt;wsp:rsid wsp:val=&quot;FE9F6274&quot;/&gt;&lt;wsp:rsid wsp:val=&quot;FEDD1634&quot;/&gt;&lt;wsp:rsid wsp:val=&quot;FEFA1EB8&quot;/&gt;&lt;wsp:rsid wsp:val=&quot;FF1C1AB3&quot;/&gt;&lt;wsp:rsid wsp:val=&quot;FF2E3D85&quot;/&gt;&lt;wsp:rsid wsp:val=&quot;FF3FD125&quot;/&gt;&lt;wsp:rsid wsp:val=&quot;FF5F1445&quot;/&gt;&lt;wsp:rsid wsp:val=&quot;FF6C9B3A&quot;/&gt;&lt;wsp:rsid wsp:val=&quot;FF6FAE72&quot;/&gt;&lt;wsp:rsid wsp:val=&quot;FF7D18DE&quot;/&gt;&lt;wsp:rsid wsp:val=&quot;FF7F1A1F&quot;/&gt;&lt;wsp:rsid wsp:val=&quot;FF7F4874&quot;/&gt;&lt;wsp:rsid wsp:val=&quot;FF7FC562&quot;/&gt;&lt;wsp:rsid wsp:val=&quot;FF7FEAFE&quot;/&gt;&lt;wsp:rsid wsp:val=&quot;FF90B2D1&quot;/&gt;&lt;wsp:rsid wsp:val=&quot;FF9DBC46&quot;/&gt;&lt;wsp:rsid wsp:val=&quot;FFAEBEB2&quot;/&gt;&lt;wsp:rsid wsp:val=&quot;FFBDA77C&quot;/&gt;&lt;wsp:rsid wsp:val=&quot;FFBE1F58&quot;/&gt;&lt;wsp:rsid wsp:val=&quot;FFBF8FAA&quot;/&gt;&lt;wsp:rsid wsp:val=&quot;FFBF9C5A&quot;/&gt;&lt;wsp:rsid wsp:val=&quot;FFBFDEF1&quot;/&gt;&lt;wsp:rsid wsp:val=&quot;FFDD40DA&quot;/&gt;&lt;wsp:rsid wsp:val=&quot;FFE9547C&quot;/&gt;&lt;wsp:rsid wsp:val=&quot;FFF4C6AA&quot;/&gt;&lt;wsp:rsid wsp:val=&quot;FFF5566E&quot;/&gt;&lt;wsp:rsid wsp:val=&quot;FFF71B17&quot;/&gt;&lt;wsp:rsid wsp:val=&quot;FFF7534D&quot;/&gt;&lt;wsp:rsid wsp:val=&quot;FFF7A93B&quot;/&gt;&lt;wsp:rsid wsp:val=&quot;FFFBD57C&quot;/&gt;&lt;wsp:rsid wsp:val=&quot;FFFDBD57&quot;/&gt;&lt;wsp:rsid wsp:val=&quot;FFFE6206&quot;/&gt;&lt;wsp:rsid wsp:val=&quot;FFFF2656&quot;/&gt;&lt;wsp:rsid wsp:val=&quot;FFFFEE31&quot;/&gt;&lt;/wsp:rsids&gt;&lt;/w:docPr&gt;&lt;w:body&gt;&lt;wx:sect&gt;&lt;w:p wsp:rsidR=&quot;004A279A&quot; wsp:rsidRDefault=&quot;004A279A&quot; wsp:rsidP=&quot;004A279A&quot;&gt;&lt;m:oMathPara&gt;&lt;m:oMath&gt;&lt;m:sSub&gt;&lt;m:sSubPr&gt;&lt;m:ctrlPr&gt;&lt;w:rPr&gt;&lt;w:rFonts w:ascii=&quot;Cambria Math&quot; w:fareast=&quot;等线&quot; w:h-ansi=&quot;Cambria Math&quot;/&gt;&lt;wx:font wx:val=&quot;Cambria Math&quot;/&gt;&lt;w:i/&gt;&lt;w:color w:val=&quot;1F1F1F&quot;/&gt;&lt;w:kern w:val=&quot;0&quot;/&gt;&lt;w:sz w:val=&quot;24&quot;/&gt;&lt;/w:rPr&gt;&lt;/m:ctrlPr&gt;&lt;/m:sSubPr&gt;&lt;m:e&gt;&lt;m:r&gt;&lt;w:rPr&gt;&lt;w:rFonts w:ascii=&quot;Cambria Math&quot; w:fareast=&quot;等线&quot; w:h-ansi=&quot;Cambria Math&quot;/&gt;&lt;wx:font wx:val=&quot;Cambria Math&quot;/&gt;&lt;w:i/&gt;&lt;w:color w:val=&quot;1F1F1F&quot;/&gt;&lt;w:kern w:val=&quot;0&quot;/&gt;&lt;w:sz w:val=&quot;24&quot;/&gt;&lt;/w:rPr&gt;&lt;m:t&gt;k&lt;/m:t&gt;&lt;/m:r&gt;&lt;/m:e&gt;&lt;m:sub&gt;&lt;m:r&gt;&lt;w:rPr&gt;&lt;w:rFonts w:ascii=&quot;Cambria Math&quot; w:fareast=&quot;等线&quot; w:h-ansi=&quot;Cambria Math&quot;/&gt;&lt;wx:font wx:val=&quot;Cambria Math&quot;/&gt;&lt;w:i/&gt;&lt;w:color w:val=&quot;1F1F1F&quot;/&gt;&lt;w:kern w:val=&quot;0&quot;/&gt;&lt;w:sz w:val=&quot;24&quot;/&gt;&lt;/w:rPr&gt;&lt;m:t&gt;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rFonts w:hint="eastAsia" w:ascii="宋体" w:hAnsi="宋体" w:eastAsia="宋体" w:cs="宋体"/>
          <w:sz w:val="21"/>
          <w:szCs w:val="21"/>
        </w:rPr>
        <w:instrText xml:space="preserve">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end"/>
      </w:r>
      <w:r>
        <w:rPr>
          <w:rFonts w:hint="eastAsia" w:ascii="宋体" w:hAnsi="宋体" w:eastAsia="宋体" w:cs="宋体"/>
          <w:sz w:val="21"/>
          <w:szCs w:val="21"/>
        </w:rPr>
        <w:t xml:space="preserve"> ——玻尔兹曼常数（1.3806×10</w:t>
      </w:r>
      <w:r>
        <w:rPr>
          <w:rFonts w:hint="eastAsia" w:ascii="宋体" w:hAnsi="宋体" w:eastAsia="宋体" w:cs="宋体"/>
          <w:sz w:val="21"/>
          <w:szCs w:val="21"/>
          <w:vertAlign w:val="superscript"/>
        </w:rPr>
        <w:t>-23</w:t>
      </w:r>
      <w:r>
        <w:rPr>
          <w:rFonts w:hint="eastAsia" w:ascii="宋体" w:hAnsi="宋体" w:eastAsia="宋体" w:cs="宋体"/>
          <w:sz w:val="21"/>
          <w:szCs w:val="21"/>
        </w:rPr>
        <w:t>J/K）；</w:t>
      </w:r>
    </w:p>
    <w:p w14:paraId="07CC85FE">
      <w:pPr>
        <w:numPr>
          <w:ilvl w:val="0"/>
          <w:numId w:val="0"/>
        </w:numPr>
        <w:ind w:leftChars="200"/>
        <w:jc w:val="left"/>
        <w:rPr>
          <w:rFonts w:hint="eastAsia" w:ascii="宋体" w:hAnsi="宋体" w:eastAsia="宋体" w:cs="宋体"/>
          <w:sz w:val="21"/>
          <w:szCs w:val="21"/>
        </w:rPr>
      </w:pPr>
      <m:oMath>
        <m:r>
          <m:rPr/>
          <w:rPr>
            <w:rFonts w:hint="eastAsia" w:ascii="Cambria Math" w:hAnsi="Cambria Math" w:eastAsia="宋体" w:cs="宋体"/>
            <w:color w:val="1F1F1F"/>
            <w:kern w:val="0"/>
            <w:sz w:val="21"/>
            <w:szCs w:val="21"/>
          </w:rPr>
          <m:t>T</m:t>
        </m:r>
      </m:oMath>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QUOTE </w:instrText>
      </w:r>
      <w:r>
        <w:rPr>
          <w:rFonts w:hint="eastAsia" w:ascii="宋体" w:hAnsi="宋体" w:eastAsia="宋体" w:cs="宋体"/>
          <w:sz w:val="21"/>
          <w:szCs w:val="21"/>
        </w:rPr>
        <w:pict>
          <v:shape id="_x0000_i1027" o:spt="75" type="#_x0000_t75" style="height:15.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mirrorMargin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ODdiNDM5ZjM0MmZlNTdhMWFiNmM1NjYzYmNlN2ZjYjEifQ==&quot;/&gt;&lt;/w:docVars&gt;&lt;wsp:rsids&gt;&lt;wsp:rsidRoot wsp:val=&quot;00035925&quot;/&gt;&lt;wsp:rsid wsp:val=&quot;00000244&quot;/&gt;&lt;wsp:rsid wsp:val=&quot;0000185F&quot;/&gt;&lt;wsp:rsid wsp:val=&quot;0000586F&quot;/&gt;&lt;wsp:rsid wsp:val=&quot;00013D86&quot;/&gt;&lt;wsp:rsid wsp:val=&quot;00013E02&quot;/&gt;&lt;wsp:rsid wsp:val=&quot;00016D29&quot;/&gt;&lt;wsp:rsid wsp:val=&quot;0002143C&quot;/&gt;&lt;wsp:rsid wsp:val=&quot;00024D73&quot;/&gt;&lt;wsp:rsid wsp:val=&quot;00025A65&quot;/&gt;&lt;wsp:rsid wsp:val=&quot;00026C31&quot;/&gt;&lt;wsp:rsid wsp:val=&quot;00027280&quot;/&gt;&lt;wsp:rsid wsp:val=&quot;00031663&quot;/&gt;&lt;wsp:rsid wsp:val=&quot;000320A7&quot;/&gt;&lt;wsp:rsid wsp:val=&quot;00033841&quot;/&gt;&lt;wsp:rsid wsp:val=&quot;0003559F&quot;/&gt;&lt;wsp:rsid wsp:val=&quot;000358B6&quot;/&gt;&lt;wsp:rsid wsp:val=&quot;00035925&quot;/&gt;&lt;wsp:rsid wsp:val=&quot;00040B5B&quot;/&gt;&lt;wsp:rsid wsp:val=&quot;000438F1&quot;/&gt;&lt;wsp:rsid wsp:val=&quot;0005035D&quot;/&gt;&lt;wsp:rsid wsp:val=&quot;00052C18&quot;/&gt;&lt;wsp:rsid wsp:val=&quot;00054692&quot;/&gt;&lt;wsp:rsid wsp:val=&quot;00056315&quot;/&gt;&lt;wsp:rsid wsp:val=&quot;00062B2F&quot;/&gt;&lt;wsp:rsid wsp:val=&quot;00067CDF&quot;/&gt;&lt;wsp:rsid wsp:val=&quot;00074FBE&quot;/&gt;&lt;wsp:rsid wsp:val=&quot;00083415&quot;/&gt;&lt;wsp:rsid wsp:val=&quot;00083A09&quot;/&gt;&lt;wsp:rsid wsp:val=&quot;000868F2&quot;/&gt;&lt;wsp:rsid wsp:val=&quot;0009005E&quot;/&gt;&lt;wsp:rsid wsp:val=&quot;00092857&quot;/&gt;&lt;wsp:rsid wsp:val=&quot;00096A0D&quot;/&gt;&lt;wsp:rsid wsp:val=&quot;000A20A9&quot;/&gt;&lt;wsp:rsid wsp:val=&quot;000A48B1&quot;/&gt;&lt;wsp:rsid wsp:val=&quot;000A67E5&quot;/&gt;&lt;wsp:rsid wsp:val=&quot;000B3143&quot;/&gt;&lt;wsp:rsid wsp:val=&quot;000B4B1C&quot;/&gt;&lt;wsp:rsid wsp:val=&quot;000C47A1&quot;/&gt;&lt;wsp:rsid wsp:val=&quot;000C4928&quot;/&gt;&lt;wsp:rsid wsp:val=&quot;000C651B&quot;/&gt;&lt;wsp:rsid wsp:val=&quot;000C6B05&quot;/&gt;&lt;wsp:rsid wsp:val=&quot;000C6DD6&quot;/&gt;&lt;wsp:rsid wsp:val=&quot;000C73D4&quot;/&gt;&lt;wsp:rsid wsp:val=&quot;000D3D4C&quot;/&gt;&lt;wsp:rsid wsp:val=&quot;000D4F51&quot;/&gt;&lt;wsp:rsid wsp:val=&quot;000D718B&quot;/&gt;&lt;wsp:rsid wsp:val=&quot;000E059A&quot;/&gt;&lt;wsp:rsid wsp:val=&quot;000E0B88&quot;/&gt;&lt;wsp:rsid wsp:val=&quot;000E0C46&quot;/&gt;&lt;wsp:rsid wsp:val=&quot;000E630F&quot;/&gt;&lt;wsp:rsid wsp:val=&quot;000F030C&quot;/&gt;&lt;wsp:rsid wsp:val=&quot;000F129C&quot;/&gt;&lt;wsp:rsid wsp:val=&quot;000F19AE&quot;/&gt;&lt;wsp:rsid wsp:val=&quot;000F3707&quot;/&gt;&lt;wsp:rsid wsp:val=&quot;001020F3&quot;/&gt;&lt;wsp:rsid wsp:val=&quot;001036BE&quot;/&gt;&lt;wsp:rsid wsp:val=&quot;001045EA&quot;/&gt;&lt;wsp:rsid wsp:val=&quot;001056DE&quot;/&gt;&lt;wsp:rsid wsp:val=&quot;00107050&quot;/&gt;&lt;wsp:rsid wsp:val=&quot;001124C0&quot;/&gt;&lt;wsp:rsid wsp:val=&quot;00124188&quot;/&gt;&lt;wsp:rsid wsp:val=&quot;0013175F&quot;/&gt;&lt;wsp:rsid wsp:val=&quot;00146E25&quot;/&gt;&lt;wsp:rsid wsp:val=&quot;001512B4&quot;/&gt;&lt;wsp:rsid wsp:val=&quot;00151CF1&quot;/&gt;&lt;wsp:rsid wsp:val=&quot;00152CB5&quot;/&gt;&lt;wsp:rsid wsp:val=&quot;001620A5&quot;/&gt;&lt;wsp:rsid wsp:val=&quot;00164E53&quot;/&gt;&lt;wsp:rsid wsp:val=&quot;00166910&quot;/&gt;&lt;wsp:rsid wsp:val=&quot;0016699D&quot;/&gt;&lt;wsp:rsid wsp:val=&quot;001676C9&quot;/&gt;&lt;wsp:rsid wsp:val=&quot;00174563&quot;/&gt;&lt;wsp:rsid wsp:val=&quot;00175159&quot;/&gt;&lt;wsp:rsid wsp:val=&quot;00176208&quot;/&gt;&lt;wsp:rsid wsp:val=&quot;0018211B&quot;/&gt;&lt;wsp:rsid wsp:val=&quot;00183884&quot;/&gt;&lt;wsp:rsid wsp:val=&quot;001840D3&quot;/&gt;&lt;wsp:rsid wsp:val=&quot;001900F8&quot;/&gt;&lt;wsp:rsid wsp:val=&quot;00191258&quot;/&gt;&lt;wsp:rsid wsp:val=&quot;00191268&quot;/&gt;&lt;wsp:rsid wsp:val=&quot;00192680&quot;/&gt;&lt;wsp:rsid wsp:val=&quot;001926A1&quot;/&gt;&lt;wsp:rsid wsp:val=&quot;00193037&quot;/&gt;&lt;wsp:rsid wsp:val=&quot;00193A2C&quot;/&gt;&lt;wsp:rsid wsp:val=&quot;001A288E&quot;/&gt;&lt;wsp:rsid wsp:val=&quot;001A4192&quot;/&gt;&lt;wsp:rsid wsp:val=&quot;001A64C8&quot;/&gt;&lt;wsp:rsid wsp:val=&quot;001A6E9E&quot;/&gt;&lt;wsp:rsid wsp:val=&quot;001B1355&quot;/&gt;&lt;wsp:rsid wsp:val=&quot;001B6DC2&quot;/&gt;&lt;wsp:rsid wsp:val=&quot;001C149C&quot;/&gt;&lt;wsp:rsid wsp:val=&quot;001C1B0E&quot;/&gt;&lt;wsp:rsid wsp:val=&quot;001C21AC&quot;/&gt;&lt;wsp:rsid wsp:val=&quot;001C47BA&quot;/&gt;&lt;wsp:rsid wsp:val=&quot;001C59EA&quot;/&gt;&lt;wsp:rsid wsp:val=&quot;001D406C&quot;/&gt;&lt;wsp:rsid wsp:val=&quot;001D41EE&quot;/&gt;&lt;wsp:rsid wsp:val=&quot;001D5AD1&quot;/&gt;&lt;wsp:rsid wsp:val=&quot;001E0380&quot;/&gt;&lt;wsp:rsid wsp:val=&quot;001E13B1&quot;/&gt;&lt;wsp:rsid wsp:val=&quot;001E37B1&quot;/&gt;&lt;wsp:rsid wsp:val=&quot;001E3E08&quot;/&gt;&lt;wsp:rsid wsp:val=&quot;001E62F1&quot;/&gt;&lt;wsp:rsid wsp:val=&quot;001F3A19&quot;/&gt;&lt;wsp:rsid wsp:val=&quot;00204999&quot;/&gt;&lt;wsp:rsid wsp:val=&quot;00206D17&quot;/&gt;&lt;wsp:rsid wsp:val=&quot;00234467&quot;/&gt;&lt;wsp:rsid wsp:val=&quot;00236563&quot;/&gt;&lt;wsp:rsid wsp:val=&quot;00237D8D&quot;/&gt;&lt;wsp:rsid wsp:val=&quot;0024164C&quot;/&gt;&lt;wsp:rsid wsp:val=&quot;00241DA2&quot;/&gt;&lt;wsp:rsid wsp:val=&quot;00245AC4&quot;/&gt;&lt;wsp:rsid wsp:val=&quot;0024669F&quot;/&gt;&lt;wsp:rsid wsp:val=&quot;00247FEE&quot;/&gt;&lt;wsp:rsid wsp:val=&quot;00250E7D&quot;/&gt;&lt;wsp:rsid wsp:val=&quot;00252BC8&quot;/&gt;&lt;wsp:rsid wsp:val=&quot;00253453&quot;/&gt;&lt;wsp:rsid wsp:val=&quot;002565D5&quot;/&gt;&lt;wsp:rsid wsp:val=&quot;0026016A&quot;/&gt;&lt;wsp:rsid wsp:val=&quot;002622C0&quot;/&gt;&lt;wsp:rsid wsp:val=&quot;0026410B&quot;/&gt;&lt;wsp:rsid wsp:val=&quot;00271141&quot;/&gt;&lt;wsp:rsid wsp:val=&quot;0027759F&quot;/&gt;&lt;wsp:rsid wsp:val=&quot;002778AE&quot;/&gt;&lt;wsp:rsid wsp:val=&quot;0028098B&quot;/&gt;&lt;wsp:rsid wsp:val=&quot;00280E4B&quot;/&gt;&lt;wsp:rsid wsp:val=&quot;0028269A&quot;/&gt;&lt;wsp:rsid wsp:val=&quot;00283590&quot;/&gt;&lt;wsp:rsid wsp:val=&quot;00286478&quot;/&gt;&lt;wsp:rsid wsp:val=&quot;002868D2&quot;/&gt;&lt;wsp:rsid wsp:val=&quot;00286973&quot;/&gt;&lt;wsp:rsid wsp:val=&quot;00290075&quot;/&gt;&lt;wsp:rsid wsp:val=&quot;00294E70&quot;/&gt;&lt;wsp:rsid wsp:val=&quot;00296269&quot;/&gt;&lt;wsp:rsid wsp:val=&quot;002A1924&quot;/&gt;&lt;wsp:rsid wsp:val=&quot;002A7420&quot;/&gt;&lt;wsp:rsid wsp:val=&quot;002B0F12&quot;/&gt;&lt;wsp:rsid wsp:val=&quot;002B1308&quot;/&gt;&lt;wsp:rsid wsp:val=&quot;002B2632&quot;/&gt;&lt;wsp:rsid wsp:val=&quot;002B3ECF&quot;/&gt;&lt;wsp:rsid wsp:val=&quot;002B4554&quot;/&gt;&lt;wsp:rsid wsp:val=&quot;002C1BF3&quot;/&gt;&lt;wsp:rsid wsp:val=&quot;002C72D8&quot;/&gt;&lt;wsp:rsid wsp:val=&quot;002D0E66&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301F39&quot;/&gt;&lt;wsp:rsid wsp:val=&quot;00305BFC&quot;/&gt;&lt;wsp:rsid wsp:val=&quot;00307272&quot;/&gt;&lt;wsp:rsid wsp:val=&quot;00317F54&quot;/&gt;&lt;wsp:rsid wsp:val=&quot;00320581&quot;/&gt;&lt;wsp:rsid wsp:val=&quot;00325926&quot;/&gt;&lt;wsp:rsid wsp:val=&quot;00325B6D&quot;/&gt;&lt;wsp:rsid wsp:val=&quot;003261E3&quot;/&gt;&lt;wsp:rsid wsp:val=&quot;00327A8A&quot;/&gt;&lt;wsp:rsid wsp:val=&quot;00331B2F&quot;/&gt;&lt;wsp:rsid wsp:val=&quot;0033608E&quot;/&gt;&lt;wsp:rsid wsp:val=&quot;00336610&quot;/&gt;&lt;wsp:rsid wsp:val=&quot;00343F73&quot;/&gt;&lt;wsp:rsid wsp:val=&quot;00345060&quot;/&gt;&lt;wsp:rsid wsp:val=&quot;003457C2&quot;/&gt;&lt;wsp:rsid wsp:val=&quot;003471BD&quot;/&gt;&lt;wsp:rsid wsp:val=&quot;00347452&quot;/&gt;&lt;wsp:rsid wsp:val=&quot;0035323B&quot;/&gt;&lt;wsp:rsid wsp:val=&quot;003578BA&quot;/&gt;&lt;wsp:rsid wsp:val=&quot;0036015A&quot;/&gt;&lt;wsp:rsid wsp:val=&quot;003609D2&quot;/&gt;&lt;wsp:rsid wsp:val=&quot;00363F22&quot;/&gt;&lt;wsp:rsid wsp:val=&quot;00364E5C&quot;/&gt;&lt;wsp:rsid wsp:val=&quot;0036506B&quot;/&gt;&lt;wsp:rsid wsp:val=&quot;00370C90&quot;/&gt;&lt;wsp:rsid wsp:val=&quot;00375564&quot;/&gt;&lt;wsp:rsid wsp:val=&quot;0038088A&quot;/&gt;&lt;wsp:rsid wsp:val=&quot;00383191&quot;/&gt;&lt;wsp:rsid wsp:val=&quot;00386624&quot;/&gt;&lt;wsp:rsid wsp:val=&quot;00386DED&quot;/&gt;&lt;wsp:rsid wsp:val=&quot;00387FC4&quot;/&gt;&lt;wsp:rsid wsp:val=&quot;003912E7&quot;/&gt;&lt;wsp:rsid wsp:val=&quot;00392A0C&quot;/&gt;&lt;wsp:rsid wsp:val=&quot;00393947&quot;/&gt;&lt;wsp:rsid wsp:val=&quot;003A2275&quot;/&gt;&lt;wsp:rsid wsp:val=&quot;003A6A4F&quot;/&gt;&lt;wsp:rsid wsp:val=&quot;003A7088&quot;/&gt;&lt;wsp:rsid wsp:val=&quot;003B00DF&quot;/&gt;&lt;wsp:rsid wsp:val=&quot;003B1275&quot;/&gt;&lt;wsp:rsid wsp:val=&quot;003B1778&quot;/&gt;&lt;wsp:rsid wsp:val=&quot;003B6F85&quot;/&gt;&lt;wsp:rsid wsp:val=&quot;003B7FE0&quot;/&gt;&lt;wsp:rsid wsp:val=&quot;003C11CB&quot;/&gt;&lt;wsp:rsid wsp:val=&quot;003C75F3&quot;/&gt;&lt;wsp:rsid wsp:val=&quot;003C78A3&quot;/&gt;&lt;wsp:rsid wsp:val=&quot;003D672F&quot;/&gt;&lt;wsp:rsid wsp:val=&quot;003E005B&quot;/&gt;&lt;wsp:rsid wsp:val=&quot;003E1867&quot;/&gt;&lt;wsp:rsid wsp:val=&quot;003E5729&quot;/&gt;&lt;wsp:rsid wsp:val=&quot;003E5A5C&quot;/&gt;&lt;wsp:rsid wsp:val=&quot;003F160B&quot;/&gt;&lt;wsp:rsid wsp:val=&quot;003F4EE0&quot;/&gt;&lt;wsp:rsid wsp:val=&quot;004011AB&quot;/&gt;&lt;wsp:rsid wsp:val=&quot;00402153&quot;/&gt;&lt;wsp:rsid wsp:val=&quot;00402FC1&quot;/&gt;&lt;wsp:rsid wsp:val=&quot;00404ADE&quot;/&gt;&lt;wsp:rsid wsp:val=&quot;00410A0C&quot;/&gt;&lt;wsp:rsid wsp:val=&quot;004208F2&quot;/&gt;&lt;wsp:rsid wsp:val=&quot;00421A26&quot;/&gt;&lt;wsp:rsid wsp:val=&quot;00425082&quot;/&gt;&lt;wsp:rsid wsp:val=&quot;00431BE8&quot;/&gt;&lt;wsp:rsid wsp:val=&quot;00431DEB&quot;/&gt;&lt;wsp:rsid wsp:val=&quot;00435823&quot;/&gt;&lt;wsp:rsid wsp:val=&quot;00442C64&quot;/&gt;&lt;wsp:rsid wsp:val=&quot;00446B29&quot;/&gt;&lt;wsp:rsid wsp:val=&quot;00453F9A&quot;/&gt;&lt;wsp:rsid wsp:val=&quot;00471E91&quot;/&gt;&lt;wsp:rsid wsp:val=&quot;00474675&quot;/&gt;&lt;wsp:rsid wsp:val=&quot;0047470C&quot;/&gt;&lt;wsp:rsid wsp:val=&quot;00481E99&quot;/&gt;&lt;wsp:rsid wsp:val=&quot;0048466A&quot;/&gt;&lt;wsp:rsid wsp:val=&quot;00484AC3&quot;/&gt;&lt;wsp:rsid wsp:val=&quot;00486BC0&quot;/&gt;&lt;wsp:rsid wsp:val=&quot;00494314&quot;/&gt;&lt;wsp:rsid wsp:val=&quot;00496379&quot;/&gt;&lt;wsp:rsid wsp:val=&quot;004A25B8&quot;/&gt;&lt;wsp:rsid wsp:val=&quot;004A35F9&quot;/&gt;&lt;wsp:rsid wsp:val=&quot;004A61F3&quot;/&gt;&lt;wsp:rsid wsp:val=&quot;004A6C87&quot;/&gt;&lt;wsp:rsid wsp:val=&quot;004B154F&quot;/&gt;&lt;wsp:rsid wsp:val=&quot;004B202F&quot;/&gt;&lt;wsp:rsid wsp:val=&quot;004B24C1&quot;/&gt;&lt;wsp:rsid wsp:val=&quot;004B410B&quot;/&gt;&lt;wsp:rsid wsp:val=&quot;004C292F&quot;/&gt;&lt;wsp:rsid wsp:val=&quot;004C57F8&quot;/&gt;&lt;wsp:rsid wsp:val=&quot;004D06B5&quot;/&gt;&lt;wsp:rsid wsp:val=&quot;004D5B5D&quot;/&gt;&lt;wsp:rsid wsp:val=&quot;004D6EBF&quot;/&gt;&lt;wsp:rsid wsp:val=&quot;004E2083&quot;/&gt;&lt;wsp:rsid wsp:val=&quot;004E287F&quot;/&gt;&lt;wsp:rsid wsp:val=&quot;004E5004&quot;/&gt;&lt;wsp:rsid wsp:val=&quot;004E5141&quot;/&gt;&lt;wsp:rsid wsp:val=&quot;004E7B20&quot;/&gt;&lt;wsp:rsid wsp:val=&quot;00501A8F&quot;/&gt;&lt;wsp:rsid wsp:val=&quot;0050709E&quot;/&gt;&lt;wsp:rsid wsp:val=&quot;00510280&quot;/&gt;&lt;wsp:rsid wsp:val=&quot;00513D73&quot;/&gt;&lt;wsp:rsid wsp:val=&quot;00514A43&quot;/&gt;&lt;wsp:rsid wsp:val=&quot;005174E5&quot;/&gt;&lt;wsp:rsid wsp:val=&quot;00522393&quot;/&gt;&lt;wsp:rsid wsp:val=&quot;00522620&quot;/&gt;&lt;wsp:rsid wsp:val=&quot;00522E8F&quot;/&gt;&lt;wsp:rsid wsp:val=&quot;0052302C&quot;/&gt;&lt;wsp:rsid wsp:val=&quot;00524376&quot;/&gt;&lt;wsp:rsid wsp:val=&quot;00525656&quot;/&gt;&lt;wsp:rsid wsp:val=&quot;0052625F&quot;/&gt;&lt;wsp:rsid wsp:val=&quot;00532FB0&quot;/&gt;&lt;wsp:rsid wsp:val=&quot;00534C02&quot;/&gt;&lt;wsp:rsid wsp:val=&quot;00541489&quot;/&gt;&lt;wsp:rsid wsp:val=&quot;0054264B&quot;/&gt;&lt;wsp:rsid wsp:val=&quot;00543786&quot;/&gt;&lt;wsp:rsid wsp:val=&quot;005460DC&quot;/&gt;&lt;wsp:rsid wsp:val=&quot;005533D7&quot;/&gt;&lt;wsp:rsid wsp:val=&quot;005703DE&quot;/&gt;&lt;wsp:rsid wsp:val=&quot;0058464E&quot;/&gt;&lt;wsp:rsid wsp:val=&quot;005921CF&quot;/&gt;&lt;wsp:rsid wsp:val=&quot;005A01CB&quot;/&gt;&lt;wsp:rsid wsp:val=&quot;005A58FF&quot;/&gt;&lt;wsp:rsid wsp:val=&quot;005A5EAF&quot;/&gt;&lt;wsp:rsid wsp:val=&quot;005A64C0&quot;/&gt;&lt;wsp:rsid wsp:val=&quot;005B0A39&quot;/&gt;&lt;wsp:rsid wsp:val=&quot;005B3C11&quot;/&gt;&lt;wsp:rsid wsp:val=&quot;005C1C28&quot;/&gt;&lt;wsp:rsid wsp:val=&quot;005C6DB5&quot;/&gt;&lt;wsp:rsid wsp:val=&quot;005D4D2B&quot;/&gt;&lt;wsp:rsid wsp:val=&quot;005E19E7&quot;/&gt;&lt;wsp:rsid wsp:val=&quot;005E2C4D&quot;/&gt;&lt;wsp:rsid wsp:val=&quot;005F48F2&quot;/&gt;&lt;wsp:rsid wsp:val=&quot;00604385&quot;/&gt;&lt;wsp:rsid wsp:val=&quot;00610DCF&quot;/&gt;&lt;wsp:rsid wsp:val=&quot;0061447A&quot;/&gt;&lt;wsp:rsid wsp:val=&quot;0061716C&quot;/&gt;&lt;wsp:rsid wsp:val=&quot;00623DF0&quot;/&gt;&lt;wsp:rsid wsp:val=&quot;006243A1&quot;/&gt;&lt;wsp:rsid wsp:val=&quot;006327D3&quot;/&gt;&lt;wsp:rsid wsp:val=&quot;00632E56&quot;/&gt;&lt;wsp:rsid wsp:val=&quot;006345FE&quot;/&gt;&lt;wsp:rsid wsp:val=&quot;006353A8&quot;/&gt;&lt;wsp:rsid wsp:val=&quot;00635CBA&quot;/&gt;&lt;wsp:rsid wsp:val=&quot;0063656A&quot;/&gt;&lt;wsp:rsid wsp:val=&quot;0064338B&quot;/&gt;&lt;wsp:rsid wsp:val=&quot;00645B06&quot;/&gt;&lt;wsp:rsid wsp:val=&quot;00646542&quot;/&gt;&lt;wsp:rsid wsp:val=&quot;006504F4&quot;/&gt;&lt;wsp:rsid wsp:val=&quot;006515B3&quot;/&gt;&lt;wsp:rsid wsp:val=&quot;00654BC9&quot;/&gt;&lt;wsp:rsid wsp:val=&quot;006552FD&quot;/&gt;&lt;wsp:rsid wsp:val=&quot;00657059&quot;/&gt;&lt;wsp:rsid wsp:val=&quot;00663AF3&quot;/&gt;&lt;wsp:rsid wsp:val=&quot;00664DD8&quot;/&gt;&lt;wsp:rsid wsp:val=&quot;00666B6C&quot;/&gt;&lt;wsp:rsid wsp:val=&quot;00667189&quot;/&gt;&lt;wsp:rsid wsp:val=&quot;0067609E&quot;/&gt;&lt;wsp:rsid wsp:val=&quot;00676627&quot;/&gt;&lt;wsp:rsid wsp:val=&quot;00681BA0&quot;/&gt;&lt;wsp:rsid wsp:val=&quot;00682682&quot;/&gt;&lt;wsp:rsid wsp:val=&quot;00682702&quot;/&gt;&lt;wsp:rsid wsp:val=&quot;00692368&quot;/&gt;&lt;wsp:rsid wsp:val=&quot;006941C1&quot;/&gt;&lt;wsp:rsid wsp:val=&quot;00694CF1&quot;/&gt;&lt;wsp:rsid wsp:val=&quot;006A00F2&quot;/&gt;&lt;wsp:rsid wsp:val=&quot;006A2EBC&quot;/&gt;&lt;wsp:rsid wsp:val=&quot;006A3AA1&quot;/&gt;&lt;wsp:rsid wsp:val=&quot;006A5EA0&quot;/&gt;&lt;wsp:rsid wsp:val=&quot;006A783B&quot;/&gt;&lt;wsp:rsid wsp:val=&quot;006A7B33&quot;/&gt;&lt;wsp:rsid wsp:val=&quot;006B41F3&quot;/&gt;&lt;wsp:rsid wsp:val=&quot;006B4E13&quot;/&gt;&lt;wsp:rsid wsp:val=&quot;006B75DD&quot;/&gt;&lt;wsp:rsid wsp:val=&quot;006B7CA2&quot;/&gt;&lt;wsp:rsid wsp:val=&quot;006C67E0&quot;/&gt;&lt;wsp:rsid wsp:val=&quot;006C7ABA&quot;/&gt;&lt;wsp:rsid wsp:val=&quot;006D0D60&quot;/&gt;&lt;wsp:rsid wsp:val=&quot;006D1122&quot;/&gt;&lt;wsp:rsid wsp:val=&quot;006D3C00&quot;/&gt;&lt;wsp:rsid wsp:val=&quot;006D7260&quot;/&gt;&lt;wsp:rsid wsp:val=&quot;006E3675&quot;/&gt;&lt;wsp:rsid wsp:val=&quot;006E4A7F&quot;/&gt;&lt;wsp:rsid wsp:val=&quot;006E5254&quot;/&gt;&lt;wsp:rsid wsp:val=&quot;006F0D88&quot;/&gt;&lt;wsp:rsid wsp:val=&quot;006F5381&quot;/&gt;&lt;wsp:rsid wsp:val=&quot;006F565E&quot;/&gt;&lt;wsp:rsid wsp:val=&quot;00704DF6&quot;/&gt;&lt;wsp:rsid wsp:val=&quot;0070651C&quot;/&gt;&lt;wsp:rsid wsp:val=&quot;007132A3&quot;/&gt;&lt;wsp:rsid wsp:val=&quot;00714204&quot;/&gt;&lt;wsp:rsid wsp:val=&quot;00716421&quot;/&gt;&lt;wsp:rsid wsp:val=&quot;00724EFB&quot;/&gt;&lt;wsp:rsid wsp:val=&quot;00737558&quot;/&gt;&lt;wsp:rsid wsp:val=&quot;0074177A&quot;/&gt;&lt;wsp:rsid wsp:val=&quot;007419C3&quot;/&gt;&lt;wsp:rsid wsp:val=&quot;00746508&quot;/&gt;&lt;wsp:rsid wsp:val=&quot;007467A7&quot;/&gt;&lt;wsp:rsid wsp:val=&quot;007469DD&quot;/&gt;&lt;wsp:rsid wsp:val=&quot;0074741B&quot;/&gt;&lt;wsp:rsid wsp:val=&quot;0074759E&quot;/&gt;&lt;wsp:rsid wsp:val=&quot;007478EA&quot;/&gt;&lt;wsp:rsid wsp:val=&quot;0075415C&quot;/&gt;&lt;wsp:rsid wsp:val=&quot;00757471&quot;/&gt;&lt;wsp:rsid wsp:val=&quot;00761930&quot;/&gt;&lt;wsp:rsid wsp:val=&quot;00763502&quot;/&gt;&lt;wsp:rsid wsp:val=&quot;0076399D&quot;/&gt;&lt;wsp:rsid wsp:val=&quot;007753F7&quot;/&gt;&lt;wsp:rsid wsp:val=&quot;00777106&quot;/&gt;&lt;wsp:rsid wsp:val=&quot;0078220E&quot;/&gt;&lt;wsp:rsid wsp:val=&quot;007863C3&quot;/&gt;&lt;wsp:rsid wsp:val=&quot;00786CD0&quot;/&gt;&lt;wsp:rsid wsp:val=&quot;00787A13&quot;/&gt;&lt;wsp:rsid wsp:val=&quot;0079077F&quot;/&gt;&lt;wsp:rsid wsp:val=&quot;007913AB&quot;/&gt;&lt;wsp:rsid wsp:val=&quot;007914F7&quot;/&gt;&lt;wsp:rsid wsp:val=&quot;007A62F1&quot;/&gt;&lt;wsp:rsid wsp:val=&quot;007A7A93&quot;/&gt;&lt;wsp:rsid wsp:val=&quot;007B016B&quot;/&gt;&lt;wsp:rsid wsp:val=&quot;007B1625&quot;/&gt;&lt;wsp:rsid wsp:val=&quot;007B403F&quot;/&gt;&lt;wsp:rsid wsp:val=&quot;007B706E&quot;/&gt;&lt;wsp:rsid wsp:val=&quot;007B71EB&quot;/&gt;&lt;wsp:rsid wsp:val=&quot;007C2123&quot;/&gt;&lt;wsp:rsid wsp:val=&quot;007C5590&quot;/&gt;&lt;wsp:rsid wsp:val=&quot;007C6205&quot;/&gt;&lt;wsp:rsid wsp:val=&quot;007C686A&quot;/&gt;&lt;wsp:rsid wsp:val=&quot;007C728E&quot;/&gt;&lt;wsp:rsid wsp:val=&quot;007D15F1&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E0B&quot;/&gt;&lt;wsp:rsid wsp:val=&quot;007F758D&quot;/&gt;&lt;wsp:rsid wsp:val=&quot;007F7D52&quot;/&gt;&lt;wsp:rsid wsp:val=&quot;00804ADB&quot;/&gt;&lt;wsp:rsid wsp:val=&quot;0080654C&quot;/&gt;&lt;wsp:rsid wsp:val=&quot;008071C6&quot;/&gt;&lt;wsp:rsid wsp:val=&quot;00810028&quot;/&gt;&lt;wsp:rsid wsp:val=&quot;00817A00&quot;/&gt;&lt;wsp:rsid wsp:val=&quot;00820F56&quot;/&gt;&lt;wsp:rsid wsp:val=&quot;00823015&quot;/&gt;&lt;wsp:rsid wsp:val=&quot;00827BFC&quot;/&gt;&lt;wsp:rsid wsp:val=&quot;00835DB3&quot;/&gt;&lt;wsp:rsid wsp:val=&quot;0083617B&quot;/&gt;&lt;wsp:rsid wsp:val=&quot;008371BD&quot;/&gt;&lt;wsp:rsid wsp:val=&quot;00846855&quot;/&gt;&lt;wsp:rsid wsp:val=&quot;008504A8&quot;/&gt;&lt;wsp:rsid wsp:val=&quot;0085282E&quot;/&gt;&lt;wsp:rsid wsp:val=&quot;008620B9&quot;/&gt;&lt;wsp:rsid wsp:val=&quot;0087198C&quot;/&gt;&lt;wsp:rsid wsp:val=&quot;00872C1F&quot;/&gt;&lt;wsp:rsid wsp:val=&quot;00872CEE&quot;/&gt;&lt;wsp:rsid wsp:val=&quot;00873B42&quot;/&gt;&lt;wsp:rsid wsp:val=&quot;00875157&quot;/&gt;&lt;wsp:rsid wsp:val=&quot;00875D81&quot;/&gt;&lt;wsp:rsid wsp:val=&quot;008856D8&quot;/&gt;&lt;wsp:rsid wsp:val=&quot;00892E82&quot;/&gt;&lt;wsp:rsid wsp:val=&quot;00897415&quot;/&gt;&lt;wsp:rsid wsp:val=&quot;008A7B26&quot;/&gt;&lt;wsp:rsid wsp:val=&quot;008B44C2&quot;/&gt;&lt;wsp:rsid wsp:val=&quot;008B6A2E&quot;/&gt;&lt;wsp:rsid wsp:val=&quot;008B7F3B&quot;/&gt;&lt;wsp:rsid wsp:val=&quot;008C1B58&quot;/&gt;&lt;wsp:rsid wsp:val=&quot;008C39AE&quot;/&gt;&lt;wsp:rsid wsp:val=&quot;008C590D&quot;/&gt;&lt;wsp:rsid wsp:val=&quot;008C6ADB&quot;/&gt;&lt;wsp:rsid wsp:val=&quot;008D0AC3&quot;/&gt;&lt;wsp:rsid wsp:val=&quot;008E031B&quot;/&gt;&lt;wsp:rsid wsp:val=&quot;008E7029&quot;/&gt;&lt;wsp:rsid wsp:val=&quot;008E7EF6&quot;/&gt;&lt;wsp:rsid wsp:val=&quot;008F0478&quot;/&gt;&lt;wsp:rsid wsp:val=&quot;008F138F&quot;/&gt;&lt;wsp:rsid wsp:val=&quot;008F1F98&quot;/&gt;&lt;wsp:rsid wsp:val=&quot;008F5D93&quot;/&gt;&lt;wsp:rsid wsp:val=&quot;008F6758&quot;/&gt;&lt;wsp:rsid wsp:val=&quot;00901F00&quot;/&gt;&lt;wsp:rsid wsp:val=&quot;00901FCE&quot;/&gt;&lt;wsp:rsid wsp:val=&quot;009040DD&quot;/&gt;&lt;wsp:rsid wsp:val=&quot;00905B47&quot;/&gt;&lt;wsp:rsid wsp:val=&quot;009103EF&quot;/&gt;&lt;wsp:rsid wsp:val=&quot;00910497&quot;/&gt;&lt;wsp:rsid wsp:val=&quot;00911E47&quot;/&gt;&lt;wsp:rsid wsp:val=&quot;0091331C&quot;/&gt;&lt;wsp:rsid wsp:val=&quot;00914002&quot;/&gt;&lt;wsp:rsid wsp:val=&quot;00915C53&quot;/&gt;&lt;wsp:rsid wsp:val=&quot;009174FD&quot;/&gt;&lt;wsp:rsid wsp:val=&quot;009201D6&quot;/&gt;&lt;wsp:rsid wsp:val=&quot;0092670E&quot;/&gt;&lt;wsp:rsid wsp:val=&quot;00926917&quot;/&gt;&lt;wsp:rsid wsp:val=&quot;009269C4&quot;/&gt;&lt;wsp:rsid wsp:val=&quot;009279DE&quot;/&gt;&lt;wsp:rsid wsp:val=&quot;00930116&quot;/&gt;&lt;wsp:rsid wsp:val=&quot;0094212C&quot;/&gt;&lt;wsp:rsid wsp:val=&quot;0094666E&quot;/&gt;&lt;wsp:rsid wsp:val=&quot;00954689&quot;/&gt;&lt;wsp:rsid wsp:val=&quot;009551D1&quot;/&gt;&lt;wsp:rsid wsp:val=&quot;00956966&quot;/&gt;&lt;wsp:rsid wsp:val=&quot;009617C9&quot;/&gt;&lt;wsp:rsid wsp:val=&quot;00961C93&quot;/&gt;&lt;wsp:rsid wsp:val=&quot;00965324&quot;/&gt;&lt;wsp:rsid wsp:val=&quot;00966740&quot;/&gt;&lt;wsp:rsid wsp:val=&quot;0097047A&quot;/&gt;&lt;wsp:rsid wsp:val=&quot;0097091E&quot;/&gt;&lt;wsp:rsid wsp:val=&quot;009760D3&quot;/&gt;&lt;wsp:rsid wsp:val=&quot;00977132&quot;/&gt;&lt;wsp:rsid wsp:val=&quot;009776B8&quot;/&gt;&lt;wsp:rsid wsp:val=&quot;0097776E&quot;/&gt;&lt;wsp:rsid wsp:val=&quot;00981A4B&quot;/&gt;&lt;wsp:rsid wsp:val=&quot;00982501&quot;/&gt;&lt;wsp:rsid wsp:val=&quot;0098642A&quot;/&gt;&lt;wsp:rsid wsp:val=&quot;009877D3&quot;/&gt;&lt;wsp:rsid wsp:val=&quot;00990E49&quot;/&gt;&lt;wsp:rsid wsp:val=&quot;00994E8F&quot;/&gt;&lt;wsp:rsid wsp:val=&quot;009951DC&quot;/&gt;&lt;wsp:rsid wsp:val=&quot;009959BB&quot;/&gt;&lt;wsp:rsid wsp:val=&quot;00997158&quot;/&gt;&lt;wsp:rsid wsp:val=&quot;009A1D0B&quot;/&gt;&lt;wsp:rsid wsp:val=&quot;009A3A7C&quot;/&gt;&lt;wsp:rsid wsp:val=&quot;009A7D1B&quot;/&gt;&lt;wsp:rsid wsp:val=&quot;009B090E&quot;/&gt;&lt;wsp:rsid wsp:val=&quot;009B2ADB&quot;/&gt;&lt;wsp:rsid wsp:val=&quot;009B460D&quot;/&gt;&lt;wsp:rsid wsp:val=&quot;009B5586&quot;/&gt;&lt;wsp:rsid wsp:val=&quot;009B603A&quot;/&gt;&lt;wsp:rsid wsp:val=&quot;009B7AE1&quot;/&gt;&lt;wsp:rsid wsp:val=&quot;009C0C53&quot;/&gt;&lt;wsp:rsid wsp:val=&quot;009C2D0E&quot;/&gt;&lt;wsp:rsid wsp:val=&quot;009C3DAC&quot;/&gt;&lt;wsp:rsid wsp:val=&quot;009C42E0&quot;/&gt;&lt;wsp:rsid wsp:val=&quot;009D2E9E&quot;/&gt;&lt;wsp:rsid wsp:val=&quot;009D4630&quot;/&gt;&lt;wsp:rsid wsp:val=&quot;009D5362&quot;/&gt;&lt;wsp:rsid wsp:val=&quot;009E1415&quot;/&gt;&lt;wsp:rsid wsp:val=&quot;009E5FCB&quot;/&gt;&lt;wsp:rsid wsp:val=&quot;009E6116&quot;/&gt;&lt;wsp:rsid wsp:val=&quot;009F2572&quot;/&gt;&lt;wsp:rsid wsp:val=&quot;00A02E43&quot;/&gt;&lt;wsp:rsid wsp:val=&quot;00A05B4A&quot;/&gt;&lt;wsp:rsid wsp:val=&quot;00A065F9&quot;/&gt;&lt;wsp:rsid wsp:val=&quot;00A07F34&quot;/&gt;&lt;wsp:rsid wsp:val=&quot;00A11020&quot;/&gt;&lt;wsp:rsid wsp:val=&quot;00A22154&quot;/&gt;&lt;wsp:rsid wsp:val=&quot;00A23159&quot;/&gt;&lt;wsp:rsid wsp:val=&quot;00A25C38&quot;/&gt;&lt;wsp:rsid wsp:val=&quot;00A27AAE&quot;/&gt;&lt;wsp:rsid wsp:val=&quot;00A35933&quot;/&gt;&lt;wsp:rsid wsp:val=&quot;00A36BBE&quot;/&gt;&lt;wsp:rsid wsp:val=&quot;00A40AC4&quot;/&gt;&lt;wsp:rsid wsp:val=&quot;00A4307A&quot;/&gt;&lt;wsp:rsid wsp:val=&quot;00A47178&quot;/&gt;&lt;wsp:rsid wsp:val=&quot;00A47EBB&quot;/&gt;&lt;wsp:rsid wsp:val=&quot;00A51CDD&quot;/&gt;&lt;wsp:rsid wsp:val=&quot;00A529C1&quot;/&gt;&lt;wsp:rsid wsp:val=&quot;00A55F08&quot;/&gt;&lt;wsp:rsid wsp:val=&quot;00A62DE4&quot;/&gt;&lt;wsp:rsid wsp:val=&quot;00A6730D&quot;/&gt;&lt;wsp:rsid wsp:val=&quot;00A71625&quot;/&gt;&lt;wsp:rsid wsp:val=&quot;00A71B9B&quot;/&gt;&lt;wsp:rsid wsp:val=&quot;00A738F3&quot;/&gt;&lt;wsp:rsid wsp:val=&quot;00A751C7&quot;/&gt;&lt;wsp:rsid wsp:val=&quot;00A758B9&quot;/&gt;&lt;wsp:rsid wsp:val=&quot;00A76AE7&quot;/&gt;&lt;wsp:rsid wsp:val=&quot;00A87844&quot;/&gt;&lt;wsp:rsid wsp:val=&quot;00A92996&quot;/&gt;&lt;wsp:rsid wsp:val=&quot;00A933B6&quot;/&gt;&lt;wsp:rsid wsp:val=&quot;00AA038C&quot;/&gt;&lt;wsp:rsid wsp:val=&quot;00AA3CA7&quot;/&gt;&lt;wsp:rsid wsp:val=&quot;00AA7A09&quot;/&gt;&lt;wsp:rsid wsp:val=&quot;00AA7ED9&quot;/&gt;&lt;wsp:rsid wsp:val=&quot;00AB3B50&quot;/&gt;&lt;wsp:rsid wsp:val=&quot;00AC05B1&quot;/&gt;&lt;wsp:rsid wsp:val=&quot;00AD233B&quot;/&gt;&lt;wsp:rsid wsp:val=&quot;00AD3565&quot;/&gt;&lt;wsp:rsid wsp:val=&quot;00AD356C&quot;/&gt;&lt;wsp:rsid wsp:val=&quot;00AE2914&quot;/&gt;&lt;wsp:rsid wsp:val=&quot;00AE6D15&quot;/&gt;&lt;wsp:rsid wsp:val=&quot;00B01DA8&quot;/&gt;&lt;wsp:rsid wsp:val=&quot;00B04182&quot;/&gt;&lt;wsp:rsid wsp:val=&quot;00B05833&quot;/&gt;&lt;wsp:rsid wsp:val=&quot;00B07AE3&quot;/&gt;&lt;wsp:rsid wsp:val=&quot;00B11430&quot;/&gt;&lt;wsp:rsid wsp:val=&quot;00B12535&quot;/&gt;&lt;wsp:rsid wsp:val=&quot;00B17243&quot;/&gt;&lt;wsp:rsid wsp:val=&quot;00B26154&quot;/&gt;&lt;wsp:rsid wsp:val=&quot;00B303D8&quot;/&gt;&lt;wsp:rsid wsp:val=&quot;00B34825&quot;/&gt;&lt;wsp:rsid wsp:val=&quot;00B353EB&quot;/&gt;&lt;wsp:rsid wsp:val=&quot;00B35833&quot;/&gt;&lt;wsp:rsid wsp:val=&quot;00B439C4&quot;/&gt;&lt;wsp:rsid wsp:val=&quot;00B4535E&quot;/&gt;&lt;wsp:rsid wsp:val=&quot;00B45414&quot;/&gt;&lt;wsp:rsid wsp:val=&quot;00B52A8C&quot;/&gt;&lt;wsp:rsid wsp:val=&quot;00B61FF2&quot;/&gt;&lt;wsp:rsid wsp:val=&quot;00B636A8&quot;/&gt;&lt;wsp:rsid wsp:val=&quot;00B65CE7&quot;/&gt;&lt;wsp:rsid wsp:val=&quot;00B665C6&quot;/&gt;&lt;wsp:rsid wsp:val=&quot;00B70D5D&quot;/&gt;&lt;wsp:rsid wsp:val=&quot;00B72576&quot;/&gt;&lt;wsp:rsid wsp:val=&quot;00B736F8&quot;/&gt;&lt;wsp:rsid wsp:val=&quot;00B80097&quot;/&gt;&lt;wsp:rsid wsp:val=&quot;00B805AF&quot;/&gt;&lt;wsp:rsid wsp:val=&quot;00B869EC&quot;/&gt;&lt;wsp:rsid wsp:val=&quot;00B9397A&quot;/&gt;&lt;wsp:rsid wsp:val=&quot;00B9633D&quot;/&gt;&lt;wsp:rsid wsp:val=&quot;00B965B9&quot;/&gt;&lt;wsp:rsid wsp:val=&quot;00BA2EBE&quot;/&gt;&lt;wsp:rsid wsp:val=&quot;00BB0F28&quot;/&gt;&lt;wsp:rsid wsp:val=&quot;00BB2A9F&quot;/&gt;&lt;wsp:rsid wsp:val=&quot;00BB458A&quot;/&gt;&lt;wsp:rsid wsp:val=&quot;00BB5A2B&quot;/&gt;&lt;wsp:rsid wsp:val=&quot;00BC2D46&quot;/&gt;&lt;wsp:rsid wsp:val=&quot;00BD00D3&quot;/&gt;&lt;wsp:rsid wsp:val=&quot;00BD01CB&quot;/&gt;&lt;wsp:rsid wsp:val=&quot;00BD0B97&quot;/&gt;&lt;wsp:rsid wsp:val=&quot;00BD1659&quot;/&gt;&lt;wsp:rsid wsp:val=&quot;00BD3AA9&quot;/&gt;&lt;wsp:rsid wsp:val=&quot;00BD414B&quot;/&gt;&lt;wsp:rsid wsp:val=&quot;00BD4A18&quot;/&gt;&lt;wsp:rsid wsp:val=&quot;00BD6DB2&quot;/&gt;&lt;wsp:rsid wsp:val=&quot;00BE11CF&quot;/&gt;&lt;wsp:rsid wsp:val=&quot;00BE1AAD&quot;/&gt;&lt;wsp:rsid wsp:val=&quot;00BE21AB&quot;/&gt;&lt;wsp:rsid wsp:val=&quot;00BE3AAC&quot;/&gt;&lt;wsp:rsid wsp:val=&quot;00BE55CB&quot;/&gt;&lt;wsp:rsid wsp:val=&quot;00BF617A&quot;/&gt;&lt;wsp:rsid wsp:val=&quot;00C0027C&quot;/&gt;&lt;wsp:rsid wsp:val=&quot;00C0379D&quot;/&gt;&lt;wsp:rsid wsp:val=&quot;00C03931&quot;/&gt;&lt;wsp:rsid wsp:val=&quot;00C042AB&quot;/&gt;&lt;wsp:rsid wsp:val=&quot;00C05FE3&quot;/&gt;&lt;wsp:rsid wsp:val=&quot;00C128C7&quot;/&gt;&lt;wsp:rsid wsp:val=&quot;00C2136D&quot;/&gt;&lt;wsp:rsid wsp:val=&quot;00C214EE&quot;/&gt;&lt;wsp:rsid wsp:val=&quot;00C2314B&quot;/&gt;&lt;wsp:rsid wsp:val=&quot;00C24971&quot;/&gt;&lt;wsp:rsid wsp:val=&quot;00C25322&quot;/&gt;&lt;wsp:rsid wsp:val=&quot;00C26BE5&quot;/&gt;&lt;wsp:rsid wsp:val=&quot;00C26E4D&quot;/&gt;&lt;wsp:rsid wsp:val=&quot;00C27909&quot;/&gt;&lt;wsp:rsid wsp:val=&quot;00C27B03&quot;/&gt;&lt;wsp:rsid wsp:val=&quot;00C314E1&quot;/&gt;&lt;wsp:rsid wsp:val=&quot;00C32C07&quot;/&gt;&lt;wsp:rsid wsp:val=&quot;00C3436C&quot;/&gt;&lt;wsp:rsid wsp:val=&quot;00C34397&quot;/&gt;&lt;wsp:rsid wsp:val=&quot;00C37B9B&quot;/&gt;&lt;wsp:rsid wsp:val=&quot;00C4095D&quot;/&gt;&lt;wsp:rsid wsp:val=&quot;00C46FFC&quot;/&gt;&lt;wsp:rsid wsp:val=&quot;00C57465&quot;/&gt;&lt;wsp:rsid wsp:val=&quot;00C601D2&quot;/&gt;&lt;wsp:rsid wsp:val=&quot;00C60EC8&quot;/&gt;&lt;wsp:rsid wsp:val=&quot;00C65BCC&quot;/&gt;&lt;wsp:rsid wsp:val=&quot;00C66970&quot;/&gt;&lt;wsp:rsid wsp:val=&quot;00C72D53&quot;/&gt;&lt;wsp:rsid wsp:val=&quot;00C7733E&quot;/&gt;&lt;wsp:rsid wsp:val=&quot;00C81E28&quot;/&gt;&lt;wsp:rsid wsp:val=&quot;00C85226&quot;/&gt;&lt;wsp:rsid wsp:val=&quot;00C8691C&quot;/&gt;&lt;wsp:rsid wsp:val=&quot;00C96026&quot;/&gt;&lt;wsp:rsid wsp:val=&quot;00CA168A&quot;/&gt;&lt;wsp:rsid wsp:val=&quot;00CA357E&quot;/&gt;&lt;wsp:rsid wsp:val=&quot;00CA44F9&quot;/&gt;&lt;wsp:rsid wsp:val=&quot;00CA4A69&quot;/&gt;&lt;wsp:rsid wsp:val=&quot;00CB0632&quot;/&gt;&lt;wsp:rsid wsp:val=&quot;00CB301C&quot;/&gt;&lt;wsp:rsid wsp:val=&quot;00CB577C&quot;/&gt;&lt;wsp:rsid wsp:val=&quot;00CC3E0C&quot;/&gt;&lt;wsp:rsid wsp:val=&quot;00CC579C&quot;/&gt;&lt;wsp:rsid wsp:val=&quot;00CC58D3&quot;/&gt;&lt;wsp:rsid wsp:val=&quot;00CC784D&quot;/&gt;&lt;wsp:rsid wsp:val=&quot;00CD73F2&quot;/&gt;&lt;wsp:rsid wsp:val=&quot;00CE53C6&quot;/&gt;&lt;wsp:rsid wsp:val=&quot;00CF1A0D&quot;/&gt;&lt;wsp:rsid wsp:val=&quot;00D00CA4&quot;/&gt;&lt;wsp:rsid wsp:val=&quot;00D03332&quot;/&gt;&lt;wsp:rsid wsp:val=&quot;00D0337B&quot;/&gt;&lt;wsp:rsid wsp:val=&quot;00D05F4E&quot;/&gt;&lt;wsp:rsid wsp:val=&quot;00D079B2&quot;/&gt;&lt;wsp:rsid wsp:val=&quot;00D114E9&quot;/&gt;&lt;wsp:rsid wsp:val=&quot;00D21EA5&quot;/&gt;&lt;wsp:rsid wsp:val=&quot;00D3154A&quot;/&gt;&lt;wsp:rsid wsp:val=&quot;00D33EEB&quot;/&gt;&lt;wsp:rsid wsp:val=&quot;00D34345&quot;/&gt;&lt;wsp:rsid wsp:val=&quot;00D429C6&quot;/&gt;&lt;wsp:rsid wsp:val=&quot;00D4568F&quot;/&gt;&lt;wsp:rsid wsp:val=&quot;00D46D64&quot;/&gt;&lt;wsp:rsid wsp:val=&quot;00D47748&quot;/&gt;&lt;wsp:rsid wsp:val=&quot;00D47F20&quot;/&gt;&lt;wsp:rsid wsp:val=&quot;00D509EA&quot;/&gt;&lt;wsp:rsid wsp:val=&quot;00D52C0C&quot;/&gt;&lt;wsp:rsid wsp:val=&quot;00D54CC3&quot;/&gt;&lt;wsp:rsid wsp:val=&quot;00D5505F&quot;/&gt;&lt;wsp:rsid wsp:val=&quot;00D6041A&quot;/&gt;&lt;wsp:rsid wsp:val=&quot;00D633EB&quot;/&gt;&lt;wsp:rsid wsp:val=&quot;00D82FF7&quot;/&gt;&lt;wsp:rsid wsp:val=&quot;00D832C2&quot;/&gt;&lt;wsp:rsid wsp:val=&quot;00D847FE&quot;/&gt;&lt;wsp:rsid wsp:val=&quot;00D860AB&quot;/&gt;&lt;wsp:rsid wsp:val=&quot;00D91397&quot;/&gt;&lt;wsp:rsid wsp:val=&quot;00D9562D&quot;/&gt;&lt;wsp:rsid wsp:val=&quot;00D964EA&quot;/&gt;&lt;wsp:rsid wsp:val=&quot;00D966D0&quot;/&gt;&lt;wsp:rsid wsp:val=&quot;00DA0C59&quot;/&gt;&lt;wsp:rsid wsp:val=&quot;00DA3991&quot;/&gt;&lt;wsp:rsid wsp:val=&quot;00DB037A&quot;/&gt;&lt;wsp:rsid wsp:val=&quot;00DB0AD4&quot;/&gt;&lt;wsp:rsid wsp:val=&quot;00DB605A&quot;/&gt;&lt;wsp:rsid wsp:val=&quot;00DB7E6C&quot;/&gt;&lt;wsp:rsid wsp:val=&quot;00DC07E1&quot;/&gt;&lt;wsp:rsid wsp:val=&quot;00DD32C9&quot;/&gt;&lt;wsp:rsid wsp:val=&quot;00DD4D7C&quot;/&gt;&lt;wsp:rsid wsp:val=&quot;00DD5A29&quot;/&gt;&lt;wsp:rsid wsp:val=&quot;00DD5D9D&quot;/&gt;&lt;wsp:rsid wsp:val=&quot;00DE0AF0&quot;/&gt;&lt;wsp:rsid wsp:val=&quot;00DE35CB&quot;/&gt;&lt;wsp:rsid wsp:val=&quot;00DF21E9&quot;/&gt;&lt;wsp:rsid wsp:val=&quot;00E00F14&quot;/&gt;&lt;wsp:rsid wsp:val=&quot;00E02458&quot;/&gt;&lt;wsp:rsid wsp:val=&quot;00E059AA&quot;/&gt;&lt;wsp:rsid wsp:val=&quot;00E06386&quot;/&gt;&lt;wsp:rsid wsp:val=&quot;00E2049D&quot;/&gt;&lt;wsp:rsid wsp:val=&quot;00E24EB4&quot;/&gt;&lt;wsp:rsid wsp:val=&quot;00E320ED&quot;/&gt;&lt;wsp:rsid wsp:val=&quot;00E33AFB&quot;/&gt;&lt;wsp:rsid wsp:val=&quot;00E34218&quot;/&gt;&lt;wsp:rsid wsp:val=&quot;00E34E8E&quot;/&gt;&lt;wsp:rsid wsp:val=&quot;00E4207B&quot;/&gt;&lt;wsp:rsid wsp:val=&quot;00E459CC&quot;/&gt;&lt;wsp:rsid wsp:val=&quot;00E46282&quot;/&gt;&lt;wsp:rsid wsp:val=&quot;00E5216E&quot;/&gt;&lt;wsp:rsid wsp:val=&quot;00E611DB&quot;/&gt;&lt;wsp:rsid wsp:val=&quot;00E70ABD&quot;/&gt;&lt;wsp:rsid wsp:val=&quot;00E8149A&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5CDA&quot;/&gt;&lt;wsp:rsid wsp:val=&quot;00EB786A&quot;/&gt;&lt;wsp:rsid wsp:val=&quot;00EB79E7&quot;/&gt;&lt;wsp:rsid wsp:val=&quot;00EC1578&quot;/&gt;&lt;wsp:rsid wsp:val=&quot;00EC1C72&quot;/&gt;&lt;wsp:rsid wsp:val=&quot;00EC3CC9&quot;/&gt;&lt;wsp:rsid wsp:val=&quot;00EC5316&quot;/&gt;&lt;wsp:rsid wsp:val=&quot;00EC5F93&quot;/&gt;&lt;wsp:rsid wsp:val=&quot;00EC680A&quot;/&gt;&lt;wsp:rsid wsp:val=&quot;00ED0DFA&quot;/&gt;&lt;wsp:rsid wsp:val=&quot;00ED35A4&quot;/&gt;&lt;wsp:rsid wsp:val=&quot;00ED3A2B&quot;/&gt;&lt;wsp:rsid wsp:val=&quot;00ED5078&quot;/&gt;&lt;wsp:rsid wsp:val=&quot;00ED699F&quot;/&gt;&lt;wsp:rsid wsp:val=&quot;00EE2BED&quot;/&gt;&lt;wsp:rsid wsp:val=&quot;00EE374B&quot;/&gt;&lt;wsp:rsid wsp:val=&quot;00EE46AE&quot;/&gt;&lt;wsp:rsid wsp:val=&quot;00EE6E2C&quot;/&gt;&lt;wsp:rsid wsp:val=&quot;00EF42A6&quot;/&gt;&lt;wsp:rsid wsp:val=&quot;00F11BB5&quot;/&gt;&lt;wsp:rsid wsp:val=&quot;00F1417B&quot;/&gt;&lt;wsp:rsid wsp:val=&quot;00F15363&quot;/&gt;&lt;wsp:rsid wsp:val=&quot;00F1689B&quot;/&gt;&lt;wsp:rsid wsp:val=&quot;00F169F2&quot;/&gt;&lt;wsp:rsid wsp:val=&quot;00F3371B&quot;/&gt;&lt;wsp:rsid wsp:val=&quot;00F34B99&quot;/&gt;&lt;wsp:rsid wsp:val=&quot;00F378D0&quot;/&gt;&lt;wsp:rsid wsp:val=&quot;00F4757E&quot;/&gt;&lt;wsp:rsid wsp:val=&quot;00F52DAB&quot;/&gt;&lt;wsp:rsid wsp:val=&quot;00F543F0&quot;/&gt;&lt;wsp:rsid wsp:val=&quot;00F66E04&quot;/&gt;&lt;wsp:rsid wsp:val=&quot;00F705DD&quot;/&gt;&lt;wsp:rsid wsp:val=&quot;00F8078F&quot;/&gt;&lt;wsp:rsid wsp:val=&quot;00F818A7&quot;/&gt;&lt;wsp:rsid wsp:val=&quot;00F81D29&quot;/&gt;&lt;wsp:rsid wsp:val=&quot;00F91C4D&quot;/&gt;&lt;wsp:rsid wsp:val=&quot;00F92FD9&quot;/&gt;&lt;wsp:rsid wsp:val=&quot;00FA1ACA&quot;/&gt;&lt;wsp:rsid wsp:val=&quot;00FA29C5&quot;/&gt;&lt;wsp:rsid wsp:val=&quot;00FA3EF5&quot;/&gt;&lt;wsp:rsid wsp:val=&quot;00FA6684&quot;/&gt;&lt;wsp:rsid wsp:val=&quot;00FA731E&quot;/&gt;&lt;wsp:rsid wsp:val=&quot;00FB2B38&quot;/&gt;&lt;wsp:rsid wsp:val=&quot;00FB5033&quot;/&gt;&lt;wsp:rsid wsp:val=&quot;00FB768C&quot;/&gt;&lt;wsp:rsid wsp:val=&quot;00FC6358&quot;/&gt;&lt;wsp:rsid wsp:val=&quot;00FD320D&quot;/&gt;&lt;wsp:rsid wsp:val=&quot;00FD3605&quot;/&gt;&lt;wsp:rsid wsp:val=&quot;00FE23DE&quot;/&gt;&lt;wsp:rsid wsp:val=&quot;00FF2A7A&quot;/&gt;&lt;wsp:rsid wsp:val=&quot;011430C0&quot;/&gt;&lt;wsp:rsid wsp:val=&quot;018C152A&quot;/&gt;&lt;wsp:rsid wsp:val=&quot;03CD109D&quot;/&gt;&lt;wsp:rsid wsp:val=&quot;04A87B8B&quot;/&gt;&lt;wsp:rsid wsp:val=&quot;05816019&quot;/&gt;&lt;wsp:rsid wsp:val=&quot;05F477B7&quot;/&gt;&lt;wsp:rsid wsp:val=&quot;071172F8&quot;/&gt;&lt;wsp:rsid wsp:val=&quot;072938BC&quot;/&gt;&lt;wsp:rsid wsp:val=&quot;075E75DE&quot;/&gt;&lt;wsp:rsid wsp:val=&quot;083A0335&quot;/&gt;&lt;wsp:rsid wsp:val=&quot;09763FE4&quot;/&gt;&lt;wsp:rsid wsp:val=&quot;0B4B550C&quot;/&gt;&lt;wsp:rsid wsp:val=&quot;0B61157E&quot;/&gt;&lt;wsp:rsid wsp:val=&quot;0BFA390D&quot;/&gt;&lt;wsp:rsid wsp:val=&quot;0CC25F19&quot;/&gt;&lt;wsp:rsid wsp:val=&quot;0CEF5D97&quot;/&gt;&lt;wsp:rsid wsp:val=&quot;0EAA193B&quot;/&gt;&lt;wsp:rsid wsp:val=&quot;0EE23A80&quot;/&gt;&lt;wsp:rsid wsp:val=&quot;0EEA7E53&quot;/&gt;&lt;wsp:rsid wsp:val=&quot;11242651&quot;/&gt;&lt;wsp:rsid wsp:val=&quot;11703FAF&quot;/&gt;&lt;wsp:rsid wsp:val=&quot;11B84DF3&quot;/&gt;&lt;wsp:rsid wsp:val=&quot;1295124C&quot;/&gt;&lt;wsp:rsid wsp:val=&quot;12BB6B70&quot;/&gt;&lt;wsp:rsid wsp:val=&quot;147F45E5&quot;/&gt;&lt;wsp:rsid wsp:val=&quot;154741BF&quot;/&gt;&lt;wsp:rsid wsp:val=&quot;168E180C&quot;/&gt;&lt;wsp:rsid wsp:val=&quot;17681DB3&quot;/&gt;&lt;wsp:rsid wsp:val=&quot;17BEDEC0&quot;/&gt;&lt;wsp:rsid wsp:val=&quot;17D13FA2&quot;/&gt;&lt;wsp:rsid wsp:val=&quot;17E75C97&quot;/&gt;&lt;wsp:rsid wsp:val=&quot;186B09CA&quot;/&gt;&lt;wsp:rsid wsp:val=&quot;18E330A5&quot;/&gt;&lt;wsp:rsid wsp:val=&quot;19421AF3&quot;/&gt;&lt;wsp:rsid wsp:val=&quot;19A43221&quot;/&gt;&lt;wsp:rsid wsp:val=&quot;19B915F8&quot;/&gt;&lt;wsp:rsid wsp:val=&quot;19C42BAA&quot;/&gt;&lt;wsp:rsid wsp:val=&quot;19D131D2&quot;/&gt;&lt;wsp:rsid wsp:val=&quot;19ED59E3&quot;/&gt;&lt;wsp:rsid wsp:val=&quot;1A5F56EF&quot;/&gt;&lt;wsp:rsid wsp:val=&quot;1B3A723A&quot;/&gt;&lt;wsp:rsid wsp:val=&quot;1B8452D7&quot;/&gt;&lt;wsp:rsid wsp:val=&quot;1DF60C24&quot;/&gt;&lt;wsp:rsid wsp:val=&quot;1E4237DD&quot;/&gt;&lt;wsp:rsid wsp:val=&quot;1E4606D5&quot;/&gt;&lt;wsp:rsid wsp:val=&quot;1E8F40C9&quot;/&gt;&lt;wsp:rsid wsp:val=&quot;1EAC6902&quot;/&gt;&lt;wsp:rsid wsp:val=&quot;1ED531AF&quot;/&gt;&lt;wsp:rsid wsp:val=&quot;1F2A1205&quot;/&gt;&lt;wsp:rsid wsp:val=&quot;1F7D701D&quot;/&gt;&lt;wsp:rsid wsp:val=&quot;1F885AEF&quot;/&gt;&lt;wsp:rsid wsp:val=&quot;1FBFA108&quot;/&gt;&lt;wsp:rsid wsp:val=&quot;1FE20F7B&quot;/&gt;&lt;wsp:rsid wsp:val=&quot;1FEFA73F&quot;/&gt;&lt;wsp:rsid wsp:val=&quot;1FF7E849&quot;/&gt;&lt;wsp:rsid wsp:val=&quot;1FFE5FEE&quot;/&gt;&lt;wsp:rsid wsp:val=&quot;205D442E&quot;/&gt;&lt;wsp:rsid wsp:val=&quot;20FC540D&quot;/&gt;&lt;wsp:rsid wsp:val=&quot;222B73B3&quot;/&gt;&lt;wsp:rsid wsp:val=&quot;22CC1448&quot;/&gt;&lt;wsp:rsid wsp:val=&quot;22EE0732&quot;/&gt;&lt;wsp:rsid wsp:val=&quot;24940192&quot;/&gt;&lt;wsp:rsid wsp:val=&quot;25284930&quot;/&gt;&lt;wsp:rsid wsp:val=&quot;25CA1676&quot;/&gt;&lt;wsp:rsid wsp:val=&quot;25F6309F&quot;/&gt;&lt;wsp:rsid wsp:val=&quot;26A036C6&quot;/&gt;&lt;wsp:rsid wsp:val=&quot;27D960A5&quot;/&gt;&lt;wsp:rsid wsp:val=&quot;298A3E0B&quot;/&gt;&lt;wsp:rsid wsp:val=&quot;2A574C09&quot;/&gt;&lt;wsp:rsid wsp:val=&quot;2AF21D84&quot;/&gt;&lt;wsp:rsid wsp:val=&quot;2B22130A&quot;/&gt;&lt;wsp:rsid wsp:val=&quot;2B5C7036&quot;/&gt;&lt;wsp:rsid wsp:val=&quot;2B7F675F&quot;/&gt;&lt;wsp:rsid wsp:val=&quot;2BB94533&quot;/&gt;&lt;wsp:rsid wsp:val=&quot;2D012636&quot;/&gt;&lt;wsp:rsid wsp:val=&quot;2D6B2D3A&quot;/&gt;&lt;wsp:rsid wsp:val=&quot;2D787AC9&quot;/&gt;&lt;wsp:rsid wsp:val=&quot;2DB905BE&quot;/&gt;&lt;wsp:rsid wsp:val=&quot;2EDE49DD&quot;/&gt;&lt;wsp:rsid wsp:val=&quot;2EE79A49&quot;/&gt;&lt;wsp:rsid wsp:val=&quot;2FFE6E15&quot;/&gt;&lt;wsp:rsid wsp:val=&quot;30977539&quot;/&gt;&lt;wsp:rsid wsp:val=&quot;316F0C5E&quot;/&gt;&lt;wsp:rsid wsp:val=&quot;327D5B5F&quot;/&gt;&lt;wsp:rsid wsp:val=&quot;329F1D49&quot;/&gt;&lt;wsp:rsid wsp:val=&quot;331B5584&quot;/&gt;&lt;wsp:rsid wsp:val=&quot;33DFF8F7&quot;/&gt;&lt;wsp:rsid wsp:val=&quot;353BF113&quot;/&gt;&lt;wsp:rsid wsp:val=&quot;353F1275&quot;/&gt;&lt;wsp:rsid wsp:val=&quot;35B244CD&quot;/&gt;&lt;wsp:rsid wsp:val=&quot;36F75BC2&quot;/&gt;&lt;wsp:rsid wsp:val=&quot;37434788&quot;/&gt;&lt;wsp:rsid wsp:val=&quot;378765C5&quot;/&gt;&lt;wsp:rsid wsp:val=&quot;37D74657&quot;/&gt;&lt;wsp:rsid wsp:val=&quot;37E4351D&quot;/&gt;&lt;wsp:rsid wsp:val=&quot;37F6D891&quot;/&gt;&lt;wsp:rsid wsp:val=&quot;37F7CA95&quot;/&gt;&lt;wsp:rsid wsp:val=&quot;38D12A54&quot;/&gt;&lt;wsp:rsid wsp:val=&quot;38F2046B&quot;/&gt;&lt;wsp:rsid wsp:val=&quot;392F17AB&quot;/&gt;&lt;wsp:rsid wsp:val=&quot;394E0B17&quot;/&gt;&lt;wsp:rsid wsp:val=&quot;395D3BC4&quot;/&gt;&lt;wsp:rsid wsp:val=&quot;39BF4E37&quot;/&gt;&lt;wsp:rsid wsp:val=&quot;3A7601BF&quot;/&gt;&lt;wsp:rsid wsp:val=&quot;3A9C6B2F&quot;/&gt;&lt;wsp:rsid wsp:val=&quot;3AB27D34&quot;/&gt;&lt;wsp:rsid wsp:val=&quot;3BB79C7A&quot;/&gt;&lt;wsp:rsid wsp:val=&quot;3BE7E76B&quot;/&gt;&lt;wsp:rsid wsp:val=&quot;3BFD138B&quot;/&gt;&lt;wsp:rsid wsp:val=&quot;3CA906B7&quot;/&gt;&lt;wsp:rsid wsp:val=&quot;3CCD471F&quot;/&gt;&lt;wsp:rsid wsp:val=&quot;3CF4B372&quot;/&gt;&lt;wsp:rsid wsp:val=&quot;3D768775&quot;/&gt;&lt;wsp:rsid wsp:val=&quot;3DC54FBA&quot;/&gt;&lt;wsp:rsid wsp:val=&quot;3E86513A&quot;/&gt;&lt;wsp:rsid wsp:val=&quot;3E9B0C30&quot;/&gt;&lt;wsp:rsid wsp:val=&quot;3EA370A9&quot;/&gt;&lt;wsp:rsid wsp:val=&quot;3EFD4D0F&quot;/&gt;&lt;wsp:rsid wsp:val=&quot;3EFD5C2F&quot;/&gt;&lt;wsp:rsid wsp:val=&quot;3F3B6ABC&quot;/&gt;&lt;wsp:rsid wsp:val=&quot;3F6BE8CE&quot;/&gt;&lt;wsp:rsid wsp:val=&quot;3F718E50&quot;/&gt;&lt;wsp:rsid wsp:val=&quot;3F76D50C&quot;/&gt;&lt;wsp:rsid wsp:val=&quot;3F7D0027&quot;/&gt;&lt;wsp:rsid wsp:val=&quot;3FD61A37&quot;/&gt;&lt;wsp:rsid wsp:val=&quot;3FDC6D60&quot;/&gt;&lt;wsp:rsid wsp:val=&quot;3FED59CF&quot;/&gt;&lt;wsp:rsid wsp:val=&quot;3FEE24E0&quot;/&gt;&lt;wsp:rsid wsp:val=&quot;3FEEE000&quot;/&gt;&lt;wsp:rsid wsp:val=&quot;3FFE01B9&quot;/&gt;&lt;wsp:rsid wsp:val=&quot;40652829&quot;/&gt;&lt;wsp:rsid wsp:val=&quot;411150BF&quot;/&gt;&lt;wsp:rsid wsp:val=&quot;41B16F4C&quot;/&gt;&lt;wsp:rsid wsp:val=&quot;430C6778&quot;/&gt;&lt;wsp:rsid wsp:val=&quot;4387757C&quot;/&gt;&lt;wsp:rsid wsp:val=&quot;43DF200D&quot;/&gt;&lt;wsp:rsid wsp:val=&quot;445F3A72&quot;/&gt;&lt;wsp:rsid wsp:val=&quot;44D44A10&quot;/&gt;&lt;wsp:rsid wsp:val=&quot;45050ABD&quot;/&gt;&lt;wsp:rsid wsp:val=&quot;464A138F&quot;/&gt;&lt;wsp:rsid wsp:val=&quot;46A662CB&quot;/&gt;&lt;wsp:rsid wsp:val=&quot;473FA501&quot;/&gt;&lt;wsp:rsid wsp:val=&quot;476B317A&quot;/&gt;&lt;wsp:rsid wsp:val=&quot;4A066551&quot;/&gt;&lt;wsp:rsid wsp:val=&quot;4A5A7640&quot;/&gt;&lt;wsp:rsid wsp:val=&quot;4A90661B&quot;/&gt;&lt;wsp:rsid wsp:val=&quot;4AA77D0E&quot;/&gt;&lt;wsp:rsid wsp:val=&quot;4ADC2772&quot;/&gt;&lt;wsp:rsid wsp:val=&quot;4B5F6B82&quot;/&gt;&lt;wsp:rsid wsp:val=&quot;4BBB9640&quot;/&gt;&lt;wsp:rsid wsp:val=&quot;4BF7716B&quot;/&gt;&lt;wsp:rsid wsp:val=&quot;4BFF492D&quot;/&gt;&lt;wsp:rsid wsp:val=&quot;4C2F3185&quot;/&gt;&lt;wsp:rsid wsp:val=&quot;4C362B0B&quot;/&gt;&lt;wsp:rsid wsp:val=&quot;4DB7491F&quot;/&gt;&lt;wsp:rsid wsp:val=&quot;4E685C19&quot;/&gt;&lt;wsp:rsid wsp:val=&quot;4E873D5D&quot;/&gt;&lt;wsp:rsid wsp:val=&quot;4EA07BA7&quot;/&gt;&lt;wsp:rsid wsp:val=&quot;4EB500DB&quot;/&gt;&lt;wsp:rsid wsp:val=&quot;4EFF931F&quot;/&gt;&lt;wsp:rsid wsp:val=&quot;4F77DEEF&quot;/&gt;&lt;wsp:rsid wsp:val=&quot;4FBA9BB8&quot;/&gt;&lt;wsp:rsid wsp:val=&quot;4FDCBBFA&quot;/&gt;&lt;wsp:rsid wsp:val=&quot;4FEBB8A8&quot;/&gt;&lt;wsp:rsid wsp:val=&quot;519E5272&quot;/&gt;&lt;wsp:rsid wsp:val=&quot;51C61425&quot;/&gt;&lt;wsp:rsid wsp:val=&quot;53E3376D&quot;/&gt;&lt;wsp:rsid wsp:val=&quot;53F61577&quot;/&gt;&lt;wsp:rsid wsp:val=&quot;540C7047&quot;/&gt;&lt;wsp:rsid wsp:val=&quot;5475496B&quot;/&gt;&lt;wsp:rsid wsp:val=&quot;54DF4431&quot;/&gt;&lt;wsp:rsid wsp:val=&quot;5516FC44&quot;/&gt;&lt;wsp:rsid wsp:val=&quot;55390EB8&quot;/&gt;&lt;wsp:rsid wsp:val=&quot;56116B96&quot;/&gt;&lt;wsp:rsid wsp:val=&quot;56777A5B&quot;/&gt;&lt;wsp:rsid wsp:val=&quot;56CC6F8C&quot;/&gt;&lt;wsp:rsid wsp:val=&quot;56DB28FA&quot;/&gt;&lt;wsp:rsid wsp:val=&quot;56F6006A&quot;/&gt;&lt;wsp:rsid wsp:val=&quot;570C6B15&quot;/&gt;&lt;wsp:rsid wsp:val=&quot;571302D9&quot;/&gt;&lt;wsp:rsid wsp:val=&quot;57C7BFD9&quot;/&gt;&lt;wsp:rsid wsp:val=&quot;57D7883B&quot;/&gt;&lt;wsp:rsid wsp:val=&quot;580924CF&quot;/&gt;&lt;wsp:rsid wsp:val=&quot;58BD21A3&quot;/&gt;&lt;wsp:rsid wsp:val=&quot;59FE05B0&quot;/&gt;&lt;wsp:rsid wsp:val=&quot;5A37BAA7&quot;/&gt;&lt;wsp:rsid wsp:val=&quot;5A3F0F94&quot;/&gt;&lt;wsp:rsid wsp:val=&quot;5B6927A3&quot;/&gt;&lt;wsp:rsid wsp:val=&quot;5B6E0B14&quot;/&gt;&lt;wsp:rsid wsp:val=&quot;5B9FEEFD&quot;/&gt;&lt;wsp:rsid wsp:val=&quot;5BA26922&quot;/&gt;&lt;wsp:rsid wsp:val=&quot;5BBF245D&quot;/&gt;&lt;wsp:rsid wsp:val=&quot;5C533830&quot;/&gt;&lt;wsp:rsid wsp:val=&quot;5C870281&quot;/&gt;&lt;wsp:rsid wsp:val=&quot;5CAB6A70&quot;/&gt;&lt;wsp:rsid wsp:val=&quot;5CCE1101&quot;/&gt;&lt;wsp:rsid wsp:val=&quot;5CCEE7A1&quot;/&gt;&lt;wsp:rsid wsp:val=&quot;5CEF4510&quot;/&gt;&lt;wsp:rsid wsp:val=&quot;5D2D4D36&quot;/&gt;&lt;wsp:rsid wsp:val=&quot;5D534E5C&quot;/&gt;&lt;wsp:rsid wsp:val=&quot;5E69593F&quot;/&gt;&lt;wsp:rsid wsp:val=&quot;5E732FCB&quot;/&gt;&lt;wsp:rsid wsp:val=&quot;5EB61B49&quot;/&gt;&lt;wsp:rsid wsp:val=&quot;5EDC2E85&quot;/&gt;&lt;wsp:rsid wsp:val=&quot;5EFFE5A3&quot;/&gt;&lt;wsp:rsid wsp:val=&quot;5F354FCC&quot;/&gt;&lt;wsp:rsid wsp:val=&quot;5F4EB3AD&quot;/&gt;&lt;wsp:rsid wsp:val=&quot;5F5812A1&quot;/&gt;&lt;wsp:rsid wsp:val=&quot;5F7F87AF&quot;/&gt;&lt;wsp:rsid wsp:val=&quot;5F8C681E&quot;/&gt;&lt;wsp:rsid wsp:val=&quot;5FB5560F&quot;/&gt;&lt;wsp:rsid wsp:val=&quot;5FBF8BF8&quot;/&gt;&lt;wsp:rsid wsp:val=&quot;5FBFCC85&quot;/&gt;&lt;wsp:rsid wsp:val=&quot;5FC53F03&quot;/&gt;&lt;wsp:rsid wsp:val=&quot;5FD783DC&quot;/&gt;&lt;wsp:rsid wsp:val=&quot;5FD7E5A2&quot;/&gt;&lt;wsp:rsid wsp:val=&quot;5FDB5C37&quot;/&gt;&lt;wsp:rsid wsp:val=&quot;5FE5747F&quot;/&gt;&lt;wsp:rsid wsp:val=&quot;5FED8CBF&quot;/&gt;&lt;wsp:rsid wsp:val=&quot;5FF775E2&quot;/&gt;&lt;wsp:rsid wsp:val=&quot;5FFAE202&quot;/&gt;&lt;wsp:rsid wsp:val=&quot;5FFF26CD&quot;/&gt;&lt;wsp:rsid wsp:val=&quot;5FFF2F30&quot;/&gt;&lt;wsp:rsid wsp:val=&quot;5FFF9FC9&quot;/&gt;&lt;wsp:rsid wsp:val=&quot;61A364CC&quot;/&gt;&lt;wsp:rsid wsp:val=&quot;61F25BC1&quot;/&gt;&lt;wsp:rsid wsp:val=&quot;62130DE2&quot;/&gt;&lt;wsp:rsid wsp:val=&quot;629633D0&quot;/&gt;&lt;wsp:rsid wsp:val=&quot;62D73B0C&quot;/&gt;&lt;wsp:rsid wsp:val=&quot;62E8530F&quot;/&gt;&lt;wsp:rsid wsp:val=&quot;62EA4535&quot;/&gt;&lt;wsp:rsid wsp:val=&quot;632D4257&quot;/&gt;&lt;wsp:rsid wsp:val=&quot;66A63D78&quot;/&gt;&lt;wsp:rsid wsp:val=&quot;66FA7027&quot;/&gt;&lt;wsp:rsid wsp:val=&quot;670536A6&quot;/&gt;&lt;wsp:rsid wsp:val=&quot;6759214B&quot;/&gt;&lt;wsp:rsid wsp:val=&quot;6769221B&quot;/&gt;&lt;wsp:rsid wsp:val=&quot;677F5E13&quot;/&gt;&lt;wsp:rsid wsp:val=&quot;677F954D&quot;/&gt;&lt;wsp:rsid wsp:val=&quot;67EEF77C&quot;/&gt;&lt;wsp:rsid wsp:val=&quot;67F7942A&quot;/&gt;&lt;wsp:rsid wsp:val=&quot;67FA7653&quot;/&gt;&lt;wsp:rsid wsp:val=&quot;68B27D65&quot;/&gt;&lt;wsp:rsid wsp:val=&quot;69124CA8&quot;/&gt;&lt;wsp:rsid wsp:val=&quot;69983A0D&quot;/&gt;&lt;wsp:rsid wsp:val=&quot;69E9AA42&quot;/&gt;&lt;wsp:rsid wsp:val=&quot;6A9D10D8&quot;/&gt;&lt;wsp:rsid wsp:val=&quot;6AEE5674&quot;/&gt;&lt;wsp:rsid wsp:val=&quot;6AF79A02&quot;/&gt;&lt;wsp:rsid wsp:val=&quot;6BAE9099&quot;/&gt;&lt;wsp:rsid wsp:val=&quot;6BAF543B&quot;/&gt;&lt;wsp:rsid wsp:val=&quot;6C465394&quot;/&gt;&lt;wsp:rsid wsp:val=&quot;6CD51C5E&quot;/&gt;&lt;wsp:rsid wsp:val=&quot;6D17189C&quot;/&gt;&lt;wsp:rsid wsp:val=&quot;6D6FB125&quot;/&gt;&lt;wsp:rsid wsp:val=&quot;6DB78655&quot;/&gt;&lt;wsp:rsid wsp:val=&quot;6E9315D8&quot;/&gt;&lt;wsp:rsid wsp:val=&quot;6F3FC2D2&quot;/&gt;&lt;wsp:rsid wsp:val=&quot;6F55DFE8&quot;/&gt;&lt;wsp:rsid wsp:val=&quot;6FAE5E2D&quot;/&gt;&lt;wsp:rsid wsp:val=&quot;6FDE2A8E&quot;/&gt;&lt;wsp:rsid wsp:val=&quot;6FEE2B7A&quot;/&gt;&lt;wsp:rsid wsp:val=&quot;6FFFCD7E&quot;/&gt;&lt;wsp:rsid wsp:val=&quot;712E57E3&quot;/&gt;&lt;wsp:rsid wsp:val=&quot;723E7657&quot;/&gt;&lt;wsp:rsid wsp:val=&quot;727D476A&quot;/&gt;&lt;wsp:rsid wsp:val=&quot;727F480A&quot;/&gt;&lt;wsp:rsid wsp:val=&quot;729F9021&quot;/&gt;&lt;wsp:rsid wsp:val=&quot;72A16565&quot;/&gt;&lt;wsp:rsid wsp:val=&quot;72DC25AE&quot;/&gt;&lt;wsp:rsid wsp:val=&quot;737D7C5A&quot;/&gt;&lt;wsp:rsid wsp:val=&quot;73896C46&quot;/&gt;&lt;wsp:rsid wsp:val=&quot;73BDF28E&quot;/&gt;&lt;wsp:rsid wsp:val=&quot;74401F7F&quot;/&gt;&lt;wsp:rsid wsp:val=&quot;744321B9&quot;/&gt;&lt;wsp:rsid wsp:val=&quot;751D7DBC&quot;/&gt;&lt;wsp:rsid wsp:val=&quot;752E4C17&quot;/&gt;&lt;wsp:rsid wsp:val=&quot;75324E28&quot;/&gt;&lt;wsp:rsid wsp:val=&quot;753F0677&quot;/&gt;&lt;wsp:rsid wsp:val=&quot;758515FA&quot;/&gt;&lt;wsp:rsid wsp:val=&quot;75B31E67&quot;/&gt;&lt;wsp:rsid wsp:val=&quot;75B7C825&quot;/&gt;&lt;wsp:rsid wsp:val=&quot;75BA2E02&quot;/&gt;&lt;wsp:rsid wsp:val=&quot;75BE4DDD&quot;/&gt;&lt;wsp:rsid wsp:val=&quot;75FD03F4&quot;/&gt;&lt;wsp:rsid wsp:val=&quot;75FED2C4&quot;/&gt;&lt;wsp:rsid wsp:val=&quot;7666841C&quot;/&gt;&lt;wsp:rsid wsp:val=&quot;76BBDFBA&quot;/&gt;&lt;wsp:rsid wsp:val=&quot;76BF9ECF&quot;/&gt;&lt;wsp:rsid wsp:val=&quot;76DF330F&quot;/&gt;&lt;wsp:rsid wsp:val=&quot;773F927D&quot;/&gt;&lt;wsp:rsid wsp:val=&quot;77676A20&quot;/&gt;&lt;wsp:rsid wsp:val=&quot;779D6084&quot;/&gt;&lt;wsp:rsid wsp:val=&quot;77AAA13B&quot;/&gt;&lt;wsp:rsid wsp:val=&quot;77ADA45B&quot;/&gt;&lt;wsp:rsid wsp:val=&quot;77BF23AA&quot;/&gt;&lt;wsp:rsid wsp:val=&quot;77BFA08F&quot;/&gt;&lt;wsp:rsid wsp:val=&quot;77CF6050&quot;/&gt;&lt;wsp:rsid wsp:val=&quot;77D61D22&quot;/&gt;&lt;wsp:rsid wsp:val=&quot;77DB7558&quot;/&gt;&lt;wsp:rsid wsp:val=&quot;77F963F5&quot;/&gt;&lt;wsp:rsid wsp:val=&quot;77F9A364&quot;/&gt;&lt;wsp:rsid wsp:val=&quot;787A42BD&quot;/&gt;&lt;wsp:rsid wsp:val=&quot;78992A40&quot;/&gt;&lt;wsp:rsid wsp:val=&quot;78F732C4&quot;/&gt;&lt;wsp:rsid wsp:val=&quot;79036043&quot;/&gt;&lt;wsp:rsid wsp:val=&quot;796FDD61&quot;/&gt;&lt;wsp:rsid wsp:val=&quot;7A480DB1&quot;/&gt;&lt;wsp:rsid wsp:val=&quot;7A6FC549&quot;/&gt;&lt;wsp:rsid wsp:val=&quot;7A7F8825&quot;/&gt;&lt;wsp:rsid wsp:val=&quot;7B0111B0&quot;/&gt;&lt;wsp:rsid wsp:val=&quot;7B37F8A2&quot;/&gt;&lt;wsp:rsid wsp:val=&quot;7B7B7AEF&quot;/&gt;&lt;wsp:rsid wsp:val=&quot;7BB987D3&quot;/&gt;&lt;wsp:rsid wsp:val=&quot;7BBE1752&quot;/&gt;&lt;wsp:rsid wsp:val=&quot;7BBF89A6&quot;/&gt;&lt;wsp:rsid wsp:val=&quot;7BBFC78A&quot;/&gt;&lt;wsp:rsid wsp:val=&quot;7BDF2EFE&quot;/&gt;&lt;wsp:rsid wsp:val=&quot;7BFF06C1&quot;/&gt;&lt;wsp:rsid wsp:val=&quot;7C330DCE&quot;/&gt;&lt;wsp:rsid wsp:val=&quot;7C6F688D&quot;/&gt;&lt;wsp:rsid wsp:val=&quot;7C8F0594&quot;/&gt;&lt;wsp:rsid wsp:val=&quot;7CF25910&quot;/&gt;&lt;wsp:rsid wsp:val=&quot;7D537911&quot;/&gt;&lt;wsp:rsid wsp:val=&quot;7DAF5283&quot;/&gt;&lt;wsp:rsid wsp:val=&quot;7DB6B7D3&quot;/&gt;&lt;wsp:rsid wsp:val=&quot;7DC7001B&quot;/&gt;&lt;wsp:rsid wsp:val=&quot;7DDF01C5&quot;/&gt;&lt;wsp:rsid wsp:val=&quot;7DF5935E&quot;/&gt;&lt;wsp:rsid wsp:val=&quot;7DF7D53C&quot;/&gt;&lt;wsp:rsid wsp:val=&quot;7DFD5678&quot;/&gt;&lt;wsp:rsid wsp:val=&quot;7DFF9227&quot;/&gt;&lt;wsp:rsid wsp:val=&quot;7E1370A0&quot;/&gt;&lt;wsp:rsid wsp:val=&quot;7E484F9C&quot;/&gt;&lt;wsp:rsid wsp:val=&quot;7E5C4C83&quot;/&gt;&lt;wsp:rsid wsp:val=&quot;7E8C5F4A&quot;/&gt;&lt;wsp:rsid wsp:val=&quot;7E923553&quot;/&gt;&lt;wsp:rsid wsp:val=&quot;7E93D165&quot;/&gt;&lt;wsp:rsid wsp:val=&quot;7EBBB6FB&quot;/&gt;&lt;wsp:rsid wsp:val=&quot;7EE715AE&quot;/&gt;&lt;wsp:rsid wsp:val=&quot;7EF03B20&quot;/&gt;&lt;wsp:rsid wsp:val=&quot;7EFDE231&quot;/&gt;&lt;wsp:rsid wsp:val=&quot;7EFF193F&quot;/&gt;&lt;wsp:rsid wsp:val=&quot;7F0DBD23&quot;/&gt;&lt;wsp:rsid wsp:val=&quot;7F1C8002&quot;/&gt;&lt;wsp:rsid wsp:val=&quot;7F3F1EA1&quot;/&gt;&lt;wsp:rsid wsp:val=&quot;7F571A5B&quot;/&gt;&lt;wsp:rsid wsp:val=&quot;7F777DDD&quot;/&gt;&lt;wsp:rsid wsp:val=&quot;7F778DBC&quot;/&gt;&lt;wsp:rsid wsp:val=&quot;7F8B2291&quot;/&gt;&lt;wsp:rsid wsp:val=&quot;7F923FF5&quot;/&gt;&lt;wsp:rsid wsp:val=&quot;7F9B4357&quot;/&gt;&lt;wsp:rsid wsp:val=&quot;7FAE2814&quot;/&gt;&lt;wsp:rsid wsp:val=&quot;7FBBE062&quot;/&gt;&lt;wsp:rsid wsp:val=&quot;7FBEB7EA&quot;/&gt;&lt;wsp:rsid wsp:val=&quot;7FBF7938&quot;/&gt;&lt;wsp:rsid wsp:val=&quot;7FC35E17&quot;/&gt;&lt;wsp:rsid wsp:val=&quot;7FC46E7B&quot;/&gt;&lt;wsp:rsid wsp:val=&quot;7FDD9770&quot;/&gt;&lt;wsp:rsid wsp:val=&quot;7FE0F8D8&quot;/&gt;&lt;wsp:rsid wsp:val=&quot;7FEBC062&quot;/&gt;&lt;wsp:rsid wsp:val=&quot;7FEFA09C&quot;/&gt;&lt;wsp:rsid wsp:val=&quot;7FF7DFD1&quot;/&gt;&lt;wsp:rsid wsp:val=&quot;7FF7E467&quot;/&gt;&lt;wsp:rsid wsp:val=&quot;7FF9BE37&quot;/&gt;&lt;wsp:rsid wsp:val=&quot;7FFA6CD2&quot;/&gt;&lt;wsp:rsid wsp:val=&quot;7FFB0A0B&quot;/&gt;&lt;wsp:rsid wsp:val=&quot;7FFD1491&quot;/&gt;&lt;wsp:rsid wsp:val=&quot;7FFE9832&quot;/&gt;&lt;wsp:rsid wsp:val=&quot;7FFF3792&quot;/&gt;&lt;wsp:rsid wsp:val=&quot;7FFF6E37&quot;/&gt;&lt;wsp:rsid wsp:val=&quot;7FFF9EA5&quot;/&gt;&lt;wsp:rsid wsp:val=&quot;8EC701F9&quot;/&gt;&lt;wsp:rsid wsp:val=&quot;9ADF39D4&quot;/&gt;&lt;wsp:rsid wsp:val=&quot;9BB60683&quot;/&gt;&lt;wsp:rsid wsp:val=&quot;9D3EBDF3&quot;/&gt;&lt;wsp:rsid wsp:val=&quot;9DD7F2D1&quot;/&gt;&lt;wsp:rsid wsp:val=&quot;9F6D8389&quot;/&gt;&lt;wsp:rsid wsp:val=&quot;A5DF8C53&quot;/&gt;&lt;wsp:rsid wsp:val=&quot;A8EE8CFE&quot;/&gt;&lt;wsp:rsid wsp:val=&quot;AB3F3160&quot;/&gt;&lt;wsp:rsid wsp:val=&quot;ABAB20F8&quot;/&gt;&lt;wsp:rsid wsp:val=&quot;ABAFFA38&quot;/&gt;&lt;wsp:rsid wsp:val=&quot;AEFFA6A9&quot;/&gt;&lt;wsp:rsid wsp:val=&quot;B3FFC2BF&quot;/&gt;&lt;wsp:rsid wsp:val=&quot;B43E04CF&quot;/&gt;&lt;wsp:rsid wsp:val=&quot;B5FBA294&quot;/&gt;&lt;wsp:rsid wsp:val=&quot;B5FC0050&quot;/&gt;&lt;wsp:rsid wsp:val=&quot;B7AFE55A&quot;/&gt;&lt;wsp:rsid wsp:val=&quot;B7E70AD6&quot;/&gt;&lt;wsp:rsid wsp:val=&quot;B7F9BA0C&quot;/&gt;&lt;wsp:rsid wsp:val=&quot;B844EB5B&quot;/&gt;&lt;wsp:rsid wsp:val=&quot;BA71753C&quot;/&gt;&lt;wsp:rsid wsp:val=&quot;BBBBB6E2&quot;/&gt;&lt;wsp:rsid wsp:val=&quot;BBCB363C&quot;/&gt;&lt;wsp:rsid wsp:val=&quot;BBFD6FC4&quot;/&gt;&lt;wsp:rsid wsp:val=&quot;BBFF136E&quot;/&gt;&lt;wsp:rsid wsp:val=&quot;BC7DC8A8&quot;/&gt;&lt;wsp:rsid wsp:val=&quot;BDFD99FD&quot;/&gt;&lt;wsp:rsid wsp:val=&quot;BDFF9351&quot;/&gt;&lt;wsp:rsid wsp:val=&quot;BEB5B626&quot;/&gt;&lt;wsp:rsid wsp:val=&quot;BEDFBDE7&quot;/&gt;&lt;wsp:rsid wsp:val=&quot;BEFE36A9&quot;/&gt;&lt;wsp:rsid wsp:val=&quot;BF366FB8&quot;/&gt;&lt;wsp:rsid wsp:val=&quot;BF37D914&quot;/&gt;&lt;wsp:rsid wsp:val=&quot;BFD93F38&quot;/&gt;&lt;wsp:rsid wsp:val=&quot;BFF17AEE&quot;/&gt;&lt;wsp:rsid wsp:val=&quot;BFFF0534&quot;/&gt;&lt;wsp:rsid wsp:val=&quot;BFFF27B0&quot;/&gt;&lt;wsp:rsid wsp:val=&quot;BFFF3280&quot;/&gt;&lt;wsp:rsid wsp:val=&quot;C1BFC450&quot;/&gt;&lt;wsp:rsid wsp:val=&quot;C73B43A4&quot;/&gt;&lt;wsp:rsid wsp:val=&quot;CCBD5D81&quot;/&gt;&lt;wsp:rsid wsp:val=&quot;CDB7D8B9&quot;/&gt;&lt;wsp:rsid wsp:val=&quot;CDBFFA34&quot;/&gt;&lt;wsp:rsid wsp:val=&quot;CDFB59D1&quot;/&gt;&lt;wsp:rsid wsp:val=&quot;CF9FE863&quot;/&gt;&lt;wsp:rsid wsp:val=&quot;D4F544E7&quot;/&gt;&lt;wsp:rsid wsp:val=&quot;D57FDD91&quot;/&gt;&lt;wsp:rsid wsp:val=&quot;D6FA8A8F&quot;/&gt;&lt;wsp:rsid wsp:val=&quot;D7BB5077&quot;/&gt;&lt;wsp:rsid wsp:val=&quot;D9FFAB7D&quot;/&gt;&lt;wsp:rsid wsp:val=&quot;DADEBCE5&quot;/&gt;&lt;wsp:rsid wsp:val=&quot;DB7DA3EC&quot;/&gt;&lt;wsp:rsid wsp:val=&quot;DBDC24B4&quot;/&gt;&lt;wsp:rsid wsp:val=&quot;DC7EDA14&quot;/&gt;&lt;wsp:rsid wsp:val=&quot;DDB5D592&quot;/&gt;&lt;wsp:rsid wsp:val=&quot;DDFD9847&quot;/&gt;&lt;wsp:rsid wsp:val=&quot;DE7F35E9&quot;/&gt;&lt;wsp:rsid wsp:val=&quot;DEDDE723&quot;/&gt;&lt;wsp:rsid wsp:val=&quot;DEF27A72&quot;/&gt;&lt;wsp:rsid wsp:val=&quot;DF75C3E8&quot;/&gt;&lt;wsp:rsid wsp:val=&quot;DF7B6304&quot;/&gt;&lt;wsp:rsid wsp:val=&quot;DF8DC08A&quot;/&gt;&lt;wsp:rsid wsp:val=&quot;DFBF382C&quot;/&gt;&lt;wsp:rsid wsp:val=&quot;DFFB1304&quot;/&gt;&lt;wsp:rsid wsp:val=&quot;DFFB7051&quot;/&gt;&lt;wsp:rsid wsp:val=&quot;DFFD3865&quot;/&gt;&lt;wsp:rsid wsp:val=&quot;DFFFE51F&quot;/&gt;&lt;wsp:rsid wsp:val=&quot;E33E4836&quot;/&gt;&lt;wsp:rsid wsp:val=&quot;E3FF71BE&quot;/&gt;&lt;wsp:rsid wsp:val=&quot;E7AE8F7A&quot;/&gt;&lt;wsp:rsid wsp:val=&quot;E7C3B6F4&quot;/&gt;&lt;wsp:rsid wsp:val=&quot;EB5E0D05&quot;/&gt;&lt;wsp:rsid wsp:val=&quot;EBD4BE48&quot;/&gt;&lt;wsp:rsid wsp:val=&quot;EBE70DF3&quot;/&gt;&lt;wsp:rsid wsp:val=&quot;EBF60A46&quot;/&gt;&lt;wsp:rsid wsp:val=&quot;EBF73CAA&quot;/&gt;&lt;wsp:rsid wsp:val=&quot;EBFF6737&quot;/&gt;&lt;wsp:rsid wsp:val=&quot;EBFF777A&quot;/&gt;&lt;wsp:rsid wsp:val=&quot;ED377B7B&quot;/&gt;&lt;wsp:rsid wsp:val=&quot;EDFDDE8C&quot;/&gt;&lt;wsp:rsid wsp:val=&quot;EEFF6487&quot;/&gt;&lt;wsp:rsid wsp:val=&quot;EF637166&quot;/&gt;&lt;wsp:rsid wsp:val=&quot;EF75ED13&quot;/&gt;&lt;wsp:rsid wsp:val=&quot;EFAFFEF5&quot;/&gt;&lt;wsp:rsid wsp:val=&quot;EFDC11E0&quot;/&gt;&lt;wsp:rsid wsp:val=&quot;EFECBDBC&quot;/&gt;&lt;wsp:rsid wsp:val=&quot;EFF736EB&quot;/&gt;&lt;wsp:rsid wsp:val=&quot;EFFB2693&quot;/&gt;&lt;wsp:rsid wsp:val=&quot;F39F54E5&quot;/&gt;&lt;wsp:rsid wsp:val=&quot;F3FF38E7&quot;/&gt;&lt;wsp:rsid wsp:val=&quot;F4A37EE4&quot;/&gt;&lt;wsp:rsid wsp:val=&quot;F5A7C8A5&quot;/&gt;&lt;wsp:rsid wsp:val=&quot;F5AB5158&quot;/&gt;&lt;wsp:rsid wsp:val=&quot;F6FBAE4F&quot;/&gt;&lt;wsp:rsid wsp:val=&quot;F7BF9CC5&quot;/&gt;&lt;wsp:rsid wsp:val=&quot;F7EFC410&quot;/&gt;&lt;wsp:rsid wsp:val=&quot;F8F671C6&quot;/&gt;&lt;wsp:rsid wsp:val=&quot;F95AE5D0&quot;/&gt;&lt;wsp:rsid wsp:val=&quot;FBBBF98E&quot;/&gt;&lt;wsp:rsid wsp:val=&quot;FBDC0FC3&quot;/&gt;&lt;wsp:rsid wsp:val=&quot;FBF7EA14&quot;/&gt;&lt;wsp:rsid wsp:val=&quot;FBFD177B&quot;/&gt;&lt;wsp:rsid wsp:val=&quot;FBFF0AA5&quot;/&gt;&lt;wsp:rsid wsp:val=&quot;FBFF15B3&quot;/&gt;&lt;wsp:rsid wsp:val=&quot;FCEB4C03&quot;/&gt;&lt;wsp:rsid wsp:val=&quot;FCFCEEA9&quot;/&gt;&lt;wsp:rsid wsp:val=&quot;FCFF80B8&quot;/&gt;&lt;wsp:rsid wsp:val=&quot;FD7B032A&quot;/&gt;&lt;wsp:rsid wsp:val=&quot;FD7DB8D2&quot;/&gt;&lt;wsp:rsid wsp:val=&quot;FDB35D97&quot;/&gt;&lt;wsp:rsid wsp:val=&quot;FDD65BCB&quot;/&gt;&lt;wsp:rsid wsp:val=&quot;FDEE0097&quot;/&gt;&lt;wsp:rsid wsp:val=&quot;FE3AE016&quot;/&gt;&lt;wsp:rsid wsp:val=&quot;FE3FD466&quot;/&gt;&lt;wsp:rsid wsp:val=&quot;FE9F6274&quot;/&gt;&lt;wsp:rsid wsp:val=&quot;FEDD1634&quot;/&gt;&lt;wsp:rsid wsp:val=&quot;FEFA1EB8&quot;/&gt;&lt;wsp:rsid wsp:val=&quot;FF1C1AB3&quot;/&gt;&lt;wsp:rsid wsp:val=&quot;FF2E3D85&quot;/&gt;&lt;wsp:rsid wsp:val=&quot;FF3FD125&quot;/&gt;&lt;wsp:rsid wsp:val=&quot;FF5F1445&quot;/&gt;&lt;wsp:rsid wsp:val=&quot;FF6C9B3A&quot;/&gt;&lt;wsp:rsid wsp:val=&quot;FF6FAE72&quot;/&gt;&lt;wsp:rsid wsp:val=&quot;FF7D18DE&quot;/&gt;&lt;wsp:rsid wsp:val=&quot;FF7F1A1F&quot;/&gt;&lt;wsp:rsid wsp:val=&quot;FF7F4874&quot;/&gt;&lt;wsp:rsid wsp:val=&quot;FF7FC562&quot;/&gt;&lt;wsp:rsid wsp:val=&quot;FF7FEAFE&quot;/&gt;&lt;wsp:rsid wsp:val=&quot;FF90B2D1&quot;/&gt;&lt;wsp:rsid wsp:val=&quot;FF9DBC46&quot;/&gt;&lt;wsp:rsid wsp:val=&quot;FFAEBEB2&quot;/&gt;&lt;wsp:rsid wsp:val=&quot;FFBDA77C&quot;/&gt;&lt;wsp:rsid wsp:val=&quot;FFBE1F58&quot;/&gt;&lt;wsp:rsid wsp:val=&quot;FFBF8FAA&quot;/&gt;&lt;wsp:rsid wsp:val=&quot;FFBF9C5A&quot;/&gt;&lt;wsp:rsid wsp:val=&quot;FFBFDEF1&quot;/&gt;&lt;wsp:rsid wsp:val=&quot;FFDD40DA&quot;/&gt;&lt;wsp:rsid wsp:val=&quot;FFE9547C&quot;/&gt;&lt;wsp:rsid wsp:val=&quot;FFF4C6AA&quot;/&gt;&lt;wsp:rsid wsp:val=&quot;FFF5566E&quot;/&gt;&lt;wsp:rsid wsp:val=&quot;FFF71B17&quot;/&gt;&lt;wsp:rsid wsp:val=&quot;FFF7534D&quot;/&gt;&lt;wsp:rsid wsp:val=&quot;FFF7A93B&quot;/&gt;&lt;wsp:rsid wsp:val=&quot;FFFBD57C&quot;/&gt;&lt;wsp:rsid wsp:val=&quot;FFFDBD57&quot;/&gt;&lt;wsp:rsid wsp:val=&quot;FFFE6206&quot;/&gt;&lt;wsp:rsid wsp:val=&quot;FFFF2656&quot;/&gt;&lt;wsp:rsid wsp:val=&quot;FFFFEE31&quot;/&gt;&lt;/wsp:rsids&gt;&lt;/w:docPr&gt;&lt;w:body&gt;&lt;wx:sect&gt;&lt;w:p wsp:rsidR=&quot;00206D17&quot; wsp:rsidRDefault=&quot;00206D17&quot; wsp:rsidP=&quot;00206D17&quot;&gt;&lt;m:oMathPara&gt;&lt;m:oMath&gt;&lt;m:r&gt;&lt;w:rPr&gt;&lt;w:rFonts w:ascii=&quot;Cambria Math&quot; w:fareast=&quot;等线&quot; w:h-ansi=&quot;Cambria Math&quot;/&gt;&lt;wx:font wx:val=&quot;Cambria Math&quot;/&gt;&lt;w:i/&gt;&lt;w:color w:val=&quot;1F1F1F&quot;/&gt;&lt;w:kern w:val=&quot;0&quot;/&gt;&lt;w:sz w:val=&quot;24&quot;/&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int="eastAsia" w:ascii="宋体" w:hAnsi="宋体" w:eastAsia="宋体" w:cs="宋体"/>
          <w:sz w:val="21"/>
          <w:szCs w:val="21"/>
        </w:rPr>
        <w:instrText xml:space="preserve">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end"/>
      </w:r>
      <w:r>
        <w:rPr>
          <w:rFonts w:hint="eastAsia" w:ascii="宋体" w:hAnsi="宋体" w:eastAsia="宋体" w:cs="宋体"/>
          <w:sz w:val="21"/>
          <w:szCs w:val="21"/>
        </w:rPr>
        <w:t xml:space="preserve"> ——绝对温度（K）；</w:t>
      </w:r>
    </w:p>
    <w:p w14:paraId="03FF6705">
      <w:pPr>
        <w:numPr>
          <w:ilvl w:val="0"/>
          <w:numId w:val="0"/>
        </w:numPr>
        <w:ind w:leftChars="200"/>
        <w:jc w:val="left"/>
        <w:rPr>
          <w:rFonts w:hint="eastAsia" w:ascii="宋体" w:hAnsi="宋体" w:eastAsia="宋体" w:cs="宋体"/>
          <w:sz w:val="21"/>
          <w:szCs w:val="21"/>
        </w:rPr>
      </w:pPr>
      <m:oMath>
        <m:r>
          <m:rPr/>
          <w:rPr>
            <w:rFonts w:hint="eastAsia" w:ascii="Cambria Math" w:hAnsi="Cambria Math" w:eastAsia="宋体" w:cs="宋体"/>
            <w:color w:val="1F1F1F"/>
            <w:kern w:val="0"/>
            <w:sz w:val="21"/>
            <w:szCs w:val="21"/>
          </w:rPr>
          <m:t>η</m:t>
        </m:r>
      </m:oMath>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QUOTE </w:instrText>
      </w:r>
      <w:r>
        <w:rPr>
          <w:rFonts w:hint="eastAsia" w:ascii="宋体" w:hAnsi="宋体" w:eastAsia="宋体" w:cs="宋体"/>
          <w:sz w:val="21"/>
          <w:szCs w:val="21"/>
        </w:rPr>
        <w:pict>
          <v:shape id="_x0000_i1028" o:spt="75" type="#_x0000_t75" style="height:15.75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mirrorMargin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ODdiNDM5ZjM0MmZlNTdhMWFiNmM1NjYzYmNlN2ZjYjEifQ==&quot;/&gt;&lt;/w:docVars&gt;&lt;wsp:rsids&gt;&lt;wsp:rsidRoot wsp:val=&quot;00035925&quot;/&gt;&lt;wsp:rsid wsp:val=&quot;00000244&quot;/&gt;&lt;wsp:rsid wsp:val=&quot;0000185F&quot;/&gt;&lt;wsp:rsid wsp:val=&quot;0000586F&quot;/&gt;&lt;wsp:rsid wsp:val=&quot;00013D86&quot;/&gt;&lt;wsp:rsid wsp:val=&quot;00013E02&quot;/&gt;&lt;wsp:rsid wsp:val=&quot;00016D29&quot;/&gt;&lt;wsp:rsid wsp:val=&quot;0002143C&quot;/&gt;&lt;wsp:rsid wsp:val=&quot;00024D73&quot;/&gt;&lt;wsp:rsid wsp:val=&quot;00025A65&quot;/&gt;&lt;wsp:rsid wsp:val=&quot;00026C31&quot;/&gt;&lt;wsp:rsid wsp:val=&quot;00027280&quot;/&gt;&lt;wsp:rsid wsp:val=&quot;00031663&quot;/&gt;&lt;wsp:rsid wsp:val=&quot;000320A7&quot;/&gt;&lt;wsp:rsid wsp:val=&quot;00033841&quot;/&gt;&lt;wsp:rsid wsp:val=&quot;0003559F&quot;/&gt;&lt;wsp:rsid wsp:val=&quot;000358B6&quot;/&gt;&lt;wsp:rsid wsp:val=&quot;00035925&quot;/&gt;&lt;wsp:rsid wsp:val=&quot;00040B5B&quot;/&gt;&lt;wsp:rsid wsp:val=&quot;000438F1&quot;/&gt;&lt;wsp:rsid wsp:val=&quot;0005035D&quot;/&gt;&lt;wsp:rsid wsp:val=&quot;00052C18&quot;/&gt;&lt;wsp:rsid wsp:val=&quot;00054692&quot;/&gt;&lt;wsp:rsid wsp:val=&quot;00056315&quot;/&gt;&lt;wsp:rsid wsp:val=&quot;00062B2F&quot;/&gt;&lt;wsp:rsid wsp:val=&quot;00067CDF&quot;/&gt;&lt;wsp:rsid wsp:val=&quot;00074FBE&quot;/&gt;&lt;wsp:rsid wsp:val=&quot;00083415&quot;/&gt;&lt;wsp:rsid wsp:val=&quot;00083A09&quot;/&gt;&lt;wsp:rsid wsp:val=&quot;000868F2&quot;/&gt;&lt;wsp:rsid wsp:val=&quot;0009005E&quot;/&gt;&lt;wsp:rsid wsp:val=&quot;00092857&quot;/&gt;&lt;wsp:rsid wsp:val=&quot;00096A0D&quot;/&gt;&lt;wsp:rsid wsp:val=&quot;000A20A9&quot;/&gt;&lt;wsp:rsid wsp:val=&quot;000A48B1&quot;/&gt;&lt;wsp:rsid wsp:val=&quot;000A67E5&quot;/&gt;&lt;wsp:rsid wsp:val=&quot;000B3143&quot;/&gt;&lt;wsp:rsid wsp:val=&quot;000B4B1C&quot;/&gt;&lt;wsp:rsid wsp:val=&quot;000C47A1&quot;/&gt;&lt;wsp:rsid wsp:val=&quot;000C4928&quot;/&gt;&lt;wsp:rsid wsp:val=&quot;000C651B&quot;/&gt;&lt;wsp:rsid wsp:val=&quot;000C6B05&quot;/&gt;&lt;wsp:rsid wsp:val=&quot;000C6DD6&quot;/&gt;&lt;wsp:rsid wsp:val=&quot;000C73D4&quot;/&gt;&lt;wsp:rsid wsp:val=&quot;000D3D4C&quot;/&gt;&lt;wsp:rsid wsp:val=&quot;000D4F51&quot;/&gt;&lt;wsp:rsid wsp:val=&quot;000D718B&quot;/&gt;&lt;wsp:rsid wsp:val=&quot;000E059A&quot;/&gt;&lt;wsp:rsid wsp:val=&quot;000E0B88&quot;/&gt;&lt;wsp:rsid wsp:val=&quot;000E0C46&quot;/&gt;&lt;wsp:rsid wsp:val=&quot;000E630F&quot;/&gt;&lt;wsp:rsid wsp:val=&quot;000F030C&quot;/&gt;&lt;wsp:rsid wsp:val=&quot;000F129C&quot;/&gt;&lt;wsp:rsid wsp:val=&quot;000F19AE&quot;/&gt;&lt;wsp:rsid wsp:val=&quot;000F3707&quot;/&gt;&lt;wsp:rsid wsp:val=&quot;001020F3&quot;/&gt;&lt;wsp:rsid wsp:val=&quot;001036BE&quot;/&gt;&lt;wsp:rsid wsp:val=&quot;001045EA&quot;/&gt;&lt;wsp:rsid wsp:val=&quot;001056DE&quot;/&gt;&lt;wsp:rsid wsp:val=&quot;00107050&quot;/&gt;&lt;wsp:rsid wsp:val=&quot;001124C0&quot;/&gt;&lt;wsp:rsid wsp:val=&quot;00124188&quot;/&gt;&lt;wsp:rsid wsp:val=&quot;0013175F&quot;/&gt;&lt;wsp:rsid wsp:val=&quot;00146E25&quot;/&gt;&lt;wsp:rsid wsp:val=&quot;001512B4&quot;/&gt;&lt;wsp:rsid wsp:val=&quot;00151CF1&quot;/&gt;&lt;wsp:rsid wsp:val=&quot;00152CB5&quot;/&gt;&lt;wsp:rsid wsp:val=&quot;001620A5&quot;/&gt;&lt;wsp:rsid wsp:val=&quot;00164E53&quot;/&gt;&lt;wsp:rsid wsp:val=&quot;00166910&quot;/&gt;&lt;wsp:rsid wsp:val=&quot;0016699D&quot;/&gt;&lt;wsp:rsid wsp:val=&quot;001676C9&quot;/&gt;&lt;wsp:rsid wsp:val=&quot;00174563&quot;/&gt;&lt;wsp:rsid wsp:val=&quot;00175159&quot;/&gt;&lt;wsp:rsid wsp:val=&quot;00176208&quot;/&gt;&lt;wsp:rsid wsp:val=&quot;0018211B&quot;/&gt;&lt;wsp:rsid wsp:val=&quot;00183884&quot;/&gt;&lt;wsp:rsid wsp:val=&quot;001840D3&quot;/&gt;&lt;wsp:rsid wsp:val=&quot;001900F8&quot;/&gt;&lt;wsp:rsid wsp:val=&quot;00191258&quot;/&gt;&lt;wsp:rsid wsp:val=&quot;00191268&quot;/&gt;&lt;wsp:rsid wsp:val=&quot;00192680&quot;/&gt;&lt;wsp:rsid wsp:val=&quot;001926A1&quot;/&gt;&lt;wsp:rsid wsp:val=&quot;00193037&quot;/&gt;&lt;wsp:rsid wsp:val=&quot;00193A2C&quot;/&gt;&lt;wsp:rsid wsp:val=&quot;001A288E&quot;/&gt;&lt;wsp:rsid wsp:val=&quot;001A4192&quot;/&gt;&lt;wsp:rsid wsp:val=&quot;001A64C8&quot;/&gt;&lt;wsp:rsid wsp:val=&quot;001A6E9E&quot;/&gt;&lt;wsp:rsid wsp:val=&quot;001B1355&quot;/&gt;&lt;wsp:rsid wsp:val=&quot;001B6DC2&quot;/&gt;&lt;wsp:rsid wsp:val=&quot;001C149C&quot;/&gt;&lt;wsp:rsid wsp:val=&quot;001C1B0E&quot;/&gt;&lt;wsp:rsid wsp:val=&quot;001C21AC&quot;/&gt;&lt;wsp:rsid wsp:val=&quot;001C47BA&quot;/&gt;&lt;wsp:rsid wsp:val=&quot;001C59EA&quot;/&gt;&lt;wsp:rsid wsp:val=&quot;001D406C&quot;/&gt;&lt;wsp:rsid wsp:val=&quot;001D41EE&quot;/&gt;&lt;wsp:rsid wsp:val=&quot;001D5AD1&quot;/&gt;&lt;wsp:rsid wsp:val=&quot;001E0380&quot;/&gt;&lt;wsp:rsid wsp:val=&quot;001E13B1&quot;/&gt;&lt;wsp:rsid wsp:val=&quot;001E37B1&quot;/&gt;&lt;wsp:rsid wsp:val=&quot;001E3E08&quot;/&gt;&lt;wsp:rsid wsp:val=&quot;001E62F1&quot;/&gt;&lt;wsp:rsid wsp:val=&quot;001F3A19&quot;/&gt;&lt;wsp:rsid wsp:val=&quot;00204999&quot;/&gt;&lt;wsp:rsid wsp:val=&quot;00234467&quot;/&gt;&lt;wsp:rsid wsp:val=&quot;00236563&quot;/&gt;&lt;wsp:rsid wsp:val=&quot;00237D8D&quot;/&gt;&lt;wsp:rsid wsp:val=&quot;0024164C&quot;/&gt;&lt;wsp:rsid wsp:val=&quot;00241DA2&quot;/&gt;&lt;wsp:rsid wsp:val=&quot;00245AC4&quot;/&gt;&lt;wsp:rsid wsp:val=&quot;0024669F&quot;/&gt;&lt;wsp:rsid wsp:val=&quot;00247FEE&quot;/&gt;&lt;wsp:rsid wsp:val=&quot;00250E7D&quot;/&gt;&lt;wsp:rsid wsp:val=&quot;00252BC8&quot;/&gt;&lt;wsp:rsid wsp:val=&quot;00253453&quot;/&gt;&lt;wsp:rsid wsp:val=&quot;002565D5&quot;/&gt;&lt;wsp:rsid wsp:val=&quot;0026016A&quot;/&gt;&lt;wsp:rsid wsp:val=&quot;002622C0&quot;/&gt;&lt;wsp:rsid wsp:val=&quot;0026410B&quot;/&gt;&lt;wsp:rsid wsp:val=&quot;00271141&quot;/&gt;&lt;wsp:rsid wsp:val=&quot;0027759F&quot;/&gt;&lt;wsp:rsid wsp:val=&quot;002778AE&quot;/&gt;&lt;wsp:rsid wsp:val=&quot;0028098B&quot;/&gt;&lt;wsp:rsid wsp:val=&quot;00280E4B&quot;/&gt;&lt;wsp:rsid wsp:val=&quot;0028269A&quot;/&gt;&lt;wsp:rsid wsp:val=&quot;00283590&quot;/&gt;&lt;wsp:rsid wsp:val=&quot;00286478&quot;/&gt;&lt;wsp:rsid wsp:val=&quot;002868D2&quot;/&gt;&lt;wsp:rsid wsp:val=&quot;00286973&quot;/&gt;&lt;wsp:rsid wsp:val=&quot;00290075&quot;/&gt;&lt;wsp:rsid wsp:val=&quot;00294E70&quot;/&gt;&lt;wsp:rsid wsp:val=&quot;00296269&quot;/&gt;&lt;wsp:rsid wsp:val=&quot;002A1924&quot;/&gt;&lt;wsp:rsid wsp:val=&quot;002A7420&quot;/&gt;&lt;wsp:rsid wsp:val=&quot;002B0F12&quot;/&gt;&lt;wsp:rsid wsp:val=&quot;002B1308&quot;/&gt;&lt;wsp:rsid wsp:val=&quot;002B2632&quot;/&gt;&lt;wsp:rsid wsp:val=&quot;002B3ECF&quot;/&gt;&lt;wsp:rsid wsp:val=&quot;002B4554&quot;/&gt;&lt;wsp:rsid wsp:val=&quot;002C1BF3&quot;/&gt;&lt;wsp:rsid wsp:val=&quot;002C72D8&quot;/&gt;&lt;wsp:rsid wsp:val=&quot;002D0E66&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301F39&quot;/&gt;&lt;wsp:rsid wsp:val=&quot;00305BFC&quot;/&gt;&lt;wsp:rsid wsp:val=&quot;00307272&quot;/&gt;&lt;wsp:rsid wsp:val=&quot;00317F54&quot;/&gt;&lt;wsp:rsid wsp:val=&quot;00320581&quot;/&gt;&lt;wsp:rsid wsp:val=&quot;00325926&quot;/&gt;&lt;wsp:rsid wsp:val=&quot;00325B6D&quot;/&gt;&lt;wsp:rsid wsp:val=&quot;003261E3&quot;/&gt;&lt;wsp:rsid wsp:val=&quot;00327A8A&quot;/&gt;&lt;wsp:rsid wsp:val=&quot;00331B2F&quot;/&gt;&lt;wsp:rsid wsp:val=&quot;0033608E&quot;/&gt;&lt;wsp:rsid wsp:val=&quot;00336610&quot;/&gt;&lt;wsp:rsid wsp:val=&quot;00343F73&quot;/&gt;&lt;wsp:rsid wsp:val=&quot;00345060&quot;/&gt;&lt;wsp:rsid wsp:val=&quot;003457C2&quot;/&gt;&lt;wsp:rsid wsp:val=&quot;003471BD&quot;/&gt;&lt;wsp:rsid wsp:val=&quot;00347452&quot;/&gt;&lt;wsp:rsid wsp:val=&quot;0035323B&quot;/&gt;&lt;wsp:rsid wsp:val=&quot;003578BA&quot;/&gt;&lt;wsp:rsid wsp:val=&quot;0036015A&quot;/&gt;&lt;wsp:rsid wsp:val=&quot;003609D2&quot;/&gt;&lt;wsp:rsid wsp:val=&quot;00363F22&quot;/&gt;&lt;wsp:rsid wsp:val=&quot;00364E5C&quot;/&gt;&lt;wsp:rsid wsp:val=&quot;0036506B&quot;/&gt;&lt;wsp:rsid wsp:val=&quot;00370C90&quot;/&gt;&lt;wsp:rsid wsp:val=&quot;00375564&quot;/&gt;&lt;wsp:rsid wsp:val=&quot;0038088A&quot;/&gt;&lt;wsp:rsid wsp:val=&quot;00383191&quot;/&gt;&lt;wsp:rsid wsp:val=&quot;00386624&quot;/&gt;&lt;wsp:rsid wsp:val=&quot;00386DED&quot;/&gt;&lt;wsp:rsid wsp:val=&quot;00387FC4&quot;/&gt;&lt;wsp:rsid wsp:val=&quot;003912E7&quot;/&gt;&lt;wsp:rsid wsp:val=&quot;00392A0C&quot;/&gt;&lt;wsp:rsid wsp:val=&quot;00393947&quot;/&gt;&lt;wsp:rsid wsp:val=&quot;003A0A43&quot;/&gt;&lt;wsp:rsid wsp:val=&quot;003A2275&quot;/&gt;&lt;wsp:rsid wsp:val=&quot;003A6A4F&quot;/&gt;&lt;wsp:rsid wsp:val=&quot;003A7088&quot;/&gt;&lt;wsp:rsid wsp:val=&quot;003B00DF&quot;/&gt;&lt;wsp:rsid wsp:val=&quot;003B1275&quot;/&gt;&lt;wsp:rsid wsp:val=&quot;003B1778&quot;/&gt;&lt;wsp:rsid wsp:val=&quot;003B6F85&quot;/&gt;&lt;wsp:rsid wsp:val=&quot;003B7FE0&quot;/&gt;&lt;wsp:rsid wsp:val=&quot;003C11CB&quot;/&gt;&lt;wsp:rsid wsp:val=&quot;003C75F3&quot;/&gt;&lt;wsp:rsid wsp:val=&quot;003C78A3&quot;/&gt;&lt;wsp:rsid wsp:val=&quot;003D672F&quot;/&gt;&lt;wsp:rsid wsp:val=&quot;003E005B&quot;/&gt;&lt;wsp:rsid wsp:val=&quot;003E1867&quot;/&gt;&lt;wsp:rsid wsp:val=&quot;003E5729&quot;/&gt;&lt;wsp:rsid wsp:val=&quot;003E5A5C&quot;/&gt;&lt;wsp:rsid wsp:val=&quot;003F160B&quot;/&gt;&lt;wsp:rsid wsp:val=&quot;003F4EE0&quot;/&gt;&lt;wsp:rsid wsp:val=&quot;004011AB&quot;/&gt;&lt;wsp:rsid wsp:val=&quot;00402153&quot;/&gt;&lt;wsp:rsid wsp:val=&quot;00402FC1&quot;/&gt;&lt;wsp:rsid wsp:val=&quot;00404ADE&quot;/&gt;&lt;wsp:rsid wsp:val=&quot;00410A0C&quot;/&gt;&lt;wsp:rsid wsp:val=&quot;004208F2&quot;/&gt;&lt;wsp:rsid wsp:val=&quot;00421A26&quot;/&gt;&lt;wsp:rsid wsp:val=&quot;00425082&quot;/&gt;&lt;wsp:rsid wsp:val=&quot;00431BE8&quot;/&gt;&lt;wsp:rsid wsp:val=&quot;00431DEB&quot;/&gt;&lt;wsp:rsid wsp:val=&quot;00435823&quot;/&gt;&lt;wsp:rsid wsp:val=&quot;00442C64&quot;/&gt;&lt;wsp:rsid wsp:val=&quot;00446B29&quot;/&gt;&lt;wsp:rsid wsp:val=&quot;00453F9A&quot;/&gt;&lt;wsp:rsid wsp:val=&quot;00471E91&quot;/&gt;&lt;wsp:rsid wsp:val=&quot;00474675&quot;/&gt;&lt;wsp:rsid wsp:val=&quot;0047470C&quot;/&gt;&lt;wsp:rsid wsp:val=&quot;00481E99&quot;/&gt;&lt;wsp:rsid wsp:val=&quot;0048466A&quot;/&gt;&lt;wsp:rsid wsp:val=&quot;00484AC3&quot;/&gt;&lt;wsp:rsid wsp:val=&quot;00486BC0&quot;/&gt;&lt;wsp:rsid wsp:val=&quot;00494314&quot;/&gt;&lt;wsp:rsid wsp:val=&quot;00496379&quot;/&gt;&lt;wsp:rsid wsp:val=&quot;004A25B8&quot;/&gt;&lt;wsp:rsid wsp:val=&quot;004A35F9&quot;/&gt;&lt;wsp:rsid wsp:val=&quot;004A61F3&quot;/&gt;&lt;wsp:rsid wsp:val=&quot;004A6C87&quot;/&gt;&lt;wsp:rsid wsp:val=&quot;004B154F&quot;/&gt;&lt;wsp:rsid wsp:val=&quot;004B202F&quot;/&gt;&lt;wsp:rsid wsp:val=&quot;004B24C1&quot;/&gt;&lt;wsp:rsid wsp:val=&quot;004B410B&quot;/&gt;&lt;wsp:rsid wsp:val=&quot;004C292F&quot;/&gt;&lt;wsp:rsid wsp:val=&quot;004C57F8&quot;/&gt;&lt;wsp:rsid wsp:val=&quot;004D06B5&quot;/&gt;&lt;wsp:rsid wsp:val=&quot;004D5B5D&quot;/&gt;&lt;wsp:rsid wsp:val=&quot;004D6EBF&quot;/&gt;&lt;wsp:rsid wsp:val=&quot;004E2083&quot;/&gt;&lt;wsp:rsid wsp:val=&quot;004E287F&quot;/&gt;&lt;wsp:rsid wsp:val=&quot;004E5004&quot;/&gt;&lt;wsp:rsid wsp:val=&quot;004E5141&quot;/&gt;&lt;wsp:rsid wsp:val=&quot;004E7B20&quot;/&gt;&lt;wsp:rsid wsp:val=&quot;00501A8F&quot;/&gt;&lt;wsp:rsid wsp:val=&quot;0050709E&quot;/&gt;&lt;wsp:rsid wsp:val=&quot;00510280&quot;/&gt;&lt;wsp:rsid wsp:val=&quot;00513D73&quot;/&gt;&lt;wsp:rsid wsp:val=&quot;00514A43&quot;/&gt;&lt;wsp:rsid wsp:val=&quot;005174E5&quot;/&gt;&lt;wsp:rsid wsp:val=&quot;00522393&quot;/&gt;&lt;wsp:rsid wsp:val=&quot;00522620&quot;/&gt;&lt;wsp:rsid wsp:val=&quot;00522E8F&quot;/&gt;&lt;wsp:rsid wsp:val=&quot;0052302C&quot;/&gt;&lt;wsp:rsid wsp:val=&quot;00524376&quot;/&gt;&lt;wsp:rsid wsp:val=&quot;00525656&quot;/&gt;&lt;wsp:rsid wsp:val=&quot;0052625F&quot;/&gt;&lt;wsp:rsid wsp:val=&quot;00532FB0&quot;/&gt;&lt;wsp:rsid wsp:val=&quot;00534C02&quot;/&gt;&lt;wsp:rsid wsp:val=&quot;00541489&quot;/&gt;&lt;wsp:rsid wsp:val=&quot;0054264B&quot;/&gt;&lt;wsp:rsid wsp:val=&quot;00543786&quot;/&gt;&lt;wsp:rsid wsp:val=&quot;005460DC&quot;/&gt;&lt;wsp:rsid wsp:val=&quot;005533D7&quot;/&gt;&lt;wsp:rsid wsp:val=&quot;005703DE&quot;/&gt;&lt;wsp:rsid wsp:val=&quot;0058464E&quot;/&gt;&lt;wsp:rsid wsp:val=&quot;005921CF&quot;/&gt;&lt;wsp:rsid wsp:val=&quot;005A01CB&quot;/&gt;&lt;wsp:rsid wsp:val=&quot;005A58FF&quot;/&gt;&lt;wsp:rsid wsp:val=&quot;005A5EAF&quot;/&gt;&lt;wsp:rsid wsp:val=&quot;005A64C0&quot;/&gt;&lt;wsp:rsid wsp:val=&quot;005B0A39&quot;/&gt;&lt;wsp:rsid wsp:val=&quot;005B3C11&quot;/&gt;&lt;wsp:rsid wsp:val=&quot;005C1C28&quot;/&gt;&lt;wsp:rsid wsp:val=&quot;005C6DB5&quot;/&gt;&lt;wsp:rsid wsp:val=&quot;005D4D2B&quot;/&gt;&lt;wsp:rsid wsp:val=&quot;005E19E7&quot;/&gt;&lt;wsp:rsid wsp:val=&quot;005E2C4D&quot;/&gt;&lt;wsp:rsid wsp:val=&quot;005F48F2&quot;/&gt;&lt;wsp:rsid wsp:val=&quot;00604385&quot;/&gt;&lt;wsp:rsid wsp:val=&quot;00610DCF&quot;/&gt;&lt;wsp:rsid wsp:val=&quot;0061447A&quot;/&gt;&lt;wsp:rsid wsp:val=&quot;0061716C&quot;/&gt;&lt;wsp:rsid wsp:val=&quot;00623DF0&quot;/&gt;&lt;wsp:rsid wsp:val=&quot;006243A1&quot;/&gt;&lt;wsp:rsid wsp:val=&quot;006327D3&quot;/&gt;&lt;wsp:rsid wsp:val=&quot;00632E56&quot;/&gt;&lt;wsp:rsid wsp:val=&quot;006345FE&quot;/&gt;&lt;wsp:rsid wsp:val=&quot;006353A8&quot;/&gt;&lt;wsp:rsid wsp:val=&quot;00635CBA&quot;/&gt;&lt;wsp:rsid wsp:val=&quot;0063656A&quot;/&gt;&lt;wsp:rsid wsp:val=&quot;0064338B&quot;/&gt;&lt;wsp:rsid wsp:val=&quot;00645B06&quot;/&gt;&lt;wsp:rsid wsp:val=&quot;00646542&quot;/&gt;&lt;wsp:rsid wsp:val=&quot;006504F4&quot;/&gt;&lt;wsp:rsid wsp:val=&quot;006515B3&quot;/&gt;&lt;wsp:rsid wsp:val=&quot;00654BC9&quot;/&gt;&lt;wsp:rsid wsp:val=&quot;006552FD&quot;/&gt;&lt;wsp:rsid wsp:val=&quot;00657059&quot;/&gt;&lt;wsp:rsid wsp:val=&quot;00663AF3&quot;/&gt;&lt;wsp:rsid wsp:val=&quot;00664DD8&quot;/&gt;&lt;wsp:rsid wsp:val=&quot;00666B6C&quot;/&gt;&lt;wsp:rsid wsp:val=&quot;00667189&quot;/&gt;&lt;wsp:rsid wsp:val=&quot;0067609E&quot;/&gt;&lt;wsp:rsid wsp:val=&quot;00676627&quot;/&gt;&lt;wsp:rsid wsp:val=&quot;00681BA0&quot;/&gt;&lt;wsp:rsid wsp:val=&quot;00682682&quot;/&gt;&lt;wsp:rsid wsp:val=&quot;00682702&quot;/&gt;&lt;wsp:rsid wsp:val=&quot;00692368&quot;/&gt;&lt;wsp:rsid wsp:val=&quot;006941C1&quot;/&gt;&lt;wsp:rsid wsp:val=&quot;00694CF1&quot;/&gt;&lt;wsp:rsid wsp:val=&quot;006A00F2&quot;/&gt;&lt;wsp:rsid wsp:val=&quot;006A2EBC&quot;/&gt;&lt;wsp:rsid wsp:val=&quot;006A3AA1&quot;/&gt;&lt;wsp:rsid wsp:val=&quot;006A5EA0&quot;/&gt;&lt;wsp:rsid wsp:val=&quot;006A783B&quot;/&gt;&lt;wsp:rsid wsp:val=&quot;006A7B33&quot;/&gt;&lt;wsp:rsid wsp:val=&quot;006B41F3&quot;/&gt;&lt;wsp:rsid wsp:val=&quot;006B4E13&quot;/&gt;&lt;wsp:rsid wsp:val=&quot;006B75DD&quot;/&gt;&lt;wsp:rsid wsp:val=&quot;006B7CA2&quot;/&gt;&lt;wsp:rsid wsp:val=&quot;006C67E0&quot;/&gt;&lt;wsp:rsid wsp:val=&quot;006C7ABA&quot;/&gt;&lt;wsp:rsid wsp:val=&quot;006D0D60&quot;/&gt;&lt;wsp:rsid wsp:val=&quot;006D1122&quot;/&gt;&lt;wsp:rsid wsp:val=&quot;006D3C00&quot;/&gt;&lt;wsp:rsid wsp:val=&quot;006D7260&quot;/&gt;&lt;wsp:rsid wsp:val=&quot;006E3675&quot;/&gt;&lt;wsp:rsid wsp:val=&quot;006E4A7F&quot;/&gt;&lt;wsp:rsid wsp:val=&quot;006E5254&quot;/&gt;&lt;wsp:rsid wsp:val=&quot;006F0D88&quot;/&gt;&lt;wsp:rsid wsp:val=&quot;006F5381&quot;/&gt;&lt;wsp:rsid wsp:val=&quot;006F565E&quot;/&gt;&lt;wsp:rsid wsp:val=&quot;00704DF6&quot;/&gt;&lt;wsp:rsid wsp:val=&quot;0070651C&quot;/&gt;&lt;wsp:rsid wsp:val=&quot;007132A3&quot;/&gt;&lt;wsp:rsid wsp:val=&quot;00714204&quot;/&gt;&lt;wsp:rsid wsp:val=&quot;00716421&quot;/&gt;&lt;wsp:rsid wsp:val=&quot;00724EFB&quot;/&gt;&lt;wsp:rsid wsp:val=&quot;00737558&quot;/&gt;&lt;wsp:rsid wsp:val=&quot;0074177A&quot;/&gt;&lt;wsp:rsid wsp:val=&quot;007419C3&quot;/&gt;&lt;wsp:rsid wsp:val=&quot;00746508&quot;/&gt;&lt;wsp:rsid wsp:val=&quot;007467A7&quot;/&gt;&lt;wsp:rsid wsp:val=&quot;007469DD&quot;/&gt;&lt;wsp:rsid wsp:val=&quot;0074741B&quot;/&gt;&lt;wsp:rsid wsp:val=&quot;0074759E&quot;/&gt;&lt;wsp:rsid wsp:val=&quot;007478EA&quot;/&gt;&lt;wsp:rsid wsp:val=&quot;0075415C&quot;/&gt;&lt;wsp:rsid wsp:val=&quot;00757471&quot;/&gt;&lt;wsp:rsid wsp:val=&quot;00761930&quot;/&gt;&lt;wsp:rsid wsp:val=&quot;00763502&quot;/&gt;&lt;wsp:rsid wsp:val=&quot;0076399D&quot;/&gt;&lt;wsp:rsid wsp:val=&quot;007753F7&quot;/&gt;&lt;wsp:rsid wsp:val=&quot;00777106&quot;/&gt;&lt;wsp:rsid wsp:val=&quot;0078220E&quot;/&gt;&lt;wsp:rsid wsp:val=&quot;007863C3&quot;/&gt;&lt;wsp:rsid wsp:val=&quot;00786CD0&quot;/&gt;&lt;wsp:rsid wsp:val=&quot;00787A13&quot;/&gt;&lt;wsp:rsid wsp:val=&quot;0079077F&quot;/&gt;&lt;wsp:rsid wsp:val=&quot;007913AB&quot;/&gt;&lt;wsp:rsid wsp:val=&quot;007914F7&quot;/&gt;&lt;wsp:rsid wsp:val=&quot;007A62F1&quot;/&gt;&lt;wsp:rsid wsp:val=&quot;007A7A93&quot;/&gt;&lt;wsp:rsid wsp:val=&quot;007B016B&quot;/&gt;&lt;wsp:rsid wsp:val=&quot;007B1625&quot;/&gt;&lt;wsp:rsid wsp:val=&quot;007B403F&quot;/&gt;&lt;wsp:rsid wsp:val=&quot;007B706E&quot;/&gt;&lt;wsp:rsid wsp:val=&quot;007B71EB&quot;/&gt;&lt;wsp:rsid wsp:val=&quot;007C2123&quot;/&gt;&lt;wsp:rsid wsp:val=&quot;007C5590&quot;/&gt;&lt;wsp:rsid wsp:val=&quot;007C6205&quot;/&gt;&lt;wsp:rsid wsp:val=&quot;007C686A&quot;/&gt;&lt;wsp:rsid wsp:val=&quot;007C728E&quot;/&gt;&lt;wsp:rsid wsp:val=&quot;007D15F1&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E0B&quot;/&gt;&lt;wsp:rsid wsp:val=&quot;007F758D&quot;/&gt;&lt;wsp:rsid wsp:val=&quot;007F7D52&quot;/&gt;&lt;wsp:rsid wsp:val=&quot;00804ADB&quot;/&gt;&lt;wsp:rsid wsp:val=&quot;0080654C&quot;/&gt;&lt;wsp:rsid wsp:val=&quot;008071C6&quot;/&gt;&lt;wsp:rsid wsp:val=&quot;00810028&quot;/&gt;&lt;wsp:rsid wsp:val=&quot;00817A00&quot;/&gt;&lt;wsp:rsid wsp:val=&quot;00820F56&quot;/&gt;&lt;wsp:rsid wsp:val=&quot;00823015&quot;/&gt;&lt;wsp:rsid wsp:val=&quot;00827BFC&quot;/&gt;&lt;wsp:rsid wsp:val=&quot;00835DB3&quot;/&gt;&lt;wsp:rsid wsp:val=&quot;0083617B&quot;/&gt;&lt;wsp:rsid wsp:val=&quot;008371BD&quot;/&gt;&lt;wsp:rsid wsp:val=&quot;00846855&quot;/&gt;&lt;wsp:rsid wsp:val=&quot;008504A8&quot;/&gt;&lt;wsp:rsid wsp:val=&quot;0085282E&quot;/&gt;&lt;wsp:rsid wsp:val=&quot;008620B9&quot;/&gt;&lt;wsp:rsid wsp:val=&quot;0087198C&quot;/&gt;&lt;wsp:rsid wsp:val=&quot;00872C1F&quot;/&gt;&lt;wsp:rsid wsp:val=&quot;00872CEE&quot;/&gt;&lt;wsp:rsid wsp:val=&quot;00873B42&quot;/&gt;&lt;wsp:rsid wsp:val=&quot;00875157&quot;/&gt;&lt;wsp:rsid wsp:val=&quot;00875D81&quot;/&gt;&lt;wsp:rsid wsp:val=&quot;008856D8&quot;/&gt;&lt;wsp:rsid wsp:val=&quot;00892E82&quot;/&gt;&lt;wsp:rsid wsp:val=&quot;00897415&quot;/&gt;&lt;wsp:rsid wsp:val=&quot;008A7B26&quot;/&gt;&lt;wsp:rsid wsp:val=&quot;008B44C2&quot;/&gt;&lt;wsp:rsid wsp:val=&quot;008B6A2E&quot;/&gt;&lt;wsp:rsid wsp:val=&quot;008B7F3B&quot;/&gt;&lt;wsp:rsid wsp:val=&quot;008C1B58&quot;/&gt;&lt;wsp:rsid wsp:val=&quot;008C39AE&quot;/&gt;&lt;wsp:rsid wsp:val=&quot;008C590D&quot;/&gt;&lt;wsp:rsid wsp:val=&quot;008C6ADB&quot;/&gt;&lt;wsp:rsid wsp:val=&quot;008D0AC3&quot;/&gt;&lt;wsp:rsid wsp:val=&quot;008E031B&quot;/&gt;&lt;wsp:rsid wsp:val=&quot;008E7029&quot;/&gt;&lt;wsp:rsid wsp:val=&quot;008E7EF6&quot;/&gt;&lt;wsp:rsid wsp:val=&quot;008F0478&quot;/&gt;&lt;wsp:rsid wsp:val=&quot;008F138F&quot;/&gt;&lt;wsp:rsid wsp:val=&quot;008F1F98&quot;/&gt;&lt;wsp:rsid wsp:val=&quot;008F5D93&quot;/&gt;&lt;wsp:rsid wsp:val=&quot;008F6758&quot;/&gt;&lt;wsp:rsid wsp:val=&quot;00901F00&quot;/&gt;&lt;wsp:rsid wsp:val=&quot;00901FCE&quot;/&gt;&lt;wsp:rsid wsp:val=&quot;009040DD&quot;/&gt;&lt;wsp:rsid wsp:val=&quot;00905B47&quot;/&gt;&lt;wsp:rsid wsp:val=&quot;009103EF&quot;/&gt;&lt;wsp:rsid wsp:val=&quot;00910497&quot;/&gt;&lt;wsp:rsid wsp:val=&quot;00911E47&quot;/&gt;&lt;wsp:rsid wsp:val=&quot;0091331C&quot;/&gt;&lt;wsp:rsid wsp:val=&quot;00914002&quot;/&gt;&lt;wsp:rsid wsp:val=&quot;00915C53&quot;/&gt;&lt;wsp:rsid wsp:val=&quot;009174FD&quot;/&gt;&lt;wsp:rsid wsp:val=&quot;009201D6&quot;/&gt;&lt;wsp:rsid wsp:val=&quot;0092670E&quot;/&gt;&lt;wsp:rsid wsp:val=&quot;00926917&quot;/&gt;&lt;wsp:rsid wsp:val=&quot;009269C4&quot;/&gt;&lt;wsp:rsid wsp:val=&quot;009279DE&quot;/&gt;&lt;wsp:rsid wsp:val=&quot;00930116&quot;/&gt;&lt;wsp:rsid wsp:val=&quot;0094212C&quot;/&gt;&lt;wsp:rsid wsp:val=&quot;0094666E&quot;/&gt;&lt;wsp:rsid wsp:val=&quot;00954689&quot;/&gt;&lt;wsp:rsid wsp:val=&quot;009551D1&quot;/&gt;&lt;wsp:rsid wsp:val=&quot;00956966&quot;/&gt;&lt;wsp:rsid wsp:val=&quot;009617C9&quot;/&gt;&lt;wsp:rsid wsp:val=&quot;00961C93&quot;/&gt;&lt;wsp:rsid wsp:val=&quot;00965324&quot;/&gt;&lt;wsp:rsid wsp:val=&quot;00966740&quot;/&gt;&lt;wsp:rsid wsp:val=&quot;0097047A&quot;/&gt;&lt;wsp:rsid wsp:val=&quot;0097091E&quot;/&gt;&lt;wsp:rsid wsp:val=&quot;009760D3&quot;/&gt;&lt;wsp:rsid wsp:val=&quot;00977132&quot;/&gt;&lt;wsp:rsid wsp:val=&quot;009776B8&quot;/&gt;&lt;wsp:rsid wsp:val=&quot;0097776E&quot;/&gt;&lt;wsp:rsid wsp:val=&quot;00981A4B&quot;/&gt;&lt;wsp:rsid wsp:val=&quot;00982501&quot;/&gt;&lt;wsp:rsid wsp:val=&quot;0098642A&quot;/&gt;&lt;wsp:rsid wsp:val=&quot;009877D3&quot;/&gt;&lt;wsp:rsid wsp:val=&quot;00990E49&quot;/&gt;&lt;wsp:rsid wsp:val=&quot;00994E8F&quot;/&gt;&lt;wsp:rsid wsp:val=&quot;009951DC&quot;/&gt;&lt;wsp:rsid wsp:val=&quot;009959BB&quot;/&gt;&lt;wsp:rsid wsp:val=&quot;00997158&quot;/&gt;&lt;wsp:rsid wsp:val=&quot;009A1D0B&quot;/&gt;&lt;wsp:rsid wsp:val=&quot;009A3A7C&quot;/&gt;&lt;wsp:rsid wsp:val=&quot;009A7D1B&quot;/&gt;&lt;wsp:rsid wsp:val=&quot;009B090E&quot;/&gt;&lt;wsp:rsid wsp:val=&quot;009B2ADB&quot;/&gt;&lt;wsp:rsid wsp:val=&quot;009B460D&quot;/&gt;&lt;wsp:rsid wsp:val=&quot;009B5586&quot;/&gt;&lt;wsp:rsid wsp:val=&quot;009B603A&quot;/&gt;&lt;wsp:rsid wsp:val=&quot;009B7AE1&quot;/&gt;&lt;wsp:rsid wsp:val=&quot;009C0C53&quot;/&gt;&lt;wsp:rsid wsp:val=&quot;009C2D0E&quot;/&gt;&lt;wsp:rsid wsp:val=&quot;009C3DAC&quot;/&gt;&lt;wsp:rsid wsp:val=&quot;009C42E0&quot;/&gt;&lt;wsp:rsid wsp:val=&quot;009D2E9E&quot;/&gt;&lt;wsp:rsid wsp:val=&quot;009D4630&quot;/&gt;&lt;wsp:rsid wsp:val=&quot;009D5362&quot;/&gt;&lt;wsp:rsid wsp:val=&quot;009E1415&quot;/&gt;&lt;wsp:rsid wsp:val=&quot;009E5FCB&quot;/&gt;&lt;wsp:rsid wsp:val=&quot;009E6116&quot;/&gt;&lt;wsp:rsid wsp:val=&quot;009F2572&quot;/&gt;&lt;wsp:rsid wsp:val=&quot;00A02E43&quot;/&gt;&lt;wsp:rsid wsp:val=&quot;00A05B4A&quot;/&gt;&lt;wsp:rsid wsp:val=&quot;00A065F9&quot;/&gt;&lt;wsp:rsid wsp:val=&quot;00A07F34&quot;/&gt;&lt;wsp:rsid wsp:val=&quot;00A11020&quot;/&gt;&lt;wsp:rsid wsp:val=&quot;00A22154&quot;/&gt;&lt;wsp:rsid wsp:val=&quot;00A23159&quot;/&gt;&lt;wsp:rsid wsp:val=&quot;00A25C38&quot;/&gt;&lt;wsp:rsid wsp:val=&quot;00A27AAE&quot;/&gt;&lt;wsp:rsid wsp:val=&quot;00A35933&quot;/&gt;&lt;wsp:rsid wsp:val=&quot;00A36BBE&quot;/&gt;&lt;wsp:rsid wsp:val=&quot;00A40AC4&quot;/&gt;&lt;wsp:rsid wsp:val=&quot;00A4307A&quot;/&gt;&lt;wsp:rsid wsp:val=&quot;00A47178&quot;/&gt;&lt;wsp:rsid wsp:val=&quot;00A47EBB&quot;/&gt;&lt;wsp:rsid wsp:val=&quot;00A51CDD&quot;/&gt;&lt;wsp:rsid wsp:val=&quot;00A529C1&quot;/&gt;&lt;wsp:rsid wsp:val=&quot;00A55F08&quot;/&gt;&lt;wsp:rsid wsp:val=&quot;00A62DE4&quot;/&gt;&lt;wsp:rsid wsp:val=&quot;00A6730D&quot;/&gt;&lt;wsp:rsid wsp:val=&quot;00A71625&quot;/&gt;&lt;wsp:rsid wsp:val=&quot;00A71B9B&quot;/&gt;&lt;wsp:rsid wsp:val=&quot;00A738F3&quot;/&gt;&lt;wsp:rsid wsp:val=&quot;00A751C7&quot;/&gt;&lt;wsp:rsid wsp:val=&quot;00A758B9&quot;/&gt;&lt;wsp:rsid wsp:val=&quot;00A76AE7&quot;/&gt;&lt;wsp:rsid wsp:val=&quot;00A87844&quot;/&gt;&lt;wsp:rsid wsp:val=&quot;00A92996&quot;/&gt;&lt;wsp:rsid wsp:val=&quot;00A933B6&quot;/&gt;&lt;wsp:rsid wsp:val=&quot;00AA038C&quot;/&gt;&lt;wsp:rsid wsp:val=&quot;00AA3CA7&quot;/&gt;&lt;wsp:rsid wsp:val=&quot;00AA7A09&quot;/&gt;&lt;wsp:rsid wsp:val=&quot;00AA7ED9&quot;/&gt;&lt;wsp:rsid wsp:val=&quot;00AB3B50&quot;/&gt;&lt;wsp:rsid wsp:val=&quot;00AC05B1&quot;/&gt;&lt;wsp:rsid wsp:val=&quot;00AD233B&quot;/&gt;&lt;wsp:rsid wsp:val=&quot;00AD3565&quot;/&gt;&lt;wsp:rsid wsp:val=&quot;00AD356C&quot;/&gt;&lt;wsp:rsid wsp:val=&quot;00AE2914&quot;/&gt;&lt;wsp:rsid wsp:val=&quot;00AE6D15&quot;/&gt;&lt;wsp:rsid wsp:val=&quot;00B01DA8&quot;/&gt;&lt;wsp:rsid wsp:val=&quot;00B04182&quot;/&gt;&lt;wsp:rsid wsp:val=&quot;00B05833&quot;/&gt;&lt;wsp:rsid wsp:val=&quot;00B07AE3&quot;/&gt;&lt;wsp:rsid wsp:val=&quot;00B11430&quot;/&gt;&lt;wsp:rsid wsp:val=&quot;00B12535&quot;/&gt;&lt;wsp:rsid wsp:val=&quot;00B17243&quot;/&gt;&lt;wsp:rsid wsp:val=&quot;00B26154&quot;/&gt;&lt;wsp:rsid wsp:val=&quot;00B303D8&quot;/&gt;&lt;wsp:rsid wsp:val=&quot;00B34825&quot;/&gt;&lt;wsp:rsid wsp:val=&quot;00B353EB&quot;/&gt;&lt;wsp:rsid wsp:val=&quot;00B35833&quot;/&gt;&lt;wsp:rsid wsp:val=&quot;00B439C4&quot;/&gt;&lt;wsp:rsid wsp:val=&quot;00B4535E&quot;/&gt;&lt;wsp:rsid wsp:val=&quot;00B45414&quot;/&gt;&lt;wsp:rsid wsp:val=&quot;00B52A8C&quot;/&gt;&lt;wsp:rsid wsp:val=&quot;00B61FF2&quot;/&gt;&lt;wsp:rsid wsp:val=&quot;00B636A8&quot;/&gt;&lt;wsp:rsid wsp:val=&quot;00B65CE7&quot;/&gt;&lt;wsp:rsid wsp:val=&quot;00B665C6&quot;/&gt;&lt;wsp:rsid wsp:val=&quot;00B70D5D&quot;/&gt;&lt;wsp:rsid wsp:val=&quot;00B72576&quot;/&gt;&lt;wsp:rsid wsp:val=&quot;00B736F8&quot;/&gt;&lt;wsp:rsid wsp:val=&quot;00B80097&quot;/&gt;&lt;wsp:rsid wsp:val=&quot;00B805AF&quot;/&gt;&lt;wsp:rsid wsp:val=&quot;00B869EC&quot;/&gt;&lt;wsp:rsid wsp:val=&quot;00B9397A&quot;/&gt;&lt;wsp:rsid wsp:val=&quot;00B9633D&quot;/&gt;&lt;wsp:rsid wsp:val=&quot;00B965B9&quot;/&gt;&lt;wsp:rsid wsp:val=&quot;00BA2EBE&quot;/&gt;&lt;wsp:rsid wsp:val=&quot;00BB0F28&quot;/&gt;&lt;wsp:rsid wsp:val=&quot;00BB2A9F&quot;/&gt;&lt;wsp:rsid wsp:val=&quot;00BB458A&quot;/&gt;&lt;wsp:rsid wsp:val=&quot;00BB5A2B&quot;/&gt;&lt;wsp:rsid wsp:val=&quot;00BC2D46&quot;/&gt;&lt;wsp:rsid wsp:val=&quot;00BD00D3&quot;/&gt;&lt;wsp:rsid wsp:val=&quot;00BD01CB&quot;/&gt;&lt;wsp:rsid wsp:val=&quot;00BD0B97&quot;/&gt;&lt;wsp:rsid wsp:val=&quot;00BD1659&quot;/&gt;&lt;wsp:rsid wsp:val=&quot;00BD3AA9&quot;/&gt;&lt;wsp:rsid wsp:val=&quot;00BD414B&quot;/&gt;&lt;wsp:rsid wsp:val=&quot;00BD4A18&quot;/&gt;&lt;wsp:rsid wsp:val=&quot;00BD6DB2&quot;/&gt;&lt;wsp:rsid wsp:val=&quot;00BE11CF&quot;/&gt;&lt;wsp:rsid wsp:val=&quot;00BE1AAD&quot;/&gt;&lt;wsp:rsid wsp:val=&quot;00BE21AB&quot;/&gt;&lt;wsp:rsid wsp:val=&quot;00BE3AAC&quot;/&gt;&lt;wsp:rsid wsp:val=&quot;00BE55CB&quot;/&gt;&lt;wsp:rsid wsp:val=&quot;00BF617A&quot;/&gt;&lt;wsp:rsid wsp:val=&quot;00C0027C&quot;/&gt;&lt;wsp:rsid wsp:val=&quot;00C0379D&quot;/&gt;&lt;wsp:rsid wsp:val=&quot;00C03931&quot;/&gt;&lt;wsp:rsid wsp:val=&quot;00C042AB&quot;/&gt;&lt;wsp:rsid wsp:val=&quot;00C05FE3&quot;/&gt;&lt;wsp:rsid wsp:val=&quot;00C128C7&quot;/&gt;&lt;wsp:rsid wsp:val=&quot;00C2136D&quot;/&gt;&lt;wsp:rsid wsp:val=&quot;00C214EE&quot;/&gt;&lt;wsp:rsid wsp:val=&quot;00C2314B&quot;/&gt;&lt;wsp:rsid wsp:val=&quot;00C24971&quot;/&gt;&lt;wsp:rsid wsp:val=&quot;00C25322&quot;/&gt;&lt;wsp:rsid wsp:val=&quot;00C26BE5&quot;/&gt;&lt;wsp:rsid wsp:val=&quot;00C26E4D&quot;/&gt;&lt;wsp:rsid wsp:val=&quot;00C27909&quot;/&gt;&lt;wsp:rsid wsp:val=&quot;00C27B03&quot;/&gt;&lt;wsp:rsid wsp:val=&quot;00C314E1&quot;/&gt;&lt;wsp:rsid wsp:val=&quot;00C32C07&quot;/&gt;&lt;wsp:rsid wsp:val=&quot;00C3436C&quot;/&gt;&lt;wsp:rsid wsp:val=&quot;00C34397&quot;/&gt;&lt;wsp:rsid wsp:val=&quot;00C37B9B&quot;/&gt;&lt;wsp:rsid wsp:val=&quot;00C4095D&quot;/&gt;&lt;wsp:rsid wsp:val=&quot;00C46FFC&quot;/&gt;&lt;wsp:rsid wsp:val=&quot;00C57465&quot;/&gt;&lt;wsp:rsid wsp:val=&quot;00C601D2&quot;/&gt;&lt;wsp:rsid wsp:val=&quot;00C60EC8&quot;/&gt;&lt;wsp:rsid wsp:val=&quot;00C65BCC&quot;/&gt;&lt;wsp:rsid wsp:val=&quot;00C66970&quot;/&gt;&lt;wsp:rsid wsp:val=&quot;00C72D53&quot;/&gt;&lt;wsp:rsid wsp:val=&quot;00C7733E&quot;/&gt;&lt;wsp:rsid wsp:val=&quot;00C81E28&quot;/&gt;&lt;wsp:rsid wsp:val=&quot;00C85226&quot;/&gt;&lt;wsp:rsid wsp:val=&quot;00C8691C&quot;/&gt;&lt;wsp:rsid wsp:val=&quot;00C96026&quot;/&gt;&lt;wsp:rsid wsp:val=&quot;00CA168A&quot;/&gt;&lt;wsp:rsid wsp:val=&quot;00CA357E&quot;/&gt;&lt;wsp:rsid wsp:val=&quot;00CA44F9&quot;/&gt;&lt;wsp:rsid wsp:val=&quot;00CA4A69&quot;/&gt;&lt;wsp:rsid wsp:val=&quot;00CB0632&quot;/&gt;&lt;wsp:rsid wsp:val=&quot;00CB301C&quot;/&gt;&lt;wsp:rsid wsp:val=&quot;00CB577C&quot;/&gt;&lt;wsp:rsid wsp:val=&quot;00CC3E0C&quot;/&gt;&lt;wsp:rsid wsp:val=&quot;00CC579C&quot;/&gt;&lt;wsp:rsid wsp:val=&quot;00CC58D3&quot;/&gt;&lt;wsp:rsid wsp:val=&quot;00CC784D&quot;/&gt;&lt;wsp:rsid wsp:val=&quot;00CD73F2&quot;/&gt;&lt;wsp:rsid wsp:val=&quot;00CE53C6&quot;/&gt;&lt;wsp:rsid wsp:val=&quot;00CF1A0D&quot;/&gt;&lt;wsp:rsid wsp:val=&quot;00D00CA4&quot;/&gt;&lt;wsp:rsid wsp:val=&quot;00D03332&quot;/&gt;&lt;wsp:rsid wsp:val=&quot;00D0337B&quot;/&gt;&lt;wsp:rsid wsp:val=&quot;00D05F4E&quot;/&gt;&lt;wsp:rsid wsp:val=&quot;00D079B2&quot;/&gt;&lt;wsp:rsid wsp:val=&quot;00D114E9&quot;/&gt;&lt;wsp:rsid wsp:val=&quot;00D21EA5&quot;/&gt;&lt;wsp:rsid wsp:val=&quot;00D3154A&quot;/&gt;&lt;wsp:rsid wsp:val=&quot;00D33EEB&quot;/&gt;&lt;wsp:rsid wsp:val=&quot;00D34345&quot;/&gt;&lt;wsp:rsid wsp:val=&quot;00D429C6&quot;/&gt;&lt;wsp:rsid wsp:val=&quot;00D4568F&quot;/&gt;&lt;wsp:rsid wsp:val=&quot;00D46D64&quot;/&gt;&lt;wsp:rsid wsp:val=&quot;00D47748&quot;/&gt;&lt;wsp:rsid wsp:val=&quot;00D47F20&quot;/&gt;&lt;wsp:rsid wsp:val=&quot;00D509EA&quot;/&gt;&lt;wsp:rsid wsp:val=&quot;00D52C0C&quot;/&gt;&lt;wsp:rsid wsp:val=&quot;00D54CC3&quot;/&gt;&lt;wsp:rsid wsp:val=&quot;00D5505F&quot;/&gt;&lt;wsp:rsid wsp:val=&quot;00D6041A&quot;/&gt;&lt;wsp:rsid wsp:val=&quot;00D633EB&quot;/&gt;&lt;wsp:rsid wsp:val=&quot;00D82FF7&quot;/&gt;&lt;wsp:rsid wsp:val=&quot;00D832C2&quot;/&gt;&lt;wsp:rsid wsp:val=&quot;00D847FE&quot;/&gt;&lt;wsp:rsid wsp:val=&quot;00D860AB&quot;/&gt;&lt;wsp:rsid wsp:val=&quot;00D91397&quot;/&gt;&lt;wsp:rsid wsp:val=&quot;00D9562D&quot;/&gt;&lt;wsp:rsid wsp:val=&quot;00D964EA&quot;/&gt;&lt;wsp:rsid wsp:val=&quot;00D966D0&quot;/&gt;&lt;wsp:rsid wsp:val=&quot;00DA0C59&quot;/&gt;&lt;wsp:rsid wsp:val=&quot;00DA3991&quot;/&gt;&lt;wsp:rsid wsp:val=&quot;00DB037A&quot;/&gt;&lt;wsp:rsid wsp:val=&quot;00DB0AD4&quot;/&gt;&lt;wsp:rsid wsp:val=&quot;00DB605A&quot;/&gt;&lt;wsp:rsid wsp:val=&quot;00DB7E6C&quot;/&gt;&lt;wsp:rsid wsp:val=&quot;00DC07E1&quot;/&gt;&lt;wsp:rsid wsp:val=&quot;00DD32C9&quot;/&gt;&lt;wsp:rsid wsp:val=&quot;00DD4D7C&quot;/&gt;&lt;wsp:rsid wsp:val=&quot;00DD5A29&quot;/&gt;&lt;wsp:rsid wsp:val=&quot;00DD5D9D&quot;/&gt;&lt;wsp:rsid wsp:val=&quot;00DE0AF0&quot;/&gt;&lt;wsp:rsid wsp:val=&quot;00DE35CB&quot;/&gt;&lt;wsp:rsid wsp:val=&quot;00DF21E9&quot;/&gt;&lt;wsp:rsid wsp:val=&quot;00E00F14&quot;/&gt;&lt;wsp:rsid wsp:val=&quot;00E02458&quot;/&gt;&lt;wsp:rsid wsp:val=&quot;00E059AA&quot;/&gt;&lt;wsp:rsid wsp:val=&quot;00E06386&quot;/&gt;&lt;wsp:rsid wsp:val=&quot;00E2049D&quot;/&gt;&lt;wsp:rsid wsp:val=&quot;00E24EB4&quot;/&gt;&lt;wsp:rsid wsp:val=&quot;00E320ED&quot;/&gt;&lt;wsp:rsid wsp:val=&quot;00E33AFB&quot;/&gt;&lt;wsp:rsid wsp:val=&quot;00E34218&quot;/&gt;&lt;wsp:rsid wsp:val=&quot;00E34E8E&quot;/&gt;&lt;wsp:rsid wsp:val=&quot;00E4207B&quot;/&gt;&lt;wsp:rsid wsp:val=&quot;00E459CC&quot;/&gt;&lt;wsp:rsid wsp:val=&quot;00E46282&quot;/&gt;&lt;wsp:rsid wsp:val=&quot;00E5216E&quot;/&gt;&lt;wsp:rsid wsp:val=&quot;00E611DB&quot;/&gt;&lt;wsp:rsid wsp:val=&quot;00E70ABD&quot;/&gt;&lt;wsp:rsid wsp:val=&quot;00E8149A&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5CDA&quot;/&gt;&lt;wsp:rsid wsp:val=&quot;00EB786A&quot;/&gt;&lt;wsp:rsid wsp:val=&quot;00EB79E7&quot;/&gt;&lt;wsp:rsid wsp:val=&quot;00EC1578&quot;/&gt;&lt;wsp:rsid wsp:val=&quot;00EC1C72&quot;/&gt;&lt;wsp:rsid wsp:val=&quot;00EC3CC9&quot;/&gt;&lt;wsp:rsid wsp:val=&quot;00EC5316&quot;/&gt;&lt;wsp:rsid wsp:val=&quot;00EC5F93&quot;/&gt;&lt;wsp:rsid wsp:val=&quot;00EC680A&quot;/&gt;&lt;wsp:rsid wsp:val=&quot;00ED0DFA&quot;/&gt;&lt;wsp:rsid wsp:val=&quot;00ED35A4&quot;/&gt;&lt;wsp:rsid wsp:val=&quot;00ED3A2B&quot;/&gt;&lt;wsp:rsid wsp:val=&quot;00ED5078&quot;/&gt;&lt;wsp:rsid wsp:val=&quot;00ED699F&quot;/&gt;&lt;wsp:rsid wsp:val=&quot;00EE2BED&quot;/&gt;&lt;wsp:rsid wsp:val=&quot;00EE374B&quot;/&gt;&lt;wsp:rsid wsp:val=&quot;00EE46AE&quot;/&gt;&lt;wsp:rsid wsp:val=&quot;00EE6E2C&quot;/&gt;&lt;wsp:rsid wsp:val=&quot;00EF42A6&quot;/&gt;&lt;wsp:rsid wsp:val=&quot;00F11BB5&quot;/&gt;&lt;wsp:rsid wsp:val=&quot;00F1417B&quot;/&gt;&lt;wsp:rsid wsp:val=&quot;00F15363&quot;/&gt;&lt;wsp:rsid wsp:val=&quot;00F1689B&quot;/&gt;&lt;wsp:rsid wsp:val=&quot;00F169F2&quot;/&gt;&lt;wsp:rsid wsp:val=&quot;00F3371B&quot;/&gt;&lt;wsp:rsid wsp:val=&quot;00F34B99&quot;/&gt;&lt;wsp:rsid wsp:val=&quot;00F378D0&quot;/&gt;&lt;wsp:rsid wsp:val=&quot;00F4757E&quot;/&gt;&lt;wsp:rsid wsp:val=&quot;00F52DAB&quot;/&gt;&lt;wsp:rsid wsp:val=&quot;00F543F0&quot;/&gt;&lt;wsp:rsid wsp:val=&quot;00F66E04&quot;/&gt;&lt;wsp:rsid wsp:val=&quot;00F705DD&quot;/&gt;&lt;wsp:rsid wsp:val=&quot;00F8078F&quot;/&gt;&lt;wsp:rsid wsp:val=&quot;00F818A7&quot;/&gt;&lt;wsp:rsid wsp:val=&quot;00F81D29&quot;/&gt;&lt;wsp:rsid wsp:val=&quot;00F91C4D&quot;/&gt;&lt;wsp:rsid wsp:val=&quot;00F92FD9&quot;/&gt;&lt;wsp:rsid wsp:val=&quot;00FA1ACA&quot;/&gt;&lt;wsp:rsid wsp:val=&quot;00FA29C5&quot;/&gt;&lt;wsp:rsid wsp:val=&quot;00FA3EF5&quot;/&gt;&lt;wsp:rsid wsp:val=&quot;00FA6684&quot;/&gt;&lt;wsp:rsid wsp:val=&quot;00FA731E&quot;/&gt;&lt;wsp:rsid wsp:val=&quot;00FB2B38&quot;/&gt;&lt;wsp:rsid wsp:val=&quot;00FB5033&quot;/&gt;&lt;wsp:rsid wsp:val=&quot;00FB768C&quot;/&gt;&lt;wsp:rsid wsp:val=&quot;00FC6358&quot;/&gt;&lt;wsp:rsid wsp:val=&quot;00FD320D&quot;/&gt;&lt;wsp:rsid wsp:val=&quot;00FD3605&quot;/&gt;&lt;wsp:rsid wsp:val=&quot;00FE23DE&quot;/&gt;&lt;wsp:rsid wsp:val=&quot;00FF2A7A&quot;/&gt;&lt;wsp:rsid wsp:val=&quot;011430C0&quot;/&gt;&lt;wsp:rsid wsp:val=&quot;018C152A&quot;/&gt;&lt;wsp:rsid wsp:val=&quot;03CD109D&quot;/&gt;&lt;wsp:rsid wsp:val=&quot;04A87B8B&quot;/&gt;&lt;wsp:rsid wsp:val=&quot;05816019&quot;/&gt;&lt;wsp:rsid wsp:val=&quot;05F477B7&quot;/&gt;&lt;wsp:rsid wsp:val=&quot;071172F8&quot;/&gt;&lt;wsp:rsid wsp:val=&quot;072938BC&quot;/&gt;&lt;wsp:rsid wsp:val=&quot;075E75DE&quot;/&gt;&lt;wsp:rsid wsp:val=&quot;083A0335&quot;/&gt;&lt;wsp:rsid wsp:val=&quot;09763FE4&quot;/&gt;&lt;wsp:rsid wsp:val=&quot;0B4B550C&quot;/&gt;&lt;wsp:rsid wsp:val=&quot;0B61157E&quot;/&gt;&lt;wsp:rsid wsp:val=&quot;0BFA390D&quot;/&gt;&lt;wsp:rsid wsp:val=&quot;0CC25F19&quot;/&gt;&lt;wsp:rsid wsp:val=&quot;0CEF5D97&quot;/&gt;&lt;wsp:rsid wsp:val=&quot;0EAA193B&quot;/&gt;&lt;wsp:rsid wsp:val=&quot;0EE23A80&quot;/&gt;&lt;wsp:rsid wsp:val=&quot;0EEA7E53&quot;/&gt;&lt;wsp:rsid wsp:val=&quot;11242651&quot;/&gt;&lt;wsp:rsid wsp:val=&quot;11703FAF&quot;/&gt;&lt;wsp:rsid wsp:val=&quot;11B84DF3&quot;/&gt;&lt;wsp:rsid wsp:val=&quot;1295124C&quot;/&gt;&lt;wsp:rsid wsp:val=&quot;12BB6B70&quot;/&gt;&lt;wsp:rsid wsp:val=&quot;147F45E5&quot;/&gt;&lt;wsp:rsid wsp:val=&quot;154741BF&quot;/&gt;&lt;wsp:rsid wsp:val=&quot;168E180C&quot;/&gt;&lt;wsp:rsid wsp:val=&quot;17681DB3&quot;/&gt;&lt;wsp:rsid wsp:val=&quot;17BEDEC0&quot;/&gt;&lt;wsp:rsid wsp:val=&quot;17D13FA2&quot;/&gt;&lt;wsp:rsid wsp:val=&quot;17E75C97&quot;/&gt;&lt;wsp:rsid wsp:val=&quot;186B09CA&quot;/&gt;&lt;wsp:rsid wsp:val=&quot;18E330A5&quot;/&gt;&lt;wsp:rsid wsp:val=&quot;19421AF3&quot;/&gt;&lt;wsp:rsid wsp:val=&quot;19A43221&quot;/&gt;&lt;wsp:rsid wsp:val=&quot;19B915F8&quot;/&gt;&lt;wsp:rsid wsp:val=&quot;19C42BAA&quot;/&gt;&lt;wsp:rsid wsp:val=&quot;19D131D2&quot;/&gt;&lt;wsp:rsid wsp:val=&quot;19ED59E3&quot;/&gt;&lt;wsp:rsid wsp:val=&quot;1A5F56EF&quot;/&gt;&lt;wsp:rsid wsp:val=&quot;1B3A723A&quot;/&gt;&lt;wsp:rsid wsp:val=&quot;1B8452D7&quot;/&gt;&lt;wsp:rsid wsp:val=&quot;1DF60C24&quot;/&gt;&lt;wsp:rsid wsp:val=&quot;1E4237DD&quot;/&gt;&lt;wsp:rsid wsp:val=&quot;1E4606D5&quot;/&gt;&lt;wsp:rsid wsp:val=&quot;1E8F40C9&quot;/&gt;&lt;wsp:rsid wsp:val=&quot;1EAC6902&quot;/&gt;&lt;wsp:rsid wsp:val=&quot;1ED531AF&quot;/&gt;&lt;wsp:rsid wsp:val=&quot;1F2A1205&quot;/&gt;&lt;wsp:rsid wsp:val=&quot;1F7D701D&quot;/&gt;&lt;wsp:rsid wsp:val=&quot;1F885AEF&quot;/&gt;&lt;wsp:rsid wsp:val=&quot;1FBFA108&quot;/&gt;&lt;wsp:rsid wsp:val=&quot;1FE20F7B&quot;/&gt;&lt;wsp:rsid wsp:val=&quot;1FEFA73F&quot;/&gt;&lt;wsp:rsid wsp:val=&quot;1FF7E849&quot;/&gt;&lt;wsp:rsid wsp:val=&quot;1FFE5FEE&quot;/&gt;&lt;wsp:rsid wsp:val=&quot;205D442E&quot;/&gt;&lt;wsp:rsid wsp:val=&quot;20FC540D&quot;/&gt;&lt;wsp:rsid wsp:val=&quot;222B73B3&quot;/&gt;&lt;wsp:rsid wsp:val=&quot;22CC1448&quot;/&gt;&lt;wsp:rsid wsp:val=&quot;22EE0732&quot;/&gt;&lt;wsp:rsid wsp:val=&quot;24940192&quot;/&gt;&lt;wsp:rsid wsp:val=&quot;25284930&quot;/&gt;&lt;wsp:rsid wsp:val=&quot;25CA1676&quot;/&gt;&lt;wsp:rsid wsp:val=&quot;25F6309F&quot;/&gt;&lt;wsp:rsid wsp:val=&quot;26A036C6&quot;/&gt;&lt;wsp:rsid wsp:val=&quot;27D960A5&quot;/&gt;&lt;wsp:rsid wsp:val=&quot;298A3E0B&quot;/&gt;&lt;wsp:rsid wsp:val=&quot;2A574C09&quot;/&gt;&lt;wsp:rsid wsp:val=&quot;2AF21D84&quot;/&gt;&lt;wsp:rsid wsp:val=&quot;2B22130A&quot;/&gt;&lt;wsp:rsid wsp:val=&quot;2B5C7036&quot;/&gt;&lt;wsp:rsid wsp:val=&quot;2B7F675F&quot;/&gt;&lt;wsp:rsid wsp:val=&quot;2BB94533&quot;/&gt;&lt;wsp:rsid wsp:val=&quot;2D012636&quot;/&gt;&lt;wsp:rsid wsp:val=&quot;2D6B2D3A&quot;/&gt;&lt;wsp:rsid wsp:val=&quot;2D787AC9&quot;/&gt;&lt;wsp:rsid wsp:val=&quot;2DB905BE&quot;/&gt;&lt;wsp:rsid wsp:val=&quot;2EDE49DD&quot;/&gt;&lt;wsp:rsid wsp:val=&quot;2EE79A49&quot;/&gt;&lt;wsp:rsid wsp:val=&quot;2FFE6E15&quot;/&gt;&lt;wsp:rsid wsp:val=&quot;30977539&quot;/&gt;&lt;wsp:rsid wsp:val=&quot;316F0C5E&quot;/&gt;&lt;wsp:rsid wsp:val=&quot;327D5B5F&quot;/&gt;&lt;wsp:rsid wsp:val=&quot;329F1D49&quot;/&gt;&lt;wsp:rsid wsp:val=&quot;331B5584&quot;/&gt;&lt;wsp:rsid wsp:val=&quot;33DFF8F7&quot;/&gt;&lt;wsp:rsid wsp:val=&quot;353BF113&quot;/&gt;&lt;wsp:rsid wsp:val=&quot;353F1275&quot;/&gt;&lt;wsp:rsid wsp:val=&quot;35B244CD&quot;/&gt;&lt;wsp:rsid wsp:val=&quot;36F75BC2&quot;/&gt;&lt;wsp:rsid wsp:val=&quot;37434788&quot;/&gt;&lt;wsp:rsid wsp:val=&quot;378765C5&quot;/&gt;&lt;wsp:rsid wsp:val=&quot;37D74657&quot;/&gt;&lt;wsp:rsid wsp:val=&quot;37E4351D&quot;/&gt;&lt;wsp:rsid wsp:val=&quot;37F6D891&quot;/&gt;&lt;wsp:rsid wsp:val=&quot;37F7CA95&quot;/&gt;&lt;wsp:rsid wsp:val=&quot;38D12A54&quot;/&gt;&lt;wsp:rsid wsp:val=&quot;38F2046B&quot;/&gt;&lt;wsp:rsid wsp:val=&quot;392F17AB&quot;/&gt;&lt;wsp:rsid wsp:val=&quot;394E0B17&quot;/&gt;&lt;wsp:rsid wsp:val=&quot;395D3BC4&quot;/&gt;&lt;wsp:rsid wsp:val=&quot;39BF4E37&quot;/&gt;&lt;wsp:rsid wsp:val=&quot;3A7601BF&quot;/&gt;&lt;wsp:rsid wsp:val=&quot;3A9C6B2F&quot;/&gt;&lt;wsp:rsid wsp:val=&quot;3AB27D34&quot;/&gt;&lt;wsp:rsid wsp:val=&quot;3BB79C7A&quot;/&gt;&lt;wsp:rsid wsp:val=&quot;3BE7E76B&quot;/&gt;&lt;wsp:rsid wsp:val=&quot;3BFD138B&quot;/&gt;&lt;wsp:rsid wsp:val=&quot;3CA906B7&quot;/&gt;&lt;wsp:rsid wsp:val=&quot;3CCD471F&quot;/&gt;&lt;wsp:rsid wsp:val=&quot;3CF4B372&quot;/&gt;&lt;wsp:rsid wsp:val=&quot;3D768775&quot;/&gt;&lt;wsp:rsid wsp:val=&quot;3DC54FBA&quot;/&gt;&lt;wsp:rsid wsp:val=&quot;3E86513A&quot;/&gt;&lt;wsp:rsid wsp:val=&quot;3E9B0C30&quot;/&gt;&lt;wsp:rsid wsp:val=&quot;3EA370A9&quot;/&gt;&lt;wsp:rsid wsp:val=&quot;3EFD4D0F&quot;/&gt;&lt;wsp:rsid wsp:val=&quot;3EFD5C2F&quot;/&gt;&lt;wsp:rsid wsp:val=&quot;3F3B6ABC&quot;/&gt;&lt;wsp:rsid wsp:val=&quot;3F6BE8CE&quot;/&gt;&lt;wsp:rsid wsp:val=&quot;3F718E50&quot;/&gt;&lt;wsp:rsid wsp:val=&quot;3F76D50C&quot;/&gt;&lt;wsp:rsid wsp:val=&quot;3F7D0027&quot;/&gt;&lt;wsp:rsid wsp:val=&quot;3FD61A37&quot;/&gt;&lt;wsp:rsid wsp:val=&quot;3FDC6D60&quot;/&gt;&lt;wsp:rsid wsp:val=&quot;3FED59CF&quot;/&gt;&lt;wsp:rsid wsp:val=&quot;3FEE24E0&quot;/&gt;&lt;wsp:rsid wsp:val=&quot;3FEEE000&quot;/&gt;&lt;wsp:rsid wsp:val=&quot;3FFE01B9&quot;/&gt;&lt;wsp:rsid wsp:val=&quot;40652829&quot;/&gt;&lt;wsp:rsid wsp:val=&quot;411150BF&quot;/&gt;&lt;wsp:rsid wsp:val=&quot;41B16F4C&quot;/&gt;&lt;wsp:rsid wsp:val=&quot;430C6778&quot;/&gt;&lt;wsp:rsid wsp:val=&quot;4387757C&quot;/&gt;&lt;wsp:rsid wsp:val=&quot;43DF200D&quot;/&gt;&lt;wsp:rsid wsp:val=&quot;445F3A72&quot;/&gt;&lt;wsp:rsid wsp:val=&quot;44D44A10&quot;/&gt;&lt;wsp:rsid wsp:val=&quot;45050ABD&quot;/&gt;&lt;wsp:rsid wsp:val=&quot;464A138F&quot;/&gt;&lt;wsp:rsid wsp:val=&quot;46A662CB&quot;/&gt;&lt;wsp:rsid wsp:val=&quot;473FA501&quot;/&gt;&lt;wsp:rsid wsp:val=&quot;476B317A&quot;/&gt;&lt;wsp:rsid wsp:val=&quot;4A066551&quot;/&gt;&lt;wsp:rsid wsp:val=&quot;4A5A7640&quot;/&gt;&lt;wsp:rsid wsp:val=&quot;4A90661B&quot;/&gt;&lt;wsp:rsid wsp:val=&quot;4AA77D0E&quot;/&gt;&lt;wsp:rsid wsp:val=&quot;4ADC2772&quot;/&gt;&lt;wsp:rsid wsp:val=&quot;4B5F6B82&quot;/&gt;&lt;wsp:rsid wsp:val=&quot;4BBB9640&quot;/&gt;&lt;wsp:rsid wsp:val=&quot;4BF7716B&quot;/&gt;&lt;wsp:rsid wsp:val=&quot;4BFF492D&quot;/&gt;&lt;wsp:rsid wsp:val=&quot;4C2F3185&quot;/&gt;&lt;wsp:rsid wsp:val=&quot;4C362B0B&quot;/&gt;&lt;wsp:rsid wsp:val=&quot;4DB7491F&quot;/&gt;&lt;wsp:rsid wsp:val=&quot;4E685C19&quot;/&gt;&lt;wsp:rsid wsp:val=&quot;4E873D5D&quot;/&gt;&lt;wsp:rsid wsp:val=&quot;4EA07BA7&quot;/&gt;&lt;wsp:rsid wsp:val=&quot;4EB500DB&quot;/&gt;&lt;wsp:rsid wsp:val=&quot;4EFF931F&quot;/&gt;&lt;wsp:rsid wsp:val=&quot;4F77DEEF&quot;/&gt;&lt;wsp:rsid wsp:val=&quot;4FBA9BB8&quot;/&gt;&lt;wsp:rsid wsp:val=&quot;4FDCBBFA&quot;/&gt;&lt;wsp:rsid wsp:val=&quot;4FEBB8A8&quot;/&gt;&lt;wsp:rsid wsp:val=&quot;519E5272&quot;/&gt;&lt;wsp:rsid wsp:val=&quot;51C61425&quot;/&gt;&lt;wsp:rsid wsp:val=&quot;53E3376D&quot;/&gt;&lt;wsp:rsid wsp:val=&quot;53F61577&quot;/&gt;&lt;wsp:rsid wsp:val=&quot;540C7047&quot;/&gt;&lt;wsp:rsid wsp:val=&quot;5475496B&quot;/&gt;&lt;wsp:rsid wsp:val=&quot;54DF4431&quot;/&gt;&lt;wsp:rsid wsp:val=&quot;5516FC44&quot;/&gt;&lt;wsp:rsid wsp:val=&quot;55390EB8&quot;/&gt;&lt;wsp:rsid wsp:val=&quot;56116B96&quot;/&gt;&lt;wsp:rsid wsp:val=&quot;56777A5B&quot;/&gt;&lt;wsp:rsid wsp:val=&quot;56CC6F8C&quot;/&gt;&lt;wsp:rsid wsp:val=&quot;56DB28FA&quot;/&gt;&lt;wsp:rsid wsp:val=&quot;56F6006A&quot;/&gt;&lt;wsp:rsid wsp:val=&quot;570C6B15&quot;/&gt;&lt;wsp:rsid wsp:val=&quot;571302D9&quot;/&gt;&lt;wsp:rsid wsp:val=&quot;57C7BFD9&quot;/&gt;&lt;wsp:rsid wsp:val=&quot;57D7883B&quot;/&gt;&lt;wsp:rsid wsp:val=&quot;580924CF&quot;/&gt;&lt;wsp:rsid wsp:val=&quot;58BD21A3&quot;/&gt;&lt;wsp:rsid wsp:val=&quot;59FE05B0&quot;/&gt;&lt;wsp:rsid wsp:val=&quot;5A37BAA7&quot;/&gt;&lt;wsp:rsid wsp:val=&quot;5A3F0F94&quot;/&gt;&lt;wsp:rsid wsp:val=&quot;5B6927A3&quot;/&gt;&lt;wsp:rsid wsp:val=&quot;5B6E0B14&quot;/&gt;&lt;wsp:rsid wsp:val=&quot;5B9FEEFD&quot;/&gt;&lt;wsp:rsid wsp:val=&quot;5BA26922&quot;/&gt;&lt;wsp:rsid wsp:val=&quot;5BBF245D&quot;/&gt;&lt;wsp:rsid wsp:val=&quot;5C533830&quot;/&gt;&lt;wsp:rsid wsp:val=&quot;5C870281&quot;/&gt;&lt;wsp:rsid wsp:val=&quot;5CAB6A70&quot;/&gt;&lt;wsp:rsid wsp:val=&quot;5CCE1101&quot;/&gt;&lt;wsp:rsid wsp:val=&quot;5CCEE7A1&quot;/&gt;&lt;wsp:rsid wsp:val=&quot;5CEF4510&quot;/&gt;&lt;wsp:rsid wsp:val=&quot;5D2D4D36&quot;/&gt;&lt;wsp:rsid wsp:val=&quot;5D534E5C&quot;/&gt;&lt;wsp:rsid wsp:val=&quot;5E69593F&quot;/&gt;&lt;wsp:rsid wsp:val=&quot;5E732FCB&quot;/&gt;&lt;wsp:rsid wsp:val=&quot;5EB61B49&quot;/&gt;&lt;wsp:rsid wsp:val=&quot;5EDC2E85&quot;/&gt;&lt;wsp:rsid wsp:val=&quot;5EFFE5A3&quot;/&gt;&lt;wsp:rsid wsp:val=&quot;5F354FCC&quot;/&gt;&lt;wsp:rsid wsp:val=&quot;5F4EB3AD&quot;/&gt;&lt;wsp:rsid wsp:val=&quot;5F5812A1&quot;/&gt;&lt;wsp:rsid wsp:val=&quot;5F7F87AF&quot;/&gt;&lt;wsp:rsid wsp:val=&quot;5F8C681E&quot;/&gt;&lt;wsp:rsid wsp:val=&quot;5FB5560F&quot;/&gt;&lt;wsp:rsid wsp:val=&quot;5FBF8BF8&quot;/&gt;&lt;wsp:rsid wsp:val=&quot;5FBFCC85&quot;/&gt;&lt;wsp:rsid wsp:val=&quot;5FC53F03&quot;/&gt;&lt;wsp:rsid wsp:val=&quot;5FD783DC&quot;/&gt;&lt;wsp:rsid wsp:val=&quot;5FD7E5A2&quot;/&gt;&lt;wsp:rsid wsp:val=&quot;5FDB5C37&quot;/&gt;&lt;wsp:rsid wsp:val=&quot;5FE5747F&quot;/&gt;&lt;wsp:rsid wsp:val=&quot;5FED8CBF&quot;/&gt;&lt;wsp:rsid wsp:val=&quot;5FF775E2&quot;/&gt;&lt;wsp:rsid wsp:val=&quot;5FFAE202&quot;/&gt;&lt;wsp:rsid wsp:val=&quot;5FFF26CD&quot;/&gt;&lt;wsp:rsid wsp:val=&quot;5FFF2F30&quot;/&gt;&lt;wsp:rsid wsp:val=&quot;5FFF9FC9&quot;/&gt;&lt;wsp:rsid wsp:val=&quot;61A364CC&quot;/&gt;&lt;wsp:rsid wsp:val=&quot;61F25BC1&quot;/&gt;&lt;wsp:rsid wsp:val=&quot;62130DE2&quot;/&gt;&lt;wsp:rsid wsp:val=&quot;629633D0&quot;/&gt;&lt;wsp:rsid wsp:val=&quot;62D73B0C&quot;/&gt;&lt;wsp:rsid wsp:val=&quot;62E8530F&quot;/&gt;&lt;wsp:rsid wsp:val=&quot;62EA4535&quot;/&gt;&lt;wsp:rsid wsp:val=&quot;632D4257&quot;/&gt;&lt;wsp:rsid wsp:val=&quot;66A63D78&quot;/&gt;&lt;wsp:rsid wsp:val=&quot;66FA7027&quot;/&gt;&lt;wsp:rsid wsp:val=&quot;670536A6&quot;/&gt;&lt;wsp:rsid wsp:val=&quot;6759214B&quot;/&gt;&lt;wsp:rsid wsp:val=&quot;6769221B&quot;/&gt;&lt;wsp:rsid wsp:val=&quot;677F5E13&quot;/&gt;&lt;wsp:rsid wsp:val=&quot;677F954D&quot;/&gt;&lt;wsp:rsid wsp:val=&quot;67EEF77C&quot;/&gt;&lt;wsp:rsid wsp:val=&quot;67F7942A&quot;/&gt;&lt;wsp:rsid wsp:val=&quot;67FA7653&quot;/&gt;&lt;wsp:rsid wsp:val=&quot;68B27D65&quot;/&gt;&lt;wsp:rsid wsp:val=&quot;69124CA8&quot;/&gt;&lt;wsp:rsid wsp:val=&quot;69983A0D&quot;/&gt;&lt;wsp:rsid wsp:val=&quot;69E9AA42&quot;/&gt;&lt;wsp:rsid wsp:val=&quot;6A9D10D8&quot;/&gt;&lt;wsp:rsid wsp:val=&quot;6AEE5674&quot;/&gt;&lt;wsp:rsid wsp:val=&quot;6AF79A02&quot;/&gt;&lt;wsp:rsid wsp:val=&quot;6BAE9099&quot;/&gt;&lt;wsp:rsid wsp:val=&quot;6BAF543B&quot;/&gt;&lt;wsp:rsid wsp:val=&quot;6C465394&quot;/&gt;&lt;wsp:rsid wsp:val=&quot;6CD51C5E&quot;/&gt;&lt;wsp:rsid wsp:val=&quot;6D17189C&quot;/&gt;&lt;wsp:rsid wsp:val=&quot;6D6FB125&quot;/&gt;&lt;wsp:rsid wsp:val=&quot;6DB78655&quot;/&gt;&lt;wsp:rsid wsp:val=&quot;6E9315D8&quot;/&gt;&lt;wsp:rsid wsp:val=&quot;6F3FC2D2&quot;/&gt;&lt;wsp:rsid wsp:val=&quot;6F55DFE8&quot;/&gt;&lt;wsp:rsid wsp:val=&quot;6FAE5E2D&quot;/&gt;&lt;wsp:rsid wsp:val=&quot;6FDE2A8E&quot;/&gt;&lt;wsp:rsid wsp:val=&quot;6FEE2B7A&quot;/&gt;&lt;wsp:rsid wsp:val=&quot;6FFFCD7E&quot;/&gt;&lt;wsp:rsid wsp:val=&quot;712E57E3&quot;/&gt;&lt;wsp:rsid wsp:val=&quot;723E7657&quot;/&gt;&lt;wsp:rsid wsp:val=&quot;727D476A&quot;/&gt;&lt;wsp:rsid wsp:val=&quot;727F480A&quot;/&gt;&lt;wsp:rsid wsp:val=&quot;729F9021&quot;/&gt;&lt;wsp:rsid wsp:val=&quot;72A16565&quot;/&gt;&lt;wsp:rsid wsp:val=&quot;72DC25AE&quot;/&gt;&lt;wsp:rsid wsp:val=&quot;737D7C5A&quot;/&gt;&lt;wsp:rsid wsp:val=&quot;73896C46&quot;/&gt;&lt;wsp:rsid wsp:val=&quot;73BDF28E&quot;/&gt;&lt;wsp:rsid wsp:val=&quot;74401F7F&quot;/&gt;&lt;wsp:rsid wsp:val=&quot;744321B9&quot;/&gt;&lt;wsp:rsid wsp:val=&quot;751D7DBC&quot;/&gt;&lt;wsp:rsid wsp:val=&quot;752E4C17&quot;/&gt;&lt;wsp:rsid wsp:val=&quot;75324E28&quot;/&gt;&lt;wsp:rsid wsp:val=&quot;753F0677&quot;/&gt;&lt;wsp:rsid wsp:val=&quot;758515FA&quot;/&gt;&lt;wsp:rsid wsp:val=&quot;75B31E67&quot;/&gt;&lt;wsp:rsid wsp:val=&quot;75B7C825&quot;/&gt;&lt;wsp:rsid wsp:val=&quot;75BA2E02&quot;/&gt;&lt;wsp:rsid wsp:val=&quot;75BE4DDD&quot;/&gt;&lt;wsp:rsid wsp:val=&quot;75FD03F4&quot;/&gt;&lt;wsp:rsid wsp:val=&quot;75FED2C4&quot;/&gt;&lt;wsp:rsid wsp:val=&quot;7666841C&quot;/&gt;&lt;wsp:rsid wsp:val=&quot;76BBDFBA&quot;/&gt;&lt;wsp:rsid wsp:val=&quot;76BF9ECF&quot;/&gt;&lt;wsp:rsid wsp:val=&quot;76DF330F&quot;/&gt;&lt;wsp:rsid wsp:val=&quot;773F927D&quot;/&gt;&lt;wsp:rsid wsp:val=&quot;77676A20&quot;/&gt;&lt;wsp:rsid wsp:val=&quot;779D6084&quot;/&gt;&lt;wsp:rsid wsp:val=&quot;77AAA13B&quot;/&gt;&lt;wsp:rsid wsp:val=&quot;77ADA45B&quot;/&gt;&lt;wsp:rsid wsp:val=&quot;77BF23AA&quot;/&gt;&lt;wsp:rsid wsp:val=&quot;77BFA08F&quot;/&gt;&lt;wsp:rsid wsp:val=&quot;77CF6050&quot;/&gt;&lt;wsp:rsid wsp:val=&quot;77D61D22&quot;/&gt;&lt;wsp:rsid wsp:val=&quot;77DB7558&quot;/&gt;&lt;wsp:rsid wsp:val=&quot;77F963F5&quot;/&gt;&lt;wsp:rsid wsp:val=&quot;77F9A364&quot;/&gt;&lt;wsp:rsid wsp:val=&quot;787A42BD&quot;/&gt;&lt;wsp:rsid wsp:val=&quot;78992A40&quot;/&gt;&lt;wsp:rsid wsp:val=&quot;78F732C4&quot;/&gt;&lt;wsp:rsid wsp:val=&quot;79036043&quot;/&gt;&lt;wsp:rsid wsp:val=&quot;796FDD61&quot;/&gt;&lt;wsp:rsid wsp:val=&quot;7A480DB1&quot;/&gt;&lt;wsp:rsid wsp:val=&quot;7A6FC549&quot;/&gt;&lt;wsp:rsid wsp:val=&quot;7A7F8825&quot;/&gt;&lt;wsp:rsid wsp:val=&quot;7B0111B0&quot;/&gt;&lt;wsp:rsid wsp:val=&quot;7B37F8A2&quot;/&gt;&lt;wsp:rsid wsp:val=&quot;7B7B7AEF&quot;/&gt;&lt;wsp:rsid wsp:val=&quot;7BB987D3&quot;/&gt;&lt;wsp:rsid wsp:val=&quot;7BBE1752&quot;/&gt;&lt;wsp:rsid wsp:val=&quot;7BBF89A6&quot;/&gt;&lt;wsp:rsid wsp:val=&quot;7BBFC78A&quot;/&gt;&lt;wsp:rsid wsp:val=&quot;7BDF2EFE&quot;/&gt;&lt;wsp:rsid wsp:val=&quot;7BFF06C1&quot;/&gt;&lt;wsp:rsid wsp:val=&quot;7C330DCE&quot;/&gt;&lt;wsp:rsid wsp:val=&quot;7C6F688D&quot;/&gt;&lt;wsp:rsid wsp:val=&quot;7C8F0594&quot;/&gt;&lt;wsp:rsid wsp:val=&quot;7CF25910&quot;/&gt;&lt;wsp:rsid wsp:val=&quot;7D537911&quot;/&gt;&lt;wsp:rsid wsp:val=&quot;7DAF5283&quot;/&gt;&lt;wsp:rsid wsp:val=&quot;7DB6B7D3&quot;/&gt;&lt;wsp:rsid wsp:val=&quot;7DC7001B&quot;/&gt;&lt;wsp:rsid wsp:val=&quot;7DDF01C5&quot;/&gt;&lt;wsp:rsid wsp:val=&quot;7DF5935E&quot;/&gt;&lt;wsp:rsid wsp:val=&quot;7DF7D53C&quot;/&gt;&lt;wsp:rsid wsp:val=&quot;7DFD5678&quot;/&gt;&lt;wsp:rsid wsp:val=&quot;7DFF9227&quot;/&gt;&lt;wsp:rsid wsp:val=&quot;7E1370A0&quot;/&gt;&lt;wsp:rsid wsp:val=&quot;7E484F9C&quot;/&gt;&lt;wsp:rsid wsp:val=&quot;7E5C4C83&quot;/&gt;&lt;wsp:rsid wsp:val=&quot;7E8C5F4A&quot;/&gt;&lt;wsp:rsid wsp:val=&quot;7E923553&quot;/&gt;&lt;wsp:rsid wsp:val=&quot;7E93D165&quot;/&gt;&lt;wsp:rsid wsp:val=&quot;7EBBB6FB&quot;/&gt;&lt;wsp:rsid wsp:val=&quot;7EE715AE&quot;/&gt;&lt;wsp:rsid wsp:val=&quot;7EF03B20&quot;/&gt;&lt;wsp:rsid wsp:val=&quot;7EFDE231&quot;/&gt;&lt;wsp:rsid wsp:val=&quot;7EFF193F&quot;/&gt;&lt;wsp:rsid wsp:val=&quot;7F0DBD23&quot;/&gt;&lt;wsp:rsid wsp:val=&quot;7F1C8002&quot;/&gt;&lt;wsp:rsid wsp:val=&quot;7F3F1EA1&quot;/&gt;&lt;wsp:rsid wsp:val=&quot;7F571A5B&quot;/&gt;&lt;wsp:rsid wsp:val=&quot;7F777DDD&quot;/&gt;&lt;wsp:rsid wsp:val=&quot;7F778DBC&quot;/&gt;&lt;wsp:rsid wsp:val=&quot;7F8B2291&quot;/&gt;&lt;wsp:rsid wsp:val=&quot;7F923FF5&quot;/&gt;&lt;wsp:rsid wsp:val=&quot;7F9B4357&quot;/&gt;&lt;wsp:rsid wsp:val=&quot;7FAE2814&quot;/&gt;&lt;wsp:rsid wsp:val=&quot;7FBBE062&quot;/&gt;&lt;wsp:rsid wsp:val=&quot;7FBEB7EA&quot;/&gt;&lt;wsp:rsid wsp:val=&quot;7FBF7938&quot;/&gt;&lt;wsp:rsid wsp:val=&quot;7FC35E17&quot;/&gt;&lt;wsp:rsid wsp:val=&quot;7FC46E7B&quot;/&gt;&lt;wsp:rsid wsp:val=&quot;7FDD9770&quot;/&gt;&lt;wsp:rsid wsp:val=&quot;7FE0F8D8&quot;/&gt;&lt;wsp:rsid wsp:val=&quot;7FEBC062&quot;/&gt;&lt;wsp:rsid wsp:val=&quot;7FEFA09C&quot;/&gt;&lt;wsp:rsid wsp:val=&quot;7FF7DFD1&quot;/&gt;&lt;wsp:rsid wsp:val=&quot;7FF7E467&quot;/&gt;&lt;wsp:rsid wsp:val=&quot;7FF9BE37&quot;/&gt;&lt;wsp:rsid wsp:val=&quot;7FFA6CD2&quot;/&gt;&lt;wsp:rsid wsp:val=&quot;7FFB0A0B&quot;/&gt;&lt;wsp:rsid wsp:val=&quot;7FFD1491&quot;/&gt;&lt;wsp:rsid wsp:val=&quot;7FFE9832&quot;/&gt;&lt;wsp:rsid wsp:val=&quot;7FFF3792&quot;/&gt;&lt;wsp:rsid wsp:val=&quot;7FFF6E37&quot;/&gt;&lt;wsp:rsid wsp:val=&quot;7FFF9EA5&quot;/&gt;&lt;wsp:rsid wsp:val=&quot;8EC701F9&quot;/&gt;&lt;wsp:rsid wsp:val=&quot;9ADF39D4&quot;/&gt;&lt;wsp:rsid wsp:val=&quot;9BB60683&quot;/&gt;&lt;wsp:rsid wsp:val=&quot;9D3EBDF3&quot;/&gt;&lt;wsp:rsid wsp:val=&quot;9DD7F2D1&quot;/&gt;&lt;wsp:rsid wsp:val=&quot;9F6D8389&quot;/&gt;&lt;wsp:rsid wsp:val=&quot;A5DF8C53&quot;/&gt;&lt;wsp:rsid wsp:val=&quot;A8EE8CFE&quot;/&gt;&lt;wsp:rsid wsp:val=&quot;AB3F3160&quot;/&gt;&lt;wsp:rsid wsp:val=&quot;ABAB20F8&quot;/&gt;&lt;wsp:rsid wsp:val=&quot;ABAFFA38&quot;/&gt;&lt;wsp:rsid wsp:val=&quot;AEFFA6A9&quot;/&gt;&lt;wsp:rsid wsp:val=&quot;B3FFC2BF&quot;/&gt;&lt;wsp:rsid wsp:val=&quot;B43E04CF&quot;/&gt;&lt;wsp:rsid wsp:val=&quot;B5FBA294&quot;/&gt;&lt;wsp:rsid wsp:val=&quot;B5FC0050&quot;/&gt;&lt;wsp:rsid wsp:val=&quot;B7AFE55A&quot;/&gt;&lt;wsp:rsid wsp:val=&quot;B7E70AD6&quot;/&gt;&lt;wsp:rsid wsp:val=&quot;B7F9BA0C&quot;/&gt;&lt;wsp:rsid wsp:val=&quot;B844EB5B&quot;/&gt;&lt;wsp:rsid wsp:val=&quot;BA71753C&quot;/&gt;&lt;wsp:rsid wsp:val=&quot;BBBBB6E2&quot;/&gt;&lt;wsp:rsid wsp:val=&quot;BBCB363C&quot;/&gt;&lt;wsp:rsid wsp:val=&quot;BBFD6FC4&quot;/&gt;&lt;wsp:rsid wsp:val=&quot;BBFF136E&quot;/&gt;&lt;wsp:rsid wsp:val=&quot;BC7DC8A8&quot;/&gt;&lt;wsp:rsid wsp:val=&quot;BDFD99FD&quot;/&gt;&lt;wsp:rsid wsp:val=&quot;BDFF9351&quot;/&gt;&lt;wsp:rsid wsp:val=&quot;BEB5B626&quot;/&gt;&lt;wsp:rsid wsp:val=&quot;BEDFBDE7&quot;/&gt;&lt;wsp:rsid wsp:val=&quot;BEFE36A9&quot;/&gt;&lt;wsp:rsid wsp:val=&quot;BF366FB8&quot;/&gt;&lt;wsp:rsid wsp:val=&quot;BF37D914&quot;/&gt;&lt;wsp:rsid wsp:val=&quot;BFD93F38&quot;/&gt;&lt;wsp:rsid wsp:val=&quot;BFF17AEE&quot;/&gt;&lt;wsp:rsid wsp:val=&quot;BFFF0534&quot;/&gt;&lt;wsp:rsid wsp:val=&quot;BFFF27B0&quot;/&gt;&lt;wsp:rsid wsp:val=&quot;BFFF3280&quot;/&gt;&lt;wsp:rsid wsp:val=&quot;C1BFC450&quot;/&gt;&lt;wsp:rsid wsp:val=&quot;C73B43A4&quot;/&gt;&lt;wsp:rsid wsp:val=&quot;CCBD5D81&quot;/&gt;&lt;wsp:rsid wsp:val=&quot;CDB7D8B9&quot;/&gt;&lt;wsp:rsid wsp:val=&quot;CDBFFA34&quot;/&gt;&lt;wsp:rsid wsp:val=&quot;CDFB59D1&quot;/&gt;&lt;wsp:rsid wsp:val=&quot;CF9FE863&quot;/&gt;&lt;wsp:rsid wsp:val=&quot;D4F544E7&quot;/&gt;&lt;wsp:rsid wsp:val=&quot;D57FDD91&quot;/&gt;&lt;wsp:rsid wsp:val=&quot;D6FA8A8F&quot;/&gt;&lt;wsp:rsid wsp:val=&quot;D7BB5077&quot;/&gt;&lt;wsp:rsid wsp:val=&quot;D9FFAB7D&quot;/&gt;&lt;wsp:rsid wsp:val=&quot;DADEBCE5&quot;/&gt;&lt;wsp:rsid wsp:val=&quot;DB7DA3EC&quot;/&gt;&lt;wsp:rsid wsp:val=&quot;DBDC24B4&quot;/&gt;&lt;wsp:rsid wsp:val=&quot;DC7EDA14&quot;/&gt;&lt;wsp:rsid wsp:val=&quot;DDB5D592&quot;/&gt;&lt;wsp:rsid wsp:val=&quot;DDFD9847&quot;/&gt;&lt;wsp:rsid wsp:val=&quot;DE7F35E9&quot;/&gt;&lt;wsp:rsid wsp:val=&quot;DEDDE723&quot;/&gt;&lt;wsp:rsid wsp:val=&quot;DEF27A72&quot;/&gt;&lt;wsp:rsid wsp:val=&quot;DF75C3E8&quot;/&gt;&lt;wsp:rsid wsp:val=&quot;DF7B6304&quot;/&gt;&lt;wsp:rsid wsp:val=&quot;DF8DC08A&quot;/&gt;&lt;wsp:rsid wsp:val=&quot;DFBF382C&quot;/&gt;&lt;wsp:rsid wsp:val=&quot;DFFB1304&quot;/&gt;&lt;wsp:rsid wsp:val=&quot;DFFB7051&quot;/&gt;&lt;wsp:rsid wsp:val=&quot;DFFD3865&quot;/&gt;&lt;wsp:rsid wsp:val=&quot;DFFFE51F&quot;/&gt;&lt;wsp:rsid wsp:val=&quot;E33E4836&quot;/&gt;&lt;wsp:rsid wsp:val=&quot;E3FF71BE&quot;/&gt;&lt;wsp:rsid wsp:val=&quot;E7AE8F7A&quot;/&gt;&lt;wsp:rsid wsp:val=&quot;E7C3B6F4&quot;/&gt;&lt;wsp:rsid wsp:val=&quot;EB5E0D05&quot;/&gt;&lt;wsp:rsid wsp:val=&quot;EBD4BE48&quot;/&gt;&lt;wsp:rsid wsp:val=&quot;EBE70DF3&quot;/&gt;&lt;wsp:rsid wsp:val=&quot;EBF60A46&quot;/&gt;&lt;wsp:rsid wsp:val=&quot;EBF73CAA&quot;/&gt;&lt;wsp:rsid wsp:val=&quot;EBFF6737&quot;/&gt;&lt;wsp:rsid wsp:val=&quot;EBFF777A&quot;/&gt;&lt;wsp:rsid wsp:val=&quot;ED377B7B&quot;/&gt;&lt;wsp:rsid wsp:val=&quot;EDFDDE8C&quot;/&gt;&lt;wsp:rsid wsp:val=&quot;EEFF6487&quot;/&gt;&lt;wsp:rsid wsp:val=&quot;EF637166&quot;/&gt;&lt;wsp:rsid wsp:val=&quot;EF75ED13&quot;/&gt;&lt;wsp:rsid wsp:val=&quot;EFAFFEF5&quot;/&gt;&lt;wsp:rsid wsp:val=&quot;EFDC11E0&quot;/&gt;&lt;wsp:rsid wsp:val=&quot;EFECBDBC&quot;/&gt;&lt;wsp:rsid wsp:val=&quot;EFF736EB&quot;/&gt;&lt;wsp:rsid wsp:val=&quot;EFFB2693&quot;/&gt;&lt;wsp:rsid wsp:val=&quot;F39F54E5&quot;/&gt;&lt;wsp:rsid wsp:val=&quot;F3FF38E7&quot;/&gt;&lt;wsp:rsid wsp:val=&quot;F4A37EE4&quot;/&gt;&lt;wsp:rsid wsp:val=&quot;F5A7C8A5&quot;/&gt;&lt;wsp:rsid wsp:val=&quot;F5AB5158&quot;/&gt;&lt;wsp:rsid wsp:val=&quot;F6FBAE4F&quot;/&gt;&lt;wsp:rsid wsp:val=&quot;F7BF9CC5&quot;/&gt;&lt;wsp:rsid wsp:val=&quot;F7EFC410&quot;/&gt;&lt;wsp:rsid wsp:val=&quot;F8F671C6&quot;/&gt;&lt;wsp:rsid wsp:val=&quot;F95AE5D0&quot;/&gt;&lt;wsp:rsid wsp:val=&quot;FBBBF98E&quot;/&gt;&lt;wsp:rsid wsp:val=&quot;FBDC0FC3&quot;/&gt;&lt;wsp:rsid wsp:val=&quot;FBF7EA14&quot;/&gt;&lt;wsp:rsid wsp:val=&quot;FBFD177B&quot;/&gt;&lt;wsp:rsid wsp:val=&quot;FBFF0AA5&quot;/&gt;&lt;wsp:rsid wsp:val=&quot;FBFF15B3&quot;/&gt;&lt;wsp:rsid wsp:val=&quot;FCEB4C03&quot;/&gt;&lt;wsp:rsid wsp:val=&quot;FCFCEEA9&quot;/&gt;&lt;wsp:rsid wsp:val=&quot;FCFF80B8&quot;/&gt;&lt;wsp:rsid wsp:val=&quot;FD7B032A&quot;/&gt;&lt;wsp:rsid wsp:val=&quot;FD7DB8D2&quot;/&gt;&lt;wsp:rsid wsp:val=&quot;FDB35D97&quot;/&gt;&lt;wsp:rsid wsp:val=&quot;FDD65BCB&quot;/&gt;&lt;wsp:rsid wsp:val=&quot;FDEE0097&quot;/&gt;&lt;wsp:rsid wsp:val=&quot;FE3AE016&quot;/&gt;&lt;wsp:rsid wsp:val=&quot;FE3FD466&quot;/&gt;&lt;wsp:rsid wsp:val=&quot;FE9F6274&quot;/&gt;&lt;wsp:rsid wsp:val=&quot;FEDD1634&quot;/&gt;&lt;wsp:rsid wsp:val=&quot;FEFA1EB8&quot;/&gt;&lt;wsp:rsid wsp:val=&quot;FF1C1AB3&quot;/&gt;&lt;wsp:rsid wsp:val=&quot;FF2E3D85&quot;/&gt;&lt;wsp:rsid wsp:val=&quot;FF3FD125&quot;/&gt;&lt;wsp:rsid wsp:val=&quot;FF5F1445&quot;/&gt;&lt;wsp:rsid wsp:val=&quot;FF6C9B3A&quot;/&gt;&lt;wsp:rsid wsp:val=&quot;FF6FAE72&quot;/&gt;&lt;wsp:rsid wsp:val=&quot;FF7D18DE&quot;/&gt;&lt;wsp:rsid wsp:val=&quot;FF7F1A1F&quot;/&gt;&lt;wsp:rsid wsp:val=&quot;FF7F4874&quot;/&gt;&lt;wsp:rsid wsp:val=&quot;FF7FC562&quot;/&gt;&lt;wsp:rsid wsp:val=&quot;FF7FEAFE&quot;/&gt;&lt;wsp:rsid wsp:val=&quot;FF90B2D1&quot;/&gt;&lt;wsp:rsid wsp:val=&quot;FF9DBC46&quot;/&gt;&lt;wsp:rsid wsp:val=&quot;FFAEBEB2&quot;/&gt;&lt;wsp:rsid wsp:val=&quot;FFBDA77C&quot;/&gt;&lt;wsp:rsid wsp:val=&quot;FFBE1F58&quot;/&gt;&lt;wsp:rsid wsp:val=&quot;FFBF8FAA&quot;/&gt;&lt;wsp:rsid wsp:val=&quot;FFBF9C5A&quot;/&gt;&lt;wsp:rsid wsp:val=&quot;FFBFDEF1&quot;/&gt;&lt;wsp:rsid wsp:val=&quot;FFDD40DA&quot;/&gt;&lt;wsp:rsid wsp:val=&quot;FFE9547C&quot;/&gt;&lt;wsp:rsid wsp:val=&quot;FFF4C6AA&quot;/&gt;&lt;wsp:rsid wsp:val=&quot;FFF5566E&quot;/&gt;&lt;wsp:rsid wsp:val=&quot;FFF71B17&quot;/&gt;&lt;wsp:rsid wsp:val=&quot;FFF7534D&quot;/&gt;&lt;wsp:rsid wsp:val=&quot;FFF7A93B&quot;/&gt;&lt;wsp:rsid wsp:val=&quot;FFFBD57C&quot;/&gt;&lt;wsp:rsid wsp:val=&quot;FFFDBD57&quot;/&gt;&lt;wsp:rsid wsp:val=&quot;FFFE6206&quot;/&gt;&lt;wsp:rsid wsp:val=&quot;FFFF2656&quot;/&gt;&lt;wsp:rsid wsp:val=&quot;FFFFEE31&quot;/&gt;&lt;/wsp:rsids&gt;&lt;/w:docPr&gt;&lt;w:body&gt;&lt;wx:sect&gt;&lt;w:p wsp:rsidR=&quot;003A0A43&quot; wsp:rsidRDefault=&quot;003A0A43&quot; wsp:rsidP=&quot;003A0A43&quot;&gt;&lt;m:oMathPara&gt;&lt;m:oMath&gt;&lt;m:r&gt;&lt;w:rPr&gt;&lt;w:rFonts w:ascii=&quot;Cambria Math&quot; w:fareast=&quot;等线&quot; w:h-ansi=&quot;Cambria Math&quot;/&gt;&lt;wx:font wx:val=&quot;Cambria Math&quot;/&gt;&lt;w:i/&gt;&lt;w:color w:val=&quot;1F1F1F&quot;/&gt;&lt;w:kern w:val=&quot;0&quot;/&gt;&lt;w:sz w:val=&quot;24&quot;/&gt;&lt;/w:rPr&gt;&lt;m:t&gt;η&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rFonts w:hint="eastAsia" w:ascii="宋体" w:hAnsi="宋体" w:eastAsia="宋体" w:cs="宋体"/>
          <w:sz w:val="21"/>
          <w:szCs w:val="21"/>
        </w:rPr>
        <w:instrText xml:space="preserve">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end"/>
      </w:r>
      <w:r>
        <w:rPr>
          <w:rFonts w:hint="eastAsia" w:ascii="宋体" w:hAnsi="宋体" w:eastAsia="宋体" w:cs="宋体"/>
          <w:sz w:val="21"/>
          <w:szCs w:val="21"/>
        </w:rPr>
        <w:t xml:space="preserve"> ——分散介质（水）的动力粘度（Pa·s）；</w:t>
      </w:r>
    </w:p>
    <w:p w14:paraId="2FB4E4B2">
      <w:pPr>
        <w:numPr>
          <w:ilvl w:val="0"/>
          <w:numId w:val="0"/>
        </w:numPr>
        <w:ind w:leftChars="200"/>
        <w:jc w:val="left"/>
        <w:rPr>
          <w:rFonts w:hint="eastAsia" w:ascii="宋体" w:hAnsi="宋体" w:eastAsia="宋体" w:cs="宋体"/>
          <w:sz w:val="21"/>
          <w:szCs w:val="21"/>
        </w:rPr>
      </w:pPr>
      <m:oMath>
        <m:sSub>
          <m:sSubPr>
            <m:ctrlPr>
              <w:rPr>
                <w:rFonts w:hint="eastAsia" w:ascii="Cambria Math" w:hAnsi="Cambria Math" w:eastAsia="宋体" w:cs="宋体"/>
                <w:i/>
                <w:color w:val="1F1F1F"/>
                <w:kern w:val="0"/>
                <w:sz w:val="21"/>
                <w:szCs w:val="21"/>
              </w:rPr>
            </m:ctrlPr>
          </m:sSubPr>
          <m:e>
            <m:r>
              <m:rPr/>
              <w:rPr>
                <w:rFonts w:hint="eastAsia" w:ascii="Cambria Math" w:hAnsi="Cambria Math" w:eastAsia="宋体" w:cs="宋体"/>
                <w:color w:val="1F1F1F"/>
                <w:kern w:val="0"/>
                <w:sz w:val="21"/>
                <w:szCs w:val="21"/>
              </w:rPr>
              <m:t>D</m:t>
            </m:r>
            <m:ctrlPr>
              <w:rPr>
                <w:rFonts w:hint="eastAsia" w:ascii="Cambria Math" w:hAnsi="Cambria Math" w:eastAsia="宋体" w:cs="宋体"/>
                <w:sz w:val="21"/>
                <w:szCs w:val="21"/>
              </w:rPr>
            </m:ctrlPr>
          </m:e>
          <m:sub>
            <m:r>
              <m:rPr/>
              <w:rPr>
                <w:rFonts w:hint="eastAsia" w:ascii="Cambria Math" w:hAnsi="Cambria Math" w:eastAsia="宋体" w:cs="宋体"/>
                <w:color w:val="1F1F1F"/>
                <w:kern w:val="0"/>
                <w:sz w:val="21"/>
                <w:szCs w:val="21"/>
              </w:rPr>
              <m:t>t</m:t>
            </m:r>
            <m:ctrlPr>
              <w:rPr>
                <w:rFonts w:hint="eastAsia" w:ascii="Cambria Math" w:hAnsi="Cambria Math" w:eastAsia="宋体" w:cs="宋体"/>
                <w:sz w:val="21"/>
                <w:szCs w:val="21"/>
              </w:rPr>
            </m:ctrlPr>
          </m:sub>
        </m:sSub>
      </m:oMath>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QUOTE </w:instrText>
      </w:r>
      <w:r>
        <w:rPr>
          <w:rFonts w:hint="eastAsia" w:ascii="宋体" w:hAnsi="宋体" w:eastAsia="宋体" w:cs="宋体"/>
          <w:sz w:val="21"/>
          <w:szCs w:val="21"/>
        </w:rPr>
        <w:pict>
          <v:shape id="_x0000_i1029" o:spt="75" type="#_x0000_t75" style="height:15.75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mirrorMargins/&gt;&lt;w:bordersDontSurroundHeader/&gt;&lt;w:bordersDontSurroundFooter/&gt;&lt;w:stylePaneFormatFilter w:val=&quot;3F01&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ODdiNDM5ZjM0MmZlNTdhMWFiNmM1NjYzYmNlN2ZjYjEifQ==&quot;/&gt;&lt;/w:docVars&gt;&lt;wsp:rsids&gt;&lt;wsp:rsidRoot wsp:val=&quot;00035925&quot;/&gt;&lt;wsp:rsid wsp:val=&quot;00000244&quot;/&gt;&lt;wsp:rsid wsp:val=&quot;0000185F&quot;/&gt;&lt;wsp:rsid wsp:val=&quot;0000586F&quot;/&gt;&lt;wsp:rsid wsp:val=&quot;00013D86&quot;/&gt;&lt;wsp:rsid wsp:val=&quot;00013E02&quot;/&gt;&lt;wsp:rsid wsp:val=&quot;00016D29&quot;/&gt;&lt;wsp:rsid wsp:val=&quot;0002143C&quot;/&gt;&lt;wsp:rsid wsp:val=&quot;00024D73&quot;/&gt;&lt;wsp:rsid wsp:val=&quot;00025A65&quot;/&gt;&lt;wsp:rsid wsp:val=&quot;00026C31&quot;/&gt;&lt;wsp:rsid wsp:val=&quot;00027280&quot;/&gt;&lt;wsp:rsid wsp:val=&quot;00031663&quot;/&gt;&lt;wsp:rsid wsp:val=&quot;000320A7&quot;/&gt;&lt;wsp:rsid wsp:val=&quot;00033841&quot;/&gt;&lt;wsp:rsid wsp:val=&quot;0003559F&quot;/&gt;&lt;wsp:rsid wsp:val=&quot;000358B6&quot;/&gt;&lt;wsp:rsid wsp:val=&quot;00035925&quot;/&gt;&lt;wsp:rsid wsp:val=&quot;00040B5B&quot;/&gt;&lt;wsp:rsid wsp:val=&quot;000438F1&quot;/&gt;&lt;wsp:rsid wsp:val=&quot;0005035D&quot;/&gt;&lt;wsp:rsid wsp:val=&quot;00052C18&quot;/&gt;&lt;wsp:rsid wsp:val=&quot;00054692&quot;/&gt;&lt;wsp:rsid wsp:val=&quot;00056315&quot;/&gt;&lt;wsp:rsid wsp:val=&quot;00062B2F&quot;/&gt;&lt;wsp:rsid wsp:val=&quot;00067CDF&quot;/&gt;&lt;wsp:rsid wsp:val=&quot;00074FBE&quot;/&gt;&lt;wsp:rsid wsp:val=&quot;00083415&quot;/&gt;&lt;wsp:rsid wsp:val=&quot;00083A09&quot;/&gt;&lt;wsp:rsid wsp:val=&quot;000868F2&quot;/&gt;&lt;wsp:rsid wsp:val=&quot;0009005E&quot;/&gt;&lt;wsp:rsid wsp:val=&quot;00092857&quot;/&gt;&lt;wsp:rsid wsp:val=&quot;00096A0D&quot;/&gt;&lt;wsp:rsid wsp:val=&quot;000A20A9&quot;/&gt;&lt;wsp:rsid wsp:val=&quot;000A48B1&quot;/&gt;&lt;wsp:rsid wsp:val=&quot;000A67E5&quot;/&gt;&lt;wsp:rsid wsp:val=&quot;000B3143&quot;/&gt;&lt;wsp:rsid wsp:val=&quot;000B4B1C&quot;/&gt;&lt;wsp:rsid wsp:val=&quot;000C47A1&quot;/&gt;&lt;wsp:rsid wsp:val=&quot;000C4928&quot;/&gt;&lt;wsp:rsid wsp:val=&quot;000C651B&quot;/&gt;&lt;wsp:rsid wsp:val=&quot;000C6B05&quot;/&gt;&lt;wsp:rsid wsp:val=&quot;000C6DD6&quot;/&gt;&lt;wsp:rsid wsp:val=&quot;000C73D4&quot;/&gt;&lt;wsp:rsid wsp:val=&quot;000D3D4C&quot;/&gt;&lt;wsp:rsid wsp:val=&quot;000D4F51&quot;/&gt;&lt;wsp:rsid wsp:val=&quot;000D718B&quot;/&gt;&lt;wsp:rsid wsp:val=&quot;000E059A&quot;/&gt;&lt;wsp:rsid wsp:val=&quot;000E0B88&quot;/&gt;&lt;wsp:rsid wsp:val=&quot;000E0C46&quot;/&gt;&lt;wsp:rsid wsp:val=&quot;000E630F&quot;/&gt;&lt;wsp:rsid wsp:val=&quot;000F030C&quot;/&gt;&lt;wsp:rsid wsp:val=&quot;000F129C&quot;/&gt;&lt;wsp:rsid wsp:val=&quot;000F19AE&quot;/&gt;&lt;wsp:rsid wsp:val=&quot;000F3707&quot;/&gt;&lt;wsp:rsid wsp:val=&quot;001020F3&quot;/&gt;&lt;wsp:rsid wsp:val=&quot;001036BE&quot;/&gt;&lt;wsp:rsid wsp:val=&quot;001045EA&quot;/&gt;&lt;wsp:rsid wsp:val=&quot;001056DE&quot;/&gt;&lt;wsp:rsid wsp:val=&quot;00107050&quot;/&gt;&lt;wsp:rsid wsp:val=&quot;001124C0&quot;/&gt;&lt;wsp:rsid wsp:val=&quot;00124188&quot;/&gt;&lt;wsp:rsid wsp:val=&quot;0013175F&quot;/&gt;&lt;wsp:rsid wsp:val=&quot;00146E25&quot;/&gt;&lt;wsp:rsid wsp:val=&quot;001512B4&quot;/&gt;&lt;wsp:rsid wsp:val=&quot;00151CF1&quot;/&gt;&lt;wsp:rsid wsp:val=&quot;00152CB5&quot;/&gt;&lt;wsp:rsid wsp:val=&quot;001620A5&quot;/&gt;&lt;wsp:rsid wsp:val=&quot;00164E53&quot;/&gt;&lt;wsp:rsid wsp:val=&quot;00166910&quot;/&gt;&lt;wsp:rsid wsp:val=&quot;0016699D&quot;/&gt;&lt;wsp:rsid wsp:val=&quot;001676C9&quot;/&gt;&lt;wsp:rsid wsp:val=&quot;00174563&quot;/&gt;&lt;wsp:rsid wsp:val=&quot;00175159&quot;/&gt;&lt;wsp:rsid wsp:val=&quot;00176208&quot;/&gt;&lt;wsp:rsid wsp:val=&quot;0018211B&quot;/&gt;&lt;wsp:rsid wsp:val=&quot;00183884&quot;/&gt;&lt;wsp:rsid wsp:val=&quot;001840D3&quot;/&gt;&lt;wsp:rsid wsp:val=&quot;001900F8&quot;/&gt;&lt;wsp:rsid wsp:val=&quot;00191258&quot;/&gt;&lt;wsp:rsid wsp:val=&quot;00191268&quot;/&gt;&lt;wsp:rsid wsp:val=&quot;00192680&quot;/&gt;&lt;wsp:rsid wsp:val=&quot;001926A1&quot;/&gt;&lt;wsp:rsid wsp:val=&quot;00193037&quot;/&gt;&lt;wsp:rsid wsp:val=&quot;00193A2C&quot;/&gt;&lt;wsp:rsid wsp:val=&quot;001A288E&quot;/&gt;&lt;wsp:rsid wsp:val=&quot;001A4192&quot;/&gt;&lt;wsp:rsid wsp:val=&quot;001A64C8&quot;/&gt;&lt;wsp:rsid wsp:val=&quot;001A6E9E&quot;/&gt;&lt;wsp:rsid wsp:val=&quot;001B1355&quot;/&gt;&lt;wsp:rsid wsp:val=&quot;001B6DC2&quot;/&gt;&lt;wsp:rsid wsp:val=&quot;001C149C&quot;/&gt;&lt;wsp:rsid wsp:val=&quot;001C1B0E&quot;/&gt;&lt;wsp:rsid wsp:val=&quot;001C21AC&quot;/&gt;&lt;wsp:rsid wsp:val=&quot;001C47BA&quot;/&gt;&lt;wsp:rsid wsp:val=&quot;001C59EA&quot;/&gt;&lt;wsp:rsid wsp:val=&quot;001D406C&quot;/&gt;&lt;wsp:rsid wsp:val=&quot;001D41EE&quot;/&gt;&lt;wsp:rsid wsp:val=&quot;001D5AD1&quot;/&gt;&lt;wsp:rsid wsp:val=&quot;001E0380&quot;/&gt;&lt;wsp:rsid wsp:val=&quot;001E13B1&quot;/&gt;&lt;wsp:rsid wsp:val=&quot;001E37B1&quot;/&gt;&lt;wsp:rsid wsp:val=&quot;001E3E08&quot;/&gt;&lt;wsp:rsid wsp:val=&quot;001E62F1&quot;/&gt;&lt;wsp:rsid wsp:val=&quot;001F3A19&quot;/&gt;&lt;wsp:rsid wsp:val=&quot;00204999&quot;/&gt;&lt;wsp:rsid wsp:val=&quot;00234467&quot;/&gt;&lt;wsp:rsid wsp:val=&quot;00236563&quot;/&gt;&lt;wsp:rsid wsp:val=&quot;00237D8D&quot;/&gt;&lt;wsp:rsid wsp:val=&quot;0024164C&quot;/&gt;&lt;wsp:rsid wsp:val=&quot;00241DA2&quot;/&gt;&lt;wsp:rsid wsp:val=&quot;00245AC4&quot;/&gt;&lt;wsp:rsid wsp:val=&quot;0024669F&quot;/&gt;&lt;wsp:rsid wsp:val=&quot;00247FEE&quot;/&gt;&lt;wsp:rsid wsp:val=&quot;00250E7D&quot;/&gt;&lt;wsp:rsid wsp:val=&quot;00252BC8&quot;/&gt;&lt;wsp:rsid wsp:val=&quot;00253453&quot;/&gt;&lt;wsp:rsid wsp:val=&quot;002565D5&quot;/&gt;&lt;wsp:rsid wsp:val=&quot;0026016A&quot;/&gt;&lt;wsp:rsid wsp:val=&quot;002622C0&quot;/&gt;&lt;wsp:rsid wsp:val=&quot;0026410B&quot;/&gt;&lt;wsp:rsid wsp:val=&quot;00271141&quot;/&gt;&lt;wsp:rsid wsp:val=&quot;0027759F&quot;/&gt;&lt;wsp:rsid wsp:val=&quot;002778AE&quot;/&gt;&lt;wsp:rsid wsp:val=&quot;0028098B&quot;/&gt;&lt;wsp:rsid wsp:val=&quot;00280E4B&quot;/&gt;&lt;wsp:rsid wsp:val=&quot;0028269A&quot;/&gt;&lt;wsp:rsid wsp:val=&quot;00283590&quot;/&gt;&lt;wsp:rsid wsp:val=&quot;00286478&quot;/&gt;&lt;wsp:rsid wsp:val=&quot;002868D2&quot;/&gt;&lt;wsp:rsid wsp:val=&quot;00286973&quot;/&gt;&lt;wsp:rsid wsp:val=&quot;00290075&quot;/&gt;&lt;wsp:rsid wsp:val=&quot;00294E70&quot;/&gt;&lt;wsp:rsid wsp:val=&quot;00296269&quot;/&gt;&lt;wsp:rsid wsp:val=&quot;002A1924&quot;/&gt;&lt;wsp:rsid wsp:val=&quot;002A7420&quot;/&gt;&lt;wsp:rsid wsp:val=&quot;002B0F12&quot;/&gt;&lt;wsp:rsid wsp:val=&quot;002B1308&quot;/&gt;&lt;wsp:rsid wsp:val=&quot;002B2632&quot;/&gt;&lt;wsp:rsid wsp:val=&quot;002B3ECF&quot;/&gt;&lt;wsp:rsid wsp:val=&quot;002B4554&quot;/&gt;&lt;wsp:rsid wsp:val=&quot;002C1BF3&quot;/&gt;&lt;wsp:rsid wsp:val=&quot;002C72D8&quot;/&gt;&lt;wsp:rsid wsp:val=&quot;002D0E66&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301F39&quot;/&gt;&lt;wsp:rsid wsp:val=&quot;00305BFC&quot;/&gt;&lt;wsp:rsid wsp:val=&quot;00307272&quot;/&gt;&lt;wsp:rsid wsp:val=&quot;00317F54&quot;/&gt;&lt;wsp:rsid wsp:val=&quot;00320581&quot;/&gt;&lt;wsp:rsid wsp:val=&quot;00325926&quot;/&gt;&lt;wsp:rsid wsp:val=&quot;00325B6D&quot;/&gt;&lt;wsp:rsid wsp:val=&quot;003261E3&quot;/&gt;&lt;wsp:rsid wsp:val=&quot;00327A8A&quot;/&gt;&lt;wsp:rsid wsp:val=&quot;00331B2F&quot;/&gt;&lt;wsp:rsid wsp:val=&quot;0033608E&quot;/&gt;&lt;wsp:rsid wsp:val=&quot;00336610&quot;/&gt;&lt;wsp:rsid wsp:val=&quot;00343F73&quot;/&gt;&lt;wsp:rsid wsp:val=&quot;00345060&quot;/&gt;&lt;wsp:rsid wsp:val=&quot;003457C2&quot;/&gt;&lt;wsp:rsid wsp:val=&quot;003471BD&quot;/&gt;&lt;wsp:rsid wsp:val=&quot;00347452&quot;/&gt;&lt;wsp:rsid wsp:val=&quot;0035323B&quot;/&gt;&lt;wsp:rsid wsp:val=&quot;003578BA&quot;/&gt;&lt;wsp:rsid wsp:val=&quot;0036015A&quot;/&gt;&lt;wsp:rsid wsp:val=&quot;003609D2&quot;/&gt;&lt;wsp:rsid wsp:val=&quot;00363F22&quot;/&gt;&lt;wsp:rsid wsp:val=&quot;00364E5C&quot;/&gt;&lt;wsp:rsid wsp:val=&quot;0036506B&quot;/&gt;&lt;wsp:rsid wsp:val=&quot;00370C90&quot;/&gt;&lt;wsp:rsid wsp:val=&quot;00375564&quot;/&gt;&lt;wsp:rsid wsp:val=&quot;0038088A&quot;/&gt;&lt;wsp:rsid wsp:val=&quot;00383191&quot;/&gt;&lt;wsp:rsid wsp:val=&quot;00386624&quot;/&gt;&lt;wsp:rsid wsp:val=&quot;00386DED&quot;/&gt;&lt;wsp:rsid wsp:val=&quot;00387FC4&quot;/&gt;&lt;wsp:rsid wsp:val=&quot;003912E7&quot;/&gt;&lt;wsp:rsid wsp:val=&quot;00392A0C&quot;/&gt;&lt;wsp:rsid wsp:val=&quot;00393947&quot;/&gt;&lt;wsp:rsid wsp:val=&quot;003A2275&quot;/&gt;&lt;wsp:rsid wsp:val=&quot;003A6A4F&quot;/&gt;&lt;wsp:rsid wsp:val=&quot;003A7088&quot;/&gt;&lt;wsp:rsid wsp:val=&quot;003B00DF&quot;/&gt;&lt;wsp:rsid wsp:val=&quot;003B1275&quot;/&gt;&lt;wsp:rsid wsp:val=&quot;003B1778&quot;/&gt;&lt;wsp:rsid wsp:val=&quot;003B6F85&quot;/&gt;&lt;wsp:rsid wsp:val=&quot;003B7FE0&quot;/&gt;&lt;wsp:rsid wsp:val=&quot;003C11CB&quot;/&gt;&lt;wsp:rsid wsp:val=&quot;003C75F3&quot;/&gt;&lt;wsp:rsid wsp:val=&quot;003C78A3&quot;/&gt;&lt;wsp:rsid wsp:val=&quot;003D672F&quot;/&gt;&lt;wsp:rsid wsp:val=&quot;003E005B&quot;/&gt;&lt;wsp:rsid wsp:val=&quot;003E1867&quot;/&gt;&lt;wsp:rsid wsp:val=&quot;003E5729&quot;/&gt;&lt;wsp:rsid wsp:val=&quot;003E5A5C&quot;/&gt;&lt;wsp:rsid wsp:val=&quot;003F160B&quot;/&gt;&lt;wsp:rsid wsp:val=&quot;003F4EE0&quot;/&gt;&lt;wsp:rsid wsp:val=&quot;004011AB&quot;/&gt;&lt;wsp:rsid wsp:val=&quot;00402153&quot;/&gt;&lt;wsp:rsid wsp:val=&quot;00402FC1&quot;/&gt;&lt;wsp:rsid wsp:val=&quot;00404ADE&quot;/&gt;&lt;wsp:rsid wsp:val=&quot;00410A0C&quot;/&gt;&lt;wsp:rsid wsp:val=&quot;004208F2&quot;/&gt;&lt;wsp:rsid wsp:val=&quot;00421A26&quot;/&gt;&lt;wsp:rsid wsp:val=&quot;00425082&quot;/&gt;&lt;wsp:rsid wsp:val=&quot;00431BE8&quot;/&gt;&lt;wsp:rsid wsp:val=&quot;00431DEB&quot;/&gt;&lt;wsp:rsid wsp:val=&quot;00435823&quot;/&gt;&lt;wsp:rsid wsp:val=&quot;00442C64&quot;/&gt;&lt;wsp:rsid wsp:val=&quot;00446B29&quot;/&gt;&lt;wsp:rsid wsp:val=&quot;00453F9A&quot;/&gt;&lt;wsp:rsid wsp:val=&quot;00471E91&quot;/&gt;&lt;wsp:rsid wsp:val=&quot;00474675&quot;/&gt;&lt;wsp:rsid wsp:val=&quot;0047470C&quot;/&gt;&lt;wsp:rsid wsp:val=&quot;00481E99&quot;/&gt;&lt;wsp:rsid wsp:val=&quot;0048466A&quot;/&gt;&lt;wsp:rsid wsp:val=&quot;00484AC3&quot;/&gt;&lt;wsp:rsid wsp:val=&quot;00486BC0&quot;/&gt;&lt;wsp:rsid wsp:val=&quot;00494314&quot;/&gt;&lt;wsp:rsid wsp:val=&quot;00496379&quot;/&gt;&lt;wsp:rsid wsp:val=&quot;004A25B8&quot;/&gt;&lt;wsp:rsid wsp:val=&quot;004A35F9&quot;/&gt;&lt;wsp:rsid wsp:val=&quot;004A61F3&quot;/&gt;&lt;wsp:rsid wsp:val=&quot;004A6C87&quot;/&gt;&lt;wsp:rsid wsp:val=&quot;004B154F&quot;/&gt;&lt;wsp:rsid wsp:val=&quot;004B202F&quot;/&gt;&lt;wsp:rsid wsp:val=&quot;004B24C1&quot;/&gt;&lt;wsp:rsid wsp:val=&quot;004B410B&quot;/&gt;&lt;wsp:rsid wsp:val=&quot;004C292F&quot;/&gt;&lt;wsp:rsid wsp:val=&quot;004C57F8&quot;/&gt;&lt;wsp:rsid wsp:val=&quot;004D06B5&quot;/&gt;&lt;wsp:rsid wsp:val=&quot;004D5B5D&quot;/&gt;&lt;wsp:rsid wsp:val=&quot;004D6EBF&quot;/&gt;&lt;wsp:rsid wsp:val=&quot;004E2083&quot;/&gt;&lt;wsp:rsid wsp:val=&quot;004E287F&quot;/&gt;&lt;wsp:rsid wsp:val=&quot;004E5004&quot;/&gt;&lt;wsp:rsid wsp:val=&quot;004E5141&quot;/&gt;&lt;wsp:rsid wsp:val=&quot;004E7B20&quot;/&gt;&lt;wsp:rsid wsp:val=&quot;00501A8F&quot;/&gt;&lt;wsp:rsid wsp:val=&quot;0050709E&quot;/&gt;&lt;wsp:rsid wsp:val=&quot;00510280&quot;/&gt;&lt;wsp:rsid wsp:val=&quot;00513D73&quot;/&gt;&lt;wsp:rsid wsp:val=&quot;00514A43&quot;/&gt;&lt;wsp:rsid wsp:val=&quot;005174E5&quot;/&gt;&lt;wsp:rsid wsp:val=&quot;00522393&quot;/&gt;&lt;wsp:rsid wsp:val=&quot;00522620&quot;/&gt;&lt;wsp:rsid wsp:val=&quot;00522E8F&quot;/&gt;&lt;wsp:rsid wsp:val=&quot;0052302C&quot;/&gt;&lt;wsp:rsid wsp:val=&quot;00524376&quot;/&gt;&lt;wsp:rsid wsp:val=&quot;00525656&quot;/&gt;&lt;wsp:rsid wsp:val=&quot;0052625F&quot;/&gt;&lt;wsp:rsid wsp:val=&quot;00532FB0&quot;/&gt;&lt;wsp:rsid wsp:val=&quot;00534C02&quot;/&gt;&lt;wsp:rsid wsp:val=&quot;00541489&quot;/&gt;&lt;wsp:rsid wsp:val=&quot;0054264B&quot;/&gt;&lt;wsp:rsid wsp:val=&quot;00543786&quot;/&gt;&lt;wsp:rsid wsp:val=&quot;005460DC&quot;/&gt;&lt;wsp:rsid wsp:val=&quot;005533D7&quot;/&gt;&lt;wsp:rsid wsp:val=&quot;005703DE&quot;/&gt;&lt;wsp:rsid wsp:val=&quot;0058464E&quot;/&gt;&lt;wsp:rsid wsp:val=&quot;005921CF&quot;/&gt;&lt;wsp:rsid wsp:val=&quot;005A01CB&quot;/&gt;&lt;wsp:rsid wsp:val=&quot;005A58FF&quot;/&gt;&lt;wsp:rsid wsp:val=&quot;005A5EAF&quot;/&gt;&lt;wsp:rsid wsp:val=&quot;005A64C0&quot;/&gt;&lt;wsp:rsid wsp:val=&quot;005B0A39&quot;/&gt;&lt;wsp:rsid wsp:val=&quot;005B3C11&quot;/&gt;&lt;wsp:rsid wsp:val=&quot;005C1C28&quot;/&gt;&lt;wsp:rsid wsp:val=&quot;005C6DB5&quot;/&gt;&lt;wsp:rsid wsp:val=&quot;005D4D2B&quot;/&gt;&lt;wsp:rsid wsp:val=&quot;005E19E7&quot;/&gt;&lt;wsp:rsid wsp:val=&quot;005E2C4D&quot;/&gt;&lt;wsp:rsid wsp:val=&quot;005F48F2&quot;/&gt;&lt;wsp:rsid wsp:val=&quot;00604385&quot;/&gt;&lt;wsp:rsid wsp:val=&quot;00610DCF&quot;/&gt;&lt;wsp:rsid wsp:val=&quot;0061447A&quot;/&gt;&lt;wsp:rsid wsp:val=&quot;0061716C&quot;/&gt;&lt;wsp:rsid wsp:val=&quot;00623DF0&quot;/&gt;&lt;wsp:rsid wsp:val=&quot;006243A1&quot;/&gt;&lt;wsp:rsid wsp:val=&quot;006327D3&quot;/&gt;&lt;wsp:rsid wsp:val=&quot;00632E56&quot;/&gt;&lt;wsp:rsid wsp:val=&quot;006345FE&quot;/&gt;&lt;wsp:rsid wsp:val=&quot;006353A8&quot;/&gt;&lt;wsp:rsid wsp:val=&quot;00635CBA&quot;/&gt;&lt;wsp:rsid wsp:val=&quot;0063656A&quot;/&gt;&lt;wsp:rsid wsp:val=&quot;0064338B&quot;/&gt;&lt;wsp:rsid wsp:val=&quot;00645B06&quot;/&gt;&lt;wsp:rsid wsp:val=&quot;00646542&quot;/&gt;&lt;wsp:rsid wsp:val=&quot;006504F4&quot;/&gt;&lt;wsp:rsid wsp:val=&quot;006515B3&quot;/&gt;&lt;wsp:rsid wsp:val=&quot;00654BC9&quot;/&gt;&lt;wsp:rsid wsp:val=&quot;006552FD&quot;/&gt;&lt;wsp:rsid wsp:val=&quot;00657059&quot;/&gt;&lt;wsp:rsid wsp:val=&quot;00663AF3&quot;/&gt;&lt;wsp:rsid wsp:val=&quot;00664DD8&quot;/&gt;&lt;wsp:rsid wsp:val=&quot;00666B6C&quot;/&gt;&lt;wsp:rsid wsp:val=&quot;00667189&quot;/&gt;&lt;wsp:rsid wsp:val=&quot;0067609E&quot;/&gt;&lt;wsp:rsid wsp:val=&quot;00676627&quot;/&gt;&lt;wsp:rsid wsp:val=&quot;00681BA0&quot;/&gt;&lt;wsp:rsid wsp:val=&quot;00682682&quot;/&gt;&lt;wsp:rsid wsp:val=&quot;00682702&quot;/&gt;&lt;wsp:rsid wsp:val=&quot;00692368&quot;/&gt;&lt;wsp:rsid wsp:val=&quot;006941C1&quot;/&gt;&lt;wsp:rsid wsp:val=&quot;00694CF1&quot;/&gt;&lt;wsp:rsid wsp:val=&quot;006A00F2&quot;/&gt;&lt;wsp:rsid wsp:val=&quot;006A2EBC&quot;/&gt;&lt;wsp:rsid wsp:val=&quot;006A3AA1&quot;/&gt;&lt;wsp:rsid wsp:val=&quot;006A5EA0&quot;/&gt;&lt;wsp:rsid wsp:val=&quot;006A783B&quot;/&gt;&lt;wsp:rsid wsp:val=&quot;006A7B33&quot;/&gt;&lt;wsp:rsid wsp:val=&quot;006B41F3&quot;/&gt;&lt;wsp:rsid wsp:val=&quot;006B4E13&quot;/&gt;&lt;wsp:rsid wsp:val=&quot;006B75DD&quot;/&gt;&lt;wsp:rsid wsp:val=&quot;006B7CA2&quot;/&gt;&lt;wsp:rsid wsp:val=&quot;006C67E0&quot;/&gt;&lt;wsp:rsid wsp:val=&quot;006C7ABA&quot;/&gt;&lt;wsp:rsid wsp:val=&quot;006D0D60&quot;/&gt;&lt;wsp:rsid wsp:val=&quot;006D1122&quot;/&gt;&lt;wsp:rsid wsp:val=&quot;006D3C00&quot;/&gt;&lt;wsp:rsid wsp:val=&quot;006D7260&quot;/&gt;&lt;wsp:rsid wsp:val=&quot;006E3675&quot;/&gt;&lt;wsp:rsid wsp:val=&quot;006E4A7F&quot;/&gt;&lt;wsp:rsid wsp:val=&quot;006E5254&quot;/&gt;&lt;wsp:rsid wsp:val=&quot;006F0D88&quot;/&gt;&lt;wsp:rsid wsp:val=&quot;006F5381&quot;/&gt;&lt;wsp:rsid wsp:val=&quot;006F565E&quot;/&gt;&lt;wsp:rsid wsp:val=&quot;00704DF6&quot;/&gt;&lt;wsp:rsid wsp:val=&quot;0070651C&quot;/&gt;&lt;wsp:rsid wsp:val=&quot;007132A3&quot;/&gt;&lt;wsp:rsid wsp:val=&quot;00714204&quot;/&gt;&lt;wsp:rsid wsp:val=&quot;00716421&quot;/&gt;&lt;wsp:rsid wsp:val=&quot;00724EFB&quot;/&gt;&lt;wsp:rsid wsp:val=&quot;00737558&quot;/&gt;&lt;wsp:rsid wsp:val=&quot;0074177A&quot;/&gt;&lt;wsp:rsid wsp:val=&quot;007419C3&quot;/&gt;&lt;wsp:rsid wsp:val=&quot;00746508&quot;/&gt;&lt;wsp:rsid wsp:val=&quot;007467A7&quot;/&gt;&lt;wsp:rsid wsp:val=&quot;007469DD&quot;/&gt;&lt;wsp:rsid wsp:val=&quot;0074741B&quot;/&gt;&lt;wsp:rsid wsp:val=&quot;0074759E&quot;/&gt;&lt;wsp:rsid wsp:val=&quot;007478EA&quot;/&gt;&lt;wsp:rsid wsp:val=&quot;0075415C&quot;/&gt;&lt;wsp:rsid wsp:val=&quot;00757471&quot;/&gt;&lt;wsp:rsid wsp:val=&quot;00761930&quot;/&gt;&lt;wsp:rsid wsp:val=&quot;00763502&quot;/&gt;&lt;wsp:rsid wsp:val=&quot;0076399D&quot;/&gt;&lt;wsp:rsid wsp:val=&quot;007753F7&quot;/&gt;&lt;wsp:rsid wsp:val=&quot;00777106&quot;/&gt;&lt;wsp:rsid wsp:val=&quot;0078220E&quot;/&gt;&lt;wsp:rsid wsp:val=&quot;007863C3&quot;/&gt;&lt;wsp:rsid wsp:val=&quot;00786CD0&quot;/&gt;&lt;wsp:rsid wsp:val=&quot;00787A13&quot;/&gt;&lt;wsp:rsid wsp:val=&quot;0079077F&quot;/&gt;&lt;wsp:rsid wsp:val=&quot;007913AB&quot;/&gt;&lt;wsp:rsid wsp:val=&quot;007914F7&quot;/&gt;&lt;wsp:rsid wsp:val=&quot;007A62F1&quot;/&gt;&lt;wsp:rsid wsp:val=&quot;007A7A93&quot;/&gt;&lt;wsp:rsid wsp:val=&quot;007B016B&quot;/&gt;&lt;wsp:rsid wsp:val=&quot;007B1625&quot;/&gt;&lt;wsp:rsid wsp:val=&quot;007B403F&quot;/&gt;&lt;wsp:rsid wsp:val=&quot;007B706E&quot;/&gt;&lt;wsp:rsid wsp:val=&quot;007B71EB&quot;/&gt;&lt;wsp:rsid wsp:val=&quot;007C2123&quot;/&gt;&lt;wsp:rsid wsp:val=&quot;007C5590&quot;/&gt;&lt;wsp:rsid wsp:val=&quot;007C6205&quot;/&gt;&lt;wsp:rsid wsp:val=&quot;007C686A&quot;/&gt;&lt;wsp:rsid wsp:val=&quot;007C728E&quot;/&gt;&lt;wsp:rsid wsp:val=&quot;007D15F1&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E0B&quot;/&gt;&lt;wsp:rsid wsp:val=&quot;007F758D&quot;/&gt;&lt;wsp:rsid wsp:val=&quot;007F7D52&quot;/&gt;&lt;wsp:rsid wsp:val=&quot;00804ADB&quot;/&gt;&lt;wsp:rsid wsp:val=&quot;0080654C&quot;/&gt;&lt;wsp:rsid wsp:val=&quot;008071C6&quot;/&gt;&lt;wsp:rsid wsp:val=&quot;00810028&quot;/&gt;&lt;wsp:rsid wsp:val=&quot;00817A00&quot;/&gt;&lt;wsp:rsid wsp:val=&quot;00820F56&quot;/&gt;&lt;wsp:rsid wsp:val=&quot;00823015&quot;/&gt;&lt;wsp:rsid wsp:val=&quot;00827BFC&quot;/&gt;&lt;wsp:rsid wsp:val=&quot;00835DB3&quot;/&gt;&lt;wsp:rsid wsp:val=&quot;0083617B&quot;/&gt;&lt;wsp:rsid wsp:val=&quot;008371BD&quot;/&gt;&lt;wsp:rsid wsp:val=&quot;00846855&quot;/&gt;&lt;wsp:rsid wsp:val=&quot;008504A8&quot;/&gt;&lt;wsp:rsid wsp:val=&quot;0085282E&quot;/&gt;&lt;wsp:rsid wsp:val=&quot;008620B9&quot;/&gt;&lt;wsp:rsid wsp:val=&quot;0087198C&quot;/&gt;&lt;wsp:rsid wsp:val=&quot;00872C1F&quot;/&gt;&lt;wsp:rsid wsp:val=&quot;00872CEE&quot;/&gt;&lt;wsp:rsid wsp:val=&quot;00873B42&quot;/&gt;&lt;wsp:rsid wsp:val=&quot;00875157&quot;/&gt;&lt;wsp:rsid wsp:val=&quot;00875D81&quot;/&gt;&lt;wsp:rsid wsp:val=&quot;008856D8&quot;/&gt;&lt;wsp:rsid wsp:val=&quot;00892E82&quot;/&gt;&lt;wsp:rsid wsp:val=&quot;00897415&quot;/&gt;&lt;wsp:rsid wsp:val=&quot;008A7B26&quot;/&gt;&lt;wsp:rsid wsp:val=&quot;008B44C2&quot;/&gt;&lt;wsp:rsid wsp:val=&quot;008B6A2E&quot;/&gt;&lt;wsp:rsid wsp:val=&quot;008B7F3B&quot;/&gt;&lt;wsp:rsid wsp:val=&quot;008C1B58&quot;/&gt;&lt;wsp:rsid wsp:val=&quot;008C39AE&quot;/&gt;&lt;wsp:rsid wsp:val=&quot;008C590D&quot;/&gt;&lt;wsp:rsid wsp:val=&quot;008C6ADB&quot;/&gt;&lt;wsp:rsid wsp:val=&quot;008D0AC3&quot;/&gt;&lt;wsp:rsid wsp:val=&quot;008E031B&quot;/&gt;&lt;wsp:rsid wsp:val=&quot;008E7029&quot;/&gt;&lt;wsp:rsid wsp:val=&quot;008E7EF6&quot;/&gt;&lt;wsp:rsid wsp:val=&quot;008F0478&quot;/&gt;&lt;wsp:rsid wsp:val=&quot;008F138F&quot;/&gt;&lt;wsp:rsid wsp:val=&quot;008F1F98&quot;/&gt;&lt;wsp:rsid wsp:val=&quot;008F5D93&quot;/&gt;&lt;wsp:rsid wsp:val=&quot;008F6758&quot;/&gt;&lt;wsp:rsid wsp:val=&quot;00901F00&quot;/&gt;&lt;wsp:rsid wsp:val=&quot;00901FCE&quot;/&gt;&lt;wsp:rsid wsp:val=&quot;009040DD&quot;/&gt;&lt;wsp:rsid wsp:val=&quot;00905B47&quot;/&gt;&lt;wsp:rsid wsp:val=&quot;009103EF&quot;/&gt;&lt;wsp:rsid wsp:val=&quot;00910497&quot;/&gt;&lt;wsp:rsid wsp:val=&quot;00911E47&quot;/&gt;&lt;wsp:rsid wsp:val=&quot;0091331C&quot;/&gt;&lt;wsp:rsid wsp:val=&quot;00914002&quot;/&gt;&lt;wsp:rsid wsp:val=&quot;00915C53&quot;/&gt;&lt;wsp:rsid wsp:val=&quot;009174FD&quot;/&gt;&lt;wsp:rsid wsp:val=&quot;009201D6&quot;/&gt;&lt;wsp:rsid wsp:val=&quot;0092670E&quot;/&gt;&lt;wsp:rsid wsp:val=&quot;00926917&quot;/&gt;&lt;wsp:rsid wsp:val=&quot;009269C4&quot;/&gt;&lt;wsp:rsid wsp:val=&quot;009279DE&quot;/&gt;&lt;wsp:rsid wsp:val=&quot;00930116&quot;/&gt;&lt;wsp:rsid wsp:val=&quot;0094212C&quot;/&gt;&lt;wsp:rsid wsp:val=&quot;0094666E&quot;/&gt;&lt;wsp:rsid wsp:val=&quot;00954689&quot;/&gt;&lt;wsp:rsid wsp:val=&quot;009551D1&quot;/&gt;&lt;wsp:rsid wsp:val=&quot;00956966&quot;/&gt;&lt;wsp:rsid wsp:val=&quot;009617C9&quot;/&gt;&lt;wsp:rsid wsp:val=&quot;00961C93&quot;/&gt;&lt;wsp:rsid wsp:val=&quot;00965324&quot;/&gt;&lt;wsp:rsid wsp:val=&quot;00966740&quot;/&gt;&lt;wsp:rsid wsp:val=&quot;0097047A&quot;/&gt;&lt;wsp:rsid wsp:val=&quot;0097091E&quot;/&gt;&lt;wsp:rsid wsp:val=&quot;009760D3&quot;/&gt;&lt;wsp:rsid wsp:val=&quot;00977132&quot;/&gt;&lt;wsp:rsid wsp:val=&quot;009776B8&quot;/&gt;&lt;wsp:rsid wsp:val=&quot;0097776E&quot;/&gt;&lt;wsp:rsid wsp:val=&quot;00981A4B&quot;/&gt;&lt;wsp:rsid wsp:val=&quot;00982501&quot;/&gt;&lt;wsp:rsid wsp:val=&quot;0098642A&quot;/&gt;&lt;wsp:rsid wsp:val=&quot;009877D3&quot;/&gt;&lt;wsp:rsid wsp:val=&quot;00990E49&quot;/&gt;&lt;wsp:rsid wsp:val=&quot;00994E8F&quot;/&gt;&lt;wsp:rsid wsp:val=&quot;009951DC&quot;/&gt;&lt;wsp:rsid wsp:val=&quot;009959BB&quot;/&gt;&lt;wsp:rsid wsp:val=&quot;00997158&quot;/&gt;&lt;wsp:rsid wsp:val=&quot;009A1D0B&quot;/&gt;&lt;wsp:rsid wsp:val=&quot;009A3A7C&quot;/&gt;&lt;wsp:rsid wsp:val=&quot;009A7D1B&quot;/&gt;&lt;wsp:rsid wsp:val=&quot;009B090E&quot;/&gt;&lt;wsp:rsid wsp:val=&quot;009B2ADB&quot;/&gt;&lt;wsp:rsid wsp:val=&quot;009B460D&quot;/&gt;&lt;wsp:rsid wsp:val=&quot;009B5586&quot;/&gt;&lt;wsp:rsid wsp:val=&quot;009B603A&quot;/&gt;&lt;wsp:rsid wsp:val=&quot;009B7AE1&quot;/&gt;&lt;wsp:rsid wsp:val=&quot;009C0C53&quot;/&gt;&lt;wsp:rsid wsp:val=&quot;009C2D0E&quot;/&gt;&lt;wsp:rsid wsp:val=&quot;009C3DAC&quot;/&gt;&lt;wsp:rsid wsp:val=&quot;009C42E0&quot;/&gt;&lt;wsp:rsid wsp:val=&quot;009D2E9E&quot;/&gt;&lt;wsp:rsid wsp:val=&quot;009D4630&quot;/&gt;&lt;wsp:rsid wsp:val=&quot;009D5362&quot;/&gt;&lt;wsp:rsid wsp:val=&quot;009E1415&quot;/&gt;&lt;wsp:rsid wsp:val=&quot;009E5FCB&quot;/&gt;&lt;wsp:rsid wsp:val=&quot;009E6116&quot;/&gt;&lt;wsp:rsid wsp:val=&quot;009F2572&quot;/&gt;&lt;wsp:rsid wsp:val=&quot;00A02E43&quot;/&gt;&lt;wsp:rsid wsp:val=&quot;00A05B4A&quot;/&gt;&lt;wsp:rsid wsp:val=&quot;00A065F9&quot;/&gt;&lt;wsp:rsid wsp:val=&quot;00A07F34&quot;/&gt;&lt;wsp:rsid wsp:val=&quot;00A11020&quot;/&gt;&lt;wsp:rsid wsp:val=&quot;00A22154&quot;/&gt;&lt;wsp:rsid wsp:val=&quot;00A23159&quot;/&gt;&lt;wsp:rsid wsp:val=&quot;00A25C38&quot;/&gt;&lt;wsp:rsid wsp:val=&quot;00A27AAE&quot;/&gt;&lt;wsp:rsid wsp:val=&quot;00A35933&quot;/&gt;&lt;wsp:rsid wsp:val=&quot;00A36BBE&quot;/&gt;&lt;wsp:rsid wsp:val=&quot;00A40AC4&quot;/&gt;&lt;wsp:rsid wsp:val=&quot;00A4307A&quot;/&gt;&lt;wsp:rsid wsp:val=&quot;00A47178&quot;/&gt;&lt;wsp:rsid wsp:val=&quot;00A47EBB&quot;/&gt;&lt;wsp:rsid wsp:val=&quot;00A51CDD&quot;/&gt;&lt;wsp:rsid wsp:val=&quot;00A529C1&quot;/&gt;&lt;wsp:rsid wsp:val=&quot;00A55F08&quot;/&gt;&lt;wsp:rsid wsp:val=&quot;00A62DE4&quot;/&gt;&lt;wsp:rsid wsp:val=&quot;00A6730D&quot;/&gt;&lt;wsp:rsid wsp:val=&quot;00A71625&quot;/&gt;&lt;wsp:rsid wsp:val=&quot;00A71B9B&quot;/&gt;&lt;wsp:rsid wsp:val=&quot;00A738F3&quot;/&gt;&lt;wsp:rsid wsp:val=&quot;00A751C7&quot;/&gt;&lt;wsp:rsid wsp:val=&quot;00A758B9&quot;/&gt;&lt;wsp:rsid wsp:val=&quot;00A76AE7&quot;/&gt;&lt;wsp:rsid wsp:val=&quot;00A87844&quot;/&gt;&lt;wsp:rsid wsp:val=&quot;00A92996&quot;/&gt;&lt;wsp:rsid wsp:val=&quot;00A933B6&quot;/&gt;&lt;wsp:rsid wsp:val=&quot;00AA038C&quot;/&gt;&lt;wsp:rsid wsp:val=&quot;00AA3CA7&quot;/&gt;&lt;wsp:rsid wsp:val=&quot;00AA7A09&quot;/&gt;&lt;wsp:rsid wsp:val=&quot;00AA7ED9&quot;/&gt;&lt;wsp:rsid wsp:val=&quot;00AB3B50&quot;/&gt;&lt;wsp:rsid wsp:val=&quot;00AC05B1&quot;/&gt;&lt;wsp:rsid wsp:val=&quot;00AD233B&quot;/&gt;&lt;wsp:rsid wsp:val=&quot;00AD3565&quot;/&gt;&lt;wsp:rsid wsp:val=&quot;00AD356C&quot;/&gt;&lt;wsp:rsid wsp:val=&quot;00AE2914&quot;/&gt;&lt;wsp:rsid wsp:val=&quot;00AE6D15&quot;/&gt;&lt;wsp:rsid wsp:val=&quot;00B01DA8&quot;/&gt;&lt;wsp:rsid wsp:val=&quot;00B04182&quot;/&gt;&lt;wsp:rsid wsp:val=&quot;00B05833&quot;/&gt;&lt;wsp:rsid wsp:val=&quot;00B07AE3&quot;/&gt;&lt;wsp:rsid wsp:val=&quot;00B11430&quot;/&gt;&lt;wsp:rsid wsp:val=&quot;00B12535&quot;/&gt;&lt;wsp:rsid wsp:val=&quot;00B17243&quot;/&gt;&lt;wsp:rsid wsp:val=&quot;00B26154&quot;/&gt;&lt;wsp:rsid wsp:val=&quot;00B303D8&quot;/&gt;&lt;wsp:rsid wsp:val=&quot;00B34825&quot;/&gt;&lt;wsp:rsid wsp:val=&quot;00B353EB&quot;/&gt;&lt;wsp:rsid wsp:val=&quot;00B35833&quot;/&gt;&lt;wsp:rsid wsp:val=&quot;00B439C4&quot;/&gt;&lt;wsp:rsid wsp:val=&quot;00B4535E&quot;/&gt;&lt;wsp:rsid wsp:val=&quot;00B45414&quot;/&gt;&lt;wsp:rsid wsp:val=&quot;00B52A8C&quot;/&gt;&lt;wsp:rsid wsp:val=&quot;00B61FF2&quot;/&gt;&lt;wsp:rsid wsp:val=&quot;00B636A8&quot;/&gt;&lt;wsp:rsid wsp:val=&quot;00B65CE7&quot;/&gt;&lt;wsp:rsid wsp:val=&quot;00B665C6&quot;/&gt;&lt;wsp:rsid wsp:val=&quot;00B70D5D&quot;/&gt;&lt;wsp:rsid wsp:val=&quot;00B72576&quot;/&gt;&lt;wsp:rsid wsp:val=&quot;00B736F8&quot;/&gt;&lt;wsp:rsid wsp:val=&quot;00B80097&quot;/&gt;&lt;wsp:rsid wsp:val=&quot;00B805AF&quot;/&gt;&lt;wsp:rsid wsp:val=&quot;00B869EC&quot;/&gt;&lt;wsp:rsid wsp:val=&quot;00B9397A&quot;/&gt;&lt;wsp:rsid wsp:val=&quot;00B9633D&quot;/&gt;&lt;wsp:rsid wsp:val=&quot;00B965B9&quot;/&gt;&lt;wsp:rsid wsp:val=&quot;00BA2EBE&quot;/&gt;&lt;wsp:rsid wsp:val=&quot;00BB0F28&quot;/&gt;&lt;wsp:rsid wsp:val=&quot;00BB2A9F&quot;/&gt;&lt;wsp:rsid wsp:val=&quot;00BB458A&quot;/&gt;&lt;wsp:rsid wsp:val=&quot;00BB5A2B&quot;/&gt;&lt;wsp:rsid wsp:val=&quot;00BC2D46&quot;/&gt;&lt;wsp:rsid wsp:val=&quot;00BD00D3&quot;/&gt;&lt;wsp:rsid wsp:val=&quot;00BD01CB&quot;/&gt;&lt;wsp:rsid wsp:val=&quot;00BD0B97&quot;/&gt;&lt;wsp:rsid wsp:val=&quot;00BD1659&quot;/&gt;&lt;wsp:rsid wsp:val=&quot;00BD3AA9&quot;/&gt;&lt;wsp:rsid wsp:val=&quot;00BD414B&quot;/&gt;&lt;wsp:rsid wsp:val=&quot;00BD4A18&quot;/&gt;&lt;wsp:rsid wsp:val=&quot;00BD6DB2&quot;/&gt;&lt;wsp:rsid wsp:val=&quot;00BE11CF&quot;/&gt;&lt;wsp:rsid wsp:val=&quot;00BE1AAD&quot;/&gt;&lt;wsp:rsid wsp:val=&quot;00BE21AB&quot;/&gt;&lt;wsp:rsid wsp:val=&quot;00BE3AAC&quot;/&gt;&lt;wsp:rsid wsp:val=&quot;00BE55CB&quot;/&gt;&lt;wsp:rsid wsp:val=&quot;00BF617A&quot;/&gt;&lt;wsp:rsid wsp:val=&quot;00C0027C&quot;/&gt;&lt;wsp:rsid wsp:val=&quot;00C0379D&quot;/&gt;&lt;wsp:rsid wsp:val=&quot;00C03931&quot;/&gt;&lt;wsp:rsid wsp:val=&quot;00C042AB&quot;/&gt;&lt;wsp:rsid wsp:val=&quot;00C05FE3&quot;/&gt;&lt;wsp:rsid wsp:val=&quot;00C128C7&quot;/&gt;&lt;wsp:rsid wsp:val=&quot;00C2136D&quot;/&gt;&lt;wsp:rsid wsp:val=&quot;00C214EE&quot;/&gt;&lt;wsp:rsid wsp:val=&quot;00C2314B&quot;/&gt;&lt;wsp:rsid wsp:val=&quot;00C24971&quot;/&gt;&lt;wsp:rsid wsp:val=&quot;00C25322&quot;/&gt;&lt;wsp:rsid wsp:val=&quot;00C26BE5&quot;/&gt;&lt;wsp:rsid wsp:val=&quot;00C26E4D&quot;/&gt;&lt;wsp:rsid wsp:val=&quot;00C27909&quot;/&gt;&lt;wsp:rsid wsp:val=&quot;00C27B03&quot;/&gt;&lt;wsp:rsid wsp:val=&quot;00C3072A&quot;/&gt;&lt;wsp:rsid wsp:val=&quot;00C314E1&quot;/&gt;&lt;wsp:rsid wsp:val=&quot;00C32C07&quot;/&gt;&lt;wsp:rsid wsp:val=&quot;00C3436C&quot;/&gt;&lt;wsp:rsid wsp:val=&quot;00C34397&quot;/&gt;&lt;wsp:rsid wsp:val=&quot;00C37B9B&quot;/&gt;&lt;wsp:rsid wsp:val=&quot;00C4095D&quot;/&gt;&lt;wsp:rsid wsp:val=&quot;00C46FFC&quot;/&gt;&lt;wsp:rsid wsp:val=&quot;00C57465&quot;/&gt;&lt;wsp:rsid wsp:val=&quot;00C601D2&quot;/&gt;&lt;wsp:rsid wsp:val=&quot;00C60EC8&quot;/&gt;&lt;wsp:rsid wsp:val=&quot;00C65BCC&quot;/&gt;&lt;wsp:rsid wsp:val=&quot;00C66970&quot;/&gt;&lt;wsp:rsid wsp:val=&quot;00C72D53&quot;/&gt;&lt;wsp:rsid wsp:val=&quot;00C7733E&quot;/&gt;&lt;wsp:rsid wsp:val=&quot;00C81E28&quot;/&gt;&lt;wsp:rsid wsp:val=&quot;00C85226&quot;/&gt;&lt;wsp:rsid wsp:val=&quot;00C8691C&quot;/&gt;&lt;wsp:rsid wsp:val=&quot;00C96026&quot;/&gt;&lt;wsp:rsid wsp:val=&quot;00CA168A&quot;/&gt;&lt;wsp:rsid wsp:val=&quot;00CA357E&quot;/&gt;&lt;wsp:rsid wsp:val=&quot;00CA44F9&quot;/&gt;&lt;wsp:rsid wsp:val=&quot;00CA4A69&quot;/&gt;&lt;wsp:rsid wsp:val=&quot;00CB0632&quot;/&gt;&lt;wsp:rsid wsp:val=&quot;00CB301C&quot;/&gt;&lt;wsp:rsid wsp:val=&quot;00CB577C&quot;/&gt;&lt;wsp:rsid wsp:val=&quot;00CC3E0C&quot;/&gt;&lt;wsp:rsid wsp:val=&quot;00CC579C&quot;/&gt;&lt;wsp:rsid wsp:val=&quot;00CC58D3&quot;/&gt;&lt;wsp:rsid wsp:val=&quot;00CC784D&quot;/&gt;&lt;wsp:rsid wsp:val=&quot;00CD73F2&quot;/&gt;&lt;wsp:rsid wsp:val=&quot;00CE53C6&quot;/&gt;&lt;wsp:rsid wsp:val=&quot;00CF1A0D&quot;/&gt;&lt;wsp:rsid wsp:val=&quot;00D00CA4&quot;/&gt;&lt;wsp:rsid wsp:val=&quot;00D03332&quot;/&gt;&lt;wsp:rsid wsp:val=&quot;00D0337B&quot;/&gt;&lt;wsp:rsid wsp:val=&quot;00D05F4E&quot;/&gt;&lt;wsp:rsid wsp:val=&quot;00D079B2&quot;/&gt;&lt;wsp:rsid wsp:val=&quot;00D114E9&quot;/&gt;&lt;wsp:rsid wsp:val=&quot;00D21EA5&quot;/&gt;&lt;wsp:rsid wsp:val=&quot;00D3154A&quot;/&gt;&lt;wsp:rsid wsp:val=&quot;00D33EEB&quot;/&gt;&lt;wsp:rsid wsp:val=&quot;00D34345&quot;/&gt;&lt;wsp:rsid wsp:val=&quot;00D429C6&quot;/&gt;&lt;wsp:rsid wsp:val=&quot;00D4568F&quot;/&gt;&lt;wsp:rsid wsp:val=&quot;00D46D64&quot;/&gt;&lt;wsp:rsid wsp:val=&quot;00D47748&quot;/&gt;&lt;wsp:rsid wsp:val=&quot;00D47F20&quot;/&gt;&lt;wsp:rsid wsp:val=&quot;00D509EA&quot;/&gt;&lt;wsp:rsid wsp:val=&quot;00D52C0C&quot;/&gt;&lt;wsp:rsid wsp:val=&quot;00D54CC3&quot;/&gt;&lt;wsp:rsid wsp:val=&quot;00D5505F&quot;/&gt;&lt;wsp:rsid wsp:val=&quot;00D6041A&quot;/&gt;&lt;wsp:rsid wsp:val=&quot;00D633EB&quot;/&gt;&lt;wsp:rsid wsp:val=&quot;00D82FF7&quot;/&gt;&lt;wsp:rsid wsp:val=&quot;00D832C2&quot;/&gt;&lt;wsp:rsid wsp:val=&quot;00D847FE&quot;/&gt;&lt;wsp:rsid wsp:val=&quot;00D860AB&quot;/&gt;&lt;wsp:rsid wsp:val=&quot;00D91397&quot;/&gt;&lt;wsp:rsid wsp:val=&quot;00D9562D&quot;/&gt;&lt;wsp:rsid wsp:val=&quot;00D964EA&quot;/&gt;&lt;wsp:rsid wsp:val=&quot;00D966D0&quot;/&gt;&lt;wsp:rsid wsp:val=&quot;00DA0C59&quot;/&gt;&lt;wsp:rsid wsp:val=&quot;00DA3991&quot;/&gt;&lt;wsp:rsid wsp:val=&quot;00DB037A&quot;/&gt;&lt;wsp:rsid wsp:val=&quot;00DB0AD4&quot;/&gt;&lt;wsp:rsid wsp:val=&quot;00DB605A&quot;/&gt;&lt;wsp:rsid wsp:val=&quot;00DB7E6C&quot;/&gt;&lt;wsp:rsid wsp:val=&quot;00DC07E1&quot;/&gt;&lt;wsp:rsid wsp:val=&quot;00DD32C9&quot;/&gt;&lt;wsp:rsid wsp:val=&quot;00DD4D7C&quot;/&gt;&lt;wsp:rsid wsp:val=&quot;00DD5A29&quot;/&gt;&lt;wsp:rsid wsp:val=&quot;00DD5D9D&quot;/&gt;&lt;wsp:rsid wsp:val=&quot;00DE0AF0&quot;/&gt;&lt;wsp:rsid wsp:val=&quot;00DE35CB&quot;/&gt;&lt;wsp:rsid wsp:val=&quot;00DF21E9&quot;/&gt;&lt;wsp:rsid wsp:val=&quot;00E00F14&quot;/&gt;&lt;wsp:rsid wsp:val=&quot;00E02458&quot;/&gt;&lt;wsp:rsid wsp:val=&quot;00E059AA&quot;/&gt;&lt;wsp:rsid wsp:val=&quot;00E06386&quot;/&gt;&lt;wsp:rsid wsp:val=&quot;00E2049D&quot;/&gt;&lt;wsp:rsid wsp:val=&quot;00E24EB4&quot;/&gt;&lt;wsp:rsid wsp:val=&quot;00E320ED&quot;/&gt;&lt;wsp:rsid wsp:val=&quot;00E33AFB&quot;/&gt;&lt;wsp:rsid wsp:val=&quot;00E34218&quot;/&gt;&lt;wsp:rsid wsp:val=&quot;00E34E8E&quot;/&gt;&lt;wsp:rsid wsp:val=&quot;00E4207B&quot;/&gt;&lt;wsp:rsid wsp:val=&quot;00E459CC&quot;/&gt;&lt;wsp:rsid wsp:val=&quot;00E46282&quot;/&gt;&lt;wsp:rsid wsp:val=&quot;00E5216E&quot;/&gt;&lt;wsp:rsid wsp:val=&quot;00E611DB&quot;/&gt;&lt;wsp:rsid wsp:val=&quot;00E70ABD&quot;/&gt;&lt;wsp:rsid wsp:val=&quot;00E8149A&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5CDA&quot;/&gt;&lt;wsp:rsid wsp:val=&quot;00EB786A&quot;/&gt;&lt;wsp:rsid wsp:val=&quot;00EB79E7&quot;/&gt;&lt;wsp:rsid wsp:val=&quot;00EC1578&quot;/&gt;&lt;wsp:rsid wsp:val=&quot;00EC1C72&quot;/&gt;&lt;wsp:rsid wsp:val=&quot;00EC3CC9&quot;/&gt;&lt;wsp:rsid wsp:val=&quot;00EC5316&quot;/&gt;&lt;wsp:rsid wsp:val=&quot;00EC5F93&quot;/&gt;&lt;wsp:rsid wsp:val=&quot;00EC680A&quot;/&gt;&lt;wsp:rsid wsp:val=&quot;00ED0DFA&quot;/&gt;&lt;wsp:rsid wsp:val=&quot;00ED35A4&quot;/&gt;&lt;wsp:rsid wsp:val=&quot;00ED3A2B&quot;/&gt;&lt;wsp:rsid wsp:val=&quot;00ED5078&quot;/&gt;&lt;wsp:rsid wsp:val=&quot;00ED699F&quot;/&gt;&lt;wsp:rsid wsp:val=&quot;00EE2BED&quot;/&gt;&lt;wsp:rsid wsp:val=&quot;00EE374B&quot;/&gt;&lt;wsp:rsid wsp:val=&quot;00EE46AE&quot;/&gt;&lt;wsp:rsid wsp:val=&quot;00EE6E2C&quot;/&gt;&lt;wsp:rsid wsp:val=&quot;00EF42A6&quot;/&gt;&lt;wsp:rsid wsp:val=&quot;00F11BB5&quot;/&gt;&lt;wsp:rsid wsp:val=&quot;00F1417B&quot;/&gt;&lt;wsp:rsid wsp:val=&quot;00F15363&quot;/&gt;&lt;wsp:rsid wsp:val=&quot;00F1689B&quot;/&gt;&lt;wsp:rsid wsp:val=&quot;00F169F2&quot;/&gt;&lt;wsp:rsid wsp:val=&quot;00F3371B&quot;/&gt;&lt;wsp:rsid wsp:val=&quot;00F34B99&quot;/&gt;&lt;wsp:rsid wsp:val=&quot;00F378D0&quot;/&gt;&lt;wsp:rsid wsp:val=&quot;00F4757E&quot;/&gt;&lt;wsp:rsid wsp:val=&quot;00F52DAB&quot;/&gt;&lt;wsp:rsid wsp:val=&quot;00F543F0&quot;/&gt;&lt;wsp:rsid wsp:val=&quot;00F66E04&quot;/&gt;&lt;wsp:rsid wsp:val=&quot;00F705DD&quot;/&gt;&lt;wsp:rsid wsp:val=&quot;00F8078F&quot;/&gt;&lt;wsp:rsid wsp:val=&quot;00F818A7&quot;/&gt;&lt;wsp:rsid wsp:val=&quot;00F81D29&quot;/&gt;&lt;wsp:rsid wsp:val=&quot;00F91C4D&quot;/&gt;&lt;wsp:rsid wsp:val=&quot;00F92FD9&quot;/&gt;&lt;wsp:rsid wsp:val=&quot;00FA1ACA&quot;/&gt;&lt;wsp:rsid wsp:val=&quot;00FA29C5&quot;/&gt;&lt;wsp:rsid wsp:val=&quot;00FA3EF5&quot;/&gt;&lt;wsp:rsid wsp:val=&quot;00FA6684&quot;/&gt;&lt;wsp:rsid wsp:val=&quot;00FA731E&quot;/&gt;&lt;wsp:rsid wsp:val=&quot;00FB2B38&quot;/&gt;&lt;wsp:rsid wsp:val=&quot;00FB5033&quot;/&gt;&lt;wsp:rsid wsp:val=&quot;00FB768C&quot;/&gt;&lt;wsp:rsid wsp:val=&quot;00FC6358&quot;/&gt;&lt;wsp:rsid wsp:val=&quot;00FD320D&quot;/&gt;&lt;wsp:rsid wsp:val=&quot;00FD3605&quot;/&gt;&lt;wsp:rsid wsp:val=&quot;00FE23DE&quot;/&gt;&lt;wsp:rsid wsp:val=&quot;00FF2A7A&quot;/&gt;&lt;wsp:rsid wsp:val=&quot;011430C0&quot;/&gt;&lt;wsp:rsid wsp:val=&quot;018C152A&quot;/&gt;&lt;wsp:rsid wsp:val=&quot;03CD109D&quot;/&gt;&lt;wsp:rsid wsp:val=&quot;04A87B8B&quot;/&gt;&lt;wsp:rsid wsp:val=&quot;05816019&quot;/&gt;&lt;wsp:rsid wsp:val=&quot;05F477B7&quot;/&gt;&lt;wsp:rsid wsp:val=&quot;071172F8&quot;/&gt;&lt;wsp:rsid wsp:val=&quot;072938BC&quot;/&gt;&lt;wsp:rsid wsp:val=&quot;075E75DE&quot;/&gt;&lt;wsp:rsid wsp:val=&quot;083A0335&quot;/&gt;&lt;wsp:rsid wsp:val=&quot;09763FE4&quot;/&gt;&lt;wsp:rsid wsp:val=&quot;0B4B550C&quot;/&gt;&lt;wsp:rsid wsp:val=&quot;0B61157E&quot;/&gt;&lt;wsp:rsid wsp:val=&quot;0BFA390D&quot;/&gt;&lt;wsp:rsid wsp:val=&quot;0CC25F19&quot;/&gt;&lt;wsp:rsid wsp:val=&quot;0CEF5D97&quot;/&gt;&lt;wsp:rsid wsp:val=&quot;0EAA193B&quot;/&gt;&lt;wsp:rsid wsp:val=&quot;0EE23A80&quot;/&gt;&lt;wsp:rsid wsp:val=&quot;0EEA7E53&quot;/&gt;&lt;wsp:rsid wsp:val=&quot;11242651&quot;/&gt;&lt;wsp:rsid wsp:val=&quot;11703FAF&quot;/&gt;&lt;wsp:rsid wsp:val=&quot;11B84DF3&quot;/&gt;&lt;wsp:rsid wsp:val=&quot;1295124C&quot;/&gt;&lt;wsp:rsid wsp:val=&quot;12BB6B70&quot;/&gt;&lt;wsp:rsid wsp:val=&quot;147F45E5&quot;/&gt;&lt;wsp:rsid wsp:val=&quot;154741BF&quot;/&gt;&lt;wsp:rsid wsp:val=&quot;168E180C&quot;/&gt;&lt;wsp:rsid wsp:val=&quot;17681DB3&quot;/&gt;&lt;wsp:rsid wsp:val=&quot;17BEDEC0&quot;/&gt;&lt;wsp:rsid wsp:val=&quot;17D13FA2&quot;/&gt;&lt;wsp:rsid wsp:val=&quot;17E75C97&quot;/&gt;&lt;wsp:rsid wsp:val=&quot;186B09CA&quot;/&gt;&lt;wsp:rsid wsp:val=&quot;18E330A5&quot;/&gt;&lt;wsp:rsid wsp:val=&quot;19421AF3&quot;/&gt;&lt;wsp:rsid wsp:val=&quot;19A43221&quot;/&gt;&lt;wsp:rsid wsp:val=&quot;19B915F8&quot;/&gt;&lt;wsp:rsid wsp:val=&quot;19C42BAA&quot;/&gt;&lt;wsp:rsid wsp:val=&quot;19D131D2&quot;/&gt;&lt;wsp:rsid wsp:val=&quot;19ED59E3&quot;/&gt;&lt;wsp:rsid wsp:val=&quot;1A5F56EF&quot;/&gt;&lt;wsp:rsid wsp:val=&quot;1B3A723A&quot;/&gt;&lt;wsp:rsid wsp:val=&quot;1B8452D7&quot;/&gt;&lt;wsp:rsid wsp:val=&quot;1DF60C24&quot;/&gt;&lt;wsp:rsid wsp:val=&quot;1E4237DD&quot;/&gt;&lt;wsp:rsid wsp:val=&quot;1E4606D5&quot;/&gt;&lt;wsp:rsid wsp:val=&quot;1E8F40C9&quot;/&gt;&lt;wsp:rsid wsp:val=&quot;1EAC6902&quot;/&gt;&lt;wsp:rsid wsp:val=&quot;1ED531AF&quot;/&gt;&lt;wsp:rsid wsp:val=&quot;1F2A1205&quot;/&gt;&lt;wsp:rsid wsp:val=&quot;1F7D701D&quot;/&gt;&lt;wsp:rsid wsp:val=&quot;1F885AEF&quot;/&gt;&lt;wsp:rsid wsp:val=&quot;1FBFA108&quot;/&gt;&lt;wsp:rsid wsp:val=&quot;1FE20F7B&quot;/&gt;&lt;wsp:rsid wsp:val=&quot;1FEFA73F&quot;/&gt;&lt;wsp:rsid wsp:val=&quot;1FF7E849&quot;/&gt;&lt;wsp:rsid wsp:val=&quot;1FFE5FEE&quot;/&gt;&lt;wsp:rsid wsp:val=&quot;205D442E&quot;/&gt;&lt;wsp:rsid wsp:val=&quot;20FC540D&quot;/&gt;&lt;wsp:rsid wsp:val=&quot;222B73B3&quot;/&gt;&lt;wsp:rsid wsp:val=&quot;22CC1448&quot;/&gt;&lt;wsp:rsid wsp:val=&quot;22EE0732&quot;/&gt;&lt;wsp:rsid wsp:val=&quot;24940192&quot;/&gt;&lt;wsp:rsid wsp:val=&quot;25284930&quot;/&gt;&lt;wsp:rsid wsp:val=&quot;25CA1676&quot;/&gt;&lt;wsp:rsid wsp:val=&quot;25F6309F&quot;/&gt;&lt;wsp:rsid wsp:val=&quot;26A036C6&quot;/&gt;&lt;wsp:rsid wsp:val=&quot;27D960A5&quot;/&gt;&lt;wsp:rsid wsp:val=&quot;298A3E0B&quot;/&gt;&lt;wsp:rsid wsp:val=&quot;2A574C09&quot;/&gt;&lt;wsp:rsid wsp:val=&quot;2AF21D84&quot;/&gt;&lt;wsp:rsid wsp:val=&quot;2B22130A&quot;/&gt;&lt;wsp:rsid wsp:val=&quot;2B5C7036&quot;/&gt;&lt;wsp:rsid wsp:val=&quot;2B7F675F&quot;/&gt;&lt;wsp:rsid wsp:val=&quot;2BB94533&quot;/&gt;&lt;wsp:rsid wsp:val=&quot;2D012636&quot;/&gt;&lt;wsp:rsid wsp:val=&quot;2D6B2D3A&quot;/&gt;&lt;wsp:rsid wsp:val=&quot;2D787AC9&quot;/&gt;&lt;wsp:rsid wsp:val=&quot;2DB905BE&quot;/&gt;&lt;wsp:rsid wsp:val=&quot;2EDE49DD&quot;/&gt;&lt;wsp:rsid wsp:val=&quot;2EE79A49&quot;/&gt;&lt;wsp:rsid wsp:val=&quot;2FFE6E15&quot;/&gt;&lt;wsp:rsid wsp:val=&quot;30977539&quot;/&gt;&lt;wsp:rsid wsp:val=&quot;316F0C5E&quot;/&gt;&lt;wsp:rsid wsp:val=&quot;327D5B5F&quot;/&gt;&lt;wsp:rsid wsp:val=&quot;329F1D49&quot;/&gt;&lt;wsp:rsid wsp:val=&quot;331B5584&quot;/&gt;&lt;wsp:rsid wsp:val=&quot;33DFF8F7&quot;/&gt;&lt;wsp:rsid wsp:val=&quot;353BF113&quot;/&gt;&lt;wsp:rsid wsp:val=&quot;353F1275&quot;/&gt;&lt;wsp:rsid wsp:val=&quot;35B244CD&quot;/&gt;&lt;wsp:rsid wsp:val=&quot;36F75BC2&quot;/&gt;&lt;wsp:rsid wsp:val=&quot;37434788&quot;/&gt;&lt;wsp:rsid wsp:val=&quot;378765C5&quot;/&gt;&lt;wsp:rsid wsp:val=&quot;37D74657&quot;/&gt;&lt;wsp:rsid wsp:val=&quot;37E4351D&quot;/&gt;&lt;wsp:rsid wsp:val=&quot;37F6D891&quot;/&gt;&lt;wsp:rsid wsp:val=&quot;37F7CA95&quot;/&gt;&lt;wsp:rsid wsp:val=&quot;38D12A54&quot;/&gt;&lt;wsp:rsid wsp:val=&quot;38F2046B&quot;/&gt;&lt;wsp:rsid wsp:val=&quot;392F17AB&quot;/&gt;&lt;wsp:rsid wsp:val=&quot;394E0B17&quot;/&gt;&lt;wsp:rsid wsp:val=&quot;395D3BC4&quot;/&gt;&lt;wsp:rsid wsp:val=&quot;39BF4E37&quot;/&gt;&lt;wsp:rsid wsp:val=&quot;3A7601BF&quot;/&gt;&lt;wsp:rsid wsp:val=&quot;3A9C6B2F&quot;/&gt;&lt;wsp:rsid wsp:val=&quot;3AB27D34&quot;/&gt;&lt;wsp:rsid wsp:val=&quot;3BB79C7A&quot;/&gt;&lt;wsp:rsid wsp:val=&quot;3BE7E76B&quot;/&gt;&lt;wsp:rsid wsp:val=&quot;3BFD138B&quot;/&gt;&lt;wsp:rsid wsp:val=&quot;3CA906B7&quot;/&gt;&lt;wsp:rsid wsp:val=&quot;3CCD471F&quot;/&gt;&lt;wsp:rsid wsp:val=&quot;3CF4B372&quot;/&gt;&lt;wsp:rsid wsp:val=&quot;3D768775&quot;/&gt;&lt;wsp:rsid wsp:val=&quot;3DC54FBA&quot;/&gt;&lt;wsp:rsid wsp:val=&quot;3E86513A&quot;/&gt;&lt;wsp:rsid wsp:val=&quot;3E9B0C30&quot;/&gt;&lt;wsp:rsid wsp:val=&quot;3EA370A9&quot;/&gt;&lt;wsp:rsid wsp:val=&quot;3EFD4D0F&quot;/&gt;&lt;wsp:rsid wsp:val=&quot;3EFD5C2F&quot;/&gt;&lt;wsp:rsid wsp:val=&quot;3F3B6ABC&quot;/&gt;&lt;wsp:rsid wsp:val=&quot;3F6BE8CE&quot;/&gt;&lt;wsp:rsid wsp:val=&quot;3F718E50&quot;/&gt;&lt;wsp:rsid wsp:val=&quot;3F76D50C&quot;/&gt;&lt;wsp:rsid wsp:val=&quot;3F7D0027&quot;/&gt;&lt;wsp:rsid wsp:val=&quot;3FD61A37&quot;/&gt;&lt;wsp:rsid wsp:val=&quot;3FDC6D60&quot;/&gt;&lt;wsp:rsid wsp:val=&quot;3FED59CF&quot;/&gt;&lt;wsp:rsid wsp:val=&quot;3FEE24E0&quot;/&gt;&lt;wsp:rsid wsp:val=&quot;3FEEE000&quot;/&gt;&lt;wsp:rsid wsp:val=&quot;3FFE01B9&quot;/&gt;&lt;wsp:rsid wsp:val=&quot;40652829&quot;/&gt;&lt;wsp:rsid wsp:val=&quot;411150BF&quot;/&gt;&lt;wsp:rsid wsp:val=&quot;41B16F4C&quot;/&gt;&lt;wsp:rsid wsp:val=&quot;430C6778&quot;/&gt;&lt;wsp:rsid wsp:val=&quot;4387757C&quot;/&gt;&lt;wsp:rsid wsp:val=&quot;43DF200D&quot;/&gt;&lt;wsp:rsid wsp:val=&quot;445F3A72&quot;/&gt;&lt;wsp:rsid wsp:val=&quot;44D44A10&quot;/&gt;&lt;wsp:rsid wsp:val=&quot;45050ABD&quot;/&gt;&lt;wsp:rsid wsp:val=&quot;464A138F&quot;/&gt;&lt;wsp:rsid wsp:val=&quot;46A662CB&quot;/&gt;&lt;wsp:rsid wsp:val=&quot;473FA501&quot;/&gt;&lt;wsp:rsid wsp:val=&quot;476B317A&quot;/&gt;&lt;wsp:rsid wsp:val=&quot;4A066551&quot;/&gt;&lt;wsp:rsid wsp:val=&quot;4A5A7640&quot;/&gt;&lt;wsp:rsid wsp:val=&quot;4A90661B&quot;/&gt;&lt;wsp:rsid wsp:val=&quot;4AA77D0E&quot;/&gt;&lt;wsp:rsid wsp:val=&quot;4ADC2772&quot;/&gt;&lt;wsp:rsid wsp:val=&quot;4B5F6B82&quot;/&gt;&lt;wsp:rsid wsp:val=&quot;4BBB9640&quot;/&gt;&lt;wsp:rsid wsp:val=&quot;4BF7716B&quot;/&gt;&lt;wsp:rsid wsp:val=&quot;4BFF492D&quot;/&gt;&lt;wsp:rsid wsp:val=&quot;4C2F3185&quot;/&gt;&lt;wsp:rsid wsp:val=&quot;4C362B0B&quot;/&gt;&lt;wsp:rsid wsp:val=&quot;4DB7491F&quot;/&gt;&lt;wsp:rsid wsp:val=&quot;4E685C19&quot;/&gt;&lt;wsp:rsid wsp:val=&quot;4E873D5D&quot;/&gt;&lt;wsp:rsid wsp:val=&quot;4EA07BA7&quot;/&gt;&lt;wsp:rsid wsp:val=&quot;4EB500DB&quot;/&gt;&lt;wsp:rsid wsp:val=&quot;4EFF931F&quot;/&gt;&lt;wsp:rsid wsp:val=&quot;4F77DEEF&quot;/&gt;&lt;wsp:rsid wsp:val=&quot;4FBA9BB8&quot;/&gt;&lt;wsp:rsid wsp:val=&quot;4FDCBBFA&quot;/&gt;&lt;wsp:rsid wsp:val=&quot;4FEBB8A8&quot;/&gt;&lt;wsp:rsid wsp:val=&quot;519E5272&quot;/&gt;&lt;wsp:rsid wsp:val=&quot;51C61425&quot;/&gt;&lt;wsp:rsid wsp:val=&quot;53E3376D&quot;/&gt;&lt;wsp:rsid wsp:val=&quot;53F61577&quot;/&gt;&lt;wsp:rsid wsp:val=&quot;540C7047&quot;/&gt;&lt;wsp:rsid wsp:val=&quot;5475496B&quot;/&gt;&lt;wsp:rsid wsp:val=&quot;54DF4431&quot;/&gt;&lt;wsp:rsid wsp:val=&quot;5516FC44&quot;/&gt;&lt;wsp:rsid wsp:val=&quot;55390EB8&quot;/&gt;&lt;wsp:rsid wsp:val=&quot;56116B96&quot;/&gt;&lt;wsp:rsid wsp:val=&quot;56777A5B&quot;/&gt;&lt;wsp:rsid wsp:val=&quot;56CC6F8C&quot;/&gt;&lt;wsp:rsid wsp:val=&quot;56DB28FA&quot;/&gt;&lt;wsp:rsid wsp:val=&quot;56F6006A&quot;/&gt;&lt;wsp:rsid wsp:val=&quot;570C6B15&quot;/&gt;&lt;wsp:rsid wsp:val=&quot;571302D9&quot;/&gt;&lt;wsp:rsid wsp:val=&quot;57C7BFD9&quot;/&gt;&lt;wsp:rsid wsp:val=&quot;57D7883B&quot;/&gt;&lt;wsp:rsid wsp:val=&quot;580924CF&quot;/&gt;&lt;wsp:rsid wsp:val=&quot;58BD21A3&quot;/&gt;&lt;wsp:rsid wsp:val=&quot;59FE05B0&quot;/&gt;&lt;wsp:rsid wsp:val=&quot;5A37BAA7&quot;/&gt;&lt;wsp:rsid wsp:val=&quot;5A3F0F94&quot;/&gt;&lt;wsp:rsid wsp:val=&quot;5B6927A3&quot;/&gt;&lt;wsp:rsid wsp:val=&quot;5B6E0B14&quot;/&gt;&lt;wsp:rsid wsp:val=&quot;5B9FEEFD&quot;/&gt;&lt;wsp:rsid wsp:val=&quot;5BA26922&quot;/&gt;&lt;wsp:rsid wsp:val=&quot;5BBF245D&quot;/&gt;&lt;wsp:rsid wsp:val=&quot;5C533830&quot;/&gt;&lt;wsp:rsid wsp:val=&quot;5C870281&quot;/&gt;&lt;wsp:rsid wsp:val=&quot;5CAB6A70&quot;/&gt;&lt;wsp:rsid wsp:val=&quot;5CCE1101&quot;/&gt;&lt;wsp:rsid wsp:val=&quot;5CCEE7A1&quot;/&gt;&lt;wsp:rsid wsp:val=&quot;5CEF4510&quot;/&gt;&lt;wsp:rsid wsp:val=&quot;5D2D4D36&quot;/&gt;&lt;wsp:rsid wsp:val=&quot;5D534E5C&quot;/&gt;&lt;wsp:rsid wsp:val=&quot;5E69593F&quot;/&gt;&lt;wsp:rsid wsp:val=&quot;5E732FCB&quot;/&gt;&lt;wsp:rsid wsp:val=&quot;5EB61B49&quot;/&gt;&lt;wsp:rsid wsp:val=&quot;5EDC2E85&quot;/&gt;&lt;wsp:rsid wsp:val=&quot;5EFFE5A3&quot;/&gt;&lt;wsp:rsid wsp:val=&quot;5F354FCC&quot;/&gt;&lt;wsp:rsid wsp:val=&quot;5F4EB3AD&quot;/&gt;&lt;wsp:rsid wsp:val=&quot;5F5812A1&quot;/&gt;&lt;wsp:rsid wsp:val=&quot;5F7F87AF&quot;/&gt;&lt;wsp:rsid wsp:val=&quot;5F8C681E&quot;/&gt;&lt;wsp:rsid wsp:val=&quot;5FB5560F&quot;/&gt;&lt;wsp:rsid wsp:val=&quot;5FBF8BF8&quot;/&gt;&lt;wsp:rsid wsp:val=&quot;5FBFCC85&quot;/&gt;&lt;wsp:rsid wsp:val=&quot;5FC53F03&quot;/&gt;&lt;wsp:rsid wsp:val=&quot;5FD783DC&quot;/&gt;&lt;wsp:rsid wsp:val=&quot;5FD7E5A2&quot;/&gt;&lt;wsp:rsid wsp:val=&quot;5FDB5C37&quot;/&gt;&lt;wsp:rsid wsp:val=&quot;5FE5747F&quot;/&gt;&lt;wsp:rsid wsp:val=&quot;5FED8CBF&quot;/&gt;&lt;wsp:rsid wsp:val=&quot;5FF775E2&quot;/&gt;&lt;wsp:rsid wsp:val=&quot;5FFAE202&quot;/&gt;&lt;wsp:rsid wsp:val=&quot;5FFF26CD&quot;/&gt;&lt;wsp:rsid wsp:val=&quot;5FFF2F30&quot;/&gt;&lt;wsp:rsid wsp:val=&quot;5FFF9FC9&quot;/&gt;&lt;wsp:rsid wsp:val=&quot;61A364CC&quot;/&gt;&lt;wsp:rsid wsp:val=&quot;61F25BC1&quot;/&gt;&lt;wsp:rsid wsp:val=&quot;62130DE2&quot;/&gt;&lt;wsp:rsid wsp:val=&quot;629633D0&quot;/&gt;&lt;wsp:rsid wsp:val=&quot;62D73B0C&quot;/&gt;&lt;wsp:rsid wsp:val=&quot;62E8530F&quot;/&gt;&lt;wsp:rsid wsp:val=&quot;62EA4535&quot;/&gt;&lt;wsp:rsid wsp:val=&quot;632D4257&quot;/&gt;&lt;wsp:rsid wsp:val=&quot;66A63D78&quot;/&gt;&lt;wsp:rsid wsp:val=&quot;66FA7027&quot;/&gt;&lt;wsp:rsid wsp:val=&quot;670536A6&quot;/&gt;&lt;wsp:rsid wsp:val=&quot;6759214B&quot;/&gt;&lt;wsp:rsid wsp:val=&quot;6769221B&quot;/&gt;&lt;wsp:rsid wsp:val=&quot;677F5E13&quot;/&gt;&lt;wsp:rsid wsp:val=&quot;677F954D&quot;/&gt;&lt;wsp:rsid wsp:val=&quot;67EEF77C&quot;/&gt;&lt;wsp:rsid wsp:val=&quot;67F7942A&quot;/&gt;&lt;wsp:rsid wsp:val=&quot;67FA7653&quot;/&gt;&lt;wsp:rsid wsp:val=&quot;68B27D65&quot;/&gt;&lt;wsp:rsid wsp:val=&quot;69124CA8&quot;/&gt;&lt;wsp:rsid wsp:val=&quot;69983A0D&quot;/&gt;&lt;wsp:rsid wsp:val=&quot;69E9AA42&quot;/&gt;&lt;wsp:rsid wsp:val=&quot;6A9D10D8&quot;/&gt;&lt;wsp:rsid wsp:val=&quot;6AEE5674&quot;/&gt;&lt;wsp:rsid wsp:val=&quot;6AF79A02&quot;/&gt;&lt;wsp:rsid wsp:val=&quot;6BAE9099&quot;/&gt;&lt;wsp:rsid wsp:val=&quot;6BAF543B&quot;/&gt;&lt;wsp:rsid wsp:val=&quot;6C465394&quot;/&gt;&lt;wsp:rsid wsp:val=&quot;6CD51C5E&quot;/&gt;&lt;wsp:rsid wsp:val=&quot;6D17189C&quot;/&gt;&lt;wsp:rsid wsp:val=&quot;6D6FB125&quot;/&gt;&lt;wsp:rsid wsp:val=&quot;6DB78655&quot;/&gt;&lt;wsp:rsid wsp:val=&quot;6E9315D8&quot;/&gt;&lt;wsp:rsid wsp:val=&quot;6F3FC2D2&quot;/&gt;&lt;wsp:rsid wsp:val=&quot;6F55DFE8&quot;/&gt;&lt;wsp:rsid wsp:val=&quot;6FAE5E2D&quot;/&gt;&lt;wsp:rsid wsp:val=&quot;6FDE2A8E&quot;/&gt;&lt;wsp:rsid wsp:val=&quot;6FEE2B7A&quot;/&gt;&lt;wsp:rsid wsp:val=&quot;6FFFCD7E&quot;/&gt;&lt;wsp:rsid wsp:val=&quot;712E57E3&quot;/&gt;&lt;wsp:rsid wsp:val=&quot;723E7657&quot;/&gt;&lt;wsp:rsid wsp:val=&quot;727D476A&quot;/&gt;&lt;wsp:rsid wsp:val=&quot;727F480A&quot;/&gt;&lt;wsp:rsid wsp:val=&quot;729F9021&quot;/&gt;&lt;wsp:rsid wsp:val=&quot;72A16565&quot;/&gt;&lt;wsp:rsid wsp:val=&quot;72DC25AE&quot;/&gt;&lt;wsp:rsid wsp:val=&quot;737D7C5A&quot;/&gt;&lt;wsp:rsid wsp:val=&quot;73896C46&quot;/&gt;&lt;wsp:rsid wsp:val=&quot;73BDF28E&quot;/&gt;&lt;wsp:rsid wsp:val=&quot;74401F7F&quot;/&gt;&lt;wsp:rsid wsp:val=&quot;744321B9&quot;/&gt;&lt;wsp:rsid wsp:val=&quot;751D7DBC&quot;/&gt;&lt;wsp:rsid wsp:val=&quot;752E4C17&quot;/&gt;&lt;wsp:rsid wsp:val=&quot;75324E28&quot;/&gt;&lt;wsp:rsid wsp:val=&quot;753F0677&quot;/&gt;&lt;wsp:rsid wsp:val=&quot;758515FA&quot;/&gt;&lt;wsp:rsid wsp:val=&quot;75B31E67&quot;/&gt;&lt;wsp:rsid wsp:val=&quot;75B7C825&quot;/&gt;&lt;wsp:rsid wsp:val=&quot;75BA2E02&quot;/&gt;&lt;wsp:rsid wsp:val=&quot;75BE4DDD&quot;/&gt;&lt;wsp:rsid wsp:val=&quot;75FD03F4&quot;/&gt;&lt;wsp:rsid wsp:val=&quot;75FED2C4&quot;/&gt;&lt;wsp:rsid wsp:val=&quot;7666841C&quot;/&gt;&lt;wsp:rsid wsp:val=&quot;76BBDFBA&quot;/&gt;&lt;wsp:rsid wsp:val=&quot;76BF9ECF&quot;/&gt;&lt;wsp:rsid wsp:val=&quot;76DF330F&quot;/&gt;&lt;wsp:rsid wsp:val=&quot;773F927D&quot;/&gt;&lt;wsp:rsid wsp:val=&quot;77676A20&quot;/&gt;&lt;wsp:rsid wsp:val=&quot;779D6084&quot;/&gt;&lt;wsp:rsid wsp:val=&quot;77AAA13B&quot;/&gt;&lt;wsp:rsid wsp:val=&quot;77ADA45B&quot;/&gt;&lt;wsp:rsid wsp:val=&quot;77BF23AA&quot;/&gt;&lt;wsp:rsid wsp:val=&quot;77BFA08F&quot;/&gt;&lt;wsp:rsid wsp:val=&quot;77CF6050&quot;/&gt;&lt;wsp:rsid wsp:val=&quot;77D61D22&quot;/&gt;&lt;wsp:rsid wsp:val=&quot;77DB7558&quot;/&gt;&lt;wsp:rsid wsp:val=&quot;77F963F5&quot;/&gt;&lt;wsp:rsid wsp:val=&quot;77F9A364&quot;/&gt;&lt;wsp:rsid wsp:val=&quot;787A42BD&quot;/&gt;&lt;wsp:rsid wsp:val=&quot;78992A40&quot;/&gt;&lt;wsp:rsid wsp:val=&quot;78F732C4&quot;/&gt;&lt;wsp:rsid wsp:val=&quot;79036043&quot;/&gt;&lt;wsp:rsid wsp:val=&quot;796FDD61&quot;/&gt;&lt;wsp:rsid wsp:val=&quot;7A480DB1&quot;/&gt;&lt;wsp:rsid wsp:val=&quot;7A6FC549&quot;/&gt;&lt;wsp:rsid wsp:val=&quot;7A7F8825&quot;/&gt;&lt;wsp:rsid wsp:val=&quot;7B0111B0&quot;/&gt;&lt;wsp:rsid wsp:val=&quot;7B37F8A2&quot;/&gt;&lt;wsp:rsid wsp:val=&quot;7B7B7AEF&quot;/&gt;&lt;wsp:rsid wsp:val=&quot;7BB987D3&quot;/&gt;&lt;wsp:rsid wsp:val=&quot;7BBE1752&quot;/&gt;&lt;wsp:rsid wsp:val=&quot;7BBF89A6&quot;/&gt;&lt;wsp:rsid wsp:val=&quot;7BBFC78A&quot;/&gt;&lt;wsp:rsid wsp:val=&quot;7BDF2EFE&quot;/&gt;&lt;wsp:rsid wsp:val=&quot;7BFF06C1&quot;/&gt;&lt;wsp:rsid wsp:val=&quot;7C330DCE&quot;/&gt;&lt;wsp:rsid wsp:val=&quot;7C6F688D&quot;/&gt;&lt;wsp:rsid wsp:val=&quot;7C8F0594&quot;/&gt;&lt;wsp:rsid wsp:val=&quot;7CF25910&quot;/&gt;&lt;wsp:rsid wsp:val=&quot;7D537911&quot;/&gt;&lt;wsp:rsid wsp:val=&quot;7DAF5283&quot;/&gt;&lt;wsp:rsid wsp:val=&quot;7DB6B7D3&quot;/&gt;&lt;wsp:rsid wsp:val=&quot;7DC7001B&quot;/&gt;&lt;wsp:rsid wsp:val=&quot;7DDF01C5&quot;/&gt;&lt;wsp:rsid wsp:val=&quot;7DF5935E&quot;/&gt;&lt;wsp:rsid wsp:val=&quot;7DF7D53C&quot;/&gt;&lt;wsp:rsid wsp:val=&quot;7DFD5678&quot;/&gt;&lt;wsp:rsid wsp:val=&quot;7DFF9227&quot;/&gt;&lt;wsp:rsid wsp:val=&quot;7E1370A0&quot;/&gt;&lt;wsp:rsid wsp:val=&quot;7E484F9C&quot;/&gt;&lt;wsp:rsid wsp:val=&quot;7E5C4C83&quot;/&gt;&lt;wsp:rsid wsp:val=&quot;7E8C5F4A&quot;/&gt;&lt;wsp:rsid wsp:val=&quot;7E923553&quot;/&gt;&lt;wsp:rsid wsp:val=&quot;7E93D165&quot;/&gt;&lt;wsp:rsid wsp:val=&quot;7EBBB6FB&quot;/&gt;&lt;wsp:rsid wsp:val=&quot;7EE715AE&quot;/&gt;&lt;wsp:rsid wsp:val=&quot;7EF03B20&quot;/&gt;&lt;wsp:rsid wsp:val=&quot;7EFDE231&quot;/&gt;&lt;wsp:rsid wsp:val=&quot;7EFF193F&quot;/&gt;&lt;wsp:rsid wsp:val=&quot;7F0DBD23&quot;/&gt;&lt;wsp:rsid wsp:val=&quot;7F1C8002&quot;/&gt;&lt;wsp:rsid wsp:val=&quot;7F3F1EA1&quot;/&gt;&lt;wsp:rsid wsp:val=&quot;7F571A5B&quot;/&gt;&lt;wsp:rsid wsp:val=&quot;7F777DDD&quot;/&gt;&lt;wsp:rsid wsp:val=&quot;7F778DBC&quot;/&gt;&lt;wsp:rsid wsp:val=&quot;7F8B2291&quot;/&gt;&lt;wsp:rsid wsp:val=&quot;7F923FF5&quot;/&gt;&lt;wsp:rsid wsp:val=&quot;7F9B4357&quot;/&gt;&lt;wsp:rsid wsp:val=&quot;7FAE2814&quot;/&gt;&lt;wsp:rsid wsp:val=&quot;7FBBE062&quot;/&gt;&lt;wsp:rsid wsp:val=&quot;7FBEB7EA&quot;/&gt;&lt;wsp:rsid wsp:val=&quot;7FBF7938&quot;/&gt;&lt;wsp:rsid wsp:val=&quot;7FC35E17&quot;/&gt;&lt;wsp:rsid wsp:val=&quot;7FC46E7B&quot;/&gt;&lt;wsp:rsid wsp:val=&quot;7FDD9770&quot;/&gt;&lt;wsp:rsid wsp:val=&quot;7FE0F8D8&quot;/&gt;&lt;wsp:rsid wsp:val=&quot;7FEBC062&quot;/&gt;&lt;wsp:rsid wsp:val=&quot;7FEFA09C&quot;/&gt;&lt;wsp:rsid wsp:val=&quot;7FF7DFD1&quot;/&gt;&lt;wsp:rsid wsp:val=&quot;7FF7E467&quot;/&gt;&lt;wsp:rsid wsp:val=&quot;7FF9BE37&quot;/&gt;&lt;wsp:rsid wsp:val=&quot;7FFA6CD2&quot;/&gt;&lt;wsp:rsid wsp:val=&quot;7FFB0A0B&quot;/&gt;&lt;wsp:rsid wsp:val=&quot;7FFD1491&quot;/&gt;&lt;wsp:rsid wsp:val=&quot;7FFE9832&quot;/&gt;&lt;wsp:rsid wsp:val=&quot;7FFF3792&quot;/&gt;&lt;wsp:rsid wsp:val=&quot;7FFF6E37&quot;/&gt;&lt;wsp:rsid wsp:val=&quot;7FFF9EA5&quot;/&gt;&lt;wsp:rsid wsp:val=&quot;8EC701F9&quot;/&gt;&lt;wsp:rsid wsp:val=&quot;9ADF39D4&quot;/&gt;&lt;wsp:rsid wsp:val=&quot;9BB60683&quot;/&gt;&lt;wsp:rsid wsp:val=&quot;9D3EBDF3&quot;/&gt;&lt;wsp:rsid wsp:val=&quot;9DD7F2D1&quot;/&gt;&lt;wsp:rsid wsp:val=&quot;9F6D8389&quot;/&gt;&lt;wsp:rsid wsp:val=&quot;A5DF8C53&quot;/&gt;&lt;wsp:rsid wsp:val=&quot;A8EE8CFE&quot;/&gt;&lt;wsp:rsid wsp:val=&quot;AB3F3160&quot;/&gt;&lt;wsp:rsid wsp:val=&quot;ABAB20F8&quot;/&gt;&lt;wsp:rsid wsp:val=&quot;ABAFFA38&quot;/&gt;&lt;wsp:rsid wsp:val=&quot;AEFFA6A9&quot;/&gt;&lt;wsp:rsid wsp:val=&quot;B3FFC2BF&quot;/&gt;&lt;wsp:rsid wsp:val=&quot;B43E04CF&quot;/&gt;&lt;wsp:rsid wsp:val=&quot;B5FBA294&quot;/&gt;&lt;wsp:rsid wsp:val=&quot;B5FC0050&quot;/&gt;&lt;wsp:rsid wsp:val=&quot;B7AFE55A&quot;/&gt;&lt;wsp:rsid wsp:val=&quot;B7E70AD6&quot;/&gt;&lt;wsp:rsid wsp:val=&quot;B7F9BA0C&quot;/&gt;&lt;wsp:rsid wsp:val=&quot;B844EB5B&quot;/&gt;&lt;wsp:rsid wsp:val=&quot;BA71753C&quot;/&gt;&lt;wsp:rsid wsp:val=&quot;BBBBB6E2&quot;/&gt;&lt;wsp:rsid wsp:val=&quot;BBCB363C&quot;/&gt;&lt;wsp:rsid wsp:val=&quot;BBFD6FC4&quot;/&gt;&lt;wsp:rsid wsp:val=&quot;BBFF136E&quot;/&gt;&lt;wsp:rsid wsp:val=&quot;BC7DC8A8&quot;/&gt;&lt;wsp:rsid wsp:val=&quot;BDFD99FD&quot;/&gt;&lt;wsp:rsid wsp:val=&quot;BDFF9351&quot;/&gt;&lt;wsp:rsid wsp:val=&quot;BEB5B626&quot;/&gt;&lt;wsp:rsid wsp:val=&quot;BEDFBDE7&quot;/&gt;&lt;wsp:rsid wsp:val=&quot;BEFE36A9&quot;/&gt;&lt;wsp:rsid wsp:val=&quot;BF366FB8&quot;/&gt;&lt;wsp:rsid wsp:val=&quot;BF37D914&quot;/&gt;&lt;wsp:rsid wsp:val=&quot;BFD93F38&quot;/&gt;&lt;wsp:rsid wsp:val=&quot;BFF17AEE&quot;/&gt;&lt;wsp:rsid wsp:val=&quot;BFFF0534&quot;/&gt;&lt;wsp:rsid wsp:val=&quot;BFFF27B0&quot;/&gt;&lt;wsp:rsid wsp:val=&quot;BFFF3280&quot;/&gt;&lt;wsp:rsid wsp:val=&quot;C1BFC450&quot;/&gt;&lt;wsp:rsid wsp:val=&quot;C73B43A4&quot;/&gt;&lt;wsp:rsid wsp:val=&quot;CCBD5D81&quot;/&gt;&lt;wsp:rsid wsp:val=&quot;CDB7D8B9&quot;/&gt;&lt;wsp:rsid wsp:val=&quot;CDBFFA34&quot;/&gt;&lt;wsp:rsid wsp:val=&quot;CDFB59D1&quot;/&gt;&lt;wsp:rsid wsp:val=&quot;CF9FE863&quot;/&gt;&lt;wsp:rsid wsp:val=&quot;D4F544E7&quot;/&gt;&lt;wsp:rsid wsp:val=&quot;D57FDD91&quot;/&gt;&lt;wsp:rsid wsp:val=&quot;D6FA8A8F&quot;/&gt;&lt;wsp:rsid wsp:val=&quot;D7BB5077&quot;/&gt;&lt;wsp:rsid wsp:val=&quot;D9FFAB7D&quot;/&gt;&lt;wsp:rsid wsp:val=&quot;DADEBCE5&quot;/&gt;&lt;wsp:rsid wsp:val=&quot;DB7DA3EC&quot;/&gt;&lt;wsp:rsid wsp:val=&quot;DBDC24B4&quot;/&gt;&lt;wsp:rsid wsp:val=&quot;DC7EDA14&quot;/&gt;&lt;wsp:rsid wsp:val=&quot;DDB5D592&quot;/&gt;&lt;wsp:rsid wsp:val=&quot;DDFD9847&quot;/&gt;&lt;wsp:rsid wsp:val=&quot;DE7F35E9&quot;/&gt;&lt;wsp:rsid wsp:val=&quot;DEDDE723&quot;/&gt;&lt;wsp:rsid wsp:val=&quot;DEF27A72&quot;/&gt;&lt;wsp:rsid wsp:val=&quot;DF75C3E8&quot;/&gt;&lt;wsp:rsid wsp:val=&quot;DF7B6304&quot;/&gt;&lt;wsp:rsid wsp:val=&quot;DF8DC08A&quot;/&gt;&lt;wsp:rsid wsp:val=&quot;DFBF382C&quot;/&gt;&lt;wsp:rsid wsp:val=&quot;DFFB1304&quot;/&gt;&lt;wsp:rsid wsp:val=&quot;DFFB7051&quot;/&gt;&lt;wsp:rsid wsp:val=&quot;DFFD3865&quot;/&gt;&lt;wsp:rsid wsp:val=&quot;DFFFE51F&quot;/&gt;&lt;wsp:rsid wsp:val=&quot;E33E4836&quot;/&gt;&lt;wsp:rsid wsp:val=&quot;E3FF71BE&quot;/&gt;&lt;wsp:rsid wsp:val=&quot;E7AE8F7A&quot;/&gt;&lt;wsp:rsid wsp:val=&quot;E7C3B6F4&quot;/&gt;&lt;wsp:rsid wsp:val=&quot;EB5E0D05&quot;/&gt;&lt;wsp:rsid wsp:val=&quot;EBD4BE48&quot;/&gt;&lt;wsp:rsid wsp:val=&quot;EBE70DF3&quot;/&gt;&lt;wsp:rsid wsp:val=&quot;EBF60A46&quot;/&gt;&lt;wsp:rsid wsp:val=&quot;EBF73CAA&quot;/&gt;&lt;wsp:rsid wsp:val=&quot;EBFF6737&quot;/&gt;&lt;wsp:rsid wsp:val=&quot;EBFF777A&quot;/&gt;&lt;wsp:rsid wsp:val=&quot;ED377B7B&quot;/&gt;&lt;wsp:rsid wsp:val=&quot;EDFDDE8C&quot;/&gt;&lt;wsp:rsid wsp:val=&quot;EEFF6487&quot;/&gt;&lt;wsp:rsid wsp:val=&quot;EF637166&quot;/&gt;&lt;wsp:rsid wsp:val=&quot;EF75ED13&quot;/&gt;&lt;wsp:rsid wsp:val=&quot;EFAFFEF5&quot;/&gt;&lt;wsp:rsid wsp:val=&quot;EFDC11E0&quot;/&gt;&lt;wsp:rsid wsp:val=&quot;EFECBDBC&quot;/&gt;&lt;wsp:rsid wsp:val=&quot;EFF736EB&quot;/&gt;&lt;wsp:rsid wsp:val=&quot;EFFB2693&quot;/&gt;&lt;wsp:rsid wsp:val=&quot;F39F54E5&quot;/&gt;&lt;wsp:rsid wsp:val=&quot;F3FF38E7&quot;/&gt;&lt;wsp:rsid wsp:val=&quot;F4A37EE4&quot;/&gt;&lt;wsp:rsid wsp:val=&quot;F5A7C8A5&quot;/&gt;&lt;wsp:rsid wsp:val=&quot;F5AB5158&quot;/&gt;&lt;wsp:rsid wsp:val=&quot;F6FBAE4F&quot;/&gt;&lt;wsp:rsid wsp:val=&quot;F7BF9CC5&quot;/&gt;&lt;wsp:rsid wsp:val=&quot;F7EFC410&quot;/&gt;&lt;wsp:rsid wsp:val=&quot;F8F671C6&quot;/&gt;&lt;wsp:rsid wsp:val=&quot;F95AE5D0&quot;/&gt;&lt;wsp:rsid wsp:val=&quot;FBBBF98E&quot;/&gt;&lt;wsp:rsid wsp:val=&quot;FBDC0FC3&quot;/&gt;&lt;wsp:rsid wsp:val=&quot;FBF7EA14&quot;/&gt;&lt;wsp:rsid wsp:val=&quot;FBFD177B&quot;/&gt;&lt;wsp:rsid wsp:val=&quot;FBFF0AA5&quot;/&gt;&lt;wsp:rsid wsp:val=&quot;FBFF15B3&quot;/&gt;&lt;wsp:rsid wsp:val=&quot;FCEB4C03&quot;/&gt;&lt;wsp:rsid wsp:val=&quot;FCFCEEA9&quot;/&gt;&lt;wsp:rsid wsp:val=&quot;FCFF80B8&quot;/&gt;&lt;wsp:rsid wsp:val=&quot;FD7B032A&quot;/&gt;&lt;wsp:rsid wsp:val=&quot;FD7DB8D2&quot;/&gt;&lt;wsp:rsid wsp:val=&quot;FDB35D97&quot;/&gt;&lt;wsp:rsid wsp:val=&quot;FDD65BCB&quot;/&gt;&lt;wsp:rsid wsp:val=&quot;FDEE0097&quot;/&gt;&lt;wsp:rsid wsp:val=&quot;FE3AE016&quot;/&gt;&lt;wsp:rsid wsp:val=&quot;FE3FD466&quot;/&gt;&lt;wsp:rsid wsp:val=&quot;FE9F6274&quot;/&gt;&lt;wsp:rsid wsp:val=&quot;FEDD1634&quot;/&gt;&lt;wsp:rsid wsp:val=&quot;FEFA1EB8&quot;/&gt;&lt;wsp:rsid wsp:val=&quot;FF1C1AB3&quot;/&gt;&lt;wsp:rsid wsp:val=&quot;FF2E3D85&quot;/&gt;&lt;wsp:rsid wsp:val=&quot;FF3FD125&quot;/&gt;&lt;wsp:rsid wsp:val=&quot;FF5F1445&quot;/&gt;&lt;wsp:rsid wsp:val=&quot;FF6C9B3A&quot;/&gt;&lt;wsp:rsid wsp:val=&quot;FF6FAE72&quot;/&gt;&lt;wsp:rsid wsp:val=&quot;FF7D18DE&quot;/&gt;&lt;wsp:rsid wsp:val=&quot;FF7F1A1F&quot;/&gt;&lt;wsp:rsid wsp:val=&quot;FF7F4874&quot;/&gt;&lt;wsp:rsid wsp:val=&quot;FF7FC562&quot;/&gt;&lt;wsp:rsid wsp:val=&quot;FF7FEAFE&quot;/&gt;&lt;wsp:rsid wsp:val=&quot;FF90B2D1&quot;/&gt;&lt;wsp:rsid wsp:val=&quot;FF9DBC46&quot;/&gt;&lt;wsp:rsid wsp:val=&quot;FFAEBEB2&quot;/&gt;&lt;wsp:rsid wsp:val=&quot;FFBDA77C&quot;/&gt;&lt;wsp:rsid wsp:val=&quot;FFBE1F58&quot;/&gt;&lt;wsp:rsid wsp:val=&quot;FFBF8FAA&quot;/&gt;&lt;wsp:rsid wsp:val=&quot;FFBF9C5A&quot;/&gt;&lt;wsp:rsid wsp:val=&quot;FFBFDEF1&quot;/&gt;&lt;wsp:rsid wsp:val=&quot;FFDD40DA&quot;/&gt;&lt;wsp:rsid wsp:val=&quot;FFE9547C&quot;/&gt;&lt;wsp:rsid wsp:val=&quot;FFF4C6AA&quot;/&gt;&lt;wsp:rsid wsp:val=&quot;FFF5566E&quot;/&gt;&lt;wsp:rsid wsp:val=&quot;FFF71B17&quot;/&gt;&lt;wsp:rsid wsp:val=&quot;FFF7534D&quot;/&gt;&lt;wsp:rsid wsp:val=&quot;FFF7A93B&quot;/&gt;&lt;wsp:rsid wsp:val=&quot;FFFBD57C&quot;/&gt;&lt;wsp:rsid wsp:val=&quot;FFFDBD57&quot;/&gt;&lt;wsp:rsid wsp:val=&quot;FFFE6206&quot;/&gt;&lt;wsp:rsid wsp:val=&quot;FFFF2656&quot;/&gt;&lt;wsp:rsid wsp:val=&quot;FFFFEE31&quot;/&gt;&lt;/wsp:rsids&gt;&lt;/w:docPr&gt;&lt;w:body&gt;&lt;wx:sect&gt;&lt;w:p wsp:rsidR=&quot;00C3072A&quot; wsp:rsidRDefault=&quot;00C3072A&quot; wsp:rsidP=&quot;00C3072A&quot;&gt;&lt;m:oMathPara&gt;&lt;m:oMath&gt;&lt;m:sSub&gt;&lt;m:sSubPr&gt;&lt;m:ctrlPr&gt;&lt;w:rPr&gt;&lt;w:rFonts w:ascii=&quot;Cambria Math&quot; w:fareast=&quot;等线&quot; w:h-ansi=&quot;Cambria Math&quot;/&gt;&lt;wx:font wx:val=&quot;Cambria Math&quot;/&gt;&lt;w:i/&gt;&lt;w:color w:val=&quot;1F1F1F&quot;/&gt;&lt;w:kern w:val=&quot;0&quot;/&gt;&lt;w:sz w:val=&quot;24&quot;/&gt;&lt;/w:rPr&gt;&lt;/m:ctrlPr&gt;&lt;/m:sSubPr&gt;&lt;m:e&gt;&lt;m:r&gt;&lt;w:rPr&gt;&lt;w:rFonts w:ascii=&quot;Cambria Math&quot; w:fareast=&quot;等线&quot; w:h-ansi=&quot;Cambria Math&quot;/&gt;&lt;wx:font wx:val=&quot;Cambria Math&quot;/&gt;&lt;w:i/&gt;&lt;w:color w:val=&quot;1F1F1F&quot;/&gt;&lt;w:kern w:val=&quot;0&quot;/&gt;&lt;w:sz w:val=&quot;24&quot;/&gt;&lt;/w:rPr&gt;&lt;m:t&gt;D&lt;/m:t&gt;&lt;/m:r&gt;&lt;/m:e&gt;&lt;m:sub&gt;&lt;m:r&gt;&lt;w:rPr&gt;&lt;w:rFonts w:ascii=&quot;Cambria Math&quot; w:fareast=&quot;等线&quot; w:h-ansi=&quot;Cambria Math&quot;/&gt;&lt;wx:font wx:val=&quot;Cambria Math&quot;/&gt;&lt;w:i/&gt;&lt;w:color w:val=&quot;1F1F1F&quot;/&gt;&lt;w:kern w:val=&quot;0&quot;/&gt;&lt;w:sz w:val=&quot;24&quot;/&gt;&lt;/w:rPr&gt;&lt;m:t&gt;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eastAsia" w:ascii="宋体" w:hAnsi="宋体" w:eastAsia="宋体" w:cs="宋体"/>
          <w:sz w:val="21"/>
          <w:szCs w:val="21"/>
        </w:rPr>
        <w:instrText xml:space="preserve">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end"/>
      </w:r>
      <w:r>
        <w:rPr>
          <w:rFonts w:hint="eastAsia" w:ascii="宋体" w:hAnsi="宋体" w:eastAsia="宋体" w:cs="宋体"/>
          <w:sz w:val="21"/>
          <w:szCs w:val="21"/>
        </w:rPr>
        <w:t xml:space="preserve"> ——平移扩散系数（m</w:t>
      </w:r>
      <w:r>
        <w:rPr>
          <w:rFonts w:hint="eastAsia" w:ascii="宋体" w:hAnsi="宋体" w:eastAsia="宋体" w:cs="宋体"/>
          <w:sz w:val="21"/>
          <w:szCs w:val="21"/>
          <w:vertAlign w:val="superscript"/>
        </w:rPr>
        <w:t>2</w:t>
      </w:r>
      <w:r>
        <w:rPr>
          <w:rFonts w:hint="eastAsia" w:ascii="宋体" w:hAnsi="宋体" w:eastAsia="宋体" w:cs="宋体"/>
          <w:sz w:val="21"/>
          <w:szCs w:val="21"/>
        </w:rPr>
        <w:t>/s）。</w:t>
      </w:r>
    </w:p>
    <w:p w14:paraId="2CCD9880">
      <w:pPr>
        <w:ind w:firstLine="420" w:firstLineChars="200"/>
        <w:jc w:val="left"/>
        <w:rPr>
          <w:szCs w:val="21"/>
        </w:rPr>
      </w:pPr>
      <w:r>
        <w:rPr>
          <w:rFonts w:hint="eastAsia"/>
          <w:szCs w:val="21"/>
        </w:rPr>
        <w:t>本方法报告的结果为光强加权的调和平均粒径，即</w:t>
      </w:r>
      <w:r>
        <w:rPr>
          <w:szCs w:val="21"/>
        </w:rPr>
        <w:t>Z-</w:t>
      </w:r>
      <w:r>
        <w:rPr>
          <w:rFonts w:hint="eastAsia"/>
          <w:szCs w:val="21"/>
        </w:rPr>
        <w:t>平均粒径（</w:t>
      </w:r>
      <w:r>
        <w:rPr>
          <w:szCs w:val="21"/>
        </w:rPr>
        <w:t>Z-Average Diameter</w:t>
      </w:r>
      <w:r>
        <w:rPr>
          <w:rFonts w:hint="eastAsia"/>
          <w:szCs w:val="21"/>
        </w:rPr>
        <w:t>）。</w:t>
      </w:r>
    </w:p>
    <w:p w14:paraId="2596623E">
      <w:pPr>
        <w:pStyle w:val="84"/>
        <w:spacing w:before="156" w:beforeLines="50" w:after="156" w:afterLines="50"/>
        <w:rPr>
          <w:rFonts w:hint="eastAsia" w:hAnsi="Times New Roman" w:cs="Times New Roman"/>
        </w:rPr>
      </w:pPr>
      <w:bookmarkStart w:id="92" w:name="_Toc13547"/>
      <w:r>
        <w:rPr>
          <w:rFonts w:hint="eastAsia" w:hAnsi="Times New Roman" w:cs="Times New Roman"/>
        </w:rPr>
        <w:t>试剂与材料</w:t>
      </w:r>
      <w:bookmarkEnd w:id="92"/>
    </w:p>
    <w:p w14:paraId="26AACDF0">
      <w:pPr>
        <w:ind w:firstLine="420" w:firstLineChars="200"/>
        <w:jc w:val="left"/>
        <w:rPr>
          <w:rFonts w:hint="eastAsia" w:ascii="宋体" w:hAnsi="宋体" w:eastAsia="宋体" w:cs="宋体"/>
          <w:szCs w:val="21"/>
        </w:rPr>
      </w:pPr>
      <w:r>
        <w:rPr>
          <w:rFonts w:hint="eastAsia" w:ascii="宋体" w:hAnsi="宋体" w:eastAsia="宋体" w:cs="宋体"/>
          <w:szCs w:val="21"/>
        </w:rPr>
        <w:t>除非另有说明，本方法所用试剂均为分析纯，</w:t>
      </w:r>
      <w:r>
        <w:rPr>
          <w:rFonts w:hint="eastAsia" w:ascii="宋体" w:hAnsi="宋体" w:eastAsia="宋体" w:cs="宋体"/>
          <w:szCs w:val="21"/>
          <w:lang w:eastAsia="zh-CN"/>
        </w:rPr>
        <w:t>试验用水</w:t>
      </w:r>
      <w:r>
        <w:rPr>
          <w:rFonts w:hint="eastAsia" w:ascii="宋体" w:hAnsi="宋体" w:eastAsia="宋体" w:cs="宋体"/>
          <w:szCs w:val="21"/>
        </w:rPr>
        <w:t>应符合GB/T 6682</w:t>
      </w:r>
      <w:r>
        <w:rPr>
          <w:rFonts w:hint="eastAsia" w:ascii="宋体" w:hAnsi="宋体" w:eastAsia="宋体" w:cs="宋体"/>
          <w:szCs w:val="21"/>
          <w:lang w:eastAsia="zh-CN"/>
        </w:rPr>
        <w:t>—</w:t>
      </w:r>
      <w:r>
        <w:rPr>
          <w:rFonts w:hint="eastAsia" w:ascii="宋体" w:hAnsi="宋体" w:eastAsia="宋体" w:cs="宋体"/>
          <w:szCs w:val="21"/>
          <w:lang w:val="en-US" w:eastAsia="zh-CN"/>
        </w:rPr>
        <w:t>2008</w:t>
      </w:r>
      <w:r>
        <w:rPr>
          <w:rFonts w:hint="eastAsia" w:ascii="宋体" w:hAnsi="宋体" w:eastAsia="宋体" w:cs="宋体"/>
          <w:szCs w:val="21"/>
        </w:rPr>
        <w:t xml:space="preserve">中一级水的规格，并经0.22 </w:t>
      </w:r>
      <w:bookmarkStart w:id="93" w:name="OLE_LINK6"/>
      <w:r>
        <w:rPr>
          <w:rFonts w:hint="eastAsia" w:ascii="宋体" w:hAnsi="宋体" w:eastAsia="宋体" w:cs="宋体"/>
          <w:szCs w:val="21"/>
        </w:rPr>
        <w:sym w:font="Symbol" w:char="F06D"/>
      </w:r>
      <w:r>
        <w:rPr>
          <w:rFonts w:hint="eastAsia" w:ascii="宋体" w:hAnsi="宋体" w:eastAsia="宋体" w:cs="宋体"/>
          <w:szCs w:val="21"/>
        </w:rPr>
        <w:t>m</w:t>
      </w:r>
      <w:bookmarkEnd w:id="93"/>
      <w:r>
        <w:rPr>
          <w:rFonts w:hint="eastAsia" w:ascii="宋体" w:hAnsi="宋体" w:eastAsia="宋体" w:cs="宋体"/>
          <w:szCs w:val="21"/>
        </w:rPr>
        <w:t>微孔滤膜过滤除尘。</w:t>
      </w:r>
    </w:p>
    <w:p w14:paraId="0F8400AB">
      <w:pPr>
        <w:pStyle w:val="113"/>
        <w:bidi w:val="0"/>
        <w:ind w:left="0" w:leftChars="0" w:firstLine="0" w:firstLineChars="0"/>
        <w:rPr>
          <w:rFonts w:hint="eastAsia"/>
        </w:rPr>
      </w:pPr>
      <w:r>
        <w:rPr>
          <w:rFonts w:hint="eastAsia"/>
          <w:lang w:eastAsia="zh-CN"/>
        </w:rPr>
        <w:t>试</w:t>
      </w:r>
      <w:r>
        <w:rPr>
          <w:rFonts w:hint="eastAsia"/>
        </w:rPr>
        <w:t>验用水</w:t>
      </w:r>
    </w:p>
    <w:p w14:paraId="72AC6F62">
      <w:pPr>
        <w:ind w:firstLine="420" w:firstLineChars="200"/>
        <w:jc w:val="left"/>
        <w:rPr>
          <w:rFonts w:hint="eastAsia" w:ascii="宋体" w:hAnsi="宋体" w:eastAsia="宋体" w:cs="宋体"/>
          <w:szCs w:val="21"/>
        </w:rPr>
      </w:pPr>
      <w:r>
        <w:rPr>
          <w:rFonts w:hint="eastAsia" w:ascii="宋体" w:hAnsi="宋体" w:eastAsia="宋体" w:cs="宋体"/>
          <w:szCs w:val="21"/>
          <w:lang w:eastAsia="zh-CN"/>
        </w:rPr>
        <w:t>试验用水应为</w:t>
      </w:r>
      <w:r>
        <w:rPr>
          <w:rFonts w:hint="eastAsia" w:ascii="宋体" w:hAnsi="宋体" w:eastAsia="宋体" w:cs="宋体"/>
          <w:szCs w:val="21"/>
        </w:rPr>
        <w:t>去离子水或超纯水，电阻率</w:t>
      </w:r>
      <w:r>
        <w:rPr>
          <w:rFonts w:hint="eastAsia" w:ascii="宋体" w:hAnsi="宋体" w:eastAsia="宋体" w:cs="宋体"/>
          <w:szCs w:val="21"/>
          <w:lang w:eastAsia="zh-CN"/>
        </w:rPr>
        <w:t>应不小于</w:t>
      </w:r>
      <w:r>
        <w:rPr>
          <w:rFonts w:hint="eastAsia" w:ascii="宋体" w:hAnsi="宋体" w:eastAsia="宋体" w:cs="宋体"/>
          <w:szCs w:val="21"/>
        </w:rPr>
        <w:t>18.2</w:t>
      </w:r>
      <w:r>
        <w:rPr>
          <w:rFonts w:hint="eastAsia" w:ascii="宋体" w:hAnsi="宋体" w:eastAsia="宋体" w:cs="宋体"/>
          <w:szCs w:val="21"/>
          <w:lang w:val="en-US" w:eastAsia="zh-CN"/>
        </w:rPr>
        <w:t xml:space="preserve"> </w:t>
      </w:r>
      <w:r>
        <w:rPr>
          <w:rFonts w:hint="eastAsia" w:ascii="宋体" w:hAnsi="宋体" w:eastAsia="宋体" w:cs="宋体"/>
          <w:szCs w:val="21"/>
        </w:rPr>
        <w:t>M</w:t>
      </w:r>
      <w:r>
        <w:rPr>
          <w:rFonts w:hint="eastAsia" w:ascii="宋体" w:hAnsi="宋体" w:eastAsia="宋体" w:cs="宋体"/>
          <w:szCs w:val="21"/>
        </w:rPr>
        <w:sym w:font="Symbol" w:char="F057"/>
      </w:r>
      <w:r>
        <w:rPr>
          <w:rFonts w:hint="eastAsia" w:ascii="宋体" w:hAnsi="宋体" w:eastAsia="宋体" w:cs="宋体"/>
          <w:szCs w:val="21"/>
        </w:rPr>
        <w:t>·cm。使用前</w:t>
      </w:r>
      <w:r>
        <w:rPr>
          <w:rFonts w:hint="eastAsia" w:ascii="宋体" w:hAnsi="宋体" w:eastAsia="宋体" w:cs="宋体"/>
          <w:szCs w:val="21"/>
          <w:lang w:eastAsia="zh-CN"/>
        </w:rPr>
        <w:t>应</w:t>
      </w:r>
      <w:r>
        <w:rPr>
          <w:rFonts w:hint="eastAsia" w:ascii="宋体" w:hAnsi="宋体" w:eastAsia="宋体" w:cs="宋体"/>
          <w:szCs w:val="21"/>
        </w:rPr>
        <w:t>通过0.22</w:t>
      </w:r>
      <w:bookmarkStart w:id="94" w:name="OLE_LINK7"/>
      <w:r>
        <w:rPr>
          <w:rFonts w:hint="eastAsia" w:ascii="宋体" w:hAnsi="宋体" w:eastAsia="宋体" w:cs="宋体"/>
          <w:szCs w:val="21"/>
        </w:rPr>
        <w:t xml:space="preserve"> </w:t>
      </w:r>
      <w:r>
        <w:rPr>
          <w:rFonts w:hint="eastAsia" w:ascii="宋体" w:hAnsi="宋体" w:eastAsia="宋体" w:cs="宋体"/>
          <w:szCs w:val="21"/>
        </w:rPr>
        <w:sym w:font="Symbol" w:char="F06D"/>
      </w:r>
      <w:r>
        <w:rPr>
          <w:rFonts w:hint="eastAsia" w:ascii="宋体" w:hAnsi="宋体" w:eastAsia="宋体" w:cs="宋体"/>
          <w:szCs w:val="21"/>
        </w:rPr>
        <w:t>m</w:t>
      </w:r>
      <w:bookmarkEnd w:id="94"/>
      <w:r>
        <w:rPr>
          <w:rFonts w:hint="eastAsia" w:ascii="宋体" w:hAnsi="宋体" w:eastAsia="宋体" w:cs="宋体"/>
          <w:szCs w:val="21"/>
        </w:rPr>
        <w:t>水系针头过滤器过滤，以去除水中可能存在的灰尘颗粒，避免对纳米测量产生背景干扰。</w:t>
      </w:r>
    </w:p>
    <w:p w14:paraId="25814761">
      <w:pPr>
        <w:pStyle w:val="113"/>
        <w:bidi w:val="0"/>
        <w:ind w:left="0" w:leftChars="0" w:firstLine="0" w:firstLineChars="0"/>
        <w:rPr>
          <w:rFonts w:hint="eastAsia" w:hAnsi="Times New Roman" w:cs="Times New Roman"/>
        </w:rPr>
      </w:pPr>
      <w:r>
        <w:rPr>
          <w:rFonts w:hint="eastAsia" w:hAnsi="Times New Roman" w:cs="Times New Roman"/>
        </w:rPr>
        <w:t>验证用标准物质</w:t>
      </w:r>
    </w:p>
    <w:p w14:paraId="4CC0680A">
      <w:pPr>
        <w:ind w:firstLine="420" w:firstLineChars="200"/>
        <w:jc w:val="left"/>
        <w:rPr>
          <w:rFonts w:hint="eastAsia" w:ascii="宋体" w:hAnsi="宋体" w:eastAsia="宋体" w:cs="宋体"/>
          <w:szCs w:val="21"/>
        </w:rPr>
      </w:pPr>
      <w:r>
        <w:rPr>
          <w:rFonts w:hint="eastAsia" w:ascii="宋体" w:hAnsi="宋体" w:eastAsia="宋体" w:cs="宋体"/>
          <w:szCs w:val="21"/>
        </w:rPr>
        <w:t>使用标称粒径在50 nm～100 nm的聚苯乙烯微球（PS）有证标准物质，用于定期验证仪器的准确性。</w:t>
      </w:r>
    </w:p>
    <w:p w14:paraId="37B0E16D">
      <w:pPr>
        <w:pStyle w:val="84"/>
        <w:spacing w:before="156" w:beforeLines="50" w:after="156" w:afterLines="50"/>
        <w:rPr>
          <w:rFonts w:hint="eastAsia" w:hAnsi="Times New Roman" w:cs="Times New Roman"/>
        </w:rPr>
      </w:pPr>
      <w:bookmarkStart w:id="95" w:name="_Toc21956"/>
      <w:r>
        <w:rPr>
          <w:rFonts w:hint="eastAsia" w:hAnsi="Times New Roman" w:cs="Times New Roman"/>
        </w:rPr>
        <w:t>仪器与设备</w:t>
      </w:r>
      <w:bookmarkEnd w:id="95"/>
    </w:p>
    <w:p w14:paraId="5FD8D62D">
      <w:pPr>
        <w:pStyle w:val="113"/>
        <w:bidi w:val="0"/>
        <w:ind w:left="0" w:leftChars="0" w:firstLine="0" w:firstLineChars="0"/>
        <w:rPr>
          <w:rFonts w:hint="eastAsia" w:hAnsi="Times New Roman" w:cs="Times New Roman"/>
        </w:rPr>
      </w:pPr>
      <w:r>
        <w:rPr>
          <w:rFonts w:hint="eastAsia" w:hAnsi="Times New Roman" w:cs="Times New Roman"/>
        </w:rPr>
        <w:t>动态光散射粒度分析仪</w:t>
      </w:r>
    </w:p>
    <w:p w14:paraId="14A9FA35">
      <w:pPr>
        <w:ind w:firstLine="420" w:firstLineChars="200"/>
        <w:jc w:val="left"/>
        <w:rPr>
          <w:rFonts w:hint="eastAsia" w:ascii="宋体" w:hAnsi="宋体" w:eastAsia="宋体" w:cs="宋体"/>
          <w:szCs w:val="21"/>
          <w:lang w:eastAsia="zh-CN"/>
        </w:rPr>
      </w:pPr>
      <w:r>
        <w:rPr>
          <w:rFonts w:hint="eastAsia" w:ascii="宋体" w:hAnsi="宋体" w:eastAsia="宋体" w:cs="宋体"/>
          <w:szCs w:val="21"/>
        </w:rPr>
        <w:t>动态光散射粒度分析仪应符合 GB/T 44223—2024中第5章</w:t>
      </w:r>
      <w:r>
        <w:rPr>
          <w:rFonts w:hint="eastAsia" w:ascii="宋体" w:hAnsi="宋体" w:eastAsia="宋体" w:cs="宋体"/>
          <w:szCs w:val="21"/>
          <w:lang w:eastAsia="zh-CN"/>
        </w:rPr>
        <w:t>及以下</w:t>
      </w:r>
      <w:r>
        <w:rPr>
          <w:rFonts w:hint="eastAsia" w:ascii="宋体" w:hAnsi="宋体" w:eastAsia="宋体" w:cs="宋体"/>
          <w:szCs w:val="21"/>
        </w:rPr>
        <w:t>技术要求</w:t>
      </w:r>
      <w:r>
        <w:rPr>
          <w:rFonts w:hint="eastAsia" w:ascii="宋体" w:hAnsi="宋体" w:eastAsia="宋体" w:cs="宋体"/>
          <w:szCs w:val="21"/>
          <w:lang w:eastAsia="zh-CN"/>
        </w:rPr>
        <w:t>：</w:t>
      </w:r>
    </w:p>
    <w:p w14:paraId="19665207">
      <w:pPr>
        <w:numPr>
          <w:ilvl w:val="0"/>
          <w:numId w:val="0"/>
        </w:numPr>
        <w:ind w:left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val="0"/>
          <w:bCs w:val="0"/>
          <w:szCs w:val="21"/>
        </w:rPr>
        <w:t>测量范围：至少覆盖1 nm～1</w:t>
      </w:r>
      <w:r>
        <w:rPr>
          <w:rFonts w:hint="eastAsia" w:ascii="宋体" w:hAnsi="宋体" w:eastAsia="宋体" w:cs="宋体"/>
          <w:b w:val="0"/>
          <w:bCs w:val="0"/>
          <w:szCs w:val="21"/>
          <w:lang w:val="en-US" w:eastAsia="zh-CN"/>
        </w:rPr>
        <w:t xml:space="preserve"> </w:t>
      </w:r>
      <w:r>
        <w:rPr>
          <w:rFonts w:hint="eastAsia" w:ascii="宋体" w:hAnsi="宋体" w:eastAsia="宋体" w:cs="宋体"/>
          <w:b w:val="0"/>
          <w:bCs w:val="0"/>
          <w:szCs w:val="21"/>
        </w:rPr>
        <w:t>000 nm</w:t>
      </w:r>
      <w:r>
        <w:rPr>
          <w:rFonts w:hint="eastAsia" w:ascii="宋体" w:hAnsi="宋体" w:eastAsia="宋体" w:cs="宋体"/>
          <w:b w:val="0"/>
          <w:bCs w:val="0"/>
          <w:szCs w:val="21"/>
          <w:lang w:eastAsia="zh-CN"/>
        </w:rPr>
        <w:t>；</w:t>
      </w:r>
    </w:p>
    <w:p w14:paraId="317E535D">
      <w:pPr>
        <w:numPr>
          <w:ilvl w:val="0"/>
          <w:numId w:val="0"/>
        </w:numPr>
        <w:ind w:left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val="0"/>
          <w:bCs w:val="0"/>
          <w:szCs w:val="21"/>
        </w:rPr>
        <w:t>温控系统：具备珀耳帖（Peltier）效应温控装置，控温精度优于±0.1℃</w:t>
      </w:r>
      <w:r>
        <w:rPr>
          <w:rFonts w:hint="eastAsia" w:ascii="宋体" w:hAnsi="宋体" w:eastAsia="宋体" w:cs="宋体"/>
          <w:b w:val="0"/>
          <w:bCs w:val="0"/>
          <w:szCs w:val="21"/>
          <w:lang w:eastAsia="zh-CN"/>
        </w:rPr>
        <w:t>；</w:t>
      </w:r>
    </w:p>
    <w:p w14:paraId="73A4F82A">
      <w:pPr>
        <w:numPr>
          <w:ilvl w:val="0"/>
          <w:numId w:val="0"/>
        </w:numPr>
        <w:ind w:left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val="0"/>
          <w:bCs w:val="0"/>
          <w:szCs w:val="21"/>
        </w:rPr>
        <w:t>检测角度：90°（侧向散射）或173°/175°（背向散射）</w:t>
      </w:r>
      <w:r>
        <w:rPr>
          <w:rFonts w:hint="eastAsia" w:ascii="宋体" w:hAnsi="宋体" w:eastAsia="宋体" w:cs="宋体"/>
          <w:b w:val="0"/>
          <w:bCs w:val="0"/>
          <w:szCs w:val="21"/>
          <w:lang w:eastAsia="zh-CN"/>
        </w:rPr>
        <w:t>；</w:t>
      </w:r>
    </w:p>
    <w:p w14:paraId="3073EA7E">
      <w:pPr>
        <w:numPr>
          <w:ilvl w:val="0"/>
          <w:numId w:val="0"/>
        </w:numPr>
        <w:ind w:leftChars="200"/>
        <w:jc w:val="left"/>
        <w:rPr>
          <w:rFonts w:hint="eastAsia" w:ascii="宋体" w:hAnsi="宋体" w:eastAsia="宋体" w:cs="宋体"/>
          <w:b w:val="0"/>
          <w:bCs w:val="0"/>
          <w:szCs w:val="21"/>
        </w:rPr>
      </w:pPr>
      <w:r>
        <w:rPr>
          <w:rFonts w:hint="eastAsia" w:ascii="宋体" w:hAnsi="宋体" w:eastAsia="宋体" w:cs="宋体"/>
          <w:b w:val="0"/>
          <w:bCs w:val="0"/>
          <w:szCs w:val="21"/>
          <w:lang w:eastAsia="zh-CN"/>
        </w:rPr>
        <w:t>——</w:t>
      </w:r>
      <w:r>
        <w:rPr>
          <w:rFonts w:hint="eastAsia" w:ascii="宋体" w:hAnsi="宋体" w:eastAsia="宋体" w:cs="宋体"/>
          <w:b w:val="0"/>
          <w:bCs w:val="0"/>
          <w:szCs w:val="21"/>
        </w:rPr>
        <w:t>重复性：对100 nm标准样品的测量重复性（RSD）应小于2%。</w:t>
      </w:r>
    </w:p>
    <w:p w14:paraId="588F7E36">
      <w:pPr>
        <w:pStyle w:val="113"/>
        <w:bidi w:val="0"/>
        <w:ind w:left="0" w:leftChars="0" w:firstLine="0" w:firstLineChars="0"/>
        <w:rPr>
          <w:rFonts w:hint="eastAsia" w:hAnsi="Times New Roman" w:cs="Times New Roman"/>
        </w:rPr>
      </w:pPr>
      <w:r>
        <w:rPr>
          <w:rFonts w:hint="eastAsia" w:hAnsi="Times New Roman" w:cs="Times New Roman"/>
        </w:rPr>
        <w:t>超声波清洗器</w:t>
      </w:r>
    </w:p>
    <w:p w14:paraId="2E1FFD1C">
      <w:pPr>
        <w:ind w:firstLine="420" w:firstLineChars="200"/>
        <w:jc w:val="left"/>
        <w:rPr>
          <w:rFonts w:hint="eastAsia"/>
          <w:szCs w:val="21"/>
          <w:lang w:eastAsia="zh-CN"/>
        </w:rPr>
      </w:pPr>
      <w:r>
        <w:rPr>
          <w:rFonts w:hint="eastAsia"/>
          <w:szCs w:val="21"/>
        </w:rPr>
        <w:t>超声波清洗器</w:t>
      </w:r>
      <w:r>
        <w:rPr>
          <w:rFonts w:hint="eastAsia"/>
          <w:szCs w:val="21"/>
          <w:lang w:eastAsia="zh-CN"/>
        </w:rPr>
        <w:t>应满足以下要求：</w:t>
      </w:r>
    </w:p>
    <w:p w14:paraId="6F6DD07D">
      <w:pPr>
        <w:ind w:firstLine="420" w:firstLineChars="200"/>
        <w:jc w:val="left"/>
        <w:rPr>
          <w:rFonts w:hint="eastAsia" w:ascii="宋体" w:hAnsi="宋体" w:eastAsia="宋体" w:cs="宋体"/>
          <w:szCs w:val="21"/>
          <w:lang w:eastAsia="zh-CN"/>
        </w:rPr>
      </w:pPr>
      <w:r>
        <w:rPr>
          <w:rFonts w:hint="eastAsia" w:ascii="宋体" w:hAnsi="宋体" w:eastAsia="宋体" w:cs="宋体"/>
          <w:b w:val="0"/>
          <w:bCs w:val="0"/>
          <w:szCs w:val="21"/>
          <w:lang w:eastAsia="zh-CN"/>
        </w:rPr>
        <w:t>——</w:t>
      </w:r>
      <w:r>
        <w:rPr>
          <w:rFonts w:hint="eastAsia" w:ascii="宋体" w:hAnsi="宋体" w:eastAsia="宋体" w:cs="宋体"/>
          <w:szCs w:val="21"/>
        </w:rPr>
        <w:t>功率</w:t>
      </w:r>
      <w:r>
        <w:rPr>
          <w:rFonts w:hint="eastAsia" w:ascii="宋体" w:hAnsi="宋体" w:eastAsia="宋体" w:cs="宋体"/>
          <w:szCs w:val="21"/>
          <w:lang w:eastAsia="zh-CN"/>
        </w:rPr>
        <w:t>：不小于</w:t>
      </w:r>
      <w:r>
        <w:rPr>
          <w:rFonts w:hint="eastAsia" w:ascii="宋体" w:hAnsi="宋体" w:eastAsia="宋体" w:cs="宋体"/>
          <w:szCs w:val="21"/>
        </w:rPr>
        <w:t>100 W</w:t>
      </w:r>
      <w:r>
        <w:rPr>
          <w:rFonts w:hint="eastAsia" w:ascii="宋体" w:hAnsi="宋体" w:eastAsia="宋体" w:cs="宋体"/>
          <w:szCs w:val="21"/>
          <w:lang w:eastAsia="zh-CN"/>
        </w:rPr>
        <w:t>；</w:t>
      </w:r>
    </w:p>
    <w:p w14:paraId="252EFC18">
      <w:pPr>
        <w:ind w:firstLine="420" w:firstLineChars="200"/>
        <w:jc w:val="left"/>
        <w:rPr>
          <w:rFonts w:hint="eastAsia" w:ascii="宋体" w:hAnsi="宋体" w:eastAsia="宋体" w:cs="宋体"/>
          <w:szCs w:val="21"/>
          <w:lang w:eastAsia="zh-CN"/>
        </w:rPr>
      </w:pPr>
      <w:r>
        <w:rPr>
          <w:rFonts w:hint="eastAsia" w:ascii="宋体" w:hAnsi="宋体" w:eastAsia="宋体" w:cs="宋体"/>
          <w:b w:val="0"/>
          <w:bCs w:val="0"/>
          <w:szCs w:val="21"/>
          <w:lang w:eastAsia="zh-CN"/>
        </w:rPr>
        <w:t>——</w:t>
      </w:r>
      <w:r>
        <w:rPr>
          <w:rFonts w:hint="eastAsia" w:ascii="宋体" w:hAnsi="宋体" w:eastAsia="宋体" w:cs="宋体"/>
          <w:szCs w:val="21"/>
        </w:rPr>
        <w:t>频率</w:t>
      </w:r>
      <w:r>
        <w:rPr>
          <w:rFonts w:hint="eastAsia" w:ascii="宋体" w:hAnsi="宋体" w:eastAsia="宋体" w:cs="宋体"/>
          <w:szCs w:val="21"/>
          <w:lang w:eastAsia="zh-CN"/>
        </w:rPr>
        <w:t>：</w:t>
      </w:r>
      <w:r>
        <w:rPr>
          <w:rFonts w:hint="eastAsia" w:ascii="宋体" w:hAnsi="宋体" w:eastAsia="宋体" w:cs="宋体"/>
          <w:szCs w:val="21"/>
        </w:rPr>
        <w:t>40 kHz</w:t>
      </w:r>
      <w:r>
        <w:rPr>
          <w:rFonts w:hint="eastAsia" w:ascii="宋体" w:hAnsi="宋体" w:eastAsia="宋体" w:cs="宋体"/>
          <w:szCs w:val="21"/>
          <w:lang w:eastAsia="zh-CN"/>
        </w:rPr>
        <w:t>；</w:t>
      </w:r>
    </w:p>
    <w:p w14:paraId="471FE291">
      <w:pPr>
        <w:ind w:firstLine="420" w:firstLineChars="200"/>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具备数控定时功能。</w:t>
      </w:r>
    </w:p>
    <w:p w14:paraId="5EBF0891">
      <w:pPr>
        <w:pStyle w:val="113"/>
        <w:bidi w:val="0"/>
        <w:ind w:left="0" w:leftChars="0" w:firstLine="0" w:firstLineChars="0"/>
        <w:rPr>
          <w:rFonts w:hint="eastAsia" w:hAnsi="Times New Roman" w:cs="Times New Roman"/>
        </w:rPr>
      </w:pPr>
      <w:r>
        <w:rPr>
          <w:rFonts w:hint="eastAsia" w:hAnsi="Times New Roman" w:cs="Times New Roman"/>
        </w:rPr>
        <w:t>一次性注射器与针头过滤器</w:t>
      </w:r>
    </w:p>
    <w:p w14:paraId="333036B8">
      <w:pPr>
        <w:ind w:firstLine="420" w:firstLineChars="200"/>
        <w:jc w:val="left"/>
        <w:rPr>
          <w:rFonts w:hint="eastAsia"/>
          <w:szCs w:val="21"/>
          <w:lang w:eastAsia="zh-CN"/>
        </w:rPr>
      </w:pPr>
      <w:r>
        <w:rPr>
          <w:rFonts w:hint="eastAsia"/>
          <w:szCs w:val="21"/>
        </w:rPr>
        <w:t>一次性注射器与针头过滤器</w:t>
      </w:r>
      <w:r>
        <w:rPr>
          <w:rFonts w:hint="eastAsia"/>
          <w:szCs w:val="21"/>
          <w:lang w:eastAsia="zh-CN"/>
        </w:rPr>
        <w:t>应满足以下要求：</w:t>
      </w:r>
    </w:p>
    <w:p w14:paraId="0B10C71A">
      <w:pPr>
        <w:ind w:firstLine="420" w:firstLineChars="200"/>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规格：5 mL或10 mL注射器；</w:t>
      </w:r>
    </w:p>
    <w:p w14:paraId="70BB5D8D">
      <w:pPr>
        <w:ind w:firstLine="420" w:firstLineChars="200"/>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滤膜孔径</w:t>
      </w:r>
      <w:r>
        <w:rPr>
          <w:rFonts w:hint="eastAsia" w:ascii="宋体" w:hAnsi="宋体" w:eastAsia="宋体" w:cs="宋体"/>
          <w:szCs w:val="21"/>
          <w:lang w:eastAsia="zh-CN"/>
        </w:rPr>
        <w:t>：</w:t>
      </w:r>
      <w:r>
        <w:rPr>
          <w:rFonts w:hint="eastAsia" w:ascii="宋体" w:hAnsi="宋体" w:eastAsia="宋体" w:cs="宋体"/>
          <w:szCs w:val="21"/>
        </w:rPr>
        <w:t xml:space="preserve">0.22 </w:t>
      </w:r>
      <w:bookmarkStart w:id="96" w:name="OLE_LINK9"/>
      <w:r>
        <w:rPr>
          <w:rFonts w:hint="eastAsia" w:ascii="宋体" w:hAnsi="宋体" w:eastAsia="宋体" w:cs="宋体"/>
          <w:szCs w:val="21"/>
        </w:rPr>
        <w:sym w:font="Symbol" w:char="F06D"/>
      </w:r>
      <w:r>
        <w:rPr>
          <w:rFonts w:hint="eastAsia" w:ascii="宋体" w:hAnsi="宋体" w:eastAsia="宋体" w:cs="宋体"/>
          <w:szCs w:val="21"/>
        </w:rPr>
        <w:t>m</w:t>
      </w:r>
      <w:bookmarkEnd w:id="96"/>
      <w:r>
        <w:rPr>
          <w:rFonts w:hint="eastAsia" w:ascii="宋体" w:hAnsi="宋体" w:eastAsia="宋体" w:cs="宋体"/>
          <w:szCs w:val="21"/>
        </w:rPr>
        <w:t>（用于溶剂过滤）。</w:t>
      </w:r>
    </w:p>
    <w:p w14:paraId="371C576A">
      <w:pPr>
        <w:pStyle w:val="113"/>
        <w:bidi w:val="0"/>
        <w:ind w:left="0" w:leftChars="0" w:firstLine="0" w:firstLineChars="0"/>
        <w:rPr>
          <w:rFonts w:hint="eastAsia" w:hAnsi="Times New Roman" w:cs="Times New Roman"/>
        </w:rPr>
      </w:pPr>
      <w:r>
        <w:rPr>
          <w:rFonts w:hint="eastAsia" w:hAnsi="Times New Roman" w:cs="Times New Roman"/>
        </w:rPr>
        <w:t>样品池（Cuvette）</w:t>
      </w:r>
    </w:p>
    <w:p w14:paraId="075951A0">
      <w:pPr>
        <w:ind w:firstLine="420" w:firstLineChars="200"/>
        <w:jc w:val="left"/>
        <w:rPr>
          <w:szCs w:val="21"/>
        </w:rPr>
      </w:pPr>
      <w:r>
        <w:rPr>
          <w:rFonts w:hint="eastAsia"/>
          <w:szCs w:val="21"/>
        </w:rPr>
        <w:t>样品池</w:t>
      </w:r>
      <w:r>
        <w:rPr>
          <w:rFonts w:hint="eastAsia"/>
          <w:szCs w:val="21"/>
          <w:lang w:eastAsia="zh-CN"/>
        </w:rPr>
        <w:t>应为</w:t>
      </w:r>
      <w:r>
        <w:rPr>
          <w:rFonts w:hint="eastAsia"/>
          <w:szCs w:val="21"/>
        </w:rPr>
        <w:t>聚苯乙烯（</w:t>
      </w:r>
      <w:r>
        <w:rPr>
          <w:szCs w:val="21"/>
        </w:rPr>
        <w:t>PS</w:t>
      </w:r>
      <w:r>
        <w:rPr>
          <w:rFonts w:hint="eastAsia"/>
          <w:szCs w:val="21"/>
        </w:rPr>
        <w:t>）或聚甲基丙烯酸甲酯（</w:t>
      </w:r>
      <w:r>
        <w:rPr>
          <w:szCs w:val="21"/>
        </w:rPr>
        <w:t>PMMA</w:t>
      </w:r>
      <w:r>
        <w:rPr>
          <w:rFonts w:hint="eastAsia"/>
          <w:szCs w:val="21"/>
        </w:rPr>
        <w:t>）材质的一次性样品池，或光学玻璃样品池。使用前需确认光路面无划痕、无指纹。</w:t>
      </w:r>
    </w:p>
    <w:p w14:paraId="322E3821">
      <w:pPr>
        <w:pStyle w:val="84"/>
        <w:spacing w:before="156" w:beforeLines="50" w:after="156" w:afterLines="50"/>
        <w:rPr>
          <w:rFonts w:hint="eastAsia" w:hAnsi="Times New Roman" w:cs="Times New Roman"/>
        </w:rPr>
      </w:pPr>
      <w:bookmarkStart w:id="97" w:name="_Toc380"/>
      <w:r>
        <w:rPr>
          <w:rFonts w:hint="eastAsia" w:hAnsi="Times New Roman" w:cs="Times New Roman"/>
        </w:rPr>
        <w:t>测量条件</w:t>
      </w:r>
      <w:bookmarkEnd w:id="97"/>
    </w:p>
    <w:p w14:paraId="11E7F32F">
      <w:pPr>
        <w:pStyle w:val="113"/>
        <w:bidi w:val="0"/>
        <w:ind w:left="0" w:leftChars="0" w:firstLine="0" w:firstLineChars="0"/>
        <w:rPr>
          <w:rFonts w:hint="eastAsia" w:hAnsi="Times New Roman" w:cs="Times New Roman"/>
        </w:rPr>
      </w:pPr>
      <w:r>
        <w:rPr>
          <w:rFonts w:hint="eastAsia" w:hAnsi="Times New Roman" w:cs="Times New Roman"/>
        </w:rPr>
        <w:t>温度设定</w:t>
      </w:r>
    </w:p>
    <w:p w14:paraId="7E5186BB">
      <w:pPr>
        <w:ind w:firstLine="420" w:firstLineChars="200"/>
        <w:jc w:val="left"/>
        <w:rPr>
          <w:rFonts w:hint="eastAsia" w:ascii="宋体" w:hAnsi="宋体" w:eastAsia="宋体" w:cs="宋体"/>
          <w:szCs w:val="21"/>
        </w:rPr>
      </w:pPr>
      <w:r>
        <w:rPr>
          <w:rFonts w:hint="eastAsia" w:ascii="宋体" w:hAnsi="宋体" w:eastAsia="宋体" w:cs="宋体"/>
          <w:szCs w:val="21"/>
        </w:rPr>
        <w:t>测量温度</w:t>
      </w:r>
      <w:r>
        <w:rPr>
          <w:rFonts w:hint="eastAsia" w:ascii="宋体" w:hAnsi="宋体" w:eastAsia="宋体" w:cs="宋体"/>
          <w:szCs w:val="21"/>
          <w:lang w:eastAsia="zh-CN"/>
        </w:rPr>
        <w:t>应</w:t>
      </w:r>
      <w:r>
        <w:rPr>
          <w:rFonts w:hint="eastAsia" w:ascii="宋体" w:hAnsi="宋体" w:eastAsia="宋体" w:cs="宋体"/>
          <w:szCs w:val="21"/>
        </w:rPr>
        <w:t xml:space="preserve">严格设定为25.0 </w:t>
      </w:r>
      <w:bookmarkStart w:id="98" w:name="OLE_LINK8"/>
      <w:r>
        <w:rPr>
          <w:rFonts w:hint="eastAsia" w:ascii="宋体" w:hAnsi="宋体" w:eastAsia="宋体" w:cs="宋体"/>
          <w:szCs w:val="21"/>
        </w:rPr>
        <w:t>℃</w:t>
      </w:r>
      <w:bookmarkEnd w:id="98"/>
      <w:r>
        <w:rPr>
          <w:rFonts w:hint="eastAsia" w:ascii="宋体" w:hAnsi="宋体" w:eastAsia="宋体" w:cs="宋体"/>
          <w:szCs w:val="21"/>
          <w:lang w:eastAsia="zh-CN"/>
        </w:rPr>
        <w:t>；</w:t>
      </w:r>
      <w:r>
        <w:rPr>
          <w:rFonts w:hint="eastAsia" w:ascii="宋体" w:hAnsi="宋体" w:eastAsia="宋体" w:cs="宋体"/>
          <w:szCs w:val="21"/>
        </w:rPr>
        <w:t>仪器需预热至设定温度并稳定至少30 分钟。</w:t>
      </w:r>
    </w:p>
    <w:p w14:paraId="27FBF7B8">
      <w:pPr>
        <w:pStyle w:val="113"/>
        <w:bidi w:val="0"/>
        <w:ind w:left="0" w:leftChars="0" w:firstLine="0" w:firstLineChars="0"/>
        <w:rPr>
          <w:rFonts w:hint="eastAsia" w:hAnsi="Times New Roman" w:cs="Times New Roman"/>
        </w:rPr>
      </w:pPr>
      <w:r>
        <w:rPr>
          <w:rFonts w:hint="eastAsia" w:hAnsi="Times New Roman" w:cs="Times New Roman"/>
        </w:rPr>
        <w:t>光学参数设定</w:t>
      </w:r>
    </w:p>
    <w:p w14:paraId="374E2E43">
      <w:pPr>
        <w:ind w:firstLine="420" w:firstLineChars="200"/>
        <w:jc w:val="left"/>
        <w:rPr>
          <w:rFonts w:hint="eastAsia" w:ascii="Times New Roman" w:hAnsi="Times New Roman" w:eastAsia="宋体" w:cs="Times New Roman"/>
          <w:szCs w:val="21"/>
        </w:rPr>
      </w:pPr>
      <w:r>
        <w:rPr>
          <w:rFonts w:hint="eastAsia" w:ascii="Times New Roman" w:hAnsi="Times New Roman" w:eastAsia="宋体" w:cs="Times New Roman"/>
          <w:szCs w:val="21"/>
          <w:lang w:eastAsia="zh-CN"/>
        </w:rPr>
        <w:t>光学参数设定如下：</w:t>
      </w:r>
    </w:p>
    <w:p w14:paraId="62C22718">
      <w:pPr>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——分散介质：水；</w:t>
      </w:r>
    </w:p>
    <w:p w14:paraId="33C169A8">
      <w:pPr>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——介质折射率：1.330；</w:t>
      </w:r>
    </w:p>
    <w:p w14:paraId="6D0C9C05">
      <w:pPr>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——介质粘度：0.8872 mPa·s（25 ℃）；</w:t>
      </w:r>
    </w:p>
    <w:p w14:paraId="58FD8DDD">
      <w:pPr>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——材料折射率：1.52（聚氯化铝经验值，仅用于体积分布转换，Z-平均径计算不依赖此参数）；</w:t>
      </w:r>
    </w:p>
    <w:p w14:paraId="6999538E">
      <w:pPr>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——材料吸收率：0.001。</w:t>
      </w:r>
    </w:p>
    <w:p w14:paraId="69DFB1CD">
      <w:pPr>
        <w:pStyle w:val="84"/>
        <w:spacing w:before="156" w:beforeLines="50" w:after="156" w:afterLines="50"/>
        <w:rPr>
          <w:rFonts w:hint="eastAsia" w:hAnsi="Times New Roman" w:cs="Times New Roman"/>
        </w:rPr>
      </w:pPr>
      <w:bookmarkStart w:id="99" w:name="_Toc30838"/>
      <w:r>
        <w:rPr>
          <w:rFonts w:hint="eastAsia" w:hAnsi="Times New Roman" w:cs="Times New Roman"/>
        </w:rPr>
        <w:t>实验步骤</w:t>
      </w:r>
      <w:bookmarkEnd w:id="99"/>
    </w:p>
    <w:p w14:paraId="3EC6F650">
      <w:pPr>
        <w:pStyle w:val="113"/>
        <w:bidi w:val="0"/>
        <w:ind w:left="0" w:leftChars="0" w:firstLine="0" w:firstLineChars="0"/>
        <w:rPr>
          <w:rFonts w:hint="eastAsia" w:hAnsi="Times New Roman" w:cs="Times New Roman"/>
        </w:rPr>
      </w:pPr>
      <w:r>
        <w:rPr>
          <w:rFonts w:hint="eastAsia" w:hAnsi="Times New Roman" w:cs="Times New Roman"/>
        </w:rPr>
        <w:t>样品制备</w:t>
      </w:r>
    </w:p>
    <w:p w14:paraId="57805DDD">
      <w:pPr>
        <w:pStyle w:val="89"/>
        <w:bidi w:val="0"/>
        <w:ind w:left="0" w:leftChars="0" w:firstLine="0" w:firstLineChars="0"/>
        <w:rPr>
          <w:rFonts w:hint="eastAsia"/>
        </w:rPr>
      </w:pPr>
      <w:r>
        <w:rPr>
          <w:rFonts w:hint="eastAsia"/>
          <w:lang w:eastAsia="zh-CN"/>
        </w:rPr>
        <w:t>样品</w:t>
      </w:r>
      <w:r>
        <w:rPr>
          <w:rFonts w:hint="eastAsia"/>
        </w:rPr>
        <w:t>稀释</w:t>
      </w:r>
    </w:p>
    <w:p w14:paraId="3B250F5A">
      <w:pPr>
        <w:ind w:firstLine="420" w:firstLineChars="200"/>
        <w:jc w:val="left"/>
        <w:rPr>
          <w:rFonts w:hint="eastAsia"/>
          <w:b w:val="0"/>
          <w:bCs w:val="0"/>
          <w:szCs w:val="21"/>
          <w:lang w:eastAsia="zh-CN"/>
        </w:rPr>
      </w:pPr>
      <w:r>
        <w:rPr>
          <w:rFonts w:hint="eastAsia"/>
          <w:b w:val="0"/>
          <w:bCs w:val="0"/>
          <w:szCs w:val="21"/>
          <w:lang w:eastAsia="zh-CN"/>
        </w:rPr>
        <w:t>按以下步骤进行样品稀释：</w:t>
      </w:r>
    </w:p>
    <w:p w14:paraId="3277046E">
      <w:pPr>
        <w:numPr>
          <w:ilvl w:val="0"/>
          <w:numId w:val="24"/>
        </w:numPr>
        <w:ind w:left="851" w:hanging="425"/>
        <w:rPr>
          <w:rFonts w:hint="eastAsia" w:ascii="宋体" w:hAnsi="宋体" w:eastAsia="宋体" w:cs="黑体"/>
        </w:rPr>
      </w:pPr>
      <w:r>
        <w:rPr>
          <w:rFonts w:hint="eastAsia" w:ascii="宋体" w:hAnsi="宋体" w:eastAsia="宋体" w:cs="黑体"/>
          <w:lang w:eastAsia="zh-CN"/>
        </w:rPr>
        <w:t>取样：</w:t>
      </w:r>
    </w:p>
    <w:p w14:paraId="38F9D43E">
      <w:pPr>
        <w:numPr>
          <w:ilvl w:val="0"/>
          <w:numId w:val="25"/>
        </w:numPr>
        <w:ind w:left="1260" w:leftChars="0" w:hanging="420" w:firstLineChars="0"/>
        <w:jc w:val="left"/>
        <w:rPr>
          <w:rFonts w:hint="eastAsia" w:ascii="宋体" w:hAnsi="宋体" w:eastAsia="宋体" w:cs="宋体"/>
          <w:szCs w:val="21"/>
        </w:rPr>
      </w:pPr>
      <w:r>
        <w:rPr>
          <w:rFonts w:hint="eastAsia" w:ascii="宋体" w:hAnsi="宋体" w:eastAsia="宋体" w:cs="宋体"/>
          <w:b w:val="0"/>
          <w:bCs w:val="0"/>
          <w:szCs w:val="21"/>
        </w:rPr>
        <w:t>液体样品：</w:t>
      </w:r>
      <w:r>
        <w:rPr>
          <w:rFonts w:hint="eastAsia" w:ascii="宋体" w:hAnsi="宋体" w:eastAsia="宋体" w:cs="宋体"/>
          <w:szCs w:val="21"/>
        </w:rPr>
        <w:t>准确吸取液体试样0.5 mL，移入100 mL容量瓶中</w:t>
      </w:r>
      <w:r>
        <w:rPr>
          <w:rFonts w:hint="eastAsia" w:ascii="宋体" w:hAnsi="宋体" w:eastAsia="宋体" w:cs="宋体"/>
          <w:szCs w:val="21"/>
          <w:lang w:eastAsia="zh-CN"/>
        </w:rPr>
        <w:t>；</w:t>
      </w:r>
    </w:p>
    <w:p w14:paraId="6E651ED3">
      <w:pPr>
        <w:numPr>
          <w:ilvl w:val="0"/>
          <w:numId w:val="25"/>
        </w:numPr>
        <w:ind w:left="1260" w:leftChars="0" w:hanging="420" w:firstLineChars="0"/>
        <w:jc w:val="left"/>
        <w:rPr>
          <w:rFonts w:hint="eastAsia" w:ascii="宋体" w:hAnsi="宋体" w:eastAsia="宋体" w:cs="宋体"/>
          <w:szCs w:val="21"/>
        </w:rPr>
      </w:pPr>
      <w:r>
        <w:rPr>
          <w:rFonts w:hint="eastAsia" w:ascii="宋体" w:hAnsi="宋体" w:eastAsia="宋体" w:cs="宋体"/>
          <w:b w:val="0"/>
          <w:bCs w:val="0"/>
          <w:szCs w:val="21"/>
        </w:rPr>
        <w:t>固体样品：</w:t>
      </w:r>
      <w:r>
        <w:rPr>
          <w:rFonts w:hint="eastAsia" w:ascii="宋体" w:hAnsi="宋体" w:eastAsia="宋体" w:cs="宋体"/>
          <w:szCs w:val="21"/>
        </w:rPr>
        <w:t>准确称取固体试样0.15 g（精确至0.001 g），置于100 mL 烧杯中，加入少量洁净</w:t>
      </w:r>
      <w:r>
        <w:rPr>
          <w:rFonts w:hint="eastAsia" w:ascii="宋体" w:hAnsi="宋体" w:eastAsia="宋体" w:cs="宋体"/>
          <w:szCs w:val="21"/>
          <w:lang w:eastAsia="zh-CN"/>
        </w:rPr>
        <w:t>试</w:t>
      </w:r>
      <w:r>
        <w:rPr>
          <w:rFonts w:hint="eastAsia" w:ascii="宋体" w:hAnsi="宋体" w:eastAsia="宋体" w:cs="宋体"/>
          <w:szCs w:val="21"/>
        </w:rPr>
        <w:t>验用水（</w:t>
      </w:r>
      <w:r>
        <w:rPr>
          <w:rFonts w:hint="eastAsia" w:ascii="宋体" w:hAnsi="宋体" w:eastAsia="宋体" w:cs="宋体"/>
          <w:szCs w:val="21"/>
          <w:lang w:val="en-US" w:eastAsia="zh-CN"/>
        </w:rPr>
        <w:t>B</w:t>
      </w:r>
      <w:r>
        <w:rPr>
          <w:rFonts w:hint="eastAsia" w:ascii="宋体" w:hAnsi="宋体" w:eastAsia="宋体" w:cs="宋体"/>
          <w:szCs w:val="21"/>
        </w:rPr>
        <w:t>.2.1）溶解后，转移至100 mL容量瓶中。</w:t>
      </w:r>
    </w:p>
    <w:p w14:paraId="7B27B8E8">
      <w:pPr>
        <w:numPr>
          <w:ilvl w:val="0"/>
          <w:numId w:val="24"/>
        </w:numPr>
        <w:ind w:left="851" w:hanging="425"/>
        <w:rPr>
          <w:rFonts w:hint="eastAsia" w:ascii="宋体" w:hAnsi="宋体" w:eastAsia="宋体" w:cs="黑体"/>
          <w:lang w:eastAsia="zh-CN"/>
        </w:rPr>
      </w:pPr>
      <w:r>
        <w:rPr>
          <w:rFonts w:hint="eastAsia" w:ascii="宋体" w:hAnsi="宋体" w:eastAsia="宋体" w:cs="黑体"/>
          <w:lang w:eastAsia="zh-CN"/>
        </w:rPr>
        <w:t xml:space="preserve">使用经0.22 </w:t>
      </w:r>
      <w:r>
        <w:rPr>
          <w:rFonts w:hint="eastAsia" w:ascii="宋体" w:hAnsi="宋体" w:eastAsia="宋体" w:cs="黑体"/>
          <w:lang w:eastAsia="zh-CN"/>
        </w:rPr>
        <w:sym w:font="Symbol" w:char="F06D"/>
      </w:r>
      <w:r>
        <w:rPr>
          <w:rFonts w:hint="eastAsia" w:ascii="宋体" w:hAnsi="宋体" w:eastAsia="宋体" w:cs="黑体"/>
          <w:lang w:eastAsia="zh-CN"/>
        </w:rPr>
        <w:t>m过滤后的试验用水（</w:t>
      </w:r>
      <w:r>
        <w:rPr>
          <w:rFonts w:hint="eastAsia" w:ascii="宋体" w:hAnsi="宋体" w:eastAsia="宋体" w:cs="黑体"/>
          <w:lang w:val="en-US" w:eastAsia="zh-CN"/>
        </w:rPr>
        <w:t>B</w:t>
      </w:r>
      <w:r>
        <w:rPr>
          <w:rFonts w:hint="eastAsia" w:ascii="宋体" w:hAnsi="宋体" w:eastAsia="宋体" w:cs="黑体"/>
          <w:lang w:eastAsia="zh-CN"/>
        </w:rPr>
        <w:t>.2.1）稀释至刻度，摇匀。此时样品的氧化铝质量分数约为0.05%～0.15%（0.5 g/L～1.5 g/L），处于动态光散射的最佳检测浓度区间，可避免多重散射效应。</w:t>
      </w:r>
    </w:p>
    <w:p w14:paraId="59FBFA04">
      <w:pPr>
        <w:pStyle w:val="89"/>
        <w:bidi w:val="0"/>
        <w:ind w:left="0" w:leftChars="0" w:firstLine="0" w:firstLineChars="0"/>
        <w:rPr>
          <w:rFonts w:hint="eastAsia" w:hAnsi="Times New Roman" w:cs="Times New Roman"/>
        </w:rPr>
      </w:pPr>
      <w:r>
        <w:rPr>
          <w:rFonts w:hint="eastAsia" w:hAnsi="Times New Roman" w:cs="Times New Roman"/>
        </w:rPr>
        <w:t>分散</w:t>
      </w:r>
    </w:p>
    <w:p w14:paraId="0BB10811">
      <w:pPr>
        <w:numPr>
          <w:ilvl w:val="0"/>
          <w:numId w:val="0"/>
        </w:numPr>
        <w:ind w:left="0" w:leftChars="0" w:firstLine="420" w:firstLineChars="200"/>
        <w:jc w:val="left"/>
        <w:rPr>
          <w:rFonts w:hint="eastAsia" w:ascii="宋体" w:hAnsi="宋体" w:eastAsia="宋体" w:cs="宋体"/>
          <w:szCs w:val="21"/>
        </w:rPr>
      </w:pPr>
      <w:r>
        <w:rPr>
          <w:rFonts w:hint="eastAsia" w:ascii="宋体" w:hAnsi="宋体" w:eastAsia="宋体" w:cs="宋体"/>
          <w:szCs w:val="21"/>
        </w:rPr>
        <w:t>将稀释后的样品溶液连同容器置于超声波清洗器（</w:t>
      </w:r>
      <w:r>
        <w:rPr>
          <w:rFonts w:hint="eastAsia" w:ascii="宋体" w:hAnsi="宋体" w:eastAsia="宋体" w:cs="宋体"/>
          <w:szCs w:val="21"/>
          <w:lang w:val="en-US" w:eastAsia="zh-CN"/>
        </w:rPr>
        <w:t>B</w:t>
      </w:r>
      <w:r>
        <w:rPr>
          <w:rFonts w:hint="eastAsia" w:ascii="宋体" w:hAnsi="宋体" w:eastAsia="宋体" w:cs="宋体"/>
          <w:szCs w:val="21"/>
        </w:rPr>
        <w:t>.3.2）中，在不加热的条件下超声分散2 min，以打开软团聚体并驱除溶液中的微小气泡。</w:t>
      </w:r>
    </w:p>
    <w:p w14:paraId="441E0A8C">
      <w:pPr>
        <w:numPr>
          <w:ilvl w:val="0"/>
          <w:numId w:val="0"/>
        </w:numPr>
        <w:ind w:left="0" w:leftChars="0" w:firstLine="360" w:firstLineChars="200"/>
        <w:jc w:val="left"/>
        <w:rPr>
          <w:sz w:val="18"/>
          <w:szCs w:val="18"/>
        </w:rPr>
      </w:pPr>
      <w:r>
        <w:rPr>
          <w:rFonts w:hint="eastAsia" w:ascii="黑体" w:hAnsi="黑体" w:eastAsia="黑体" w:cs="黑体"/>
          <w:sz w:val="18"/>
          <w:szCs w:val="18"/>
        </w:rPr>
        <w:t>注：</w:t>
      </w:r>
      <w:r>
        <w:rPr>
          <w:rFonts w:hint="eastAsia"/>
          <w:sz w:val="18"/>
          <w:szCs w:val="18"/>
        </w:rPr>
        <w:t>超声时间不宜过长，以免引起样品温度显著升高导致水解形态变化。</w:t>
      </w:r>
    </w:p>
    <w:p w14:paraId="2B632CDB">
      <w:pPr>
        <w:pStyle w:val="113"/>
        <w:bidi w:val="0"/>
        <w:ind w:left="0" w:leftChars="0" w:firstLine="0" w:firstLineChars="0"/>
        <w:rPr>
          <w:rFonts w:hint="eastAsia" w:hAnsi="Times New Roman" w:cs="Times New Roman"/>
        </w:rPr>
      </w:pPr>
      <w:r>
        <w:rPr>
          <w:rFonts w:hint="eastAsia" w:hAnsi="Times New Roman" w:cs="Times New Roman"/>
        </w:rPr>
        <w:t>上机测定</w:t>
      </w:r>
    </w:p>
    <w:p w14:paraId="74B12408">
      <w:pPr>
        <w:ind w:firstLine="420" w:firstLineChars="200"/>
        <w:jc w:val="left"/>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按以下步骤进行上机测定：</w:t>
      </w:r>
    </w:p>
    <w:p w14:paraId="345827D5">
      <w:pPr>
        <w:numPr>
          <w:ilvl w:val="0"/>
          <w:numId w:val="26"/>
        </w:numPr>
        <w:ind w:left="851" w:hanging="425"/>
        <w:rPr>
          <w:rFonts w:hint="eastAsia" w:ascii="宋体" w:hAnsi="宋体" w:eastAsia="宋体" w:cs="黑体"/>
          <w:lang w:eastAsia="zh-CN"/>
        </w:rPr>
      </w:pPr>
      <w:r>
        <w:rPr>
          <w:rFonts w:hint="eastAsia" w:ascii="宋体" w:hAnsi="宋体" w:eastAsia="宋体" w:cs="黑体"/>
          <w:lang w:eastAsia="zh-CN"/>
        </w:rPr>
        <w:t>清洗样品池：用过滤后的试验用水润洗样品池2</w:t>
      </w:r>
      <w:r>
        <w:rPr>
          <w:rFonts w:hint="eastAsia" w:ascii="宋体" w:hAnsi="宋体" w:eastAsia="宋体" w:cs="宋体"/>
          <w:lang w:eastAsia="zh-CN"/>
        </w:rPr>
        <w:t>～</w:t>
      </w:r>
      <w:r>
        <w:rPr>
          <w:rFonts w:hint="eastAsia" w:ascii="宋体" w:hAnsi="宋体" w:eastAsia="宋体" w:cs="黑体"/>
          <w:lang w:eastAsia="zh-CN"/>
        </w:rPr>
        <w:t>3次；</w:t>
      </w:r>
    </w:p>
    <w:p w14:paraId="28702A38">
      <w:pPr>
        <w:numPr>
          <w:ilvl w:val="0"/>
          <w:numId w:val="26"/>
        </w:numPr>
        <w:ind w:left="851" w:hanging="425"/>
        <w:rPr>
          <w:rFonts w:hint="eastAsia" w:ascii="宋体" w:hAnsi="宋体" w:eastAsia="宋体" w:cs="黑体"/>
          <w:lang w:eastAsia="zh-CN"/>
        </w:rPr>
      </w:pPr>
      <w:r>
        <w:rPr>
          <w:rFonts w:hint="eastAsia" w:ascii="宋体" w:hAnsi="宋体" w:eastAsia="宋体" w:cs="黑体"/>
          <w:lang w:eastAsia="zh-CN"/>
        </w:rPr>
        <w:t>加样：用移液管或注射器取适量超声后的样品溶液加入样品池中，加样量约为样品池容积的2/3（或依据仪器说明书要求），确保光路通道无气泡附着。</w:t>
      </w:r>
    </w:p>
    <w:p w14:paraId="6E2D2912">
      <w:pPr>
        <w:numPr>
          <w:ilvl w:val="0"/>
          <w:numId w:val="26"/>
        </w:numPr>
        <w:ind w:left="851" w:hanging="425"/>
        <w:rPr>
          <w:rFonts w:hint="eastAsia" w:ascii="宋体" w:hAnsi="宋体" w:eastAsia="宋体" w:cs="黑体"/>
          <w:lang w:eastAsia="zh-CN"/>
        </w:rPr>
      </w:pPr>
      <w:r>
        <w:rPr>
          <w:rFonts w:hint="eastAsia" w:ascii="宋体" w:hAnsi="宋体" w:eastAsia="宋体" w:cs="黑体"/>
          <w:lang w:eastAsia="zh-CN"/>
        </w:rPr>
        <w:t xml:space="preserve">温度平衡：将样品池放入仪器测量仓，闭合遮光盖，平衡温度至少120 </w:t>
      </w:r>
      <w:r>
        <w:rPr>
          <w:rFonts w:hint="eastAsia" w:ascii="宋体" w:hAnsi="宋体" w:eastAsia="宋体" w:cs="黑体"/>
          <w:lang w:val="en-US" w:eastAsia="zh-CN"/>
        </w:rPr>
        <w:t>s</w:t>
      </w:r>
      <w:r>
        <w:rPr>
          <w:rFonts w:hint="eastAsia" w:ascii="宋体" w:hAnsi="宋体" w:eastAsia="宋体" w:cs="黑体"/>
          <w:lang w:eastAsia="zh-CN"/>
        </w:rPr>
        <w:t>，待仪器显示温度稳定在25.0±0.1℃；</w:t>
      </w:r>
    </w:p>
    <w:p w14:paraId="2487130A">
      <w:pPr>
        <w:numPr>
          <w:ilvl w:val="0"/>
          <w:numId w:val="26"/>
        </w:numPr>
        <w:ind w:left="851" w:hanging="425"/>
        <w:rPr>
          <w:rFonts w:hint="eastAsia" w:ascii="宋体" w:hAnsi="宋体" w:eastAsia="宋体" w:cs="黑体"/>
          <w:lang w:eastAsia="zh-CN"/>
        </w:rPr>
      </w:pPr>
      <w:r>
        <w:rPr>
          <w:rFonts w:hint="eastAsia" w:ascii="宋体" w:hAnsi="宋体" w:eastAsia="宋体" w:cs="黑体"/>
          <w:lang w:eastAsia="zh-CN"/>
        </w:rPr>
        <w:t>测量：启动测量程序：</w:t>
      </w:r>
    </w:p>
    <w:p w14:paraId="3B021077">
      <w:pPr>
        <w:numPr>
          <w:ilvl w:val="0"/>
          <w:numId w:val="27"/>
        </w:numPr>
        <w:ind w:left="1245" w:leftChars="0" w:hanging="405" w:firstLineChars="0"/>
        <w:jc w:val="left"/>
        <w:rPr>
          <w:rFonts w:hint="eastAsia" w:ascii="宋体" w:hAnsi="宋体" w:eastAsia="宋体" w:cs="宋体"/>
          <w:b w:val="0"/>
          <w:bCs w:val="0"/>
          <w:szCs w:val="21"/>
        </w:rPr>
      </w:pPr>
      <w:r>
        <w:rPr>
          <w:rFonts w:hint="eastAsia" w:ascii="宋体" w:hAnsi="宋体" w:eastAsia="宋体" w:cs="宋体"/>
          <w:b w:val="0"/>
          <w:bCs w:val="0"/>
          <w:szCs w:val="21"/>
        </w:rPr>
        <w:t>优化：仪器自动调整激光衰减器和测量位置，使光子计数率（Count Rate）处于最佳线性范围（通常为100 kcps～500 kcps）。</w:t>
      </w:r>
    </w:p>
    <w:p w14:paraId="6AC75E75">
      <w:pPr>
        <w:numPr>
          <w:ilvl w:val="0"/>
          <w:numId w:val="27"/>
        </w:numPr>
        <w:ind w:left="1245" w:leftChars="0" w:hanging="405" w:firstLineChars="0"/>
        <w:jc w:val="left"/>
        <w:rPr>
          <w:rFonts w:hint="eastAsia" w:ascii="宋体" w:hAnsi="宋体" w:eastAsia="宋体" w:cs="宋体"/>
          <w:b w:val="0"/>
          <w:bCs w:val="0"/>
          <w:szCs w:val="21"/>
        </w:rPr>
      </w:pPr>
      <w:r>
        <w:rPr>
          <w:rFonts w:hint="eastAsia" w:ascii="宋体" w:hAnsi="宋体" w:eastAsia="宋体" w:cs="宋体"/>
          <w:b w:val="0"/>
          <w:bCs w:val="0"/>
          <w:szCs w:val="21"/>
        </w:rPr>
        <w:t xml:space="preserve">采集：每个样品连续测量3次，每次测量的子运行（Sub-runs）时间由仪器根据信号质量自动判定，一般不少于10次子运行或持续60 </w:t>
      </w:r>
      <w:r>
        <w:rPr>
          <w:rFonts w:hint="eastAsia" w:ascii="宋体" w:hAnsi="宋体" w:eastAsia="宋体" w:cs="宋体"/>
          <w:b w:val="0"/>
          <w:bCs w:val="0"/>
          <w:szCs w:val="21"/>
          <w:lang w:val="en-US" w:eastAsia="zh-CN"/>
        </w:rPr>
        <w:t>s</w:t>
      </w:r>
      <w:r>
        <w:rPr>
          <w:rFonts w:hint="eastAsia" w:ascii="宋体" w:hAnsi="宋体" w:eastAsia="宋体" w:cs="宋体"/>
          <w:b w:val="0"/>
          <w:bCs w:val="0"/>
          <w:szCs w:val="21"/>
        </w:rPr>
        <w:t>。</w:t>
      </w:r>
    </w:p>
    <w:p w14:paraId="10A939DA">
      <w:pPr>
        <w:pStyle w:val="84"/>
        <w:spacing w:before="156" w:beforeLines="50" w:after="156" w:afterLines="50"/>
        <w:rPr>
          <w:rFonts w:hint="eastAsia" w:hAnsi="Times New Roman" w:cs="Times New Roman"/>
        </w:rPr>
      </w:pPr>
      <w:bookmarkStart w:id="100" w:name="_Toc30289"/>
      <w:r>
        <w:rPr>
          <w:rFonts w:hint="eastAsia" w:hAnsi="Times New Roman" w:cs="Times New Roman"/>
        </w:rPr>
        <w:t>结果计算与表示</w:t>
      </w:r>
      <w:bookmarkEnd w:id="100"/>
    </w:p>
    <w:p w14:paraId="7B8174A8">
      <w:pPr>
        <w:pStyle w:val="113"/>
        <w:bidi w:val="0"/>
        <w:ind w:left="0" w:leftChars="0" w:firstLine="0" w:firstLineChars="0"/>
        <w:rPr>
          <w:rFonts w:hint="eastAsia" w:hAnsi="Times New Roman" w:cs="Times New Roman"/>
        </w:rPr>
      </w:pPr>
      <w:r>
        <w:rPr>
          <w:rFonts w:hint="eastAsia" w:hAnsi="Times New Roman" w:cs="Times New Roman"/>
        </w:rPr>
        <w:t>结果计算</w:t>
      </w:r>
    </w:p>
    <w:p w14:paraId="3DDCE8A6">
      <w:pPr>
        <w:ind w:firstLine="420" w:firstLineChars="200"/>
        <w:jc w:val="left"/>
        <w:rPr>
          <w:szCs w:val="21"/>
        </w:rPr>
      </w:pPr>
      <w:r>
        <w:rPr>
          <w:rFonts w:hint="eastAsia"/>
          <w:szCs w:val="21"/>
        </w:rPr>
        <w:t>仪器软件基于累积量法（</w:t>
      </w:r>
      <w:r>
        <w:rPr>
          <w:szCs w:val="21"/>
        </w:rPr>
        <w:t>Cumulants Analysis</w:t>
      </w:r>
      <w:r>
        <w:rPr>
          <w:rFonts w:hint="eastAsia"/>
          <w:szCs w:val="21"/>
        </w:rPr>
        <w:t>）自动拟合自相关函数，输出以下参数：</w:t>
      </w:r>
    </w:p>
    <w:p w14:paraId="3F9B1E3F">
      <w:pPr>
        <w:numPr>
          <w:ilvl w:val="0"/>
          <w:numId w:val="0"/>
        </w:numPr>
        <w:ind w:left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val="0"/>
          <w:bCs w:val="0"/>
          <w:szCs w:val="21"/>
        </w:rPr>
        <w:t>Z-平均粒径（Z-Average Diameter）：作为</w:t>
      </w:r>
      <w:r>
        <w:rPr>
          <w:rFonts w:hint="eastAsia" w:ascii="宋体" w:hAnsi="宋体" w:eastAsia="宋体" w:cs="宋体"/>
          <w:b w:val="0"/>
          <w:bCs w:val="0"/>
          <w:szCs w:val="21"/>
          <w:lang w:eastAsia="zh-CN"/>
        </w:rPr>
        <w:t>本文件</w:t>
      </w:r>
      <w:r>
        <w:rPr>
          <w:rFonts w:hint="eastAsia" w:ascii="宋体" w:hAnsi="宋体" w:eastAsia="宋体" w:cs="宋体"/>
          <w:b w:val="0"/>
          <w:bCs w:val="0"/>
          <w:szCs w:val="21"/>
        </w:rPr>
        <w:t>判定的“平均粒径”结果</w:t>
      </w:r>
      <w:r>
        <w:rPr>
          <w:rFonts w:hint="eastAsia" w:ascii="宋体" w:hAnsi="宋体" w:eastAsia="宋体" w:cs="宋体"/>
          <w:b w:val="0"/>
          <w:bCs w:val="0"/>
          <w:szCs w:val="21"/>
          <w:lang w:eastAsia="zh-CN"/>
        </w:rPr>
        <w:t>；</w:t>
      </w:r>
    </w:p>
    <w:p w14:paraId="3B5ADEA7">
      <w:pPr>
        <w:numPr>
          <w:ilvl w:val="0"/>
          <w:numId w:val="0"/>
        </w:numPr>
        <w:ind w:leftChars="200"/>
        <w:jc w:val="left"/>
        <w:rPr>
          <w:rFonts w:hint="eastAsia" w:ascii="宋体" w:hAnsi="宋体" w:eastAsia="宋体" w:cs="宋体"/>
          <w:b w:val="0"/>
          <w:bCs w:val="0"/>
          <w:szCs w:val="21"/>
        </w:rPr>
      </w:pPr>
      <w:r>
        <w:rPr>
          <w:rFonts w:hint="eastAsia" w:ascii="宋体" w:hAnsi="宋体" w:eastAsia="宋体" w:cs="宋体"/>
          <w:b w:val="0"/>
          <w:bCs w:val="0"/>
          <w:szCs w:val="21"/>
          <w:lang w:eastAsia="zh-CN"/>
        </w:rPr>
        <w:t>——</w:t>
      </w:r>
      <w:r>
        <w:rPr>
          <w:rFonts w:hint="eastAsia" w:ascii="宋体" w:hAnsi="宋体" w:eastAsia="宋体" w:cs="宋体"/>
          <w:b w:val="0"/>
          <w:bCs w:val="0"/>
          <w:szCs w:val="21"/>
        </w:rPr>
        <w:t>多分散指数（PDI）：表征粒径分布的宽度。</w:t>
      </w:r>
    </w:p>
    <w:p w14:paraId="55D20C1C">
      <w:pPr>
        <w:pStyle w:val="113"/>
        <w:bidi w:val="0"/>
        <w:ind w:left="0" w:leftChars="0" w:firstLine="0" w:firstLineChars="0"/>
        <w:rPr>
          <w:rFonts w:hint="eastAsia" w:hAnsi="Times New Roman" w:cs="Times New Roman"/>
        </w:rPr>
      </w:pPr>
      <w:r>
        <w:rPr>
          <w:rFonts w:hint="eastAsia" w:hAnsi="Times New Roman" w:cs="Times New Roman"/>
        </w:rPr>
        <w:t>数据取舍与报告</w:t>
      </w:r>
    </w:p>
    <w:p w14:paraId="06E031D5">
      <w:pPr>
        <w:ind w:firstLine="420" w:firstLineChars="200"/>
        <w:jc w:val="left"/>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数据取舍与报告按以下方法进行：</w:t>
      </w:r>
    </w:p>
    <w:p w14:paraId="3579D091">
      <w:pPr>
        <w:numPr>
          <w:ilvl w:val="0"/>
          <w:numId w:val="0"/>
        </w:numPr>
        <w:ind w:left="840" w:leftChars="200" w:hanging="420" w:hangingChars="200"/>
        <w:jc w:val="left"/>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rPr>
        <w:t>记录3次连续测量的Z-平均粒径值</w:t>
      </w:r>
      <w:r>
        <w:rPr>
          <w:rFonts w:hint="eastAsia" w:ascii="宋体" w:hAnsi="宋体" w:eastAsia="宋体" w:cs="宋体"/>
          <w:szCs w:val="21"/>
          <w:lang w:eastAsia="zh-CN"/>
        </w:rPr>
        <w:t>；</w:t>
      </w:r>
    </w:p>
    <w:p w14:paraId="324CFDE3">
      <w:pPr>
        <w:numPr>
          <w:ilvl w:val="0"/>
          <w:numId w:val="0"/>
        </w:numPr>
        <w:ind w:left="840" w:leftChars="200" w:hanging="420" w:hangingChars="200"/>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若3次测量结果的相对标准偏差（RSD）≤3％，取算术平均值作为最终测定结果，修约至整数位，单位为纳米（nm）</w:t>
      </w:r>
      <w:r>
        <w:rPr>
          <w:rFonts w:hint="eastAsia" w:ascii="宋体" w:hAnsi="宋体" w:eastAsia="宋体" w:cs="宋体"/>
          <w:szCs w:val="21"/>
          <w:lang w:eastAsia="zh-CN"/>
        </w:rPr>
        <w:t>；</w:t>
      </w:r>
    </w:p>
    <w:p w14:paraId="276E7B3E">
      <w:pPr>
        <w:numPr>
          <w:ilvl w:val="0"/>
          <w:numId w:val="0"/>
        </w:numPr>
        <w:ind w:left="840" w:leftChars="200" w:hanging="420" w:hangingChars="200"/>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若RSD＞3%或PDI＞0.7（提示样品发生沉淀或存在灰尘污染），应重新制备样品进行测定。</w:t>
      </w:r>
    </w:p>
    <w:p w14:paraId="34B1695E">
      <w:pPr>
        <w:pStyle w:val="113"/>
        <w:bidi w:val="0"/>
        <w:ind w:left="0" w:leftChars="0" w:firstLine="0" w:firstLineChars="0"/>
        <w:rPr>
          <w:rFonts w:hint="eastAsia" w:hAnsi="Times New Roman" w:cs="Times New Roman"/>
        </w:rPr>
      </w:pPr>
      <w:r>
        <w:rPr>
          <w:rFonts w:hint="eastAsia" w:hAnsi="Times New Roman" w:cs="Times New Roman"/>
        </w:rPr>
        <w:t>质量控制</w:t>
      </w:r>
    </w:p>
    <w:p w14:paraId="5B486FAE">
      <w:pPr>
        <w:ind w:firstLine="420" w:firstLineChars="200"/>
        <w:jc w:val="left"/>
        <w:rPr>
          <w:rFonts w:hint="eastAsia" w:ascii="宋体" w:hAnsi="宋体" w:eastAsia="宋体" w:cs="宋体"/>
          <w:szCs w:val="21"/>
        </w:rPr>
      </w:pPr>
      <w:r>
        <w:rPr>
          <w:rFonts w:hint="eastAsia" w:ascii="宋体" w:hAnsi="宋体" w:eastAsia="宋体" w:cs="宋体"/>
          <w:szCs w:val="21"/>
        </w:rPr>
        <w:t>在每次测试前，检查仪器背景散射信号。若使用纯水测量时光子计数率＞5 kcps，提示样品池或分散介质被污染，需重新清洗或更换。</w:t>
      </w:r>
    </w:p>
    <w:p w14:paraId="113BEF3D">
      <w:pPr>
        <w:pStyle w:val="143"/>
        <w:framePr w:vAnchor="text" w:hAnchor="page" w:x="4185" w:y="319"/>
        <w:rPr>
          <w:rFonts w:hint="eastAsia" w:ascii="宋体" w:hAnsi="宋体"/>
        </w:rPr>
      </w:pPr>
      <w:r>
        <w:t>_______________________________</w:t>
      </w:r>
      <w:bookmarkEnd w:id="44"/>
      <w:bookmarkEnd w:id="45"/>
    </w:p>
    <w:sectPr>
      <w:headerReference r:id="rId13" w:type="default"/>
      <w:footerReference r:id="rId14" w:type="default"/>
      <w:footerReference r:id="rId15" w:type="even"/>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Light">
    <w:altName w:val="汉仪中等线KW"/>
    <w:panose1 w:val="02010600030101010101"/>
    <w:charset w:val="86"/>
    <w:family w:val="auto"/>
    <w:pitch w:val="default"/>
    <w:sig w:usb0="00000000" w:usb1="00000000" w:usb2="00000016" w:usb3="00000000" w:csb0="0004000F" w:csb1="00000000"/>
  </w:font>
  <w:font w:name="Cambria">
    <w:altName w:val="苹方-简"/>
    <w:panose1 w:val="02040503050406030204"/>
    <w:charset w:val="00"/>
    <w:family w:val="roman"/>
    <w:pitch w:val="default"/>
    <w:sig w:usb0="00000000" w:usb1="00000000" w:usb2="00000000" w:usb3="00000000" w:csb0="2000019F" w:csb1="00000000"/>
  </w:font>
  <w:font w:name="MingLiU">
    <w:altName w:val="宋体-繁"/>
    <w:panose1 w:val="02020509000000000000"/>
    <w:charset w:val="88"/>
    <w:family w:val="modern"/>
    <w:pitch w:val="default"/>
    <w:sig w:usb0="00000000" w:usb1="00000000" w:usb2="00000016" w:usb3="00000000" w:csb0="00100001" w:csb1="00000000"/>
  </w:font>
  <w:font w:name="Cambria Math">
    <w:altName w:val="Kingsoft Math"/>
    <w:panose1 w:val="02040503050406030204"/>
    <w:charset w:val="00"/>
    <w:family w:val="roman"/>
    <w:pitch w:val="default"/>
    <w:sig w:usb0="00000000" w:usb1="00000000" w:usb2="00000000"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宋体-简">
    <w:panose1 w:val="02010800040101010101"/>
    <w:charset w:val="86"/>
    <w:family w:val="auto"/>
    <w:pitch w:val="default"/>
    <w:sig w:usb0="00000001" w:usb1="080F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4CCFD">
    <w:pPr>
      <w:pStyle w:val="97"/>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5D2834">
                          <w:pPr>
                            <w:pStyle w:val="9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3"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pblLnIAQAAmwMAAA4AAAAAAAAAAQAgAAAAHgEAAGRycy9lMm9Eb2Mu&#10;eG1sUEsFBgAAAAAGAAYAWQEAAFgFAAAAAA==&#10;">
              <v:fill on="f" focussize="0,0"/>
              <v:stroke on="f"/>
              <v:imagedata o:title=""/>
              <o:lock v:ext="edit" aspectratio="f"/>
              <v:textbox inset="0mm,0mm,0mm,0mm" style="mso-fit-shape-to-text:t;">
                <w:txbxContent>
                  <w:p w14:paraId="655D2834">
                    <w:pPr>
                      <w:pStyle w:val="9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7847E">
    <w:pPr>
      <w:pStyle w:val="9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97FE00">
                          <w:pPr>
                            <w:pStyle w:val="1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YFBdLyQEAAJoDAAAOAAAAAAAAAAEAIAAAAB4BAABkcnMvZTJvRG9j&#10;LnhtbFBLBQYAAAAABgAGAFkBAABZBQAAAAA=&#10;">
              <v:fill on="f" focussize="0,0"/>
              <v:stroke on="f"/>
              <v:imagedata o:title=""/>
              <o:lock v:ext="edit" aspectratio="f"/>
              <v:textbox inset="0mm,0mm,0mm,0mm" style="mso-fit-shape-to-text:t;">
                <w:txbxContent>
                  <w:p w14:paraId="7997FE0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0494D">
    <w:pPr>
      <w:pStyle w:val="97"/>
      <w:jc w:val="both"/>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57EE69">
                          <w:pPr>
                            <w:pStyle w:val="1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8"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jZAK8kBAACa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G4pjt8zgwM8/f5x//Tn//k6W&#10;VdKn91Bj2qPHxDh8cANuzewHdCbagwwmfZEQwTiqe7qoK4ZIeHpUraqqxBDH2HxB/OLpuQ8QPwpn&#10;SDIaGnB8WVV2vIc4ps4pqZp1d0rrPEJt/3EgZvIUqfexx2TFYTdMhHauPSGfHiffUIuLTon+ZFHY&#10;tCSzEWZjNxsHH9S+y1uU6oG/PURsIveWKoywU2EcWWY3rVfaief3nPX0S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GNkAryQEAAJoDAAAOAAAAAAAAAAEAIAAAAB4BAABkcnMvZTJvRG9j&#10;LnhtbFBLBQYAAAAABgAGAFkBAABZBQAAAAA=&#10;">
              <v:fill on="f" focussize="0,0"/>
              <v:stroke on="f"/>
              <v:imagedata o:title=""/>
              <o:lock v:ext="edit" aspectratio="f"/>
              <v:textbox inset="0mm,0mm,0mm,0mm" style="mso-fit-shape-to-text:t;">
                <w:txbxContent>
                  <w:p w14:paraId="4A57EE69">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F6A1B">
    <w:pPr>
      <w:pStyle w:val="19"/>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23C698">
                          <w:pPr>
                            <w:pStyle w:val="1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9"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VYX6yQEAAJoDAAAOAAAAAAAAAAEAIAAAAB4BAABkcnMvZTJvRG9j&#10;LnhtbFBLBQYAAAAABgAGAFkBAABZBQAAAAA=&#10;">
              <v:fill on="f" focussize="0,0"/>
              <v:stroke on="f"/>
              <v:imagedata o:title=""/>
              <o:lock v:ext="edit" aspectratio="f"/>
              <v:textbox inset="0mm,0mm,0mm,0mm" style="mso-fit-shape-to-text:t;">
                <w:txbxContent>
                  <w:p w14:paraId="4D23C69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F0565">
    <w:pPr>
      <w:pStyle w:val="94"/>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8E1EA8">
                          <w:pPr>
                            <w:pStyle w:val="1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rfPNrIAQAAmwMAAA4AAAAAAAAAAQAgAAAAHgEAAGRycy9lMm9Eb2Mu&#10;eG1sUEsFBgAAAAAGAAYAWQEAAFgFAAAAAA==&#10;">
              <v:fill on="f" focussize="0,0"/>
              <v:stroke on="f"/>
              <v:imagedata o:title=""/>
              <o:lock v:ext="edit" aspectratio="f"/>
              <v:textbox inset="0mm,0mm,0mm,0mm" style="mso-fit-shape-to-text:t;">
                <w:txbxContent>
                  <w:p w14:paraId="108E1EA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B770E">
    <w:pPr>
      <w:pStyle w:val="9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239E17">
                          <w:pPr>
                            <w:pStyle w:val="19"/>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rz5C8k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llmgPkCNefcBM9Pwzg+YPPsBnZn3oKLNX2REMI7ynq/yyiERkR+tV+t1hSGBsfmC+OzheYiQ3ktv&#10;STYaGnF+RVZ++ghpTJ1TcjXn77QxZYbG/eNAzOxhufexx2ylYT9MhPa+PSOfHkffUIebTon54FDZ&#10;vCWzEWdjPxvHEPWhK2uU60G4PSZsovSWK4ywU2GcWWE37Vdeisf3kvXw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ivPkLyQEAAJsDAAAOAAAAAAAAAAEAIAAAAB4BAABkcnMvZTJvRG9j&#10;LnhtbFBLBQYAAAAABgAGAFkBAABZBQAAAAA=&#10;">
              <v:fill on="f" focussize="0,0"/>
              <v:stroke on="f"/>
              <v:imagedata o:title=""/>
              <o:lock v:ext="edit" aspectratio="f"/>
              <v:textbox inset="0mm,0mm,0mm,0mm" style="mso-fit-shape-to-text:t;">
                <w:txbxContent>
                  <w:p w14:paraId="5E239E17">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A094A">
    <w:pPr>
      <w:pStyle w:val="9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0EEEDF">
                          <w:pPr>
                            <w:pStyle w:val="94"/>
                          </w:pPr>
                          <w:r>
                            <w:fldChar w:fldCharType="begin"/>
                          </w:r>
                          <w:r>
                            <w:instrText xml:space="preserve">PAGE   \* MERGEFORMAT</w:instrText>
                          </w:r>
                          <w:r>
                            <w:fldChar w:fldCharType="separate"/>
                          </w:r>
                          <w:r>
                            <w:rPr>
                              <w:lang w:val="zh-CN"/>
                            </w:rPr>
                            <w:t>5</w:t>
                          </w:r>
                          <w: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TyRccBAACa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SpZF&#10;nz5AjWkPARPT8MYPuDVZt+wHdGbag4o2f5EQwTiqe76qK4dERH60Xq3XFYYExuYL4rDb8xAhvZXe&#10;kmw0NOL4iqr89B7SmDqn5GrO32tjygiN+8uBmNnDbj1mKw37YWp879sz8ulx8g11uOiUmHcOhc1L&#10;MhtxNvazcQxRH7qyRbkehNfHhE2U3nKFEXYqjCMr7Kb1yjvx571k3X6p7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zITyRccBAACaAwAADgAAAAAAAAABACAAAAAeAQAAZHJzL2Uyb0RvYy54&#10;bWxQSwUGAAAAAAYABgBZAQAAVwUAAAAA&#10;">
              <v:fill on="f" focussize="0,0"/>
              <v:stroke on="f"/>
              <v:imagedata o:title=""/>
              <o:lock v:ext="edit" aspectratio="f"/>
              <v:textbox inset="0mm,0mm,0mm,0mm" style="mso-fit-shape-to-text:t;">
                <w:txbxContent>
                  <w:p w14:paraId="1C0EEEDF">
                    <w:pPr>
                      <w:pStyle w:val="94"/>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CC4F4">
    <w:pPr>
      <w:pStyle w:val="97"/>
      <w:tabs>
        <w:tab w:val="left" w:pos="6390"/>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1A6BD4">
                          <w:pPr>
                            <w:pStyle w:val="97"/>
                          </w:pPr>
                          <w:r>
                            <w:fldChar w:fldCharType="begin"/>
                          </w:r>
                          <w:r>
                            <w:instrText xml:space="preserve"> PAGE  \* MERGEFORMAT </w:instrText>
                          </w:r>
                          <w:r>
                            <w:fldChar w:fldCharType="separate"/>
                          </w:r>
                          <w:r>
                            <w:t>4</w:t>
                          </w:r>
                          <w:r>
                            <w:fldChar w:fldCharType="end"/>
                          </w:r>
                        </w:p>
                      </w:txbxContent>
                    </wps:txbx>
                    <wps:bodyPr wrap="none" lIns="0" tIns="0" rIns="0" bIns="0" upright="0">
                      <a:spAutoFit/>
                    </wps:bodyPr>
                  </wps:wsp>
                </a:graphicData>
              </a:graphic>
            </wp:anchor>
          </w:drawing>
        </mc:Choice>
        <mc:Fallback>
          <w:pict>
            <v:shape id="文本框 1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6xq2skBAACa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pt6A0ljlsc+OX7t8uPX5efX8ly&#10;mfXpA9SY9hgwMQ33fsCtmf2Azkx7UNHmLxIiGEd1z1d15ZCIyI/Wq/W6wpDA2HxBfPb0PERIb6W3&#10;JBsNjTi+oio/vYc0ps4puZrzD9qYMkLj/nIgZvaw3PvYY7bSsB8mQnvfnpFPj5NvqMNFp8S8cyhs&#10;XpLZiLOxn41jiPrQlS3K9SDcHRM2UXrLFUbYqTCOrLCb1ivvxJ/3kvX0S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3rGrayQEAAJoDAAAOAAAAAAAAAAEAIAAAAB4BAABkcnMvZTJvRG9j&#10;LnhtbFBLBQYAAAAABgAGAFkBAABZBQAAAAA=&#10;">
              <v:fill on="f" focussize="0,0"/>
              <v:stroke on="f"/>
              <v:imagedata o:title=""/>
              <o:lock v:ext="edit" aspectratio="f"/>
              <v:textbox inset="0mm,0mm,0mm,0mm" style="mso-fit-shape-to-text:t;">
                <w:txbxContent>
                  <w:p w14:paraId="1E1A6BD4">
                    <w:pPr>
                      <w:pStyle w:val="97"/>
                    </w:pPr>
                    <w:r>
                      <w:fldChar w:fldCharType="begin"/>
                    </w:r>
                    <w:r>
                      <w:instrText xml:space="preserve"> PAGE  \* MERGEFORMAT </w:instrText>
                    </w:r>
                    <w:r>
                      <w:fldChar w:fldCharType="separate"/>
                    </w:r>
                    <w:r>
                      <w:t>4</w:t>
                    </w:r>
                    <w:r>
                      <w:fldChar w:fldCharType="end"/>
                    </w:r>
                  </w:p>
                </w:txbxContent>
              </v:textbox>
            </v:shape>
          </w:pict>
        </mc:Fallback>
      </mc:AlternateContent>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CEAD7">
    <w:pPr>
      <w:pStyle w:val="81"/>
      <w:rPr>
        <w:rFonts w:hint="eastAsia" w:hAnsi="黑体" w:cs="黑体"/>
      </w:rPr>
    </w:pPr>
    <w:r>
      <w:rPr>
        <w:rFonts w:hint="eastAsia" w:hAnsi="黑体" w:cs="黑体"/>
      </w:rPr>
      <w:t>T/XXX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A8C1E">
    <w:pPr>
      <w:pStyle w:val="81"/>
      <w:jc w:val="right"/>
    </w:pPr>
    <w:r>
      <w:rPr>
        <w:rFonts w:hint="eastAsia" w:hAnsi="黑体" w:cs="黑体"/>
      </w:rPr>
      <w:t>T/XXX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720E2">
    <w:pPr>
      <w:pStyle w:val="81"/>
      <w:jc w:val="right"/>
    </w:pPr>
    <w:r>
      <w:rPr>
        <w:rFonts w:hint="eastAsia" w:hAnsi="黑体" w:cs="黑体"/>
      </w:rPr>
      <w:t>T/XXX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30682">
    <w:pPr>
      <w:pStyle w:val="81"/>
    </w:pPr>
    <w:r>
      <w:rPr>
        <w:rFonts w:hint="eastAsia" w:hAnsi="黑体" w:cs="黑体"/>
      </w:rPr>
      <w:t>T/XXX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725F0">
    <w:pPr>
      <w:pStyle w:val="81"/>
      <w:jc w:val="right"/>
    </w:pPr>
    <w:r>
      <w:rPr>
        <w:rFonts w:hint="eastAsia" w:hAnsi="黑体" w:cs="黑体"/>
      </w:rPr>
      <w:t>T/XXX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46256"/>
    <w:multiLevelType w:val="multilevel"/>
    <w:tmpl w:val="9C546256"/>
    <w:lvl w:ilvl="0" w:tentative="0">
      <w:start w:val="1"/>
      <w:numFmt w:val="lowerLetter"/>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cs="Times New Roman"/>
      </w:rPr>
    </w:lvl>
    <w:lvl w:ilvl="2" w:tentative="0">
      <w:start w:val="1"/>
      <w:numFmt w:val="decimal"/>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
    <w:nsid w:val="A948D1BC"/>
    <w:multiLevelType w:val="singleLevel"/>
    <w:tmpl w:val="A948D1BC"/>
    <w:lvl w:ilvl="0" w:tentative="0">
      <w:start w:val="1"/>
      <w:numFmt w:val="decimal"/>
      <w:lvlText w:val="%1)"/>
      <w:lvlJc w:val="left"/>
      <w:pPr>
        <w:ind w:left="425" w:hanging="425"/>
      </w:pPr>
      <w:rPr>
        <w:rFonts w:hint="default"/>
      </w:rPr>
    </w:lvl>
  </w:abstractNum>
  <w:abstractNum w:abstractNumId="2">
    <w:nsid w:val="ACA2F405"/>
    <w:multiLevelType w:val="multilevel"/>
    <w:tmpl w:val="ACA2F405"/>
    <w:lvl w:ilvl="0" w:tentative="0">
      <w:start w:val="1"/>
      <w:numFmt w:val="lowerLetter"/>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cs="Times New Roman"/>
      </w:rPr>
    </w:lvl>
    <w:lvl w:ilvl="2" w:tentative="0">
      <w:start w:val="1"/>
      <w:numFmt w:val="decimal"/>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3">
    <w:nsid w:val="E10FF1D0"/>
    <w:multiLevelType w:val="multilevel"/>
    <w:tmpl w:val="E10FF1D0"/>
    <w:lvl w:ilvl="0" w:tentative="0">
      <w:start w:val="1"/>
      <w:numFmt w:val="lowerLetter"/>
      <w:pStyle w:val="137"/>
      <w:lvlText w:val="%1)"/>
      <w:lvlJc w:val="left"/>
      <w:pPr>
        <w:tabs>
          <w:tab w:val="left" w:pos="840"/>
        </w:tabs>
        <w:ind w:left="839" w:hanging="419"/>
      </w:pPr>
      <w:rPr>
        <w:rFonts w:hint="default"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FDC33A91"/>
    <w:multiLevelType w:val="singleLevel"/>
    <w:tmpl w:val="FDC33A91"/>
    <w:lvl w:ilvl="0" w:tentative="0">
      <w:start w:val="1"/>
      <w:numFmt w:val="decimal"/>
      <w:lvlText w:val="%1)"/>
      <w:lvlJc w:val="left"/>
      <w:pPr>
        <w:ind w:left="425" w:hanging="425"/>
      </w:pPr>
      <w:rPr>
        <w:rFonts w:hint="default"/>
      </w:rPr>
    </w:lvl>
  </w:abstractNum>
  <w:abstractNum w:abstractNumId="5">
    <w:nsid w:val="079102AD"/>
    <w:multiLevelType w:val="multilevel"/>
    <w:tmpl w:val="079102AD"/>
    <w:lvl w:ilvl="0" w:tentative="0">
      <w:start w:val="1"/>
      <w:numFmt w:val="decimal"/>
      <w:pStyle w:val="7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151"/>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93C6778"/>
    <w:multiLevelType w:val="multilevel"/>
    <w:tmpl w:val="093C6778"/>
    <w:lvl w:ilvl="0" w:tentative="0">
      <w:start w:val="1"/>
      <w:numFmt w:val="decimal"/>
      <w:pStyle w:val="5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0AE367E9"/>
    <w:multiLevelType w:val="multilevel"/>
    <w:tmpl w:val="0AE367E9"/>
    <w:lvl w:ilvl="0" w:tentative="0">
      <w:start w:val="1"/>
      <w:numFmt w:val="none"/>
      <w:pStyle w:val="6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DDE2B46"/>
    <w:multiLevelType w:val="multilevel"/>
    <w:tmpl w:val="0DDE2B46"/>
    <w:lvl w:ilvl="0" w:tentative="0">
      <w:start w:val="1"/>
      <w:numFmt w:val="lowerLetter"/>
      <w:pStyle w:val="8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0">
    <w:nsid w:val="1DBF583A"/>
    <w:multiLevelType w:val="multilevel"/>
    <w:tmpl w:val="1DBF583A"/>
    <w:lvl w:ilvl="0" w:tentative="0">
      <w:start w:val="1"/>
      <w:numFmt w:val="decimal"/>
      <w:pStyle w:val="13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1">
    <w:nsid w:val="1E978804"/>
    <w:multiLevelType w:val="multilevel"/>
    <w:tmpl w:val="1E978804"/>
    <w:lvl w:ilvl="0" w:tentative="0">
      <w:start w:val="1"/>
      <w:numFmt w:val="lowerLetter"/>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cs="Times New Roman"/>
      </w:rPr>
    </w:lvl>
    <w:lvl w:ilvl="2" w:tentative="0">
      <w:start w:val="1"/>
      <w:numFmt w:val="decimal"/>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2">
    <w:nsid w:val="1FC91163"/>
    <w:multiLevelType w:val="multilevel"/>
    <w:tmpl w:val="1FC91163"/>
    <w:lvl w:ilvl="0" w:tentative="0">
      <w:start w:val="1"/>
      <w:numFmt w:val="decimal"/>
      <w:pStyle w:val="11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74"/>
      <w:suff w:val="nothing"/>
      <w:lvlText w:val="%1.%2.%3　"/>
      <w:lvlJc w:val="left"/>
      <w:pPr>
        <w:ind w:left="21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77"/>
      <w:suff w:val="nothing"/>
      <w:lvlText w:val="%1.%2.%3.%4.%5　"/>
      <w:lvlJc w:val="left"/>
      <w:pPr>
        <w:ind w:left="0" w:firstLine="0"/>
      </w:pPr>
      <w:rPr>
        <w:rFonts w:hint="eastAsia" w:ascii="黑体" w:hAnsi="Times New Roman" w:eastAsia="黑体"/>
        <w:b w:val="0"/>
        <w:i w:val="0"/>
        <w:sz w:val="21"/>
      </w:rPr>
    </w:lvl>
    <w:lvl w:ilvl="5" w:tentative="0">
      <w:start w:val="1"/>
      <w:numFmt w:val="decimal"/>
      <w:pStyle w:val="7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A8F7113"/>
    <w:multiLevelType w:val="multilevel"/>
    <w:tmpl w:val="2A8F7113"/>
    <w:lvl w:ilvl="0" w:tentative="0">
      <w:start w:val="1"/>
      <w:numFmt w:val="upperLetter"/>
      <w:pStyle w:val="64"/>
      <w:suff w:val="space"/>
      <w:lvlText w:val="%1"/>
      <w:lvlJc w:val="left"/>
      <w:pPr>
        <w:ind w:left="623" w:hanging="425"/>
      </w:pPr>
      <w:rPr>
        <w:rFonts w:hint="eastAsia"/>
      </w:rPr>
    </w:lvl>
    <w:lvl w:ilvl="1" w:tentative="0">
      <w:start w:val="1"/>
      <w:numFmt w:val="decimal"/>
      <w:pStyle w:val="1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4">
    <w:nsid w:val="2C5917C3"/>
    <w:multiLevelType w:val="multilevel"/>
    <w:tmpl w:val="2C5917C3"/>
    <w:lvl w:ilvl="0" w:tentative="0">
      <w:start w:val="1"/>
      <w:numFmt w:val="none"/>
      <w:pStyle w:val="128"/>
      <w:suff w:val="nothing"/>
      <w:lvlText w:val="%1——"/>
      <w:lvlJc w:val="left"/>
      <w:pPr>
        <w:ind w:left="833" w:hanging="408"/>
      </w:pPr>
      <w:rPr>
        <w:rFonts w:hint="eastAsia"/>
      </w:rPr>
    </w:lvl>
    <w:lvl w:ilvl="1" w:tentative="0">
      <w:start w:val="1"/>
      <w:numFmt w:val="bullet"/>
      <w:pStyle w:val="130"/>
      <w:lvlText w:val=""/>
      <w:lvlJc w:val="left"/>
      <w:pPr>
        <w:tabs>
          <w:tab w:val="left" w:pos="760"/>
        </w:tabs>
        <w:ind w:left="1264" w:hanging="413"/>
      </w:pPr>
      <w:rPr>
        <w:rFonts w:hint="default" w:ascii="Symbol" w:hAnsi="Symbol"/>
        <w:color w:val="auto"/>
      </w:rPr>
    </w:lvl>
    <w:lvl w:ilvl="2" w:tentative="0">
      <w:start w:val="1"/>
      <w:numFmt w:val="bullet"/>
      <w:pStyle w:val="12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6">
    <w:nsid w:val="44C50F90"/>
    <w:multiLevelType w:val="multilevel"/>
    <w:tmpl w:val="44C50F9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46"/>
      <w:lvlText w:val="%2)"/>
      <w:lvlJc w:val="left"/>
      <w:pPr>
        <w:tabs>
          <w:tab w:val="left" w:pos="1260"/>
        </w:tabs>
        <w:ind w:left="1259" w:hanging="419"/>
      </w:pPr>
      <w:rPr>
        <w:rFonts w:hint="eastAsia"/>
      </w:rPr>
    </w:lvl>
    <w:lvl w:ilvl="2" w:tentative="0">
      <w:start w:val="1"/>
      <w:numFmt w:val="decimal"/>
      <w:pStyle w:val="11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B733A5F"/>
    <w:multiLevelType w:val="multilevel"/>
    <w:tmpl w:val="4B733A5F"/>
    <w:lvl w:ilvl="0" w:tentative="0">
      <w:start w:val="1"/>
      <w:numFmt w:val="decimal"/>
      <w:pStyle w:val="14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557C2AF5"/>
    <w:multiLevelType w:val="multilevel"/>
    <w:tmpl w:val="557C2AF5"/>
    <w:lvl w:ilvl="0" w:tentative="0">
      <w:start w:val="1"/>
      <w:numFmt w:val="decimal"/>
      <w:pStyle w:val="13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60B55DC2"/>
    <w:multiLevelType w:val="multilevel"/>
    <w:tmpl w:val="60B55DC2"/>
    <w:lvl w:ilvl="0" w:tentative="0">
      <w:start w:val="1"/>
      <w:numFmt w:val="upperLetter"/>
      <w:pStyle w:val="106"/>
      <w:lvlText w:val="%1"/>
      <w:lvlJc w:val="left"/>
      <w:pPr>
        <w:tabs>
          <w:tab w:val="left" w:pos="0"/>
        </w:tabs>
        <w:ind w:left="0" w:hanging="425"/>
      </w:pPr>
      <w:rPr>
        <w:rFonts w:hint="eastAsia"/>
      </w:rPr>
    </w:lvl>
    <w:lvl w:ilvl="1" w:tentative="0">
      <w:start w:val="1"/>
      <w:numFmt w:val="decimal"/>
      <w:pStyle w:val="14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0">
    <w:nsid w:val="646260FA"/>
    <w:multiLevelType w:val="multilevel"/>
    <w:tmpl w:val="646260FA"/>
    <w:lvl w:ilvl="0" w:tentative="0">
      <w:start w:val="1"/>
      <w:numFmt w:val="decimal"/>
      <w:pStyle w:val="14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657D3FBC"/>
    <w:multiLevelType w:val="multilevel"/>
    <w:tmpl w:val="657D3FBC"/>
    <w:lvl w:ilvl="0" w:tentative="0">
      <w:start w:val="1"/>
      <w:numFmt w:val="upperLetter"/>
      <w:pStyle w:val="12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3"/>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88"/>
      <w:suff w:val="nothing"/>
      <w:lvlText w:val="%1.%2.%3.%4.%5　"/>
      <w:lvlJc w:val="left"/>
      <w:pPr>
        <w:ind w:left="0" w:firstLine="0"/>
      </w:pPr>
      <w:rPr>
        <w:rFonts w:hint="eastAsia" w:ascii="黑体" w:hAnsi="Times New Roman" w:eastAsia="黑体"/>
        <w:b w:val="0"/>
        <w:i w:val="0"/>
        <w:sz w:val="21"/>
      </w:rPr>
    </w:lvl>
    <w:lvl w:ilvl="5" w:tentative="0">
      <w:start w:val="1"/>
      <w:numFmt w:val="decimal"/>
      <w:pStyle w:val="87"/>
      <w:suff w:val="nothing"/>
      <w:lvlText w:val="%1.%2.%3.%4.%5.%6　"/>
      <w:lvlJc w:val="left"/>
      <w:pPr>
        <w:ind w:left="0" w:firstLine="0"/>
      </w:pPr>
      <w:rPr>
        <w:rFonts w:hint="eastAsia" w:ascii="黑体" w:hAnsi="Times New Roman" w:eastAsia="黑体"/>
        <w:b w:val="0"/>
        <w:i w:val="0"/>
        <w:sz w:val="21"/>
      </w:rPr>
    </w:lvl>
    <w:lvl w:ilvl="6" w:tentative="0">
      <w:start w:val="1"/>
      <w:numFmt w:val="decimal"/>
      <w:pStyle w:val="1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58"/>
      <w:suff w:val="nothing"/>
      <w:lvlText w:val="%1%2　"/>
      <w:lvlJc w:val="left"/>
      <w:pPr>
        <w:ind w:left="0" w:firstLine="0"/>
      </w:pPr>
      <w:rPr>
        <w:rFonts w:hint="eastAsia" w:ascii="黑体" w:eastAsia="黑体"/>
        <w:b w:val="0"/>
        <w:i w:val="0"/>
        <w:sz w:val="21"/>
      </w:rPr>
    </w:lvl>
    <w:lvl w:ilvl="2" w:tentative="0">
      <w:start w:val="1"/>
      <w:numFmt w:val="decimal"/>
      <w:pStyle w:val="15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56"/>
      <w:suff w:val="nothing"/>
      <w:lvlText w:val="%1%2.%3.%4　"/>
      <w:lvlJc w:val="left"/>
      <w:pPr>
        <w:ind w:left="0"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3">
    <w:nsid w:val="6D6C07CD"/>
    <w:multiLevelType w:val="multilevel"/>
    <w:tmpl w:val="6D6C07CD"/>
    <w:lvl w:ilvl="0" w:tentative="0">
      <w:start w:val="1"/>
      <w:numFmt w:val="lowerLetter"/>
      <w:pStyle w:val="100"/>
      <w:lvlText w:val="%1)"/>
      <w:lvlJc w:val="left"/>
      <w:pPr>
        <w:tabs>
          <w:tab w:val="left" w:pos="839"/>
        </w:tabs>
        <w:ind w:left="839" w:hanging="419"/>
      </w:pPr>
      <w:rPr>
        <w:rFonts w:hint="eastAsia" w:ascii="宋体" w:eastAsia="宋体"/>
        <w:b w:val="0"/>
        <w:i w:val="0"/>
        <w:sz w:val="21"/>
      </w:rPr>
    </w:lvl>
    <w:lvl w:ilvl="1" w:tentative="0">
      <w:start w:val="1"/>
      <w:numFmt w:val="decimal"/>
      <w:pStyle w:val="14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4">
    <w:nsid w:val="6DBF04F4"/>
    <w:multiLevelType w:val="multilevel"/>
    <w:tmpl w:val="6DBF04F4"/>
    <w:lvl w:ilvl="0" w:tentative="0">
      <w:start w:val="1"/>
      <w:numFmt w:val="none"/>
      <w:pStyle w:val="11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5"/>
  </w:num>
  <w:num w:numId="2">
    <w:abstractNumId w:val="7"/>
  </w:num>
  <w:num w:numId="3">
    <w:abstractNumId w:val="12"/>
  </w:num>
  <w:num w:numId="4">
    <w:abstractNumId w:val="13"/>
  </w:num>
  <w:num w:numId="5">
    <w:abstractNumId w:val="8"/>
  </w:num>
  <w:num w:numId="6">
    <w:abstractNumId w:val="5"/>
  </w:num>
  <w:num w:numId="7">
    <w:abstractNumId w:val="9"/>
  </w:num>
  <w:num w:numId="8">
    <w:abstractNumId w:val="21"/>
  </w:num>
  <w:num w:numId="9">
    <w:abstractNumId w:val="23"/>
  </w:num>
  <w:num w:numId="10">
    <w:abstractNumId w:val="19"/>
  </w:num>
  <w:num w:numId="11">
    <w:abstractNumId w:val="16"/>
  </w:num>
  <w:num w:numId="12">
    <w:abstractNumId w:val="24"/>
  </w:num>
  <w:num w:numId="13">
    <w:abstractNumId w:val="14"/>
  </w:num>
  <w:num w:numId="14">
    <w:abstractNumId w:val="10"/>
  </w:num>
  <w:num w:numId="15">
    <w:abstractNumId w:val="3"/>
  </w:num>
  <w:num w:numId="16">
    <w:abstractNumId w:val="18"/>
  </w:num>
  <w:num w:numId="17">
    <w:abstractNumId w:val="17"/>
  </w:num>
  <w:num w:numId="18">
    <w:abstractNumId w:val="20"/>
  </w:num>
  <w:num w:numId="19">
    <w:abstractNumId w:val="6"/>
  </w:num>
  <w:num w:numId="20">
    <w:abstractNumId w:val="2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4"/>
  </w:num>
  <w:num w:numId="26">
    <w:abstractNumId w:val="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iNDM5ZjM0MmZlNTdhMWFiNmM1NjYzYmNlN2ZjYjEifQ=="/>
  </w:docVars>
  <w:rsids>
    <w:rsidRoot w:val="00035925"/>
    <w:rsid w:val="00000244"/>
    <w:rsid w:val="0000185F"/>
    <w:rsid w:val="0000586F"/>
    <w:rsid w:val="00013D86"/>
    <w:rsid w:val="00013E02"/>
    <w:rsid w:val="00016D29"/>
    <w:rsid w:val="0002143C"/>
    <w:rsid w:val="00024D73"/>
    <w:rsid w:val="00025A65"/>
    <w:rsid w:val="00026C31"/>
    <w:rsid w:val="00027280"/>
    <w:rsid w:val="00031663"/>
    <w:rsid w:val="000320A7"/>
    <w:rsid w:val="00033841"/>
    <w:rsid w:val="0003559F"/>
    <w:rsid w:val="000358B6"/>
    <w:rsid w:val="00035925"/>
    <w:rsid w:val="00040B5B"/>
    <w:rsid w:val="000438F1"/>
    <w:rsid w:val="0005035D"/>
    <w:rsid w:val="00052C18"/>
    <w:rsid w:val="00054692"/>
    <w:rsid w:val="00056315"/>
    <w:rsid w:val="00062B2F"/>
    <w:rsid w:val="00067CDF"/>
    <w:rsid w:val="00074FBE"/>
    <w:rsid w:val="00083415"/>
    <w:rsid w:val="00083A09"/>
    <w:rsid w:val="000868F2"/>
    <w:rsid w:val="0009005E"/>
    <w:rsid w:val="00092857"/>
    <w:rsid w:val="00096A0D"/>
    <w:rsid w:val="000A20A9"/>
    <w:rsid w:val="000A48B1"/>
    <w:rsid w:val="000A67E5"/>
    <w:rsid w:val="000B3143"/>
    <w:rsid w:val="000B4B1C"/>
    <w:rsid w:val="000C47A1"/>
    <w:rsid w:val="000C4928"/>
    <w:rsid w:val="000C651B"/>
    <w:rsid w:val="000C6B05"/>
    <w:rsid w:val="000C6DD6"/>
    <w:rsid w:val="000C73D4"/>
    <w:rsid w:val="000D3D4C"/>
    <w:rsid w:val="000D4F51"/>
    <w:rsid w:val="000D718B"/>
    <w:rsid w:val="000E059A"/>
    <w:rsid w:val="000E0B88"/>
    <w:rsid w:val="000E0C46"/>
    <w:rsid w:val="000E630F"/>
    <w:rsid w:val="000F030C"/>
    <w:rsid w:val="000F129C"/>
    <w:rsid w:val="000F19AE"/>
    <w:rsid w:val="000F3707"/>
    <w:rsid w:val="001020F3"/>
    <w:rsid w:val="001036BE"/>
    <w:rsid w:val="001045EA"/>
    <w:rsid w:val="001056DE"/>
    <w:rsid w:val="00107050"/>
    <w:rsid w:val="001124C0"/>
    <w:rsid w:val="00124188"/>
    <w:rsid w:val="0013175F"/>
    <w:rsid w:val="00146E25"/>
    <w:rsid w:val="001512B4"/>
    <w:rsid w:val="00151CF1"/>
    <w:rsid w:val="00152CB5"/>
    <w:rsid w:val="001620A5"/>
    <w:rsid w:val="00164E53"/>
    <w:rsid w:val="00166910"/>
    <w:rsid w:val="0016699D"/>
    <w:rsid w:val="001676C9"/>
    <w:rsid w:val="00174563"/>
    <w:rsid w:val="00175159"/>
    <w:rsid w:val="00176208"/>
    <w:rsid w:val="0018211B"/>
    <w:rsid w:val="00183884"/>
    <w:rsid w:val="001840D3"/>
    <w:rsid w:val="001900F8"/>
    <w:rsid w:val="00191258"/>
    <w:rsid w:val="00191268"/>
    <w:rsid w:val="00192680"/>
    <w:rsid w:val="001926A1"/>
    <w:rsid w:val="00193037"/>
    <w:rsid w:val="00193A2C"/>
    <w:rsid w:val="001A288E"/>
    <w:rsid w:val="001A4192"/>
    <w:rsid w:val="001A64C8"/>
    <w:rsid w:val="001A6E9E"/>
    <w:rsid w:val="001B1355"/>
    <w:rsid w:val="001B6DC2"/>
    <w:rsid w:val="001C149C"/>
    <w:rsid w:val="001C1B0E"/>
    <w:rsid w:val="001C21AC"/>
    <w:rsid w:val="001C47BA"/>
    <w:rsid w:val="001C59EA"/>
    <w:rsid w:val="001D406C"/>
    <w:rsid w:val="001D41EE"/>
    <w:rsid w:val="001D5AD1"/>
    <w:rsid w:val="001E0380"/>
    <w:rsid w:val="001E13B1"/>
    <w:rsid w:val="001E37B1"/>
    <w:rsid w:val="001E3E08"/>
    <w:rsid w:val="001E62F1"/>
    <w:rsid w:val="001F3A19"/>
    <w:rsid w:val="00204999"/>
    <w:rsid w:val="00234467"/>
    <w:rsid w:val="00236563"/>
    <w:rsid w:val="00237D8D"/>
    <w:rsid w:val="0024164C"/>
    <w:rsid w:val="00241DA2"/>
    <w:rsid w:val="00245AC4"/>
    <w:rsid w:val="0024669F"/>
    <w:rsid w:val="00247FEE"/>
    <w:rsid w:val="00250E7D"/>
    <w:rsid w:val="00252BC8"/>
    <w:rsid w:val="00253453"/>
    <w:rsid w:val="002565D5"/>
    <w:rsid w:val="0026016A"/>
    <w:rsid w:val="002622C0"/>
    <w:rsid w:val="0026410B"/>
    <w:rsid w:val="00271141"/>
    <w:rsid w:val="0027759F"/>
    <w:rsid w:val="002778AE"/>
    <w:rsid w:val="0028098B"/>
    <w:rsid w:val="00280E4B"/>
    <w:rsid w:val="0028269A"/>
    <w:rsid w:val="00283590"/>
    <w:rsid w:val="00286478"/>
    <w:rsid w:val="002868D2"/>
    <w:rsid w:val="00286973"/>
    <w:rsid w:val="00290075"/>
    <w:rsid w:val="00294E70"/>
    <w:rsid w:val="00296269"/>
    <w:rsid w:val="002A1924"/>
    <w:rsid w:val="002A7420"/>
    <w:rsid w:val="002B0F12"/>
    <w:rsid w:val="002B1308"/>
    <w:rsid w:val="002B2632"/>
    <w:rsid w:val="002B3ECF"/>
    <w:rsid w:val="002B4554"/>
    <w:rsid w:val="002C1BF3"/>
    <w:rsid w:val="002C72D8"/>
    <w:rsid w:val="002D0E66"/>
    <w:rsid w:val="002D11FA"/>
    <w:rsid w:val="002E0DDF"/>
    <w:rsid w:val="002E2906"/>
    <w:rsid w:val="002E5635"/>
    <w:rsid w:val="002E64C3"/>
    <w:rsid w:val="002E6A2C"/>
    <w:rsid w:val="002F1D8C"/>
    <w:rsid w:val="002F21DA"/>
    <w:rsid w:val="00301F39"/>
    <w:rsid w:val="00305BFC"/>
    <w:rsid w:val="00307272"/>
    <w:rsid w:val="00317F54"/>
    <w:rsid w:val="00320581"/>
    <w:rsid w:val="00325926"/>
    <w:rsid w:val="00325B6D"/>
    <w:rsid w:val="003261E3"/>
    <w:rsid w:val="00327A8A"/>
    <w:rsid w:val="00331B2F"/>
    <w:rsid w:val="0033608E"/>
    <w:rsid w:val="00336610"/>
    <w:rsid w:val="00343F73"/>
    <w:rsid w:val="00345060"/>
    <w:rsid w:val="003457C2"/>
    <w:rsid w:val="003471BD"/>
    <w:rsid w:val="00347452"/>
    <w:rsid w:val="0035323B"/>
    <w:rsid w:val="003578BA"/>
    <w:rsid w:val="0036015A"/>
    <w:rsid w:val="003609D2"/>
    <w:rsid w:val="00363F22"/>
    <w:rsid w:val="00364E5C"/>
    <w:rsid w:val="0036506B"/>
    <w:rsid w:val="00370C90"/>
    <w:rsid w:val="00375564"/>
    <w:rsid w:val="0038088A"/>
    <w:rsid w:val="00383191"/>
    <w:rsid w:val="00386624"/>
    <w:rsid w:val="00386DED"/>
    <w:rsid w:val="00387FC4"/>
    <w:rsid w:val="003912E7"/>
    <w:rsid w:val="00392A0C"/>
    <w:rsid w:val="00393947"/>
    <w:rsid w:val="003A2275"/>
    <w:rsid w:val="003A6A4F"/>
    <w:rsid w:val="003A7088"/>
    <w:rsid w:val="003B00DF"/>
    <w:rsid w:val="003B1275"/>
    <w:rsid w:val="003B1778"/>
    <w:rsid w:val="003B6F85"/>
    <w:rsid w:val="003B7FE0"/>
    <w:rsid w:val="003C11CB"/>
    <w:rsid w:val="003C75F3"/>
    <w:rsid w:val="003C78A3"/>
    <w:rsid w:val="003D672F"/>
    <w:rsid w:val="003E005B"/>
    <w:rsid w:val="003E1867"/>
    <w:rsid w:val="003E5729"/>
    <w:rsid w:val="003E5A5C"/>
    <w:rsid w:val="003F160B"/>
    <w:rsid w:val="003F4EE0"/>
    <w:rsid w:val="004011AB"/>
    <w:rsid w:val="00402153"/>
    <w:rsid w:val="00402FC1"/>
    <w:rsid w:val="00404ADE"/>
    <w:rsid w:val="00410A0C"/>
    <w:rsid w:val="004208F2"/>
    <w:rsid w:val="00421A26"/>
    <w:rsid w:val="00425082"/>
    <w:rsid w:val="00431BE8"/>
    <w:rsid w:val="00431DEB"/>
    <w:rsid w:val="00435823"/>
    <w:rsid w:val="00442C64"/>
    <w:rsid w:val="00446B29"/>
    <w:rsid w:val="00453F9A"/>
    <w:rsid w:val="00471E91"/>
    <w:rsid w:val="00474675"/>
    <w:rsid w:val="0047470C"/>
    <w:rsid w:val="00481E99"/>
    <w:rsid w:val="0048466A"/>
    <w:rsid w:val="00484AC3"/>
    <w:rsid w:val="00486BC0"/>
    <w:rsid w:val="00494314"/>
    <w:rsid w:val="00496379"/>
    <w:rsid w:val="004A25B8"/>
    <w:rsid w:val="004A35F9"/>
    <w:rsid w:val="004A61F3"/>
    <w:rsid w:val="004A6C87"/>
    <w:rsid w:val="004B154F"/>
    <w:rsid w:val="004B202F"/>
    <w:rsid w:val="004B24C1"/>
    <w:rsid w:val="004B410B"/>
    <w:rsid w:val="004C292F"/>
    <w:rsid w:val="004C57F8"/>
    <w:rsid w:val="004D06B5"/>
    <w:rsid w:val="004D5B5D"/>
    <w:rsid w:val="004D6EBF"/>
    <w:rsid w:val="004E2083"/>
    <w:rsid w:val="004E287F"/>
    <w:rsid w:val="004E5004"/>
    <w:rsid w:val="004E5141"/>
    <w:rsid w:val="004E7B20"/>
    <w:rsid w:val="00501A8F"/>
    <w:rsid w:val="0050709E"/>
    <w:rsid w:val="00510280"/>
    <w:rsid w:val="00513D73"/>
    <w:rsid w:val="00514A43"/>
    <w:rsid w:val="005174E5"/>
    <w:rsid w:val="00522393"/>
    <w:rsid w:val="00522620"/>
    <w:rsid w:val="00522E8F"/>
    <w:rsid w:val="0052302C"/>
    <w:rsid w:val="00524376"/>
    <w:rsid w:val="00525656"/>
    <w:rsid w:val="0052625F"/>
    <w:rsid w:val="00532FB0"/>
    <w:rsid w:val="00534C02"/>
    <w:rsid w:val="00541489"/>
    <w:rsid w:val="0054264B"/>
    <w:rsid w:val="00543786"/>
    <w:rsid w:val="005460DC"/>
    <w:rsid w:val="005533D7"/>
    <w:rsid w:val="0056029D"/>
    <w:rsid w:val="005703DE"/>
    <w:rsid w:val="0058464E"/>
    <w:rsid w:val="005921CF"/>
    <w:rsid w:val="005A01CB"/>
    <w:rsid w:val="005A58FF"/>
    <w:rsid w:val="005A5EAF"/>
    <w:rsid w:val="005A64C0"/>
    <w:rsid w:val="005B0A39"/>
    <w:rsid w:val="005B3C11"/>
    <w:rsid w:val="005C1C28"/>
    <w:rsid w:val="005C6DB5"/>
    <w:rsid w:val="005D4D2B"/>
    <w:rsid w:val="005E19E7"/>
    <w:rsid w:val="005E2C4D"/>
    <w:rsid w:val="005F48F2"/>
    <w:rsid w:val="00604385"/>
    <w:rsid w:val="00610DCF"/>
    <w:rsid w:val="0061447A"/>
    <w:rsid w:val="0061716C"/>
    <w:rsid w:val="00623DF0"/>
    <w:rsid w:val="006243A1"/>
    <w:rsid w:val="006327D3"/>
    <w:rsid w:val="00632E56"/>
    <w:rsid w:val="006345FE"/>
    <w:rsid w:val="006353A8"/>
    <w:rsid w:val="00635CBA"/>
    <w:rsid w:val="0063656A"/>
    <w:rsid w:val="0064338B"/>
    <w:rsid w:val="00645B06"/>
    <w:rsid w:val="00646542"/>
    <w:rsid w:val="006504F4"/>
    <w:rsid w:val="006515B3"/>
    <w:rsid w:val="00654BC9"/>
    <w:rsid w:val="006552FD"/>
    <w:rsid w:val="00657059"/>
    <w:rsid w:val="00663AF3"/>
    <w:rsid w:val="00664DD8"/>
    <w:rsid w:val="00666B6C"/>
    <w:rsid w:val="00667189"/>
    <w:rsid w:val="0067609E"/>
    <w:rsid w:val="00676627"/>
    <w:rsid w:val="00681BA0"/>
    <w:rsid w:val="00682682"/>
    <w:rsid w:val="00682702"/>
    <w:rsid w:val="00692368"/>
    <w:rsid w:val="006941C1"/>
    <w:rsid w:val="00694CF1"/>
    <w:rsid w:val="006A00F2"/>
    <w:rsid w:val="006A2EBC"/>
    <w:rsid w:val="006A3AA1"/>
    <w:rsid w:val="006A5EA0"/>
    <w:rsid w:val="006A783B"/>
    <w:rsid w:val="006A7B33"/>
    <w:rsid w:val="006B41F3"/>
    <w:rsid w:val="006B4E13"/>
    <w:rsid w:val="006B75DD"/>
    <w:rsid w:val="006B7CA2"/>
    <w:rsid w:val="006C67E0"/>
    <w:rsid w:val="006C7ABA"/>
    <w:rsid w:val="006D0D60"/>
    <w:rsid w:val="006D1122"/>
    <w:rsid w:val="006D3C00"/>
    <w:rsid w:val="006D7260"/>
    <w:rsid w:val="006E3675"/>
    <w:rsid w:val="006E4A7F"/>
    <w:rsid w:val="006E5254"/>
    <w:rsid w:val="006F0D88"/>
    <w:rsid w:val="006F5381"/>
    <w:rsid w:val="006F565E"/>
    <w:rsid w:val="00704DF6"/>
    <w:rsid w:val="0070651C"/>
    <w:rsid w:val="007132A3"/>
    <w:rsid w:val="00714204"/>
    <w:rsid w:val="00716421"/>
    <w:rsid w:val="00724EFB"/>
    <w:rsid w:val="00737558"/>
    <w:rsid w:val="0074177A"/>
    <w:rsid w:val="007419C3"/>
    <w:rsid w:val="00746508"/>
    <w:rsid w:val="007467A7"/>
    <w:rsid w:val="007469DD"/>
    <w:rsid w:val="0074741B"/>
    <w:rsid w:val="0074759E"/>
    <w:rsid w:val="007478EA"/>
    <w:rsid w:val="0075415C"/>
    <w:rsid w:val="00757471"/>
    <w:rsid w:val="00761930"/>
    <w:rsid w:val="00763502"/>
    <w:rsid w:val="0076399D"/>
    <w:rsid w:val="007753F7"/>
    <w:rsid w:val="00777106"/>
    <w:rsid w:val="0078220E"/>
    <w:rsid w:val="007863C3"/>
    <w:rsid w:val="00786CD0"/>
    <w:rsid w:val="00787A13"/>
    <w:rsid w:val="0079077F"/>
    <w:rsid w:val="007913AB"/>
    <w:rsid w:val="007914F7"/>
    <w:rsid w:val="007A62F1"/>
    <w:rsid w:val="007A7A93"/>
    <w:rsid w:val="007B016B"/>
    <w:rsid w:val="007B1625"/>
    <w:rsid w:val="007B403F"/>
    <w:rsid w:val="007B6E5F"/>
    <w:rsid w:val="007B706E"/>
    <w:rsid w:val="007B71EB"/>
    <w:rsid w:val="007C2123"/>
    <w:rsid w:val="007C5590"/>
    <w:rsid w:val="007C6205"/>
    <w:rsid w:val="007C686A"/>
    <w:rsid w:val="007C728E"/>
    <w:rsid w:val="007D15F1"/>
    <w:rsid w:val="007D2C53"/>
    <w:rsid w:val="007D3D60"/>
    <w:rsid w:val="007E1980"/>
    <w:rsid w:val="007E4B76"/>
    <w:rsid w:val="007E5EA8"/>
    <w:rsid w:val="007F0CF1"/>
    <w:rsid w:val="007F12A5"/>
    <w:rsid w:val="007F4CF1"/>
    <w:rsid w:val="007F6E0B"/>
    <w:rsid w:val="007F758D"/>
    <w:rsid w:val="007F7D52"/>
    <w:rsid w:val="00804ADB"/>
    <w:rsid w:val="0080654C"/>
    <w:rsid w:val="008071C6"/>
    <w:rsid w:val="00810028"/>
    <w:rsid w:val="00817A00"/>
    <w:rsid w:val="00820F56"/>
    <w:rsid w:val="00823015"/>
    <w:rsid w:val="00827BFC"/>
    <w:rsid w:val="00835DB3"/>
    <w:rsid w:val="0083617B"/>
    <w:rsid w:val="008371BD"/>
    <w:rsid w:val="00846855"/>
    <w:rsid w:val="008504A8"/>
    <w:rsid w:val="0085282E"/>
    <w:rsid w:val="008620B9"/>
    <w:rsid w:val="0087198C"/>
    <w:rsid w:val="00872C1F"/>
    <w:rsid w:val="00872CEE"/>
    <w:rsid w:val="00873B42"/>
    <w:rsid w:val="00875157"/>
    <w:rsid w:val="00875D81"/>
    <w:rsid w:val="008856D8"/>
    <w:rsid w:val="00892E82"/>
    <w:rsid w:val="00897415"/>
    <w:rsid w:val="008A7B26"/>
    <w:rsid w:val="008B44C2"/>
    <w:rsid w:val="008B6A2E"/>
    <w:rsid w:val="008B7F3B"/>
    <w:rsid w:val="008C1B58"/>
    <w:rsid w:val="008C39AE"/>
    <w:rsid w:val="008C590D"/>
    <w:rsid w:val="008C6ADB"/>
    <w:rsid w:val="008D0AC3"/>
    <w:rsid w:val="008E031B"/>
    <w:rsid w:val="008E7029"/>
    <w:rsid w:val="008E7EF6"/>
    <w:rsid w:val="008F0478"/>
    <w:rsid w:val="008F138F"/>
    <w:rsid w:val="008F1F98"/>
    <w:rsid w:val="008F5D93"/>
    <w:rsid w:val="008F6758"/>
    <w:rsid w:val="00901F00"/>
    <w:rsid w:val="00901FCE"/>
    <w:rsid w:val="009040DD"/>
    <w:rsid w:val="00905B47"/>
    <w:rsid w:val="009103EF"/>
    <w:rsid w:val="00910497"/>
    <w:rsid w:val="00911E47"/>
    <w:rsid w:val="0091331C"/>
    <w:rsid w:val="00914002"/>
    <w:rsid w:val="00915C53"/>
    <w:rsid w:val="009174FD"/>
    <w:rsid w:val="009201D6"/>
    <w:rsid w:val="0092670E"/>
    <w:rsid w:val="00926917"/>
    <w:rsid w:val="009269C4"/>
    <w:rsid w:val="009279DE"/>
    <w:rsid w:val="00930116"/>
    <w:rsid w:val="0094212C"/>
    <w:rsid w:val="0094666E"/>
    <w:rsid w:val="00954689"/>
    <w:rsid w:val="009551D1"/>
    <w:rsid w:val="00956966"/>
    <w:rsid w:val="009617C9"/>
    <w:rsid w:val="00961C93"/>
    <w:rsid w:val="00965324"/>
    <w:rsid w:val="00966740"/>
    <w:rsid w:val="0097047A"/>
    <w:rsid w:val="0097091E"/>
    <w:rsid w:val="009760D3"/>
    <w:rsid w:val="00977132"/>
    <w:rsid w:val="009776B8"/>
    <w:rsid w:val="0097776E"/>
    <w:rsid w:val="00981A4B"/>
    <w:rsid w:val="00982501"/>
    <w:rsid w:val="0098642A"/>
    <w:rsid w:val="009877D3"/>
    <w:rsid w:val="00990E49"/>
    <w:rsid w:val="00994E8F"/>
    <w:rsid w:val="009951DC"/>
    <w:rsid w:val="009959BB"/>
    <w:rsid w:val="00997158"/>
    <w:rsid w:val="009A1D0B"/>
    <w:rsid w:val="009A3A7C"/>
    <w:rsid w:val="009A7D1B"/>
    <w:rsid w:val="009B090E"/>
    <w:rsid w:val="009B2ADB"/>
    <w:rsid w:val="009B460D"/>
    <w:rsid w:val="009B5586"/>
    <w:rsid w:val="009B603A"/>
    <w:rsid w:val="009B7AE1"/>
    <w:rsid w:val="009C0C53"/>
    <w:rsid w:val="009C2D0E"/>
    <w:rsid w:val="009C3DAC"/>
    <w:rsid w:val="009C42E0"/>
    <w:rsid w:val="009D2E9E"/>
    <w:rsid w:val="009D4630"/>
    <w:rsid w:val="009D5362"/>
    <w:rsid w:val="009E1415"/>
    <w:rsid w:val="009E5FCB"/>
    <w:rsid w:val="009E6116"/>
    <w:rsid w:val="009F2572"/>
    <w:rsid w:val="00A02E43"/>
    <w:rsid w:val="00A05B4A"/>
    <w:rsid w:val="00A065F9"/>
    <w:rsid w:val="00A07F34"/>
    <w:rsid w:val="00A11020"/>
    <w:rsid w:val="00A22154"/>
    <w:rsid w:val="00A23159"/>
    <w:rsid w:val="00A25C38"/>
    <w:rsid w:val="00A27AAE"/>
    <w:rsid w:val="00A35933"/>
    <w:rsid w:val="00A36BBE"/>
    <w:rsid w:val="00A40AC4"/>
    <w:rsid w:val="00A4307A"/>
    <w:rsid w:val="00A47178"/>
    <w:rsid w:val="00A47EBB"/>
    <w:rsid w:val="00A51CDD"/>
    <w:rsid w:val="00A529C1"/>
    <w:rsid w:val="00A55F08"/>
    <w:rsid w:val="00A62DE4"/>
    <w:rsid w:val="00A6730D"/>
    <w:rsid w:val="00A71625"/>
    <w:rsid w:val="00A71B9B"/>
    <w:rsid w:val="00A738F3"/>
    <w:rsid w:val="00A751C7"/>
    <w:rsid w:val="00A758B9"/>
    <w:rsid w:val="00A76AE7"/>
    <w:rsid w:val="00A87844"/>
    <w:rsid w:val="00A92996"/>
    <w:rsid w:val="00A933B6"/>
    <w:rsid w:val="00AA038C"/>
    <w:rsid w:val="00AA3CA7"/>
    <w:rsid w:val="00AA7A09"/>
    <w:rsid w:val="00AA7ED9"/>
    <w:rsid w:val="00AB3B50"/>
    <w:rsid w:val="00AC05B1"/>
    <w:rsid w:val="00AD233B"/>
    <w:rsid w:val="00AD3565"/>
    <w:rsid w:val="00AD356C"/>
    <w:rsid w:val="00AE2914"/>
    <w:rsid w:val="00AE6D15"/>
    <w:rsid w:val="00B01DA8"/>
    <w:rsid w:val="00B04182"/>
    <w:rsid w:val="00B05833"/>
    <w:rsid w:val="00B07AE3"/>
    <w:rsid w:val="00B11430"/>
    <w:rsid w:val="00B12535"/>
    <w:rsid w:val="00B17243"/>
    <w:rsid w:val="00B26154"/>
    <w:rsid w:val="00B303D8"/>
    <w:rsid w:val="00B34825"/>
    <w:rsid w:val="00B353EB"/>
    <w:rsid w:val="00B35833"/>
    <w:rsid w:val="00B439C4"/>
    <w:rsid w:val="00B4535E"/>
    <w:rsid w:val="00B45414"/>
    <w:rsid w:val="00B52A8C"/>
    <w:rsid w:val="00B61FF2"/>
    <w:rsid w:val="00B636A8"/>
    <w:rsid w:val="00B65CE7"/>
    <w:rsid w:val="00B665C6"/>
    <w:rsid w:val="00B70D5D"/>
    <w:rsid w:val="00B72576"/>
    <w:rsid w:val="00B736F8"/>
    <w:rsid w:val="00B80097"/>
    <w:rsid w:val="00B805AF"/>
    <w:rsid w:val="00B869EC"/>
    <w:rsid w:val="00B9397A"/>
    <w:rsid w:val="00B9633D"/>
    <w:rsid w:val="00B965B9"/>
    <w:rsid w:val="00BA2EBE"/>
    <w:rsid w:val="00BB0F28"/>
    <w:rsid w:val="00BB2A9F"/>
    <w:rsid w:val="00BB458A"/>
    <w:rsid w:val="00BB5A2B"/>
    <w:rsid w:val="00BC2D46"/>
    <w:rsid w:val="00BD00D3"/>
    <w:rsid w:val="00BD01CB"/>
    <w:rsid w:val="00BD0B97"/>
    <w:rsid w:val="00BD1659"/>
    <w:rsid w:val="00BD3AA9"/>
    <w:rsid w:val="00BD414B"/>
    <w:rsid w:val="00BD4A18"/>
    <w:rsid w:val="00BD6DB2"/>
    <w:rsid w:val="00BE11CF"/>
    <w:rsid w:val="00BE1AAD"/>
    <w:rsid w:val="00BE21AB"/>
    <w:rsid w:val="00BE3AAC"/>
    <w:rsid w:val="00BE55CB"/>
    <w:rsid w:val="00BF617A"/>
    <w:rsid w:val="00C0027C"/>
    <w:rsid w:val="00C0379D"/>
    <w:rsid w:val="00C03931"/>
    <w:rsid w:val="00C042AB"/>
    <w:rsid w:val="00C05FE3"/>
    <w:rsid w:val="00C128C7"/>
    <w:rsid w:val="00C2136D"/>
    <w:rsid w:val="00C214EE"/>
    <w:rsid w:val="00C2314B"/>
    <w:rsid w:val="00C24971"/>
    <w:rsid w:val="00C25322"/>
    <w:rsid w:val="00C26BE5"/>
    <w:rsid w:val="00C26E4D"/>
    <w:rsid w:val="00C27909"/>
    <w:rsid w:val="00C27B03"/>
    <w:rsid w:val="00C314E1"/>
    <w:rsid w:val="00C32C07"/>
    <w:rsid w:val="00C3436C"/>
    <w:rsid w:val="00C34397"/>
    <w:rsid w:val="00C37B9B"/>
    <w:rsid w:val="00C4095D"/>
    <w:rsid w:val="00C46FFC"/>
    <w:rsid w:val="00C57465"/>
    <w:rsid w:val="00C601D2"/>
    <w:rsid w:val="00C60EC8"/>
    <w:rsid w:val="00C65BCC"/>
    <w:rsid w:val="00C66970"/>
    <w:rsid w:val="00C72D53"/>
    <w:rsid w:val="00C7733E"/>
    <w:rsid w:val="00C81E28"/>
    <w:rsid w:val="00C85226"/>
    <w:rsid w:val="00C8691C"/>
    <w:rsid w:val="00C96026"/>
    <w:rsid w:val="00CA168A"/>
    <w:rsid w:val="00CA357E"/>
    <w:rsid w:val="00CA44F9"/>
    <w:rsid w:val="00CA4A69"/>
    <w:rsid w:val="00CB0632"/>
    <w:rsid w:val="00CB301C"/>
    <w:rsid w:val="00CB577C"/>
    <w:rsid w:val="00CC3E0C"/>
    <w:rsid w:val="00CC579C"/>
    <w:rsid w:val="00CC58D3"/>
    <w:rsid w:val="00CC784D"/>
    <w:rsid w:val="00CD73F2"/>
    <w:rsid w:val="00CE53C6"/>
    <w:rsid w:val="00CF1A0D"/>
    <w:rsid w:val="00D00CA4"/>
    <w:rsid w:val="00D03332"/>
    <w:rsid w:val="00D0337B"/>
    <w:rsid w:val="00D05F4E"/>
    <w:rsid w:val="00D079B2"/>
    <w:rsid w:val="00D114E9"/>
    <w:rsid w:val="00D21EA5"/>
    <w:rsid w:val="00D3154A"/>
    <w:rsid w:val="00D33EEB"/>
    <w:rsid w:val="00D34345"/>
    <w:rsid w:val="00D429C6"/>
    <w:rsid w:val="00D4568F"/>
    <w:rsid w:val="00D46D64"/>
    <w:rsid w:val="00D47748"/>
    <w:rsid w:val="00D47F20"/>
    <w:rsid w:val="00D509EA"/>
    <w:rsid w:val="00D52C0C"/>
    <w:rsid w:val="00D54CC3"/>
    <w:rsid w:val="00D5505F"/>
    <w:rsid w:val="00D6041A"/>
    <w:rsid w:val="00D633EB"/>
    <w:rsid w:val="00D82FF7"/>
    <w:rsid w:val="00D832C2"/>
    <w:rsid w:val="00D847FE"/>
    <w:rsid w:val="00D860AB"/>
    <w:rsid w:val="00D91397"/>
    <w:rsid w:val="00D9562D"/>
    <w:rsid w:val="00D964EA"/>
    <w:rsid w:val="00D966D0"/>
    <w:rsid w:val="00DA0C59"/>
    <w:rsid w:val="00DA3991"/>
    <w:rsid w:val="00DB037A"/>
    <w:rsid w:val="00DB0AD4"/>
    <w:rsid w:val="00DB605A"/>
    <w:rsid w:val="00DB7E6C"/>
    <w:rsid w:val="00DC07E1"/>
    <w:rsid w:val="00DD32C9"/>
    <w:rsid w:val="00DD4D7C"/>
    <w:rsid w:val="00DD5A29"/>
    <w:rsid w:val="00DD5D9D"/>
    <w:rsid w:val="00DE0AF0"/>
    <w:rsid w:val="00DE35CB"/>
    <w:rsid w:val="00DF21E9"/>
    <w:rsid w:val="00E00F14"/>
    <w:rsid w:val="00E02458"/>
    <w:rsid w:val="00E059AA"/>
    <w:rsid w:val="00E06386"/>
    <w:rsid w:val="00E2049D"/>
    <w:rsid w:val="00E24EB4"/>
    <w:rsid w:val="00E320ED"/>
    <w:rsid w:val="00E33AFB"/>
    <w:rsid w:val="00E34218"/>
    <w:rsid w:val="00E34E8E"/>
    <w:rsid w:val="00E4207B"/>
    <w:rsid w:val="00E459CC"/>
    <w:rsid w:val="00E46282"/>
    <w:rsid w:val="00E5216E"/>
    <w:rsid w:val="00E611DB"/>
    <w:rsid w:val="00E70ABD"/>
    <w:rsid w:val="00E8149A"/>
    <w:rsid w:val="00E82344"/>
    <w:rsid w:val="00E84C82"/>
    <w:rsid w:val="00E84D64"/>
    <w:rsid w:val="00E87408"/>
    <w:rsid w:val="00E914C4"/>
    <w:rsid w:val="00E934F5"/>
    <w:rsid w:val="00E96961"/>
    <w:rsid w:val="00EA72EC"/>
    <w:rsid w:val="00EB11CB"/>
    <w:rsid w:val="00EB275A"/>
    <w:rsid w:val="00EB5CDA"/>
    <w:rsid w:val="00EB786A"/>
    <w:rsid w:val="00EB79E7"/>
    <w:rsid w:val="00EC1578"/>
    <w:rsid w:val="00EC1C72"/>
    <w:rsid w:val="00EC3CC9"/>
    <w:rsid w:val="00EC5316"/>
    <w:rsid w:val="00EC5F93"/>
    <w:rsid w:val="00EC680A"/>
    <w:rsid w:val="00ED0DFA"/>
    <w:rsid w:val="00ED35A4"/>
    <w:rsid w:val="00ED3A2B"/>
    <w:rsid w:val="00ED5078"/>
    <w:rsid w:val="00ED699F"/>
    <w:rsid w:val="00EE2BED"/>
    <w:rsid w:val="00EE374B"/>
    <w:rsid w:val="00EE46AE"/>
    <w:rsid w:val="00EE6E2C"/>
    <w:rsid w:val="00EF42A6"/>
    <w:rsid w:val="00F11BB5"/>
    <w:rsid w:val="00F1417B"/>
    <w:rsid w:val="00F15363"/>
    <w:rsid w:val="00F1689B"/>
    <w:rsid w:val="00F169F2"/>
    <w:rsid w:val="00F3371B"/>
    <w:rsid w:val="00F34B99"/>
    <w:rsid w:val="00F378D0"/>
    <w:rsid w:val="00F4757E"/>
    <w:rsid w:val="00F52DAB"/>
    <w:rsid w:val="00F543F0"/>
    <w:rsid w:val="00F66E04"/>
    <w:rsid w:val="00F705DD"/>
    <w:rsid w:val="00F8078F"/>
    <w:rsid w:val="00F818A7"/>
    <w:rsid w:val="00F81D29"/>
    <w:rsid w:val="00F91C4D"/>
    <w:rsid w:val="00F92FD9"/>
    <w:rsid w:val="00FA1ACA"/>
    <w:rsid w:val="00FA29C5"/>
    <w:rsid w:val="00FA3EF5"/>
    <w:rsid w:val="00FA6684"/>
    <w:rsid w:val="00FA731E"/>
    <w:rsid w:val="00FB2B38"/>
    <w:rsid w:val="00FB5033"/>
    <w:rsid w:val="00FB768C"/>
    <w:rsid w:val="00FC618D"/>
    <w:rsid w:val="00FC6358"/>
    <w:rsid w:val="00FD320D"/>
    <w:rsid w:val="00FD3605"/>
    <w:rsid w:val="00FE23DE"/>
    <w:rsid w:val="00FF2A7A"/>
    <w:rsid w:val="011430C0"/>
    <w:rsid w:val="018C152A"/>
    <w:rsid w:val="03CD109D"/>
    <w:rsid w:val="04A87B8B"/>
    <w:rsid w:val="05816019"/>
    <w:rsid w:val="05F477B7"/>
    <w:rsid w:val="071172F8"/>
    <w:rsid w:val="072938BC"/>
    <w:rsid w:val="075449B1"/>
    <w:rsid w:val="075E75DE"/>
    <w:rsid w:val="083A0335"/>
    <w:rsid w:val="08646E76"/>
    <w:rsid w:val="08AF5DD8"/>
    <w:rsid w:val="09763FE4"/>
    <w:rsid w:val="0B4B550C"/>
    <w:rsid w:val="0B61157E"/>
    <w:rsid w:val="0BFA390D"/>
    <w:rsid w:val="0C4B324E"/>
    <w:rsid w:val="0CC25F19"/>
    <w:rsid w:val="0CEF5D97"/>
    <w:rsid w:val="0D174332"/>
    <w:rsid w:val="0EAA193B"/>
    <w:rsid w:val="0EE23A80"/>
    <w:rsid w:val="0EEA7E53"/>
    <w:rsid w:val="11242651"/>
    <w:rsid w:val="11703FAF"/>
    <w:rsid w:val="11B84DF3"/>
    <w:rsid w:val="1295124C"/>
    <w:rsid w:val="12BB6B70"/>
    <w:rsid w:val="147F45E5"/>
    <w:rsid w:val="154741BF"/>
    <w:rsid w:val="168E180C"/>
    <w:rsid w:val="17681DB3"/>
    <w:rsid w:val="17BEDEC0"/>
    <w:rsid w:val="17D13FA2"/>
    <w:rsid w:val="17E75C97"/>
    <w:rsid w:val="186B09CA"/>
    <w:rsid w:val="18E330A5"/>
    <w:rsid w:val="19421AF3"/>
    <w:rsid w:val="19A43221"/>
    <w:rsid w:val="19A81CB4"/>
    <w:rsid w:val="19B915F8"/>
    <w:rsid w:val="19C42BAA"/>
    <w:rsid w:val="19D131D2"/>
    <w:rsid w:val="19ED59E3"/>
    <w:rsid w:val="1A5F56EF"/>
    <w:rsid w:val="1B3A723A"/>
    <w:rsid w:val="1B8452D7"/>
    <w:rsid w:val="1BA875D4"/>
    <w:rsid w:val="1DF60C24"/>
    <w:rsid w:val="1E4237DD"/>
    <w:rsid w:val="1E4606D5"/>
    <w:rsid w:val="1E8F40C9"/>
    <w:rsid w:val="1EAC6902"/>
    <w:rsid w:val="1ED531AF"/>
    <w:rsid w:val="1F2A1205"/>
    <w:rsid w:val="1F7D701D"/>
    <w:rsid w:val="1F885AEF"/>
    <w:rsid w:val="1FBFA108"/>
    <w:rsid w:val="1FE20F7B"/>
    <w:rsid w:val="1FEFA73F"/>
    <w:rsid w:val="1FF7E849"/>
    <w:rsid w:val="1FFE5FEE"/>
    <w:rsid w:val="205D442E"/>
    <w:rsid w:val="20EB1A8B"/>
    <w:rsid w:val="20FC540D"/>
    <w:rsid w:val="222B73B3"/>
    <w:rsid w:val="22CC1448"/>
    <w:rsid w:val="22EE0732"/>
    <w:rsid w:val="23B32F2D"/>
    <w:rsid w:val="24940192"/>
    <w:rsid w:val="25284930"/>
    <w:rsid w:val="25CA1676"/>
    <w:rsid w:val="25F6309F"/>
    <w:rsid w:val="25FE400E"/>
    <w:rsid w:val="26A036C6"/>
    <w:rsid w:val="27D960A5"/>
    <w:rsid w:val="298A3E0B"/>
    <w:rsid w:val="2A574C09"/>
    <w:rsid w:val="2AF21D84"/>
    <w:rsid w:val="2B22130A"/>
    <w:rsid w:val="2B5C7036"/>
    <w:rsid w:val="2B7F675F"/>
    <w:rsid w:val="2BB94533"/>
    <w:rsid w:val="2D012636"/>
    <w:rsid w:val="2D6B2D3A"/>
    <w:rsid w:val="2D787AC9"/>
    <w:rsid w:val="2DB905BE"/>
    <w:rsid w:val="2EDE49DD"/>
    <w:rsid w:val="2EE79A49"/>
    <w:rsid w:val="2FFE6E15"/>
    <w:rsid w:val="30977539"/>
    <w:rsid w:val="316F0C5E"/>
    <w:rsid w:val="327D5B5F"/>
    <w:rsid w:val="329F1D49"/>
    <w:rsid w:val="32D02BEB"/>
    <w:rsid w:val="331B5584"/>
    <w:rsid w:val="33DFF8F7"/>
    <w:rsid w:val="353BF113"/>
    <w:rsid w:val="353F1275"/>
    <w:rsid w:val="35B244CD"/>
    <w:rsid w:val="36F75BC2"/>
    <w:rsid w:val="37434788"/>
    <w:rsid w:val="378765C5"/>
    <w:rsid w:val="37D74657"/>
    <w:rsid w:val="37E4351D"/>
    <w:rsid w:val="37F6D891"/>
    <w:rsid w:val="37F7CA95"/>
    <w:rsid w:val="38D12A54"/>
    <w:rsid w:val="38F2046B"/>
    <w:rsid w:val="392F17AB"/>
    <w:rsid w:val="394E0B17"/>
    <w:rsid w:val="395D3BC4"/>
    <w:rsid w:val="39BF4E37"/>
    <w:rsid w:val="3A7601BF"/>
    <w:rsid w:val="3A9C6B2F"/>
    <w:rsid w:val="3AB27D34"/>
    <w:rsid w:val="3BB79C7A"/>
    <w:rsid w:val="3BE7E76B"/>
    <w:rsid w:val="3BFD138B"/>
    <w:rsid w:val="3CA906B7"/>
    <w:rsid w:val="3CCD471F"/>
    <w:rsid w:val="3CF4B372"/>
    <w:rsid w:val="3D768775"/>
    <w:rsid w:val="3DC54FBA"/>
    <w:rsid w:val="3E86513A"/>
    <w:rsid w:val="3E9B0C30"/>
    <w:rsid w:val="3EA370A9"/>
    <w:rsid w:val="3EFD4D0F"/>
    <w:rsid w:val="3EFD5C2F"/>
    <w:rsid w:val="3F3B6ABC"/>
    <w:rsid w:val="3F6BE8CE"/>
    <w:rsid w:val="3F718E50"/>
    <w:rsid w:val="3F76D50C"/>
    <w:rsid w:val="3F7D0027"/>
    <w:rsid w:val="3FD61A37"/>
    <w:rsid w:val="3FDC6D60"/>
    <w:rsid w:val="3FED59CF"/>
    <w:rsid w:val="3FEE24E0"/>
    <w:rsid w:val="3FEEE000"/>
    <w:rsid w:val="3FFE01B9"/>
    <w:rsid w:val="40652829"/>
    <w:rsid w:val="40FF1473"/>
    <w:rsid w:val="411150BF"/>
    <w:rsid w:val="41B16F4C"/>
    <w:rsid w:val="430C6778"/>
    <w:rsid w:val="4387757C"/>
    <w:rsid w:val="43DF200D"/>
    <w:rsid w:val="445F3A72"/>
    <w:rsid w:val="44D44A10"/>
    <w:rsid w:val="45050ABD"/>
    <w:rsid w:val="464A138F"/>
    <w:rsid w:val="46A662CB"/>
    <w:rsid w:val="473FA501"/>
    <w:rsid w:val="476B317A"/>
    <w:rsid w:val="4A066551"/>
    <w:rsid w:val="4A5A7640"/>
    <w:rsid w:val="4A90661B"/>
    <w:rsid w:val="4AA77D0E"/>
    <w:rsid w:val="4ADC2772"/>
    <w:rsid w:val="4B5F6B82"/>
    <w:rsid w:val="4BBB9640"/>
    <w:rsid w:val="4BF7716B"/>
    <w:rsid w:val="4BFF492D"/>
    <w:rsid w:val="4C2F3185"/>
    <w:rsid w:val="4C362B0B"/>
    <w:rsid w:val="4D1B4BF6"/>
    <w:rsid w:val="4D467EC5"/>
    <w:rsid w:val="4DB7491F"/>
    <w:rsid w:val="4E685C19"/>
    <w:rsid w:val="4E873D5D"/>
    <w:rsid w:val="4EA07BA7"/>
    <w:rsid w:val="4EB500DB"/>
    <w:rsid w:val="4EFF931F"/>
    <w:rsid w:val="4F77DEEF"/>
    <w:rsid w:val="4FBA9BB8"/>
    <w:rsid w:val="4FDCBBFA"/>
    <w:rsid w:val="4FEBB8A8"/>
    <w:rsid w:val="50E91017"/>
    <w:rsid w:val="519E5272"/>
    <w:rsid w:val="51C61425"/>
    <w:rsid w:val="52756B57"/>
    <w:rsid w:val="53E3376D"/>
    <w:rsid w:val="53F61577"/>
    <w:rsid w:val="540C7047"/>
    <w:rsid w:val="5475496B"/>
    <w:rsid w:val="54DF4431"/>
    <w:rsid w:val="5516FC44"/>
    <w:rsid w:val="55390EB8"/>
    <w:rsid w:val="554F0649"/>
    <w:rsid w:val="56116B96"/>
    <w:rsid w:val="56777A5B"/>
    <w:rsid w:val="56CC6F8C"/>
    <w:rsid w:val="56DB28FA"/>
    <w:rsid w:val="56F6006A"/>
    <w:rsid w:val="570C6B15"/>
    <w:rsid w:val="571302D9"/>
    <w:rsid w:val="57C7BFD9"/>
    <w:rsid w:val="57D7883B"/>
    <w:rsid w:val="580924CF"/>
    <w:rsid w:val="58BD21A3"/>
    <w:rsid w:val="59FE05B0"/>
    <w:rsid w:val="5A37BAA7"/>
    <w:rsid w:val="5A3F0F94"/>
    <w:rsid w:val="5B6927A3"/>
    <w:rsid w:val="5B6E0B14"/>
    <w:rsid w:val="5B9FEEFD"/>
    <w:rsid w:val="5BA26922"/>
    <w:rsid w:val="5BBF245D"/>
    <w:rsid w:val="5C502193"/>
    <w:rsid w:val="5C533830"/>
    <w:rsid w:val="5C870281"/>
    <w:rsid w:val="5CAB6A70"/>
    <w:rsid w:val="5CCE1101"/>
    <w:rsid w:val="5CCEE7A1"/>
    <w:rsid w:val="5CEF4510"/>
    <w:rsid w:val="5D2D4D36"/>
    <w:rsid w:val="5D534E5C"/>
    <w:rsid w:val="5D8D2FA6"/>
    <w:rsid w:val="5E69593F"/>
    <w:rsid w:val="5E732FCB"/>
    <w:rsid w:val="5EB61B49"/>
    <w:rsid w:val="5EDC2E85"/>
    <w:rsid w:val="5EFFE5A3"/>
    <w:rsid w:val="5F354FCC"/>
    <w:rsid w:val="5F4EB3AD"/>
    <w:rsid w:val="5F5812A1"/>
    <w:rsid w:val="5F7F87AF"/>
    <w:rsid w:val="5F8C681E"/>
    <w:rsid w:val="5FB5560F"/>
    <w:rsid w:val="5FBF8BF8"/>
    <w:rsid w:val="5FBFCC85"/>
    <w:rsid w:val="5FC53F03"/>
    <w:rsid w:val="5FD783DC"/>
    <w:rsid w:val="5FD7E5A2"/>
    <w:rsid w:val="5FDB5C37"/>
    <w:rsid w:val="5FE5747F"/>
    <w:rsid w:val="5FED8CBF"/>
    <w:rsid w:val="5FF775E2"/>
    <w:rsid w:val="5FFAE202"/>
    <w:rsid w:val="5FFF26CD"/>
    <w:rsid w:val="5FFF2F30"/>
    <w:rsid w:val="5FFF9FC9"/>
    <w:rsid w:val="60602BF4"/>
    <w:rsid w:val="61740D5B"/>
    <w:rsid w:val="61A364CC"/>
    <w:rsid w:val="61F25BC1"/>
    <w:rsid w:val="62130DE2"/>
    <w:rsid w:val="629633D0"/>
    <w:rsid w:val="62D73B0C"/>
    <w:rsid w:val="62E8530F"/>
    <w:rsid w:val="62EA4535"/>
    <w:rsid w:val="632D4257"/>
    <w:rsid w:val="63946FB6"/>
    <w:rsid w:val="64FF0C2E"/>
    <w:rsid w:val="66A63D78"/>
    <w:rsid w:val="66FA7027"/>
    <w:rsid w:val="670536A6"/>
    <w:rsid w:val="67403620"/>
    <w:rsid w:val="6759214B"/>
    <w:rsid w:val="6769221B"/>
    <w:rsid w:val="677F5E13"/>
    <w:rsid w:val="677F954D"/>
    <w:rsid w:val="67EEF77C"/>
    <w:rsid w:val="67F7942A"/>
    <w:rsid w:val="67FA7653"/>
    <w:rsid w:val="68073BB2"/>
    <w:rsid w:val="68B27D65"/>
    <w:rsid w:val="69124CA8"/>
    <w:rsid w:val="69983A0D"/>
    <w:rsid w:val="69E9AA42"/>
    <w:rsid w:val="6A9D10D8"/>
    <w:rsid w:val="6AEE5674"/>
    <w:rsid w:val="6AF79A02"/>
    <w:rsid w:val="6BAE9099"/>
    <w:rsid w:val="6BAF543B"/>
    <w:rsid w:val="6C30048E"/>
    <w:rsid w:val="6C465394"/>
    <w:rsid w:val="6CD51C5E"/>
    <w:rsid w:val="6D17189C"/>
    <w:rsid w:val="6D6FB125"/>
    <w:rsid w:val="6DB066B4"/>
    <w:rsid w:val="6DB78655"/>
    <w:rsid w:val="6DE07122"/>
    <w:rsid w:val="6E9315D8"/>
    <w:rsid w:val="6F3FC2D2"/>
    <w:rsid w:val="6F55DFE8"/>
    <w:rsid w:val="6FAE5E2D"/>
    <w:rsid w:val="6FDE2A8E"/>
    <w:rsid w:val="6FEE2B7A"/>
    <w:rsid w:val="6FFFCD7E"/>
    <w:rsid w:val="712E57E3"/>
    <w:rsid w:val="720E25EB"/>
    <w:rsid w:val="723E7657"/>
    <w:rsid w:val="727D476A"/>
    <w:rsid w:val="727F480A"/>
    <w:rsid w:val="729F9021"/>
    <w:rsid w:val="72A16565"/>
    <w:rsid w:val="72A1656F"/>
    <w:rsid w:val="72DC25AE"/>
    <w:rsid w:val="737D7C5A"/>
    <w:rsid w:val="73896C46"/>
    <w:rsid w:val="73BDF28E"/>
    <w:rsid w:val="74401F7F"/>
    <w:rsid w:val="744321B9"/>
    <w:rsid w:val="751D7DBC"/>
    <w:rsid w:val="752E4C17"/>
    <w:rsid w:val="75324E28"/>
    <w:rsid w:val="753F0677"/>
    <w:rsid w:val="758515FA"/>
    <w:rsid w:val="75B31E67"/>
    <w:rsid w:val="75B7C825"/>
    <w:rsid w:val="75BA2E02"/>
    <w:rsid w:val="75BE4DDD"/>
    <w:rsid w:val="75FD03F4"/>
    <w:rsid w:val="75FED2C4"/>
    <w:rsid w:val="7666841C"/>
    <w:rsid w:val="76BBDFBA"/>
    <w:rsid w:val="76BF9ECF"/>
    <w:rsid w:val="76DF330F"/>
    <w:rsid w:val="773F927D"/>
    <w:rsid w:val="77676A20"/>
    <w:rsid w:val="779D6084"/>
    <w:rsid w:val="77AAA13B"/>
    <w:rsid w:val="77ADA45B"/>
    <w:rsid w:val="77BF23AA"/>
    <w:rsid w:val="77BFA08F"/>
    <w:rsid w:val="77CF6050"/>
    <w:rsid w:val="77D61D22"/>
    <w:rsid w:val="77DB7558"/>
    <w:rsid w:val="77F963F5"/>
    <w:rsid w:val="77F9A364"/>
    <w:rsid w:val="787A42BD"/>
    <w:rsid w:val="78992A40"/>
    <w:rsid w:val="78F732C4"/>
    <w:rsid w:val="79036043"/>
    <w:rsid w:val="796FDD61"/>
    <w:rsid w:val="7A480DB1"/>
    <w:rsid w:val="7A6FC549"/>
    <w:rsid w:val="7A7F8825"/>
    <w:rsid w:val="7B0111B0"/>
    <w:rsid w:val="7B37F8A2"/>
    <w:rsid w:val="7B7B7AEF"/>
    <w:rsid w:val="7BB987D3"/>
    <w:rsid w:val="7BBE1752"/>
    <w:rsid w:val="7BBF89A6"/>
    <w:rsid w:val="7BBFC78A"/>
    <w:rsid w:val="7BDF2EFE"/>
    <w:rsid w:val="7BFF06C1"/>
    <w:rsid w:val="7C330DCE"/>
    <w:rsid w:val="7C6F688D"/>
    <w:rsid w:val="7C7F3E00"/>
    <w:rsid w:val="7C8F0594"/>
    <w:rsid w:val="7CF25910"/>
    <w:rsid w:val="7D0A5583"/>
    <w:rsid w:val="7D537911"/>
    <w:rsid w:val="7DAF5283"/>
    <w:rsid w:val="7DB6B7D3"/>
    <w:rsid w:val="7DC7001B"/>
    <w:rsid w:val="7DDF01C5"/>
    <w:rsid w:val="7DF5935E"/>
    <w:rsid w:val="7DF7D53C"/>
    <w:rsid w:val="7DFD5678"/>
    <w:rsid w:val="7DFF9227"/>
    <w:rsid w:val="7E1370A0"/>
    <w:rsid w:val="7E484F9C"/>
    <w:rsid w:val="7E5C4C83"/>
    <w:rsid w:val="7E8C5F4A"/>
    <w:rsid w:val="7E923553"/>
    <w:rsid w:val="7E93D165"/>
    <w:rsid w:val="7EA1645A"/>
    <w:rsid w:val="7EBBB6FB"/>
    <w:rsid w:val="7EE715AE"/>
    <w:rsid w:val="7EF03B20"/>
    <w:rsid w:val="7EFDE231"/>
    <w:rsid w:val="7EFF193F"/>
    <w:rsid w:val="7F0DBD23"/>
    <w:rsid w:val="7F1C8002"/>
    <w:rsid w:val="7F3F1EA1"/>
    <w:rsid w:val="7F571A5B"/>
    <w:rsid w:val="7F777DDD"/>
    <w:rsid w:val="7F778DBC"/>
    <w:rsid w:val="7F8B2291"/>
    <w:rsid w:val="7F923FF5"/>
    <w:rsid w:val="7F9B4357"/>
    <w:rsid w:val="7FAE2814"/>
    <w:rsid w:val="7FBBE062"/>
    <w:rsid w:val="7FBEB7EA"/>
    <w:rsid w:val="7FBF7938"/>
    <w:rsid w:val="7FC35E17"/>
    <w:rsid w:val="7FC46E7B"/>
    <w:rsid w:val="7FDD9770"/>
    <w:rsid w:val="7FE0F8D8"/>
    <w:rsid w:val="7FEBC062"/>
    <w:rsid w:val="7FEFA09C"/>
    <w:rsid w:val="7FF7DFD1"/>
    <w:rsid w:val="7FF7E467"/>
    <w:rsid w:val="7FF9BE37"/>
    <w:rsid w:val="7FFA6CD2"/>
    <w:rsid w:val="7FFB0A0B"/>
    <w:rsid w:val="7FFD1491"/>
    <w:rsid w:val="7FFE9832"/>
    <w:rsid w:val="7FFF3792"/>
    <w:rsid w:val="7FFF6E37"/>
    <w:rsid w:val="7FFF9EA5"/>
    <w:rsid w:val="8EC701F9"/>
    <w:rsid w:val="9ADF39D4"/>
    <w:rsid w:val="9BB60683"/>
    <w:rsid w:val="9D3EBDF3"/>
    <w:rsid w:val="9DD7F2D1"/>
    <w:rsid w:val="9F6D8389"/>
    <w:rsid w:val="A5DF8C53"/>
    <w:rsid w:val="A8EE8CFE"/>
    <w:rsid w:val="AB3F3160"/>
    <w:rsid w:val="ABAB20F8"/>
    <w:rsid w:val="ABAFFA38"/>
    <w:rsid w:val="AEFFA6A9"/>
    <w:rsid w:val="B3FFC2BF"/>
    <w:rsid w:val="B43E04CF"/>
    <w:rsid w:val="B5FBA294"/>
    <w:rsid w:val="B5FC0050"/>
    <w:rsid w:val="B7AFE55A"/>
    <w:rsid w:val="B7E70AD6"/>
    <w:rsid w:val="B7F9BA0C"/>
    <w:rsid w:val="B844EB5B"/>
    <w:rsid w:val="BA71753C"/>
    <w:rsid w:val="BBBBB6E2"/>
    <w:rsid w:val="BBCB363C"/>
    <w:rsid w:val="BBFD6FC4"/>
    <w:rsid w:val="BBFF136E"/>
    <w:rsid w:val="BC7DC8A8"/>
    <w:rsid w:val="BDFD99FD"/>
    <w:rsid w:val="BDFF9351"/>
    <w:rsid w:val="BEB5B626"/>
    <w:rsid w:val="BEDFBDE7"/>
    <w:rsid w:val="BEFE36A9"/>
    <w:rsid w:val="BF366FB8"/>
    <w:rsid w:val="BF37D914"/>
    <w:rsid w:val="BFD93F38"/>
    <w:rsid w:val="BFF17AEE"/>
    <w:rsid w:val="BFFF0534"/>
    <w:rsid w:val="BFFF27B0"/>
    <w:rsid w:val="BFFF3280"/>
    <w:rsid w:val="C1BFC450"/>
    <w:rsid w:val="C73B43A4"/>
    <w:rsid w:val="CCBD5D81"/>
    <w:rsid w:val="CDB7D8B9"/>
    <w:rsid w:val="CDBFFA34"/>
    <w:rsid w:val="CDFB59D1"/>
    <w:rsid w:val="CF9FE863"/>
    <w:rsid w:val="D4F544E7"/>
    <w:rsid w:val="D57FDD91"/>
    <w:rsid w:val="D6FA8A8F"/>
    <w:rsid w:val="D7BB5077"/>
    <w:rsid w:val="D9FFAB7D"/>
    <w:rsid w:val="DADEBCE5"/>
    <w:rsid w:val="DB7DA3EC"/>
    <w:rsid w:val="DBDC24B4"/>
    <w:rsid w:val="DC7EDA14"/>
    <w:rsid w:val="DDB5D592"/>
    <w:rsid w:val="DDFD9847"/>
    <w:rsid w:val="DE7F35E9"/>
    <w:rsid w:val="DEDDE723"/>
    <w:rsid w:val="DEF27A72"/>
    <w:rsid w:val="DF75C3E8"/>
    <w:rsid w:val="DF7B6304"/>
    <w:rsid w:val="DF8DC08A"/>
    <w:rsid w:val="DFBF382C"/>
    <w:rsid w:val="DFFB1304"/>
    <w:rsid w:val="DFFB7051"/>
    <w:rsid w:val="DFFD3865"/>
    <w:rsid w:val="DFFFE51F"/>
    <w:rsid w:val="E33E4836"/>
    <w:rsid w:val="E3FF71BE"/>
    <w:rsid w:val="E7AE8F7A"/>
    <w:rsid w:val="E7C3B6F4"/>
    <w:rsid w:val="EB5E0D05"/>
    <w:rsid w:val="EBD4BE48"/>
    <w:rsid w:val="EBE70DF3"/>
    <w:rsid w:val="EBF60A46"/>
    <w:rsid w:val="EBF73CAA"/>
    <w:rsid w:val="EBFF6737"/>
    <w:rsid w:val="EBFF777A"/>
    <w:rsid w:val="ED377B7B"/>
    <w:rsid w:val="EDFDDE8C"/>
    <w:rsid w:val="EEFF6487"/>
    <w:rsid w:val="EF637166"/>
    <w:rsid w:val="EF75ED13"/>
    <w:rsid w:val="EFAFFEF5"/>
    <w:rsid w:val="EFDC11E0"/>
    <w:rsid w:val="EFECBDBC"/>
    <w:rsid w:val="EFF736EB"/>
    <w:rsid w:val="EFFB2693"/>
    <w:rsid w:val="F39F54E5"/>
    <w:rsid w:val="F3FF38E7"/>
    <w:rsid w:val="F4A37EE4"/>
    <w:rsid w:val="F5A7C8A5"/>
    <w:rsid w:val="F5AB5158"/>
    <w:rsid w:val="F6FBAE4F"/>
    <w:rsid w:val="F7BF9CC5"/>
    <w:rsid w:val="F7EFC410"/>
    <w:rsid w:val="F8F671C6"/>
    <w:rsid w:val="F95AE5D0"/>
    <w:rsid w:val="FBBBF98E"/>
    <w:rsid w:val="FBDC0FC3"/>
    <w:rsid w:val="FBF7EA14"/>
    <w:rsid w:val="FBFD177B"/>
    <w:rsid w:val="FBFF0AA5"/>
    <w:rsid w:val="FBFF15B3"/>
    <w:rsid w:val="FCEB4C03"/>
    <w:rsid w:val="FCFCEEA9"/>
    <w:rsid w:val="FCFF80B8"/>
    <w:rsid w:val="FD7B032A"/>
    <w:rsid w:val="FD7DB8D2"/>
    <w:rsid w:val="FDB35D97"/>
    <w:rsid w:val="FDD65BCB"/>
    <w:rsid w:val="FDEE0097"/>
    <w:rsid w:val="FE3AE016"/>
    <w:rsid w:val="FE3FD466"/>
    <w:rsid w:val="FE9F6274"/>
    <w:rsid w:val="FEDD1634"/>
    <w:rsid w:val="FEFA1EB8"/>
    <w:rsid w:val="FF1C1AB3"/>
    <w:rsid w:val="FF2E3D85"/>
    <w:rsid w:val="FF3FD125"/>
    <w:rsid w:val="FF5F1445"/>
    <w:rsid w:val="FF6C9B3A"/>
    <w:rsid w:val="FF6FAE72"/>
    <w:rsid w:val="FF7D18DE"/>
    <w:rsid w:val="FF7F1A1F"/>
    <w:rsid w:val="FF7F4874"/>
    <w:rsid w:val="FF7FC562"/>
    <w:rsid w:val="FF7FEAFE"/>
    <w:rsid w:val="FF90B2D1"/>
    <w:rsid w:val="FF9DBC46"/>
    <w:rsid w:val="FFAEBEB2"/>
    <w:rsid w:val="FFBDA77C"/>
    <w:rsid w:val="FFBE1F58"/>
    <w:rsid w:val="FFBF8FAA"/>
    <w:rsid w:val="FFBF9C5A"/>
    <w:rsid w:val="FFBFDEF1"/>
    <w:rsid w:val="FFDD40DA"/>
    <w:rsid w:val="FFE9547C"/>
    <w:rsid w:val="FFF4C6AA"/>
    <w:rsid w:val="FFF5566E"/>
    <w:rsid w:val="FFF71B17"/>
    <w:rsid w:val="FFF7534D"/>
    <w:rsid w:val="FFF7A93B"/>
    <w:rsid w:val="FFFBD57C"/>
    <w:rsid w:val="FFFDBD57"/>
    <w:rsid w:val="FFFE6206"/>
    <w:rsid w:val="FFFF2656"/>
    <w:rsid w:val="FFFFEE3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5"/>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37">
    <w:name w:val="Default Paragraph Font"/>
    <w:semiHidden/>
    <w:uiPriority w:val="0"/>
  </w:style>
  <w:style w:type="table" w:default="1" w:styleId="35">
    <w:name w:val="Normal Table"/>
    <w:semiHidden/>
    <w:uiPriority w:val="0"/>
    <w:tblPr>
      <w:tblCellMar>
        <w:top w:w="0" w:type="dxa"/>
        <w:left w:w="108" w:type="dxa"/>
        <w:bottom w:w="0" w:type="dxa"/>
        <w:right w:w="108" w:type="dxa"/>
      </w:tblCellMar>
    </w:tblPr>
  </w:style>
  <w:style w:type="paragraph" w:styleId="4">
    <w:name w:val="toc 7"/>
    <w:basedOn w:val="1"/>
    <w:next w:val="1"/>
    <w:semiHidden/>
    <w:uiPriority w:val="0"/>
    <w:pPr>
      <w:tabs>
        <w:tab w:val="right" w:leader="dot" w:pos="9242"/>
      </w:tabs>
      <w:suppressAutoHyphens w:val="0"/>
      <w:ind w:firstLine="1050" w:firstLineChars="500"/>
      <w:jc w:val="left"/>
    </w:pPr>
    <w:rPr>
      <w:rFonts w:ascii="宋体"/>
      <w:szCs w:val="21"/>
    </w:rPr>
  </w:style>
  <w:style w:type="paragraph" w:styleId="5">
    <w:name w:val="index 8"/>
    <w:basedOn w:val="1"/>
    <w:next w:val="1"/>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uiPriority w:val="0"/>
    <w:pPr>
      <w:ind w:left="1050" w:hanging="210"/>
      <w:jc w:val="left"/>
    </w:pPr>
    <w:rPr>
      <w:rFonts w:ascii="Calibri" w:hAnsi="Calibri"/>
      <w:sz w:val="20"/>
      <w:szCs w:val="20"/>
    </w:rPr>
  </w:style>
  <w:style w:type="paragraph" w:styleId="8">
    <w:name w:val="Document Map"/>
    <w:basedOn w:val="1"/>
    <w:semiHidden/>
    <w:uiPriority w:val="0"/>
    <w:pPr>
      <w:shd w:val="clear" w:color="auto" w:fill="000080"/>
    </w:pPr>
  </w:style>
  <w:style w:type="paragraph" w:styleId="9">
    <w:name w:val="annotation text"/>
    <w:basedOn w:val="1"/>
    <w:link w:val="46"/>
    <w:uiPriority w:val="0"/>
    <w:pPr>
      <w:jc w:val="left"/>
    </w:pPr>
  </w:style>
  <w:style w:type="paragraph" w:styleId="10">
    <w:name w:val="index 6"/>
    <w:basedOn w:val="1"/>
    <w:next w:val="1"/>
    <w:uiPriority w:val="0"/>
    <w:pPr>
      <w:ind w:left="1260" w:hanging="210"/>
      <w:jc w:val="left"/>
    </w:pPr>
    <w:rPr>
      <w:rFonts w:ascii="Calibri" w:hAnsi="Calibri"/>
      <w:sz w:val="20"/>
      <w:szCs w:val="20"/>
    </w:rPr>
  </w:style>
  <w:style w:type="paragraph" w:styleId="11">
    <w:name w:val="Body Text"/>
    <w:basedOn w:val="1"/>
    <w:uiPriority w:val="0"/>
    <w:pPr>
      <w:spacing w:after="120"/>
    </w:pPr>
  </w:style>
  <w:style w:type="paragraph" w:styleId="12">
    <w:name w:val="index 4"/>
    <w:basedOn w:val="1"/>
    <w:next w:val="1"/>
    <w:uiPriority w:val="0"/>
    <w:pPr>
      <w:ind w:left="840" w:hanging="210"/>
      <w:jc w:val="left"/>
    </w:pPr>
    <w:rPr>
      <w:rFonts w:ascii="Calibri" w:hAnsi="Calibri"/>
      <w:sz w:val="20"/>
      <w:szCs w:val="20"/>
    </w:rPr>
  </w:style>
  <w:style w:type="paragraph" w:styleId="13">
    <w:name w:val="toc 5"/>
    <w:basedOn w:val="1"/>
    <w:next w:val="1"/>
    <w:semiHidden/>
    <w:uiPriority w:val="0"/>
    <w:pPr>
      <w:tabs>
        <w:tab w:val="right" w:leader="dot" w:pos="9242"/>
      </w:tabs>
      <w:suppressAutoHyphens w:val="0"/>
      <w:ind w:firstLine="630" w:firstLineChars="300"/>
      <w:jc w:val="left"/>
    </w:pPr>
    <w:rPr>
      <w:rFonts w:ascii="宋体"/>
      <w:szCs w:val="21"/>
    </w:rPr>
  </w:style>
  <w:style w:type="paragraph" w:styleId="14">
    <w:name w:val="toc 3"/>
    <w:basedOn w:val="1"/>
    <w:next w:val="1"/>
    <w:uiPriority w:val="39"/>
    <w:pPr>
      <w:tabs>
        <w:tab w:val="right" w:leader="dot" w:pos="9242"/>
      </w:tabs>
      <w:suppressAutoHyphens w:val="0"/>
      <w:ind w:firstLine="210" w:firstLineChars="100"/>
      <w:jc w:val="left"/>
    </w:pPr>
    <w:rPr>
      <w:rFonts w:ascii="宋体"/>
      <w:szCs w:val="21"/>
    </w:rPr>
  </w:style>
  <w:style w:type="paragraph" w:styleId="15">
    <w:name w:val="Plain Text"/>
    <w:basedOn w:val="1"/>
    <w:uiPriority w:val="0"/>
    <w:rPr>
      <w:rFonts w:ascii="宋体" w:hAnsi="Courier New" w:cs="Courier New"/>
      <w:szCs w:val="21"/>
    </w:rPr>
  </w:style>
  <w:style w:type="paragraph" w:styleId="16">
    <w:name w:val="toc 8"/>
    <w:basedOn w:val="1"/>
    <w:next w:val="1"/>
    <w:semiHidden/>
    <w:uiPriority w:val="0"/>
    <w:pPr>
      <w:tabs>
        <w:tab w:val="right" w:leader="dot" w:pos="9242"/>
      </w:tabs>
      <w:suppressAutoHyphens w:val="0"/>
      <w:ind w:firstLine="1260" w:firstLineChars="600"/>
      <w:jc w:val="left"/>
    </w:pPr>
    <w:rPr>
      <w:rFonts w:ascii="宋体"/>
      <w:szCs w:val="21"/>
    </w:rPr>
  </w:style>
  <w:style w:type="paragraph" w:styleId="17">
    <w:name w:val="index 3"/>
    <w:basedOn w:val="1"/>
    <w:next w:val="1"/>
    <w:uiPriority w:val="0"/>
    <w:pPr>
      <w:ind w:left="630" w:hanging="210"/>
      <w:jc w:val="left"/>
    </w:pPr>
    <w:rPr>
      <w:rFonts w:ascii="Calibri" w:hAnsi="Calibri"/>
      <w:sz w:val="20"/>
      <w:szCs w:val="20"/>
    </w:rPr>
  </w:style>
  <w:style w:type="paragraph" w:styleId="18">
    <w:name w:val="endnote text"/>
    <w:basedOn w:val="1"/>
    <w:semiHidden/>
    <w:uiPriority w:val="0"/>
    <w:pPr>
      <w:snapToGrid w:val="0"/>
      <w:jc w:val="left"/>
    </w:pPr>
  </w:style>
  <w:style w:type="paragraph" w:styleId="19">
    <w:name w:val="footer"/>
    <w:basedOn w:val="1"/>
    <w:link w:val="47"/>
    <w:uiPriority w:val="99"/>
    <w:pPr>
      <w:snapToGrid w:val="0"/>
      <w:ind w:right="210" w:rightChars="100"/>
      <w:jc w:val="right"/>
    </w:pPr>
    <w:rPr>
      <w:sz w:val="18"/>
      <w:szCs w:val="18"/>
    </w:rPr>
  </w:style>
  <w:style w:type="paragraph" w:styleId="20">
    <w:name w:val="header"/>
    <w:basedOn w:val="1"/>
    <w:uiPriority w:val="0"/>
    <w:pPr>
      <w:snapToGrid w:val="0"/>
      <w:jc w:val="left"/>
    </w:pPr>
    <w:rPr>
      <w:sz w:val="18"/>
      <w:szCs w:val="18"/>
    </w:rPr>
  </w:style>
  <w:style w:type="paragraph" w:styleId="21">
    <w:name w:val="toc 1"/>
    <w:basedOn w:val="1"/>
    <w:next w:val="1"/>
    <w:uiPriority w:val="39"/>
    <w:pPr>
      <w:tabs>
        <w:tab w:val="right" w:leader="dot" w:pos="9242"/>
      </w:tabs>
      <w:spacing w:before="79" w:beforeLines="25" w:after="79" w:afterLines="25"/>
      <w:jc w:val="left"/>
    </w:pPr>
    <w:rPr>
      <w:rFonts w:ascii="宋体"/>
      <w:szCs w:val="21"/>
    </w:rPr>
  </w:style>
  <w:style w:type="paragraph" w:styleId="22">
    <w:name w:val="toc 4"/>
    <w:basedOn w:val="1"/>
    <w:next w:val="1"/>
    <w:semiHidden/>
    <w:uiPriority w:val="0"/>
    <w:pPr>
      <w:tabs>
        <w:tab w:val="right" w:leader="dot" w:pos="9242"/>
      </w:tabs>
      <w:suppressAutoHyphens w:val="0"/>
      <w:ind w:firstLine="420" w:firstLineChars="200"/>
      <w:jc w:val="left"/>
    </w:pPr>
    <w:rPr>
      <w:rFonts w:ascii="宋体"/>
      <w:szCs w:val="21"/>
    </w:rPr>
  </w:style>
  <w:style w:type="paragraph" w:styleId="23">
    <w:name w:val="index heading"/>
    <w:basedOn w:val="1"/>
    <w:next w:val="24"/>
    <w:uiPriority w:val="0"/>
    <w:pPr>
      <w:spacing w:before="120" w:after="120"/>
      <w:jc w:val="center"/>
    </w:pPr>
    <w:rPr>
      <w:rFonts w:ascii="Calibri" w:hAnsi="Calibri"/>
      <w:b/>
      <w:bCs/>
      <w:iCs/>
      <w:szCs w:val="20"/>
    </w:rPr>
  </w:style>
  <w:style w:type="paragraph" w:styleId="24">
    <w:name w:val="index 1"/>
    <w:basedOn w:val="1"/>
    <w:next w:val="25"/>
    <w:uiPriority w:val="0"/>
    <w:pPr>
      <w:tabs>
        <w:tab w:val="right" w:leader="dot" w:pos="9299"/>
      </w:tabs>
      <w:jc w:val="left"/>
    </w:pPr>
    <w:rPr>
      <w:rFonts w:ascii="宋体"/>
      <w:szCs w:val="21"/>
    </w:rPr>
  </w:style>
  <w:style w:type="paragraph" w:customStyle="1" w:styleId="25">
    <w:name w:val="段"/>
    <w:link w:val="4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uiPriority w:val="0"/>
    <w:pPr>
      <w:numPr>
        <w:ilvl w:val="0"/>
        <w:numId w:val="1"/>
      </w:numPr>
      <w:snapToGrid w:val="0"/>
      <w:jc w:val="left"/>
    </w:pPr>
    <w:rPr>
      <w:rFonts w:ascii="宋体"/>
      <w:sz w:val="18"/>
      <w:szCs w:val="18"/>
    </w:rPr>
  </w:style>
  <w:style w:type="paragraph" w:styleId="27">
    <w:name w:val="toc 6"/>
    <w:basedOn w:val="1"/>
    <w:next w:val="1"/>
    <w:semiHidden/>
    <w:uiPriority w:val="0"/>
    <w:pPr>
      <w:tabs>
        <w:tab w:val="right" w:leader="dot" w:pos="9242"/>
      </w:tabs>
      <w:suppressAutoHyphens w:val="0"/>
      <w:ind w:firstLine="840" w:firstLineChars="400"/>
      <w:jc w:val="left"/>
    </w:pPr>
    <w:rPr>
      <w:rFonts w:ascii="宋体"/>
      <w:szCs w:val="21"/>
    </w:rPr>
  </w:style>
  <w:style w:type="paragraph" w:styleId="28">
    <w:name w:val="index 7"/>
    <w:basedOn w:val="1"/>
    <w:next w:val="1"/>
    <w:uiPriority w:val="0"/>
    <w:pPr>
      <w:ind w:left="1470" w:hanging="210"/>
      <w:jc w:val="left"/>
    </w:pPr>
    <w:rPr>
      <w:rFonts w:ascii="Calibri" w:hAnsi="Calibri"/>
      <w:sz w:val="20"/>
      <w:szCs w:val="20"/>
    </w:rPr>
  </w:style>
  <w:style w:type="paragraph" w:styleId="29">
    <w:name w:val="index 9"/>
    <w:basedOn w:val="1"/>
    <w:next w:val="1"/>
    <w:uiPriority w:val="0"/>
    <w:pPr>
      <w:ind w:left="1890" w:hanging="210"/>
      <w:jc w:val="left"/>
    </w:pPr>
    <w:rPr>
      <w:rFonts w:ascii="Calibri" w:hAnsi="Calibri"/>
      <w:sz w:val="20"/>
      <w:szCs w:val="20"/>
    </w:rPr>
  </w:style>
  <w:style w:type="paragraph" w:styleId="30">
    <w:name w:val="toc 2"/>
    <w:basedOn w:val="1"/>
    <w:next w:val="1"/>
    <w:uiPriority w:val="39"/>
    <w:pPr>
      <w:tabs>
        <w:tab w:val="right" w:leader="dot" w:pos="9242"/>
      </w:tabs>
    </w:pPr>
    <w:rPr>
      <w:rFonts w:ascii="宋体"/>
      <w:szCs w:val="21"/>
    </w:rPr>
  </w:style>
  <w:style w:type="paragraph" w:styleId="31">
    <w:name w:val="toc 9"/>
    <w:basedOn w:val="1"/>
    <w:next w:val="1"/>
    <w:semiHidden/>
    <w:uiPriority w:val="0"/>
    <w:pPr>
      <w:ind w:left="1470"/>
      <w:jc w:val="left"/>
    </w:pPr>
    <w:rPr>
      <w:sz w:val="20"/>
      <w:szCs w:val="20"/>
    </w:rPr>
  </w:style>
  <w:style w:type="paragraph" w:styleId="32">
    <w:name w:val="index 2"/>
    <w:basedOn w:val="1"/>
    <w:next w:val="1"/>
    <w:uiPriority w:val="0"/>
    <w:pPr>
      <w:ind w:left="420" w:hanging="210"/>
      <w:jc w:val="left"/>
    </w:pPr>
    <w:rPr>
      <w:rFonts w:ascii="Calibri" w:hAnsi="Calibri"/>
      <w:sz w:val="20"/>
      <w:szCs w:val="20"/>
    </w:rPr>
  </w:style>
  <w:style w:type="paragraph" w:styleId="33">
    <w:name w:val="annotation subject"/>
    <w:basedOn w:val="9"/>
    <w:next w:val="9"/>
    <w:link w:val="49"/>
    <w:uiPriority w:val="0"/>
    <w:rPr>
      <w:b/>
      <w:bCs/>
    </w:rPr>
  </w:style>
  <w:style w:type="paragraph" w:styleId="34">
    <w:name w:val="Body Text First Indent"/>
    <w:basedOn w:val="11"/>
    <w:link w:val="50"/>
    <w:uiPriority w:val="0"/>
    <w:pPr>
      <w:tabs>
        <w:tab w:val="left" w:pos="2400"/>
      </w:tabs>
      <w:adjustRightInd w:val="0"/>
      <w:spacing w:after="0"/>
      <w:textAlignment w:val="baseline"/>
    </w:pPr>
    <w:rPr>
      <w:szCs w:val="21"/>
    </w:rPr>
  </w:style>
  <w:style w:type="table" w:styleId="36">
    <w:name w:val="Table Grid"/>
    <w:basedOn w:val="35"/>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endnote reference"/>
    <w:semiHidden/>
    <w:uiPriority w:val="0"/>
    <w:rPr>
      <w:vertAlign w:val="superscript"/>
    </w:rPr>
  </w:style>
  <w:style w:type="character" w:styleId="39">
    <w:name w:val="page number"/>
    <w:uiPriority w:val="0"/>
    <w:rPr>
      <w:rFonts w:ascii="Times New Roman" w:hAnsi="Times New Roman" w:eastAsia="宋体"/>
      <w:sz w:val="18"/>
    </w:rPr>
  </w:style>
  <w:style w:type="character" w:styleId="40">
    <w:name w:val="FollowedHyperlink"/>
    <w:uiPriority w:val="0"/>
    <w:rPr>
      <w:color w:val="800080"/>
      <w:u w:val="single"/>
    </w:rPr>
  </w:style>
  <w:style w:type="character" w:styleId="41">
    <w:name w:val="Hyperlink"/>
    <w:uiPriority w:val="99"/>
    <w:rPr>
      <w:color w:val="0000FF"/>
      <w:spacing w:val="0"/>
      <w:w w:val="100"/>
      <w:szCs w:val="21"/>
      <w:u w:val="single"/>
    </w:rPr>
  </w:style>
  <w:style w:type="character" w:styleId="42">
    <w:name w:val="annotation reference"/>
    <w:uiPriority w:val="0"/>
    <w:rPr>
      <w:sz w:val="21"/>
      <w:szCs w:val="21"/>
    </w:rPr>
  </w:style>
  <w:style w:type="character" w:styleId="43">
    <w:name w:val="footnote reference"/>
    <w:semiHidden/>
    <w:uiPriority w:val="0"/>
    <w:rPr>
      <w:vertAlign w:val="superscript"/>
    </w:rPr>
  </w:style>
  <w:style w:type="character" w:customStyle="1" w:styleId="44">
    <w:name w:val="标题 1 字符"/>
    <w:link w:val="2"/>
    <w:uiPriority w:val="0"/>
    <w:rPr>
      <w:b/>
      <w:bCs/>
      <w:kern w:val="44"/>
      <w:sz w:val="44"/>
      <w:szCs w:val="44"/>
    </w:rPr>
  </w:style>
  <w:style w:type="character" w:customStyle="1" w:styleId="45">
    <w:name w:val="标题 2 字符"/>
    <w:link w:val="3"/>
    <w:semiHidden/>
    <w:uiPriority w:val="0"/>
    <w:rPr>
      <w:rFonts w:ascii="等线 Light" w:hAnsi="等线 Light" w:eastAsia="等线 Light" w:cs="Times New Roman"/>
      <w:b/>
      <w:bCs/>
      <w:kern w:val="2"/>
      <w:sz w:val="32"/>
      <w:szCs w:val="32"/>
    </w:rPr>
  </w:style>
  <w:style w:type="character" w:customStyle="1" w:styleId="46">
    <w:name w:val="批注文字 字符"/>
    <w:link w:val="9"/>
    <w:uiPriority w:val="0"/>
    <w:rPr>
      <w:kern w:val="2"/>
      <w:sz w:val="21"/>
      <w:szCs w:val="24"/>
    </w:rPr>
  </w:style>
  <w:style w:type="character" w:customStyle="1" w:styleId="47">
    <w:name w:val="页脚 字符"/>
    <w:link w:val="19"/>
    <w:uiPriority w:val="99"/>
    <w:rPr>
      <w:kern w:val="2"/>
      <w:sz w:val="18"/>
      <w:szCs w:val="18"/>
    </w:rPr>
  </w:style>
  <w:style w:type="character" w:customStyle="1" w:styleId="48">
    <w:name w:val="段 Char"/>
    <w:link w:val="25"/>
    <w:uiPriority w:val="99"/>
    <w:rPr>
      <w:rFonts w:ascii="宋体"/>
      <w:sz w:val="21"/>
      <w:lang w:val="en-US" w:eastAsia="zh-CN" w:bidi="ar-SA"/>
    </w:rPr>
  </w:style>
  <w:style w:type="character" w:customStyle="1" w:styleId="49">
    <w:name w:val="批注主题 字符"/>
    <w:link w:val="33"/>
    <w:uiPriority w:val="0"/>
    <w:rPr>
      <w:b/>
      <w:bCs/>
      <w:kern w:val="2"/>
      <w:sz w:val="21"/>
      <w:szCs w:val="24"/>
    </w:rPr>
  </w:style>
  <w:style w:type="character" w:customStyle="1" w:styleId="50">
    <w:name w:val="正文文本首行缩进 字符"/>
    <w:link w:val="34"/>
    <w:uiPriority w:val="0"/>
    <w:rPr>
      <w:rFonts w:eastAsia="宋体"/>
      <w:kern w:val="2"/>
      <w:sz w:val="21"/>
      <w:szCs w:val="21"/>
      <w:lang w:bidi="ar-SA"/>
    </w:rPr>
  </w:style>
  <w:style w:type="character" w:customStyle="1" w:styleId="51">
    <w:name w:val="首示例 Char"/>
    <w:link w:val="52"/>
    <w:uiPriority w:val="0"/>
    <w:rPr>
      <w:rFonts w:ascii="宋体" w:hAnsi="宋体"/>
      <w:kern w:val="2"/>
      <w:sz w:val="18"/>
      <w:szCs w:val="18"/>
      <w:lang w:val="en-US" w:eastAsia="zh-CN" w:bidi="ar-SA"/>
    </w:rPr>
  </w:style>
  <w:style w:type="paragraph" w:customStyle="1" w:styleId="52">
    <w:name w:val="首示例"/>
    <w:next w:val="25"/>
    <w:link w:val="51"/>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53">
    <w:name w:val="发布"/>
    <w:uiPriority w:val="0"/>
    <w:rPr>
      <w:rFonts w:ascii="黑体" w:eastAsia="黑体"/>
      <w:spacing w:val="85"/>
      <w:w w:val="100"/>
      <w:position w:val="3"/>
      <w:sz w:val="28"/>
      <w:szCs w:val="28"/>
    </w:rPr>
  </w:style>
  <w:style w:type="character" w:customStyle="1" w:styleId="54">
    <w:name w:val="附录公式 Char"/>
    <w:link w:val="55"/>
    <w:uiPriority w:val="0"/>
    <w:rPr>
      <w:lang w:val="en-US" w:eastAsia="zh-CN" w:bidi="ar-SA"/>
    </w:rPr>
  </w:style>
  <w:style w:type="paragraph" w:customStyle="1" w:styleId="55">
    <w:name w:val="附录公式"/>
    <w:basedOn w:val="25"/>
    <w:next w:val="25"/>
    <w:link w:val="54"/>
    <w:qFormat/>
    <w:uiPriority w:val="0"/>
  </w:style>
  <w:style w:type="paragraph" w:customStyle="1" w:styleId="56">
    <w:name w:val="_Style 55"/>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57">
    <w:name w:val="示例后文字"/>
    <w:basedOn w:val="25"/>
    <w:next w:val="25"/>
    <w:qFormat/>
    <w:uiPriority w:val="0"/>
    <w:pPr>
      <w:ind w:firstLine="360"/>
    </w:pPr>
    <w:rPr>
      <w:sz w:val="18"/>
    </w:rPr>
  </w:style>
  <w:style w:type="paragraph" w:customStyle="1" w:styleId="58">
    <w:name w:val="封面一致性程度标识2"/>
    <w:basedOn w:val="59"/>
    <w:uiPriority w:val="0"/>
    <w:pPr>
      <w:framePr w:y="4469"/>
    </w:pPr>
  </w:style>
  <w:style w:type="paragraph" w:customStyle="1" w:styleId="59">
    <w:name w:val="封面一致性程度标识"/>
    <w:basedOn w:val="60"/>
    <w:uiPriority w:val="0"/>
    <w:pPr>
      <w:spacing w:before="440"/>
    </w:pPr>
    <w:rPr>
      <w:rFonts w:ascii="宋体" w:eastAsia="宋体"/>
    </w:rPr>
  </w:style>
  <w:style w:type="paragraph" w:customStyle="1" w:styleId="60">
    <w:name w:val="封面标准英文名称"/>
    <w:basedOn w:val="61"/>
    <w:uiPriority w:val="0"/>
    <w:pPr>
      <w:spacing w:before="370" w:line="400" w:lineRule="exact"/>
    </w:pPr>
    <w:rPr>
      <w:rFonts w:ascii="Times New Roman"/>
      <w:sz w:val="28"/>
      <w:szCs w:val="28"/>
    </w:rPr>
  </w:style>
  <w:style w:type="paragraph" w:customStyle="1" w:styleId="61">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2">
    <w:name w:val="一级无"/>
    <w:basedOn w:val="63"/>
    <w:uiPriority w:val="0"/>
    <w:pPr>
      <w:spacing w:before="0" w:beforeLines="0" w:after="0" w:afterLines="0"/>
    </w:pPr>
    <w:rPr>
      <w:rFonts w:ascii="宋体" w:eastAsia="宋体"/>
    </w:rPr>
  </w:style>
  <w:style w:type="paragraph" w:customStyle="1" w:styleId="63">
    <w:name w:val="一级条标题"/>
    <w:next w:val="25"/>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4">
    <w:name w:val="附录图标号"/>
    <w:basedOn w:val="1"/>
    <w:uiPriority w:val="0"/>
    <w:pPr>
      <w:keepNext/>
      <w:pageBreakBefore/>
      <w:widowControl/>
      <w:numPr>
        <w:ilvl w:val="0"/>
        <w:numId w:val="4"/>
      </w:numPr>
      <w:spacing w:line="14" w:lineRule="exact"/>
      <w:ind w:left="0" w:firstLine="363"/>
      <w:jc w:val="center"/>
      <w:outlineLvl w:val="0"/>
    </w:pPr>
    <w:rPr>
      <w:color w:val="FFFFFF"/>
    </w:rPr>
  </w:style>
  <w:style w:type="paragraph" w:customStyle="1" w:styleId="65">
    <w:name w:val="其他发布部门"/>
    <w:basedOn w:val="66"/>
    <w:uiPriority w:val="0"/>
    <w:pPr>
      <w:framePr w:y="15310"/>
      <w:spacing w:line="0" w:lineRule="atLeast"/>
    </w:pPr>
    <w:rPr>
      <w:rFonts w:ascii="黑体" w:eastAsia="黑体"/>
      <w:b w:val="0"/>
    </w:rPr>
  </w:style>
  <w:style w:type="paragraph" w:customStyle="1" w:styleId="66">
    <w:name w:val="发布部门"/>
    <w:next w:val="25"/>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7">
    <w:name w:val="示例内容"/>
    <w:uiPriority w:val="0"/>
    <w:pPr>
      <w:ind w:firstLine="200" w:firstLineChars="200"/>
    </w:pPr>
    <w:rPr>
      <w:rFonts w:ascii="宋体" w:hAnsi="Times New Roman" w:eastAsia="宋体" w:cs="Times New Roman"/>
      <w:sz w:val="18"/>
      <w:szCs w:val="18"/>
      <w:lang w:val="en-US" w:eastAsia="zh-CN" w:bidi="ar-SA"/>
    </w:rPr>
  </w:style>
  <w:style w:type="paragraph" w:customStyle="1" w:styleId="68">
    <w:name w:val="示例"/>
    <w:next w:val="67"/>
    <w:uiPriority w:val="0"/>
    <w:pPr>
      <w:widowControl w:val="0"/>
      <w:numPr>
        <w:ilvl w:val="0"/>
        <w:numId w:val="5"/>
      </w:numPr>
      <w:jc w:val="both"/>
    </w:pPr>
    <w:rPr>
      <w:rFonts w:ascii="宋体" w:hAnsi="Times New Roman" w:eastAsia="宋体" w:cs="Times New Roman"/>
      <w:sz w:val="18"/>
      <w:szCs w:val="18"/>
      <w:lang w:val="en-US" w:eastAsia="zh-CN" w:bidi="ar-SA"/>
    </w:rPr>
  </w:style>
  <w:style w:type="paragraph" w:customStyle="1" w:styleId="69">
    <w:name w:val="附录标题"/>
    <w:basedOn w:val="25"/>
    <w:next w:val="25"/>
    <w:uiPriority w:val="0"/>
    <w:pPr>
      <w:ind w:firstLine="0" w:firstLineChars="0"/>
      <w:jc w:val="center"/>
    </w:pPr>
    <w:rPr>
      <w:rFonts w:ascii="黑体" w:eastAsia="黑体"/>
    </w:rPr>
  </w:style>
  <w:style w:type="paragraph" w:customStyle="1" w:styleId="70">
    <w:name w:val="条文脚注"/>
    <w:basedOn w:val="26"/>
    <w:uiPriority w:val="0"/>
    <w:pPr>
      <w:numPr>
        <w:ilvl w:val="0"/>
        <w:numId w:val="0"/>
      </w:numPr>
      <w:jc w:val="both"/>
    </w:pPr>
    <w:rPr>
      <w:rFonts w:ascii="宋体"/>
    </w:rPr>
  </w:style>
  <w:style w:type="paragraph" w:customStyle="1" w:styleId="71">
    <w:name w:val="注×："/>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2">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73">
    <w:name w:val="二级无"/>
    <w:basedOn w:val="74"/>
    <w:uiPriority w:val="0"/>
    <w:pPr>
      <w:spacing w:before="0" w:beforeLines="0" w:after="0" w:afterLines="0"/>
      <w:ind w:left="0"/>
    </w:pPr>
    <w:rPr>
      <w:rFonts w:ascii="宋体" w:eastAsia="宋体"/>
    </w:rPr>
  </w:style>
  <w:style w:type="paragraph" w:customStyle="1" w:styleId="74">
    <w:name w:val="二级条标题"/>
    <w:basedOn w:val="63"/>
    <w:next w:val="25"/>
    <w:uiPriority w:val="0"/>
    <w:pPr>
      <w:numPr>
        <w:ilvl w:val="2"/>
        <w:numId w:val="3"/>
      </w:numPr>
      <w:spacing w:before="50" w:after="50"/>
      <w:outlineLvl w:val="3"/>
    </w:pPr>
  </w:style>
  <w:style w:type="paragraph" w:customStyle="1" w:styleId="75">
    <w:name w:val="五级无"/>
    <w:basedOn w:val="76"/>
    <w:uiPriority w:val="0"/>
    <w:pPr>
      <w:spacing w:before="0" w:beforeLines="0" w:after="0" w:afterLines="0"/>
    </w:pPr>
    <w:rPr>
      <w:rFonts w:ascii="宋体" w:eastAsia="宋体"/>
    </w:rPr>
  </w:style>
  <w:style w:type="paragraph" w:customStyle="1" w:styleId="76">
    <w:name w:val="五级条标题"/>
    <w:basedOn w:val="77"/>
    <w:next w:val="25"/>
    <w:uiPriority w:val="0"/>
    <w:pPr>
      <w:numPr>
        <w:ilvl w:val="5"/>
        <w:numId w:val="3"/>
      </w:numPr>
      <w:outlineLvl w:val="6"/>
    </w:pPr>
  </w:style>
  <w:style w:type="paragraph" w:customStyle="1" w:styleId="77">
    <w:name w:val="四级条标题"/>
    <w:basedOn w:val="78"/>
    <w:next w:val="25"/>
    <w:uiPriority w:val="0"/>
    <w:pPr>
      <w:numPr>
        <w:ilvl w:val="4"/>
        <w:numId w:val="3"/>
      </w:numPr>
      <w:outlineLvl w:val="5"/>
    </w:pPr>
  </w:style>
  <w:style w:type="paragraph" w:customStyle="1" w:styleId="78">
    <w:name w:val="三级条标题"/>
    <w:basedOn w:val="74"/>
    <w:next w:val="25"/>
    <w:uiPriority w:val="0"/>
    <w:pPr>
      <w:numPr>
        <w:ilvl w:val="3"/>
        <w:numId w:val="3"/>
      </w:numPr>
      <w:outlineLvl w:val="4"/>
    </w:pPr>
  </w:style>
  <w:style w:type="paragraph" w:customStyle="1" w:styleId="79">
    <w:name w:val="文献分类号"/>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0">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1">
    <w:name w:val="标准书眉_偶数页"/>
    <w:basedOn w:val="82"/>
    <w:next w:val="1"/>
    <w:uiPriority w:val="0"/>
    <w:pPr>
      <w:tabs>
        <w:tab w:val="center" w:pos="4154"/>
        <w:tab w:val="right" w:pos="8306"/>
      </w:tabs>
      <w:jc w:val="left"/>
    </w:pPr>
    <w:rPr>
      <w:rFonts w:ascii="黑体" w:eastAsia="黑体"/>
    </w:rPr>
  </w:style>
  <w:style w:type="paragraph" w:customStyle="1" w:styleId="82">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3">
    <w:name w:val="图表脚注说明"/>
    <w:basedOn w:val="1"/>
    <w:uiPriority w:val="0"/>
    <w:pPr>
      <w:numPr>
        <w:ilvl w:val="0"/>
        <w:numId w:val="7"/>
      </w:numPr>
    </w:pPr>
    <w:rPr>
      <w:rFonts w:ascii="宋体"/>
      <w:sz w:val="18"/>
      <w:szCs w:val="18"/>
    </w:rPr>
  </w:style>
  <w:style w:type="paragraph" w:customStyle="1" w:styleId="84">
    <w:name w:val="附录章标题"/>
    <w:next w:val="25"/>
    <w:uiPriority w:val="0"/>
    <w:pPr>
      <w:numPr>
        <w:ilvl w:val="1"/>
        <w:numId w:val="8"/>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5">
    <w:name w:val="WPSOffice手动目录 1"/>
    <w:uiPriority w:val="0"/>
    <w:rPr>
      <w:rFonts w:ascii="Times New Roman" w:hAnsi="Times New Roman" w:eastAsia="宋体" w:cs="Times New Roman"/>
      <w:lang w:val="en-US" w:eastAsia="zh-CN" w:bidi="ar-SA"/>
    </w:rPr>
  </w:style>
  <w:style w:type="paragraph" w:customStyle="1" w:styleId="86">
    <w:name w:val="附录四级无"/>
    <w:basedOn w:val="87"/>
    <w:uiPriority w:val="0"/>
    <w:pPr>
      <w:tabs>
        <w:tab w:val="left" w:pos="360"/>
      </w:tabs>
      <w:spacing w:before="0" w:beforeLines="0" w:after="0" w:afterLines="0"/>
    </w:pPr>
    <w:rPr>
      <w:rFonts w:ascii="宋体" w:eastAsia="宋体"/>
      <w:szCs w:val="21"/>
    </w:rPr>
  </w:style>
  <w:style w:type="paragraph" w:customStyle="1" w:styleId="87">
    <w:name w:val="附录四级条标题"/>
    <w:basedOn w:val="88"/>
    <w:next w:val="25"/>
    <w:uiPriority w:val="0"/>
    <w:pPr>
      <w:numPr>
        <w:ilvl w:val="5"/>
        <w:numId w:val="8"/>
      </w:numPr>
      <w:tabs>
        <w:tab w:val="left" w:pos="360"/>
      </w:tabs>
      <w:outlineLvl w:val="5"/>
    </w:pPr>
  </w:style>
  <w:style w:type="paragraph" w:customStyle="1" w:styleId="88">
    <w:name w:val="附录三级条标题"/>
    <w:basedOn w:val="89"/>
    <w:next w:val="25"/>
    <w:uiPriority w:val="0"/>
    <w:pPr>
      <w:numPr>
        <w:ilvl w:val="4"/>
        <w:numId w:val="8"/>
      </w:numPr>
      <w:tabs>
        <w:tab w:val="left" w:pos="360"/>
      </w:tabs>
      <w:outlineLvl w:val="4"/>
    </w:pPr>
  </w:style>
  <w:style w:type="paragraph" w:customStyle="1" w:styleId="89">
    <w:name w:val="附录二级条标题"/>
    <w:basedOn w:val="1"/>
    <w:next w:val="25"/>
    <w:uiPriority w:val="0"/>
    <w:pPr>
      <w:widowControl/>
      <w:numPr>
        <w:ilvl w:val="3"/>
        <w:numId w:val="8"/>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0">
    <w:name w:val="其他实施日期"/>
    <w:basedOn w:val="91"/>
    <w:uiPriority w:val="0"/>
  </w:style>
  <w:style w:type="paragraph" w:customStyle="1" w:styleId="91">
    <w:name w:val="实施日期"/>
    <w:basedOn w:val="92"/>
    <w:uiPriority w:val="0"/>
    <w:pPr>
      <w:framePr w:vAnchor="page" w:hAnchor="page"/>
      <w:jc w:val="right"/>
    </w:pPr>
  </w:style>
  <w:style w:type="paragraph" w:customStyle="1" w:styleId="92">
    <w:name w:val="发布日期"/>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3">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4">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95">
    <w:name w:val="三级无"/>
    <w:basedOn w:val="78"/>
    <w:uiPriority w:val="0"/>
    <w:pPr>
      <w:spacing w:before="0" w:beforeLines="0" w:after="0" w:afterLines="0"/>
    </w:pPr>
    <w:rPr>
      <w:rFonts w:ascii="宋体" w:eastAsia="宋体"/>
    </w:rPr>
  </w:style>
  <w:style w:type="paragraph" w:customStyle="1" w:styleId="96">
    <w:name w:val="封面正文"/>
    <w:uiPriority w:val="0"/>
    <w:pPr>
      <w:jc w:val="both"/>
    </w:pPr>
    <w:rPr>
      <w:rFonts w:ascii="Times New Roman" w:hAnsi="Times New Roman" w:eastAsia="宋体" w:cs="Times New Roman"/>
      <w:lang w:val="en-US" w:eastAsia="zh-CN" w:bidi="ar-SA"/>
    </w:rPr>
  </w:style>
  <w:style w:type="paragraph" w:customStyle="1" w:styleId="97">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98">
    <w:name w:val="前言、引言标题"/>
    <w:next w:val="25"/>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9">
    <w:name w:val="正文公式编号制表符"/>
    <w:basedOn w:val="25"/>
    <w:next w:val="25"/>
    <w:qFormat/>
    <w:uiPriority w:val="0"/>
    <w:pPr>
      <w:ind w:firstLine="0" w:firstLineChars="0"/>
    </w:pPr>
  </w:style>
  <w:style w:type="paragraph" w:customStyle="1" w:styleId="100">
    <w:name w:val="附录字母编号列项（一级）"/>
    <w:qFormat/>
    <w:uiPriority w:val="0"/>
    <w:pPr>
      <w:numPr>
        <w:ilvl w:val="0"/>
        <w:numId w:val="9"/>
      </w:numPr>
    </w:pPr>
    <w:rPr>
      <w:rFonts w:ascii="宋体" w:hAnsi="Times New Roman" w:eastAsia="宋体" w:cs="Times New Roman"/>
      <w:sz w:val="21"/>
      <w:lang w:val="en-US" w:eastAsia="zh-CN" w:bidi="ar-SA"/>
    </w:rPr>
  </w:style>
  <w:style w:type="paragraph" w:customStyle="1" w:styleId="101">
    <w:name w:val="封面标准文稿编辑信息"/>
    <w:basedOn w:val="102"/>
    <w:uiPriority w:val="0"/>
    <w:pPr>
      <w:spacing w:before="180" w:line="180" w:lineRule="exact"/>
    </w:pPr>
    <w:rPr>
      <w:sz w:val="21"/>
    </w:rPr>
  </w:style>
  <w:style w:type="paragraph" w:customStyle="1" w:styleId="102">
    <w:name w:val="封面标准文稿类别"/>
    <w:basedOn w:val="59"/>
    <w:uiPriority w:val="0"/>
    <w:pPr>
      <w:spacing w:after="160" w:line="240" w:lineRule="auto"/>
    </w:pPr>
    <w:rPr>
      <w:sz w:val="24"/>
    </w:rPr>
  </w:style>
  <w:style w:type="paragraph" w:customStyle="1" w:styleId="103">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104">
    <w:name w:val="封面标准英文名称2"/>
    <w:basedOn w:val="60"/>
    <w:uiPriority w:val="0"/>
    <w:pPr>
      <w:framePr w:y="4469"/>
    </w:pPr>
  </w:style>
  <w:style w:type="paragraph" w:customStyle="1" w:styleId="105">
    <w:name w:val="附录三级无"/>
    <w:basedOn w:val="88"/>
    <w:uiPriority w:val="0"/>
    <w:pPr>
      <w:tabs>
        <w:tab w:val="clear" w:pos="360"/>
      </w:tabs>
      <w:spacing w:before="0" w:beforeLines="0" w:after="0" w:afterLines="0"/>
    </w:pPr>
    <w:rPr>
      <w:rFonts w:ascii="宋体" w:eastAsia="宋体"/>
      <w:szCs w:val="21"/>
    </w:rPr>
  </w:style>
  <w:style w:type="paragraph" w:customStyle="1" w:styleId="106">
    <w:name w:val="附录表标号"/>
    <w:basedOn w:val="1"/>
    <w:next w:val="25"/>
    <w:uiPriority w:val="0"/>
    <w:pPr>
      <w:numPr>
        <w:ilvl w:val="0"/>
        <w:numId w:val="10"/>
      </w:numPr>
      <w:tabs>
        <w:tab w:val="clear" w:pos="0"/>
      </w:tabs>
      <w:spacing w:line="14" w:lineRule="exact"/>
      <w:ind w:left="811" w:hanging="448"/>
      <w:jc w:val="center"/>
      <w:outlineLvl w:val="0"/>
    </w:pPr>
    <w:rPr>
      <w:color w:val="FFFFFF"/>
    </w:rPr>
  </w:style>
  <w:style w:type="paragraph" w:customStyle="1" w:styleId="107">
    <w:name w:val="目次、标准名称标题"/>
    <w:basedOn w:val="1"/>
    <w:next w:val="25"/>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8">
    <w:name w:val="标准书眉一"/>
    <w:uiPriority w:val="0"/>
    <w:pPr>
      <w:jc w:val="both"/>
    </w:pPr>
    <w:rPr>
      <w:rFonts w:ascii="Times New Roman" w:hAnsi="Times New Roman" w:eastAsia="宋体" w:cs="Times New Roman"/>
      <w:lang w:val="en-US" w:eastAsia="zh-CN" w:bidi="ar-SA"/>
    </w:rPr>
  </w:style>
  <w:style w:type="paragraph" w:customStyle="1" w:styleId="109">
    <w:name w:val="_Style 108"/>
    <w:unhideWhenUsed/>
    <w:uiPriority w:val="99"/>
    <w:rPr>
      <w:rFonts w:ascii="Times New Roman" w:hAnsi="Times New Roman" w:eastAsia="宋体" w:cs="Times New Roman"/>
      <w:kern w:val="2"/>
      <w:sz w:val="21"/>
      <w:szCs w:val="24"/>
      <w:lang w:val="en-US" w:eastAsia="zh-CN" w:bidi="ar-SA"/>
    </w:rPr>
  </w:style>
  <w:style w:type="paragraph" w:customStyle="1" w:styleId="110">
    <w:name w:val="图标脚注说明"/>
    <w:basedOn w:val="25"/>
    <w:uiPriority w:val="0"/>
    <w:pPr>
      <w:ind w:left="840" w:hanging="420" w:firstLineChars="0"/>
    </w:pPr>
    <w:rPr>
      <w:sz w:val="18"/>
      <w:szCs w:val="18"/>
    </w:rPr>
  </w:style>
  <w:style w:type="paragraph" w:customStyle="1" w:styleId="111">
    <w:name w:val="编号列项（三级）"/>
    <w:uiPriority w:val="0"/>
    <w:pPr>
      <w:numPr>
        <w:ilvl w:val="2"/>
        <w:numId w:val="11"/>
      </w:numPr>
    </w:pPr>
    <w:rPr>
      <w:rFonts w:ascii="宋体" w:hAnsi="Times New Roman" w:eastAsia="宋体" w:cs="Times New Roman"/>
      <w:sz w:val="21"/>
      <w:lang w:val="en-US" w:eastAsia="zh-CN" w:bidi="ar-SA"/>
    </w:rPr>
  </w:style>
  <w:style w:type="paragraph" w:customStyle="1" w:styleId="112">
    <w:name w:val="附录一级无"/>
    <w:basedOn w:val="113"/>
    <w:uiPriority w:val="0"/>
    <w:pPr>
      <w:tabs>
        <w:tab w:val="left" w:pos="360"/>
      </w:tabs>
      <w:spacing w:before="0" w:beforeLines="0" w:after="0" w:afterLines="0"/>
    </w:pPr>
    <w:rPr>
      <w:rFonts w:ascii="宋体" w:eastAsia="宋体"/>
      <w:szCs w:val="21"/>
    </w:rPr>
  </w:style>
  <w:style w:type="paragraph" w:customStyle="1" w:styleId="113">
    <w:name w:val="附录一级条标题"/>
    <w:basedOn w:val="84"/>
    <w:next w:val="25"/>
    <w:uiPriority w:val="0"/>
    <w:pPr>
      <w:numPr>
        <w:ilvl w:val="2"/>
        <w:numId w:val="8"/>
      </w:numPr>
      <w:autoSpaceDN w:val="0"/>
      <w:spacing w:before="50" w:beforeLines="50" w:after="50" w:afterLines="50"/>
      <w:outlineLvl w:val="2"/>
    </w:pPr>
  </w:style>
  <w:style w:type="paragraph" w:customStyle="1" w:styleId="114">
    <w:name w:val="附录二级无"/>
    <w:basedOn w:val="89"/>
    <w:uiPriority w:val="0"/>
    <w:pPr>
      <w:tabs>
        <w:tab w:val="clear" w:pos="360"/>
      </w:tabs>
      <w:spacing w:before="0" w:beforeLines="0" w:after="0" w:afterLines="0"/>
    </w:pPr>
    <w:rPr>
      <w:rFonts w:ascii="宋体" w:eastAsia="宋体"/>
      <w:szCs w:val="21"/>
    </w:rPr>
  </w:style>
  <w:style w:type="paragraph" w:customStyle="1" w:styleId="115">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6">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17">
    <w:name w:val="注："/>
    <w:next w:val="25"/>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18">
    <w:name w:val="其他标准标志"/>
    <w:basedOn w:val="116"/>
    <w:uiPriority w:val="0"/>
    <w:pPr>
      <w:framePr w:w="6101" w:vAnchor="page" w:hAnchor="page" w:x="4673" w:y="942"/>
    </w:pPr>
    <w:rPr>
      <w:w w:val="130"/>
    </w:rPr>
  </w:style>
  <w:style w:type="paragraph" w:customStyle="1" w:styleId="119">
    <w:name w:val="章标题"/>
    <w:next w:val="25"/>
    <w:uiPriority w:val="99"/>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20">
    <w:name w:val="注：（正文）"/>
    <w:basedOn w:val="117"/>
    <w:next w:val="25"/>
    <w:uiPriority w:val="0"/>
  </w:style>
  <w:style w:type="paragraph" w:customStyle="1" w:styleId="121">
    <w:name w:val="列项◆（三级）"/>
    <w:basedOn w:val="1"/>
    <w:uiPriority w:val="0"/>
    <w:pPr>
      <w:numPr>
        <w:ilvl w:val="2"/>
        <w:numId w:val="13"/>
      </w:numPr>
    </w:pPr>
    <w:rPr>
      <w:rFonts w:ascii="宋体"/>
      <w:szCs w:val="21"/>
    </w:rPr>
  </w:style>
  <w:style w:type="paragraph" w:customStyle="1" w:styleId="122">
    <w:name w:val="附录图标题"/>
    <w:basedOn w:val="1"/>
    <w:next w:val="25"/>
    <w:uiPriority w:val="0"/>
    <w:pPr>
      <w:numPr>
        <w:ilvl w:val="1"/>
        <w:numId w:val="4"/>
      </w:numPr>
      <w:tabs>
        <w:tab w:val="left" w:pos="363"/>
      </w:tabs>
      <w:spacing w:before="50" w:beforeLines="50" w:after="50" w:afterLines="50"/>
      <w:ind w:left="0" w:firstLine="0"/>
      <w:jc w:val="center"/>
    </w:pPr>
    <w:rPr>
      <w:rFonts w:ascii="黑体" w:eastAsia="黑体"/>
      <w:szCs w:val="21"/>
    </w:rPr>
  </w:style>
  <w:style w:type="paragraph" w:customStyle="1" w:styleId="123">
    <w:name w:val="参考文献、索引标题"/>
    <w:basedOn w:val="1"/>
    <w:next w:val="25"/>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4">
    <w:name w:val="参考文献"/>
    <w:basedOn w:val="1"/>
    <w:next w:val="25"/>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5">
    <w:name w:val="附录标识"/>
    <w:basedOn w:val="1"/>
    <w:next w:val="25"/>
    <w:link w:val="126"/>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character" w:customStyle="1" w:styleId="126">
    <w:name w:val="附录标识 Char"/>
    <w:link w:val="125"/>
    <w:uiPriority w:val="0"/>
    <w:rPr>
      <w:rFonts w:ascii="黑体" w:eastAsia="黑体"/>
      <w:kern w:val="0"/>
      <w:szCs w:val="20"/>
    </w:rPr>
  </w:style>
  <w:style w:type="paragraph" w:customStyle="1" w:styleId="127">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28">
    <w:name w:val="列项——（一级）"/>
    <w:uiPriority w:val="0"/>
    <w:pPr>
      <w:widowControl w:val="0"/>
      <w:numPr>
        <w:ilvl w:val="0"/>
        <w:numId w:val="13"/>
      </w:numPr>
      <w:jc w:val="both"/>
    </w:pPr>
    <w:rPr>
      <w:rFonts w:ascii="宋体" w:hAnsi="Times New Roman" w:eastAsia="宋体" w:cs="Times New Roman"/>
      <w:sz w:val="21"/>
      <w:lang w:val="en-US" w:eastAsia="zh-CN" w:bidi="ar-SA"/>
    </w:rPr>
  </w:style>
  <w:style w:type="paragraph" w:customStyle="1" w:styleId="129">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30">
    <w:name w:val="列项●（二级）"/>
    <w:uiPriority w:val="0"/>
    <w:pPr>
      <w:numPr>
        <w:ilvl w:val="1"/>
        <w:numId w:val="13"/>
      </w:numPr>
      <w:tabs>
        <w:tab w:val="left" w:pos="840"/>
      </w:tabs>
      <w:jc w:val="both"/>
    </w:pPr>
    <w:rPr>
      <w:rFonts w:ascii="宋体" w:hAnsi="Times New Roman" w:eastAsia="宋体" w:cs="Times New Roman"/>
      <w:sz w:val="21"/>
      <w:lang w:val="en-US" w:eastAsia="zh-CN" w:bidi="ar-SA"/>
    </w:rPr>
  </w:style>
  <w:style w:type="paragraph" w:customStyle="1" w:styleId="131">
    <w:name w:val="注×：（正文）"/>
    <w:uiPriority w:val="0"/>
    <w:pPr>
      <w:numPr>
        <w:ilvl w:val="0"/>
        <w:numId w:val="14"/>
      </w:numPr>
      <w:jc w:val="both"/>
    </w:pPr>
    <w:rPr>
      <w:rFonts w:ascii="宋体" w:hAnsi="Times New Roman" w:eastAsia="宋体" w:cs="Times New Roman"/>
      <w:sz w:val="18"/>
      <w:szCs w:val="18"/>
      <w:lang w:val="en-US" w:eastAsia="zh-CN" w:bidi="ar-SA"/>
    </w:rPr>
  </w:style>
  <w:style w:type="paragraph" w:customStyle="1" w:styleId="132">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3">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35">
    <w:name w:val="封面标准文稿编辑信息2"/>
    <w:basedOn w:val="101"/>
    <w:uiPriority w:val="0"/>
    <w:pPr>
      <w:framePr w:y="4469"/>
    </w:pPr>
  </w:style>
  <w:style w:type="paragraph" w:customStyle="1" w:styleId="136">
    <w:name w:val="四级无"/>
    <w:basedOn w:val="77"/>
    <w:uiPriority w:val="0"/>
    <w:pPr>
      <w:spacing w:before="0" w:beforeLines="0" w:after="0" w:afterLines="0"/>
    </w:pPr>
    <w:rPr>
      <w:rFonts w:ascii="宋体" w:eastAsia="宋体"/>
    </w:rPr>
  </w:style>
  <w:style w:type="paragraph" w:customStyle="1" w:styleId="137">
    <w:name w:val="字母编号列项（一级）"/>
    <w:uiPriority w:val="0"/>
    <w:pPr>
      <w:numPr>
        <w:ilvl w:val="0"/>
        <w:numId w:val="15"/>
      </w:numPr>
      <w:jc w:val="both"/>
    </w:pPr>
    <w:rPr>
      <w:rFonts w:ascii="宋体" w:hAnsi="Times New Roman" w:eastAsia="宋体" w:cs="Times New Roman"/>
      <w:sz w:val="21"/>
      <w:lang w:val="en-US" w:eastAsia="zh-CN" w:bidi="ar-SA"/>
    </w:rPr>
  </w:style>
  <w:style w:type="paragraph" w:customStyle="1" w:styleId="138">
    <w:name w:val="正文图标题"/>
    <w:next w:val="25"/>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9">
    <w:name w:val="正文文本 (4)"/>
    <w:basedOn w:val="1"/>
    <w:qFormat/>
    <w:uiPriority w:val="0"/>
    <w:pPr>
      <w:shd w:val="clear" w:color="auto" w:fill="FFFFFF"/>
      <w:spacing w:before="660" w:after="240" w:line="240" w:lineRule="atLeast"/>
      <w:ind w:hanging="400"/>
      <w:jc w:val="left"/>
    </w:pPr>
    <w:rPr>
      <w:rFonts w:ascii="MingLiU" w:hAnsi="MingLiU" w:eastAsia="MingLiU"/>
      <w:b/>
      <w:bCs/>
      <w:kern w:val="0"/>
      <w:sz w:val="20"/>
      <w:szCs w:val="20"/>
      <w:shd w:val="clear" w:color="auto" w:fill="FFFFFF"/>
    </w:rPr>
  </w:style>
  <w:style w:type="paragraph" w:customStyle="1" w:styleId="140">
    <w:name w:val="附录五级无"/>
    <w:basedOn w:val="141"/>
    <w:uiPriority w:val="0"/>
    <w:pPr>
      <w:tabs>
        <w:tab w:val="left" w:pos="360"/>
      </w:tabs>
      <w:spacing w:before="0" w:beforeLines="0" w:after="0" w:afterLines="0"/>
    </w:pPr>
    <w:rPr>
      <w:rFonts w:ascii="宋体" w:eastAsia="宋体"/>
      <w:szCs w:val="21"/>
    </w:rPr>
  </w:style>
  <w:style w:type="paragraph" w:customStyle="1" w:styleId="141">
    <w:name w:val="附录五级条标题"/>
    <w:basedOn w:val="87"/>
    <w:next w:val="25"/>
    <w:uiPriority w:val="0"/>
    <w:pPr>
      <w:numPr>
        <w:ilvl w:val="6"/>
        <w:numId w:val="8"/>
      </w:numPr>
      <w:outlineLvl w:val="6"/>
    </w:pPr>
  </w:style>
  <w:style w:type="paragraph" w:customStyle="1" w:styleId="142">
    <w:name w:val="示例×："/>
    <w:basedOn w:val="119"/>
    <w:qFormat/>
    <w:uiPriority w:val="0"/>
    <w:pPr>
      <w:numPr>
        <w:ilvl w:val="0"/>
        <w:numId w:val="17"/>
      </w:numPr>
      <w:spacing w:before="0" w:beforeLines="0" w:after="0" w:afterLines="0"/>
      <w:outlineLvl w:val="9"/>
    </w:pPr>
    <w:rPr>
      <w:rFonts w:ascii="宋体" w:eastAsia="宋体"/>
      <w:sz w:val="18"/>
      <w:szCs w:val="18"/>
    </w:rPr>
  </w:style>
  <w:style w:type="paragraph" w:customStyle="1" w:styleId="143">
    <w:name w:val="终结线"/>
    <w:basedOn w:val="1"/>
    <w:uiPriority w:val="0"/>
    <w:pPr>
      <w:framePr w:hSpace="181" w:vSpace="181" w:wrap="around" w:vAnchor="text" w:hAnchor="margin" w:xAlign="center" w:y="285"/>
    </w:pPr>
  </w:style>
  <w:style w:type="paragraph" w:customStyle="1" w:styleId="144">
    <w:name w:val="附录数字编号列项（二级）"/>
    <w:qFormat/>
    <w:uiPriority w:val="0"/>
    <w:pPr>
      <w:numPr>
        <w:ilvl w:val="1"/>
        <w:numId w:val="9"/>
      </w:numPr>
    </w:pPr>
    <w:rPr>
      <w:rFonts w:ascii="宋体" w:hAnsi="Times New Roman" w:eastAsia="宋体" w:cs="Times New Roman"/>
      <w:sz w:val="21"/>
      <w:lang w:val="en-US" w:eastAsia="zh-CN" w:bidi="ar-SA"/>
    </w:rPr>
  </w:style>
  <w:style w:type="paragraph" w:customStyle="1" w:styleId="145">
    <w:name w:val="附录表标题"/>
    <w:basedOn w:val="1"/>
    <w:next w:val="25"/>
    <w:uiPriority w:val="0"/>
    <w:pPr>
      <w:numPr>
        <w:ilvl w:val="1"/>
        <w:numId w:val="10"/>
      </w:numPr>
      <w:tabs>
        <w:tab w:val="left" w:pos="180"/>
      </w:tabs>
      <w:spacing w:before="50" w:beforeLines="50" w:after="50" w:afterLines="50"/>
      <w:ind w:left="0" w:firstLine="0"/>
      <w:jc w:val="center"/>
    </w:pPr>
    <w:rPr>
      <w:rFonts w:ascii="黑体" w:eastAsia="黑体"/>
      <w:szCs w:val="21"/>
    </w:rPr>
  </w:style>
  <w:style w:type="paragraph" w:customStyle="1" w:styleId="146">
    <w:name w:val="数字编号列项（二级）"/>
    <w:uiPriority w:val="0"/>
    <w:pPr>
      <w:numPr>
        <w:ilvl w:val="1"/>
        <w:numId w:val="11"/>
      </w:numPr>
      <w:jc w:val="both"/>
    </w:pPr>
    <w:rPr>
      <w:rFonts w:ascii="宋体" w:hAnsi="Times New Roman" w:eastAsia="宋体" w:cs="Times New Roman"/>
      <w:sz w:val="21"/>
      <w:lang w:val="en-US" w:eastAsia="zh-CN" w:bidi="ar-SA"/>
    </w:rPr>
  </w:style>
  <w:style w:type="paragraph" w:customStyle="1" w:styleId="147">
    <w:name w:val="封面标准名称2"/>
    <w:basedOn w:val="61"/>
    <w:uiPriority w:val="0"/>
    <w:pPr>
      <w:framePr w:y="4469"/>
      <w:spacing w:before="630" w:beforeLines="630"/>
    </w:pPr>
  </w:style>
  <w:style w:type="paragraph" w:customStyle="1" w:styleId="148">
    <w:name w:val="正文表标题"/>
    <w:next w:val="25"/>
    <w:uiPriority w:val="0"/>
    <w:pPr>
      <w:numPr>
        <w:ilvl w:val="0"/>
        <w:numId w:val="18"/>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9">
    <w:name w:val="封面标准文稿类别2"/>
    <w:basedOn w:val="102"/>
    <w:uiPriority w:val="0"/>
    <w:pPr>
      <w:framePr w:y="4469"/>
    </w:pPr>
  </w:style>
  <w:style w:type="paragraph" w:customStyle="1" w:styleId="150">
    <w:name w:val="其他发布日期"/>
    <w:basedOn w:val="92"/>
    <w:uiPriority w:val="0"/>
    <w:pPr>
      <w:framePr w:vAnchor="page" w:hAnchor="page" w:x="1419"/>
    </w:pPr>
  </w:style>
  <w:style w:type="paragraph" w:customStyle="1" w:styleId="151">
    <w:name w:val="标准文件_前言、引言标题"/>
    <w:next w:val="1"/>
    <w:qFormat/>
    <w:uiPriority w:val="0"/>
    <w:pPr>
      <w:numPr>
        <w:ilvl w:val="0"/>
        <w:numId w:val="19"/>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5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3">
    <w:name w:val="表"/>
    <w:qFormat/>
    <w:uiPriority w:val="0"/>
    <w:pPr>
      <w:jc w:val="center"/>
    </w:pPr>
    <w:rPr>
      <w:rFonts w:ascii="Times New Roman" w:hAnsi="Times New Roman" w:eastAsia="宋体" w:cs="Times New Roman"/>
      <w:color w:val="000000"/>
      <w:sz w:val="18"/>
      <w:szCs w:val="22"/>
      <w:lang w:val="en-US" w:eastAsia="zh-CN" w:bidi="ar-SA"/>
    </w:rPr>
  </w:style>
  <w:style w:type="paragraph" w:customStyle="1" w:styleId="154">
    <w:name w:val="图"/>
    <w:next w:val="25"/>
    <w:qFormat/>
    <w:uiPriority w:val="0"/>
    <w:pPr>
      <w:jc w:val="center"/>
    </w:pPr>
    <w:rPr>
      <w:rFonts w:ascii="宋体" w:hAnsi="宋体" w:eastAsia="宋体" w:cs="Times New Roman"/>
      <w:color w:val="000000"/>
      <w:sz w:val="21"/>
      <w:szCs w:val="22"/>
      <w:lang w:val="en-US" w:eastAsia="en-US" w:bidi="ar-SA"/>
    </w:rPr>
  </w:style>
  <w:style w:type="paragraph" w:customStyle="1" w:styleId="155">
    <w:name w:val="标准文件_二级无标题"/>
    <w:qFormat/>
    <w:uiPriority w:val="0"/>
    <w:pPr>
      <w:widowControl w:val="0"/>
      <w:numPr>
        <w:ilvl w:val="3"/>
        <w:numId w:val="20"/>
      </w:numPr>
      <w:jc w:val="both"/>
    </w:pPr>
    <w:rPr>
      <w:rFonts w:ascii="宋体" w:hAnsi="Times New Roman" w:eastAsia="宋体" w:cs="Times New Roman"/>
      <w:sz w:val="21"/>
      <w:lang w:val="en-US" w:eastAsia="zh-CN" w:bidi="ar-SA"/>
    </w:rPr>
  </w:style>
  <w:style w:type="paragraph" w:customStyle="1" w:styleId="156">
    <w:name w:val="标准文件_二级条标题"/>
    <w:next w:val="152"/>
    <w:qFormat/>
    <w:uiPriority w:val="0"/>
    <w:pPr>
      <w:widowControl w:val="0"/>
      <w:numPr>
        <w:ilvl w:val="3"/>
        <w:numId w:val="20"/>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57">
    <w:name w:val="标准文件_一级条标题"/>
    <w:basedOn w:val="158"/>
    <w:next w:val="152"/>
    <w:qFormat/>
    <w:uiPriority w:val="0"/>
    <w:pPr>
      <w:numPr>
        <w:ilvl w:val="2"/>
        <w:numId w:val="20"/>
      </w:numPr>
      <w:spacing w:before="50" w:beforeLines="50" w:after="50" w:afterLines="50"/>
      <w:jc w:val="both"/>
      <w:outlineLvl w:val="1"/>
    </w:pPr>
    <w:rPr>
      <w:rFonts w:ascii="黑体" w:eastAsia="黑体"/>
      <w:sz w:val="21"/>
      <w:lang w:val="en-US" w:eastAsia="zh-CN" w:bidi="ar-SA"/>
    </w:rPr>
  </w:style>
  <w:style w:type="paragraph" w:customStyle="1" w:styleId="158">
    <w:name w:val="标准文件_章标题"/>
    <w:next w:val="152"/>
    <w:qFormat/>
    <w:uiPriority w:val="0"/>
    <w:pPr>
      <w:numPr>
        <w:ilvl w:val="1"/>
        <w:numId w:val="2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59">
    <w:name w:val="标准文件_表格"/>
    <w:qFormat/>
    <w:uiPriority w:val="0"/>
    <w:pPr>
      <w:autoSpaceDE w:val="0"/>
      <w:autoSpaceDN w:val="0"/>
      <w:jc w:val="center"/>
    </w:pPr>
    <w:rPr>
      <w:rFonts w:ascii="宋体" w:hAnsi="Times New Roman" w:eastAsia="宋体" w:cs="Times New Roman"/>
      <w:sz w:val="18"/>
      <w:lang w:val="en-US" w:eastAsia="zh-CN" w:bidi="ar-SA"/>
    </w:rPr>
  </w:style>
  <w:style w:type="paragraph" w:customStyle="1" w:styleId="160">
    <w:name w:val="WPSOffice手动目录 2"/>
    <w:uiPriority w:val="0"/>
    <w:pPr>
      <w:ind w:leftChars="200"/>
    </w:pPr>
    <w:rPr>
      <w:rFonts w:ascii="Times New Roman" w:hAnsi="Times New Roman" w:eastAsia="宋体" w:cs="Times New Roman"/>
      <w:lang w:val="en-US" w:eastAsia="zh-CN" w:bidi="ar-SA"/>
    </w:rPr>
  </w:style>
  <w:style w:type="paragraph" w:customStyle="1" w:styleId="161">
    <w:name w:val="标准文件_术语条一"/>
    <w:basedOn w:val="162"/>
    <w:next w:val="152"/>
    <w:qFormat/>
    <w:uiPriority w:val="0"/>
  </w:style>
  <w:style w:type="paragraph" w:customStyle="1" w:styleId="162">
    <w:name w:val="标准文件_一级无标题"/>
    <w:basedOn w:val="157"/>
    <w:qFormat/>
    <w:uiPriority w:val="0"/>
    <w:pPr>
      <w:spacing w:before="0" w:beforeLines="0" w:after="0" w:afterLines="0"/>
      <w:outlineLvl w:val="9"/>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17</Pages>
  <Words>2631</Words>
  <Characters>3444</Characters>
  <Lines>87</Lines>
  <Paragraphs>24</Paragraphs>
  <TotalTime>4</TotalTime>
  <ScaleCrop>false</ScaleCrop>
  <LinksUpToDate>false</LinksUpToDate>
  <CharactersWithSpaces>3619</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2019-10-20T08:02:00Z</dcterms:created>
  <dc:creator>CNIS</dc:creator>
  <cp:lastModifiedBy>夏夏</cp:lastModifiedBy>
  <cp:lastPrinted>2019-10-20T08:18:00Z</cp:lastPrinted>
  <dcterms:modified xsi:type="dcterms:W3CDTF">2025-11-27T10:37:30Z</dcterms:modified>
  <dc:title>标准名称</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2052-12.1.23540.23540</vt:lpwstr>
  </property>
  <property fmtid="{D5CDD505-2E9C-101B-9397-08002B2CF9AE}" pid="3" name="commondata">
    <vt:lpwstr>eyJoZGlkIjoiYzZiODhhMmUxMDc0N2IyYTNhNjRkYmE0YTE1ZjFkOWEifQ==</vt:lpwstr>
  </property>
  <property fmtid="{D5CDD505-2E9C-101B-9397-08002B2CF9AE}" pid="4" name="ICV">
    <vt:lpwstr>FDB7B6CF810949EF9F27D45A10E589C7_13</vt:lpwstr>
  </property>
  <property fmtid="{D5CDD505-2E9C-101B-9397-08002B2CF9AE}" pid="5" name="KSOTemplateDocerSaveRecord">
    <vt:lpwstr>eyJoZGlkIjoiODdiNDM5ZjM0MmZlNTdhMWFiNmM1NjYzYmNlN2ZjYjEiLCJ1c2VySWQiOiIzNjQ5NDA4MTEifQ==</vt:lpwstr>
  </property>
</Properties>
</file>