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15D9F">
      <w:pPr>
        <w:widowControl/>
        <w:spacing w:line="240" w:lineRule="auto"/>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w:t>
      </w:r>
      <w:r>
        <w:rPr>
          <w:rFonts w:hint="eastAsia" w:ascii="宋体" w:hAnsi="宋体" w:eastAsia="宋体" w:cs="宋体"/>
          <w:b/>
          <w:bCs/>
          <w:sz w:val="28"/>
          <w:szCs w:val="28"/>
        </w:rPr>
        <w:t>生活饮用水处理用高纯纳米型聚氯化铝</w:t>
      </w:r>
      <w:r>
        <w:rPr>
          <w:rFonts w:hint="eastAsia" w:ascii="宋体" w:hAnsi="宋体" w:eastAsia="宋体" w:cs="宋体"/>
          <w:b/>
          <w:bCs/>
          <w:sz w:val="28"/>
          <w:szCs w:val="28"/>
          <w:lang w:eastAsia="zh-CN"/>
        </w:rPr>
        <w:t>》</w:t>
      </w:r>
    </w:p>
    <w:p w14:paraId="5B2178DA">
      <w:pPr>
        <w:widowControl/>
        <w:spacing w:line="240" w:lineRule="auto"/>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团体标准编制说明（征求意见稿）</w:t>
      </w:r>
    </w:p>
    <w:p w14:paraId="5B1E3BB3">
      <w:pPr>
        <w:pStyle w:val="2"/>
        <w:keepNext/>
        <w:keepLines/>
        <w:pageBreakBefore w:val="0"/>
        <w:widowControl w:val="0"/>
        <w:numPr>
          <w:ilvl w:val="0"/>
          <w:numId w:val="1"/>
        </w:numPr>
        <w:kinsoku/>
        <w:wordWrap/>
        <w:overflowPunct/>
        <w:topLinePunct w:val="0"/>
        <w:autoSpaceDE/>
        <w:autoSpaceDN/>
        <w:bidi w:val="0"/>
        <w:adjustRightInd/>
        <w:snapToGrid/>
        <w:spacing w:before="157" w:beforeLines="50" w:after="157" w:afterLines="50" w:line="240" w:lineRule="auto"/>
        <w:textAlignment w:val="auto"/>
        <w:rPr>
          <w:rFonts w:hint="eastAsia"/>
          <w:sz w:val="24"/>
          <w:szCs w:val="15"/>
        </w:rPr>
      </w:pPr>
      <w:r>
        <w:rPr>
          <w:rFonts w:hint="eastAsia"/>
          <w:sz w:val="24"/>
          <w:szCs w:val="15"/>
        </w:rPr>
        <w:t>工作简况</w:t>
      </w:r>
    </w:p>
    <w:p w14:paraId="6E79C67E">
      <w:pPr>
        <w:pStyle w:val="3"/>
        <w:keepNext/>
        <w:keepLines/>
        <w:pageBreakBefore w:val="0"/>
        <w:widowControl w:val="0"/>
        <w:numPr>
          <w:ilvl w:val="1"/>
          <w:numId w:val="2"/>
        </w:numPr>
        <w:kinsoku/>
        <w:wordWrap/>
        <w:overflowPunct/>
        <w:topLinePunct w:val="0"/>
        <w:autoSpaceDE/>
        <w:autoSpaceDN/>
        <w:bidi w:val="0"/>
        <w:adjustRightInd/>
        <w:snapToGrid/>
        <w:spacing w:line="24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项目背景</w:t>
      </w:r>
    </w:p>
    <w:p w14:paraId="566B995B">
      <w:pPr>
        <w:pStyle w:val="4"/>
        <w:keepNext/>
        <w:keepLines/>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1.1.1、产品简介</w:t>
      </w:r>
    </w:p>
    <w:p w14:paraId="51135274">
      <w:pPr>
        <w:numPr>
          <w:ilvl w:val="0"/>
          <w:numId w:val="0"/>
        </w:numPr>
        <w:autoSpaceDE w:val="0"/>
        <w:autoSpaceDN w:val="0"/>
        <w:adjustRightInd w:val="0"/>
        <w:spacing w:line="360" w:lineRule="auto"/>
        <w:ind w:left="0" w:leftChars="0" w:firstLine="420" w:firstLineChars="175"/>
        <w:jc w:val="left"/>
        <w:rPr>
          <w:rFonts w:hint="eastAsia" w:ascii="宋体" w:hAnsi="宋体" w:eastAsia="宋体" w:cs="宋体"/>
          <w:sz w:val="24"/>
          <w:szCs w:val="24"/>
        </w:rPr>
      </w:pPr>
      <w:r>
        <w:rPr>
          <w:rFonts w:hint="eastAsia" w:ascii="宋体" w:hAnsi="宋体" w:eastAsia="宋体" w:cs="宋体"/>
          <w:sz w:val="24"/>
          <w:szCs w:val="24"/>
        </w:rPr>
        <w:t>混凝剂是水处理中最常用的药剂，主要用于去除水中的悬浮物、胶体颗粒和部分有机物，通过电中和、吸附架桥和网捕作用形成絮体，便于后续沉淀或过滤。去除浊度最有效的方法是化学混凝沉淀法，但是面对突发的高浊度水，常规混凝沉淀法显得力不从心。常规混凝处理高浊度水的局限性主要表现在：</w:t>
      </w:r>
    </w:p>
    <w:p w14:paraId="49EDC46F">
      <w:pPr>
        <w:numPr>
          <w:ilvl w:val="0"/>
          <w:numId w:val="0"/>
        </w:numPr>
        <w:autoSpaceDE w:val="0"/>
        <w:autoSpaceDN w:val="0"/>
        <w:adjustRightInd w:val="0"/>
        <w:spacing w:line="360" w:lineRule="auto"/>
        <w:ind w:left="0" w:leftChars="0" w:firstLine="420" w:firstLineChars="175"/>
        <w:jc w:val="left"/>
        <w:rPr>
          <w:rFonts w:hint="eastAsia" w:ascii="宋体" w:hAnsi="宋体" w:eastAsia="宋体" w:cs="宋体"/>
          <w:sz w:val="24"/>
          <w:szCs w:val="24"/>
        </w:rPr>
      </w:pPr>
      <w:r>
        <w:rPr>
          <w:rFonts w:hint="eastAsia" w:ascii="宋体" w:hAnsi="宋体" w:eastAsia="宋体" w:cs="宋体"/>
          <w:sz w:val="24"/>
          <w:szCs w:val="24"/>
        </w:rPr>
        <w:t>1.处理成本高:高浊度水处理对浊度的去除率要求更高，传统的混凝沉淀处理效率有限，有研究表明混凝剂的投加量对污染物的去除有直接关系，在高浊度水处理中通常通过提高混凝剂的投加量来提高浊度去除率，导致处理成本增加;</w:t>
      </w:r>
    </w:p>
    <w:p w14:paraId="0144AFE0">
      <w:pPr>
        <w:numPr>
          <w:ilvl w:val="0"/>
          <w:numId w:val="0"/>
        </w:numPr>
        <w:autoSpaceDE w:val="0"/>
        <w:autoSpaceDN w:val="0"/>
        <w:adjustRightInd w:val="0"/>
        <w:spacing w:line="360" w:lineRule="auto"/>
        <w:ind w:left="0" w:leftChars="0" w:firstLine="420" w:firstLineChars="175"/>
        <w:jc w:val="left"/>
        <w:rPr>
          <w:rFonts w:hint="eastAsia" w:ascii="宋体" w:hAnsi="宋体" w:eastAsia="宋体" w:cs="宋体"/>
          <w:sz w:val="24"/>
          <w:szCs w:val="24"/>
        </w:rPr>
      </w:pPr>
      <w:r>
        <w:rPr>
          <w:rFonts w:hint="eastAsia" w:ascii="宋体" w:hAnsi="宋体" w:eastAsia="宋体" w:cs="宋体"/>
          <w:sz w:val="24"/>
          <w:szCs w:val="24"/>
        </w:rPr>
        <w:t>2.出水水质差:混凝剂投加量过高，一方面可能导致已经脱稳的胶体体系重新稳定，浊度升高，出水水质得不到保障;</w:t>
      </w:r>
    </w:p>
    <w:p w14:paraId="70A4DA3B">
      <w:pPr>
        <w:numPr>
          <w:ilvl w:val="0"/>
          <w:numId w:val="0"/>
        </w:numPr>
        <w:autoSpaceDE w:val="0"/>
        <w:autoSpaceDN w:val="0"/>
        <w:adjustRightInd w:val="0"/>
        <w:spacing w:line="360" w:lineRule="auto"/>
        <w:ind w:left="0" w:leftChars="0" w:firstLine="420" w:firstLineChars="175"/>
        <w:jc w:val="left"/>
        <w:rPr>
          <w:rFonts w:hint="eastAsia" w:ascii="宋体" w:hAnsi="宋体" w:eastAsia="宋体" w:cs="宋体"/>
          <w:sz w:val="24"/>
          <w:szCs w:val="24"/>
        </w:rPr>
      </w:pPr>
      <w:r>
        <w:rPr>
          <w:rFonts w:hint="eastAsia" w:ascii="宋体" w:hAnsi="宋体" w:eastAsia="宋体" w:cs="宋体"/>
          <w:sz w:val="24"/>
          <w:szCs w:val="24"/>
        </w:rPr>
        <w:t>3、出水铝盐含量也会增加，水质安全达不到要求。</w:t>
      </w:r>
    </w:p>
    <w:p w14:paraId="7D7768C9">
      <w:pPr>
        <w:numPr>
          <w:ilvl w:val="0"/>
          <w:numId w:val="0"/>
        </w:numPr>
        <w:autoSpaceDE w:val="0"/>
        <w:autoSpaceDN w:val="0"/>
        <w:adjustRightInd w:val="0"/>
        <w:spacing w:line="360" w:lineRule="auto"/>
        <w:ind w:left="0" w:leftChars="0" w:firstLine="420" w:firstLineChars="175"/>
        <w:jc w:val="left"/>
        <w:rPr>
          <w:rFonts w:hint="eastAsia" w:ascii="宋体" w:hAnsi="宋体" w:eastAsia="宋体" w:cs="宋体"/>
          <w:sz w:val="24"/>
          <w:szCs w:val="24"/>
          <w:lang w:eastAsia="zh-CN"/>
        </w:rPr>
      </w:pPr>
      <w:r>
        <w:rPr>
          <w:rFonts w:hint="eastAsia" w:ascii="宋体" w:hAnsi="宋体" w:eastAsia="宋体" w:cs="宋体"/>
          <w:sz w:val="24"/>
          <w:szCs w:val="24"/>
        </w:rPr>
        <w:t>在无机高分子混凝剂中,铝系混凝剂品种较多,制备工艺方法较为成熟、成本低、混凝效果好</w:t>
      </w:r>
      <w:r>
        <w:rPr>
          <w:rFonts w:hint="eastAsia" w:ascii="宋体" w:hAnsi="宋体" w:eastAsia="宋体" w:cs="宋体"/>
          <w:sz w:val="24"/>
          <w:szCs w:val="24"/>
          <w:lang w:eastAsia="zh-CN"/>
        </w:rPr>
        <w:t>。</w:t>
      </w:r>
    </w:p>
    <w:p w14:paraId="5F58AC0F">
      <w:pPr>
        <w:spacing w:line="240" w:lineRule="auto"/>
        <w:ind w:left="0" w:leftChars="0" w:firstLine="0" w:firstLineChars="0"/>
        <w:jc w:val="center"/>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表1-无机高分子混凝剂综合对比</w:t>
      </w:r>
    </w:p>
    <w:tbl>
      <w:tblPr>
        <w:tblStyle w:val="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5"/>
        <w:gridCol w:w="2004"/>
        <w:gridCol w:w="2513"/>
        <w:gridCol w:w="3150"/>
      </w:tblGrid>
      <w:tr w14:paraId="46B5FC41">
        <w:trPr>
          <w:trHeight w:val="270" w:hRule="atLeast"/>
        </w:trPr>
        <w:tc>
          <w:tcPr>
            <w:tcW w:w="695" w:type="pct"/>
            <w:tcBorders>
              <w:top w:val="single" w:color="000000" w:sz="4" w:space="0"/>
              <w:left w:val="single" w:color="000000" w:sz="4" w:space="0"/>
              <w:bottom w:val="single" w:color="000000" w:sz="4" w:space="0"/>
              <w:right w:val="single" w:color="000000" w:sz="4" w:space="0"/>
            </w:tcBorders>
            <w:noWrap/>
            <w:vAlign w:val="center"/>
          </w:tcPr>
          <w:p w14:paraId="70AA46A8">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分类</w:t>
            </w:r>
          </w:p>
        </w:tc>
        <w:tc>
          <w:tcPr>
            <w:tcW w:w="1289" w:type="pct"/>
            <w:tcBorders>
              <w:top w:val="single" w:color="000000" w:sz="4" w:space="0"/>
              <w:left w:val="single" w:color="000000" w:sz="4" w:space="0"/>
              <w:bottom w:val="single" w:color="000000" w:sz="4" w:space="0"/>
              <w:right w:val="single" w:color="000000" w:sz="4" w:space="0"/>
            </w:tcBorders>
            <w:noWrap/>
            <w:vAlign w:val="center"/>
          </w:tcPr>
          <w:p w14:paraId="6C53CD57">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优点</w:t>
            </w:r>
          </w:p>
        </w:tc>
        <w:tc>
          <w:tcPr>
            <w:tcW w:w="1442" w:type="pct"/>
            <w:tcBorders>
              <w:top w:val="single" w:color="000000" w:sz="4" w:space="0"/>
              <w:left w:val="single" w:color="000000" w:sz="4" w:space="0"/>
              <w:bottom w:val="single" w:color="000000" w:sz="4" w:space="0"/>
              <w:right w:val="single" w:color="000000" w:sz="4" w:space="0"/>
            </w:tcBorders>
            <w:noWrap/>
            <w:vAlign w:val="center"/>
          </w:tcPr>
          <w:p w14:paraId="182B1F99">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缺点</w:t>
            </w:r>
          </w:p>
        </w:tc>
        <w:tc>
          <w:tcPr>
            <w:tcW w:w="1572" w:type="pct"/>
            <w:tcBorders>
              <w:top w:val="single" w:color="000000" w:sz="4" w:space="0"/>
              <w:left w:val="single" w:color="000000" w:sz="4" w:space="0"/>
              <w:bottom w:val="single" w:color="000000" w:sz="4" w:space="0"/>
              <w:right w:val="single" w:color="000000" w:sz="4" w:space="0"/>
            </w:tcBorders>
            <w:noWrap/>
            <w:vAlign w:val="center"/>
          </w:tcPr>
          <w:p w14:paraId="586572CD">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备注</w:t>
            </w:r>
          </w:p>
        </w:tc>
      </w:tr>
      <w:tr w14:paraId="3F42A36D">
        <w:trPr>
          <w:trHeight w:val="810" w:hRule="atLeast"/>
        </w:trPr>
        <w:tc>
          <w:tcPr>
            <w:tcW w:w="695" w:type="pct"/>
            <w:tcBorders>
              <w:top w:val="single" w:color="000000" w:sz="4" w:space="0"/>
              <w:left w:val="single" w:color="000000" w:sz="4" w:space="0"/>
              <w:bottom w:val="single" w:color="000000" w:sz="4" w:space="0"/>
              <w:right w:val="single" w:color="000000" w:sz="4" w:space="0"/>
            </w:tcBorders>
            <w:noWrap/>
            <w:vAlign w:val="center"/>
          </w:tcPr>
          <w:p w14:paraId="6ED008CE">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铝系混凝剂</w:t>
            </w:r>
          </w:p>
        </w:tc>
        <w:tc>
          <w:tcPr>
            <w:tcW w:w="1289" w:type="pct"/>
            <w:tcBorders>
              <w:top w:val="single" w:color="000000" w:sz="4" w:space="0"/>
              <w:left w:val="single" w:color="000000" w:sz="4" w:space="0"/>
              <w:bottom w:val="single" w:color="000000" w:sz="4" w:space="0"/>
              <w:right w:val="single" w:color="000000" w:sz="4" w:space="0"/>
            </w:tcBorders>
            <w:noWrap/>
            <w:vAlign w:val="center"/>
          </w:tcPr>
          <w:p w14:paraId="4054121C">
            <w:pPr>
              <w:keepNext w:val="0"/>
              <w:keepLines w:val="0"/>
              <w:widowControl/>
              <w:suppressLineNumbers w:val="0"/>
              <w:spacing w:line="240" w:lineRule="auto"/>
              <w:jc w:val="left"/>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混凝效果好、成本低、技术成熟</w:t>
            </w:r>
          </w:p>
        </w:tc>
        <w:tc>
          <w:tcPr>
            <w:tcW w:w="1442" w:type="pct"/>
            <w:tcBorders>
              <w:top w:val="single" w:color="000000" w:sz="4" w:space="0"/>
              <w:left w:val="single" w:color="000000" w:sz="4" w:space="0"/>
              <w:bottom w:val="single" w:color="000000" w:sz="4" w:space="0"/>
              <w:right w:val="single" w:color="000000" w:sz="4" w:space="0"/>
            </w:tcBorders>
            <w:noWrap/>
            <w:vAlign w:val="center"/>
          </w:tcPr>
          <w:p w14:paraId="290A5CDC">
            <w:pPr>
              <w:keepNext w:val="0"/>
              <w:keepLines w:val="0"/>
              <w:widowControl/>
              <w:suppressLineNumbers w:val="0"/>
              <w:spacing w:line="240" w:lineRule="auto"/>
              <w:jc w:val="left"/>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pH敏感、铝残留风险、低温效果差</w:t>
            </w:r>
          </w:p>
        </w:tc>
        <w:tc>
          <w:tcPr>
            <w:tcW w:w="1572" w:type="pct"/>
            <w:tcBorders>
              <w:top w:val="single" w:color="000000" w:sz="4" w:space="0"/>
              <w:left w:val="single" w:color="000000" w:sz="4" w:space="0"/>
              <w:bottom w:val="single" w:color="000000" w:sz="4" w:space="0"/>
              <w:right w:val="single" w:color="000000" w:sz="4" w:space="0"/>
            </w:tcBorders>
            <w:noWrap w:val="0"/>
            <w:vAlign w:val="center"/>
          </w:tcPr>
          <w:p w14:paraId="593C3CB4">
            <w:pPr>
              <w:keepNext w:val="0"/>
              <w:keepLines w:val="0"/>
              <w:widowControl/>
              <w:suppressLineNumbers w:val="0"/>
              <w:spacing w:line="240" w:lineRule="auto"/>
              <w:jc w:val="left"/>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国内应用最广、使用量最大的主流水处理药剂</w:t>
            </w:r>
          </w:p>
        </w:tc>
      </w:tr>
      <w:tr w14:paraId="7DF80EEA">
        <w:trPr>
          <w:trHeight w:val="540" w:hRule="atLeast"/>
        </w:trPr>
        <w:tc>
          <w:tcPr>
            <w:tcW w:w="695" w:type="pct"/>
            <w:tcBorders>
              <w:top w:val="single" w:color="000000" w:sz="4" w:space="0"/>
              <w:left w:val="single" w:color="000000" w:sz="4" w:space="0"/>
              <w:bottom w:val="single" w:color="000000" w:sz="4" w:space="0"/>
              <w:right w:val="single" w:color="000000" w:sz="4" w:space="0"/>
            </w:tcBorders>
            <w:noWrap/>
            <w:vAlign w:val="center"/>
          </w:tcPr>
          <w:p w14:paraId="742B9AF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铁系混凝剂</w:t>
            </w:r>
          </w:p>
        </w:tc>
        <w:tc>
          <w:tcPr>
            <w:tcW w:w="1289" w:type="pct"/>
            <w:tcBorders>
              <w:top w:val="single" w:color="000000" w:sz="4" w:space="0"/>
              <w:left w:val="single" w:color="000000" w:sz="4" w:space="0"/>
              <w:bottom w:val="single" w:color="000000" w:sz="4" w:space="0"/>
              <w:right w:val="single" w:color="000000" w:sz="4" w:space="0"/>
            </w:tcBorders>
            <w:noWrap/>
            <w:vAlign w:val="center"/>
          </w:tcPr>
          <w:p w14:paraId="4B586B33">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沉降快、除磷好、适应性强</w:t>
            </w:r>
          </w:p>
        </w:tc>
        <w:tc>
          <w:tcPr>
            <w:tcW w:w="1442" w:type="pct"/>
            <w:tcBorders>
              <w:top w:val="single" w:color="000000" w:sz="4" w:space="0"/>
              <w:left w:val="single" w:color="000000" w:sz="4" w:space="0"/>
              <w:bottom w:val="single" w:color="000000" w:sz="4" w:space="0"/>
              <w:right w:val="single" w:color="000000" w:sz="4" w:space="0"/>
            </w:tcBorders>
            <w:noWrap/>
            <w:vAlign w:val="center"/>
          </w:tcPr>
          <w:p w14:paraId="0867F369">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color w:val="000000"/>
                <w:kern w:val="0"/>
                <w:sz w:val="18"/>
                <w:szCs w:val="18"/>
                <w:lang w:bidi="ar"/>
              </w:rPr>
              <w:t>腐蚀性强、色度问题、铁残留风险</w:t>
            </w:r>
          </w:p>
        </w:tc>
        <w:tc>
          <w:tcPr>
            <w:tcW w:w="1572" w:type="pct"/>
            <w:tcBorders>
              <w:top w:val="single" w:color="000000" w:sz="4" w:space="0"/>
              <w:left w:val="single" w:color="000000" w:sz="4" w:space="0"/>
              <w:bottom w:val="single" w:color="000000" w:sz="4" w:space="0"/>
              <w:right w:val="single" w:color="000000" w:sz="4" w:space="0"/>
            </w:tcBorders>
            <w:noWrap/>
            <w:vAlign w:val="center"/>
          </w:tcPr>
          <w:p w14:paraId="0B878E17">
            <w:pPr>
              <w:rPr>
                <w:rFonts w:hint="eastAsia" w:ascii="宋体" w:hAnsi="宋体" w:eastAsia="宋体" w:cs="宋体"/>
                <w:i w:val="0"/>
                <w:iCs w:val="0"/>
                <w:color w:val="000000"/>
                <w:sz w:val="18"/>
                <w:szCs w:val="18"/>
                <w:u w:val="none"/>
              </w:rPr>
            </w:pPr>
            <w:r>
              <w:rPr>
                <w:rFonts w:hint="eastAsia" w:ascii="宋体" w:hAnsi="宋体" w:eastAsia="宋体" w:cs="宋体"/>
                <w:color w:val="000000"/>
                <w:sz w:val="18"/>
                <w:szCs w:val="18"/>
              </w:rPr>
              <w:t>多用于工业废水处理、投加量需控制以避免二次污染</w:t>
            </w:r>
          </w:p>
        </w:tc>
      </w:tr>
      <w:tr w14:paraId="7C155ADC">
        <w:trPr>
          <w:trHeight w:val="810" w:hRule="atLeast"/>
        </w:trPr>
        <w:tc>
          <w:tcPr>
            <w:tcW w:w="695" w:type="pct"/>
            <w:tcBorders>
              <w:top w:val="single" w:color="000000" w:sz="4" w:space="0"/>
              <w:left w:val="single" w:color="000000" w:sz="4" w:space="0"/>
              <w:bottom w:val="single" w:color="000000" w:sz="4" w:space="0"/>
              <w:right w:val="single" w:color="000000" w:sz="4" w:space="0"/>
            </w:tcBorders>
            <w:noWrap/>
            <w:vAlign w:val="center"/>
          </w:tcPr>
          <w:p w14:paraId="1ACFB3E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有机高分子</w:t>
            </w:r>
          </w:p>
        </w:tc>
        <w:tc>
          <w:tcPr>
            <w:tcW w:w="1289" w:type="pct"/>
            <w:tcBorders>
              <w:top w:val="single" w:color="000000" w:sz="4" w:space="0"/>
              <w:left w:val="single" w:color="000000" w:sz="4" w:space="0"/>
              <w:bottom w:val="single" w:color="000000" w:sz="4" w:space="0"/>
              <w:right w:val="single" w:color="000000" w:sz="4" w:space="0"/>
            </w:tcBorders>
            <w:noWrap/>
            <w:vAlign w:val="center"/>
          </w:tcPr>
          <w:p w14:paraId="567A4069">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高效助凝、投加量少、适应性强</w:t>
            </w:r>
          </w:p>
        </w:tc>
        <w:tc>
          <w:tcPr>
            <w:tcW w:w="1442" w:type="pct"/>
            <w:tcBorders>
              <w:top w:val="single" w:color="000000" w:sz="4" w:space="0"/>
              <w:left w:val="single" w:color="000000" w:sz="4" w:space="0"/>
              <w:bottom w:val="single" w:color="000000" w:sz="4" w:space="0"/>
              <w:right w:val="single" w:color="000000" w:sz="4" w:space="0"/>
            </w:tcBorders>
            <w:noWrap/>
            <w:vAlign w:val="center"/>
          </w:tcPr>
          <w:p w14:paraId="7F7F5F2A">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color w:val="000000"/>
                <w:kern w:val="0"/>
                <w:sz w:val="18"/>
                <w:szCs w:val="18"/>
                <w:lang w:bidi="ar"/>
              </w:rPr>
              <w:t>成本高、残留单体毒性风险、难生物降解</w:t>
            </w:r>
          </w:p>
        </w:tc>
        <w:tc>
          <w:tcPr>
            <w:tcW w:w="1572" w:type="pct"/>
            <w:tcBorders>
              <w:top w:val="single" w:color="000000" w:sz="4" w:space="0"/>
              <w:left w:val="single" w:color="000000" w:sz="4" w:space="0"/>
              <w:bottom w:val="single" w:color="000000" w:sz="4" w:space="0"/>
              <w:right w:val="single" w:color="000000" w:sz="4" w:space="0"/>
            </w:tcBorders>
            <w:noWrap/>
            <w:vAlign w:val="center"/>
          </w:tcPr>
          <w:p w14:paraId="7721C15C">
            <w:pPr>
              <w:rPr>
                <w:rFonts w:hint="eastAsia" w:ascii="宋体" w:hAnsi="宋体" w:eastAsia="宋体" w:cs="宋体"/>
                <w:i w:val="0"/>
                <w:iCs w:val="0"/>
                <w:color w:val="000000"/>
                <w:sz w:val="18"/>
                <w:szCs w:val="18"/>
                <w:u w:val="none"/>
              </w:rPr>
            </w:pPr>
            <w:r>
              <w:rPr>
                <w:rFonts w:hint="eastAsia" w:ascii="宋体" w:hAnsi="宋体" w:eastAsia="宋体" w:cs="宋体"/>
                <w:color w:val="000000"/>
                <w:sz w:val="18"/>
                <w:szCs w:val="18"/>
              </w:rPr>
              <w:t>常与无极混凝剂复配使用</w:t>
            </w:r>
          </w:p>
        </w:tc>
      </w:tr>
      <w:tr w14:paraId="65BB046F">
        <w:trPr>
          <w:trHeight w:val="540" w:hRule="atLeast"/>
        </w:trPr>
        <w:tc>
          <w:tcPr>
            <w:tcW w:w="695" w:type="pct"/>
            <w:tcBorders>
              <w:top w:val="single" w:color="000000" w:sz="4" w:space="0"/>
              <w:left w:val="single" w:color="000000" w:sz="4" w:space="0"/>
              <w:bottom w:val="single" w:color="000000" w:sz="4" w:space="0"/>
              <w:right w:val="single" w:color="000000" w:sz="4" w:space="0"/>
            </w:tcBorders>
            <w:noWrap/>
            <w:vAlign w:val="center"/>
          </w:tcPr>
          <w:p w14:paraId="2ED4F79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复合混凝剂</w:t>
            </w:r>
          </w:p>
        </w:tc>
        <w:tc>
          <w:tcPr>
            <w:tcW w:w="1289" w:type="pct"/>
            <w:tcBorders>
              <w:top w:val="single" w:color="000000" w:sz="4" w:space="0"/>
              <w:left w:val="single" w:color="000000" w:sz="4" w:space="0"/>
              <w:bottom w:val="single" w:color="000000" w:sz="4" w:space="0"/>
              <w:right w:val="single" w:color="000000" w:sz="4" w:space="0"/>
            </w:tcBorders>
            <w:noWrap/>
            <w:vAlign w:val="center"/>
          </w:tcPr>
          <w:p w14:paraId="19D52C3C">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协同增效、适应性强、残留低</w:t>
            </w:r>
          </w:p>
        </w:tc>
        <w:tc>
          <w:tcPr>
            <w:tcW w:w="1442" w:type="pct"/>
            <w:tcBorders>
              <w:top w:val="single" w:color="000000" w:sz="4" w:space="0"/>
              <w:left w:val="single" w:color="000000" w:sz="4" w:space="0"/>
              <w:bottom w:val="single" w:color="000000" w:sz="4" w:space="0"/>
              <w:right w:val="single" w:color="000000" w:sz="4" w:space="0"/>
            </w:tcBorders>
            <w:noWrap/>
            <w:vAlign w:val="center"/>
          </w:tcPr>
          <w:p w14:paraId="606B4A17">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color w:val="000000"/>
                <w:kern w:val="0"/>
                <w:sz w:val="18"/>
                <w:szCs w:val="18"/>
                <w:lang w:bidi="ar"/>
              </w:rPr>
              <w:t>成本较高、标准化不足</w:t>
            </w:r>
          </w:p>
        </w:tc>
        <w:tc>
          <w:tcPr>
            <w:tcW w:w="1572" w:type="pct"/>
            <w:tcBorders>
              <w:top w:val="single" w:color="000000" w:sz="4" w:space="0"/>
              <w:left w:val="single" w:color="000000" w:sz="4" w:space="0"/>
              <w:bottom w:val="single" w:color="000000" w:sz="4" w:space="0"/>
              <w:right w:val="single" w:color="000000" w:sz="4" w:space="0"/>
            </w:tcBorders>
            <w:noWrap/>
            <w:vAlign w:val="center"/>
          </w:tcPr>
          <w:p w14:paraId="5EC7A38D">
            <w:pPr>
              <w:rPr>
                <w:rFonts w:hint="eastAsia" w:ascii="宋体" w:hAnsi="宋体" w:eastAsia="宋体" w:cs="宋体"/>
                <w:i w:val="0"/>
                <w:iCs w:val="0"/>
                <w:color w:val="000000"/>
                <w:sz w:val="18"/>
                <w:szCs w:val="18"/>
                <w:u w:val="none"/>
              </w:rPr>
            </w:pPr>
            <w:r>
              <w:rPr>
                <w:rFonts w:hint="eastAsia" w:ascii="宋体" w:hAnsi="宋体" w:eastAsia="宋体" w:cs="宋体"/>
                <w:color w:val="000000"/>
                <w:sz w:val="18"/>
                <w:szCs w:val="18"/>
              </w:rPr>
              <w:t>研究热点，需完善行业标准以提升稳定性</w:t>
            </w:r>
          </w:p>
        </w:tc>
      </w:tr>
      <w:tr w14:paraId="2F5C0075">
        <w:trPr>
          <w:trHeight w:val="540" w:hRule="atLeast"/>
        </w:trPr>
        <w:tc>
          <w:tcPr>
            <w:tcW w:w="695" w:type="pct"/>
            <w:tcBorders>
              <w:top w:val="single" w:color="000000" w:sz="4" w:space="0"/>
              <w:left w:val="single" w:color="000000" w:sz="4" w:space="0"/>
              <w:bottom w:val="single" w:color="000000" w:sz="4" w:space="0"/>
              <w:right w:val="single" w:color="000000" w:sz="4" w:space="0"/>
            </w:tcBorders>
            <w:noWrap/>
            <w:vAlign w:val="center"/>
          </w:tcPr>
          <w:p w14:paraId="2149362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天然混凝剂</w:t>
            </w:r>
          </w:p>
        </w:tc>
        <w:tc>
          <w:tcPr>
            <w:tcW w:w="1289" w:type="pct"/>
            <w:tcBorders>
              <w:top w:val="single" w:color="000000" w:sz="4" w:space="0"/>
              <w:left w:val="single" w:color="000000" w:sz="4" w:space="0"/>
              <w:bottom w:val="single" w:color="000000" w:sz="4" w:space="0"/>
              <w:right w:val="single" w:color="000000" w:sz="4" w:space="0"/>
            </w:tcBorders>
            <w:noWrap/>
            <w:vAlign w:val="center"/>
          </w:tcPr>
          <w:p w14:paraId="13F399A3">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环保安全、多功能性</w:t>
            </w:r>
          </w:p>
        </w:tc>
        <w:tc>
          <w:tcPr>
            <w:tcW w:w="1442" w:type="pct"/>
            <w:tcBorders>
              <w:top w:val="single" w:color="000000" w:sz="4" w:space="0"/>
              <w:left w:val="single" w:color="000000" w:sz="4" w:space="0"/>
              <w:bottom w:val="single" w:color="000000" w:sz="4" w:space="0"/>
              <w:right w:val="single" w:color="000000" w:sz="4" w:space="0"/>
            </w:tcBorders>
            <w:noWrap/>
            <w:vAlign w:val="center"/>
          </w:tcPr>
          <w:p w14:paraId="5C627FC3">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color w:val="000000"/>
                <w:kern w:val="0"/>
                <w:sz w:val="18"/>
                <w:szCs w:val="18"/>
                <w:lang w:bidi="ar"/>
              </w:rPr>
              <w:t>成本高、效果不稳定、应用范围窄</w:t>
            </w:r>
          </w:p>
        </w:tc>
        <w:tc>
          <w:tcPr>
            <w:tcW w:w="1572" w:type="pct"/>
            <w:tcBorders>
              <w:top w:val="single" w:color="000000" w:sz="4" w:space="0"/>
              <w:left w:val="single" w:color="000000" w:sz="4" w:space="0"/>
              <w:bottom w:val="single" w:color="000000" w:sz="4" w:space="0"/>
              <w:right w:val="single" w:color="000000" w:sz="4" w:space="0"/>
            </w:tcBorders>
            <w:noWrap/>
            <w:vAlign w:val="center"/>
          </w:tcPr>
          <w:p w14:paraId="23EF72A6">
            <w:pPr>
              <w:rPr>
                <w:rFonts w:hint="eastAsia" w:ascii="宋体" w:hAnsi="宋体" w:eastAsia="宋体" w:cs="宋体"/>
                <w:i w:val="0"/>
                <w:iCs w:val="0"/>
                <w:color w:val="000000"/>
                <w:sz w:val="18"/>
                <w:szCs w:val="18"/>
                <w:u w:val="none"/>
              </w:rPr>
            </w:pPr>
            <w:r>
              <w:rPr>
                <w:rFonts w:hint="eastAsia" w:ascii="宋体" w:hAnsi="宋体" w:eastAsia="宋体" w:cs="宋体"/>
                <w:color w:val="000000"/>
                <w:sz w:val="18"/>
                <w:szCs w:val="18"/>
              </w:rPr>
              <w:t>适用于生态敏感区</w:t>
            </w:r>
          </w:p>
        </w:tc>
      </w:tr>
    </w:tbl>
    <w:p w14:paraId="28245F48">
      <w:pPr>
        <w:numPr>
          <w:ilvl w:val="0"/>
          <w:numId w:val="0"/>
        </w:numPr>
        <w:autoSpaceDE w:val="0"/>
        <w:autoSpaceDN w:val="0"/>
        <w:adjustRightInd w:val="0"/>
        <w:spacing w:line="360" w:lineRule="auto"/>
        <w:ind w:left="0" w:leftChars="0" w:firstLine="420" w:firstLineChars="175"/>
        <w:jc w:val="left"/>
        <w:rPr>
          <w:rFonts w:hint="eastAsia" w:ascii="宋体" w:hAnsi="宋体" w:eastAsia="宋体" w:cs="宋体"/>
          <w:sz w:val="24"/>
          <w:szCs w:val="24"/>
        </w:rPr>
      </w:pPr>
      <w:r>
        <w:rPr>
          <w:rFonts w:hint="eastAsia" w:ascii="宋体" w:hAnsi="宋体" w:eastAsia="宋体" w:cs="宋体"/>
          <w:sz w:val="24"/>
          <w:szCs w:val="24"/>
        </w:rPr>
        <w:t>在铝系混凝剂中，聚合氯化铝(Polyaluminium Chloride),简称PAC,通常也称作碱式氯化铝、聚羟基铝等,是当前工业生产技术最成熟、效能最高、应用最为广泛的品种。研究表明，混凝剂中铝形态的分布是影响混凝效果的重要因素之一。依据聚合度的不同聚合氯化铝中的铝形态可划分为单体态(Al</w:t>
      </w:r>
      <w:r>
        <w:rPr>
          <w:rFonts w:hint="eastAsia" w:ascii="宋体" w:hAnsi="宋体" w:eastAsia="宋体" w:cs="宋体"/>
          <w:sz w:val="24"/>
          <w:szCs w:val="24"/>
          <w:vertAlign w:val="subscript"/>
        </w:rPr>
        <w:t>a</w:t>
      </w:r>
      <w:r>
        <w:rPr>
          <w:rFonts w:hint="eastAsia" w:ascii="宋体" w:hAnsi="宋体" w:eastAsia="宋体" w:cs="宋体"/>
          <w:sz w:val="24"/>
          <w:szCs w:val="24"/>
        </w:rPr>
        <w:t>)、聚合态(Al</w:t>
      </w:r>
      <w:r>
        <w:rPr>
          <w:rFonts w:hint="eastAsia" w:ascii="宋体" w:hAnsi="宋体" w:eastAsia="宋体" w:cs="宋体"/>
          <w:sz w:val="24"/>
          <w:szCs w:val="24"/>
          <w:vertAlign w:val="subscript"/>
        </w:rPr>
        <w:t>b</w:t>
      </w:r>
      <w:r>
        <w:rPr>
          <w:rFonts w:hint="eastAsia" w:ascii="宋体" w:hAnsi="宋体" w:eastAsia="宋体" w:cs="宋体"/>
          <w:sz w:val="24"/>
          <w:szCs w:val="24"/>
        </w:rPr>
        <w:t>)及溶胶/凝胶态(Al</w:t>
      </w:r>
      <w:r>
        <w:rPr>
          <w:rFonts w:hint="eastAsia" w:ascii="宋体" w:hAnsi="宋体" w:eastAsia="宋体" w:cs="宋体"/>
          <w:sz w:val="24"/>
          <w:szCs w:val="24"/>
          <w:vertAlign w:val="subscript"/>
        </w:rPr>
        <w:t>c</w:t>
      </w:r>
      <w:r>
        <w:rPr>
          <w:rFonts w:hint="eastAsia" w:ascii="宋体" w:hAnsi="宋体" w:eastAsia="宋体" w:cs="宋体"/>
          <w:sz w:val="24"/>
          <w:szCs w:val="24"/>
        </w:rPr>
        <w:t>)。硫酸铝等传统混凝剂以Al</w:t>
      </w:r>
      <w:r>
        <w:rPr>
          <w:rFonts w:hint="eastAsia" w:ascii="宋体" w:hAnsi="宋体" w:eastAsia="宋体" w:cs="宋体"/>
          <w:sz w:val="24"/>
          <w:szCs w:val="24"/>
          <w:vertAlign w:val="subscript"/>
        </w:rPr>
        <w:t>a</w:t>
      </w:r>
      <w:r>
        <w:rPr>
          <w:rFonts w:hint="eastAsia" w:ascii="宋体" w:hAnsi="宋体" w:eastAsia="宋体" w:cs="宋体"/>
          <w:sz w:val="24"/>
          <w:szCs w:val="24"/>
        </w:rPr>
        <w:t>形态为主，常规聚氯化铝则含有大量的初聚体及高聚合体，</w:t>
      </w:r>
      <w:r>
        <w:rPr>
          <w:rFonts w:hint="eastAsia" w:ascii="宋体" w:hAnsi="宋体" w:eastAsia="宋体" w:cs="宋体"/>
          <w:b/>
          <w:bCs/>
          <w:sz w:val="24"/>
          <w:szCs w:val="24"/>
        </w:rPr>
        <w:t>高纯纳米型聚氯化铝（以下简称为纳米聚合铝）</w:t>
      </w:r>
      <w:r>
        <w:rPr>
          <w:rFonts w:hint="eastAsia" w:ascii="宋体" w:hAnsi="宋体" w:eastAsia="宋体" w:cs="宋体"/>
          <w:sz w:val="24"/>
          <w:szCs w:val="24"/>
        </w:rPr>
        <w:t>在常规聚氯化铝的基础上进一步提升了Al</w:t>
      </w:r>
      <w:r>
        <w:rPr>
          <w:rFonts w:hint="eastAsia" w:ascii="宋体" w:hAnsi="宋体" w:eastAsia="宋体" w:cs="宋体"/>
          <w:sz w:val="24"/>
          <w:szCs w:val="24"/>
          <w:vertAlign w:val="subscript"/>
        </w:rPr>
        <w:t>b</w:t>
      </w:r>
      <w:r>
        <w:rPr>
          <w:rFonts w:hint="eastAsia" w:ascii="宋体" w:hAnsi="宋体" w:eastAsia="宋体" w:cs="宋体"/>
          <w:sz w:val="24"/>
          <w:szCs w:val="24"/>
        </w:rPr>
        <w:t>含量(超过70%)。与传统混凝剂相比，纳米聚合铝是一种新型高聚铝混凝剂(盐基度在70%左右)，在较低投加量下可达到最佳凝聚絮凝效果和更低的残余浊度，且具有良好的脱色及去除腐殖物效果。此外，能够显著提高固液分离效率，改善沉降及污泥脱水性能，缩短沉淀池的停留时间，增加产水量。已有研究表明，纳米聚合铝对低温低浊水（&lt;5℃）、高有机物废水（COD&gt;500 mg/L）的处理效率较传统铝盐提升30%-50%。</w:t>
      </w:r>
    </w:p>
    <w:p w14:paraId="5DAE0FFB">
      <w:pPr>
        <w:spacing w:line="240" w:lineRule="auto"/>
        <w:ind w:left="0" w:leftChars="0" w:firstLine="0" w:firstLineChars="0"/>
        <w:jc w:val="center"/>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表2-常见铝系混凝剂综合性能对比</w:t>
      </w:r>
    </w:p>
    <w:tbl>
      <w:tblPr>
        <w:tblStyle w:val="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13"/>
        <w:gridCol w:w="2545"/>
        <w:gridCol w:w="2407"/>
        <w:gridCol w:w="1854"/>
      </w:tblGrid>
      <w:tr w14:paraId="69D3E75D">
        <w:trPr>
          <w:trHeight w:val="270" w:hRule="atLeast"/>
        </w:trPr>
        <w:tc>
          <w:tcPr>
            <w:tcW w:w="1005" w:type="pct"/>
            <w:tcBorders>
              <w:top w:val="single" w:color="000000" w:sz="4" w:space="0"/>
              <w:left w:val="single" w:color="000000" w:sz="4" w:space="0"/>
              <w:bottom w:val="single" w:color="000000" w:sz="4" w:space="0"/>
              <w:right w:val="single" w:color="000000" w:sz="4" w:space="0"/>
            </w:tcBorders>
            <w:noWrap/>
            <w:vAlign w:val="center"/>
          </w:tcPr>
          <w:p w14:paraId="6CCEEF82">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产品</w:t>
            </w:r>
          </w:p>
        </w:tc>
        <w:tc>
          <w:tcPr>
            <w:tcW w:w="1493" w:type="pct"/>
            <w:tcBorders>
              <w:top w:val="single" w:color="000000" w:sz="4" w:space="0"/>
              <w:left w:val="single" w:color="000000" w:sz="4" w:space="0"/>
              <w:bottom w:val="single" w:color="000000" w:sz="4" w:space="0"/>
              <w:right w:val="single" w:color="000000" w:sz="4" w:space="0"/>
            </w:tcBorders>
            <w:noWrap/>
            <w:vAlign w:val="center"/>
          </w:tcPr>
          <w:p w14:paraId="03FB6E0E">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优点</w:t>
            </w:r>
          </w:p>
        </w:tc>
        <w:tc>
          <w:tcPr>
            <w:tcW w:w="1412" w:type="pct"/>
            <w:tcBorders>
              <w:top w:val="single" w:color="000000" w:sz="4" w:space="0"/>
              <w:left w:val="single" w:color="000000" w:sz="4" w:space="0"/>
              <w:bottom w:val="single" w:color="000000" w:sz="4" w:space="0"/>
              <w:right w:val="single" w:color="000000" w:sz="4" w:space="0"/>
            </w:tcBorders>
            <w:noWrap/>
            <w:vAlign w:val="center"/>
          </w:tcPr>
          <w:p w14:paraId="3F683062">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缺点</w:t>
            </w:r>
          </w:p>
        </w:tc>
        <w:tc>
          <w:tcPr>
            <w:tcW w:w="1088" w:type="pct"/>
            <w:tcBorders>
              <w:top w:val="single" w:color="000000" w:sz="4" w:space="0"/>
              <w:left w:val="single" w:color="000000" w:sz="4" w:space="0"/>
              <w:bottom w:val="single" w:color="000000" w:sz="4" w:space="0"/>
              <w:right w:val="single" w:color="000000" w:sz="4" w:space="0"/>
            </w:tcBorders>
            <w:noWrap/>
            <w:vAlign w:val="center"/>
          </w:tcPr>
          <w:p w14:paraId="66335143">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典型应用场景</w:t>
            </w:r>
          </w:p>
        </w:tc>
      </w:tr>
      <w:tr w14:paraId="2F17CD4C">
        <w:trPr>
          <w:trHeight w:val="810" w:hRule="atLeast"/>
        </w:trPr>
        <w:tc>
          <w:tcPr>
            <w:tcW w:w="1005" w:type="pct"/>
            <w:tcBorders>
              <w:top w:val="single" w:color="000000" w:sz="4" w:space="0"/>
              <w:left w:val="single" w:color="000000" w:sz="4" w:space="0"/>
              <w:bottom w:val="single" w:color="000000" w:sz="4" w:space="0"/>
              <w:right w:val="single" w:color="000000" w:sz="4" w:space="0"/>
            </w:tcBorders>
            <w:noWrap w:val="0"/>
            <w:vAlign w:val="center"/>
          </w:tcPr>
          <w:p w14:paraId="2894193B">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硫酸铝</w:t>
            </w:r>
          </w:p>
        </w:tc>
        <w:tc>
          <w:tcPr>
            <w:tcW w:w="1493" w:type="pct"/>
            <w:tcBorders>
              <w:top w:val="single" w:color="000000" w:sz="4" w:space="0"/>
              <w:left w:val="single" w:color="000000" w:sz="4" w:space="0"/>
              <w:bottom w:val="single" w:color="000000" w:sz="4" w:space="0"/>
              <w:right w:val="single" w:color="000000" w:sz="4" w:space="0"/>
            </w:tcBorders>
            <w:noWrap w:val="0"/>
            <w:vAlign w:val="center"/>
          </w:tcPr>
          <w:p w14:paraId="7A342014">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成本低、技术成熟、使用广泛</w:t>
            </w:r>
          </w:p>
        </w:tc>
        <w:tc>
          <w:tcPr>
            <w:tcW w:w="1412" w:type="pct"/>
            <w:tcBorders>
              <w:top w:val="single" w:color="000000" w:sz="4" w:space="0"/>
              <w:left w:val="single" w:color="000000" w:sz="4" w:space="0"/>
              <w:bottom w:val="single" w:color="000000" w:sz="4" w:space="0"/>
              <w:right w:val="single" w:color="000000" w:sz="4" w:space="0"/>
            </w:tcBorders>
            <w:noWrap w:val="0"/>
            <w:vAlign w:val="center"/>
          </w:tcPr>
          <w:p w14:paraId="51E5DD7D">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pH敏感、铝残留风险、低温效果差</w:t>
            </w:r>
          </w:p>
        </w:tc>
        <w:tc>
          <w:tcPr>
            <w:tcW w:w="1088" w:type="pct"/>
            <w:tcBorders>
              <w:top w:val="single" w:color="000000" w:sz="4" w:space="0"/>
              <w:left w:val="single" w:color="000000" w:sz="4" w:space="0"/>
              <w:bottom w:val="single" w:color="000000" w:sz="4" w:space="0"/>
              <w:right w:val="single" w:color="000000" w:sz="4" w:space="0"/>
            </w:tcBorders>
            <w:noWrap w:val="0"/>
            <w:vAlign w:val="center"/>
          </w:tcPr>
          <w:p w14:paraId="02CDDFAE">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一般地表水、生活饮用水</w:t>
            </w:r>
          </w:p>
        </w:tc>
      </w:tr>
      <w:tr w14:paraId="2C24252E">
        <w:trPr>
          <w:trHeight w:val="540" w:hRule="atLeast"/>
        </w:trPr>
        <w:tc>
          <w:tcPr>
            <w:tcW w:w="1005" w:type="pct"/>
            <w:tcBorders>
              <w:top w:val="single" w:color="000000" w:sz="4" w:space="0"/>
              <w:left w:val="single" w:color="000000" w:sz="4" w:space="0"/>
              <w:bottom w:val="single" w:color="000000" w:sz="4" w:space="0"/>
              <w:right w:val="single" w:color="000000" w:sz="4" w:space="0"/>
            </w:tcBorders>
            <w:noWrap w:val="0"/>
            <w:vAlign w:val="center"/>
          </w:tcPr>
          <w:p w14:paraId="3D699F5D">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聚氯化铝（</w:t>
            </w:r>
            <w:r>
              <w:rPr>
                <w:rFonts w:hint="eastAsia" w:ascii="宋体" w:hAnsi="宋体" w:eastAsia="宋体" w:cs="宋体"/>
                <w:color w:val="auto"/>
                <w:sz w:val="18"/>
                <w:szCs w:val="18"/>
                <w:lang w:val="en-US" w:eastAsia="zh-CN"/>
              </w:rPr>
              <w:t>PAC</w:t>
            </w:r>
            <w:r>
              <w:rPr>
                <w:rFonts w:hint="eastAsia" w:ascii="宋体" w:hAnsi="宋体" w:eastAsia="宋体" w:cs="宋体"/>
                <w:i w:val="0"/>
                <w:iCs w:val="0"/>
                <w:color w:val="000000"/>
                <w:kern w:val="0"/>
                <w:sz w:val="18"/>
                <w:szCs w:val="18"/>
                <w:u w:val="none"/>
                <w:lang w:val="en-US" w:eastAsia="zh-CN" w:bidi="ar"/>
              </w:rPr>
              <w:t>）</w:t>
            </w:r>
          </w:p>
        </w:tc>
        <w:tc>
          <w:tcPr>
            <w:tcW w:w="1493" w:type="pct"/>
            <w:tcBorders>
              <w:top w:val="single" w:color="000000" w:sz="4" w:space="0"/>
              <w:left w:val="single" w:color="000000" w:sz="4" w:space="0"/>
              <w:bottom w:val="single" w:color="000000" w:sz="4" w:space="0"/>
              <w:right w:val="single" w:color="000000" w:sz="4" w:space="0"/>
            </w:tcBorders>
            <w:noWrap w:val="0"/>
            <w:vAlign w:val="center"/>
          </w:tcPr>
          <w:p w14:paraId="58474BA7">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高效广谱、pH适应性强、残留低</w:t>
            </w:r>
          </w:p>
        </w:tc>
        <w:tc>
          <w:tcPr>
            <w:tcW w:w="1412" w:type="pct"/>
            <w:tcBorders>
              <w:top w:val="single" w:color="000000" w:sz="4" w:space="0"/>
              <w:left w:val="single" w:color="000000" w:sz="4" w:space="0"/>
              <w:bottom w:val="single" w:color="000000" w:sz="4" w:space="0"/>
              <w:right w:val="single" w:color="000000" w:sz="4" w:space="0"/>
            </w:tcBorders>
            <w:noWrap w:val="0"/>
            <w:vAlign w:val="center"/>
          </w:tcPr>
          <w:p w14:paraId="368A0253">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成本较高、低温效果有限</w:t>
            </w:r>
          </w:p>
        </w:tc>
        <w:tc>
          <w:tcPr>
            <w:tcW w:w="1088" w:type="pct"/>
            <w:tcBorders>
              <w:top w:val="single" w:color="000000" w:sz="4" w:space="0"/>
              <w:left w:val="single" w:color="000000" w:sz="4" w:space="0"/>
              <w:bottom w:val="single" w:color="000000" w:sz="4" w:space="0"/>
              <w:right w:val="single" w:color="000000" w:sz="4" w:space="0"/>
            </w:tcBorders>
            <w:noWrap w:val="0"/>
            <w:vAlign w:val="center"/>
          </w:tcPr>
          <w:p w14:paraId="3EBCC738">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多种水质、生活饮用水</w:t>
            </w:r>
          </w:p>
        </w:tc>
      </w:tr>
      <w:tr w14:paraId="058244A9">
        <w:trPr>
          <w:trHeight w:val="540" w:hRule="atLeast"/>
        </w:trPr>
        <w:tc>
          <w:tcPr>
            <w:tcW w:w="1005" w:type="pct"/>
            <w:tcBorders>
              <w:top w:val="single" w:color="000000" w:sz="4" w:space="0"/>
              <w:left w:val="single" w:color="000000" w:sz="4" w:space="0"/>
              <w:bottom w:val="single" w:color="000000" w:sz="4" w:space="0"/>
              <w:right w:val="single" w:color="000000" w:sz="4" w:space="0"/>
            </w:tcBorders>
            <w:noWrap w:val="0"/>
            <w:vAlign w:val="center"/>
          </w:tcPr>
          <w:p w14:paraId="794FC272">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聚合硫酸铝</w:t>
            </w:r>
          </w:p>
        </w:tc>
        <w:tc>
          <w:tcPr>
            <w:tcW w:w="1493" w:type="pct"/>
            <w:tcBorders>
              <w:top w:val="single" w:color="000000" w:sz="4" w:space="0"/>
              <w:left w:val="single" w:color="000000" w:sz="4" w:space="0"/>
              <w:bottom w:val="single" w:color="000000" w:sz="4" w:space="0"/>
              <w:right w:val="single" w:color="000000" w:sz="4" w:space="0"/>
            </w:tcBorders>
            <w:noWrap w:val="0"/>
            <w:vAlign w:val="center"/>
          </w:tcPr>
          <w:p w14:paraId="1B26F561">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混凝效果好、pH适应宽、残留低</w:t>
            </w:r>
          </w:p>
        </w:tc>
        <w:tc>
          <w:tcPr>
            <w:tcW w:w="1412" w:type="pct"/>
            <w:tcBorders>
              <w:top w:val="single" w:color="000000" w:sz="4" w:space="0"/>
              <w:left w:val="single" w:color="000000" w:sz="4" w:space="0"/>
              <w:bottom w:val="single" w:color="000000" w:sz="4" w:space="0"/>
              <w:right w:val="single" w:color="000000" w:sz="4" w:space="0"/>
            </w:tcBorders>
            <w:noWrap w:val="0"/>
            <w:vAlign w:val="center"/>
          </w:tcPr>
          <w:p w14:paraId="681772B7">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成本较高、应用范围有限</w:t>
            </w:r>
          </w:p>
        </w:tc>
        <w:tc>
          <w:tcPr>
            <w:tcW w:w="1088" w:type="pct"/>
            <w:tcBorders>
              <w:top w:val="single" w:color="000000" w:sz="4" w:space="0"/>
              <w:left w:val="single" w:color="000000" w:sz="4" w:space="0"/>
              <w:bottom w:val="single" w:color="000000" w:sz="4" w:space="0"/>
              <w:right w:val="single" w:color="000000" w:sz="4" w:space="0"/>
            </w:tcBorders>
            <w:noWrap w:val="0"/>
            <w:vAlign w:val="center"/>
          </w:tcPr>
          <w:p w14:paraId="2ACFDD7E">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特定水质处理</w:t>
            </w:r>
          </w:p>
        </w:tc>
      </w:tr>
      <w:tr w14:paraId="46FEE456">
        <w:trPr>
          <w:trHeight w:val="540" w:hRule="atLeast"/>
        </w:trPr>
        <w:tc>
          <w:tcPr>
            <w:tcW w:w="1005" w:type="pct"/>
            <w:tcBorders>
              <w:top w:val="single" w:color="000000" w:sz="4" w:space="0"/>
              <w:left w:val="single" w:color="000000" w:sz="4" w:space="0"/>
              <w:bottom w:val="single" w:color="000000" w:sz="4" w:space="0"/>
              <w:right w:val="single" w:color="000000" w:sz="4" w:space="0"/>
            </w:tcBorders>
            <w:noWrap w:val="0"/>
            <w:vAlign w:val="center"/>
          </w:tcPr>
          <w:p w14:paraId="126AC481">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聚合氯化铝铁</w:t>
            </w:r>
          </w:p>
        </w:tc>
        <w:tc>
          <w:tcPr>
            <w:tcW w:w="1493" w:type="pct"/>
            <w:tcBorders>
              <w:top w:val="single" w:color="000000" w:sz="4" w:space="0"/>
              <w:left w:val="single" w:color="000000" w:sz="4" w:space="0"/>
              <w:bottom w:val="single" w:color="000000" w:sz="4" w:space="0"/>
              <w:right w:val="single" w:color="000000" w:sz="4" w:space="0"/>
            </w:tcBorders>
            <w:noWrap w:val="0"/>
            <w:vAlign w:val="center"/>
          </w:tcPr>
          <w:p w14:paraId="5E03767E">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协同增效、适应性强、除磷能力强</w:t>
            </w:r>
          </w:p>
        </w:tc>
        <w:tc>
          <w:tcPr>
            <w:tcW w:w="1412" w:type="pct"/>
            <w:tcBorders>
              <w:top w:val="single" w:color="000000" w:sz="4" w:space="0"/>
              <w:left w:val="single" w:color="000000" w:sz="4" w:space="0"/>
              <w:bottom w:val="single" w:color="000000" w:sz="4" w:space="0"/>
              <w:right w:val="single" w:color="000000" w:sz="4" w:space="0"/>
            </w:tcBorders>
            <w:noWrap w:val="0"/>
            <w:vAlign w:val="center"/>
          </w:tcPr>
          <w:p w14:paraId="6FE122B0">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成本较高、标准化不足、色度问题</w:t>
            </w:r>
          </w:p>
        </w:tc>
        <w:tc>
          <w:tcPr>
            <w:tcW w:w="1088" w:type="pct"/>
            <w:tcBorders>
              <w:top w:val="single" w:color="000000" w:sz="4" w:space="0"/>
              <w:left w:val="single" w:color="000000" w:sz="4" w:space="0"/>
              <w:bottom w:val="single" w:color="000000" w:sz="4" w:space="0"/>
              <w:right w:val="single" w:color="000000" w:sz="4" w:space="0"/>
            </w:tcBorders>
            <w:noWrap w:val="0"/>
            <w:vAlign w:val="center"/>
          </w:tcPr>
          <w:p w14:paraId="30BAA370">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复杂水质、高磷废水</w:t>
            </w:r>
          </w:p>
        </w:tc>
      </w:tr>
      <w:tr w14:paraId="13C85072">
        <w:trPr>
          <w:trHeight w:val="540" w:hRule="atLeast"/>
        </w:trPr>
        <w:tc>
          <w:tcPr>
            <w:tcW w:w="1005" w:type="pct"/>
            <w:tcBorders>
              <w:top w:val="single" w:color="000000" w:sz="4" w:space="0"/>
              <w:left w:val="single" w:color="000000" w:sz="4" w:space="0"/>
              <w:bottom w:val="single" w:color="000000" w:sz="4" w:space="0"/>
              <w:right w:val="single" w:color="000000" w:sz="4" w:space="0"/>
            </w:tcBorders>
            <w:noWrap w:val="0"/>
            <w:vAlign w:val="center"/>
          </w:tcPr>
          <w:p w14:paraId="442BC484">
            <w:pPr>
              <w:keepNext w:val="0"/>
              <w:keepLines w:val="0"/>
              <w:widowControl/>
              <w:suppressLineNumbers w:val="0"/>
              <w:spacing w:line="240" w:lineRule="auto"/>
              <w:jc w:val="left"/>
              <w:textAlignment w:val="center"/>
              <w:rPr>
                <w:rFonts w:hint="eastAsia" w:ascii="宋体" w:hAnsi="宋体" w:eastAsia="宋体" w:cs="宋体"/>
                <w:b/>
                <w:bCs/>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纳米聚合铝</w:t>
            </w:r>
          </w:p>
        </w:tc>
        <w:tc>
          <w:tcPr>
            <w:tcW w:w="1493" w:type="pct"/>
            <w:tcBorders>
              <w:top w:val="single" w:color="000000" w:sz="4" w:space="0"/>
              <w:left w:val="single" w:color="000000" w:sz="4" w:space="0"/>
              <w:bottom w:val="single" w:color="000000" w:sz="4" w:space="0"/>
              <w:right w:val="single" w:color="000000" w:sz="4" w:space="0"/>
            </w:tcBorders>
            <w:noWrap w:val="0"/>
            <w:vAlign w:val="center"/>
          </w:tcPr>
          <w:p w14:paraId="56613E82">
            <w:pPr>
              <w:keepNext w:val="0"/>
              <w:keepLines w:val="0"/>
              <w:widowControl/>
              <w:suppressLineNumbers w:val="0"/>
              <w:spacing w:line="240" w:lineRule="auto"/>
              <w:jc w:val="left"/>
              <w:textAlignment w:val="center"/>
              <w:rPr>
                <w:rFonts w:hint="eastAsia" w:ascii="宋体" w:hAnsi="宋体" w:eastAsia="宋体" w:cs="宋体"/>
                <w:b/>
                <w:bCs/>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高效混凝、适应性强；</w:t>
            </w:r>
          </w:p>
          <w:p w14:paraId="2113CF51">
            <w:pPr>
              <w:keepNext w:val="0"/>
              <w:keepLines w:val="0"/>
              <w:widowControl/>
              <w:suppressLineNumbers w:val="0"/>
              <w:spacing w:line="240" w:lineRule="auto"/>
              <w:jc w:val="left"/>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bCs/>
                <w:i w:val="0"/>
                <w:iCs w:val="0"/>
                <w:color w:val="auto"/>
                <w:kern w:val="0"/>
                <w:sz w:val="18"/>
                <w:szCs w:val="18"/>
                <w:u w:val="none"/>
                <w:lang w:val="en-US" w:eastAsia="zh-CN" w:bidi="ar"/>
              </w:rPr>
              <w:t>投加量少，降低处理成本；</w:t>
            </w:r>
          </w:p>
          <w:p w14:paraId="126E1C8C">
            <w:pPr>
              <w:keepNext w:val="0"/>
              <w:keepLines w:val="0"/>
              <w:widowControl/>
              <w:suppressLineNumbers w:val="0"/>
              <w:spacing w:line="240" w:lineRule="auto"/>
              <w:jc w:val="left"/>
              <w:textAlignment w:val="center"/>
              <w:rPr>
                <w:rFonts w:hint="eastAsia" w:ascii="宋体" w:hAnsi="宋体" w:eastAsia="宋体" w:cs="宋体"/>
                <w:b/>
                <w:bCs/>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铝残留量较低，安全性高</w:t>
            </w:r>
          </w:p>
        </w:tc>
        <w:tc>
          <w:tcPr>
            <w:tcW w:w="1412" w:type="pct"/>
            <w:tcBorders>
              <w:top w:val="single" w:color="000000" w:sz="4" w:space="0"/>
              <w:left w:val="single" w:color="000000" w:sz="4" w:space="0"/>
              <w:bottom w:val="single" w:color="000000" w:sz="4" w:space="0"/>
              <w:right w:val="single" w:color="000000" w:sz="4" w:space="0"/>
            </w:tcBorders>
            <w:noWrap w:val="0"/>
            <w:vAlign w:val="center"/>
          </w:tcPr>
          <w:p w14:paraId="047B44B5">
            <w:pPr>
              <w:keepNext w:val="0"/>
              <w:keepLines w:val="0"/>
              <w:widowControl/>
              <w:suppressLineNumbers w:val="0"/>
              <w:spacing w:line="240" w:lineRule="auto"/>
              <w:jc w:val="left"/>
              <w:textAlignment w:val="center"/>
              <w:rPr>
                <w:rFonts w:hint="eastAsia" w:ascii="宋体" w:hAnsi="宋体" w:eastAsia="宋体" w:cs="宋体"/>
                <w:b/>
                <w:bCs/>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实验室技术已成熟，产业化进程较慢</w:t>
            </w:r>
          </w:p>
        </w:tc>
        <w:tc>
          <w:tcPr>
            <w:tcW w:w="1088" w:type="pct"/>
            <w:tcBorders>
              <w:top w:val="single" w:color="000000" w:sz="4" w:space="0"/>
              <w:left w:val="single" w:color="000000" w:sz="4" w:space="0"/>
              <w:bottom w:val="single" w:color="000000" w:sz="4" w:space="0"/>
              <w:right w:val="single" w:color="000000" w:sz="4" w:space="0"/>
            </w:tcBorders>
            <w:noWrap w:val="0"/>
            <w:vAlign w:val="center"/>
          </w:tcPr>
          <w:p w14:paraId="1D2A9F6D">
            <w:pPr>
              <w:keepNext w:val="0"/>
              <w:keepLines w:val="0"/>
              <w:widowControl/>
              <w:suppressLineNumbers w:val="0"/>
              <w:spacing w:line="240" w:lineRule="auto"/>
              <w:jc w:val="left"/>
              <w:textAlignment w:val="center"/>
              <w:rPr>
                <w:rFonts w:hint="eastAsia" w:ascii="宋体" w:hAnsi="宋体" w:eastAsia="宋体" w:cs="宋体"/>
                <w:b/>
                <w:bCs/>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低温低浊水、高浊水</w:t>
            </w:r>
          </w:p>
        </w:tc>
      </w:tr>
    </w:tbl>
    <w:p w14:paraId="59316503">
      <w:pPr>
        <w:pStyle w:val="4"/>
        <w:keepNext/>
        <w:keepLines/>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1.1.2、市场情况</w:t>
      </w:r>
    </w:p>
    <w:p w14:paraId="31B0083A">
      <w:pPr>
        <w:numPr>
          <w:ilvl w:val="0"/>
          <w:numId w:val="0"/>
        </w:numPr>
        <w:autoSpaceDE w:val="0"/>
        <w:autoSpaceDN w:val="0"/>
        <w:adjustRightInd w:val="0"/>
        <w:spacing w:line="360" w:lineRule="auto"/>
        <w:ind w:left="0" w:leftChars="0" w:firstLine="420" w:firstLineChars="175"/>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根据 BCC Research 数据，预计2023年全球水处理药剂市场规模将从2018年的345亿美元上升至466亿美元，约合人民币3212.6亿元。亚太地区是全球水处理药剂最大市场，2017年份额为31%。我国市场快速增长，BCC Research还预计2022年达到56亿美元，5年CAGR为8.3%，增速高于全球。</w:t>
      </w:r>
    </w:p>
    <w:p w14:paraId="7BA096C5">
      <w:pPr>
        <w:numPr>
          <w:ilvl w:val="0"/>
          <w:numId w:val="0"/>
        </w:numPr>
        <w:autoSpaceDE w:val="0"/>
        <w:autoSpaceDN w:val="0"/>
        <w:adjustRightInd w:val="0"/>
        <w:spacing w:line="360" w:lineRule="auto"/>
        <w:ind w:left="0" w:leftChars="0" w:firstLine="420" w:firstLineChars="175"/>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纳米聚合铝混凝剂作为新型水处理药剂，近年来市场规模逐步扩大。2022年全球水处理药剂市场规模约为400亿美元，其中纳米材料相关产品占比约5%（20亿美元），预计到2030年将增长至10%以上（40亿美元）。纳米聚合铝混凝剂的年复合增长率（CAGR）预计为8%~10%，高于传统混凝剂（5%~6%）。</w:t>
      </w:r>
    </w:p>
    <w:p w14:paraId="2DA16185">
      <w:pPr>
        <w:numPr>
          <w:ilvl w:val="0"/>
          <w:numId w:val="0"/>
        </w:numPr>
        <w:autoSpaceDE w:val="0"/>
        <w:autoSpaceDN w:val="0"/>
        <w:adjustRightInd w:val="0"/>
        <w:spacing w:line="360" w:lineRule="auto"/>
        <w:ind w:left="0" w:leftChars="0" w:firstLine="420" w:firstLineChars="175"/>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纳米聚合铝的制备技术（如溶胶-凝胶法、水热法、共沉淀法以及新兴绿色合成法等）已逐渐成熟，已知国内北京环球中科水务科技股份有限公司、河南碧尔环保科技有限公司、常熟华虞环境科技有限公司、天津天水净水材料有限责任公司等均已实现规模化生产应用。虽然目前由于规模化生产中存在颗粒团聚、传统水厂仍依赖传统混凝剂，对新兴材料的安全性和长期效果存在疑虑等原因，产业化进程较慢，但是</w:t>
      </w:r>
      <w:r>
        <w:rPr>
          <w:rFonts w:hint="eastAsia" w:ascii="宋体" w:hAnsi="宋体" w:eastAsia="宋体" w:cs="宋体"/>
          <w:b/>
          <w:bCs/>
          <w:sz w:val="24"/>
          <w:szCs w:val="24"/>
          <w:lang w:val="en-US" w:eastAsia="zh-CN"/>
        </w:rPr>
        <w:t>在以下因素驱动下，纳米聚合铝凭借其高效、低残留特性，在水处理市场具备广阔前景</w:t>
      </w:r>
      <w:r>
        <w:rPr>
          <w:rFonts w:hint="eastAsia" w:ascii="宋体" w:hAnsi="宋体" w:eastAsia="宋体" w:cs="宋体"/>
          <w:sz w:val="24"/>
          <w:szCs w:val="24"/>
          <w:lang w:val="en-US" w:eastAsia="zh-CN"/>
        </w:rPr>
        <w:t>：</w:t>
      </w:r>
    </w:p>
    <w:p w14:paraId="5E6ED6EB">
      <w:pPr>
        <w:numPr>
          <w:ilvl w:val="0"/>
          <w:numId w:val="3"/>
        </w:numPr>
        <w:autoSpaceDE w:val="0"/>
        <w:autoSpaceDN w:val="0"/>
        <w:adjustRightInd w:val="0"/>
        <w:spacing w:line="360" w:lineRule="auto"/>
        <w:ind w:left="425" w:leftChars="0" w:hanging="425"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环保政策趋严：全球范围内对饮用水安全、废水排放标准的提升，推动了对高效水处理剂的需求。</w:t>
      </w:r>
    </w:p>
    <w:p w14:paraId="2EEE06BD">
      <w:pPr>
        <w:numPr>
          <w:ilvl w:val="0"/>
          <w:numId w:val="3"/>
        </w:numPr>
        <w:autoSpaceDE w:val="0"/>
        <w:autoSpaceDN w:val="0"/>
        <w:adjustRightInd w:val="0"/>
        <w:spacing w:line="360" w:lineRule="auto"/>
        <w:ind w:left="425" w:leftChars="0" w:hanging="425"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水质复杂化：工业废水、微污染水源中难降解有机物、重金属的增加，市政饮用水处理中的低温低浊水源（如冬季水库水），应急水处理（如在洪涝、污染事故中快速净化水质）等场景下，传统混凝剂难以满足要求，纳米材料的高效吸附特性成为优势。</w:t>
      </w:r>
    </w:p>
    <w:p w14:paraId="1E602897">
      <w:pPr>
        <w:numPr>
          <w:ilvl w:val="0"/>
          <w:numId w:val="3"/>
        </w:numPr>
        <w:autoSpaceDE w:val="0"/>
        <w:autoSpaceDN w:val="0"/>
        <w:adjustRightInd w:val="0"/>
        <w:spacing w:line="360" w:lineRule="auto"/>
        <w:ind w:left="425" w:leftChars="0" w:hanging="425" w:firstLineChars="0"/>
        <w:jc w:val="left"/>
        <w:rPr>
          <w:rFonts w:hint="eastAsia" w:ascii="宋体" w:hAnsi="宋体" w:eastAsia="宋体" w:cs="宋体"/>
          <w:sz w:val="24"/>
          <w:szCs w:val="24"/>
          <w:lang w:val="en-US" w:eastAsia="zh-Hans"/>
        </w:rPr>
      </w:pPr>
      <w:r>
        <w:rPr>
          <w:rFonts w:hint="eastAsia" w:ascii="宋体" w:hAnsi="宋体" w:eastAsia="宋体" w:cs="宋体"/>
          <w:sz w:val="24"/>
          <w:szCs w:val="24"/>
          <w:lang w:val="en-US" w:eastAsia="zh-CN"/>
        </w:rPr>
        <w:t>技术升级需求：水处理行业向高效、低耗、智能化方向发展，纳米聚合铝的生产工艺技术逐渐成熟，纳米聚合铝在低温低浊水、高色度水等复杂场景中的应用潜力显著。</w:t>
      </w:r>
    </w:p>
    <w:p w14:paraId="3ED1B1E6">
      <w:pPr>
        <w:pStyle w:val="4"/>
        <w:keepNext/>
        <w:keepLines/>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1.1.3、标准化情况</w:t>
      </w:r>
    </w:p>
    <w:p w14:paraId="188113B0">
      <w:pPr>
        <w:widowControl w:val="0"/>
        <w:numPr>
          <w:ilvl w:val="0"/>
          <w:numId w:val="4"/>
        </w:numPr>
        <w:spacing w:line="360" w:lineRule="auto"/>
        <w:ind w:left="425" w:leftChars="0" w:hanging="425" w:firstLineChars="0"/>
        <w:jc w:val="both"/>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国外情况：</w:t>
      </w:r>
    </w:p>
    <w:p w14:paraId="22A70803">
      <w:pPr>
        <w:widowControl w:val="0"/>
        <w:numPr>
          <w:ilvl w:val="0"/>
          <w:numId w:val="0"/>
        </w:numPr>
        <w:spacing w:line="360" w:lineRule="auto"/>
        <w:ind w:left="5" w:leftChars="0"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kern w:val="2"/>
          <w:sz w:val="24"/>
          <w:szCs w:val="24"/>
          <w:lang w:val="en-US" w:eastAsia="zh-CN" w:bidi="ar-SA"/>
        </w:rPr>
        <w:t>欧美部分国家制定了饮用水处理化学品或者纳米材料安全性评估相关标准，比如美国NSF/ANSI 60-2021 Drinking Water Treatment Chemicals - Health Effects饮用水处理化学品的健康影响评价标准，暂无针对水处</w:t>
      </w:r>
      <w:r>
        <w:rPr>
          <w:rFonts w:hint="eastAsia" w:ascii="宋体" w:hAnsi="宋体" w:eastAsia="宋体" w:cs="宋体"/>
          <w:color w:val="auto"/>
          <w:kern w:val="2"/>
          <w:sz w:val="24"/>
          <w:szCs w:val="24"/>
          <w:lang w:val="en-US" w:eastAsia="zh-CN" w:bidi="ar-SA"/>
        </w:rPr>
        <w:t>理剂</w:t>
      </w:r>
      <w:r>
        <w:rPr>
          <w:rFonts w:hint="eastAsia" w:ascii="宋体" w:hAnsi="宋体" w:eastAsia="宋体" w:cs="宋体"/>
          <w:b w:val="0"/>
          <w:bCs w:val="0"/>
          <w:color w:val="auto"/>
          <w:kern w:val="2"/>
          <w:sz w:val="24"/>
          <w:szCs w:val="24"/>
          <w:lang w:val="en-US" w:eastAsia="zh-CN" w:bidi="ar-SA"/>
        </w:rPr>
        <w:t>纳米聚合铝相关的标准。</w:t>
      </w:r>
    </w:p>
    <w:p w14:paraId="70553DCD">
      <w:pPr>
        <w:widowControl w:val="0"/>
        <w:numPr>
          <w:ilvl w:val="0"/>
          <w:numId w:val="4"/>
        </w:numPr>
        <w:spacing w:line="360" w:lineRule="auto"/>
        <w:ind w:left="425" w:leftChars="0" w:hanging="425" w:firstLineChars="0"/>
        <w:jc w:val="both"/>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国内情况：</w:t>
      </w:r>
    </w:p>
    <w:p w14:paraId="0A4785E1">
      <w:pPr>
        <w:widowControl w:val="0"/>
        <w:numPr>
          <w:ilvl w:val="0"/>
          <w:numId w:val="0"/>
        </w:numPr>
        <w:spacing w:line="360" w:lineRule="auto"/>
        <w:ind w:left="0" w:leftChars="0" w:firstLine="420" w:firstLineChars="175"/>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已制定发布的水处理剂铝系混凝剂相关标准比较多，见下表2。相比于聚氯化铝（PAC）和硫酸铝，纳米聚合铝的应用时间较短，纳米聚合铝暂未形成相关国家标准、行业标准，实际应用中多参考聚氯化铝（PAC）的相关标准。</w:t>
      </w:r>
    </w:p>
    <w:p w14:paraId="7DDC01E5">
      <w:pPr>
        <w:widowControl w:val="0"/>
        <w:numPr>
          <w:ilvl w:val="0"/>
          <w:numId w:val="0"/>
        </w:numPr>
        <w:spacing w:line="240" w:lineRule="auto"/>
        <w:ind w:left="0" w:leftChars="0" w:firstLine="0" w:firstLineChars="0"/>
        <w:jc w:val="center"/>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表3 铝系混凝剂水处理剂相关标准</w:t>
      </w:r>
    </w:p>
    <w:tbl>
      <w:tblPr>
        <w:tblStyle w:val="6"/>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09"/>
        <w:gridCol w:w="4559"/>
        <w:gridCol w:w="1652"/>
      </w:tblGrid>
      <w:tr w14:paraId="2A5412D5">
        <w:trPr>
          <w:trHeight w:val="272" w:hRule="atLeast"/>
          <w:tblHeader/>
          <w:jc w:val="center"/>
        </w:trPr>
        <w:tc>
          <w:tcPr>
            <w:tcW w:w="1355" w:type="pct"/>
            <w:tcBorders>
              <w:top w:val="single" w:color="000000" w:sz="4" w:space="0"/>
              <w:left w:val="single" w:color="000000" w:sz="4" w:space="0"/>
              <w:bottom w:val="single" w:color="000000" w:sz="4" w:space="0"/>
              <w:right w:val="single" w:color="000000" w:sz="4" w:space="0"/>
            </w:tcBorders>
            <w:noWrap/>
            <w:vAlign w:val="center"/>
          </w:tcPr>
          <w:p w14:paraId="6B854565">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auto"/>
                <w:sz w:val="18"/>
                <w:szCs w:val="18"/>
                <w:lang w:val="en-US" w:eastAsia="zh-CN"/>
              </w:rPr>
              <w:t>主要的混凝剂种类</w:t>
            </w:r>
          </w:p>
        </w:tc>
        <w:tc>
          <w:tcPr>
            <w:tcW w:w="2675" w:type="pct"/>
            <w:tcBorders>
              <w:top w:val="single" w:color="000000" w:sz="4" w:space="0"/>
              <w:left w:val="single" w:color="000000" w:sz="4" w:space="0"/>
              <w:bottom w:val="single" w:color="000000" w:sz="4" w:space="0"/>
              <w:right w:val="single" w:color="000000" w:sz="4" w:space="0"/>
            </w:tcBorders>
            <w:noWrap w:val="0"/>
            <w:vAlign w:val="center"/>
          </w:tcPr>
          <w:p w14:paraId="2A00811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已发布标准</w:t>
            </w:r>
          </w:p>
        </w:tc>
        <w:tc>
          <w:tcPr>
            <w:tcW w:w="969" w:type="pct"/>
            <w:tcBorders>
              <w:top w:val="single" w:color="000000" w:sz="4" w:space="0"/>
              <w:left w:val="single" w:color="000000" w:sz="4" w:space="0"/>
              <w:bottom w:val="single" w:color="auto" w:sz="4" w:space="0"/>
              <w:right w:val="single" w:color="000000" w:sz="4" w:space="0"/>
            </w:tcBorders>
            <w:noWrap w:val="0"/>
            <w:vAlign w:val="center"/>
          </w:tcPr>
          <w:p w14:paraId="36C2C14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备注</w:t>
            </w:r>
          </w:p>
        </w:tc>
      </w:tr>
      <w:tr w14:paraId="54AFBC99">
        <w:trPr>
          <w:trHeight w:val="314" w:hRule="atLeast"/>
          <w:jc w:val="center"/>
        </w:trPr>
        <w:tc>
          <w:tcPr>
            <w:tcW w:w="1355" w:type="pct"/>
            <w:vMerge w:val="restart"/>
            <w:tcBorders>
              <w:top w:val="single" w:color="000000" w:sz="4" w:space="0"/>
              <w:left w:val="single" w:color="000000" w:sz="4" w:space="0"/>
              <w:right w:val="single" w:color="000000" w:sz="4" w:space="0"/>
            </w:tcBorders>
            <w:noWrap/>
            <w:vAlign w:val="center"/>
          </w:tcPr>
          <w:p w14:paraId="0051E8F1">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聚氯化铝（PAC）</w:t>
            </w:r>
          </w:p>
        </w:tc>
        <w:tc>
          <w:tcPr>
            <w:tcW w:w="2675" w:type="pct"/>
            <w:tcBorders>
              <w:top w:val="single" w:color="000000" w:sz="4" w:space="0"/>
              <w:left w:val="single" w:color="000000" w:sz="4" w:space="0"/>
              <w:bottom w:val="single" w:color="000000" w:sz="4" w:space="0"/>
              <w:right w:val="single" w:color="auto" w:sz="4" w:space="0"/>
            </w:tcBorders>
            <w:noWrap w:val="0"/>
            <w:vAlign w:val="center"/>
          </w:tcPr>
          <w:p w14:paraId="7A9DFCC0">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GB 15892-2020《生活饮用水用聚氯化铝》</w:t>
            </w:r>
          </w:p>
        </w:tc>
        <w:tc>
          <w:tcPr>
            <w:tcW w:w="969" w:type="pct"/>
            <w:tcBorders>
              <w:top w:val="single" w:color="auto" w:sz="4" w:space="0"/>
              <w:left w:val="single" w:color="auto" w:sz="4" w:space="0"/>
              <w:bottom w:val="single" w:color="auto" w:sz="4" w:space="0"/>
              <w:right w:val="single" w:color="auto" w:sz="4" w:space="0"/>
            </w:tcBorders>
            <w:noWrap w:val="0"/>
            <w:vAlign w:val="center"/>
          </w:tcPr>
          <w:p w14:paraId="45F56102">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主要参考标准</w:t>
            </w:r>
          </w:p>
        </w:tc>
      </w:tr>
      <w:tr w14:paraId="0A8549AF">
        <w:trPr>
          <w:trHeight w:val="270" w:hRule="atLeast"/>
          <w:jc w:val="center"/>
        </w:trPr>
        <w:tc>
          <w:tcPr>
            <w:tcW w:w="1355" w:type="pct"/>
            <w:vMerge w:val="continue"/>
            <w:tcBorders>
              <w:left w:val="single" w:color="000000" w:sz="4" w:space="0"/>
              <w:bottom w:val="single" w:color="000000" w:sz="4" w:space="0"/>
              <w:right w:val="single" w:color="000000" w:sz="4" w:space="0"/>
            </w:tcBorders>
            <w:noWrap/>
            <w:vAlign w:val="center"/>
          </w:tcPr>
          <w:p w14:paraId="4821D4F5">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p>
        </w:tc>
        <w:tc>
          <w:tcPr>
            <w:tcW w:w="2675" w:type="pct"/>
            <w:tcBorders>
              <w:top w:val="single" w:color="000000" w:sz="4" w:space="0"/>
              <w:left w:val="single" w:color="000000" w:sz="4" w:space="0"/>
              <w:bottom w:val="single" w:color="000000" w:sz="4" w:space="0"/>
              <w:right w:val="single" w:color="000000" w:sz="4" w:space="0"/>
            </w:tcBorders>
            <w:noWrap w:val="0"/>
            <w:vAlign w:val="center"/>
          </w:tcPr>
          <w:p w14:paraId="48907B59">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GB/T 22627-2022《水处理剂 聚氯化铝》</w:t>
            </w:r>
          </w:p>
        </w:tc>
        <w:tc>
          <w:tcPr>
            <w:tcW w:w="969" w:type="pct"/>
            <w:tcBorders>
              <w:top w:val="single" w:color="auto" w:sz="4" w:space="0"/>
              <w:left w:val="single" w:color="000000" w:sz="4" w:space="0"/>
              <w:bottom w:val="single" w:color="000000" w:sz="4" w:space="0"/>
              <w:right w:val="single" w:color="000000" w:sz="4" w:space="0"/>
            </w:tcBorders>
            <w:noWrap w:val="0"/>
            <w:vAlign w:val="center"/>
          </w:tcPr>
          <w:p w14:paraId="4C18C466">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参考标准</w:t>
            </w:r>
          </w:p>
        </w:tc>
      </w:tr>
      <w:tr w14:paraId="58E19AAB">
        <w:trPr>
          <w:trHeight w:val="270" w:hRule="atLeast"/>
          <w:jc w:val="center"/>
        </w:trPr>
        <w:tc>
          <w:tcPr>
            <w:tcW w:w="1355" w:type="pct"/>
            <w:tcBorders>
              <w:top w:val="single" w:color="000000" w:sz="4" w:space="0"/>
              <w:left w:val="single" w:color="000000" w:sz="4" w:space="0"/>
              <w:bottom w:val="single" w:color="000000" w:sz="4" w:space="0"/>
              <w:right w:val="single" w:color="000000" w:sz="4" w:space="0"/>
            </w:tcBorders>
            <w:noWrap/>
            <w:vAlign w:val="center"/>
          </w:tcPr>
          <w:p w14:paraId="278BCD49">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硫酸铝</w:t>
            </w:r>
          </w:p>
          <w:p w14:paraId="5CA07BB1">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（Al</w:t>
            </w:r>
            <w:r>
              <w:rPr>
                <w:rFonts w:hint="eastAsia" w:ascii="宋体" w:hAnsi="宋体" w:eastAsia="宋体" w:cs="宋体"/>
                <w:color w:val="000000"/>
                <w:sz w:val="18"/>
                <w:szCs w:val="18"/>
                <w:u w:val="none"/>
                <w:lang w:val="en-US" w:eastAsia="zh-CN" w:bidi="ar"/>
              </w:rPr>
              <w:t>₂(SO₄)₃）</w:t>
            </w:r>
          </w:p>
        </w:tc>
        <w:tc>
          <w:tcPr>
            <w:tcW w:w="2675" w:type="pct"/>
            <w:tcBorders>
              <w:top w:val="single" w:color="000000" w:sz="4" w:space="0"/>
              <w:left w:val="single" w:color="000000" w:sz="4" w:space="0"/>
              <w:bottom w:val="single" w:color="000000" w:sz="4" w:space="0"/>
              <w:right w:val="single" w:color="000000" w:sz="4" w:space="0"/>
            </w:tcBorders>
            <w:noWrap w:val="0"/>
            <w:vAlign w:val="center"/>
          </w:tcPr>
          <w:p w14:paraId="29FC6B23">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GB/T 31060-2014《水处理剂 硫酸铝》</w:t>
            </w:r>
          </w:p>
        </w:tc>
        <w:tc>
          <w:tcPr>
            <w:tcW w:w="969" w:type="pct"/>
            <w:tcBorders>
              <w:top w:val="single" w:color="000000" w:sz="4" w:space="0"/>
              <w:left w:val="single" w:color="000000" w:sz="4" w:space="0"/>
              <w:bottom w:val="single" w:color="000000" w:sz="4" w:space="0"/>
              <w:right w:val="single" w:color="000000" w:sz="4" w:space="0"/>
            </w:tcBorders>
            <w:noWrap w:val="0"/>
            <w:vAlign w:val="center"/>
          </w:tcPr>
          <w:p w14:paraId="452A5EDC">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p>
        </w:tc>
      </w:tr>
      <w:tr w14:paraId="28B1A29B">
        <w:trPr>
          <w:trHeight w:val="270" w:hRule="atLeast"/>
          <w:jc w:val="center"/>
        </w:trPr>
        <w:tc>
          <w:tcPr>
            <w:tcW w:w="1355" w:type="pct"/>
            <w:tcBorders>
              <w:top w:val="single" w:color="000000" w:sz="4" w:space="0"/>
              <w:left w:val="single" w:color="000000" w:sz="4" w:space="0"/>
              <w:bottom w:val="single" w:color="000000" w:sz="4" w:space="0"/>
              <w:right w:val="single" w:color="000000" w:sz="4" w:space="0"/>
            </w:tcBorders>
            <w:noWrap/>
            <w:vAlign w:val="center"/>
          </w:tcPr>
          <w:p w14:paraId="1A5EC8AD">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聚合硫酸铝（PAS）</w:t>
            </w:r>
          </w:p>
        </w:tc>
        <w:tc>
          <w:tcPr>
            <w:tcW w:w="2675" w:type="pct"/>
            <w:tcBorders>
              <w:top w:val="single" w:color="000000" w:sz="4" w:space="0"/>
              <w:left w:val="single" w:color="000000" w:sz="4" w:space="0"/>
              <w:bottom w:val="single" w:color="000000" w:sz="4" w:space="0"/>
              <w:right w:val="single" w:color="000000" w:sz="4" w:space="0"/>
            </w:tcBorders>
            <w:noWrap w:val="0"/>
            <w:vAlign w:val="center"/>
          </w:tcPr>
          <w:p w14:paraId="548338D5">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HG/T 5006-2016《水处理剂 聚硫酸铝》</w:t>
            </w:r>
          </w:p>
        </w:tc>
        <w:tc>
          <w:tcPr>
            <w:tcW w:w="969" w:type="pct"/>
            <w:tcBorders>
              <w:top w:val="single" w:color="000000" w:sz="4" w:space="0"/>
              <w:left w:val="single" w:color="000000" w:sz="4" w:space="0"/>
              <w:bottom w:val="single" w:color="000000" w:sz="4" w:space="0"/>
              <w:right w:val="single" w:color="000000" w:sz="4" w:space="0"/>
            </w:tcBorders>
            <w:noWrap w:val="0"/>
            <w:vAlign w:val="center"/>
          </w:tcPr>
          <w:p w14:paraId="652743B0">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p>
        </w:tc>
      </w:tr>
      <w:tr w14:paraId="347B16BF">
        <w:trPr>
          <w:trHeight w:val="270" w:hRule="atLeast"/>
          <w:jc w:val="center"/>
        </w:trPr>
        <w:tc>
          <w:tcPr>
            <w:tcW w:w="1355" w:type="pct"/>
            <w:tcBorders>
              <w:top w:val="single" w:color="000000" w:sz="4" w:space="0"/>
              <w:left w:val="single" w:color="000000" w:sz="4" w:space="0"/>
              <w:bottom w:val="single" w:color="000000" w:sz="4" w:space="0"/>
              <w:right w:val="single" w:color="000000" w:sz="4" w:space="0"/>
            </w:tcBorders>
            <w:noWrap/>
            <w:vAlign w:val="center"/>
          </w:tcPr>
          <w:p w14:paraId="4C4D737B">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有机复合聚氯化铝</w:t>
            </w:r>
          </w:p>
        </w:tc>
        <w:tc>
          <w:tcPr>
            <w:tcW w:w="2675" w:type="pct"/>
            <w:tcBorders>
              <w:top w:val="single" w:color="000000" w:sz="4" w:space="0"/>
              <w:left w:val="single" w:color="000000" w:sz="4" w:space="0"/>
              <w:bottom w:val="single" w:color="000000" w:sz="4" w:space="0"/>
              <w:right w:val="single" w:color="000000" w:sz="4" w:space="0"/>
            </w:tcBorders>
            <w:noWrap w:val="0"/>
            <w:vAlign w:val="center"/>
          </w:tcPr>
          <w:p w14:paraId="2DFD8884">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HG/T 6280-2024《水处理剂 有机复合聚氯化铝》</w:t>
            </w:r>
          </w:p>
        </w:tc>
        <w:tc>
          <w:tcPr>
            <w:tcW w:w="969" w:type="pct"/>
            <w:tcBorders>
              <w:top w:val="single" w:color="000000" w:sz="4" w:space="0"/>
              <w:left w:val="single" w:color="000000" w:sz="4" w:space="0"/>
              <w:bottom w:val="single" w:color="000000" w:sz="4" w:space="0"/>
              <w:right w:val="single" w:color="000000" w:sz="4" w:space="0"/>
            </w:tcBorders>
            <w:noWrap w:val="0"/>
            <w:vAlign w:val="center"/>
          </w:tcPr>
          <w:p w14:paraId="26BF2F87">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p>
        </w:tc>
      </w:tr>
    </w:tbl>
    <w:p w14:paraId="59152980">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宋体"/>
          <w:sz w:val="24"/>
          <w:szCs w:val="24"/>
          <w:lang w:val="en-US" w:eastAsia="zh-CN"/>
        </w:rPr>
      </w:pPr>
    </w:p>
    <w:p w14:paraId="4A2CE8B9">
      <w:pPr>
        <w:pStyle w:val="3"/>
        <w:keepNext/>
        <w:keepLines/>
        <w:pageBreakBefore w:val="0"/>
        <w:widowControl w:val="0"/>
        <w:numPr>
          <w:ilvl w:val="1"/>
          <w:numId w:val="2"/>
        </w:numPr>
        <w:kinsoku/>
        <w:wordWrap/>
        <w:overflowPunct/>
        <w:topLinePunct w:val="0"/>
        <w:autoSpaceDE/>
        <w:autoSpaceDN/>
        <w:bidi w:val="0"/>
        <w:adjustRightInd/>
        <w:snapToGrid/>
        <w:spacing w:line="240" w:lineRule="auto"/>
        <w:jc w:val="lef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CN"/>
        </w:rPr>
        <w:t>任务</w:t>
      </w:r>
      <w:r>
        <w:rPr>
          <w:rFonts w:hint="eastAsia" w:ascii="宋体" w:hAnsi="宋体" w:eastAsia="宋体" w:cs="宋体"/>
          <w:sz w:val="24"/>
          <w:szCs w:val="24"/>
          <w:lang w:val="en-US" w:eastAsia="zh-Hans"/>
        </w:rPr>
        <w:t>来源</w:t>
      </w:r>
    </w:p>
    <w:p w14:paraId="742AC4FC">
      <w:pPr>
        <w:numPr>
          <w:ilvl w:val="0"/>
          <w:numId w:val="0"/>
        </w:numPr>
        <w:spacing w:before="120" w:after="120" w:line="360" w:lineRule="auto"/>
        <w:ind w:left="0" w:leftChars="0" w:firstLine="480" w:firstLineChars="200"/>
        <w:rPr>
          <w:rFonts w:hint="eastAsia" w:ascii="宋体" w:hAnsi="宋体" w:eastAsia="宋体" w:cs="宋体"/>
          <w:b w:val="0"/>
          <w:bCs w:val="0"/>
          <w:sz w:val="24"/>
          <w:szCs w:val="24"/>
          <w:lang w:val="en-US" w:eastAsia="zh-Hans"/>
        </w:rPr>
      </w:pPr>
      <w:r>
        <w:rPr>
          <w:rFonts w:hint="eastAsia" w:ascii="宋体" w:hAnsi="宋体" w:eastAsia="宋体" w:cs="宋体"/>
          <w:b w:val="0"/>
          <w:bCs w:val="0"/>
          <w:sz w:val="24"/>
          <w:szCs w:val="24"/>
          <w:lang w:val="en-US" w:eastAsia="zh-Hans"/>
        </w:rPr>
        <w:t>本项目是由</w:t>
      </w:r>
      <w:r>
        <w:rPr>
          <w:rFonts w:hint="eastAsia" w:ascii="宋体" w:hAnsi="宋体" w:eastAsia="宋体" w:cs="宋体"/>
          <w:color w:val="auto"/>
          <w:sz w:val="24"/>
          <w:szCs w:val="24"/>
          <w:lang w:val="en-US" w:eastAsia="zh-Hans"/>
        </w:rPr>
        <w:t>长三角（义乌）生态环境研究中心</w:t>
      </w:r>
      <w:r>
        <w:rPr>
          <w:rFonts w:hint="eastAsia" w:ascii="宋体" w:hAnsi="宋体" w:eastAsia="宋体" w:cs="宋体"/>
          <w:color w:val="auto"/>
          <w:sz w:val="24"/>
          <w:szCs w:val="24"/>
          <w:lang w:val="en-US" w:eastAsia="zh-CN"/>
        </w:rPr>
        <w:t>、广州市自来水有限公司联合</w:t>
      </w:r>
      <w:r>
        <w:rPr>
          <w:rFonts w:hint="eastAsia" w:ascii="宋体" w:hAnsi="宋体" w:eastAsia="宋体" w:cs="宋体"/>
          <w:b w:val="0"/>
          <w:bCs w:val="0"/>
          <w:sz w:val="24"/>
          <w:szCs w:val="24"/>
          <w:lang w:val="en-US" w:eastAsia="zh-Hans"/>
        </w:rPr>
        <w:t>自主</w:t>
      </w:r>
      <w:r>
        <w:rPr>
          <w:rFonts w:hint="eastAsia" w:ascii="宋体" w:hAnsi="宋体" w:eastAsia="宋体" w:cs="宋体"/>
          <w:b w:val="0"/>
          <w:bCs w:val="0"/>
          <w:sz w:val="24"/>
          <w:szCs w:val="24"/>
          <w:lang w:val="en-US" w:eastAsia="zh-CN"/>
        </w:rPr>
        <w:t>向</w:t>
      </w:r>
      <w:r>
        <w:rPr>
          <w:rFonts w:hint="eastAsia" w:ascii="宋体" w:hAnsi="宋体" w:eastAsia="宋体" w:cs="宋体"/>
          <w:b w:val="0"/>
          <w:bCs w:val="0"/>
          <w:sz w:val="24"/>
          <w:szCs w:val="24"/>
          <w:lang w:val="en-US" w:eastAsia="zh-Hans"/>
        </w:rPr>
        <w:t>中国食品药品企业质量安全促进会</w:t>
      </w:r>
      <w:r>
        <w:rPr>
          <w:rFonts w:hint="eastAsia" w:ascii="宋体" w:hAnsi="宋体" w:eastAsia="宋体" w:cs="宋体"/>
          <w:b w:val="0"/>
          <w:bCs w:val="0"/>
          <w:sz w:val="24"/>
          <w:szCs w:val="24"/>
          <w:lang w:val="en-US" w:eastAsia="zh-CN"/>
        </w:rPr>
        <w:t>申请，</w:t>
      </w:r>
      <w:r>
        <w:rPr>
          <w:rFonts w:hint="eastAsia" w:ascii="宋体" w:hAnsi="宋体" w:eastAsia="宋体" w:cs="宋体"/>
          <w:b w:val="0"/>
          <w:bCs w:val="0"/>
          <w:sz w:val="24"/>
          <w:szCs w:val="24"/>
          <w:lang w:val="en-US" w:eastAsia="zh-Hans"/>
        </w:rPr>
        <w:t>计划</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sz w:val="24"/>
          <w:szCs w:val="24"/>
          <w:lang w:val="en-US" w:eastAsia="zh-Hans"/>
        </w:rPr>
        <w:t>202</w:t>
      </w: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lang w:val="en-US" w:eastAsia="zh-Hans"/>
        </w:rPr>
        <w:t>年</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lang w:val="en-US" w:eastAsia="zh-Hans"/>
        </w:rPr>
        <w:t>月底前完成。</w:t>
      </w:r>
    </w:p>
    <w:p w14:paraId="39EC3CD8">
      <w:pPr>
        <w:pStyle w:val="3"/>
        <w:keepNext/>
        <w:keepLines/>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CN"/>
        </w:rPr>
        <w:t>1.2、起草单位</w:t>
      </w:r>
    </w:p>
    <w:p w14:paraId="33FE90DD">
      <w:pPr>
        <w:numPr>
          <w:ilvl w:val="0"/>
          <w:numId w:val="0"/>
        </w:numPr>
        <w:spacing w:before="120" w:after="120"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1.2.1、</w:t>
      </w:r>
      <w:r>
        <w:rPr>
          <w:rFonts w:hint="eastAsia" w:ascii="宋体" w:hAnsi="宋体" w:eastAsia="宋体" w:cs="宋体"/>
          <w:sz w:val="24"/>
          <w:szCs w:val="24"/>
        </w:rPr>
        <w:t>本标准牵头组织制订单位：</w:t>
      </w:r>
      <w:r>
        <w:rPr>
          <w:rFonts w:hint="eastAsia" w:ascii="宋体" w:hAnsi="宋体" w:eastAsia="宋体" w:cs="宋体"/>
          <w:color w:val="auto"/>
          <w:sz w:val="24"/>
          <w:szCs w:val="24"/>
          <w:lang w:val="en-US" w:eastAsia="zh-Hans"/>
        </w:rPr>
        <w:t>长三角（义乌）生态环境研究中心</w:t>
      </w:r>
      <w:r>
        <w:rPr>
          <w:rFonts w:hint="eastAsia" w:ascii="宋体" w:hAnsi="宋体" w:eastAsia="宋体" w:cs="宋体"/>
          <w:color w:val="auto"/>
          <w:sz w:val="24"/>
          <w:szCs w:val="24"/>
          <w:lang w:val="en-US" w:eastAsia="zh-CN"/>
        </w:rPr>
        <w:t>、广州市自来水有限公司：</w:t>
      </w:r>
    </w:p>
    <w:p w14:paraId="56FEBF56">
      <w:pPr>
        <w:numPr>
          <w:ilvl w:val="0"/>
          <w:numId w:val="0"/>
        </w:numPr>
        <w:spacing w:line="360" w:lineRule="auto"/>
        <w:ind w:left="0" w:leftChars="0" w:firstLine="360" w:firstLineChars="15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长三角（义乌）生态环境研究中心成立于2019年6月，建有1个国家工程实验室分室、1个CMA实验室、1个金华市水质科学与技术实验室及若干支撑服务系统平台，同时获批金华市重点实验室、设立浙江省博士后工作站；依托院士（3人）、杰青（2人）、优青（1人）领军人才筹建了新型纳米净水材料、新型污染物控制、污泥资源化利用、土壤生态修复、绿色小流域治理与水生态健康构建等研发团队。办公与实验平台5000余平米，已完成设备采购4000余万。</w:t>
      </w:r>
    </w:p>
    <w:p w14:paraId="6B8BBF01">
      <w:pPr>
        <w:numPr>
          <w:ilvl w:val="0"/>
          <w:numId w:val="0"/>
        </w:numPr>
        <w:spacing w:line="360" w:lineRule="auto"/>
        <w:ind w:left="0" w:leftChars="0" w:firstLine="360" w:firstLineChars="15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广州市自来水有限公司是广州市水务投资集团有限公司的全资子公司，创建于1905年10月，注册资本42,145.4万元，发展至今已成为一家集自来水的生产、销售、服务和多种经营为一体的特大型供水企业，近年来荣获广东省企业500强、广东服务业100强、广东省水利系统文明单位等奖项。</w:t>
      </w:r>
    </w:p>
    <w:p w14:paraId="4A95068E">
      <w:pPr>
        <w:numPr>
          <w:ilvl w:val="0"/>
          <w:numId w:val="0"/>
        </w:numPr>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1.2.2、</w:t>
      </w:r>
      <w:r>
        <w:rPr>
          <w:rFonts w:hint="eastAsia" w:ascii="宋体" w:hAnsi="宋体" w:eastAsia="宋体" w:cs="宋体"/>
          <w:sz w:val="24"/>
          <w:szCs w:val="24"/>
        </w:rPr>
        <w:t>本标准</w:t>
      </w:r>
      <w:r>
        <w:rPr>
          <w:rFonts w:hint="eastAsia" w:ascii="宋体" w:hAnsi="宋体" w:eastAsia="宋体" w:cs="宋体"/>
          <w:sz w:val="24"/>
          <w:szCs w:val="24"/>
          <w:lang w:eastAsia="zh-CN"/>
        </w:rPr>
        <w:t>参与单位：</w:t>
      </w:r>
      <w:r>
        <w:rPr>
          <w:rFonts w:hint="eastAsia" w:ascii="宋体" w:hAnsi="宋体" w:eastAsia="宋体" w:cs="宋体"/>
          <w:sz w:val="24"/>
          <w:szCs w:val="24"/>
        </w:rPr>
        <w:t>XXX、XXX、XXX、XXX</w:t>
      </w:r>
      <w:r>
        <w:rPr>
          <w:rFonts w:hint="eastAsia" w:ascii="宋体" w:hAnsi="宋体" w:eastAsia="宋体" w:cs="宋体"/>
          <w:sz w:val="24"/>
          <w:szCs w:val="24"/>
          <w:lang w:eastAsia="zh-CN"/>
        </w:rPr>
        <w:t>。</w:t>
      </w:r>
    </w:p>
    <w:p w14:paraId="7598CAAB">
      <w:pPr>
        <w:numPr>
          <w:ilvl w:val="0"/>
          <w:numId w:val="0"/>
        </w:numPr>
        <w:spacing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1.2.3、</w:t>
      </w:r>
      <w:r>
        <w:rPr>
          <w:rFonts w:hint="eastAsia" w:ascii="宋体" w:hAnsi="宋体" w:eastAsia="宋体" w:cs="宋体"/>
          <w:sz w:val="24"/>
          <w:szCs w:val="24"/>
          <w:lang w:eastAsia="zh-CN"/>
        </w:rPr>
        <w:t>本标准主要</w:t>
      </w:r>
      <w:r>
        <w:rPr>
          <w:rFonts w:hint="eastAsia" w:ascii="宋体" w:hAnsi="宋体" w:eastAsia="宋体" w:cs="宋体"/>
          <w:sz w:val="24"/>
          <w:szCs w:val="24"/>
        </w:rPr>
        <w:t>起草人：郑效旭、王鹏、杜超、XXX、XXX。</w:t>
      </w:r>
    </w:p>
    <w:p w14:paraId="6B25E68D">
      <w:pPr>
        <w:pStyle w:val="3"/>
        <w:keepNext/>
        <w:keepLines/>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CN"/>
        </w:rPr>
        <w:t>1.3、主要工作过程</w:t>
      </w:r>
    </w:p>
    <w:p w14:paraId="6E3AB375">
      <w:pPr>
        <w:numPr>
          <w:ilvl w:val="0"/>
          <w:numId w:val="0"/>
        </w:numPr>
        <w:spacing w:line="360" w:lineRule="auto"/>
        <w:ind w:leftChars="0"/>
        <w:jc w:val="left"/>
        <w:rPr>
          <w:rFonts w:hint="eastAsia" w:ascii="宋体" w:hAnsi="宋体" w:eastAsia="宋体" w:cs="宋体"/>
          <w:b/>
          <w:bCs/>
          <w:color w:val="FF0000"/>
          <w:sz w:val="24"/>
          <w:szCs w:val="24"/>
          <w:lang w:val="en-US" w:eastAsia="zh-CN"/>
        </w:rPr>
      </w:pPr>
      <w:r>
        <w:rPr>
          <w:rFonts w:hint="eastAsia" w:ascii="宋体" w:hAnsi="宋体" w:eastAsia="宋体" w:cs="宋体"/>
          <w:b/>
          <w:bCs/>
          <w:sz w:val="24"/>
          <w:szCs w:val="24"/>
          <w:lang w:val="en-US" w:eastAsia="zh-CN"/>
        </w:rPr>
        <w:t>1.3.1、标准预研</w:t>
      </w:r>
      <w:r>
        <w:rPr>
          <w:rFonts w:hint="eastAsia" w:ascii="宋体" w:hAnsi="宋体" w:eastAsia="宋体" w:cs="宋体"/>
          <w:b/>
          <w:bCs/>
          <w:color w:val="auto"/>
          <w:sz w:val="24"/>
          <w:szCs w:val="24"/>
          <w:lang w:val="en-US" w:eastAsia="zh-CN"/>
        </w:rPr>
        <w:t>（2023年~2025年3月）</w:t>
      </w:r>
    </w:p>
    <w:p w14:paraId="57C82C3D">
      <w:pPr>
        <w:numPr>
          <w:ilvl w:val="0"/>
          <w:numId w:val="0"/>
        </w:numPr>
        <w:spacing w:line="360" w:lineRule="auto"/>
        <w:ind w:left="0" w:leftChars="0" w:firstLine="420" w:firstLineChars="175"/>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2023年开始，广州市自来水有限公司联合长三角（义乌）生态环境研究中心就纳米聚合铝在水处理中的关键技术展开深度合作，共同推进《纳米聚合铝对水厂残余铝和消毒副产物前驱物控制技术研究》项目，在多家水厂进行多种混凝剂必选和混凝剂表征方法的研究。</w:t>
      </w:r>
    </w:p>
    <w:p w14:paraId="15BAFA4C">
      <w:pPr>
        <w:numPr>
          <w:ilvl w:val="0"/>
          <w:numId w:val="0"/>
        </w:numPr>
        <w:spacing w:line="360" w:lineRule="auto"/>
        <w:ind w:left="0" w:leftChars="0" w:firstLine="420" w:firstLineChars="175"/>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广州市自来水有限公司联合长三角（义乌）生态环境研究中心、XXX成立标准研制工作组通过整理分析市场需求和摸底试验、客户情况，编制完成用于标准立项申报的标准草案，并于2025年3月初向中国食品药品企业质量安全促进会正式提出立项申请。</w:t>
      </w:r>
    </w:p>
    <w:p w14:paraId="58C27C48">
      <w:pPr>
        <w:numPr>
          <w:ilvl w:val="0"/>
          <w:numId w:val="0"/>
        </w:numPr>
        <w:spacing w:line="360" w:lineRule="auto"/>
        <w:ind w:left="0" w:leftChars="0" w:firstLine="420" w:firstLineChars="175"/>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表4 标准研制工作组</w:t>
      </w:r>
    </w:p>
    <w:tbl>
      <w:tblPr>
        <w:tblStyle w:val="6"/>
        <w:tblW w:w="8427" w:type="dxa"/>
        <w:tblInd w:w="91" w:type="dxa"/>
        <w:tblLayout w:type="fixed"/>
        <w:tblCellMar>
          <w:top w:w="0" w:type="dxa"/>
          <w:left w:w="108" w:type="dxa"/>
          <w:bottom w:w="0" w:type="dxa"/>
          <w:right w:w="108" w:type="dxa"/>
        </w:tblCellMar>
      </w:tblPr>
      <w:tblGrid>
        <w:gridCol w:w="600"/>
        <w:gridCol w:w="854"/>
        <w:gridCol w:w="3311"/>
        <w:gridCol w:w="1096"/>
        <w:gridCol w:w="2566"/>
      </w:tblGrid>
      <w:tr w14:paraId="41021820">
        <w:trPr>
          <w:trHeight w:val="0" w:hRule="atLeast"/>
        </w:trPr>
        <w:tc>
          <w:tcPr>
            <w:tcW w:w="600" w:type="dxa"/>
            <w:tcBorders>
              <w:top w:val="single" w:color="auto" w:sz="4" w:space="0"/>
              <w:left w:val="single" w:color="auto" w:sz="4" w:space="0"/>
              <w:bottom w:val="single" w:color="auto" w:sz="4" w:space="0"/>
              <w:right w:val="single" w:color="auto" w:sz="4" w:space="0"/>
            </w:tcBorders>
            <w:noWrap/>
            <w:vAlign w:val="center"/>
          </w:tcPr>
          <w:p w14:paraId="3EF39E63">
            <w:pPr>
              <w:jc w:val="center"/>
              <w:rPr>
                <w:rFonts w:hint="eastAsia" w:ascii="宋体" w:hAnsi="宋体" w:eastAsia="宋体" w:cs="宋体"/>
                <w:smallCaps w:val="0"/>
                <w:color w:val="000000"/>
                <w:sz w:val="18"/>
                <w:szCs w:val="18"/>
                <w:lang w:eastAsia="zh-CN"/>
              </w:rPr>
            </w:pPr>
            <w:r>
              <w:rPr>
                <w:rFonts w:hint="eastAsia" w:ascii="宋体" w:hAnsi="宋体" w:eastAsia="宋体" w:cs="宋体"/>
                <w:smallCaps w:val="0"/>
                <w:color w:val="000000"/>
                <w:sz w:val="18"/>
                <w:szCs w:val="18"/>
                <w:lang w:eastAsia="zh-CN"/>
              </w:rPr>
              <w:t>序号</w:t>
            </w:r>
          </w:p>
        </w:tc>
        <w:tc>
          <w:tcPr>
            <w:tcW w:w="854" w:type="dxa"/>
            <w:tcBorders>
              <w:top w:val="single" w:color="auto" w:sz="4" w:space="0"/>
              <w:left w:val="single" w:color="auto" w:sz="4" w:space="0"/>
              <w:bottom w:val="single" w:color="auto" w:sz="4" w:space="0"/>
              <w:right w:val="single" w:color="auto" w:sz="4" w:space="0"/>
            </w:tcBorders>
            <w:noWrap/>
            <w:vAlign w:val="center"/>
          </w:tcPr>
          <w:p w14:paraId="7427786F">
            <w:pPr>
              <w:jc w:val="center"/>
              <w:rPr>
                <w:rFonts w:hint="eastAsia" w:ascii="宋体" w:hAnsi="宋体" w:eastAsia="宋体" w:cs="宋体"/>
                <w:smallCaps w:val="0"/>
                <w:color w:val="000000"/>
                <w:sz w:val="18"/>
                <w:szCs w:val="18"/>
              </w:rPr>
            </w:pPr>
            <w:r>
              <w:rPr>
                <w:rFonts w:hint="eastAsia" w:ascii="宋体" w:hAnsi="宋体" w:eastAsia="宋体" w:cs="宋体"/>
                <w:smallCaps w:val="0"/>
                <w:color w:val="000000"/>
                <w:sz w:val="18"/>
                <w:szCs w:val="18"/>
              </w:rPr>
              <w:t>姓名</w:t>
            </w:r>
          </w:p>
        </w:tc>
        <w:tc>
          <w:tcPr>
            <w:tcW w:w="3311" w:type="dxa"/>
            <w:tcBorders>
              <w:top w:val="single" w:color="auto" w:sz="4" w:space="0"/>
              <w:left w:val="single" w:color="auto" w:sz="4" w:space="0"/>
              <w:bottom w:val="single" w:color="auto" w:sz="4" w:space="0"/>
              <w:right w:val="single" w:color="auto" w:sz="4" w:space="0"/>
            </w:tcBorders>
            <w:noWrap/>
            <w:vAlign w:val="center"/>
          </w:tcPr>
          <w:p w14:paraId="589A8A47">
            <w:pPr>
              <w:jc w:val="center"/>
              <w:rPr>
                <w:rFonts w:hint="eastAsia" w:ascii="宋体" w:hAnsi="宋体" w:eastAsia="宋体" w:cs="宋体"/>
                <w:smallCaps w:val="0"/>
                <w:color w:val="000000"/>
                <w:sz w:val="18"/>
                <w:szCs w:val="18"/>
              </w:rPr>
            </w:pPr>
            <w:r>
              <w:rPr>
                <w:rFonts w:hint="eastAsia" w:ascii="宋体" w:hAnsi="宋体" w:eastAsia="宋体" w:cs="宋体"/>
                <w:smallCaps w:val="0"/>
                <w:color w:val="000000"/>
                <w:sz w:val="18"/>
                <w:szCs w:val="18"/>
              </w:rPr>
              <w:t>单位</w:t>
            </w:r>
          </w:p>
        </w:tc>
        <w:tc>
          <w:tcPr>
            <w:tcW w:w="1096" w:type="dxa"/>
            <w:tcBorders>
              <w:top w:val="single" w:color="auto" w:sz="4" w:space="0"/>
              <w:left w:val="single" w:color="auto" w:sz="4" w:space="0"/>
              <w:bottom w:val="single" w:color="auto" w:sz="4" w:space="0"/>
              <w:right w:val="single" w:color="auto" w:sz="4" w:space="0"/>
            </w:tcBorders>
            <w:noWrap/>
            <w:vAlign w:val="center"/>
          </w:tcPr>
          <w:p w14:paraId="192FFABF">
            <w:pPr>
              <w:jc w:val="center"/>
              <w:rPr>
                <w:rFonts w:hint="eastAsia" w:ascii="宋体" w:hAnsi="宋体" w:eastAsia="宋体" w:cs="宋体"/>
                <w:smallCaps w:val="0"/>
                <w:color w:val="000000"/>
                <w:sz w:val="18"/>
                <w:szCs w:val="18"/>
              </w:rPr>
            </w:pPr>
            <w:r>
              <w:rPr>
                <w:rFonts w:hint="eastAsia" w:ascii="宋体" w:hAnsi="宋体" w:eastAsia="宋体" w:cs="宋体"/>
                <w:smallCaps w:val="0"/>
                <w:color w:val="000000"/>
                <w:sz w:val="18"/>
                <w:szCs w:val="18"/>
              </w:rPr>
              <w:t>职务/职称</w:t>
            </w:r>
          </w:p>
        </w:tc>
        <w:tc>
          <w:tcPr>
            <w:tcW w:w="2566" w:type="dxa"/>
            <w:tcBorders>
              <w:top w:val="single" w:color="auto" w:sz="4" w:space="0"/>
              <w:left w:val="single" w:color="auto" w:sz="4" w:space="0"/>
              <w:bottom w:val="single" w:color="auto" w:sz="4" w:space="0"/>
              <w:right w:val="single" w:color="auto" w:sz="4" w:space="0"/>
            </w:tcBorders>
            <w:noWrap/>
            <w:vAlign w:val="center"/>
          </w:tcPr>
          <w:p w14:paraId="2B462213">
            <w:pPr>
              <w:jc w:val="center"/>
              <w:rPr>
                <w:rFonts w:hint="eastAsia" w:ascii="宋体" w:hAnsi="宋体" w:eastAsia="宋体" w:cs="宋体"/>
                <w:smallCaps w:val="0"/>
                <w:color w:val="000000"/>
                <w:sz w:val="18"/>
                <w:szCs w:val="18"/>
              </w:rPr>
            </w:pPr>
            <w:r>
              <w:rPr>
                <w:rFonts w:hint="eastAsia" w:ascii="宋体" w:hAnsi="宋体" w:eastAsia="宋体" w:cs="宋体"/>
                <w:smallCaps w:val="0"/>
                <w:color w:val="000000"/>
                <w:sz w:val="18"/>
                <w:szCs w:val="18"/>
              </w:rPr>
              <w:t>任务分工</w:t>
            </w:r>
          </w:p>
        </w:tc>
      </w:tr>
      <w:tr w14:paraId="5D95522E">
        <w:trPr>
          <w:trHeight w:val="0" w:hRule="atLeast"/>
        </w:trPr>
        <w:tc>
          <w:tcPr>
            <w:tcW w:w="600" w:type="dxa"/>
            <w:tcBorders>
              <w:top w:val="single" w:color="auto" w:sz="4" w:space="0"/>
              <w:left w:val="single" w:color="auto" w:sz="4" w:space="0"/>
              <w:bottom w:val="single" w:color="auto" w:sz="4" w:space="0"/>
              <w:right w:val="single" w:color="auto" w:sz="4" w:space="0"/>
            </w:tcBorders>
            <w:noWrap/>
            <w:vAlign w:val="center"/>
          </w:tcPr>
          <w:p w14:paraId="53ED2C09">
            <w:pPr>
              <w:jc w:val="center"/>
              <w:rPr>
                <w:rFonts w:hint="default" w:ascii="宋体" w:hAnsi="宋体" w:eastAsia="宋体" w:cs="宋体"/>
                <w:smallCaps w:val="0"/>
                <w:color w:val="000000"/>
                <w:sz w:val="18"/>
                <w:szCs w:val="18"/>
                <w:lang w:val="en-US" w:eastAsia="zh-CN"/>
              </w:rPr>
            </w:pPr>
            <w:r>
              <w:rPr>
                <w:rFonts w:hint="eastAsia" w:ascii="宋体" w:hAnsi="宋体" w:eastAsia="宋体" w:cs="宋体"/>
                <w:smallCaps w:val="0"/>
                <w:color w:val="000000"/>
                <w:sz w:val="18"/>
                <w:szCs w:val="18"/>
                <w:lang w:val="en-US" w:eastAsia="zh-CN"/>
              </w:rPr>
              <w:t>1</w:t>
            </w:r>
          </w:p>
        </w:tc>
        <w:tc>
          <w:tcPr>
            <w:tcW w:w="854" w:type="dxa"/>
            <w:tcBorders>
              <w:top w:val="single" w:color="auto" w:sz="4" w:space="0"/>
              <w:left w:val="single" w:color="auto" w:sz="4" w:space="0"/>
              <w:bottom w:val="single" w:color="auto" w:sz="4" w:space="0"/>
              <w:right w:val="single" w:color="auto" w:sz="4" w:space="0"/>
            </w:tcBorders>
            <w:noWrap/>
            <w:vAlign w:val="center"/>
          </w:tcPr>
          <w:p w14:paraId="05240E4D">
            <w:pPr>
              <w:jc w:val="center"/>
              <w:rPr>
                <w:rFonts w:hint="eastAsia" w:ascii="宋体" w:hAnsi="宋体" w:eastAsia="宋体" w:cs="宋体"/>
                <w:smallCaps w:val="0"/>
                <w:color w:val="000000"/>
                <w:sz w:val="18"/>
                <w:szCs w:val="18"/>
                <w:lang w:val="en-US" w:eastAsia="zh-CN"/>
              </w:rPr>
            </w:pPr>
            <w:r>
              <w:rPr>
                <w:rFonts w:hint="eastAsia" w:ascii="宋体" w:hAnsi="宋体" w:eastAsia="宋体" w:cs="宋体"/>
                <w:smallCaps w:val="0"/>
                <w:color w:val="000000"/>
                <w:sz w:val="18"/>
                <w:szCs w:val="18"/>
                <w:lang w:val="en-US" w:eastAsia="zh-CN"/>
              </w:rPr>
              <w:t>郑效旭</w:t>
            </w:r>
          </w:p>
        </w:tc>
        <w:tc>
          <w:tcPr>
            <w:tcW w:w="3311" w:type="dxa"/>
            <w:tcBorders>
              <w:top w:val="single" w:color="auto" w:sz="4" w:space="0"/>
              <w:left w:val="single" w:color="auto" w:sz="4" w:space="0"/>
              <w:bottom w:val="single" w:color="auto" w:sz="4" w:space="0"/>
              <w:right w:val="single" w:color="auto" w:sz="4" w:space="0"/>
            </w:tcBorders>
            <w:noWrap/>
            <w:vAlign w:val="center"/>
          </w:tcPr>
          <w:p w14:paraId="6A0DC3B0">
            <w:pPr>
              <w:jc w:val="center"/>
              <w:rPr>
                <w:rFonts w:hint="eastAsia" w:ascii="宋体" w:hAnsi="宋体" w:eastAsia="宋体" w:cs="宋体"/>
                <w:smallCaps w:val="0"/>
                <w:color w:val="000000"/>
                <w:sz w:val="18"/>
                <w:szCs w:val="18"/>
                <w:lang w:val="en-US" w:eastAsia="zh-CN"/>
              </w:rPr>
            </w:pPr>
            <w:r>
              <w:rPr>
                <w:rFonts w:hint="eastAsia" w:ascii="宋体" w:hAnsi="宋体" w:eastAsia="宋体" w:cs="宋体"/>
                <w:smallCaps w:val="0"/>
                <w:color w:val="000000"/>
                <w:sz w:val="18"/>
                <w:szCs w:val="18"/>
                <w:lang w:val="en-US" w:eastAsia="zh-CN"/>
              </w:rPr>
              <w:t>长三角（义乌）生态环境研究中心</w:t>
            </w:r>
          </w:p>
        </w:tc>
        <w:tc>
          <w:tcPr>
            <w:tcW w:w="1096" w:type="dxa"/>
            <w:tcBorders>
              <w:top w:val="single" w:color="auto" w:sz="4" w:space="0"/>
              <w:left w:val="single" w:color="auto" w:sz="4" w:space="0"/>
              <w:bottom w:val="single" w:color="auto" w:sz="4" w:space="0"/>
              <w:right w:val="single" w:color="auto" w:sz="4" w:space="0"/>
            </w:tcBorders>
            <w:noWrap/>
            <w:vAlign w:val="center"/>
          </w:tcPr>
          <w:p w14:paraId="31262C1F">
            <w:pPr>
              <w:jc w:val="center"/>
              <w:rPr>
                <w:rFonts w:hint="eastAsia" w:ascii="宋体" w:hAnsi="宋体" w:eastAsia="宋体" w:cs="宋体"/>
                <w:smallCaps w:val="0"/>
                <w:color w:val="000000"/>
                <w:sz w:val="18"/>
                <w:szCs w:val="18"/>
                <w:lang w:val="en-US" w:eastAsia="zh-CN"/>
              </w:rPr>
            </w:pPr>
            <w:r>
              <w:rPr>
                <w:rFonts w:hint="eastAsia" w:ascii="宋体" w:hAnsi="宋体" w:eastAsia="宋体" w:cs="宋体"/>
                <w:smallCaps w:val="0"/>
                <w:color w:val="000000"/>
                <w:sz w:val="18"/>
                <w:szCs w:val="18"/>
                <w:lang w:val="en-US" w:eastAsia="zh-CN"/>
              </w:rPr>
              <w:t>副主任</w:t>
            </w:r>
          </w:p>
        </w:tc>
        <w:tc>
          <w:tcPr>
            <w:tcW w:w="2566" w:type="dxa"/>
            <w:tcBorders>
              <w:top w:val="single" w:color="auto" w:sz="4" w:space="0"/>
              <w:left w:val="single" w:color="auto" w:sz="4" w:space="0"/>
              <w:bottom w:val="single" w:color="auto" w:sz="4" w:space="0"/>
              <w:right w:val="single" w:color="auto" w:sz="4" w:space="0"/>
            </w:tcBorders>
            <w:noWrap/>
            <w:vAlign w:val="center"/>
          </w:tcPr>
          <w:p w14:paraId="18A2E0F8">
            <w:pPr>
              <w:jc w:val="left"/>
              <w:rPr>
                <w:rFonts w:hint="eastAsia" w:ascii="宋体" w:hAnsi="宋体" w:eastAsia="宋体" w:cs="宋体"/>
                <w:smallCaps w:val="0"/>
                <w:color w:val="000000"/>
                <w:sz w:val="18"/>
                <w:szCs w:val="18"/>
                <w:lang w:eastAsia="zh-CN"/>
              </w:rPr>
            </w:pPr>
            <w:r>
              <w:rPr>
                <w:rFonts w:hint="eastAsia" w:ascii="宋体" w:hAnsi="宋体" w:eastAsia="宋体" w:cs="宋体"/>
                <w:smallCaps w:val="0"/>
                <w:color w:val="000000"/>
                <w:sz w:val="18"/>
                <w:szCs w:val="18"/>
                <w:lang w:eastAsia="zh-CN"/>
              </w:rPr>
              <w:t>项目总协调，负责技术决策</w:t>
            </w:r>
          </w:p>
        </w:tc>
      </w:tr>
      <w:tr w14:paraId="278583FA">
        <w:trPr>
          <w:trHeight w:val="0" w:hRule="atLeast"/>
        </w:trPr>
        <w:tc>
          <w:tcPr>
            <w:tcW w:w="600" w:type="dxa"/>
            <w:tcBorders>
              <w:top w:val="single" w:color="auto" w:sz="4" w:space="0"/>
              <w:left w:val="single" w:color="auto" w:sz="4" w:space="0"/>
              <w:bottom w:val="single" w:color="auto" w:sz="4" w:space="0"/>
              <w:right w:val="single" w:color="auto" w:sz="4" w:space="0"/>
            </w:tcBorders>
            <w:noWrap/>
            <w:vAlign w:val="center"/>
          </w:tcPr>
          <w:p w14:paraId="1AE9D253">
            <w:pPr>
              <w:jc w:val="center"/>
              <w:rPr>
                <w:rFonts w:hint="default" w:ascii="宋体" w:hAnsi="宋体" w:eastAsia="宋体" w:cs="宋体"/>
                <w:smallCaps w:val="0"/>
                <w:color w:val="000000"/>
                <w:sz w:val="18"/>
                <w:szCs w:val="18"/>
                <w:lang w:val="en-US" w:eastAsia="zh-CN"/>
              </w:rPr>
            </w:pPr>
            <w:r>
              <w:rPr>
                <w:rFonts w:hint="eastAsia" w:ascii="宋体" w:hAnsi="宋体" w:eastAsia="宋体" w:cs="宋体"/>
                <w:smallCaps w:val="0"/>
                <w:color w:val="000000"/>
                <w:sz w:val="18"/>
                <w:szCs w:val="18"/>
                <w:lang w:val="en-US" w:eastAsia="zh-CN"/>
              </w:rPr>
              <w:t>2</w:t>
            </w:r>
          </w:p>
        </w:tc>
        <w:tc>
          <w:tcPr>
            <w:tcW w:w="854" w:type="dxa"/>
            <w:tcBorders>
              <w:top w:val="single" w:color="auto" w:sz="4" w:space="0"/>
              <w:left w:val="single" w:color="auto" w:sz="4" w:space="0"/>
              <w:bottom w:val="single" w:color="auto" w:sz="4" w:space="0"/>
              <w:right w:val="single" w:color="auto" w:sz="4" w:space="0"/>
            </w:tcBorders>
            <w:noWrap/>
            <w:vAlign w:val="center"/>
          </w:tcPr>
          <w:p w14:paraId="029BCDA1">
            <w:pPr>
              <w:jc w:val="center"/>
              <w:rPr>
                <w:rFonts w:hint="eastAsia" w:ascii="宋体" w:hAnsi="宋体" w:eastAsia="宋体" w:cs="宋体"/>
                <w:smallCaps w:val="0"/>
                <w:kern w:val="0"/>
                <w:sz w:val="18"/>
                <w:szCs w:val="18"/>
              </w:rPr>
            </w:pPr>
            <w:r>
              <w:rPr>
                <w:rFonts w:hint="eastAsia" w:ascii="宋体" w:hAnsi="宋体" w:eastAsia="宋体" w:cs="宋体"/>
                <w:smallCaps w:val="0"/>
                <w:color w:val="000000"/>
                <w:sz w:val="18"/>
                <w:szCs w:val="18"/>
                <w:lang w:val="en-US" w:eastAsia="zh-CN"/>
              </w:rPr>
              <w:t>王鹏</w:t>
            </w:r>
          </w:p>
        </w:tc>
        <w:tc>
          <w:tcPr>
            <w:tcW w:w="3311" w:type="dxa"/>
            <w:tcBorders>
              <w:top w:val="single" w:color="auto" w:sz="4" w:space="0"/>
              <w:left w:val="single" w:color="auto" w:sz="4" w:space="0"/>
              <w:bottom w:val="single" w:color="auto" w:sz="4" w:space="0"/>
              <w:right w:val="single" w:color="auto" w:sz="4" w:space="0"/>
            </w:tcBorders>
            <w:noWrap/>
            <w:vAlign w:val="center"/>
          </w:tcPr>
          <w:p w14:paraId="3685FB09">
            <w:pPr>
              <w:jc w:val="center"/>
              <w:rPr>
                <w:rFonts w:hint="eastAsia" w:ascii="宋体" w:hAnsi="宋体" w:eastAsia="宋体" w:cs="宋体"/>
                <w:sz w:val="18"/>
                <w:szCs w:val="18"/>
                <w:lang w:val="en-US" w:eastAsia="zh-CN"/>
              </w:rPr>
            </w:pPr>
            <w:r>
              <w:rPr>
                <w:rFonts w:hint="eastAsia" w:ascii="宋体" w:hAnsi="宋体" w:eastAsia="宋体" w:cs="宋体"/>
                <w:smallCaps w:val="0"/>
                <w:color w:val="000000"/>
                <w:sz w:val="18"/>
                <w:szCs w:val="18"/>
                <w:lang w:val="en-US" w:eastAsia="zh-CN"/>
              </w:rPr>
              <w:t>长三角（义乌）生态环境研究中心</w:t>
            </w:r>
          </w:p>
        </w:tc>
        <w:tc>
          <w:tcPr>
            <w:tcW w:w="1096" w:type="dxa"/>
            <w:tcBorders>
              <w:top w:val="single" w:color="auto" w:sz="4" w:space="0"/>
              <w:left w:val="single" w:color="auto" w:sz="4" w:space="0"/>
              <w:bottom w:val="single" w:color="auto" w:sz="4" w:space="0"/>
              <w:right w:val="single" w:color="auto" w:sz="4" w:space="0"/>
            </w:tcBorders>
            <w:noWrap/>
            <w:vAlign w:val="center"/>
          </w:tcPr>
          <w:p w14:paraId="322C434F">
            <w:pPr>
              <w:jc w:val="center"/>
              <w:rPr>
                <w:rFonts w:hint="eastAsia" w:ascii="宋体" w:hAnsi="宋体" w:eastAsia="宋体" w:cs="宋体"/>
                <w:smallCaps w:val="0"/>
                <w:color w:val="000000"/>
                <w:sz w:val="18"/>
                <w:szCs w:val="18"/>
                <w:lang w:eastAsia="zh-CN"/>
              </w:rPr>
            </w:pPr>
            <w:r>
              <w:rPr>
                <w:rFonts w:hint="eastAsia" w:ascii="宋体" w:hAnsi="宋体" w:eastAsia="宋体" w:cs="宋体"/>
                <w:smallCaps w:val="0"/>
                <w:color w:val="000000"/>
                <w:sz w:val="18"/>
                <w:szCs w:val="18"/>
                <w:lang w:val="en-US" w:eastAsia="zh-CN"/>
              </w:rPr>
              <w:t>研发</w:t>
            </w:r>
          </w:p>
        </w:tc>
        <w:tc>
          <w:tcPr>
            <w:tcW w:w="2566" w:type="dxa"/>
            <w:tcBorders>
              <w:top w:val="single" w:color="auto" w:sz="4" w:space="0"/>
              <w:left w:val="single" w:color="auto" w:sz="4" w:space="0"/>
              <w:bottom w:val="single" w:color="auto" w:sz="4" w:space="0"/>
              <w:right w:val="single" w:color="auto" w:sz="4" w:space="0"/>
            </w:tcBorders>
            <w:noWrap/>
            <w:vAlign w:val="center"/>
          </w:tcPr>
          <w:p w14:paraId="147ACA68">
            <w:pPr>
              <w:jc w:val="left"/>
              <w:rPr>
                <w:rFonts w:hint="eastAsia" w:ascii="宋体" w:hAnsi="宋体" w:eastAsia="宋体" w:cs="宋体"/>
                <w:smallCaps w:val="0"/>
                <w:color w:val="000000"/>
                <w:sz w:val="18"/>
                <w:szCs w:val="18"/>
                <w:lang w:eastAsia="zh-CN"/>
              </w:rPr>
            </w:pPr>
            <w:r>
              <w:rPr>
                <w:rFonts w:hint="eastAsia" w:ascii="宋体" w:hAnsi="宋体" w:eastAsia="宋体" w:cs="宋体"/>
                <w:smallCaps w:val="0"/>
                <w:color w:val="000000"/>
                <w:sz w:val="18"/>
                <w:szCs w:val="18"/>
                <w:lang w:eastAsia="zh-CN"/>
              </w:rPr>
              <w:t>技术经理，负责技术方案拟定与落实</w:t>
            </w:r>
          </w:p>
        </w:tc>
      </w:tr>
      <w:tr w14:paraId="52CAEE11">
        <w:trPr>
          <w:trHeight w:val="0" w:hRule="atLeast"/>
        </w:trPr>
        <w:tc>
          <w:tcPr>
            <w:tcW w:w="600" w:type="dxa"/>
            <w:tcBorders>
              <w:top w:val="single" w:color="auto" w:sz="4" w:space="0"/>
              <w:left w:val="single" w:color="auto" w:sz="4" w:space="0"/>
              <w:bottom w:val="single" w:color="auto" w:sz="4" w:space="0"/>
              <w:right w:val="single" w:color="auto" w:sz="4" w:space="0"/>
            </w:tcBorders>
            <w:noWrap/>
            <w:vAlign w:val="center"/>
          </w:tcPr>
          <w:p w14:paraId="01706F28">
            <w:pPr>
              <w:jc w:val="center"/>
              <w:rPr>
                <w:rFonts w:hint="eastAsia" w:ascii="宋体" w:hAnsi="宋体" w:eastAsia="宋体" w:cs="宋体"/>
                <w:smallCaps w:val="0"/>
                <w:color w:val="000000"/>
                <w:sz w:val="18"/>
                <w:szCs w:val="18"/>
                <w:lang w:val="en-US" w:eastAsia="zh-CN"/>
              </w:rPr>
            </w:pPr>
            <w:r>
              <w:rPr>
                <w:rFonts w:hint="eastAsia" w:ascii="宋体" w:hAnsi="宋体" w:eastAsia="宋体" w:cs="宋体"/>
                <w:smallCaps w:val="0"/>
                <w:color w:val="000000"/>
                <w:sz w:val="18"/>
                <w:szCs w:val="18"/>
                <w:lang w:val="en-US" w:eastAsia="zh-CN"/>
              </w:rPr>
              <w:t>3</w:t>
            </w:r>
          </w:p>
        </w:tc>
        <w:tc>
          <w:tcPr>
            <w:tcW w:w="854" w:type="dxa"/>
            <w:tcBorders>
              <w:top w:val="single" w:color="auto" w:sz="4" w:space="0"/>
              <w:left w:val="single" w:color="auto" w:sz="4" w:space="0"/>
              <w:bottom w:val="single" w:color="auto" w:sz="4" w:space="0"/>
              <w:right w:val="single" w:color="auto" w:sz="4" w:space="0"/>
            </w:tcBorders>
            <w:noWrap/>
            <w:vAlign w:val="center"/>
          </w:tcPr>
          <w:p w14:paraId="66B93D6D">
            <w:pPr>
              <w:jc w:val="center"/>
              <w:rPr>
                <w:rFonts w:hint="eastAsia" w:ascii="宋体" w:hAnsi="宋体" w:eastAsia="宋体" w:cs="宋体"/>
                <w:smallCaps w:val="0"/>
                <w:color w:val="000000"/>
                <w:sz w:val="18"/>
                <w:szCs w:val="18"/>
              </w:rPr>
            </w:pPr>
            <w:r>
              <w:rPr>
                <w:rFonts w:hint="eastAsia" w:ascii="宋体" w:hAnsi="宋体" w:eastAsia="宋体" w:cs="宋体"/>
                <w:smallCaps w:val="0"/>
                <w:kern w:val="0"/>
                <w:sz w:val="18"/>
                <w:szCs w:val="18"/>
              </w:rPr>
              <w:t>杜超</w:t>
            </w:r>
          </w:p>
        </w:tc>
        <w:tc>
          <w:tcPr>
            <w:tcW w:w="3311" w:type="dxa"/>
            <w:tcBorders>
              <w:top w:val="single" w:color="auto" w:sz="4" w:space="0"/>
              <w:left w:val="single" w:color="auto" w:sz="4" w:space="0"/>
              <w:bottom w:val="single" w:color="auto" w:sz="4" w:space="0"/>
              <w:right w:val="single" w:color="auto" w:sz="4" w:space="0"/>
            </w:tcBorders>
            <w:noWrap/>
            <w:vAlign w:val="center"/>
          </w:tcPr>
          <w:p w14:paraId="5A112806">
            <w:pPr>
              <w:jc w:val="center"/>
              <w:rPr>
                <w:rFonts w:hint="eastAsia" w:ascii="宋体" w:hAnsi="宋体" w:eastAsia="宋体" w:cs="宋体"/>
                <w:smallCaps w:val="0"/>
                <w:color w:val="000000"/>
                <w:sz w:val="18"/>
                <w:szCs w:val="18"/>
              </w:rPr>
            </w:pPr>
            <w:r>
              <w:rPr>
                <w:rFonts w:hint="eastAsia" w:ascii="宋体" w:hAnsi="宋体" w:eastAsia="宋体" w:cs="宋体"/>
                <w:sz w:val="18"/>
                <w:szCs w:val="18"/>
                <w:lang w:val="en-US" w:eastAsia="zh-CN"/>
              </w:rPr>
              <w:t>长三角（义乌）生态环境研究中心</w:t>
            </w:r>
          </w:p>
        </w:tc>
        <w:tc>
          <w:tcPr>
            <w:tcW w:w="1096" w:type="dxa"/>
            <w:tcBorders>
              <w:top w:val="single" w:color="auto" w:sz="4" w:space="0"/>
              <w:left w:val="single" w:color="auto" w:sz="4" w:space="0"/>
              <w:bottom w:val="single" w:color="auto" w:sz="4" w:space="0"/>
              <w:right w:val="single" w:color="auto" w:sz="4" w:space="0"/>
            </w:tcBorders>
            <w:noWrap/>
            <w:vAlign w:val="center"/>
          </w:tcPr>
          <w:p w14:paraId="6815568B">
            <w:pPr>
              <w:jc w:val="center"/>
              <w:rPr>
                <w:rFonts w:hint="eastAsia" w:ascii="宋体" w:hAnsi="宋体" w:eastAsia="宋体" w:cs="宋体"/>
                <w:smallCaps w:val="0"/>
                <w:color w:val="000000"/>
                <w:sz w:val="18"/>
                <w:szCs w:val="18"/>
                <w:lang w:eastAsia="zh-CN"/>
              </w:rPr>
            </w:pPr>
            <w:r>
              <w:rPr>
                <w:rFonts w:hint="eastAsia" w:ascii="宋体" w:hAnsi="宋体" w:eastAsia="宋体" w:cs="宋体"/>
                <w:smallCaps w:val="0"/>
                <w:color w:val="000000"/>
                <w:sz w:val="18"/>
                <w:szCs w:val="18"/>
                <w:lang w:eastAsia="zh-CN"/>
              </w:rPr>
              <w:t>检验</w:t>
            </w:r>
          </w:p>
        </w:tc>
        <w:tc>
          <w:tcPr>
            <w:tcW w:w="2566" w:type="dxa"/>
            <w:tcBorders>
              <w:top w:val="single" w:color="auto" w:sz="4" w:space="0"/>
              <w:left w:val="single" w:color="auto" w:sz="4" w:space="0"/>
              <w:bottom w:val="single" w:color="auto" w:sz="4" w:space="0"/>
              <w:right w:val="single" w:color="auto" w:sz="4" w:space="0"/>
            </w:tcBorders>
            <w:noWrap/>
            <w:vAlign w:val="center"/>
          </w:tcPr>
          <w:p w14:paraId="15668135">
            <w:pPr>
              <w:jc w:val="left"/>
              <w:rPr>
                <w:rFonts w:hint="eastAsia" w:ascii="宋体" w:hAnsi="宋体" w:eastAsia="宋体" w:cs="宋体"/>
                <w:smallCaps w:val="0"/>
                <w:color w:val="000000"/>
                <w:sz w:val="18"/>
                <w:szCs w:val="18"/>
                <w:lang w:eastAsia="zh-CN"/>
              </w:rPr>
            </w:pPr>
            <w:r>
              <w:rPr>
                <w:rFonts w:hint="eastAsia" w:ascii="宋体" w:hAnsi="宋体" w:eastAsia="宋体" w:cs="宋体"/>
                <w:smallCaps w:val="0"/>
                <w:color w:val="000000"/>
                <w:sz w:val="18"/>
                <w:szCs w:val="18"/>
                <w:lang w:eastAsia="zh-CN"/>
              </w:rPr>
              <w:t>试验验证跟踪</w:t>
            </w:r>
          </w:p>
        </w:tc>
      </w:tr>
      <w:tr w14:paraId="0C73C6DA">
        <w:trPr>
          <w:trHeight w:val="0" w:hRule="atLeast"/>
        </w:trPr>
        <w:tc>
          <w:tcPr>
            <w:tcW w:w="600" w:type="dxa"/>
            <w:tcBorders>
              <w:top w:val="single" w:color="auto" w:sz="4" w:space="0"/>
              <w:left w:val="single" w:color="auto" w:sz="4" w:space="0"/>
              <w:bottom w:val="single" w:color="auto" w:sz="4" w:space="0"/>
              <w:right w:val="single" w:color="auto" w:sz="4" w:space="0"/>
            </w:tcBorders>
            <w:noWrap/>
            <w:vAlign w:val="center"/>
          </w:tcPr>
          <w:p w14:paraId="577A764A">
            <w:pPr>
              <w:jc w:val="center"/>
              <w:rPr>
                <w:rFonts w:hint="eastAsia" w:ascii="宋体" w:hAnsi="宋体" w:eastAsia="宋体" w:cs="宋体"/>
                <w:smallCaps w:val="0"/>
                <w:color w:val="000000"/>
                <w:sz w:val="18"/>
                <w:szCs w:val="18"/>
                <w:lang w:val="en-US" w:eastAsia="zh-CN"/>
              </w:rPr>
            </w:pPr>
            <w:r>
              <w:rPr>
                <w:rFonts w:hint="eastAsia" w:ascii="宋体" w:hAnsi="宋体" w:eastAsia="宋体" w:cs="宋体"/>
                <w:smallCaps w:val="0"/>
                <w:color w:val="000000"/>
                <w:sz w:val="18"/>
                <w:szCs w:val="18"/>
                <w:lang w:val="en-US" w:eastAsia="zh-CN"/>
              </w:rPr>
              <w:t>4</w:t>
            </w:r>
          </w:p>
        </w:tc>
        <w:tc>
          <w:tcPr>
            <w:tcW w:w="854" w:type="dxa"/>
            <w:tcBorders>
              <w:top w:val="single" w:color="auto" w:sz="4" w:space="0"/>
              <w:left w:val="single" w:color="auto" w:sz="4" w:space="0"/>
              <w:bottom w:val="single" w:color="auto" w:sz="4" w:space="0"/>
              <w:right w:val="single" w:color="auto" w:sz="4" w:space="0"/>
            </w:tcBorders>
            <w:noWrap/>
            <w:vAlign w:val="center"/>
          </w:tcPr>
          <w:p w14:paraId="71CCE817">
            <w:pPr>
              <w:jc w:val="center"/>
              <w:rPr>
                <w:rFonts w:hint="eastAsia" w:ascii="宋体" w:hAnsi="宋体" w:eastAsia="宋体" w:cs="宋体"/>
                <w:smallCaps w:val="0"/>
                <w:color w:val="000000"/>
                <w:sz w:val="18"/>
                <w:szCs w:val="18"/>
              </w:rPr>
            </w:pPr>
          </w:p>
        </w:tc>
        <w:tc>
          <w:tcPr>
            <w:tcW w:w="3311" w:type="dxa"/>
            <w:tcBorders>
              <w:top w:val="single" w:color="auto" w:sz="4" w:space="0"/>
              <w:left w:val="single" w:color="auto" w:sz="4" w:space="0"/>
              <w:bottom w:val="single" w:color="auto" w:sz="4" w:space="0"/>
              <w:right w:val="single" w:color="auto" w:sz="4" w:space="0"/>
            </w:tcBorders>
            <w:noWrap/>
            <w:vAlign w:val="center"/>
          </w:tcPr>
          <w:p w14:paraId="2C6CD172">
            <w:pPr>
              <w:jc w:val="center"/>
              <w:rPr>
                <w:rFonts w:hint="eastAsia" w:ascii="宋体" w:hAnsi="宋体" w:eastAsia="宋体" w:cs="宋体"/>
                <w:smallCaps w:val="0"/>
                <w:color w:val="000000"/>
                <w:sz w:val="18"/>
                <w:szCs w:val="18"/>
              </w:rPr>
            </w:pPr>
            <w:r>
              <w:rPr>
                <w:rFonts w:hint="eastAsia" w:ascii="宋体" w:hAnsi="宋体" w:eastAsia="宋体" w:cs="宋体"/>
                <w:sz w:val="18"/>
                <w:szCs w:val="18"/>
                <w:lang w:val="en-US" w:eastAsia="zh-CN"/>
              </w:rPr>
              <w:t>广州市自来水有限公司</w:t>
            </w:r>
          </w:p>
        </w:tc>
        <w:tc>
          <w:tcPr>
            <w:tcW w:w="1096" w:type="dxa"/>
            <w:tcBorders>
              <w:top w:val="single" w:color="auto" w:sz="4" w:space="0"/>
              <w:left w:val="single" w:color="auto" w:sz="4" w:space="0"/>
              <w:bottom w:val="single" w:color="auto" w:sz="4" w:space="0"/>
              <w:right w:val="single" w:color="auto" w:sz="4" w:space="0"/>
            </w:tcBorders>
            <w:noWrap/>
            <w:vAlign w:val="center"/>
          </w:tcPr>
          <w:p w14:paraId="0D6C05BA">
            <w:pPr>
              <w:jc w:val="center"/>
              <w:rPr>
                <w:rFonts w:hint="eastAsia" w:ascii="宋体" w:hAnsi="宋体" w:eastAsia="宋体" w:cs="宋体"/>
                <w:smallCaps w:val="0"/>
                <w:color w:val="000000"/>
                <w:sz w:val="18"/>
                <w:szCs w:val="18"/>
              </w:rPr>
            </w:pPr>
          </w:p>
        </w:tc>
        <w:tc>
          <w:tcPr>
            <w:tcW w:w="2566" w:type="dxa"/>
            <w:tcBorders>
              <w:top w:val="single" w:color="auto" w:sz="4" w:space="0"/>
              <w:left w:val="single" w:color="auto" w:sz="4" w:space="0"/>
              <w:bottom w:val="single" w:color="auto" w:sz="4" w:space="0"/>
              <w:right w:val="single" w:color="auto" w:sz="4" w:space="0"/>
            </w:tcBorders>
            <w:noWrap/>
            <w:vAlign w:val="center"/>
          </w:tcPr>
          <w:p w14:paraId="39AB415F">
            <w:pPr>
              <w:jc w:val="left"/>
              <w:rPr>
                <w:rFonts w:hint="eastAsia" w:ascii="宋体" w:hAnsi="宋体" w:eastAsia="宋体" w:cs="宋体"/>
                <w:smallCaps w:val="0"/>
                <w:color w:val="000000"/>
                <w:sz w:val="18"/>
                <w:szCs w:val="18"/>
                <w:lang w:eastAsia="zh-CN"/>
              </w:rPr>
            </w:pPr>
            <w:r>
              <w:rPr>
                <w:rFonts w:hint="eastAsia" w:ascii="宋体" w:hAnsi="宋体" w:eastAsia="宋体" w:cs="宋体"/>
                <w:smallCaps w:val="0"/>
                <w:color w:val="000000"/>
                <w:sz w:val="18"/>
                <w:szCs w:val="18"/>
                <w:lang w:eastAsia="zh-CN"/>
              </w:rPr>
              <w:t>产品使用效果检验</w:t>
            </w:r>
          </w:p>
        </w:tc>
      </w:tr>
      <w:tr w14:paraId="25CCE3FF">
        <w:trPr>
          <w:trHeight w:val="0" w:hRule="atLeast"/>
        </w:trPr>
        <w:tc>
          <w:tcPr>
            <w:tcW w:w="600" w:type="dxa"/>
            <w:tcBorders>
              <w:top w:val="single" w:color="auto" w:sz="4" w:space="0"/>
              <w:left w:val="single" w:color="auto" w:sz="4" w:space="0"/>
              <w:bottom w:val="single" w:color="auto" w:sz="4" w:space="0"/>
              <w:right w:val="single" w:color="auto" w:sz="4" w:space="0"/>
            </w:tcBorders>
            <w:noWrap/>
            <w:vAlign w:val="center"/>
          </w:tcPr>
          <w:p w14:paraId="15913A19">
            <w:pPr>
              <w:jc w:val="center"/>
              <w:rPr>
                <w:rFonts w:hint="default" w:ascii="宋体" w:hAnsi="宋体" w:eastAsia="宋体" w:cs="宋体"/>
                <w:smallCaps w:val="0"/>
                <w:color w:val="000000"/>
                <w:sz w:val="18"/>
                <w:szCs w:val="18"/>
                <w:lang w:val="en-US" w:eastAsia="zh-CN"/>
              </w:rPr>
            </w:pPr>
            <w:r>
              <w:rPr>
                <w:rFonts w:hint="eastAsia" w:ascii="宋体" w:hAnsi="宋体" w:eastAsia="宋体" w:cs="宋体"/>
                <w:smallCaps w:val="0"/>
                <w:color w:val="000000"/>
                <w:sz w:val="18"/>
                <w:szCs w:val="18"/>
                <w:lang w:val="en-US" w:eastAsia="zh-CN"/>
              </w:rPr>
              <w:t>5</w:t>
            </w:r>
          </w:p>
        </w:tc>
        <w:tc>
          <w:tcPr>
            <w:tcW w:w="854" w:type="dxa"/>
            <w:tcBorders>
              <w:top w:val="single" w:color="auto" w:sz="4" w:space="0"/>
              <w:left w:val="single" w:color="auto" w:sz="4" w:space="0"/>
              <w:bottom w:val="single" w:color="auto" w:sz="4" w:space="0"/>
              <w:right w:val="single" w:color="auto" w:sz="4" w:space="0"/>
            </w:tcBorders>
            <w:noWrap/>
            <w:vAlign w:val="center"/>
          </w:tcPr>
          <w:p w14:paraId="34B2EE00">
            <w:pPr>
              <w:jc w:val="center"/>
              <w:rPr>
                <w:rFonts w:hint="eastAsia" w:ascii="宋体" w:hAnsi="宋体" w:eastAsia="宋体" w:cs="宋体"/>
                <w:smallCaps w:val="0"/>
                <w:color w:val="000000"/>
                <w:sz w:val="18"/>
                <w:szCs w:val="18"/>
              </w:rPr>
            </w:pPr>
          </w:p>
        </w:tc>
        <w:tc>
          <w:tcPr>
            <w:tcW w:w="3311" w:type="dxa"/>
            <w:tcBorders>
              <w:top w:val="single" w:color="auto" w:sz="4" w:space="0"/>
              <w:left w:val="single" w:color="auto" w:sz="4" w:space="0"/>
              <w:bottom w:val="single" w:color="auto" w:sz="4" w:space="0"/>
              <w:right w:val="single" w:color="auto" w:sz="4" w:space="0"/>
            </w:tcBorders>
            <w:noWrap/>
            <w:vAlign w:val="center"/>
          </w:tcPr>
          <w:p w14:paraId="744E3ED1">
            <w:pPr>
              <w:jc w:val="center"/>
              <w:rPr>
                <w:rFonts w:hint="eastAsia" w:ascii="宋体" w:hAnsi="宋体" w:eastAsia="宋体" w:cs="宋体"/>
                <w:smallCaps w:val="0"/>
                <w:color w:val="000000"/>
                <w:sz w:val="18"/>
                <w:szCs w:val="18"/>
              </w:rPr>
            </w:pPr>
            <w:r>
              <w:rPr>
                <w:rFonts w:hint="eastAsia" w:ascii="宋体" w:hAnsi="宋体" w:eastAsia="宋体" w:cs="宋体"/>
                <w:sz w:val="18"/>
                <w:szCs w:val="18"/>
                <w:lang w:val="en-US" w:eastAsia="zh-CN"/>
              </w:rPr>
              <w:t>广州市自来水有限公司</w:t>
            </w:r>
          </w:p>
        </w:tc>
        <w:tc>
          <w:tcPr>
            <w:tcW w:w="1096" w:type="dxa"/>
            <w:tcBorders>
              <w:top w:val="single" w:color="auto" w:sz="4" w:space="0"/>
              <w:left w:val="single" w:color="auto" w:sz="4" w:space="0"/>
              <w:bottom w:val="single" w:color="auto" w:sz="4" w:space="0"/>
              <w:right w:val="single" w:color="auto" w:sz="4" w:space="0"/>
            </w:tcBorders>
            <w:noWrap/>
            <w:vAlign w:val="center"/>
          </w:tcPr>
          <w:p w14:paraId="7B74A6E3">
            <w:pPr>
              <w:jc w:val="center"/>
              <w:rPr>
                <w:rFonts w:hint="eastAsia" w:ascii="宋体" w:hAnsi="宋体" w:eastAsia="宋体" w:cs="宋体"/>
                <w:smallCaps w:val="0"/>
                <w:color w:val="000000"/>
                <w:sz w:val="18"/>
                <w:szCs w:val="18"/>
              </w:rPr>
            </w:pPr>
          </w:p>
        </w:tc>
        <w:tc>
          <w:tcPr>
            <w:tcW w:w="2566" w:type="dxa"/>
            <w:tcBorders>
              <w:top w:val="single" w:color="auto" w:sz="4" w:space="0"/>
              <w:left w:val="single" w:color="auto" w:sz="4" w:space="0"/>
              <w:bottom w:val="single" w:color="auto" w:sz="4" w:space="0"/>
              <w:right w:val="single" w:color="auto" w:sz="4" w:space="0"/>
            </w:tcBorders>
            <w:noWrap/>
            <w:vAlign w:val="center"/>
          </w:tcPr>
          <w:p w14:paraId="6F0027BE">
            <w:pPr>
              <w:jc w:val="center"/>
              <w:rPr>
                <w:rFonts w:hint="eastAsia" w:ascii="宋体" w:hAnsi="宋体" w:eastAsia="宋体" w:cs="宋体"/>
                <w:smallCaps w:val="0"/>
                <w:color w:val="000000"/>
                <w:sz w:val="18"/>
                <w:szCs w:val="18"/>
              </w:rPr>
            </w:pPr>
          </w:p>
        </w:tc>
      </w:tr>
      <w:tr w14:paraId="5628673B">
        <w:trPr>
          <w:trHeight w:val="0" w:hRule="atLeast"/>
        </w:trPr>
        <w:tc>
          <w:tcPr>
            <w:tcW w:w="600" w:type="dxa"/>
            <w:tcBorders>
              <w:top w:val="single" w:color="auto" w:sz="4" w:space="0"/>
              <w:left w:val="single" w:color="auto" w:sz="4" w:space="0"/>
              <w:bottom w:val="single" w:color="auto" w:sz="4" w:space="0"/>
              <w:right w:val="single" w:color="auto" w:sz="4" w:space="0"/>
            </w:tcBorders>
            <w:noWrap/>
            <w:vAlign w:val="center"/>
          </w:tcPr>
          <w:p w14:paraId="4D08C70D">
            <w:pPr>
              <w:jc w:val="center"/>
              <w:rPr>
                <w:rFonts w:hint="default" w:ascii="宋体" w:hAnsi="宋体" w:eastAsia="宋体" w:cs="宋体"/>
                <w:smallCaps w:val="0"/>
                <w:color w:val="000000"/>
                <w:sz w:val="18"/>
                <w:szCs w:val="18"/>
                <w:lang w:val="en-US" w:eastAsia="zh-CN"/>
              </w:rPr>
            </w:pPr>
            <w:r>
              <w:rPr>
                <w:rFonts w:hint="eastAsia" w:ascii="宋体" w:hAnsi="宋体" w:eastAsia="宋体" w:cs="宋体"/>
                <w:smallCaps w:val="0"/>
                <w:color w:val="000000"/>
                <w:sz w:val="18"/>
                <w:szCs w:val="18"/>
                <w:lang w:val="en-US" w:eastAsia="zh-CN"/>
              </w:rPr>
              <w:t>6</w:t>
            </w:r>
          </w:p>
        </w:tc>
        <w:tc>
          <w:tcPr>
            <w:tcW w:w="854" w:type="dxa"/>
            <w:tcBorders>
              <w:top w:val="single" w:color="auto" w:sz="4" w:space="0"/>
              <w:left w:val="single" w:color="auto" w:sz="4" w:space="0"/>
              <w:bottom w:val="single" w:color="auto" w:sz="4" w:space="0"/>
              <w:right w:val="single" w:color="auto" w:sz="4" w:space="0"/>
            </w:tcBorders>
            <w:noWrap/>
            <w:vAlign w:val="center"/>
          </w:tcPr>
          <w:p w14:paraId="6056D592">
            <w:pPr>
              <w:jc w:val="center"/>
              <w:rPr>
                <w:rFonts w:hint="eastAsia" w:ascii="宋体" w:hAnsi="宋体" w:eastAsia="宋体" w:cs="宋体"/>
                <w:smallCaps w:val="0"/>
                <w:color w:val="000000"/>
                <w:sz w:val="18"/>
                <w:szCs w:val="18"/>
              </w:rPr>
            </w:pPr>
          </w:p>
        </w:tc>
        <w:tc>
          <w:tcPr>
            <w:tcW w:w="3311" w:type="dxa"/>
            <w:tcBorders>
              <w:top w:val="single" w:color="auto" w:sz="4" w:space="0"/>
              <w:left w:val="single" w:color="auto" w:sz="4" w:space="0"/>
              <w:bottom w:val="single" w:color="auto" w:sz="4" w:space="0"/>
              <w:right w:val="single" w:color="auto" w:sz="4" w:space="0"/>
            </w:tcBorders>
            <w:noWrap/>
            <w:vAlign w:val="center"/>
          </w:tcPr>
          <w:p w14:paraId="52C83B0E">
            <w:pPr>
              <w:jc w:val="center"/>
              <w:rPr>
                <w:rFonts w:hint="eastAsia" w:ascii="宋体" w:hAnsi="宋体" w:eastAsia="宋体" w:cs="宋体"/>
                <w:smallCaps w:val="0"/>
                <w:color w:val="000000"/>
                <w:sz w:val="18"/>
                <w:szCs w:val="18"/>
              </w:rPr>
            </w:pPr>
          </w:p>
        </w:tc>
        <w:tc>
          <w:tcPr>
            <w:tcW w:w="1096" w:type="dxa"/>
            <w:tcBorders>
              <w:top w:val="single" w:color="auto" w:sz="4" w:space="0"/>
              <w:left w:val="single" w:color="auto" w:sz="4" w:space="0"/>
              <w:bottom w:val="single" w:color="auto" w:sz="4" w:space="0"/>
              <w:right w:val="single" w:color="auto" w:sz="4" w:space="0"/>
            </w:tcBorders>
            <w:noWrap/>
            <w:vAlign w:val="center"/>
          </w:tcPr>
          <w:p w14:paraId="3CD0407C">
            <w:pPr>
              <w:jc w:val="center"/>
              <w:rPr>
                <w:rFonts w:hint="eastAsia" w:ascii="宋体" w:hAnsi="宋体" w:eastAsia="宋体" w:cs="宋体"/>
                <w:smallCaps w:val="0"/>
                <w:color w:val="000000"/>
                <w:sz w:val="18"/>
                <w:szCs w:val="18"/>
              </w:rPr>
            </w:pPr>
          </w:p>
        </w:tc>
        <w:tc>
          <w:tcPr>
            <w:tcW w:w="2566" w:type="dxa"/>
            <w:tcBorders>
              <w:top w:val="single" w:color="auto" w:sz="4" w:space="0"/>
              <w:left w:val="single" w:color="auto" w:sz="4" w:space="0"/>
              <w:bottom w:val="single" w:color="auto" w:sz="4" w:space="0"/>
              <w:right w:val="single" w:color="auto" w:sz="4" w:space="0"/>
            </w:tcBorders>
            <w:noWrap/>
            <w:vAlign w:val="center"/>
          </w:tcPr>
          <w:p w14:paraId="46783720">
            <w:pPr>
              <w:jc w:val="center"/>
              <w:rPr>
                <w:rFonts w:hint="eastAsia" w:ascii="宋体" w:hAnsi="宋体" w:eastAsia="宋体" w:cs="宋体"/>
                <w:smallCaps w:val="0"/>
                <w:color w:val="000000"/>
                <w:sz w:val="18"/>
                <w:szCs w:val="18"/>
              </w:rPr>
            </w:pPr>
          </w:p>
        </w:tc>
      </w:tr>
      <w:tr w14:paraId="4DC287AA">
        <w:trPr>
          <w:trHeight w:val="0" w:hRule="atLeast"/>
        </w:trPr>
        <w:tc>
          <w:tcPr>
            <w:tcW w:w="600" w:type="dxa"/>
            <w:tcBorders>
              <w:top w:val="single" w:color="auto" w:sz="4" w:space="0"/>
              <w:left w:val="single" w:color="auto" w:sz="4" w:space="0"/>
              <w:bottom w:val="single" w:color="auto" w:sz="4" w:space="0"/>
              <w:right w:val="single" w:color="auto" w:sz="4" w:space="0"/>
            </w:tcBorders>
            <w:noWrap/>
            <w:vAlign w:val="center"/>
          </w:tcPr>
          <w:p w14:paraId="4F696940">
            <w:pPr>
              <w:jc w:val="center"/>
              <w:rPr>
                <w:rFonts w:hint="eastAsia" w:ascii="宋体" w:hAnsi="宋体" w:eastAsia="宋体" w:cs="宋体"/>
                <w:smallCaps w:val="0"/>
                <w:color w:val="000000"/>
                <w:sz w:val="18"/>
                <w:szCs w:val="18"/>
                <w:lang w:val="en-US" w:eastAsia="zh-CN"/>
              </w:rPr>
            </w:pPr>
          </w:p>
        </w:tc>
        <w:tc>
          <w:tcPr>
            <w:tcW w:w="854" w:type="dxa"/>
            <w:tcBorders>
              <w:top w:val="single" w:color="auto" w:sz="4" w:space="0"/>
              <w:left w:val="single" w:color="auto" w:sz="4" w:space="0"/>
              <w:bottom w:val="single" w:color="auto" w:sz="4" w:space="0"/>
              <w:right w:val="single" w:color="auto" w:sz="4" w:space="0"/>
            </w:tcBorders>
            <w:noWrap/>
            <w:vAlign w:val="center"/>
          </w:tcPr>
          <w:p w14:paraId="19771801">
            <w:pPr>
              <w:jc w:val="center"/>
              <w:rPr>
                <w:rFonts w:hint="eastAsia" w:ascii="宋体" w:hAnsi="宋体" w:eastAsia="宋体" w:cs="宋体"/>
                <w:smallCaps w:val="0"/>
                <w:color w:val="000000"/>
                <w:sz w:val="18"/>
                <w:szCs w:val="18"/>
              </w:rPr>
            </w:pPr>
          </w:p>
        </w:tc>
        <w:tc>
          <w:tcPr>
            <w:tcW w:w="3311" w:type="dxa"/>
            <w:tcBorders>
              <w:top w:val="single" w:color="auto" w:sz="4" w:space="0"/>
              <w:left w:val="single" w:color="auto" w:sz="4" w:space="0"/>
              <w:bottom w:val="single" w:color="auto" w:sz="4" w:space="0"/>
              <w:right w:val="single" w:color="auto" w:sz="4" w:space="0"/>
            </w:tcBorders>
            <w:noWrap/>
            <w:vAlign w:val="center"/>
          </w:tcPr>
          <w:p w14:paraId="669388DB">
            <w:pPr>
              <w:jc w:val="center"/>
              <w:rPr>
                <w:rFonts w:hint="eastAsia" w:ascii="宋体" w:hAnsi="宋体" w:eastAsia="宋体" w:cs="宋体"/>
                <w:smallCaps w:val="0"/>
                <w:color w:val="000000"/>
                <w:sz w:val="18"/>
                <w:szCs w:val="18"/>
              </w:rPr>
            </w:pPr>
          </w:p>
        </w:tc>
        <w:tc>
          <w:tcPr>
            <w:tcW w:w="1096" w:type="dxa"/>
            <w:tcBorders>
              <w:top w:val="single" w:color="auto" w:sz="4" w:space="0"/>
              <w:left w:val="single" w:color="auto" w:sz="4" w:space="0"/>
              <w:bottom w:val="single" w:color="auto" w:sz="4" w:space="0"/>
              <w:right w:val="single" w:color="auto" w:sz="4" w:space="0"/>
            </w:tcBorders>
            <w:noWrap/>
            <w:vAlign w:val="center"/>
          </w:tcPr>
          <w:p w14:paraId="7927BD60">
            <w:pPr>
              <w:jc w:val="center"/>
              <w:rPr>
                <w:rFonts w:hint="eastAsia" w:ascii="宋体" w:hAnsi="宋体" w:eastAsia="宋体" w:cs="宋体"/>
                <w:smallCaps w:val="0"/>
                <w:color w:val="000000"/>
                <w:sz w:val="18"/>
                <w:szCs w:val="18"/>
              </w:rPr>
            </w:pPr>
          </w:p>
        </w:tc>
        <w:tc>
          <w:tcPr>
            <w:tcW w:w="2566" w:type="dxa"/>
            <w:tcBorders>
              <w:top w:val="single" w:color="auto" w:sz="4" w:space="0"/>
              <w:left w:val="single" w:color="auto" w:sz="4" w:space="0"/>
              <w:bottom w:val="single" w:color="auto" w:sz="4" w:space="0"/>
              <w:right w:val="single" w:color="auto" w:sz="4" w:space="0"/>
            </w:tcBorders>
            <w:noWrap/>
            <w:vAlign w:val="center"/>
          </w:tcPr>
          <w:p w14:paraId="4C59A964">
            <w:pPr>
              <w:jc w:val="center"/>
              <w:rPr>
                <w:rFonts w:hint="eastAsia" w:ascii="宋体" w:hAnsi="宋体" w:eastAsia="宋体" w:cs="宋体"/>
                <w:smallCaps w:val="0"/>
                <w:color w:val="000000"/>
                <w:sz w:val="18"/>
                <w:szCs w:val="18"/>
              </w:rPr>
            </w:pPr>
          </w:p>
        </w:tc>
      </w:tr>
      <w:tr w14:paraId="2A73C257">
        <w:trPr>
          <w:trHeight w:val="0" w:hRule="atLeast"/>
        </w:trPr>
        <w:tc>
          <w:tcPr>
            <w:tcW w:w="600" w:type="dxa"/>
            <w:tcBorders>
              <w:top w:val="single" w:color="auto" w:sz="4" w:space="0"/>
              <w:left w:val="single" w:color="auto" w:sz="4" w:space="0"/>
              <w:bottom w:val="single" w:color="auto" w:sz="4" w:space="0"/>
              <w:right w:val="single" w:color="auto" w:sz="4" w:space="0"/>
            </w:tcBorders>
            <w:noWrap/>
            <w:vAlign w:val="center"/>
          </w:tcPr>
          <w:p w14:paraId="58548933">
            <w:pPr>
              <w:jc w:val="center"/>
              <w:rPr>
                <w:rFonts w:hint="eastAsia" w:ascii="宋体" w:hAnsi="宋体" w:eastAsia="宋体" w:cs="宋体"/>
                <w:smallCaps w:val="0"/>
                <w:color w:val="000000"/>
                <w:sz w:val="18"/>
                <w:szCs w:val="18"/>
                <w:lang w:val="en-US" w:eastAsia="zh-CN"/>
              </w:rPr>
            </w:pPr>
          </w:p>
        </w:tc>
        <w:tc>
          <w:tcPr>
            <w:tcW w:w="854" w:type="dxa"/>
            <w:tcBorders>
              <w:top w:val="single" w:color="auto" w:sz="4" w:space="0"/>
              <w:left w:val="single" w:color="auto" w:sz="4" w:space="0"/>
              <w:bottom w:val="single" w:color="auto" w:sz="4" w:space="0"/>
              <w:right w:val="single" w:color="auto" w:sz="4" w:space="0"/>
            </w:tcBorders>
            <w:noWrap/>
            <w:vAlign w:val="center"/>
          </w:tcPr>
          <w:p w14:paraId="63C48A77">
            <w:pPr>
              <w:jc w:val="center"/>
              <w:rPr>
                <w:rFonts w:hint="eastAsia" w:ascii="宋体" w:hAnsi="宋体" w:eastAsia="宋体" w:cs="宋体"/>
                <w:smallCaps w:val="0"/>
                <w:color w:val="000000"/>
                <w:sz w:val="18"/>
                <w:szCs w:val="18"/>
              </w:rPr>
            </w:pPr>
          </w:p>
        </w:tc>
        <w:tc>
          <w:tcPr>
            <w:tcW w:w="3311" w:type="dxa"/>
            <w:tcBorders>
              <w:top w:val="single" w:color="auto" w:sz="4" w:space="0"/>
              <w:left w:val="single" w:color="auto" w:sz="4" w:space="0"/>
              <w:bottom w:val="single" w:color="auto" w:sz="4" w:space="0"/>
              <w:right w:val="single" w:color="auto" w:sz="4" w:space="0"/>
            </w:tcBorders>
            <w:noWrap/>
            <w:vAlign w:val="center"/>
          </w:tcPr>
          <w:p w14:paraId="260C8C38">
            <w:pPr>
              <w:jc w:val="center"/>
              <w:rPr>
                <w:rFonts w:hint="eastAsia" w:ascii="宋体" w:hAnsi="宋体" w:eastAsia="宋体" w:cs="宋体"/>
                <w:smallCaps w:val="0"/>
                <w:color w:val="000000"/>
                <w:sz w:val="18"/>
                <w:szCs w:val="18"/>
              </w:rPr>
            </w:pPr>
          </w:p>
        </w:tc>
        <w:tc>
          <w:tcPr>
            <w:tcW w:w="1096" w:type="dxa"/>
            <w:tcBorders>
              <w:top w:val="single" w:color="auto" w:sz="4" w:space="0"/>
              <w:left w:val="single" w:color="auto" w:sz="4" w:space="0"/>
              <w:bottom w:val="single" w:color="auto" w:sz="4" w:space="0"/>
              <w:right w:val="single" w:color="auto" w:sz="4" w:space="0"/>
            </w:tcBorders>
            <w:noWrap/>
            <w:vAlign w:val="center"/>
          </w:tcPr>
          <w:p w14:paraId="08F26846">
            <w:pPr>
              <w:jc w:val="center"/>
              <w:rPr>
                <w:rFonts w:hint="eastAsia" w:ascii="宋体" w:hAnsi="宋体" w:eastAsia="宋体" w:cs="宋体"/>
                <w:smallCaps w:val="0"/>
                <w:color w:val="000000"/>
                <w:sz w:val="18"/>
                <w:szCs w:val="18"/>
              </w:rPr>
            </w:pPr>
          </w:p>
        </w:tc>
        <w:tc>
          <w:tcPr>
            <w:tcW w:w="2566" w:type="dxa"/>
            <w:tcBorders>
              <w:top w:val="single" w:color="auto" w:sz="4" w:space="0"/>
              <w:left w:val="single" w:color="auto" w:sz="4" w:space="0"/>
              <w:bottom w:val="single" w:color="auto" w:sz="4" w:space="0"/>
              <w:right w:val="single" w:color="auto" w:sz="4" w:space="0"/>
            </w:tcBorders>
            <w:noWrap/>
            <w:vAlign w:val="center"/>
          </w:tcPr>
          <w:p w14:paraId="3699043C">
            <w:pPr>
              <w:jc w:val="center"/>
              <w:rPr>
                <w:rFonts w:hint="eastAsia" w:ascii="宋体" w:hAnsi="宋体" w:eastAsia="宋体" w:cs="宋体"/>
                <w:smallCaps w:val="0"/>
                <w:color w:val="000000"/>
                <w:sz w:val="18"/>
                <w:szCs w:val="18"/>
              </w:rPr>
            </w:pPr>
          </w:p>
        </w:tc>
      </w:tr>
    </w:tbl>
    <w:p w14:paraId="585F98B8">
      <w:pPr>
        <w:numPr>
          <w:ilvl w:val="0"/>
          <w:numId w:val="0"/>
        </w:numPr>
        <w:spacing w:line="360" w:lineRule="auto"/>
        <w:ind w:leftChars="0"/>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1.3.2、标准立项（</w:t>
      </w:r>
      <w:r>
        <w:rPr>
          <w:rFonts w:hint="eastAsia" w:ascii="宋体" w:hAnsi="宋体" w:eastAsia="宋体" w:cs="宋体"/>
          <w:b/>
          <w:bCs/>
          <w:color w:val="auto"/>
          <w:sz w:val="24"/>
          <w:szCs w:val="24"/>
          <w:lang w:val="en-US" w:eastAsia="zh-CN"/>
        </w:rPr>
        <w:t>2025年3月）</w:t>
      </w:r>
    </w:p>
    <w:p w14:paraId="2D79C9E4">
      <w:pPr>
        <w:numPr>
          <w:ilvl w:val="0"/>
          <w:numId w:val="0"/>
        </w:numPr>
        <w:spacing w:line="360" w:lineRule="auto"/>
        <w:ind w:left="0" w:leftChars="0" w:firstLine="420" w:firstLineChars="175"/>
        <w:jc w:val="left"/>
        <w:rPr>
          <w:rFonts w:hint="default" w:ascii="宋体" w:hAnsi="宋体" w:eastAsia="宋体" w:cs="宋体"/>
          <w:color w:val="auto"/>
          <w:sz w:val="24"/>
          <w:szCs w:val="24"/>
          <w:lang w:val="en-US" w:eastAsia="zh-CN"/>
        </w:rPr>
      </w:pPr>
      <w:r>
        <w:rPr>
          <w:rFonts w:hint="eastAsia" w:ascii="宋体" w:hAnsi="宋体" w:eastAsia="宋体" w:cs="宋体"/>
          <w:sz w:val="24"/>
          <w:szCs w:val="24"/>
          <w:lang w:val="en-US" w:eastAsia="zh-CN"/>
        </w:rPr>
        <w:t>2025年3月25日，中国食品药品企业质量安全促进会组织召开了《肺电阻抗断层成像技术要求》和《生活饮用水处理用高纯纳米型聚氯化铝》两项团体标准立项评审会，专家组听取了标准研制工作组对团体标准立项的必要性、可行性和实施影响等内容汇报，审阅了立项论证材料，</w:t>
      </w:r>
      <w:r>
        <w:rPr>
          <w:rFonts w:hint="eastAsia" w:ascii="宋体" w:hAnsi="宋体" w:eastAsia="宋体" w:cs="宋体"/>
          <w:color w:val="auto"/>
          <w:sz w:val="24"/>
          <w:szCs w:val="24"/>
          <w:lang w:val="en-US" w:eastAsia="zh-CN"/>
        </w:rPr>
        <w:t>经讨论，与会专家一致认为《生活饮用水处理用高纯纳米型聚氯化铝》团体标准项目符合我国有关法规和政策的要求，具有先进性和引领性，建议立项。同时，专家组对该标准立项提出下列主要修改意见：</w:t>
      </w:r>
    </w:p>
    <w:p w14:paraId="5CAAE434">
      <w:pPr>
        <w:numPr>
          <w:ilvl w:val="0"/>
          <w:numId w:val="0"/>
        </w:numPr>
        <w:spacing w:line="360" w:lineRule="auto"/>
        <w:ind w:left="0" w:leftChars="0" w:firstLine="420" w:firstLineChars="175"/>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1)增加“纳米型聚氯化铝”术语和定义；</w:t>
      </w:r>
    </w:p>
    <w:p w14:paraId="002DF529">
      <w:pPr>
        <w:numPr>
          <w:ilvl w:val="0"/>
          <w:numId w:val="0"/>
        </w:numPr>
        <w:spacing w:line="360" w:lineRule="auto"/>
        <w:ind w:left="0" w:leftChars="0" w:firstLine="420" w:firstLineChars="175"/>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2)建议增加团聚物控制指标；</w:t>
      </w:r>
    </w:p>
    <w:p w14:paraId="75B706CE">
      <w:pPr>
        <w:numPr>
          <w:ilvl w:val="0"/>
          <w:numId w:val="0"/>
        </w:numPr>
        <w:spacing w:line="360" w:lineRule="auto"/>
        <w:ind w:left="0" w:leftChars="0" w:firstLine="420" w:firstLineChars="175"/>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3)完善平均粒径试验方法；</w:t>
      </w:r>
    </w:p>
    <w:p w14:paraId="4EF41D25">
      <w:pPr>
        <w:numPr>
          <w:ilvl w:val="0"/>
          <w:numId w:val="0"/>
        </w:numPr>
        <w:spacing w:line="360" w:lineRule="auto"/>
        <w:ind w:left="0" w:leftChars="0" w:firstLine="420" w:firstLineChars="175"/>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4)进一步提炼混凝效果检测方法；</w:t>
      </w:r>
    </w:p>
    <w:p w14:paraId="72E2F2D4">
      <w:pPr>
        <w:numPr>
          <w:ilvl w:val="0"/>
          <w:numId w:val="0"/>
        </w:numPr>
        <w:spacing w:line="360" w:lineRule="auto"/>
        <w:ind w:left="0" w:leftChars="0" w:firstLine="420" w:firstLineChars="175"/>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5）进一步修改完善标准编制说明。</w:t>
      </w:r>
    </w:p>
    <w:p w14:paraId="479DFBBB">
      <w:pPr>
        <w:numPr>
          <w:ilvl w:val="0"/>
          <w:numId w:val="0"/>
        </w:numPr>
        <w:spacing w:line="360" w:lineRule="auto"/>
        <w:ind w:left="0" w:leftChars="0" w:firstLine="420" w:firstLineChars="175"/>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2025年3月27日，中国食品药品企业质量安全促进会发布了关于《生活饮用水处理用高纯纳米型聚氯化铝》团体标准立项的公告。</w:t>
      </w:r>
    </w:p>
    <w:p w14:paraId="579BE87C">
      <w:pPr>
        <w:numPr>
          <w:ilvl w:val="0"/>
          <w:numId w:val="0"/>
        </w:numPr>
        <w:spacing w:line="360" w:lineRule="auto"/>
        <w:ind w:leftChars="0"/>
        <w:jc w:val="left"/>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1.3.3、标准研制（2025年4月~2025年11月）</w:t>
      </w:r>
    </w:p>
    <w:p w14:paraId="1BD0456C">
      <w:pPr>
        <w:numPr>
          <w:ilvl w:val="0"/>
          <w:numId w:val="0"/>
        </w:numPr>
        <w:spacing w:line="360" w:lineRule="auto"/>
        <w:ind w:left="0" w:leftChars="0" w:firstLine="420" w:firstLineChars="175"/>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标准立项后，标准研制工作组专家所提意见进行了认真研究并对标准草案进行了进一步完善，专家意见中除第2）未采纳外，其他项均已修改，第2）未采纳理由主要为：</w:t>
      </w:r>
    </w:p>
    <w:p w14:paraId="0B07809A">
      <w:pPr>
        <w:numPr>
          <w:ilvl w:val="0"/>
          <w:numId w:val="5"/>
        </w:numPr>
        <w:spacing w:line="360" w:lineRule="auto"/>
        <w:ind w:left="0" w:leftChars="0" w:firstLine="480" w:firstLineChars="200"/>
        <w:jc w:val="left"/>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其他纳米材料，如纳米二氧化钛、纳米磷酸铁，在纳米材料考核指标中有“团聚粒度”和“团聚指数”，团聚粒度为多颗粒形成的较大颗粒复合体，团聚粒度的计算方式为团聚颗粒的粒度与一次颗粒（可以理解为单颗粒）的粒度的比值。通过对团聚粒度或团聚指数进行限制实现团聚物控制。但以上纳米材料皆为单分子物质，与聚合氯化铝（高分子量聚合物）存在一定差别，聚合氯化铝性质决定其存在一定的团聚/聚合。</w:t>
      </w:r>
    </w:p>
    <w:p w14:paraId="37495FAE">
      <w:pPr>
        <w:numPr>
          <w:ilvl w:val="0"/>
          <w:numId w:val="5"/>
        </w:numPr>
        <w:spacing w:line="360" w:lineRule="auto"/>
        <w:ind w:left="0" w:leftChars="0" w:firstLine="480" w:firstLineChars="200"/>
        <w:jc w:val="left"/>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聚合氯化铝药剂的有效混凝成分主要为中聚态的Al</w:t>
      </w:r>
      <w:r>
        <w:rPr>
          <w:rFonts w:hint="default" w:ascii="宋体" w:hAnsi="宋体" w:eastAsia="宋体" w:cs="宋体"/>
          <w:color w:val="auto"/>
          <w:sz w:val="24"/>
          <w:szCs w:val="24"/>
          <w:vertAlign w:val="subscript"/>
          <w:lang w:val="en-US" w:eastAsia="zh-CN"/>
        </w:rPr>
        <w:t>13</w:t>
      </w:r>
      <w:r>
        <w:rPr>
          <w:rFonts w:hint="default" w:ascii="宋体" w:hAnsi="宋体" w:eastAsia="宋体" w:cs="宋体"/>
          <w:color w:val="auto"/>
          <w:sz w:val="24"/>
          <w:szCs w:val="24"/>
          <w:lang w:val="en-US" w:eastAsia="zh-CN"/>
        </w:rPr>
        <w:t>，溶液中存在着其他单体Al和高聚态Al。纳米型聚合氯化铝即在已有的基础上优化，提高Al</w:t>
      </w:r>
      <w:r>
        <w:rPr>
          <w:rFonts w:hint="default" w:ascii="宋体" w:hAnsi="宋体" w:eastAsia="宋体" w:cs="宋体"/>
          <w:color w:val="auto"/>
          <w:sz w:val="24"/>
          <w:szCs w:val="24"/>
          <w:vertAlign w:val="subscript"/>
          <w:lang w:val="en-US" w:eastAsia="zh-CN"/>
        </w:rPr>
        <w:t>13</w:t>
      </w:r>
      <w:r>
        <w:rPr>
          <w:rFonts w:hint="default" w:ascii="宋体" w:hAnsi="宋体" w:eastAsia="宋体" w:cs="宋体"/>
          <w:color w:val="auto"/>
          <w:sz w:val="24"/>
          <w:szCs w:val="24"/>
          <w:lang w:val="en-US" w:eastAsia="zh-CN"/>
        </w:rPr>
        <w:t>的含量，其在Al-Ferron指标、27Al-NMR检测中可一定程度上体现出来，也可间接表征团聚度控制的水平。</w:t>
      </w:r>
    </w:p>
    <w:p w14:paraId="6985A99A">
      <w:pPr>
        <w:numPr>
          <w:ilvl w:val="0"/>
          <w:numId w:val="0"/>
        </w:numPr>
        <w:spacing w:line="360" w:lineRule="auto"/>
        <w:ind w:left="0" w:leftChars="0" w:firstLine="420" w:firstLineChars="175"/>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2025年11月27日，标准研制工作组完成标准及其编制说明征求意见稿并向中国食品药品企业质量安全促进会进行了报送。</w:t>
      </w:r>
    </w:p>
    <w:p w14:paraId="2957B0EB">
      <w:pPr>
        <w:numPr>
          <w:ilvl w:val="0"/>
          <w:numId w:val="0"/>
        </w:numPr>
        <w:spacing w:line="360" w:lineRule="auto"/>
        <w:ind w:leftChars="0"/>
        <w:jc w:val="left"/>
        <w:rPr>
          <w:rFonts w:hint="eastAsia" w:ascii="宋体" w:hAnsi="宋体" w:eastAsia="宋体" w:cs="宋体"/>
          <w:b/>
          <w:bCs/>
          <w:color w:val="FF0000"/>
          <w:sz w:val="24"/>
          <w:szCs w:val="24"/>
          <w:lang w:val="en-US" w:eastAsia="zh-CN"/>
        </w:rPr>
      </w:pPr>
      <w:r>
        <w:rPr>
          <w:rFonts w:hint="eastAsia" w:ascii="宋体" w:hAnsi="宋体" w:eastAsia="宋体" w:cs="宋体"/>
          <w:b/>
          <w:bCs/>
          <w:sz w:val="24"/>
          <w:szCs w:val="24"/>
          <w:lang w:val="en-US" w:eastAsia="zh-CN"/>
        </w:rPr>
        <w:t>1.3.4、标准征求意见</w:t>
      </w:r>
      <w:r>
        <w:rPr>
          <w:rFonts w:hint="eastAsia" w:ascii="宋体" w:hAnsi="宋体" w:eastAsia="宋体" w:cs="宋体"/>
          <w:b/>
          <w:bCs/>
          <w:color w:val="auto"/>
          <w:sz w:val="24"/>
          <w:szCs w:val="24"/>
          <w:lang w:val="en-US" w:eastAsia="zh-CN"/>
        </w:rPr>
        <w:t>（2025年X月~2025年X月）</w:t>
      </w:r>
    </w:p>
    <w:p w14:paraId="41287A58">
      <w:pPr>
        <w:numPr>
          <w:ilvl w:val="0"/>
          <w:numId w:val="0"/>
        </w:numPr>
        <w:spacing w:line="360" w:lineRule="auto"/>
        <w:ind w:leftChars="200"/>
        <w:jc w:val="left"/>
        <w:rPr>
          <w:rFonts w:hint="eastAsia" w:ascii="宋体" w:hAnsi="宋体" w:eastAsia="宋体" w:cs="宋体"/>
          <w:b/>
          <w:bCs/>
          <w:color w:val="FF0000"/>
          <w:sz w:val="24"/>
          <w:szCs w:val="24"/>
          <w:lang w:val="en-US" w:eastAsia="zh-CN"/>
        </w:rPr>
      </w:pPr>
      <w:r>
        <w:rPr>
          <w:rFonts w:hint="eastAsia" w:ascii="宋体" w:hAnsi="宋体" w:eastAsia="宋体" w:cs="宋体"/>
          <w:sz w:val="24"/>
          <w:szCs w:val="24"/>
          <w:lang w:val="en-US" w:eastAsia="zh-CN"/>
        </w:rPr>
        <w:t>。。。</w:t>
      </w:r>
    </w:p>
    <w:p w14:paraId="0077565E">
      <w:pPr>
        <w:numPr>
          <w:ilvl w:val="0"/>
          <w:numId w:val="0"/>
        </w:numPr>
        <w:spacing w:line="360" w:lineRule="auto"/>
        <w:ind w:leftChars="0"/>
        <w:jc w:val="left"/>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1.3.5、标准审查</w:t>
      </w:r>
      <w:r>
        <w:rPr>
          <w:rFonts w:hint="eastAsia" w:ascii="宋体" w:hAnsi="宋体" w:eastAsia="宋体" w:cs="宋体"/>
          <w:b/>
          <w:bCs/>
          <w:color w:val="auto"/>
          <w:sz w:val="24"/>
          <w:szCs w:val="24"/>
          <w:lang w:val="en-US" w:eastAsia="zh-CN"/>
        </w:rPr>
        <w:t>（2025年X月~2025年X月）</w:t>
      </w:r>
    </w:p>
    <w:p w14:paraId="5C6BFA6A">
      <w:pPr>
        <w:numPr>
          <w:ilvl w:val="0"/>
          <w:numId w:val="0"/>
        </w:numPr>
        <w:spacing w:line="360" w:lineRule="auto"/>
        <w:ind w:leftChars="200"/>
        <w:jc w:val="left"/>
        <w:rPr>
          <w:rFonts w:hint="eastAsia" w:ascii="宋体" w:hAnsi="宋体" w:eastAsia="宋体" w:cs="宋体"/>
          <w:b/>
          <w:bCs/>
          <w:color w:val="auto"/>
          <w:sz w:val="24"/>
          <w:szCs w:val="24"/>
          <w:lang w:val="en-US" w:eastAsia="zh-CN"/>
        </w:rPr>
      </w:pPr>
      <w:r>
        <w:rPr>
          <w:rFonts w:hint="eastAsia" w:ascii="宋体" w:hAnsi="宋体" w:eastAsia="宋体" w:cs="宋体"/>
          <w:sz w:val="24"/>
          <w:szCs w:val="24"/>
          <w:lang w:val="en-US" w:eastAsia="zh-CN"/>
        </w:rPr>
        <w:t>。。。</w:t>
      </w:r>
    </w:p>
    <w:p w14:paraId="203F597C">
      <w:pPr>
        <w:numPr>
          <w:ilvl w:val="0"/>
          <w:numId w:val="0"/>
        </w:numPr>
        <w:spacing w:line="360" w:lineRule="auto"/>
        <w:ind w:leftChars="0"/>
        <w:jc w:val="left"/>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1.3.6、标准报批（2025年X月~2025年X月）</w:t>
      </w:r>
    </w:p>
    <w:p w14:paraId="2AAC1472">
      <w:pPr>
        <w:numPr>
          <w:ilvl w:val="0"/>
          <w:numId w:val="0"/>
        </w:numPr>
        <w:spacing w:line="360" w:lineRule="auto"/>
        <w:ind w:left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w:t>
      </w:r>
    </w:p>
    <w:p w14:paraId="3AE1329A">
      <w:pPr>
        <w:pStyle w:val="2"/>
        <w:keepNext/>
        <w:keepLines/>
        <w:pageBreakBefore w:val="0"/>
        <w:widowControl w:val="0"/>
        <w:numPr>
          <w:ilvl w:val="0"/>
          <w:numId w:val="1"/>
        </w:numPr>
        <w:kinsoku/>
        <w:wordWrap/>
        <w:overflowPunct/>
        <w:topLinePunct w:val="0"/>
        <w:autoSpaceDE/>
        <w:autoSpaceDN/>
        <w:bidi w:val="0"/>
        <w:adjustRightInd/>
        <w:snapToGrid/>
        <w:spacing w:before="157" w:beforeLines="50" w:after="157" w:afterLines="50" w:line="240" w:lineRule="auto"/>
        <w:textAlignment w:val="auto"/>
        <w:rPr>
          <w:rFonts w:hint="eastAsia"/>
          <w:b/>
          <w:sz w:val="24"/>
          <w:szCs w:val="15"/>
        </w:rPr>
      </w:pPr>
      <w:r>
        <w:rPr>
          <w:rFonts w:hint="eastAsia"/>
          <w:b/>
          <w:sz w:val="24"/>
          <w:szCs w:val="15"/>
        </w:rPr>
        <w:t>标准编制原则</w:t>
      </w:r>
    </w:p>
    <w:p w14:paraId="33324985">
      <w:pPr>
        <w:pStyle w:val="3"/>
        <w:keepNext/>
        <w:keepLines/>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CN"/>
        </w:rPr>
        <w:t>2.1、必要性</w:t>
      </w:r>
    </w:p>
    <w:p w14:paraId="55E00A10">
      <w:pPr>
        <w:numPr>
          <w:ilvl w:val="0"/>
          <w:numId w:val="0"/>
        </w:numPr>
        <w:autoSpaceDE w:val="0"/>
        <w:autoSpaceDN w:val="0"/>
        <w:adjustRightInd w:val="0"/>
        <w:spacing w:line="360" w:lineRule="auto"/>
        <w:ind w:left="0" w:leftChars="0" w:firstLine="420" w:firstLineChars="175"/>
        <w:jc w:val="left"/>
        <w:rPr>
          <w:rFonts w:hint="eastAsia" w:ascii="宋体" w:hAnsi="宋体" w:eastAsia="宋体" w:cs="宋体"/>
          <w:sz w:val="24"/>
          <w:szCs w:val="24"/>
        </w:rPr>
      </w:pPr>
      <w:r>
        <w:rPr>
          <w:rFonts w:hint="eastAsia" w:ascii="宋体" w:hAnsi="宋体" w:eastAsia="宋体" w:cs="宋体"/>
          <w:sz w:val="24"/>
          <w:szCs w:val="24"/>
        </w:rPr>
        <w:t>制定生活饮用水用高纯纳米型聚氯化铝团体标准是规范市场、保障水质安全和促进行业升级的关键。通过明确产品质量指标，填补标准空白，防止劣质产品流入市场，推动技术创新和规模化应用，提升国际竞争力，支持环保政策落地，最终实现社会效益与经济效益的双赢。</w:t>
      </w:r>
    </w:p>
    <w:p w14:paraId="2FBBD946">
      <w:pPr>
        <w:pStyle w:val="3"/>
        <w:keepNext/>
        <w:keepLines/>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CN"/>
        </w:rPr>
        <w:t>2.2、先进性</w:t>
      </w:r>
    </w:p>
    <w:p w14:paraId="0D06B991">
      <w:pPr>
        <w:widowControl w:val="0"/>
        <w:numPr>
          <w:ilvl w:val="0"/>
          <w:numId w:val="0"/>
        </w:numPr>
        <w:spacing w:line="360" w:lineRule="auto"/>
        <w:ind w:left="0" w:leftChars="0" w:firstLine="420" w:firstLineChars="175"/>
        <w:jc w:val="both"/>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相对于目前纳米聚合铝主要参考标准，相较于聚氯化铝传统特性，先进性主要有以下几点，关键指标对比见表4：</w:t>
      </w:r>
    </w:p>
    <w:p w14:paraId="2A88C035">
      <w:pPr>
        <w:widowControl w:val="0"/>
        <w:numPr>
          <w:ilvl w:val="0"/>
          <w:numId w:val="6"/>
        </w:numPr>
        <w:spacing w:line="360" w:lineRule="auto"/>
        <w:ind w:left="425" w:leftChars="0" w:hanging="5" w:firstLineChars="0"/>
        <w:jc w:val="both"/>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有效铝形态（Al</w:t>
      </w:r>
      <w:r>
        <w:rPr>
          <w:rFonts w:hint="eastAsia" w:ascii="宋体" w:hAnsi="宋体" w:eastAsia="宋体" w:cs="宋体"/>
          <w:b w:val="0"/>
          <w:bCs w:val="0"/>
          <w:color w:val="auto"/>
          <w:kern w:val="2"/>
          <w:sz w:val="24"/>
          <w:szCs w:val="24"/>
          <w:vertAlign w:val="subscript"/>
          <w:lang w:val="en-US" w:eastAsia="zh-CN" w:bidi="ar-SA"/>
        </w:rPr>
        <w:t>13</w:t>
      </w:r>
      <w:r>
        <w:rPr>
          <w:rFonts w:hint="eastAsia" w:ascii="宋体" w:hAnsi="宋体" w:eastAsia="宋体" w:cs="宋体"/>
          <w:b w:val="0"/>
          <w:bCs w:val="0"/>
          <w:color w:val="auto"/>
          <w:kern w:val="2"/>
          <w:sz w:val="24"/>
          <w:szCs w:val="24"/>
          <w:lang w:val="en-US" w:eastAsia="zh-CN" w:bidi="ar-SA"/>
        </w:rPr>
        <w:t>）提高，Al</w:t>
      </w:r>
      <w:r>
        <w:rPr>
          <w:rFonts w:hint="eastAsia" w:ascii="宋体" w:hAnsi="宋体" w:eastAsia="宋体" w:cs="宋体"/>
          <w:b w:val="0"/>
          <w:bCs w:val="0"/>
          <w:color w:val="auto"/>
          <w:kern w:val="2"/>
          <w:sz w:val="24"/>
          <w:szCs w:val="24"/>
          <w:vertAlign w:val="subscript"/>
          <w:lang w:val="en-US" w:eastAsia="zh-CN" w:bidi="ar-SA"/>
        </w:rPr>
        <w:t>13</w:t>
      </w:r>
      <w:r>
        <w:rPr>
          <w:rFonts w:hint="eastAsia" w:ascii="宋体" w:hAnsi="宋体" w:eastAsia="宋体" w:cs="宋体"/>
          <w:b w:val="0"/>
          <w:bCs w:val="0"/>
          <w:color w:val="auto"/>
          <w:kern w:val="2"/>
          <w:sz w:val="24"/>
          <w:szCs w:val="24"/>
          <w:lang w:val="en-US" w:eastAsia="zh-CN" w:bidi="ar-SA"/>
        </w:rPr>
        <w:t>多核羟基络合物的高电荷密度和强架桥能力提升，使絮体更密实、沉降速度加快；</w:t>
      </w:r>
    </w:p>
    <w:p w14:paraId="0C9147EB">
      <w:pPr>
        <w:widowControl w:val="0"/>
        <w:numPr>
          <w:ilvl w:val="0"/>
          <w:numId w:val="6"/>
        </w:numPr>
        <w:spacing w:line="360" w:lineRule="auto"/>
        <w:ind w:left="425" w:leftChars="0" w:hanging="5" w:firstLineChars="0"/>
        <w:jc w:val="both"/>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盐基度（碱化度）提升至60%~90%，增强了胶体颗粒的电荷中和作用，尤其适用于高浊度、高有机物水体的快速絮凝；</w:t>
      </w:r>
    </w:p>
    <w:p w14:paraId="5DC7F871">
      <w:pPr>
        <w:widowControl w:val="0"/>
        <w:numPr>
          <w:ilvl w:val="0"/>
          <w:numId w:val="6"/>
        </w:numPr>
        <w:spacing w:line="360" w:lineRule="auto"/>
        <w:ind w:left="425" w:leftChars="0" w:hanging="5" w:firstLineChars="0"/>
        <w:jc w:val="both"/>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不溶物的质量分数指标降低，说明纳米聚合可降低出水残余浊度；</w:t>
      </w:r>
    </w:p>
    <w:p w14:paraId="1DAACC31">
      <w:pPr>
        <w:widowControl w:val="0"/>
        <w:numPr>
          <w:ilvl w:val="0"/>
          <w:numId w:val="6"/>
        </w:numPr>
        <w:spacing w:line="360" w:lineRule="auto"/>
        <w:ind w:left="425" w:leftChars="0" w:hanging="5" w:firstLineChars="0"/>
        <w:jc w:val="both"/>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根据纳米聚合铝产品特性，新增了聚合态铝Al</w:t>
      </w:r>
      <w:r>
        <w:rPr>
          <w:rFonts w:hint="eastAsia" w:ascii="宋体" w:hAnsi="宋体" w:eastAsia="宋体" w:cs="宋体"/>
          <w:b w:val="0"/>
          <w:bCs w:val="0"/>
          <w:color w:val="auto"/>
          <w:kern w:val="2"/>
          <w:sz w:val="24"/>
          <w:szCs w:val="24"/>
          <w:vertAlign w:val="subscript"/>
          <w:lang w:val="en-US" w:eastAsia="zh-CN" w:bidi="ar-SA"/>
        </w:rPr>
        <w:t>13</w:t>
      </w:r>
      <w:r>
        <w:rPr>
          <w:rFonts w:hint="eastAsia" w:ascii="宋体" w:hAnsi="宋体" w:eastAsia="宋体" w:cs="宋体"/>
          <w:b w:val="0"/>
          <w:bCs w:val="0"/>
          <w:color w:val="auto"/>
          <w:kern w:val="2"/>
          <w:sz w:val="24"/>
          <w:szCs w:val="24"/>
          <w:lang w:val="en-US" w:eastAsia="zh-CN" w:bidi="ar-SA"/>
        </w:rPr>
        <w:t>的质量分数、粒径指标要求；</w:t>
      </w:r>
    </w:p>
    <w:p w14:paraId="7BCE6E92">
      <w:pPr>
        <w:widowControl w:val="0"/>
        <w:numPr>
          <w:ilvl w:val="0"/>
          <w:numId w:val="6"/>
        </w:numPr>
        <w:spacing w:line="360" w:lineRule="auto"/>
        <w:ind w:left="425" w:leftChars="0" w:hanging="5" w:firstLineChars="0"/>
        <w:jc w:val="both"/>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纳米聚合铝由于Al</w:t>
      </w:r>
      <w:r>
        <w:rPr>
          <w:rFonts w:hint="eastAsia" w:ascii="宋体" w:hAnsi="宋体" w:eastAsia="宋体" w:cs="宋体"/>
          <w:b w:val="0"/>
          <w:bCs w:val="0"/>
          <w:color w:val="auto"/>
          <w:kern w:val="2"/>
          <w:sz w:val="24"/>
          <w:szCs w:val="24"/>
          <w:vertAlign w:val="subscript"/>
          <w:lang w:val="en-US" w:eastAsia="zh-CN" w:bidi="ar-SA"/>
        </w:rPr>
        <w:t>13</w:t>
      </w:r>
      <w:r>
        <w:rPr>
          <w:rFonts w:hint="eastAsia" w:ascii="宋体" w:hAnsi="宋体" w:eastAsia="宋体" w:cs="宋体"/>
          <w:b w:val="0"/>
          <w:bCs w:val="0"/>
          <w:color w:val="auto"/>
          <w:kern w:val="2"/>
          <w:sz w:val="24"/>
          <w:szCs w:val="24"/>
          <w:lang w:val="en-US" w:eastAsia="zh-CN" w:bidi="ar-SA"/>
        </w:rPr>
        <w:t>的稳定性，可使出水残余铝含量降低；</w:t>
      </w:r>
    </w:p>
    <w:p w14:paraId="68301398">
      <w:pPr>
        <w:widowControl w:val="0"/>
        <w:numPr>
          <w:ilvl w:val="0"/>
          <w:numId w:val="6"/>
        </w:numPr>
        <w:spacing w:line="360" w:lineRule="auto"/>
        <w:ind w:left="425" w:leftChars="0" w:hanging="5" w:firstLineChars="0"/>
        <w:jc w:val="both"/>
        <w:rPr>
          <w:rFonts w:hint="eastAsia" w:ascii="宋体" w:hAnsi="宋体" w:eastAsia="宋体" w:cs="宋体"/>
          <w:sz w:val="24"/>
          <w:szCs w:val="24"/>
        </w:rPr>
      </w:pPr>
      <w:r>
        <w:rPr>
          <w:rFonts w:hint="eastAsia" w:ascii="宋体" w:hAnsi="宋体" w:eastAsia="宋体" w:cs="宋体"/>
          <w:b w:val="0"/>
          <w:bCs w:val="0"/>
          <w:color w:val="auto"/>
          <w:kern w:val="2"/>
          <w:sz w:val="24"/>
          <w:szCs w:val="24"/>
          <w:lang w:val="en-US" w:eastAsia="zh-CN" w:bidi="ar-SA"/>
        </w:rPr>
        <w:t>同等水质条件下，投药量可减少30%~50%，降低处理成本。</w:t>
      </w:r>
    </w:p>
    <w:p w14:paraId="3BE3C627">
      <w:pPr>
        <w:widowControl w:val="0"/>
        <w:numPr>
          <w:ilvl w:val="0"/>
          <w:numId w:val="6"/>
        </w:numPr>
        <w:spacing w:line="360" w:lineRule="auto"/>
        <w:ind w:left="425" w:leftChars="0" w:hanging="5" w:firstLineChars="0"/>
        <w:jc w:val="both"/>
        <w:rPr>
          <w:rFonts w:hint="eastAsia" w:ascii="宋体" w:hAnsi="宋体" w:eastAsia="宋体" w:cs="宋体"/>
          <w:sz w:val="24"/>
          <w:szCs w:val="24"/>
        </w:rPr>
      </w:pPr>
      <w:r>
        <w:rPr>
          <w:rFonts w:hint="eastAsia" w:ascii="宋体" w:hAnsi="宋体" w:eastAsia="宋体" w:cs="宋体"/>
          <w:b w:val="0"/>
          <w:bCs w:val="0"/>
          <w:color w:val="auto"/>
          <w:kern w:val="2"/>
          <w:sz w:val="24"/>
          <w:szCs w:val="24"/>
          <w:lang w:val="en-US" w:eastAsia="zh-CN" w:bidi="ar-SA"/>
        </w:rPr>
        <w:t>首次提炼聚合态铝Al</w:t>
      </w:r>
      <w:r>
        <w:rPr>
          <w:rFonts w:hint="eastAsia" w:ascii="宋体" w:hAnsi="宋体" w:eastAsia="宋体" w:cs="宋体"/>
          <w:b w:val="0"/>
          <w:bCs w:val="0"/>
          <w:color w:val="auto"/>
          <w:kern w:val="2"/>
          <w:sz w:val="24"/>
          <w:szCs w:val="24"/>
          <w:vertAlign w:val="subscript"/>
          <w:lang w:val="en-US" w:eastAsia="zh-CN" w:bidi="ar-SA"/>
        </w:rPr>
        <w:t>13</w:t>
      </w:r>
      <w:r>
        <w:rPr>
          <w:rFonts w:hint="eastAsia" w:ascii="宋体" w:hAnsi="宋体" w:eastAsia="宋体" w:cs="宋体"/>
          <w:b w:val="0"/>
          <w:bCs w:val="0"/>
          <w:color w:val="auto"/>
          <w:kern w:val="2"/>
          <w:sz w:val="24"/>
          <w:szCs w:val="24"/>
          <w:lang w:val="en-US" w:eastAsia="zh-CN" w:bidi="ar-SA"/>
        </w:rPr>
        <w:t>质量分数的试验方法。</w:t>
      </w:r>
    </w:p>
    <w:p w14:paraId="33E9790F">
      <w:pPr>
        <w:widowControl w:val="0"/>
        <w:numPr>
          <w:ilvl w:val="0"/>
          <w:numId w:val="6"/>
        </w:numPr>
        <w:spacing w:line="360" w:lineRule="auto"/>
        <w:ind w:left="425" w:leftChars="0" w:hanging="5" w:firstLineChars="0"/>
        <w:jc w:val="both"/>
        <w:rPr>
          <w:rFonts w:hint="eastAsia" w:ascii="宋体" w:hAnsi="宋体" w:eastAsia="宋体" w:cs="宋体"/>
          <w:sz w:val="24"/>
          <w:szCs w:val="24"/>
        </w:rPr>
      </w:pPr>
      <w:r>
        <w:rPr>
          <w:rFonts w:hint="eastAsia" w:ascii="宋体" w:hAnsi="宋体" w:eastAsia="宋体" w:cs="宋体"/>
          <w:b w:val="0"/>
          <w:bCs w:val="0"/>
          <w:color w:val="auto"/>
          <w:kern w:val="2"/>
          <w:sz w:val="24"/>
          <w:szCs w:val="24"/>
          <w:lang w:val="en-US" w:eastAsia="zh-CN" w:bidi="ar-SA"/>
        </w:rPr>
        <w:t>首次提出出水余铝质量分数要求和试验方法。</w:t>
      </w:r>
    </w:p>
    <w:p w14:paraId="64342DFD">
      <w:pPr>
        <w:widowControl w:val="0"/>
        <w:numPr>
          <w:ilvl w:val="0"/>
          <w:numId w:val="0"/>
        </w:numPr>
        <w:spacing w:line="360" w:lineRule="auto"/>
        <w:jc w:val="center"/>
        <w:rPr>
          <w:rFonts w:hint="eastAsia" w:ascii="宋体" w:hAnsi="宋体" w:eastAsia="宋体" w:cs="宋体"/>
          <w:b/>
          <w:bCs/>
          <w:sz w:val="24"/>
          <w:szCs w:val="24"/>
        </w:rPr>
      </w:pPr>
      <w:r>
        <w:rPr>
          <w:rFonts w:hint="eastAsia" w:ascii="宋体" w:hAnsi="宋体" w:eastAsia="宋体" w:cs="宋体"/>
          <w:b/>
          <w:bCs/>
          <w:color w:val="auto"/>
          <w:kern w:val="2"/>
          <w:sz w:val="24"/>
          <w:szCs w:val="24"/>
          <w:lang w:val="en-US" w:eastAsia="zh-CN" w:bidi="ar-SA"/>
        </w:rPr>
        <w:t>表5-关键指标对比</w:t>
      </w:r>
    </w:p>
    <w:tbl>
      <w:tblPr>
        <w:tblStyle w:val="6"/>
        <w:tblW w:w="4998" w:type="pct"/>
        <w:tblInd w:w="0" w:type="dxa"/>
        <w:tblLayout w:type="fixed"/>
        <w:tblCellMar>
          <w:top w:w="0" w:type="dxa"/>
          <w:left w:w="108" w:type="dxa"/>
          <w:bottom w:w="0" w:type="dxa"/>
          <w:right w:w="108" w:type="dxa"/>
        </w:tblCellMar>
      </w:tblPr>
      <w:tblGrid>
        <w:gridCol w:w="861"/>
        <w:gridCol w:w="1290"/>
        <w:gridCol w:w="1360"/>
        <w:gridCol w:w="1310"/>
        <w:gridCol w:w="1205"/>
        <w:gridCol w:w="2493"/>
      </w:tblGrid>
      <w:tr w14:paraId="69B78668">
        <w:trPr>
          <w:trHeight w:val="480" w:hRule="atLeast"/>
        </w:trPr>
        <w:tc>
          <w:tcPr>
            <w:tcW w:w="1262" w:type="pct"/>
            <w:gridSpan w:val="2"/>
            <w:tcBorders>
              <w:top w:val="single" w:color="000000" w:sz="4" w:space="0"/>
              <w:left w:val="single" w:color="000000" w:sz="4" w:space="0"/>
              <w:bottom w:val="single" w:color="000000" w:sz="4" w:space="0"/>
              <w:right w:val="single" w:color="000000" w:sz="4" w:space="0"/>
            </w:tcBorders>
            <w:shd w:val="clear" w:color="auto" w:fill="DCE6F2"/>
            <w:noWrap w:val="0"/>
            <w:vAlign w:val="center"/>
          </w:tcPr>
          <w:p w14:paraId="444B31C9">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指标项目</w:t>
            </w:r>
          </w:p>
        </w:tc>
        <w:tc>
          <w:tcPr>
            <w:tcW w:w="798" w:type="pct"/>
            <w:tcBorders>
              <w:top w:val="single" w:color="000000" w:sz="4" w:space="0"/>
              <w:left w:val="single" w:color="000000" w:sz="4" w:space="0"/>
              <w:bottom w:val="single" w:color="000000" w:sz="4" w:space="0"/>
              <w:right w:val="single" w:color="000000" w:sz="4" w:space="0"/>
            </w:tcBorders>
            <w:shd w:val="clear" w:color="auto" w:fill="DCE6F2"/>
            <w:noWrap w:val="0"/>
            <w:vAlign w:val="center"/>
          </w:tcPr>
          <w:p w14:paraId="76E9CB2A">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本团体标准</w:t>
            </w:r>
          </w:p>
        </w:tc>
        <w:tc>
          <w:tcPr>
            <w:tcW w:w="768" w:type="pct"/>
            <w:tcBorders>
              <w:top w:val="single" w:color="000000" w:sz="4" w:space="0"/>
              <w:left w:val="single" w:color="000000" w:sz="4" w:space="0"/>
              <w:bottom w:val="single" w:color="000000" w:sz="4" w:space="0"/>
              <w:right w:val="single" w:color="000000" w:sz="4" w:space="0"/>
            </w:tcBorders>
            <w:shd w:val="clear" w:color="auto" w:fill="DCE6F2"/>
            <w:noWrap w:val="0"/>
            <w:vAlign w:val="center"/>
          </w:tcPr>
          <w:p w14:paraId="447A1CEA">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GB/T 22627-2022</w:t>
            </w:r>
          </w:p>
        </w:tc>
        <w:tc>
          <w:tcPr>
            <w:tcW w:w="707" w:type="pct"/>
            <w:tcBorders>
              <w:top w:val="single" w:color="000000" w:sz="4" w:space="0"/>
              <w:left w:val="single" w:color="000000" w:sz="4" w:space="0"/>
              <w:bottom w:val="single" w:color="000000" w:sz="4" w:space="0"/>
              <w:right w:val="single" w:color="auto" w:sz="4" w:space="0"/>
            </w:tcBorders>
            <w:shd w:val="clear" w:color="auto" w:fill="DCE6F2"/>
            <w:noWrap w:val="0"/>
            <w:vAlign w:val="center"/>
          </w:tcPr>
          <w:p w14:paraId="7C4F3CD2">
            <w:pPr>
              <w:widowControl/>
              <w:spacing w:line="240" w:lineRule="auto"/>
              <w:jc w:val="center"/>
              <w:textAlignment w:val="center"/>
              <w:rPr>
                <w:rFonts w:hint="eastAsia" w:ascii="宋体" w:hAnsi="宋体" w:eastAsia="宋体" w:cs="宋体"/>
                <w:color w:val="000000"/>
                <w:kern w:val="0"/>
                <w:sz w:val="18"/>
                <w:szCs w:val="18"/>
                <w:lang w:bidi="ar"/>
              </w:rPr>
            </w:pPr>
            <w:bookmarkStart w:id="0" w:name="OLE_LINK12"/>
            <w:r>
              <w:rPr>
                <w:rFonts w:hint="eastAsia" w:ascii="宋体" w:hAnsi="宋体" w:eastAsia="宋体" w:cs="宋体"/>
                <w:color w:val="000000"/>
                <w:kern w:val="0"/>
                <w:sz w:val="18"/>
                <w:szCs w:val="18"/>
                <w:lang w:bidi="ar"/>
              </w:rPr>
              <w:t>GB 15892-2020</w:t>
            </w:r>
            <w:bookmarkEnd w:id="0"/>
          </w:p>
        </w:tc>
        <w:tc>
          <w:tcPr>
            <w:tcW w:w="1463" w:type="pct"/>
            <w:tcBorders>
              <w:top w:val="single" w:color="auto" w:sz="4" w:space="0"/>
              <w:left w:val="single" w:color="auto" w:sz="4" w:space="0"/>
              <w:bottom w:val="single" w:color="auto" w:sz="4" w:space="0"/>
              <w:right w:val="single" w:color="auto" w:sz="4" w:space="0"/>
            </w:tcBorders>
            <w:shd w:val="clear" w:color="auto" w:fill="DCE6F2"/>
            <w:noWrap w:val="0"/>
            <w:vAlign w:val="center"/>
          </w:tcPr>
          <w:p w14:paraId="62471C9E">
            <w:pPr>
              <w:widowControl/>
              <w:spacing w:line="240" w:lineRule="auto"/>
              <w:jc w:val="center"/>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eastAsia="zh-CN" w:bidi="ar"/>
              </w:rPr>
              <w:t>备注</w:t>
            </w:r>
          </w:p>
        </w:tc>
      </w:tr>
      <w:tr w14:paraId="19241DCC">
        <w:trPr>
          <w:trHeight w:val="525" w:hRule="atLeast"/>
        </w:trPr>
        <w:tc>
          <w:tcPr>
            <w:tcW w:w="1262"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A6A8E7">
            <w:pPr>
              <w:widowControl/>
              <w:spacing w:line="240" w:lineRule="auto"/>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氧化铝（铝、铁含量，以Al</w:t>
            </w:r>
            <w:r>
              <w:rPr>
                <w:rFonts w:hint="eastAsia" w:ascii="宋体" w:hAnsi="宋体" w:eastAsia="宋体" w:cs="宋体"/>
                <w:sz w:val="18"/>
                <w:szCs w:val="18"/>
                <w:vertAlign w:val="subscript"/>
                <w:lang w:bidi="ar"/>
              </w:rPr>
              <w:t>2</w:t>
            </w:r>
            <w:r>
              <w:rPr>
                <w:rFonts w:hint="eastAsia" w:ascii="宋体" w:hAnsi="宋体" w:eastAsia="宋体" w:cs="宋体"/>
                <w:kern w:val="0"/>
                <w:sz w:val="18"/>
                <w:szCs w:val="18"/>
                <w:lang w:bidi="ar"/>
              </w:rPr>
              <w:t>O</w:t>
            </w:r>
            <w:r>
              <w:rPr>
                <w:rFonts w:hint="eastAsia" w:ascii="宋体" w:hAnsi="宋体" w:eastAsia="宋体" w:cs="宋体"/>
                <w:sz w:val="18"/>
                <w:szCs w:val="18"/>
                <w:vertAlign w:val="subscript"/>
                <w:lang w:bidi="ar"/>
              </w:rPr>
              <w:t>3</w:t>
            </w:r>
            <w:r>
              <w:rPr>
                <w:rFonts w:hint="eastAsia" w:ascii="宋体" w:hAnsi="宋体" w:eastAsia="宋体" w:cs="宋体"/>
                <w:kern w:val="0"/>
                <w:sz w:val="18"/>
                <w:szCs w:val="18"/>
                <w:lang w:bidi="ar"/>
              </w:rPr>
              <w:t>计）的质量分数，%</w:t>
            </w:r>
          </w:p>
        </w:tc>
        <w:tc>
          <w:tcPr>
            <w:tcW w:w="798" w:type="pct"/>
            <w:tcBorders>
              <w:top w:val="single" w:color="000000" w:sz="4" w:space="0"/>
              <w:left w:val="single" w:color="000000" w:sz="4" w:space="0"/>
              <w:bottom w:val="single" w:color="000000" w:sz="4" w:space="0"/>
              <w:right w:val="single" w:color="000000" w:sz="4" w:space="0"/>
            </w:tcBorders>
            <w:shd w:val="clear" w:color="auto" w:fill="DCE6F2"/>
            <w:noWrap w:val="0"/>
            <w:vAlign w:val="center"/>
          </w:tcPr>
          <w:p w14:paraId="25336785">
            <w:pPr>
              <w:widowControl/>
              <w:spacing w:line="240" w:lineRule="auto"/>
              <w:jc w:val="center"/>
              <w:textAlignment w:val="center"/>
              <w:rPr>
                <w:rFonts w:hint="eastAsia" w:ascii="宋体" w:hAnsi="宋体" w:eastAsia="宋体" w:cs="宋体"/>
                <w:sz w:val="18"/>
                <w:szCs w:val="18"/>
                <w:lang w:val="en-US" w:eastAsia="zh-CN"/>
              </w:rPr>
            </w:pPr>
            <w:r>
              <w:rPr>
                <w:rFonts w:hint="eastAsia" w:ascii="宋体" w:hAnsi="宋体" w:eastAsia="宋体" w:cs="宋体"/>
                <w:color w:val="000000"/>
                <w:kern w:val="0"/>
                <w:sz w:val="18"/>
                <w:szCs w:val="18"/>
                <w:lang w:bidi="ar"/>
              </w:rPr>
              <w:t>液体：≥10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固体：≥</w:t>
            </w:r>
            <w:r>
              <w:rPr>
                <w:rFonts w:hint="eastAsia" w:ascii="宋体" w:hAnsi="宋体" w:eastAsia="宋体" w:cs="宋体"/>
                <w:color w:val="000000"/>
                <w:kern w:val="0"/>
                <w:sz w:val="18"/>
                <w:szCs w:val="18"/>
                <w:lang w:val="en-US" w:eastAsia="zh-CN" w:bidi="ar"/>
              </w:rPr>
              <w:t>29</w:t>
            </w:r>
          </w:p>
        </w:tc>
        <w:tc>
          <w:tcPr>
            <w:tcW w:w="768" w:type="pct"/>
            <w:tcBorders>
              <w:top w:val="single" w:color="000000" w:sz="4" w:space="0"/>
              <w:left w:val="single" w:color="000000" w:sz="4" w:space="0"/>
              <w:bottom w:val="single" w:color="000000" w:sz="4" w:space="0"/>
              <w:right w:val="single" w:color="000000" w:sz="4" w:space="0"/>
            </w:tcBorders>
            <w:noWrap w:val="0"/>
            <w:vAlign w:val="center"/>
          </w:tcPr>
          <w:p w14:paraId="0ABBC6DB">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液体：≥8</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固体：≥28</w:t>
            </w:r>
          </w:p>
        </w:tc>
        <w:tc>
          <w:tcPr>
            <w:tcW w:w="707" w:type="pct"/>
            <w:tcBorders>
              <w:top w:val="single" w:color="000000" w:sz="4" w:space="0"/>
              <w:left w:val="single" w:color="000000" w:sz="4" w:space="0"/>
              <w:bottom w:val="single" w:color="000000" w:sz="4" w:space="0"/>
              <w:right w:val="single" w:color="auto" w:sz="4" w:space="0"/>
            </w:tcBorders>
            <w:noWrap w:val="0"/>
            <w:vAlign w:val="center"/>
          </w:tcPr>
          <w:p w14:paraId="75D0850F">
            <w:pPr>
              <w:widowControl/>
              <w:spacing w:line="240" w:lineRule="auto"/>
              <w:jc w:val="center"/>
              <w:textAlignment w:val="center"/>
              <w:rPr>
                <w:rFonts w:hint="eastAsia" w:ascii="宋体" w:hAnsi="宋体" w:eastAsia="宋体" w:cs="宋体"/>
                <w:sz w:val="18"/>
                <w:szCs w:val="18"/>
              </w:rPr>
            </w:pPr>
            <w:bookmarkStart w:id="1" w:name="OLE_LINK4"/>
            <w:r>
              <w:rPr>
                <w:rFonts w:hint="eastAsia" w:ascii="宋体" w:hAnsi="宋体" w:eastAsia="宋体" w:cs="宋体"/>
                <w:color w:val="000000"/>
                <w:kern w:val="0"/>
                <w:sz w:val="18"/>
                <w:szCs w:val="18"/>
                <w:lang w:bidi="ar"/>
              </w:rPr>
              <w:t>液体：≥10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固体：≥29</w:t>
            </w:r>
            <w:bookmarkEnd w:id="1"/>
          </w:p>
        </w:tc>
        <w:tc>
          <w:tcPr>
            <w:tcW w:w="1463" w:type="pct"/>
            <w:tcBorders>
              <w:top w:val="single" w:color="auto" w:sz="4" w:space="0"/>
              <w:left w:val="single" w:color="auto" w:sz="4" w:space="0"/>
              <w:bottom w:val="single" w:color="auto" w:sz="4" w:space="0"/>
              <w:right w:val="single" w:color="auto" w:sz="4" w:space="0"/>
            </w:tcBorders>
            <w:noWrap w:val="0"/>
            <w:vAlign w:val="center"/>
          </w:tcPr>
          <w:p w14:paraId="1973181A">
            <w:pPr>
              <w:widowControl/>
              <w:spacing w:line="240" w:lineRule="auto"/>
              <w:jc w:val="center"/>
              <w:textAlignment w:val="center"/>
              <w:rPr>
                <w:rFonts w:hint="eastAsia" w:ascii="宋体" w:hAnsi="宋体" w:eastAsia="宋体" w:cs="宋体"/>
                <w:color w:val="000000"/>
                <w:kern w:val="0"/>
                <w:sz w:val="18"/>
                <w:szCs w:val="18"/>
                <w:lang w:bidi="ar"/>
              </w:rPr>
            </w:pPr>
          </w:p>
        </w:tc>
      </w:tr>
      <w:tr w14:paraId="69732103">
        <w:trPr>
          <w:trHeight w:val="360" w:hRule="atLeast"/>
        </w:trPr>
        <w:tc>
          <w:tcPr>
            <w:tcW w:w="1262"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BEDF2F">
            <w:pPr>
              <w:widowControl/>
              <w:spacing w:line="240" w:lineRule="auto"/>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盐基度，%</w:t>
            </w:r>
          </w:p>
        </w:tc>
        <w:tc>
          <w:tcPr>
            <w:tcW w:w="798" w:type="pct"/>
            <w:tcBorders>
              <w:top w:val="single" w:color="000000" w:sz="4" w:space="0"/>
              <w:left w:val="single" w:color="000000" w:sz="4" w:space="0"/>
              <w:bottom w:val="single" w:color="000000" w:sz="4" w:space="0"/>
              <w:right w:val="single" w:color="000000" w:sz="4" w:space="0"/>
            </w:tcBorders>
            <w:shd w:val="clear" w:color="auto" w:fill="DCE6F2"/>
            <w:noWrap w:val="0"/>
            <w:vAlign w:val="center"/>
          </w:tcPr>
          <w:p w14:paraId="05256674">
            <w:pPr>
              <w:widowControl/>
              <w:spacing w:line="240" w:lineRule="auto"/>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60~90</w:t>
            </w:r>
          </w:p>
        </w:tc>
        <w:tc>
          <w:tcPr>
            <w:tcW w:w="768" w:type="pct"/>
            <w:tcBorders>
              <w:top w:val="single" w:color="000000" w:sz="4" w:space="0"/>
              <w:left w:val="single" w:color="000000" w:sz="4" w:space="0"/>
              <w:bottom w:val="single" w:color="000000" w:sz="4" w:space="0"/>
              <w:right w:val="single" w:color="000000" w:sz="4" w:space="0"/>
            </w:tcBorders>
            <w:noWrap/>
            <w:vAlign w:val="center"/>
          </w:tcPr>
          <w:p w14:paraId="30C68E82">
            <w:pPr>
              <w:widowControl/>
              <w:spacing w:line="240" w:lineRule="auto"/>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lang w:bidi="ar"/>
              </w:rPr>
              <w:t>20~98</w:t>
            </w:r>
          </w:p>
        </w:tc>
        <w:tc>
          <w:tcPr>
            <w:tcW w:w="707" w:type="pct"/>
            <w:tcBorders>
              <w:top w:val="single" w:color="000000" w:sz="4" w:space="0"/>
              <w:left w:val="single" w:color="000000" w:sz="4" w:space="0"/>
              <w:bottom w:val="single" w:color="000000" w:sz="4" w:space="0"/>
              <w:right w:val="single" w:color="auto" w:sz="4" w:space="0"/>
            </w:tcBorders>
            <w:noWrap/>
            <w:vAlign w:val="center"/>
          </w:tcPr>
          <w:p w14:paraId="75A37ECA">
            <w:pPr>
              <w:widowControl/>
              <w:spacing w:line="240" w:lineRule="auto"/>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45~90</w:t>
            </w:r>
          </w:p>
        </w:tc>
        <w:tc>
          <w:tcPr>
            <w:tcW w:w="1463" w:type="pct"/>
            <w:tcBorders>
              <w:top w:val="single" w:color="auto" w:sz="4" w:space="0"/>
              <w:left w:val="single" w:color="auto" w:sz="4" w:space="0"/>
              <w:bottom w:val="single" w:color="auto" w:sz="4" w:space="0"/>
              <w:right w:val="single" w:color="auto" w:sz="4" w:space="0"/>
            </w:tcBorders>
            <w:noWrap/>
            <w:vAlign w:val="center"/>
          </w:tcPr>
          <w:p w14:paraId="1A97330C">
            <w:pPr>
              <w:widowControl/>
              <w:spacing w:line="240" w:lineRule="auto"/>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eastAsia="zh-CN" w:bidi="ar"/>
              </w:rPr>
              <w:t>提升指标，增强了胶体颗粒的电荷中和作用，尤其适用于高浊度、高有机物水体的快速絮凝</w:t>
            </w:r>
          </w:p>
        </w:tc>
      </w:tr>
      <w:tr w14:paraId="280C7111">
        <w:trPr>
          <w:trHeight w:val="360" w:hRule="atLeast"/>
        </w:trPr>
        <w:tc>
          <w:tcPr>
            <w:tcW w:w="1262"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56EF86">
            <w:pPr>
              <w:widowControl/>
              <w:spacing w:line="240" w:lineRule="auto"/>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密度（20</w:t>
            </w:r>
            <w:r>
              <w:rPr>
                <w:rFonts w:hint="eastAsia" w:ascii="宋体" w:hAnsi="宋体" w:eastAsia="宋体" w:cs="宋体"/>
                <w:sz w:val="18"/>
                <w:szCs w:val="18"/>
                <w:lang w:bidi="ar"/>
              </w:rPr>
              <w:t>℃</w:t>
            </w:r>
            <w:r>
              <w:rPr>
                <w:rFonts w:hint="eastAsia" w:ascii="宋体" w:hAnsi="宋体" w:eastAsia="宋体" w:cs="宋体"/>
                <w:kern w:val="0"/>
                <w:sz w:val="18"/>
                <w:szCs w:val="18"/>
                <w:lang w:bidi="ar"/>
              </w:rPr>
              <w:t>）/（g/cm</w:t>
            </w:r>
            <w:r>
              <w:rPr>
                <w:rFonts w:hint="eastAsia" w:ascii="宋体" w:hAnsi="宋体" w:eastAsia="宋体" w:cs="宋体"/>
                <w:sz w:val="18"/>
                <w:szCs w:val="18"/>
                <w:vertAlign w:val="superscript"/>
                <w:lang w:bidi="ar"/>
              </w:rPr>
              <w:t>3</w:t>
            </w:r>
            <w:r>
              <w:rPr>
                <w:rFonts w:hint="eastAsia" w:ascii="宋体" w:hAnsi="宋体" w:eastAsia="宋体" w:cs="宋体"/>
                <w:kern w:val="0"/>
                <w:sz w:val="18"/>
                <w:szCs w:val="18"/>
                <w:lang w:bidi="ar"/>
              </w:rPr>
              <w:t>）</w:t>
            </w:r>
          </w:p>
        </w:tc>
        <w:tc>
          <w:tcPr>
            <w:tcW w:w="798" w:type="pct"/>
            <w:tcBorders>
              <w:top w:val="single" w:color="000000" w:sz="4" w:space="0"/>
              <w:left w:val="single" w:color="000000" w:sz="4" w:space="0"/>
              <w:bottom w:val="single" w:color="000000" w:sz="4" w:space="0"/>
              <w:right w:val="single" w:color="000000" w:sz="4" w:space="0"/>
            </w:tcBorders>
            <w:shd w:val="clear" w:color="auto" w:fill="DCE6F2"/>
            <w:noWrap w:val="0"/>
            <w:vAlign w:val="center"/>
          </w:tcPr>
          <w:p w14:paraId="48CE3019">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液体：≥1.12</w:t>
            </w:r>
          </w:p>
        </w:tc>
        <w:tc>
          <w:tcPr>
            <w:tcW w:w="768" w:type="pct"/>
            <w:tcBorders>
              <w:top w:val="single" w:color="000000" w:sz="4" w:space="0"/>
              <w:left w:val="single" w:color="000000" w:sz="4" w:space="0"/>
              <w:bottom w:val="single" w:color="000000" w:sz="4" w:space="0"/>
              <w:right w:val="single" w:color="000000" w:sz="4" w:space="0"/>
            </w:tcBorders>
            <w:noWrap w:val="0"/>
            <w:vAlign w:val="center"/>
          </w:tcPr>
          <w:p w14:paraId="7790BCC6">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液体：≥1.12</w:t>
            </w:r>
          </w:p>
        </w:tc>
        <w:tc>
          <w:tcPr>
            <w:tcW w:w="707" w:type="pct"/>
            <w:tcBorders>
              <w:top w:val="single" w:color="000000" w:sz="4" w:space="0"/>
              <w:left w:val="single" w:color="000000" w:sz="4" w:space="0"/>
              <w:bottom w:val="single" w:color="000000" w:sz="4" w:space="0"/>
              <w:right w:val="single" w:color="auto" w:sz="4" w:space="0"/>
            </w:tcBorders>
            <w:noWrap/>
            <w:vAlign w:val="center"/>
          </w:tcPr>
          <w:p w14:paraId="6CFC0E17">
            <w:pPr>
              <w:widowControl/>
              <w:spacing w:line="240" w:lineRule="auto"/>
              <w:jc w:val="center"/>
              <w:textAlignment w:val="center"/>
              <w:rPr>
                <w:rFonts w:hint="eastAsia" w:ascii="宋体" w:hAnsi="宋体" w:eastAsia="宋体" w:cs="宋体"/>
                <w:sz w:val="18"/>
                <w:szCs w:val="18"/>
              </w:rPr>
            </w:pPr>
            <w:bookmarkStart w:id="2" w:name="OLE_LINK5"/>
            <w:r>
              <w:rPr>
                <w:rFonts w:hint="eastAsia" w:ascii="宋体" w:hAnsi="宋体" w:eastAsia="宋体" w:cs="宋体"/>
                <w:color w:val="000000"/>
                <w:kern w:val="0"/>
                <w:sz w:val="18"/>
                <w:szCs w:val="18"/>
                <w:lang w:bidi="ar"/>
              </w:rPr>
              <w:t>液体：≥1.12</w:t>
            </w:r>
            <w:bookmarkEnd w:id="2"/>
          </w:p>
        </w:tc>
        <w:tc>
          <w:tcPr>
            <w:tcW w:w="1463" w:type="pct"/>
            <w:tcBorders>
              <w:top w:val="single" w:color="auto" w:sz="4" w:space="0"/>
              <w:left w:val="single" w:color="auto" w:sz="4" w:space="0"/>
              <w:bottom w:val="single" w:color="auto" w:sz="4" w:space="0"/>
              <w:right w:val="single" w:color="auto" w:sz="4" w:space="0"/>
            </w:tcBorders>
            <w:noWrap/>
            <w:vAlign w:val="center"/>
          </w:tcPr>
          <w:p w14:paraId="7C5B6160">
            <w:pPr>
              <w:widowControl/>
              <w:spacing w:line="240" w:lineRule="auto"/>
              <w:jc w:val="center"/>
              <w:textAlignment w:val="center"/>
              <w:rPr>
                <w:rFonts w:hint="eastAsia" w:ascii="宋体" w:hAnsi="宋体" w:eastAsia="宋体" w:cs="宋体"/>
                <w:color w:val="000000"/>
                <w:kern w:val="0"/>
                <w:sz w:val="18"/>
                <w:szCs w:val="18"/>
                <w:lang w:bidi="ar"/>
              </w:rPr>
            </w:pPr>
          </w:p>
        </w:tc>
      </w:tr>
      <w:tr w14:paraId="627D9AF3">
        <w:trPr>
          <w:trHeight w:val="480" w:hRule="atLeast"/>
        </w:trPr>
        <w:tc>
          <w:tcPr>
            <w:tcW w:w="1262"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2152BB">
            <w:pPr>
              <w:widowControl/>
              <w:spacing w:line="240" w:lineRule="auto"/>
              <w:textAlignment w:val="center"/>
              <w:rPr>
                <w:rFonts w:hint="eastAsia" w:ascii="宋体" w:hAnsi="宋体" w:eastAsia="宋体" w:cs="宋体"/>
                <w:sz w:val="18"/>
                <w:szCs w:val="18"/>
              </w:rPr>
            </w:pPr>
            <w:r>
              <w:rPr>
                <w:rFonts w:hint="eastAsia" w:ascii="宋体" w:hAnsi="宋体" w:eastAsia="宋体" w:cs="宋体"/>
                <w:kern w:val="0"/>
                <w:sz w:val="18"/>
                <w:szCs w:val="18"/>
                <w:lang w:bidi="ar"/>
              </w:rPr>
              <w:t>不溶物的质量分数，%</w:t>
            </w:r>
          </w:p>
        </w:tc>
        <w:tc>
          <w:tcPr>
            <w:tcW w:w="798" w:type="pct"/>
            <w:tcBorders>
              <w:top w:val="single" w:color="000000" w:sz="4" w:space="0"/>
              <w:left w:val="single" w:color="000000" w:sz="4" w:space="0"/>
              <w:bottom w:val="single" w:color="000000" w:sz="4" w:space="0"/>
              <w:right w:val="single" w:color="000000" w:sz="4" w:space="0"/>
            </w:tcBorders>
            <w:shd w:val="clear" w:color="auto" w:fill="DCE6F2"/>
            <w:noWrap w:val="0"/>
            <w:vAlign w:val="center"/>
          </w:tcPr>
          <w:p w14:paraId="100DAFD7">
            <w:pPr>
              <w:widowControl/>
              <w:spacing w:line="240" w:lineRule="auto"/>
              <w:jc w:val="center"/>
              <w:textAlignment w:val="center"/>
              <w:rPr>
                <w:rFonts w:hint="eastAsia" w:ascii="宋体" w:hAnsi="宋体" w:eastAsia="宋体" w:cs="宋体"/>
                <w:sz w:val="18"/>
                <w:szCs w:val="18"/>
                <w:lang w:eastAsia="zh-CN"/>
              </w:rPr>
            </w:pPr>
            <w:r>
              <w:rPr>
                <w:rFonts w:hint="eastAsia" w:ascii="宋体" w:hAnsi="宋体" w:eastAsia="宋体" w:cs="宋体"/>
                <w:kern w:val="0"/>
                <w:sz w:val="18"/>
                <w:szCs w:val="18"/>
                <w:lang w:bidi="ar"/>
              </w:rPr>
              <w:t>≤0.</w:t>
            </w:r>
            <w:r>
              <w:rPr>
                <w:rFonts w:hint="eastAsia" w:ascii="宋体" w:hAnsi="宋体" w:eastAsia="宋体" w:cs="宋体"/>
                <w:kern w:val="0"/>
                <w:sz w:val="18"/>
                <w:szCs w:val="18"/>
                <w:lang w:val="en-US" w:eastAsia="zh-CN" w:bidi="ar"/>
              </w:rPr>
              <w:t>1</w:t>
            </w:r>
          </w:p>
        </w:tc>
        <w:tc>
          <w:tcPr>
            <w:tcW w:w="768" w:type="pct"/>
            <w:tcBorders>
              <w:top w:val="single" w:color="000000" w:sz="4" w:space="0"/>
              <w:left w:val="single" w:color="000000" w:sz="4" w:space="0"/>
              <w:bottom w:val="single" w:color="000000" w:sz="4" w:space="0"/>
              <w:right w:val="single" w:color="000000" w:sz="4" w:space="0"/>
            </w:tcBorders>
            <w:noWrap/>
            <w:vAlign w:val="center"/>
          </w:tcPr>
          <w:p w14:paraId="524FEE4B">
            <w:pPr>
              <w:widowControl/>
              <w:spacing w:line="240" w:lineRule="auto"/>
              <w:jc w:val="center"/>
              <w:textAlignment w:val="center"/>
              <w:rPr>
                <w:rFonts w:hint="eastAsia" w:ascii="宋体" w:hAnsi="宋体" w:eastAsia="宋体" w:cs="宋体"/>
                <w:sz w:val="18"/>
                <w:szCs w:val="18"/>
              </w:rPr>
            </w:pPr>
            <w:bookmarkStart w:id="3" w:name="OLE_LINK6"/>
            <w:r>
              <w:rPr>
                <w:rFonts w:hint="eastAsia" w:ascii="宋体" w:hAnsi="宋体" w:eastAsia="宋体" w:cs="宋体"/>
                <w:kern w:val="0"/>
                <w:sz w:val="18"/>
                <w:szCs w:val="18"/>
                <w:lang w:bidi="ar"/>
              </w:rPr>
              <w:t>≤0.4</w:t>
            </w:r>
            <w:bookmarkEnd w:id="3"/>
          </w:p>
        </w:tc>
        <w:tc>
          <w:tcPr>
            <w:tcW w:w="707" w:type="pct"/>
            <w:tcBorders>
              <w:top w:val="single" w:color="000000" w:sz="4" w:space="0"/>
              <w:left w:val="single" w:color="000000" w:sz="4" w:space="0"/>
              <w:bottom w:val="single" w:color="000000" w:sz="4" w:space="0"/>
              <w:right w:val="single" w:color="auto" w:sz="4" w:space="0"/>
            </w:tcBorders>
            <w:noWrap w:val="0"/>
            <w:vAlign w:val="center"/>
          </w:tcPr>
          <w:p w14:paraId="42C0ED6E">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≤0.1</w:t>
            </w:r>
          </w:p>
        </w:tc>
        <w:tc>
          <w:tcPr>
            <w:tcW w:w="1463" w:type="pct"/>
            <w:tcBorders>
              <w:top w:val="single" w:color="auto" w:sz="4" w:space="0"/>
              <w:left w:val="single" w:color="auto" w:sz="4" w:space="0"/>
              <w:bottom w:val="single" w:color="auto" w:sz="4" w:space="0"/>
              <w:right w:val="single" w:color="auto" w:sz="4" w:space="0"/>
            </w:tcBorders>
            <w:noWrap w:val="0"/>
            <w:vAlign w:val="center"/>
          </w:tcPr>
          <w:p w14:paraId="19B2E701">
            <w:pPr>
              <w:widowControl/>
              <w:spacing w:line="240" w:lineRule="auto"/>
              <w:jc w:val="left"/>
              <w:textAlignment w:val="center"/>
              <w:rPr>
                <w:rFonts w:hint="eastAsia" w:ascii="宋体" w:hAnsi="宋体" w:eastAsia="宋体" w:cs="宋体"/>
                <w:color w:val="000000"/>
                <w:kern w:val="0"/>
                <w:sz w:val="18"/>
                <w:szCs w:val="18"/>
                <w:lang w:eastAsia="zh-CN" w:bidi="ar"/>
              </w:rPr>
            </w:pPr>
          </w:p>
        </w:tc>
      </w:tr>
      <w:tr w14:paraId="2BD68A4D">
        <w:trPr>
          <w:trHeight w:val="270" w:hRule="atLeast"/>
        </w:trPr>
        <w:tc>
          <w:tcPr>
            <w:tcW w:w="1262"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D33E18">
            <w:pPr>
              <w:widowControl/>
              <w:spacing w:line="240" w:lineRule="auto"/>
              <w:textAlignment w:val="center"/>
              <w:rPr>
                <w:rFonts w:hint="eastAsia" w:ascii="宋体" w:hAnsi="宋体" w:eastAsia="宋体" w:cs="宋体"/>
                <w:sz w:val="18"/>
                <w:szCs w:val="18"/>
              </w:rPr>
            </w:pPr>
            <w:r>
              <w:rPr>
                <w:rFonts w:hint="eastAsia" w:ascii="宋体" w:hAnsi="宋体" w:eastAsia="宋体" w:cs="宋体"/>
                <w:kern w:val="0"/>
                <w:sz w:val="18"/>
                <w:szCs w:val="18"/>
                <w:lang w:bidi="ar"/>
              </w:rPr>
              <w:t>pH值（10g/L水溶液）</w:t>
            </w:r>
          </w:p>
        </w:tc>
        <w:tc>
          <w:tcPr>
            <w:tcW w:w="798" w:type="pct"/>
            <w:tcBorders>
              <w:top w:val="single" w:color="000000" w:sz="4" w:space="0"/>
              <w:left w:val="single" w:color="000000" w:sz="4" w:space="0"/>
              <w:bottom w:val="single" w:color="000000" w:sz="4" w:space="0"/>
              <w:right w:val="single" w:color="000000" w:sz="4" w:space="0"/>
            </w:tcBorders>
            <w:shd w:val="clear" w:color="auto" w:fill="DCE6F2"/>
            <w:noWrap w:val="0"/>
            <w:vAlign w:val="center"/>
          </w:tcPr>
          <w:p w14:paraId="60597196">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3.5~5.0</w:t>
            </w:r>
          </w:p>
        </w:tc>
        <w:tc>
          <w:tcPr>
            <w:tcW w:w="768" w:type="pct"/>
            <w:tcBorders>
              <w:top w:val="single" w:color="000000" w:sz="4" w:space="0"/>
              <w:left w:val="single" w:color="000000" w:sz="4" w:space="0"/>
              <w:bottom w:val="single" w:color="000000" w:sz="4" w:space="0"/>
              <w:right w:val="single" w:color="000000" w:sz="4" w:space="0"/>
            </w:tcBorders>
            <w:noWrap/>
            <w:vAlign w:val="center"/>
          </w:tcPr>
          <w:p w14:paraId="26A28BA5">
            <w:pPr>
              <w:widowControl/>
              <w:spacing w:line="240" w:lineRule="auto"/>
              <w:jc w:val="center"/>
              <w:textAlignment w:val="center"/>
              <w:rPr>
                <w:rFonts w:hint="eastAsia" w:ascii="宋体" w:hAnsi="宋体" w:eastAsia="宋体" w:cs="宋体"/>
                <w:sz w:val="18"/>
                <w:szCs w:val="18"/>
              </w:rPr>
            </w:pPr>
            <w:bookmarkStart w:id="4" w:name="OLE_LINK7"/>
            <w:r>
              <w:rPr>
                <w:rFonts w:hint="eastAsia" w:ascii="宋体" w:hAnsi="宋体" w:eastAsia="宋体" w:cs="宋体"/>
                <w:kern w:val="0"/>
                <w:sz w:val="18"/>
                <w:szCs w:val="18"/>
                <w:lang w:bidi="ar"/>
              </w:rPr>
              <w:t>3.5~5.0</w:t>
            </w:r>
            <w:bookmarkEnd w:id="4"/>
          </w:p>
        </w:tc>
        <w:tc>
          <w:tcPr>
            <w:tcW w:w="707" w:type="pct"/>
            <w:tcBorders>
              <w:top w:val="single" w:color="000000" w:sz="4" w:space="0"/>
              <w:left w:val="single" w:color="000000" w:sz="4" w:space="0"/>
              <w:bottom w:val="single" w:color="000000" w:sz="4" w:space="0"/>
              <w:right w:val="single" w:color="auto" w:sz="4" w:space="0"/>
            </w:tcBorders>
            <w:noWrap/>
            <w:vAlign w:val="center"/>
          </w:tcPr>
          <w:p w14:paraId="31109397">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3.5~5.0</w:t>
            </w:r>
          </w:p>
        </w:tc>
        <w:tc>
          <w:tcPr>
            <w:tcW w:w="1463" w:type="pct"/>
            <w:tcBorders>
              <w:top w:val="single" w:color="auto" w:sz="4" w:space="0"/>
              <w:left w:val="single" w:color="auto" w:sz="4" w:space="0"/>
              <w:bottom w:val="single" w:color="auto" w:sz="4" w:space="0"/>
              <w:right w:val="single" w:color="auto" w:sz="4" w:space="0"/>
            </w:tcBorders>
            <w:noWrap/>
            <w:vAlign w:val="center"/>
          </w:tcPr>
          <w:p w14:paraId="78F985F9">
            <w:pPr>
              <w:widowControl/>
              <w:spacing w:line="240" w:lineRule="auto"/>
              <w:jc w:val="center"/>
              <w:textAlignment w:val="center"/>
              <w:rPr>
                <w:rFonts w:hint="eastAsia" w:ascii="宋体" w:hAnsi="宋体" w:eastAsia="宋体" w:cs="宋体"/>
                <w:color w:val="000000"/>
                <w:kern w:val="0"/>
                <w:sz w:val="18"/>
                <w:szCs w:val="18"/>
                <w:lang w:bidi="ar"/>
              </w:rPr>
            </w:pPr>
          </w:p>
        </w:tc>
      </w:tr>
      <w:tr w14:paraId="368F1F1D">
        <w:trPr>
          <w:trHeight w:val="397" w:hRule="atLeast"/>
        </w:trPr>
        <w:tc>
          <w:tcPr>
            <w:tcW w:w="1262"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5178B7">
            <w:pPr>
              <w:widowControl/>
              <w:spacing w:line="240" w:lineRule="auto"/>
              <w:textAlignment w:val="center"/>
              <w:rPr>
                <w:rFonts w:hint="eastAsia" w:ascii="宋体" w:hAnsi="宋体" w:eastAsia="宋体" w:cs="宋体"/>
                <w:sz w:val="18"/>
                <w:szCs w:val="18"/>
              </w:rPr>
            </w:pPr>
            <w:r>
              <w:rPr>
                <w:rFonts w:hint="eastAsia" w:ascii="宋体" w:hAnsi="宋体" w:eastAsia="宋体" w:cs="宋体"/>
                <w:kern w:val="0"/>
                <w:sz w:val="18"/>
                <w:szCs w:val="18"/>
                <w:lang w:bidi="ar"/>
              </w:rPr>
              <w:t>铁（Fe）的质量分数，%</w:t>
            </w:r>
          </w:p>
        </w:tc>
        <w:tc>
          <w:tcPr>
            <w:tcW w:w="798" w:type="pct"/>
            <w:tcBorders>
              <w:top w:val="single" w:color="000000" w:sz="4" w:space="0"/>
              <w:left w:val="single" w:color="000000" w:sz="4" w:space="0"/>
              <w:bottom w:val="single" w:color="000000" w:sz="4" w:space="0"/>
              <w:right w:val="single" w:color="000000" w:sz="4" w:space="0"/>
            </w:tcBorders>
            <w:shd w:val="clear" w:color="auto" w:fill="DCE6F2"/>
            <w:noWrap w:val="0"/>
            <w:vAlign w:val="center"/>
          </w:tcPr>
          <w:p w14:paraId="1C076820">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≤0.2</w:t>
            </w:r>
          </w:p>
        </w:tc>
        <w:tc>
          <w:tcPr>
            <w:tcW w:w="768" w:type="pct"/>
            <w:tcBorders>
              <w:top w:val="single" w:color="000000" w:sz="4" w:space="0"/>
              <w:left w:val="single" w:color="000000" w:sz="4" w:space="0"/>
              <w:bottom w:val="single" w:color="000000" w:sz="4" w:space="0"/>
              <w:right w:val="single" w:color="000000" w:sz="4" w:space="0"/>
            </w:tcBorders>
            <w:noWrap/>
            <w:vAlign w:val="center"/>
          </w:tcPr>
          <w:p w14:paraId="041C8E6F">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w:t>
            </w:r>
            <w:r>
              <w:rPr>
                <w:rFonts w:hint="eastAsia" w:ascii="宋体" w:hAnsi="宋体" w:eastAsia="宋体" w:cs="宋体"/>
                <w:sz w:val="18"/>
                <w:szCs w:val="18"/>
                <w:lang w:bidi="ar"/>
              </w:rPr>
              <w:t>1.5</w:t>
            </w:r>
          </w:p>
        </w:tc>
        <w:tc>
          <w:tcPr>
            <w:tcW w:w="707" w:type="pct"/>
            <w:tcBorders>
              <w:top w:val="single" w:color="000000" w:sz="4" w:space="0"/>
              <w:left w:val="single" w:color="000000" w:sz="4" w:space="0"/>
              <w:bottom w:val="single" w:color="000000" w:sz="4" w:space="0"/>
              <w:right w:val="single" w:color="auto" w:sz="4" w:space="0"/>
            </w:tcBorders>
            <w:noWrap w:val="0"/>
            <w:vAlign w:val="center"/>
          </w:tcPr>
          <w:p w14:paraId="14CC8D25">
            <w:pPr>
              <w:widowControl/>
              <w:spacing w:line="240" w:lineRule="auto"/>
              <w:jc w:val="center"/>
              <w:textAlignment w:val="center"/>
              <w:rPr>
                <w:rFonts w:hint="eastAsia" w:ascii="宋体" w:hAnsi="宋体" w:eastAsia="宋体" w:cs="宋体"/>
                <w:sz w:val="18"/>
                <w:szCs w:val="18"/>
              </w:rPr>
            </w:pPr>
            <w:bookmarkStart w:id="5" w:name="OLE_LINK8"/>
            <w:r>
              <w:rPr>
                <w:rFonts w:hint="eastAsia" w:ascii="宋体" w:hAnsi="宋体" w:eastAsia="宋体" w:cs="宋体"/>
                <w:color w:val="000000"/>
                <w:kern w:val="0"/>
                <w:sz w:val="18"/>
                <w:szCs w:val="18"/>
                <w:lang w:bidi="ar"/>
              </w:rPr>
              <w:t>≤0.2</w:t>
            </w:r>
            <w:bookmarkEnd w:id="5"/>
          </w:p>
        </w:tc>
        <w:tc>
          <w:tcPr>
            <w:tcW w:w="1463" w:type="pct"/>
            <w:tcBorders>
              <w:top w:val="single" w:color="auto" w:sz="4" w:space="0"/>
              <w:left w:val="single" w:color="auto" w:sz="4" w:space="0"/>
              <w:bottom w:val="single" w:color="auto" w:sz="4" w:space="0"/>
              <w:right w:val="single" w:color="auto" w:sz="4" w:space="0"/>
            </w:tcBorders>
            <w:noWrap w:val="0"/>
            <w:vAlign w:val="center"/>
          </w:tcPr>
          <w:p w14:paraId="52AD826E">
            <w:pPr>
              <w:widowControl/>
              <w:spacing w:line="240" w:lineRule="auto"/>
              <w:jc w:val="center"/>
              <w:textAlignment w:val="center"/>
              <w:rPr>
                <w:rFonts w:hint="eastAsia" w:ascii="宋体" w:hAnsi="宋体" w:eastAsia="宋体" w:cs="宋体"/>
                <w:color w:val="000000"/>
                <w:kern w:val="0"/>
                <w:sz w:val="18"/>
                <w:szCs w:val="18"/>
                <w:lang w:bidi="ar"/>
              </w:rPr>
            </w:pPr>
          </w:p>
        </w:tc>
      </w:tr>
      <w:tr w14:paraId="189AFA49">
        <w:trPr>
          <w:trHeight w:val="480" w:hRule="atLeast"/>
        </w:trPr>
        <w:tc>
          <w:tcPr>
            <w:tcW w:w="1262"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5770D6">
            <w:pPr>
              <w:widowControl/>
              <w:spacing w:line="240" w:lineRule="auto"/>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砷(As)的质量分数，%</w:t>
            </w:r>
          </w:p>
        </w:tc>
        <w:tc>
          <w:tcPr>
            <w:tcW w:w="798" w:type="pct"/>
            <w:tcBorders>
              <w:top w:val="single" w:color="000000" w:sz="4" w:space="0"/>
              <w:left w:val="single" w:color="000000" w:sz="4" w:space="0"/>
              <w:bottom w:val="single" w:color="000000" w:sz="4" w:space="0"/>
              <w:right w:val="single" w:color="000000" w:sz="4" w:space="0"/>
            </w:tcBorders>
            <w:shd w:val="clear" w:color="auto" w:fill="DCE6F2"/>
            <w:noWrap w:val="0"/>
            <w:vAlign w:val="center"/>
          </w:tcPr>
          <w:p w14:paraId="68D94AC9">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≤0.0001</w:t>
            </w:r>
          </w:p>
        </w:tc>
        <w:tc>
          <w:tcPr>
            <w:tcW w:w="768" w:type="pct"/>
            <w:tcBorders>
              <w:top w:val="single" w:color="000000" w:sz="4" w:space="0"/>
              <w:left w:val="single" w:color="000000" w:sz="4" w:space="0"/>
              <w:bottom w:val="single" w:color="000000" w:sz="4" w:space="0"/>
              <w:right w:val="single" w:color="000000" w:sz="4" w:space="0"/>
            </w:tcBorders>
            <w:noWrap/>
            <w:vAlign w:val="center"/>
          </w:tcPr>
          <w:p w14:paraId="44517841">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≤0.0005</w:t>
            </w:r>
          </w:p>
        </w:tc>
        <w:tc>
          <w:tcPr>
            <w:tcW w:w="707" w:type="pct"/>
            <w:tcBorders>
              <w:top w:val="single" w:color="000000" w:sz="4" w:space="0"/>
              <w:left w:val="single" w:color="000000" w:sz="4" w:space="0"/>
              <w:bottom w:val="single" w:color="000000" w:sz="4" w:space="0"/>
              <w:right w:val="single" w:color="auto" w:sz="4" w:space="0"/>
            </w:tcBorders>
            <w:noWrap w:val="0"/>
            <w:vAlign w:val="center"/>
          </w:tcPr>
          <w:p w14:paraId="2A5832E4">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≤0.0001</w:t>
            </w:r>
          </w:p>
        </w:tc>
        <w:tc>
          <w:tcPr>
            <w:tcW w:w="1463" w:type="pct"/>
            <w:tcBorders>
              <w:top w:val="single" w:color="auto" w:sz="4" w:space="0"/>
              <w:left w:val="single" w:color="auto" w:sz="4" w:space="0"/>
              <w:bottom w:val="single" w:color="auto" w:sz="4" w:space="0"/>
              <w:right w:val="single" w:color="auto" w:sz="4" w:space="0"/>
            </w:tcBorders>
            <w:noWrap w:val="0"/>
            <w:vAlign w:val="center"/>
          </w:tcPr>
          <w:p w14:paraId="50784EC2">
            <w:pPr>
              <w:widowControl/>
              <w:spacing w:line="240" w:lineRule="auto"/>
              <w:jc w:val="center"/>
              <w:textAlignment w:val="center"/>
              <w:rPr>
                <w:rFonts w:hint="eastAsia" w:ascii="宋体" w:hAnsi="宋体" w:eastAsia="宋体" w:cs="宋体"/>
                <w:color w:val="000000"/>
                <w:kern w:val="0"/>
                <w:sz w:val="18"/>
                <w:szCs w:val="18"/>
                <w:lang w:bidi="ar"/>
              </w:rPr>
            </w:pPr>
          </w:p>
        </w:tc>
      </w:tr>
      <w:tr w14:paraId="368F94A0">
        <w:trPr>
          <w:trHeight w:val="480" w:hRule="atLeast"/>
        </w:trPr>
        <w:tc>
          <w:tcPr>
            <w:tcW w:w="1262"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F0E922">
            <w:pPr>
              <w:widowControl/>
              <w:spacing w:line="240" w:lineRule="auto"/>
              <w:textAlignment w:val="center"/>
              <w:rPr>
                <w:rFonts w:hint="eastAsia" w:ascii="宋体" w:hAnsi="宋体" w:eastAsia="宋体" w:cs="宋体"/>
                <w:sz w:val="18"/>
                <w:szCs w:val="18"/>
              </w:rPr>
            </w:pPr>
            <w:r>
              <w:rPr>
                <w:rFonts w:hint="eastAsia" w:ascii="宋体" w:hAnsi="宋体" w:eastAsia="宋体" w:cs="宋体"/>
                <w:kern w:val="0"/>
                <w:sz w:val="18"/>
                <w:szCs w:val="18"/>
                <w:lang w:bidi="ar"/>
              </w:rPr>
              <w:t>铅(Pb)的质量分数，%</w:t>
            </w:r>
          </w:p>
        </w:tc>
        <w:tc>
          <w:tcPr>
            <w:tcW w:w="798" w:type="pct"/>
            <w:tcBorders>
              <w:top w:val="single" w:color="000000" w:sz="4" w:space="0"/>
              <w:left w:val="single" w:color="000000" w:sz="4" w:space="0"/>
              <w:bottom w:val="single" w:color="000000" w:sz="4" w:space="0"/>
              <w:right w:val="single" w:color="000000" w:sz="4" w:space="0"/>
            </w:tcBorders>
            <w:shd w:val="clear" w:color="auto" w:fill="DCE6F2"/>
            <w:noWrap w:val="0"/>
            <w:vAlign w:val="center"/>
          </w:tcPr>
          <w:p w14:paraId="4FE954D5">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≤0.0005</w:t>
            </w:r>
          </w:p>
        </w:tc>
        <w:tc>
          <w:tcPr>
            <w:tcW w:w="768" w:type="pct"/>
            <w:tcBorders>
              <w:top w:val="single" w:color="000000" w:sz="4" w:space="0"/>
              <w:left w:val="single" w:color="000000" w:sz="4" w:space="0"/>
              <w:bottom w:val="single" w:color="000000" w:sz="4" w:space="0"/>
              <w:right w:val="single" w:color="000000" w:sz="4" w:space="0"/>
            </w:tcBorders>
            <w:noWrap/>
            <w:vAlign w:val="center"/>
          </w:tcPr>
          <w:p w14:paraId="2AE5EF68">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≤0.002</w:t>
            </w:r>
          </w:p>
        </w:tc>
        <w:tc>
          <w:tcPr>
            <w:tcW w:w="707" w:type="pct"/>
            <w:tcBorders>
              <w:top w:val="single" w:color="000000" w:sz="4" w:space="0"/>
              <w:left w:val="single" w:color="000000" w:sz="4" w:space="0"/>
              <w:bottom w:val="single" w:color="000000" w:sz="4" w:space="0"/>
              <w:right w:val="single" w:color="auto" w:sz="4" w:space="0"/>
            </w:tcBorders>
            <w:noWrap w:val="0"/>
            <w:vAlign w:val="center"/>
          </w:tcPr>
          <w:p w14:paraId="6FCF469D">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≤0.0005</w:t>
            </w:r>
          </w:p>
        </w:tc>
        <w:tc>
          <w:tcPr>
            <w:tcW w:w="1463" w:type="pct"/>
            <w:tcBorders>
              <w:top w:val="single" w:color="auto" w:sz="4" w:space="0"/>
              <w:left w:val="single" w:color="auto" w:sz="4" w:space="0"/>
              <w:bottom w:val="single" w:color="auto" w:sz="4" w:space="0"/>
              <w:right w:val="single" w:color="auto" w:sz="4" w:space="0"/>
            </w:tcBorders>
            <w:noWrap w:val="0"/>
            <w:vAlign w:val="center"/>
          </w:tcPr>
          <w:p w14:paraId="2B244C0E">
            <w:pPr>
              <w:widowControl/>
              <w:spacing w:line="240" w:lineRule="auto"/>
              <w:jc w:val="center"/>
              <w:textAlignment w:val="center"/>
              <w:rPr>
                <w:rFonts w:hint="eastAsia" w:ascii="宋体" w:hAnsi="宋体" w:eastAsia="宋体" w:cs="宋体"/>
                <w:color w:val="000000"/>
                <w:kern w:val="0"/>
                <w:sz w:val="18"/>
                <w:szCs w:val="18"/>
                <w:lang w:bidi="ar"/>
              </w:rPr>
            </w:pPr>
          </w:p>
        </w:tc>
      </w:tr>
      <w:tr w14:paraId="01846E73">
        <w:trPr>
          <w:trHeight w:val="480" w:hRule="atLeast"/>
        </w:trPr>
        <w:tc>
          <w:tcPr>
            <w:tcW w:w="1262"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2FD76C">
            <w:pPr>
              <w:widowControl/>
              <w:spacing w:line="240" w:lineRule="auto"/>
              <w:textAlignment w:val="center"/>
              <w:rPr>
                <w:rFonts w:hint="eastAsia" w:ascii="宋体" w:hAnsi="宋体" w:eastAsia="宋体" w:cs="宋体"/>
                <w:sz w:val="18"/>
                <w:szCs w:val="18"/>
              </w:rPr>
            </w:pPr>
            <w:r>
              <w:rPr>
                <w:rFonts w:hint="eastAsia" w:ascii="宋体" w:hAnsi="宋体" w:eastAsia="宋体" w:cs="宋体"/>
                <w:kern w:val="0"/>
                <w:sz w:val="18"/>
                <w:szCs w:val="18"/>
                <w:lang w:bidi="ar"/>
              </w:rPr>
              <w:t>镉(Cd)的质量分数，%</w:t>
            </w:r>
          </w:p>
        </w:tc>
        <w:tc>
          <w:tcPr>
            <w:tcW w:w="798" w:type="pct"/>
            <w:tcBorders>
              <w:top w:val="single" w:color="000000" w:sz="4" w:space="0"/>
              <w:left w:val="single" w:color="000000" w:sz="4" w:space="0"/>
              <w:bottom w:val="single" w:color="000000" w:sz="4" w:space="0"/>
              <w:right w:val="single" w:color="000000" w:sz="4" w:space="0"/>
            </w:tcBorders>
            <w:shd w:val="clear" w:color="auto" w:fill="DCE6F2"/>
            <w:noWrap w:val="0"/>
            <w:vAlign w:val="center"/>
          </w:tcPr>
          <w:p w14:paraId="0A0EA548">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≤0.0001</w:t>
            </w:r>
          </w:p>
        </w:tc>
        <w:tc>
          <w:tcPr>
            <w:tcW w:w="768" w:type="pct"/>
            <w:tcBorders>
              <w:top w:val="single" w:color="000000" w:sz="4" w:space="0"/>
              <w:left w:val="single" w:color="000000" w:sz="4" w:space="0"/>
              <w:bottom w:val="single" w:color="000000" w:sz="4" w:space="0"/>
              <w:right w:val="single" w:color="000000" w:sz="4" w:space="0"/>
            </w:tcBorders>
            <w:noWrap/>
            <w:vAlign w:val="center"/>
          </w:tcPr>
          <w:p w14:paraId="74CBDB2B">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w:t>
            </w:r>
            <w:r>
              <w:rPr>
                <w:rFonts w:hint="eastAsia" w:ascii="宋体" w:hAnsi="宋体" w:eastAsia="宋体" w:cs="宋体"/>
                <w:sz w:val="18"/>
                <w:szCs w:val="18"/>
                <w:lang w:bidi="ar"/>
              </w:rPr>
              <w:t>0.0005</w:t>
            </w:r>
          </w:p>
        </w:tc>
        <w:tc>
          <w:tcPr>
            <w:tcW w:w="707" w:type="pct"/>
            <w:tcBorders>
              <w:top w:val="single" w:color="000000" w:sz="4" w:space="0"/>
              <w:left w:val="single" w:color="000000" w:sz="4" w:space="0"/>
              <w:bottom w:val="single" w:color="000000" w:sz="4" w:space="0"/>
              <w:right w:val="single" w:color="auto" w:sz="4" w:space="0"/>
            </w:tcBorders>
            <w:noWrap w:val="0"/>
            <w:vAlign w:val="center"/>
          </w:tcPr>
          <w:p w14:paraId="11BD0894">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≤0.0001</w:t>
            </w:r>
          </w:p>
        </w:tc>
        <w:tc>
          <w:tcPr>
            <w:tcW w:w="1463" w:type="pct"/>
            <w:tcBorders>
              <w:top w:val="single" w:color="auto" w:sz="4" w:space="0"/>
              <w:left w:val="single" w:color="auto" w:sz="4" w:space="0"/>
              <w:bottom w:val="single" w:color="auto" w:sz="4" w:space="0"/>
              <w:right w:val="single" w:color="auto" w:sz="4" w:space="0"/>
            </w:tcBorders>
            <w:noWrap w:val="0"/>
            <w:vAlign w:val="center"/>
          </w:tcPr>
          <w:p w14:paraId="1B163044">
            <w:pPr>
              <w:widowControl/>
              <w:spacing w:line="240" w:lineRule="auto"/>
              <w:jc w:val="center"/>
              <w:textAlignment w:val="center"/>
              <w:rPr>
                <w:rFonts w:hint="eastAsia" w:ascii="宋体" w:hAnsi="宋体" w:eastAsia="宋体" w:cs="宋体"/>
                <w:color w:val="000000"/>
                <w:kern w:val="0"/>
                <w:sz w:val="18"/>
                <w:szCs w:val="18"/>
                <w:lang w:bidi="ar"/>
              </w:rPr>
            </w:pPr>
          </w:p>
        </w:tc>
      </w:tr>
      <w:tr w14:paraId="0CD88E17">
        <w:trPr>
          <w:trHeight w:val="480" w:hRule="atLeast"/>
        </w:trPr>
        <w:tc>
          <w:tcPr>
            <w:tcW w:w="1262"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5DAFBC">
            <w:pPr>
              <w:widowControl/>
              <w:spacing w:line="240" w:lineRule="auto"/>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汞(Hg)的质量分数，%</w:t>
            </w:r>
          </w:p>
        </w:tc>
        <w:tc>
          <w:tcPr>
            <w:tcW w:w="798" w:type="pct"/>
            <w:tcBorders>
              <w:top w:val="single" w:color="000000" w:sz="4" w:space="0"/>
              <w:left w:val="single" w:color="000000" w:sz="4" w:space="0"/>
              <w:bottom w:val="single" w:color="000000" w:sz="4" w:space="0"/>
              <w:right w:val="single" w:color="000000" w:sz="4" w:space="0"/>
            </w:tcBorders>
            <w:shd w:val="clear" w:color="auto" w:fill="DCE6F2"/>
            <w:noWrap w:val="0"/>
            <w:vAlign w:val="center"/>
          </w:tcPr>
          <w:p w14:paraId="1F56AB42">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≤0.00001</w:t>
            </w:r>
          </w:p>
        </w:tc>
        <w:tc>
          <w:tcPr>
            <w:tcW w:w="768" w:type="pct"/>
            <w:tcBorders>
              <w:top w:val="single" w:color="000000" w:sz="4" w:space="0"/>
              <w:left w:val="single" w:color="000000" w:sz="4" w:space="0"/>
              <w:bottom w:val="single" w:color="000000" w:sz="4" w:space="0"/>
              <w:right w:val="single" w:color="000000" w:sz="4" w:space="0"/>
            </w:tcBorders>
            <w:noWrap/>
            <w:vAlign w:val="center"/>
          </w:tcPr>
          <w:p w14:paraId="4906F999">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≤0.00005</w:t>
            </w:r>
          </w:p>
        </w:tc>
        <w:tc>
          <w:tcPr>
            <w:tcW w:w="707" w:type="pct"/>
            <w:tcBorders>
              <w:top w:val="single" w:color="000000" w:sz="4" w:space="0"/>
              <w:left w:val="single" w:color="000000" w:sz="4" w:space="0"/>
              <w:bottom w:val="single" w:color="000000" w:sz="4" w:space="0"/>
              <w:right w:val="single" w:color="auto" w:sz="4" w:space="0"/>
            </w:tcBorders>
            <w:noWrap w:val="0"/>
            <w:vAlign w:val="center"/>
          </w:tcPr>
          <w:p w14:paraId="4BD67D78">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≤0.00001</w:t>
            </w:r>
          </w:p>
        </w:tc>
        <w:tc>
          <w:tcPr>
            <w:tcW w:w="1463" w:type="pct"/>
            <w:tcBorders>
              <w:top w:val="single" w:color="auto" w:sz="4" w:space="0"/>
              <w:left w:val="single" w:color="auto" w:sz="4" w:space="0"/>
              <w:bottom w:val="single" w:color="auto" w:sz="4" w:space="0"/>
              <w:right w:val="single" w:color="auto" w:sz="4" w:space="0"/>
            </w:tcBorders>
            <w:noWrap w:val="0"/>
            <w:vAlign w:val="center"/>
          </w:tcPr>
          <w:p w14:paraId="61319E04">
            <w:pPr>
              <w:widowControl/>
              <w:spacing w:line="240" w:lineRule="auto"/>
              <w:jc w:val="center"/>
              <w:textAlignment w:val="center"/>
              <w:rPr>
                <w:rFonts w:hint="eastAsia" w:ascii="宋体" w:hAnsi="宋体" w:eastAsia="宋体" w:cs="宋体"/>
                <w:color w:val="000000"/>
                <w:kern w:val="0"/>
                <w:sz w:val="18"/>
                <w:szCs w:val="18"/>
                <w:lang w:bidi="ar"/>
              </w:rPr>
            </w:pPr>
          </w:p>
        </w:tc>
      </w:tr>
      <w:tr w14:paraId="24792CD0">
        <w:trPr>
          <w:trHeight w:val="480" w:hRule="atLeast"/>
        </w:trPr>
        <w:tc>
          <w:tcPr>
            <w:tcW w:w="1262"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B56949">
            <w:pPr>
              <w:widowControl/>
              <w:spacing w:line="240" w:lineRule="auto"/>
              <w:textAlignment w:val="center"/>
              <w:rPr>
                <w:rFonts w:hint="eastAsia" w:ascii="宋体" w:hAnsi="宋体" w:eastAsia="宋体" w:cs="宋体"/>
                <w:sz w:val="18"/>
                <w:szCs w:val="18"/>
              </w:rPr>
            </w:pPr>
            <w:r>
              <w:rPr>
                <w:rFonts w:hint="eastAsia" w:ascii="宋体" w:hAnsi="宋体" w:eastAsia="宋体" w:cs="宋体"/>
                <w:kern w:val="0"/>
                <w:sz w:val="18"/>
                <w:szCs w:val="18"/>
                <w:lang w:bidi="ar"/>
              </w:rPr>
              <w:t>铬(Cr)的质量分数，%</w:t>
            </w:r>
          </w:p>
        </w:tc>
        <w:tc>
          <w:tcPr>
            <w:tcW w:w="798" w:type="pct"/>
            <w:tcBorders>
              <w:top w:val="single" w:color="000000" w:sz="4" w:space="0"/>
              <w:left w:val="single" w:color="000000" w:sz="4" w:space="0"/>
              <w:bottom w:val="single" w:color="000000" w:sz="4" w:space="0"/>
              <w:right w:val="single" w:color="000000" w:sz="4" w:space="0"/>
            </w:tcBorders>
            <w:shd w:val="clear" w:color="auto" w:fill="DCE6F2"/>
            <w:noWrap w:val="0"/>
            <w:vAlign w:val="center"/>
          </w:tcPr>
          <w:p w14:paraId="08E3DA7C">
            <w:pPr>
              <w:widowControl/>
              <w:spacing w:line="240" w:lineRule="auto"/>
              <w:jc w:val="center"/>
              <w:textAlignment w:val="center"/>
              <w:rPr>
                <w:rFonts w:hint="eastAsia" w:ascii="宋体" w:hAnsi="宋体" w:eastAsia="宋体" w:cs="宋体"/>
                <w:sz w:val="18"/>
                <w:szCs w:val="18"/>
              </w:rPr>
            </w:pPr>
            <w:bookmarkStart w:id="6" w:name="OLE_LINK11"/>
            <w:r>
              <w:rPr>
                <w:rFonts w:hint="eastAsia" w:ascii="宋体" w:hAnsi="宋体" w:eastAsia="宋体" w:cs="宋体"/>
                <w:color w:val="000000"/>
                <w:kern w:val="0"/>
                <w:sz w:val="18"/>
                <w:szCs w:val="18"/>
                <w:lang w:bidi="ar"/>
              </w:rPr>
              <w:t>≤0.0005</w:t>
            </w:r>
            <w:bookmarkEnd w:id="6"/>
          </w:p>
        </w:tc>
        <w:tc>
          <w:tcPr>
            <w:tcW w:w="768" w:type="pct"/>
            <w:tcBorders>
              <w:top w:val="single" w:color="000000" w:sz="4" w:space="0"/>
              <w:left w:val="single" w:color="000000" w:sz="4" w:space="0"/>
              <w:bottom w:val="single" w:color="000000" w:sz="4" w:space="0"/>
              <w:right w:val="single" w:color="000000" w:sz="4" w:space="0"/>
            </w:tcBorders>
            <w:noWrap/>
            <w:vAlign w:val="center"/>
          </w:tcPr>
          <w:p w14:paraId="7AC12B04">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w:t>
            </w:r>
            <w:r>
              <w:rPr>
                <w:rFonts w:hint="eastAsia" w:ascii="宋体" w:hAnsi="宋体" w:eastAsia="宋体" w:cs="宋体"/>
                <w:sz w:val="18"/>
                <w:szCs w:val="18"/>
                <w:lang w:bidi="ar"/>
              </w:rPr>
              <w:t>0.005</w:t>
            </w:r>
          </w:p>
        </w:tc>
        <w:tc>
          <w:tcPr>
            <w:tcW w:w="707" w:type="pct"/>
            <w:tcBorders>
              <w:top w:val="single" w:color="000000" w:sz="4" w:space="0"/>
              <w:left w:val="single" w:color="000000" w:sz="4" w:space="0"/>
              <w:bottom w:val="single" w:color="000000" w:sz="4" w:space="0"/>
              <w:right w:val="single" w:color="auto" w:sz="4" w:space="0"/>
            </w:tcBorders>
            <w:noWrap w:val="0"/>
            <w:vAlign w:val="center"/>
          </w:tcPr>
          <w:p w14:paraId="4EFA5EB4">
            <w:pPr>
              <w:widowControl/>
              <w:spacing w:line="240" w:lineRule="auto"/>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≤0.0005</w:t>
            </w:r>
          </w:p>
        </w:tc>
        <w:tc>
          <w:tcPr>
            <w:tcW w:w="1463" w:type="pct"/>
            <w:tcBorders>
              <w:top w:val="single" w:color="auto" w:sz="4" w:space="0"/>
              <w:left w:val="single" w:color="auto" w:sz="4" w:space="0"/>
              <w:bottom w:val="single" w:color="auto" w:sz="4" w:space="0"/>
              <w:right w:val="single" w:color="auto" w:sz="4" w:space="0"/>
            </w:tcBorders>
            <w:noWrap w:val="0"/>
            <w:vAlign w:val="center"/>
          </w:tcPr>
          <w:p w14:paraId="2B5187C9">
            <w:pPr>
              <w:widowControl/>
              <w:spacing w:line="240" w:lineRule="auto"/>
              <w:jc w:val="center"/>
              <w:textAlignment w:val="center"/>
              <w:rPr>
                <w:rFonts w:hint="eastAsia" w:ascii="宋体" w:hAnsi="宋体" w:eastAsia="宋体" w:cs="宋体"/>
                <w:color w:val="000000"/>
                <w:kern w:val="0"/>
                <w:sz w:val="18"/>
                <w:szCs w:val="18"/>
                <w:lang w:bidi="ar"/>
              </w:rPr>
            </w:pPr>
          </w:p>
        </w:tc>
      </w:tr>
      <w:tr w14:paraId="2A7CF756">
        <w:trPr>
          <w:trHeight w:val="480" w:hRule="atLeast"/>
        </w:trPr>
        <w:tc>
          <w:tcPr>
            <w:tcW w:w="1262"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BCD4FE">
            <w:pPr>
              <w:widowControl/>
              <w:spacing w:line="240" w:lineRule="auto"/>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聚合态铝Al</w:t>
            </w:r>
            <w:r>
              <w:rPr>
                <w:rFonts w:hint="eastAsia" w:ascii="宋体" w:hAnsi="宋体" w:eastAsia="宋体" w:cs="宋体"/>
                <w:color w:val="auto"/>
                <w:kern w:val="0"/>
                <w:sz w:val="18"/>
                <w:szCs w:val="18"/>
                <w:vertAlign w:val="subscript"/>
                <w:lang w:bidi="ar"/>
              </w:rPr>
              <w:t>13</w:t>
            </w:r>
            <w:r>
              <w:rPr>
                <w:rFonts w:hint="eastAsia" w:ascii="宋体" w:hAnsi="宋体" w:eastAsia="宋体" w:cs="宋体"/>
                <w:color w:val="auto"/>
                <w:kern w:val="0"/>
                <w:sz w:val="18"/>
                <w:szCs w:val="18"/>
                <w:lang w:bidi="ar"/>
              </w:rPr>
              <w:t>的质量分数，%</w:t>
            </w:r>
          </w:p>
        </w:tc>
        <w:tc>
          <w:tcPr>
            <w:tcW w:w="798" w:type="pct"/>
            <w:tcBorders>
              <w:top w:val="single" w:color="000000" w:sz="4" w:space="0"/>
              <w:left w:val="single" w:color="000000" w:sz="4" w:space="0"/>
              <w:bottom w:val="single" w:color="000000" w:sz="4" w:space="0"/>
              <w:right w:val="single" w:color="000000" w:sz="4" w:space="0"/>
            </w:tcBorders>
            <w:shd w:val="clear" w:color="auto" w:fill="DCE6F2"/>
            <w:noWrap w:val="0"/>
            <w:vAlign w:val="center"/>
          </w:tcPr>
          <w:p w14:paraId="29782D79">
            <w:pPr>
              <w:spacing w:line="240" w:lineRule="auto"/>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bidi="ar"/>
              </w:rPr>
              <w:t>液体：≥70%</w:t>
            </w:r>
          </w:p>
        </w:tc>
        <w:tc>
          <w:tcPr>
            <w:tcW w:w="768" w:type="pct"/>
            <w:tcBorders>
              <w:top w:val="single" w:color="000000" w:sz="4" w:space="0"/>
              <w:left w:val="single" w:color="000000" w:sz="4" w:space="0"/>
              <w:bottom w:val="single" w:color="000000" w:sz="4" w:space="0"/>
              <w:right w:val="single" w:color="000000" w:sz="4" w:space="0"/>
            </w:tcBorders>
            <w:noWrap/>
            <w:vAlign w:val="center"/>
          </w:tcPr>
          <w:p w14:paraId="56D392F9">
            <w:pPr>
              <w:widowControl/>
              <w:spacing w:line="240" w:lineRule="auto"/>
              <w:jc w:val="center"/>
              <w:textAlignment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bidi="ar"/>
              </w:rPr>
              <w:t>/</w:t>
            </w:r>
          </w:p>
        </w:tc>
        <w:tc>
          <w:tcPr>
            <w:tcW w:w="707" w:type="pct"/>
            <w:tcBorders>
              <w:top w:val="single" w:color="000000" w:sz="4" w:space="0"/>
              <w:left w:val="single" w:color="000000" w:sz="4" w:space="0"/>
              <w:bottom w:val="single" w:color="000000" w:sz="4" w:space="0"/>
              <w:right w:val="single" w:color="auto" w:sz="4" w:space="0"/>
            </w:tcBorders>
            <w:noWrap w:val="0"/>
            <w:vAlign w:val="center"/>
          </w:tcPr>
          <w:p w14:paraId="697DED9D">
            <w:pPr>
              <w:widowControl/>
              <w:spacing w:line="240" w:lineRule="auto"/>
              <w:jc w:val="center"/>
              <w:textAlignment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bidi="ar"/>
              </w:rPr>
              <w:t>/</w:t>
            </w:r>
          </w:p>
        </w:tc>
        <w:tc>
          <w:tcPr>
            <w:tcW w:w="1463" w:type="pct"/>
            <w:tcBorders>
              <w:top w:val="single" w:color="auto" w:sz="4" w:space="0"/>
              <w:left w:val="single" w:color="auto" w:sz="4" w:space="0"/>
              <w:bottom w:val="single" w:color="auto" w:sz="4" w:space="0"/>
              <w:right w:val="single" w:color="auto" w:sz="4" w:space="0"/>
            </w:tcBorders>
            <w:noWrap w:val="0"/>
            <w:vAlign w:val="center"/>
          </w:tcPr>
          <w:p w14:paraId="1DE462D9">
            <w:pPr>
              <w:widowControl/>
              <w:spacing w:line="24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val="en-US" w:eastAsia="zh-CN" w:bidi="ar"/>
              </w:rPr>
              <w:t>新增指标，首次提出检测方法</w:t>
            </w:r>
          </w:p>
        </w:tc>
      </w:tr>
      <w:tr w14:paraId="40BCCEF0">
        <w:trPr>
          <w:trHeight w:val="398" w:hRule="atLeast"/>
        </w:trPr>
        <w:tc>
          <w:tcPr>
            <w:tcW w:w="1262"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3EEFF4">
            <w:pPr>
              <w:widowControl/>
              <w:spacing w:line="240" w:lineRule="auto"/>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平均粒径，nm</w:t>
            </w:r>
          </w:p>
        </w:tc>
        <w:tc>
          <w:tcPr>
            <w:tcW w:w="798" w:type="pct"/>
            <w:tcBorders>
              <w:top w:val="single" w:color="000000" w:sz="4" w:space="0"/>
              <w:left w:val="single" w:color="000000" w:sz="4" w:space="0"/>
              <w:bottom w:val="single" w:color="000000" w:sz="4" w:space="0"/>
              <w:right w:val="single" w:color="000000" w:sz="4" w:space="0"/>
            </w:tcBorders>
            <w:shd w:val="clear" w:color="auto" w:fill="DCE6F2"/>
            <w:noWrap w:val="0"/>
            <w:vAlign w:val="center"/>
          </w:tcPr>
          <w:p w14:paraId="3B9C0B55">
            <w:pPr>
              <w:spacing w:line="240" w:lineRule="auto"/>
              <w:jc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≤100</w:t>
            </w:r>
          </w:p>
        </w:tc>
        <w:tc>
          <w:tcPr>
            <w:tcW w:w="768" w:type="pct"/>
            <w:tcBorders>
              <w:top w:val="single" w:color="000000" w:sz="4" w:space="0"/>
              <w:left w:val="single" w:color="000000" w:sz="4" w:space="0"/>
              <w:bottom w:val="single" w:color="000000" w:sz="4" w:space="0"/>
              <w:right w:val="single" w:color="000000" w:sz="4" w:space="0"/>
            </w:tcBorders>
            <w:noWrap/>
            <w:vAlign w:val="center"/>
          </w:tcPr>
          <w:p w14:paraId="479915C3">
            <w:pPr>
              <w:widowControl/>
              <w:spacing w:line="240" w:lineRule="auto"/>
              <w:jc w:val="center"/>
              <w:textAlignment w:val="center"/>
              <w:rPr>
                <w:rFonts w:hint="eastAsia" w:ascii="宋体" w:hAnsi="宋体" w:eastAsia="宋体" w:cs="宋体"/>
                <w:color w:val="auto"/>
                <w:kern w:val="0"/>
                <w:sz w:val="18"/>
                <w:szCs w:val="18"/>
                <w:lang w:val="en-US" w:bidi="ar"/>
              </w:rPr>
            </w:pPr>
            <w:r>
              <w:rPr>
                <w:rFonts w:hint="eastAsia" w:ascii="宋体" w:hAnsi="宋体" w:eastAsia="宋体" w:cs="宋体"/>
                <w:color w:val="auto"/>
                <w:kern w:val="0"/>
                <w:sz w:val="18"/>
                <w:szCs w:val="18"/>
                <w:lang w:val="en-US" w:bidi="ar"/>
              </w:rPr>
              <w:t>/</w:t>
            </w:r>
          </w:p>
        </w:tc>
        <w:tc>
          <w:tcPr>
            <w:tcW w:w="707" w:type="pct"/>
            <w:tcBorders>
              <w:top w:val="single" w:color="000000" w:sz="4" w:space="0"/>
              <w:left w:val="single" w:color="000000" w:sz="4" w:space="0"/>
              <w:bottom w:val="single" w:color="000000" w:sz="4" w:space="0"/>
              <w:right w:val="single" w:color="auto" w:sz="4" w:space="0"/>
            </w:tcBorders>
            <w:noWrap/>
            <w:vAlign w:val="center"/>
          </w:tcPr>
          <w:p w14:paraId="3AEE1AD0">
            <w:pPr>
              <w:widowControl/>
              <w:spacing w:line="240" w:lineRule="auto"/>
              <w:jc w:val="center"/>
              <w:textAlignment w:val="center"/>
              <w:rPr>
                <w:rFonts w:hint="eastAsia" w:ascii="宋体" w:hAnsi="宋体" w:eastAsia="宋体" w:cs="宋体"/>
                <w:color w:val="auto"/>
                <w:kern w:val="0"/>
                <w:sz w:val="18"/>
                <w:szCs w:val="18"/>
                <w:lang w:val="en-US" w:bidi="ar"/>
              </w:rPr>
            </w:pPr>
            <w:r>
              <w:rPr>
                <w:rFonts w:hint="eastAsia" w:ascii="宋体" w:hAnsi="宋体" w:eastAsia="宋体" w:cs="宋体"/>
                <w:color w:val="auto"/>
                <w:kern w:val="0"/>
                <w:sz w:val="18"/>
                <w:szCs w:val="18"/>
                <w:lang w:val="en-US" w:bidi="ar"/>
              </w:rPr>
              <w:t>/</w:t>
            </w:r>
          </w:p>
        </w:tc>
        <w:tc>
          <w:tcPr>
            <w:tcW w:w="1463" w:type="pct"/>
            <w:tcBorders>
              <w:top w:val="single" w:color="auto" w:sz="4" w:space="0"/>
              <w:left w:val="single" w:color="auto" w:sz="4" w:space="0"/>
              <w:bottom w:val="single" w:color="auto" w:sz="4" w:space="0"/>
              <w:right w:val="single" w:color="auto" w:sz="4" w:space="0"/>
            </w:tcBorders>
            <w:noWrap/>
            <w:vAlign w:val="center"/>
          </w:tcPr>
          <w:p w14:paraId="655DCEDE">
            <w:pPr>
              <w:widowControl/>
              <w:spacing w:line="240" w:lineRule="auto"/>
              <w:jc w:val="left"/>
              <w:textAlignment w:val="center"/>
              <w:rPr>
                <w:rFonts w:hint="eastAsia" w:ascii="宋体" w:hAnsi="宋体" w:eastAsia="宋体" w:cs="宋体"/>
                <w:color w:val="auto"/>
                <w:kern w:val="0"/>
                <w:sz w:val="18"/>
                <w:szCs w:val="18"/>
                <w:lang w:val="en-US" w:eastAsia="zh-CN" w:bidi="ar"/>
              </w:rPr>
            </w:pPr>
            <w:bookmarkStart w:id="7" w:name="OLE_LINK10"/>
            <w:r>
              <w:rPr>
                <w:rFonts w:hint="eastAsia" w:ascii="宋体" w:hAnsi="宋体" w:eastAsia="宋体" w:cs="宋体"/>
                <w:color w:val="auto"/>
                <w:kern w:val="0"/>
                <w:sz w:val="18"/>
                <w:szCs w:val="18"/>
                <w:lang w:val="en-US" w:eastAsia="zh-CN" w:bidi="ar"/>
              </w:rPr>
              <w:t>新增指标，首次提出检测方法</w:t>
            </w:r>
          </w:p>
          <w:bookmarkEnd w:id="7"/>
        </w:tc>
      </w:tr>
      <w:tr w14:paraId="0F10F3CC">
        <w:trPr>
          <w:trHeight w:val="317" w:hRule="atLeast"/>
        </w:trPr>
        <w:tc>
          <w:tcPr>
            <w:tcW w:w="505" w:type="pct"/>
            <w:vMerge w:val="restart"/>
            <w:tcBorders>
              <w:top w:val="single" w:color="000000" w:sz="4" w:space="0"/>
              <w:left w:val="single" w:color="auto" w:sz="4" w:space="0"/>
              <w:bottom w:val="single" w:color="auto" w:sz="4" w:space="0"/>
              <w:right w:val="single" w:color="000000" w:sz="4" w:space="0"/>
            </w:tcBorders>
            <w:shd w:val="clear" w:color="auto" w:fill="auto"/>
            <w:noWrap w:val="0"/>
            <w:vAlign w:val="center"/>
          </w:tcPr>
          <w:p w14:paraId="7C9F8824">
            <w:pPr>
              <w:widowControl/>
              <w:spacing w:line="240" w:lineRule="auto"/>
              <w:textAlignment w:val="center"/>
              <w:rPr>
                <w:rFonts w:hint="eastAsia" w:ascii="宋体" w:hAnsi="宋体" w:eastAsia="宋体" w:cs="宋体"/>
                <w:color w:val="auto"/>
                <w:kern w:val="0"/>
                <w:sz w:val="18"/>
                <w:szCs w:val="18"/>
                <w:u w:val="none"/>
                <w:lang w:val="en-US" w:eastAsia="zh-CN" w:bidi="ar"/>
              </w:rPr>
            </w:pPr>
            <w:r>
              <w:rPr>
                <w:rFonts w:hint="eastAsia" w:ascii="宋体" w:hAnsi="宋体" w:eastAsia="宋体" w:cs="宋体"/>
                <w:color w:val="auto"/>
                <w:kern w:val="0"/>
                <w:sz w:val="18"/>
                <w:szCs w:val="18"/>
                <w:lang w:val="en-US" w:eastAsia="zh-CN" w:bidi="ar"/>
              </w:rPr>
              <w:t>混凝效果</w:t>
            </w:r>
          </w:p>
        </w:tc>
        <w:tc>
          <w:tcPr>
            <w:tcW w:w="757" w:type="pct"/>
            <w:tcBorders>
              <w:top w:val="single" w:color="000000" w:sz="4" w:space="0"/>
              <w:left w:val="single" w:color="000000" w:sz="4" w:space="0"/>
              <w:bottom w:val="single" w:color="auto" w:sz="4" w:space="0"/>
              <w:right w:val="single" w:color="000000" w:sz="4" w:space="0"/>
            </w:tcBorders>
            <w:shd w:val="clear" w:color="auto" w:fill="auto"/>
            <w:noWrap w:val="0"/>
            <w:vAlign w:val="center"/>
          </w:tcPr>
          <w:p w14:paraId="5B1DD54C">
            <w:pPr>
              <w:widowControl/>
              <w:spacing w:line="240" w:lineRule="auto"/>
              <w:textAlignment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混凝沉淀、混凝脱色率、混凝去除有机物性能</w:t>
            </w:r>
          </w:p>
        </w:tc>
        <w:tc>
          <w:tcPr>
            <w:tcW w:w="798" w:type="pct"/>
            <w:tcBorders>
              <w:top w:val="single" w:color="000000" w:sz="4" w:space="0"/>
              <w:left w:val="single" w:color="000000" w:sz="4" w:space="0"/>
              <w:bottom w:val="single" w:color="auto" w:sz="4" w:space="0"/>
              <w:right w:val="single" w:color="000000" w:sz="4" w:space="0"/>
            </w:tcBorders>
            <w:shd w:val="clear" w:color="auto" w:fill="DCE6F2"/>
            <w:noWrap w:val="0"/>
            <w:vAlign w:val="center"/>
          </w:tcPr>
          <w:p w14:paraId="14B9B79B">
            <w:pPr>
              <w:spacing w:line="240" w:lineRule="auto"/>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根据双方协商要求</w:t>
            </w:r>
          </w:p>
        </w:tc>
        <w:tc>
          <w:tcPr>
            <w:tcW w:w="768" w:type="pct"/>
            <w:vMerge w:val="restart"/>
            <w:tcBorders>
              <w:top w:val="single" w:color="000000" w:sz="4" w:space="0"/>
              <w:left w:val="single" w:color="000000" w:sz="4" w:space="0"/>
              <w:bottom w:val="single" w:color="auto" w:sz="4" w:space="0"/>
              <w:right w:val="single" w:color="auto" w:sz="4" w:space="0"/>
            </w:tcBorders>
            <w:noWrap/>
            <w:vAlign w:val="center"/>
          </w:tcPr>
          <w:p w14:paraId="45A7E83E">
            <w:pPr>
              <w:widowControl/>
              <w:spacing w:line="240" w:lineRule="auto"/>
              <w:jc w:val="center"/>
              <w:textAlignment w:val="center"/>
              <w:rPr>
                <w:rFonts w:hint="eastAsia" w:ascii="宋体" w:hAnsi="宋体" w:eastAsia="宋体" w:cs="宋体"/>
                <w:color w:val="auto"/>
                <w:kern w:val="0"/>
                <w:sz w:val="18"/>
                <w:szCs w:val="18"/>
                <w:lang w:val="en-US" w:bidi="ar"/>
              </w:rPr>
            </w:pPr>
            <w:r>
              <w:rPr>
                <w:rFonts w:hint="eastAsia" w:ascii="宋体" w:hAnsi="宋体" w:eastAsia="宋体" w:cs="宋体"/>
                <w:color w:val="auto"/>
                <w:kern w:val="0"/>
                <w:sz w:val="18"/>
                <w:szCs w:val="18"/>
                <w:lang w:val="en-US" w:bidi="ar"/>
              </w:rPr>
              <w:t>/</w:t>
            </w:r>
          </w:p>
        </w:tc>
        <w:tc>
          <w:tcPr>
            <w:tcW w:w="707" w:type="pct"/>
            <w:vMerge w:val="restart"/>
            <w:tcBorders>
              <w:top w:val="single" w:color="000000" w:sz="4" w:space="0"/>
              <w:left w:val="single" w:color="000000" w:sz="4" w:space="0"/>
              <w:bottom w:val="single" w:color="auto" w:sz="4" w:space="0"/>
              <w:right w:val="single" w:color="auto" w:sz="4" w:space="0"/>
            </w:tcBorders>
            <w:noWrap/>
            <w:vAlign w:val="center"/>
          </w:tcPr>
          <w:p w14:paraId="701FACEF">
            <w:pPr>
              <w:widowControl/>
              <w:spacing w:line="240" w:lineRule="auto"/>
              <w:jc w:val="center"/>
              <w:textAlignment w:val="center"/>
              <w:rPr>
                <w:rFonts w:hint="eastAsia" w:ascii="宋体" w:hAnsi="宋体" w:eastAsia="宋体" w:cs="宋体"/>
                <w:color w:val="auto"/>
                <w:kern w:val="0"/>
                <w:sz w:val="18"/>
                <w:szCs w:val="18"/>
                <w:lang w:val="en-US" w:bidi="ar"/>
              </w:rPr>
            </w:pPr>
            <w:r>
              <w:rPr>
                <w:rFonts w:hint="eastAsia" w:ascii="宋体" w:hAnsi="宋体" w:eastAsia="宋体" w:cs="宋体"/>
                <w:color w:val="auto"/>
                <w:kern w:val="0"/>
                <w:sz w:val="18"/>
                <w:szCs w:val="18"/>
                <w:lang w:val="en-US" w:bidi="ar"/>
              </w:rPr>
              <w:t>/</w:t>
            </w:r>
          </w:p>
        </w:tc>
        <w:tc>
          <w:tcPr>
            <w:tcW w:w="1463" w:type="pct"/>
            <w:tcBorders>
              <w:top w:val="single" w:color="auto" w:sz="4" w:space="0"/>
              <w:left w:val="single" w:color="auto" w:sz="4" w:space="0"/>
              <w:bottom w:val="single" w:color="auto" w:sz="4" w:space="0"/>
              <w:right w:val="single" w:color="auto" w:sz="4" w:space="0"/>
            </w:tcBorders>
            <w:noWrap/>
            <w:vAlign w:val="center"/>
          </w:tcPr>
          <w:p w14:paraId="5415A4C2">
            <w:pPr>
              <w:widowControl/>
              <w:spacing w:line="240" w:lineRule="auto"/>
              <w:jc w:val="left"/>
              <w:textAlignment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新增指标</w:t>
            </w:r>
          </w:p>
        </w:tc>
      </w:tr>
      <w:tr w14:paraId="5668E004">
        <w:trPr>
          <w:trHeight w:val="317" w:hRule="atLeast"/>
        </w:trPr>
        <w:tc>
          <w:tcPr>
            <w:tcW w:w="505" w:type="pct"/>
            <w:vMerge w:val="continue"/>
            <w:tcBorders>
              <w:top w:val="single" w:color="auto" w:sz="4" w:space="0"/>
              <w:left w:val="single" w:color="auto" w:sz="4" w:space="0"/>
              <w:bottom w:val="single" w:color="auto" w:sz="4" w:space="0"/>
              <w:right w:val="single" w:color="000000" w:sz="4" w:space="0"/>
            </w:tcBorders>
            <w:shd w:val="clear" w:color="auto" w:fill="auto"/>
            <w:noWrap w:val="0"/>
            <w:vAlign w:val="center"/>
          </w:tcPr>
          <w:p w14:paraId="3EEA1A61">
            <w:pPr>
              <w:widowControl/>
              <w:spacing w:line="240" w:lineRule="auto"/>
              <w:textAlignment w:val="center"/>
              <w:rPr>
                <w:rFonts w:hint="eastAsia" w:ascii="宋体" w:hAnsi="宋体" w:eastAsia="宋体" w:cs="宋体"/>
                <w:color w:val="auto"/>
                <w:kern w:val="0"/>
                <w:sz w:val="18"/>
                <w:szCs w:val="18"/>
                <w:lang w:val="en-US" w:eastAsia="zh-CN" w:bidi="ar"/>
              </w:rPr>
            </w:pPr>
          </w:p>
        </w:tc>
        <w:tc>
          <w:tcPr>
            <w:tcW w:w="757" w:type="pct"/>
            <w:tcBorders>
              <w:top w:val="single" w:color="auto" w:sz="4" w:space="0"/>
              <w:left w:val="single" w:color="000000" w:sz="4" w:space="0"/>
              <w:bottom w:val="single" w:color="auto" w:sz="4" w:space="0"/>
              <w:right w:val="single" w:color="000000" w:sz="4" w:space="0"/>
            </w:tcBorders>
            <w:shd w:val="clear" w:color="auto" w:fill="auto"/>
            <w:noWrap w:val="0"/>
            <w:vAlign w:val="center"/>
          </w:tcPr>
          <w:p w14:paraId="12D8955F">
            <w:pPr>
              <w:widowControl/>
              <w:spacing w:line="240" w:lineRule="auto"/>
              <w:textAlignment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出水余铝</w:t>
            </w:r>
          </w:p>
        </w:tc>
        <w:tc>
          <w:tcPr>
            <w:tcW w:w="798" w:type="pct"/>
            <w:tcBorders>
              <w:top w:val="single" w:color="auto" w:sz="4" w:space="0"/>
              <w:left w:val="single" w:color="000000" w:sz="4" w:space="0"/>
              <w:bottom w:val="single" w:color="auto" w:sz="4" w:space="0"/>
              <w:right w:val="single" w:color="000000" w:sz="4" w:space="0"/>
            </w:tcBorders>
            <w:shd w:val="clear" w:color="auto" w:fill="DCE6F2"/>
            <w:noWrap w:val="0"/>
            <w:vAlign w:val="center"/>
          </w:tcPr>
          <w:p w14:paraId="5E370416">
            <w:pPr>
              <w:spacing w:line="240" w:lineRule="auto"/>
              <w:jc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＜0.2 mg/L</w:t>
            </w:r>
          </w:p>
        </w:tc>
        <w:tc>
          <w:tcPr>
            <w:tcW w:w="768" w:type="pct"/>
            <w:vMerge w:val="continue"/>
            <w:tcBorders>
              <w:top w:val="single" w:color="auto" w:sz="4" w:space="0"/>
              <w:left w:val="single" w:color="000000" w:sz="4" w:space="0"/>
              <w:bottom w:val="single" w:color="auto" w:sz="4" w:space="0"/>
              <w:right w:val="single" w:color="auto" w:sz="4" w:space="0"/>
            </w:tcBorders>
            <w:noWrap/>
            <w:vAlign w:val="center"/>
          </w:tcPr>
          <w:p w14:paraId="71B1CB3B">
            <w:pPr>
              <w:widowControl/>
              <w:spacing w:line="240" w:lineRule="auto"/>
              <w:textAlignment w:val="center"/>
              <w:rPr>
                <w:rFonts w:hint="eastAsia" w:ascii="宋体" w:hAnsi="宋体" w:eastAsia="宋体" w:cs="宋体"/>
                <w:color w:val="auto"/>
                <w:kern w:val="0"/>
                <w:sz w:val="18"/>
                <w:szCs w:val="18"/>
                <w:lang w:val="en-US" w:eastAsia="zh-CN" w:bidi="ar"/>
              </w:rPr>
            </w:pPr>
          </w:p>
        </w:tc>
        <w:tc>
          <w:tcPr>
            <w:tcW w:w="707" w:type="pct"/>
            <w:vMerge w:val="continue"/>
            <w:tcBorders>
              <w:top w:val="single" w:color="auto" w:sz="4" w:space="0"/>
              <w:left w:val="single" w:color="000000" w:sz="4" w:space="0"/>
              <w:bottom w:val="single" w:color="auto" w:sz="4" w:space="0"/>
              <w:right w:val="single" w:color="auto" w:sz="4" w:space="0"/>
            </w:tcBorders>
            <w:noWrap/>
            <w:vAlign w:val="center"/>
          </w:tcPr>
          <w:p w14:paraId="130AA5AE">
            <w:pPr>
              <w:widowControl/>
              <w:spacing w:line="240" w:lineRule="auto"/>
              <w:textAlignment w:val="center"/>
              <w:rPr>
                <w:rFonts w:hint="eastAsia" w:ascii="宋体" w:hAnsi="宋体" w:eastAsia="宋体" w:cs="宋体"/>
                <w:color w:val="auto"/>
                <w:kern w:val="0"/>
                <w:sz w:val="18"/>
                <w:szCs w:val="18"/>
                <w:lang w:val="en-US" w:eastAsia="zh-CN" w:bidi="ar"/>
              </w:rPr>
            </w:pPr>
          </w:p>
        </w:tc>
        <w:tc>
          <w:tcPr>
            <w:tcW w:w="1463" w:type="pct"/>
            <w:tcBorders>
              <w:top w:val="single" w:color="auto" w:sz="4" w:space="0"/>
              <w:left w:val="single" w:color="auto" w:sz="4" w:space="0"/>
              <w:bottom w:val="single" w:color="auto" w:sz="4" w:space="0"/>
              <w:right w:val="single" w:color="auto" w:sz="4" w:space="0"/>
            </w:tcBorders>
            <w:noWrap/>
            <w:vAlign w:val="center"/>
          </w:tcPr>
          <w:p w14:paraId="68328052">
            <w:pPr>
              <w:widowControl/>
              <w:spacing w:line="240" w:lineRule="auto"/>
              <w:textAlignment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新增指标，首次提出检测方法</w:t>
            </w:r>
          </w:p>
        </w:tc>
      </w:tr>
    </w:tbl>
    <w:p w14:paraId="003BDFA2">
      <w:pPr>
        <w:pStyle w:val="3"/>
        <w:keepNext/>
        <w:keepLines/>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sz w:val="24"/>
          <w:szCs w:val="24"/>
          <w:lang w:val="en-US" w:eastAsia="zh-Hans"/>
        </w:rPr>
      </w:pPr>
      <w:r>
        <w:rPr>
          <w:rFonts w:hint="eastAsia" w:ascii="宋体" w:hAnsi="宋体" w:eastAsia="宋体" w:cs="宋体"/>
          <w:sz w:val="24"/>
          <w:szCs w:val="24"/>
          <w:lang w:val="en-US" w:eastAsia="zh-CN"/>
        </w:rPr>
        <w:t>2.3、可操作性</w:t>
      </w:r>
    </w:p>
    <w:p w14:paraId="4AAAC3A7">
      <w:pPr>
        <w:widowControl w:val="0"/>
        <w:numPr>
          <w:ilvl w:val="0"/>
          <w:numId w:val="0"/>
        </w:numPr>
        <w:spacing w:line="360" w:lineRule="auto"/>
        <w:ind w:left="0" w:leftChars="0" w:firstLine="420" w:firstLineChars="175"/>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本产品经过中海油天津化工研究设计院有限公司国家无机盐产品质量检验检测中心检测（检测报告编号为</w:t>
      </w:r>
      <w:r>
        <w:rPr>
          <w:rFonts w:hint="eastAsia" w:ascii="宋体" w:hAnsi="宋体" w:eastAsia="宋体" w:cs="宋体"/>
          <w:sz w:val="24"/>
          <w:szCs w:val="24"/>
          <w:lang w:val="en-US" w:eastAsia="zh-CN"/>
        </w:rPr>
        <w:t>NO.W2022479</w:t>
      </w:r>
      <w:r>
        <w:rPr>
          <w:rFonts w:hint="eastAsia" w:ascii="宋体" w:hAnsi="宋体" w:eastAsia="宋体" w:cs="宋体"/>
          <w:sz w:val="24"/>
          <w:szCs w:val="24"/>
          <w:lang w:eastAsia="zh-CN"/>
        </w:rPr>
        <w:t>），完全符合GB 15892-2020的所有相关指标要求，新增指标均经过充分的试验验证。产品已在多家水厂（广州水厂、西洲水厂）进行使用运行，运行效果良好。</w:t>
      </w:r>
    </w:p>
    <w:p w14:paraId="204EB309">
      <w:pPr>
        <w:pStyle w:val="2"/>
        <w:keepNext/>
        <w:keepLines/>
        <w:pageBreakBefore w:val="0"/>
        <w:widowControl w:val="0"/>
        <w:numPr>
          <w:ilvl w:val="0"/>
          <w:numId w:val="1"/>
        </w:numPr>
        <w:kinsoku/>
        <w:wordWrap/>
        <w:overflowPunct/>
        <w:topLinePunct w:val="0"/>
        <w:autoSpaceDE/>
        <w:autoSpaceDN/>
        <w:bidi w:val="0"/>
        <w:adjustRightInd/>
        <w:snapToGrid/>
        <w:spacing w:before="157" w:beforeLines="50" w:after="157" w:afterLines="50" w:line="240" w:lineRule="auto"/>
        <w:textAlignment w:val="auto"/>
        <w:rPr>
          <w:rFonts w:hint="eastAsia"/>
          <w:b/>
          <w:sz w:val="24"/>
          <w:szCs w:val="15"/>
        </w:rPr>
      </w:pPr>
      <w:r>
        <w:rPr>
          <w:rFonts w:hint="eastAsia"/>
          <w:b/>
          <w:sz w:val="24"/>
          <w:szCs w:val="15"/>
        </w:rPr>
        <w:t>标准主要内容及其论据</w:t>
      </w:r>
    </w:p>
    <w:p w14:paraId="0BE382F8">
      <w:pPr>
        <w:numPr>
          <w:ilvl w:val="0"/>
          <w:numId w:val="0"/>
        </w:numPr>
        <w:autoSpaceDE w:val="0"/>
        <w:autoSpaceDN w:val="0"/>
        <w:adjustRightInd w:val="0"/>
        <w:spacing w:line="360" w:lineRule="auto"/>
        <w:ind w:left="0" w:leftChars="0" w:firstLine="420" w:firstLineChars="175"/>
        <w:jc w:val="left"/>
        <w:rPr>
          <w:rFonts w:hint="eastAsia" w:ascii="宋体" w:hAnsi="宋体" w:eastAsia="宋体" w:cs="宋体"/>
          <w:sz w:val="24"/>
          <w:szCs w:val="24"/>
        </w:rPr>
      </w:pPr>
      <w:r>
        <w:rPr>
          <w:rFonts w:hint="eastAsia" w:ascii="宋体" w:hAnsi="宋体" w:eastAsia="宋体" w:cs="宋体"/>
          <w:sz w:val="24"/>
          <w:szCs w:val="24"/>
        </w:rPr>
        <w:t>本</w:t>
      </w:r>
      <w:r>
        <w:rPr>
          <w:rFonts w:hint="eastAsia" w:ascii="宋体" w:hAnsi="宋体" w:eastAsia="宋体" w:cs="宋体"/>
          <w:sz w:val="24"/>
          <w:szCs w:val="24"/>
          <w:lang w:eastAsia="zh-CN"/>
        </w:rPr>
        <w:t>标准</w:t>
      </w:r>
      <w:r>
        <w:rPr>
          <w:rFonts w:hint="eastAsia" w:ascii="宋体" w:hAnsi="宋体" w:eastAsia="宋体" w:cs="宋体"/>
          <w:sz w:val="24"/>
          <w:szCs w:val="24"/>
        </w:rPr>
        <w:t>根据标准化工作导则GB/T 1.1—2020进行编写，共分为</w:t>
      </w:r>
      <w:r>
        <w:rPr>
          <w:rFonts w:hint="eastAsia" w:ascii="宋体" w:hAnsi="宋体" w:eastAsia="宋体" w:cs="宋体"/>
          <w:sz w:val="24"/>
          <w:szCs w:val="24"/>
          <w:lang w:eastAsia="zh-CN"/>
        </w:rPr>
        <w:t>九个</w:t>
      </w:r>
      <w:r>
        <w:rPr>
          <w:rFonts w:hint="eastAsia" w:ascii="宋体" w:hAnsi="宋体" w:eastAsia="宋体" w:cs="宋体"/>
          <w:sz w:val="24"/>
          <w:szCs w:val="24"/>
        </w:rPr>
        <w:t>章</w:t>
      </w:r>
      <w:r>
        <w:rPr>
          <w:rFonts w:hint="eastAsia" w:ascii="宋体" w:hAnsi="宋体" w:eastAsia="宋体" w:cs="宋体"/>
          <w:sz w:val="24"/>
          <w:szCs w:val="24"/>
          <w:lang w:eastAsia="zh-CN"/>
        </w:rPr>
        <w:t>节</w:t>
      </w:r>
      <w:r>
        <w:rPr>
          <w:rFonts w:hint="eastAsia" w:ascii="宋体" w:hAnsi="宋体" w:eastAsia="宋体" w:cs="宋体"/>
          <w:sz w:val="24"/>
          <w:szCs w:val="24"/>
        </w:rPr>
        <w:t>，主要</w:t>
      </w:r>
      <w:r>
        <w:rPr>
          <w:rFonts w:hint="eastAsia" w:ascii="宋体" w:hAnsi="宋体" w:eastAsia="宋体" w:cs="宋体"/>
          <w:sz w:val="24"/>
          <w:szCs w:val="24"/>
          <w:lang w:eastAsia="zh-CN"/>
        </w:rPr>
        <w:t>包括范围、规范性引用文件、术语和定义、产品分类、原料要求、技术要求、试验方法、检验规则、包装、标志、运输和贮存，主要</w:t>
      </w:r>
      <w:r>
        <w:rPr>
          <w:rFonts w:hint="eastAsia" w:ascii="宋体" w:hAnsi="宋体" w:eastAsia="宋体" w:cs="宋体"/>
          <w:sz w:val="24"/>
          <w:szCs w:val="24"/>
        </w:rPr>
        <w:t>内容</w:t>
      </w:r>
      <w:r>
        <w:rPr>
          <w:rFonts w:hint="eastAsia" w:ascii="宋体" w:hAnsi="宋体" w:eastAsia="宋体" w:cs="宋体"/>
          <w:sz w:val="24"/>
          <w:szCs w:val="24"/>
          <w:lang w:eastAsia="zh-CN"/>
        </w:rPr>
        <w:t>及其依据</w:t>
      </w:r>
      <w:r>
        <w:rPr>
          <w:rFonts w:hint="eastAsia" w:ascii="宋体" w:hAnsi="宋体" w:eastAsia="宋体" w:cs="宋体"/>
          <w:sz w:val="24"/>
          <w:szCs w:val="24"/>
        </w:rPr>
        <w:t>如下：</w:t>
      </w:r>
    </w:p>
    <w:p w14:paraId="522ECFFF">
      <w:pPr>
        <w:numPr>
          <w:ilvl w:val="0"/>
          <w:numId w:val="0"/>
        </w:numPr>
        <w:autoSpaceDE w:val="0"/>
        <w:autoSpaceDN w:val="0"/>
        <w:adjustRightInd w:val="0"/>
        <w:spacing w:line="360" w:lineRule="auto"/>
        <w:ind w:left="0" w:leftChars="0" w:firstLine="0" w:firstLineChars="0"/>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3.1、</w:t>
      </w:r>
      <w:r>
        <w:rPr>
          <w:rFonts w:hint="eastAsia" w:ascii="宋体" w:hAnsi="宋体" w:eastAsia="宋体" w:cs="宋体"/>
          <w:sz w:val="24"/>
          <w:szCs w:val="24"/>
          <w:lang w:eastAsia="zh-CN"/>
        </w:rPr>
        <w:t>技术要求</w:t>
      </w:r>
    </w:p>
    <w:p w14:paraId="4CAD1781">
      <w:pPr>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3.1.1、提升了盐基度指标：从GB 15892-2020要求的45~90提升到60~90</w:t>
      </w:r>
    </w:p>
    <w:p w14:paraId="1D457E0C">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主要依据：在国标GB 15892的基础上，根据纳米聚合铝的特性进行的指标提升，增强了胶体颗粒的电荷中和作用，尤其适用于高浊度、高有机物水体的快速絮凝，以达到在较低投加量下可达到最佳凝聚絮凝效果和更低的残余浊度，且具有良好的脱色及去除腐殖物效果。</w:t>
      </w:r>
    </w:p>
    <w:p w14:paraId="75253792">
      <w:pPr>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3.1.2、新增了平均粒径的指标控制</w:t>
      </w:r>
    </w:p>
    <w:p w14:paraId="54B03EFB">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主要依据：根据纳米聚合铝的特性进行的新增。</w:t>
      </w:r>
    </w:p>
    <w:p w14:paraId="49494EA3">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3.1.3、新增了聚合态铝Al</w:t>
      </w:r>
      <w:r>
        <w:rPr>
          <w:rFonts w:hint="eastAsia" w:ascii="宋体" w:hAnsi="宋体" w:eastAsia="宋体" w:cs="宋体"/>
          <w:color w:val="auto"/>
          <w:sz w:val="24"/>
          <w:szCs w:val="24"/>
          <w:highlight w:val="none"/>
          <w:vertAlign w:val="subscript"/>
          <w:lang w:val="en-US" w:eastAsia="zh-CN"/>
        </w:rPr>
        <w:t>13</w:t>
      </w:r>
      <w:r>
        <w:rPr>
          <w:rFonts w:hint="eastAsia" w:ascii="宋体" w:hAnsi="宋体" w:eastAsia="宋体" w:cs="宋体"/>
          <w:color w:val="auto"/>
          <w:sz w:val="24"/>
          <w:szCs w:val="24"/>
          <w:highlight w:val="none"/>
          <w:lang w:val="en-US" w:eastAsia="zh-CN"/>
        </w:rPr>
        <w:t>的质量分数的指标控制</w:t>
      </w:r>
    </w:p>
    <w:p w14:paraId="2D549ADE">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主要依据：根据纳米聚合铝的特性进行的新增。</w:t>
      </w:r>
    </w:p>
    <w:p w14:paraId="10359795">
      <w:pPr>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sz w:val="24"/>
          <w:szCs w:val="24"/>
          <w:lang w:val="en-US" w:eastAsia="zh-CN"/>
        </w:rPr>
        <w:t>3.</w:t>
      </w:r>
      <w:r>
        <w:rPr>
          <w:rFonts w:hint="eastAsia" w:ascii="宋体" w:hAnsi="宋体" w:eastAsia="宋体" w:cs="宋体"/>
          <w:color w:val="auto"/>
          <w:sz w:val="24"/>
          <w:szCs w:val="24"/>
          <w:lang w:val="en-US" w:eastAsia="zh-CN"/>
        </w:rPr>
        <w:t>1.4、新增了混凝效果指标要求，明确出水余铝（Al）的质量浓度的指标控制</w:t>
      </w:r>
    </w:p>
    <w:p w14:paraId="41840501">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主要依据：根据GB 5749-2022 《生活饮用水卫生标准》要求，以及纳米聚合铝的实验数据（</w:t>
      </w:r>
      <w:bookmarkStart w:id="8" w:name="_GoBack"/>
      <w:bookmarkEnd w:id="8"/>
      <w:r>
        <w:rPr>
          <w:rFonts w:hint="eastAsia" w:ascii="宋体" w:hAnsi="宋体" w:eastAsia="宋体" w:cs="宋体"/>
          <w:color w:val="auto"/>
          <w:sz w:val="24"/>
          <w:szCs w:val="24"/>
          <w:highlight w:val="none"/>
          <w:lang w:val="en-US" w:eastAsia="zh-CN"/>
        </w:rPr>
        <w:t>见下图）进行的新增，出水残余铝含量越低，代表饮用水质安全性越高。</w:t>
      </w:r>
    </w:p>
    <w:p w14:paraId="07E95EE1">
      <w:pPr>
        <w:spacing w:line="240" w:lineRule="auto"/>
        <w:ind w:left="0" w:leftChars="0" w:firstLine="0" w:firstLineChars="0"/>
        <w:jc w:val="center"/>
        <w:rPr>
          <w:rFonts w:ascii="Times New Roman" w:hAnsi="Times New Roman" w:eastAsia="宋体" w:cs="Times New Roman"/>
          <w:szCs w:val="24"/>
        </w:rPr>
      </w:pPr>
      <w:r>
        <w:rPr>
          <w:rFonts w:ascii="Times New Roman" w:hAnsi="Times New Roman" w:eastAsia="宋体" w:cs="Times New Roman"/>
          <w:szCs w:val="24"/>
        </w:rPr>
        <w:drawing>
          <wp:inline distT="0" distB="0" distL="114300" distR="114300">
            <wp:extent cx="2768600" cy="2147570"/>
            <wp:effectExtent l="0" t="0" r="12700" b="508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4"/>
                    <a:srcRect t="7736"/>
                    <a:stretch>
                      <a:fillRect/>
                    </a:stretch>
                  </pic:blipFill>
                  <pic:spPr>
                    <a:xfrm>
                      <a:off x="0" y="0"/>
                      <a:ext cx="2768600" cy="2147570"/>
                    </a:xfrm>
                    <a:prstGeom prst="rect">
                      <a:avLst/>
                    </a:prstGeom>
                    <a:noFill/>
                    <a:ln>
                      <a:noFill/>
                    </a:ln>
                  </pic:spPr>
                </pic:pic>
              </a:graphicData>
            </a:graphic>
          </wp:inline>
        </w:drawing>
      </w:r>
    </w:p>
    <w:p w14:paraId="02BC1F06">
      <w:pPr>
        <w:spacing w:line="240" w:lineRule="auto"/>
        <w:ind w:left="0" w:leftChars="0" w:firstLine="0" w:firstLineChars="0"/>
        <w:jc w:val="center"/>
        <w:rPr>
          <w:rFonts w:hint="default" w:ascii="Times New Roman" w:hAnsi="Times New Roman" w:eastAsia="宋体" w:cs="Times New Roman"/>
          <w:szCs w:val="24"/>
          <w:lang w:val="en-US" w:eastAsia="zh-CN"/>
        </w:rPr>
      </w:pPr>
      <w:r>
        <w:rPr>
          <w:rFonts w:hint="eastAsia" w:ascii="Times New Roman" w:hAnsi="Times New Roman" w:eastAsia="宋体" w:cs="Times New Roman"/>
          <w:szCs w:val="24"/>
          <w:lang w:eastAsia="zh-CN"/>
        </w:rPr>
        <w:t>图</w:t>
      </w:r>
      <w:r>
        <w:rPr>
          <w:rFonts w:hint="eastAsia" w:ascii="Times New Roman" w:hAnsi="Times New Roman" w:eastAsia="宋体" w:cs="Times New Roman"/>
          <w:szCs w:val="24"/>
          <w:lang w:val="en-US" w:eastAsia="zh-CN"/>
        </w:rPr>
        <w:t>1 不同混凝剂出水余铝对比</w:t>
      </w:r>
    </w:p>
    <w:p w14:paraId="371D7C1A">
      <w:pPr>
        <w:numPr>
          <w:ilvl w:val="0"/>
          <w:numId w:val="0"/>
        </w:numPr>
        <w:autoSpaceDE w:val="0"/>
        <w:autoSpaceDN w:val="0"/>
        <w:adjustRightInd w:val="0"/>
        <w:spacing w:line="360" w:lineRule="auto"/>
        <w:ind w:left="0" w:leftChars="0" w:firstLine="0" w:firstLineChars="0"/>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3.2、</w:t>
      </w:r>
      <w:r>
        <w:rPr>
          <w:rFonts w:hint="eastAsia" w:ascii="宋体" w:hAnsi="宋体" w:eastAsia="宋体" w:cs="宋体"/>
          <w:sz w:val="24"/>
          <w:szCs w:val="24"/>
          <w:lang w:eastAsia="zh-CN"/>
        </w:rPr>
        <w:t>试验方法</w:t>
      </w:r>
    </w:p>
    <w:p w14:paraId="4C6147C4">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3.2.1、首次提炼聚合态铝Al</w:t>
      </w:r>
      <w:r>
        <w:rPr>
          <w:rFonts w:hint="eastAsia" w:ascii="宋体" w:hAnsi="宋体" w:eastAsia="宋体" w:cs="宋体"/>
          <w:color w:val="auto"/>
          <w:sz w:val="24"/>
          <w:szCs w:val="24"/>
          <w:highlight w:val="none"/>
          <w:vertAlign w:val="subscript"/>
          <w:lang w:val="en-US" w:eastAsia="zh-CN"/>
        </w:rPr>
        <w:t>13</w:t>
      </w:r>
      <w:r>
        <w:rPr>
          <w:rFonts w:hint="eastAsia" w:ascii="宋体" w:hAnsi="宋体" w:eastAsia="宋体" w:cs="宋体"/>
          <w:color w:val="auto"/>
          <w:sz w:val="24"/>
          <w:szCs w:val="24"/>
          <w:highlight w:val="none"/>
          <w:lang w:val="en-US" w:eastAsia="zh-CN"/>
        </w:rPr>
        <w:t>质量分数、平均粒径的试验方法</w:t>
      </w:r>
    </w:p>
    <w:p w14:paraId="61828148">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主要依据：由主起草单位，根据历史众多学者研究，并结合实验总结提炼而成。</w:t>
      </w:r>
    </w:p>
    <w:p w14:paraId="336EFC3F">
      <w:pPr>
        <w:pStyle w:val="2"/>
        <w:keepNext/>
        <w:keepLines/>
        <w:pageBreakBefore w:val="0"/>
        <w:widowControl w:val="0"/>
        <w:numPr>
          <w:ilvl w:val="0"/>
          <w:numId w:val="1"/>
        </w:numPr>
        <w:kinsoku/>
        <w:wordWrap/>
        <w:overflowPunct/>
        <w:topLinePunct w:val="0"/>
        <w:autoSpaceDE/>
        <w:autoSpaceDN/>
        <w:bidi w:val="0"/>
        <w:adjustRightInd/>
        <w:snapToGrid/>
        <w:spacing w:before="157" w:beforeLines="50" w:after="157" w:afterLines="50" w:line="360" w:lineRule="auto"/>
        <w:textAlignment w:val="auto"/>
        <w:rPr>
          <w:rFonts w:hint="eastAsia"/>
          <w:b/>
          <w:sz w:val="24"/>
          <w:szCs w:val="15"/>
        </w:rPr>
      </w:pPr>
      <w:r>
        <w:rPr>
          <w:rFonts w:hint="eastAsia"/>
          <w:b/>
          <w:sz w:val="24"/>
          <w:szCs w:val="15"/>
        </w:rPr>
        <w:t>与现行法律法规、强制性标准和其他有关标准的关系，采用国际标准的程度及水平的简要说明</w:t>
      </w:r>
    </w:p>
    <w:p w14:paraId="40F482FD">
      <w:pPr>
        <w:numPr>
          <w:ilvl w:val="0"/>
          <w:numId w:val="0"/>
        </w:numPr>
        <w:spacing w:line="360" w:lineRule="auto"/>
        <w:ind w:left="0" w:leftChars="0" w:firstLine="420" w:firstLineChars="175"/>
        <w:jc w:val="left"/>
        <w:rPr>
          <w:rFonts w:hint="eastAsia" w:ascii="宋体" w:hAnsi="宋体" w:eastAsia="宋体" w:cs="宋体"/>
          <w:sz w:val="24"/>
          <w:szCs w:val="24"/>
          <w:lang w:eastAsia="zh-CN"/>
        </w:rPr>
      </w:pPr>
      <w:r>
        <w:rPr>
          <w:rFonts w:hint="eastAsia" w:ascii="宋体" w:hAnsi="宋体" w:eastAsia="宋体" w:cs="宋体"/>
          <w:sz w:val="24"/>
          <w:szCs w:val="24"/>
        </w:rPr>
        <w:t>本标准</w:t>
      </w:r>
      <w:r>
        <w:rPr>
          <w:rFonts w:hint="eastAsia" w:ascii="宋体" w:hAnsi="宋体" w:eastAsia="宋体" w:cs="宋体"/>
          <w:sz w:val="24"/>
          <w:szCs w:val="24"/>
          <w:lang w:eastAsia="zh-CN"/>
        </w:rPr>
        <w:t>符合《中华人民共和国标准化法》、《中华人民共和国产品质量法》等</w:t>
      </w:r>
      <w:r>
        <w:rPr>
          <w:rFonts w:hint="eastAsia" w:ascii="宋体" w:hAnsi="宋体" w:eastAsia="宋体" w:cs="宋体"/>
          <w:sz w:val="24"/>
          <w:szCs w:val="24"/>
        </w:rPr>
        <w:t>现行法律法规</w:t>
      </w:r>
      <w:r>
        <w:rPr>
          <w:rFonts w:hint="eastAsia" w:ascii="宋体" w:hAnsi="宋体" w:eastAsia="宋体" w:cs="宋体"/>
          <w:sz w:val="24"/>
          <w:szCs w:val="24"/>
          <w:lang w:eastAsia="zh-CN"/>
        </w:rPr>
        <w:t>。</w:t>
      </w:r>
    </w:p>
    <w:p w14:paraId="5BBE89AB">
      <w:pPr>
        <w:numPr>
          <w:ilvl w:val="0"/>
          <w:numId w:val="0"/>
        </w:numPr>
        <w:spacing w:line="360" w:lineRule="auto"/>
        <w:ind w:left="0" w:leftChars="0" w:firstLine="420" w:firstLineChars="175"/>
        <w:jc w:val="left"/>
        <w:rPr>
          <w:rFonts w:hint="eastAsia" w:ascii="宋体" w:hAnsi="宋体" w:eastAsia="宋体" w:cs="宋体"/>
          <w:sz w:val="24"/>
          <w:szCs w:val="24"/>
          <w:lang w:val="en-US" w:eastAsia="zh-CN"/>
        </w:rPr>
      </w:pPr>
      <w:r>
        <w:rPr>
          <w:rFonts w:hint="eastAsia" w:ascii="宋体" w:hAnsi="宋体" w:eastAsia="宋体" w:cs="宋体"/>
          <w:sz w:val="24"/>
          <w:szCs w:val="24"/>
          <w:lang w:eastAsia="zh-CN"/>
        </w:rPr>
        <w:t>本标准与强制性国家标准</w:t>
      </w:r>
      <w:r>
        <w:rPr>
          <w:rFonts w:hint="eastAsia" w:ascii="宋体" w:hAnsi="宋体" w:eastAsia="宋体" w:cs="宋体"/>
          <w:sz w:val="24"/>
          <w:szCs w:val="24"/>
          <w:lang w:val="en-US" w:eastAsia="zh-CN"/>
        </w:rPr>
        <w:t>GB 5749-2022、GB 15892-2020</w:t>
      </w:r>
      <w:r>
        <w:rPr>
          <w:rFonts w:hint="eastAsia" w:ascii="宋体" w:hAnsi="宋体" w:eastAsia="宋体" w:cs="宋体"/>
          <w:sz w:val="24"/>
          <w:szCs w:val="24"/>
        </w:rPr>
        <w:t>标准</w:t>
      </w:r>
      <w:r>
        <w:rPr>
          <w:rFonts w:hint="eastAsia" w:ascii="宋体" w:hAnsi="宋体" w:eastAsia="宋体" w:cs="宋体"/>
          <w:sz w:val="24"/>
          <w:szCs w:val="24"/>
          <w:lang w:eastAsia="zh-CN"/>
        </w:rPr>
        <w:t>要求相协调一致。本标准在现有国家标准</w:t>
      </w:r>
      <w:r>
        <w:rPr>
          <w:rFonts w:hint="eastAsia" w:ascii="宋体" w:hAnsi="宋体" w:eastAsia="宋体" w:cs="宋体"/>
          <w:sz w:val="24"/>
          <w:szCs w:val="24"/>
          <w:lang w:val="en-US" w:eastAsia="zh-CN"/>
        </w:rPr>
        <w:t>的基础上根据纳米聚合铝的产品特性，新增了平均粒径、聚合态铝Al</w:t>
      </w:r>
      <w:r>
        <w:rPr>
          <w:rFonts w:hint="eastAsia" w:ascii="宋体" w:hAnsi="宋体" w:eastAsia="宋体" w:cs="宋体"/>
          <w:sz w:val="24"/>
          <w:szCs w:val="24"/>
          <w:vertAlign w:val="subscript"/>
          <w:lang w:val="en-US" w:eastAsia="zh-CN"/>
        </w:rPr>
        <w:t>13</w:t>
      </w:r>
      <w:r>
        <w:rPr>
          <w:rFonts w:hint="eastAsia" w:ascii="宋体" w:hAnsi="宋体" w:eastAsia="宋体" w:cs="宋体"/>
          <w:sz w:val="24"/>
          <w:szCs w:val="24"/>
          <w:lang w:val="en-US" w:eastAsia="zh-CN"/>
        </w:rPr>
        <w:t>的质量分数、出水残余铝（Al）等指标，提升了盐基度等指标，确保了产品安全的基础上，提升了产品的混凝效果。</w:t>
      </w:r>
    </w:p>
    <w:p w14:paraId="61A93A2C">
      <w:pPr>
        <w:numPr>
          <w:ilvl w:val="0"/>
          <w:numId w:val="0"/>
        </w:numPr>
        <w:spacing w:line="360" w:lineRule="auto"/>
        <w:ind w:left="0" w:leftChars="0" w:firstLine="420" w:firstLineChars="175"/>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采用国际标准的程度：无。</w:t>
      </w:r>
    </w:p>
    <w:p w14:paraId="1B92A015">
      <w:pPr>
        <w:pStyle w:val="2"/>
        <w:keepNext/>
        <w:keepLines/>
        <w:pageBreakBefore w:val="0"/>
        <w:widowControl w:val="0"/>
        <w:numPr>
          <w:ilvl w:val="0"/>
          <w:numId w:val="1"/>
        </w:numPr>
        <w:kinsoku/>
        <w:wordWrap/>
        <w:overflowPunct/>
        <w:topLinePunct w:val="0"/>
        <w:autoSpaceDE/>
        <w:autoSpaceDN/>
        <w:bidi w:val="0"/>
        <w:adjustRightInd/>
        <w:snapToGrid/>
        <w:spacing w:before="157" w:beforeLines="50" w:after="157" w:afterLines="50" w:line="360" w:lineRule="auto"/>
        <w:textAlignment w:val="auto"/>
        <w:rPr>
          <w:rFonts w:hint="eastAsia"/>
          <w:b/>
          <w:sz w:val="24"/>
          <w:szCs w:val="15"/>
        </w:rPr>
      </w:pPr>
      <w:r>
        <w:rPr>
          <w:rFonts w:hint="eastAsia"/>
          <w:b/>
          <w:sz w:val="24"/>
          <w:szCs w:val="15"/>
        </w:rPr>
        <w:t>重大分歧意见的处理经过和依据</w:t>
      </w:r>
    </w:p>
    <w:p w14:paraId="1405AD84">
      <w:pPr>
        <w:numPr>
          <w:ilvl w:val="0"/>
          <w:numId w:val="0"/>
        </w:numPr>
        <w:spacing w:line="360" w:lineRule="auto"/>
        <w:ind w:left="0" w:leftChars="0" w:firstLine="420" w:firstLineChars="175"/>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本标准在制定过程中，对标准技术内容通过讨论协商，达成共识并取得统一结论，没有出现重大分歧意见。</w:t>
      </w:r>
    </w:p>
    <w:p w14:paraId="31D9CB53">
      <w:pPr>
        <w:pStyle w:val="2"/>
        <w:keepNext/>
        <w:keepLines/>
        <w:pageBreakBefore w:val="0"/>
        <w:widowControl w:val="0"/>
        <w:numPr>
          <w:ilvl w:val="0"/>
          <w:numId w:val="1"/>
        </w:numPr>
        <w:kinsoku/>
        <w:wordWrap/>
        <w:overflowPunct/>
        <w:topLinePunct w:val="0"/>
        <w:autoSpaceDE/>
        <w:autoSpaceDN/>
        <w:bidi w:val="0"/>
        <w:adjustRightInd/>
        <w:snapToGrid/>
        <w:spacing w:before="157" w:beforeLines="50" w:after="157" w:afterLines="50" w:line="360" w:lineRule="auto"/>
        <w:textAlignment w:val="auto"/>
        <w:rPr>
          <w:rFonts w:hint="eastAsia"/>
          <w:b/>
          <w:sz w:val="24"/>
          <w:szCs w:val="15"/>
        </w:rPr>
      </w:pPr>
      <w:r>
        <w:rPr>
          <w:rFonts w:hint="eastAsia"/>
          <w:b/>
          <w:sz w:val="24"/>
          <w:szCs w:val="15"/>
        </w:rPr>
        <w:t>贯彻促进会标准的要求和措施建议（包括组织措施、技术措施、过渡办法等内容）、标准实施建议等；</w:t>
      </w:r>
    </w:p>
    <w:p w14:paraId="503E4380">
      <w:pPr>
        <w:numPr>
          <w:ilvl w:val="0"/>
          <w:numId w:val="0"/>
        </w:numPr>
        <w:spacing w:line="360" w:lineRule="auto"/>
        <w:ind w:left="0" w:leftChars="0" w:firstLine="420" w:firstLineChars="175"/>
        <w:jc w:val="left"/>
        <w:rPr>
          <w:rFonts w:hint="eastAsia" w:ascii="宋体" w:hAnsi="宋体" w:eastAsia="宋体" w:cs="宋体"/>
          <w:sz w:val="24"/>
          <w:szCs w:val="24"/>
        </w:rPr>
      </w:pPr>
      <w:r>
        <w:rPr>
          <w:rFonts w:hint="eastAsia" w:ascii="宋体" w:hAnsi="宋体" w:eastAsia="宋体" w:cs="宋体"/>
          <w:sz w:val="24"/>
          <w:szCs w:val="24"/>
        </w:rPr>
        <w:t>发布的团体标准，文本由中国食品药品企业质量安全促进会在“全国团体标准信息平台”上</w:t>
      </w:r>
      <w:r>
        <w:rPr>
          <w:rFonts w:hint="eastAsia" w:ascii="宋体" w:hAnsi="宋体" w:eastAsia="宋体" w:cs="宋体"/>
          <w:sz w:val="24"/>
          <w:szCs w:val="24"/>
          <w:lang w:eastAsia="zh-CN"/>
        </w:rPr>
        <w:t>发布并协调出版</w:t>
      </w:r>
      <w:r>
        <w:rPr>
          <w:rFonts w:hint="eastAsia" w:ascii="宋体" w:hAnsi="宋体" w:eastAsia="宋体" w:cs="宋体"/>
          <w:sz w:val="24"/>
          <w:szCs w:val="24"/>
        </w:rPr>
        <w:t>。</w:t>
      </w:r>
    </w:p>
    <w:p w14:paraId="6C778A2C">
      <w:pPr>
        <w:numPr>
          <w:ilvl w:val="0"/>
          <w:numId w:val="0"/>
        </w:numPr>
        <w:spacing w:line="360" w:lineRule="auto"/>
        <w:ind w:left="0" w:leftChars="0" w:firstLine="420" w:firstLineChars="175"/>
        <w:jc w:val="left"/>
        <w:rPr>
          <w:rFonts w:hint="eastAsia" w:ascii="宋体" w:hAnsi="宋体" w:eastAsia="宋体" w:cs="宋体"/>
          <w:sz w:val="24"/>
          <w:szCs w:val="24"/>
        </w:rPr>
      </w:pPr>
      <w:r>
        <w:rPr>
          <w:rFonts w:hint="eastAsia" w:ascii="宋体" w:hAnsi="宋体" w:eastAsia="宋体" w:cs="宋体"/>
          <w:sz w:val="24"/>
          <w:szCs w:val="24"/>
        </w:rPr>
        <w:t>标准主要起草单位将在全国企业标准信息公共服务平台上自我声明采用本标准。</w:t>
      </w:r>
    </w:p>
    <w:p w14:paraId="364FCCF4">
      <w:pPr>
        <w:pStyle w:val="2"/>
        <w:keepNext/>
        <w:keepLines/>
        <w:pageBreakBefore w:val="0"/>
        <w:widowControl w:val="0"/>
        <w:numPr>
          <w:ilvl w:val="0"/>
          <w:numId w:val="1"/>
        </w:numPr>
        <w:kinsoku/>
        <w:wordWrap/>
        <w:overflowPunct/>
        <w:topLinePunct w:val="0"/>
        <w:autoSpaceDE/>
        <w:autoSpaceDN/>
        <w:bidi w:val="0"/>
        <w:adjustRightInd/>
        <w:snapToGrid/>
        <w:spacing w:before="157" w:beforeLines="50" w:after="157" w:afterLines="50" w:line="360" w:lineRule="auto"/>
        <w:textAlignment w:val="auto"/>
        <w:rPr>
          <w:rFonts w:hint="eastAsia"/>
          <w:b/>
          <w:sz w:val="24"/>
          <w:szCs w:val="15"/>
        </w:rPr>
      </w:pPr>
      <w:r>
        <w:rPr>
          <w:rFonts w:hint="eastAsia"/>
          <w:b/>
          <w:sz w:val="24"/>
          <w:szCs w:val="15"/>
        </w:rPr>
        <w:t>其他应予说明的事项</w:t>
      </w:r>
    </w:p>
    <w:p w14:paraId="388A2780">
      <w:pPr>
        <w:numPr>
          <w:ilvl w:val="0"/>
          <w:numId w:val="0"/>
        </w:numPr>
        <w:spacing w:line="360" w:lineRule="auto"/>
        <w:ind w:left="0" w:leftChars="0" w:firstLine="420" w:firstLineChars="175"/>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无。</w:t>
      </w:r>
    </w:p>
    <w:p w14:paraId="4D3A8F59">
      <w:pPr>
        <w:numPr>
          <w:ilvl w:val="0"/>
          <w:numId w:val="0"/>
        </w:numPr>
        <w:spacing w:line="360" w:lineRule="auto"/>
        <w:ind w:left="0" w:leftChars="0" w:firstLine="420" w:firstLineChars="175"/>
        <w:jc w:val="left"/>
        <w:rPr>
          <w:rFonts w:hint="eastAsia" w:ascii="宋体" w:hAnsi="宋体" w:eastAsia="宋体" w:cs="宋体"/>
          <w:sz w:val="24"/>
          <w:szCs w:val="24"/>
          <w:lang w:eastAsia="zh-CN"/>
        </w:rPr>
      </w:pPr>
    </w:p>
    <w:p w14:paraId="657299B9">
      <w:pPr>
        <w:bidi w:val="0"/>
        <w:spacing w:line="360" w:lineRule="auto"/>
        <w:jc w:val="right"/>
        <w:rPr>
          <w:rFonts w:hint="eastAsia" w:ascii="宋体" w:hAnsi="宋体" w:eastAsia="宋体" w:cs="宋体"/>
          <w:sz w:val="24"/>
          <w:szCs w:val="24"/>
          <w:lang w:val="en-US" w:eastAsia="zh-Hans"/>
        </w:rPr>
      </w:pPr>
      <w:r>
        <w:rPr>
          <w:rFonts w:hint="eastAsia" w:ascii="宋体" w:hAnsi="宋体" w:eastAsia="宋体" w:cs="宋体"/>
          <w:sz w:val="24"/>
          <w:szCs w:val="24"/>
        </w:rPr>
        <w:t>《</w:t>
      </w:r>
      <w:r>
        <w:rPr>
          <w:rFonts w:hint="eastAsia" w:ascii="宋体" w:hAnsi="宋体" w:eastAsia="宋体" w:cs="宋体"/>
          <w:sz w:val="24"/>
          <w:szCs w:val="24"/>
          <w:lang w:val="en-US" w:eastAsia="zh-Hans"/>
        </w:rPr>
        <w:t>生活饮用水处理用高纯纳米型聚氯化铝</w:t>
      </w:r>
      <w:r>
        <w:rPr>
          <w:rFonts w:hint="eastAsia" w:ascii="宋体" w:hAnsi="宋体" w:eastAsia="宋体" w:cs="宋体"/>
          <w:sz w:val="24"/>
          <w:szCs w:val="24"/>
        </w:rPr>
        <w:t>》</w:t>
      </w:r>
      <w:r>
        <w:rPr>
          <w:rFonts w:hint="eastAsia" w:ascii="宋体" w:hAnsi="宋体" w:eastAsia="宋体" w:cs="宋体"/>
          <w:sz w:val="24"/>
          <w:szCs w:val="24"/>
          <w:lang w:val="en-US" w:eastAsia="zh-Hans"/>
        </w:rPr>
        <w:t>标准研制工作组</w:t>
      </w:r>
    </w:p>
    <w:p w14:paraId="52DD4AC6">
      <w:pPr>
        <w:bidi w:val="0"/>
        <w:spacing w:line="360" w:lineRule="auto"/>
        <w:jc w:val="right"/>
        <w:rPr>
          <w:rFonts w:hint="eastAsia" w:ascii="宋体" w:hAnsi="宋体" w:eastAsia="宋体" w:cs="宋体"/>
          <w:sz w:val="24"/>
          <w:szCs w:val="24"/>
        </w:rPr>
      </w:pPr>
      <w:r>
        <w:rPr>
          <w:rFonts w:hint="eastAsia" w:ascii="宋体" w:hAnsi="宋体" w:eastAsia="宋体" w:cs="宋体"/>
          <w:sz w:val="24"/>
          <w:szCs w:val="24"/>
        </w:rPr>
        <w:t>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11</w:t>
      </w:r>
      <w:r>
        <w:rPr>
          <w:rFonts w:hint="eastAsia" w:ascii="宋体" w:hAnsi="宋体" w:eastAsia="宋体" w:cs="宋体"/>
          <w:sz w:val="24"/>
          <w:szCs w:val="24"/>
        </w:rPr>
        <w:t>月</w:t>
      </w:r>
    </w:p>
    <w:p w14:paraId="15B431C0">
      <w:pPr>
        <w:numPr>
          <w:ilvl w:val="0"/>
          <w:numId w:val="0"/>
        </w:numPr>
        <w:spacing w:line="360" w:lineRule="auto"/>
        <w:ind w:left="0" w:leftChars="0" w:firstLine="420" w:firstLineChars="175"/>
        <w:jc w:val="left"/>
        <w:rPr>
          <w:rFonts w:hint="eastAsia" w:ascii="宋体" w:hAnsi="宋体" w:eastAsia="宋体" w:cs="宋体"/>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mbria">
    <w:altName w:val="苹方-简"/>
    <w:panose1 w:val="02040503050406030204"/>
    <w:charset w:val="00"/>
    <w:family w:val="roman"/>
    <w:pitch w:val="default"/>
    <w:sig w:usb0="00000000" w:usb1="00000000" w:usb2="00000000" w:usb3="00000000" w:csb0="2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32AF78"/>
    <w:multiLevelType w:val="multilevel"/>
    <w:tmpl w:val="9132AF78"/>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rPr>
    </w:lvl>
    <w:lvl w:ilvl="3" w:tentative="0">
      <w:start w:val="1"/>
      <w:numFmt w:val="decimal"/>
      <w:suff w:val="nothing"/>
      <w:lvlText w:val="%1.%2.%3.%4、"/>
      <w:lvlJc w:val="left"/>
      <w:pPr>
        <w:ind w:left="0" w:leftChars="0" w:firstLine="0" w:firstLineChars="0"/>
      </w:pPr>
      <w:rPr>
        <w:rFonts w:hint="default"/>
      </w:rPr>
    </w:lvl>
    <w:lvl w:ilvl="4" w:tentative="0">
      <w:start w:val="1"/>
      <w:numFmt w:val="decimal"/>
      <w:suff w:val="nothing"/>
      <w:lvlText w:val="%1.%2.%3.%4.%5、"/>
      <w:lvlJc w:val="left"/>
      <w:pPr>
        <w:ind w:left="0" w:leftChars="0" w:firstLine="0" w:firstLineChars="0"/>
      </w:pPr>
      <w:rPr>
        <w:rFonts w:hint="default"/>
      </w:rPr>
    </w:lvl>
    <w:lvl w:ilvl="5" w:tentative="0">
      <w:start w:val="1"/>
      <w:numFmt w:val="decimal"/>
      <w:suff w:val="nothing"/>
      <w:lvlText w:val="%1.%2.%3.%4.%5.%6、"/>
      <w:lvlJc w:val="left"/>
      <w:pPr>
        <w:ind w:left="0" w:leftChars="0" w:firstLine="0" w:firstLineChars="0"/>
      </w:pPr>
      <w:rPr>
        <w:rFonts w:hint="default"/>
      </w:rPr>
    </w:lvl>
    <w:lvl w:ilvl="6" w:tentative="0">
      <w:start w:val="1"/>
      <w:numFmt w:val="decimal"/>
      <w:suff w:val="nothing"/>
      <w:lvlText w:val="%1.%2.%3.%4.%5.%6.%7、"/>
      <w:lvlJc w:val="left"/>
      <w:pPr>
        <w:ind w:left="0" w:leftChars="0" w:firstLine="0" w:firstLineChars="0"/>
      </w:pPr>
      <w:rPr>
        <w:rFonts w:hint="default"/>
      </w:rPr>
    </w:lvl>
    <w:lvl w:ilvl="7" w:tentative="0">
      <w:start w:val="1"/>
      <w:numFmt w:val="decimal"/>
      <w:suff w:val="nothing"/>
      <w:lvlText w:val="%1.%2.%3.%4.%5.%6.%7.%8、"/>
      <w:lvlJc w:val="left"/>
      <w:pPr>
        <w:ind w:left="0" w:leftChars="0" w:firstLine="0" w:firstLineChars="0"/>
      </w:pPr>
      <w:rPr>
        <w:rFonts w:hint="default"/>
      </w:rPr>
    </w:lvl>
    <w:lvl w:ilvl="8" w:tentative="0">
      <w:start w:val="1"/>
      <w:numFmt w:val="decimal"/>
      <w:suff w:val="nothing"/>
      <w:lvlText w:val="%1.%2.%3.%4.%5.%6.%7.%8.%9、"/>
      <w:lvlJc w:val="left"/>
      <w:pPr>
        <w:ind w:left="0" w:leftChars="0" w:firstLine="0" w:firstLineChars="0"/>
      </w:pPr>
      <w:rPr>
        <w:rFonts w:hint="default"/>
      </w:rPr>
    </w:lvl>
  </w:abstractNum>
  <w:abstractNum w:abstractNumId="1">
    <w:nsid w:val="B7C8ACB1"/>
    <w:multiLevelType w:val="singleLevel"/>
    <w:tmpl w:val="B7C8ACB1"/>
    <w:lvl w:ilvl="0" w:tentative="0">
      <w:start w:val="1"/>
      <w:numFmt w:val="decimal"/>
      <w:lvlText w:val="%1)"/>
      <w:lvlJc w:val="left"/>
      <w:pPr>
        <w:ind w:left="425" w:hanging="425"/>
      </w:pPr>
      <w:rPr>
        <w:rFonts w:hint="default"/>
      </w:rPr>
    </w:lvl>
  </w:abstractNum>
  <w:abstractNum w:abstractNumId="2">
    <w:nsid w:val="BE3E8F71"/>
    <w:multiLevelType w:val="singleLevel"/>
    <w:tmpl w:val="BE3E8F71"/>
    <w:lvl w:ilvl="0" w:tentative="0">
      <w:start w:val="1"/>
      <w:numFmt w:val="chineseCounting"/>
      <w:suff w:val="nothing"/>
      <w:lvlText w:val="%1、"/>
      <w:lvlJc w:val="left"/>
      <w:rPr>
        <w:rFonts w:hint="eastAsia"/>
      </w:rPr>
    </w:lvl>
  </w:abstractNum>
  <w:abstractNum w:abstractNumId="3">
    <w:nsid w:val="3129C1E3"/>
    <w:multiLevelType w:val="singleLevel"/>
    <w:tmpl w:val="3129C1E3"/>
    <w:lvl w:ilvl="0" w:tentative="0">
      <w:start w:val="1"/>
      <w:numFmt w:val="decimal"/>
      <w:lvlText w:val="%1)"/>
      <w:lvlJc w:val="left"/>
      <w:pPr>
        <w:ind w:left="425" w:hanging="425"/>
      </w:pPr>
      <w:rPr>
        <w:rFonts w:hint="default"/>
      </w:rPr>
    </w:lvl>
  </w:abstractNum>
  <w:abstractNum w:abstractNumId="4">
    <w:nsid w:val="4A1AB958"/>
    <w:multiLevelType w:val="singleLevel"/>
    <w:tmpl w:val="4A1AB958"/>
    <w:lvl w:ilvl="0" w:tentative="0">
      <w:start w:val="1"/>
      <w:numFmt w:val="decimal"/>
      <w:lvlText w:val="%1)"/>
      <w:lvlJc w:val="left"/>
      <w:pPr>
        <w:ind w:left="425" w:hanging="425"/>
      </w:pPr>
      <w:rPr>
        <w:rFonts w:hint="default"/>
      </w:rPr>
    </w:lvl>
  </w:abstractNum>
  <w:abstractNum w:abstractNumId="5">
    <w:nsid w:val="68F8911A"/>
    <w:multiLevelType w:val="singleLevel"/>
    <w:tmpl w:val="68F8911A"/>
    <w:lvl w:ilvl="0" w:tentative="0">
      <w:start w:val="1"/>
      <w:numFmt w:val="decimalEnclosedCircleChinese"/>
      <w:suff w:val="nothing"/>
      <w:lvlText w:val="%1　"/>
      <w:lvlJc w:val="left"/>
      <w:pPr>
        <w:ind w:left="0" w:firstLine="400"/>
      </w:pPr>
      <w:rPr>
        <w:rFonts w:hint="eastAsia"/>
      </w:r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94F"/>
    <w:rsid w:val="001E07EB"/>
    <w:rsid w:val="00523E37"/>
    <w:rsid w:val="00752B6E"/>
    <w:rsid w:val="00B44B51"/>
    <w:rsid w:val="00BE025F"/>
    <w:rsid w:val="00C66ABF"/>
    <w:rsid w:val="00D3694F"/>
    <w:rsid w:val="00E22C47"/>
    <w:rsid w:val="081E7CAA"/>
    <w:rsid w:val="08A17061"/>
    <w:rsid w:val="093E0AA9"/>
    <w:rsid w:val="0E52151F"/>
    <w:rsid w:val="0F1F3AF7"/>
    <w:rsid w:val="11F8062F"/>
    <w:rsid w:val="141B32E3"/>
    <w:rsid w:val="183845C3"/>
    <w:rsid w:val="1D71133F"/>
    <w:rsid w:val="1F220A99"/>
    <w:rsid w:val="2299158D"/>
    <w:rsid w:val="255149F7"/>
    <w:rsid w:val="25E63497"/>
    <w:rsid w:val="28AF031F"/>
    <w:rsid w:val="298D701F"/>
    <w:rsid w:val="2AAD35BF"/>
    <w:rsid w:val="2B54647E"/>
    <w:rsid w:val="31E7004C"/>
    <w:rsid w:val="324C7EAF"/>
    <w:rsid w:val="353B47C2"/>
    <w:rsid w:val="36603F29"/>
    <w:rsid w:val="36672989"/>
    <w:rsid w:val="38292086"/>
    <w:rsid w:val="3BD97102"/>
    <w:rsid w:val="3E433B2F"/>
    <w:rsid w:val="3EE659E3"/>
    <w:rsid w:val="40485EC4"/>
    <w:rsid w:val="40F04483"/>
    <w:rsid w:val="45596713"/>
    <w:rsid w:val="47B6091B"/>
    <w:rsid w:val="4AB75B3B"/>
    <w:rsid w:val="4DD27745"/>
    <w:rsid w:val="535624E4"/>
    <w:rsid w:val="53726DDE"/>
    <w:rsid w:val="56287577"/>
    <w:rsid w:val="58586CFE"/>
    <w:rsid w:val="591F1682"/>
    <w:rsid w:val="5B610E2E"/>
    <w:rsid w:val="5F7E4306"/>
    <w:rsid w:val="61F168F6"/>
    <w:rsid w:val="6B9F1316"/>
    <w:rsid w:val="6D2277C6"/>
    <w:rsid w:val="6DDB2EA4"/>
    <w:rsid w:val="6E5A0C83"/>
    <w:rsid w:val="6F2E3674"/>
    <w:rsid w:val="6F8F2BAE"/>
    <w:rsid w:val="721856D4"/>
    <w:rsid w:val="741A69D8"/>
    <w:rsid w:val="74FA5107"/>
    <w:rsid w:val="75B20CCD"/>
    <w:rsid w:val="7BF3530E"/>
    <w:rsid w:val="7E7044F2"/>
    <w:rsid w:val="7F5C7D12"/>
    <w:rsid w:val="7F67078B"/>
    <w:rsid w:val="A33E803B"/>
    <w:rsid w:val="D7E7E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9"/>
    <w:unhideWhenUsed/>
    <w:qFormat/>
    <w:uiPriority w:val="9"/>
    <w:pPr>
      <w:keepNext/>
      <w:keepLines/>
      <w:spacing w:before="156" w:beforeLines="50" w:after="156" w:afterLines="50" w:line="500" w:lineRule="exact"/>
      <w:jc w:val="center"/>
      <w:outlineLvl w:val="1"/>
    </w:pPr>
    <w:rPr>
      <w:rFonts w:asciiTheme="majorHAnsi" w:hAnsiTheme="majorHAnsi" w:eastAsiaTheme="majorEastAsia" w:cstheme="majorBidi"/>
      <w:b/>
      <w:bCs/>
      <w:sz w:val="32"/>
      <w:szCs w:val="32"/>
    </w:rPr>
  </w:style>
  <w:style w:type="paragraph" w:styleId="4">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table" w:styleId="7">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标题 2 字符"/>
    <w:basedOn w:val="8"/>
    <w:link w:val="3"/>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9</Pages>
  <Words>2248</Words>
  <Characters>2472</Characters>
  <Lines>2</Lines>
  <Paragraphs>1</Paragraphs>
  <TotalTime>100</TotalTime>
  <ScaleCrop>false</ScaleCrop>
  <LinksUpToDate>false</LinksUpToDate>
  <CharactersWithSpaces>2489</CharactersWithSpaces>
  <Application>WPS Office_12.1.23540.23540_F1E327BC-269C-435d-A152-05C5408002CA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2019-11-19T00:38:00Z</dcterms:created>
  <dc:creator>User</dc:creator>
  <cp:lastModifiedBy>夏夏</cp:lastModifiedBy>
  <cp:lastPrinted>2025-03-22T19:02:00Z</cp:lastPrinted>
  <dcterms:modified xsi:type="dcterms:W3CDTF">2025-11-27T10:37:22Z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eyJoZGlkIjoiODdiNDM5ZjM0MmZlNTdhMWFiNmM1NjYzYmNlN2ZjYjEiLCJ1c2VySWQiOiIzNjQ5NDA4MTEifQ==</vt:lpwstr>
  </property>
  <property fmtid="{D5CDD505-2E9C-101B-9397-08002B2CF9AE}" pid="3" name="KSOProductBuildVer">
    <vt:lpwstr>2052-12.1.23540.23540</vt:lpwstr>
  </property>
  <property fmtid="{D5CDD505-2E9C-101B-9397-08002B2CF9AE}" pid="4" name="ICV">
    <vt:lpwstr>8B03596F4FEC41D5BFB4D3F0A21182CD_12</vt:lpwstr>
  </property>
</Properties>
</file>