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C7E40">
      <w:pPr>
        <w:rPr>
          <w:rFonts w:hint="eastAsia" w:ascii="黑体"/>
          <w:szCs w:val="21"/>
        </w:rPr>
      </w:pPr>
    </w:p>
    <w:p w14:paraId="1B48B862">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bookmarkStart w:id="0" w:name="_Toc14794"/>
      <w:bookmarkStart w:id="1" w:name="_Toc24964"/>
      <w:bookmarkStart w:id="2" w:name="_Toc31202"/>
      <w:bookmarkStart w:id="3" w:name="_Toc942016"/>
      <w:bookmarkStart w:id="4" w:name="_Toc1651879"/>
      <w:bookmarkStart w:id="5" w:name="_Toc15743"/>
      <w:bookmarkStart w:id="6" w:name="_Toc942345"/>
      <w:r>
        <w:rPr>
          <w:rFonts w:hint="eastAsia" w:ascii="黑体" w:hAnsi="黑体" w:eastAsia="黑体" w:cs="黑体"/>
          <w:bCs/>
          <w:smallCaps w:val="0"/>
          <w:kern w:val="0"/>
          <w:sz w:val="21"/>
          <w:szCs w:val="21"/>
        </w:rPr>
        <w:t>ICS XX.XXX.XX</w:t>
      </w:r>
    </w:p>
    <w:p w14:paraId="4FD64651">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r>
        <w:rPr>
          <w:rFonts w:hint="eastAsia" w:ascii="黑体" w:hAnsi="黑体" w:eastAsia="黑体" w:cs="黑体"/>
          <w:bCs/>
          <w:smallCaps w:val="0"/>
          <w:kern w:val="0"/>
          <w:sz w:val="21"/>
          <w:szCs w:val="21"/>
        </w:rPr>
        <w:t>CCS</w:t>
      </w:r>
      <w:r>
        <w:rPr>
          <w:rFonts w:hint="eastAsia" w:ascii="黑体" w:hAnsi="黑体" w:eastAsia="黑体" w:cs="黑体"/>
          <w:bCs/>
          <w:smallCaps w:val="0"/>
          <w:color w:val="000000"/>
          <w:kern w:val="0"/>
          <w:sz w:val="21"/>
          <w:szCs w:val="21"/>
          <w:lang w:bidi="ar"/>
        </w:rPr>
        <w:t xml:space="preserve"> X XX</w:t>
      </w:r>
    </w:p>
    <w:p w14:paraId="6A546C89">
      <w:pPr>
        <w:framePr w:w="2546" w:h="1389" w:hRule="exact" w:hSpace="181" w:vSpace="181" w:wrap="around" w:vAnchor="margin" w:hAnchor="margin" w:x="6522" w:y="398" w:anchorLock="1"/>
        <w:widowControl/>
        <w:shd w:val="solid" w:color="FFFFFF" w:fill="FFFFFF"/>
        <w:spacing w:line="0" w:lineRule="atLeast"/>
        <w:jc w:val="right"/>
        <w:rPr>
          <w:rFonts w:ascii="Times New Roman" w:hAnsi="Times New Roman"/>
          <w:b/>
          <w:smallCaps w:val="0"/>
          <w:w w:val="170"/>
          <w:kern w:val="0"/>
          <w:sz w:val="96"/>
          <w:szCs w:val="96"/>
        </w:rPr>
      </w:pPr>
    </w:p>
    <w:p w14:paraId="43D4BF2D">
      <w:pPr>
        <w:framePr w:w="9639" w:h="813" w:hRule="exact" w:hSpace="181" w:vSpace="181" w:wrap="around" w:vAnchor="page" w:hAnchor="page" w:x="1330" w:y="2268" w:anchorLock="1"/>
        <w:kinsoku w:val="0"/>
        <w:overflowPunct w:val="0"/>
        <w:autoSpaceDE w:val="0"/>
        <w:autoSpaceDN w:val="0"/>
        <w:spacing w:line="0" w:lineRule="atLeast"/>
        <w:jc w:val="distribute"/>
        <w:rPr>
          <w:rFonts w:hint="eastAsia" w:ascii="黑体" w:hAnsi="黑体" w:eastAsia="黑体" w:cs="黑体"/>
          <w:b/>
          <w:bCs/>
          <w:smallCaps w:val="0"/>
          <w:spacing w:val="20"/>
          <w:w w:val="148"/>
          <w:kern w:val="0"/>
          <w:sz w:val="48"/>
          <w:szCs w:val="20"/>
        </w:rPr>
      </w:pPr>
      <w:r>
        <w:rPr>
          <w:rFonts w:hint="eastAsia" w:ascii="黑体" w:hAnsi="黑体" w:eastAsia="黑体" w:cs="黑体"/>
          <w:b/>
          <w:bCs/>
          <w:smallCaps w:val="0"/>
          <w:spacing w:val="20"/>
          <w:w w:val="148"/>
          <w:kern w:val="0"/>
          <w:sz w:val="48"/>
          <w:szCs w:val="20"/>
        </w:rPr>
        <w:t>团体标准</w:t>
      </w:r>
    </w:p>
    <w:p w14:paraId="53B70168">
      <w:pPr>
        <w:framePr w:w="9140" w:h="792" w:hRule="exact" w:hSpace="284" w:wrap="around" w:vAnchor="page" w:hAnchor="page" w:x="1645" w:y="3360" w:anchorLock="1"/>
        <w:widowControl/>
        <w:wordWrap w:val="0"/>
        <w:jc w:val="right"/>
        <w:rPr>
          <w:rFonts w:ascii="黑体" w:hAnsi="Times New Roman" w:eastAsia="黑体"/>
          <w:smallCaps w:val="0"/>
          <w:kern w:val="0"/>
          <w:sz w:val="28"/>
          <w:szCs w:val="28"/>
        </w:rPr>
      </w:pPr>
      <w:r>
        <w:rPr>
          <w:rFonts w:hint="eastAsia" w:ascii="黑体" w:hAnsi="黑体" w:eastAsia="黑体" w:cs="黑体"/>
          <w:smallCaps w:val="0"/>
          <w:kern w:val="0"/>
          <w:sz w:val="28"/>
          <w:szCs w:val="28"/>
        </w:rPr>
        <w:t>T/FDSA 0XXX—2025</w:t>
      </w:r>
    </w:p>
    <w:p w14:paraId="2EBDC760">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41968A7D">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483CBBAD">
      <w:pPr>
        <w:framePr w:w="9639" w:h="6917" w:hRule="exact" w:wrap="around" w:vAnchor="page" w:hAnchor="page" w:xAlign="center" w:y="6408" w:anchorLock="1"/>
        <w:jc w:val="center"/>
        <w:rPr>
          <w:rFonts w:hint="eastAsia"/>
        </w:rPr>
      </w:pPr>
      <w:r>
        <w:rPr>
          <w:rFonts w:hint="eastAsia" w:ascii="宋体" w:hAnsi="宋体" w:eastAsia="黑体" w:cs="Times New Roman"/>
          <w:bCs/>
          <w:snapToGrid/>
          <w:kern w:val="0"/>
          <w:sz w:val="52"/>
          <w:szCs w:val="21"/>
          <w:lang w:val="en-US" w:eastAsia="zh-CN" w:bidi="ar-SA"/>
        </w:rPr>
        <w:t>干细胞防控糖尿病及并发症临床研究技术规</w:t>
      </w:r>
      <w:r>
        <w:rPr>
          <w:rFonts w:hint="eastAsia" w:ascii="宋体" w:hAnsi="宋体" w:eastAsia="黑体" w:cs="Times New Roman"/>
          <w:bCs/>
          <w:snapToGrid/>
          <w:kern w:val="0"/>
          <w:sz w:val="52"/>
          <w:szCs w:val="21"/>
          <w:lang w:val="en-US" w:eastAsia="zh-CN" w:bidi="ar-SA"/>
        </w:rPr>
        <w:t>范</w:t>
      </w:r>
    </w:p>
    <w:p w14:paraId="7524D8BF">
      <w:pPr>
        <w:framePr w:w="9639" w:h="6917" w:hRule="exact" w:wrap="around" w:vAnchor="page" w:hAnchor="page" w:xAlign="center" w:y="6408" w:anchorLock="1"/>
        <w:pBdr>
          <w:top w:val="none" w:sz="0" w:space="0"/>
          <w:left w:val="none" w:sz="0" w:space="0"/>
          <w:bottom w:val="none" w:sz="0" w:space="0"/>
          <w:right w:val="none" w:sz="0" w:space="0"/>
        </w:pBdr>
        <w:spacing w:line="249" w:lineRule="auto"/>
        <w:jc w:val="center"/>
        <w:rPr>
          <w:rFonts w:ascii="Times New Roman" w:hAnsi="Times New Roman" w:cs="Times New Roman" w:eastAsiaTheme="minorEastAsia"/>
          <w:sz w:val="28"/>
          <w:szCs w:val="28"/>
          <w:lang w:eastAsia="zh-CN"/>
        </w:rPr>
      </w:pPr>
    </w:p>
    <w:p w14:paraId="08943329">
      <w:pPr>
        <w:framePr w:w="9639" w:h="6917" w:hRule="exact" w:wrap="around" w:vAnchor="page" w:hAnchor="page" w:xAlign="center" w:y="6408" w:anchorLock="1"/>
        <w:pBdr>
          <w:top w:val="none" w:sz="0" w:space="0"/>
          <w:left w:val="none" w:sz="0" w:space="0"/>
          <w:bottom w:val="none" w:sz="0" w:space="0"/>
          <w:right w:val="none" w:sz="0" w:space="0"/>
        </w:pBdr>
        <w:spacing w:line="249" w:lineRule="auto"/>
        <w:jc w:val="center"/>
        <w:rPr>
          <w:rFonts w:eastAsiaTheme="minorEastAsia"/>
          <w:lang w:eastAsia="zh-CN"/>
        </w:rPr>
      </w:pPr>
      <w:r>
        <w:rPr>
          <w:rFonts w:ascii="Times New Roman" w:hAnsi="Times New Roman" w:cs="Times New Roman" w:eastAsiaTheme="minorEastAsia"/>
          <w:sz w:val="28"/>
          <w:szCs w:val="28"/>
          <w:lang w:eastAsia="zh-CN"/>
        </w:rPr>
        <w:t>Clinical Research Technical Specification for Stem Cell-Based Prevention and Control of Diabetes Mellitus and Its Complications</w:t>
      </w:r>
    </w:p>
    <w:p w14:paraId="220171AE">
      <w:pPr>
        <w:framePr w:w="9639" w:h="6917" w:hRule="exact" w:wrap="around" w:vAnchor="page" w:hAnchor="page" w:xAlign="center" w:y="6408" w:anchorLock="1"/>
        <w:spacing w:before="440" w:line="400" w:lineRule="exact"/>
        <w:jc w:val="center"/>
        <w:textAlignment w:val="center"/>
        <w:rPr>
          <w:rFonts w:ascii="宋体" w:hAnsi="Times New Roman"/>
          <w:smallCaps w:val="0"/>
          <w:kern w:val="0"/>
          <w:sz w:val="28"/>
          <w:szCs w:val="28"/>
        </w:rPr>
      </w:pPr>
      <w:r>
        <w:rPr>
          <w:rFonts w:hint="eastAsia" w:ascii="宋体" w:hAnsi="Times New Roman"/>
          <w:smallCaps w:val="0"/>
          <w:kern w:val="0"/>
          <w:sz w:val="28"/>
          <w:szCs w:val="28"/>
        </w:rPr>
        <w:t>（</w:t>
      </w:r>
      <w:r>
        <w:rPr>
          <w:rFonts w:hint="eastAsia" w:ascii="宋体" w:hAnsi="Times New Roman"/>
          <w:smallCaps w:val="0"/>
          <w:kern w:val="0"/>
          <w:sz w:val="28"/>
          <w:szCs w:val="28"/>
          <w:lang w:val="en-US" w:eastAsia="zh-CN"/>
        </w:rPr>
        <w:t>征求意见稿</w:t>
      </w:r>
      <w:r>
        <w:rPr>
          <w:rFonts w:hint="eastAsia" w:ascii="宋体" w:hAnsi="Times New Roman"/>
          <w:smallCaps w:val="0"/>
          <w:kern w:val="0"/>
          <w:sz w:val="28"/>
          <w:szCs w:val="28"/>
        </w:rPr>
        <w:t>）</w:t>
      </w:r>
    </w:p>
    <w:p w14:paraId="2C72DCC1">
      <w:pPr>
        <w:framePr w:w="3997" w:h="471" w:hRule="exact" w:vSpace="181" w:wrap="around" w:vAnchor="page" w:hAnchor="page" w:x="1419" w:y="14097" w:anchorLock="1"/>
        <w:widowControl/>
        <w:jc w:val="lef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Times New Roman"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发布</w:t>
      </w:r>
      <w:r>
        <w:rPr>
          <w:rFonts w:ascii="Times New Roman" w:hAnsi="Times New Roman" w:eastAsia="黑体"/>
          <w:smallCaps w:val="0"/>
          <w:kern w:val="0"/>
          <w:sz w:val="28"/>
          <w:szCs w:val="20"/>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vlVf3wAQAAxQMAAA4AAABkcnMvZTJvRG9jLnhtbK1TzY7T&#10;MBC+I/EOlu80bdGuIGq6h1bLZYFKuzyA6ziJhe2xPG7TvgQvgMQNThy58za7PAZjpy37c9kDOVge&#10;z8w3830zmV3srGFbFVCDq/hkNOZMOQm1dm3FP91cvnrDGUbhamHAqYrvFfKL+csXs96XagodmFoF&#10;RiAOy95XvIvRl0WBslNW4Ai8cuRsIFgRyQxtUQfRE7o1xXQ8Pi96CLUPIBUivS4HJz8ghucAQtNo&#10;qZYgN1a5OKAGZUQkSthpj3yeu20aJePHpkEVmak4MY35pCJ0X6ezmM9E2QbhOy0PLYjntPCIkxXa&#10;UdET1FJEwTZBP4GyWgZAaOJIgi0GIlkRYjEZP9LmuhNeZS4kNfqT6Pj/YOWH7SowXdMmTDlzwtLE&#10;777+uv3y/c/vb3Te/fzByEMy9R5Lil64VUhE5c5d+yuQn5E5WHTCtSq3e7P3BDFJGcWDlGSgp2Lr&#10;/j3UFCM2EbJmuybYBElqsF0ezf40GrWLTNLj+YT0eU1Tk0dfIcpjog8Y3ymwLF0qbrRLqolSbK8w&#10;pkZEeQxJzw4utTF58saxvuJvz6ZnhGw9yYCuzbkIRtcpLmVgaNcLE9hWpDXKXyZInvthATauHuoZ&#10;l/JU3sBDE0cBBinXUO9X4agSTTe3edjEtD737azlv79v/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h2s81gAAAAsBAAAPAAAAAAAAAAEAIAAAACIAAABkcnMvZG93bnJldi54bWxQSwECFAAUAAAA&#10;CACHTuJAK+VV/fABAADFAwAADgAAAAAAAAABACAAAAAlAQAAZHJzL2Uyb0RvYy54bWxQSwUGAAAA&#10;AAYABgBZAQAAhwUAAAAA&#10;">
                <v:path arrowok="t"/>
                <v:fill on="f" focussize="0,0"/>
                <v:stroke color="#000000" joinstyle="round"/>
                <v:imagedata o:title=""/>
                <o:lock v:ext="edit" aspectratio="f"/>
                <w10:anchorlock/>
              </v:line>
            </w:pict>
          </mc:Fallback>
        </mc:AlternateContent>
      </w:r>
    </w:p>
    <w:p w14:paraId="4D8BA8F6">
      <w:pPr>
        <w:framePr w:w="3997" w:h="471" w:hRule="exact" w:vSpace="181" w:wrap="around" w:vAnchor="page" w:hAnchor="page" w:x="7089" w:y="14097" w:anchorLock="1"/>
        <w:widowControl/>
        <w:jc w:val="righ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Times New Roman" w:hAnsi="Times New Roman" w:eastAsia="黑体"/>
          <w:smallCaps w:val="0"/>
          <w:kern w:val="0"/>
          <w:sz w:val="28"/>
          <w:szCs w:val="20"/>
        </w:rPr>
        <w:t xml:space="preserve"> </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实施</w:t>
      </w:r>
    </w:p>
    <w:p w14:paraId="0D44BD0A">
      <w:pPr>
        <w:framePr w:w="7937" w:h="1134" w:hRule="exact" w:hSpace="125" w:vSpace="1134" w:wrap="around" w:vAnchor="margin" w:hAnchor="page" w:x="2359" w:y="14809" w:anchorLock="1"/>
        <w:widowControl/>
        <w:jc w:val="center"/>
        <w:rPr>
          <w:rFonts w:hint="eastAsia" w:ascii="宋体" w:hAnsi="Times New Roman"/>
          <w:smallCaps w:val="0"/>
          <w:kern w:val="0"/>
          <w:sz w:val="21"/>
          <w:szCs w:val="20"/>
        </w:rPr>
        <w:sectPr>
          <w:headerReference r:id="rId5" w:type="first"/>
          <w:footerReference r:id="rId7" w:type="first"/>
          <w:headerReference r:id="rId3" w:type="default"/>
          <w:headerReference r:id="rId4" w:type="even"/>
          <w:footerReference r:id="rId6" w:type="even"/>
          <w:pgSz w:w="11906" w:h="16838"/>
          <w:pgMar w:top="567" w:right="1134" w:bottom="1134" w:left="1417" w:header="0" w:footer="0" w:gutter="0"/>
          <w:pgNumType w:start="1"/>
          <w:cols w:space="720" w:num="1"/>
          <w:docGrid w:type="lines" w:linePitch="312" w:charSpace="0"/>
        </w:sectPr>
      </w:pPr>
      <w:r>
        <w:rPr>
          <w:rFonts w:hint="eastAsia" w:ascii="宋体" w:hAnsi="Times New Roman"/>
          <w:b/>
          <w:smallCaps w:val="0"/>
          <w:spacing w:val="20"/>
          <w:w w:val="135"/>
          <w:kern w:val="0"/>
          <w:sz w:val="28"/>
          <w:szCs w:val="20"/>
        </w:rPr>
        <w:t xml:space="preserve">中国食品药品企业质量安全促进会   </w:t>
      </w:r>
      <w:r>
        <w:rPr>
          <w:rFonts w:hint="eastAsia" w:ascii="黑体" w:hAnsi="黑体" w:eastAsia="黑体" w:cs="黑体"/>
          <w:bCs/>
          <w:smallCaps w:val="0"/>
          <w:spacing w:val="20"/>
          <w:w w:val="135"/>
          <w:kern w:val="0"/>
          <w:sz w:val="28"/>
          <w:szCs w:val="28"/>
        </w:rPr>
        <w:t>发布</w:t>
      </w:r>
      <w:r>
        <w:rPr>
          <w:rFonts w:ascii="宋体" w:hAnsi="Times New Roman"/>
          <w:smallCaps w:val="0"/>
          <w:kern w:val="0"/>
          <w:sz w:val="21"/>
          <w:szCs w:val="20"/>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2312670</wp:posOffset>
                </wp:positionV>
                <wp:extent cx="6120130" cy="0"/>
                <wp:effectExtent l="0" t="4445" r="0" b="508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top:182.1pt;height:0pt;width:481.9pt;mso-position-horizontal:left;mso-position-horizontal-relative:margin;z-index:251661312;mso-width-relative:page;mso-height-relative:page;" filled="f" stroked="t" coordsize="21600,21600" o:gfxdata="UEsDBAoAAAAAAIdO4kAAAAAAAAAAAAAAAAAEAAAAZHJzL1BLAwQUAAAACACHTuJAaJDQpdUAAAAI&#10;AQAADwAAAGRycy9kb3ducmV2LnhtbE2PTU/DMAyG70j8h8hIXKYtXYuqUZruAPTGhQ3E1WtMW9E4&#10;XZN9wK/HSEhwtF/r9fOU67Mb1JGm0Hs2sFwkoIgbb3tuDbxs6/kKVIjIFgfPZOCTAqyry4sSC+tP&#10;/EzHTWyVlHAo0EAX41hoHZqOHIaFH4kle/eTwyjj1Go74UnK3aDTJMm1w57lQ4cj3XfUfGwOzkCo&#10;X2lff82aWfKWtZ7S/cPTIxpzfbVM7kBFOse/Y/jBF3SohGnnD2yDGgyISDSQ5TcpKIlv80xMdr8b&#10;XZX6v0D1DVBLAwQUAAAACACHTuJAP9E6RfABAADFAwAADgAAAGRycy9lMm9Eb2MueG1srVPNjtMw&#10;EL4j8Q6W7zRt0a4garqHVstlgUq7PIDrOImF7bE8btO+BC+AxA1OHLnzNrs8BmOnLftz2QM5WJ6Z&#10;bz7PfDOZXeysYVsVUIOr+GQ05kw5CbV2bcU/3Vy+esMZRuFqYcCpiu8V8ov5yxez3pdqCh2YWgVG&#10;JA7L3le8i9GXRYGyU1bgCLxyFGwgWBHJDG1RB9ETuzXFdDw+L3oItQ8gFSJ5l0OQHxjDcwihabRU&#10;S5Abq1wcWIMyIlJL2GmPfJ6rbRol48emQRWZqTh1GvNJj9B9nc5iPhNlG4TvtDyUIJ5TwqOerNCO&#10;Hj1RLUUUbBP0EyqrZQCEJo4k2GJoJCtCXUzGj7S57oRXuReSGv1JdPx/tPLDdhWYrmkTJpw5YWni&#10;d19/3X75/uf3Nzrvfv5gFCGZeo8loRduFVKjcueu/RXIz8gcLDrhWpXLvdl7osgZxYOUZKCnx9b9&#10;e6gJIzYRsma7JthESWqwXR7N/jQatYtMkvN8Qvq8pqnJY6wQ5THRB4zvFFiWLhU32iXVRCm2Vxip&#10;dIIeIcnt4FIbkydvHOsr/vZsekbM1pMM6Nqci2B0nXApA0O7XpjAtiKtUf6SJMT7ABZg4+rBb1zK&#10;U3kDD0UcBRikXEO9X4UETn6abqY7bGJan/t2Rv37++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iQ0KXVAAAACAEAAA8AAAAAAAAAAQAgAAAAIgAAAGRycy9kb3ducmV2LnhtbFBLAQIUABQAAAAI&#10;AIdO4kA/0TpF8AEAAMUDAAAOAAAAAAAAAAEAIAAAACQBAABkcnMvZTJvRG9jLnhtbFBLBQYAAAAA&#10;BgAGAFkBAACGBQAAAAA=&#10;">
                <v:path arrowok="t"/>
                <v:fill on="f" focussize="0,0"/>
                <v:stroke color="#000000" joinstyle="round"/>
                <v:imagedata o:title=""/>
                <o:lock v:ext="edit" aspectratio="f"/>
              </v:line>
            </w:pict>
          </mc:Fallback>
        </mc:AlternateContent>
      </w:r>
    </w:p>
    <w:bookmarkEnd w:id="0"/>
    <w:bookmarkEnd w:id="1"/>
    <w:bookmarkEnd w:id="2"/>
    <w:bookmarkEnd w:id="3"/>
    <w:bookmarkEnd w:id="4"/>
    <w:bookmarkEnd w:id="5"/>
    <w:bookmarkEnd w:id="6"/>
    <w:p w14:paraId="2B8037D8">
      <w:pPr>
        <w:spacing w:line="346" w:lineRule="auto"/>
        <w:rPr>
          <w:lang w:eastAsia="zh-CN"/>
        </w:rPr>
      </w:pPr>
    </w:p>
    <w:p w14:paraId="06593AB3">
      <w:pPr>
        <w:pStyle w:val="6"/>
        <w:spacing w:before="101" w:line="228" w:lineRule="auto"/>
        <w:jc w:val="center"/>
        <w:rPr>
          <w:rFonts w:hint="eastAsia"/>
          <w:sz w:val="31"/>
          <w:szCs w:val="31"/>
          <w:lang w:eastAsia="zh-CN"/>
        </w:rPr>
      </w:pPr>
      <w:r>
        <w:rPr>
          <w:spacing w:val="-22"/>
          <w:sz w:val="31"/>
          <w:szCs w:val="31"/>
          <w:lang w:eastAsia="zh-CN"/>
        </w:rPr>
        <w:t>目</w:t>
      </w:r>
      <w:r>
        <w:rPr>
          <w:spacing w:val="8"/>
          <w:sz w:val="31"/>
          <w:szCs w:val="31"/>
          <w:lang w:eastAsia="zh-CN"/>
        </w:rPr>
        <w:t xml:space="preserve">    </w:t>
      </w:r>
      <w:r>
        <w:rPr>
          <w:spacing w:val="-22"/>
          <w:sz w:val="31"/>
          <w:szCs w:val="31"/>
          <w:lang w:eastAsia="zh-CN"/>
        </w:rPr>
        <w:t>次</w:t>
      </w:r>
    </w:p>
    <w:p w14:paraId="282D979B">
      <w:pPr>
        <w:spacing w:line="417" w:lineRule="auto"/>
        <w:rPr>
          <w:lang w:eastAsia="zh-CN"/>
        </w:rPr>
      </w:pPr>
    </w:p>
    <w:sdt>
      <w:sdtPr>
        <w:rPr>
          <w:rFonts w:ascii="宋体" w:hAnsi="宋体" w:eastAsia="宋体" w:cs="宋体"/>
          <w:sz w:val="21"/>
          <w:szCs w:val="20"/>
        </w:rPr>
        <w:id w:val="147461084"/>
        <w:docPartObj>
          <w:docPartGallery w:val="Table of Contents"/>
          <w:docPartUnique/>
        </w:docPartObj>
      </w:sdtPr>
      <w:sdtEndPr>
        <w:rPr>
          <w:rFonts w:ascii="宋体" w:hAnsi="宋体" w:eastAsia="宋体" w:cs="宋体"/>
          <w:sz w:val="21"/>
          <w:szCs w:val="20"/>
        </w:rPr>
      </w:sdtEndPr>
      <w:sdtContent>
        <w:p w14:paraId="4CD5EBB4">
          <w:pPr>
            <w:pStyle w:val="9"/>
            <w:keepNext w:val="0"/>
            <w:keepLines w:val="0"/>
            <w:pageBreakBefore w:val="0"/>
            <w:widowControl/>
            <w:tabs>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TOC \o "1-2" \u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pacing w:val="-2"/>
              <w:sz w:val="21"/>
              <w:szCs w:val="21"/>
              <w:lang w:eastAsia="zh-CN"/>
            </w:rPr>
            <w:t>前</w:t>
          </w:r>
          <w:r>
            <w:rPr>
              <w:rFonts w:hint="eastAsia" w:asciiTheme="minorEastAsia" w:hAnsiTheme="minorEastAsia" w:eastAsiaTheme="minorEastAsia" w:cstheme="minorEastAsia"/>
              <w:spacing w:val="11"/>
              <w:sz w:val="21"/>
              <w:szCs w:val="21"/>
              <w:lang w:eastAsia="zh-CN"/>
            </w:rPr>
            <w:t xml:space="preserve">    </w:t>
          </w:r>
          <w:r>
            <w:rPr>
              <w:rFonts w:hint="eastAsia" w:asciiTheme="minorEastAsia" w:hAnsiTheme="minorEastAsia" w:eastAsiaTheme="minorEastAsia" w:cstheme="minorEastAsia"/>
              <w:spacing w:val="-2"/>
              <w:sz w:val="21"/>
              <w:szCs w:val="21"/>
              <w:lang w:eastAsia="zh-CN"/>
            </w:rPr>
            <w:t>言</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_Toc206748907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3</w:t>
          </w:r>
          <w:r>
            <w:rPr>
              <w:rFonts w:hint="eastAsia" w:asciiTheme="minorEastAsia" w:hAnsiTheme="minorEastAsia" w:eastAsiaTheme="minorEastAsia" w:cstheme="minorEastAsia"/>
              <w:sz w:val="21"/>
              <w:szCs w:val="21"/>
            </w:rPr>
            <w:fldChar w:fldCharType="end"/>
          </w:r>
        </w:p>
        <w:p w14:paraId="45C047E2">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z w:val="21"/>
              <w:szCs w:val="21"/>
              <w:lang w:eastAsia="zh-CN"/>
            </w:rPr>
            <w:t>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范围</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_Toc206748908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7C928DBA">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规范性引用文件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_Toc206748909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1D54169A">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术语和定义</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3DF3D981">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基本要求</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4EEBEF3F">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细胞来源与质量</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4C46255E">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风险控制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3A146D0D">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质量体系</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3CA866C3">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干细胞制剂技术要求</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237B14EB">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供者筛查</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43DE3930">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放行标准</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3F44BAA8">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稳定性</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4AB99F2A">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临床研究方案设计</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_Toc206748919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4E1BE9D2">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研究类型</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1FE5F5C8">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主要终点</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5412C0FD">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随访周期</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6E8280C0">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受试者筛选与评估</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1F923399">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适应症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46D23326">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禁忌症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090105FC">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基线评估</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074F4B79">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干细胞输注与伴随治疗</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080F19E8">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输注流程</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46618E8E">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剂量</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_Toc206748929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27A6BD0C">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伴随治疗</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42AF3892">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9.</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治疗后监测与随访</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571A1041">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9.1.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安全性</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1DEE77F0">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9.2.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有效性</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607C025C">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9.3.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复发/恶化</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10736AE7">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10.</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安全性与有效性评价</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36D8CD7A">
          <w:pPr>
            <w:pStyle w:val="9"/>
            <w:keepNext w:val="0"/>
            <w:keepLines w:val="0"/>
            <w:pageBreakBefore w:val="0"/>
            <w:widowControl/>
            <w:tabs>
              <w:tab w:val="left" w:pos="88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10.1.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统计原则</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364F8595">
          <w:pPr>
            <w:pStyle w:val="9"/>
            <w:keepNext w:val="0"/>
            <w:keepLines w:val="0"/>
            <w:pageBreakBefore w:val="0"/>
            <w:widowControl/>
            <w:tabs>
              <w:tab w:val="left" w:pos="88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10.2.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风险-获益</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23C46AD0">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11.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数据管理与质量控制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_Toc206748938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4142848E">
          <w:pPr>
            <w:pStyle w:val="9"/>
            <w:keepNext w:val="0"/>
            <w:keepLines w:val="0"/>
            <w:pageBreakBefore w:val="0"/>
            <w:widowControl/>
            <w:tabs>
              <w:tab w:val="left" w:pos="88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11.1.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数据采集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_Toc206748939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rPr>
            <w:fldChar w:fldCharType="end"/>
          </w:r>
        </w:p>
        <w:p w14:paraId="2FE41101">
          <w:pPr>
            <w:pStyle w:val="9"/>
            <w:keepNext w:val="0"/>
            <w:keepLines w:val="0"/>
            <w:pageBreakBefore w:val="0"/>
            <w:widowControl/>
            <w:tabs>
              <w:tab w:val="left" w:pos="88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11.2.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质量保证</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_Toc206748940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rPr>
            <w:fldChar w:fldCharType="end"/>
          </w:r>
        </w:p>
        <w:p w14:paraId="460E42C0">
          <w:pPr>
            <w:keepNext w:val="0"/>
            <w:keepLines w:val="0"/>
            <w:pageBreakBefore w:val="0"/>
            <w:widowControl/>
            <w:tabs>
              <w:tab w:val="right" w:leader="dot" w:pos="8363"/>
            </w:tabs>
            <w:kinsoku w:val="0"/>
            <w:wordWrap/>
            <w:overflowPunct/>
            <w:topLinePunct w:val="0"/>
            <w:autoSpaceDE w:val="0"/>
            <w:autoSpaceDN w:val="0"/>
            <w:bidi w:val="0"/>
            <w:adjustRightInd w:val="0"/>
            <w:snapToGrid w:val="0"/>
            <w:spacing w:before="65" w:line="276" w:lineRule="auto"/>
            <w:ind w:left="8" w:hanging="1"/>
            <w:textAlignment w:val="baseline"/>
            <w:rPr>
              <w:lang w:eastAsia="zh-CN"/>
            </w:rPr>
          </w:pPr>
          <w:r>
            <w:rPr>
              <w:rFonts w:hint="eastAsia" w:asciiTheme="minorEastAsia" w:hAnsiTheme="minorEastAsia" w:eastAsiaTheme="minorEastAsia" w:cstheme="minorEastAsia"/>
              <w:sz w:val="21"/>
              <w:szCs w:val="21"/>
            </w:rPr>
            <w:fldChar w:fldCharType="end"/>
          </w:r>
        </w:p>
        <w:p w14:paraId="2C23ACD9">
          <w:pPr>
            <w:tabs>
              <w:tab w:val="right" w:leader="dot" w:pos="9350"/>
            </w:tabs>
            <w:spacing w:before="191" w:line="228" w:lineRule="auto"/>
            <w:ind w:left="7"/>
            <w:rPr>
              <w:rFonts w:hint="eastAsia" w:ascii="宋体" w:hAnsi="宋体" w:eastAsia="宋体" w:cs="宋体"/>
              <w:sz w:val="20"/>
              <w:szCs w:val="20"/>
              <w:lang w:eastAsia="zh-CN"/>
            </w:rPr>
            <w:sectPr>
              <w:headerReference r:id="rId9" w:type="first"/>
              <w:footerReference r:id="rId11" w:type="first"/>
              <w:headerReference r:id="rId8" w:type="default"/>
              <w:footerReference r:id="rId10" w:type="default"/>
              <w:pgSz w:w="11906" w:h="16839"/>
              <w:pgMar w:top="1440" w:right="1803" w:bottom="1440" w:left="1803" w:header="850" w:footer="992" w:gutter="0"/>
              <w:cols w:space="720" w:num="1"/>
              <w:titlePg/>
              <w:docGrid w:linePitch="286" w:charSpace="0"/>
            </w:sectPr>
          </w:pPr>
        </w:p>
      </w:sdtContent>
    </w:sdt>
    <w:p w14:paraId="6FAAC64A">
      <w:pPr>
        <w:pStyle w:val="6"/>
        <w:spacing w:before="101" w:line="228" w:lineRule="auto"/>
        <w:ind w:left="4253"/>
        <w:outlineLvl w:val="0"/>
        <w:rPr>
          <w:rFonts w:hint="eastAsia"/>
          <w:spacing w:val="-2"/>
          <w:sz w:val="31"/>
          <w:szCs w:val="31"/>
          <w:lang w:eastAsia="zh-CN"/>
        </w:rPr>
      </w:pPr>
      <w:bookmarkStart w:id="7" w:name="bookmark2"/>
      <w:bookmarkEnd w:id="7"/>
      <w:bookmarkStart w:id="8" w:name="bookmark1"/>
      <w:bookmarkEnd w:id="8"/>
      <w:bookmarkStart w:id="56" w:name="_GoBack"/>
      <w:bookmarkEnd w:id="56"/>
    </w:p>
    <w:p w14:paraId="0585ED56">
      <w:pPr>
        <w:pStyle w:val="6"/>
        <w:spacing w:before="101" w:line="228" w:lineRule="auto"/>
        <w:ind w:left="4253"/>
        <w:outlineLvl w:val="0"/>
        <w:rPr>
          <w:rFonts w:hint="eastAsia"/>
          <w:sz w:val="31"/>
          <w:szCs w:val="31"/>
          <w:lang w:eastAsia="zh-CN"/>
        </w:rPr>
      </w:pPr>
      <w:bookmarkStart w:id="9" w:name="_Toc206748907"/>
      <w:r>
        <w:rPr>
          <w:spacing w:val="-2"/>
          <w:sz w:val="31"/>
          <w:szCs w:val="31"/>
          <w:lang w:eastAsia="zh-CN"/>
        </w:rPr>
        <w:t>前</w:t>
      </w:r>
      <w:r>
        <w:rPr>
          <w:spacing w:val="11"/>
          <w:sz w:val="31"/>
          <w:szCs w:val="31"/>
          <w:lang w:eastAsia="zh-CN"/>
        </w:rPr>
        <w:t xml:space="preserve">    </w:t>
      </w:r>
      <w:r>
        <w:rPr>
          <w:spacing w:val="-2"/>
          <w:sz w:val="31"/>
          <w:szCs w:val="31"/>
          <w:lang w:eastAsia="zh-CN"/>
        </w:rPr>
        <w:t>言</w:t>
      </w:r>
      <w:bookmarkEnd w:id="9"/>
    </w:p>
    <w:p w14:paraId="7DEEB7CF">
      <w:pPr>
        <w:spacing w:line="360" w:lineRule="auto"/>
        <w:rPr>
          <w:sz w:val="21"/>
          <w:szCs w:val="21"/>
          <w:lang w:eastAsia="zh-CN"/>
        </w:rPr>
      </w:pPr>
    </w:p>
    <w:p w14:paraId="4A0E698C">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本文件按照</w:t>
      </w:r>
      <w:r>
        <w:rPr>
          <w:rFonts w:ascii="宋体" w:hAnsi="宋体" w:eastAsia="宋体" w:cs="宋体"/>
          <w:spacing w:val="9"/>
          <w:sz w:val="21"/>
          <w:szCs w:val="21"/>
          <w:lang w:eastAsia="zh-CN"/>
        </w:rPr>
        <w:t xml:space="preserve">GB/T 1.1—2020 </w:t>
      </w:r>
      <w:r>
        <w:rPr>
          <w:rFonts w:hint="eastAsia" w:ascii="宋体" w:hAnsi="宋体" w:eastAsia="宋体" w:cs="宋体"/>
          <w:spacing w:val="9"/>
          <w:sz w:val="21"/>
          <w:szCs w:val="21"/>
          <w:lang w:eastAsia="zh-CN"/>
        </w:rPr>
        <w:t>《标准化工作导则</w:t>
      </w:r>
      <w:r>
        <w:rPr>
          <w:rFonts w:ascii="宋体" w:hAnsi="宋体" w:eastAsia="宋体" w:cs="宋体"/>
          <w:spacing w:val="9"/>
          <w:sz w:val="21"/>
          <w:szCs w:val="21"/>
          <w:lang w:eastAsia="zh-CN"/>
        </w:rPr>
        <w:t xml:space="preserve"> </w:t>
      </w:r>
      <w:r>
        <w:rPr>
          <w:rFonts w:hint="eastAsia" w:ascii="宋体" w:hAnsi="宋体" w:eastAsia="宋体" w:cs="宋体"/>
          <w:spacing w:val="9"/>
          <w:sz w:val="21"/>
          <w:szCs w:val="21"/>
          <w:lang w:eastAsia="zh-CN"/>
        </w:rPr>
        <w:t>第</w:t>
      </w:r>
      <w:r>
        <w:rPr>
          <w:rFonts w:ascii="宋体" w:hAnsi="宋体" w:eastAsia="宋体" w:cs="宋体"/>
          <w:spacing w:val="9"/>
          <w:sz w:val="21"/>
          <w:szCs w:val="21"/>
          <w:lang w:eastAsia="zh-CN"/>
        </w:rPr>
        <w:t>1</w:t>
      </w:r>
      <w:r>
        <w:rPr>
          <w:rFonts w:hint="eastAsia" w:ascii="宋体" w:hAnsi="宋体" w:eastAsia="宋体" w:cs="宋体"/>
          <w:spacing w:val="9"/>
          <w:sz w:val="21"/>
          <w:szCs w:val="21"/>
          <w:lang w:eastAsia="zh-CN"/>
        </w:rPr>
        <w:t>部分：标准化文件的结构和起草规则》的规定起草。</w:t>
      </w:r>
    </w:p>
    <w:p w14:paraId="25F408B0">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请注意本文件的某些内容可能涉及专利。本文件的发布机构不承担识别这些专利的责任。</w:t>
      </w:r>
    </w:p>
    <w:p w14:paraId="1DFDFFD6">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本文件由中国医学科学院基础医学研究所提出。</w:t>
      </w:r>
    </w:p>
    <w:p w14:paraId="296A2D55">
      <w:pPr>
        <w:pStyle w:val="41"/>
        <w:spacing w:line="360" w:lineRule="auto"/>
        <w:ind w:firstLine="420"/>
        <w:rPr>
          <w:rFonts w:hint="eastAsia" w:asciiTheme="minorEastAsia" w:hAnsiTheme="minorEastAsia"/>
          <w:sz w:val="21"/>
          <w:szCs w:val="21"/>
        </w:rPr>
      </w:pPr>
      <w:r>
        <w:rPr>
          <w:rFonts w:hint="eastAsia" w:asciiTheme="minorEastAsia" w:hAnsiTheme="minorEastAsia" w:eastAsiaTheme="minorEastAsia"/>
          <w:sz w:val="21"/>
          <w:szCs w:val="21"/>
        </w:rPr>
        <w:t>本标准由中国食品药品企业质量安全促进会提出并归口。</w:t>
      </w:r>
    </w:p>
    <w:p w14:paraId="752C9CA6">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本文件主要起草单位：。</w:t>
      </w:r>
    </w:p>
    <w:p w14:paraId="4B8270A2">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参与起草单位：。</w:t>
      </w:r>
    </w:p>
    <w:p w14:paraId="6627D915">
      <w:pPr>
        <w:spacing w:line="360" w:lineRule="auto"/>
        <w:ind w:firstLine="420"/>
        <w:rPr>
          <w:rFonts w:hint="eastAsia" w:ascii="宋体" w:hAnsi="宋体" w:eastAsia="宋体" w:cs="宋体"/>
          <w:sz w:val="21"/>
          <w:szCs w:val="21"/>
          <w:lang w:eastAsia="zh-CN"/>
        </w:rPr>
        <w:sectPr>
          <w:footerReference r:id="rId12" w:type="default"/>
          <w:pgSz w:w="11906" w:h="16839"/>
          <w:pgMar w:top="1431" w:right="1063" w:bottom="1560" w:left="1423" w:header="850" w:footer="992" w:gutter="0"/>
          <w:cols w:space="720" w:num="1"/>
          <w:docGrid w:linePitch="286" w:charSpace="0"/>
        </w:sectPr>
      </w:pPr>
      <w:r>
        <w:rPr>
          <w:rFonts w:hint="eastAsia" w:ascii="宋体" w:hAnsi="宋体" w:eastAsia="宋体" w:cs="宋体"/>
          <w:spacing w:val="9"/>
          <w:sz w:val="21"/>
          <w:szCs w:val="21"/>
          <w:lang w:eastAsia="zh-CN"/>
        </w:rPr>
        <w:t>本文件主要起草人：。</w:t>
      </w:r>
    </w:p>
    <w:p w14:paraId="21BFD97E">
      <w:pPr>
        <w:spacing w:line="465" w:lineRule="auto"/>
        <w:jc w:val="center"/>
        <w:rPr>
          <w:lang w:eastAsia="zh-CN"/>
        </w:rPr>
      </w:pPr>
      <w:r>
        <w:rPr>
          <w:rFonts w:hint="eastAsia" w:ascii="黑体" w:hAnsi="黑体" w:eastAsia="黑体" w:cs="黑体"/>
          <w:spacing w:val="9"/>
          <w:sz w:val="31"/>
          <w:szCs w:val="31"/>
          <w:lang w:eastAsia="zh-CN"/>
        </w:rPr>
        <w:t>干细胞防控糖尿病及并发症临床研究技术规范</w:t>
      </w:r>
    </w:p>
    <w:p w14:paraId="5807689A">
      <w:pPr>
        <w:pStyle w:val="6"/>
        <w:numPr>
          <w:ilvl w:val="0"/>
          <w:numId w:val="1"/>
        </w:numPr>
        <w:spacing w:before="265" w:line="230" w:lineRule="auto"/>
        <w:outlineLvl w:val="0"/>
        <w:rPr>
          <w:rFonts w:hint="eastAsia"/>
          <w:sz w:val="20"/>
          <w:szCs w:val="20"/>
          <w:lang w:eastAsia="zh-CN"/>
        </w:rPr>
      </w:pPr>
      <w:bookmarkStart w:id="10" w:name="bookmark3"/>
      <w:bookmarkEnd w:id="10"/>
      <w:bookmarkStart w:id="11" w:name="_Toc206748908"/>
      <w:r>
        <w:rPr>
          <w:spacing w:val="7"/>
          <w:sz w:val="20"/>
          <w:szCs w:val="20"/>
          <w:lang w:eastAsia="zh-CN"/>
        </w:rPr>
        <w:t>范围</w:t>
      </w:r>
      <w:bookmarkEnd w:id="11"/>
    </w:p>
    <w:p w14:paraId="6A9FE0A0">
      <w:pPr>
        <w:spacing w:before="260" w:line="360" w:lineRule="auto"/>
        <w:ind w:left="8" w:firstLine="41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本文件规定了利用干细胞防治糖尿病及并发症（含1型糖尿病、2型糖尿病、糖尿病肾病、糖尿病周围神经病变、糖尿病视网膜病变等）的技术要求、质量控制、毒副作用识别与处置、随访及数据管理要求。</w:t>
      </w:r>
    </w:p>
    <w:p w14:paraId="78CB1F87">
      <w:pPr>
        <w:spacing w:before="260" w:line="360" w:lineRule="auto"/>
        <w:ind w:left="8" w:firstLine="41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本文件适用于</w:t>
      </w:r>
      <w:r>
        <w:rPr>
          <w:rFonts w:hint="eastAsia" w:ascii="宋体" w:hAnsi="宋体" w:eastAsia="宋体" w:cs="宋体"/>
          <w:spacing w:val="9"/>
          <w:sz w:val="21"/>
          <w:szCs w:val="21"/>
          <w:lang w:eastAsia="zh-CN"/>
        </w:rPr>
        <w:t>通过国家备案的</w:t>
      </w:r>
      <w:r>
        <w:rPr>
          <w:rFonts w:ascii="宋体" w:hAnsi="宋体" w:eastAsia="宋体" w:cs="宋体"/>
          <w:spacing w:val="9"/>
          <w:sz w:val="21"/>
          <w:szCs w:val="21"/>
          <w:lang w:eastAsia="zh-CN"/>
        </w:rPr>
        <w:t>医疗机构、干细胞制剂研发生产机构开展或参与的相关临床研究。</w:t>
      </w:r>
    </w:p>
    <w:p w14:paraId="23856A64">
      <w:pPr>
        <w:pStyle w:val="6"/>
        <w:numPr>
          <w:ilvl w:val="0"/>
          <w:numId w:val="1"/>
        </w:numPr>
        <w:spacing w:before="265" w:line="360" w:lineRule="auto"/>
        <w:outlineLvl w:val="0"/>
        <w:rPr>
          <w:rFonts w:hint="eastAsia"/>
          <w:spacing w:val="7"/>
          <w:sz w:val="20"/>
          <w:szCs w:val="20"/>
          <w:lang w:eastAsia="zh-CN"/>
        </w:rPr>
      </w:pPr>
      <w:bookmarkStart w:id="12" w:name="_Toc206748909"/>
      <w:r>
        <w:rPr>
          <w:spacing w:val="7"/>
          <w:sz w:val="20"/>
          <w:szCs w:val="20"/>
          <w:lang w:eastAsia="zh-CN"/>
        </w:rPr>
        <w:t>规范性引用文件</w:t>
      </w:r>
      <w:bookmarkEnd w:id="12"/>
    </w:p>
    <w:p w14:paraId="504F4AFB">
      <w:pPr>
        <w:spacing w:before="263" w:line="360" w:lineRule="auto"/>
        <w:ind w:left="3" w:right="4" w:firstLine="428"/>
        <w:jc w:val="both"/>
        <w:rPr>
          <w:rFonts w:hint="eastAsia" w:ascii="宋体" w:hAnsi="宋体" w:eastAsia="宋体" w:cs="宋体"/>
          <w:sz w:val="21"/>
          <w:szCs w:val="21"/>
          <w:lang w:eastAsia="zh-CN"/>
        </w:rPr>
      </w:pPr>
      <w:r>
        <w:rPr>
          <w:rFonts w:ascii="宋体" w:hAnsi="宋体" w:eastAsia="宋体" w:cs="宋体"/>
          <w:spacing w:val="4"/>
          <w:sz w:val="21"/>
          <w:szCs w:val="21"/>
          <w:lang w:eastAsia="zh-CN"/>
        </w:rPr>
        <w:t>下列文件中的内容通过文中的规范性引用而构成本文件必不可少的条款。其中，注日期的引用文</w:t>
      </w:r>
      <w:r>
        <w:rPr>
          <w:rFonts w:ascii="宋体" w:hAnsi="宋体" w:eastAsia="宋体" w:cs="宋体"/>
          <w:spacing w:val="3"/>
          <w:sz w:val="21"/>
          <w:szCs w:val="21"/>
          <w:lang w:eastAsia="zh-CN"/>
        </w:rPr>
        <w:t>件，</w:t>
      </w:r>
      <w:r>
        <w:rPr>
          <w:rFonts w:ascii="宋体" w:hAnsi="宋体" w:eastAsia="宋体" w:cs="宋体"/>
          <w:spacing w:val="8"/>
          <w:sz w:val="21"/>
          <w:szCs w:val="21"/>
          <w:lang w:eastAsia="zh-CN"/>
        </w:rPr>
        <w:t>仅该日期对应的版本适用于本文件；不注日期的引用文件，其最新版</w:t>
      </w:r>
      <w:r>
        <w:rPr>
          <w:rFonts w:ascii="宋体" w:hAnsi="宋体" w:eastAsia="宋体" w:cs="宋体"/>
          <w:spacing w:val="7"/>
          <w:sz w:val="21"/>
          <w:szCs w:val="21"/>
          <w:lang w:eastAsia="zh-CN"/>
        </w:rPr>
        <w:t>本（包括所有的修改单）适用于本</w:t>
      </w:r>
      <w:r>
        <w:rPr>
          <w:rFonts w:ascii="宋体" w:hAnsi="宋体" w:eastAsia="宋体" w:cs="宋体"/>
          <w:spacing w:val="3"/>
          <w:sz w:val="21"/>
          <w:szCs w:val="21"/>
          <w:lang w:eastAsia="zh-CN"/>
        </w:rPr>
        <w:t>文件。</w:t>
      </w:r>
    </w:p>
    <w:p w14:paraId="7EB9AFD3">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中华人民共和国药典</w:t>
      </w:r>
    </w:p>
    <w:p w14:paraId="1D096C2E">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干细胞临床研究管理办法（试行）</w:t>
      </w:r>
    </w:p>
    <w:p w14:paraId="72B47399">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GB/T 42060-2022</w:t>
      </w:r>
      <w:r>
        <w:rPr>
          <w:rFonts w:hint="eastAsia" w:ascii="宋体" w:hAnsi="宋体" w:eastAsia="宋体" w:cs="宋体"/>
          <w:spacing w:val="4"/>
          <w:sz w:val="21"/>
          <w:szCs w:val="21"/>
          <w:lang w:eastAsia="zh-CN"/>
        </w:rPr>
        <w:t xml:space="preserve"> 医学实验室 样品采集、运送、接收和处理的要求</w:t>
      </w:r>
    </w:p>
    <w:p w14:paraId="57325600">
      <w:pPr>
        <w:pStyle w:val="6"/>
        <w:numPr>
          <w:ilvl w:val="0"/>
          <w:numId w:val="1"/>
        </w:numPr>
        <w:spacing w:before="265" w:line="360" w:lineRule="auto"/>
        <w:outlineLvl w:val="0"/>
        <w:rPr>
          <w:rFonts w:hint="eastAsia"/>
          <w:spacing w:val="7"/>
          <w:sz w:val="20"/>
          <w:szCs w:val="20"/>
          <w:lang w:eastAsia="zh-CN"/>
        </w:rPr>
      </w:pPr>
      <w:bookmarkStart w:id="13" w:name="bookmark8"/>
      <w:bookmarkEnd w:id="13"/>
      <w:bookmarkStart w:id="14" w:name="bookmark7"/>
      <w:bookmarkEnd w:id="14"/>
      <w:bookmarkStart w:id="15" w:name="_Toc206748910"/>
      <w:r>
        <w:rPr>
          <w:spacing w:val="7"/>
          <w:sz w:val="20"/>
          <w:szCs w:val="20"/>
          <w:lang w:eastAsia="zh-CN"/>
        </w:rPr>
        <w:t>术语和定义</w:t>
      </w:r>
      <w:bookmarkEnd w:id="15"/>
    </w:p>
    <w:p w14:paraId="411A148B">
      <w:pPr>
        <w:pStyle w:val="6"/>
        <w:spacing w:before="263" w:line="360" w:lineRule="auto"/>
        <w:ind w:left="5" w:right="766" w:firstLine="426"/>
        <w:rPr>
          <w:rFonts w:hint="eastAsia" w:ascii="宋体" w:hAnsi="宋体" w:eastAsia="宋体" w:cs="宋体"/>
          <w:spacing w:val="6"/>
          <w:sz w:val="21"/>
          <w:szCs w:val="21"/>
          <w:lang w:eastAsia="zh-CN"/>
        </w:rPr>
      </w:pPr>
      <w:r>
        <w:rPr>
          <w:rFonts w:ascii="宋体" w:hAnsi="宋体" w:eastAsia="宋体" w:cs="宋体"/>
          <w:spacing w:val="6"/>
          <w:sz w:val="21"/>
          <w:szCs w:val="21"/>
          <w:lang w:eastAsia="zh-CN"/>
        </w:rPr>
        <w:t>下列术语和定义适用于本文件。</w:t>
      </w:r>
    </w:p>
    <w:p w14:paraId="3F39CC7E">
      <w:pPr>
        <w:pStyle w:val="6"/>
        <w:spacing w:before="263" w:line="360" w:lineRule="auto"/>
        <w:ind w:right="766"/>
        <w:rPr>
          <w:rFonts w:hint="eastAsia"/>
          <w:spacing w:val="16"/>
          <w:sz w:val="20"/>
          <w:szCs w:val="20"/>
          <w:lang w:eastAsia="zh-CN"/>
        </w:rPr>
      </w:pPr>
      <w:r>
        <w:rPr>
          <w:rFonts w:ascii="宋体" w:hAnsi="宋体" w:eastAsia="宋体" w:cs="宋体"/>
          <w:spacing w:val="5"/>
          <w:sz w:val="20"/>
          <w:szCs w:val="20"/>
          <w:lang w:eastAsia="zh-CN"/>
        </w:rPr>
        <w:t xml:space="preserve"> </w:t>
      </w:r>
      <w:r>
        <w:rPr>
          <w:spacing w:val="2"/>
          <w:sz w:val="20"/>
          <w:szCs w:val="20"/>
          <w:lang w:eastAsia="zh-CN"/>
        </w:rPr>
        <w:t>3.1</w:t>
      </w:r>
      <w:r>
        <w:rPr>
          <w:spacing w:val="16"/>
          <w:sz w:val="20"/>
          <w:szCs w:val="20"/>
          <w:lang w:eastAsia="zh-CN"/>
        </w:rPr>
        <w:t>干细胞 stem cells</w:t>
      </w:r>
    </w:p>
    <w:p w14:paraId="2766E1E1">
      <w:pPr>
        <w:spacing w:before="27" w:line="360" w:lineRule="auto"/>
        <w:ind w:left="6" w:right="61" w:firstLine="420"/>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具有自我更新和多向分化潜能的细胞总称，本文件特指用于糖尿病治疗的间充质干细胞（MSC）和诱导多能干细胞衍生胰岛细胞（iPSC-islet）。</w:t>
      </w:r>
    </w:p>
    <w:p w14:paraId="3089BB51">
      <w:pPr>
        <w:pStyle w:val="6"/>
        <w:spacing w:before="58" w:line="360" w:lineRule="auto"/>
        <w:ind w:left="5"/>
        <w:rPr>
          <w:spacing w:val="2"/>
          <w:sz w:val="20"/>
          <w:szCs w:val="20"/>
        </w:rPr>
      </w:pPr>
    </w:p>
    <w:p w14:paraId="25946B2B">
      <w:pPr>
        <w:pStyle w:val="6"/>
        <w:spacing w:before="58" w:line="360" w:lineRule="auto"/>
        <w:ind w:left="5"/>
        <w:rPr>
          <w:rFonts w:hint="eastAsia"/>
          <w:sz w:val="20"/>
          <w:szCs w:val="20"/>
          <w:lang w:eastAsia="zh-CN"/>
        </w:rPr>
      </w:pPr>
      <w:r>
        <w:rPr>
          <w:spacing w:val="2"/>
          <w:sz w:val="20"/>
          <w:szCs w:val="20"/>
        </w:rPr>
        <w:t>3.2</w:t>
      </w:r>
      <w:r>
        <w:rPr>
          <w:spacing w:val="18"/>
          <w:sz w:val="20"/>
          <w:szCs w:val="20"/>
          <w:lang w:eastAsia="zh-CN"/>
        </w:rPr>
        <w:t>糖尿病并发症 diabetic complications</w:t>
      </w:r>
    </w:p>
    <w:p w14:paraId="49E00572">
      <w:pPr>
        <w:spacing w:before="27" w:line="360" w:lineRule="auto"/>
        <w:ind w:left="6" w:right="61" w:firstLine="420"/>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继发于持续高血糖的靶器官损伤，包括糖尿病肾病（DKD）、糖尿病视网膜病变（DR）、糖尿病周围神经病变（DPN）等。</w:t>
      </w:r>
    </w:p>
    <w:p w14:paraId="4DB8B5D5">
      <w:pPr>
        <w:pStyle w:val="6"/>
        <w:spacing w:before="59" w:line="360" w:lineRule="auto"/>
        <w:ind w:left="5"/>
        <w:rPr>
          <w:spacing w:val="2"/>
          <w:sz w:val="21"/>
          <w:szCs w:val="21"/>
          <w:lang w:eastAsia="zh-CN"/>
        </w:rPr>
      </w:pPr>
    </w:p>
    <w:p w14:paraId="6DEE0896">
      <w:pPr>
        <w:pStyle w:val="6"/>
        <w:spacing w:before="59" w:line="360" w:lineRule="auto"/>
        <w:ind w:left="5"/>
        <w:rPr>
          <w:rFonts w:hint="eastAsia"/>
          <w:spacing w:val="16"/>
          <w:sz w:val="20"/>
          <w:szCs w:val="20"/>
          <w:lang w:eastAsia="zh-CN"/>
        </w:rPr>
      </w:pPr>
      <w:r>
        <w:rPr>
          <w:spacing w:val="2"/>
          <w:sz w:val="20"/>
          <w:szCs w:val="20"/>
          <w:lang w:eastAsia="zh-CN"/>
        </w:rPr>
        <w:t>3.3</w:t>
      </w:r>
      <w:r>
        <w:rPr>
          <w:spacing w:val="16"/>
          <w:sz w:val="20"/>
          <w:szCs w:val="20"/>
          <w:lang w:eastAsia="zh-CN"/>
        </w:rPr>
        <w:t>细胞因子释放综合征 cytokine release syndrome；CRS</w:t>
      </w:r>
    </w:p>
    <w:p w14:paraId="772CDDC7">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干细胞输注后出现的以发热、低血压、低氧血症等为主要表现的全身炎症反应。</w:t>
      </w:r>
    </w:p>
    <w:p w14:paraId="3EF3E3E1">
      <w:pPr>
        <w:pStyle w:val="6"/>
        <w:spacing w:before="59" w:line="360" w:lineRule="auto"/>
        <w:ind w:left="5"/>
        <w:rPr>
          <w:rFonts w:hint="eastAsia"/>
          <w:spacing w:val="2"/>
          <w:sz w:val="20"/>
          <w:szCs w:val="20"/>
          <w:lang w:eastAsia="zh-CN"/>
        </w:rPr>
      </w:pPr>
    </w:p>
    <w:p w14:paraId="5E293C86">
      <w:pPr>
        <w:pStyle w:val="6"/>
        <w:spacing w:before="59" w:line="360" w:lineRule="auto"/>
        <w:ind w:left="5"/>
        <w:rPr>
          <w:rFonts w:hint="eastAsia" w:ascii="宋体" w:hAnsi="宋体" w:eastAsia="宋体" w:cs="宋体"/>
          <w:spacing w:val="9"/>
          <w:sz w:val="20"/>
          <w:szCs w:val="20"/>
          <w:lang w:eastAsia="zh-CN"/>
        </w:rPr>
      </w:pPr>
      <w:r>
        <w:rPr>
          <w:rFonts w:hint="eastAsia"/>
          <w:spacing w:val="2"/>
          <w:sz w:val="20"/>
          <w:szCs w:val="20"/>
          <w:lang w:eastAsia="zh-CN"/>
        </w:rPr>
        <w:t>3.4</w:t>
      </w:r>
      <w:r>
        <w:rPr>
          <w:spacing w:val="16"/>
          <w:sz w:val="20"/>
          <w:szCs w:val="20"/>
          <w:lang w:eastAsia="zh-CN"/>
        </w:rPr>
        <w:t>糖尿病周围神经病变</w:t>
      </w:r>
      <w:r>
        <w:rPr>
          <w:rFonts w:hint="eastAsia"/>
          <w:spacing w:val="16"/>
          <w:sz w:val="20"/>
          <w:szCs w:val="20"/>
          <w:lang w:eastAsia="zh-CN"/>
        </w:rPr>
        <w:t xml:space="preserve"> </w:t>
      </w:r>
      <w:r>
        <w:rPr>
          <w:spacing w:val="16"/>
          <w:sz w:val="20"/>
          <w:szCs w:val="20"/>
          <w:lang w:eastAsia="zh-CN"/>
        </w:rPr>
        <w:t>Diabetic Peripheral Neuropathy, DPN</w:t>
      </w:r>
    </w:p>
    <w:p w14:paraId="6F03C6CE">
      <w:pPr>
        <w:spacing w:before="27" w:line="360" w:lineRule="auto"/>
        <w:ind w:left="6" w:right="61" w:firstLine="420"/>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因长期高血糖导致的外周神经损伤，表现为感觉异常、疼痛或运动功能障碍，是糖尿病足溃疡的主要危险因素之一。</w:t>
      </w:r>
    </w:p>
    <w:p w14:paraId="7CA9FD9F">
      <w:pPr>
        <w:pStyle w:val="6"/>
        <w:spacing w:before="59" w:line="360" w:lineRule="auto"/>
        <w:ind w:left="5"/>
        <w:rPr>
          <w:spacing w:val="2"/>
          <w:sz w:val="20"/>
          <w:szCs w:val="20"/>
          <w:lang w:eastAsia="zh-CN"/>
        </w:rPr>
      </w:pPr>
    </w:p>
    <w:p w14:paraId="27CD0685">
      <w:pPr>
        <w:pStyle w:val="6"/>
        <w:spacing w:before="59" w:line="360" w:lineRule="auto"/>
        <w:ind w:left="5"/>
        <w:rPr>
          <w:rFonts w:hint="eastAsia"/>
          <w:spacing w:val="16"/>
          <w:sz w:val="20"/>
          <w:szCs w:val="20"/>
          <w:lang w:eastAsia="zh-CN"/>
        </w:rPr>
      </w:pPr>
      <w:r>
        <w:rPr>
          <w:spacing w:val="2"/>
          <w:sz w:val="20"/>
          <w:szCs w:val="20"/>
          <w:lang w:eastAsia="zh-CN"/>
        </w:rPr>
        <w:t>3.5</w:t>
      </w:r>
      <w:r>
        <w:rPr>
          <w:spacing w:val="16"/>
          <w:sz w:val="20"/>
          <w:szCs w:val="20"/>
          <w:lang w:eastAsia="zh-CN"/>
        </w:rPr>
        <w:t>糖尿病试验模型</w:t>
      </w:r>
      <w:r>
        <w:rPr>
          <w:rFonts w:hint="eastAsia"/>
          <w:spacing w:val="16"/>
          <w:sz w:val="20"/>
          <w:szCs w:val="20"/>
          <w:lang w:eastAsia="zh-CN"/>
        </w:rPr>
        <w:t xml:space="preserve"> </w:t>
      </w:r>
      <w:r>
        <w:rPr>
          <w:spacing w:val="16"/>
          <w:sz w:val="20"/>
          <w:szCs w:val="20"/>
          <w:lang w:eastAsia="zh-CN"/>
        </w:rPr>
        <w:t>Diabetic Test Model, Dtb</w:t>
      </w:r>
    </w:p>
    <w:p w14:paraId="7F7FE944">
      <w:pPr>
        <w:spacing w:before="27" w:line="360" w:lineRule="auto"/>
        <w:ind w:left="6" w:right="61" w:firstLine="420"/>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用于研究糖尿病发病机制或治疗效果的实验动物模型</w:t>
      </w:r>
      <w:r>
        <w:rPr>
          <w:rFonts w:hint="eastAsia" w:ascii="宋体" w:hAnsi="宋体" w:eastAsia="宋体" w:cs="宋体"/>
          <w:spacing w:val="8"/>
          <w:sz w:val="21"/>
          <w:szCs w:val="21"/>
          <w:lang w:eastAsia="zh-CN"/>
        </w:rPr>
        <w:t>。</w:t>
      </w:r>
    </w:p>
    <w:p w14:paraId="4C17ADEE">
      <w:pPr>
        <w:spacing w:before="23" w:line="360" w:lineRule="auto"/>
        <w:ind w:right="58"/>
        <w:rPr>
          <w:rFonts w:hint="eastAsia" w:ascii="宋体" w:hAnsi="宋体" w:eastAsia="宋体" w:cs="宋体"/>
          <w:spacing w:val="9"/>
          <w:sz w:val="20"/>
          <w:szCs w:val="20"/>
          <w:lang w:eastAsia="zh-CN"/>
        </w:rPr>
      </w:pPr>
    </w:p>
    <w:p w14:paraId="70CCDABF">
      <w:pPr>
        <w:pStyle w:val="6"/>
        <w:numPr>
          <w:ilvl w:val="0"/>
          <w:numId w:val="1"/>
        </w:numPr>
        <w:spacing w:before="265" w:line="360" w:lineRule="auto"/>
        <w:outlineLvl w:val="0"/>
        <w:rPr>
          <w:rFonts w:hint="eastAsia"/>
          <w:spacing w:val="7"/>
          <w:sz w:val="20"/>
          <w:szCs w:val="20"/>
          <w:lang w:eastAsia="zh-CN"/>
        </w:rPr>
      </w:pPr>
      <w:bookmarkStart w:id="16" w:name="bookmark9"/>
      <w:bookmarkEnd w:id="16"/>
      <w:bookmarkStart w:id="17" w:name="bookmark10"/>
      <w:bookmarkEnd w:id="17"/>
      <w:bookmarkStart w:id="18" w:name="_Toc206748911"/>
      <w:r>
        <w:rPr>
          <w:spacing w:val="7"/>
          <w:sz w:val="20"/>
          <w:szCs w:val="20"/>
          <w:lang w:eastAsia="zh-CN"/>
        </w:rPr>
        <w:t>基本要求</w:t>
      </w:r>
      <w:bookmarkEnd w:id="18"/>
    </w:p>
    <w:p w14:paraId="1A7A4178">
      <w:pPr>
        <w:pStyle w:val="26"/>
        <w:numPr>
          <w:ilvl w:val="0"/>
          <w:numId w:val="2"/>
        </w:numPr>
        <w:spacing w:before="140" w:line="360" w:lineRule="auto"/>
        <w:ind w:firstLineChars="0"/>
        <w:outlineLvl w:val="2"/>
        <w:rPr>
          <w:rFonts w:hint="eastAsia" w:ascii="黑体" w:hAnsi="黑体" w:eastAsia="黑体" w:cs="黑体"/>
          <w:vanish/>
          <w:spacing w:val="7"/>
          <w:sz w:val="20"/>
          <w:szCs w:val="20"/>
          <w:lang w:eastAsia="zh-CN"/>
        </w:rPr>
      </w:pPr>
      <w:bookmarkStart w:id="19" w:name="OLE_LINK81"/>
    </w:p>
    <w:p w14:paraId="5F2E6325">
      <w:pPr>
        <w:pStyle w:val="26"/>
        <w:numPr>
          <w:ilvl w:val="0"/>
          <w:numId w:val="2"/>
        </w:numPr>
        <w:spacing w:before="140" w:line="360" w:lineRule="auto"/>
        <w:ind w:firstLineChars="0"/>
        <w:outlineLvl w:val="2"/>
        <w:rPr>
          <w:rFonts w:hint="eastAsia" w:ascii="黑体" w:hAnsi="黑体" w:eastAsia="黑体" w:cs="黑体"/>
          <w:vanish/>
          <w:spacing w:val="7"/>
          <w:sz w:val="20"/>
          <w:szCs w:val="20"/>
          <w:lang w:eastAsia="zh-CN"/>
        </w:rPr>
      </w:pPr>
    </w:p>
    <w:p w14:paraId="119E7862">
      <w:pPr>
        <w:pStyle w:val="26"/>
        <w:numPr>
          <w:ilvl w:val="0"/>
          <w:numId w:val="2"/>
        </w:numPr>
        <w:spacing w:before="140" w:line="360" w:lineRule="auto"/>
        <w:ind w:firstLineChars="0"/>
        <w:outlineLvl w:val="2"/>
        <w:rPr>
          <w:rFonts w:hint="eastAsia" w:ascii="黑体" w:hAnsi="黑体" w:eastAsia="黑体" w:cs="黑体"/>
          <w:vanish/>
          <w:spacing w:val="7"/>
          <w:sz w:val="20"/>
          <w:szCs w:val="20"/>
          <w:lang w:eastAsia="zh-CN"/>
        </w:rPr>
      </w:pPr>
    </w:p>
    <w:p w14:paraId="077CF756">
      <w:pPr>
        <w:pStyle w:val="26"/>
        <w:numPr>
          <w:ilvl w:val="0"/>
          <w:numId w:val="2"/>
        </w:numPr>
        <w:spacing w:before="140" w:line="360" w:lineRule="auto"/>
        <w:ind w:firstLineChars="0"/>
        <w:outlineLvl w:val="2"/>
        <w:rPr>
          <w:rFonts w:hint="eastAsia" w:ascii="黑体" w:hAnsi="黑体" w:eastAsia="黑体" w:cs="黑体"/>
          <w:vanish/>
          <w:spacing w:val="7"/>
          <w:sz w:val="20"/>
          <w:szCs w:val="20"/>
          <w:lang w:eastAsia="zh-CN"/>
        </w:rPr>
      </w:pPr>
    </w:p>
    <w:p w14:paraId="60294667">
      <w:pPr>
        <w:pStyle w:val="26"/>
        <w:numPr>
          <w:ilvl w:val="0"/>
          <w:numId w:val="3"/>
        </w:numPr>
        <w:spacing w:before="140" w:line="360" w:lineRule="auto"/>
        <w:ind w:firstLineChars="0"/>
        <w:outlineLvl w:val="2"/>
        <w:rPr>
          <w:rFonts w:hint="eastAsia" w:ascii="黑体" w:hAnsi="黑体" w:eastAsia="黑体" w:cs="黑体"/>
          <w:vanish/>
          <w:spacing w:val="7"/>
          <w:sz w:val="20"/>
          <w:szCs w:val="20"/>
          <w:lang w:eastAsia="zh-CN"/>
        </w:rPr>
      </w:pPr>
    </w:p>
    <w:p w14:paraId="2A7EC50C">
      <w:pPr>
        <w:pStyle w:val="26"/>
        <w:numPr>
          <w:ilvl w:val="0"/>
          <w:numId w:val="3"/>
        </w:numPr>
        <w:spacing w:before="140" w:line="360" w:lineRule="auto"/>
        <w:ind w:firstLineChars="0"/>
        <w:outlineLvl w:val="2"/>
        <w:rPr>
          <w:rFonts w:hint="eastAsia" w:ascii="黑体" w:hAnsi="黑体" w:eastAsia="黑体" w:cs="黑体"/>
          <w:vanish/>
          <w:spacing w:val="7"/>
          <w:sz w:val="20"/>
          <w:szCs w:val="20"/>
          <w:lang w:eastAsia="zh-CN"/>
        </w:rPr>
      </w:pPr>
    </w:p>
    <w:p w14:paraId="5C5A18DA">
      <w:pPr>
        <w:pStyle w:val="26"/>
        <w:numPr>
          <w:ilvl w:val="0"/>
          <w:numId w:val="3"/>
        </w:numPr>
        <w:spacing w:before="140" w:line="360" w:lineRule="auto"/>
        <w:ind w:firstLineChars="0"/>
        <w:outlineLvl w:val="2"/>
        <w:rPr>
          <w:rFonts w:hint="eastAsia" w:ascii="黑体" w:hAnsi="黑体" w:eastAsia="黑体" w:cs="黑体"/>
          <w:vanish/>
          <w:spacing w:val="7"/>
          <w:sz w:val="20"/>
          <w:szCs w:val="20"/>
          <w:lang w:eastAsia="zh-CN"/>
        </w:rPr>
      </w:pPr>
    </w:p>
    <w:p w14:paraId="07784594">
      <w:pPr>
        <w:pStyle w:val="26"/>
        <w:numPr>
          <w:ilvl w:val="0"/>
          <w:numId w:val="3"/>
        </w:numPr>
        <w:spacing w:before="140" w:line="360" w:lineRule="auto"/>
        <w:ind w:firstLineChars="0"/>
        <w:outlineLvl w:val="2"/>
        <w:rPr>
          <w:rFonts w:hint="eastAsia" w:ascii="黑体" w:hAnsi="黑体" w:eastAsia="黑体" w:cs="黑体"/>
          <w:vanish/>
          <w:spacing w:val="7"/>
          <w:sz w:val="20"/>
          <w:szCs w:val="20"/>
          <w:lang w:eastAsia="zh-CN"/>
        </w:rPr>
      </w:pPr>
    </w:p>
    <w:p w14:paraId="5D210C18">
      <w:pPr>
        <w:pStyle w:val="6"/>
        <w:numPr>
          <w:ilvl w:val="1"/>
          <w:numId w:val="1"/>
        </w:numPr>
        <w:spacing w:before="265" w:line="360" w:lineRule="auto"/>
        <w:outlineLvl w:val="0"/>
        <w:rPr>
          <w:rFonts w:hint="eastAsia"/>
          <w:spacing w:val="7"/>
          <w:sz w:val="20"/>
          <w:szCs w:val="20"/>
          <w:lang w:eastAsia="zh-CN"/>
        </w:rPr>
      </w:pPr>
      <w:bookmarkStart w:id="20" w:name="_Toc206748912"/>
      <w:r>
        <w:rPr>
          <w:spacing w:val="7"/>
          <w:sz w:val="20"/>
          <w:szCs w:val="20"/>
          <w:lang w:eastAsia="zh-CN"/>
        </w:rPr>
        <w:t>细胞来源与质量</w:t>
      </w:r>
    </w:p>
    <w:p w14:paraId="5E42B9AB">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MSC可来源于脐带、脂肪、骨髓等组织；iPSC-islet应来源于经基因稳定性验证的iPSC克隆。自体或异体来源需明确标识，并建立相应质量控制策略。</w:t>
      </w:r>
    </w:p>
    <w:p w14:paraId="74080708">
      <w:pPr>
        <w:pStyle w:val="6"/>
        <w:numPr>
          <w:ilvl w:val="1"/>
          <w:numId w:val="1"/>
        </w:numPr>
        <w:spacing w:before="265" w:line="360" w:lineRule="auto"/>
        <w:outlineLvl w:val="0"/>
        <w:rPr>
          <w:rFonts w:hint="eastAsia"/>
          <w:spacing w:val="7"/>
          <w:sz w:val="20"/>
          <w:szCs w:val="20"/>
          <w:lang w:eastAsia="zh-CN"/>
        </w:rPr>
      </w:pPr>
      <w:r>
        <w:rPr>
          <w:spacing w:val="7"/>
          <w:sz w:val="20"/>
          <w:szCs w:val="20"/>
          <w:lang w:eastAsia="zh-CN"/>
        </w:rPr>
        <w:t>伦理与合规要求</w:t>
      </w:r>
    </w:p>
    <w:bookmarkEnd w:id="20"/>
    <w:p w14:paraId="303D09DA">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研究须获得机构伦理委员会批准并在国家医学研究登记备案系统完成项目及机构双备案。</w:t>
      </w:r>
    </w:p>
    <w:p w14:paraId="4BC5E0B6">
      <w:pPr>
        <w:pStyle w:val="26"/>
        <w:numPr>
          <w:ilvl w:val="1"/>
          <w:numId w:val="2"/>
        </w:numPr>
        <w:spacing w:before="140" w:line="360" w:lineRule="auto"/>
        <w:ind w:firstLineChars="0"/>
        <w:outlineLvl w:val="2"/>
        <w:rPr>
          <w:rFonts w:hint="eastAsia" w:ascii="黑体" w:hAnsi="黑体" w:eastAsia="黑体" w:cs="黑体"/>
          <w:vanish/>
          <w:spacing w:val="7"/>
          <w:sz w:val="20"/>
          <w:szCs w:val="20"/>
          <w:lang w:eastAsia="zh-CN"/>
        </w:rPr>
      </w:pPr>
    </w:p>
    <w:p w14:paraId="014A7DCA">
      <w:pPr>
        <w:pStyle w:val="6"/>
        <w:numPr>
          <w:ilvl w:val="1"/>
          <w:numId w:val="1"/>
        </w:numPr>
        <w:spacing w:before="265" w:line="360" w:lineRule="auto"/>
        <w:outlineLvl w:val="0"/>
        <w:rPr>
          <w:rFonts w:hint="eastAsia"/>
          <w:spacing w:val="7"/>
          <w:sz w:val="20"/>
          <w:szCs w:val="20"/>
          <w:lang w:eastAsia="zh-CN"/>
        </w:rPr>
      </w:pPr>
      <w:bookmarkStart w:id="21" w:name="_Toc206748913"/>
      <w:r>
        <w:rPr>
          <w:spacing w:val="7"/>
          <w:sz w:val="20"/>
          <w:szCs w:val="20"/>
          <w:lang w:eastAsia="zh-CN"/>
        </w:rPr>
        <w:t>风险控制</w:t>
      </w:r>
      <w:bookmarkEnd w:id="21"/>
    </w:p>
    <w:p w14:paraId="1F222410">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建立独立数据与安全监察委员会（DMC），制定风险最小化措施及保险/赔偿机制。</w:t>
      </w:r>
    </w:p>
    <w:p w14:paraId="48BBC5C4">
      <w:pPr>
        <w:pStyle w:val="6"/>
        <w:numPr>
          <w:ilvl w:val="1"/>
          <w:numId w:val="1"/>
        </w:numPr>
        <w:spacing w:before="265" w:line="360" w:lineRule="auto"/>
        <w:outlineLvl w:val="0"/>
        <w:rPr>
          <w:rFonts w:hint="eastAsia"/>
          <w:spacing w:val="7"/>
          <w:sz w:val="20"/>
          <w:szCs w:val="20"/>
          <w:lang w:eastAsia="zh-CN"/>
        </w:rPr>
      </w:pPr>
      <w:bookmarkStart w:id="22" w:name="_Toc206748914"/>
      <w:r>
        <w:rPr>
          <w:spacing w:val="7"/>
          <w:sz w:val="20"/>
          <w:szCs w:val="20"/>
          <w:lang w:eastAsia="zh-CN"/>
        </w:rPr>
        <w:t>质量体系</w:t>
      </w:r>
      <w:bookmarkEnd w:id="22"/>
    </w:p>
    <w:p w14:paraId="27585F1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细胞采集、制备、放行、储存、运输全过程应符合GMP及GB/T 42060-2022要求，建立基于ISBT 128编码原则的唯一标识追溯体系，确保细胞制剂全流程可追溯。</w:t>
      </w:r>
    </w:p>
    <w:bookmarkEnd w:id="19"/>
    <w:p w14:paraId="5D65F819">
      <w:pPr>
        <w:pStyle w:val="6"/>
        <w:numPr>
          <w:ilvl w:val="0"/>
          <w:numId w:val="1"/>
        </w:numPr>
        <w:spacing w:before="265" w:line="360" w:lineRule="auto"/>
        <w:outlineLvl w:val="0"/>
        <w:rPr>
          <w:rFonts w:hint="eastAsia"/>
          <w:spacing w:val="7"/>
          <w:sz w:val="20"/>
          <w:szCs w:val="20"/>
          <w:lang w:eastAsia="zh-CN"/>
        </w:rPr>
      </w:pPr>
      <w:bookmarkStart w:id="23" w:name="bookmark17"/>
      <w:bookmarkEnd w:id="23"/>
      <w:bookmarkStart w:id="24" w:name="bookmark18"/>
      <w:bookmarkEnd w:id="24"/>
      <w:bookmarkStart w:id="25" w:name="_Toc206748915"/>
      <w:r>
        <w:rPr>
          <w:spacing w:val="7"/>
          <w:sz w:val="20"/>
          <w:szCs w:val="20"/>
          <w:lang w:eastAsia="zh-CN"/>
        </w:rPr>
        <w:t>干细胞制剂技术要求</w:t>
      </w:r>
      <w:bookmarkEnd w:id="25"/>
    </w:p>
    <w:p w14:paraId="0E00079D">
      <w:pPr>
        <w:pStyle w:val="26"/>
        <w:numPr>
          <w:ilvl w:val="0"/>
          <w:numId w:val="2"/>
        </w:numPr>
        <w:spacing w:before="140" w:line="360" w:lineRule="auto"/>
        <w:ind w:firstLineChars="0"/>
        <w:outlineLvl w:val="2"/>
        <w:rPr>
          <w:rFonts w:hint="eastAsia" w:ascii="黑体" w:hAnsi="黑体" w:eastAsia="黑体" w:cs="黑体"/>
          <w:vanish/>
          <w:spacing w:val="7"/>
          <w:sz w:val="20"/>
          <w:szCs w:val="20"/>
          <w:lang w:eastAsia="zh-CN"/>
        </w:rPr>
      </w:pPr>
      <w:bookmarkStart w:id="26" w:name="OLE_LINK83"/>
    </w:p>
    <w:p w14:paraId="3230CE0E">
      <w:pPr>
        <w:pStyle w:val="6"/>
        <w:numPr>
          <w:ilvl w:val="1"/>
          <w:numId w:val="1"/>
        </w:numPr>
        <w:spacing w:before="265" w:line="360" w:lineRule="auto"/>
        <w:outlineLvl w:val="0"/>
        <w:rPr>
          <w:rFonts w:hint="eastAsia"/>
          <w:spacing w:val="7"/>
          <w:sz w:val="20"/>
          <w:szCs w:val="20"/>
          <w:lang w:eastAsia="zh-CN"/>
        </w:rPr>
      </w:pPr>
      <w:bookmarkStart w:id="27" w:name="_Toc206748916"/>
      <w:r>
        <w:rPr>
          <w:spacing w:val="7"/>
          <w:sz w:val="20"/>
          <w:szCs w:val="20"/>
          <w:lang w:eastAsia="zh-CN"/>
        </w:rPr>
        <w:t>供者筛查</w:t>
      </w:r>
      <w:bookmarkEnd w:id="27"/>
    </w:p>
    <w:p w14:paraId="47097F44">
      <w:pPr>
        <w:spacing w:before="142" w:line="360" w:lineRule="auto"/>
        <w:ind w:left="28" w:right="73" w:firstLine="398"/>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供者应符合《中国药典》2020 年版三部人类细胞组织供者筛查要求。</w:t>
      </w:r>
    </w:p>
    <w:p w14:paraId="6522CE9D">
      <w:pPr>
        <w:pStyle w:val="6"/>
        <w:numPr>
          <w:ilvl w:val="1"/>
          <w:numId w:val="1"/>
        </w:numPr>
        <w:spacing w:before="265" w:line="360" w:lineRule="auto"/>
        <w:outlineLvl w:val="0"/>
        <w:rPr>
          <w:rFonts w:hint="eastAsia"/>
          <w:spacing w:val="7"/>
          <w:sz w:val="20"/>
          <w:szCs w:val="20"/>
          <w:lang w:eastAsia="zh-CN"/>
        </w:rPr>
      </w:pPr>
      <w:bookmarkStart w:id="28" w:name="_Toc206748917"/>
      <w:r>
        <w:rPr>
          <w:spacing w:val="7"/>
          <w:sz w:val="20"/>
          <w:szCs w:val="20"/>
          <w:lang w:eastAsia="zh-CN"/>
        </w:rPr>
        <w:t>放行标准</w:t>
      </w:r>
      <w:bookmarkEnd w:id="28"/>
    </w:p>
    <w:p w14:paraId="1ED6BCCD">
      <w:pPr>
        <w:spacing w:before="142" w:line="360" w:lineRule="auto"/>
        <w:ind w:left="28" w:right="73" w:firstLine="398"/>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a) 细胞活性：MSC≥80%；iPSC-islet 葡萄糖刺激指数（SI）≥3.0；</w:t>
      </w:r>
    </w:p>
    <w:p w14:paraId="0EDED031">
      <w:pPr>
        <w:spacing w:before="142" w:line="360" w:lineRule="auto"/>
        <w:ind w:left="28" w:right="73" w:firstLine="398"/>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b) 纯度：MSC CD73</w:t>
      </w:r>
      <w:r>
        <w:rPr>
          <w:rFonts w:ascii="Cambria Math" w:hAnsi="Cambria Math" w:eastAsia="宋体" w:cs="Cambria Math"/>
          <w:spacing w:val="8"/>
          <w:sz w:val="21"/>
          <w:szCs w:val="21"/>
          <w:lang w:eastAsia="zh-CN"/>
        </w:rPr>
        <w:t>⁺</w:t>
      </w:r>
      <w:r>
        <w:rPr>
          <w:rFonts w:ascii="宋体" w:hAnsi="宋体" w:eastAsia="宋体" w:cs="宋体"/>
          <w:spacing w:val="8"/>
          <w:sz w:val="21"/>
          <w:szCs w:val="21"/>
          <w:lang w:eastAsia="zh-CN"/>
        </w:rPr>
        <w:t>/CD90</w:t>
      </w:r>
      <w:r>
        <w:rPr>
          <w:rFonts w:ascii="Cambria Math" w:hAnsi="Cambria Math" w:eastAsia="宋体" w:cs="Cambria Math"/>
          <w:spacing w:val="8"/>
          <w:sz w:val="21"/>
          <w:szCs w:val="21"/>
          <w:lang w:eastAsia="zh-CN"/>
        </w:rPr>
        <w:t>⁺</w:t>
      </w:r>
      <w:r>
        <w:rPr>
          <w:rFonts w:ascii="宋体" w:hAnsi="宋体" w:eastAsia="宋体" w:cs="宋体"/>
          <w:spacing w:val="8"/>
          <w:sz w:val="21"/>
          <w:szCs w:val="21"/>
          <w:lang w:eastAsia="zh-CN"/>
        </w:rPr>
        <w:t>/CD105</w:t>
      </w:r>
      <w:r>
        <w:rPr>
          <w:rFonts w:ascii="Cambria Math" w:hAnsi="Cambria Math" w:eastAsia="宋体" w:cs="Cambria Math"/>
          <w:spacing w:val="8"/>
          <w:sz w:val="21"/>
          <w:szCs w:val="21"/>
          <w:lang w:eastAsia="zh-CN"/>
        </w:rPr>
        <w:t>⁺</w:t>
      </w:r>
      <w:r>
        <w:rPr>
          <w:rFonts w:hint="eastAsia" w:ascii="宋体" w:hAnsi="宋体" w:eastAsia="宋体" w:cs="宋体"/>
          <w:spacing w:val="8"/>
          <w:sz w:val="21"/>
          <w:szCs w:val="21"/>
          <w:lang w:eastAsia="zh-CN"/>
        </w:rPr>
        <w:t>≥</w:t>
      </w:r>
      <w:r>
        <w:rPr>
          <w:rFonts w:ascii="宋体" w:hAnsi="宋体" w:eastAsia="宋体" w:cs="宋体"/>
          <w:spacing w:val="8"/>
          <w:sz w:val="21"/>
          <w:szCs w:val="21"/>
          <w:lang w:eastAsia="zh-CN"/>
        </w:rPr>
        <w:t>95%，</w:t>
      </w:r>
      <w:r>
        <w:rPr>
          <w:rFonts w:ascii="宋体" w:hAnsi="宋体" w:eastAsia="宋体" w:cs="宋体"/>
          <w:b/>
          <w:bCs/>
          <w:spacing w:val="8"/>
          <w:sz w:val="21"/>
          <w:szCs w:val="21"/>
          <w:lang w:eastAsia="zh-CN"/>
        </w:rPr>
        <w:t>CD34</w:t>
      </w:r>
      <w:r>
        <w:rPr>
          <w:rFonts w:ascii="Cambria Math" w:hAnsi="Cambria Math" w:eastAsia="宋体" w:cs="Cambria Math"/>
          <w:b/>
          <w:bCs/>
          <w:spacing w:val="8"/>
          <w:sz w:val="21"/>
          <w:szCs w:val="21"/>
          <w:lang w:eastAsia="zh-CN"/>
        </w:rPr>
        <w:t>⁻</w:t>
      </w:r>
      <w:r>
        <w:rPr>
          <w:rFonts w:ascii="宋体" w:hAnsi="宋体" w:eastAsia="宋体" w:cs="宋体"/>
          <w:b/>
          <w:bCs/>
          <w:spacing w:val="8"/>
          <w:sz w:val="21"/>
          <w:szCs w:val="21"/>
          <w:lang w:eastAsia="zh-CN"/>
        </w:rPr>
        <w:t>/CD45</w:t>
      </w:r>
      <w:r>
        <w:rPr>
          <w:rFonts w:ascii="Cambria Math" w:hAnsi="Cambria Math" w:eastAsia="宋体" w:cs="Cambria Math"/>
          <w:b/>
          <w:bCs/>
          <w:spacing w:val="8"/>
          <w:sz w:val="21"/>
          <w:szCs w:val="21"/>
          <w:lang w:eastAsia="zh-CN"/>
        </w:rPr>
        <w:t>⁻</w:t>
      </w:r>
      <w:r>
        <w:rPr>
          <w:rFonts w:ascii="宋体" w:hAnsi="宋体" w:eastAsia="宋体" w:cs="宋体"/>
          <w:b/>
          <w:bCs/>
          <w:spacing w:val="8"/>
          <w:sz w:val="21"/>
          <w:szCs w:val="21"/>
          <w:lang w:eastAsia="zh-CN"/>
        </w:rPr>
        <w:t>/CD11b</w:t>
      </w:r>
      <w:r>
        <w:rPr>
          <w:rFonts w:ascii="Cambria Math" w:hAnsi="Cambria Math" w:eastAsia="宋体" w:cs="Cambria Math"/>
          <w:b/>
          <w:bCs/>
          <w:spacing w:val="8"/>
          <w:sz w:val="21"/>
          <w:szCs w:val="21"/>
          <w:lang w:eastAsia="zh-CN"/>
        </w:rPr>
        <w:t>⁻</w:t>
      </w:r>
      <w:r>
        <w:rPr>
          <w:rFonts w:ascii="宋体" w:hAnsi="宋体" w:eastAsia="宋体" w:cs="宋体"/>
          <w:b/>
          <w:bCs/>
          <w:spacing w:val="8"/>
          <w:sz w:val="21"/>
          <w:szCs w:val="21"/>
          <w:lang w:eastAsia="zh-CN"/>
        </w:rPr>
        <w:t>/CD19</w:t>
      </w:r>
      <w:r>
        <w:rPr>
          <w:rFonts w:ascii="Cambria Math" w:hAnsi="Cambria Math" w:eastAsia="宋体" w:cs="Cambria Math"/>
          <w:b/>
          <w:bCs/>
          <w:spacing w:val="8"/>
          <w:sz w:val="21"/>
          <w:szCs w:val="21"/>
          <w:lang w:eastAsia="zh-CN"/>
        </w:rPr>
        <w:t>⁻</w:t>
      </w:r>
      <w:r>
        <w:rPr>
          <w:rFonts w:ascii="宋体" w:hAnsi="宋体" w:eastAsia="宋体" w:cs="宋体"/>
          <w:b/>
          <w:bCs/>
          <w:spacing w:val="8"/>
          <w:sz w:val="21"/>
          <w:szCs w:val="21"/>
          <w:lang w:eastAsia="zh-CN"/>
        </w:rPr>
        <w:t>/HLA-DR</w:t>
      </w:r>
      <w:r>
        <w:rPr>
          <w:rFonts w:ascii="Cambria Math" w:hAnsi="Cambria Math" w:eastAsia="宋体" w:cs="Cambria Math"/>
          <w:b/>
          <w:bCs/>
          <w:spacing w:val="8"/>
          <w:sz w:val="21"/>
          <w:szCs w:val="21"/>
          <w:lang w:eastAsia="zh-CN"/>
        </w:rPr>
        <w:t>⁻</w:t>
      </w:r>
      <w:r>
        <w:rPr>
          <w:rFonts w:hint="eastAsia" w:ascii="宋体" w:hAnsi="宋体" w:eastAsia="宋体" w:cs="宋体"/>
          <w:b/>
          <w:bCs/>
          <w:spacing w:val="8"/>
          <w:sz w:val="21"/>
          <w:szCs w:val="21"/>
          <w:lang w:eastAsia="zh-CN"/>
        </w:rPr>
        <w:t>≤</w:t>
      </w:r>
      <w:r>
        <w:rPr>
          <w:rFonts w:ascii="宋体" w:hAnsi="宋体" w:eastAsia="宋体" w:cs="宋体"/>
          <w:b/>
          <w:bCs/>
          <w:spacing w:val="8"/>
          <w:sz w:val="21"/>
          <w:szCs w:val="21"/>
          <w:lang w:eastAsia="zh-CN"/>
        </w:rPr>
        <w:t>2%</w:t>
      </w:r>
      <w:r>
        <w:rPr>
          <w:rFonts w:ascii="宋体" w:hAnsi="宋体" w:eastAsia="宋体" w:cs="宋体"/>
          <w:spacing w:val="8"/>
          <w:sz w:val="21"/>
          <w:szCs w:val="21"/>
          <w:lang w:eastAsia="zh-CN"/>
        </w:rPr>
        <w:t>；iPSC-islet胰岛素</w:t>
      </w:r>
      <w:r>
        <w:rPr>
          <w:rFonts w:ascii="Cambria Math" w:hAnsi="Cambria Math" w:eastAsia="宋体" w:cs="Cambria Math"/>
          <w:spacing w:val="8"/>
          <w:sz w:val="21"/>
          <w:szCs w:val="21"/>
          <w:lang w:eastAsia="zh-CN"/>
        </w:rPr>
        <w:t>⁺</w:t>
      </w:r>
      <w:r>
        <w:rPr>
          <w:rFonts w:ascii="宋体" w:hAnsi="宋体" w:eastAsia="宋体" w:cs="宋体"/>
          <w:spacing w:val="8"/>
          <w:sz w:val="21"/>
          <w:szCs w:val="21"/>
          <w:lang w:eastAsia="zh-CN"/>
        </w:rPr>
        <w:t>细胞≥80%；</w:t>
      </w:r>
    </w:p>
    <w:p w14:paraId="3035F9EE">
      <w:pPr>
        <w:spacing w:before="142" w:line="360" w:lineRule="auto"/>
        <w:ind w:left="28" w:right="73" w:firstLine="398"/>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c) 无菌：细菌、真菌阴性；支原体、内毒素符合药典限度；</w:t>
      </w:r>
    </w:p>
    <w:p w14:paraId="118BE811">
      <w:pPr>
        <w:spacing w:before="142" w:line="360" w:lineRule="auto"/>
        <w:ind w:left="28" w:right="73" w:firstLine="398"/>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d</w:t>
      </w:r>
      <w:r>
        <w:rPr>
          <w:rFonts w:ascii="宋体" w:hAnsi="宋体" w:eastAsia="宋体" w:cs="宋体"/>
          <w:spacing w:val="8"/>
          <w:sz w:val="21"/>
          <w:szCs w:val="21"/>
          <w:lang w:eastAsia="zh-CN"/>
        </w:rPr>
        <w:t xml:space="preserve">) </w:t>
      </w:r>
      <w:r>
        <w:rPr>
          <w:rFonts w:hint="eastAsia" w:ascii="宋体" w:hAnsi="宋体" w:eastAsia="宋体" w:cs="宋体"/>
          <w:spacing w:val="8"/>
          <w:sz w:val="21"/>
          <w:szCs w:val="21"/>
          <w:lang w:eastAsia="zh-CN"/>
        </w:rPr>
        <w:t>异物可见性：应符合《中华人民共和国药典》</w:t>
      </w:r>
      <w:r>
        <w:rPr>
          <w:rFonts w:ascii="宋体" w:hAnsi="宋体" w:eastAsia="宋体" w:cs="宋体"/>
          <w:spacing w:val="8"/>
          <w:sz w:val="21"/>
          <w:szCs w:val="21"/>
          <w:lang w:eastAsia="zh-CN"/>
        </w:rPr>
        <w:t>2020</w:t>
      </w:r>
      <w:r>
        <w:rPr>
          <w:rFonts w:hint="eastAsia" w:ascii="宋体" w:hAnsi="宋体" w:eastAsia="宋体" w:cs="宋体"/>
          <w:spacing w:val="8"/>
          <w:sz w:val="21"/>
          <w:szCs w:val="21"/>
          <w:lang w:eastAsia="zh-CN"/>
        </w:rPr>
        <w:t>年版四部通则</w:t>
      </w:r>
      <w:r>
        <w:rPr>
          <w:rFonts w:ascii="宋体" w:hAnsi="宋体" w:eastAsia="宋体" w:cs="宋体"/>
          <w:spacing w:val="8"/>
          <w:sz w:val="21"/>
          <w:szCs w:val="21"/>
          <w:lang w:eastAsia="zh-CN"/>
        </w:rPr>
        <w:t>0904</w:t>
      </w:r>
      <w:r>
        <w:rPr>
          <w:rFonts w:hint="eastAsia" w:ascii="宋体" w:hAnsi="宋体" w:eastAsia="宋体" w:cs="宋体"/>
          <w:spacing w:val="8"/>
          <w:sz w:val="21"/>
          <w:szCs w:val="21"/>
          <w:lang w:eastAsia="zh-CN"/>
        </w:rPr>
        <w:t>可见异物检查法要求，渗透压：</w:t>
      </w:r>
      <w:r>
        <w:rPr>
          <w:rFonts w:ascii="宋体" w:hAnsi="宋体" w:eastAsia="宋体" w:cs="宋体"/>
          <w:spacing w:val="8"/>
          <w:sz w:val="21"/>
          <w:szCs w:val="21"/>
          <w:lang w:eastAsia="zh-CN"/>
        </w:rPr>
        <w:t>280-320 mOsm/kg</w:t>
      </w:r>
      <w:r>
        <w:rPr>
          <w:rFonts w:hint="eastAsia" w:ascii="宋体" w:hAnsi="宋体" w:eastAsia="宋体" w:cs="宋体"/>
          <w:spacing w:val="8"/>
          <w:sz w:val="21"/>
          <w:szCs w:val="21"/>
          <w:lang w:eastAsia="zh-CN"/>
        </w:rPr>
        <w:t>；</w:t>
      </w:r>
    </w:p>
    <w:p w14:paraId="4DB86398">
      <w:pPr>
        <w:spacing w:before="142" w:line="360" w:lineRule="auto"/>
        <w:ind w:left="28" w:right="73" w:firstLine="398"/>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e</w:t>
      </w:r>
      <w:r>
        <w:rPr>
          <w:rFonts w:ascii="宋体" w:hAnsi="宋体" w:eastAsia="宋体" w:cs="宋体"/>
          <w:spacing w:val="8"/>
          <w:sz w:val="21"/>
          <w:szCs w:val="21"/>
          <w:lang w:eastAsia="zh-CN"/>
        </w:rPr>
        <w:t xml:space="preserve">) </w:t>
      </w:r>
      <w:r>
        <w:rPr>
          <w:rFonts w:hint="eastAsia" w:ascii="宋体" w:hAnsi="宋体" w:eastAsia="宋体" w:cs="宋体"/>
          <w:spacing w:val="8"/>
          <w:sz w:val="21"/>
          <w:szCs w:val="21"/>
          <w:lang w:eastAsia="zh-CN"/>
        </w:rPr>
        <w:t>遗传学稳定性：</w:t>
      </w:r>
    </w:p>
    <w:p w14:paraId="4610BA1F">
      <w:pPr>
        <w:spacing w:before="142" w:line="360" w:lineRule="auto"/>
        <w:ind w:left="442" w:right="73" w:firstLine="398"/>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核型分析：每</w:t>
      </w:r>
      <w:r>
        <w:rPr>
          <w:rFonts w:ascii="宋体" w:hAnsi="宋体" w:eastAsia="宋体" w:cs="宋体"/>
          <w:spacing w:val="8"/>
          <w:sz w:val="21"/>
          <w:szCs w:val="21"/>
          <w:lang w:eastAsia="zh-CN"/>
        </w:rPr>
        <w:t>10</w:t>
      </w:r>
      <w:r>
        <w:rPr>
          <w:rFonts w:hint="eastAsia" w:ascii="宋体" w:hAnsi="宋体" w:eastAsia="宋体" w:cs="宋体"/>
          <w:spacing w:val="8"/>
          <w:sz w:val="21"/>
          <w:szCs w:val="21"/>
          <w:lang w:eastAsia="zh-CN"/>
        </w:rPr>
        <w:t>代次检测一次，正常核型比例≥</w:t>
      </w:r>
      <w:r>
        <w:rPr>
          <w:rFonts w:ascii="宋体" w:hAnsi="宋体" w:eastAsia="宋体" w:cs="宋体"/>
          <w:spacing w:val="8"/>
          <w:sz w:val="21"/>
          <w:szCs w:val="21"/>
          <w:lang w:eastAsia="zh-CN"/>
        </w:rPr>
        <w:t>95%</w:t>
      </w:r>
    </w:p>
    <w:p w14:paraId="726230D0">
      <w:pPr>
        <w:spacing w:before="142" w:line="360" w:lineRule="auto"/>
        <w:ind w:left="442" w:right="73" w:firstLine="398"/>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遗传变异检测：采用</w:t>
      </w:r>
      <w:r>
        <w:rPr>
          <w:rFonts w:ascii="宋体" w:hAnsi="宋体" w:eastAsia="宋体" w:cs="宋体"/>
          <w:spacing w:val="8"/>
          <w:sz w:val="21"/>
          <w:szCs w:val="21"/>
          <w:lang w:eastAsia="zh-CN"/>
        </w:rPr>
        <w:t>STR</w:t>
      </w:r>
      <w:r>
        <w:rPr>
          <w:rFonts w:hint="eastAsia" w:ascii="宋体" w:hAnsi="宋体" w:eastAsia="宋体" w:cs="宋体"/>
          <w:spacing w:val="8"/>
          <w:sz w:val="21"/>
          <w:szCs w:val="21"/>
          <w:lang w:eastAsia="zh-CN"/>
        </w:rPr>
        <w:t>分型或</w:t>
      </w:r>
      <w:r>
        <w:rPr>
          <w:rFonts w:ascii="宋体" w:hAnsi="宋体" w:eastAsia="宋体" w:cs="宋体"/>
          <w:spacing w:val="8"/>
          <w:sz w:val="21"/>
          <w:szCs w:val="21"/>
          <w:lang w:eastAsia="zh-CN"/>
        </w:rPr>
        <w:t>SNP</w:t>
      </w:r>
      <w:r>
        <w:rPr>
          <w:rFonts w:hint="eastAsia" w:ascii="宋体" w:hAnsi="宋体" w:eastAsia="宋体" w:cs="宋体"/>
          <w:spacing w:val="8"/>
          <w:sz w:val="21"/>
          <w:szCs w:val="21"/>
          <w:lang w:eastAsia="zh-CN"/>
        </w:rPr>
        <w:t>阵列，确保无致病性变异</w:t>
      </w:r>
    </w:p>
    <w:p w14:paraId="1DC54945">
      <w:pPr>
        <w:pStyle w:val="6"/>
        <w:numPr>
          <w:ilvl w:val="1"/>
          <w:numId w:val="1"/>
        </w:numPr>
        <w:spacing w:before="265" w:line="360" w:lineRule="auto"/>
        <w:outlineLvl w:val="0"/>
        <w:rPr>
          <w:rFonts w:hint="eastAsia"/>
          <w:spacing w:val="7"/>
          <w:sz w:val="20"/>
          <w:szCs w:val="20"/>
          <w:lang w:eastAsia="zh-CN"/>
        </w:rPr>
      </w:pPr>
      <w:bookmarkStart w:id="29" w:name="_Toc206748918"/>
      <w:r>
        <w:rPr>
          <w:spacing w:val="7"/>
          <w:sz w:val="20"/>
          <w:szCs w:val="20"/>
          <w:lang w:eastAsia="zh-CN"/>
        </w:rPr>
        <w:t>稳定性</w:t>
      </w:r>
      <w:bookmarkEnd w:id="29"/>
    </w:p>
    <w:p w14:paraId="5E039F6E">
      <w:pPr>
        <w:spacing w:before="142" w:line="360" w:lineRule="auto"/>
        <w:ind w:left="28" w:right="73" w:firstLine="398"/>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冷冻保存温度≤-150 ℃；输注前室温复苏存活率≥70%。</w:t>
      </w:r>
    </w:p>
    <w:bookmarkEnd w:id="26"/>
    <w:p w14:paraId="27F07952">
      <w:pPr>
        <w:pStyle w:val="6"/>
        <w:numPr>
          <w:ilvl w:val="0"/>
          <w:numId w:val="1"/>
        </w:numPr>
        <w:spacing w:before="265" w:line="360" w:lineRule="auto"/>
        <w:outlineLvl w:val="0"/>
        <w:rPr>
          <w:rFonts w:hint="eastAsia"/>
          <w:spacing w:val="7"/>
          <w:sz w:val="20"/>
          <w:szCs w:val="20"/>
          <w:lang w:eastAsia="zh-CN"/>
        </w:rPr>
      </w:pPr>
      <w:bookmarkStart w:id="30" w:name="_Toc206748919"/>
      <w:r>
        <w:rPr>
          <w:spacing w:val="7"/>
          <w:sz w:val="20"/>
          <w:szCs w:val="20"/>
          <w:lang w:eastAsia="zh-CN"/>
        </w:rPr>
        <w:t>临床研究方案设计</w:t>
      </w:r>
      <w:bookmarkEnd w:id="30"/>
    </w:p>
    <w:p w14:paraId="2403CE48">
      <w:pPr>
        <w:pStyle w:val="6"/>
        <w:numPr>
          <w:ilvl w:val="1"/>
          <w:numId w:val="1"/>
        </w:numPr>
        <w:spacing w:before="265" w:line="360" w:lineRule="auto"/>
        <w:outlineLvl w:val="0"/>
        <w:rPr>
          <w:rFonts w:hint="eastAsia"/>
          <w:spacing w:val="7"/>
          <w:sz w:val="20"/>
          <w:szCs w:val="20"/>
          <w:lang w:eastAsia="zh-CN"/>
        </w:rPr>
      </w:pPr>
      <w:bookmarkStart w:id="31" w:name="_Toc206748920"/>
      <w:r>
        <w:rPr>
          <w:spacing w:val="7"/>
          <w:sz w:val="20"/>
          <w:szCs w:val="20"/>
          <w:lang w:eastAsia="zh-CN"/>
        </w:rPr>
        <w:t>研究类型</w:t>
      </w:r>
      <w:bookmarkEnd w:id="31"/>
    </w:p>
    <w:p w14:paraId="74E48A07">
      <w:pPr>
        <w:spacing w:before="142" w:line="360" w:lineRule="auto"/>
        <w:ind w:left="28" w:right="73" w:firstLine="398"/>
        <w:rPr>
          <w:rFonts w:eastAsiaTheme="minorEastAsia"/>
          <w:sz w:val="21"/>
          <w:szCs w:val="21"/>
          <w:lang w:eastAsia="zh-CN"/>
        </w:rPr>
      </w:pPr>
      <w:r>
        <w:rPr>
          <w:rFonts w:eastAsiaTheme="minorEastAsia"/>
          <w:sz w:val="21"/>
          <w:szCs w:val="21"/>
          <w:lang w:eastAsia="zh-CN"/>
        </w:rPr>
        <w:t>优先采用</w:t>
      </w:r>
      <w:r>
        <w:rPr>
          <w:rFonts w:hint="eastAsia" w:ascii="宋体" w:hAnsi="宋体" w:eastAsia="宋体" w:cs="宋体"/>
          <w:sz w:val="21"/>
          <w:szCs w:val="21"/>
          <w:lang w:eastAsia="zh-CN"/>
        </w:rPr>
        <w:t>Ⅰ</w:t>
      </w:r>
      <w:r>
        <w:rPr>
          <w:rFonts w:eastAsiaTheme="minorEastAsia"/>
          <w:sz w:val="21"/>
          <w:szCs w:val="21"/>
          <w:lang w:eastAsia="zh-CN"/>
        </w:rPr>
        <w:t>期（安全性/剂量探索）、</w:t>
      </w:r>
      <w:r>
        <w:rPr>
          <w:rFonts w:hint="eastAsia" w:ascii="宋体" w:hAnsi="宋体" w:eastAsia="宋体" w:cs="宋体"/>
          <w:sz w:val="21"/>
          <w:szCs w:val="21"/>
          <w:lang w:eastAsia="zh-CN"/>
        </w:rPr>
        <w:t>Ⅱ</w:t>
      </w:r>
      <w:r>
        <w:rPr>
          <w:rFonts w:eastAsiaTheme="minorEastAsia"/>
          <w:sz w:val="21"/>
          <w:szCs w:val="21"/>
          <w:lang w:eastAsia="zh-CN"/>
        </w:rPr>
        <w:t>期（有效性/剂量优化）、</w:t>
      </w:r>
      <w:r>
        <w:rPr>
          <w:rFonts w:hint="eastAsia" w:ascii="宋体" w:hAnsi="宋体" w:eastAsia="宋体" w:cs="宋体"/>
          <w:sz w:val="21"/>
          <w:szCs w:val="21"/>
          <w:lang w:eastAsia="zh-CN"/>
        </w:rPr>
        <w:t>Ⅲ</w:t>
      </w:r>
      <w:r>
        <w:rPr>
          <w:rFonts w:eastAsiaTheme="minorEastAsia"/>
          <w:sz w:val="21"/>
          <w:szCs w:val="21"/>
          <w:lang w:eastAsia="zh-CN"/>
        </w:rPr>
        <w:t>期（确证）阶梯式无缝适应性设计。</w:t>
      </w:r>
    </w:p>
    <w:p w14:paraId="1DB61381">
      <w:pPr>
        <w:pStyle w:val="6"/>
        <w:numPr>
          <w:ilvl w:val="1"/>
          <w:numId w:val="1"/>
        </w:numPr>
        <w:spacing w:before="265" w:line="360" w:lineRule="auto"/>
        <w:outlineLvl w:val="0"/>
        <w:rPr>
          <w:rFonts w:hint="eastAsia"/>
          <w:spacing w:val="7"/>
          <w:sz w:val="20"/>
          <w:szCs w:val="20"/>
          <w:lang w:eastAsia="zh-CN"/>
        </w:rPr>
      </w:pPr>
      <w:bookmarkStart w:id="32" w:name="_Toc206748921"/>
      <w:r>
        <w:rPr>
          <w:spacing w:val="7"/>
          <w:sz w:val="20"/>
          <w:szCs w:val="20"/>
          <w:lang w:eastAsia="zh-CN"/>
        </w:rPr>
        <w:t>主要终点</w:t>
      </w:r>
      <w:bookmarkEnd w:id="32"/>
    </w:p>
    <w:p w14:paraId="0A9C2E7A">
      <w:pPr>
        <w:spacing w:before="142" w:line="360" w:lineRule="auto"/>
        <w:ind w:left="28" w:right="73" w:firstLine="398"/>
        <w:rPr>
          <w:rFonts w:eastAsiaTheme="minorEastAsia"/>
          <w:sz w:val="21"/>
          <w:szCs w:val="21"/>
          <w:lang w:eastAsia="zh-CN"/>
        </w:rPr>
      </w:pPr>
      <w:r>
        <w:rPr>
          <w:rFonts w:eastAsiaTheme="minorEastAsia"/>
          <w:sz w:val="21"/>
          <w:szCs w:val="21"/>
          <w:lang w:eastAsia="zh-CN"/>
        </w:rPr>
        <w:t>T1DM：混合餐耐量试验 C-肽 AUC、严重低血糖事件年发生率、</w:t>
      </w:r>
      <w:r>
        <w:rPr>
          <w:rFonts w:eastAsiaTheme="minorEastAsia"/>
          <w:b/>
          <w:bCs/>
          <w:sz w:val="21"/>
          <w:szCs w:val="21"/>
          <w:lang w:eastAsia="zh-CN"/>
        </w:rPr>
        <w:t>胰岛素剂量减少≥50%的比例</w:t>
      </w:r>
      <w:r>
        <w:rPr>
          <w:rFonts w:eastAsiaTheme="minorEastAsia"/>
          <w:sz w:val="21"/>
          <w:szCs w:val="21"/>
          <w:lang w:eastAsia="zh-CN"/>
        </w:rPr>
        <w:t>；</w:t>
      </w:r>
    </w:p>
    <w:p w14:paraId="61C47D67">
      <w:pPr>
        <w:spacing w:before="142" w:line="360" w:lineRule="auto"/>
        <w:ind w:left="28" w:right="73" w:firstLine="398"/>
        <w:rPr>
          <w:rFonts w:eastAsiaTheme="minorEastAsia"/>
          <w:sz w:val="21"/>
          <w:szCs w:val="21"/>
          <w:lang w:eastAsia="zh-CN"/>
        </w:rPr>
      </w:pPr>
      <w:r>
        <w:rPr>
          <w:rFonts w:eastAsiaTheme="minorEastAsia"/>
          <w:sz w:val="21"/>
          <w:szCs w:val="21"/>
          <w:lang w:eastAsia="zh-CN"/>
        </w:rPr>
        <w:t>T2DM：HbA1c&lt;7%比例、胰岛素减量≥30%比例、HOMA-IR；</w:t>
      </w:r>
    </w:p>
    <w:p w14:paraId="271D08BF">
      <w:pPr>
        <w:spacing w:before="142" w:line="360" w:lineRule="auto"/>
        <w:ind w:left="28" w:right="73" w:firstLine="398"/>
        <w:rPr>
          <w:rFonts w:eastAsiaTheme="minorEastAsia"/>
          <w:sz w:val="21"/>
          <w:szCs w:val="21"/>
          <w:lang w:eastAsia="zh-CN"/>
        </w:rPr>
      </w:pPr>
      <w:r>
        <w:rPr>
          <w:rFonts w:eastAsiaTheme="minorEastAsia"/>
          <w:sz w:val="21"/>
          <w:szCs w:val="21"/>
          <w:lang w:eastAsia="zh-CN"/>
        </w:rPr>
        <w:t>DKD：eGFR下降≥30%发生率、UACR变化；</w:t>
      </w:r>
    </w:p>
    <w:p w14:paraId="0B93FFEA">
      <w:pPr>
        <w:spacing w:before="142" w:line="360" w:lineRule="auto"/>
        <w:ind w:left="28" w:right="73" w:firstLine="398"/>
        <w:rPr>
          <w:rFonts w:eastAsiaTheme="minorEastAsia"/>
          <w:sz w:val="21"/>
          <w:szCs w:val="21"/>
          <w:lang w:eastAsia="zh-CN"/>
        </w:rPr>
      </w:pPr>
      <w:r>
        <w:rPr>
          <w:rFonts w:eastAsiaTheme="minorEastAsia"/>
          <w:sz w:val="21"/>
          <w:szCs w:val="21"/>
          <w:lang w:eastAsia="zh-CN"/>
        </w:rPr>
        <w:t>DR：BCVA、OCT黄斑厚度；</w:t>
      </w:r>
    </w:p>
    <w:p w14:paraId="013078B0">
      <w:pPr>
        <w:spacing w:before="142" w:line="360" w:lineRule="auto"/>
        <w:ind w:left="28" w:right="73" w:firstLine="398"/>
        <w:rPr>
          <w:rFonts w:eastAsiaTheme="minorEastAsia"/>
          <w:sz w:val="21"/>
          <w:szCs w:val="21"/>
          <w:lang w:eastAsia="zh-CN"/>
        </w:rPr>
      </w:pPr>
      <w:r>
        <w:rPr>
          <w:rFonts w:eastAsiaTheme="minorEastAsia"/>
          <w:sz w:val="21"/>
          <w:szCs w:val="21"/>
          <w:lang w:eastAsia="zh-CN"/>
        </w:rPr>
        <w:t>DPN：神经传导速度（NCV）、Toronto 评分。</w:t>
      </w:r>
    </w:p>
    <w:p w14:paraId="37A9B8C6">
      <w:pPr>
        <w:pStyle w:val="6"/>
        <w:numPr>
          <w:ilvl w:val="1"/>
          <w:numId w:val="1"/>
        </w:numPr>
        <w:spacing w:before="265" w:line="360" w:lineRule="auto"/>
        <w:outlineLvl w:val="0"/>
        <w:rPr>
          <w:rFonts w:hint="eastAsia"/>
          <w:spacing w:val="7"/>
          <w:sz w:val="20"/>
          <w:szCs w:val="20"/>
          <w:lang w:eastAsia="zh-CN"/>
        </w:rPr>
      </w:pPr>
      <w:bookmarkStart w:id="33" w:name="_Toc206748922"/>
      <w:r>
        <w:rPr>
          <w:spacing w:val="7"/>
          <w:sz w:val="20"/>
          <w:szCs w:val="20"/>
          <w:lang w:eastAsia="zh-CN"/>
        </w:rPr>
        <w:t>随访周期</w:t>
      </w:r>
      <w:bookmarkEnd w:id="33"/>
    </w:p>
    <w:p w14:paraId="2AB22F18">
      <w:pPr>
        <w:spacing w:before="142" w:line="360" w:lineRule="auto"/>
        <w:ind w:left="28" w:right="73" w:firstLine="398"/>
        <w:rPr>
          <w:rFonts w:eastAsiaTheme="minorEastAsia"/>
          <w:sz w:val="21"/>
          <w:szCs w:val="21"/>
          <w:lang w:eastAsia="zh-CN"/>
        </w:rPr>
      </w:pPr>
      <w:r>
        <w:rPr>
          <w:rFonts w:eastAsiaTheme="minorEastAsia"/>
          <w:sz w:val="21"/>
          <w:szCs w:val="21"/>
          <w:lang w:eastAsia="zh-CN"/>
        </w:rPr>
        <w:t>早期：输注后1-4周（每日至每周）；中期：1-12周（每周至每月）；长期：至少5年，关键指标每3-6个月评估一次。</w:t>
      </w:r>
    </w:p>
    <w:p w14:paraId="42B3D7E0">
      <w:pPr>
        <w:pStyle w:val="6"/>
        <w:numPr>
          <w:ilvl w:val="0"/>
          <w:numId w:val="1"/>
        </w:numPr>
        <w:spacing w:before="265" w:line="360" w:lineRule="auto"/>
        <w:outlineLvl w:val="0"/>
        <w:rPr>
          <w:rFonts w:hint="eastAsia"/>
          <w:spacing w:val="7"/>
          <w:sz w:val="20"/>
          <w:szCs w:val="20"/>
          <w:lang w:eastAsia="zh-CN"/>
        </w:rPr>
      </w:pPr>
      <w:bookmarkStart w:id="34" w:name="_Toc206748923"/>
      <w:r>
        <w:rPr>
          <w:spacing w:val="7"/>
          <w:sz w:val="20"/>
          <w:szCs w:val="20"/>
          <w:lang w:eastAsia="zh-CN"/>
        </w:rPr>
        <w:t>受试者筛选与评估</w:t>
      </w:r>
      <w:bookmarkEnd w:id="34"/>
    </w:p>
    <w:p w14:paraId="39194A37">
      <w:pPr>
        <w:pStyle w:val="6"/>
        <w:numPr>
          <w:ilvl w:val="1"/>
          <w:numId w:val="1"/>
        </w:numPr>
        <w:spacing w:before="265" w:line="360" w:lineRule="auto"/>
        <w:outlineLvl w:val="0"/>
        <w:rPr>
          <w:rFonts w:hint="eastAsia"/>
          <w:spacing w:val="7"/>
          <w:sz w:val="20"/>
          <w:szCs w:val="20"/>
          <w:lang w:eastAsia="zh-CN"/>
        </w:rPr>
      </w:pPr>
      <w:bookmarkStart w:id="35" w:name="_Toc206748924"/>
      <w:r>
        <w:rPr>
          <w:spacing w:val="7"/>
          <w:sz w:val="20"/>
          <w:szCs w:val="20"/>
          <w:lang w:eastAsia="zh-CN"/>
        </w:rPr>
        <w:t>适应症</w:t>
      </w:r>
      <w:bookmarkEnd w:id="35"/>
    </w:p>
    <w:p w14:paraId="125CCF62">
      <w:pPr>
        <w:spacing w:before="142" w:line="360" w:lineRule="auto"/>
        <w:ind w:left="28" w:right="73" w:firstLine="398"/>
        <w:rPr>
          <w:rFonts w:eastAsiaTheme="minorEastAsia"/>
          <w:sz w:val="21"/>
          <w:szCs w:val="21"/>
          <w:lang w:eastAsia="zh-CN"/>
        </w:rPr>
      </w:pPr>
      <w:r>
        <w:rPr>
          <w:rFonts w:eastAsiaTheme="minorEastAsia"/>
          <w:sz w:val="21"/>
          <w:szCs w:val="21"/>
          <w:lang w:eastAsia="zh-CN"/>
        </w:rPr>
        <w:t>T1DM（确诊≤5年）；T2DM（HbA1c≥7.5%且伴并发症）；年龄18-70岁；PS评分≤2。</w:t>
      </w:r>
    </w:p>
    <w:p w14:paraId="381F2EAA">
      <w:pPr>
        <w:pStyle w:val="6"/>
        <w:numPr>
          <w:ilvl w:val="1"/>
          <w:numId w:val="1"/>
        </w:numPr>
        <w:spacing w:before="265" w:line="360" w:lineRule="auto"/>
        <w:outlineLvl w:val="0"/>
        <w:rPr>
          <w:rFonts w:hint="eastAsia"/>
          <w:spacing w:val="7"/>
          <w:sz w:val="20"/>
          <w:szCs w:val="20"/>
          <w:lang w:eastAsia="zh-CN"/>
        </w:rPr>
      </w:pPr>
      <w:bookmarkStart w:id="36" w:name="_Toc206748925"/>
      <w:r>
        <w:rPr>
          <w:spacing w:val="7"/>
          <w:sz w:val="20"/>
          <w:szCs w:val="20"/>
          <w:lang w:eastAsia="zh-CN"/>
        </w:rPr>
        <w:t>禁忌症</w:t>
      </w:r>
      <w:bookmarkEnd w:id="36"/>
    </w:p>
    <w:p w14:paraId="42FD8659">
      <w:pPr>
        <w:spacing w:before="142" w:line="360" w:lineRule="auto"/>
        <w:ind w:left="28" w:right="73" w:firstLine="398"/>
        <w:rPr>
          <w:rFonts w:eastAsiaTheme="minorEastAsia"/>
          <w:sz w:val="21"/>
          <w:szCs w:val="21"/>
          <w:lang w:eastAsia="zh-CN"/>
        </w:rPr>
      </w:pPr>
      <w:r>
        <w:rPr>
          <w:rFonts w:eastAsiaTheme="minorEastAsia"/>
          <w:sz w:val="21"/>
          <w:szCs w:val="21"/>
          <w:lang w:eastAsia="zh-CN"/>
        </w:rPr>
        <w:t>严重感染、恶性肿瘤、妊娠/哺乳、重要脏器功能不全、未控制自身免疫病。</w:t>
      </w:r>
    </w:p>
    <w:p w14:paraId="390AC517">
      <w:pPr>
        <w:pStyle w:val="6"/>
        <w:numPr>
          <w:ilvl w:val="1"/>
          <w:numId w:val="1"/>
        </w:numPr>
        <w:spacing w:before="265" w:line="360" w:lineRule="auto"/>
        <w:outlineLvl w:val="0"/>
        <w:rPr>
          <w:rFonts w:hint="eastAsia"/>
          <w:spacing w:val="7"/>
          <w:sz w:val="20"/>
          <w:szCs w:val="20"/>
          <w:lang w:eastAsia="zh-CN"/>
        </w:rPr>
      </w:pPr>
      <w:bookmarkStart w:id="37" w:name="_Toc206748926"/>
      <w:r>
        <w:rPr>
          <w:spacing w:val="7"/>
          <w:sz w:val="20"/>
          <w:szCs w:val="20"/>
          <w:lang w:eastAsia="zh-CN"/>
        </w:rPr>
        <w:t>基线评估</w:t>
      </w:r>
      <w:bookmarkEnd w:id="37"/>
    </w:p>
    <w:p w14:paraId="10C5687D">
      <w:pPr>
        <w:spacing w:before="142" w:line="360" w:lineRule="auto"/>
        <w:ind w:left="28" w:right="73" w:firstLine="398"/>
        <w:rPr>
          <w:rFonts w:eastAsiaTheme="minorEastAsia"/>
          <w:sz w:val="21"/>
          <w:szCs w:val="21"/>
          <w:lang w:eastAsia="zh-CN"/>
        </w:rPr>
      </w:pPr>
      <w:r>
        <w:rPr>
          <w:rFonts w:eastAsiaTheme="minorEastAsia"/>
          <w:sz w:val="21"/>
          <w:szCs w:val="21"/>
          <w:lang w:eastAsia="zh-CN"/>
        </w:rPr>
        <w:t>血糖谱、HbA1c、C-肽、胰岛自身抗体、并发症分期、肝肾功能、感染筛查、影像学/眼底/神经电生理。</w:t>
      </w:r>
    </w:p>
    <w:p w14:paraId="65964895">
      <w:pPr>
        <w:pStyle w:val="6"/>
        <w:numPr>
          <w:ilvl w:val="0"/>
          <w:numId w:val="1"/>
        </w:numPr>
        <w:spacing w:before="265" w:line="360" w:lineRule="auto"/>
        <w:outlineLvl w:val="0"/>
        <w:rPr>
          <w:rFonts w:hint="eastAsia"/>
          <w:spacing w:val="7"/>
          <w:sz w:val="20"/>
          <w:szCs w:val="20"/>
          <w:lang w:eastAsia="zh-CN"/>
        </w:rPr>
      </w:pPr>
      <w:bookmarkStart w:id="38" w:name="_Toc206748927"/>
      <w:r>
        <w:rPr>
          <w:spacing w:val="7"/>
          <w:sz w:val="20"/>
          <w:szCs w:val="20"/>
          <w:lang w:eastAsia="zh-CN"/>
        </w:rPr>
        <w:t>干细胞输注与伴随治疗</w:t>
      </w:r>
      <w:bookmarkEnd w:id="38"/>
    </w:p>
    <w:p w14:paraId="460B09C6">
      <w:pPr>
        <w:pStyle w:val="6"/>
        <w:numPr>
          <w:ilvl w:val="1"/>
          <w:numId w:val="1"/>
        </w:numPr>
        <w:spacing w:before="265" w:line="360" w:lineRule="auto"/>
        <w:outlineLvl w:val="0"/>
        <w:rPr>
          <w:rFonts w:hint="eastAsia"/>
          <w:spacing w:val="7"/>
          <w:sz w:val="20"/>
          <w:szCs w:val="20"/>
          <w:lang w:eastAsia="zh-CN"/>
        </w:rPr>
      </w:pPr>
      <w:bookmarkStart w:id="39" w:name="_Toc206748928"/>
      <w:r>
        <w:rPr>
          <w:spacing w:val="7"/>
          <w:sz w:val="20"/>
          <w:szCs w:val="20"/>
          <w:lang w:eastAsia="zh-CN"/>
        </w:rPr>
        <w:t>输注流程</w:t>
      </w:r>
      <w:bookmarkEnd w:id="39"/>
    </w:p>
    <w:p w14:paraId="2A19FF5D">
      <w:pPr>
        <w:spacing w:before="142" w:line="360" w:lineRule="auto"/>
        <w:ind w:left="28" w:right="73" w:firstLine="398"/>
        <w:rPr>
          <w:rFonts w:eastAsiaTheme="minorEastAsia"/>
          <w:sz w:val="21"/>
          <w:szCs w:val="21"/>
          <w:lang w:eastAsia="zh-CN"/>
        </w:rPr>
      </w:pPr>
      <w:r>
        <w:rPr>
          <w:rFonts w:eastAsiaTheme="minorEastAsia"/>
          <w:sz w:val="21"/>
          <w:szCs w:val="21"/>
          <w:lang w:eastAsia="zh-CN"/>
        </w:rPr>
        <w:t>知情同意→生命体征确认→静脉输注→24h住院观察。</w:t>
      </w:r>
    </w:p>
    <w:p w14:paraId="38ACD980">
      <w:pPr>
        <w:pStyle w:val="6"/>
        <w:numPr>
          <w:ilvl w:val="1"/>
          <w:numId w:val="1"/>
        </w:numPr>
        <w:spacing w:before="265" w:line="360" w:lineRule="auto"/>
        <w:outlineLvl w:val="0"/>
        <w:rPr>
          <w:rFonts w:hint="eastAsia"/>
          <w:spacing w:val="7"/>
          <w:sz w:val="20"/>
          <w:szCs w:val="20"/>
          <w:lang w:eastAsia="zh-CN"/>
        </w:rPr>
      </w:pPr>
      <w:bookmarkStart w:id="40" w:name="_Toc206748929"/>
      <w:r>
        <w:rPr>
          <w:spacing w:val="7"/>
          <w:sz w:val="20"/>
          <w:szCs w:val="20"/>
          <w:lang w:eastAsia="zh-CN"/>
        </w:rPr>
        <w:t>剂量</w:t>
      </w:r>
      <w:bookmarkEnd w:id="40"/>
    </w:p>
    <w:p w14:paraId="5B093588">
      <w:pPr>
        <w:spacing w:before="142" w:line="360" w:lineRule="auto"/>
        <w:ind w:right="73"/>
        <w:rPr>
          <w:rFonts w:hint="eastAsia" w:ascii="黑体" w:hAnsi="黑体" w:eastAsia="黑体" w:cs="黑体"/>
          <w:spacing w:val="7"/>
          <w:sz w:val="20"/>
          <w:szCs w:val="20"/>
          <w:lang w:eastAsia="zh-CN"/>
        </w:rPr>
      </w:pPr>
      <w:r>
        <w:rPr>
          <w:rFonts w:ascii="黑体" w:hAnsi="黑体" w:eastAsia="黑体" w:cs="黑体"/>
          <w:spacing w:val="7"/>
          <w:sz w:val="20"/>
          <w:szCs w:val="20"/>
          <w:lang w:eastAsia="zh-CN"/>
        </w:rPr>
        <w:t>8.2.1 BM-MSCs</w:t>
      </w:r>
      <w:r>
        <w:rPr>
          <w:rFonts w:hint="eastAsia" w:ascii="黑体" w:hAnsi="黑体" w:eastAsia="黑体" w:cs="黑体"/>
          <w:spacing w:val="7"/>
          <w:sz w:val="20"/>
          <w:szCs w:val="20"/>
          <w:lang w:eastAsia="zh-CN"/>
        </w:rPr>
        <w:t>剂量与疗程</w:t>
      </w:r>
    </w:p>
    <w:p w14:paraId="37EFBB6B">
      <w:pPr>
        <w:spacing w:before="142" w:line="360" w:lineRule="auto"/>
        <w:ind w:left="28" w:right="73" w:firstLine="398"/>
        <w:rPr>
          <w:rFonts w:eastAsiaTheme="minorEastAsia"/>
          <w:sz w:val="21"/>
          <w:szCs w:val="21"/>
          <w:lang w:eastAsia="zh-CN"/>
        </w:rPr>
      </w:pPr>
      <w:r>
        <w:rPr>
          <w:rFonts w:hint="eastAsia" w:eastAsiaTheme="minorEastAsia"/>
          <w:sz w:val="21"/>
          <w:szCs w:val="21"/>
          <w:lang w:eastAsia="zh-CN"/>
        </w:rPr>
        <w:t>剂量范围：</w:t>
      </w:r>
      <w:r>
        <w:rPr>
          <w:rFonts w:eastAsiaTheme="minorEastAsia"/>
          <w:sz w:val="21"/>
          <w:szCs w:val="21"/>
          <w:lang w:eastAsia="zh-CN"/>
        </w:rPr>
        <w:t xml:space="preserve">1×10⁶-2×10⁶ cells/kg - </w:t>
      </w:r>
      <w:r>
        <w:rPr>
          <w:rFonts w:hint="eastAsia" w:eastAsiaTheme="minorEastAsia"/>
          <w:sz w:val="21"/>
          <w:szCs w:val="21"/>
          <w:lang w:eastAsia="zh-CN"/>
        </w:rPr>
        <w:t>输注方式：静脉输注</w:t>
      </w:r>
      <w:r>
        <w:rPr>
          <w:rFonts w:eastAsiaTheme="minorEastAsia"/>
          <w:sz w:val="21"/>
          <w:szCs w:val="21"/>
          <w:lang w:eastAsia="zh-CN"/>
        </w:rPr>
        <w:t xml:space="preserve"> - </w:t>
      </w:r>
      <w:r>
        <w:rPr>
          <w:rFonts w:hint="eastAsia" w:eastAsiaTheme="minorEastAsia"/>
          <w:sz w:val="21"/>
          <w:szCs w:val="21"/>
          <w:lang w:eastAsia="zh-CN"/>
        </w:rPr>
        <w:t>疗程方案：单次或间隔</w:t>
      </w:r>
      <w:r>
        <w:rPr>
          <w:rFonts w:eastAsiaTheme="minorEastAsia"/>
          <w:sz w:val="21"/>
          <w:szCs w:val="21"/>
          <w:lang w:eastAsia="zh-CN"/>
        </w:rPr>
        <w:t>2</w:t>
      </w:r>
      <w:r>
        <w:rPr>
          <w:rFonts w:hint="eastAsia" w:eastAsiaTheme="minorEastAsia"/>
          <w:sz w:val="21"/>
          <w:szCs w:val="21"/>
          <w:lang w:eastAsia="zh-CN"/>
        </w:rPr>
        <w:t>周，共</w:t>
      </w:r>
      <w:r>
        <w:rPr>
          <w:rFonts w:eastAsiaTheme="minorEastAsia"/>
          <w:sz w:val="21"/>
          <w:szCs w:val="21"/>
          <w:lang w:eastAsia="zh-CN"/>
        </w:rPr>
        <w:t>2-3</w:t>
      </w:r>
      <w:r>
        <w:rPr>
          <w:rFonts w:hint="eastAsia" w:eastAsiaTheme="minorEastAsia"/>
          <w:sz w:val="21"/>
          <w:szCs w:val="21"/>
          <w:lang w:eastAsia="zh-CN"/>
        </w:rPr>
        <w:t>次。</w:t>
      </w:r>
    </w:p>
    <w:p w14:paraId="78C13202">
      <w:pPr>
        <w:spacing w:before="142" w:line="360" w:lineRule="auto"/>
        <w:ind w:right="73"/>
        <w:rPr>
          <w:rFonts w:hint="eastAsia" w:ascii="黑体" w:hAnsi="黑体" w:eastAsia="黑体" w:cs="黑体"/>
          <w:spacing w:val="7"/>
          <w:sz w:val="20"/>
          <w:szCs w:val="20"/>
          <w:lang w:eastAsia="zh-CN"/>
        </w:rPr>
      </w:pPr>
      <w:r>
        <w:rPr>
          <w:rFonts w:ascii="黑体" w:hAnsi="黑体" w:eastAsia="黑体" w:cs="黑体"/>
          <w:spacing w:val="7"/>
          <w:sz w:val="20"/>
          <w:szCs w:val="20"/>
          <w:lang w:eastAsia="zh-CN"/>
        </w:rPr>
        <w:t>8.2.2 UC-MSCs</w:t>
      </w:r>
      <w:r>
        <w:rPr>
          <w:rFonts w:hint="eastAsia" w:ascii="黑体" w:hAnsi="黑体" w:eastAsia="黑体" w:cs="黑体"/>
          <w:spacing w:val="7"/>
          <w:sz w:val="20"/>
          <w:szCs w:val="20"/>
          <w:lang w:eastAsia="zh-CN"/>
        </w:rPr>
        <w:t>剂量与疗程</w:t>
      </w:r>
    </w:p>
    <w:p w14:paraId="7A1A99BE">
      <w:pPr>
        <w:spacing w:before="142" w:line="360" w:lineRule="auto"/>
        <w:ind w:left="28" w:right="73" w:firstLine="398"/>
        <w:rPr>
          <w:rFonts w:eastAsiaTheme="minorEastAsia"/>
          <w:sz w:val="21"/>
          <w:szCs w:val="21"/>
          <w:lang w:eastAsia="zh-CN"/>
        </w:rPr>
      </w:pPr>
      <w:r>
        <w:rPr>
          <w:rFonts w:hint="eastAsia" w:eastAsiaTheme="minorEastAsia"/>
          <w:sz w:val="21"/>
          <w:szCs w:val="21"/>
          <w:lang w:eastAsia="zh-CN"/>
        </w:rPr>
        <w:t>剂量范围：</w:t>
      </w:r>
      <w:r>
        <w:rPr>
          <w:rFonts w:eastAsiaTheme="minorEastAsia"/>
          <w:sz w:val="21"/>
          <w:szCs w:val="21"/>
          <w:lang w:eastAsia="zh-CN"/>
        </w:rPr>
        <w:t xml:space="preserve">1×10⁶-3×10⁶ cells/kg - </w:t>
      </w:r>
      <w:r>
        <w:rPr>
          <w:rFonts w:hint="eastAsia" w:eastAsiaTheme="minorEastAsia"/>
          <w:sz w:val="21"/>
          <w:szCs w:val="21"/>
          <w:lang w:eastAsia="zh-CN"/>
        </w:rPr>
        <w:t>输注方式：动脉输注</w:t>
      </w:r>
      <w:r>
        <w:rPr>
          <w:rFonts w:eastAsiaTheme="minorEastAsia"/>
          <w:sz w:val="21"/>
          <w:szCs w:val="21"/>
          <w:lang w:eastAsia="zh-CN"/>
        </w:rPr>
        <w:t xml:space="preserve"> - </w:t>
      </w:r>
      <w:r>
        <w:rPr>
          <w:rFonts w:hint="eastAsia" w:eastAsiaTheme="minorEastAsia"/>
          <w:sz w:val="21"/>
          <w:szCs w:val="21"/>
          <w:lang w:eastAsia="zh-CN"/>
        </w:rPr>
        <w:t>疗程方案：单次或间隔</w:t>
      </w:r>
      <w:r>
        <w:rPr>
          <w:rFonts w:eastAsiaTheme="minorEastAsia"/>
          <w:sz w:val="21"/>
          <w:szCs w:val="21"/>
          <w:lang w:eastAsia="zh-CN"/>
        </w:rPr>
        <w:t>3-4</w:t>
      </w:r>
      <w:r>
        <w:rPr>
          <w:rFonts w:hint="eastAsia" w:eastAsiaTheme="minorEastAsia"/>
          <w:sz w:val="21"/>
          <w:szCs w:val="21"/>
          <w:lang w:eastAsia="zh-CN"/>
        </w:rPr>
        <w:t>周，共</w:t>
      </w:r>
      <w:r>
        <w:rPr>
          <w:rFonts w:eastAsiaTheme="minorEastAsia"/>
          <w:sz w:val="21"/>
          <w:szCs w:val="21"/>
          <w:lang w:eastAsia="zh-CN"/>
        </w:rPr>
        <w:t>1-2</w:t>
      </w:r>
      <w:r>
        <w:rPr>
          <w:rFonts w:hint="eastAsia" w:eastAsiaTheme="minorEastAsia"/>
          <w:sz w:val="21"/>
          <w:szCs w:val="21"/>
          <w:lang w:eastAsia="zh-CN"/>
        </w:rPr>
        <w:t>次</w:t>
      </w:r>
    </w:p>
    <w:p w14:paraId="3A214C28">
      <w:pPr>
        <w:spacing w:before="142" w:line="360" w:lineRule="auto"/>
        <w:ind w:right="73"/>
        <w:rPr>
          <w:rFonts w:hint="eastAsia" w:ascii="黑体" w:hAnsi="黑体" w:eastAsia="黑体" w:cs="黑体"/>
          <w:spacing w:val="7"/>
          <w:sz w:val="20"/>
          <w:szCs w:val="20"/>
          <w:lang w:eastAsia="zh-CN"/>
        </w:rPr>
      </w:pPr>
      <w:r>
        <w:rPr>
          <w:rFonts w:ascii="黑体" w:hAnsi="黑体" w:eastAsia="黑体" w:cs="黑体"/>
          <w:spacing w:val="7"/>
          <w:sz w:val="20"/>
          <w:szCs w:val="20"/>
          <w:lang w:eastAsia="zh-CN"/>
        </w:rPr>
        <w:t>8.2.3 ADSCs</w:t>
      </w:r>
      <w:r>
        <w:rPr>
          <w:rFonts w:hint="eastAsia" w:ascii="黑体" w:hAnsi="黑体" w:eastAsia="黑体" w:cs="黑体"/>
          <w:spacing w:val="7"/>
          <w:sz w:val="20"/>
          <w:szCs w:val="20"/>
          <w:lang w:eastAsia="zh-CN"/>
        </w:rPr>
        <w:t>剂量与疗程</w:t>
      </w:r>
    </w:p>
    <w:p w14:paraId="7BB2ADE2">
      <w:pPr>
        <w:spacing w:before="142" w:line="360" w:lineRule="auto"/>
        <w:ind w:left="28" w:right="73" w:firstLine="398"/>
        <w:rPr>
          <w:rFonts w:eastAsiaTheme="minorEastAsia"/>
          <w:sz w:val="21"/>
          <w:szCs w:val="21"/>
          <w:lang w:eastAsia="zh-CN"/>
        </w:rPr>
      </w:pPr>
      <w:r>
        <w:rPr>
          <w:rFonts w:hint="eastAsia" w:eastAsiaTheme="minorEastAsia"/>
          <w:sz w:val="21"/>
          <w:szCs w:val="21"/>
          <w:lang w:eastAsia="zh-CN"/>
        </w:rPr>
        <w:t>剂量范围：</w:t>
      </w:r>
      <w:r>
        <w:rPr>
          <w:rFonts w:eastAsiaTheme="minorEastAsia"/>
          <w:sz w:val="21"/>
          <w:szCs w:val="21"/>
          <w:lang w:eastAsia="zh-CN"/>
        </w:rPr>
        <w:t xml:space="preserve">1×10⁶-5×10⁶ cells/kg - </w:t>
      </w:r>
      <w:r>
        <w:rPr>
          <w:rFonts w:hint="eastAsia" w:eastAsiaTheme="minorEastAsia"/>
          <w:sz w:val="21"/>
          <w:szCs w:val="21"/>
          <w:lang w:eastAsia="zh-CN"/>
        </w:rPr>
        <w:t>输注方式：局部注射</w:t>
      </w:r>
      <w:r>
        <w:rPr>
          <w:rFonts w:eastAsiaTheme="minorEastAsia"/>
          <w:sz w:val="21"/>
          <w:szCs w:val="21"/>
          <w:lang w:eastAsia="zh-CN"/>
        </w:rPr>
        <w:t xml:space="preserve"> - </w:t>
      </w:r>
      <w:r>
        <w:rPr>
          <w:rFonts w:hint="eastAsia" w:eastAsiaTheme="minorEastAsia"/>
          <w:sz w:val="21"/>
          <w:szCs w:val="21"/>
          <w:lang w:eastAsia="zh-CN"/>
        </w:rPr>
        <w:t>疗程方案：单次或间隔</w:t>
      </w:r>
      <w:r>
        <w:rPr>
          <w:rFonts w:eastAsiaTheme="minorEastAsia"/>
          <w:sz w:val="21"/>
          <w:szCs w:val="21"/>
          <w:lang w:eastAsia="zh-CN"/>
        </w:rPr>
        <w:t>4</w:t>
      </w:r>
      <w:r>
        <w:rPr>
          <w:rFonts w:hint="eastAsia" w:eastAsiaTheme="minorEastAsia"/>
          <w:sz w:val="21"/>
          <w:szCs w:val="21"/>
          <w:lang w:eastAsia="zh-CN"/>
        </w:rPr>
        <w:t>周多次注射</w:t>
      </w:r>
    </w:p>
    <w:p w14:paraId="5FCF963B">
      <w:pPr>
        <w:spacing w:before="142" w:line="360" w:lineRule="auto"/>
        <w:ind w:right="73"/>
        <w:rPr>
          <w:rFonts w:hint="eastAsia" w:ascii="黑体" w:hAnsi="黑体" w:eastAsia="黑体" w:cs="黑体"/>
          <w:spacing w:val="7"/>
          <w:sz w:val="20"/>
          <w:szCs w:val="20"/>
          <w:lang w:eastAsia="zh-CN"/>
        </w:rPr>
      </w:pPr>
      <w:r>
        <w:rPr>
          <w:rFonts w:ascii="黑体" w:hAnsi="黑体" w:eastAsia="黑体" w:cs="黑体"/>
          <w:spacing w:val="7"/>
          <w:sz w:val="20"/>
          <w:szCs w:val="20"/>
          <w:lang w:eastAsia="zh-CN"/>
        </w:rPr>
        <w:t>8.2.4 iPSC-islet</w:t>
      </w:r>
      <w:r>
        <w:rPr>
          <w:rFonts w:hint="eastAsia" w:ascii="黑体" w:hAnsi="黑体" w:eastAsia="黑体" w:cs="黑体"/>
          <w:spacing w:val="7"/>
          <w:sz w:val="20"/>
          <w:szCs w:val="20"/>
          <w:lang w:eastAsia="zh-CN"/>
        </w:rPr>
        <w:t>剂量</w:t>
      </w:r>
    </w:p>
    <w:p w14:paraId="74E80336">
      <w:pPr>
        <w:spacing w:before="142" w:line="360" w:lineRule="auto"/>
        <w:ind w:left="28" w:right="73" w:firstLine="398"/>
        <w:rPr>
          <w:rFonts w:eastAsiaTheme="minorEastAsia"/>
          <w:sz w:val="21"/>
          <w:szCs w:val="21"/>
          <w:lang w:eastAsia="zh-CN"/>
        </w:rPr>
      </w:pPr>
      <w:r>
        <w:rPr>
          <w:rFonts w:hint="eastAsia" w:eastAsiaTheme="minorEastAsia"/>
          <w:sz w:val="21"/>
          <w:szCs w:val="21"/>
          <w:lang w:eastAsia="zh-CN"/>
        </w:rPr>
        <w:t>≥</w:t>
      </w:r>
      <w:r>
        <w:rPr>
          <w:rFonts w:eastAsiaTheme="minorEastAsia"/>
          <w:sz w:val="21"/>
          <w:szCs w:val="21"/>
          <w:lang w:eastAsia="zh-CN"/>
        </w:rPr>
        <w:t>1×10⁴ IEQ/kg</w:t>
      </w:r>
      <w:r>
        <w:rPr>
          <w:rFonts w:hint="eastAsia" w:eastAsiaTheme="minorEastAsia"/>
          <w:sz w:val="21"/>
          <w:szCs w:val="21"/>
          <w:lang w:eastAsia="zh-CN"/>
        </w:rPr>
        <w:t>（单次输注）；多次输注总量建议≥</w:t>
      </w:r>
      <w:r>
        <w:rPr>
          <w:rFonts w:eastAsiaTheme="minorEastAsia"/>
          <w:sz w:val="21"/>
          <w:szCs w:val="21"/>
          <w:lang w:eastAsia="zh-CN"/>
        </w:rPr>
        <w:t>2×10⁴ IEQ/kg。</w:t>
      </w:r>
    </w:p>
    <w:p w14:paraId="0FAD369C">
      <w:pPr>
        <w:pStyle w:val="6"/>
        <w:numPr>
          <w:ilvl w:val="1"/>
          <w:numId w:val="1"/>
        </w:numPr>
        <w:spacing w:before="265" w:line="360" w:lineRule="auto"/>
        <w:outlineLvl w:val="0"/>
        <w:rPr>
          <w:rFonts w:hint="eastAsia"/>
          <w:spacing w:val="7"/>
          <w:sz w:val="20"/>
          <w:szCs w:val="20"/>
          <w:lang w:eastAsia="zh-CN"/>
        </w:rPr>
      </w:pPr>
      <w:bookmarkStart w:id="41" w:name="_Toc206748930"/>
      <w:r>
        <w:rPr>
          <w:spacing w:val="7"/>
          <w:sz w:val="20"/>
          <w:szCs w:val="20"/>
          <w:lang w:eastAsia="zh-CN"/>
        </w:rPr>
        <w:t>伴随治疗</w:t>
      </w:r>
      <w:bookmarkEnd w:id="41"/>
    </w:p>
    <w:p w14:paraId="004642CE">
      <w:pPr>
        <w:spacing w:before="142" w:line="360" w:lineRule="auto"/>
        <w:ind w:left="28" w:right="73" w:firstLine="398"/>
        <w:rPr>
          <w:rFonts w:eastAsiaTheme="minorEastAsia"/>
          <w:sz w:val="21"/>
          <w:szCs w:val="21"/>
          <w:lang w:eastAsia="zh-CN"/>
        </w:rPr>
      </w:pPr>
      <w:r>
        <w:rPr>
          <w:rFonts w:eastAsiaTheme="minorEastAsia"/>
          <w:sz w:val="21"/>
          <w:szCs w:val="21"/>
          <w:lang w:eastAsia="zh-CN"/>
        </w:rPr>
        <w:t>继续原有降糖方案，必要时由研究者评估调整；预防性抗感染及抗过敏药物按指南执行。</w:t>
      </w:r>
    </w:p>
    <w:p w14:paraId="1780373E">
      <w:pPr>
        <w:pStyle w:val="6"/>
        <w:numPr>
          <w:ilvl w:val="0"/>
          <w:numId w:val="1"/>
        </w:numPr>
        <w:spacing w:before="265" w:line="360" w:lineRule="auto"/>
        <w:outlineLvl w:val="0"/>
        <w:rPr>
          <w:rFonts w:hint="eastAsia"/>
          <w:spacing w:val="7"/>
          <w:sz w:val="20"/>
          <w:szCs w:val="20"/>
          <w:lang w:eastAsia="zh-CN"/>
        </w:rPr>
      </w:pPr>
      <w:bookmarkStart w:id="42" w:name="_Toc206748931"/>
      <w:r>
        <w:rPr>
          <w:spacing w:val="7"/>
          <w:sz w:val="20"/>
          <w:szCs w:val="20"/>
          <w:lang w:eastAsia="zh-CN"/>
        </w:rPr>
        <w:t>治疗后监测与随访</w:t>
      </w:r>
      <w:bookmarkEnd w:id="42"/>
    </w:p>
    <w:p w14:paraId="557563EA">
      <w:pPr>
        <w:pStyle w:val="6"/>
        <w:numPr>
          <w:ilvl w:val="1"/>
          <w:numId w:val="1"/>
        </w:numPr>
        <w:spacing w:before="265" w:line="360" w:lineRule="auto"/>
        <w:outlineLvl w:val="0"/>
        <w:rPr>
          <w:rFonts w:hint="eastAsia"/>
          <w:spacing w:val="7"/>
          <w:sz w:val="20"/>
          <w:szCs w:val="20"/>
          <w:lang w:eastAsia="zh-CN"/>
        </w:rPr>
      </w:pPr>
      <w:bookmarkStart w:id="43" w:name="_Toc206748932"/>
      <w:r>
        <w:rPr>
          <w:spacing w:val="7"/>
          <w:sz w:val="20"/>
          <w:szCs w:val="20"/>
          <w:lang w:eastAsia="zh-CN"/>
        </w:rPr>
        <w:t>安全性</w:t>
      </w:r>
      <w:bookmarkEnd w:id="43"/>
    </w:p>
    <w:p w14:paraId="43E9165F">
      <w:pPr>
        <w:spacing w:before="142" w:line="360" w:lineRule="auto"/>
        <w:ind w:left="28" w:right="73" w:firstLine="398"/>
        <w:rPr>
          <w:rFonts w:eastAsiaTheme="minorEastAsia"/>
          <w:sz w:val="21"/>
          <w:szCs w:val="21"/>
          <w:lang w:eastAsia="zh-CN"/>
        </w:rPr>
      </w:pPr>
      <w:r>
        <w:rPr>
          <w:rFonts w:eastAsiaTheme="minorEastAsia"/>
          <w:sz w:val="21"/>
          <w:szCs w:val="21"/>
          <w:lang w:eastAsia="zh-CN"/>
        </w:rPr>
        <w:t>每日记录生命体征、血糖、不良事件；每周复查血常规、肝肾功能、CRP、细胞因子。</w:t>
      </w:r>
    </w:p>
    <w:p w14:paraId="1DE05208">
      <w:pPr>
        <w:pStyle w:val="6"/>
        <w:numPr>
          <w:ilvl w:val="1"/>
          <w:numId w:val="1"/>
        </w:numPr>
        <w:spacing w:before="265" w:line="360" w:lineRule="auto"/>
        <w:outlineLvl w:val="0"/>
        <w:rPr>
          <w:rFonts w:hint="eastAsia"/>
          <w:spacing w:val="7"/>
          <w:sz w:val="20"/>
          <w:szCs w:val="20"/>
          <w:lang w:eastAsia="zh-CN"/>
        </w:rPr>
      </w:pPr>
      <w:bookmarkStart w:id="44" w:name="_Toc206748933"/>
      <w:r>
        <w:rPr>
          <w:spacing w:val="7"/>
          <w:sz w:val="20"/>
          <w:szCs w:val="20"/>
          <w:lang w:eastAsia="zh-CN"/>
        </w:rPr>
        <w:t>有效性</w:t>
      </w:r>
      <w:bookmarkEnd w:id="44"/>
    </w:p>
    <w:p w14:paraId="7D2E5947">
      <w:pPr>
        <w:spacing w:before="142" w:line="360" w:lineRule="auto"/>
        <w:ind w:left="28" w:right="73" w:firstLine="398"/>
        <w:rPr>
          <w:rFonts w:eastAsiaTheme="minorEastAsia"/>
          <w:sz w:val="21"/>
          <w:szCs w:val="21"/>
          <w:lang w:eastAsia="zh-CN"/>
        </w:rPr>
      </w:pPr>
      <w:r>
        <w:rPr>
          <w:rFonts w:eastAsiaTheme="minorEastAsia"/>
          <w:sz w:val="21"/>
          <w:szCs w:val="21"/>
          <w:lang w:eastAsia="zh-CN"/>
        </w:rPr>
        <w:t>每月测 HbA1c、空腹C-肽；每3月评估并发症；每6月进行生活质量</w:t>
      </w:r>
      <w:r>
        <w:rPr>
          <w:rFonts w:hint="eastAsia" w:eastAsiaTheme="minorEastAsia"/>
          <w:sz w:val="21"/>
          <w:szCs w:val="21"/>
          <w:lang w:eastAsia="zh-CN"/>
        </w:rPr>
        <w:t>评估</w:t>
      </w:r>
      <w:r>
        <w:rPr>
          <w:rFonts w:eastAsiaTheme="minorEastAsia"/>
          <w:sz w:val="21"/>
          <w:szCs w:val="21"/>
          <w:lang w:eastAsia="zh-CN"/>
        </w:rPr>
        <w:t>（SF-36、EQ-5D）。</w:t>
      </w:r>
    </w:p>
    <w:p w14:paraId="2ED34E42">
      <w:pPr>
        <w:pStyle w:val="6"/>
        <w:numPr>
          <w:ilvl w:val="1"/>
          <w:numId w:val="1"/>
        </w:numPr>
        <w:spacing w:before="265" w:line="360" w:lineRule="auto"/>
        <w:outlineLvl w:val="0"/>
        <w:rPr>
          <w:rFonts w:hint="eastAsia"/>
          <w:spacing w:val="7"/>
          <w:sz w:val="20"/>
          <w:szCs w:val="20"/>
          <w:lang w:eastAsia="zh-CN"/>
        </w:rPr>
      </w:pPr>
      <w:bookmarkStart w:id="45" w:name="_Toc206748934"/>
      <w:r>
        <w:rPr>
          <w:spacing w:val="7"/>
          <w:sz w:val="20"/>
          <w:szCs w:val="20"/>
          <w:lang w:eastAsia="zh-CN"/>
        </w:rPr>
        <w:t>复发/恶化</w:t>
      </w:r>
      <w:bookmarkEnd w:id="45"/>
    </w:p>
    <w:p w14:paraId="227D7F93">
      <w:pPr>
        <w:spacing w:before="142" w:line="360" w:lineRule="auto"/>
        <w:ind w:left="28" w:right="73" w:firstLine="398"/>
        <w:rPr>
          <w:rFonts w:eastAsiaTheme="minorEastAsia"/>
          <w:sz w:val="21"/>
          <w:szCs w:val="21"/>
          <w:lang w:eastAsia="zh-CN"/>
        </w:rPr>
      </w:pPr>
      <w:r>
        <w:rPr>
          <w:rFonts w:eastAsiaTheme="minorEastAsia"/>
          <w:sz w:val="21"/>
          <w:szCs w:val="21"/>
          <w:lang w:eastAsia="zh-CN"/>
        </w:rPr>
        <w:t>建立预警阈值，必要时二次输注或传统强化方案。</w:t>
      </w:r>
    </w:p>
    <w:p w14:paraId="4D925C9A">
      <w:pPr>
        <w:pStyle w:val="6"/>
        <w:numPr>
          <w:ilvl w:val="0"/>
          <w:numId w:val="1"/>
        </w:numPr>
        <w:spacing w:before="265" w:line="360" w:lineRule="auto"/>
        <w:outlineLvl w:val="0"/>
        <w:rPr>
          <w:rFonts w:hint="eastAsia"/>
          <w:spacing w:val="7"/>
          <w:sz w:val="20"/>
          <w:szCs w:val="20"/>
          <w:lang w:eastAsia="zh-CN"/>
        </w:rPr>
      </w:pPr>
      <w:bookmarkStart w:id="46" w:name="_Toc206748935"/>
      <w:r>
        <w:rPr>
          <w:spacing w:val="7"/>
          <w:sz w:val="20"/>
          <w:szCs w:val="20"/>
          <w:lang w:eastAsia="zh-CN"/>
        </w:rPr>
        <w:t>安全性与有效性评价</w:t>
      </w:r>
      <w:bookmarkEnd w:id="46"/>
    </w:p>
    <w:p w14:paraId="5018D2F0">
      <w:pPr>
        <w:pStyle w:val="6"/>
        <w:numPr>
          <w:ilvl w:val="1"/>
          <w:numId w:val="1"/>
        </w:numPr>
        <w:spacing w:before="265" w:line="360" w:lineRule="auto"/>
        <w:outlineLvl w:val="0"/>
        <w:rPr>
          <w:rFonts w:hint="eastAsia"/>
          <w:spacing w:val="7"/>
          <w:sz w:val="20"/>
          <w:szCs w:val="20"/>
          <w:lang w:eastAsia="zh-CN"/>
        </w:rPr>
      </w:pPr>
      <w:bookmarkStart w:id="47" w:name="_Toc206748936"/>
      <w:r>
        <w:rPr>
          <w:spacing w:val="7"/>
          <w:sz w:val="20"/>
          <w:szCs w:val="20"/>
          <w:lang w:eastAsia="zh-CN"/>
        </w:rPr>
        <w:t>统计原则</w:t>
      </w:r>
      <w:bookmarkEnd w:id="47"/>
    </w:p>
    <w:p w14:paraId="351838D2">
      <w:pPr>
        <w:spacing w:before="142" w:line="360" w:lineRule="auto"/>
        <w:ind w:left="28" w:right="73" w:firstLine="398"/>
        <w:rPr>
          <w:rFonts w:eastAsiaTheme="minorEastAsia"/>
          <w:sz w:val="21"/>
          <w:szCs w:val="21"/>
          <w:lang w:eastAsia="zh-CN"/>
        </w:rPr>
      </w:pPr>
      <w:r>
        <w:rPr>
          <w:rFonts w:eastAsiaTheme="minorEastAsia"/>
          <w:sz w:val="21"/>
          <w:szCs w:val="21"/>
          <w:lang w:eastAsia="zh-CN"/>
        </w:rPr>
        <w:t>意向性分析（ITT）及符合方案集（PP）双重分析；缺失数据多重插补。</w:t>
      </w:r>
    </w:p>
    <w:p w14:paraId="6D1B7DEE">
      <w:pPr>
        <w:pStyle w:val="6"/>
        <w:numPr>
          <w:ilvl w:val="1"/>
          <w:numId w:val="1"/>
        </w:numPr>
        <w:spacing w:before="265" w:line="360" w:lineRule="auto"/>
        <w:outlineLvl w:val="0"/>
        <w:rPr>
          <w:rFonts w:hint="eastAsia"/>
          <w:spacing w:val="7"/>
          <w:sz w:val="20"/>
          <w:szCs w:val="20"/>
          <w:lang w:eastAsia="zh-CN"/>
        </w:rPr>
      </w:pPr>
      <w:bookmarkStart w:id="48" w:name="_Toc206748937"/>
      <w:r>
        <w:rPr>
          <w:spacing w:val="7"/>
          <w:sz w:val="20"/>
          <w:szCs w:val="20"/>
          <w:lang w:eastAsia="zh-CN"/>
        </w:rPr>
        <w:t>风险-获益</w:t>
      </w:r>
      <w:bookmarkEnd w:id="48"/>
    </w:p>
    <w:p w14:paraId="409E11B4">
      <w:pPr>
        <w:spacing w:before="142" w:line="360" w:lineRule="auto"/>
        <w:ind w:left="28" w:right="73" w:firstLine="398"/>
        <w:rPr>
          <w:rFonts w:eastAsiaTheme="minorEastAsia"/>
          <w:sz w:val="21"/>
          <w:szCs w:val="21"/>
          <w:lang w:eastAsia="zh-CN"/>
        </w:rPr>
      </w:pPr>
      <w:r>
        <w:rPr>
          <w:rFonts w:eastAsiaTheme="minorEastAsia"/>
          <w:sz w:val="21"/>
          <w:szCs w:val="21"/>
          <w:lang w:eastAsia="zh-CN"/>
        </w:rPr>
        <w:t>严重不良反应率应&lt;10%；主要疗效终点达标率需显著优于历史对照或标准治疗（如T2DM HbA1c&lt;7%比例≥40%），具体阈值依据研究阶段和适应症确定。</w:t>
      </w:r>
    </w:p>
    <w:p w14:paraId="0CBA9E03">
      <w:pPr>
        <w:pStyle w:val="6"/>
        <w:numPr>
          <w:ilvl w:val="0"/>
          <w:numId w:val="1"/>
        </w:numPr>
        <w:spacing w:before="265" w:line="360" w:lineRule="auto"/>
        <w:outlineLvl w:val="0"/>
        <w:rPr>
          <w:rFonts w:hint="eastAsia"/>
          <w:spacing w:val="7"/>
          <w:sz w:val="20"/>
          <w:szCs w:val="20"/>
          <w:lang w:eastAsia="zh-CN"/>
        </w:rPr>
      </w:pPr>
      <w:bookmarkStart w:id="49" w:name="_Toc206748938"/>
      <w:r>
        <w:rPr>
          <w:spacing w:val="7"/>
          <w:sz w:val="20"/>
          <w:szCs w:val="20"/>
          <w:lang w:eastAsia="zh-CN"/>
        </w:rPr>
        <w:t>数据管理与质量控制</w:t>
      </w:r>
      <w:bookmarkEnd w:id="49"/>
    </w:p>
    <w:p w14:paraId="42D5AF9F">
      <w:pPr>
        <w:pStyle w:val="6"/>
        <w:numPr>
          <w:ilvl w:val="1"/>
          <w:numId w:val="1"/>
        </w:numPr>
        <w:spacing w:before="265" w:line="360" w:lineRule="auto"/>
        <w:outlineLvl w:val="0"/>
        <w:rPr>
          <w:rFonts w:hint="eastAsia"/>
          <w:spacing w:val="7"/>
          <w:sz w:val="20"/>
          <w:szCs w:val="20"/>
          <w:lang w:eastAsia="zh-CN"/>
        </w:rPr>
      </w:pPr>
      <w:bookmarkStart w:id="50" w:name="_Toc206748939"/>
      <w:r>
        <w:rPr>
          <w:spacing w:val="7"/>
          <w:sz w:val="20"/>
          <w:szCs w:val="20"/>
          <w:lang w:eastAsia="zh-CN"/>
        </w:rPr>
        <w:t>数据采集</w:t>
      </w:r>
      <w:bookmarkEnd w:id="50"/>
    </w:p>
    <w:p w14:paraId="144F0246">
      <w:pPr>
        <w:spacing w:before="142" w:line="360" w:lineRule="auto"/>
        <w:ind w:left="28" w:right="73" w:firstLine="398"/>
        <w:rPr>
          <w:rFonts w:eastAsiaTheme="minorEastAsia"/>
          <w:sz w:val="21"/>
          <w:szCs w:val="21"/>
          <w:lang w:eastAsia="zh-CN"/>
        </w:rPr>
      </w:pPr>
      <w:r>
        <w:rPr>
          <w:rFonts w:eastAsiaTheme="minorEastAsia"/>
          <w:sz w:val="21"/>
          <w:szCs w:val="21"/>
          <w:lang w:eastAsia="zh-CN"/>
        </w:rPr>
        <w:t>使用符合</w:t>
      </w:r>
      <w:r>
        <w:rPr>
          <w:rFonts w:hint="eastAsia" w:eastAsiaTheme="minorEastAsia"/>
          <w:sz w:val="21"/>
          <w:szCs w:val="21"/>
          <w:lang w:eastAsia="zh-CN"/>
        </w:rPr>
        <w:t>国家药品监督管理局</w:t>
      </w:r>
      <w:r>
        <w:rPr>
          <w:rFonts w:eastAsiaTheme="minorEastAsia"/>
          <w:sz w:val="21"/>
          <w:szCs w:val="21"/>
          <w:lang w:eastAsia="zh-CN"/>
        </w:rPr>
        <w:t>《药物临床试验质量管理规范》要求的电子数据采集系统（EDC）。</w:t>
      </w:r>
    </w:p>
    <w:p w14:paraId="7E272468">
      <w:pPr>
        <w:pStyle w:val="6"/>
        <w:numPr>
          <w:ilvl w:val="1"/>
          <w:numId w:val="1"/>
        </w:numPr>
        <w:spacing w:before="265" w:line="360" w:lineRule="auto"/>
        <w:outlineLvl w:val="0"/>
        <w:rPr>
          <w:rFonts w:hint="eastAsia"/>
          <w:spacing w:val="7"/>
          <w:sz w:val="20"/>
          <w:szCs w:val="20"/>
          <w:lang w:eastAsia="zh-CN"/>
        </w:rPr>
      </w:pPr>
      <w:bookmarkStart w:id="51" w:name="_Toc206748940"/>
      <w:r>
        <w:rPr>
          <w:spacing w:val="7"/>
          <w:sz w:val="20"/>
          <w:szCs w:val="20"/>
          <w:lang w:eastAsia="zh-CN"/>
        </w:rPr>
        <w:t>质量保证</w:t>
      </w:r>
      <w:bookmarkEnd w:id="51"/>
    </w:p>
    <w:p w14:paraId="1FEC84A9">
      <w:pPr>
        <w:spacing w:before="142" w:line="360" w:lineRule="auto"/>
        <w:ind w:left="28" w:right="73" w:firstLine="398"/>
        <w:rPr>
          <w:rFonts w:eastAsiaTheme="minorEastAsia"/>
          <w:sz w:val="21"/>
          <w:szCs w:val="21"/>
          <w:lang w:eastAsia="zh-CN"/>
        </w:rPr>
      </w:pPr>
      <w:r>
        <w:rPr>
          <w:rFonts w:eastAsiaTheme="minorEastAsia"/>
          <w:sz w:val="21"/>
          <w:szCs w:val="21"/>
          <w:lang w:eastAsia="zh-CN"/>
        </w:rPr>
        <w:t>三级质控：机构现场核查、第三方稽查、国家抽查；原始记录保存≥15年。</w:t>
      </w:r>
    </w:p>
    <w:p w14:paraId="3972262E">
      <w:pPr>
        <w:spacing w:before="142" w:line="360" w:lineRule="auto"/>
        <w:ind w:right="73"/>
        <w:rPr>
          <w:rFonts w:eastAsiaTheme="minorEastAsia"/>
          <w:sz w:val="20"/>
          <w:szCs w:val="20"/>
          <w:lang w:eastAsia="zh-CN"/>
        </w:rPr>
      </w:pPr>
    </w:p>
    <w:p w14:paraId="19C8538E">
      <w:pPr>
        <w:spacing w:before="142" w:line="360" w:lineRule="auto"/>
        <w:ind w:right="73"/>
        <w:rPr>
          <w:rFonts w:eastAsiaTheme="minorEastAsia"/>
          <w:sz w:val="20"/>
          <w:szCs w:val="20"/>
          <w:lang w:eastAsia="zh-CN"/>
        </w:rPr>
      </w:pPr>
    </w:p>
    <w:p w14:paraId="3672CEE5">
      <w:pPr>
        <w:spacing w:before="142" w:line="360" w:lineRule="auto"/>
        <w:ind w:right="73"/>
        <w:rPr>
          <w:rFonts w:eastAsiaTheme="minorEastAsia"/>
          <w:sz w:val="20"/>
          <w:szCs w:val="20"/>
          <w:lang w:eastAsia="zh-CN"/>
        </w:rPr>
      </w:pPr>
      <w:r>
        <w:drawing>
          <wp:anchor distT="0" distB="0" distL="0" distR="0" simplePos="0" relativeHeight="251659264" behindDoc="0" locked="0" layoutInCell="1" allowOverlap="1">
            <wp:simplePos x="0" y="0"/>
            <wp:positionH relativeFrom="column">
              <wp:posOffset>1633220</wp:posOffset>
            </wp:positionH>
            <wp:positionV relativeFrom="paragraph">
              <wp:posOffset>1993265</wp:posOffset>
            </wp:positionV>
            <wp:extent cx="2023745" cy="1270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8"/>
                    <a:stretch>
                      <a:fillRect/>
                    </a:stretch>
                  </pic:blipFill>
                  <pic:spPr>
                    <a:xfrm>
                      <a:off x="0" y="0"/>
                      <a:ext cx="2023745" cy="12700"/>
                    </a:xfrm>
                    <a:prstGeom prst="rect">
                      <a:avLst/>
                    </a:prstGeom>
                  </pic:spPr>
                </pic:pic>
              </a:graphicData>
            </a:graphic>
          </wp:anchor>
        </w:drawing>
      </w:r>
      <w:bookmarkStart w:id="52" w:name="bookmark47"/>
      <w:bookmarkEnd w:id="52"/>
      <w:bookmarkStart w:id="53" w:name="bookmark50"/>
      <w:bookmarkEnd w:id="53"/>
      <w:bookmarkStart w:id="54" w:name="bookmark48"/>
      <w:bookmarkEnd w:id="54"/>
      <w:bookmarkStart w:id="55" w:name="bookmark49"/>
      <w:bookmarkEnd w:id="55"/>
    </w:p>
    <w:sectPr>
      <w:headerReference r:id="rId13" w:type="first"/>
      <w:footerReference r:id="rId16" w:type="first"/>
      <w:footerReference r:id="rId14" w:type="default"/>
      <w:footerReference r:id="rId15" w:type="even"/>
      <w:pgSz w:w="11906" w:h="16839"/>
      <w:pgMar w:top="1431" w:right="1785" w:bottom="1418" w:left="1785" w:header="850" w:footer="1134"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B068">
    <w:pPr>
      <w:pStyle w:val="40"/>
    </w:pPr>
    <w:r>
      <w:fldChar w:fldCharType="begin"/>
    </w:r>
    <w:r>
      <w:instrText xml:space="preserve"> PAGE  \* MERGEFORMAT </w:instrText>
    </w:r>
    <w:r>
      <w:fldChar w:fldCharType="separate"/>
    </w:r>
    <w:r>
      <w:t>54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59E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D7E87">
    <w:pPr>
      <w:spacing w:line="230" w:lineRule="auto"/>
      <w:ind w:left="9050"/>
      <w:rPr>
        <w:rFonts w:hint="eastAsia" w:ascii="宋体" w:hAnsi="宋体" w:eastAsia="宋体" w:cs="宋体"/>
        <w:sz w:val="18"/>
        <w:szCs w:val="18"/>
      </w:rPr>
    </w:pPr>
    <w:r>
      <w:rPr>
        <w:rFonts w:ascii="宋体" w:hAnsi="宋体" w:eastAsia="宋体" w:cs="宋体"/>
        <w:sz w:val="18"/>
        <w:szCs w:val="18"/>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63DB3">
    <w:pPr>
      <w:pStyle w:val="7"/>
      <w:jc w:val="center"/>
    </w:pPr>
    <w:r>
      <w:rPr>
        <w:rFonts w:hint="eastAsia" w:ascii="宋体" w:hAnsi="宋体" w:eastAsia="宋体" w:cs="宋体"/>
        <w:lang w:eastAsia="zh-CN"/>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5E21D">
    <w:pPr>
      <w:spacing w:line="14" w:lineRule="auto"/>
      <w:ind w:firstLine="20" w:firstLineChars="100"/>
      <w:rPr>
        <w:sz w:val="2"/>
      </w:rPr>
    </w:pPr>
    <w:r>
      <w:rPr>
        <w:rFonts w:hint="eastAsia" w:ascii="宋体" w:hAnsi="宋体" w:eastAsia="宋体" w:cs="宋体"/>
        <w:sz w:val="2"/>
        <w:lang w:eastAsia="zh-CN"/>
      </w:rPr>
      <w:t>ⅡⅡ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CD830">
    <w:pPr>
      <w:spacing w:line="14" w:lineRule="auto"/>
      <w:ind w:firstLine="200" w:firstLineChars="100"/>
      <w:jc w:val="right"/>
      <w:rPr>
        <w:rFonts w:hint="eastAsia" w:ascii="宋体" w:hAnsi="宋体" w:eastAsia="宋体"/>
        <w:sz w:val="20"/>
        <w:szCs w:val="20"/>
      </w:rPr>
    </w:pPr>
    <w:r>
      <w:rPr>
        <w:rFonts w:hint="eastAsia" w:ascii="宋体" w:hAnsi="宋体" w:eastAsia="宋体" w:cs="宋体"/>
        <w:sz w:val="20"/>
        <w:szCs w:val="20"/>
        <w:lang w:eastAsia="zh-CN"/>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13A31">
    <w:pPr>
      <w:pStyle w:val="7"/>
      <w:jc w:val="right"/>
    </w:pPr>
    <w:r>
      <w:rPr>
        <w:rFonts w:hint="eastAsia" w:asciiTheme="minorEastAsia" w:hAnsiTheme="minorEastAsia" w:eastAsiaTheme="minorEastAsia"/>
        <w:lang w:eastAsia="zh-CN"/>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802195"/>
    </w:sdtPr>
    <w:sdtContent>
      <w:p w14:paraId="3CD93086">
        <w:pPr>
          <w:pStyle w:val="7"/>
          <w:jc w:val="right"/>
        </w:pPr>
        <w:r>
          <w:rPr>
            <w:rFonts w:hint="eastAsia" w:asciiTheme="minorEastAsia" w:hAnsiTheme="minorEastAsia" w:eastAsiaTheme="minorEastAsia"/>
            <w:lang w:eastAsia="zh-CN"/>
          </w:rPr>
          <w:t>1</w:t>
        </w:r>
      </w:p>
    </w:sdtContent>
  </w:sdt>
  <w:p w14:paraId="73275094">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2B1E6">
    <w:pPr>
      <w:pStyle w:val="8"/>
      <w:pBdr>
        <w:top w:val="none" w:color="auto" w:sz="0" w:space="1"/>
        <w:left w:val="none" w:color="auto" w:sz="0" w:space="4"/>
        <w:bottom w:val="none" w:color="auto" w:sz="0" w:space="1"/>
        <w:right w:val="none" w:color="auto" w:sz="0" w:space="4"/>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53AFC">
    <w:pPr>
      <w:pStyle w:val="39"/>
    </w:pPr>
    <w:r>
      <w:t>GB/T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BE44D">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0B031">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61715183">
    <w:pPr>
      <w:pStyle w:val="8"/>
      <w:rPr>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FD9CB">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0F9EFC38">
    <w:pPr>
      <w:pStyle w:val="8"/>
      <w:rPr>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4C4FE">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62C8DFAA">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EE29A3"/>
    <w:multiLevelType w:val="multilevel"/>
    <w:tmpl w:val="52EE29A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63F3383A"/>
    <w:multiLevelType w:val="multilevel"/>
    <w:tmpl w:val="63F3383A"/>
    <w:lvl w:ilvl="0" w:tentative="0">
      <w:start w:val="1"/>
      <w:numFmt w:val="decimal"/>
      <w:lvlText w:val="%1"/>
      <w:lvlJc w:val="left"/>
      <w:pPr>
        <w:ind w:left="425" w:hanging="425"/>
      </w:pPr>
      <w:rPr>
        <w:rFonts w:hint="eastAsia"/>
      </w:rPr>
    </w:lvl>
    <w:lvl w:ilvl="1" w:tentative="0">
      <w:start w:val="1"/>
      <w:numFmt w:val="decimal"/>
      <w:lvlText w:val="%1.%2"/>
      <w:lvlJc w:val="left"/>
      <w:pPr>
        <w:ind w:left="425" w:hanging="425"/>
      </w:pPr>
      <w:rPr>
        <w:rFonts w:hint="eastAsia"/>
      </w:rPr>
    </w:lvl>
    <w:lvl w:ilvl="2" w:tentative="0">
      <w:start w:val="1"/>
      <w:numFmt w:val="decimal"/>
      <w:lvlText w:val="%1.%2.%3"/>
      <w:lvlJc w:val="left"/>
      <w:pPr>
        <w:ind w:left="425" w:hanging="425"/>
      </w:pPr>
      <w:rPr>
        <w:rFonts w:hint="eastAsia"/>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672368BC"/>
    <w:multiLevelType w:val="multilevel"/>
    <w:tmpl w:val="672368BC"/>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7C28E9"/>
    <w:rsid w:val="00001A36"/>
    <w:rsid w:val="00001F7C"/>
    <w:rsid w:val="0000290D"/>
    <w:rsid w:val="000118F8"/>
    <w:rsid w:val="00076082"/>
    <w:rsid w:val="000B7265"/>
    <w:rsid w:val="000D61E3"/>
    <w:rsid w:val="000E137B"/>
    <w:rsid w:val="000E24E1"/>
    <w:rsid w:val="000E3AB6"/>
    <w:rsid w:val="000E6237"/>
    <w:rsid w:val="00105D70"/>
    <w:rsid w:val="001066BE"/>
    <w:rsid w:val="00114DDD"/>
    <w:rsid w:val="00127006"/>
    <w:rsid w:val="00167814"/>
    <w:rsid w:val="001B370B"/>
    <w:rsid w:val="001C25A3"/>
    <w:rsid w:val="001D2C9C"/>
    <w:rsid w:val="001E2B6A"/>
    <w:rsid w:val="001E5DE2"/>
    <w:rsid w:val="001F7BE0"/>
    <w:rsid w:val="00225533"/>
    <w:rsid w:val="00241F47"/>
    <w:rsid w:val="00242D54"/>
    <w:rsid w:val="00266A78"/>
    <w:rsid w:val="00277DD0"/>
    <w:rsid w:val="002A77D9"/>
    <w:rsid w:val="002B5369"/>
    <w:rsid w:val="002C51D3"/>
    <w:rsid w:val="002C763F"/>
    <w:rsid w:val="002D5194"/>
    <w:rsid w:val="002E35A4"/>
    <w:rsid w:val="002E7992"/>
    <w:rsid w:val="00315384"/>
    <w:rsid w:val="00317957"/>
    <w:rsid w:val="00333E8A"/>
    <w:rsid w:val="00342821"/>
    <w:rsid w:val="00356128"/>
    <w:rsid w:val="00357A0F"/>
    <w:rsid w:val="0037535D"/>
    <w:rsid w:val="003814A0"/>
    <w:rsid w:val="003C0428"/>
    <w:rsid w:val="003D14BB"/>
    <w:rsid w:val="003E06A2"/>
    <w:rsid w:val="003F15EC"/>
    <w:rsid w:val="00456958"/>
    <w:rsid w:val="0046115E"/>
    <w:rsid w:val="00461977"/>
    <w:rsid w:val="004A3128"/>
    <w:rsid w:val="004D354E"/>
    <w:rsid w:val="004F2E51"/>
    <w:rsid w:val="005125CC"/>
    <w:rsid w:val="00512CFD"/>
    <w:rsid w:val="00556F5E"/>
    <w:rsid w:val="00567C08"/>
    <w:rsid w:val="005A684B"/>
    <w:rsid w:val="005B310E"/>
    <w:rsid w:val="005B3D57"/>
    <w:rsid w:val="005C1917"/>
    <w:rsid w:val="00600ABA"/>
    <w:rsid w:val="006037BC"/>
    <w:rsid w:val="00623F16"/>
    <w:rsid w:val="00633AB7"/>
    <w:rsid w:val="006418EF"/>
    <w:rsid w:val="00643C53"/>
    <w:rsid w:val="00663808"/>
    <w:rsid w:val="00684F38"/>
    <w:rsid w:val="006A0E81"/>
    <w:rsid w:val="006D60C0"/>
    <w:rsid w:val="00704F61"/>
    <w:rsid w:val="0070670F"/>
    <w:rsid w:val="00712B67"/>
    <w:rsid w:val="007179D0"/>
    <w:rsid w:val="00741F06"/>
    <w:rsid w:val="007513BC"/>
    <w:rsid w:val="00760EE8"/>
    <w:rsid w:val="0077498E"/>
    <w:rsid w:val="00783E6E"/>
    <w:rsid w:val="00786E2C"/>
    <w:rsid w:val="0079467F"/>
    <w:rsid w:val="007C28E9"/>
    <w:rsid w:val="007C763D"/>
    <w:rsid w:val="007D22AF"/>
    <w:rsid w:val="007F49F6"/>
    <w:rsid w:val="0083279A"/>
    <w:rsid w:val="00872241"/>
    <w:rsid w:val="00873057"/>
    <w:rsid w:val="008739E4"/>
    <w:rsid w:val="008A2B12"/>
    <w:rsid w:val="008C1825"/>
    <w:rsid w:val="008E0B35"/>
    <w:rsid w:val="008F74E5"/>
    <w:rsid w:val="009250B2"/>
    <w:rsid w:val="00927C26"/>
    <w:rsid w:val="009314A8"/>
    <w:rsid w:val="009369F8"/>
    <w:rsid w:val="009400E7"/>
    <w:rsid w:val="009453C2"/>
    <w:rsid w:val="009710CD"/>
    <w:rsid w:val="00972B1B"/>
    <w:rsid w:val="00980149"/>
    <w:rsid w:val="00981A2D"/>
    <w:rsid w:val="009A5A87"/>
    <w:rsid w:val="00A22E85"/>
    <w:rsid w:val="00A34FAA"/>
    <w:rsid w:val="00A40F2A"/>
    <w:rsid w:val="00A45B0C"/>
    <w:rsid w:val="00A45D20"/>
    <w:rsid w:val="00A70AA4"/>
    <w:rsid w:val="00AA0FDE"/>
    <w:rsid w:val="00AD724F"/>
    <w:rsid w:val="00AF4073"/>
    <w:rsid w:val="00B10AE0"/>
    <w:rsid w:val="00B14967"/>
    <w:rsid w:val="00BB0757"/>
    <w:rsid w:val="00BB1982"/>
    <w:rsid w:val="00BC54E3"/>
    <w:rsid w:val="00BC5B26"/>
    <w:rsid w:val="00C0395F"/>
    <w:rsid w:val="00C05FD8"/>
    <w:rsid w:val="00C079F6"/>
    <w:rsid w:val="00C110F9"/>
    <w:rsid w:val="00C153A2"/>
    <w:rsid w:val="00C31BB3"/>
    <w:rsid w:val="00C42376"/>
    <w:rsid w:val="00C4244D"/>
    <w:rsid w:val="00C451B4"/>
    <w:rsid w:val="00C52C0D"/>
    <w:rsid w:val="00C82ED3"/>
    <w:rsid w:val="00C97080"/>
    <w:rsid w:val="00CA1E30"/>
    <w:rsid w:val="00CA4E6F"/>
    <w:rsid w:val="00CC2F1A"/>
    <w:rsid w:val="00CD5100"/>
    <w:rsid w:val="00D30FE6"/>
    <w:rsid w:val="00D504EB"/>
    <w:rsid w:val="00D6490C"/>
    <w:rsid w:val="00D70887"/>
    <w:rsid w:val="00D82F6D"/>
    <w:rsid w:val="00D870E0"/>
    <w:rsid w:val="00DA2830"/>
    <w:rsid w:val="00DB78AC"/>
    <w:rsid w:val="00DE2E40"/>
    <w:rsid w:val="00DE39F3"/>
    <w:rsid w:val="00DE6945"/>
    <w:rsid w:val="00DE757A"/>
    <w:rsid w:val="00E24D4C"/>
    <w:rsid w:val="00E3212B"/>
    <w:rsid w:val="00E33119"/>
    <w:rsid w:val="00E34769"/>
    <w:rsid w:val="00E415AE"/>
    <w:rsid w:val="00E425A2"/>
    <w:rsid w:val="00E45AD3"/>
    <w:rsid w:val="00E52623"/>
    <w:rsid w:val="00E6180E"/>
    <w:rsid w:val="00E80AC0"/>
    <w:rsid w:val="00E85466"/>
    <w:rsid w:val="00EA4975"/>
    <w:rsid w:val="00EC0766"/>
    <w:rsid w:val="00F27796"/>
    <w:rsid w:val="00F63BED"/>
    <w:rsid w:val="00F86F16"/>
    <w:rsid w:val="00FF0DD4"/>
    <w:rsid w:val="00FF55E2"/>
    <w:rsid w:val="00FF7BEE"/>
    <w:rsid w:val="078B50F9"/>
    <w:rsid w:val="1622230E"/>
    <w:rsid w:val="23C86E10"/>
    <w:rsid w:val="28105D0D"/>
    <w:rsid w:val="336B7F5C"/>
    <w:rsid w:val="48AB4759"/>
    <w:rsid w:val="5E8453B4"/>
    <w:rsid w:val="784F5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
    <w:qFormat/>
    <w:uiPriority w:val="0"/>
    <w:pPr>
      <w:keepNext/>
      <w:keepLines/>
      <w:widowControl w:val="0"/>
      <w:kinsoku/>
      <w:autoSpaceDE/>
      <w:autoSpaceDN/>
      <w:adjustRightInd/>
      <w:snapToGrid/>
      <w:spacing w:before="260" w:after="260" w:line="416" w:lineRule="auto"/>
      <w:jc w:val="both"/>
      <w:textAlignment w:val="auto"/>
      <w:outlineLvl w:val="1"/>
    </w:pPr>
    <w:rPr>
      <w:rFonts w:ascii="Cambria" w:hAnsi="Cambria" w:eastAsia="宋体" w:cs="Times New Roman"/>
      <w:b/>
      <w:bCs/>
      <w:snapToGrid/>
      <w:color w:val="auto"/>
      <w:kern w:val="2"/>
      <w:sz w:val="32"/>
      <w:szCs w:val="32"/>
      <w:lang w:eastAsia="zh-CN"/>
    </w:rPr>
  </w:style>
  <w:style w:type="paragraph" w:styleId="4">
    <w:name w:val="heading 3"/>
    <w:basedOn w:val="1"/>
    <w:next w:val="1"/>
    <w:link w:val="23"/>
    <w:semiHidden/>
    <w:unhideWhenUsed/>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style>
  <w:style w:type="paragraph" w:styleId="6">
    <w:name w:val="Body Text"/>
    <w:basedOn w:val="1"/>
    <w:link w:val="29"/>
    <w:semiHidden/>
    <w:qFormat/>
    <w:uiPriority w:val="0"/>
    <w:rPr>
      <w:rFonts w:ascii="黑体" w:hAnsi="黑体" w:eastAsia="黑体" w:cs="黑体"/>
      <w:sz w:val="47"/>
      <w:szCs w:val="47"/>
    </w:rPr>
  </w:style>
  <w:style w:type="paragraph" w:styleId="7">
    <w:name w:val="footer"/>
    <w:basedOn w:val="1"/>
    <w:link w:val="22"/>
    <w:qFormat/>
    <w:uiPriority w:val="99"/>
    <w:pPr>
      <w:tabs>
        <w:tab w:val="center" w:pos="4153"/>
        <w:tab w:val="right" w:pos="8306"/>
      </w:tabs>
    </w:pPr>
    <w:rPr>
      <w:sz w:val="18"/>
      <w:szCs w:val="18"/>
    </w:rPr>
  </w:style>
  <w:style w:type="paragraph" w:styleId="8">
    <w:name w:val="header"/>
    <w:basedOn w:val="1"/>
    <w:link w:val="21"/>
    <w:qFormat/>
    <w:uiPriority w:val="0"/>
    <w:pPr>
      <w:tabs>
        <w:tab w:val="center" w:pos="4153"/>
        <w:tab w:val="right" w:pos="8306"/>
      </w:tabs>
      <w:jc w:val="center"/>
    </w:pPr>
    <w:rPr>
      <w:sz w:val="18"/>
      <w:szCs w:val="18"/>
    </w:rPr>
  </w:style>
  <w:style w:type="paragraph" w:styleId="9">
    <w:name w:val="toc 1"/>
    <w:basedOn w:val="1"/>
    <w:next w:val="1"/>
    <w:qFormat/>
    <w:uiPriority w:val="39"/>
    <w:rPr>
      <w:rFonts w:eastAsiaTheme="majorEastAsia"/>
      <w:sz w:val="20"/>
    </w:rPr>
  </w:style>
  <w:style w:type="paragraph" w:styleId="10">
    <w:name w:val="footnote text"/>
    <w:basedOn w:val="1"/>
    <w:link w:val="27"/>
    <w:qFormat/>
    <w:uiPriority w:val="0"/>
    <w:rPr>
      <w:sz w:val="18"/>
      <w:szCs w:val="18"/>
    </w:rPr>
  </w:style>
  <w:style w:type="paragraph" w:styleId="11">
    <w:name w:val="toc 2"/>
    <w:basedOn w:val="1"/>
    <w:next w:val="1"/>
    <w:autoRedefine/>
    <w:qFormat/>
    <w:uiPriority w:val="0"/>
    <w:pPr>
      <w:ind w:left="420" w:leftChars="200"/>
    </w:pPr>
    <w:rPr>
      <w:rFonts w:eastAsiaTheme="majorEastAsia"/>
      <w:sz w:val="20"/>
    </w:rPr>
  </w:style>
  <w:style w:type="paragraph" w:styleId="12">
    <w:name w:val="HTML Preformatted"/>
    <w:basedOn w:val="1"/>
    <w:link w:val="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autoSpaceDE/>
      <w:autoSpaceDN/>
      <w:adjustRightInd/>
      <w:snapToGrid/>
      <w:textAlignment w:val="auto"/>
    </w:pPr>
    <w:rPr>
      <w:rFonts w:ascii="宋体" w:hAnsi="宋体" w:eastAsia="宋体" w:cs="宋体"/>
      <w:snapToGrid/>
      <w:color w:val="auto"/>
      <w:sz w:val="24"/>
      <w:szCs w:val="24"/>
      <w:lang w:eastAsia="zh-CN"/>
    </w:rPr>
  </w:style>
  <w:style w:type="paragraph" w:styleId="13">
    <w:name w:val="Normal (Web)"/>
    <w:basedOn w:val="1"/>
    <w:qFormat/>
    <w:uiPriority w:val="0"/>
    <w:rPr>
      <w:rFonts w:ascii="Times New Roman" w:hAnsi="Times New Roman" w:cs="Times New Roman"/>
      <w:sz w:val="24"/>
      <w:szCs w:val="24"/>
    </w:rPr>
  </w:style>
  <w:style w:type="paragraph" w:styleId="14">
    <w:name w:val="annotation subject"/>
    <w:basedOn w:val="5"/>
    <w:next w:val="5"/>
    <w:link w:val="31"/>
    <w:qFormat/>
    <w:uiPriority w:val="0"/>
    <w:rPr>
      <w:b/>
      <w:bCs/>
    </w:rPr>
  </w:style>
  <w:style w:type="character" w:styleId="17">
    <w:name w:val="HTML Code"/>
    <w:basedOn w:val="16"/>
    <w:unhideWhenUsed/>
    <w:qFormat/>
    <w:uiPriority w:val="99"/>
    <w:rPr>
      <w:rFonts w:ascii="宋体" w:hAnsi="宋体" w:eastAsia="宋体" w:cs="宋体"/>
      <w:sz w:val="24"/>
      <w:szCs w:val="24"/>
    </w:rPr>
  </w:style>
  <w:style w:type="character" w:styleId="18">
    <w:name w:val="annotation reference"/>
    <w:basedOn w:val="16"/>
    <w:qFormat/>
    <w:uiPriority w:val="0"/>
    <w:rPr>
      <w:sz w:val="21"/>
      <w:szCs w:val="21"/>
    </w:rPr>
  </w:style>
  <w:style w:type="character" w:styleId="19">
    <w:name w:val="footnote reference"/>
    <w:basedOn w:val="16"/>
    <w:qFormat/>
    <w:uiPriority w:val="0"/>
    <w:rPr>
      <w:vertAlign w:val="superscript"/>
    </w:rPr>
  </w:style>
  <w:style w:type="table" w:customStyle="1" w:styleId="20">
    <w:name w:val="Table Normal"/>
    <w:semiHidden/>
    <w:unhideWhenUsed/>
    <w:qFormat/>
    <w:uiPriority w:val="0"/>
    <w:tblPr>
      <w:tblCellMar>
        <w:top w:w="0" w:type="dxa"/>
        <w:left w:w="0" w:type="dxa"/>
        <w:bottom w:w="0" w:type="dxa"/>
        <w:right w:w="0" w:type="dxa"/>
      </w:tblCellMar>
    </w:tblPr>
  </w:style>
  <w:style w:type="character" w:customStyle="1" w:styleId="21">
    <w:name w:val="页眉 字符"/>
    <w:basedOn w:val="16"/>
    <w:link w:val="8"/>
    <w:qFormat/>
    <w:uiPriority w:val="0"/>
    <w:rPr>
      <w:rFonts w:eastAsia="Arial"/>
      <w:snapToGrid w:val="0"/>
      <w:color w:val="000000"/>
      <w:sz w:val="18"/>
      <w:szCs w:val="18"/>
      <w:lang w:eastAsia="en-US"/>
    </w:rPr>
  </w:style>
  <w:style w:type="character" w:customStyle="1" w:styleId="22">
    <w:name w:val="页脚 字符"/>
    <w:basedOn w:val="16"/>
    <w:link w:val="7"/>
    <w:qFormat/>
    <w:uiPriority w:val="99"/>
    <w:rPr>
      <w:rFonts w:eastAsia="Arial"/>
      <w:snapToGrid w:val="0"/>
      <w:color w:val="000000"/>
      <w:sz w:val="18"/>
      <w:szCs w:val="18"/>
      <w:lang w:eastAsia="en-US"/>
    </w:rPr>
  </w:style>
  <w:style w:type="character" w:customStyle="1" w:styleId="23">
    <w:name w:val="标题 3 字符"/>
    <w:basedOn w:val="16"/>
    <w:link w:val="4"/>
    <w:semiHidden/>
    <w:qFormat/>
    <w:uiPriority w:val="0"/>
    <w:rPr>
      <w:rFonts w:eastAsia="Arial"/>
      <w:b/>
      <w:bCs/>
      <w:snapToGrid w:val="0"/>
      <w:color w:val="000000"/>
      <w:sz w:val="32"/>
      <w:szCs w:val="32"/>
      <w:lang w:eastAsia="en-US"/>
    </w:rPr>
  </w:style>
  <w:style w:type="character" w:customStyle="1" w:styleId="24">
    <w:name w:val="标题 2 字符"/>
    <w:basedOn w:val="16"/>
    <w:link w:val="3"/>
    <w:qFormat/>
    <w:uiPriority w:val="0"/>
    <w:rPr>
      <w:rFonts w:ascii="Cambria" w:hAnsi="Cambria" w:eastAsia="宋体" w:cs="Times New Roman"/>
      <w:b/>
      <w:bCs/>
      <w:kern w:val="2"/>
      <w:sz w:val="32"/>
      <w:szCs w:val="32"/>
    </w:rPr>
  </w:style>
  <w:style w:type="paragraph" w:customStyle="1" w:styleId="25">
    <w:name w:val="修订1"/>
    <w:hidden/>
    <w:unhideWhenUsed/>
    <w:qFormat/>
    <w:uiPriority w:val="99"/>
    <w:rPr>
      <w:rFonts w:ascii="Arial" w:hAnsi="Arial" w:eastAsia="Arial" w:cs="Arial"/>
      <w:snapToGrid w:val="0"/>
      <w:color w:val="000000"/>
      <w:sz w:val="21"/>
      <w:szCs w:val="21"/>
      <w:lang w:val="en-US" w:eastAsia="en-US" w:bidi="ar-SA"/>
    </w:rPr>
  </w:style>
  <w:style w:type="paragraph" w:styleId="26">
    <w:name w:val="List Paragraph"/>
    <w:basedOn w:val="1"/>
    <w:unhideWhenUsed/>
    <w:qFormat/>
    <w:uiPriority w:val="99"/>
    <w:pPr>
      <w:ind w:firstLine="420" w:firstLineChars="200"/>
    </w:pPr>
  </w:style>
  <w:style w:type="character" w:customStyle="1" w:styleId="27">
    <w:name w:val="脚注文本 字符"/>
    <w:basedOn w:val="16"/>
    <w:link w:val="10"/>
    <w:qFormat/>
    <w:uiPriority w:val="0"/>
    <w:rPr>
      <w:rFonts w:eastAsia="Arial"/>
      <w:snapToGrid w:val="0"/>
      <w:color w:val="000000"/>
      <w:sz w:val="18"/>
      <w:szCs w:val="18"/>
      <w:lang w:eastAsia="en-US"/>
    </w:rPr>
  </w:style>
  <w:style w:type="paragraph" w:customStyle="1" w:styleId="28">
    <w:name w:val="Revision"/>
    <w:hidden/>
    <w:unhideWhenUsed/>
    <w:qFormat/>
    <w:uiPriority w:val="99"/>
    <w:rPr>
      <w:rFonts w:ascii="Arial" w:hAnsi="Arial" w:eastAsia="Arial" w:cs="Arial"/>
      <w:snapToGrid w:val="0"/>
      <w:color w:val="000000"/>
      <w:sz w:val="21"/>
      <w:szCs w:val="21"/>
      <w:lang w:val="en-US" w:eastAsia="en-US" w:bidi="ar-SA"/>
    </w:rPr>
  </w:style>
  <w:style w:type="character" w:customStyle="1" w:styleId="29">
    <w:name w:val="正文文本 字符"/>
    <w:basedOn w:val="16"/>
    <w:link w:val="6"/>
    <w:semiHidden/>
    <w:qFormat/>
    <w:uiPriority w:val="0"/>
    <w:rPr>
      <w:rFonts w:ascii="黑体" w:hAnsi="黑体" w:eastAsia="黑体" w:cs="黑体"/>
      <w:snapToGrid w:val="0"/>
      <w:color w:val="000000"/>
      <w:sz w:val="47"/>
      <w:szCs w:val="47"/>
      <w:lang w:eastAsia="en-US"/>
    </w:rPr>
  </w:style>
  <w:style w:type="character" w:customStyle="1" w:styleId="30">
    <w:name w:val="批注文字 字符"/>
    <w:basedOn w:val="16"/>
    <w:link w:val="5"/>
    <w:qFormat/>
    <w:uiPriority w:val="0"/>
    <w:rPr>
      <w:rFonts w:eastAsia="Arial"/>
      <w:snapToGrid w:val="0"/>
      <w:color w:val="000000"/>
      <w:sz w:val="21"/>
      <w:szCs w:val="21"/>
      <w:lang w:eastAsia="en-US"/>
    </w:rPr>
  </w:style>
  <w:style w:type="character" w:customStyle="1" w:styleId="31">
    <w:name w:val="批注主题 字符"/>
    <w:basedOn w:val="30"/>
    <w:link w:val="14"/>
    <w:qFormat/>
    <w:uiPriority w:val="0"/>
    <w:rPr>
      <w:rFonts w:eastAsia="Arial"/>
      <w:b/>
      <w:bCs/>
      <w:snapToGrid w:val="0"/>
      <w:color w:val="000000"/>
      <w:sz w:val="21"/>
      <w:szCs w:val="21"/>
      <w:lang w:eastAsia="en-US"/>
    </w:rPr>
  </w:style>
  <w:style w:type="character" w:customStyle="1" w:styleId="32">
    <w:name w:val="HTML 预设格式 字符"/>
    <w:basedOn w:val="16"/>
    <w:link w:val="12"/>
    <w:qFormat/>
    <w:uiPriority w:val="99"/>
    <w:rPr>
      <w:rFonts w:ascii="宋体" w:hAnsi="宋体" w:eastAsia="宋体" w:cs="宋体"/>
      <w:sz w:val="24"/>
      <w:szCs w:val="24"/>
    </w:rPr>
  </w:style>
  <w:style w:type="paragraph" w:customStyle="1" w:styleId="3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character" w:customStyle="1" w:styleId="35">
    <w:name w:val="发布"/>
    <w:qFormat/>
    <w:uiPriority w:val="0"/>
    <w:rPr>
      <w:rFonts w:ascii="黑体" w:eastAsia="黑体"/>
      <w:spacing w:val="22"/>
      <w:w w:val="100"/>
      <w:position w:val="3"/>
      <w:sz w:val="28"/>
    </w:rPr>
  </w:style>
  <w:style w:type="paragraph" w:customStyle="1" w:styleId="36">
    <w:name w:val="封面日期"/>
    <w:qFormat/>
    <w:uiPriority w:val="0"/>
    <w:pPr>
      <w:jc w:val="center"/>
    </w:pPr>
    <w:rPr>
      <w:rFonts w:ascii="黑体" w:hAnsi="Times New Roman" w:eastAsia="黑体" w:cs="Times New Roman"/>
      <w:spacing w:val="4"/>
      <w:sz w:val="28"/>
      <w:lang w:val="en-US" w:eastAsia="zh-CN" w:bidi="ar-SA"/>
    </w:rPr>
  </w:style>
  <w:style w:type="character" w:customStyle="1" w:styleId="37">
    <w:name w:val="标题 1 字符"/>
    <w:basedOn w:val="16"/>
    <w:link w:val="2"/>
    <w:qFormat/>
    <w:uiPriority w:val="0"/>
    <w:rPr>
      <w:rFonts w:eastAsia="Arial"/>
      <w:b/>
      <w:bCs/>
      <w:snapToGrid w:val="0"/>
      <w:color w:val="000000"/>
      <w:kern w:val="44"/>
      <w:sz w:val="44"/>
      <w:szCs w:val="44"/>
      <w:lang w:eastAsia="en-US"/>
    </w:rPr>
  </w:style>
  <w:style w:type="paragraph" w:customStyle="1" w:styleId="38">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paragraph" w:customStyle="1" w:styleId="39">
    <w:name w:val="标准书眉_偶数页"/>
    <w:basedOn w:val="1"/>
    <w:next w:val="1"/>
    <w:qFormat/>
    <w:uiPriority w:val="0"/>
    <w:pPr>
      <w:widowControl/>
      <w:tabs>
        <w:tab w:val="center" w:pos="4154"/>
        <w:tab w:val="right" w:pos="8306"/>
      </w:tabs>
      <w:spacing w:after="220"/>
      <w:jc w:val="left"/>
    </w:pPr>
    <w:rPr>
      <w:rFonts w:ascii="黑体" w:hAnsi="Times New Roman" w:eastAsia="黑体"/>
      <w:kern w:val="0"/>
      <w:sz w:val="21"/>
      <w:szCs w:val="21"/>
    </w:rPr>
  </w:style>
  <w:style w:type="paragraph" w:customStyle="1" w:styleId="40">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41">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1DBDE-338E-479A-AFA0-B61CBD6AF073}">
  <ds:schemaRefs/>
</ds:datastoreItem>
</file>

<file path=docProps/app.xml><?xml version="1.0" encoding="utf-8"?>
<Properties xmlns="http://schemas.openxmlformats.org/officeDocument/2006/extended-properties" xmlns:vt="http://schemas.openxmlformats.org/officeDocument/2006/docPropsVTypes">
  <Template>Normal</Template>
  <Pages>8</Pages>
  <Words>2419</Words>
  <Characters>3169</Characters>
  <Lines>189</Lines>
  <Paragraphs>201</Paragraphs>
  <TotalTime>2</TotalTime>
  <ScaleCrop>false</ScaleCrop>
  <LinksUpToDate>false</LinksUpToDate>
  <CharactersWithSpaces>3520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2025-08-22T01:56:00Z</dcterms:created>
  <dc:creator>chen</dc:creator>
  <cp:lastModifiedBy>Amy</cp:lastModifiedBy>
  <dcterms:modified xsi:type="dcterms:W3CDTF">2025-12-02T07:42:01Z</dcterms:modified>
  <dc:title>团体标准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2024-12-30T11:29:24Z</vt:filetime>
  </property>
  <property fmtid="{D5CDD505-2E9C-101B-9397-08002B2CF9AE}" pid="4" name="KSOTemplateDocerSaveRecord">
    <vt:lpwstr>eyJoZGlkIjoiMTUzNGMyMWMzMDdiODE1OGUzZGY4Y2FmOTI4YTAyY2EiLCJ1c2VySWQiOiI1Mzg4NzMyMzEifQ==</vt:lpwstr>
  </property>
  <property fmtid="{D5CDD505-2E9C-101B-9397-08002B2CF9AE}" pid="5" name="KSOProductBuildVer">
    <vt:lpwstr>2052-12.1.0.23125</vt:lpwstr>
  </property>
  <property fmtid="{D5CDD505-2E9C-101B-9397-08002B2CF9AE}" pid="6" name="ICV">
    <vt:lpwstr>CAE9708B697A4F09A79966487E4BE3DC_12</vt:lpwstr>
  </property>
</Properties>
</file>