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EFCF33">
      <w:pPr>
        <w:keepNext w:val="0"/>
        <w:keepLines w:val="0"/>
        <w:pageBreakBefore w:val="0"/>
        <w:widowControl w:val="0"/>
        <w:kinsoku/>
        <w:wordWrap/>
        <w:overflowPunct/>
        <w:topLinePunct w:val="0"/>
        <w:autoSpaceDE/>
        <w:autoSpaceDN/>
        <w:bidi w:val="0"/>
        <w:adjustRightInd/>
        <w:snapToGrid/>
        <w:spacing w:before="181" w:beforeLines="50" w:after="181" w:afterLines="50" w:line="360" w:lineRule="auto"/>
        <w:jc w:val="center"/>
        <w:textAlignment w:val="auto"/>
        <w:rPr>
          <w:rFonts w:hint="default" w:ascii="Times New Roman" w:hAnsi="Times New Roman" w:eastAsia="黑体" w:cstheme="minorBidi"/>
          <w:kern w:val="2"/>
          <w:sz w:val="30"/>
          <w:szCs w:val="30"/>
          <w:lang w:val="en-US" w:eastAsia="zh-CN" w:bidi="ar-SA"/>
        </w:rPr>
      </w:pPr>
      <w:r>
        <w:rPr>
          <w:rFonts w:hint="default" w:ascii="Times New Roman" w:hAnsi="Times New Roman" w:eastAsia="黑体" w:cstheme="minorBidi"/>
          <w:kern w:val="2"/>
          <w:sz w:val="30"/>
          <w:szCs w:val="30"/>
          <w:lang w:val="en-US" w:eastAsia="zh-CN" w:bidi="ar-SA"/>
        </w:rPr>
        <w:t>《干细胞防控糖尿病及并发症临床研究技术规范》编制说明</w:t>
      </w:r>
    </w:p>
    <w:p w14:paraId="7358041C">
      <w:pPr>
        <w:pStyle w:val="3"/>
        <w:keepNext w:val="0"/>
        <w:keepLines w:val="0"/>
        <w:pageBreakBefore w:val="0"/>
        <w:widowControl/>
        <w:kinsoku/>
        <w:wordWrap/>
        <w:overflowPunct/>
        <w:topLinePunct w:val="0"/>
        <w:autoSpaceDE/>
        <w:autoSpaceDN/>
        <w:bidi w:val="0"/>
        <w:adjustRightInd/>
        <w:snapToGrid/>
        <w:spacing w:before="181" w:beforeLines="50" w:after="181" w:afterLines="50" w:line="360" w:lineRule="auto"/>
        <w:ind w:left="0"/>
        <w:textAlignment w:val="auto"/>
        <w:rPr>
          <w:rFonts w:hint="eastAsia" w:ascii="黑体" w:hAnsi="黑体" w:eastAsia="黑体" w:cs="黑体"/>
          <w:b w:val="0"/>
          <w:bCs w:val="0"/>
          <w:sz w:val="21"/>
          <w:szCs w:val="21"/>
        </w:rPr>
      </w:pPr>
      <w:r>
        <w:rPr>
          <w:rFonts w:hint="eastAsia" w:ascii="黑体" w:hAnsi="黑体" w:eastAsia="黑体" w:cs="黑体"/>
          <w:b w:val="0"/>
          <w:bCs w:val="0"/>
          <w:sz w:val="21"/>
          <w:szCs w:val="21"/>
        </w:rPr>
        <w:t>一、工作简况</w:t>
      </w:r>
    </w:p>
    <w:p w14:paraId="51C53D23">
      <w:pPr>
        <w:pStyle w:val="4"/>
        <w:keepNext w:val="0"/>
        <w:keepLines w:val="0"/>
        <w:pageBreakBefore w:val="0"/>
        <w:widowControl/>
        <w:kinsoku/>
        <w:wordWrap/>
        <w:overflowPunct/>
        <w:topLinePunct w:val="0"/>
        <w:autoSpaceDE/>
        <w:autoSpaceDN/>
        <w:bidi w:val="0"/>
        <w:adjustRightInd/>
        <w:snapToGrid/>
        <w:spacing w:before="0" w:after="0" w:line="360" w:lineRule="auto"/>
        <w:ind w:left="0"/>
        <w:textAlignment w:val="auto"/>
        <w:rPr>
          <w:rFonts w:hint="eastAsia" w:ascii="黑体" w:hAnsi="黑体" w:eastAsia="黑体" w:cs="黑体"/>
          <w:b w:val="0"/>
          <w:bCs w:val="0"/>
          <w:sz w:val="21"/>
          <w:szCs w:val="21"/>
        </w:rPr>
      </w:pPr>
      <w:r>
        <w:rPr>
          <w:rFonts w:hint="eastAsia" w:ascii="黑体" w:hAnsi="黑体" w:eastAsia="黑体" w:cs="黑体"/>
          <w:b w:val="0"/>
          <w:bCs w:val="0"/>
          <w:sz w:val="21"/>
          <w:szCs w:val="21"/>
        </w:rPr>
        <w:t>（一）任务来源</w:t>
      </w:r>
    </w:p>
    <w:p w14:paraId="41E8B3C9">
      <w:pPr>
        <w:pStyle w:val="17"/>
        <w:keepNext w:val="0"/>
        <w:keepLines w:val="0"/>
        <w:pageBreakBefore w:val="0"/>
        <w:widowControl/>
        <w:kinsoku/>
        <w:wordWrap/>
        <w:overflowPunct/>
        <w:topLinePunct w:val="0"/>
        <w:autoSpaceDE/>
        <w:autoSpaceDN/>
        <w:bidi w:val="0"/>
        <w:adjustRightInd/>
        <w:snapToGrid/>
        <w:spacing w:before="0" w:after="0" w:line="360" w:lineRule="auto"/>
        <w:ind w:left="0"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随着干细胞技术在医学领域的快速发展，其在糖尿病及并发症防控方面展现出巨大潜力，但当前该领域临床研究缺乏统一、规范的技术指引，导致研究过程存在操作不标准、数据不严谨、安全风险难把控等问题。为填补这一空白，推动干细胞技术在糖尿病及并发症防控领域的规范化、高质量发展，联合行业内多家科研机构、医疗机构及企业，向中国食品药品企业质量安全促进会提出《干细胞防控糖尿病及并发症临床研究技术规范》团体标准制定申请。</w:t>
      </w:r>
    </w:p>
    <w:p w14:paraId="735EACF3">
      <w:pPr>
        <w:pStyle w:val="3"/>
        <w:keepNext w:val="0"/>
        <w:keepLines w:val="0"/>
        <w:pageBreakBefore w:val="0"/>
        <w:widowControl/>
        <w:kinsoku/>
        <w:wordWrap/>
        <w:overflowPunct/>
        <w:topLinePunct w:val="0"/>
        <w:autoSpaceDE/>
        <w:autoSpaceDN/>
        <w:bidi w:val="0"/>
        <w:adjustRightInd/>
        <w:snapToGrid/>
        <w:spacing w:before="0" w:after="0" w:line="360" w:lineRule="auto"/>
        <w:ind w:left="0"/>
        <w:textAlignment w:val="auto"/>
        <w:rPr>
          <w:rFonts w:hint="eastAsia" w:ascii="黑体" w:hAnsi="黑体" w:eastAsia="黑体" w:cs="黑体"/>
          <w:b w:val="0"/>
          <w:bCs w:val="0"/>
          <w:sz w:val="21"/>
          <w:szCs w:val="21"/>
        </w:rPr>
      </w:pPr>
      <w:r>
        <w:rPr>
          <w:rFonts w:hint="eastAsia" w:ascii="黑体" w:hAnsi="黑体" w:eastAsia="黑体" w:cs="黑体"/>
          <w:b w:val="0"/>
          <w:bCs w:val="0"/>
          <w:sz w:val="21"/>
          <w:szCs w:val="21"/>
        </w:rPr>
        <w:t>（二）目的、意义及必要性</w:t>
      </w:r>
    </w:p>
    <w:p w14:paraId="3BC47E3F">
      <w:pPr>
        <w:pStyle w:val="3"/>
        <w:keepNext w:val="0"/>
        <w:keepLines w:val="0"/>
        <w:pageBreakBefore w:val="0"/>
        <w:widowControl/>
        <w:kinsoku/>
        <w:wordWrap/>
        <w:overflowPunct/>
        <w:topLinePunct w:val="0"/>
        <w:autoSpaceDE/>
        <w:autoSpaceDN/>
        <w:bidi w:val="0"/>
        <w:adjustRightInd/>
        <w:snapToGrid/>
        <w:spacing w:before="0" w:after="0" w:line="360" w:lineRule="auto"/>
        <w:ind w:left="0"/>
        <w:textAlignment w:val="auto"/>
        <w:rPr>
          <w:rFonts w:hint="eastAsia" w:ascii="黑体" w:hAnsi="黑体" w:eastAsia="黑体" w:cs="黑体"/>
          <w:b w:val="0"/>
          <w:bCs w:val="0"/>
          <w:sz w:val="21"/>
          <w:szCs w:val="21"/>
        </w:rPr>
      </w:pPr>
      <w:r>
        <w:rPr>
          <w:rFonts w:hint="eastAsia" w:ascii="黑体" w:hAnsi="黑体" w:eastAsia="黑体" w:cs="黑体"/>
          <w:b w:val="0"/>
          <w:bCs w:val="0"/>
          <w:sz w:val="21"/>
          <w:szCs w:val="21"/>
        </w:rPr>
        <w:t>1. 目的</w:t>
      </w:r>
    </w:p>
    <w:p w14:paraId="49D1BD0E">
      <w:pPr>
        <w:pStyle w:val="17"/>
        <w:keepNext w:val="0"/>
        <w:keepLines w:val="0"/>
        <w:pageBreakBefore w:val="0"/>
        <w:widowControl/>
        <w:kinsoku/>
        <w:wordWrap/>
        <w:overflowPunct/>
        <w:topLinePunct w:val="0"/>
        <w:autoSpaceDE/>
        <w:autoSpaceDN/>
        <w:bidi w:val="0"/>
        <w:adjustRightInd/>
        <w:snapToGrid/>
        <w:spacing w:before="0" w:after="0" w:line="360" w:lineRule="auto"/>
        <w:ind w:left="0"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团体标准编制的核心目的是建立一套覆盖干细胞防控糖尿病及并发症临床研究全流程的技术规范，明确研究设计、干细胞制备与质量控制、受试者筛选与管理、临床操作、疗效与安全性评价、数据管理与统计分析等关键环节的技术要求和操作准则，为相关临床研究提供统一的技术依据，确保研究的科学性、规范性和可靠性。</w:t>
      </w:r>
    </w:p>
    <w:p w14:paraId="77F33B84">
      <w:pPr>
        <w:pStyle w:val="5"/>
        <w:keepNext w:val="0"/>
        <w:keepLines w:val="0"/>
        <w:pageBreakBefore w:val="0"/>
        <w:widowControl/>
        <w:kinsoku/>
        <w:wordWrap/>
        <w:overflowPunct/>
        <w:topLinePunct w:val="0"/>
        <w:autoSpaceDE/>
        <w:autoSpaceDN/>
        <w:bidi w:val="0"/>
        <w:adjustRightInd/>
        <w:snapToGrid/>
        <w:spacing w:before="0" w:after="0" w:line="360" w:lineRule="auto"/>
        <w:ind w:left="0"/>
        <w:textAlignment w:val="auto"/>
        <w:rPr>
          <w:rFonts w:hint="eastAsia" w:ascii="黑体" w:hAnsi="黑体" w:eastAsia="黑体" w:cs="黑体"/>
          <w:b w:val="0"/>
          <w:bCs w:val="0"/>
          <w:sz w:val="21"/>
          <w:szCs w:val="21"/>
        </w:rPr>
      </w:pPr>
      <w:r>
        <w:rPr>
          <w:rFonts w:hint="eastAsia" w:ascii="黑体" w:hAnsi="黑体" w:eastAsia="黑体" w:cs="黑体"/>
          <w:b w:val="0"/>
          <w:bCs w:val="0"/>
          <w:sz w:val="21"/>
          <w:szCs w:val="21"/>
        </w:rPr>
        <w:t>2. 意义</w:t>
      </w:r>
    </w:p>
    <w:p w14:paraId="1D14AEEC">
      <w:pPr>
        <w:pStyle w:val="17"/>
        <w:keepNext w:val="0"/>
        <w:keepLines w:val="0"/>
        <w:pageBreakBefore w:val="0"/>
        <w:widowControl/>
        <w:kinsoku/>
        <w:wordWrap/>
        <w:overflowPunct/>
        <w:topLinePunct w:val="0"/>
        <w:autoSpaceDE/>
        <w:autoSpaceDN/>
        <w:bidi w:val="0"/>
        <w:adjustRightInd/>
        <w:snapToGrid/>
        <w:spacing w:before="0" w:after="0" w:line="360" w:lineRule="auto"/>
        <w:ind w:left="0"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从医学研究角度看，统一的技术规范能够减少因操作差异导致的研究误差，提高研究数据的可比性和准确性，有助于推动干细胞防控糖尿病及并发症的基础研究向临床转化，加快相关治疗技术的研发进程。从临床应用角度，规范的临床研究可保障受试者的安全和权益，降低研究风险，为未来干细胞治疗技术在临床的广泛应用奠定坚实基础，为糖尿病及并发症患者提供更安全、有效的治疗选择。</w:t>
      </w:r>
    </w:p>
    <w:p w14:paraId="69C84B8C">
      <w:pPr>
        <w:pStyle w:val="5"/>
        <w:keepNext w:val="0"/>
        <w:keepLines w:val="0"/>
        <w:pageBreakBefore w:val="0"/>
        <w:widowControl/>
        <w:kinsoku/>
        <w:wordWrap/>
        <w:overflowPunct/>
        <w:topLinePunct w:val="0"/>
        <w:autoSpaceDE/>
        <w:autoSpaceDN/>
        <w:bidi w:val="0"/>
        <w:adjustRightInd/>
        <w:snapToGrid/>
        <w:spacing w:before="0" w:after="0" w:line="360" w:lineRule="auto"/>
        <w:ind w:left="0"/>
        <w:textAlignment w:val="auto"/>
        <w:rPr>
          <w:rFonts w:hint="eastAsia" w:ascii="黑体" w:hAnsi="黑体" w:eastAsia="黑体" w:cs="黑体"/>
          <w:b w:val="0"/>
          <w:bCs w:val="0"/>
          <w:sz w:val="21"/>
          <w:szCs w:val="21"/>
        </w:rPr>
      </w:pPr>
      <w:r>
        <w:rPr>
          <w:rFonts w:hint="eastAsia" w:ascii="黑体" w:hAnsi="黑体" w:eastAsia="黑体" w:cs="黑体"/>
          <w:b w:val="0"/>
          <w:bCs w:val="0"/>
          <w:sz w:val="21"/>
          <w:szCs w:val="21"/>
        </w:rPr>
        <w:t>3. 必要性</w:t>
      </w:r>
    </w:p>
    <w:p w14:paraId="7561E055">
      <w:pPr>
        <w:pStyle w:val="17"/>
        <w:keepNext w:val="0"/>
        <w:keepLines w:val="0"/>
        <w:pageBreakBefore w:val="0"/>
        <w:widowControl/>
        <w:kinsoku/>
        <w:wordWrap/>
        <w:overflowPunct/>
        <w:topLinePunct w:val="0"/>
        <w:autoSpaceDE/>
        <w:autoSpaceDN/>
        <w:bidi w:val="0"/>
        <w:adjustRightInd/>
        <w:snapToGrid/>
        <w:spacing w:before="0" w:after="0" w:line="360" w:lineRule="auto"/>
        <w:ind w:left="0"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目前，我国干细胞临床研究相关政策虽已初步建立，但针对糖尿病及并发症这一特定疾病领域的专项技术规范仍处于空白状态。不同研究机构在干细胞来源选择、制备工艺、给药剂量、疗效评价指标等方面缺乏统一标准，导致研究结果难以相互验证和整合，严重制约了研究成果的转化和应用。同时，部分研究存在干细胞质量控制不严、受试者知情同意流程不规范、安全性监测措施不到位等问题，不仅影响研究质量，还可能对受试者健康造成潜在风险。此外，随着国际上干细胞治疗糖尿病研究的不断推进，我国若不能及时建立符合国情且与国际接轨的技术规范，将在该领域的国际竞争中处于不利地位。因此，制定本团体标准具有迫切的现实必要性，是解决当前行业痛点、保障研究质量与安全、推动行业发展的关键举措。</w:t>
      </w:r>
    </w:p>
    <w:p w14:paraId="2ADDC344">
      <w:pPr>
        <w:pStyle w:val="4"/>
        <w:keepNext w:val="0"/>
        <w:keepLines w:val="0"/>
        <w:pageBreakBefore w:val="0"/>
        <w:widowControl/>
        <w:kinsoku/>
        <w:wordWrap/>
        <w:overflowPunct/>
        <w:topLinePunct w:val="0"/>
        <w:autoSpaceDE/>
        <w:autoSpaceDN/>
        <w:bidi w:val="0"/>
        <w:adjustRightInd/>
        <w:snapToGrid/>
        <w:spacing w:before="0" w:after="0" w:line="360" w:lineRule="auto"/>
        <w:ind w:left="0"/>
        <w:textAlignment w:val="auto"/>
        <w:rPr>
          <w:rFonts w:hint="eastAsia" w:ascii="黑体" w:hAnsi="黑体" w:eastAsia="黑体" w:cs="黑体"/>
          <w:b w:val="0"/>
          <w:bCs w:val="0"/>
          <w:sz w:val="21"/>
          <w:szCs w:val="21"/>
        </w:rPr>
      </w:pPr>
      <w:r>
        <w:rPr>
          <w:rFonts w:hint="eastAsia" w:ascii="黑体" w:hAnsi="黑体" w:eastAsia="黑体" w:cs="黑体"/>
          <w:b w:val="0"/>
          <w:bCs w:val="0"/>
          <w:sz w:val="21"/>
          <w:szCs w:val="21"/>
        </w:rPr>
        <w:t>（四）参与单位</w:t>
      </w:r>
    </w:p>
    <w:p w14:paraId="6FCA2DE3">
      <w:pPr>
        <w:pStyle w:val="17"/>
        <w:keepNext w:val="0"/>
        <w:keepLines w:val="0"/>
        <w:pageBreakBefore w:val="0"/>
        <w:widowControl/>
        <w:kinsoku/>
        <w:wordWrap/>
        <w:overflowPunct/>
        <w:topLinePunct w:val="0"/>
        <w:autoSpaceDE/>
        <w:autoSpaceDN/>
        <w:bidi w:val="0"/>
        <w:adjustRightInd/>
        <w:snapToGrid/>
        <w:spacing w:before="0" w:after="0" w:line="360" w:lineRule="auto"/>
        <w:ind w:left="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本标准编制工作得到了行业内多家单位的积极响应和参与，参与单位涵盖科研机构、医疗机构、企业等不同类型，具有广泛的代表性和专业性。具体参与单位如下：</w:t>
      </w:r>
    </w:p>
    <w:p w14:paraId="0453EA15">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val="0"/>
          <w:bCs w:val="0"/>
          <w:sz w:val="21"/>
          <w:szCs w:val="21"/>
          <w:lang w:val="en-US" w:eastAsia="zh-CN"/>
        </w:rPr>
        <w:t>参与单位（</w:t>
      </w:r>
      <w:r>
        <w:rPr>
          <w:rFonts w:hint="eastAsia" w:asciiTheme="minorEastAsia" w:hAnsiTheme="minorEastAsia" w:eastAsiaTheme="minorEastAsia" w:cstheme="minorEastAsia"/>
          <w:b w:val="0"/>
          <w:bCs w:val="0"/>
          <w:sz w:val="21"/>
          <w:szCs w:val="21"/>
          <w:highlight w:val="yellow"/>
          <w:lang w:val="en-US" w:eastAsia="zh-CN"/>
        </w:rPr>
        <w:t xml:space="preserve">      </w:t>
      </w:r>
      <w:r>
        <w:rPr>
          <w:rFonts w:hint="eastAsia" w:asciiTheme="minorEastAsia" w:hAnsiTheme="minorEastAsia" w:eastAsiaTheme="minorEastAsia" w:cstheme="minorEastAsia"/>
          <w:b w:val="0"/>
          <w:bCs w:val="0"/>
          <w:sz w:val="21"/>
          <w:szCs w:val="21"/>
          <w:lang w:val="en-US" w:eastAsia="zh-CN"/>
        </w:rPr>
        <w:t>）</w:t>
      </w:r>
      <w:r>
        <w:rPr>
          <w:rFonts w:hint="eastAsia" w:asciiTheme="minorEastAsia" w:hAnsiTheme="minorEastAsia" w:eastAsiaTheme="minorEastAsia" w:cstheme="minorEastAsia"/>
          <w:b w:val="0"/>
          <w:bCs w:val="0"/>
          <w:sz w:val="21"/>
          <w:szCs w:val="21"/>
        </w:rPr>
        <w:t>等单位</w:t>
      </w:r>
      <w:r>
        <w:rPr>
          <w:rFonts w:hint="eastAsia" w:asciiTheme="minorEastAsia" w:hAnsiTheme="minorEastAsia" w:eastAsiaTheme="minorEastAsia" w:cstheme="minorEastAsia"/>
          <w:b w:val="0"/>
          <w:bCs w:val="0"/>
          <w:sz w:val="21"/>
          <w:szCs w:val="21"/>
          <w:lang w:val="en-US" w:eastAsia="zh-CN"/>
        </w:rPr>
        <w:t>及参与人（</w:t>
      </w:r>
      <w:r>
        <w:rPr>
          <w:rFonts w:hint="eastAsia" w:asciiTheme="minorEastAsia" w:hAnsiTheme="minorEastAsia" w:eastAsiaTheme="minorEastAsia" w:cstheme="minorEastAsia"/>
          <w:b w:val="0"/>
          <w:bCs w:val="0"/>
          <w:sz w:val="21"/>
          <w:szCs w:val="21"/>
          <w:highlight w:val="yellow"/>
          <w:lang w:val="en-US" w:eastAsia="zh-CN"/>
        </w:rPr>
        <w:t xml:space="preserve">    </w:t>
      </w:r>
      <w:r>
        <w:rPr>
          <w:rFonts w:hint="eastAsia" w:asciiTheme="minorEastAsia" w:hAnsiTheme="minorEastAsia" w:eastAsiaTheme="minorEastAsia" w:cstheme="minorEastAsia"/>
          <w:b w:val="0"/>
          <w:bCs w:val="0"/>
          <w:sz w:val="21"/>
          <w:szCs w:val="21"/>
          <w:lang w:val="en-US" w:eastAsia="zh-CN"/>
        </w:rPr>
        <w:t>）</w:t>
      </w:r>
      <w:r>
        <w:rPr>
          <w:rFonts w:hint="eastAsia" w:asciiTheme="minorEastAsia" w:hAnsiTheme="minorEastAsia" w:eastAsiaTheme="minorEastAsia" w:cstheme="minorEastAsia"/>
          <w:b w:val="0"/>
          <w:bCs w:val="0"/>
          <w:sz w:val="21"/>
          <w:szCs w:val="21"/>
        </w:rPr>
        <w:t>共同编制。</w:t>
      </w:r>
      <w:r>
        <w:rPr>
          <w:rFonts w:hint="eastAsia" w:asciiTheme="minorEastAsia" w:hAnsiTheme="minorEastAsia" w:eastAsiaTheme="minorEastAsia" w:cstheme="minorEastAsia"/>
          <w:sz w:val="21"/>
          <w:szCs w:val="21"/>
        </w:rPr>
        <w:t>在干细胞基础研究和制备技术方面具有较强实力，主要参与干细胞制备与质量控制章节的编写，提供相关技术参数和实验数据支持。分别在数据管理与统计分析、伦理审查、政策法规解读等方面提供专业意见，共同确保标准内容的全面性、科学性和合规性。</w:t>
      </w:r>
    </w:p>
    <w:p w14:paraId="661E06DD">
      <w:pPr>
        <w:pStyle w:val="4"/>
        <w:keepNext w:val="0"/>
        <w:keepLines w:val="0"/>
        <w:pageBreakBefore w:val="0"/>
        <w:widowControl/>
        <w:kinsoku/>
        <w:wordWrap/>
        <w:overflowPunct/>
        <w:topLinePunct w:val="0"/>
        <w:autoSpaceDE/>
        <w:autoSpaceDN/>
        <w:bidi w:val="0"/>
        <w:adjustRightInd/>
        <w:snapToGrid/>
        <w:spacing w:before="0" w:after="0" w:line="360" w:lineRule="auto"/>
        <w:ind w:left="0"/>
        <w:textAlignment w:val="auto"/>
        <w:rPr>
          <w:rFonts w:hint="eastAsia" w:ascii="黑体" w:hAnsi="黑体" w:eastAsia="黑体" w:cs="黑体"/>
          <w:b w:val="0"/>
          <w:bCs w:val="0"/>
          <w:sz w:val="21"/>
          <w:szCs w:val="21"/>
        </w:rPr>
      </w:pPr>
      <w:r>
        <w:rPr>
          <w:rFonts w:hint="eastAsia" w:ascii="黑体" w:hAnsi="黑体" w:eastAsia="黑体" w:cs="黑体"/>
          <w:b w:val="0"/>
          <w:bCs w:val="0"/>
          <w:sz w:val="21"/>
          <w:szCs w:val="21"/>
        </w:rPr>
        <w:t>（五）主要工作</w:t>
      </w:r>
    </w:p>
    <w:p w14:paraId="55352978">
      <w:pPr>
        <w:pStyle w:val="5"/>
        <w:keepNext w:val="0"/>
        <w:keepLines w:val="0"/>
        <w:pageBreakBefore w:val="0"/>
        <w:widowControl/>
        <w:kinsoku/>
        <w:wordWrap/>
        <w:overflowPunct/>
        <w:topLinePunct w:val="0"/>
        <w:autoSpaceDE/>
        <w:autoSpaceDN/>
        <w:bidi w:val="0"/>
        <w:adjustRightInd/>
        <w:snapToGrid/>
        <w:spacing w:before="0" w:after="0" w:line="360" w:lineRule="auto"/>
        <w:ind w:left="0"/>
        <w:textAlignment w:val="auto"/>
        <w:rPr>
          <w:rFonts w:hint="eastAsia" w:ascii="黑体" w:hAnsi="黑体" w:eastAsia="黑体" w:cs="黑体"/>
          <w:b w:val="0"/>
          <w:bCs w:val="0"/>
          <w:sz w:val="21"/>
          <w:szCs w:val="21"/>
        </w:rPr>
      </w:pPr>
      <w:r>
        <w:rPr>
          <w:rFonts w:hint="eastAsia" w:ascii="黑体" w:hAnsi="黑体" w:eastAsia="黑体" w:cs="黑体"/>
          <w:b w:val="0"/>
          <w:bCs w:val="0"/>
          <w:sz w:val="21"/>
          <w:szCs w:val="21"/>
        </w:rPr>
        <w:t>1. 起草阶段</w:t>
      </w:r>
    </w:p>
    <w:p w14:paraId="4C61CC50">
      <w:pPr>
        <w:pStyle w:val="5"/>
        <w:keepNext w:val="0"/>
        <w:keepLines w:val="0"/>
        <w:pageBreakBefore w:val="0"/>
        <w:kinsoku/>
        <w:wordWrap/>
        <w:overflowPunct/>
        <w:topLinePunct w:val="0"/>
        <w:autoSpaceDE/>
        <w:autoSpaceDN/>
        <w:bidi w:val="0"/>
        <w:adjustRightInd/>
        <w:snapToGrid/>
        <w:spacing w:before="0" w:beforeAutospacing="0" w:after="0" w:afterAutospacing="0" w:line="360" w:lineRule="auto"/>
        <w:ind w:left="0"/>
        <w:textAlignment w:val="auto"/>
        <w:rPr>
          <w:rFonts w:hint="eastAsia" w:ascii="黑体" w:hAnsi="黑体" w:eastAsia="黑体" w:cs="黑体"/>
          <w:b w:val="0"/>
          <w:bCs w:val="0"/>
          <w:kern w:val="2"/>
          <w:sz w:val="21"/>
          <w:szCs w:val="21"/>
          <w:lang w:val="en-US" w:eastAsia="zh-CN" w:bidi="ar-SA"/>
        </w:rPr>
      </w:pPr>
      <w:r>
        <w:rPr>
          <w:rFonts w:hint="eastAsia" w:ascii="黑体" w:hAnsi="黑体" w:eastAsia="黑体" w:cs="黑体"/>
          <w:b w:val="0"/>
          <w:bCs w:val="0"/>
          <w:kern w:val="2"/>
          <w:sz w:val="21"/>
          <w:szCs w:val="21"/>
          <w:lang w:val="en-US" w:eastAsia="zh-CN" w:bidi="ar-SA"/>
        </w:rPr>
        <w:t>1.起草阶段</w:t>
      </w:r>
    </w:p>
    <w:p w14:paraId="32704D5C">
      <w:pPr>
        <w:pStyle w:val="17"/>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ind w:firstLine="420" w:firstLineChars="200"/>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黑体" w:hAnsi="黑体" w:eastAsia="黑体" w:cs="黑体"/>
          <w:b w:val="0"/>
          <w:bCs w:val="0"/>
          <w:kern w:val="2"/>
          <w:sz w:val="21"/>
          <w:szCs w:val="21"/>
          <w:lang w:val="en-US" w:eastAsia="zh-CN" w:bidi="ar-SA"/>
        </w:rPr>
        <w:t>成立标准起草工作组：</w:t>
      </w:r>
      <w:r>
        <w:rPr>
          <w:rFonts w:hint="eastAsia" w:asciiTheme="minorEastAsia" w:hAnsiTheme="minorEastAsia" w:eastAsiaTheme="minorEastAsia" w:cstheme="minorEastAsia"/>
          <w:b w:val="0"/>
          <w:bCs w:val="0"/>
          <w:kern w:val="2"/>
          <w:sz w:val="21"/>
          <w:szCs w:val="21"/>
          <w:lang w:val="en-US" w:eastAsia="zh-CN" w:bidi="ar-SA"/>
        </w:rPr>
        <w:t>明确各参与单位职责，确定组长（[</w:t>
      </w:r>
      <w:r>
        <w:rPr>
          <w:rFonts w:hint="eastAsia" w:asciiTheme="minorEastAsia" w:hAnsiTheme="minorEastAsia" w:eastAsiaTheme="minorEastAsia" w:cstheme="minorEastAsia"/>
          <w:b w:val="0"/>
          <w:bCs w:val="0"/>
          <w:kern w:val="2"/>
          <w:sz w:val="21"/>
          <w:szCs w:val="21"/>
          <w:highlight w:val="yellow"/>
          <w:lang w:val="en-US" w:eastAsia="zh-CN" w:bidi="ar-SA"/>
        </w:rPr>
        <w:t>牵头单位负责人姓名及职务</w:t>
      </w:r>
      <w:r>
        <w:rPr>
          <w:rFonts w:hint="eastAsia" w:asciiTheme="minorEastAsia" w:hAnsiTheme="minorEastAsia" w:eastAsiaTheme="minorEastAsia" w:cstheme="minorEastAsia"/>
          <w:b w:val="0"/>
          <w:bCs w:val="0"/>
          <w:kern w:val="2"/>
          <w:sz w:val="21"/>
          <w:szCs w:val="21"/>
          <w:lang w:val="en-US" w:eastAsia="zh-CN" w:bidi="ar-SA"/>
        </w:rPr>
        <w:t>] ）及核心起草人员，制定详细的工作方案与时间节点。</w:t>
      </w:r>
    </w:p>
    <w:p w14:paraId="6DC2447C">
      <w:pPr>
        <w:pStyle w:val="17"/>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ind w:firstLine="420" w:firstLineChars="200"/>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黑体" w:hAnsi="黑体" w:eastAsia="黑体" w:cs="黑体"/>
          <w:b w:val="0"/>
          <w:bCs w:val="0"/>
          <w:kern w:val="2"/>
          <w:sz w:val="21"/>
          <w:szCs w:val="21"/>
          <w:lang w:val="en-US" w:eastAsia="zh-CN" w:bidi="ar-SA"/>
        </w:rPr>
        <w:t>文献调研与数据收集：</w:t>
      </w:r>
      <w:r>
        <w:rPr>
          <w:rFonts w:hint="eastAsia" w:asciiTheme="minorEastAsia" w:hAnsiTheme="minorEastAsia" w:eastAsiaTheme="minorEastAsia" w:cstheme="minorEastAsia"/>
          <w:b w:val="0"/>
          <w:bCs w:val="0"/>
          <w:kern w:val="2"/>
          <w:sz w:val="21"/>
          <w:szCs w:val="21"/>
          <w:lang w:val="en-US" w:eastAsia="zh-CN" w:bidi="ar-SA"/>
        </w:rPr>
        <w:t>系统梳理国内外相关标准（如 ISO 16000-6:2021《室内空气 第 6 部分：用质谱联用仪（GC-MS）测定室内空气中的有机化合物》、GB 2763-2024《食品安全国家标准 食品中农药最大残留限量》），收集国内主流荧光定量免疫层析试纸条产品的技术参数（如检测限、特异性、重复性）、实际检测案例数据，分析当前技术应用中的关键问题。</w:t>
      </w:r>
    </w:p>
    <w:p w14:paraId="137AB9FD">
      <w:pPr>
        <w:pStyle w:val="17"/>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ind w:firstLine="420" w:firstLineChars="200"/>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黑体" w:hAnsi="黑体" w:eastAsia="黑体" w:cs="黑体"/>
          <w:b w:val="0"/>
          <w:bCs w:val="0"/>
          <w:kern w:val="2"/>
          <w:sz w:val="21"/>
          <w:szCs w:val="21"/>
          <w:lang w:val="en-US" w:eastAsia="zh-CN" w:bidi="ar-SA"/>
        </w:rPr>
        <w:t>初稿编制：</w:t>
      </w:r>
      <w:r>
        <w:rPr>
          <w:rFonts w:hint="eastAsia" w:asciiTheme="minorEastAsia" w:hAnsiTheme="minorEastAsia" w:eastAsiaTheme="minorEastAsia" w:cstheme="minorEastAsia"/>
          <w:b w:val="0"/>
          <w:bCs w:val="0"/>
          <w:kern w:val="2"/>
          <w:sz w:val="21"/>
          <w:szCs w:val="21"/>
          <w:lang w:val="en-US" w:eastAsia="zh-CN" w:bidi="ar-SA"/>
        </w:rPr>
        <w:t>结合调研结果与实践需求，确定标准的框架结构，完成标准初稿的撰写，并组织工作组内部研讨，修改完善后形成标准讨论稿。</w:t>
      </w:r>
    </w:p>
    <w:p w14:paraId="2C0F2EF7">
      <w:pPr>
        <w:pStyle w:val="17"/>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textAlignment w:val="auto"/>
        <w:rPr>
          <w:rFonts w:hint="eastAsia" w:ascii="黑体" w:hAnsi="黑体" w:eastAsia="黑体" w:cs="黑体"/>
          <w:b w:val="0"/>
          <w:bCs w:val="0"/>
          <w:kern w:val="2"/>
          <w:sz w:val="21"/>
          <w:szCs w:val="21"/>
          <w:lang w:val="en-US" w:eastAsia="zh-CN" w:bidi="ar-SA"/>
        </w:rPr>
      </w:pPr>
      <w:r>
        <w:rPr>
          <w:rFonts w:hint="eastAsia" w:ascii="黑体" w:hAnsi="黑体" w:eastAsia="黑体" w:cs="黑体"/>
          <w:b w:val="0"/>
          <w:bCs w:val="0"/>
          <w:kern w:val="2"/>
          <w:sz w:val="21"/>
          <w:szCs w:val="21"/>
          <w:lang w:val="en-US" w:eastAsia="zh-CN" w:bidi="ar-SA"/>
        </w:rPr>
        <w:t>2. 征求意见阶段</w:t>
      </w:r>
    </w:p>
    <w:p w14:paraId="17106D57">
      <w:pPr>
        <w:pStyle w:val="17"/>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ind w:firstLine="420" w:firstLineChars="200"/>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黑体" w:hAnsi="黑体" w:eastAsia="黑体" w:cs="黑体"/>
          <w:b w:val="0"/>
          <w:bCs w:val="0"/>
          <w:kern w:val="2"/>
          <w:sz w:val="21"/>
          <w:szCs w:val="21"/>
          <w:lang w:val="en-US" w:eastAsia="zh-CN" w:bidi="ar-SA"/>
        </w:rPr>
        <w:t>意见征集范围：</w:t>
      </w:r>
      <w:r>
        <w:rPr>
          <w:rFonts w:hint="eastAsia" w:asciiTheme="minorEastAsia" w:hAnsiTheme="minorEastAsia" w:eastAsiaTheme="minorEastAsia" w:cstheme="minorEastAsia"/>
          <w:b w:val="0"/>
          <w:bCs w:val="0"/>
          <w:kern w:val="2"/>
          <w:sz w:val="21"/>
          <w:szCs w:val="21"/>
          <w:lang w:val="en-US" w:eastAsia="zh-CN" w:bidi="ar-SA"/>
        </w:rPr>
        <w:t>采用 “线上 + 线下” 结合的方式，向行业内科研机构、检测机构、生产企业等 [</w:t>
      </w:r>
      <w:r>
        <w:rPr>
          <w:rFonts w:hint="eastAsia" w:asciiTheme="minorEastAsia" w:hAnsiTheme="minorEastAsia" w:eastAsiaTheme="minorEastAsia" w:cstheme="minorEastAsia"/>
          <w:b w:val="0"/>
          <w:bCs w:val="0"/>
          <w:kern w:val="2"/>
          <w:sz w:val="21"/>
          <w:szCs w:val="21"/>
          <w:highlight w:val="yellow"/>
          <w:lang w:val="en-US" w:eastAsia="zh-CN" w:bidi="ar-SA"/>
        </w:rPr>
        <w:t>XXX家</w:t>
      </w:r>
      <w:r>
        <w:rPr>
          <w:rFonts w:hint="eastAsia" w:asciiTheme="minorEastAsia" w:hAnsiTheme="minorEastAsia" w:eastAsiaTheme="minorEastAsia" w:cstheme="minorEastAsia"/>
          <w:b w:val="0"/>
          <w:bCs w:val="0"/>
          <w:kern w:val="2"/>
          <w:sz w:val="21"/>
          <w:szCs w:val="21"/>
          <w:lang w:val="en-US" w:eastAsia="zh-CN" w:bidi="ar-SA"/>
        </w:rPr>
        <w:t>] 单位及 [</w:t>
      </w:r>
      <w:r>
        <w:rPr>
          <w:rFonts w:hint="eastAsia" w:asciiTheme="minorEastAsia" w:hAnsiTheme="minorEastAsia" w:eastAsiaTheme="minorEastAsia" w:cstheme="minorEastAsia"/>
          <w:b w:val="0"/>
          <w:bCs w:val="0"/>
          <w:kern w:val="2"/>
          <w:sz w:val="21"/>
          <w:szCs w:val="21"/>
          <w:highlight w:val="yellow"/>
          <w:lang w:val="en-US" w:eastAsia="zh-CN" w:bidi="ar-SA"/>
        </w:rPr>
        <w:t>XXX余位</w:t>
      </w:r>
      <w:r>
        <w:rPr>
          <w:rFonts w:hint="eastAsia" w:asciiTheme="minorEastAsia" w:hAnsiTheme="minorEastAsia" w:eastAsiaTheme="minorEastAsia" w:cstheme="minorEastAsia"/>
          <w:b w:val="0"/>
          <w:bCs w:val="0"/>
          <w:kern w:val="2"/>
          <w:sz w:val="21"/>
          <w:szCs w:val="21"/>
          <w:lang w:val="en-US" w:eastAsia="zh-CN" w:bidi="ar-SA"/>
        </w:rPr>
        <w:t>] 行业专家征求意见，同时在全国标准化信息平台公开征求社会意见，征集期为 30 天。</w:t>
      </w:r>
    </w:p>
    <w:p w14:paraId="7F0871CA">
      <w:pPr>
        <w:pStyle w:val="17"/>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ind w:firstLine="420" w:firstLineChars="200"/>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黑体" w:hAnsi="黑体" w:eastAsia="黑体" w:cs="黑体"/>
          <w:b w:val="0"/>
          <w:bCs w:val="0"/>
          <w:kern w:val="2"/>
          <w:sz w:val="21"/>
          <w:szCs w:val="21"/>
          <w:lang w:val="en-US" w:eastAsia="zh-CN" w:bidi="ar-SA"/>
        </w:rPr>
        <w:t>意见处理：</w:t>
      </w:r>
      <w:r>
        <w:rPr>
          <w:rFonts w:hint="eastAsia" w:asciiTheme="minorEastAsia" w:hAnsiTheme="minorEastAsia" w:eastAsiaTheme="minorEastAsia" w:cstheme="minorEastAsia"/>
          <w:b w:val="0"/>
          <w:bCs w:val="0"/>
          <w:kern w:val="2"/>
          <w:sz w:val="21"/>
          <w:szCs w:val="21"/>
          <w:lang w:val="en-US" w:eastAsia="zh-CN" w:bidi="ar-SA"/>
        </w:rPr>
        <w:t>共收到反馈意见 [</w:t>
      </w:r>
      <w:r>
        <w:rPr>
          <w:rFonts w:hint="eastAsia" w:asciiTheme="minorEastAsia" w:hAnsiTheme="minorEastAsia" w:eastAsiaTheme="minorEastAsia" w:cstheme="minorEastAsia"/>
          <w:b w:val="0"/>
          <w:bCs w:val="0"/>
          <w:kern w:val="2"/>
          <w:sz w:val="21"/>
          <w:szCs w:val="21"/>
          <w:highlight w:val="yellow"/>
          <w:lang w:val="en-US" w:eastAsia="zh-CN" w:bidi="ar-SA"/>
        </w:rPr>
        <w:t>xxx 条</w:t>
      </w:r>
      <w:r>
        <w:rPr>
          <w:rFonts w:hint="eastAsia" w:asciiTheme="minorEastAsia" w:hAnsiTheme="minorEastAsia" w:eastAsiaTheme="minorEastAsia" w:cstheme="minorEastAsia"/>
          <w:b w:val="0"/>
          <w:bCs w:val="0"/>
          <w:kern w:val="2"/>
          <w:sz w:val="21"/>
          <w:szCs w:val="21"/>
          <w:lang w:val="en-US" w:eastAsia="zh-CN" w:bidi="ar-SA"/>
        </w:rPr>
        <w:t>]，涉及技术指标、操作流程等方面。起草工作组对每条意见进行逐一分析，并形成《意见汇总处理表》，据此修改完善标准讨论稿，形成标准征求意见稿。</w:t>
      </w:r>
    </w:p>
    <w:p w14:paraId="2352D45A">
      <w:pPr>
        <w:pStyle w:val="3"/>
        <w:keepNext w:val="0"/>
        <w:keepLines w:val="0"/>
        <w:pageBreakBefore w:val="0"/>
        <w:widowControl/>
        <w:kinsoku/>
        <w:wordWrap/>
        <w:overflowPunct/>
        <w:topLinePunct w:val="0"/>
        <w:autoSpaceDE/>
        <w:autoSpaceDN/>
        <w:bidi w:val="0"/>
        <w:adjustRightInd/>
        <w:snapToGrid/>
        <w:spacing w:before="181" w:beforeLines="50" w:after="181" w:afterLines="50" w:line="360" w:lineRule="auto"/>
        <w:ind w:left="0"/>
        <w:textAlignment w:val="auto"/>
        <w:rPr>
          <w:rFonts w:hint="eastAsia" w:ascii="黑体" w:hAnsi="黑体" w:eastAsia="黑体" w:cs="黑体"/>
          <w:b w:val="0"/>
          <w:bCs w:val="0"/>
          <w:sz w:val="21"/>
          <w:szCs w:val="21"/>
        </w:rPr>
      </w:pPr>
      <w:r>
        <w:rPr>
          <w:rFonts w:hint="eastAsia" w:ascii="黑体" w:hAnsi="黑体" w:eastAsia="黑体" w:cs="黑体"/>
          <w:b w:val="0"/>
          <w:bCs w:val="0"/>
          <w:sz w:val="21"/>
          <w:szCs w:val="21"/>
        </w:rPr>
        <w:t>二、标准编制原则和确定标准主要内容的依据</w:t>
      </w:r>
    </w:p>
    <w:p w14:paraId="6008B0D5">
      <w:pPr>
        <w:pStyle w:val="4"/>
        <w:keepNext w:val="0"/>
        <w:keepLines w:val="0"/>
        <w:pageBreakBefore w:val="0"/>
        <w:widowControl/>
        <w:kinsoku/>
        <w:wordWrap/>
        <w:overflowPunct/>
        <w:topLinePunct w:val="0"/>
        <w:autoSpaceDE/>
        <w:autoSpaceDN/>
        <w:bidi w:val="0"/>
        <w:adjustRightInd/>
        <w:snapToGrid/>
        <w:spacing w:before="0" w:after="0" w:line="360" w:lineRule="auto"/>
        <w:ind w:left="0"/>
        <w:textAlignment w:val="auto"/>
        <w:rPr>
          <w:rFonts w:hint="eastAsia" w:ascii="黑体" w:hAnsi="黑体" w:eastAsia="黑体" w:cs="黑体"/>
          <w:b w:val="0"/>
          <w:bCs w:val="0"/>
          <w:sz w:val="21"/>
          <w:szCs w:val="21"/>
        </w:rPr>
      </w:pPr>
      <w:r>
        <w:rPr>
          <w:rFonts w:hint="eastAsia" w:ascii="黑体" w:hAnsi="黑体" w:eastAsia="黑体" w:cs="黑体"/>
          <w:b w:val="0"/>
          <w:bCs w:val="0"/>
          <w:sz w:val="21"/>
          <w:szCs w:val="21"/>
        </w:rPr>
        <w:t>（一）标准编制原则</w:t>
      </w:r>
    </w:p>
    <w:p w14:paraId="3B6BDDB6">
      <w:pPr>
        <w:pStyle w:val="5"/>
        <w:keepNext w:val="0"/>
        <w:keepLines w:val="0"/>
        <w:pageBreakBefore w:val="0"/>
        <w:widowControl/>
        <w:kinsoku/>
        <w:wordWrap/>
        <w:overflowPunct/>
        <w:topLinePunct w:val="0"/>
        <w:autoSpaceDE/>
        <w:autoSpaceDN/>
        <w:bidi w:val="0"/>
        <w:adjustRightInd/>
        <w:snapToGrid/>
        <w:spacing w:before="0" w:after="0" w:line="360" w:lineRule="auto"/>
        <w:ind w:left="0"/>
        <w:textAlignment w:val="auto"/>
        <w:rPr>
          <w:rFonts w:hint="eastAsia" w:ascii="黑体" w:hAnsi="黑体" w:eastAsia="黑体" w:cs="黑体"/>
          <w:b w:val="0"/>
          <w:bCs w:val="0"/>
          <w:sz w:val="21"/>
          <w:szCs w:val="21"/>
        </w:rPr>
      </w:pPr>
      <w:r>
        <w:rPr>
          <w:rFonts w:hint="eastAsia" w:ascii="黑体" w:hAnsi="黑体" w:eastAsia="黑体" w:cs="黑体"/>
          <w:b w:val="0"/>
          <w:bCs w:val="0"/>
          <w:sz w:val="21"/>
          <w:szCs w:val="21"/>
        </w:rPr>
        <w:t>1. 科学性原则</w:t>
      </w:r>
    </w:p>
    <w:p w14:paraId="4F2EF10D">
      <w:pPr>
        <w:pStyle w:val="17"/>
        <w:keepNext w:val="0"/>
        <w:keepLines w:val="0"/>
        <w:pageBreakBefore w:val="0"/>
        <w:widowControl/>
        <w:kinsoku/>
        <w:wordWrap/>
        <w:overflowPunct/>
        <w:topLinePunct w:val="0"/>
        <w:autoSpaceDE/>
        <w:autoSpaceDN/>
        <w:bidi w:val="0"/>
        <w:adjustRightInd/>
        <w:snapToGrid/>
        <w:spacing w:before="0" w:after="0" w:line="360" w:lineRule="auto"/>
        <w:ind w:left="0"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科学性是本标准编制的核心原则。在标准制定过程中，始终以国内外干细胞防控糖尿病及并发症领域的最新科学研究成果、临床实践数据为基础，严格遵循干细胞生物学特性、糖尿病发病机制及病理生理过程等科学规律。在干细胞制备章节，参考了《干细胞临床研究管理办法（试行）》中关于干细胞质量控制的要求，并结合最新的细胞生物学研究成果，明确了干细胞的活率、纯度、微生物污染检测等关键指标的科学依据和合理范围；在疗效评价章节，基于糖尿病及并发症的临床诊疗指南和循证医学证据，确定了血糖控制指标、并发症改善指标等评价体系，确保标准内容能够客观、准确地反映干细胞防控糖尿病及并发症的科学规律和技术要求，避免主观臆断和不合理设定。</w:t>
      </w:r>
    </w:p>
    <w:p w14:paraId="3CC9FC26">
      <w:pPr>
        <w:pStyle w:val="5"/>
        <w:keepNext w:val="0"/>
        <w:keepLines w:val="0"/>
        <w:pageBreakBefore w:val="0"/>
        <w:widowControl/>
        <w:kinsoku/>
        <w:wordWrap/>
        <w:overflowPunct/>
        <w:topLinePunct w:val="0"/>
        <w:autoSpaceDE/>
        <w:autoSpaceDN/>
        <w:bidi w:val="0"/>
        <w:adjustRightInd/>
        <w:snapToGrid/>
        <w:spacing w:before="0" w:after="0" w:line="360" w:lineRule="auto"/>
        <w:ind w:left="0"/>
        <w:textAlignment w:val="auto"/>
        <w:rPr>
          <w:rFonts w:hint="eastAsia" w:ascii="黑体" w:hAnsi="黑体" w:eastAsia="黑体" w:cs="黑体"/>
          <w:b w:val="0"/>
          <w:bCs w:val="0"/>
          <w:sz w:val="21"/>
          <w:szCs w:val="21"/>
        </w:rPr>
      </w:pPr>
      <w:r>
        <w:rPr>
          <w:rFonts w:hint="eastAsia" w:ascii="黑体" w:hAnsi="黑体" w:eastAsia="黑体" w:cs="黑体"/>
          <w:b w:val="0"/>
          <w:bCs w:val="0"/>
          <w:sz w:val="21"/>
          <w:szCs w:val="21"/>
        </w:rPr>
        <w:t>2. 实用性原则</w:t>
      </w:r>
    </w:p>
    <w:p w14:paraId="45F59E10">
      <w:pPr>
        <w:pStyle w:val="17"/>
        <w:keepNext w:val="0"/>
        <w:keepLines w:val="0"/>
        <w:pageBreakBefore w:val="0"/>
        <w:widowControl/>
        <w:kinsoku/>
        <w:wordWrap/>
        <w:overflowPunct/>
        <w:topLinePunct w:val="0"/>
        <w:autoSpaceDE/>
        <w:autoSpaceDN/>
        <w:bidi w:val="0"/>
        <w:adjustRightInd/>
        <w:snapToGrid/>
        <w:spacing w:before="0" w:after="0" w:line="360" w:lineRule="auto"/>
        <w:ind w:left="0"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实用性原则要求标准内容紧密结合临床研究实际需求，具有较强的可操作性和指导性。编制工作组充分考虑不同研究机构的技术条件、设备水平和人员能力差异，在制定技术要求和操作流程时，力求简洁明了、具体可行，避免过于复杂或脱离实际的规定。</w:t>
      </w:r>
    </w:p>
    <w:p w14:paraId="3146FE50">
      <w:pPr>
        <w:pStyle w:val="5"/>
        <w:keepNext w:val="0"/>
        <w:keepLines w:val="0"/>
        <w:pageBreakBefore w:val="0"/>
        <w:widowControl/>
        <w:kinsoku/>
        <w:wordWrap/>
        <w:overflowPunct/>
        <w:topLinePunct w:val="0"/>
        <w:autoSpaceDE/>
        <w:autoSpaceDN/>
        <w:bidi w:val="0"/>
        <w:adjustRightInd/>
        <w:snapToGrid/>
        <w:spacing w:before="0" w:after="0" w:line="360" w:lineRule="auto"/>
        <w:ind w:left="0"/>
        <w:textAlignment w:val="auto"/>
        <w:rPr>
          <w:rFonts w:hint="eastAsia" w:ascii="黑体" w:hAnsi="黑体" w:eastAsia="黑体" w:cs="黑体"/>
          <w:b w:val="0"/>
          <w:bCs w:val="0"/>
          <w:sz w:val="21"/>
          <w:szCs w:val="21"/>
        </w:rPr>
      </w:pPr>
      <w:r>
        <w:rPr>
          <w:rFonts w:hint="eastAsia" w:ascii="黑体" w:hAnsi="黑体" w:eastAsia="黑体" w:cs="黑体"/>
          <w:b w:val="0"/>
          <w:bCs w:val="0"/>
          <w:sz w:val="21"/>
          <w:szCs w:val="21"/>
        </w:rPr>
        <w:t>3. 规范性原则</w:t>
      </w:r>
    </w:p>
    <w:p w14:paraId="7BB04338">
      <w:pPr>
        <w:pStyle w:val="17"/>
        <w:keepNext w:val="0"/>
        <w:keepLines w:val="0"/>
        <w:pageBreakBefore w:val="0"/>
        <w:widowControl/>
        <w:kinsoku/>
        <w:wordWrap/>
        <w:overflowPunct/>
        <w:topLinePunct w:val="0"/>
        <w:autoSpaceDE/>
        <w:autoSpaceDN/>
        <w:bidi w:val="0"/>
        <w:adjustRightInd/>
        <w:snapToGrid/>
        <w:spacing w:before="0" w:after="0" w:line="360" w:lineRule="auto"/>
        <w:ind w:left="0"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规范性原则贯穿于标准编制的全过程，旨在确保标准的结构规范、术语统一、表述准确。本标准严格按照 GB/T 1.1-2020《标准化工作导则 第 1 部分：标准化文件的结构和起草规则》的要求进行结构设计和内容编写，分为范围、规范性引用文件、术语和定义、总则、干细胞制备与质量控制、受试者筛选与管理、临床操作、疗效与安全性评价、数据管理与统计分析、伦理审查、质量保证等章节，逻辑清晰、层次分明。</w:t>
      </w:r>
    </w:p>
    <w:p w14:paraId="39062CCC">
      <w:pPr>
        <w:pStyle w:val="5"/>
        <w:keepNext w:val="0"/>
        <w:keepLines w:val="0"/>
        <w:pageBreakBefore w:val="0"/>
        <w:widowControl/>
        <w:kinsoku/>
        <w:wordWrap/>
        <w:overflowPunct/>
        <w:topLinePunct w:val="0"/>
        <w:autoSpaceDE/>
        <w:autoSpaceDN/>
        <w:bidi w:val="0"/>
        <w:adjustRightInd/>
        <w:snapToGrid/>
        <w:spacing w:before="0" w:after="0" w:line="360" w:lineRule="auto"/>
        <w:ind w:left="0"/>
        <w:textAlignment w:val="auto"/>
        <w:rPr>
          <w:rFonts w:hint="eastAsia" w:ascii="黑体" w:hAnsi="黑体" w:eastAsia="黑体" w:cs="黑体"/>
          <w:b w:val="0"/>
          <w:bCs w:val="0"/>
          <w:sz w:val="21"/>
          <w:szCs w:val="21"/>
        </w:rPr>
      </w:pPr>
      <w:r>
        <w:rPr>
          <w:rFonts w:hint="eastAsia" w:ascii="黑体" w:hAnsi="黑体" w:eastAsia="黑体" w:cs="黑体"/>
          <w:b w:val="0"/>
          <w:bCs w:val="0"/>
          <w:sz w:val="21"/>
          <w:szCs w:val="21"/>
        </w:rPr>
        <w:t>4. 协调性原则</w:t>
      </w:r>
    </w:p>
    <w:p w14:paraId="3D469DF9">
      <w:pPr>
        <w:pStyle w:val="17"/>
        <w:keepNext w:val="0"/>
        <w:keepLines w:val="0"/>
        <w:pageBreakBefore w:val="0"/>
        <w:widowControl/>
        <w:kinsoku/>
        <w:wordWrap/>
        <w:overflowPunct/>
        <w:topLinePunct w:val="0"/>
        <w:autoSpaceDE/>
        <w:autoSpaceDN/>
        <w:bidi w:val="0"/>
        <w:adjustRightInd/>
        <w:snapToGrid/>
        <w:spacing w:before="0" w:after="0" w:line="360" w:lineRule="auto"/>
        <w:ind w:left="0"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协调性原则要求本标准与现行相关法律法规、强制性标准及其他有关标准保持协调一致，避免出现冲突或矛盾。在标准编制过程中，编制工作组对《中华人民共和国药品管理法》《干细胞临床研究管理办法（试行）》《糖尿病防治指南（2023 年版）》等相关法律法规、部门规章和指南性文件进行了系统梳理，确保标准内容符合国家政策要求。同时，参考了《细胞治疗产品质量控制检测技术指南（试行）》《临床研究数据管理工作技术指南》等相关标准和技术规范，在干细胞质量控制、数据管理等方面与现有标准保持衔接，避免重复规定或技术要求不一致的情况。对于国际上相关的先进标准和技术规范，如国际干细胞研究学会（ISSCR）发布的《干细胞研究和临床转化指南》，在结合我国国情的基础上，合理借鉴其中的科学理念和技术要求，使本标准既符合国内实际，又具有一定的国际兼容性。</w:t>
      </w:r>
    </w:p>
    <w:p w14:paraId="39272828">
      <w:pPr>
        <w:pStyle w:val="4"/>
        <w:keepNext w:val="0"/>
        <w:keepLines w:val="0"/>
        <w:pageBreakBefore w:val="0"/>
        <w:widowControl/>
        <w:kinsoku/>
        <w:wordWrap/>
        <w:overflowPunct/>
        <w:topLinePunct w:val="0"/>
        <w:autoSpaceDE/>
        <w:autoSpaceDN/>
        <w:bidi w:val="0"/>
        <w:adjustRightInd/>
        <w:snapToGrid/>
        <w:spacing w:before="0" w:after="0" w:line="360" w:lineRule="auto"/>
        <w:ind w:left="0"/>
        <w:textAlignment w:val="auto"/>
        <w:rPr>
          <w:rFonts w:hint="eastAsia" w:ascii="黑体" w:hAnsi="黑体" w:eastAsia="黑体" w:cs="黑体"/>
          <w:b w:val="0"/>
          <w:bCs w:val="0"/>
          <w:sz w:val="21"/>
          <w:szCs w:val="21"/>
        </w:rPr>
      </w:pPr>
      <w:r>
        <w:rPr>
          <w:rFonts w:hint="eastAsia" w:ascii="黑体" w:hAnsi="黑体" w:eastAsia="黑体" w:cs="黑体"/>
          <w:b w:val="0"/>
          <w:bCs w:val="0"/>
          <w:sz w:val="21"/>
          <w:szCs w:val="21"/>
        </w:rPr>
        <w:t>（二）确定标准主要内容的依据</w:t>
      </w:r>
    </w:p>
    <w:p w14:paraId="6B4845D1">
      <w:pPr>
        <w:pStyle w:val="17"/>
        <w:keepNext w:val="0"/>
        <w:keepLines w:val="0"/>
        <w:pageBreakBefore w:val="0"/>
        <w:widowControl/>
        <w:kinsoku/>
        <w:wordWrap/>
        <w:overflowPunct/>
        <w:topLinePunct w:val="0"/>
        <w:autoSpaceDE/>
        <w:autoSpaceDN/>
        <w:bidi w:val="0"/>
        <w:adjustRightInd/>
        <w:snapToGrid/>
        <w:spacing w:before="0" w:after="0" w:line="360" w:lineRule="auto"/>
        <w:ind w:left="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本标准主要内容的确定以法律法规为准则、以科学研究为基础、以临床实践为支撑、以行业需求为导向，具体依据如下：</w:t>
      </w:r>
    </w:p>
    <w:p w14:paraId="4079028B">
      <w:pPr>
        <w:pStyle w:val="17"/>
        <w:keepNext w:val="0"/>
        <w:keepLines w:val="0"/>
        <w:pageBreakBefore w:val="0"/>
        <w:widowControl/>
        <w:numPr>
          <w:numId w:val="0"/>
        </w:numPr>
        <w:kinsoku/>
        <w:wordWrap/>
        <w:overflowPunct/>
        <w:topLinePunct w:val="0"/>
        <w:autoSpaceDE/>
        <w:autoSpaceDN/>
        <w:bidi w:val="0"/>
        <w:adjustRightInd/>
        <w:snapToGrid/>
        <w:spacing w:before="0" w:after="0"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黑体" w:hAnsi="黑体" w:eastAsia="黑体" w:cs="黑体"/>
          <w:b w:val="0"/>
          <w:bCs w:val="0"/>
          <w:sz w:val="21"/>
          <w:szCs w:val="21"/>
        </w:rPr>
        <w:t>法律法规及政策文件：</w:t>
      </w:r>
      <w:r>
        <w:rPr>
          <w:rFonts w:hint="eastAsia" w:asciiTheme="minorEastAsia" w:hAnsiTheme="minorEastAsia" w:eastAsiaTheme="minorEastAsia" w:cstheme="minorEastAsia"/>
          <w:sz w:val="21"/>
          <w:szCs w:val="21"/>
        </w:rPr>
        <w:t>严格依据《中华人民共和国药品管理法》《医疗器械监督管理条例》《干细胞临床研究管理办法（试行）》《涉及人的生物医学研究伦理审查办法》等国家法律法规和政策文件，明确标准的适用范围、伦理审查要求、受试者权益保护等内容，确保标准的合规性。</w:t>
      </w:r>
    </w:p>
    <w:p w14:paraId="770839AB">
      <w:pPr>
        <w:pStyle w:val="17"/>
        <w:keepNext w:val="0"/>
        <w:keepLines w:val="0"/>
        <w:pageBreakBefore w:val="0"/>
        <w:widowControl/>
        <w:numPr>
          <w:numId w:val="0"/>
        </w:numPr>
        <w:kinsoku/>
        <w:wordWrap/>
        <w:overflowPunct/>
        <w:topLinePunct w:val="0"/>
        <w:autoSpaceDE/>
        <w:autoSpaceDN/>
        <w:bidi w:val="0"/>
        <w:adjustRightInd/>
        <w:snapToGrid/>
        <w:spacing w:before="0" w:after="0"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黑体" w:hAnsi="黑体" w:eastAsia="黑体" w:cs="黑体"/>
          <w:b w:val="0"/>
          <w:bCs w:val="0"/>
          <w:sz w:val="21"/>
          <w:szCs w:val="21"/>
        </w:rPr>
        <w:t>科学研究成果与技术文献：</w:t>
      </w:r>
      <w:r>
        <w:rPr>
          <w:rFonts w:hint="eastAsia" w:asciiTheme="minorEastAsia" w:hAnsiTheme="minorEastAsia" w:eastAsiaTheme="minorEastAsia" w:cstheme="minorEastAsia"/>
          <w:sz w:val="21"/>
          <w:szCs w:val="21"/>
        </w:rPr>
        <w:t>广泛参考国内外干细胞防控糖尿病及并发症领域的高水平学术论文、综述文献、科研项目结题报告等，将最新的研究成果和技术进展融入标准内容。参考了已发表的临床研究中不同剂量干细胞对糖尿病患者血糖控制和并发症改善效果的数据，确定了合理的剂量范围建议。</w:t>
      </w:r>
    </w:p>
    <w:p w14:paraId="61259589">
      <w:pPr>
        <w:pStyle w:val="17"/>
        <w:keepNext w:val="0"/>
        <w:keepLines w:val="0"/>
        <w:pageBreakBefore w:val="0"/>
        <w:widowControl/>
        <w:numPr>
          <w:numId w:val="0"/>
        </w:numPr>
        <w:kinsoku/>
        <w:wordWrap/>
        <w:overflowPunct/>
        <w:topLinePunct w:val="0"/>
        <w:autoSpaceDE/>
        <w:autoSpaceDN/>
        <w:bidi w:val="0"/>
        <w:adjustRightInd/>
        <w:snapToGrid/>
        <w:spacing w:before="0" w:after="0"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黑体" w:hAnsi="黑体" w:eastAsia="黑体" w:cs="黑体"/>
          <w:b w:val="0"/>
          <w:bCs w:val="0"/>
          <w:sz w:val="21"/>
          <w:szCs w:val="21"/>
        </w:rPr>
        <w:t>临床实践经验与诊疗指南：</w:t>
      </w:r>
      <w:r>
        <w:rPr>
          <w:rFonts w:hint="eastAsia" w:asciiTheme="minorEastAsia" w:hAnsiTheme="minorEastAsia" w:eastAsiaTheme="minorEastAsia" w:cstheme="minorEastAsia"/>
          <w:sz w:val="21"/>
          <w:szCs w:val="21"/>
        </w:rPr>
        <w:t>充分吸收国内知名糖尿病专科医院及综合医院内分泌科的临床实践经验，结合《中国 2 型糖尿病防治指南（2023 年版）》《糖尿病肾病防治专家共识》等权威临床诊疗指南，确定标准中与临床操作相关的内容。</w:t>
      </w:r>
    </w:p>
    <w:p w14:paraId="52EAFEEC">
      <w:pPr>
        <w:pStyle w:val="17"/>
        <w:keepNext w:val="0"/>
        <w:keepLines w:val="0"/>
        <w:pageBreakBefore w:val="0"/>
        <w:widowControl/>
        <w:numPr>
          <w:numId w:val="0"/>
        </w:numPr>
        <w:kinsoku/>
        <w:wordWrap/>
        <w:overflowPunct/>
        <w:topLinePunct w:val="0"/>
        <w:autoSpaceDE/>
        <w:autoSpaceDN/>
        <w:bidi w:val="0"/>
        <w:adjustRightInd/>
        <w:snapToGrid/>
        <w:spacing w:before="0" w:after="0"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黑体" w:hAnsi="黑体" w:eastAsia="黑体" w:cs="黑体"/>
          <w:b w:val="0"/>
          <w:bCs w:val="0"/>
          <w:sz w:val="21"/>
          <w:szCs w:val="21"/>
        </w:rPr>
        <w:t>行业调研与需求反馈：</w:t>
      </w:r>
      <w:r>
        <w:rPr>
          <w:rFonts w:hint="eastAsia" w:asciiTheme="minorEastAsia" w:hAnsiTheme="minorEastAsia" w:eastAsiaTheme="minorEastAsia" w:cstheme="minorEastAsia"/>
          <w:sz w:val="21"/>
          <w:szCs w:val="21"/>
        </w:rPr>
        <w:t>基于前期开展的行业调研结果，充分考虑不同研究机构、企业及监管部门的需求和意见，确定标准的重点内容和技术要求。根据监管部门对临床研究数据真实性和完整性的要求，强化了数据管理与统计分析章节的内容，明确了数据记录、核查、归档等流程的具体要求。</w:t>
      </w:r>
    </w:p>
    <w:p w14:paraId="175B70F5">
      <w:pPr>
        <w:pStyle w:val="3"/>
        <w:keepNext w:val="0"/>
        <w:keepLines w:val="0"/>
        <w:pageBreakBefore w:val="0"/>
        <w:widowControl/>
        <w:shd w:val="clear" w:color="auto" w:fill="FFFFFF"/>
        <w:kinsoku/>
        <w:wordWrap/>
        <w:overflowPunct/>
        <w:topLinePunct w:val="0"/>
        <w:autoSpaceDE/>
        <w:autoSpaceDN/>
        <w:bidi w:val="0"/>
        <w:adjustRightInd/>
        <w:snapToGrid/>
        <w:spacing w:before="157" w:beforeLines="50" w:beforeAutospacing="0" w:after="157" w:afterLines="50" w:afterAutospacing="0" w:line="360" w:lineRule="auto"/>
        <w:ind w:left="0"/>
        <w:textAlignment w:val="auto"/>
        <w:rPr>
          <w:rFonts w:hint="eastAsia" w:ascii="黑体" w:hAnsi="黑体" w:eastAsia="黑体" w:cs="黑体"/>
          <w:b w:val="0"/>
          <w:bCs w:val="0"/>
          <w:color w:val="000000"/>
          <w:sz w:val="21"/>
          <w:szCs w:val="21"/>
          <w:shd w:val="clear" w:color="auto" w:fill="FFFFFF"/>
        </w:rPr>
      </w:pPr>
      <w:r>
        <w:rPr>
          <w:rFonts w:hint="eastAsia" w:ascii="黑体" w:hAnsi="黑体" w:eastAsia="黑体" w:cs="黑体"/>
          <w:b w:val="0"/>
          <w:bCs w:val="0"/>
          <w:color w:val="000000"/>
          <w:sz w:val="21"/>
          <w:szCs w:val="21"/>
          <w:shd w:val="clear" w:color="auto" w:fill="FFFFFF"/>
        </w:rPr>
        <w:t>三、与现行法律法规、强制性标准和其他有关标准的关系，采用国际标准的程度及水平简要说明</w:t>
      </w:r>
    </w:p>
    <w:p w14:paraId="52A0D353">
      <w:pPr>
        <w:pStyle w:val="4"/>
        <w:keepNext w:val="0"/>
        <w:keepLines w:val="0"/>
        <w:pageBreakBefore w:val="0"/>
        <w:widowControl/>
        <w:kinsoku/>
        <w:wordWrap/>
        <w:overflowPunct/>
        <w:topLinePunct w:val="0"/>
        <w:autoSpaceDE/>
        <w:autoSpaceDN/>
        <w:bidi w:val="0"/>
        <w:adjustRightInd/>
        <w:snapToGrid/>
        <w:spacing w:before="0" w:after="0" w:line="360" w:lineRule="auto"/>
        <w:ind w:left="0"/>
        <w:textAlignment w:val="auto"/>
        <w:rPr>
          <w:rFonts w:hint="eastAsia" w:ascii="黑体" w:hAnsi="黑体" w:eastAsia="黑体" w:cs="黑体"/>
          <w:b w:val="0"/>
          <w:bCs w:val="0"/>
          <w:sz w:val="21"/>
          <w:szCs w:val="21"/>
        </w:rPr>
      </w:pPr>
      <w:r>
        <w:rPr>
          <w:rFonts w:hint="eastAsia" w:ascii="黑体" w:hAnsi="黑体" w:eastAsia="黑体" w:cs="黑体"/>
          <w:b w:val="0"/>
          <w:bCs w:val="0"/>
          <w:sz w:val="21"/>
          <w:szCs w:val="21"/>
        </w:rPr>
        <w:t>（一）与现行法律法规的关系</w:t>
      </w:r>
    </w:p>
    <w:p w14:paraId="2FBBF127">
      <w:pPr>
        <w:pStyle w:val="17"/>
        <w:keepNext w:val="0"/>
        <w:keepLines w:val="0"/>
        <w:pageBreakBefore w:val="0"/>
        <w:widowControl/>
        <w:kinsoku/>
        <w:wordWrap/>
        <w:overflowPunct/>
        <w:topLinePunct w:val="0"/>
        <w:autoSpaceDE/>
        <w:autoSpaceDN/>
        <w:bidi w:val="0"/>
        <w:adjustRightInd/>
        <w:snapToGrid/>
        <w:spacing w:before="0" w:after="0" w:line="360" w:lineRule="auto"/>
        <w:ind w:left="0"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标准严格遵循《中华人民共和国药品管理法》《中华人民共和国基本医疗卫生与健康促进法》《医疗器械监督管理条例》《干细胞临床研究管理办法（试行）》《涉及人的生物医学研究伦理审查办法》等现行法律法规和部门规章的要求，不存在与上述法律法规相冲突的内容。本标准在伦理审查章节详细阐述了伦理审查的申请、审查内容、审查意见处理等流程，与该办法的要求保持高度一致，确保标准的制定和实施符合国家法律政策导向。</w:t>
      </w:r>
    </w:p>
    <w:p w14:paraId="72179DB0">
      <w:pPr>
        <w:pStyle w:val="4"/>
        <w:keepNext w:val="0"/>
        <w:keepLines w:val="0"/>
        <w:pageBreakBefore w:val="0"/>
        <w:widowControl/>
        <w:kinsoku/>
        <w:wordWrap/>
        <w:overflowPunct/>
        <w:topLinePunct w:val="0"/>
        <w:autoSpaceDE/>
        <w:autoSpaceDN/>
        <w:bidi w:val="0"/>
        <w:adjustRightInd/>
        <w:snapToGrid/>
        <w:spacing w:before="0" w:after="0" w:line="360" w:lineRule="auto"/>
        <w:ind w:left="0"/>
        <w:textAlignment w:val="auto"/>
        <w:rPr>
          <w:rFonts w:hint="eastAsia" w:ascii="黑体" w:hAnsi="黑体" w:eastAsia="黑体" w:cs="黑体"/>
          <w:b w:val="0"/>
          <w:bCs w:val="0"/>
          <w:sz w:val="21"/>
          <w:szCs w:val="21"/>
        </w:rPr>
      </w:pPr>
      <w:r>
        <w:rPr>
          <w:rFonts w:hint="eastAsia" w:ascii="黑体" w:hAnsi="黑体" w:eastAsia="黑体" w:cs="黑体"/>
          <w:b w:val="0"/>
          <w:bCs w:val="0"/>
          <w:sz w:val="21"/>
          <w:szCs w:val="21"/>
        </w:rPr>
        <w:t>（二）与强制性标准的关系</w:t>
      </w:r>
    </w:p>
    <w:p w14:paraId="2BCE856F">
      <w:pPr>
        <w:pStyle w:val="17"/>
        <w:keepNext w:val="0"/>
        <w:keepLines w:val="0"/>
        <w:pageBreakBefore w:val="0"/>
        <w:widowControl/>
        <w:kinsoku/>
        <w:wordWrap/>
        <w:overflowPunct/>
        <w:topLinePunct w:val="0"/>
        <w:autoSpaceDE/>
        <w:autoSpaceDN/>
        <w:bidi w:val="0"/>
        <w:adjustRightInd/>
        <w:snapToGrid/>
        <w:spacing w:before="0" w:after="0" w:line="360" w:lineRule="auto"/>
        <w:ind w:left="0"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目前，我国在干细胞领域尚未发布专门针对糖尿病及并发症临床研究的强制性标准，但在医疗器械、药品质量控制、临床研究管理等相关领域存在部分强制性标准</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本标准在相关章节的技术要求上，均与现行强制性标准保持协调一致。确保标准内容不低于强制性标准的要求，保障临床研究的安全性和规范性。</w:t>
      </w:r>
    </w:p>
    <w:p w14:paraId="21ED34D9">
      <w:pPr>
        <w:pStyle w:val="4"/>
        <w:keepNext w:val="0"/>
        <w:keepLines w:val="0"/>
        <w:pageBreakBefore w:val="0"/>
        <w:widowControl/>
        <w:kinsoku/>
        <w:wordWrap/>
        <w:overflowPunct/>
        <w:topLinePunct w:val="0"/>
        <w:autoSpaceDE/>
        <w:autoSpaceDN/>
        <w:bidi w:val="0"/>
        <w:adjustRightInd/>
        <w:snapToGrid/>
        <w:spacing w:before="0" w:after="0" w:line="360" w:lineRule="auto"/>
        <w:ind w:left="0"/>
        <w:textAlignment w:val="auto"/>
        <w:rPr>
          <w:rFonts w:hint="eastAsia" w:ascii="黑体" w:hAnsi="黑体" w:eastAsia="黑体" w:cs="黑体"/>
          <w:b w:val="0"/>
          <w:bCs w:val="0"/>
          <w:sz w:val="21"/>
          <w:szCs w:val="21"/>
        </w:rPr>
      </w:pPr>
      <w:r>
        <w:rPr>
          <w:rFonts w:hint="eastAsia" w:ascii="黑体" w:hAnsi="黑体" w:eastAsia="黑体" w:cs="黑体"/>
          <w:b w:val="0"/>
          <w:bCs w:val="0"/>
          <w:sz w:val="21"/>
          <w:szCs w:val="21"/>
        </w:rPr>
        <w:t>（三）与其他有关标准的关系</w:t>
      </w:r>
    </w:p>
    <w:p w14:paraId="56354E3D">
      <w:pPr>
        <w:pStyle w:val="17"/>
        <w:keepNext w:val="0"/>
        <w:keepLines w:val="0"/>
        <w:pageBreakBefore w:val="0"/>
        <w:widowControl/>
        <w:kinsoku/>
        <w:wordWrap/>
        <w:overflowPunct/>
        <w:topLinePunct w:val="0"/>
        <w:autoSpaceDE/>
        <w:autoSpaceDN/>
        <w:bidi w:val="0"/>
        <w:adjustRightInd/>
        <w:snapToGrid/>
        <w:spacing w:before="0" w:after="0" w:line="360" w:lineRule="auto"/>
        <w:ind w:left="0"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标准与国内已发布的其他有关标准，如《干细胞临床研究管理办法（试行）》配套的《干细胞临床研究质量控制要点》、《细胞治疗产品质量控制检测技术指南（试行）》、《临床研究数据管理工作技术指南》、《糖尿病防治指南》等，属于相互补充、相互衔接的关系。本标准聚焦于干细胞防控糖尿病及并发症这一特定领域，在现有相关标准的基础上，进一步细化和完善了针对该疾病领域临床研究的专项技术要求，填补了该领域专项标准的空白。</w:t>
      </w:r>
    </w:p>
    <w:p w14:paraId="68672116">
      <w:pPr>
        <w:pStyle w:val="4"/>
        <w:keepNext w:val="0"/>
        <w:keepLines w:val="0"/>
        <w:pageBreakBefore w:val="0"/>
        <w:widowControl/>
        <w:kinsoku/>
        <w:wordWrap/>
        <w:overflowPunct/>
        <w:topLinePunct w:val="0"/>
        <w:autoSpaceDE/>
        <w:autoSpaceDN/>
        <w:bidi w:val="0"/>
        <w:adjustRightInd/>
        <w:snapToGrid/>
        <w:spacing w:before="0" w:after="0" w:line="360" w:lineRule="auto"/>
        <w:ind w:left="0"/>
        <w:textAlignment w:val="auto"/>
        <w:rPr>
          <w:rFonts w:hint="eastAsia" w:ascii="黑体" w:hAnsi="黑体" w:eastAsia="黑体" w:cs="黑体"/>
          <w:b w:val="0"/>
          <w:bCs w:val="0"/>
          <w:sz w:val="21"/>
          <w:szCs w:val="21"/>
        </w:rPr>
      </w:pPr>
      <w:r>
        <w:rPr>
          <w:rFonts w:hint="eastAsia" w:ascii="黑体" w:hAnsi="黑体" w:eastAsia="黑体" w:cs="黑体"/>
          <w:b w:val="0"/>
          <w:bCs w:val="0"/>
          <w:sz w:val="21"/>
          <w:szCs w:val="21"/>
        </w:rPr>
        <w:t>（四）采用国际标准的程度及水平简要说明</w:t>
      </w:r>
    </w:p>
    <w:p w14:paraId="5C617618">
      <w:pPr>
        <w:pStyle w:val="17"/>
        <w:keepNext w:val="0"/>
        <w:keepLines w:val="0"/>
        <w:pageBreakBefore w:val="0"/>
        <w:widowControl/>
        <w:kinsoku/>
        <w:wordWrap/>
        <w:overflowPunct/>
        <w:topLinePunct w:val="0"/>
        <w:autoSpaceDE/>
        <w:autoSpaceDN/>
        <w:bidi w:val="0"/>
        <w:adjustRightInd/>
        <w:snapToGrid/>
        <w:spacing w:before="0" w:after="0" w:line="360" w:lineRule="auto"/>
        <w:ind w:left="0"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在标准编制过程中，编制工作组对国际上相关的先进标准和技术规范进行了系统研究，主要包括国际干细胞研究学会（ISSCR）发布的《干细胞研究和临床转化指南（2021 版）》、国际药品监管机构联盟（ICH）发布的《临床研究质量管理规范（GCP）》、世界卫生组织（WHO）发布的《糖尿病全球报告》及相关技术文件等。本标准在结合我国国情和行业实际情况的基础上，积极借鉴国际标准中的科学理念、技术要求和管理经验，实现了与国际先进水平的适度接轨。</w:t>
      </w:r>
    </w:p>
    <w:p w14:paraId="6348A2F5">
      <w:pPr>
        <w:pStyle w:val="3"/>
        <w:keepNext w:val="0"/>
        <w:keepLines w:val="0"/>
        <w:pageBreakBefore w:val="0"/>
        <w:widowControl/>
        <w:shd w:val="clear" w:color="auto" w:fill="FFFFFF"/>
        <w:kinsoku/>
        <w:wordWrap/>
        <w:overflowPunct/>
        <w:topLinePunct w:val="0"/>
        <w:autoSpaceDE/>
        <w:autoSpaceDN/>
        <w:bidi w:val="0"/>
        <w:adjustRightInd/>
        <w:snapToGrid/>
        <w:spacing w:before="157" w:beforeLines="50" w:beforeAutospacing="0" w:after="157" w:afterLines="50" w:afterAutospacing="0" w:line="360" w:lineRule="auto"/>
        <w:ind w:left="0"/>
        <w:textAlignment w:val="auto"/>
        <w:rPr>
          <w:rFonts w:hint="eastAsia" w:ascii="黑体" w:hAnsi="黑体" w:eastAsia="黑体" w:cs="黑体"/>
          <w:b w:val="0"/>
          <w:bCs w:val="0"/>
          <w:color w:val="000000"/>
          <w:sz w:val="21"/>
          <w:szCs w:val="21"/>
          <w:shd w:val="clear" w:color="auto" w:fill="FFFFFF"/>
        </w:rPr>
      </w:pPr>
      <w:r>
        <w:rPr>
          <w:rFonts w:hint="eastAsia" w:ascii="黑体" w:hAnsi="黑体" w:eastAsia="黑体" w:cs="黑体"/>
          <w:b w:val="0"/>
          <w:bCs w:val="0"/>
          <w:color w:val="000000"/>
          <w:sz w:val="21"/>
          <w:szCs w:val="21"/>
          <w:shd w:val="clear" w:color="auto" w:fill="FFFFFF"/>
        </w:rPr>
        <w:t>四、重大</w:t>
      </w:r>
      <w:r>
        <w:rPr>
          <w:rFonts w:hint="eastAsia" w:ascii="黑体" w:hAnsi="黑体" w:eastAsia="黑体" w:cs="黑体"/>
          <w:b w:val="0"/>
          <w:bCs w:val="0"/>
          <w:color w:val="000000"/>
          <w:kern w:val="0"/>
          <w:sz w:val="21"/>
          <w:szCs w:val="21"/>
          <w:shd w:val="clear" w:color="auto" w:fill="FFFFFF"/>
        </w:rPr>
        <w:t>分歧</w:t>
      </w:r>
      <w:r>
        <w:rPr>
          <w:rFonts w:hint="eastAsia" w:ascii="黑体" w:hAnsi="黑体" w:eastAsia="黑体" w:cs="黑体"/>
          <w:b w:val="0"/>
          <w:bCs w:val="0"/>
          <w:color w:val="000000"/>
          <w:sz w:val="21"/>
          <w:szCs w:val="21"/>
          <w:shd w:val="clear" w:color="auto" w:fill="FFFFFF"/>
        </w:rPr>
        <w:t>意见的处理结果和依据</w:t>
      </w:r>
    </w:p>
    <w:p w14:paraId="3C47818D">
      <w:pPr>
        <w:pStyle w:val="4"/>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left="0" w:firstLine="210" w:firstLineChars="100"/>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无</w:t>
      </w:r>
    </w:p>
    <w:p w14:paraId="3771C5E5">
      <w:pPr>
        <w:pStyle w:val="3"/>
        <w:keepNext w:val="0"/>
        <w:keepLines w:val="0"/>
        <w:pageBreakBefore w:val="0"/>
        <w:widowControl/>
        <w:numPr>
          <w:ilvl w:val="0"/>
          <w:numId w:val="1"/>
        </w:numPr>
        <w:shd w:val="clear" w:color="auto" w:fill="FFFFFF"/>
        <w:kinsoku/>
        <w:wordWrap/>
        <w:overflowPunct/>
        <w:topLinePunct w:val="0"/>
        <w:autoSpaceDE/>
        <w:autoSpaceDN/>
        <w:bidi w:val="0"/>
        <w:adjustRightInd/>
        <w:snapToGrid/>
        <w:spacing w:before="157" w:beforeLines="50" w:beforeAutospacing="0" w:after="157" w:afterLines="50" w:afterAutospacing="0" w:line="360" w:lineRule="auto"/>
        <w:ind w:left="0"/>
        <w:textAlignment w:val="auto"/>
        <w:rPr>
          <w:rFonts w:hint="eastAsia" w:ascii="黑体" w:hAnsi="黑体" w:eastAsia="黑体" w:cs="黑体"/>
          <w:b w:val="0"/>
          <w:bCs w:val="0"/>
          <w:color w:val="000000"/>
          <w:sz w:val="21"/>
          <w:szCs w:val="21"/>
          <w:shd w:val="clear" w:color="auto" w:fill="FFFFFF"/>
        </w:rPr>
      </w:pPr>
      <w:r>
        <w:rPr>
          <w:rFonts w:hint="eastAsia" w:ascii="黑体" w:hAnsi="黑体" w:eastAsia="黑体" w:cs="黑体"/>
          <w:b w:val="0"/>
          <w:bCs w:val="0"/>
          <w:color w:val="000000"/>
          <w:sz w:val="21"/>
          <w:szCs w:val="21"/>
          <w:shd w:val="clear" w:color="auto" w:fill="FFFFFF"/>
        </w:rPr>
        <w:t>贯彻促进会标准的要求和措施建议</w:t>
      </w:r>
    </w:p>
    <w:p w14:paraId="3CB01DB0">
      <w:pPr>
        <w:ind w:firstLine="420" w:firstLineChars="200"/>
        <w:rPr>
          <w:rFonts w:hint="eastAsia" w:ascii="黑体" w:hAnsi="黑体" w:eastAsia="黑体" w:cs="黑体"/>
          <w:b w:val="0"/>
          <w:bCs w:val="0"/>
          <w:color w:val="000000"/>
          <w:sz w:val="21"/>
          <w:szCs w:val="21"/>
          <w:shd w:val="clear" w:color="auto" w:fill="FFFFFF"/>
        </w:rPr>
      </w:pPr>
      <w:r>
        <w:rPr>
          <w:rFonts w:hint="eastAsia" w:ascii="黑体" w:hAnsi="黑体" w:eastAsia="黑体" w:cs="黑体"/>
          <w:b w:val="0"/>
          <w:bCs w:val="0"/>
          <w:sz w:val="21"/>
          <w:szCs w:val="21"/>
        </w:rPr>
        <w:t>成立标准宣贯小组：</w:t>
      </w:r>
      <w:r>
        <w:rPr>
          <w:rFonts w:hint="eastAsia" w:asciiTheme="minorEastAsia" w:hAnsiTheme="minorEastAsia" w:eastAsiaTheme="minorEastAsia" w:cstheme="minorEastAsia"/>
          <w:b w:val="0"/>
          <w:bCs w:val="0"/>
          <w:sz w:val="21"/>
          <w:szCs w:val="21"/>
        </w:rPr>
        <w:t>由牵头单位联合团体标准制定组织，组建由技术专家、行业代表组成的</w:t>
      </w:r>
    </w:p>
    <w:p w14:paraId="481A1851">
      <w:pPr>
        <w:rPr>
          <w:rFonts w:hint="eastAsia" w:ascii="黑体" w:hAnsi="黑体" w:eastAsia="黑体" w:cs="黑体"/>
          <w:b w:val="0"/>
          <w:bCs w:val="0"/>
          <w:color w:val="000000"/>
          <w:sz w:val="21"/>
          <w:szCs w:val="21"/>
          <w:shd w:val="clear" w:color="auto" w:fill="FFFFFF"/>
        </w:rPr>
      </w:pPr>
    </w:p>
    <w:p w14:paraId="37E71E4B">
      <w:pPr>
        <w:pStyle w:val="3"/>
        <w:keepNext w:val="0"/>
        <w:keepLines w:val="0"/>
        <w:pageBreakBefore w:val="0"/>
        <w:widowControl/>
        <w:numPr>
          <w:numId w:val="0"/>
        </w:numPr>
        <w:shd w:val="clear" w:color="auto" w:fill="FFFFFF"/>
        <w:kinsoku/>
        <w:wordWrap/>
        <w:overflowPunct/>
        <w:topLinePunct w:val="0"/>
        <w:autoSpaceDE/>
        <w:autoSpaceDN/>
        <w:bidi w:val="0"/>
        <w:adjustRightInd/>
        <w:snapToGrid/>
        <w:spacing w:before="157" w:beforeLines="50" w:beforeAutospacing="0" w:after="157" w:afterLines="50" w:afterAutospacing="0" w:line="360" w:lineRule="auto"/>
        <w:textAlignment w:val="auto"/>
        <w:rPr>
          <w:rFonts w:hint="eastAsia" w:asciiTheme="minorEastAsia" w:hAnsiTheme="minorEastAsia" w:eastAsiaTheme="minorEastAsia" w:cstheme="minorEastAsia"/>
          <w:b w:val="0"/>
          <w:bCs w:val="0"/>
          <w:sz w:val="21"/>
          <w:szCs w:val="21"/>
        </w:rPr>
      </w:pPr>
      <w:bookmarkStart w:id="0" w:name="_GoBack"/>
      <w:bookmarkEnd w:id="0"/>
      <w:r>
        <w:rPr>
          <w:rFonts w:hint="eastAsia" w:asciiTheme="minorEastAsia" w:hAnsiTheme="minorEastAsia" w:eastAsiaTheme="minorEastAsia" w:cstheme="minorEastAsia"/>
          <w:b w:val="0"/>
          <w:bCs w:val="0"/>
          <w:sz w:val="21"/>
          <w:szCs w:val="21"/>
        </w:rPr>
        <w:t>宣贯小组，负责制定宣贯方案、编写宣贯材料。</w:t>
      </w:r>
    </w:p>
    <w:p w14:paraId="7783DE27">
      <w:pPr>
        <w:pStyle w:val="3"/>
        <w:keepNext w:val="0"/>
        <w:keepLines w:val="0"/>
        <w:pageBreakBefore w:val="0"/>
        <w:widowControl/>
        <w:shd w:val="clear" w:color="auto" w:fill="FFFFFF"/>
        <w:kinsoku/>
        <w:wordWrap/>
        <w:overflowPunct/>
        <w:topLinePunct w:val="0"/>
        <w:autoSpaceDE/>
        <w:autoSpaceDN/>
        <w:bidi w:val="0"/>
        <w:adjustRightInd/>
        <w:snapToGrid/>
        <w:spacing w:before="157" w:beforeLines="50" w:beforeAutospacing="0" w:after="157" w:afterLines="50" w:afterAutospacing="0" w:line="360" w:lineRule="auto"/>
        <w:ind w:left="0"/>
        <w:textAlignment w:val="auto"/>
        <w:rPr>
          <w:rFonts w:hint="eastAsia" w:ascii="黑体" w:hAnsi="黑体" w:eastAsia="黑体" w:cs="黑体"/>
          <w:b w:val="0"/>
          <w:bCs w:val="0"/>
          <w:color w:val="000000"/>
          <w:sz w:val="21"/>
          <w:szCs w:val="21"/>
          <w:shd w:val="clear" w:color="auto" w:fill="FFFFFF"/>
        </w:rPr>
      </w:pPr>
      <w:r>
        <w:rPr>
          <w:rFonts w:hint="eastAsia" w:ascii="黑体" w:hAnsi="黑体" w:eastAsia="黑体" w:cs="黑体"/>
          <w:b w:val="0"/>
          <w:bCs w:val="0"/>
          <w:color w:val="000000"/>
          <w:sz w:val="21"/>
          <w:szCs w:val="21"/>
          <w:shd w:val="clear" w:color="auto" w:fill="FFFFFF"/>
        </w:rPr>
        <w:t>六、其他应予说明的事项</w:t>
      </w:r>
    </w:p>
    <w:p w14:paraId="38CA30E4">
      <w:pPr>
        <w:pStyle w:val="17"/>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ind w:left="0" w:leftChars="0" w:firstLine="422" w:firstLineChars="200"/>
        <w:textAlignment w:val="auto"/>
        <w:rPr>
          <w:rStyle w:val="12"/>
          <w:rFonts w:hint="eastAsia" w:asciiTheme="minorEastAsia" w:hAnsiTheme="minorEastAsia" w:eastAsiaTheme="minorEastAsia" w:cstheme="minorEastAsia"/>
          <w:b w:val="0"/>
          <w:bCs w:val="0"/>
          <w:color w:val="000000"/>
          <w:sz w:val="21"/>
          <w:szCs w:val="21"/>
          <w:shd w:val="clear" w:color="auto" w:fill="FFFFFF"/>
          <w:lang w:val="en-US" w:eastAsia="zh-CN"/>
        </w:rPr>
      </w:pPr>
      <w:r>
        <w:rPr>
          <w:rFonts w:hint="eastAsia" w:asciiTheme="minorEastAsia" w:hAnsiTheme="minorEastAsia" w:eastAsiaTheme="minorEastAsia" w:cstheme="minorEastAsia"/>
          <w:b/>
          <w:bCs/>
          <w:sz w:val="21"/>
          <w:szCs w:val="21"/>
        </w:rPr>
        <w:t>专利声明：</w:t>
      </w:r>
      <w:r>
        <w:rPr>
          <w:rFonts w:hint="eastAsia" w:asciiTheme="minorEastAsia" w:hAnsiTheme="minorEastAsia" w:eastAsiaTheme="minorEastAsia" w:cstheme="minorEastAsia"/>
          <w:b w:val="0"/>
          <w:bCs w:val="0"/>
          <w:sz w:val="21"/>
          <w:szCs w:val="21"/>
          <w:lang w:val="en-US" w:eastAsia="zh-CN"/>
        </w:rPr>
        <w:t>无</w:t>
      </w:r>
    </w:p>
    <w:p w14:paraId="7970B788">
      <w:pPr>
        <w:pStyle w:val="17"/>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eastAsia" w:asciiTheme="minorEastAsia" w:hAnsiTheme="minorEastAsia" w:eastAsiaTheme="minorEastAsia" w:cstheme="minorEastAsia"/>
          <w:sz w:val="21"/>
          <w:szCs w:val="21"/>
        </w:rPr>
      </w:pPr>
    </w:p>
    <w:sectPr>
      <w:pgSz w:w="11906" w:h="16838"/>
      <w:pgMar w:top="1440" w:right="1440" w:bottom="1440" w:left="144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1AE4E3"/>
    <w:multiLevelType w:val="singleLevel"/>
    <w:tmpl w:val="231AE4E3"/>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1"/>
  <w:displayBackgroundShape w:val="1"/>
  <w:documentProtection w:enforcement="0"/>
  <w:compat>
    <w:useFELayout/>
    <w:compatSetting w:name="compatibilityMode" w:uri="http://schemas.microsoft.com/office/word" w:val="15"/>
  </w:compat>
  <w:rsids>
    <w:rsidRoot w:val="00000000"/>
    <w:rsid w:val="47FF2F1F"/>
    <w:rsid w:val="591D450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paragraph" w:styleId="2">
    <w:name w:val="heading 1"/>
    <w:next w:val="1"/>
    <w:qFormat/>
    <w:uiPriority w:val="0"/>
    <w:pPr>
      <w:spacing w:before="380" w:after="140" w:line="288" w:lineRule="auto"/>
      <w:ind w:left="0"/>
      <w:jc w:val="left"/>
      <w:outlineLvl w:val="0"/>
    </w:pPr>
    <w:rPr>
      <w:rFonts w:ascii="Arial" w:hAnsi="Arial" w:eastAsia="等线" w:cs="Arial"/>
      <w:b/>
      <w:bCs/>
      <w:sz w:val="36"/>
      <w:szCs w:val="36"/>
    </w:rPr>
  </w:style>
  <w:style w:type="paragraph" w:styleId="3">
    <w:name w:val="heading 2"/>
    <w:basedOn w:val="1"/>
    <w:next w:val="1"/>
    <w:qFormat/>
    <w:uiPriority w:val="0"/>
    <w:pPr>
      <w:spacing w:before="320" w:after="120" w:line="288" w:lineRule="auto"/>
      <w:ind w:left="0"/>
      <w:jc w:val="left"/>
      <w:outlineLvl w:val="1"/>
    </w:pPr>
    <w:rPr>
      <w:rFonts w:ascii="Arial" w:hAnsi="Arial" w:eastAsia="等线" w:cs="Arial"/>
      <w:b/>
      <w:bCs/>
      <w:sz w:val="32"/>
      <w:szCs w:val="32"/>
    </w:rPr>
  </w:style>
  <w:style w:type="paragraph" w:styleId="4">
    <w:name w:val="heading 3"/>
    <w:basedOn w:val="1"/>
    <w:next w:val="1"/>
    <w:qFormat/>
    <w:uiPriority w:val="0"/>
    <w:pPr>
      <w:spacing w:before="300" w:after="120" w:line="288" w:lineRule="auto"/>
      <w:ind w:left="0"/>
      <w:jc w:val="left"/>
      <w:outlineLvl w:val="2"/>
    </w:pPr>
    <w:rPr>
      <w:rFonts w:ascii="Arial" w:hAnsi="Arial" w:eastAsia="等线" w:cs="Arial"/>
      <w:b/>
      <w:bCs/>
      <w:sz w:val="30"/>
      <w:szCs w:val="30"/>
    </w:rPr>
  </w:style>
  <w:style w:type="paragraph" w:styleId="5">
    <w:name w:val="heading 4"/>
    <w:next w:val="1"/>
    <w:qFormat/>
    <w:uiPriority w:val="0"/>
    <w:pPr>
      <w:spacing w:before="260" w:after="120" w:line="288" w:lineRule="auto"/>
      <w:ind w:left="0"/>
      <w:jc w:val="left"/>
      <w:outlineLvl w:val="3"/>
    </w:pPr>
    <w:rPr>
      <w:rFonts w:ascii="Arial" w:hAnsi="Arial" w:eastAsia="等线" w:cs="Arial"/>
      <w:b/>
      <w:bCs/>
      <w:sz w:val="28"/>
      <w:szCs w:val="28"/>
    </w:rPr>
  </w:style>
  <w:style w:type="paragraph" w:styleId="6">
    <w:name w:val="heading 5"/>
    <w:next w:val="1"/>
    <w:qFormat/>
    <w:uiPriority w:val="0"/>
    <w:pPr>
      <w:spacing w:before="240" w:after="120" w:line="288" w:lineRule="auto"/>
      <w:ind w:left="0"/>
      <w:jc w:val="left"/>
      <w:outlineLvl w:val="4"/>
    </w:pPr>
    <w:rPr>
      <w:rFonts w:ascii="Arial" w:hAnsi="Arial" w:eastAsia="等线" w:cs="Arial"/>
      <w:b/>
      <w:bCs/>
      <w:sz w:val="24"/>
      <w:szCs w:val="24"/>
    </w:rPr>
  </w:style>
  <w:style w:type="paragraph" w:styleId="7">
    <w:name w:val="heading 6"/>
    <w:next w:val="1"/>
    <w:qFormat/>
    <w:uiPriority w:val="0"/>
    <w:pPr>
      <w:spacing w:before="240" w:after="120" w:line="288" w:lineRule="auto"/>
      <w:ind w:left="0"/>
      <w:jc w:val="left"/>
      <w:outlineLvl w:val="5"/>
    </w:pPr>
    <w:rPr>
      <w:rFonts w:ascii="Arial" w:hAnsi="Arial" w:eastAsia="等线" w:cs="Arial"/>
      <w:b/>
      <w:bCs/>
      <w:sz w:val="24"/>
      <w:szCs w:val="24"/>
    </w:rPr>
  </w:style>
  <w:style w:type="character" w:default="1" w:styleId="11">
    <w:name w:val="Default Paragraph Font"/>
    <w:semiHidden/>
    <w:unhideWhenUsed/>
    <w:qFormat/>
    <w:uiPriority w:val="1"/>
  </w:style>
  <w:style w:type="table" w:default="1" w:styleId="10">
    <w:name w:val="Normal Table"/>
    <w:semiHidden/>
    <w:uiPriority w:val="0"/>
    <w:tblPr>
      <w:tblCellMar>
        <w:top w:w="0" w:type="dxa"/>
        <w:left w:w="108" w:type="dxa"/>
        <w:bottom w:w="0" w:type="dxa"/>
        <w:right w:w="108" w:type="dxa"/>
      </w:tblCellMar>
    </w:tblPr>
  </w:style>
  <w:style w:type="paragraph" w:styleId="8">
    <w:name w:val="footnote text"/>
    <w:link w:val="16"/>
    <w:semiHidden/>
    <w:unhideWhenUsed/>
    <w:qFormat/>
    <w:uiPriority w:val="99"/>
    <w:pPr>
      <w:spacing w:after="0" w:line="240" w:lineRule="auto"/>
    </w:pPr>
    <w:rPr>
      <w:sz w:val="20"/>
      <w:szCs w:val="20"/>
    </w:rPr>
  </w:style>
  <w:style w:type="paragraph" w:styleId="9">
    <w:name w:val="Title"/>
    <w:qFormat/>
    <w:uiPriority w:val="0"/>
    <w:pPr>
      <w:spacing w:before="480" w:after="480" w:line="288" w:lineRule="auto"/>
      <w:ind w:left="0"/>
    </w:pPr>
    <w:rPr>
      <w:rFonts w:ascii="Arial" w:hAnsi="Arial" w:eastAsia="等线" w:cs="Arial"/>
      <w:b/>
      <w:bCs/>
      <w:sz w:val="52"/>
      <w:szCs w:val="52"/>
    </w:rPr>
  </w:style>
  <w:style w:type="character" w:styleId="12">
    <w:name w:val="Strong"/>
    <w:basedOn w:val="11"/>
    <w:qFormat/>
    <w:uiPriority w:val="0"/>
    <w:rPr>
      <w:b/>
    </w:rPr>
  </w:style>
  <w:style w:type="character" w:styleId="13">
    <w:name w:val="Hyperlink"/>
    <w:unhideWhenUsed/>
    <w:qFormat/>
    <w:uiPriority w:val="99"/>
    <w:rPr>
      <w:color w:val="0563C1"/>
      <w:u w:val="single"/>
    </w:rPr>
  </w:style>
  <w:style w:type="character" w:styleId="14">
    <w:name w:val="footnote reference"/>
    <w:semiHidden/>
    <w:unhideWhenUsed/>
    <w:uiPriority w:val="99"/>
    <w:rPr>
      <w:vertAlign w:val="superscript"/>
    </w:rPr>
  </w:style>
  <w:style w:type="paragraph" w:styleId="15">
    <w:name w:val="List Paragraph"/>
    <w:qFormat/>
    <w:uiPriority w:val="0"/>
    <w:rPr>
      <w:sz w:val="21"/>
      <w:szCs w:val="22"/>
    </w:rPr>
  </w:style>
  <w:style w:type="character" w:customStyle="1" w:styleId="16">
    <w:name w:val="Footnote Text Char"/>
    <w:link w:val="8"/>
    <w:semiHidden/>
    <w:unhideWhenUsed/>
    <w:qFormat/>
    <w:uiPriority w:val="99"/>
    <w:rPr>
      <w:sz w:val="20"/>
      <w:szCs w:val="20"/>
    </w:rPr>
  </w:style>
  <w:style w:type="paragraph" w:customStyle="1" w:styleId="17">
    <w:name w:val="_Style 13"/>
    <w:qFormat/>
    <w:uiPriority w:val="0"/>
    <w:pPr>
      <w:spacing w:before="120" w:after="120" w:line="288" w:lineRule="auto"/>
      <w:ind w:left="0"/>
      <w:jc w:val="left"/>
    </w:pPr>
    <w:rPr>
      <w:rFonts w:ascii="Arial" w:hAnsi="Arial" w:eastAsia="等线" w:cs="Arial"/>
      <w:sz w:val="22"/>
      <w:szCs w:val="22"/>
    </w:rPr>
  </w:style>
  <w:style w:type="paragraph" w:customStyle="1" w:styleId="18">
    <w:name w:val="_Style 14"/>
    <w:qFormat/>
    <w:uiPriority w:val="0"/>
    <w:pPr>
      <w:spacing w:before="120" w:after="120" w:line="288" w:lineRule="auto"/>
      <w:ind w:left="0"/>
      <w:jc w:val="left"/>
    </w:pPr>
    <w:rPr>
      <w:rFonts w:ascii="Arial" w:hAnsi="Arial" w:eastAsia="等线" w:cs="Arial"/>
      <w:color w:val="8F959E"/>
      <w:sz w:val="22"/>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Pages>
  <Words>6440</Words>
  <Characters>6569</Characters>
  <TotalTime>0</TotalTime>
  <ScaleCrop>false</ScaleCrop>
  <LinksUpToDate>false</LinksUpToDate>
  <CharactersWithSpaces>6654</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2025-09-25T09:10:00Z</dcterms:created>
  <dc:creator>Un-named</dc:creator>
  <cp:lastModifiedBy>高</cp:lastModifiedBy>
  <dcterms:modified xsi:type="dcterms:W3CDTF">2025-09-25T09:38:34Z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eyJoZGlkIjoiMTFjMmQ3MjM3ZGM2NWNlMzBiNmI3MDNlMjc0OGI2NTEiLCJ1c2VySWQiOiIxNjcyMzUzNDUxIn0=</vt:lpwstr>
  </property>
  <property fmtid="{D5CDD505-2E9C-101B-9397-08002B2CF9AE}" pid="3" name="KSOProductBuildVer">
    <vt:lpwstr>2052-12.1.0.22529</vt:lpwstr>
  </property>
  <property fmtid="{D5CDD505-2E9C-101B-9397-08002B2CF9AE}" pid="4" name="ICV">
    <vt:lpwstr>F1FAE2DF74EE46B38402542ADFB12133_12</vt:lpwstr>
  </property>
</Properties>
</file>