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644677">
      <w:pPr>
        <w:pStyle w:val="2"/>
        <w:widowControl/>
        <w:shd w:val="clear" w:color="auto" w:fill="F9FAFB"/>
        <w:spacing w:beforeAutospacing="0" w:after="120" w:afterAutospacing="0" w:line="360" w:lineRule="atLeast"/>
        <w:jc w:val="center"/>
        <w:rPr>
          <w:rFonts w:hint="default" w:ascii="Times New Roman" w:hAnsi="Times New Roman" w:eastAsia="黑体"/>
          <w:kern w:val="2"/>
          <w:sz w:val="30"/>
          <w:szCs w:val="30"/>
        </w:rPr>
      </w:pPr>
      <w:r>
        <w:rPr>
          <w:rFonts w:hint="default" w:ascii="Times New Roman" w:hAnsi="Times New Roman" w:eastAsia="黑体"/>
          <w:kern w:val="2"/>
          <w:sz w:val="30"/>
          <w:szCs w:val="30"/>
        </w:rPr>
        <w:t>《</w:t>
      </w:r>
      <w:r>
        <w:rPr>
          <w:rFonts w:ascii="Times New Roman" w:hAnsi="Times New Roman" w:eastAsia="黑体"/>
          <w:kern w:val="2"/>
          <w:sz w:val="30"/>
          <w:szCs w:val="30"/>
        </w:rPr>
        <w:t>神经干细胞移植临床研究和应用规范</w:t>
      </w:r>
      <w:r>
        <w:rPr>
          <w:rFonts w:hint="default" w:ascii="Times New Roman" w:hAnsi="Times New Roman" w:eastAsia="黑体"/>
          <w:kern w:val="2"/>
          <w:sz w:val="30"/>
          <w:szCs w:val="30"/>
        </w:rPr>
        <w:t>》</w:t>
      </w:r>
    </w:p>
    <w:p w14:paraId="5FAC55BE">
      <w:pPr>
        <w:pStyle w:val="2"/>
        <w:widowControl/>
        <w:shd w:val="clear" w:color="auto" w:fill="F9FAFB"/>
        <w:spacing w:beforeAutospacing="0" w:after="120" w:afterAutospacing="0" w:line="360" w:lineRule="atLeast"/>
        <w:jc w:val="center"/>
        <w:rPr>
          <w:rFonts w:hint="default" w:ascii="Times New Roman" w:hAnsi="Times New Roman" w:eastAsia="黑体"/>
          <w:kern w:val="2"/>
          <w:sz w:val="30"/>
          <w:szCs w:val="30"/>
        </w:rPr>
      </w:pPr>
      <w:r>
        <w:rPr>
          <w:rFonts w:hint="default" w:ascii="Times New Roman" w:hAnsi="Times New Roman" w:eastAsia="黑体"/>
          <w:kern w:val="2"/>
          <w:sz w:val="30"/>
          <w:szCs w:val="30"/>
        </w:rPr>
        <w:t>征求意见稿编制说明</w:t>
      </w:r>
    </w:p>
    <w:p w14:paraId="1B624C93">
      <w:pPr>
        <w:pStyle w:val="3"/>
        <w:widowControl/>
        <w:shd w:val="clear" w:color="auto" w:fill="FFFFFF"/>
        <w:spacing w:beforeAutospacing="0" w:afterAutospacing="0" w:line="360" w:lineRule="auto"/>
        <w:rPr>
          <w:rFonts w:cs="宋体"/>
          <w:color w:val="000000"/>
          <w:sz w:val="24"/>
          <w:szCs w:val="24"/>
        </w:rPr>
      </w:pPr>
      <w:r>
        <w:rPr>
          <w:rFonts w:cs="宋体"/>
          <w:color w:val="000000"/>
          <w:sz w:val="24"/>
          <w:szCs w:val="24"/>
          <w:shd w:val="clear" w:color="auto" w:fill="FFFFFF"/>
        </w:rPr>
        <w:t>一、工作简况</w:t>
      </w:r>
    </w:p>
    <w:p w14:paraId="734A70A4">
      <w:pPr>
        <w:pStyle w:val="4"/>
        <w:widowControl/>
        <w:shd w:val="clear" w:color="auto" w:fill="FFFFFF"/>
        <w:spacing w:beforeAutospacing="0" w:afterAutospacing="0" w:line="360" w:lineRule="auto"/>
        <w:rPr>
          <w:rFonts w:cs="宋体"/>
          <w:color w:val="000000"/>
          <w:sz w:val="24"/>
          <w:szCs w:val="24"/>
        </w:rPr>
      </w:pPr>
      <w:r>
        <w:rPr>
          <w:rFonts w:cs="宋体"/>
          <w:color w:val="000000"/>
          <w:sz w:val="24"/>
          <w:szCs w:val="24"/>
          <w:shd w:val="clear" w:color="auto" w:fill="FFFFFF"/>
        </w:rPr>
        <w:t>（一）任务来源</w:t>
      </w:r>
    </w:p>
    <w:p w14:paraId="44B6A7D7">
      <w:pPr>
        <w:widowControl/>
        <w:spacing w:line="360" w:lineRule="auto"/>
        <w:ind w:firstLine="630" w:firstLineChars="300"/>
        <w:rPr>
          <w:rFonts w:hint="eastAsia" w:ascii="宋体" w:hAnsi="宋体" w:eastAsia="宋体" w:cs="宋体"/>
          <w:color w:val="000000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神经干细胞移植是干细胞监管重点，问题表现为细胞来源不清、制备放行标准不一、风险分级缺失。现行《干细胞临床研究管理办法》仅给出框架，缺乏神经方向可落地的技术细则，导致备案机构方案差异大、多中心研究难以推进，企业平均延误</w:t>
      </w:r>
      <w:r>
        <w:rPr>
          <w:rFonts w:hint="eastAsia" w:ascii="宋体" w:hAnsi="宋体" w:eastAsia="宋体" w:cs="宋体"/>
          <w:color w:val="000000"/>
          <w:szCs w:val="21"/>
        </w:rPr>
        <w:t>时间长</w:t>
      </w:r>
      <w:r>
        <w:rPr>
          <w:rFonts w:ascii="宋体" w:hAnsi="宋体" w:eastAsia="宋体" w:cs="宋体"/>
          <w:color w:val="000000"/>
          <w:szCs w:val="21"/>
        </w:rPr>
        <w:t>，成本</w:t>
      </w:r>
      <w:r>
        <w:rPr>
          <w:rFonts w:hint="eastAsia" w:ascii="宋体" w:hAnsi="宋体" w:eastAsia="宋体" w:cs="宋体"/>
          <w:color w:val="000000"/>
          <w:szCs w:val="21"/>
        </w:rPr>
        <w:t>也有所</w:t>
      </w:r>
      <w:r>
        <w:rPr>
          <w:rFonts w:ascii="宋体" w:hAnsi="宋体" w:eastAsia="宋体" w:cs="宋体"/>
          <w:color w:val="000000"/>
          <w:szCs w:val="21"/>
        </w:rPr>
        <w:t>增加。</w:t>
      </w:r>
      <w:r>
        <w:rPr>
          <w:rFonts w:hint="eastAsia" w:ascii="宋体" w:hAnsi="宋体" w:eastAsia="宋体" w:cs="宋体"/>
          <w:color w:val="000000"/>
          <w:szCs w:val="21"/>
        </w:rPr>
        <w:t>为填补这一空白，提升治疗质量，依据相关行业规范，</w:t>
      </w:r>
      <w:r>
        <w:rPr>
          <w:rFonts w:ascii="宋体" w:hAnsi="宋体" w:eastAsia="宋体" w:cs="宋体"/>
          <w:color w:val="000000"/>
          <w:szCs w:val="21"/>
        </w:rPr>
        <w:t>依据</w:t>
      </w:r>
      <w:bookmarkStart w:id="0" w:name="_Hlk209714237"/>
      <w:r>
        <w:rPr>
          <w:rFonts w:hint="eastAsia" w:ascii="宋体" w:hAnsi="宋体" w:eastAsia="宋体" w:cs="宋体"/>
          <w:color w:val="000000"/>
          <w:szCs w:val="21"/>
        </w:rPr>
        <w:t>《干细胞临床研究管理办法》、《药物临床试验质量管理规范》、《药品生产质量管理规范（2010年修订）》</w:t>
      </w:r>
      <w:bookmarkEnd w:id="0"/>
      <w:r>
        <w:rPr>
          <w:rFonts w:ascii="宋体" w:hAnsi="宋体" w:eastAsia="宋体" w:cs="宋体"/>
          <w:color w:val="000000"/>
          <w:szCs w:val="21"/>
        </w:rPr>
        <w:t>及相关行业规范，提出《</w:t>
      </w:r>
      <w:r>
        <w:rPr>
          <w:rFonts w:hint="eastAsia" w:ascii="宋体" w:hAnsi="宋体" w:eastAsia="宋体" w:cs="宋体"/>
          <w:color w:val="000000"/>
          <w:szCs w:val="21"/>
        </w:rPr>
        <w:t>神经干细胞移植临床研究规范</w:t>
      </w:r>
      <w:r>
        <w:rPr>
          <w:rFonts w:ascii="宋体" w:hAnsi="宋体" w:eastAsia="宋体" w:cs="宋体"/>
          <w:color w:val="000000"/>
          <w:szCs w:val="21"/>
        </w:rPr>
        <w:t>》团体标准立项申请</w:t>
      </w:r>
      <w:r>
        <w:rPr>
          <w:rFonts w:hint="eastAsia" w:ascii="宋体" w:hAnsi="宋体" w:eastAsia="宋体" w:cs="宋体"/>
          <w:color w:val="000000"/>
          <w:szCs w:val="21"/>
        </w:rPr>
        <w:t>。经中国食品药品企业质量安全促进会组织专家审议后批准立项。</w:t>
      </w:r>
    </w:p>
    <w:p w14:paraId="6F2F3BB8">
      <w:pPr>
        <w:pStyle w:val="4"/>
        <w:widowControl/>
        <w:shd w:val="clear" w:color="auto" w:fill="FFFFFF"/>
        <w:spacing w:beforeAutospacing="0" w:afterAutospacing="0" w:line="360" w:lineRule="auto"/>
        <w:rPr>
          <w:rFonts w:cs="宋体"/>
          <w:color w:val="000000"/>
          <w:sz w:val="24"/>
          <w:szCs w:val="24"/>
        </w:rPr>
      </w:pPr>
      <w:r>
        <w:rPr>
          <w:rFonts w:cs="宋体"/>
          <w:color w:val="000000"/>
          <w:sz w:val="24"/>
          <w:szCs w:val="24"/>
          <w:shd w:val="clear" w:color="auto" w:fill="FFFFFF"/>
        </w:rPr>
        <w:t>（二）目的、意义及必要性</w:t>
      </w:r>
    </w:p>
    <w:p w14:paraId="65D58417">
      <w:pPr>
        <w:widowControl/>
        <w:spacing w:line="360" w:lineRule="auto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1、</w:t>
      </w:r>
      <w:r>
        <w:rPr>
          <w:rFonts w:ascii="宋体" w:hAnsi="宋体" w:eastAsia="宋体" w:cs="宋体"/>
          <w:color w:val="000000"/>
          <w:szCs w:val="21"/>
        </w:rPr>
        <w:t xml:space="preserve">目的 </w:t>
      </w:r>
    </w:p>
    <w:p w14:paraId="4B3963EF">
      <w:pPr>
        <w:widowControl/>
        <w:spacing w:line="360" w:lineRule="auto"/>
        <w:ind w:firstLine="630" w:firstLineChars="300"/>
        <w:rPr>
          <w:rFonts w:hint="eastAsia" w:ascii="宋体" w:hAnsi="宋体" w:eastAsia="宋体" w:cs="宋体"/>
          <w:color w:val="000000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建立一套可落地、可核查、可追责的技术与管理共识，解决当前神经干细胞移植临床研究在细胞制备、风险控制、伦理审查、质量放行等关键环节缺少统一操作细则的问题，为备案机构、CRO、伦理委员会和监管部门提供“一张清单式”依据，减少重复论证和试错成本</w:t>
      </w:r>
      <w:r>
        <w:rPr>
          <w:rFonts w:hint="eastAsia" w:ascii="宋体" w:hAnsi="宋体" w:eastAsia="宋体" w:cs="宋体"/>
          <w:color w:val="000000"/>
          <w:szCs w:val="21"/>
        </w:rPr>
        <w:t>。</w:t>
      </w:r>
    </w:p>
    <w:p w14:paraId="73BBB225">
      <w:pPr>
        <w:widowControl/>
        <w:spacing w:line="360" w:lineRule="auto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2、意义</w:t>
      </w:r>
    </w:p>
    <w:p w14:paraId="02AE2BFB">
      <w:pPr>
        <w:widowControl/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color w:val="000000"/>
          <w:szCs w:val="21"/>
        </w:rPr>
      </w:pPr>
      <w:r>
        <w:rPr>
          <w:rFonts w:ascii="宋体" w:hAnsi="宋体" w:eastAsia="宋体" w:cs="宋体"/>
          <w:b/>
          <w:bCs/>
          <w:color w:val="000000"/>
          <w:szCs w:val="21"/>
        </w:rPr>
        <w:t>规范研究流程</w:t>
      </w:r>
    </w:p>
    <w:p w14:paraId="6ED9FD72">
      <w:pPr>
        <w:widowControl/>
        <w:spacing w:line="360" w:lineRule="auto"/>
        <w:ind w:left="720"/>
        <w:rPr>
          <w:rFonts w:hint="eastAsia" w:ascii="宋体" w:hAnsi="宋体" w:eastAsia="宋体" w:cs="宋体"/>
          <w:color w:val="000000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为神经干细胞移植临床研究提供标准化操作流程，涵盖细胞制备、非临床研究、临床试验设计、风险控制和伦理审查等环节，确保各研究机构遵循统一技术标准，减少因研究设计差异导致的数据不可比性，提升研究结果的可靠性和可重复性。</w:t>
      </w:r>
    </w:p>
    <w:p w14:paraId="3BDCE046">
      <w:pPr>
        <w:widowControl/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color w:val="000000"/>
          <w:szCs w:val="21"/>
        </w:rPr>
      </w:pPr>
      <w:r>
        <w:rPr>
          <w:rFonts w:ascii="宋体" w:hAnsi="宋体" w:eastAsia="宋体" w:cs="宋体"/>
          <w:b/>
          <w:bCs/>
          <w:color w:val="000000"/>
          <w:szCs w:val="21"/>
        </w:rPr>
        <w:t>保障受试者权益</w:t>
      </w:r>
    </w:p>
    <w:p w14:paraId="2394B087">
      <w:pPr>
        <w:widowControl/>
        <w:spacing w:line="360" w:lineRule="auto"/>
        <w:ind w:left="720"/>
        <w:rPr>
          <w:rFonts w:hint="eastAsia" w:ascii="宋体" w:hAnsi="宋体" w:eastAsia="宋体" w:cs="宋体"/>
          <w:color w:val="000000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统一知情同意模板和风险分级标准，明确告知受试者研究潜在风险和不确定性，确保其在充分知情基础上自愿参与。设立独立数据安全监查委员会（DSMB），实时监控研究中的安全性数据，及时发现并处理严重不良事件，最大程度保障受试者安全与权益。</w:t>
      </w:r>
    </w:p>
    <w:p w14:paraId="1A44EF61">
      <w:pPr>
        <w:widowControl/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color w:val="000000"/>
          <w:szCs w:val="21"/>
        </w:rPr>
      </w:pPr>
      <w:r>
        <w:rPr>
          <w:rFonts w:ascii="宋体" w:hAnsi="宋体" w:eastAsia="宋体" w:cs="宋体"/>
          <w:b/>
          <w:bCs/>
          <w:color w:val="000000"/>
          <w:szCs w:val="21"/>
        </w:rPr>
        <w:t>优化资源利用</w:t>
      </w:r>
    </w:p>
    <w:p w14:paraId="61A028E3">
      <w:pPr>
        <w:widowControl/>
        <w:spacing w:line="360" w:lineRule="auto"/>
        <w:ind w:left="720"/>
        <w:rPr>
          <w:rFonts w:hint="eastAsia" w:ascii="宋体" w:hAnsi="宋体" w:eastAsia="宋体" w:cs="宋体"/>
          <w:color w:val="000000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细胞制备和临床研究的标准化流程，减少因方案设计不一致导致的重复实验和资源浪费。明确的伦理审查要求，避免因伦理问题导致的研究中断或资源闲置，提高研究资源的整体利用效率。</w:t>
      </w:r>
    </w:p>
    <w:p w14:paraId="584D85B3">
      <w:pPr>
        <w:widowControl/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color w:val="000000"/>
          <w:szCs w:val="21"/>
        </w:rPr>
      </w:pPr>
      <w:r>
        <w:rPr>
          <w:rFonts w:ascii="宋体" w:hAnsi="宋体" w:eastAsia="宋体" w:cs="宋体"/>
          <w:b/>
          <w:bCs/>
          <w:color w:val="000000"/>
          <w:szCs w:val="21"/>
        </w:rPr>
        <w:t>促进数据共享与合作</w:t>
      </w:r>
    </w:p>
    <w:p w14:paraId="310EF9D2">
      <w:pPr>
        <w:widowControl/>
        <w:spacing w:line="360" w:lineRule="auto"/>
        <w:ind w:left="720"/>
        <w:rPr>
          <w:rFonts w:hint="eastAsia" w:ascii="宋体" w:hAnsi="宋体" w:eastAsia="宋体" w:cs="宋体"/>
          <w:color w:val="000000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统一的临床研究终点和数据报告格式，便于不同研究机构之间的数据汇总和比较，为开展多中心研究和国际合作奠定基础。这有助于整合全球资源，加速神经干细胞治疗技术的临床转化和应用。</w:t>
      </w:r>
    </w:p>
    <w:p w14:paraId="2692C64E">
      <w:pPr>
        <w:widowControl/>
        <w:spacing w:line="360" w:lineRule="auto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3</w:t>
      </w:r>
      <w:r>
        <w:rPr>
          <w:rFonts w:ascii="宋体" w:hAnsi="宋体" w:eastAsia="宋体" w:cs="宋体"/>
          <w:color w:val="000000"/>
          <w:szCs w:val="21"/>
        </w:rPr>
        <w:t>、必要性</w:t>
      </w:r>
    </w:p>
    <w:p w14:paraId="67CE7015">
      <w:pPr>
        <w:widowControl/>
        <w:numPr>
          <w:ilvl w:val="0"/>
          <w:numId w:val="2"/>
        </w:numPr>
        <w:spacing w:line="360" w:lineRule="auto"/>
        <w:rPr>
          <w:rFonts w:hint="eastAsia" w:ascii="宋体" w:hAnsi="宋体" w:eastAsia="宋体" w:cs="宋体"/>
          <w:color w:val="000000"/>
          <w:szCs w:val="21"/>
        </w:rPr>
      </w:pPr>
      <w:r>
        <w:rPr>
          <w:rFonts w:ascii="宋体" w:hAnsi="宋体" w:eastAsia="宋体" w:cs="宋体"/>
          <w:b/>
          <w:bCs/>
          <w:color w:val="000000"/>
          <w:szCs w:val="21"/>
        </w:rPr>
        <w:t>法规细化需求</w:t>
      </w:r>
    </w:p>
    <w:p w14:paraId="75AEB5FC">
      <w:pPr>
        <w:widowControl/>
        <w:spacing w:line="360" w:lineRule="auto"/>
        <w:ind w:left="720"/>
        <w:rPr>
          <w:rFonts w:hint="eastAsia" w:ascii="宋体" w:hAnsi="宋体" w:eastAsia="宋体" w:cs="宋体"/>
          <w:color w:val="000000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《干细胞临床研究管理办法（试行）》等上位法规为干细胞研究提供了框架性指导，但在神经干细胞移植这一特定领域，缺乏具体的技术细节。制定团体标准可以填补这一空白，确保法规要求在实际操作中的可执行性，提升研究的合规性和科学性。</w:t>
      </w:r>
    </w:p>
    <w:p w14:paraId="4A887504">
      <w:pPr>
        <w:widowControl/>
        <w:numPr>
          <w:ilvl w:val="0"/>
          <w:numId w:val="2"/>
        </w:numPr>
        <w:spacing w:line="360" w:lineRule="auto"/>
        <w:rPr>
          <w:rFonts w:hint="eastAsia" w:ascii="宋体" w:hAnsi="宋体" w:eastAsia="宋体" w:cs="宋体"/>
          <w:color w:val="000000"/>
          <w:szCs w:val="21"/>
        </w:rPr>
      </w:pPr>
      <w:r>
        <w:rPr>
          <w:rFonts w:ascii="宋体" w:hAnsi="宋体" w:eastAsia="宋体" w:cs="宋体"/>
          <w:b/>
          <w:bCs/>
          <w:color w:val="000000"/>
          <w:szCs w:val="21"/>
        </w:rPr>
        <w:t>安全性与风险控制</w:t>
      </w:r>
    </w:p>
    <w:p w14:paraId="6FFDE6A7">
      <w:pPr>
        <w:widowControl/>
        <w:spacing w:line="360" w:lineRule="auto"/>
        <w:ind w:left="720"/>
        <w:rPr>
          <w:rFonts w:hint="eastAsia" w:ascii="宋体" w:hAnsi="宋体" w:eastAsia="宋体" w:cs="宋体"/>
          <w:color w:val="000000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神经干细胞移植涉及高风险的侵入性操作，如颅内或脊髓内注射。统一的细胞制备、质控和临床前研究标准，有助于降低致瘤性、免疫排斥等风险。明确的不良事件报告和风险分级机制，能够及时发现并处理潜在的安全问题，避免因单一事件导致整个领域的停滞。</w:t>
      </w:r>
    </w:p>
    <w:p w14:paraId="7A868A74">
      <w:pPr>
        <w:widowControl/>
        <w:numPr>
          <w:ilvl w:val="0"/>
          <w:numId w:val="2"/>
        </w:numPr>
        <w:spacing w:line="360" w:lineRule="auto"/>
        <w:rPr>
          <w:rFonts w:hint="eastAsia" w:ascii="宋体" w:hAnsi="宋体" w:eastAsia="宋体" w:cs="宋体"/>
          <w:color w:val="000000"/>
          <w:szCs w:val="21"/>
        </w:rPr>
      </w:pPr>
      <w:r>
        <w:rPr>
          <w:rFonts w:ascii="宋体" w:hAnsi="宋体" w:eastAsia="宋体" w:cs="宋体"/>
          <w:b/>
          <w:bCs/>
          <w:color w:val="000000"/>
          <w:szCs w:val="21"/>
        </w:rPr>
        <w:t>伦理审查与合规性</w:t>
      </w:r>
    </w:p>
    <w:p w14:paraId="167A72AA">
      <w:pPr>
        <w:widowControl/>
        <w:spacing w:line="360" w:lineRule="auto"/>
        <w:ind w:left="720"/>
        <w:rPr>
          <w:rFonts w:hint="eastAsia" w:ascii="宋体" w:hAnsi="宋体" w:eastAsia="宋体" w:cs="宋体"/>
          <w:color w:val="000000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神经干细胞研究涉及复杂的伦理问题，如细胞来源、受试者权益保护等。统一的伦理审查标准和知情同意模板，确保研究在伦理框架内进行，减少因伦理问题导致的研究中断或法律纠纷。</w:t>
      </w:r>
    </w:p>
    <w:p w14:paraId="3EE317BF">
      <w:pPr>
        <w:widowControl/>
        <w:shd w:val="clear" w:color="auto" w:fill="FFFFFF"/>
        <w:spacing w:line="360" w:lineRule="auto"/>
        <w:ind w:firstLine="420" w:firstLineChars="200"/>
        <w:jc w:val="left"/>
        <w:rPr>
          <w:rFonts w:cs="宋体"/>
          <w:b/>
          <w:bCs/>
          <w:sz w:val="2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000000"/>
          <w:szCs w:val="21"/>
        </w:rPr>
        <w:t>综上所述，制定《神经干细胞移植临床研究和应用规范》团体标准，对于规范研究流程、保障受试者权益、优化资源利用、促进数据共享与合作具有重要意义，同时填补法规空白、提升产业竞争力、加速临床转化进程，具有较高的立项必要性</w:t>
      </w:r>
      <w:r>
        <w:rPr>
          <w:rFonts w:hint="eastAsia" w:ascii="宋体" w:hAnsi="宋体" w:eastAsia="宋体" w:cs="宋体"/>
          <w:kern w:val="0"/>
          <w:sz w:val="24"/>
          <w:shd w:val="clear" w:color="auto" w:fill="FFFFFF"/>
          <w:lang w:bidi="ar"/>
        </w:rPr>
        <w:t>。</w:t>
      </w:r>
    </w:p>
    <w:p w14:paraId="78C0EAA1">
      <w:pPr>
        <w:pStyle w:val="4"/>
        <w:widowControl/>
        <w:shd w:val="clear" w:color="auto" w:fill="FFFFFF"/>
        <w:spacing w:beforeAutospacing="0" w:afterAutospacing="0" w:line="360" w:lineRule="auto"/>
        <w:rPr>
          <w:rFonts w:cs="宋体"/>
          <w:color w:val="000000"/>
          <w:sz w:val="24"/>
          <w:szCs w:val="24"/>
        </w:rPr>
      </w:pPr>
      <w:r>
        <w:rPr>
          <w:rFonts w:cs="宋体"/>
          <w:color w:val="000000"/>
          <w:sz w:val="24"/>
          <w:szCs w:val="24"/>
          <w:shd w:val="clear" w:color="auto" w:fill="FFFFFF"/>
        </w:rPr>
        <w:t>（三）团体标准起草单位和主要起草人</w:t>
      </w:r>
    </w:p>
    <w:p w14:paraId="45E3A77D">
      <w:pPr>
        <w:widowControl/>
        <w:spacing w:line="360" w:lineRule="auto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立项申请单位：</w:t>
      </w:r>
      <w:r>
        <w:rPr>
          <w:rFonts w:hint="eastAsia" w:ascii="宋体" w:hAnsi="宋体" w:eastAsia="宋体" w:cs="宋体"/>
          <w:color w:val="000000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Cs w:val="21"/>
        </w:rPr>
        <w:t>本标准牵头起草人：</w:t>
      </w:r>
    </w:p>
    <w:p w14:paraId="4130236C">
      <w:pPr>
        <w:pStyle w:val="4"/>
        <w:widowControl/>
        <w:shd w:val="clear" w:color="auto" w:fill="FFFFFF"/>
        <w:spacing w:beforeAutospacing="0" w:afterAutospacing="0" w:line="360" w:lineRule="auto"/>
        <w:rPr>
          <w:rFonts w:cs="宋体"/>
          <w:color w:val="000000"/>
          <w:sz w:val="24"/>
          <w:szCs w:val="24"/>
        </w:rPr>
      </w:pPr>
      <w:r>
        <w:rPr>
          <w:rFonts w:cs="宋体"/>
          <w:color w:val="000000"/>
          <w:sz w:val="24"/>
          <w:szCs w:val="24"/>
          <w:shd w:val="clear" w:color="auto" w:fill="FFFFFF"/>
        </w:rPr>
        <w:t>（四）参与单位</w:t>
      </w:r>
    </w:p>
    <w:p w14:paraId="7737A5B0">
      <w:pPr>
        <w:widowControl/>
        <w:shd w:val="clear" w:color="auto" w:fill="FFFFFF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hd w:val="clear" w:color="auto" w:fill="FFFFFF"/>
          <w:lang w:bidi="ar"/>
        </w:rPr>
      </w:pPr>
    </w:p>
    <w:p w14:paraId="264CD0EF">
      <w:pPr>
        <w:widowControl/>
        <w:shd w:val="clear" w:color="auto" w:fill="FFFFFF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hd w:val="clear" w:color="auto" w:fill="FFFFFF"/>
          <w:lang w:bidi="ar"/>
        </w:rPr>
      </w:pPr>
    </w:p>
    <w:p w14:paraId="5B945408">
      <w:pPr>
        <w:pStyle w:val="4"/>
        <w:widowControl/>
        <w:shd w:val="clear" w:color="auto" w:fill="FFFFFF"/>
        <w:spacing w:beforeAutospacing="0" w:afterAutospacing="0" w:line="360" w:lineRule="auto"/>
        <w:rPr>
          <w:rFonts w:cs="宋体"/>
          <w:color w:val="000000"/>
          <w:sz w:val="24"/>
          <w:szCs w:val="24"/>
        </w:rPr>
      </w:pPr>
      <w:r>
        <w:rPr>
          <w:rFonts w:cs="宋体"/>
          <w:color w:val="000000"/>
          <w:sz w:val="24"/>
          <w:szCs w:val="24"/>
          <w:shd w:val="clear" w:color="auto" w:fill="FFFFFF"/>
        </w:rPr>
        <w:t>（五）主要工作</w:t>
      </w:r>
    </w:p>
    <w:p w14:paraId="5D7A4FE5">
      <w:pPr>
        <w:widowControl/>
        <w:shd w:val="clear" w:color="auto" w:fill="FFFFFF"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1.起草阶段</w:t>
      </w:r>
    </w:p>
    <w:p w14:paraId="62959231">
      <w:pPr>
        <w:widowControl/>
        <w:shd w:val="clear" w:color="auto" w:fill="FFFFFF"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立项后，迅速组建标准制定工作组。根据成员单位专长，设立多个起草小组，明确各小组职责。</w:t>
      </w:r>
    </w:p>
    <w:p w14:paraId="27D05C42">
      <w:pPr>
        <w:widowControl/>
        <w:shd w:val="clear" w:color="auto" w:fill="FFFFFF"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制定详细的工作计划，规划起草流程的时间节点，包括资料收集、初稿撰写、内部讨论、修改完善、专家审评、征求意见等关键环节的具体时间安排。</w:t>
      </w:r>
    </w:p>
    <w:p w14:paraId="381A8AFD">
      <w:pPr>
        <w:widowControl/>
        <w:shd w:val="clear" w:color="auto" w:fill="FFFFFF"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各起草小组广泛收集国内外相关文献、多中心验证数据、行业专家意见等资料，重点参考《干细胞临床研究管理办法》等参考文献。基于这些资料，结合自身经验，起草各自负责部分的内容，形成标准初稿。</w:t>
      </w:r>
    </w:p>
    <w:p w14:paraId="4695B8AE">
      <w:pPr>
        <w:widowControl/>
        <w:shd w:val="clear" w:color="auto" w:fill="FFFFFF"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组织多次内部研讨会，对初稿进行深入讨论和修改。邀请行业权威专家对修改后的稿件进行评审，根据专家意见再次完善，形成标准征求意见稿。</w:t>
      </w:r>
    </w:p>
    <w:p w14:paraId="7CA736AE">
      <w:pPr>
        <w:widowControl/>
        <w:shd w:val="clear" w:color="auto" w:fill="FFFFFF"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szCs w:val="21"/>
        </w:rPr>
        <w:t>征求意见阶段：</w:t>
      </w:r>
    </w:p>
    <w:p w14:paraId="7C08EB92">
      <w:pPr>
        <w:widowControl/>
        <w:shd w:val="clear" w:color="auto" w:fill="FFFFFF"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通过多种渠道向行业内广泛征求意见，确保标准的科学性、实用性和可操作性。</w:t>
      </w:r>
    </w:p>
    <w:p w14:paraId="77ED7043">
      <w:pPr>
        <w:pStyle w:val="3"/>
        <w:widowControl/>
        <w:shd w:val="clear" w:color="auto" w:fill="FFFFFF"/>
        <w:spacing w:beforeAutospacing="0" w:afterAutospacing="0" w:line="360" w:lineRule="auto"/>
        <w:rPr>
          <w:rFonts w:cs="宋体"/>
          <w:color w:val="000000"/>
          <w:sz w:val="24"/>
          <w:szCs w:val="24"/>
        </w:rPr>
      </w:pPr>
      <w:r>
        <w:rPr>
          <w:rFonts w:cs="宋体"/>
          <w:color w:val="000000"/>
          <w:sz w:val="24"/>
          <w:szCs w:val="24"/>
          <w:shd w:val="clear" w:color="auto" w:fill="FFFFFF"/>
        </w:rPr>
        <w:t>二、标准编制原则和确定标准主要内容的依据</w:t>
      </w:r>
    </w:p>
    <w:p w14:paraId="5C49BB4E">
      <w:pPr>
        <w:pStyle w:val="4"/>
        <w:widowControl/>
        <w:shd w:val="clear" w:color="auto" w:fill="FFFFFF"/>
        <w:spacing w:beforeAutospacing="0" w:afterAutospacing="0" w:line="360" w:lineRule="auto"/>
        <w:rPr>
          <w:rFonts w:cs="宋体"/>
          <w:color w:val="000000"/>
          <w:sz w:val="24"/>
          <w:szCs w:val="24"/>
        </w:rPr>
      </w:pPr>
      <w:r>
        <w:rPr>
          <w:rFonts w:cs="宋体"/>
          <w:color w:val="000000"/>
          <w:sz w:val="24"/>
          <w:szCs w:val="24"/>
          <w:shd w:val="clear" w:color="auto" w:fill="FFFFFF"/>
        </w:rPr>
        <w:t>（一）标准编制原则</w:t>
      </w:r>
    </w:p>
    <w:p w14:paraId="6402573A">
      <w:pPr>
        <w:widowControl/>
        <w:shd w:val="clear" w:color="auto" w:fill="FFFFFF"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1.科学性原则：以GB/T 1.1-2020及多中心文献数据为基础，确保过程节点与阈值科学合理。</w:t>
      </w:r>
    </w:p>
    <w:p w14:paraId="72713FA5">
      <w:pPr>
        <w:widowControl/>
        <w:shd w:val="clear" w:color="auto" w:fill="FFFFFF"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2.实用性原则：条款对应监管高频否决点，指标给出可接受区间，允许机构根据自身条件分级选用，最大限度减少反复修改和额外成本。</w:t>
      </w:r>
    </w:p>
    <w:p w14:paraId="3685AD43">
      <w:pPr>
        <w:widowControl/>
        <w:shd w:val="clear" w:color="auto" w:fill="FFFFFF"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3.规范性原则：严格遵循相关标准规范进行编写，保证标准的格式统一、内容规范。</w:t>
      </w:r>
    </w:p>
    <w:p w14:paraId="7A8074D1">
      <w:pPr>
        <w:widowControl/>
        <w:shd w:val="clear" w:color="auto" w:fill="FFFFFF"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4.协调性原则：与现行法律法规、其他相关行业标准保持协调一致，避免冲突。</w:t>
      </w:r>
    </w:p>
    <w:p w14:paraId="435C571F">
      <w:pPr>
        <w:pStyle w:val="4"/>
        <w:widowControl/>
        <w:shd w:val="clear" w:color="auto" w:fill="FFFFFF"/>
        <w:spacing w:beforeAutospacing="0" w:afterAutospacing="0" w:line="360" w:lineRule="auto"/>
        <w:rPr>
          <w:rFonts w:cs="宋体"/>
          <w:color w:val="000000"/>
          <w:sz w:val="24"/>
          <w:szCs w:val="24"/>
        </w:rPr>
      </w:pPr>
      <w:r>
        <w:rPr>
          <w:rFonts w:cs="宋体"/>
          <w:color w:val="000000"/>
          <w:sz w:val="24"/>
          <w:szCs w:val="24"/>
          <w:shd w:val="clear" w:color="auto" w:fill="FFFFFF"/>
        </w:rPr>
        <w:t>（二）确定标准主要内容的依据</w:t>
      </w:r>
    </w:p>
    <w:p w14:paraId="1A17A4A0">
      <w:pPr>
        <w:widowControl/>
        <w:shd w:val="clear" w:color="auto" w:fill="FFFFFF"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本标准的技术要求和方法经过多轮专家论证和实践验证，确保其科学性和可行性。通过案例分析、模拟实验等方式对标准中的关键技术条款进行验证，确保其在实际应用中的有效性和可靠性。</w:t>
      </w:r>
    </w:p>
    <w:p w14:paraId="4B14C911">
      <w:pPr>
        <w:pStyle w:val="3"/>
        <w:widowControl/>
        <w:shd w:val="clear" w:color="auto" w:fill="FFFFFF"/>
        <w:spacing w:beforeAutospacing="0" w:afterAutospacing="0" w:line="360" w:lineRule="auto"/>
        <w:rPr>
          <w:rFonts w:cs="宋体"/>
          <w:b w:val="0"/>
          <w:bCs w:val="0"/>
          <w:color w:val="000000"/>
          <w:sz w:val="24"/>
          <w:szCs w:val="24"/>
        </w:rPr>
      </w:pPr>
      <w:r>
        <w:rPr>
          <w:rFonts w:cs="宋体"/>
          <w:color w:val="000000"/>
          <w:sz w:val="24"/>
          <w:szCs w:val="24"/>
          <w:shd w:val="clear" w:color="auto" w:fill="FFFFFF"/>
        </w:rPr>
        <w:t>三、与现行法律法规、强制性标准和其他有关标准的关系，采用国际标准的程度及水平简要说明</w:t>
      </w:r>
    </w:p>
    <w:p w14:paraId="703AF22C">
      <w:pPr>
        <w:widowControl/>
        <w:shd w:val="clear" w:color="auto" w:fill="FFFFFF"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本标准与现行法律法规、强制性标准和其他有关标准保持协调一致。本标准与《干细胞临床研究管理办法》、《药物临床试验质量管理规范》、《药品生产质量管理规范（2010年修订）》等保持协调一致，仅组合现有方法与共识值，不增设新强制指标。</w:t>
      </w:r>
    </w:p>
    <w:p w14:paraId="6348A2F5">
      <w:pPr>
        <w:pStyle w:val="3"/>
        <w:widowControl/>
        <w:shd w:val="clear" w:color="auto" w:fill="FFFFFF"/>
        <w:spacing w:beforeAutospacing="0" w:afterAutospacing="0" w:line="360" w:lineRule="auto"/>
        <w:rPr>
          <w:rFonts w:cs="宋体"/>
          <w:color w:val="000000"/>
          <w:sz w:val="24"/>
          <w:szCs w:val="24"/>
        </w:rPr>
      </w:pPr>
      <w:r>
        <w:rPr>
          <w:rFonts w:cs="宋体"/>
          <w:color w:val="000000"/>
          <w:sz w:val="24"/>
          <w:szCs w:val="24"/>
          <w:shd w:val="clear" w:color="auto" w:fill="FFFFFF"/>
        </w:rPr>
        <w:t>四、重大分歧意见的处理结果和依据</w:t>
      </w:r>
    </w:p>
    <w:p w14:paraId="7BE8D89C">
      <w:pPr>
        <w:widowControl/>
        <w:shd w:val="clear" w:color="auto" w:fill="FFFFFF"/>
        <w:spacing w:line="360" w:lineRule="auto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shd w:val="clear" w:color="auto" w:fill="FFFFFF"/>
          <w:lang w:bidi="ar"/>
        </w:rPr>
        <w:t>本标准制定过程中无重大分歧。</w:t>
      </w:r>
    </w:p>
    <w:p w14:paraId="2E25A171">
      <w:pPr>
        <w:pStyle w:val="3"/>
        <w:widowControl/>
        <w:shd w:val="clear" w:color="auto" w:fill="FFFFFF"/>
        <w:spacing w:beforeAutospacing="0" w:afterAutospacing="0" w:line="360" w:lineRule="auto"/>
        <w:rPr>
          <w:rFonts w:cs="宋体"/>
          <w:b w:val="0"/>
          <w:bCs w:val="0"/>
          <w:color w:val="000000"/>
          <w:sz w:val="24"/>
          <w:szCs w:val="24"/>
        </w:rPr>
      </w:pPr>
      <w:r>
        <w:rPr>
          <w:rFonts w:cs="宋体"/>
          <w:color w:val="000000"/>
          <w:sz w:val="24"/>
          <w:szCs w:val="24"/>
          <w:shd w:val="clear" w:color="auto" w:fill="FFFFFF"/>
        </w:rPr>
        <w:t>五、贯彻促进会标准的要求和措施建议（包括组织措施、技术措施、过渡办法等内容）</w:t>
      </w:r>
    </w:p>
    <w:p w14:paraId="14F3303A"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Style w:val="9"/>
          <w:rFonts w:hint="eastAsia" w:ascii="宋体" w:hAnsi="宋体" w:eastAsia="宋体" w:cs="宋体"/>
          <w:b w:val="0"/>
          <w:color w:val="000000"/>
          <w:sz w:val="21"/>
          <w:szCs w:val="21"/>
          <w:shd w:val="clear" w:color="auto" w:fill="FFFFFF"/>
        </w:rPr>
        <w:t>1.组织措施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：标准发布后，成立专门的标准推广组织，负责协调各方资源，推动标准的实施。组织标准培训会议，邀请标准起草人对医疗机构相关人员进行培训，确保理解和掌握标准内容。</w:t>
      </w:r>
    </w:p>
    <w:p w14:paraId="68CE75EA"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Style w:val="9"/>
          <w:rFonts w:hint="eastAsia" w:ascii="宋体" w:hAnsi="宋体" w:eastAsia="宋体" w:cs="宋体"/>
          <w:b w:val="0"/>
          <w:color w:val="000000"/>
          <w:sz w:val="21"/>
          <w:szCs w:val="21"/>
          <w:shd w:val="clear" w:color="auto" w:fill="FFFFFF"/>
        </w:rPr>
        <w:t>2.技术措施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：开发相关的技术支持工具，如“构建过程记录表”与“质量判定报告”模板等，辅助参编单位按照标准开展工作。建立技术咨询平台</w:t>
      </w:r>
      <w:bookmarkStart w:id="1" w:name="_GoBack"/>
      <w:bookmarkEnd w:id="1"/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，及时解答实施过程中的技术问题。</w:t>
      </w:r>
    </w:p>
    <w:p w14:paraId="43DA25C4"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Style w:val="9"/>
          <w:rFonts w:hint="eastAsia" w:ascii="宋体" w:hAnsi="宋体" w:eastAsia="宋体" w:cs="宋体"/>
          <w:b w:val="0"/>
          <w:color w:val="000000"/>
          <w:sz w:val="21"/>
          <w:szCs w:val="21"/>
          <w:shd w:val="clear" w:color="auto" w:fill="FFFFFF"/>
        </w:rPr>
        <w:t>3.过渡办法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：给予参编单位一定的过渡期，在过渡期内逐步调整临床实践以符合标准要求。针对部分条件有限的单位，提供技术帮扶和指导，帮助其达到标准规定的水平。</w:t>
      </w:r>
    </w:p>
    <w:p w14:paraId="7F1B3C8F">
      <w:pPr>
        <w:pStyle w:val="3"/>
        <w:widowControl/>
        <w:shd w:val="clear" w:color="auto" w:fill="FFFFFF"/>
        <w:spacing w:beforeAutospacing="0" w:afterAutospacing="0" w:line="360" w:lineRule="auto"/>
        <w:rPr>
          <w:rFonts w:cs="宋体"/>
          <w:color w:val="000000"/>
          <w:sz w:val="24"/>
          <w:szCs w:val="24"/>
        </w:rPr>
      </w:pPr>
      <w:r>
        <w:rPr>
          <w:rFonts w:cs="宋体"/>
          <w:color w:val="000000"/>
          <w:sz w:val="24"/>
          <w:szCs w:val="24"/>
          <w:shd w:val="clear" w:color="auto" w:fill="FFFFFF"/>
        </w:rPr>
        <w:t>六、其他应予说明的事项</w:t>
      </w:r>
    </w:p>
    <w:p w14:paraId="2E25F6ED">
      <w:pPr>
        <w:widowControl/>
        <w:shd w:val="clear" w:color="auto" w:fill="FFFFFF"/>
        <w:spacing w:line="360" w:lineRule="auto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shd w:val="clear" w:color="auto" w:fill="FFFFFF"/>
          <w:lang w:bidi="ar"/>
        </w:rPr>
        <w:t>本标准不涉及专利问题。后续将根据行业发展，定期对标准进行修订和完善，确保其持续满足行业需求，推动行业的不断进步。</w:t>
      </w:r>
    </w:p>
    <w:p w14:paraId="04064C47">
      <w:pPr>
        <w:rPr>
          <w:rStyle w:val="9"/>
          <w:rFonts w:ascii="Segoe UI" w:hAnsi="Segoe UI" w:eastAsia="Segoe UI" w:cs="Segoe UI"/>
          <w:bCs/>
          <w:color w:val="000000"/>
          <w:sz w:val="21"/>
          <w:szCs w:val="21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4D79A3"/>
    <w:multiLevelType w:val="multilevel"/>
    <w:tmpl w:val="694D79A3"/>
    <w:lvl w:ilvl="0" w:tentative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6F682819"/>
    <w:multiLevelType w:val="multilevel"/>
    <w:tmpl w:val="6F682819"/>
    <w:lvl w:ilvl="0" w:tentative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CD198A"/>
    <w:rsid w:val="00013EA6"/>
    <w:rsid w:val="000256F4"/>
    <w:rsid w:val="000414B6"/>
    <w:rsid w:val="00084A5F"/>
    <w:rsid w:val="000A1A85"/>
    <w:rsid w:val="001711EA"/>
    <w:rsid w:val="001E0920"/>
    <w:rsid w:val="002175B2"/>
    <w:rsid w:val="0032583B"/>
    <w:rsid w:val="004273FC"/>
    <w:rsid w:val="006433EA"/>
    <w:rsid w:val="006D7451"/>
    <w:rsid w:val="00867F06"/>
    <w:rsid w:val="00B01769"/>
    <w:rsid w:val="00B11C67"/>
    <w:rsid w:val="00B37198"/>
    <w:rsid w:val="00C31AD1"/>
    <w:rsid w:val="00D153E4"/>
    <w:rsid w:val="00DF033D"/>
    <w:rsid w:val="00E33541"/>
    <w:rsid w:val="00ED4488"/>
    <w:rsid w:val="00F45AA9"/>
    <w:rsid w:val="00F52607"/>
    <w:rsid w:val="00FC5128"/>
    <w:rsid w:val="0FC14BAE"/>
    <w:rsid w:val="1029421A"/>
    <w:rsid w:val="10F42D61"/>
    <w:rsid w:val="1ABF0C7A"/>
    <w:rsid w:val="3EE84E10"/>
    <w:rsid w:val="59CD198A"/>
    <w:rsid w:val="68A7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页眉 字符"/>
    <w:basedOn w:val="8"/>
    <w:link w:val="6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2464</Words>
  <Characters>2493</Characters>
  <Lines>65</Lines>
  <Paragraphs>53</Paragraphs>
  <TotalTime>5</TotalTime>
  <ScaleCrop>false</ScaleCrop>
  <LinksUpToDate>false</LinksUpToDate>
  <CharactersWithSpaces>2495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2025-09-25T09:38:00Z</dcterms:created>
  <dc:creator>陈</dc:creator>
  <cp:lastModifiedBy>Amy</cp:lastModifiedBy>
  <dcterms:modified xsi:type="dcterms:W3CDTF">2025-12-02T07:22:34Z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B483C4DFC93B41F28371A48B176347CE_11</vt:lpwstr>
  </property>
  <property fmtid="{D5CDD505-2E9C-101B-9397-08002B2CF9AE}" pid="4" name="KSOTemplateDocerSaveRecord">
    <vt:lpwstr>eyJoZGlkIjoiMTUzNGMyMWMzMDdiODE1OGUzZGY4Y2FmOTI4YTAyY2EiLCJ1c2VySWQiOiI1Mzg4NzMyMzEifQ==</vt:lpwstr>
  </property>
</Properties>
</file>