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4AD" w:rsidRDefault="006E0C59">
      <w:pPr>
        <w:spacing w:line="360" w:lineRule="auto"/>
        <w:jc w:val="center"/>
        <w:rPr>
          <w:rFonts w:ascii="Times New Roman" w:hAnsi="Times New Roman" w:cs="Times New Roman"/>
          <w:b/>
          <w:sz w:val="28"/>
          <w:szCs w:val="28"/>
        </w:rPr>
      </w:pPr>
      <w:r w:rsidRPr="00B4080C">
        <w:rPr>
          <w:rFonts w:ascii="Times New Roman" w:hAnsi="Times New Roman" w:cs="Times New Roman"/>
          <w:b/>
          <w:sz w:val="28"/>
          <w:szCs w:val="28"/>
        </w:rPr>
        <w:t>《</w:t>
      </w:r>
      <w:r w:rsidRPr="00B4080C">
        <w:rPr>
          <w:rFonts w:ascii="Times New Roman" w:hAnsi="Times New Roman" w:cs="Times New Roman" w:hint="eastAsia"/>
          <w:b/>
          <w:sz w:val="28"/>
          <w:szCs w:val="28"/>
        </w:rPr>
        <w:t>葡萄糖氧化酶制剂</w:t>
      </w:r>
      <w:r w:rsidRPr="00B4080C">
        <w:rPr>
          <w:rFonts w:ascii="Times New Roman" w:hAnsi="Times New Roman" w:cs="Times New Roman"/>
          <w:b/>
          <w:sz w:val="28"/>
          <w:szCs w:val="28"/>
        </w:rPr>
        <w:t>》</w:t>
      </w:r>
      <w:r w:rsidRPr="00B4080C">
        <w:rPr>
          <w:rFonts w:ascii="Times New Roman" w:hAnsi="Times New Roman" w:cs="Times New Roman" w:hint="eastAsia"/>
          <w:b/>
          <w:sz w:val="28"/>
          <w:szCs w:val="28"/>
        </w:rPr>
        <w:t>行业</w:t>
      </w:r>
      <w:r w:rsidRPr="00B4080C">
        <w:rPr>
          <w:rFonts w:ascii="Times New Roman" w:hAnsi="Times New Roman" w:cs="Times New Roman"/>
          <w:b/>
          <w:sz w:val="28"/>
          <w:szCs w:val="28"/>
        </w:rPr>
        <w:t>标准</w:t>
      </w:r>
      <w:r w:rsidR="00B4080C" w:rsidRPr="00B4080C">
        <w:rPr>
          <w:rFonts w:ascii="Times New Roman" w:hAnsi="Times New Roman" w:cs="Times New Roman"/>
          <w:b/>
          <w:sz w:val="28"/>
          <w:szCs w:val="28"/>
        </w:rPr>
        <w:t>编制说明</w:t>
      </w:r>
    </w:p>
    <w:p w:rsidR="005C455F" w:rsidRPr="00B4080C" w:rsidRDefault="006E0C59">
      <w:pPr>
        <w:spacing w:line="360" w:lineRule="auto"/>
        <w:jc w:val="center"/>
        <w:rPr>
          <w:rFonts w:ascii="Times New Roman" w:hAnsi="Times New Roman" w:cs="Times New Roman"/>
          <w:b/>
          <w:sz w:val="28"/>
          <w:szCs w:val="28"/>
        </w:rPr>
      </w:pPr>
      <w:r w:rsidRPr="00B4080C">
        <w:rPr>
          <w:rFonts w:ascii="Times New Roman" w:hAnsi="Times New Roman" w:cs="Times New Roman" w:hint="eastAsia"/>
          <w:b/>
          <w:sz w:val="28"/>
          <w:szCs w:val="28"/>
        </w:rPr>
        <w:t>（征求意见稿）</w:t>
      </w:r>
    </w:p>
    <w:p w:rsidR="005C455F" w:rsidRPr="00B4080C" w:rsidRDefault="006E0C59">
      <w:pPr>
        <w:spacing w:line="360" w:lineRule="auto"/>
        <w:rPr>
          <w:rFonts w:ascii="Times New Roman" w:hAnsi="Times New Roman" w:cs="Times New Roman"/>
          <w:b/>
          <w:sz w:val="24"/>
          <w:szCs w:val="24"/>
        </w:rPr>
      </w:pPr>
      <w:r w:rsidRPr="00B4080C">
        <w:rPr>
          <w:rFonts w:ascii="Times New Roman" w:hAnsi="Times New Roman" w:cs="Times New Roman"/>
          <w:b/>
          <w:sz w:val="24"/>
          <w:szCs w:val="24"/>
        </w:rPr>
        <w:t>一、工作简况</w:t>
      </w:r>
    </w:p>
    <w:p w:rsidR="005C455F" w:rsidRPr="00B4080C" w:rsidRDefault="006E0C59">
      <w:pPr>
        <w:pStyle w:val="af7"/>
        <w:numPr>
          <w:ilvl w:val="0"/>
          <w:numId w:val="3"/>
        </w:numPr>
        <w:spacing w:line="360" w:lineRule="auto"/>
        <w:ind w:left="357" w:firstLineChars="0" w:hanging="357"/>
        <w:rPr>
          <w:rFonts w:ascii="Times New Roman" w:eastAsia="宋体" w:hAnsi="Times New Roman" w:cs="Times New Roman"/>
          <w:sz w:val="24"/>
          <w:szCs w:val="24"/>
        </w:rPr>
      </w:pPr>
      <w:r w:rsidRPr="00B4080C">
        <w:rPr>
          <w:rFonts w:ascii="Times New Roman" w:eastAsia="宋体" w:hAnsi="Times New Roman" w:cs="Times New Roman" w:hint="eastAsia"/>
          <w:sz w:val="24"/>
          <w:szCs w:val="24"/>
        </w:rPr>
        <w:t xml:space="preserve"> </w:t>
      </w:r>
      <w:r w:rsidRPr="00B4080C">
        <w:rPr>
          <w:rFonts w:ascii="Times New Roman" w:eastAsia="宋体" w:hAnsi="Times New Roman" w:cs="Times New Roman" w:hint="eastAsia"/>
          <w:sz w:val="24"/>
          <w:szCs w:val="24"/>
        </w:rPr>
        <w:t>任务来源</w:t>
      </w:r>
    </w:p>
    <w:p w:rsidR="005C455F" w:rsidRPr="00B4080C" w:rsidRDefault="006E0C59">
      <w:pPr>
        <w:pStyle w:val="af7"/>
        <w:spacing w:line="360" w:lineRule="auto"/>
        <w:ind w:firstLine="480"/>
        <w:rPr>
          <w:rFonts w:ascii="宋体" w:hAnsi="宋体" w:cs="宋体"/>
          <w:sz w:val="24"/>
          <w:szCs w:val="24"/>
        </w:rPr>
      </w:pPr>
      <w:r w:rsidRPr="00B4080C">
        <w:rPr>
          <w:rFonts w:ascii="Times New Roman" w:eastAsia="宋体" w:hAnsi="Times New Roman" w:cs="Times New Roman" w:hint="eastAsia"/>
          <w:sz w:val="24"/>
          <w:szCs w:val="24"/>
        </w:rPr>
        <w:t>本项目根据《工业和信息化部办公厅印发的</w:t>
      </w:r>
      <w:r w:rsidRPr="00B4080C">
        <w:rPr>
          <w:rFonts w:ascii="Times New Roman" w:eastAsia="宋体" w:hAnsi="Times New Roman" w:cs="Times New Roman" w:hint="eastAsia"/>
          <w:sz w:val="24"/>
          <w:szCs w:val="24"/>
        </w:rPr>
        <w:t>2023</w:t>
      </w:r>
      <w:r w:rsidRPr="00B4080C">
        <w:rPr>
          <w:rFonts w:ascii="Times New Roman" w:eastAsia="宋体" w:hAnsi="Times New Roman" w:cs="Times New Roman" w:hint="eastAsia"/>
          <w:sz w:val="24"/>
          <w:szCs w:val="24"/>
        </w:rPr>
        <w:t>年第一批行业标准制修订计划和外文版项目计划的通知》（</w:t>
      </w:r>
      <w:proofErr w:type="gramStart"/>
      <w:r w:rsidRPr="00B4080C">
        <w:rPr>
          <w:rFonts w:ascii="Times New Roman" w:eastAsia="宋体" w:hAnsi="Times New Roman" w:cs="Times New Roman" w:hint="eastAsia"/>
          <w:sz w:val="24"/>
          <w:szCs w:val="24"/>
        </w:rPr>
        <w:t>工信厅科</w:t>
      </w:r>
      <w:proofErr w:type="gramEnd"/>
      <w:r w:rsidRPr="00B4080C">
        <w:rPr>
          <w:rFonts w:ascii="Times New Roman" w:eastAsia="宋体" w:hAnsi="Times New Roman" w:cs="Times New Roman" w:hint="eastAsia"/>
          <w:sz w:val="24"/>
          <w:szCs w:val="24"/>
        </w:rPr>
        <w:t>[2023]18</w:t>
      </w:r>
      <w:r w:rsidRPr="00B4080C">
        <w:rPr>
          <w:rFonts w:ascii="Times New Roman" w:eastAsia="宋体" w:hAnsi="Times New Roman" w:cs="Times New Roman" w:hint="eastAsia"/>
          <w:sz w:val="24"/>
          <w:szCs w:val="24"/>
        </w:rPr>
        <w:t>号），《葡萄糖氧化酶制剂》被列入制定计划项目，计划号为</w:t>
      </w:r>
      <w:r w:rsidRPr="00B4080C">
        <w:rPr>
          <w:rFonts w:ascii="Times New Roman" w:eastAsia="宋体" w:hAnsi="Times New Roman" w:cs="Times New Roman" w:hint="eastAsia"/>
          <w:sz w:val="24"/>
          <w:szCs w:val="24"/>
        </w:rPr>
        <w:t>2023-0506T-QB</w:t>
      </w:r>
      <w:r w:rsidRPr="00B4080C">
        <w:rPr>
          <w:rFonts w:ascii="Times New Roman" w:eastAsia="宋体" w:hAnsi="Times New Roman" w:cs="Times New Roman" w:hint="eastAsia"/>
          <w:sz w:val="24"/>
          <w:szCs w:val="24"/>
        </w:rPr>
        <w:t>，由全国食品工业标准化技术委员会归口，中国生物发酵产业协会、青岛蔚蓝生物集团有限公司等单位作为主要起草单位。</w:t>
      </w:r>
      <w:r w:rsidRPr="00B4080C">
        <w:rPr>
          <w:rFonts w:ascii="宋体" w:hAnsi="宋体" w:cs="宋体" w:hint="eastAsia"/>
          <w:sz w:val="24"/>
          <w:szCs w:val="24"/>
        </w:rPr>
        <w:t>计划完成时间是</w:t>
      </w:r>
      <w:r w:rsidRPr="00B4080C">
        <w:rPr>
          <w:rFonts w:ascii="宋体" w:hAnsi="宋体" w:cs="宋体"/>
          <w:sz w:val="24"/>
          <w:szCs w:val="24"/>
        </w:rPr>
        <w:t>2025</w:t>
      </w:r>
      <w:r w:rsidRPr="00B4080C">
        <w:rPr>
          <w:rFonts w:ascii="宋体" w:hAnsi="宋体" w:cs="宋体" w:hint="eastAsia"/>
          <w:sz w:val="24"/>
          <w:szCs w:val="24"/>
        </w:rPr>
        <w:t>年</w:t>
      </w:r>
      <w:r w:rsidRPr="00B4080C">
        <w:rPr>
          <w:rFonts w:ascii="宋体" w:hAnsi="宋体" w:cs="宋体"/>
          <w:sz w:val="24"/>
          <w:szCs w:val="24"/>
        </w:rPr>
        <w:t>4</w:t>
      </w:r>
      <w:r w:rsidRPr="00B4080C">
        <w:rPr>
          <w:rFonts w:ascii="宋体" w:hAnsi="宋体" w:cs="宋体" w:hint="eastAsia"/>
          <w:sz w:val="24"/>
          <w:szCs w:val="24"/>
        </w:rPr>
        <w:t>月。</w:t>
      </w:r>
    </w:p>
    <w:p w:rsidR="005C455F" w:rsidRPr="00B4080C" w:rsidRDefault="006E0C59">
      <w:pPr>
        <w:spacing w:line="360" w:lineRule="auto"/>
        <w:rPr>
          <w:rFonts w:ascii="Times New Roman" w:hAnsi="Times New Roman" w:cs="Times New Roman"/>
          <w:sz w:val="24"/>
          <w:szCs w:val="24"/>
        </w:rPr>
      </w:pPr>
      <w:r w:rsidRPr="00B4080C">
        <w:rPr>
          <w:rFonts w:ascii="Times New Roman" w:hAnsi="Times New Roman" w:cs="Times New Roman" w:hint="eastAsia"/>
          <w:sz w:val="24"/>
          <w:szCs w:val="24"/>
        </w:rPr>
        <w:t>（二）主要工作过程</w:t>
      </w:r>
    </w:p>
    <w:p w:rsidR="005C455F" w:rsidRPr="00B4080C" w:rsidRDefault="006E0C59">
      <w:pPr>
        <w:numPr>
          <w:ilvl w:val="0"/>
          <w:numId w:val="4"/>
        </w:numPr>
        <w:spacing w:line="360" w:lineRule="auto"/>
        <w:rPr>
          <w:rFonts w:ascii="Times New Roman" w:eastAsia="宋体" w:hAnsi="Times New Roman" w:cs="Times New Roman"/>
          <w:sz w:val="24"/>
        </w:rPr>
      </w:pPr>
      <w:r w:rsidRPr="00B4080C">
        <w:rPr>
          <w:rFonts w:ascii="Times New Roman" w:eastAsia="宋体" w:hAnsi="Times New Roman" w:cs="Times New Roman"/>
          <w:sz w:val="24"/>
        </w:rPr>
        <w:t>起草（草案、论证）阶段：</w:t>
      </w:r>
    </w:p>
    <w:p w:rsidR="005C455F" w:rsidRPr="00B4080C" w:rsidRDefault="006E0C59">
      <w:pPr>
        <w:pStyle w:val="af9"/>
      </w:pPr>
      <w:r w:rsidRPr="00B4080C">
        <w:rPr>
          <w:rFonts w:hint="eastAsia"/>
        </w:rPr>
        <w:t>（</w:t>
      </w:r>
      <w:r w:rsidRPr="00B4080C">
        <w:rPr>
          <w:rFonts w:hint="eastAsia"/>
        </w:rPr>
        <w:t>1</w:t>
      </w:r>
      <w:r w:rsidRPr="00B4080C">
        <w:rPr>
          <w:rFonts w:hint="eastAsia"/>
        </w:rPr>
        <w:t>）</w:t>
      </w:r>
      <w:r w:rsidRPr="00B4080C">
        <w:t>标准任务下达后，</w:t>
      </w:r>
      <w:r w:rsidRPr="00B4080C">
        <w:rPr>
          <w:rFonts w:hint="eastAsia"/>
        </w:rPr>
        <w:t>中国生物发酵产业协会酶制剂分会</w:t>
      </w:r>
      <w:r w:rsidRPr="00B4080C">
        <w:rPr>
          <w:rFonts w:hint="eastAsia"/>
          <w:szCs w:val="21"/>
        </w:rPr>
        <w:t>对该行业标准的具体工作进行了认真研究，确定了总体工作方案，</w:t>
      </w:r>
      <w:r w:rsidRPr="00B4080C">
        <w:rPr>
          <w:rFonts w:hint="eastAsia"/>
        </w:rPr>
        <w:t>通过</w:t>
      </w:r>
      <w:r w:rsidRPr="00B4080C">
        <w:t>公开发文征集起草单位，组建了标准起草工作组。</w:t>
      </w:r>
    </w:p>
    <w:p w:rsidR="005C455F" w:rsidRPr="00B4080C" w:rsidRDefault="006E0C59">
      <w:pPr>
        <w:spacing w:line="360" w:lineRule="auto"/>
        <w:ind w:firstLineChars="200" w:firstLine="480"/>
        <w:rPr>
          <w:rFonts w:ascii="Times New Roman" w:eastAsia="宋体" w:hAnsi="Times New Roman" w:cs="Times New Roman"/>
          <w:sz w:val="24"/>
          <w:szCs w:val="24"/>
        </w:rPr>
      </w:pPr>
      <w:r w:rsidRPr="00B4080C">
        <w:rPr>
          <w:rFonts w:ascii="Times New Roman" w:eastAsia="宋体" w:hAnsi="Times New Roman" w:cs="Times New Roman" w:hint="eastAsia"/>
          <w:sz w:val="24"/>
          <w:szCs w:val="24"/>
        </w:rPr>
        <w:t>（</w:t>
      </w:r>
      <w:r w:rsidRPr="00B4080C">
        <w:rPr>
          <w:rFonts w:ascii="Times New Roman" w:eastAsia="宋体" w:hAnsi="Times New Roman" w:cs="Times New Roman" w:hint="eastAsia"/>
          <w:sz w:val="24"/>
          <w:szCs w:val="24"/>
        </w:rPr>
        <w:t>2</w:t>
      </w:r>
      <w:r w:rsidRPr="00B4080C">
        <w:rPr>
          <w:rFonts w:ascii="Times New Roman" w:eastAsia="宋体" w:hAnsi="Times New Roman" w:cs="Times New Roman" w:hint="eastAsia"/>
          <w:sz w:val="24"/>
          <w:szCs w:val="24"/>
        </w:rPr>
        <w:t>）</w:t>
      </w:r>
      <w:r w:rsidRPr="00B4080C">
        <w:rPr>
          <w:rFonts w:ascii="Times New Roman" w:eastAsia="宋体" w:hAnsi="Times New Roman" w:cs="Times New Roman"/>
          <w:sz w:val="24"/>
          <w:szCs w:val="24"/>
        </w:rPr>
        <w:t>召开项目</w:t>
      </w:r>
      <w:r w:rsidRPr="00B4080C">
        <w:rPr>
          <w:rFonts w:ascii="Times New Roman" w:eastAsia="宋体" w:hAnsi="Times New Roman" w:cs="Times New Roman" w:hint="eastAsia"/>
          <w:sz w:val="24"/>
          <w:szCs w:val="24"/>
        </w:rPr>
        <w:t>线上</w:t>
      </w:r>
      <w:r w:rsidRPr="00B4080C">
        <w:rPr>
          <w:rFonts w:ascii="Times New Roman" w:eastAsia="宋体" w:hAnsi="Times New Roman" w:cs="Times New Roman"/>
          <w:sz w:val="24"/>
          <w:szCs w:val="24"/>
        </w:rPr>
        <w:t>启动</w:t>
      </w:r>
      <w:r w:rsidRPr="00B4080C">
        <w:rPr>
          <w:rFonts w:ascii="Times New Roman" w:eastAsia="宋体" w:hAnsi="Times New Roman" w:cs="Times New Roman" w:hint="eastAsia"/>
          <w:sz w:val="24"/>
          <w:szCs w:val="24"/>
        </w:rPr>
        <w:t>及第一次起草会议，</w:t>
      </w:r>
      <w:r w:rsidRPr="00B4080C">
        <w:rPr>
          <w:rFonts w:ascii="Times New Roman" w:eastAsia="宋体" w:hAnsi="Times New Roman" w:cs="Times New Roman"/>
          <w:sz w:val="24"/>
          <w:szCs w:val="24"/>
        </w:rPr>
        <w:t>对标准关键参数</w:t>
      </w:r>
      <w:r w:rsidRPr="00B4080C">
        <w:rPr>
          <w:rFonts w:ascii="Times New Roman" w:eastAsia="宋体" w:hAnsi="Times New Roman" w:cs="Times New Roman" w:hint="eastAsia"/>
          <w:sz w:val="24"/>
          <w:szCs w:val="24"/>
        </w:rPr>
        <w:t>及酶活力测定方法</w:t>
      </w:r>
      <w:r w:rsidRPr="00B4080C">
        <w:rPr>
          <w:rFonts w:ascii="Times New Roman" w:eastAsia="宋体" w:hAnsi="Times New Roman" w:cs="Times New Roman"/>
          <w:sz w:val="24"/>
          <w:szCs w:val="24"/>
        </w:rPr>
        <w:t>进行了讨论，明确实施进度。</w:t>
      </w:r>
    </w:p>
    <w:p w:rsidR="005C455F" w:rsidRPr="00B4080C" w:rsidRDefault="006E0C59">
      <w:pPr>
        <w:pStyle w:val="af9"/>
        <w:rPr>
          <w:rFonts w:eastAsia="宋体"/>
        </w:rPr>
      </w:pPr>
      <w:r w:rsidRPr="00B4080C">
        <w:rPr>
          <w:rFonts w:hint="eastAsia"/>
        </w:rPr>
        <w:t>（</w:t>
      </w:r>
      <w:r w:rsidRPr="00B4080C">
        <w:rPr>
          <w:rFonts w:hint="eastAsia"/>
        </w:rPr>
        <w:t>3</w:t>
      </w:r>
      <w:r w:rsidRPr="00B4080C">
        <w:rPr>
          <w:rFonts w:hint="eastAsia"/>
        </w:rPr>
        <w:t>）</w:t>
      </w:r>
      <w:r w:rsidRPr="00B4080C">
        <w:t>组织</w:t>
      </w:r>
      <w:r w:rsidRPr="00B4080C">
        <w:rPr>
          <w:rFonts w:hint="eastAsia"/>
        </w:rPr>
        <w:t>葡萄糖氧化</w:t>
      </w:r>
      <w:r w:rsidRPr="00B4080C">
        <w:t>酶活力测定方法的分析研究，开展酶活力测定方法的建立与验证。</w:t>
      </w:r>
    </w:p>
    <w:p w:rsidR="005C455F" w:rsidRPr="00B4080C" w:rsidRDefault="006E0C59">
      <w:pPr>
        <w:spacing w:line="360" w:lineRule="auto"/>
        <w:ind w:firstLineChars="200" w:firstLine="480"/>
        <w:rPr>
          <w:rFonts w:ascii="Times New Roman" w:eastAsia="宋体" w:hAnsi="Times New Roman" w:cs="Times New Roman"/>
          <w:sz w:val="24"/>
          <w:szCs w:val="24"/>
        </w:rPr>
      </w:pPr>
      <w:r w:rsidRPr="00B4080C">
        <w:rPr>
          <w:rFonts w:ascii="Times New Roman" w:eastAsia="宋体" w:hAnsi="Times New Roman" w:cs="Times New Roman" w:hint="eastAsia"/>
          <w:sz w:val="24"/>
          <w:szCs w:val="24"/>
        </w:rPr>
        <w:t>（</w:t>
      </w:r>
      <w:r w:rsidRPr="00B4080C">
        <w:rPr>
          <w:rFonts w:ascii="Times New Roman" w:eastAsia="宋体" w:hAnsi="Times New Roman" w:cs="Times New Roman" w:hint="eastAsia"/>
          <w:sz w:val="24"/>
          <w:szCs w:val="24"/>
        </w:rPr>
        <w:t>4</w:t>
      </w:r>
      <w:r w:rsidRPr="00B4080C">
        <w:rPr>
          <w:rFonts w:ascii="Times New Roman" w:eastAsia="宋体" w:hAnsi="Times New Roman" w:cs="Times New Roman" w:hint="eastAsia"/>
          <w:sz w:val="24"/>
          <w:szCs w:val="24"/>
        </w:rPr>
        <w:t>）召开第二次起草组工作会议，交流前期工作，参与起草单位形成标准讨论稿，明确组织各参与单位对酶活力测定的两种方法，氨基安替</w:t>
      </w:r>
      <w:proofErr w:type="gramStart"/>
      <w:r w:rsidRPr="00B4080C">
        <w:rPr>
          <w:rFonts w:ascii="Times New Roman" w:eastAsia="宋体" w:hAnsi="Times New Roman" w:cs="Times New Roman" w:hint="eastAsia"/>
          <w:sz w:val="24"/>
          <w:szCs w:val="24"/>
        </w:rPr>
        <w:t>吡啉</w:t>
      </w:r>
      <w:proofErr w:type="gramEnd"/>
      <w:r w:rsidRPr="00B4080C">
        <w:rPr>
          <w:rFonts w:ascii="Times New Roman" w:eastAsia="宋体" w:hAnsi="Times New Roman" w:cs="Times New Roman" w:hint="eastAsia"/>
          <w:sz w:val="24"/>
          <w:szCs w:val="24"/>
        </w:rPr>
        <w:t>法、</w:t>
      </w:r>
      <w:proofErr w:type="gramStart"/>
      <w:r w:rsidRPr="00B4080C">
        <w:rPr>
          <w:rFonts w:ascii="Times New Roman" w:eastAsia="宋体" w:hAnsi="Times New Roman" w:cs="Times New Roman" w:hint="eastAsia"/>
          <w:sz w:val="24"/>
          <w:szCs w:val="24"/>
        </w:rPr>
        <w:t>邻联茴香胺法</w:t>
      </w:r>
      <w:proofErr w:type="gramEnd"/>
      <w:r w:rsidRPr="00B4080C">
        <w:rPr>
          <w:rFonts w:ascii="Times New Roman" w:eastAsia="宋体" w:hAnsi="Times New Roman" w:cs="Times New Roman" w:hint="eastAsia"/>
          <w:sz w:val="24"/>
          <w:szCs w:val="24"/>
        </w:rPr>
        <w:t>进行实验室间比对。</w:t>
      </w:r>
    </w:p>
    <w:p w:rsidR="005C455F" w:rsidRPr="00B4080C" w:rsidRDefault="006E0C59">
      <w:pPr>
        <w:spacing w:line="360" w:lineRule="auto"/>
        <w:ind w:firstLineChars="200" w:firstLine="480"/>
        <w:rPr>
          <w:rFonts w:ascii="Times New Roman" w:eastAsia="宋体" w:hAnsi="Times New Roman" w:cs="Times New Roman"/>
          <w:sz w:val="24"/>
          <w:szCs w:val="24"/>
        </w:rPr>
      </w:pPr>
      <w:r w:rsidRPr="00B4080C">
        <w:rPr>
          <w:rFonts w:ascii="Times New Roman" w:eastAsia="宋体" w:hAnsi="Times New Roman" w:cs="Times New Roman" w:hint="eastAsia"/>
          <w:sz w:val="24"/>
          <w:szCs w:val="24"/>
        </w:rPr>
        <w:t>（</w:t>
      </w:r>
      <w:r w:rsidRPr="00B4080C">
        <w:rPr>
          <w:rFonts w:ascii="Times New Roman" w:eastAsia="宋体" w:hAnsi="Times New Roman" w:cs="Times New Roman" w:hint="eastAsia"/>
          <w:sz w:val="24"/>
          <w:szCs w:val="24"/>
        </w:rPr>
        <w:t>5</w:t>
      </w:r>
      <w:r w:rsidRPr="00B4080C">
        <w:rPr>
          <w:rFonts w:ascii="Times New Roman" w:eastAsia="宋体" w:hAnsi="Times New Roman" w:cs="Times New Roman" w:hint="eastAsia"/>
          <w:sz w:val="24"/>
          <w:szCs w:val="24"/>
        </w:rPr>
        <w:t>）开展酶活力测定方法的实验室间比对试验。</w:t>
      </w:r>
    </w:p>
    <w:p w:rsidR="005C455F" w:rsidRPr="00B4080C" w:rsidRDefault="006E0C59">
      <w:pPr>
        <w:spacing w:line="360" w:lineRule="auto"/>
        <w:ind w:firstLineChars="200" w:firstLine="480"/>
        <w:rPr>
          <w:rFonts w:ascii="Times New Roman" w:eastAsia="宋体" w:hAnsi="Times New Roman" w:cs="Times New Roman"/>
          <w:sz w:val="24"/>
          <w:szCs w:val="24"/>
        </w:rPr>
      </w:pPr>
      <w:r w:rsidRPr="00B4080C">
        <w:rPr>
          <w:rFonts w:ascii="Times New Roman" w:eastAsia="宋体" w:hAnsi="Times New Roman" w:cs="Times New Roman" w:hint="eastAsia"/>
          <w:sz w:val="24"/>
          <w:szCs w:val="24"/>
        </w:rPr>
        <w:t>（</w:t>
      </w:r>
      <w:r w:rsidRPr="00B4080C">
        <w:rPr>
          <w:rFonts w:ascii="Times New Roman" w:eastAsia="宋体" w:hAnsi="Times New Roman" w:cs="Times New Roman" w:hint="eastAsia"/>
          <w:sz w:val="24"/>
          <w:szCs w:val="24"/>
        </w:rPr>
        <w:t>6</w:t>
      </w:r>
      <w:r w:rsidRPr="00B4080C">
        <w:rPr>
          <w:rFonts w:ascii="Times New Roman" w:eastAsia="宋体" w:hAnsi="Times New Roman" w:cs="Times New Roman" w:hint="eastAsia"/>
          <w:sz w:val="24"/>
          <w:szCs w:val="24"/>
        </w:rPr>
        <w:t>）召开第三次起草组工作会议，结合实验室间比对试验结果、各参与单位样品数据及起草组建议，进一步修改标准文本和编制说明，形成征求意见稿。</w:t>
      </w:r>
    </w:p>
    <w:p w:rsidR="005C455F" w:rsidRPr="00A54EF7" w:rsidRDefault="006E0C59" w:rsidP="00A54EF7">
      <w:pPr>
        <w:spacing w:line="360" w:lineRule="auto"/>
        <w:ind w:firstLineChars="200" w:firstLine="480"/>
        <w:rPr>
          <w:rFonts w:ascii="宋体" w:eastAsia="宋体" w:hAnsi="宋体" w:cs="宋体"/>
          <w:sz w:val="24"/>
          <w:szCs w:val="24"/>
        </w:rPr>
      </w:pPr>
      <w:r w:rsidRPr="00B4080C">
        <w:rPr>
          <w:rFonts w:ascii="Times New Roman" w:eastAsia="宋体" w:hAnsi="Times New Roman" w:cs="Times New Roman" w:hint="eastAsia"/>
          <w:color w:val="000000"/>
          <w:sz w:val="24"/>
        </w:rPr>
        <w:t>2</w:t>
      </w:r>
      <w:r w:rsidRPr="00B4080C">
        <w:rPr>
          <w:rFonts w:ascii="Times New Roman" w:eastAsia="宋体" w:hAnsi="Times New Roman" w:cs="Times New Roman" w:hint="eastAsia"/>
          <w:color w:val="000000"/>
          <w:sz w:val="24"/>
        </w:rPr>
        <w:t>、征求意见阶段</w:t>
      </w:r>
    </w:p>
    <w:p w:rsidR="005C455F" w:rsidRPr="00B4080C" w:rsidRDefault="006E0C59">
      <w:pPr>
        <w:spacing w:line="360" w:lineRule="auto"/>
        <w:rPr>
          <w:rFonts w:ascii="Times New Roman" w:eastAsia="宋体" w:hAnsi="Times New Roman" w:cs="Times New Roman"/>
          <w:kern w:val="0"/>
          <w:sz w:val="24"/>
        </w:rPr>
      </w:pPr>
      <w:r w:rsidRPr="00B4080C">
        <w:rPr>
          <w:rFonts w:ascii="Times New Roman" w:eastAsia="宋体" w:hAnsi="Times New Roman" w:cs="Times New Roman" w:hint="eastAsia"/>
          <w:kern w:val="0"/>
          <w:sz w:val="24"/>
        </w:rPr>
        <w:t>（三）</w:t>
      </w:r>
      <w:r w:rsidRPr="00B4080C">
        <w:rPr>
          <w:rFonts w:ascii="Times New Roman" w:eastAsia="宋体" w:hAnsi="Times New Roman" w:cs="Times New Roman"/>
          <w:kern w:val="0"/>
          <w:sz w:val="24"/>
        </w:rPr>
        <w:t>主要参加单位和工作组成员及其所做的工作等</w:t>
      </w:r>
    </w:p>
    <w:p w:rsidR="005C455F" w:rsidRPr="00B4080C" w:rsidRDefault="006E0C59">
      <w:pPr>
        <w:spacing w:line="360" w:lineRule="auto"/>
        <w:ind w:firstLineChars="200" w:firstLine="480"/>
        <w:rPr>
          <w:rFonts w:ascii="Times New Roman" w:eastAsia="宋体" w:hAnsi="仿宋_GB2312" w:cs="Times New Roman"/>
          <w:bCs/>
          <w:sz w:val="24"/>
          <w:szCs w:val="24"/>
        </w:rPr>
      </w:pPr>
      <w:r w:rsidRPr="00B4080C">
        <w:rPr>
          <w:rFonts w:ascii="Times New Roman" w:eastAsia="宋体" w:hAnsi="仿宋_GB2312" w:cs="Times New Roman" w:hint="eastAsia"/>
          <w:bCs/>
          <w:sz w:val="24"/>
          <w:szCs w:val="24"/>
        </w:rPr>
        <w:t>本文件主要参与单位：暂略。</w:t>
      </w:r>
      <w:r w:rsidRPr="00B4080C">
        <w:rPr>
          <w:rFonts w:ascii="Times New Roman" w:eastAsia="宋体" w:hAnsi="仿宋_GB2312" w:cs="Times New Roman"/>
          <w:bCs/>
          <w:sz w:val="24"/>
          <w:szCs w:val="24"/>
        </w:rPr>
        <w:t xml:space="preserve"> </w:t>
      </w:r>
    </w:p>
    <w:p w:rsidR="005C455F" w:rsidRPr="00B4080C" w:rsidRDefault="006E0C59">
      <w:pPr>
        <w:widowControl/>
        <w:spacing w:line="360" w:lineRule="auto"/>
        <w:ind w:firstLineChars="200" w:firstLine="480"/>
        <w:rPr>
          <w:rFonts w:ascii="Times New Roman" w:eastAsia="宋体" w:hAnsi="仿宋_GB2312" w:cs="Times New Roman"/>
          <w:bCs/>
          <w:sz w:val="24"/>
          <w:szCs w:val="24"/>
        </w:rPr>
      </w:pPr>
      <w:r w:rsidRPr="00B4080C">
        <w:rPr>
          <w:rFonts w:ascii="Times New Roman" w:eastAsia="宋体" w:hAnsi="仿宋_GB2312" w:cs="Times New Roman" w:hint="eastAsia"/>
          <w:bCs/>
          <w:sz w:val="24"/>
          <w:szCs w:val="24"/>
        </w:rPr>
        <w:t>本文件主要起草人：暂略。</w:t>
      </w:r>
      <w:r w:rsidRPr="00B4080C">
        <w:rPr>
          <w:rFonts w:ascii="Times New Roman" w:eastAsia="宋体" w:hAnsi="仿宋_GB2312" w:cs="Times New Roman"/>
          <w:bCs/>
          <w:sz w:val="24"/>
          <w:szCs w:val="24"/>
        </w:rPr>
        <w:t xml:space="preserve"> </w:t>
      </w:r>
    </w:p>
    <w:p w:rsidR="005C455F" w:rsidRPr="00B4080C" w:rsidRDefault="006E0C59">
      <w:pPr>
        <w:spacing w:line="360" w:lineRule="auto"/>
        <w:ind w:firstLineChars="200" w:firstLine="480"/>
        <w:contextualSpacing/>
        <w:textAlignment w:val="baseline"/>
        <w:rPr>
          <w:rFonts w:ascii="宋体" w:eastAsia="宋体" w:hAnsi="宋体" w:cs="Times New Roman"/>
          <w:color w:val="000000"/>
          <w:szCs w:val="24"/>
          <w:lang w:val="en-GB" w:bidi="ar"/>
        </w:rPr>
      </w:pPr>
      <w:r w:rsidRPr="00B4080C">
        <w:rPr>
          <w:rFonts w:ascii="Times New Roman" w:eastAsia="宋体" w:hAnsi="仿宋_GB2312" w:cs="Times New Roman" w:hint="eastAsia"/>
          <w:bCs/>
          <w:sz w:val="24"/>
          <w:szCs w:val="24"/>
        </w:rPr>
        <w:t>所做的工作：</w:t>
      </w:r>
      <w:r w:rsidRPr="00B4080C">
        <w:rPr>
          <w:rFonts w:ascii="宋体" w:eastAsia="宋体" w:hAnsi="宋体" w:cs="Times New Roman"/>
          <w:color w:val="000000"/>
          <w:szCs w:val="24"/>
          <w:lang w:val="en-GB" w:bidi="ar"/>
        </w:rPr>
        <w:t xml:space="preserve"> </w:t>
      </w:r>
      <w:r w:rsidRPr="00B4080C">
        <w:rPr>
          <w:rFonts w:ascii="Times New Roman" w:eastAsia="宋体" w:hAnsi="仿宋_GB2312" w:cs="Times New Roman" w:hint="eastAsia"/>
          <w:bCs/>
          <w:sz w:val="24"/>
          <w:szCs w:val="24"/>
        </w:rPr>
        <w:t>暂略。</w:t>
      </w:r>
    </w:p>
    <w:p w:rsidR="005C455F" w:rsidRPr="00B4080C" w:rsidRDefault="006E0C59">
      <w:pPr>
        <w:spacing w:line="360" w:lineRule="auto"/>
        <w:rPr>
          <w:rFonts w:ascii="Times New Roman" w:hAnsi="Times New Roman" w:cs="Times New Roman"/>
          <w:b/>
          <w:sz w:val="24"/>
          <w:szCs w:val="24"/>
        </w:rPr>
      </w:pPr>
      <w:r w:rsidRPr="00B4080C">
        <w:rPr>
          <w:rFonts w:ascii="Times New Roman" w:hAnsi="Times New Roman" w:cs="Times New Roman"/>
          <w:b/>
          <w:sz w:val="24"/>
          <w:szCs w:val="24"/>
        </w:rPr>
        <w:lastRenderedPageBreak/>
        <w:t>二、标准编制原则</w:t>
      </w:r>
      <w:r w:rsidRPr="00B4080C">
        <w:rPr>
          <w:rFonts w:ascii="Times New Roman" w:hAnsi="Times New Roman" w:cs="Times New Roman" w:hint="eastAsia"/>
          <w:b/>
          <w:sz w:val="24"/>
          <w:szCs w:val="24"/>
        </w:rPr>
        <w:t>和主要内容</w:t>
      </w:r>
    </w:p>
    <w:p w:rsidR="005C455F" w:rsidRPr="00B4080C" w:rsidRDefault="006E0C59">
      <w:pPr>
        <w:pStyle w:val="af7"/>
        <w:numPr>
          <w:ilvl w:val="0"/>
          <w:numId w:val="5"/>
        </w:numPr>
        <w:spacing w:line="360" w:lineRule="auto"/>
        <w:ind w:firstLineChars="0"/>
        <w:rPr>
          <w:rFonts w:ascii="Times New Roman" w:hAnsi="Times New Roman" w:cs="Times New Roman"/>
          <w:sz w:val="24"/>
          <w:szCs w:val="24"/>
        </w:rPr>
      </w:pPr>
      <w:r w:rsidRPr="00B4080C">
        <w:rPr>
          <w:rFonts w:ascii="Times New Roman" w:hAnsi="Times New Roman" w:cs="Times New Roman" w:hint="eastAsia"/>
          <w:sz w:val="24"/>
          <w:szCs w:val="24"/>
        </w:rPr>
        <w:t>编制原则</w:t>
      </w:r>
    </w:p>
    <w:p w:rsidR="005C455F" w:rsidRPr="00B4080C" w:rsidRDefault="006E0C59">
      <w:pPr>
        <w:pStyle w:val="af7"/>
        <w:spacing w:line="360" w:lineRule="auto"/>
        <w:ind w:firstLine="480"/>
        <w:rPr>
          <w:rFonts w:ascii="Times New Roman" w:hAnsi="Times New Roman" w:cs="Times New Roman"/>
          <w:sz w:val="24"/>
          <w:szCs w:val="24"/>
        </w:rPr>
      </w:pPr>
      <w:r w:rsidRPr="00B4080C">
        <w:rPr>
          <w:rFonts w:ascii="Times New Roman" w:hAnsi="Times New Roman" w:cs="Times New Roman" w:hint="eastAsia"/>
          <w:sz w:val="24"/>
          <w:szCs w:val="24"/>
        </w:rPr>
        <w:t>本标准的制定充分考虑国家相关法律、法规，以符合产业发展为原则，本着先进性、科学性、合理性和可操作性的原则，以及标准的规范性原则来进行本标准的制定工作。</w:t>
      </w:r>
      <w:r w:rsidRPr="00B4080C">
        <w:rPr>
          <w:rFonts w:ascii="Times New Roman" w:hAnsi="Times New Roman" w:cs="Times New Roman" w:hint="eastAsia"/>
          <w:sz w:val="24"/>
          <w:szCs w:val="24"/>
        </w:rPr>
        <w:t xml:space="preserve"> </w:t>
      </w:r>
    </w:p>
    <w:p w:rsidR="005C455F" w:rsidRPr="00B4080C" w:rsidRDefault="006E0C59">
      <w:pPr>
        <w:pStyle w:val="af9"/>
      </w:pPr>
      <w:r w:rsidRPr="00B4080C">
        <w:rPr>
          <w:rFonts w:hint="eastAsia"/>
        </w:rPr>
        <w:t>本标准在起草过程中，主要</w:t>
      </w:r>
      <w:r w:rsidRPr="00B4080C">
        <w:t>依据</w:t>
      </w:r>
      <w:r w:rsidRPr="00B4080C">
        <w:t xml:space="preserve"> GB/T 1.1-2020</w:t>
      </w:r>
      <w:r w:rsidRPr="00B4080C">
        <w:t>《标准化工作导则</w:t>
      </w:r>
      <w:r w:rsidRPr="00B4080C">
        <w:t xml:space="preserve"> </w:t>
      </w:r>
      <w:r w:rsidRPr="00B4080C">
        <w:t>第</w:t>
      </w:r>
      <w:r w:rsidRPr="00B4080C">
        <w:t xml:space="preserve"> 1 </w:t>
      </w:r>
      <w:r w:rsidRPr="00B4080C">
        <w:t>部分：标准化文件的结构和起草规则》、</w:t>
      </w:r>
      <w:r w:rsidRPr="00B4080C">
        <w:t>GB/T 20001.10-2014</w:t>
      </w:r>
      <w:r w:rsidRPr="00B4080C">
        <w:t>《标准编写规则第</w:t>
      </w:r>
      <w:r w:rsidRPr="00B4080C">
        <w:t xml:space="preserve"> 10 </w:t>
      </w:r>
      <w:r w:rsidRPr="00B4080C">
        <w:t>部分：产品标准》的规定进行编制。</w:t>
      </w:r>
    </w:p>
    <w:p w:rsidR="005C455F" w:rsidRPr="00B4080C" w:rsidRDefault="006E0C59">
      <w:pPr>
        <w:pStyle w:val="af7"/>
        <w:numPr>
          <w:ilvl w:val="0"/>
          <w:numId w:val="5"/>
        </w:numPr>
        <w:spacing w:line="360" w:lineRule="auto"/>
        <w:ind w:firstLineChars="0"/>
        <w:rPr>
          <w:rFonts w:ascii="Times New Roman" w:hAnsi="Times New Roman" w:cs="Times New Roman"/>
          <w:sz w:val="24"/>
          <w:szCs w:val="24"/>
        </w:rPr>
      </w:pPr>
      <w:r w:rsidRPr="00B4080C">
        <w:rPr>
          <w:rFonts w:ascii="Times New Roman" w:hAnsi="Times New Roman" w:cs="Times New Roman" w:hint="eastAsia"/>
          <w:sz w:val="24"/>
          <w:szCs w:val="24"/>
        </w:rPr>
        <w:t>本标准主要内容</w:t>
      </w:r>
    </w:p>
    <w:p w:rsidR="005C455F" w:rsidRPr="00B4080C" w:rsidRDefault="006E0C59">
      <w:pPr>
        <w:pStyle w:val="af9"/>
      </w:pPr>
      <w:r w:rsidRPr="00B4080C">
        <w:rPr>
          <w:rFonts w:hint="eastAsia"/>
        </w:rPr>
        <w:t>葡萄糖氧化酶（</w:t>
      </w:r>
      <w:r w:rsidRPr="00B4080C">
        <w:rPr>
          <w:rFonts w:hint="eastAsia"/>
        </w:rPr>
        <w:t>Glucose oxidase</w:t>
      </w:r>
      <w:r w:rsidRPr="00B4080C">
        <w:rPr>
          <w:rFonts w:hint="eastAsia"/>
        </w:rPr>
        <w:t>，</w:t>
      </w:r>
      <w:r w:rsidRPr="00B4080C">
        <w:rPr>
          <w:rFonts w:hint="eastAsia"/>
        </w:rPr>
        <w:t>EC1.1.3.4</w:t>
      </w:r>
      <w:r w:rsidRPr="00B4080C">
        <w:rPr>
          <w:rFonts w:hint="eastAsia"/>
        </w:rPr>
        <w:t>，</w:t>
      </w:r>
      <w:r w:rsidRPr="00B4080C">
        <w:rPr>
          <w:rFonts w:hint="eastAsia"/>
        </w:rPr>
        <w:t>GOD</w:t>
      </w:r>
      <w:r w:rsidRPr="00B4080C">
        <w:rPr>
          <w:rFonts w:hint="eastAsia"/>
        </w:rPr>
        <w:t>）能够以分子氧为电子受体将β</w:t>
      </w:r>
      <w:r w:rsidRPr="00B4080C">
        <w:rPr>
          <w:rFonts w:hint="eastAsia"/>
        </w:rPr>
        <w:t>-D-</w:t>
      </w:r>
      <w:r w:rsidRPr="00B4080C">
        <w:rPr>
          <w:rFonts w:hint="eastAsia"/>
        </w:rPr>
        <w:t>葡萄糖催化氧化成葡萄糖酸内酯与过氧化氢。催化反应过程可以分为两个部分，分别为还原反应和氧化反应。在还原反应中，</w:t>
      </w:r>
      <w:r w:rsidRPr="00B4080C">
        <w:rPr>
          <w:rFonts w:hint="eastAsia"/>
        </w:rPr>
        <w:t>GOD</w:t>
      </w:r>
      <w:r w:rsidRPr="00B4080C">
        <w:rPr>
          <w:rFonts w:hint="eastAsia"/>
        </w:rPr>
        <w:t>将β</w:t>
      </w:r>
      <w:r w:rsidRPr="00B4080C">
        <w:rPr>
          <w:rFonts w:hint="eastAsia"/>
        </w:rPr>
        <w:t>-D-</w:t>
      </w:r>
      <w:r w:rsidRPr="00B4080C">
        <w:rPr>
          <w:rFonts w:hint="eastAsia"/>
        </w:rPr>
        <w:t>葡萄糖氧化成为葡萄糖酸内酯，其中葡萄糖酸内酯能够在非酶促反应条件下转化为葡萄糖酸，随后</w:t>
      </w:r>
      <w:r w:rsidRPr="00B4080C">
        <w:rPr>
          <w:rFonts w:hint="eastAsia"/>
        </w:rPr>
        <w:t>GOD</w:t>
      </w:r>
      <w:r w:rsidRPr="00B4080C">
        <w:rPr>
          <w:rFonts w:hint="eastAsia"/>
        </w:rPr>
        <w:t>中的辅因子黄素腺嘌呤二核苷酸被还原成</w:t>
      </w:r>
      <w:r w:rsidRPr="00B4080C">
        <w:rPr>
          <w:rFonts w:hint="eastAsia"/>
        </w:rPr>
        <w:t>FADH</w:t>
      </w:r>
      <w:r w:rsidRPr="00B4080C">
        <w:rPr>
          <w:rFonts w:hint="eastAsia"/>
          <w:vertAlign w:val="subscript"/>
        </w:rPr>
        <w:t>2</w:t>
      </w:r>
      <w:r w:rsidRPr="00B4080C">
        <w:rPr>
          <w:rFonts w:hint="eastAsia"/>
        </w:rPr>
        <w:t>。在氧化反应步骤中，还原态的</w:t>
      </w:r>
      <w:r w:rsidRPr="00B4080C">
        <w:rPr>
          <w:rFonts w:hint="eastAsia"/>
        </w:rPr>
        <w:t>GOD-FADH</w:t>
      </w:r>
      <w:r w:rsidRPr="00B4080C">
        <w:rPr>
          <w:rFonts w:hint="eastAsia"/>
          <w:vertAlign w:val="subscript"/>
        </w:rPr>
        <w:t>2</w:t>
      </w:r>
      <w:r w:rsidRPr="00B4080C">
        <w:rPr>
          <w:rFonts w:hint="eastAsia"/>
        </w:rPr>
        <w:t>通过与分子氧反应被重新氧化成</w:t>
      </w:r>
      <w:r w:rsidRPr="00B4080C">
        <w:rPr>
          <w:rFonts w:hint="eastAsia"/>
        </w:rPr>
        <w:t>GOD-FAD</w:t>
      </w:r>
      <w:r w:rsidRPr="00B4080C">
        <w:rPr>
          <w:rFonts w:hint="eastAsia"/>
        </w:rPr>
        <w:t>，并生成</w:t>
      </w:r>
      <w:r w:rsidRPr="00B4080C">
        <w:rPr>
          <w:rFonts w:hint="eastAsia"/>
        </w:rPr>
        <w:t>H</w:t>
      </w:r>
      <w:r w:rsidRPr="00B4080C">
        <w:rPr>
          <w:rFonts w:hint="eastAsia"/>
          <w:vertAlign w:val="subscript"/>
        </w:rPr>
        <w:t>2</w:t>
      </w:r>
      <w:r w:rsidRPr="00B4080C">
        <w:rPr>
          <w:rFonts w:hint="eastAsia"/>
        </w:rPr>
        <w:t>O</w:t>
      </w:r>
      <w:r w:rsidRPr="00B4080C">
        <w:rPr>
          <w:rFonts w:hint="eastAsia"/>
          <w:vertAlign w:val="subscript"/>
        </w:rPr>
        <w:t>2</w:t>
      </w:r>
      <w:r w:rsidRPr="00B4080C">
        <w:rPr>
          <w:rFonts w:hint="eastAsia"/>
        </w:rPr>
        <w:t>。</w:t>
      </w:r>
    </w:p>
    <w:p w:rsidR="005C455F" w:rsidRPr="00B4080C" w:rsidRDefault="006E0C59">
      <w:pPr>
        <w:pStyle w:val="af9"/>
      </w:pPr>
      <w:r w:rsidRPr="00B4080C">
        <w:rPr>
          <w:rFonts w:hint="eastAsia"/>
        </w:rPr>
        <w:t>葡萄糖氧化酶在</w:t>
      </w:r>
      <w:r w:rsidRPr="00B4080C">
        <w:rPr>
          <w:rFonts w:hint="eastAsia"/>
        </w:rPr>
        <w:t>20</w:t>
      </w:r>
      <w:r w:rsidRPr="00B4080C">
        <w:rPr>
          <w:rFonts w:hint="eastAsia"/>
        </w:rPr>
        <w:t>世纪初被研究人员发现，我国于</w:t>
      </w:r>
      <w:r w:rsidRPr="00B4080C">
        <w:rPr>
          <w:rFonts w:hint="eastAsia"/>
        </w:rPr>
        <w:t>20</w:t>
      </w:r>
      <w:r w:rsidRPr="00B4080C">
        <w:rPr>
          <w:rFonts w:hint="eastAsia"/>
        </w:rPr>
        <w:t>世纪</w:t>
      </w:r>
      <w:r w:rsidRPr="00B4080C">
        <w:rPr>
          <w:rFonts w:hint="eastAsia"/>
        </w:rPr>
        <w:t>60</w:t>
      </w:r>
      <w:r w:rsidRPr="00B4080C">
        <w:rPr>
          <w:rFonts w:hint="eastAsia"/>
        </w:rPr>
        <w:t>年代开始研究、生产葡萄糖氧化酶产品。目前在食品、饲料、化学、制药、饮料、临床诊断、生物技术等众多领域有广泛的应用，包括用于食品工业烘焙加工中增筋、葡萄糖酸钠生产，饲料添加剂、食品防腐剂、颜色稳定剂，以及糖尿病检测的葡萄糖生物传感器、试剂盒等。</w:t>
      </w:r>
    </w:p>
    <w:p w:rsidR="005C455F" w:rsidRPr="00B4080C" w:rsidRDefault="006E0C59">
      <w:pPr>
        <w:pStyle w:val="af9"/>
      </w:pPr>
      <w:r w:rsidRPr="00B4080C">
        <w:t xml:space="preserve">1999 </w:t>
      </w:r>
      <w:r w:rsidRPr="00B4080C">
        <w:t>年</w:t>
      </w:r>
      <w:r w:rsidRPr="00B4080C">
        <w:t xml:space="preserve"> 7 </w:t>
      </w:r>
      <w:r w:rsidRPr="00B4080C">
        <w:t>月</w:t>
      </w:r>
      <w:r w:rsidRPr="00B4080C">
        <w:t xml:space="preserve"> 26 </w:t>
      </w:r>
      <w:r w:rsidRPr="00B4080C">
        <w:t>日</w:t>
      </w:r>
      <w:r w:rsidRPr="00B4080C">
        <w:rPr>
          <w:rFonts w:hint="eastAsia"/>
        </w:rPr>
        <w:t>葡萄糖氧化酶被</w:t>
      </w:r>
      <w:r w:rsidRPr="00B4080C">
        <w:t>农业部第</w:t>
      </w:r>
      <w:r w:rsidRPr="00B4080C">
        <w:t>105</w:t>
      </w:r>
      <w:r w:rsidRPr="00B4080C">
        <w:t>号文正式批准列入</w:t>
      </w:r>
      <w:r w:rsidRPr="00B4080C">
        <w:t xml:space="preserve"> </w:t>
      </w:r>
      <w:r w:rsidRPr="00B4080C">
        <w:t>《允许使用的饲料添加剂品种目录》</w:t>
      </w:r>
      <w:r w:rsidRPr="00B4080C">
        <w:rPr>
          <w:rFonts w:hint="eastAsia"/>
        </w:rPr>
        <w:t>。</w:t>
      </w:r>
      <w:r w:rsidRPr="00B4080C">
        <w:rPr>
          <w:rFonts w:hint="eastAsia"/>
        </w:rPr>
        <w:t>2007</w:t>
      </w:r>
      <w:r w:rsidRPr="00B4080C">
        <w:rPr>
          <w:rFonts w:hint="eastAsia"/>
        </w:rPr>
        <w:t>年，黑曲霉（</w:t>
      </w:r>
      <w:r w:rsidRPr="00B4080C">
        <w:rPr>
          <w:rFonts w:hint="eastAsia"/>
          <w:i/>
          <w:iCs/>
        </w:rPr>
        <w:t>Aspergillus</w:t>
      </w:r>
      <w:r w:rsidRPr="00B4080C">
        <w:rPr>
          <w:i/>
          <w:iCs/>
        </w:rPr>
        <w:t xml:space="preserve"> </w:t>
      </w:r>
      <w:proofErr w:type="spellStart"/>
      <w:r w:rsidRPr="00B4080C">
        <w:rPr>
          <w:rFonts w:hint="eastAsia"/>
          <w:i/>
          <w:iCs/>
        </w:rPr>
        <w:t>niger</w:t>
      </w:r>
      <w:proofErr w:type="spellEnd"/>
      <w:r w:rsidRPr="00B4080C">
        <w:rPr>
          <w:rFonts w:hint="eastAsia"/>
        </w:rPr>
        <w:t>）、米曲霉（</w:t>
      </w:r>
      <w:r w:rsidRPr="00B4080C">
        <w:rPr>
          <w:rFonts w:hint="eastAsia"/>
          <w:i/>
          <w:iCs/>
        </w:rPr>
        <w:t>Aspergillus</w:t>
      </w:r>
      <w:r w:rsidRPr="00B4080C">
        <w:rPr>
          <w:i/>
          <w:iCs/>
        </w:rPr>
        <w:t xml:space="preserve"> </w:t>
      </w:r>
      <w:proofErr w:type="spellStart"/>
      <w:r w:rsidRPr="00B4080C">
        <w:rPr>
          <w:rFonts w:hint="eastAsia"/>
          <w:i/>
          <w:iCs/>
        </w:rPr>
        <w:t>oryzae</w:t>
      </w:r>
      <w:proofErr w:type="spellEnd"/>
      <w:r w:rsidRPr="00B4080C">
        <w:rPr>
          <w:rFonts w:hint="eastAsia"/>
        </w:rPr>
        <w:t>）来源，黑曲霉（</w:t>
      </w:r>
      <w:r w:rsidRPr="00B4080C">
        <w:rPr>
          <w:rFonts w:hint="eastAsia"/>
          <w:i/>
          <w:iCs/>
        </w:rPr>
        <w:t>Aspergillus</w:t>
      </w:r>
      <w:r w:rsidRPr="00B4080C">
        <w:rPr>
          <w:i/>
          <w:iCs/>
        </w:rPr>
        <w:t xml:space="preserve"> </w:t>
      </w:r>
      <w:proofErr w:type="spellStart"/>
      <w:r w:rsidRPr="00B4080C">
        <w:rPr>
          <w:rFonts w:hint="eastAsia"/>
          <w:i/>
          <w:iCs/>
        </w:rPr>
        <w:t>niger</w:t>
      </w:r>
      <w:proofErr w:type="spellEnd"/>
      <w:r w:rsidRPr="00B4080C">
        <w:rPr>
          <w:rFonts w:hint="eastAsia"/>
        </w:rPr>
        <w:t>）作为供体的葡萄糖氧化酶被列入</w:t>
      </w:r>
      <w:r w:rsidRPr="00B4080C">
        <w:t>GB 2760-2007</w:t>
      </w:r>
      <w:r w:rsidRPr="00B4080C">
        <w:rPr>
          <w:rFonts w:hint="eastAsia"/>
        </w:rPr>
        <w:t>《</w:t>
      </w:r>
      <w:r w:rsidRPr="00B4080C">
        <w:t>食品添加剂使用卫生标准</w:t>
      </w:r>
      <w:r w:rsidRPr="00B4080C">
        <w:rPr>
          <w:rFonts w:hint="eastAsia"/>
        </w:rPr>
        <w:t>》中。</w:t>
      </w:r>
      <w:r w:rsidRPr="00B4080C">
        <w:rPr>
          <w:rFonts w:hint="eastAsia"/>
        </w:rPr>
        <w:t>2013</w:t>
      </w:r>
      <w:r w:rsidRPr="00B4080C">
        <w:rPr>
          <w:rFonts w:hint="eastAsia"/>
        </w:rPr>
        <w:t>年</w:t>
      </w:r>
      <w:r w:rsidRPr="00B4080C">
        <w:rPr>
          <w:rFonts w:hint="eastAsia"/>
        </w:rPr>
        <w:t>12</w:t>
      </w:r>
      <w:r w:rsidRPr="00B4080C">
        <w:rPr>
          <w:rFonts w:hint="eastAsia"/>
        </w:rPr>
        <w:t>月</w:t>
      </w:r>
      <w:r w:rsidRPr="00B4080C">
        <w:rPr>
          <w:rFonts w:hint="eastAsia"/>
        </w:rPr>
        <w:t>30</w:t>
      </w:r>
      <w:r w:rsidRPr="00B4080C">
        <w:rPr>
          <w:rFonts w:hint="eastAsia"/>
        </w:rPr>
        <w:t>日，农业部第</w:t>
      </w:r>
      <w:r w:rsidRPr="00B4080C">
        <w:rPr>
          <w:rFonts w:hint="eastAsia"/>
        </w:rPr>
        <w:t>2045</w:t>
      </w:r>
      <w:r w:rsidRPr="00B4080C">
        <w:rPr>
          <w:rFonts w:hint="eastAsia"/>
        </w:rPr>
        <w:t>号公告发布的《饲料添加剂品种目录（</w:t>
      </w:r>
      <w:r w:rsidRPr="00B4080C">
        <w:rPr>
          <w:rFonts w:hint="eastAsia"/>
        </w:rPr>
        <w:t>2013</w:t>
      </w:r>
      <w:r w:rsidRPr="00B4080C">
        <w:rPr>
          <w:rFonts w:hint="eastAsia"/>
        </w:rPr>
        <w:t>）》中对我国允许使用饲料级葡萄糖氧化酶生产菌株进行了专门的规定，限定为特异青霉（</w:t>
      </w:r>
      <w:proofErr w:type="spellStart"/>
      <w:r w:rsidRPr="00B4080C">
        <w:rPr>
          <w:rFonts w:hint="eastAsia"/>
          <w:i/>
          <w:iCs/>
        </w:rPr>
        <w:t>Penicilliun</w:t>
      </w:r>
      <w:proofErr w:type="spellEnd"/>
      <w:r w:rsidRPr="00B4080C">
        <w:rPr>
          <w:i/>
          <w:iCs/>
        </w:rPr>
        <w:t xml:space="preserve"> </w:t>
      </w:r>
      <w:proofErr w:type="spellStart"/>
      <w:r w:rsidRPr="00B4080C">
        <w:rPr>
          <w:rFonts w:hint="eastAsia"/>
          <w:i/>
          <w:iCs/>
        </w:rPr>
        <w:t>notatum</w:t>
      </w:r>
      <w:proofErr w:type="spellEnd"/>
      <w:r w:rsidRPr="00B4080C">
        <w:rPr>
          <w:rFonts w:hint="eastAsia"/>
        </w:rPr>
        <w:t>）和黑曲霉（</w:t>
      </w:r>
      <w:r w:rsidRPr="00B4080C">
        <w:rPr>
          <w:rFonts w:hint="eastAsia"/>
          <w:i/>
          <w:iCs/>
        </w:rPr>
        <w:t>Aspergillus</w:t>
      </w:r>
      <w:r w:rsidRPr="00B4080C">
        <w:rPr>
          <w:i/>
          <w:iCs/>
        </w:rPr>
        <w:t xml:space="preserve"> </w:t>
      </w:r>
      <w:proofErr w:type="spellStart"/>
      <w:r w:rsidRPr="00B4080C">
        <w:rPr>
          <w:rFonts w:hint="eastAsia"/>
          <w:i/>
          <w:iCs/>
        </w:rPr>
        <w:t>niger</w:t>
      </w:r>
      <w:proofErr w:type="spellEnd"/>
      <w:r w:rsidRPr="00B4080C">
        <w:rPr>
          <w:rFonts w:hint="eastAsia"/>
        </w:rPr>
        <w:t>），增加了葡萄糖氧化酶的来源，为拓宽其应用提供了保障。</w:t>
      </w:r>
      <w:r w:rsidRPr="00B4080C">
        <w:rPr>
          <w:rFonts w:hint="eastAsia"/>
        </w:rPr>
        <w:t xml:space="preserve"> </w:t>
      </w:r>
    </w:p>
    <w:p w:rsidR="005C455F" w:rsidRPr="00B4080C" w:rsidRDefault="006E0C59">
      <w:pPr>
        <w:pStyle w:val="af9"/>
      </w:pPr>
      <w:r w:rsidRPr="00B4080C">
        <w:rPr>
          <w:rFonts w:hint="eastAsia"/>
        </w:rPr>
        <w:lastRenderedPageBreak/>
        <w:t>目前，葡萄糖氧化酶制剂已经广泛应用在食品加工、饲料添加等方向，但是并没有统一的产品质量标准和酶活力检测方法，造成市场酶活力水平不一致，产品评价困难。因此，制定《葡萄糖氧化酶制剂》行业标准，统一酶制剂行业内葡萄糖氧化酶制剂产品质量标准、技术指标和酶活力检测方法十分必要，更是行业所需。</w:t>
      </w:r>
    </w:p>
    <w:p w:rsidR="005C455F" w:rsidRPr="00B4080C" w:rsidRDefault="006E0C59">
      <w:pPr>
        <w:pStyle w:val="af9"/>
      </w:pPr>
      <w:r w:rsidRPr="00B4080C">
        <w:t>本标准规定了</w:t>
      </w:r>
      <w:r w:rsidRPr="00B4080C">
        <w:rPr>
          <w:rFonts w:hint="eastAsia"/>
        </w:rPr>
        <w:t>葡萄糖氧化酶制剂</w:t>
      </w:r>
      <w:r w:rsidRPr="00B4080C">
        <w:t>的</w:t>
      </w:r>
      <w:r w:rsidRPr="00B4080C">
        <w:rPr>
          <w:rFonts w:hint="eastAsia"/>
        </w:rPr>
        <w:t>范围、规范性引用文件、</w:t>
      </w:r>
      <w:r w:rsidRPr="00B4080C">
        <w:rPr>
          <w:rFonts w:hint="eastAsia"/>
          <w:szCs w:val="21"/>
        </w:rPr>
        <w:t>术语和定义、</w:t>
      </w:r>
      <w:r w:rsidRPr="00B4080C">
        <w:rPr>
          <w:rFonts w:hint="eastAsia"/>
        </w:rPr>
        <w:t>产品分类、要求、试验方法、</w:t>
      </w:r>
      <w:r w:rsidRPr="00B4080C">
        <w:t>检验规则</w:t>
      </w:r>
      <w:r w:rsidRPr="00B4080C">
        <w:rPr>
          <w:rFonts w:hint="eastAsia"/>
        </w:rPr>
        <w:t>，</w:t>
      </w:r>
      <w:r w:rsidRPr="00B4080C">
        <w:t>标志、包装、运输</w:t>
      </w:r>
      <w:r w:rsidRPr="00B4080C">
        <w:rPr>
          <w:rFonts w:hint="eastAsia"/>
        </w:rPr>
        <w:t>及</w:t>
      </w:r>
      <w:r w:rsidRPr="00B4080C">
        <w:t>贮存</w:t>
      </w:r>
      <w:r w:rsidRPr="00B4080C">
        <w:rPr>
          <w:rFonts w:hint="eastAsia"/>
        </w:rPr>
        <w:t>八</w:t>
      </w:r>
      <w:r w:rsidRPr="00B4080C">
        <w:t>个部分。各部分说明如下</w:t>
      </w:r>
      <w:r w:rsidRPr="00B4080C">
        <w:rPr>
          <w:rFonts w:hint="eastAsia"/>
        </w:rPr>
        <w:t>：</w:t>
      </w:r>
    </w:p>
    <w:p w:rsidR="005C455F" w:rsidRPr="00B4080C" w:rsidRDefault="006E0C59">
      <w:pPr>
        <w:pStyle w:val="af9"/>
        <w:numPr>
          <w:ilvl w:val="0"/>
          <w:numId w:val="6"/>
        </w:numPr>
        <w:ind w:firstLineChars="0"/>
      </w:pPr>
      <w:r w:rsidRPr="00B4080C">
        <w:rPr>
          <w:rFonts w:hint="eastAsia"/>
        </w:rPr>
        <w:t>范围</w:t>
      </w:r>
    </w:p>
    <w:p w:rsidR="005C455F" w:rsidRPr="00B4080C" w:rsidRDefault="006E0C59">
      <w:pPr>
        <w:pStyle w:val="af9"/>
      </w:pPr>
      <w:r w:rsidRPr="00B4080C">
        <w:rPr>
          <w:rFonts w:hint="eastAsia"/>
        </w:rPr>
        <w:t>该部分描述了本标准的主要适用范围情况。</w:t>
      </w:r>
      <w:r w:rsidRPr="00B4080C">
        <w:t xml:space="preserve">1999 </w:t>
      </w:r>
      <w:r w:rsidRPr="00B4080C">
        <w:t>年</w:t>
      </w:r>
      <w:r w:rsidRPr="00B4080C">
        <w:t xml:space="preserve"> 7 </w:t>
      </w:r>
      <w:r w:rsidRPr="00B4080C">
        <w:t>月</w:t>
      </w:r>
      <w:r w:rsidRPr="00B4080C">
        <w:t xml:space="preserve"> 26 </w:t>
      </w:r>
      <w:r w:rsidRPr="00B4080C">
        <w:t>日</w:t>
      </w:r>
      <w:r w:rsidRPr="00B4080C">
        <w:rPr>
          <w:rFonts w:hint="eastAsia"/>
        </w:rPr>
        <w:t>葡萄糖氧化酶被</w:t>
      </w:r>
      <w:r w:rsidRPr="00B4080C">
        <w:t>农业部第</w:t>
      </w:r>
      <w:r w:rsidRPr="00B4080C">
        <w:t>105</w:t>
      </w:r>
      <w:r w:rsidRPr="00B4080C">
        <w:t>号文正式批准列入</w:t>
      </w:r>
      <w:r w:rsidRPr="00B4080C">
        <w:t xml:space="preserve"> </w:t>
      </w:r>
      <w:r w:rsidRPr="00B4080C">
        <w:t>《允许使用的饲料添加剂品种目录》</w:t>
      </w:r>
      <w:r w:rsidRPr="00B4080C">
        <w:rPr>
          <w:rFonts w:hint="eastAsia"/>
        </w:rPr>
        <w:t>。</w:t>
      </w:r>
      <w:r w:rsidRPr="00B4080C">
        <w:rPr>
          <w:rFonts w:hint="eastAsia"/>
        </w:rPr>
        <w:t>2007</w:t>
      </w:r>
      <w:r w:rsidRPr="00B4080C">
        <w:rPr>
          <w:rFonts w:hint="eastAsia"/>
        </w:rPr>
        <w:t>年，黑曲霉、米曲霉来源，黑曲霉作为供体的葡萄糖氧化酶被列入</w:t>
      </w:r>
      <w:r w:rsidRPr="00B4080C">
        <w:t>GB 2760-2007</w:t>
      </w:r>
      <w:r w:rsidRPr="00B4080C">
        <w:rPr>
          <w:rFonts w:hint="eastAsia"/>
        </w:rPr>
        <w:t>《</w:t>
      </w:r>
      <w:r w:rsidRPr="00B4080C">
        <w:t>食品添加剂使用卫生标准</w:t>
      </w:r>
      <w:r w:rsidRPr="00B4080C">
        <w:rPr>
          <w:rFonts w:hint="eastAsia"/>
        </w:rPr>
        <w:t>》中。</w:t>
      </w:r>
      <w:r w:rsidRPr="00B4080C">
        <w:rPr>
          <w:rFonts w:hint="eastAsia"/>
        </w:rPr>
        <w:t>2013</w:t>
      </w:r>
      <w:r w:rsidRPr="00B4080C">
        <w:rPr>
          <w:rFonts w:hint="eastAsia"/>
        </w:rPr>
        <w:t>年</w:t>
      </w:r>
      <w:r w:rsidRPr="00B4080C">
        <w:rPr>
          <w:rFonts w:hint="eastAsia"/>
        </w:rPr>
        <w:t>12</w:t>
      </w:r>
      <w:r w:rsidRPr="00B4080C">
        <w:rPr>
          <w:rFonts w:hint="eastAsia"/>
        </w:rPr>
        <w:t>月</w:t>
      </w:r>
      <w:r w:rsidRPr="00B4080C">
        <w:rPr>
          <w:rFonts w:hint="eastAsia"/>
        </w:rPr>
        <w:t>30</w:t>
      </w:r>
      <w:r w:rsidRPr="00B4080C">
        <w:rPr>
          <w:rFonts w:hint="eastAsia"/>
        </w:rPr>
        <w:t>日，农业部第</w:t>
      </w:r>
      <w:r w:rsidRPr="00B4080C">
        <w:rPr>
          <w:rFonts w:hint="eastAsia"/>
        </w:rPr>
        <w:t>2045</w:t>
      </w:r>
      <w:r w:rsidRPr="00B4080C">
        <w:rPr>
          <w:rFonts w:hint="eastAsia"/>
        </w:rPr>
        <w:t>号公告发布的《饲料添加剂品种目录（</w:t>
      </w:r>
      <w:r w:rsidRPr="00B4080C">
        <w:rPr>
          <w:rFonts w:hint="eastAsia"/>
        </w:rPr>
        <w:t>2013</w:t>
      </w:r>
      <w:r w:rsidRPr="00B4080C">
        <w:rPr>
          <w:rFonts w:hint="eastAsia"/>
        </w:rPr>
        <w:t>）》中对我国允许使用饲料级葡萄糖氧化酶生产菌株进行了专门的规定，限定为特异青霉和黑曲霉。鉴于以上法规依据，目前我国葡萄糖氧化酶制剂产品的来源均为微生物发酵，因此本标准的适用范围确定为微生物发酵制得的葡萄糖氧化酶制剂。</w:t>
      </w:r>
    </w:p>
    <w:p w:rsidR="005C455F" w:rsidRPr="00B4080C" w:rsidRDefault="006E0C59">
      <w:pPr>
        <w:pStyle w:val="af9"/>
        <w:numPr>
          <w:ilvl w:val="0"/>
          <w:numId w:val="6"/>
        </w:numPr>
        <w:ind w:firstLineChars="0"/>
      </w:pPr>
      <w:r w:rsidRPr="00B4080C">
        <w:rPr>
          <w:rFonts w:hint="eastAsia"/>
        </w:rPr>
        <w:t>规范性引用文件</w:t>
      </w:r>
    </w:p>
    <w:p w:rsidR="005C455F" w:rsidRPr="00B4080C" w:rsidRDefault="006E0C59">
      <w:pPr>
        <w:pStyle w:val="af9"/>
      </w:pPr>
      <w:r w:rsidRPr="00B4080C">
        <w:rPr>
          <w:rFonts w:hint="eastAsia"/>
        </w:rPr>
        <w:t>凡本标准文本、附录所引用和涉及到的文件，均在此处列出。</w:t>
      </w:r>
    </w:p>
    <w:p w:rsidR="005C455F" w:rsidRPr="00B4080C" w:rsidRDefault="006E0C59">
      <w:pPr>
        <w:pStyle w:val="af9"/>
        <w:numPr>
          <w:ilvl w:val="0"/>
          <w:numId w:val="6"/>
        </w:numPr>
        <w:ind w:firstLineChars="0"/>
      </w:pPr>
      <w:r w:rsidRPr="00B4080C">
        <w:rPr>
          <w:rFonts w:hint="eastAsia"/>
          <w:szCs w:val="21"/>
        </w:rPr>
        <w:t>术语和定义</w:t>
      </w:r>
    </w:p>
    <w:p w:rsidR="005C455F" w:rsidRPr="00B4080C" w:rsidRDefault="006E0C59">
      <w:pPr>
        <w:pStyle w:val="af9"/>
      </w:pPr>
      <w:r w:rsidRPr="00B4080C">
        <w:t>对</w:t>
      </w:r>
      <w:r w:rsidRPr="00B4080C">
        <w:rPr>
          <w:rFonts w:hint="eastAsia"/>
        </w:rPr>
        <w:t>葡萄糖氧化酶、葡萄糖氧化酶制剂、葡萄糖氧化酶活力单位、葡萄糖氧化酶活力，以及葡萄糖氧化酶制剂的酶活力</w:t>
      </w:r>
      <w:r w:rsidRPr="00B4080C">
        <w:t>进行了定义。</w:t>
      </w:r>
    </w:p>
    <w:p w:rsidR="005C455F" w:rsidRPr="00B4080C" w:rsidRDefault="006E0C59">
      <w:pPr>
        <w:pStyle w:val="af9"/>
      </w:pPr>
      <w:r w:rsidRPr="00B4080C">
        <w:rPr>
          <w:rFonts w:hint="eastAsia"/>
        </w:rPr>
        <w:t>根据酶的反应特性及主要作用机理给出葡萄糖氧化酶的定义。定义为</w:t>
      </w:r>
      <w:r w:rsidRPr="00B4080C">
        <w:rPr>
          <w:rFonts w:hint="eastAsia"/>
          <w:kern w:val="0"/>
          <w:szCs w:val="20"/>
        </w:rPr>
        <w:t>能够</w:t>
      </w:r>
      <w:r w:rsidRPr="00B4080C">
        <w:rPr>
          <w:rFonts w:ascii="宋体"/>
          <w:kern w:val="0"/>
        </w:rPr>
        <w:t>在有氧的条件下专一性将葡萄糖氧化为葡萄糖酸和过氧化氢</w:t>
      </w:r>
      <w:r w:rsidRPr="00B4080C">
        <w:rPr>
          <w:rFonts w:hint="eastAsia"/>
          <w:kern w:val="0"/>
          <w:szCs w:val="20"/>
        </w:rPr>
        <w:t>的酶。</w:t>
      </w:r>
    </w:p>
    <w:p w:rsidR="005C455F" w:rsidRPr="00B4080C" w:rsidRDefault="006E0C59">
      <w:pPr>
        <w:pStyle w:val="af9"/>
      </w:pPr>
      <w:r w:rsidRPr="00B4080C">
        <w:rPr>
          <w:rFonts w:hint="eastAsia"/>
        </w:rPr>
        <w:t>根据制剂产品的特点，以具有葡萄糖氧化酶活力为鉴别指标，以添加载体或稳定剂进行产品制剂化给出葡萄糖氧化酶制剂的定义。</w:t>
      </w:r>
    </w:p>
    <w:p w:rsidR="005C455F" w:rsidRPr="00B4080C" w:rsidRDefault="006E0C59">
      <w:pPr>
        <w:pStyle w:val="af9"/>
      </w:pPr>
      <w:r w:rsidRPr="00B4080C">
        <w:t>酶活力单位定义为</w:t>
      </w:r>
      <w:r w:rsidRPr="00B4080C">
        <w:rPr>
          <w:rFonts w:hint="eastAsia"/>
        </w:rPr>
        <w:t>：在</w:t>
      </w:r>
      <w:r w:rsidRPr="00B4080C">
        <w:rPr>
          <w:rFonts w:hint="eastAsia"/>
        </w:rPr>
        <w:t>50</w:t>
      </w:r>
      <w:r w:rsidRPr="00B4080C">
        <w:rPr>
          <w:rFonts w:hint="eastAsia"/>
        </w:rPr>
        <w:t>℃、</w:t>
      </w:r>
      <w:r w:rsidRPr="00B4080C">
        <w:rPr>
          <w:rFonts w:hint="eastAsia"/>
        </w:rPr>
        <w:t>pH6.0</w:t>
      </w:r>
      <w:r w:rsidRPr="00B4080C">
        <w:rPr>
          <w:rFonts w:hint="eastAsia"/>
        </w:rPr>
        <w:t>条件下，每分钟能催化葡萄糖产生</w:t>
      </w:r>
      <w:r w:rsidRPr="00B4080C">
        <w:rPr>
          <w:rFonts w:hint="eastAsia"/>
        </w:rPr>
        <w:t>1µmol</w:t>
      </w:r>
      <w:r w:rsidRPr="00B4080C">
        <w:rPr>
          <w:rFonts w:hint="eastAsia"/>
        </w:rPr>
        <w:t>过氧化氢所需要的酶量，以“</w:t>
      </w:r>
      <w:r w:rsidRPr="00B4080C">
        <w:rPr>
          <w:rFonts w:hint="eastAsia"/>
        </w:rPr>
        <w:t>U</w:t>
      </w:r>
      <w:r w:rsidRPr="00B4080C">
        <w:rPr>
          <w:rFonts w:hint="eastAsia"/>
        </w:rPr>
        <w:t>”表示。鉴于葡萄糖氧化酶的最适温度以及酶活力测定过程中使用到的过氧化氢酶的</w:t>
      </w:r>
      <w:proofErr w:type="gramStart"/>
      <w:r w:rsidRPr="00B4080C">
        <w:rPr>
          <w:rFonts w:hint="eastAsia"/>
        </w:rPr>
        <w:t>最</w:t>
      </w:r>
      <w:proofErr w:type="gramEnd"/>
      <w:r w:rsidRPr="00B4080C">
        <w:rPr>
          <w:rFonts w:hint="eastAsia"/>
        </w:rPr>
        <w:t>适</w:t>
      </w:r>
      <w:r w:rsidRPr="00B4080C">
        <w:rPr>
          <w:rFonts w:hint="eastAsia"/>
        </w:rPr>
        <w:t>pH</w:t>
      </w:r>
      <w:r w:rsidRPr="00B4080C">
        <w:rPr>
          <w:rFonts w:hint="eastAsia"/>
        </w:rPr>
        <w:t>均在</w:t>
      </w:r>
      <w:r w:rsidRPr="00B4080C">
        <w:rPr>
          <w:rFonts w:hint="eastAsia"/>
        </w:rPr>
        <w:t>pH6.0</w:t>
      </w:r>
      <w:r w:rsidRPr="00B4080C">
        <w:rPr>
          <w:rFonts w:hint="eastAsia"/>
        </w:rPr>
        <w:t>左右，确规定酶活力测</w:t>
      </w:r>
      <w:r w:rsidRPr="00B4080C">
        <w:rPr>
          <w:rFonts w:hint="eastAsia"/>
        </w:rPr>
        <w:lastRenderedPageBreak/>
        <w:t>定的</w:t>
      </w:r>
      <w:r w:rsidRPr="00B4080C">
        <w:rPr>
          <w:rFonts w:hint="eastAsia"/>
        </w:rPr>
        <w:t>pH</w:t>
      </w:r>
      <w:r w:rsidRPr="00B4080C">
        <w:rPr>
          <w:rFonts w:hint="eastAsia"/>
        </w:rPr>
        <w:t>为</w:t>
      </w:r>
      <w:r w:rsidRPr="00B4080C">
        <w:rPr>
          <w:rFonts w:hint="eastAsia"/>
        </w:rPr>
        <w:t>6.0</w:t>
      </w:r>
      <w:r w:rsidRPr="00B4080C">
        <w:rPr>
          <w:rFonts w:hint="eastAsia"/>
        </w:rPr>
        <w:t>。</w:t>
      </w:r>
    </w:p>
    <w:p w:rsidR="005C455F" w:rsidRPr="00B4080C" w:rsidRDefault="006E0C59">
      <w:pPr>
        <w:pStyle w:val="af9"/>
        <w:numPr>
          <w:ilvl w:val="0"/>
          <w:numId w:val="6"/>
        </w:numPr>
        <w:ind w:firstLineChars="0"/>
      </w:pPr>
      <w:r w:rsidRPr="00B4080C">
        <w:rPr>
          <w:rFonts w:hint="eastAsia"/>
        </w:rPr>
        <w:t>产品分类</w:t>
      </w:r>
    </w:p>
    <w:p w:rsidR="005C455F" w:rsidRPr="00B4080C" w:rsidRDefault="006E0C59">
      <w:pPr>
        <w:pStyle w:val="af9"/>
      </w:pPr>
      <w:r w:rsidRPr="00B4080C">
        <w:rPr>
          <w:rFonts w:hint="eastAsia"/>
        </w:rPr>
        <w:t>从产品形态和产品应用领域两个方面对产品进行了分类。</w:t>
      </w:r>
    </w:p>
    <w:p w:rsidR="005C455F" w:rsidRPr="00B4080C" w:rsidRDefault="006E0C59">
      <w:pPr>
        <w:pStyle w:val="af9"/>
      </w:pPr>
      <w:r w:rsidRPr="00B4080C">
        <w:rPr>
          <w:rFonts w:hint="eastAsia"/>
        </w:rPr>
        <w:t>根据产品形态不同，可分为固体剂型葡萄糖氧化酶制剂和液体剂型葡萄糖氧化酶制剂。目前国内葡萄糖氧化酶制剂产品均以这两种形态为主，主要为固体剂型。</w:t>
      </w:r>
    </w:p>
    <w:p w:rsidR="005C455F" w:rsidRPr="00B4080C" w:rsidRDefault="006E0C59">
      <w:pPr>
        <w:pStyle w:val="af9"/>
      </w:pPr>
      <w:r w:rsidRPr="00B4080C">
        <w:rPr>
          <w:rFonts w:hint="eastAsia"/>
        </w:rPr>
        <w:t>从应用领域分类，相关法规已经规定葡萄糖氧化酶产品可以应用食品行业和饲料行业。经文献综述和生产企业调查，葡萄糖氧化酶产品在生物技术、检测试剂盒、葡萄糖酸钠的生产等领域也均有应用。因此，按照应用领域，分类为食品工业、饲料工业用酶制剂、其他工业用葡萄糖氧化酶制剂。</w:t>
      </w:r>
    </w:p>
    <w:p w:rsidR="005C455F" w:rsidRPr="00B4080C" w:rsidRDefault="006E0C59">
      <w:pPr>
        <w:pStyle w:val="af9"/>
        <w:numPr>
          <w:ilvl w:val="0"/>
          <w:numId w:val="6"/>
        </w:numPr>
        <w:ind w:firstLineChars="0"/>
      </w:pPr>
      <w:r w:rsidRPr="00B4080C">
        <w:rPr>
          <w:rFonts w:hint="eastAsia"/>
        </w:rPr>
        <w:t>要求</w:t>
      </w:r>
    </w:p>
    <w:p w:rsidR="005C455F" w:rsidRPr="00B4080C" w:rsidRDefault="006E0C59">
      <w:pPr>
        <w:pStyle w:val="af9"/>
        <w:ind w:firstLineChars="0" w:firstLine="0"/>
      </w:pPr>
      <w:r w:rsidRPr="00B4080C">
        <w:rPr>
          <w:rFonts w:hint="eastAsia"/>
        </w:rPr>
        <w:t>（</w:t>
      </w:r>
      <w:r w:rsidRPr="00B4080C">
        <w:rPr>
          <w:rFonts w:hint="eastAsia"/>
        </w:rPr>
        <w:t>1</w:t>
      </w:r>
      <w:r w:rsidRPr="00B4080C">
        <w:rPr>
          <w:rFonts w:hint="eastAsia"/>
        </w:rPr>
        <w:t>）感官要求</w:t>
      </w:r>
    </w:p>
    <w:p w:rsidR="005C455F" w:rsidRPr="00B4080C" w:rsidRDefault="006E0C59">
      <w:pPr>
        <w:pStyle w:val="af9"/>
      </w:pPr>
      <w:r w:rsidRPr="00B4080C">
        <w:rPr>
          <w:rFonts w:hint="eastAsia"/>
        </w:rPr>
        <w:t>根据</w:t>
      </w:r>
      <w:r w:rsidRPr="00B4080C">
        <w:t>本产品的实际性状，从色泽及外观、气味三方面给出本产品的感官要求描述。</w:t>
      </w:r>
    </w:p>
    <w:p w:rsidR="005C455F" w:rsidRPr="00B4080C" w:rsidRDefault="006E0C59">
      <w:pPr>
        <w:widowControl/>
        <w:tabs>
          <w:tab w:val="left" w:pos="360"/>
        </w:tabs>
        <w:jc w:val="center"/>
        <w:rPr>
          <w:rFonts w:ascii="黑体" w:eastAsia="黑体" w:hAnsi="Times New Roman"/>
          <w:kern w:val="0"/>
          <w:szCs w:val="20"/>
        </w:rPr>
      </w:pPr>
      <w:r w:rsidRPr="00B4080C">
        <w:rPr>
          <w:rFonts w:ascii="黑体" w:eastAsia="黑体" w:hAnsi="Times New Roman" w:hint="eastAsia"/>
          <w:kern w:val="0"/>
          <w:szCs w:val="20"/>
        </w:rPr>
        <w:t>表1 感官要求</w:t>
      </w:r>
    </w:p>
    <w:tbl>
      <w:tblPr>
        <w:tblpPr w:leftFromText="180" w:rightFromText="180" w:vertAnchor="text" w:horzAnchor="margin" w:tblpXSpec="center" w:tblpY="150"/>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4425"/>
        <w:gridCol w:w="4203"/>
      </w:tblGrid>
      <w:tr w:rsidR="005C455F" w:rsidRPr="00B4080C">
        <w:trPr>
          <w:cantSplit/>
          <w:trHeight w:val="284"/>
        </w:trPr>
        <w:tc>
          <w:tcPr>
            <w:tcW w:w="934" w:type="dxa"/>
            <w:vAlign w:val="center"/>
          </w:tcPr>
          <w:p w:rsidR="005C455F" w:rsidRPr="00B4080C" w:rsidRDefault="006E0C59">
            <w:pPr>
              <w:spacing w:line="300" w:lineRule="auto"/>
              <w:jc w:val="center"/>
              <w:rPr>
                <w:rFonts w:ascii="宋体" w:hAnsi="宋体"/>
                <w:sz w:val="18"/>
              </w:rPr>
            </w:pPr>
            <w:r w:rsidRPr="00B4080C">
              <w:rPr>
                <w:rFonts w:ascii="宋体" w:hAnsi="宋体"/>
                <w:sz w:val="18"/>
              </w:rPr>
              <w:t>项目</w:t>
            </w:r>
          </w:p>
        </w:tc>
        <w:tc>
          <w:tcPr>
            <w:tcW w:w="4425" w:type="dxa"/>
            <w:vAlign w:val="center"/>
          </w:tcPr>
          <w:p w:rsidR="005C455F" w:rsidRPr="00B4080C" w:rsidRDefault="006E0C59">
            <w:pPr>
              <w:spacing w:line="300" w:lineRule="auto"/>
              <w:jc w:val="center"/>
              <w:rPr>
                <w:rFonts w:ascii="宋体" w:hAnsi="宋体"/>
                <w:sz w:val="18"/>
              </w:rPr>
            </w:pPr>
            <w:r w:rsidRPr="00B4080C">
              <w:rPr>
                <w:rFonts w:ascii="宋体" w:hAnsi="宋体" w:hint="eastAsia"/>
                <w:sz w:val="18"/>
              </w:rPr>
              <w:t>固体剂型</w:t>
            </w:r>
          </w:p>
        </w:tc>
        <w:tc>
          <w:tcPr>
            <w:tcW w:w="4203" w:type="dxa"/>
            <w:vAlign w:val="center"/>
          </w:tcPr>
          <w:p w:rsidR="005C455F" w:rsidRPr="00B4080C" w:rsidRDefault="006E0C59">
            <w:pPr>
              <w:spacing w:line="300" w:lineRule="auto"/>
              <w:jc w:val="center"/>
              <w:rPr>
                <w:rFonts w:ascii="宋体" w:hAnsi="宋体"/>
                <w:sz w:val="18"/>
              </w:rPr>
            </w:pPr>
            <w:r w:rsidRPr="00B4080C">
              <w:rPr>
                <w:rFonts w:ascii="宋体" w:hAnsi="宋体" w:hint="eastAsia"/>
                <w:sz w:val="18"/>
              </w:rPr>
              <w:t>液体剂型</w:t>
            </w:r>
          </w:p>
        </w:tc>
      </w:tr>
      <w:tr w:rsidR="005C455F" w:rsidRPr="00B4080C">
        <w:trPr>
          <w:cantSplit/>
          <w:trHeight w:val="284"/>
        </w:trPr>
        <w:tc>
          <w:tcPr>
            <w:tcW w:w="934" w:type="dxa"/>
            <w:vAlign w:val="center"/>
          </w:tcPr>
          <w:p w:rsidR="005C455F" w:rsidRPr="00B4080C" w:rsidRDefault="006E0C59">
            <w:pPr>
              <w:spacing w:line="300" w:lineRule="auto"/>
              <w:jc w:val="center"/>
              <w:rPr>
                <w:rFonts w:ascii="宋体" w:hAnsi="宋体"/>
                <w:sz w:val="18"/>
              </w:rPr>
            </w:pPr>
            <w:r w:rsidRPr="00B4080C">
              <w:rPr>
                <w:rFonts w:ascii="宋体" w:hAnsi="宋体"/>
                <w:sz w:val="18"/>
              </w:rPr>
              <w:t>色泽</w:t>
            </w:r>
          </w:p>
        </w:tc>
        <w:tc>
          <w:tcPr>
            <w:tcW w:w="4425" w:type="dxa"/>
            <w:vAlign w:val="center"/>
          </w:tcPr>
          <w:p w:rsidR="005C455F" w:rsidRPr="00B4080C" w:rsidRDefault="006E0C59">
            <w:pPr>
              <w:spacing w:line="300" w:lineRule="auto"/>
              <w:jc w:val="center"/>
              <w:rPr>
                <w:rFonts w:ascii="宋体" w:hAnsi="宋体"/>
                <w:sz w:val="18"/>
              </w:rPr>
            </w:pPr>
            <w:r w:rsidRPr="00B4080C">
              <w:rPr>
                <w:rFonts w:ascii="宋体" w:hAnsi="宋体" w:hint="eastAsia"/>
                <w:sz w:val="18"/>
              </w:rPr>
              <w:t>色泽均</w:t>
            </w:r>
            <w:proofErr w:type="gramStart"/>
            <w:r w:rsidRPr="00B4080C">
              <w:rPr>
                <w:rFonts w:ascii="宋体" w:hAnsi="宋体" w:hint="eastAsia"/>
                <w:sz w:val="18"/>
              </w:rPr>
              <w:t>一</w:t>
            </w:r>
            <w:proofErr w:type="gramEnd"/>
            <w:r w:rsidRPr="00B4080C">
              <w:rPr>
                <w:rFonts w:ascii="宋体" w:hAnsi="宋体" w:hint="eastAsia"/>
                <w:sz w:val="18"/>
              </w:rPr>
              <w:t>，白色至褐色</w:t>
            </w:r>
          </w:p>
        </w:tc>
        <w:tc>
          <w:tcPr>
            <w:tcW w:w="4203" w:type="dxa"/>
            <w:vAlign w:val="center"/>
          </w:tcPr>
          <w:p w:rsidR="005C455F" w:rsidRPr="00B4080C" w:rsidRDefault="006E0C59">
            <w:pPr>
              <w:spacing w:line="300" w:lineRule="auto"/>
              <w:jc w:val="center"/>
              <w:rPr>
                <w:rFonts w:ascii="宋体" w:hAnsi="宋体"/>
                <w:sz w:val="18"/>
              </w:rPr>
            </w:pPr>
            <w:r w:rsidRPr="00B4080C">
              <w:rPr>
                <w:rFonts w:ascii="宋体" w:hAnsi="宋体" w:hint="eastAsia"/>
                <w:sz w:val="18"/>
              </w:rPr>
              <w:t>浅黄色至褐色</w:t>
            </w:r>
          </w:p>
        </w:tc>
      </w:tr>
      <w:tr w:rsidR="005C455F" w:rsidRPr="00B4080C">
        <w:trPr>
          <w:cantSplit/>
          <w:trHeight w:val="284"/>
        </w:trPr>
        <w:tc>
          <w:tcPr>
            <w:tcW w:w="934" w:type="dxa"/>
            <w:vAlign w:val="center"/>
          </w:tcPr>
          <w:p w:rsidR="005C455F" w:rsidRPr="00B4080C" w:rsidRDefault="006E0C59">
            <w:pPr>
              <w:spacing w:line="300" w:lineRule="auto"/>
              <w:jc w:val="center"/>
              <w:rPr>
                <w:rFonts w:ascii="宋体" w:hAnsi="宋体"/>
                <w:sz w:val="18"/>
              </w:rPr>
            </w:pPr>
            <w:r w:rsidRPr="00B4080C">
              <w:rPr>
                <w:rFonts w:ascii="宋体" w:hAnsi="宋体" w:hint="eastAsia"/>
                <w:sz w:val="18"/>
              </w:rPr>
              <w:t>状态</w:t>
            </w:r>
          </w:p>
        </w:tc>
        <w:tc>
          <w:tcPr>
            <w:tcW w:w="4425" w:type="dxa"/>
            <w:vAlign w:val="center"/>
          </w:tcPr>
          <w:p w:rsidR="005C455F" w:rsidRPr="00B4080C" w:rsidRDefault="006E0C59">
            <w:pPr>
              <w:spacing w:line="300" w:lineRule="auto"/>
              <w:jc w:val="center"/>
              <w:rPr>
                <w:rFonts w:ascii="宋体" w:hAnsi="宋体"/>
                <w:sz w:val="18"/>
              </w:rPr>
            </w:pPr>
            <w:r w:rsidRPr="00B4080C">
              <w:rPr>
                <w:rFonts w:ascii="宋体" w:hAnsi="宋体"/>
                <w:sz w:val="18"/>
              </w:rPr>
              <w:t>颗粒或粉状，无潮解、</w:t>
            </w:r>
            <w:r w:rsidRPr="00B4080C">
              <w:rPr>
                <w:rFonts w:ascii="宋体" w:hAnsi="宋体" w:hint="eastAsia"/>
                <w:sz w:val="18"/>
              </w:rPr>
              <w:t>无</w:t>
            </w:r>
            <w:r w:rsidRPr="00B4080C">
              <w:rPr>
                <w:rFonts w:ascii="宋体" w:hAnsi="宋体"/>
                <w:sz w:val="18"/>
              </w:rPr>
              <w:t>结块</w:t>
            </w:r>
          </w:p>
        </w:tc>
        <w:tc>
          <w:tcPr>
            <w:tcW w:w="4203" w:type="dxa"/>
            <w:vAlign w:val="center"/>
          </w:tcPr>
          <w:p w:rsidR="005C455F" w:rsidRPr="00B4080C" w:rsidRDefault="006E0C59">
            <w:pPr>
              <w:spacing w:line="300" w:lineRule="auto"/>
              <w:jc w:val="center"/>
              <w:rPr>
                <w:rFonts w:ascii="宋体" w:hAnsi="宋体"/>
                <w:sz w:val="18"/>
              </w:rPr>
            </w:pPr>
            <w:r w:rsidRPr="00B4080C">
              <w:rPr>
                <w:rFonts w:ascii="宋体" w:hAnsi="宋体" w:hint="eastAsia"/>
                <w:sz w:val="18"/>
              </w:rPr>
              <w:t>可</w:t>
            </w:r>
            <w:r w:rsidRPr="00B4080C">
              <w:rPr>
                <w:rFonts w:ascii="宋体" w:hAnsi="宋体"/>
                <w:sz w:val="18"/>
              </w:rPr>
              <w:t>有少量的凝聚物</w:t>
            </w:r>
          </w:p>
        </w:tc>
      </w:tr>
      <w:tr w:rsidR="005C455F" w:rsidRPr="00B4080C">
        <w:trPr>
          <w:cantSplit/>
          <w:trHeight w:val="284"/>
        </w:trPr>
        <w:tc>
          <w:tcPr>
            <w:tcW w:w="934" w:type="dxa"/>
            <w:vAlign w:val="center"/>
          </w:tcPr>
          <w:p w:rsidR="005C455F" w:rsidRPr="00B4080C" w:rsidRDefault="006E0C59">
            <w:pPr>
              <w:spacing w:line="300" w:lineRule="auto"/>
              <w:jc w:val="center"/>
              <w:rPr>
                <w:rFonts w:ascii="宋体" w:hAnsi="宋体"/>
                <w:sz w:val="18"/>
              </w:rPr>
            </w:pPr>
            <w:r w:rsidRPr="00B4080C">
              <w:rPr>
                <w:rFonts w:ascii="宋体" w:hAnsi="宋体" w:hint="eastAsia"/>
                <w:sz w:val="18"/>
              </w:rPr>
              <w:t>气味</w:t>
            </w:r>
          </w:p>
        </w:tc>
        <w:tc>
          <w:tcPr>
            <w:tcW w:w="8628" w:type="dxa"/>
            <w:gridSpan w:val="2"/>
            <w:vAlign w:val="center"/>
          </w:tcPr>
          <w:p w:rsidR="005C455F" w:rsidRPr="00B4080C" w:rsidRDefault="006E0C59">
            <w:pPr>
              <w:spacing w:line="300" w:lineRule="auto"/>
              <w:jc w:val="center"/>
              <w:rPr>
                <w:rFonts w:ascii="宋体" w:hAnsi="宋体"/>
                <w:sz w:val="18"/>
              </w:rPr>
            </w:pPr>
            <w:r w:rsidRPr="00B4080C">
              <w:rPr>
                <w:rFonts w:ascii="宋体" w:hAnsi="宋体" w:hint="eastAsia"/>
                <w:sz w:val="18"/>
              </w:rPr>
              <w:t>有特殊发酵气味，无异味</w:t>
            </w:r>
          </w:p>
        </w:tc>
      </w:tr>
    </w:tbl>
    <w:p w:rsidR="005C455F" w:rsidRPr="00B4080C" w:rsidRDefault="006E0C59">
      <w:pPr>
        <w:pStyle w:val="af9"/>
        <w:ind w:firstLineChars="0" w:firstLine="0"/>
      </w:pPr>
      <w:r w:rsidRPr="00B4080C">
        <w:rPr>
          <w:rFonts w:hint="eastAsia"/>
        </w:rPr>
        <w:t>（</w:t>
      </w:r>
      <w:r w:rsidRPr="00B4080C">
        <w:rPr>
          <w:rFonts w:hint="eastAsia"/>
        </w:rPr>
        <w:t>2</w:t>
      </w:r>
      <w:r w:rsidRPr="00B4080C">
        <w:rPr>
          <w:rFonts w:hint="eastAsia"/>
        </w:rPr>
        <w:t>）理化指标</w:t>
      </w:r>
    </w:p>
    <w:p w:rsidR="005C455F" w:rsidRPr="00B4080C" w:rsidRDefault="006E0C59">
      <w:pPr>
        <w:pStyle w:val="af9"/>
      </w:pPr>
      <w:r w:rsidRPr="00B4080C">
        <w:rPr>
          <w:rFonts w:hint="eastAsia"/>
        </w:rPr>
        <w:t>固体剂型规定了</w:t>
      </w:r>
      <w:r w:rsidRPr="00B4080C">
        <w:t>酶活力</w:t>
      </w:r>
      <w:r w:rsidRPr="00B4080C">
        <w:rPr>
          <w:rFonts w:hint="eastAsia"/>
        </w:rPr>
        <w:t>和干燥失重的</w:t>
      </w:r>
      <w:r w:rsidRPr="00B4080C">
        <w:t>要求</w:t>
      </w:r>
      <w:r w:rsidRPr="00B4080C">
        <w:rPr>
          <w:rFonts w:hint="eastAsia"/>
        </w:rPr>
        <w:t>，液体剂型规定了酶活力和</w:t>
      </w:r>
      <w:r w:rsidRPr="00B4080C">
        <w:rPr>
          <w:rFonts w:hint="eastAsia"/>
        </w:rPr>
        <w:t>pH</w:t>
      </w:r>
      <w:r w:rsidRPr="00B4080C">
        <w:rPr>
          <w:rFonts w:hint="eastAsia"/>
        </w:rPr>
        <w:t>的要求。</w:t>
      </w:r>
    </w:p>
    <w:p w:rsidR="005C455F" w:rsidRPr="00B4080C" w:rsidRDefault="006E0C59">
      <w:pPr>
        <w:pStyle w:val="af9"/>
      </w:pPr>
      <w:r w:rsidRPr="00B4080C">
        <w:rPr>
          <w:rFonts w:hint="eastAsia"/>
        </w:rPr>
        <w:t>酶</w:t>
      </w:r>
      <w:r w:rsidRPr="00B4080C">
        <w:t>活力</w:t>
      </w:r>
      <w:r w:rsidRPr="00B4080C">
        <w:rPr>
          <w:rFonts w:hint="eastAsia"/>
        </w:rPr>
        <w:t>是葡萄糖氧化酶制剂产品的特征指标和鉴别指标，设定最低下限为</w:t>
      </w:r>
      <w:r w:rsidRPr="00B4080C">
        <w:rPr>
          <w:rFonts w:hint="eastAsia"/>
        </w:rPr>
        <w:t>2000U/g</w:t>
      </w:r>
      <w:r w:rsidRPr="00B4080C">
        <w:rPr>
          <w:rFonts w:hint="eastAsia"/>
        </w:rPr>
        <w:t>或</w:t>
      </w:r>
      <w:r w:rsidRPr="00B4080C">
        <w:rPr>
          <w:rFonts w:hint="eastAsia"/>
        </w:rPr>
        <w:t>1000U/</w:t>
      </w:r>
      <w:r w:rsidRPr="00B4080C">
        <w:t>mL</w:t>
      </w:r>
      <w:r w:rsidRPr="00B4080C">
        <w:rPr>
          <w:rFonts w:hint="eastAsia"/>
        </w:rPr>
        <w:t>，以</w:t>
      </w:r>
      <w:r w:rsidRPr="00B4080C">
        <w:t>确保下游应用企业的利益</w:t>
      </w:r>
      <w:r w:rsidRPr="00B4080C">
        <w:rPr>
          <w:rFonts w:hint="eastAsia"/>
        </w:rPr>
        <w:t>。同时</w:t>
      </w:r>
      <w:r w:rsidRPr="00B4080C">
        <w:t>，某些领域酶活</w:t>
      </w:r>
      <w:r w:rsidRPr="00B4080C">
        <w:rPr>
          <w:rFonts w:hint="eastAsia"/>
        </w:rPr>
        <w:t>力</w:t>
      </w:r>
      <w:r w:rsidRPr="00B4080C">
        <w:t>需要根据产品特点进行定制，因此，也可按供需双方合同规定的酶活力规格执行。</w:t>
      </w:r>
    </w:p>
    <w:p w:rsidR="005C455F" w:rsidRPr="00B4080C" w:rsidRDefault="006E0C59">
      <w:pPr>
        <w:pStyle w:val="af9"/>
      </w:pPr>
      <w:r w:rsidRPr="00B4080C">
        <w:rPr>
          <w:rFonts w:hint="eastAsia"/>
        </w:rPr>
        <w:t>干燥失重指标，一方面，由于含水量过高容易导致产品结块、发霉，以及酶活力下降；另一方面，</w:t>
      </w:r>
      <w:r w:rsidRPr="00B4080C">
        <w:t>考虑</w:t>
      </w:r>
      <w:r w:rsidRPr="00B4080C">
        <w:rPr>
          <w:rFonts w:hint="eastAsia"/>
        </w:rPr>
        <w:t>到由于产品</w:t>
      </w:r>
      <w:r w:rsidRPr="00B4080C">
        <w:t>的</w:t>
      </w:r>
      <w:r w:rsidRPr="00B4080C">
        <w:rPr>
          <w:rFonts w:hint="eastAsia"/>
        </w:rPr>
        <w:t>生产、</w:t>
      </w:r>
      <w:r w:rsidRPr="00B4080C">
        <w:t>存储，干燥失重会随环境季节等条件发生变化</w:t>
      </w:r>
      <w:r w:rsidRPr="00B4080C">
        <w:rPr>
          <w:rFonts w:hint="eastAsia"/>
        </w:rPr>
        <w:t>。在征集了酶制剂生产企业葡萄糖氧化酶制剂产品的干燥失重数据后，最终规定干燥失重为≤</w:t>
      </w:r>
      <w:r w:rsidRPr="00B4080C">
        <w:rPr>
          <w:rFonts w:hint="eastAsia"/>
        </w:rPr>
        <w:t>10%</w:t>
      </w:r>
      <w:r w:rsidRPr="00B4080C">
        <w:rPr>
          <w:rFonts w:hint="eastAsia"/>
        </w:rPr>
        <w:t>。</w:t>
      </w:r>
    </w:p>
    <w:p w:rsidR="005C455F" w:rsidRPr="00B4080C" w:rsidRDefault="006E0C59">
      <w:pPr>
        <w:pStyle w:val="af9"/>
      </w:pPr>
      <w:r w:rsidRPr="00B4080C">
        <w:rPr>
          <w:rFonts w:hint="eastAsia"/>
        </w:rPr>
        <w:t>液体剂型规定</w:t>
      </w:r>
      <w:r w:rsidRPr="00B4080C">
        <w:rPr>
          <w:rFonts w:hint="eastAsia"/>
        </w:rPr>
        <w:t>pH</w:t>
      </w:r>
      <w:r w:rsidRPr="00B4080C">
        <w:rPr>
          <w:rFonts w:hint="eastAsia"/>
        </w:rPr>
        <w:t>指标，规定其范围为</w:t>
      </w:r>
      <w:r w:rsidRPr="00B4080C">
        <w:rPr>
          <w:rFonts w:hint="eastAsia"/>
        </w:rPr>
        <w:t>4.0~7.0</w:t>
      </w:r>
      <w:r w:rsidRPr="00B4080C">
        <w:rPr>
          <w:rFonts w:hint="eastAsia"/>
        </w:rPr>
        <w:t>。</w:t>
      </w:r>
    </w:p>
    <w:p w:rsidR="005C455F" w:rsidRPr="00B4080C" w:rsidRDefault="006E0C59">
      <w:pPr>
        <w:widowControl/>
        <w:tabs>
          <w:tab w:val="left" w:pos="360"/>
        </w:tabs>
        <w:jc w:val="center"/>
        <w:rPr>
          <w:rFonts w:ascii="黑体" w:eastAsia="黑体" w:hAnsi="Times New Roman"/>
          <w:kern w:val="0"/>
          <w:szCs w:val="20"/>
        </w:rPr>
      </w:pPr>
      <w:r w:rsidRPr="00B4080C">
        <w:rPr>
          <w:rFonts w:ascii="黑体" w:eastAsia="黑体" w:hAnsi="Times New Roman" w:hint="eastAsia"/>
          <w:kern w:val="0"/>
          <w:szCs w:val="20"/>
        </w:rPr>
        <w:lastRenderedPageBreak/>
        <w:t>表2 理化要求</w:t>
      </w:r>
    </w:p>
    <w:tbl>
      <w:tblPr>
        <w:tblW w:w="956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48"/>
        <w:gridCol w:w="2053"/>
        <w:gridCol w:w="3261"/>
      </w:tblGrid>
      <w:tr w:rsidR="005C455F" w:rsidRPr="00B4080C">
        <w:trPr>
          <w:cantSplit/>
          <w:trHeight w:val="280"/>
          <w:jc w:val="center"/>
        </w:trPr>
        <w:tc>
          <w:tcPr>
            <w:tcW w:w="4248" w:type="dxa"/>
            <w:tcBorders>
              <w:top w:val="single" w:sz="4" w:space="0" w:color="auto"/>
              <w:left w:val="single" w:sz="4" w:space="0" w:color="auto"/>
              <w:bottom w:val="single" w:sz="4" w:space="0" w:color="auto"/>
              <w:right w:val="single" w:sz="4" w:space="0" w:color="auto"/>
            </w:tcBorders>
          </w:tcPr>
          <w:p w:rsidR="005C455F" w:rsidRPr="00B4080C" w:rsidRDefault="006E0C59">
            <w:pPr>
              <w:widowControl/>
              <w:tabs>
                <w:tab w:val="center" w:pos="4201"/>
                <w:tab w:val="right" w:leader="dot" w:pos="9298"/>
              </w:tabs>
              <w:autoSpaceDE w:val="0"/>
              <w:autoSpaceDN w:val="0"/>
              <w:jc w:val="center"/>
              <w:rPr>
                <w:rFonts w:ascii="宋体" w:hAnsi="宋体"/>
                <w:sz w:val="18"/>
                <w:szCs w:val="24"/>
              </w:rPr>
            </w:pPr>
            <w:r w:rsidRPr="00B4080C">
              <w:rPr>
                <w:rFonts w:ascii="宋体" w:hAnsi="宋体"/>
                <w:sz w:val="18"/>
                <w:szCs w:val="24"/>
              </w:rPr>
              <w:t>项目</w:t>
            </w:r>
          </w:p>
        </w:tc>
        <w:tc>
          <w:tcPr>
            <w:tcW w:w="2053"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ind w:leftChars="-1" w:hangingChars="1" w:hanging="2"/>
              <w:jc w:val="center"/>
              <w:rPr>
                <w:rFonts w:ascii="宋体" w:hAnsi="宋体"/>
                <w:sz w:val="18"/>
                <w:szCs w:val="24"/>
              </w:rPr>
            </w:pPr>
            <w:r w:rsidRPr="00B4080C">
              <w:rPr>
                <w:rFonts w:ascii="宋体" w:hAnsi="宋体" w:hint="eastAsia"/>
                <w:sz w:val="18"/>
                <w:szCs w:val="24"/>
              </w:rPr>
              <w:t>固体剂型</w:t>
            </w:r>
          </w:p>
        </w:tc>
        <w:tc>
          <w:tcPr>
            <w:tcW w:w="3261"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jc w:val="center"/>
              <w:rPr>
                <w:rFonts w:ascii="宋体" w:hAnsi="宋体"/>
                <w:sz w:val="18"/>
                <w:szCs w:val="24"/>
              </w:rPr>
            </w:pPr>
            <w:r w:rsidRPr="00B4080C">
              <w:rPr>
                <w:rFonts w:ascii="宋体" w:hAnsi="宋体" w:hint="eastAsia"/>
                <w:sz w:val="18"/>
                <w:szCs w:val="24"/>
              </w:rPr>
              <w:t>液体剂型</w:t>
            </w:r>
          </w:p>
        </w:tc>
      </w:tr>
      <w:tr w:rsidR="005C455F" w:rsidRPr="00B4080C">
        <w:trPr>
          <w:cantSplit/>
          <w:trHeight w:val="280"/>
          <w:jc w:val="center"/>
        </w:trPr>
        <w:tc>
          <w:tcPr>
            <w:tcW w:w="4248" w:type="dxa"/>
            <w:tcBorders>
              <w:top w:val="single" w:sz="4" w:space="0" w:color="auto"/>
              <w:left w:val="single" w:sz="4" w:space="0" w:color="auto"/>
              <w:bottom w:val="single" w:sz="4" w:space="0" w:color="auto"/>
              <w:right w:val="single" w:sz="4" w:space="0" w:color="auto"/>
            </w:tcBorders>
          </w:tcPr>
          <w:p w:rsidR="005C455F" w:rsidRPr="00B4080C" w:rsidRDefault="006E0C59">
            <w:pPr>
              <w:widowControl/>
              <w:tabs>
                <w:tab w:val="center" w:pos="4201"/>
                <w:tab w:val="right" w:leader="dot" w:pos="9298"/>
              </w:tabs>
              <w:autoSpaceDE w:val="0"/>
              <w:autoSpaceDN w:val="0"/>
              <w:jc w:val="center"/>
              <w:rPr>
                <w:rFonts w:ascii="宋体" w:hAnsi="宋体"/>
                <w:sz w:val="18"/>
                <w:szCs w:val="24"/>
              </w:rPr>
            </w:pPr>
            <w:r w:rsidRPr="00B4080C">
              <w:rPr>
                <w:rFonts w:ascii="宋体" w:hAnsi="宋体" w:hint="eastAsia"/>
                <w:sz w:val="18"/>
                <w:szCs w:val="24"/>
              </w:rPr>
              <w:t>葡萄糖氧化</w:t>
            </w:r>
            <w:r w:rsidRPr="00B4080C">
              <w:rPr>
                <w:rFonts w:ascii="宋体" w:hAnsi="宋体"/>
                <w:sz w:val="18"/>
                <w:szCs w:val="24"/>
              </w:rPr>
              <w:t>酶活力</w:t>
            </w:r>
            <w:r w:rsidRPr="00B4080C">
              <w:rPr>
                <w:rFonts w:ascii="宋体" w:hAnsi="宋体" w:hint="eastAsia"/>
                <w:sz w:val="18"/>
                <w:szCs w:val="24"/>
                <w:vertAlign w:val="superscript"/>
              </w:rPr>
              <w:t>a</w:t>
            </w:r>
            <w:r w:rsidRPr="00B4080C">
              <w:rPr>
                <w:rFonts w:ascii="宋体" w:hAnsi="宋体" w:hint="eastAsia"/>
                <w:sz w:val="18"/>
                <w:szCs w:val="24"/>
              </w:rPr>
              <w:t>/</w:t>
            </w:r>
            <w:r w:rsidRPr="00B4080C">
              <w:rPr>
                <w:rFonts w:ascii="宋体" w:hAnsi="Times New Roman"/>
                <w:kern w:val="0"/>
                <w:szCs w:val="20"/>
              </w:rPr>
              <w:t xml:space="preserve"> </w:t>
            </w:r>
            <w:r w:rsidRPr="00B4080C">
              <w:rPr>
                <w:rFonts w:ascii="宋体" w:hAnsi="宋体"/>
                <w:sz w:val="18"/>
                <w:szCs w:val="24"/>
              </w:rPr>
              <w:t>[</w:t>
            </w:r>
            <w:r w:rsidRPr="00B4080C">
              <w:rPr>
                <w:rFonts w:ascii="宋体" w:hAnsi="宋体" w:hint="eastAsia"/>
                <w:sz w:val="18"/>
                <w:szCs w:val="24"/>
              </w:rPr>
              <w:t>U/</w:t>
            </w:r>
            <w:r w:rsidRPr="00B4080C">
              <w:rPr>
                <w:rFonts w:ascii="宋体" w:hAnsi="宋体"/>
                <w:sz w:val="18"/>
                <w:szCs w:val="24"/>
              </w:rPr>
              <w:t>g</w:t>
            </w:r>
            <w:r w:rsidRPr="00B4080C">
              <w:rPr>
                <w:rFonts w:ascii="宋体" w:hAnsi="宋体" w:hint="eastAsia"/>
                <w:sz w:val="18"/>
                <w:szCs w:val="24"/>
              </w:rPr>
              <w:t>（或U/</w:t>
            </w:r>
            <w:r w:rsidRPr="00B4080C">
              <w:rPr>
                <w:rFonts w:ascii="宋体" w:hAnsi="宋体"/>
                <w:sz w:val="18"/>
                <w:szCs w:val="24"/>
              </w:rPr>
              <w:t>mL</w:t>
            </w:r>
            <w:r w:rsidRPr="00B4080C">
              <w:rPr>
                <w:rFonts w:ascii="宋体" w:hAnsi="宋体" w:hint="eastAsia"/>
                <w:sz w:val="18"/>
                <w:szCs w:val="24"/>
              </w:rPr>
              <w:t>）</w:t>
            </w:r>
            <w:r w:rsidRPr="00B4080C">
              <w:rPr>
                <w:rFonts w:ascii="宋体" w:hAnsi="宋体"/>
                <w:sz w:val="18"/>
                <w:szCs w:val="24"/>
              </w:rPr>
              <w:t>]</w:t>
            </w:r>
            <w:r w:rsidRPr="00B4080C">
              <w:rPr>
                <w:rFonts w:ascii="宋体" w:hAnsi="宋体" w:hint="eastAsia"/>
                <w:sz w:val="18"/>
                <w:szCs w:val="24"/>
              </w:rPr>
              <w:t xml:space="preserve">     </w:t>
            </w:r>
            <w:r w:rsidRPr="00B4080C">
              <w:rPr>
                <w:rFonts w:ascii="宋体" w:hAnsi="宋体"/>
                <w:sz w:val="18"/>
                <w:szCs w:val="24"/>
              </w:rPr>
              <w:t xml:space="preserve">   </w:t>
            </w:r>
            <w:r w:rsidRPr="00B4080C">
              <w:rPr>
                <w:rFonts w:ascii="宋体" w:hAnsi="宋体" w:hint="eastAsia"/>
                <w:sz w:val="18"/>
                <w:szCs w:val="24"/>
              </w:rPr>
              <w:t>≥</w:t>
            </w:r>
          </w:p>
        </w:tc>
        <w:tc>
          <w:tcPr>
            <w:tcW w:w="2053"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ind w:leftChars="-1" w:hangingChars="1" w:hanging="2"/>
              <w:jc w:val="center"/>
              <w:rPr>
                <w:rFonts w:ascii="宋体" w:eastAsia="宋体" w:hAnsi="宋体"/>
                <w:sz w:val="18"/>
                <w:szCs w:val="24"/>
              </w:rPr>
            </w:pPr>
            <w:r w:rsidRPr="00B4080C">
              <w:rPr>
                <w:rFonts w:ascii="宋体" w:hAnsi="宋体" w:hint="eastAsia"/>
                <w:sz w:val="18"/>
                <w:szCs w:val="24"/>
              </w:rPr>
              <w:t>2000</w:t>
            </w:r>
          </w:p>
        </w:tc>
        <w:tc>
          <w:tcPr>
            <w:tcW w:w="3261"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jc w:val="center"/>
              <w:rPr>
                <w:rFonts w:ascii="宋体" w:eastAsia="宋体" w:hAnsi="宋体"/>
                <w:sz w:val="18"/>
                <w:szCs w:val="24"/>
              </w:rPr>
            </w:pPr>
            <w:r w:rsidRPr="00B4080C">
              <w:rPr>
                <w:rFonts w:ascii="宋体" w:hAnsi="宋体" w:hint="eastAsia"/>
                <w:sz w:val="18"/>
                <w:szCs w:val="24"/>
              </w:rPr>
              <w:t>1000</w:t>
            </w:r>
          </w:p>
        </w:tc>
      </w:tr>
      <w:tr w:rsidR="005C455F" w:rsidRPr="00B4080C">
        <w:trPr>
          <w:cantSplit/>
          <w:trHeight w:val="333"/>
          <w:jc w:val="center"/>
        </w:trPr>
        <w:tc>
          <w:tcPr>
            <w:tcW w:w="4248"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rPr>
                <w:rFonts w:ascii="宋体" w:hAnsi="宋体"/>
                <w:sz w:val="18"/>
                <w:szCs w:val="24"/>
              </w:rPr>
            </w:pPr>
            <w:r w:rsidRPr="00B4080C">
              <w:rPr>
                <w:rFonts w:ascii="宋体" w:hAnsi="宋体" w:hint="eastAsia"/>
                <w:sz w:val="18"/>
                <w:szCs w:val="24"/>
              </w:rPr>
              <w:t xml:space="preserve">干燥失重/%                             </w:t>
            </w:r>
            <w:r w:rsidRPr="00B4080C">
              <w:rPr>
                <w:rFonts w:ascii="宋体" w:hAnsi="宋体"/>
                <w:sz w:val="18"/>
                <w:szCs w:val="24"/>
              </w:rPr>
              <w:t xml:space="preserve"> </w:t>
            </w:r>
            <w:r w:rsidRPr="00B4080C">
              <w:rPr>
                <w:rFonts w:ascii="宋体" w:hAnsi="宋体" w:hint="eastAsia"/>
                <w:sz w:val="18"/>
                <w:szCs w:val="24"/>
              </w:rPr>
              <w:t xml:space="preserve"> </w:t>
            </w:r>
            <w:r w:rsidRPr="00B4080C">
              <w:rPr>
                <w:rFonts w:ascii="宋体" w:hAnsi="宋体"/>
                <w:sz w:val="18"/>
                <w:szCs w:val="24"/>
              </w:rPr>
              <w:t xml:space="preserve"> ≤</w:t>
            </w:r>
          </w:p>
        </w:tc>
        <w:tc>
          <w:tcPr>
            <w:tcW w:w="2053"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jc w:val="center"/>
              <w:rPr>
                <w:rFonts w:ascii="宋体" w:hAnsi="宋体"/>
                <w:sz w:val="18"/>
                <w:szCs w:val="24"/>
              </w:rPr>
            </w:pPr>
            <w:r w:rsidRPr="00B4080C">
              <w:rPr>
                <w:rFonts w:ascii="宋体" w:hAnsi="宋体" w:hint="eastAsia"/>
                <w:sz w:val="18"/>
                <w:szCs w:val="24"/>
              </w:rPr>
              <w:t>10</w:t>
            </w:r>
          </w:p>
        </w:tc>
        <w:tc>
          <w:tcPr>
            <w:tcW w:w="3261"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jc w:val="center"/>
              <w:rPr>
                <w:rFonts w:ascii="宋体" w:hAnsi="宋体"/>
                <w:sz w:val="18"/>
                <w:szCs w:val="24"/>
              </w:rPr>
            </w:pPr>
            <w:r w:rsidRPr="00B4080C">
              <w:rPr>
                <w:rFonts w:ascii="宋体" w:hAnsi="宋体" w:hint="eastAsia"/>
                <w:sz w:val="18"/>
                <w:szCs w:val="24"/>
              </w:rPr>
              <w:t>—</w:t>
            </w:r>
          </w:p>
        </w:tc>
      </w:tr>
      <w:tr w:rsidR="005C455F" w:rsidRPr="00B4080C">
        <w:trPr>
          <w:cantSplit/>
          <w:trHeight w:val="333"/>
          <w:jc w:val="center"/>
        </w:trPr>
        <w:tc>
          <w:tcPr>
            <w:tcW w:w="4248"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rPr>
                <w:rFonts w:ascii="宋体" w:eastAsia="宋体" w:hAnsi="宋体"/>
                <w:sz w:val="18"/>
                <w:szCs w:val="24"/>
              </w:rPr>
            </w:pPr>
            <w:r w:rsidRPr="00B4080C">
              <w:rPr>
                <w:rFonts w:ascii="宋体" w:hAnsi="宋体" w:hint="eastAsia"/>
                <w:sz w:val="18"/>
                <w:szCs w:val="24"/>
              </w:rPr>
              <w:t>pH</w:t>
            </w:r>
          </w:p>
        </w:tc>
        <w:tc>
          <w:tcPr>
            <w:tcW w:w="2053"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jc w:val="center"/>
              <w:rPr>
                <w:rFonts w:ascii="宋体" w:hAnsi="宋体"/>
                <w:sz w:val="18"/>
                <w:szCs w:val="24"/>
              </w:rPr>
            </w:pPr>
            <w:r w:rsidRPr="00B4080C">
              <w:rPr>
                <w:rFonts w:ascii="宋体" w:hAnsi="宋体" w:hint="eastAsia"/>
                <w:sz w:val="18"/>
                <w:szCs w:val="24"/>
              </w:rPr>
              <w:t>—</w:t>
            </w:r>
          </w:p>
        </w:tc>
        <w:tc>
          <w:tcPr>
            <w:tcW w:w="3261" w:type="dxa"/>
            <w:tcBorders>
              <w:top w:val="single" w:sz="4" w:space="0" w:color="auto"/>
              <w:left w:val="single" w:sz="4" w:space="0" w:color="auto"/>
              <w:bottom w:val="single" w:sz="4" w:space="0" w:color="auto"/>
              <w:right w:val="single" w:sz="4" w:space="0" w:color="auto"/>
            </w:tcBorders>
            <w:vAlign w:val="center"/>
          </w:tcPr>
          <w:p w:rsidR="005C455F" w:rsidRPr="00B4080C" w:rsidRDefault="006E0C59">
            <w:pPr>
              <w:widowControl/>
              <w:tabs>
                <w:tab w:val="center" w:pos="4201"/>
                <w:tab w:val="right" w:leader="dot" w:pos="9298"/>
              </w:tabs>
              <w:autoSpaceDE w:val="0"/>
              <w:autoSpaceDN w:val="0"/>
              <w:jc w:val="center"/>
              <w:rPr>
                <w:rFonts w:ascii="宋体" w:hAnsi="宋体"/>
                <w:sz w:val="18"/>
                <w:szCs w:val="24"/>
              </w:rPr>
            </w:pPr>
            <w:r w:rsidRPr="00B4080C">
              <w:rPr>
                <w:rFonts w:ascii="宋体" w:hAnsi="宋体" w:hint="eastAsia"/>
                <w:sz w:val="18"/>
                <w:szCs w:val="18"/>
              </w:rPr>
              <w:t>4.0~7.0</w:t>
            </w:r>
          </w:p>
        </w:tc>
      </w:tr>
      <w:tr w:rsidR="005C455F" w:rsidRPr="00B4080C">
        <w:trPr>
          <w:cantSplit/>
          <w:trHeight w:val="280"/>
          <w:jc w:val="center"/>
        </w:trPr>
        <w:tc>
          <w:tcPr>
            <w:tcW w:w="9562" w:type="dxa"/>
            <w:gridSpan w:val="3"/>
            <w:tcBorders>
              <w:top w:val="single" w:sz="4" w:space="0" w:color="auto"/>
              <w:left w:val="single" w:sz="4" w:space="0" w:color="auto"/>
              <w:bottom w:val="single" w:sz="4" w:space="0" w:color="auto"/>
              <w:right w:val="single" w:sz="4" w:space="0" w:color="auto"/>
            </w:tcBorders>
            <w:vAlign w:val="center"/>
          </w:tcPr>
          <w:p w:rsidR="005C455F" w:rsidRPr="00B4080C" w:rsidRDefault="006E0C59">
            <w:pPr>
              <w:autoSpaceDE w:val="0"/>
              <w:autoSpaceDN w:val="0"/>
              <w:ind w:left="363"/>
              <w:rPr>
                <w:rFonts w:ascii="宋体" w:hAnsi="Times New Roman"/>
                <w:sz w:val="18"/>
                <w:szCs w:val="18"/>
              </w:rPr>
            </w:pPr>
            <w:r w:rsidRPr="00B4080C">
              <w:rPr>
                <w:rFonts w:ascii="宋体" w:hAnsi="Times New Roman" w:hint="eastAsia"/>
                <w:sz w:val="18"/>
                <w:szCs w:val="18"/>
              </w:rPr>
              <w:t>a 如有特殊要求，可按供需双方合同规定的酶活力规格执行。</w:t>
            </w:r>
          </w:p>
        </w:tc>
      </w:tr>
    </w:tbl>
    <w:p w:rsidR="005C455F" w:rsidRPr="00B4080C" w:rsidRDefault="006E0C59">
      <w:pPr>
        <w:pStyle w:val="af9"/>
        <w:ind w:firstLineChars="0" w:firstLine="0"/>
      </w:pPr>
      <w:r w:rsidRPr="00B4080C">
        <w:rPr>
          <w:rFonts w:hint="eastAsia"/>
        </w:rPr>
        <w:t>（</w:t>
      </w:r>
      <w:r w:rsidRPr="00B4080C">
        <w:rPr>
          <w:rFonts w:hint="eastAsia"/>
        </w:rPr>
        <w:t>3</w:t>
      </w:r>
      <w:r w:rsidRPr="00B4080C">
        <w:rPr>
          <w:rFonts w:hint="eastAsia"/>
        </w:rPr>
        <w:t>）安全要求</w:t>
      </w:r>
    </w:p>
    <w:p w:rsidR="005C455F" w:rsidRPr="00B4080C" w:rsidRDefault="006E0C59">
      <w:pPr>
        <w:pStyle w:val="af9"/>
      </w:pPr>
      <w:r w:rsidRPr="00B4080C">
        <w:t>各领域</w:t>
      </w:r>
      <w:r w:rsidRPr="00B4080C">
        <w:rPr>
          <w:rFonts w:hint="eastAsia"/>
        </w:rPr>
        <w:t>均</w:t>
      </w:r>
      <w:r w:rsidRPr="00B4080C">
        <w:t>需符合</w:t>
      </w:r>
      <w:r w:rsidRPr="00B4080C">
        <w:rPr>
          <w:rFonts w:hint="eastAsia"/>
        </w:rPr>
        <w:t>相关</w:t>
      </w:r>
      <w:r w:rsidRPr="00B4080C">
        <w:t>的安全规定。</w:t>
      </w:r>
      <w:r w:rsidRPr="00B4080C">
        <w:rPr>
          <w:rFonts w:ascii="宋体" w:eastAsia="宋体" w:hAnsi="宋体" w:cs="宋体" w:hint="eastAsia"/>
          <w:color w:val="000000"/>
        </w:rPr>
        <w:t xml:space="preserve">食品工业用酶制剂应符合 </w:t>
      </w:r>
      <w:r w:rsidRPr="00B4080C">
        <w:rPr>
          <w:rFonts w:eastAsia="宋体"/>
          <w:color w:val="000000"/>
        </w:rPr>
        <w:t xml:space="preserve">GB 1886.174 </w:t>
      </w:r>
      <w:r w:rsidRPr="00B4080C">
        <w:rPr>
          <w:rFonts w:ascii="宋体" w:eastAsia="宋体" w:hAnsi="宋体" w:cs="宋体" w:hint="eastAsia"/>
          <w:color w:val="000000"/>
        </w:rPr>
        <w:t>规定，其它工业用应符合相关要求的规定</w:t>
      </w:r>
      <w:r w:rsidRPr="00B4080C">
        <w:t>。</w:t>
      </w:r>
    </w:p>
    <w:p w:rsidR="005C455F" w:rsidRPr="00B4080C" w:rsidRDefault="006E0C59">
      <w:pPr>
        <w:pStyle w:val="af9"/>
        <w:numPr>
          <w:ilvl w:val="0"/>
          <w:numId w:val="6"/>
        </w:numPr>
        <w:ind w:firstLineChars="0"/>
      </w:pPr>
      <w:r w:rsidRPr="00B4080C">
        <w:rPr>
          <w:rFonts w:hint="eastAsia"/>
        </w:rPr>
        <w:t>试验方法</w:t>
      </w:r>
    </w:p>
    <w:p w:rsidR="005C455F" w:rsidRPr="00B4080C" w:rsidRDefault="006E0C59">
      <w:pPr>
        <w:pStyle w:val="af9"/>
        <w:numPr>
          <w:ilvl w:val="0"/>
          <w:numId w:val="7"/>
        </w:numPr>
        <w:ind w:firstLineChars="0"/>
      </w:pPr>
      <w:r w:rsidRPr="00B4080C">
        <w:t>感官</w:t>
      </w:r>
      <w:r w:rsidRPr="00B4080C">
        <w:t xml:space="preserve"> </w:t>
      </w:r>
    </w:p>
    <w:p w:rsidR="005C455F" w:rsidRPr="00B4080C" w:rsidRDefault="006E0C59">
      <w:pPr>
        <w:pStyle w:val="af9"/>
      </w:pPr>
      <w:r w:rsidRPr="00B4080C">
        <w:rPr>
          <w:rFonts w:hint="eastAsia"/>
        </w:rPr>
        <w:t>根据实验室感官评价实际操作过程，规范细化操作“</w:t>
      </w:r>
      <w:bookmarkStart w:id="0" w:name="_Hlk123817849"/>
      <w:r w:rsidRPr="00B4080C">
        <w:t>取适量试样置于洁净的白色盘（</w:t>
      </w:r>
      <w:r w:rsidRPr="00B4080C">
        <w:rPr>
          <w:rFonts w:hint="eastAsia"/>
        </w:rPr>
        <w:t>瓷盘</w:t>
      </w:r>
      <w:r w:rsidRPr="00B4080C">
        <w:t>或同类容器）中，在自然光状态下，观察其色泽、状态，闻其气味。</w:t>
      </w:r>
      <w:bookmarkEnd w:id="0"/>
      <w:r w:rsidRPr="00B4080C">
        <w:t xml:space="preserve">” </w:t>
      </w:r>
      <w:r w:rsidRPr="00B4080C">
        <w:rPr>
          <w:rFonts w:hint="eastAsia"/>
        </w:rPr>
        <w:t>。</w:t>
      </w:r>
    </w:p>
    <w:p w:rsidR="005C455F" w:rsidRPr="00B4080C" w:rsidRDefault="006E0C59">
      <w:pPr>
        <w:pStyle w:val="af9"/>
        <w:numPr>
          <w:ilvl w:val="0"/>
          <w:numId w:val="7"/>
        </w:numPr>
        <w:ind w:firstLineChars="0"/>
      </w:pPr>
      <w:r w:rsidRPr="00B4080C">
        <w:t>酶活力</w:t>
      </w:r>
      <w:r w:rsidRPr="00B4080C">
        <w:t xml:space="preserve"> </w:t>
      </w:r>
    </w:p>
    <w:p w:rsidR="005C455F" w:rsidRPr="00B4080C" w:rsidRDefault="006E0C59">
      <w:pPr>
        <w:pStyle w:val="af9"/>
      </w:pPr>
      <w:r w:rsidRPr="00B4080C">
        <w:rPr>
          <w:rFonts w:hint="eastAsia"/>
        </w:rPr>
        <w:t>通过“企业标准信息公共服务平台”及文献查询，目前测定葡萄糖氧化酶的方法主要为滴定法和分光光度法，本标准为分光光度法。</w:t>
      </w:r>
    </w:p>
    <w:p w:rsidR="005C455F" w:rsidRPr="00B4080C" w:rsidRDefault="006E0C59">
      <w:pPr>
        <w:pStyle w:val="af9"/>
      </w:pPr>
      <w:r w:rsidRPr="00B4080C">
        <w:rPr>
          <w:rFonts w:hint="eastAsia"/>
        </w:rPr>
        <w:t>滴定法的原理是以过量的氢氧化钠溶液终止葡萄糖氧化酶酶促反应并中和生成的葡萄糖酸（由生成的葡萄糖酸</w:t>
      </w:r>
      <w:r w:rsidRPr="00B4080C">
        <w:rPr>
          <w:rFonts w:hint="eastAsia"/>
        </w:rPr>
        <w:t>-</w:t>
      </w:r>
      <w:r w:rsidRPr="00B4080C">
        <w:rPr>
          <w:rFonts w:hint="eastAsia"/>
        </w:rPr>
        <w:t>δ</w:t>
      </w:r>
      <w:r w:rsidRPr="00B4080C">
        <w:rPr>
          <w:rFonts w:hint="eastAsia"/>
        </w:rPr>
        <w:t>-</w:t>
      </w:r>
      <w:r w:rsidRPr="00B4080C">
        <w:rPr>
          <w:rFonts w:hint="eastAsia"/>
        </w:rPr>
        <w:t>内酯自发水解形成），再以标准盐酸溶液反滴，计算得到生成的葡萄糖酸的量，从而推算出葡萄糖氧化酶的活力。此方法虽然简便易行，成本较低，但也存在着测量精度低，工作量较大（需要进行繁复的移液、滴定操作），样品溶液需要量大，不同稀释倍数酶活力计算结果相差大的缺点。</w:t>
      </w:r>
    </w:p>
    <w:p w:rsidR="005C455F" w:rsidRPr="00B4080C" w:rsidRDefault="006E0C59">
      <w:pPr>
        <w:pStyle w:val="af9"/>
      </w:pPr>
      <w:r w:rsidRPr="00B4080C">
        <w:rPr>
          <w:rFonts w:hint="eastAsia"/>
        </w:rPr>
        <w:t>本标准选用操作更为方便、测定效率更高的分光光度法，原理是</w:t>
      </w:r>
      <w:r w:rsidRPr="00B4080C">
        <w:t>在葡萄糖氧化酶的作用下，葡萄糖和氧反应，生成葡萄糖酸和过氧化氢，过氧化氢和</w:t>
      </w:r>
      <w:r w:rsidRPr="00B4080C">
        <w:rPr>
          <w:rFonts w:hint="eastAsia"/>
        </w:rPr>
        <w:t>显色物质发生化学反应，通过分光光度计测定产物的吸光度值，间接计算酶活力。</w:t>
      </w:r>
    </w:p>
    <w:p w:rsidR="005C455F" w:rsidRPr="00B4080C" w:rsidRDefault="006E0C59">
      <w:pPr>
        <w:pStyle w:val="af9"/>
      </w:pPr>
      <w:r w:rsidRPr="00B4080C">
        <w:rPr>
          <w:rFonts w:hint="eastAsia"/>
        </w:rPr>
        <w:t>在方法的确立过程中试验了两种显色剂，</w:t>
      </w:r>
      <w:proofErr w:type="gramStart"/>
      <w:r w:rsidRPr="00B4080C">
        <w:t>邻联茴香</w:t>
      </w:r>
      <w:proofErr w:type="gramEnd"/>
      <w:r w:rsidRPr="00B4080C">
        <w:t>胺</w:t>
      </w:r>
      <w:r w:rsidRPr="00B4080C">
        <w:rPr>
          <w:rFonts w:hint="eastAsia"/>
        </w:rPr>
        <w:t>和</w:t>
      </w:r>
      <w:r w:rsidRPr="00B4080C">
        <w:rPr>
          <w:rFonts w:hint="eastAsia"/>
        </w:rPr>
        <w:t>4-</w:t>
      </w:r>
      <w:r w:rsidRPr="00B4080C">
        <w:rPr>
          <w:rFonts w:hint="eastAsia"/>
        </w:rPr>
        <w:t>氨基安替</w:t>
      </w:r>
      <w:proofErr w:type="gramStart"/>
      <w:r w:rsidRPr="00B4080C">
        <w:rPr>
          <w:rFonts w:hint="eastAsia"/>
        </w:rPr>
        <w:t>吡啉</w:t>
      </w:r>
      <w:proofErr w:type="gramEnd"/>
      <w:r w:rsidRPr="00B4080C">
        <w:rPr>
          <w:rFonts w:hint="eastAsia"/>
        </w:rPr>
        <w:t>。</w:t>
      </w:r>
      <w:proofErr w:type="gramStart"/>
      <w:r w:rsidRPr="00B4080C">
        <w:rPr>
          <w:rFonts w:hint="eastAsia"/>
        </w:rPr>
        <w:t>邻联茴香</w:t>
      </w:r>
      <w:proofErr w:type="gramEnd"/>
      <w:r w:rsidRPr="00B4080C">
        <w:rPr>
          <w:rFonts w:hint="eastAsia"/>
        </w:rPr>
        <w:t>胺的测定原理为过氧化氢和</w:t>
      </w:r>
      <w:r w:rsidRPr="00B4080C">
        <w:t>无色的还原型</w:t>
      </w:r>
      <w:proofErr w:type="gramStart"/>
      <w:r w:rsidRPr="00B4080C">
        <w:t>邻联茴香胺在</w:t>
      </w:r>
      <w:proofErr w:type="gramEnd"/>
      <w:r w:rsidRPr="00B4080C">
        <w:t>过氧化物酶的作用下，生成水和红色的氧化</w:t>
      </w:r>
      <w:proofErr w:type="gramStart"/>
      <w:r w:rsidRPr="00B4080C">
        <w:t>型邻联</w:t>
      </w:r>
      <w:proofErr w:type="gramEnd"/>
      <w:r w:rsidRPr="00B4080C">
        <w:t>茴香胺</w:t>
      </w:r>
      <w:r w:rsidRPr="00B4080C">
        <w:rPr>
          <w:rFonts w:hint="eastAsia"/>
        </w:rPr>
        <w:t>，在</w:t>
      </w:r>
      <w:r w:rsidRPr="00B4080C">
        <w:rPr>
          <w:rFonts w:hint="eastAsia"/>
        </w:rPr>
        <w:t>540nm</w:t>
      </w:r>
      <w:r w:rsidRPr="00B4080C">
        <w:rPr>
          <w:rFonts w:hint="eastAsia"/>
        </w:rPr>
        <w:t>下测定吸光度值，吸光度值与过氧化氢生成量成线性，由此计算葡萄糖氧化酶活力。</w:t>
      </w:r>
      <w:r w:rsidRPr="00B4080C">
        <w:rPr>
          <w:rFonts w:hint="eastAsia"/>
        </w:rPr>
        <w:t>4-</w:t>
      </w:r>
      <w:r w:rsidRPr="00B4080C">
        <w:rPr>
          <w:rFonts w:hint="eastAsia"/>
        </w:rPr>
        <w:t>氨基安替</w:t>
      </w:r>
      <w:proofErr w:type="gramStart"/>
      <w:r w:rsidRPr="00B4080C">
        <w:rPr>
          <w:rFonts w:hint="eastAsia"/>
        </w:rPr>
        <w:t>吡啉</w:t>
      </w:r>
      <w:proofErr w:type="gramEnd"/>
      <w:r w:rsidRPr="00B4080C">
        <w:rPr>
          <w:rFonts w:hint="eastAsia"/>
        </w:rPr>
        <w:t>的测定原理为过氧化氢与还原型</w:t>
      </w:r>
      <w:r w:rsidRPr="00B4080C">
        <w:rPr>
          <w:rFonts w:hint="eastAsia"/>
        </w:rPr>
        <w:t>4-</w:t>
      </w:r>
      <w:r w:rsidRPr="00B4080C">
        <w:rPr>
          <w:rFonts w:hint="eastAsia"/>
        </w:rPr>
        <w:t>氨基安替</w:t>
      </w:r>
      <w:proofErr w:type="gramStart"/>
      <w:r w:rsidRPr="00B4080C">
        <w:rPr>
          <w:rFonts w:hint="eastAsia"/>
        </w:rPr>
        <w:t>吡啉</w:t>
      </w:r>
      <w:proofErr w:type="gramEnd"/>
      <w:r w:rsidRPr="00B4080C">
        <w:rPr>
          <w:rFonts w:hint="eastAsia"/>
        </w:rPr>
        <w:t>和苯酚在过氧化物酶的催化作用下，生成红色的</w:t>
      </w:r>
      <w:proofErr w:type="gramStart"/>
      <w:r w:rsidRPr="00B4080C">
        <w:rPr>
          <w:rFonts w:hint="eastAsia"/>
        </w:rPr>
        <w:t>醌</w:t>
      </w:r>
      <w:proofErr w:type="gramEnd"/>
      <w:r w:rsidRPr="00B4080C">
        <w:rPr>
          <w:rFonts w:hint="eastAsia"/>
        </w:rPr>
        <w:t>亚胺，在</w:t>
      </w:r>
      <w:r w:rsidRPr="00B4080C">
        <w:rPr>
          <w:rFonts w:hint="eastAsia"/>
        </w:rPr>
        <w:t>500nm</w:t>
      </w:r>
      <w:r w:rsidRPr="00B4080C">
        <w:rPr>
          <w:rFonts w:hint="eastAsia"/>
        </w:rPr>
        <w:t>下有最大的光吸收。经试验验证，</w:t>
      </w:r>
      <w:proofErr w:type="gramStart"/>
      <w:r w:rsidRPr="00B4080C">
        <w:rPr>
          <w:rFonts w:hint="eastAsia"/>
        </w:rPr>
        <w:t>邻联茴香胺</w:t>
      </w:r>
      <w:proofErr w:type="gramEnd"/>
      <w:r w:rsidRPr="00B4080C">
        <w:rPr>
          <w:rFonts w:hint="eastAsia"/>
        </w:rPr>
        <w:t>作</w:t>
      </w:r>
      <w:r w:rsidRPr="00B4080C">
        <w:rPr>
          <w:rFonts w:hint="eastAsia"/>
        </w:rPr>
        <w:lastRenderedPageBreak/>
        <w:t>为显色剂所测定的葡萄糖氧化酶活力值更高，实验室间比对稳定性好，最终确定以</w:t>
      </w:r>
      <w:proofErr w:type="gramStart"/>
      <w:r w:rsidRPr="00B4080C">
        <w:rPr>
          <w:rFonts w:hint="eastAsia"/>
        </w:rPr>
        <w:t>邻联茴香胺法</w:t>
      </w:r>
      <w:proofErr w:type="gramEnd"/>
      <w:r w:rsidRPr="00B4080C">
        <w:rPr>
          <w:rFonts w:hint="eastAsia"/>
        </w:rPr>
        <w:t>作为本标准的酶活力测定方法。</w:t>
      </w:r>
    </w:p>
    <w:p w:rsidR="005C455F" w:rsidRPr="00B4080C" w:rsidRDefault="006E0C59">
      <w:pPr>
        <w:pStyle w:val="af9"/>
      </w:pPr>
      <w:r w:rsidRPr="00B4080C">
        <w:rPr>
          <w:rFonts w:hint="eastAsia"/>
        </w:rPr>
        <w:t>对于分光光度法，有两种方式对产物进行定量，动力学法和终止法。动力学法通常将其酶促反应直接在分光光度计的比色杯中进行，直接读取产物的吸光度值变化情况，在酶活力结果计算公式中引入产物的消光系数来计算酶活力，该方法的优势是直接测定酶促反应的初速度，并且可以直观的观察到吸光度值的变化量，酶活力测定效率高、准确性高。但是对分光光度计的要求比较高，首先为保证准确的</w:t>
      </w:r>
      <w:proofErr w:type="gramStart"/>
      <w:r w:rsidRPr="00B4080C">
        <w:rPr>
          <w:rFonts w:hint="eastAsia"/>
        </w:rPr>
        <w:t>酶反应</w:t>
      </w:r>
      <w:proofErr w:type="gramEnd"/>
      <w:r w:rsidRPr="00B4080C">
        <w:rPr>
          <w:rFonts w:hint="eastAsia"/>
        </w:rPr>
        <w:t>温度，需要有控温功能；其次因为直接引入消光系数，对分光光度计的精度和准确性要求较高，因此在企业推广中存在受限因素。终止法使用</w:t>
      </w:r>
      <w:r w:rsidRPr="00B4080C">
        <w:rPr>
          <w:rFonts w:hint="eastAsia"/>
        </w:rPr>
        <w:t>10%</w:t>
      </w:r>
      <w:r w:rsidRPr="00B4080C">
        <w:rPr>
          <w:rFonts w:hint="eastAsia"/>
        </w:rPr>
        <w:t>硫酸作为终止液，以过氧化氢作为标准物质，间接计算产物</w:t>
      </w:r>
      <w:r w:rsidRPr="00B4080C">
        <w:t>氧化</w:t>
      </w:r>
      <w:proofErr w:type="gramStart"/>
      <w:r w:rsidRPr="00B4080C">
        <w:t>型邻联</w:t>
      </w:r>
      <w:proofErr w:type="gramEnd"/>
      <w:r w:rsidRPr="00B4080C">
        <w:t>茴香胺</w:t>
      </w:r>
      <w:r w:rsidRPr="00B4080C">
        <w:rPr>
          <w:rFonts w:hint="eastAsia"/>
        </w:rPr>
        <w:t>的量，该方法操作更为方便，不同实验室间测定结果一致性好。由于过氧化氢在存放过程中容易分解，因此需要前</w:t>
      </w:r>
      <w:proofErr w:type="gramStart"/>
      <w:r w:rsidRPr="00B4080C">
        <w:rPr>
          <w:rFonts w:hint="eastAsia"/>
        </w:rPr>
        <w:t>临用现配</w:t>
      </w:r>
      <w:proofErr w:type="gramEnd"/>
      <w:r w:rsidRPr="00B4080C">
        <w:rPr>
          <w:rFonts w:hint="eastAsia"/>
        </w:rPr>
        <w:t>，并进行标定，标定方法参考</w:t>
      </w:r>
      <w:r w:rsidRPr="00B4080C">
        <w:rPr>
          <w:rFonts w:hint="eastAsia"/>
        </w:rPr>
        <w:t>GB 22216-2020</w:t>
      </w:r>
      <w:r w:rsidRPr="00B4080C">
        <w:rPr>
          <w:rFonts w:hint="eastAsia"/>
        </w:rPr>
        <w:t>。考虑到生产及应用企业的可操作性，本标准最终确定为终止法。</w:t>
      </w:r>
    </w:p>
    <w:p w:rsidR="005C455F" w:rsidRPr="00B4080C" w:rsidRDefault="006E0C59">
      <w:pPr>
        <w:pStyle w:val="af9"/>
        <w:ind w:firstLineChars="0" w:firstLine="0"/>
      </w:pPr>
      <w:r w:rsidRPr="00B4080C">
        <w:t>（</w:t>
      </w:r>
      <w:r w:rsidRPr="00B4080C">
        <w:t>3</w:t>
      </w:r>
      <w:r w:rsidRPr="00B4080C">
        <w:t>）干燥失重</w:t>
      </w:r>
      <w:r w:rsidRPr="00B4080C">
        <w:rPr>
          <w:rFonts w:hint="eastAsia"/>
        </w:rPr>
        <w:t>、</w:t>
      </w:r>
      <w:r w:rsidRPr="00B4080C">
        <w:rPr>
          <w:rFonts w:hint="eastAsia"/>
        </w:rPr>
        <w:t>pH</w:t>
      </w:r>
    </w:p>
    <w:p w:rsidR="005C455F" w:rsidRPr="00B4080C" w:rsidRDefault="006E0C59">
      <w:pPr>
        <w:pStyle w:val="af9"/>
      </w:pPr>
      <w:r w:rsidRPr="00B4080C">
        <w:rPr>
          <w:rFonts w:hint="eastAsia"/>
        </w:rPr>
        <w:t>直接</w:t>
      </w:r>
      <w:r w:rsidRPr="00B4080C">
        <w:t>引用轻工领域方法标准</w:t>
      </w:r>
      <w:r w:rsidRPr="00B4080C">
        <w:t xml:space="preserve"> QB/T 1803</w:t>
      </w:r>
      <w:r w:rsidRPr="00B4080C">
        <w:t>。</w:t>
      </w:r>
    </w:p>
    <w:p w:rsidR="005C455F" w:rsidRPr="00B4080C" w:rsidRDefault="006E0C59">
      <w:pPr>
        <w:pStyle w:val="af9"/>
        <w:numPr>
          <w:ilvl w:val="0"/>
          <w:numId w:val="6"/>
        </w:numPr>
        <w:ind w:firstLineChars="0"/>
      </w:pPr>
      <w:r w:rsidRPr="00B4080C">
        <w:t>检验规则</w:t>
      </w:r>
    </w:p>
    <w:p w:rsidR="005C455F" w:rsidRPr="00B4080C" w:rsidRDefault="006E0C59">
      <w:pPr>
        <w:pStyle w:val="af9"/>
      </w:pPr>
      <w:r w:rsidRPr="00B4080C">
        <w:rPr>
          <w:rFonts w:hint="eastAsia"/>
        </w:rPr>
        <w:t>规定了批次的确定、取样规则和样本量、</w:t>
      </w:r>
      <w:r w:rsidRPr="00B4080C">
        <w:t>出厂检验</w:t>
      </w:r>
      <w:r w:rsidRPr="00B4080C">
        <w:rPr>
          <w:rFonts w:hint="eastAsia"/>
        </w:rPr>
        <w:t>、型式检验、</w:t>
      </w:r>
      <w:r w:rsidRPr="00B4080C">
        <w:t>判定</w:t>
      </w:r>
      <w:r w:rsidRPr="00B4080C">
        <w:rPr>
          <w:rFonts w:hint="eastAsia"/>
        </w:rPr>
        <w:t>规则相关要求。</w:t>
      </w:r>
    </w:p>
    <w:p w:rsidR="005C455F" w:rsidRPr="00B4080C" w:rsidRDefault="006E0C59">
      <w:pPr>
        <w:pStyle w:val="af9"/>
      </w:pPr>
      <w:r w:rsidRPr="00B4080C">
        <w:rPr>
          <w:rFonts w:hint="eastAsia"/>
        </w:rPr>
        <w:t xml:space="preserve">7.1 </w:t>
      </w:r>
      <w:r w:rsidRPr="00B4080C">
        <w:rPr>
          <w:rFonts w:hint="eastAsia"/>
        </w:rPr>
        <w:t>组批</w:t>
      </w:r>
    </w:p>
    <w:p w:rsidR="005C455F" w:rsidRPr="00B4080C" w:rsidRDefault="006E0C59">
      <w:pPr>
        <w:pStyle w:val="af9"/>
      </w:pPr>
      <w:r w:rsidRPr="00B4080C">
        <w:rPr>
          <w:rFonts w:hint="eastAsia"/>
        </w:rPr>
        <w:t>以同一次投料生产、同一规格、同一品种的均</w:t>
      </w:r>
      <w:proofErr w:type="gramStart"/>
      <w:r w:rsidRPr="00B4080C">
        <w:rPr>
          <w:rFonts w:hint="eastAsia"/>
        </w:rPr>
        <w:t>一</w:t>
      </w:r>
      <w:proofErr w:type="gramEnd"/>
      <w:r w:rsidRPr="00B4080C">
        <w:rPr>
          <w:rFonts w:hint="eastAsia"/>
        </w:rPr>
        <w:t>质量的产品为一批。</w:t>
      </w:r>
    </w:p>
    <w:p w:rsidR="005C455F" w:rsidRPr="00B4080C" w:rsidRDefault="006E0C59">
      <w:pPr>
        <w:pStyle w:val="af9"/>
      </w:pPr>
      <w:r w:rsidRPr="00B4080C">
        <w:rPr>
          <w:rFonts w:hint="eastAsia"/>
        </w:rPr>
        <w:t xml:space="preserve">7.2 </w:t>
      </w:r>
      <w:r w:rsidRPr="00B4080C">
        <w:rPr>
          <w:rFonts w:hint="eastAsia"/>
        </w:rPr>
        <w:t>抽样</w:t>
      </w:r>
    </w:p>
    <w:p w:rsidR="005C455F" w:rsidRPr="00B4080C" w:rsidRDefault="006E0C59">
      <w:pPr>
        <w:widowControl/>
        <w:autoSpaceDE w:val="0"/>
        <w:autoSpaceDN w:val="0"/>
        <w:spacing w:line="360" w:lineRule="auto"/>
        <w:ind w:firstLineChars="200" w:firstLine="480"/>
        <w:rPr>
          <w:rFonts w:ascii="宋体" w:eastAsia="宋体" w:hAnsi="Times New Roman" w:cs="Times New Roman"/>
          <w:kern w:val="0"/>
          <w:szCs w:val="20"/>
        </w:rPr>
      </w:pPr>
      <w:r w:rsidRPr="00B4080C">
        <w:rPr>
          <w:rFonts w:ascii="Times New Roman" w:eastAsia="宋体" w:hAnsi="Times New Roman" w:cs="Times New Roman" w:hint="eastAsia"/>
          <w:kern w:val="0"/>
          <w:sz w:val="24"/>
        </w:rPr>
        <w:t>抽样的样本量可按照下表执行，或由生产企业和（或）相关方确定。每个最小外包装单位的取样量应不小于</w:t>
      </w:r>
      <w:r w:rsidRPr="00B4080C">
        <w:rPr>
          <w:rFonts w:ascii="Times New Roman" w:eastAsia="宋体" w:hAnsi="Times New Roman" w:cs="Times New Roman" w:hint="eastAsia"/>
          <w:kern w:val="0"/>
          <w:sz w:val="24"/>
        </w:rPr>
        <w:t>300 g</w:t>
      </w:r>
      <w:r w:rsidRPr="00B4080C">
        <w:rPr>
          <w:rFonts w:ascii="Times New Roman" w:eastAsia="宋体" w:hAnsi="Times New Roman" w:cs="Times New Roman" w:hint="eastAsia"/>
          <w:kern w:val="0"/>
          <w:sz w:val="24"/>
        </w:rPr>
        <w:t>或</w:t>
      </w:r>
      <w:r w:rsidRPr="00B4080C">
        <w:rPr>
          <w:rFonts w:ascii="Times New Roman" w:eastAsia="宋体" w:hAnsi="Times New Roman" w:cs="Times New Roman" w:hint="eastAsia"/>
          <w:kern w:val="0"/>
          <w:sz w:val="24"/>
        </w:rPr>
        <w:t>300 mL</w:t>
      </w:r>
      <w:r w:rsidRPr="00B4080C">
        <w:rPr>
          <w:rFonts w:ascii="Times New Roman" w:eastAsia="宋体" w:hAnsi="Times New Roman" w:cs="Times New Roman" w:hint="eastAsia"/>
          <w:kern w:val="0"/>
          <w:sz w:val="24"/>
        </w:rPr>
        <w:t>，不足时按照比例适当加取。充分混合均匀后进行检验。</w:t>
      </w:r>
    </w:p>
    <w:p w:rsidR="005C455F" w:rsidRPr="00B4080C" w:rsidRDefault="006E0C59">
      <w:pPr>
        <w:widowControl/>
        <w:tabs>
          <w:tab w:val="center" w:pos="4201"/>
          <w:tab w:val="right" w:leader="dot" w:pos="9298"/>
        </w:tabs>
        <w:autoSpaceDE w:val="0"/>
        <w:autoSpaceDN w:val="0"/>
        <w:spacing w:line="360" w:lineRule="auto"/>
        <w:contextualSpacing/>
        <w:jc w:val="center"/>
        <w:rPr>
          <w:rFonts w:ascii="Times New Roman" w:eastAsia="宋体" w:hAnsi="Times New Roman" w:cs="Times New Roman"/>
          <w:color w:val="000000"/>
          <w:kern w:val="0"/>
          <w:sz w:val="24"/>
        </w:rPr>
      </w:pPr>
      <w:r w:rsidRPr="00B4080C">
        <w:rPr>
          <w:rFonts w:ascii="微软雅黑" w:eastAsia="微软雅黑" w:hAnsi="微软雅黑" w:cs="微软雅黑" w:hint="eastAsia"/>
          <w:sz w:val="18"/>
          <w:szCs w:val="21"/>
        </w:rPr>
        <w:t>抽样的样本量</w:t>
      </w:r>
    </w:p>
    <w:tbl>
      <w:tblPr>
        <w:tblW w:w="8495"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145"/>
        <w:gridCol w:w="4350"/>
      </w:tblGrid>
      <w:tr w:rsidR="005C455F" w:rsidRPr="00B4080C">
        <w:trPr>
          <w:trHeight w:val="284"/>
        </w:trPr>
        <w:tc>
          <w:tcPr>
            <w:tcW w:w="4145" w:type="dxa"/>
            <w:tcBorders>
              <w:top w:val="single" w:sz="8" w:space="0" w:color="000000"/>
              <w:left w:val="single" w:sz="8" w:space="0" w:color="000000"/>
              <w:bottom w:val="single" w:sz="8" w:space="0" w:color="000000"/>
              <w:right w:val="single" w:sz="4"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宋体" w:cs="Times New Roman" w:hint="eastAsia"/>
                <w:kern w:val="0"/>
                <w:sz w:val="18"/>
                <w:szCs w:val="18"/>
              </w:rPr>
              <w:t>批量范围（最小外包装单位）</w:t>
            </w:r>
          </w:p>
        </w:tc>
        <w:tc>
          <w:tcPr>
            <w:tcW w:w="4350" w:type="dxa"/>
            <w:tcBorders>
              <w:top w:val="single" w:sz="8" w:space="0" w:color="000000"/>
              <w:left w:val="single" w:sz="4" w:space="0" w:color="000000"/>
              <w:bottom w:val="single" w:sz="8" w:space="0" w:color="000000"/>
              <w:right w:val="single" w:sz="8"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宋体" w:cs="Times New Roman" w:hint="eastAsia"/>
                <w:kern w:val="0"/>
                <w:sz w:val="18"/>
                <w:szCs w:val="18"/>
              </w:rPr>
              <w:t>抽样的样本量（最小外包装单位）</w:t>
            </w:r>
          </w:p>
        </w:tc>
      </w:tr>
      <w:tr w:rsidR="005C455F" w:rsidRPr="00B4080C">
        <w:trPr>
          <w:trHeight w:val="284"/>
        </w:trPr>
        <w:tc>
          <w:tcPr>
            <w:tcW w:w="4145" w:type="dxa"/>
            <w:tcBorders>
              <w:top w:val="single" w:sz="8" w:space="0" w:color="000000"/>
              <w:left w:val="single" w:sz="8" w:space="0" w:color="000000"/>
              <w:bottom w:val="single" w:sz="4" w:space="0" w:color="000000"/>
              <w:right w:val="single" w:sz="4"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Times New Roman" w:cs="Times New Roman" w:hint="eastAsia"/>
                <w:kern w:val="0"/>
                <w:sz w:val="18"/>
                <w:szCs w:val="18"/>
              </w:rPr>
              <w:t>＜</w:t>
            </w:r>
            <w:r w:rsidRPr="00B4080C">
              <w:rPr>
                <w:rFonts w:ascii="Times New Roman" w:eastAsia="宋体" w:hAnsi="Times New Roman" w:cs="Times New Roman"/>
                <w:kern w:val="0"/>
                <w:sz w:val="18"/>
                <w:szCs w:val="18"/>
              </w:rPr>
              <w:t>50</w:t>
            </w:r>
          </w:p>
        </w:tc>
        <w:tc>
          <w:tcPr>
            <w:tcW w:w="4350" w:type="dxa"/>
            <w:tcBorders>
              <w:top w:val="single" w:sz="8" w:space="0" w:color="000000"/>
              <w:left w:val="single" w:sz="4" w:space="0" w:color="000000"/>
              <w:bottom w:val="single" w:sz="4" w:space="0" w:color="000000"/>
              <w:right w:val="single" w:sz="8"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Times New Roman" w:cs="Times New Roman"/>
                <w:kern w:val="0"/>
                <w:sz w:val="18"/>
                <w:szCs w:val="18"/>
              </w:rPr>
              <w:t>2</w:t>
            </w:r>
          </w:p>
        </w:tc>
      </w:tr>
      <w:tr w:rsidR="005C455F" w:rsidRPr="00B4080C">
        <w:trPr>
          <w:trHeight w:val="284"/>
        </w:trPr>
        <w:tc>
          <w:tcPr>
            <w:tcW w:w="4145" w:type="dxa"/>
            <w:tcBorders>
              <w:top w:val="single" w:sz="4" w:space="0" w:color="000000"/>
              <w:left w:val="single" w:sz="8" w:space="0" w:color="000000"/>
              <w:bottom w:val="single" w:sz="4" w:space="0" w:color="000000"/>
              <w:right w:val="single" w:sz="4"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Times New Roman" w:cs="Times New Roman"/>
                <w:kern w:val="0"/>
                <w:sz w:val="18"/>
                <w:szCs w:val="18"/>
              </w:rPr>
              <w:t>51</w:t>
            </w:r>
            <w:r w:rsidRPr="00B4080C">
              <w:rPr>
                <w:rFonts w:ascii="Times New Roman" w:eastAsia="宋体" w:hAnsi="Times New Roman" w:cs="Times New Roman" w:hint="eastAsia"/>
                <w:kern w:val="0"/>
                <w:sz w:val="18"/>
                <w:szCs w:val="18"/>
              </w:rPr>
              <w:t>～</w:t>
            </w:r>
            <w:r w:rsidRPr="00B4080C">
              <w:rPr>
                <w:rFonts w:ascii="Times New Roman" w:eastAsia="宋体" w:hAnsi="Times New Roman" w:cs="Times New Roman"/>
                <w:kern w:val="0"/>
                <w:sz w:val="18"/>
                <w:szCs w:val="18"/>
              </w:rPr>
              <w:t>500</w:t>
            </w:r>
          </w:p>
        </w:tc>
        <w:tc>
          <w:tcPr>
            <w:tcW w:w="4350" w:type="dxa"/>
            <w:tcBorders>
              <w:top w:val="single" w:sz="4" w:space="0" w:color="000000"/>
              <w:left w:val="single" w:sz="4" w:space="0" w:color="000000"/>
              <w:bottom w:val="single" w:sz="4" w:space="0" w:color="000000"/>
              <w:right w:val="single" w:sz="8"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Times New Roman" w:cs="Times New Roman"/>
                <w:kern w:val="0"/>
                <w:sz w:val="18"/>
                <w:szCs w:val="18"/>
              </w:rPr>
              <w:t>3</w:t>
            </w:r>
          </w:p>
        </w:tc>
      </w:tr>
      <w:tr w:rsidR="005C455F" w:rsidRPr="00B4080C">
        <w:trPr>
          <w:trHeight w:val="284"/>
        </w:trPr>
        <w:tc>
          <w:tcPr>
            <w:tcW w:w="4145" w:type="dxa"/>
            <w:tcBorders>
              <w:top w:val="single" w:sz="4" w:space="0" w:color="000000"/>
              <w:left w:val="single" w:sz="8" w:space="0" w:color="000000"/>
              <w:bottom w:val="single" w:sz="4" w:space="0" w:color="000000"/>
              <w:right w:val="single" w:sz="4"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Times New Roman" w:cs="Times New Roman" w:hint="eastAsia"/>
                <w:kern w:val="0"/>
                <w:sz w:val="18"/>
                <w:szCs w:val="18"/>
              </w:rPr>
              <w:t>＞</w:t>
            </w:r>
            <w:r w:rsidRPr="00B4080C">
              <w:rPr>
                <w:rFonts w:ascii="Times New Roman" w:eastAsia="宋体" w:hAnsi="Times New Roman" w:cs="Times New Roman"/>
                <w:kern w:val="0"/>
                <w:sz w:val="18"/>
                <w:szCs w:val="18"/>
              </w:rPr>
              <w:t>500</w:t>
            </w:r>
          </w:p>
        </w:tc>
        <w:tc>
          <w:tcPr>
            <w:tcW w:w="4350" w:type="dxa"/>
            <w:tcBorders>
              <w:top w:val="single" w:sz="4" w:space="0" w:color="000000"/>
              <w:left w:val="single" w:sz="4" w:space="0" w:color="000000"/>
              <w:bottom w:val="single" w:sz="4" w:space="0" w:color="000000"/>
              <w:right w:val="single" w:sz="8"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Times New Roman" w:cs="Times New Roman"/>
                <w:kern w:val="0"/>
                <w:sz w:val="18"/>
                <w:szCs w:val="18"/>
              </w:rPr>
              <w:t>4</w:t>
            </w:r>
          </w:p>
        </w:tc>
      </w:tr>
      <w:tr w:rsidR="005C455F" w:rsidRPr="00B4080C">
        <w:trPr>
          <w:trHeight w:val="284"/>
        </w:trPr>
        <w:tc>
          <w:tcPr>
            <w:tcW w:w="8495" w:type="dxa"/>
            <w:gridSpan w:val="2"/>
            <w:tcBorders>
              <w:top w:val="single" w:sz="4" w:space="0" w:color="000000"/>
              <w:left w:val="single" w:sz="8" w:space="0" w:color="000000"/>
              <w:bottom w:val="single" w:sz="8" w:space="0" w:color="000000"/>
              <w:right w:val="single" w:sz="8" w:space="0" w:color="000000"/>
            </w:tcBorders>
            <w:vAlign w:val="center"/>
          </w:tcPr>
          <w:p w:rsidR="005C455F" w:rsidRPr="00B4080C" w:rsidRDefault="006E0C59">
            <w:pPr>
              <w:widowControl/>
              <w:jc w:val="center"/>
              <w:outlineLvl w:val="3"/>
              <w:rPr>
                <w:rFonts w:ascii="Times New Roman" w:eastAsia="宋体" w:hAnsi="Times New Roman" w:cs="Times New Roman"/>
                <w:kern w:val="0"/>
                <w:sz w:val="18"/>
                <w:szCs w:val="18"/>
              </w:rPr>
            </w:pPr>
            <w:r w:rsidRPr="00B4080C">
              <w:rPr>
                <w:rFonts w:ascii="Times New Roman" w:eastAsia="宋体" w:hAnsi="Times New Roman" w:cs="Times New Roman" w:hint="eastAsia"/>
                <w:kern w:val="0"/>
                <w:sz w:val="18"/>
                <w:szCs w:val="18"/>
              </w:rPr>
              <w:t>注：</w:t>
            </w:r>
            <w:r w:rsidRPr="00B4080C">
              <w:rPr>
                <w:rFonts w:ascii="Times New Roman" w:eastAsia="宋体" w:hAnsi="宋体" w:cs="Times New Roman" w:hint="eastAsia"/>
                <w:kern w:val="0"/>
                <w:sz w:val="18"/>
                <w:szCs w:val="18"/>
              </w:rPr>
              <w:t>批量范围是指批中所包含的最小外包装单位数量。抽样的样本量是抽取样本的最小外包装单位数量。</w:t>
            </w:r>
          </w:p>
        </w:tc>
      </w:tr>
    </w:tbl>
    <w:p w:rsidR="005C455F" w:rsidRPr="00B4080C" w:rsidRDefault="006E0C59">
      <w:pPr>
        <w:pStyle w:val="af9"/>
      </w:pPr>
      <w:r w:rsidRPr="00B4080C">
        <w:rPr>
          <w:rFonts w:hint="eastAsia"/>
        </w:rPr>
        <w:t xml:space="preserve">7.3 </w:t>
      </w:r>
      <w:r w:rsidRPr="00B4080C">
        <w:rPr>
          <w:rFonts w:hint="eastAsia"/>
        </w:rPr>
        <w:t>出厂检验</w:t>
      </w:r>
    </w:p>
    <w:p w:rsidR="005C455F" w:rsidRPr="00B4080C" w:rsidRDefault="006E0C59">
      <w:pPr>
        <w:pStyle w:val="af9"/>
      </w:pPr>
      <w:r w:rsidRPr="00B4080C">
        <w:rPr>
          <w:rFonts w:hint="eastAsia"/>
        </w:rPr>
        <w:lastRenderedPageBreak/>
        <w:t>根据要求中感官要求和理化指标，确定出厂检测项目固体剂型为感官、酶活力、干燥失重；液体剂型为感官、酶活力、</w:t>
      </w:r>
      <w:r w:rsidRPr="00B4080C">
        <w:rPr>
          <w:rFonts w:hint="eastAsia"/>
        </w:rPr>
        <w:t>pH</w:t>
      </w:r>
      <w:r w:rsidRPr="00B4080C">
        <w:rPr>
          <w:rFonts w:hint="eastAsia"/>
        </w:rPr>
        <w:t>。</w:t>
      </w:r>
    </w:p>
    <w:p w:rsidR="005C455F" w:rsidRPr="00B4080C" w:rsidRDefault="006E0C59">
      <w:pPr>
        <w:pStyle w:val="af9"/>
      </w:pPr>
      <w:r w:rsidRPr="00B4080C">
        <w:rPr>
          <w:rFonts w:hint="eastAsia"/>
        </w:rPr>
        <w:t xml:space="preserve">7.4 </w:t>
      </w:r>
      <w:r w:rsidRPr="00B4080C">
        <w:rPr>
          <w:rFonts w:hint="eastAsia"/>
        </w:rPr>
        <w:t>型式检验</w:t>
      </w:r>
    </w:p>
    <w:p w:rsidR="005C455F" w:rsidRPr="00B4080C" w:rsidRDefault="006E0C59">
      <w:pPr>
        <w:pStyle w:val="af9"/>
      </w:pPr>
      <w:r w:rsidRPr="00B4080C">
        <w:rPr>
          <w:rFonts w:hint="eastAsia"/>
        </w:rPr>
        <w:t>型式检验是对产品质量监督监控的重要手段，本标准规定了型式检验项目为</w:t>
      </w:r>
      <w:r w:rsidRPr="00B4080C">
        <w:t>要求中规定的全部项目</w:t>
      </w:r>
      <w:r w:rsidRPr="00B4080C">
        <w:rPr>
          <w:rFonts w:hint="eastAsia"/>
        </w:rPr>
        <w:t>。</w:t>
      </w:r>
    </w:p>
    <w:p w:rsidR="005C455F" w:rsidRPr="00B4080C" w:rsidRDefault="006E0C59">
      <w:pPr>
        <w:pStyle w:val="af9"/>
      </w:pPr>
      <w:r w:rsidRPr="00B4080C">
        <w:rPr>
          <w:rFonts w:hint="eastAsia"/>
        </w:rPr>
        <w:t>规定了对葡萄糖氧化酶制剂产品周期性开展型式检验。同一类产品的型式检验，在正常生产情况下，每年至少进行一次，有下列情况之一时必须进行型式检验：</w:t>
      </w:r>
    </w:p>
    <w:p w:rsidR="005C455F" w:rsidRPr="00B4080C" w:rsidRDefault="006E0C59">
      <w:pPr>
        <w:pStyle w:val="af9"/>
        <w:numPr>
          <w:ilvl w:val="0"/>
          <w:numId w:val="8"/>
        </w:numPr>
        <w:ind w:firstLineChars="0"/>
      </w:pPr>
      <w:r w:rsidRPr="00B4080C">
        <w:rPr>
          <w:rFonts w:hint="eastAsia"/>
        </w:rPr>
        <w:t>原辅材料有较大变化时；</w:t>
      </w:r>
      <w:r w:rsidRPr="00B4080C">
        <w:rPr>
          <w:rFonts w:hint="eastAsia"/>
        </w:rPr>
        <w:t xml:space="preserve"> </w:t>
      </w:r>
    </w:p>
    <w:p w:rsidR="005C455F" w:rsidRPr="00B4080C" w:rsidRDefault="006E0C59">
      <w:pPr>
        <w:pStyle w:val="af9"/>
        <w:numPr>
          <w:ilvl w:val="0"/>
          <w:numId w:val="8"/>
        </w:numPr>
        <w:ind w:firstLineChars="0"/>
      </w:pPr>
      <w:r w:rsidRPr="00B4080C">
        <w:rPr>
          <w:rFonts w:hint="eastAsia"/>
        </w:rPr>
        <w:t>更改关键工艺或设备时；</w:t>
      </w:r>
    </w:p>
    <w:p w:rsidR="005C455F" w:rsidRPr="00B4080C" w:rsidRDefault="006E0C59">
      <w:pPr>
        <w:pStyle w:val="af9"/>
        <w:numPr>
          <w:ilvl w:val="0"/>
          <w:numId w:val="8"/>
        </w:numPr>
        <w:ind w:firstLineChars="0"/>
      </w:pPr>
      <w:r w:rsidRPr="00B4080C">
        <w:rPr>
          <w:rFonts w:hint="eastAsia"/>
        </w:rPr>
        <w:t>新试制的产品或正常生产的产品停产</w:t>
      </w:r>
      <w:r w:rsidRPr="00B4080C">
        <w:rPr>
          <w:rFonts w:hint="eastAsia"/>
        </w:rPr>
        <w:t>3</w:t>
      </w:r>
      <w:r w:rsidRPr="00B4080C">
        <w:rPr>
          <w:rFonts w:hint="eastAsia"/>
        </w:rPr>
        <w:t>个月后，重新恢复生产时；</w:t>
      </w:r>
      <w:r w:rsidRPr="00B4080C">
        <w:rPr>
          <w:rFonts w:hint="eastAsia"/>
        </w:rPr>
        <w:t xml:space="preserve"> </w:t>
      </w:r>
    </w:p>
    <w:p w:rsidR="005C455F" w:rsidRPr="00B4080C" w:rsidRDefault="006E0C59">
      <w:pPr>
        <w:pStyle w:val="af9"/>
        <w:numPr>
          <w:ilvl w:val="0"/>
          <w:numId w:val="8"/>
        </w:numPr>
        <w:ind w:firstLineChars="0"/>
      </w:pPr>
      <w:r w:rsidRPr="00B4080C">
        <w:rPr>
          <w:rFonts w:hint="eastAsia"/>
        </w:rPr>
        <w:t>出厂检验与上次型式检验结果有较大差异时；</w:t>
      </w:r>
      <w:r w:rsidRPr="00B4080C">
        <w:rPr>
          <w:rFonts w:hint="eastAsia"/>
        </w:rPr>
        <w:t xml:space="preserve"> </w:t>
      </w:r>
    </w:p>
    <w:p w:rsidR="005C455F" w:rsidRPr="00B4080C" w:rsidRDefault="006E0C59">
      <w:pPr>
        <w:pStyle w:val="af9"/>
        <w:numPr>
          <w:ilvl w:val="0"/>
          <w:numId w:val="8"/>
        </w:numPr>
        <w:ind w:firstLineChars="0"/>
      </w:pPr>
      <w:r w:rsidRPr="00B4080C">
        <w:rPr>
          <w:rFonts w:hint="eastAsia"/>
        </w:rPr>
        <w:t>国家质量监督检验机构按有关规定需要抽检时。</w:t>
      </w:r>
    </w:p>
    <w:p w:rsidR="005C455F" w:rsidRPr="00B4080C" w:rsidRDefault="006E0C59">
      <w:pPr>
        <w:pStyle w:val="af9"/>
      </w:pPr>
      <w:r w:rsidRPr="00B4080C">
        <w:rPr>
          <w:rFonts w:hint="eastAsia"/>
        </w:rPr>
        <w:t xml:space="preserve">7.5 </w:t>
      </w:r>
      <w:r w:rsidRPr="00B4080C">
        <w:rPr>
          <w:rFonts w:hint="eastAsia"/>
        </w:rPr>
        <w:t>判定规则</w:t>
      </w:r>
    </w:p>
    <w:p w:rsidR="005C455F" w:rsidRPr="00B4080C" w:rsidRDefault="006E0C59">
      <w:pPr>
        <w:pStyle w:val="af9"/>
      </w:pPr>
      <w:r w:rsidRPr="00B4080C">
        <w:rPr>
          <w:rFonts w:hint="eastAsia"/>
        </w:rPr>
        <w:t>规定了葡萄糖氧化酶制剂合格判定标准及复检条件。</w:t>
      </w:r>
    </w:p>
    <w:p w:rsidR="005C455F" w:rsidRPr="00B4080C" w:rsidRDefault="006E0C59">
      <w:pPr>
        <w:pStyle w:val="af9"/>
        <w:ind w:left="480" w:firstLineChars="0" w:firstLine="0"/>
      </w:pPr>
      <w:r w:rsidRPr="00B4080C">
        <w:rPr>
          <w:rFonts w:hint="eastAsia"/>
        </w:rPr>
        <w:t xml:space="preserve">7.5.1 </w:t>
      </w:r>
      <w:r w:rsidRPr="00B4080C">
        <w:rPr>
          <w:rFonts w:hint="eastAsia"/>
        </w:rPr>
        <w:t>检验项目全部符合本文件规定时，判定该批产品合格。</w:t>
      </w:r>
      <w:r w:rsidRPr="00B4080C">
        <w:rPr>
          <w:rFonts w:hint="eastAsia"/>
        </w:rPr>
        <w:t xml:space="preserve"> </w:t>
      </w:r>
    </w:p>
    <w:p w:rsidR="005C455F" w:rsidRPr="00B4080C" w:rsidRDefault="006E0C59">
      <w:pPr>
        <w:pStyle w:val="af9"/>
        <w:ind w:left="480" w:firstLineChars="0" w:firstLine="0"/>
      </w:pPr>
      <w:r w:rsidRPr="00B4080C">
        <w:rPr>
          <w:rFonts w:hint="eastAsia"/>
        </w:rPr>
        <w:t>7.5.2</w:t>
      </w:r>
      <w:r w:rsidRPr="00B4080C">
        <w:rPr>
          <w:rFonts w:hint="eastAsia"/>
        </w:rPr>
        <w:t>感官要求、理化指标不超过</w:t>
      </w:r>
      <w:r w:rsidRPr="00B4080C">
        <w:rPr>
          <w:rFonts w:hint="eastAsia"/>
        </w:rPr>
        <w:t xml:space="preserve"> 2 </w:t>
      </w:r>
      <w:r w:rsidRPr="00B4080C">
        <w:rPr>
          <w:rFonts w:hint="eastAsia"/>
        </w:rPr>
        <w:t>项不合格，重新在该批产品中加倍取样复检，以复检结果为准。</w:t>
      </w:r>
      <w:r w:rsidRPr="00B4080C">
        <w:rPr>
          <w:rFonts w:hint="eastAsia"/>
        </w:rPr>
        <w:t xml:space="preserve"> </w:t>
      </w:r>
      <w:r w:rsidRPr="00B4080C">
        <w:rPr>
          <w:rFonts w:hint="eastAsia"/>
        </w:rPr>
        <w:t>超过两项指标不符合本标准规定时，判为不合格，不得复检。</w:t>
      </w:r>
    </w:p>
    <w:p w:rsidR="005C455F" w:rsidRPr="00B4080C" w:rsidRDefault="006E0C59">
      <w:pPr>
        <w:pStyle w:val="af9"/>
        <w:ind w:left="480" w:firstLineChars="0" w:firstLine="0"/>
        <w:rPr>
          <w:rFonts w:eastAsia="宋体"/>
        </w:rPr>
      </w:pPr>
      <w:r w:rsidRPr="00B4080C">
        <w:rPr>
          <w:rFonts w:eastAsia="宋体" w:hint="eastAsia"/>
        </w:rPr>
        <w:t>7.5.3</w:t>
      </w:r>
      <w:r w:rsidRPr="00B4080C">
        <w:rPr>
          <w:rFonts w:eastAsia="宋体" w:hint="eastAsia"/>
        </w:rPr>
        <w:t>微生物要求有</w:t>
      </w:r>
      <w:r w:rsidRPr="00B4080C">
        <w:rPr>
          <w:rFonts w:eastAsia="宋体" w:hint="eastAsia"/>
        </w:rPr>
        <w:t xml:space="preserve"> 1 </w:t>
      </w:r>
      <w:r w:rsidRPr="00B4080C">
        <w:rPr>
          <w:rFonts w:eastAsia="宋体" w:hint="eastAsia"/>
        </w:rPr>
        <w:t>项不合格时，该批产品为不合格，不得复检。</w:t>
      </w:r>
    </w:p>
    <w:p w:rsidR="005C455F" w:rsidRPr="00B4080C" w:rsidRDefault="006E0C59">
      <w:pPr>
        <w:pStyle w:val="af9"/>
        <w:numPr>
          <w:ilvl w:val="0"/>
          <w:numId w:val="6"/>
        </w:numPr>
        <w:ind w:firstLineChars="0"/>
      </w:pPr>
      <w:r w:rsidRPr="00B4080C">
        <w:t>标志、包装、运输</w:t>
      </w:r>
      <w:r w:rsidRPr="00B4080C">
        <w:rPr>
          <w:rFonts w:hint="eastAsia"/>
        </w:rPr>
        <w:t>、</w:t>
      </w:r>
      <w:r w:rsidRPr="00B4080C">
        <w:t>贮存</w:t>
      </w:r>
    </w:p>
    <w:p w:rsidR="005C455F" w:rsidRPr="00B4080C" w:rsidRDefault="006E0C59">
      <w:pPr>
        <w:pStyle w:val="af9"/>
      </w:pPr>
      <w:r w:rsidRPr="00B4080C">
        <w:rPr>
          <w:rFonts w:hint="eastAsia"/>
        </w:rPr>
        <w:t>按照</w:t>
      </w:r>
      <w:r w:rsidRPr="00B4080C">
        <w:rPr>
          <w:rFonts w:hint="eastAsia"/>
        </w:rPr>
        <w:t xml:space="preserve"> QB/T 1804 </w:t>
      </w:r>
      <w:r w:rsidRPr="00B4080C">
        <w:rPr>
          <w:rFonts w:hint="eastAsia"/>
        </w:rPr>
        <w:t>中的规定执行。</w:t>
      </w:r>
    </w:p>
    <w:p w:rsidR="005C455F" w:rsidRDefault="00D870B6">
      <w:pPr>
        <w:spacing w:line="360" w:lineRule="auto"/>
        <w:rPr>
          <w:rFonts w:ascii="Times New Roman" w:hAnsi="Times New Roman" w:cs="Times New Roman"/>
          <w:b/>
          <w:sz w:val="24"/>
          <w:szCs w:val="24"/>
        </w:rPr>
      </w:pPr>
      <w:r>
        <w:rPr>
          <w:rFonts w:ascii="Times New Roman" w:hAnsi="Times New Roman" w:cs="Times New Roman"/>
          <w:b/>
          <w:sz w:val="24"/>
          <w:szCs w:val="24"/>
        </w:rPr>
        <w:t>三、</w:t>
      </w:r>
      <w:r w:rsidR="006E0C59">
        <w:rPr>
          <w:rFonts w:ascii="Times New Roman" w:hAnsi="Times New Roman" w:cs="Times New Roman"/>
          <w:b/>
          <w:sz w:val="24"/>
          <w:szCs w:val="24"/>
        </w:rPr>
        <w:t>主要</w:t>
      </w:r>
      <w:r w:rsidR="006E0C59">
        <w:rPr>
          <w:rFonts w:ascii="Times New Roman" w:hAnsi="Times New Roman" w:cs="Times New Roman" w:hint="eastAsia"/>
          <w:b/>
          <w:sz w:val="24"/>
          <w:szCs w:val="24"/>
        </w:rPr>
        <w:t>试验（</w:t>
      </w:r>
      <w:r w:rsidR="00D25726">
        <w:rPr>
          <w:rFonts w:ascii="Times New Roman" w:hAnsi="Times New Roman" w:cs="Times New Roman" w:hint="eastAsia"/>
          <w:b/>
          <w:sz w:val="24"/>
          <w:szCs w:val="24"/>
        </w:rPr>
        <w:t>或</w:t>
      </w:r>
      <w:r w:rsidR="006E0C59">
        <w:rPr>
          <w:rFonts w:ascii="Times New Roman" w:hAnsi="Times New Roman" w:cs="Times New Roman" w:hint="eastAsia"/>
          <w:b/>
          <w:sz w:val="24"/>
          <w:szCs w:val="24"/>
        </w:rPr>
        <w:t>验证）情况</w:t>
      </w:r>
    </w:p>
    <w:p w:rsidR="005C455F" w:rsidRDefault="006E0C59">
      <w:pPr>
        <w:pStyle w:val="af9"/>
        <w:numPr>
          <w:ilvl w:val="0"/>
          <w:numId w:val="9"/>
        </w:numPr>
        <w:ind w:firstLineChars="0"/>
      </w:pPr>
      <w:r>
        <w:rPr>
          <w:rFonts w:hint="eastAsia"/>
        </w:rPr>
        <w:t>葡萄糖氧化酶活力测定方法的建立与验证</w:t>
      </w:r>
    </w:p>
    <w:p w:rsidR="005C455F" w:rsidRDefault="006E0C59">
      <w:pPr>
        <w:spacing w:line="360" w:lineRule="auto"/>
        <w:ind w:firstLineChars="200" w:firstLine="480"/>
        <w:rPr>
          <w:rFonts w:ascii="Times New Roman" w:hAnsi="Times New Roman" w:cs="Times New Roman"/>
          <w:sz w:val="24"/>
          <w:szCs w:val="24"/>
        </w:rPr>
      </w:pPr>
      <w:r>
        <w:rPr>
          <w:rFonts w:hAnsi="宋体" w:cs="宋体" w:hint="eastAsia"/>
          <w:sz w:val="24"/>
          <w:szCs w:val="24"/>
        </w:rPr>
        <w:t>根据行业调研结果，起草组对葡萄糖氧化酶酶</w:t>
      </w:r>
      <w:r>
        <w:rPr>
          <w:rFonts w:ascii="Times New Roman" w:hAnsi="Times New Roman" w:hint="eastAsia"/>
          <w:sz w:val="24"/>
          <w:szCs w:val="24"/>
        </w:rPr>
        <w:t>活力</w:t>
      </w:r>
      <w:r>
        <w:rPr>
          <w:rFonts w:ascii="Times New Roman" w:hAnsi="Times New Roman"/>
          <w:sz w:val="24"/>
          <w:szCs w:val="24"/>
        </w:rPr>
        <w:t>测定方法</w:t>
      </w:r>
      <w:r>
        <w:rPr>
          <w:rFonts w:ascii="Times New Roman" w:hAnsi="Times New Roman" w:hint="eastAsia"/>
          <w:sz w:val="24"/>
          <w:szCs w:val="24"/>
        </w:rPr>
        <w:t>（</w:t>
      </w:r>
      <w:r>
        <w:rPr>
          <w:rFonts w:ascii="Times New Roman" w:hAnsi="Times New Roman" w:hint="eastAsia"/>
          <w:sz w:val="24"/>
          <w:szCs w:val="24"/>
        </w:rPr>
        <w:t>4-</w:t>
      </w:r>
      <w:r>
        <w:rPr>
          <w:rFonts w:ascii="Times New Roman" w:hAnsi="Times New Roman" w:hint="eastAsia"/>
          <w:sz w:val="24"/>
          <w:szCs w:val="24"/>
        </w:rPr>
        <w:t>氨基安替比林法和</w:t>
      </w:r>
      <w:proofErr w:type="gramStart"/>
      <w:r>
        <w:rPr>
          <w:rFonts w:ascii="Times New Roman" w:hAnsi="Times New Roman" w:hint="eastAsia"/>
          <w:sz w:val="24"/>
          <w:szCs w:val="24"/>
        </w:rPr>
        <w:t>邻联</w:t>
      </w:r>
      <w:proofErr w:type="gramEnd"/>
      <w:r>
        <w:rPr>
          <w:rFonts w:ascii="Times New Roman" w:hAnsi="Times New Roman" w:hint="eastAsia"/>
          <w:sz w:val="24"/>
          <w:szCs w:val="24"/>
        </w:rPr>
        <w:t>茴香胺法）进行了比较并组织了实验室</w:t>
      </w:r>
      <w:proofErr w:type="gramStart"/>
      <w:r>
        <w:rPr>
          <w:rFonts w:ascii="Times New Roman" w:hAnsi="Times New Roman" w:hint="eastAsia"/>
          <w:sz w:val="24"/>
          <w:szCs w:val="24"/>
        </w:rPr>
        <w:t>间方法</w:t>
      </w:r>
      <w:proofErr w:type="gramEnd"/>
      <w:r>
        <w:rPr>
          <w:rFonts w:ascii="Times New Roman" w:hAnsi="Times New Roman" w:hint="eastAsia"/>
          <w:sz w:val="24"/>
          <w:szCs w:val="24"/>
        </w:rPr>
        <w:t>验证。</w:t>
      </w:r>
    </w:p>
    <w:p w:rsidR="005C455F" w:rsidRDefault="006E0C59">
      <w:pPr>
        <w:pStyle w:val="af9"/>
      </w:pPr>
      <w:r>
        <w:rPr>
          <w:rFonts w:hint="eastAsia"/>
        </w:rPr>
        <w:t>1.1</w:t>
      </w:r>
      <w:r>
        <w:rPr>
          <w:rFonts w:hint="eastAsia"/>
        </w:rPr>
        <w:t>标准曲线</w:t>
      </w:r>
    </w:p>
    <w:p w:rsidR="005C455F" w:rsidRDefault="006E0C59">
      <w:pPr>
        <w:spacing w:line="300" w:lineRule="auto"/>
        <w:ind w:firstLine="480"/>
        <w:rPr>
          <w:rFonts w:ascii="Times New Roman" w:hAnsi="Times New Roman" w:cs="Times New Roman"/>
          <w:sz w:val="24"/>
          <w:szCs w:val="24"/>
        </w:rPr>
      </w:pPr>
      <w:r>
        <w:rPr>
          <w:rFonts w:ascii="Times New Roman" w:hAnsi="Times New Roman" w:hint="eastAsia"/>
          <w:sz w:val="24"/>
          <w:szCs w:val="24"/>
        </w:rPr>
        <w:t>4-</w:t>
      </w:r>
      <w:r>
        <w:rPr>
          <w:rFonts w:ascii="Times New Roman" w:hAnsi="Times New Roman" w:hint="eastAsia"/>
          <w:sz w:val="24"/>
          <w:szCs w:val="24"/>
        </w:rPr>
        <w:t>氨基安替比林法和</w:t>
      </w:r>
      <w:proofErr w:type="gramStart"/>
      <w:r>
        <w:rPr>
          <w:rFonts w:ascii="Times New Roman" w:hAnsi="Times New Roman" w:hint="eastAsia"/>
          <w:sz w:val="24"/>
          <w:szCs w:val="24"/>
        </w:rPr>
        <w:t>邻联茴香胺法两种</w:t>
      </w:r>
      <w:proofErr w:type="gramEnd"/>
      <w:r>
        <w:rPr>
          <w:rFonts w:ascii="Times New Roman" w:hAnsi="Times New Roman" w:hint="eastAsia"/>
          <w:sz w:val="24"/>
          <w:szCs w:val="24"/>
        </w:rPr>
        <w:t>方法</w:t>
      </w:r>
      <w:r>
        <w:rPr>
          <w:rFonts w:ascii="Times New Roman" w:hAnsi="Times New Roman" w:cs="Times New Roman" w:hint="eastAsia"/>
          <w:sz w:val="24"/>
          <w:szCs w:val="24"/>
        </w:rPr>
        <w:t>线性范围为</w:t>
      </w:r>
      <w:r>
        <w:rPr>
          <w:rFonts w:ascii="Times New Roman" w:hAnsi="Times New Roman" w:cs="Times New Roman" w:hint="eastAsia"/>
          <w:sz w:val="24"/>
          <w:szCs w:val="24"/>
        </w:rPr>
        <w:t>0.</w:t>
      </w:r>
      <w:r>
        <w:rPr>
          <w:rFonts w:ascii="Times New Roman" w:hAnsi="Times New Roman" w:cs="Times New Roman"/>
          <w:sz w:val="24"/>
          <w:szCs w:val="24"/>
        </w:rPr>
        <w:t>02</w:t>
      </w:r>
      <w:r>
        <w:rPr>
          <w:rFonts w:ascii="Times New Roman" w:hAnsi="Times New Roman" w:cs="Times New Roman" w:hint="eastAsia"/>
          <w:sz w:val="24"/>
          <w:szCs w:val="24"/>
        </w:rPr>
        <w:t>-0</w:t>
      </w:r>
      <w:r>
        <w:rPr>
          <w:rFonts w:ascii="Times New Roman" w:hAnsi="Times New Roman" w:cs="Times New Roman"/>
          <w:sz w:val="24"/>
          <w:szCs w:val="24"/>
        </w:rPr>
        <w:t xml:space="preserve">.16 </w:t>
      </w:r>
      <w:proofErr w:type="spellStart"/>
      <w:r>
        <w:rPr>
          <w:rFonts w:ascii="Times New Roman" w:hAnsi="Times New Roman" w:cs="Times New Roman"/>
          <w:sz w:val="24"/>
          <w:szCs w:val="24"/>
        </w:rPr>
        <w:t>μg</w:t>
      </w:r>
      <w:proofErr w:type="spellEnd"/>
      <w:r>
        <w:rPr>
          <w:rFonts w:ascii="Times New Roman" w:hAnsi="Times New Roman" w:cs="Times New Roman"/>
          <w:sz w:val="24"/>
          <w:szCs w:val="24"/>
        </w:rPr>
        <w:t>/mL</w:t>
      </w:r>
      <w:r>
        <w:rPr>
          <w:rFonts w:ascii="Times New Roman" w:hAnsi="Times New Roman" w:cs="Times New Roman" w:hint="eastAsia"/>
          <w:sz w:val="24"/>
          <w:szCs w:val="24"/>
        </w:rPr>
        <w:t>，</w:t>
      </w:r>
      <w:r>
        <w:rPr>
          <w:rFonts w:ascii="Times New Roman" w:hAnsi="Times New Roman" w:hint="eastAsia"/>
          <w:sz w:val="24"/>
          <w:szCs w:val="24"/>
        </w:rPr>
        <w:t>其</w:t>
      </w:r>
      <w:r>
        <w:rPr>
          <w:rFonts w:ascii="Times New Roman" w:hAnsi="Times New Roman" w:cs="Times New Roman" w:hint="eastAsia"/>
          <w:sz w:val="24"/>
          <w:szCs w:val="24"/>
        </w:rPr>
        <w:t>R</w:t>
      </w:r>
      <w:r>
        <w:rPr>
          <w:rFonts w:ascii="Times New Roman" w:hAnsi="Times New Roman" w:cs="Times New Roman" w:hint="eastAsia"/>
          <w:sz w:val="24"/>
          <w:szCs w:val="24"/>
          <w:vertAlign w:val="superscript"/>
        </w:rPr>
        <w:t>2</w:t>
      </w:r>
      <w:r>
        <w:rPr>
          <w:rFonts w:ascii="Times New Roman" w:hAnsi="Times New Roman" w:cs="Times New Roman" w:hint="eastAsia"/>
          <w:sz w:val="24"/>
          <w:szCs w:val="24"/>
        </w:rPr>
        <w:t>分别为</w:t>
      </w:r>
      <w:r>
        <w:rPr>
          <w:rFonts w:ascii="Times New Roman" w:hAnsi="Times New Roman" w:cs="Times New Roman" w:hint="eastAsia"/>
          <w:sz w:val="24"/>
          <w:szCs w:val="24"/>
        </w:rPr>
        <w:t>0.999</w:t>
      </w:r>
      <w:r>
        <w:rPr>
          <w:rFonts w:ascii="Times New Roman" w:hAnsi="Times New Roman" w:cs="Times New Roman"/>
          <w:sz w:val="24"/>
          <w:szCs w:val="24"/>
        </w:rPr>
        <w:t>4</w:t>
      </w:r>
      <w:r>
        <w:rPr>
          <w:rFonts w:ascii="Times New Roman" w:hAnsi="Times New Roman" w:cs="Times New Roman" w:hint="eastAsia"/>
          <w:sz w:val="24"/>
          <w:szCs w:val="24"/>
        </w:rPr>
        <w:t>和</w:t>
      </w:r>
      <w:r>
        <w:rPr>
          <w:rFonts w:ascii="Times New Roman" w:hAnsi="Times New Roman" w:cs="Times New Roman" w:hint="eastAsia"/>
          <w:sz w:val="24"/>
          <w:szCs w:val="24"/>
        </w:rPr>
        <w:t>0.999</w:t>
      </w:r>
      <w:r>
        <w:rPr>
          <w:rFonts w:ascii="Times New Roman" w:hAnsi="Times New Roman" w:cs="Times New Roman"/>
          <w:sz w:val="24"/>
          <w:szCs w:val="24"/>
        </w:rPr>
        <w:t>8</w:t>
      </w:r>
      <w:r>
        <w:rPr>
          <w:rFonts w:ascii="Times New Roman" w:hAnsi="Times New Roman" w:cs="Times New Roman" w:hint="eastAsia"/>
          <w:sz w:val="24"/>
          <w:szCs w:val="24"/>
        </w:rPr>
        <w:t>如图</w:t>
      </w:r>
      <w:r>
        <w:rPr>
          <w:rFonts w:ascii="Times New Roman" w:hAnsi="Times New Roman" w:cs="Times New Roman" w:hint="eastAsia"/>
          <w:sz w:val="24"/>
          <w:szCs w:val="24"/>
        </w:rPr>
        <w:t>1</w:t>
      </w:r>
      <w:r>
        <w:rPr>
          <w:rFonts w:ascii="Times New Roman" w:hAnsi="Times New Roman" w:cs="Times New Roman" w:hint="eastAsia"/>
          <w:sz w:val="24"/>
          <w:szCs w:val="24"/>
        </w:rPr>
        <w:t>、图</w:t>
      </w:r>
      <w:r>
        <w:rPr>
          <w:rFonts w:ascii="Times New Roman" w:hAnsi="Times New Roman" w:cs="Times New Roman" w:hint="eastAsia"/>
          <w:sz w:val="24"/>
          <w:szCs w:val="24"/>
        </w:rPr>
        <w:t>2</w:t>
      </w:r>
      <w:r>
        <w:rPr>
          <w:rFonts w:ascii="Times New Roman" w:hAnsi="Times New Roman" w:cs="Times New Roman" w:hint="eastAsia"/>
          <w:sz w:val="24"/>
          <w:szCs w:val="24"/>
        </w:rPr>
        <w:t>。</w:t>
      </w:r>
    </w:p>
    <w:p w:rsidR="005C455F" w:rsidRDefault="006E0C59">
      <w:pPr>
        <w:pStyle w:val="af7"/>
        <w:spacing w:line="360" w:lineRule="auto"/>
        <w:ind w:firstLineChars="0" w:firstLine="0"/>
        <w:jc w:val="center"/>
        <w:rPr>
          <w:rFonts w:ascii="Times New Roman" w:hAnsi="Times New Roman" w:cs="Times New Roman"/>
          <w:b/>
          <w:bCs/>
          <w:sz w:val="24"/>
          <w:szCs w:val="24"/>
        </w:rPr>
      </w:pPr>
      <w:r>
        <w:rPr>
          <w:noProof/>
        </w:rPr>
        <w:lastRenderedPageBreak/>
        <w:drawing>
          <wp:inline distT="0" distB="0" distL="0" distR="0">
            <wp:extent cx="2567940" cy="2734310"/>
            <wp:effectExtent l="4445" t="4445" r="5715" b="171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Pr>
          <w:noProof/>
        </w:rPr>
        <w:drawing>
          <wp:inline distT="0" distB="0" distL="0" distR="0">
            <wp:extent cx="2615565" cy="2743200"/>
            <wp:effectExtent l="4445" t="4445" r="8890" b="825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C455F" w:rsidRDefault="006E0C59">
      <w:pPr>
        <w:pStyle w:val="af7"/>
        <w:spacing w:line="360" w:lineRule="auto"/>
        <w:jc w:val="center"/>
        <w:rPr>
          <w:rFonts w:ascii="黑体" w:eastAsia="黑体" w:hAnsi="Times New Roman"/>
          <w:kern w:val="0"/>
          <w:szCs w:val="20"/>
        </w:rPr>
      </w:pPr>
      <w:r>
        <w:rPr>
          <w:rFonts w:ascii="黑体" w:eastAsia="黑体" w:hAnsi="Times New Roman" w:hint="eastAsia"/>
          <w:kern w:val="0"/>
          <w:szCs w:val="20"/>
        </w:rPr>
        <w:t>图1 4-氨基安替比林法标准曲线</w:t>
      </w:r>
      <w:r>
        <w:rPr>
          <w:rFonts w:ascii="宋体" w:eastAsia="宋体" w:hAnsi="宋体" w:cs="Times New Roman" w:hint="eastAsia"/>
          <w:szCs w:val="21"/>
        </w:rPr>
        <w:t xml:space="preserve"> </w:t>
      </w:r>
      <w:r>
        <w:rPr>
          <w:rFonts w:ascii="宋体" w:eastAsia="宋体" w:hAnsi="宋体" w:cs="Times New Roman"/>
          <w:szCs w:val="21"/>
        </w:rPr>
        <w:t xml:space="preserve">           </w:t>
      </w:r>
      <w:r>
        <w:rPr>
          <w:rFonts w:ascii="黑体" w:eastAsia="黑体" w:hAnsi="Times New Roman" w:hint="eastAsia"/>
          <w:kern w:val="0"/>
          <w:szCs w:val="20"/>
        </w:rPr>
        <w:t xml:space="preserve">  图2</w:t>
      </w:r>
      <w:proofErr w:type="gramStart"/>
      <w:r>
        <w:rPr>
          <w:rFonts w:ascii="黑体" w:eastAsia="黑体" w:hAnsi="Times New Roman" w:hint="eastAsia"/>
          <w:kern w:val="0"/>
          <w:szCs w:val="20"/>
        </w:rPr>
        <w:t>邻联茴香胺法</w:t>
      </w:r>
      <w:proofErr w:type="gramEnd"/>
      <w:r>
        <w:rPr>
          <w:rFonts w:ascii="黑体" w:eastAsia="黑体" w:hAnsi="Times New Roman" w:hint="eastAsia"/>
          <w:kern w:val="0"/>
          <w:szCs w:val="20"/>
        </w:rPr>
        <w:t>标准曲线</w:t>
      </w:r>
    </w:p>
    <w:p w:rsidR="005C455F" w:rsidRDefault="006E0C59">
      <w:pPr>
        <w:pStyle w:val="af9"/>
      </w:pPr>
      <w:r>
        <w:rPr>
          <w:rFonts w:hint="eastAsia"/>
        </w:rPr>
        <w:t>1.2</w:t>
      </w:r>
      <w:r>
        <w:rPr>
          <w:rFonts w:hint="eastAsia"/>
        </w:rPr>
        <w:t>显色方式的选择</w:t>
      </w:r>
    </w:p>
    <w:p w:rsidR="005C455F" w:rsidRDefault="006E0C59">
      <w:pPr>
        <w:widowControl/>
        <w:spacing w:line="360" w:lineRule="auto"/>
        <w:ind w:firstLineChars="200" w:firstLine="480"/>
        <w:jc w:val="left"/>
        <w:rPr>
          <w:rFonts w:ascii="Times New Roman" w:hAnsi="Times New Roman" w:cs="Times New Roman"/>
          <w:sz w:val="24"/>
          <w:szCs w:val="21"/>
        </w:rPr>
      </w:pPr>
      <w:r>
        <w:rPr>
          <w:rFonts w:ascii="Times New Roman" w:hAnsi="Times New Roman" w:hint="eastAsia"/>
          <w:sz w:val="24"/>
          <w:szCs w:val="24"/>
        </w:rPr>
        <w:t>4-</w:t>
      </w:r>
      <w:r>
        <w:rPr>
          <w:rFonts w:ascii="Times New Roman" w:hAnsi="Times New Roman" w:hint="eastAsia"/>
          <w:sz w:val="24"/>
          <w:szCs w:val="24"/>
        </w:rPr>
        <w:t>氨基安替比林法</w:t>
      </w:r>
      <w:r>
        <w:rPr>
          <w:rFonts w:ascii="Times New Roman" w:hAnsi="Times New Roman" w:cs="Times New Roman" w:hint="eastAsia"/>
          <w:sz w:val="24"/>
          <w:szCs w:val="21"/>
        </w:rPr>
        <w:t>显色原理：葡萄糖分解得到的过氧化氢与还原型</w:t>
      </w:r>
      <w:r>
        <w:rPr>
          <w:rFonts w:ascii="Times New Roman" w:hAnsi="Times New Roman" w:hint="eastAsia"/>
          <w:sz w:val="24"/>
          <w:szCs w:val="24"/>
        </w:rPr>
        <w:t>4-</w:t>
      </w:r>
      <w:r>
        <w:rPr>
          <w:rFonts w:ascii="Times New Roman" w:hAnsi="Times New Roman" w:hint="eastAsia"/>
          <w:sz w:val="24"/>
          <w:szCs w:val="24"/>
        </w:rPr>
        <w:t>氨基安替比林</w:t>
      </w:r>
      <w:r>
        <w:rPr>
          <w:rFonts w:ascii="Times New Roman" w:hAnsi="Times New Roman" w:cs="Times New Roman" w:hint="eastAsia"/>
          <w:sz w:val="24"/>
          <w:szCs w:val="21"/>
        </w:rPr>
        <w:t>和苯酚在辣根过氧化物酶的催化作用下，生成红色的</w:t>
      </w:r>
      <w:proofErr w:type="gramStart"/>
      <w:r>
        <w:rPr>
          <w:rFonts w:ascii="Times New Roman" w:hAnsi="Times New Roman" w:cs="Times New Roman" w:hint="eastAsia"/>
          <w:sz w:val="24"/>
          <w:szCs w:val="21"/>
        </w:rPr>
        <w:t>醌</w:t>
      </w:r>
      <w:proofErr w:type="gramEnd"/>
      <w:r>
        <w:rPr>
          <w:rFonts w:ascii="Times New Roman" w:hAnsi="Times New Roman" w:cs="Times New Roman" w:hint="eastAsia"/>
          <w:sz w:val="24"/>
          <w:szCs w:val="21"/>
        </w:rPr>
        <w:t>亚胺，在</w:t>
      </w:r>
      <w:r>
        <w:rPr>
          <w:rFonts w:ascii="Times New Roman" w:hAnsi="Times New Roman" w:cs="Times New Roman" w:hint="eastAsia"/>
          <w:sz w:val="24"/>
          <w:szCs w:val="21"/>
        </w:rPr>
        <w:t>500nm</w:t>
      </w:r>
      <w:r>
        <w:rPr>
          <w:rFonts w:ascii="Times New Roman" w:hAnsi="Times New Roman" w:cs="Times New Roman" w:hint="eastAsia"/>
          <w:sz w:val="24"/>
          <w:szCs w:val="21"/>
        </w:rPr>
        <w:t>下有最大的光吸收。</w:t>
      </w:r>
    </w:p>
    <w:p w:rsidR="005C455F" w:rsidRDefault="006E0C59">
      <w:pPr>
        <w:widowControl/>
        <w:spacing w:line="360" w:lineRule="auto"/>
        <w:ind w:firstLineChars="200" w:firstLine="480"/>
        <w:jc w:val="left"/>
        <w:rPr>
          <w:rFonts w:ascii="Times New Roman" w:hAnsi="Times New Roman" w:cs="Times New Roman"/>
          <w:sz w:val="24"/>
          <w:szCs w:val="21"/>
        </w:rPr>
      </w:pPr>
      <w:proofErr w:type="gramStart"/>
      <w:r>
        <w:rPr>
          <w:rFonts w:ascii="Times New Roman" w:hAnsi="Times New Roman" w:hint="eastAsia"/>
          <w:sz w:val="24"/>
          <w:szCs w:val="24"/>
        </w:rPr>
        <w:t>邻联茴香胺法</w:t>
      </w:r>
      <w:proofErr w:type="gramEnd"/>
      <w:r>
        <w:rPr>
          <w:rFonts w:ascii="Times New Roman" w:hAnsi="Times New Roman" w:cs="Times New Roman" w:hint="eastAsia"/>
          <w:sz w:val="24"/>
          <w:szCs w:val="21"/>
        </w:rPr>
        <w:t>显色原理：葡萄糖分解得到的过氧化氢和无色的还原型</w:t>
      </w:r>
      <w:proofErr w:type="gramStart"/>
      <w:r>
        <w:rPr>
          <w:rFonts w:ascii="Times New Roman" w:hAnsi="Times New Roman" w:cs="Times New Roman" w:hint="eastAsia"/>
          <w:sz w:val="24"/>
          <w:szCs w:val="21"/>
        </w:rPr>
        <w:t>邻联茴香胺在</w:t>
      </w:r>
      <w:proofErr w:type="gramEnd"/>
      <w:r>
        <w:rPr>
          <w:rFonts w:ascii="Times New Roman" w:hAnsi="Times New Roman" w:cs="Times New Roman" w:hint="eastAsia"/>
          <w:sz w:val="24"/>
          <w:szCs w:val="21"/>
        </w:rPr>
        <w:t>过氧化物酶的作用下，生成水和红色的氧化</w:t>
      </w:r>
      <w:proofErr w:type="gramStart"/>
      <w:r>
        <w:rPr>
          <w:rFonts w:ascii="Times New Roman" w:hAnsi="Times New Roman" w:cs="Times New Roman" w:hint="eastAsia"/>
          <w:sz w:val="24"/>
          <w:szCs w:val="21"/>
        </w:rPr>
        <w:t>型邻联</w:t>
      </w:r>
      <w:proofErr w:type="gramEnd"/>
      <w:r>
        <w:rPr>
          <w:rFonts w:ascii="Times New Roman" w:hAnsi="Times New Roman" w:cs="Times New Roman" w:hint="eastAsia"/>
          <w:sz w:val="24"/>
          <w:szCs w:val="21"/>
        </w:rPr>
        <w:t>茴香胺，在</w:t>
      </w:r>
      <w:r>
        <w:rPr>
          <w:rFonts w:ascii="Times New Roman" w:hAnsi="Times New Roman" w:cs="Times New Roman" w:hint="eastAsia"/>
          <w:sz w:val="24"/>
          <w:szCs w:val="21"/>
        </w:rPr>
        <w:t>540nm</w:t>
      </w:r>
      <w:r>
        <w:rPr>
          <w:rFonts w:ascii="Times New Roman" w:hAnsi="Times New Roman" w:cs="Times New Roman" w:hint="eastAsia"/>
          <w:sz w:val="24"/>
          <w:szCs w:val="21"/>
        </w:rPr>
        <w:t>下有最大的光吸收。</w:t>
      </w:r>
    </w:p>
    <w:p w:rsidR="005C455F" w:rsidRDefault="006E0C59">
      <w:pPr>
        <w:widowControl/>
        <w:spacing w:line="360" w:lineRule="auto"/>
        <w:ind w:firstLineChars="200" w:firstLine="480"/>
        <w:jc w:val="left"/>
        <w:rPr>
          <w:rFonts w:ascii="Times New Roman" w:hAnsi="Times New Roman" w:cs="Times New Roman"/>
          <w:b/>
          <w:bCs/>
          <w:sz w:val="24"/>
          <w:szCs w:val="21"/>
        </w:rPr>
      </w:pPr>
      <w:r>
        <w:rPr>
          <w:rFonts w:ascii="Times New Roman" w:hAnsi="Times New Roman" w:cs="Times New Roman" w:hint="eastAsia"/>
          <w:sz w:val="24"/>
          <w:szCs w:val="21"/>
        </w:rPr>
        <w:t>分别使用</w:t>
      </w:r>
      <w:r>
        <w:rPr>
          <w:rFonts w:ascii="Times New Roman" w:hAnsi="Times New Roman" w:hint="eastAsia"/>
          <w:sz w:val="24"/>
          <w:szCs w:val="24"/>
        </w:rPr>
        <w:t>4-</w:t>
      </w:r>
      <w:r>
        <w:rPr>
          <w:rFonts w:ascii="Times New Roman" w:hAnsi="Times New Roman" w:hint="eastAsia"/>
          <w:sz w:val="24"/>
          <w:szCs w:val="24"/>
        </w:rPr>
        <w:t>氨基安替比林法和</w:t>
      </w:r>
      <w:proofErr w:type="gramStart"/>
      <w:r>
        <w:rPr>
          <w:rFonts w:ascii="Times New Roman" w:hAnsi="Times New Roman" w:hint="eastAsia"/>
          <w:sz w:val="24"/>
          <w:szCs w:val="24"/>
        </w:rPr>
        <w:t>邻联茴香胺法</w:t>
      </w:r>
      <w:r>
        <w:rPr>
          <w:rFonts w:ascii="Times New Roman" w:hAnsi="Times New Roman" w:cs="Times New Roman" w:hint="eastAsia"/>
          <w:sz w:val="24"/>
          <w:szCs w:val="21"/>
        </w:rPr>
        <w:t>两种</w:t>
      </w:r>
      <w:proofErr w:type="gramEnd"/>
      <w:r>
        <w:rPr>
          <w:rFonts w:ascii="Times New Roman" w:hAnsi="Times New Roman" w:cs="Times New Roman" w:hint="eastAsia"/>
          <w:sz w:val="24"/>
          <w:szCs w:val="21"/>
        </w:rPr>
        <w:t>方法测定</w:t>
      </w:r>
      <w:r>
        <w:rPr>
          <w:rFonts w:ascii="Times New Roman" w:hAnsi="Times New Roman" w:cs="Times New Roman" w:hint="eastAsia"/>
          <w:sz w:val="24"/>
          <w:szCs w:val="21"/>
        </w:rPr>
        <w:t>1</w:t>
      </w:r>
      <w:r>
        <w:rPr>
          <w:rFonts w:ascii="Times New Roman" w:hAnsi="Times New Roman" w:cs="Times New Roman"/>
          <w:sz w:val="24"/>
          <w:szCs w:val="21"/>
        </w:rPr>
        <w:t>1</w:t>
      </w:r>
      <w:r>
        <w:rPr>
          <w:rFonts w:ascii="Times New Roman" w:hAnsi="Times New Roman" w:cs="Times New Roman" w:hint="eastAsia"/>
          <w:sz w:val="24"/>
          <w:szCs w:val="21"/>
        </w:rPr>
        <w:t>种葡萄糖氧化酶样品的酶活力，根据结果得知采用</w:t>
      </w:r>
      <w:proofErr w:type="gramStart"/>
      <w:r>
        <w:rPr>
          <w:rFonts w:ascii="Times New Roman" w:hAnsi="Times New Roman" w:hint="eastAsia"/>
          <w:sz w:val="24"/>
          <w:szCs w:val="24"/>
        </w:rPr>
        <w:t>邻联茴香胺法</w:t>
      </w:r>
      <w:proofErr w:type="gramEnd"/>
      <w:r>
        <w:rPr>
          <w:rFonts w:ascii="Times New Roman" w:hAnsi="Times New Roman" w:hint="eastAsia"/>
          <w:sz w:val="24"/>
          <w:szCs w:val="24"/>
        </w:rPr>
        <w:t>测定的酶活力均高于</w:t>
      </w:r>
      <w:r>
        <w:rPr>
          <w:rFonts w:ascii="Times New Roman" w:hAnsi="Times New Roman" w:hint="eastAsia"/>
          <w:sz w:val="24"/>
          <w:szCs w:val="24"/>
        </w:rPr>
        <w:t>4-</w:t>
      </w:r>
      <w:r>
        <w:rPr>
          <w:rFonts w:ascii="Times New Roman" w:hAnsi="Times New Roman" w:hint="eastAsia"/>
          <w:sz w:val="24"/>
          <w:szCs w:val="24"/>
        </w:rPr>
        <w:t>氨基安替比林法的测定值，相对相差在</w:t>
      </w:r>
      <w:r>
        <w:rPr>
          <w:rFonts w:ascii="Times New Roman" w:hAnsi="Times New Roman" w:hint="eastAsia"/>
          <w:sz w:val="24"/>
          <w:szCs w:val="24"/>
        </w:rPr>
        <w:t>8.16%~48.54%</w:t>
      </w:r>
      <w:r>
        <w:rPr>
          <w:rFonts w:ascii="Times New Roman" w:hAnsi="Times New Roman" w:hint="eastAsia"/>
          <w:sz w:val="24"/>
          <w:szCs w:val="24"/>
        </w:rPr>
        <w:t>。因此</w:t>
      </w:r>
      <w:proofErr w:type="gramStart"/>
      <w:r>
        <w:rPr>
          <w:rFonts w:ascii="Times New Roman" w:hAnsi="Times New Roman" w:hint="eastAsia"/>
          <w:sz w:val="24"/>
          <w:szCs w:val="24"/>
        </w:rPr>
        <w:t>邻联茴香胺法</w:t>
      </w:r>
      <w:proofErr w:type="gramEnd"/>
      <w:r>
        <w:rPr>
          <w:rFonts w:ascii="Times New Roman" w:hAnsi="Times New Roman" w:hint="eastAsia"/>
          <w:sz w:val="24"/>
          <w:szCs w:val="24"/>
        </w:rPr>
        <w:t>要优于</w:t>
      </w:r>
      <w:r>
        <w:rPr>
          <w:rFonts w:ascii="Times New Roman" w:hAnsi="Times New Roman" w:hint="eastAsia"/>
          <w:sz w:val="24"/>
          <w:szCs w:val="24"/>
        </w:rPr>
        <w:t>4-</w:t>
      </w:r>
      <w:r>
        <w:rPr>
          <w:rFonts w:ascii="Times New Roman" w:hAnsi="Times New Roman" w:hint="eastAsia"/>
          <w:sz w:val="24"/>
          <w:szCs w:val="24"/>
        </w:rPr>
        <w:t>氨基安替比林法。</w:t>
      </w:r>
    </w:p>
    <w:p w:rsidR="005C455F" w:rsidRDefault="006E0C59">
      <w:pPr>
        <w:widowControl/>
        <w:tabs>
          <w:tab w:val="left" w:pos="360"/>
        </w:tabs>
        <w:jc w:val="center"/>
        <w:rPr>
          <w:rFonts w:ascii="黑体" w:eastAsia="黑体" w:hAnsi="Times New Roman"/>
          <w:kern w:val="0"/>
          <w:szCs w:val="20"/>
        </w:rPr>
      </w:pPr>
      <w:r>
        <w:rPr>
          <w:rFonts w:ascii="黑体" w:eastAsia="黑体" w:hAnsi="Times New Roman" w:hint="eastAsia"/>
          <w:kern w:val="0"/>
          <w:szCs w:val="20"/>
        </w:rPr>
        <w:t>表4 两种不同显色的比较</w:t>
      </w:r>
    </w:p>
    <w:tbl>
      <w:tblPr>
        <w:tblW w:w="5000" w:type="pct"/>
        <w:tblLook w:val="04A0" w:firstRow="1" w:lastRow="0" w:firstColumn="1" w:lastColumn="0" w:noHBand="0" w:noVBand="1"/>
      </w:tblPr>
      <w:tblGrid>
        <w:gridCol w:w="1652"/>
        <w:gridCol w:w="2041"/>
        <w:gridCol w:w="1613"/>
        <w:gridCol w:w="2990"/>
      </w:tblGrid>
      <w:tr w:rsidR="005C455F">
        <w:trPr>
          <w:trHeight w:val="315"/>
        </w:trPr>
        <w:tc>
          <w:tcPr>
            <w:tcW w:w="99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宋体" w:eastAsia="宋体" w:hAnsi="宋体" w:cs="Times New Roman" w:hint="eastAsia"/>
                <w:kern w:val="0"/>
                <w:szCs w:val="21"/>
              </w:rPr>
              <w:t>样品编号</w:t>
            </w:r>
          </w:p>
        </w:tc>
        <w:tc>
          <w:tcPr>
            <w:tcW w:w="2202" w:type="pct"/>
            <w:gridSpan w:val="2"/>
            <w:tcBorders>
              <w:top w:val="single" w:sz="4" w:space="0" w:color="auto"/>
              <w:left w:val="nil"/>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宋体" w:eastAsia="宋体" w:hAnsi="宋体" w:cs="Times New Roman" w:hint="eastAsia"/>
                <w:kern w:val="0"/>
                <w:szCs w:val="21"/>
              </w:rPr>
              <w:t>酶活力（</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g</w:t>
            </w:r>
            <w:r>
              <w:rPr>
                <w:rFonts w:ascii="宋体" w:eastAsia="宋体" w:hAnsi="宋体" w:cs="Times New Roman" w:hint="eastAsia"/>
                <w:kern w:val="0"/>
                <w:szCs w:val="21"/>
              </w:rPr>
              <w:t>）</w:t>
            </w:r>
          </w:p>
        </w:tc>
        <w:tc>
          <w:tcPr>
            <w:tcW w:w="1802" w:type="pct"/>
            <w:vMerge w:val="restart"/>
            <w:tcBorders>
              <w:top w:val="single" w:sz="4" w:space="0" w:color="auto"/>
              <w:left w:val="nil"/>
              <w:right w:val="single" w:sz="4" w:space="0" w:color="auto"/>
            </w:tcBorders>
            <w:vAlign w:val="center"/>
          </w:tcPr>
          <w:p w:rsidR="005C455F" w:rsidRDefault="006E0C59">
            <w:pPr>
              <w:widowControl/>
              <w:jc w:val="center"/>
              <w:rPr>
                <w:rFonts w:ascii="宋体" w:eastAsia="宋体" w:hAnsi="宋体" w:cs="Times New Roman"/>
                <w:kern w:val="0"/>
                <w:szCs w:val="21"/>
              </w:rPr>
            </w:pPr>
            <w:r>
              <w:rPr>
                <w:rFonts w:ascii="宋体" w:eastAsia="宋体" w:hAnsi="宋体" w:cs="Times New Roman" w:hint="eastAsia"/>
                <w:kern w:val="0"/>
                <w:szCs w:val="21"/>
              </w:rPr>
              <w:t>相对相差</w:t>
            </w:r>
          </w:p>
        </w:tc>
      </w:tr>
      <w:tr w:rsidR="005C455F">
        <w:trPr>
          <w:trHeight w:val="315"/>
        </w:trPr>
        <w:tc>
          <w:tcPr>
            <w:tcW w:w="996" w:type="pct"/>
            <w:vMerge/>
            <w:tcBorders>
              <w:top w:val="single" w:sz="4" w:space="0" w:color="auto"/>
              <w:left w:val="single" w:sz="4" w:space="0" w:color="auto"/>
              <w:bottom w:val="single" w:sz="4" w:space="0" w:color="auto"/>
              <w:right w:val="single" w:sz="4" w:space="0" w:color="auto"/>
            </w:tcBorders>
            <w:vAlign w:val="center"/>
          </w:tcPr>
          <w:p w:rsidR="005C455F" w:rsidRDefault="005C455F">
            <w:pPr>
              <w:widowControl/>
              <w:jc w:val="left"/>
              <w:rPr>
                <w:rFonts w:ascii="Times New Roman" w:eastAsia="宋体" w:hAnsi="Times New Roman" w:cs="Times New Roman"/>
                <w:kern w:val="0"/>
                <w:szCs w:val="21"/>
              </w:rPr>
            </w:pPr>
          </w:p>
        </w:tc>
        <w:tc>
          <w:tcPr>
            <w:tcW w:w="1230" w:type="pct"/>
            <w:tcBorders>
              <w:top w:val="nil"/>
              <w:left w:val="nil"/>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宋体" w:eastAsia="宋体" w:hAnsi="宋体" w:cs="Times New Roman" w:hint="eastAsia"/>
                <w:kern w:val="0"/>
                <w:szCs w:val="21"/>
              </w:rPr>
              <w:t>氨基安替比林法</w:t>
            </w:r>
          </w:p>
        </w:tc>
        <w:tc>
          <w:tcPr>
            <w:tcW w:w="972" w:type="pct"/>
            <w:tcBorders>
              <w:top w:val="nil"/>
              <w:left w:val="nil"/>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proofErr w:type="gramStart"/>
            <w:r>
              <w:rPr>
                <w:rFonts w:ascii="宋体" w:eastAsia="宋体" w:hAnsi="宋体" w:cs="Times New Roman" w:hint="eastAsia"/>
                <w:kern w:val="0"/>
                <w:szCs w:val="21"/>
              </w:rPr>
              <w:t>邻联茴香胺法</w:t>
            </w:r>
            <w:proofErr w:type="gramEnd"/>
          </w:p>
        </w:tc>
        <w:tc>
          <w:tcPr>
            <w:tcW w:w="1802" w:type="pct"/>
            <w:vMerge/>
            <w:tcBorders>
              <w:left w:val="nil"/>
              <w:bottom w:val="single" w:sz="4" w:space="0" w:color="auto"/>
              <w:right w:val="single" w:sz="4" w:space="0" w:color="auto"/>
            </w:tcBorders>
          </w:tcPr>
          <w:p w:rsidR="005C455F" w:rsidRDefault="005C455F">
            <w:pPr>
              <w:widowControl/>
              <w:jc w:val="center"/>
              <w:rPr>
                <w:rFonts w:ascii="宋体" w:eastAsia="宋体" w:hAnsi="宋体" w:cs="Times New Roman"/>
                <w:kern w:val="0"/>
                <w:szCs w:val="21"/>
              </w:rPr>
            </w:pP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SCFF-GOD-01</w:t>
            </w:r>
          </w:p>
        </w:tc>
        <w:tc>
          <w:tcPr>
            <w:tcW w:w="1230" w:type="pct"/>
            <w:tcBorders>
              <w:top w:val="nil"/>
              <w:left w:val="nil"/>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3309</w:t>
            </w:r>
          </w:p>
        </w:tc>
        <w:tc>
          <w:tcPr>
            <w:tcW w:w="972" w:type="pct"/>
            <w:tcBorders>
              <w:top w:val="nil"/>
              <w:left w:val="nil"/>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4484</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35.51%</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SCFF-GOD-02</w:t>
            </w:r>
          </w:p>
        </w:tc>
        <w:tc>
          <w:tcPr>
            <w:tcW w:w="1230" w:type="pct"/>
            <w:tcBorders>
              <w:top w:val="nil"/>
              <w:left w:val="nil"/>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3389</w:t>
            </w:r>
          </w:p>
        </w:tc>
        <w:tc>
          <w:tcPr>
            <w:tcW w:w="972" w:type="pct"/>
            <w:tcBorders>
              <w:top w:val="nil"/>
              <w:left w:val="nil"/>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4457</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31.51%</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SCFF-GOD-03</w:t>
            </w:r>
          </w:p>
        </w:tc>
        <w:tc>
          <w:tcPr>
            <w:tcW w:w="1230"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9321</w:t>
            </w:r>
          </w:p>
        </w:tc>
        <w:tc>
          <w:tcPr>
            <w:tcW w:w="972"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12612</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35.31%</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SCFF-GOD-04</w:t>
            </w:r>
          </w:p>
        </w:tc>
        <w:tc>
          <w:tcPr>
            <w:tcW w:w="1230"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1360</w:t>
            </w:r>
          </w:p>
        </w:tc>
        <w:tc>
          <w:tcPr>
            <w:tcW w:w="972"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1731</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27.28%</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SCFF-GOD-05</w:t>
            </w:r>
          </w:p>
        </w:tc>
        <w:tc>
          <w:tcPr>
            <w:tcW w:w="1230"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3078</w:t>
            </w:r>
          </w:p>
        </w:tc>
        <w:tc>
          <w:tcPr>
            <w:tcW w:w="972"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3964</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28.78%</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SCFF-GOD-06</w:t>
            </w:r>
          </w:p>
        </w:tc>
        <w:tc>
          <w:tcPr>
            <w:tcW w:w="1230"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15181</w:t>
            </w:r>
          </w:p>
        </w:tc>
        <w:tc>
          <w:tcPr>
            <w:tcW w:w="972"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22550</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48.54%</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SCFF-GOD-07</w:t>
            </w:r>
          </w:p>
        </w:tc>
        <w:tc>
          <w:tcPr>
            <w:tcW w:w="1230"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5797</w:t>
            </w:r>
          </w:p>
        </w:tc>
        <w:tc>
          <w:tcPr>
            <w:tcW w:w="972"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8047</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38.81%</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SCFF-GOD-08</w:t>
            </w:r>
          </w:p>
        </w:tc>
        <w:tc>
          <w:tcPr>
            <w:tcW w:w="1230"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7040</w:t>
            </w:r>
          </w:p>
        </w:tc>
        <w:tc>
          <w:tcPr>
            <w:tcW w:w="972"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9011</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28.00%</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SCFF-GOD-09</w:t>
            </w:r>
          </w:p>
        </w:tc>
        <w:tc>
          <w:tcPr>
            <w:tcW w:w="1230"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9388</w:t>
            </w:r>
          </w:p>
        </w:tc>
        <w:tc>
          <w:tcPr>
            <w:tcW w:w="972"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12285</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30.86%</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SCFF-GOD-10</w:t>
            </w:r>
          </w:p>
        </w:tc>
        <w:tc>
          <w:tcPr>
            <w:tcW w:w="1230"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9388</w:t>
            </w:r>
          </w:p>
        </w:tc>
        <w:tc>
          <w:tcPr>
            <w:tcW w:w="972"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11881</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26.56%</w:t>
            </w:r>
          </w:p>
        </w:tc>
      </w:tr>
      <w:tr w:rsidR="005C455F">
        <w:trPr>
          <w:trHeight w:val="315"/>
        </w:trPr>
        <w:tc>
          <w:tcPr>
            <w:tcW w:w="996" w:type="pct"/>
            <w:tcBorders>
              <w:top w:val="nil"/>
              <w:left w:val="single" w:sz="4" w:space="0" w:color="auto"/>
              <w:bottom w:val="single" w:sz="4" w:space="0" w:color="auto"/>
              <w:right w:val="single" w:sz="4" w:space="0" w:color="auto"/>
            </w:tcBorders>
            <w:shd w:val="clear" w:color="auto" w:fill="auto"/>
            <w:noWrap/>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SCFF-GOD-11</w:t>
            </w:r>
          </w:p>
        </w:tc>
        <w:tc>
          <w:tcPr>
            <w:tcW w:w="1230"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4751</w:t>
            </w:r>
          </w:p>
        </w:tc>
        <w:tc>
          <w:tcPr>
            <w:tcW w:w="972"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5134</w:t>
            </w:r>
          </w:p>
        </w:tc>
        <w:tc>
          <w:tcPr>
            <w:tcW w:w="1802" w:type="pct"/>
            <w:tcBorders>
              <w:top w:val="nil"/>
              <w:left w:val="nil"/>
              <w:bottom w:val="single" w:sz="4" w:space="0" w:color="auto"/>
              <w:right w:val="single" w:sz="4" w:space="0" w:color="auto"/>
            </w:tcBorders>
          </w:tcPr>
          <w:p w:rsidR="005C455F" w:rsidRDefault="006E0C59">
            <w:pPr>
              <w:widowControl/>
              <w:jc w:val="center"/>
              <w:rPr>
                <w:rFonts w:ascii="Times New Roman" w:eastAsia="宋体" w:hAnsi="Times New Roman" w:cs="Times New Roman"/>
                <w:kern w:val="0"/>
                <w:szCs w:val="21"/>
              </w:rPr>
            </w:pPr>
            <w:r>
              <w:rPr>
                <w:szCs w:val="21"/>
              </w:rPr>
              <w:t>8.06%</w:t>
            </w:r>
          </w:p>
        </w:tc>
      </w:tr>
    </w:tbl>
    <w:p w:rsidR="005C455F" w:rsidRDefault="006E0C59">
      <w:pPr>
        <w:widowControl/>
        <w:spacing w:line="360" w:lineRule="auto"/>
        <w:jc w:val="left"/>
        <w:rPr>
          <w:rFonts w:ascii="Times New Roman" w:hAnsi="Times New Roman" w:cs="Times New Roman"/>
          <w:b/>
          <w:bCs/>
          <w:sz w:val="24"/>
          <w:szCs w:val="21"/>
        </w:rPr>
      </w:pPr>
      <w:r>
        <w:rPr>
          <w:noProof/>
        </w:rPr>
        <w:drawing>
          <wp:inline distT="0" distB="0" distL="0" distR="0">
            <wp:extent cx="5296535" cy="3924300"/>
            <wp:effectExtent l="4445" t="4445" r="7620" b="825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C455F" w:rsidRDefault="006E0C59">
      <w:pPr>
        <w:widowControl/>
        <w:tabs>
          <w:tab w:val="left" w:pos="360"/>
        </w:tabs>
        <w:spacing w:beforeLines="50" w:before="156" w:afterLines="50" w:after="156"/>
        <w:jc w:val="center"/>
        <w:rPr>
          <w:rFonts w:ascii="Times New Roman" w:eastAsia="宋体" w:hAnsi="Times New Roman" w:cs="Times New Roman"/>
          <w:szCs w:val="21"/>
        </w:rPr>
      </w:pPr>
      <w:r>
        <w:rPr>
          <w:rFonts w:ascii="黑体" w:eastAsia="黑体" w:hAnsi="Times New Roman" w:hint="eastAsia"/>
          <w:kern w:val="0"/>
          <w:szCs w:val="20"/>
        </w:rPr>
        <w:t>图3 4-氨基安替比林法和</w:t>
      </w:r>
      <w:proofErr w:type="gramStart"/>
      <w:r>
        <w:rPr>
          <w:rFonts w:ascii="黑体" w:eastAsia="黑体" w:hAnsi="Times New Roman" w:hint="eastAsia"/>
          <w:kern w:val="0"/>
          <w:szCs w:val="20"/>
        </w:rPr>
        <w:t>邻联茴香胺法方法</w:t>
      </w:r>
      <w:proofErr w:type="gramEnd"/>
      <w:r>
        <w:rPr>
          <w:rFonts w:ascii="黑体" w:eastAsia="黑体" w:hAnsi="Times New Roman" w:hint="eastAsia"/>
          <w:kern w:val="0"/>
          <w:szCs w:val="20"/>
        </w:rPr>
        <w:t>对比</w:t>
      </w:r>
    </w:p>
    <w:p w:rsidR="005C455F" w:rsidRDefault="006E0C59">
      <w:pPr>
        <w:pStyle w:val="af9"/>
        <w:numPr>
          <w:ilvl w:val="0"/>
          <w:numId w:val="9"/>
        </w:numPr>
        <w:ind w:firstLineChars="0"/>
      </w:pPr>
      <w:r>
        <w:rPr>
          <w:rFonts w:hint="eastAsia"/>
        </w:rPr>
        <w:t>实验室比对结果</w:t>
      </w:r>
    </w:p>
    <w:p w:rsidR="005C455F" w:rsidRDefault="006E0C59">
      <w:pPr>
        <w:widowControl/>
        <w:spacing w:line="360" w:lineRule="auto"/>
        <w:ind w:firstLineChars="200" w:firstLine="480"/>
        <w:rPr>
          <w:rFonts w:ascii="Times New Roman" w:hAnsi="Times New Roman"/>
          <w:kern w:val="0"/>
          <w:sz w:val="24"/>
          <w:szCs w:val="24"/>
        </w:rPr>
      </w:pPr>
      <w:r>
        <w:rPr>
          <w:rFonts w:ascii="Times New Roman" w:hAnsi="Times New Roman" w:hint="eastAsia"/>
          <w:kern w:val="0"/>
          <w:sz w:val="24"/>
          <w:szCs w:val="24"/>
        </w:rPr>
        <w:t>起草组组织行业实验室开展葡萄糖氧化酶活力检测方法的实验室验证工作。各实验室</w:t>
      </w:r>
      <w:proofErr w:type="gramStart"/>
      <w:r>
        <w:rPr>
          <w:rFonts w:ascii="Times New Roman" w:hAnsi="Times New Roman" w:hint="eastAsia"/>
          <w:kern w:val="0"/>
          <w:sz w:val="24"/>
          <w:szCs w:val="24"/>
        </w:rPr>
        <w:t>采用</w:t>
      </w:r>
      <w:r>
        <w:rPr>
          <w:rFonts w:ascii="Times New Roman" w:hAnsi="Times New Roman" w:hint="eastAsia"/>
          <w:sz w:val="24"/>
          <w:szCs w:val="24"/>
        </w:rPr>
        <w:t>邻联茴香</w:t>
      </w:r>
      <w:proofErr w:type="gramEnd"/>
      <w:r>
        <w:rPr>
          <w:rFonts w:ascii="Times New Roman" w:hAnsi="Times New Roman" w:hint="eastAsia"/>
          <w:sz w:val="24"/>
          <w:szCs w:val="24"/>
        </w:rPr>
        <w:t>胺法，对</w:t>
      </w:r>
      <w:r>
        <w:rPr>
          <w:rFonts w:ascii="Times New Roman" w:hAnsi="Times New Roman" w:hint="eastAsia"/>
          <w:kern w:val="0"/>
          <w:sz w:val="24"/>
          <w:szCs w:val="24"/>
        </w:rPr>
        <w:t>组织方提供的葡萄糖氧化酶样品</w:t>
      </w:r>
      <w:r>
        <w:rPr>
          <w:rFonts w:ascii="Times New Roman" w:hAnsi="Times New Roman"/>
          <w:kern w:val="0"/>
          <w:sz w:val="24"/>
          <w:szCs w:val="24"/>
        </w:rPr>
        <w:t>SCFF-GOD-S</w:t>
      </w:r>
      <w:proofErr w:type="gramStart"/>
      <w:r>
        <w:rPr>
          <w:rFonts w:ascii="Times New Roman" w:hAnsi="Times New Roman" w:hint="eastAsia"/>
          <w:kern w:val="0"/>
          <w:sz w:val="24"/>
          <w:szCs w:val="24"/>
        </w:rPr>
        <w:t>进行酶活的</w:t>
      </w:r>
      <w:proofErr w:type="gramEnd"/>
      <w:r>
        <w:rPr>
          <w:rFonts w:ascii="Times New Roman" w:hAnsi="Times New Roman" w:hint="eastAsia"/>
          <w:kern w:val="0"/>
          <w:sz w:val="24"/>
          <w:szCs w:val="24"/>
        </w:rPr>
        <w:t>测试。根据结果得知实验室内稳定性良好，</w:t>
      </w:r>
      <w:r>
        <w:rPr>
          <w:rFonts w:ascii="Times New Roman" w:hAnsi="Times New Roman" w:hint="eastAsia"/>
          <w:kern w:val="0"/>
          <w:sz w:val="24"/>
          <w:szCs w:val="24"/>
        </w:rPr>
        <w:t>RSD</w:t>
      </w:r>
      <w:r>
        <w:rPr>
          <w:rFonts w:ascii="Times New Roman" w:hAnsi="Times New Roman" w:hint="eastAsia"/>
          <w:kern w:val="0"/>
          <w:sz w:val="24"/>
          <w:szCs w:val="24"/>
        </w:rPr>
        <w:t>值范围为</w:t>
      </w:r>
      <w:r>
        <w:rPr>
          <w:rFonts w:ascii="Times New Roman" w:hAnsi="Times New Roman" w:hint="eastAsia"/>
          <w:kern w:val="0"/>
          <w:sz w:val="24"/>
          <w:szCs w:val="24"/>
        </w:rPr>
        <w:t>0.60-2.28%</w:t>
      </w:r>
      <w:r>
        <w:rPr>
          <w:rFonts w:ascii="Times New Roman" w:hAnsi="Times New Roman" w:hint="eastAsia"/>
          <w:kern w:val="0"/>
          <w:sz w:val="24"/>
          <w:szCs w:val="24"/>
        </w:rPr>
        <w:t>，实验室间</w:t>
      </w:r>
      <w:r>
        <w:rPr>
          <w:rFonts w:ascii="Times New Roman" w:hAnsi="Times New Roman" w:hint="eastAsia"/>
          <w:kern w:val="0"/>
          <w:sz w:val="24"/>
          <w:szCs w:val="24"/>
        </w:rPr>
        <w:t>RSD</w:t>
      </w:r>
      <w:r>
        <w:rPr>
          <w:rFonts w:ascii="Times New Roman" w:hAnsi="Times New Roman" w:hint="eastAsia"/>
          <w:kern w:val="0"/>
          <w:sz w:val="24"/>
          <w:szCs w:val="24"/>
        </w:rPr>
        <w:t>值为</w:t>
      </w:r>
      <w:r>
        <w:rPr>
          <w:rFonts w:ascii="Times New Roman" w:hAnsi="Times New Roman" w:hint="eastAsia"/>
          <w:kern w:val="0"/>
          <w:sz w:val="24"/>
          <w:szCs w:val="24"/>
        </w:rPr>
        <w:t>9.16%</w:t>
      </w:r>
      <w:r>
        <w:rPr>
          <w:rFonts w:ascii="Times New Roman" w:hAnsi="Times New Roman" w:hint="eastAsia"/>
          <w:kern w:val="0"/>
          <w:sz w:val="24"/>
          <w:szCs w:val="24"/>
        </w:rPr>
        <w:t>，满足方法学要求。</w:t>
      </w:r>
    </w:p>
    <w:p w:rsidR="005C455F" w:rsidRDefault="006E0C59">
      <w:pPr>
        <w:widowControl/>
        <w:tabs>
          <w:tab w:val="left" w:pos="360"/>
        </w:tabs>
        <w:jc w:val="center"/>
        <w:rPr>
          <w:rFonts w:ascii="黑体" w:eastAsia="黑体" w:hAnsi="Times New Roman"/>
          <w:kern w:val="0"/>
          <w:szCs w:val="20"/>
        </w:rPr>
      </w:pPr>
      <w:r>
        <w:rPr>
          <w:rFonts w:ascii="黑体" w:eastAsia="黑体" w:hAnsi="Times New Roman" w:hint="eastAsia"/>
          <w:kern w:val="0"/>
          <w:szCs w:val="20"/>
        </w:rPr>
        <w:t>表5 实验室比对结果</w:t>
      </w:r>
    </w:p>
    <w:tbl>
      <w:tblPr>
        <w:tblW w:w="5515" w:type="pct"/>
        <w:jc w:val="center"/>
        <w:tblLayout w:type="fixed"/>
        <w:tblLook w:val="04A0" w:firstRow="1" w:lastRow="0" w:firstColumn="1" w:lastColumn="0" w:noHBand="0" w:noVBand="1"/>
      </w:tblPr>
      <w:tblGrid>
        <w:gridCol w:w="1251"/>
        <w:gridCol w:w="1072"/>
        <w:gridCol w:w="1125"/>
        <w:gridCol w:w="1107"/>
        <w:gridCol w:w="985"/>
        <w:gridCol w:w="902"/>
        <w:gridCol w:w="902"/>
        <w:gridCol w:w="902"/>
        <w:gridCol w:w="904"/>
      </w:tblGrid>
      <w:tr w:rsidR="005C455F">
        <w:trPr>
          <w:trHeight w:val="570"/>
          <w:jc w:val="center"/>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实验室编号</w:t>
            </w:r>
          </w:p>
        </w:tc>
        <w:tc>
          <w:tcPr>
            <w:tcW w:w="584" w:type="pct"/>
            <w:tcBorders>
              <w:top w:val="single" w:sz="4" w:space="0" w:color="auto"/>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样品编号</w:t>
            </w:r>
          </w:p>
        </w:tc>
        <w:tc>
          <w:tcPr>
            <w:tcW w:w="615" w:type="pct"/>
            <w:tcBorders>
              <w:top w:val="single" w:sz="4" w:space="0" w:color="auto"/>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样品质量（</w:t>
            </w:r>
            <w:r>
              <w:rPr>
                <w:rFonts w:ascii="Times New Roman" w:eastAsia="宋体" w:hAnsi="Times New Roman" w:cs="Times New Roman"/>
                <w:kern w:val="0"/>
                <w:szCs w:val="21"/>
              </w:rPr>
              <w:t>g</w:t>
            </w:r>
            <w:r>
              <w:rPr>
                <w:rFonts w:ascii="Times New Roman" w:eastAsia="宋体" w:hAnsi="Times New Roman" w:cs="Times New Roman"/>
                <w:kern w:val="0"/>
                <w:szCs w:val="21"/>
              </w:rPr>
              <w:t>）</w:t>
            </w:r>
          </w:p>
        </w:tc>
        <w:tc>
          <w:tcPr>
            <w:tcW w:w="604" w:type="pct"/>
            <w:tcBorders>
              <w:top w:val="single" w:sz="4" w:space="0" w:color="auto"/>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定容体积（</w:t>
            </w:r>
            <w:r>
              <w:rPr>
                <w:rFonts w:ascii="Times New Roman" w:eastAsia="宋体" w:hAnsi="Times New Roman" w:cs="Times New Roman"/>
                <w:kern w:val="0"/>
                <w:szCs w:val="21"/>
              </w:rPr>
              <w:t>mL</w:t>
            </w:r>
            <w:r>
              <w:rPr>
                <w:rFonts w:ascii="Times New Roman" w:eastAsia="宋体" w:hAnsi="Times New Roman" w:cs="Times New Roman"/>
                <w:kern w:val="0"/>
                <w:szCs w:val="21"/>
              </w:rPr>
              <w:t>）</w:t>
            </w:r>
          </w:p>
        </w:tc>
        <w:tc>
          <w:tcPr>
            <w:tcW w:w="538" w:type="pct"/>
            <w:tcBorders>
              <w:top w:val="single" w:sz="4" w:space="0" w:color="auto"/>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稀释倍数</w:t>
            </w:r>
          </w:p>
        </w:tc>
        <w:tc>
          <w:tcPr>
            <w:tcW w:w="493" w:type="pct"/>
            <w:tcBorders>
              <w:top w:val="single" w:sz="4" w:space="0" w:color="auto"/>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吸光值</w:t>
            </w:r>
          </w:p>
        </w:tc>
        <w:tc>
          <w:tcPr>
            <w:tcW w:w="493" w:type="pct"/>
            <w:tcBorders>
              <w:top w:val="single" w:sz="4" w:space="0" w:color="auto"/>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活力</w:t>
            </w:r>
          </w:p>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g</w:t>
            </w:r>
            <w:r>
              <w:rPr>
                <w:rFonts w:ascii="Times New Roman" w:eastAsia="宋体" w:hAnsi="Times New Roman" w:cs="Times New Roman"/>
                <w:kern w:val="0"/>
                <w:szCs w:val="21"/>
              </w:rPr>
              <w:t>）</w:t>
            </w:r>
          </w:p>
        </w:tc>
        <w:tc>
          <w:tcPr>
            <w:tcW w:w="493" w:type="pct"/>
            <w:tcBorders>
              <w:top w:val="single" w:sz="4" w:space="0" w:color="auto"/>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平均值</w:t>
            </w:r>
          </w:p>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g</w:t>
            </w:r>
            <w:r>
              <w:rPr>
                <w:rFonts w:ascii="Times New Roman" w:eastAsia="宋体" w:hAnsi="Times New Roman" w:cs="Times New Roman"/>
                <w:kern w:val="0"/>
                <w:szCs w:val="21"/>
              </w:rPr>
              <w:t>）</w:t>
            </w:r>
          </w:p>
        </w:tc>
        <w:tc>
          <w:tcPr>
            <w:tcW w:w="494" w:type="pct"/>
            <w:tcBorders>
              <w:top w:val="single" w:sz="4" w:space="0" w:color="auto"/>
              <w:left w:val="nil"/>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RSD</w:t>
            </w:r>
          </w:p>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w:t>
            </w:r>
            <w:r>
              <w:rPr>
                <w:rFonts w:ascii="Times New Roman" w:eastAsia="宋体" w:hAnsi="Times New Roman" w:cs="Times New Roman"/>
                <w:kern w:val="0"/>
                <w:szCs w:val="21"/>
              </w:rPr>
              <w:t>%</w:t>
            </w:r>
            <w:r>
              <w:rPr>
                <w:rFonts w:ascii="Times New Roman" w:eastAsia="宋体" w:hAnsi="Times New Roman" w:cs="Times New Roman"/>
                <w:kern w:val="0"/>
                <w:szCs w:val="21"/>
              </w:rPr>
              <w:t>）</w:t>
            </w:r>
          </w:p>
        </w:tc>
      </w:tr>
      <w:tr w:rsidR="005C455F">
        <w:trPr>
          <w:trHeight w:val="285"/>
          <w:jc w:val="center"/>
        </w:trPr>
        <w:tc>
          <w:tcPr>
            <w:tcW w:w="683" w:type="pct"/>
            <w:vMerge w:val="restar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lab01</w:t>
            </w: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1</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0.4022</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62.5</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0.377</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15146</w:t>
            </w:r>
          </w:p>
        </w:tc>
        <w:tc>
          <w:tcPr>
            <w:tcW w:w="493" w:type="pct"/>
            <w:vMerge w:val="restart"/>
            <w:tcBorders>
              <w:top w:val="nil"/>
              <w:left w:val="single" w:sz="4" w:space="0" w:color="auto"/>
              <w:bottom w:val="single" w:sz="4" w:space="0" w:color="000000"/>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15146</w:t>
            </w:r>
          </w:p>
        </w:tc>
        <w:tc>
          <w:tcPr>
            <w:tcW w:w="494" w:type="pct"/>
            <w:vMerge w:val="restart"/>
            <w:tcBorders>
              <w:top w:val="nil"/>
              <w:left w:val="single" w:sz="4" w:space="0" w:color="auto"/>
              <w:bottom w:val="single" w:sz="4" w:space="0" w:color="000000"/>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0.60</w:t>
            </w: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2</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0.4022</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62.5</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0.375</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15230</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3</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0.4022</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62.5</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0.373</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15063</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val="restar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lab02</w:t>
            </w: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1</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1.0010</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538"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hint="eastAsia"/>
              </w:rPr>
              <w:t>32861.9</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0.228</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c>
          <w:tcPr>
            <w:tcW w:w="493" w:type="pct"/>
            <w:vMerge w:val="restart"/>
            <w:tcBorders>
              <w:top w:val="nil"/>
              <w:left w:val="single" w:sz="4" w:space="0" w:color="auto"/>
              <w:bottom w:val="single" w:sz="4" w:space="0" w:color="000000"/>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22204</w:t>
            </w:r>
            <w:r>
              <w:rPr>
                <w:rFonts w:ascii="Times New Roman" w:eastAsia="宋体" w:hAnsi="Times New Roman" w:cs="Times New Roman" w:hint="eastAsia"/>
                <w:kern w:val="0"/>
                <w:szCs w:val="21"/>
                <w:vertAlign w:val="superscript"/>
              </w:rPr>
              <w:t>*</w:t>
            </w:r>
          </w:p>
        </w:tc>
        <w:tc>
          <w:tcPr>
            <w:tcW w:w="494" w:type="pct"/>
            <w:vMerge w:val="restart"/>
            <w:tcBorders>
              <w:top w:val="nil"/>
              <w:left w:val="single" w:sz="4" w:space="0" w:color="auto"/>
              <w:bottom w:val="single" w:sz="4" w:space="0" w:color="000000"/>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2</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1.0009</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538"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hint="eastAsia"/>
              </w:rPr>
              <w:t>32865.2</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0.230</w:t>
            </w:r>
          </w:p>
        </w:tc>
        <w:tc>
          <w:tcPr>
            <w:tcW w:w="493"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u w:val="single"/>
              </w:rPr>
            </w:pPr>
            <w:r>
              <w:rPr>
                <w:rFonts w:ascii="Times New Roman" w:eastAsia="宋体" w:hAnsi="Times New Roman" w:cs="Times New Roman"/>
                <w:kern w:val="0"/>
                <w:szCs w:val="21"/>
              </w:rPr>
              <w:t>-</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3</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1.0023</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538" w:type="pc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hint="eastAsia"/>
              </w:rPr>
              <w:t>32819.3</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0.231</w:t>
            </w:r>
          </w:p>
        </w:tc>
        <w:tc>
          <w:tcPr>
            <w:tcW w:w="493" w:type="pct"/>
            <w:tcBorders>
              <w:top w:val="nil"/>
              <w:left w:val="nil"/>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u w:val="single"/>
              </w:rPr>
            </w:pPr>
            <w:r>
              <w:rPr>
                <w:rFonts w:ascii="Times New Roman" w:eastAsia="宋体" w:hAnsi="Times New Roman" w:cs="Times New Roman"/>
                <w:kern w:val="0"/>
                <w:szCs w:val="21"/>
              </w:rPr>
              <w:t>-</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val="restar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lab03</w:t>
            </w: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1</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1.0028</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25000.0</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0.284</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17062</w:t>
            </w:r>
          </w:p>
        </w:tc>
        <w:tc>
          <w:tcPr>
            <w:tcW w:w="493" w:type="pct"/>
            <w:vMerge w:val="restart"/>
            <w:tcBorders>
              <w:top w:val="nil"/>
              <w:left w:val="single" w:sz="4" w:space="0" w:color="auto"/>
              <w:bottom w:val="single" w:sz="4" w:space="0" w:color="000000"/>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17484</w:t>
            </w:r>
          </w:p>
        </w:tc>
        <w:tc>
          <w:tcPr>
            <w:tcW w:w="494" w:type="pct"/>
            <w:vMerge w:val="restart"/>
            <w:tcBorders>
              <w:top w:val="nil"/>
              <w:left w:val="single" w:sz="4" w:space="0" w:color="auto"/>
              <w:bottom w:val="single" w:sz="4" w:space="0" w:color="000000"/>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2.28</w:t>
            </w: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2</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1.0020</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25000.0</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0.298</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18017</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3</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1.0004</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25000.0</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0.288</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17372</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val="restar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lab04</w:t>
            </w: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1</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1.0002</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250.0</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0.304</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16760</w:t>
            </w:r>
          </w:p>
        </w:tc>
        <w:tc>
          <w:tcPr>
            <w:tcW w:w="493" w:type="pct"/>
            <w:vMerge w:val="restart"/>
            <w:tcBorders>
              <w:top w:val="nil"/>
              <w:left w:val="single" w:sz="4" w:space="0" w:color="auto"/>
              <w:bottom w:val="single" w:sz="4" w:space="0" w:color="000000"/>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16497</w:t>
            </w:r>
          </w:p>
        </w:tc>
        <w:tc>
          <w:tcPr>
            <w:tcW w:w="494" w:type="pct"/>
            <w:vMerge w:val="restart"/>
            <w:tcBorders>
              <w:top w:val="nil"/>
              <w:left w:val="single" w:sz="4" w:space="0" w:color="auto"/>
              <w:bottom w:val="single" w:sz="4" w:space="0" w:color="000000"/>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2.45</w:t>
            </w: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2</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1.0005</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250.0</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0.303</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16699</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3</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1.0001</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250.0</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0.291</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16032</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val="restart"/>
            <w:tcBorders>
              <w:top w:val="nil"/>
              <w:left w:val="single" w:sz="4" w:space="0" w:color="auto"/>
              <w:bottom w:val="single" w:sz="4" w:space="0" w:color="auto"/>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lab05</w:t>
            </w: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1</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1.9500</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62500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22894.0</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0.268</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18654</w:t>
            </w:r>
          </w:p>
        </w:tc>
        <w:tc>
          <w:tcPr>
            <w:tcW w:w="493" w:type="pct"/>
            <w:vMerge w:val="restart"/>
            <w:tcBorders>
              <w:top w:val="nil"/>
              <w:left w:val="single" w:sz="4" w:space="0" w:color="auto"/>
              <w:bottom w:val="single" w:sz="4" w:space="0" w:color="000000"/>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18830</w:t>
            </w:r>
          </w:p>
        </w:tc>
        <w:tc>
          <w:tcPr>
            <w:tcW w:w="494" w:type="pct"/>
            <w:vMerge w:val="restart"/>
            <w:tcBorders>
              <w:top w:val="nil"/>
              <w:left w:val="single" w:sz="4" w:space="0" w:color="auto"/>
              <w:bottom w:val="single" w:sz="4" w:space="0" w:color="000000"/>
              <w:right w:val="single" w:sz="4" w:space="0" w:color="auto"/>
            </w:tcBorders>
            <w:shd w:val="clear" w:color="auto" w:fill="auto"/>
            <w:noWrap/>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0.90</w:t>
            </w:r>
          </w:p>
        </w:tc>
      </w:tr>
      <w:tr w:rsidR="005C455F">
        <w:trPr>
          <w:trHeight w:val="285"/>
          <w:jc w:val="center"/>
        </w:trPr>
        <w:tc>
          <w:tcPr>
            <w:tcW w:w="683" w:type="pct"/>
            <w:vMerge/>
            <w:tcBorders>
              <w:top w:val="nil"/>
              <w:left w:val="single" w:sz="4" w:space="0" w:color="auto"/>
              <w:bottom w:val="single" w:sz="4"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2</w:t>
            </w:r>
          </w:p>
        </w:tc>
        <w:tc>
          <w:tcPr>
            <w:tcW w:w="615"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1.9500</w:t>
            </w:r>
          </w:p>
        </w:tc>
        <w:tc>
          <w:tcPr>
            <w:tcW w:w="604"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62500</w:t>
            </w:r>
          </w:p>
        </w:tc>
        <w:tc>
          <w:tcPr>
            <w:tcW w:w="538"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22894.0</w:t>
            </w:r>
          </w:p>
        </w:tc>
        <w:tc>
          <w:tcPr>
            <w:tcW w:w="493" w:type="pct"/>
            <w:tcBorders>
              <w:top w:val="nil"/>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0.265</w:t>
            </w:r>
          </w:p>
        </w:tc>
        <w:tc>
          <w:tcPr>
            <w:tcW w:w="493" w:type="pct"/>
            <w:tcBorders>
              <w:top w:val="nil"/>
              <w:left w:val="nil"/>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18994</w:t>
            </w:r>
          </w:p>
        </w:tc>
        <w:tc>
          <w:tcPr>
            <w:tcW w:w="493"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4" w:space="0" w:color="000000"/>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683" w:type="pct"/>
            <w:vMerge/>
            <w:tcBorders>
              <w:top w:val="nil"/>
              <w:left w:val="single" w:sz="4" w:space="0" w:color="auto"/>
              <w:bottom w:val="single" w:sz="12"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584" w:type="pct"/>
            <w:tcBorders>
              <w:top w:val="nil"/>
              <w:left w:val="nil"/>
              <w:bottom w:val="single" w:sz="12"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测试</w:t>
            </w:r>
            <w:r>
              <w:rPr>
                <w:rFonts w:ascii="Times New Roman" w:eastAsia="宋体" w:hAnsi="Times New Roman" w:cs="Times New Roman"/>
                <w:kern w:val="0"/>
                <w:szCs w:val="21"/>
              </w:rPr>
              <w:t>3</w:t>
            </w:r>
          </w:p>
        </w:tc>
        <w:tc>
          <w:tcPr>
            <w:tcW w:w="615" w:type="pct"/>
            <w:tcBorders>
              <w:top w:val="nil"/>
              <w:left w:val="single" w:sz="4" w:space="0" w:color="auto"/>
              <w:bottom w:val="single" w:sz="12"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1.9500</w:t>
            </w:r>
          </w:p>
        </w:tc>
        <w:tc>
          <w:tcPr>
            <w:tcW w:w="604" w:type="pct"/>
            <w:tcBorders>
              <w:top w:val="nil"/>
              <w:left w:val="nil"/>
              <w:bottom w:val="single" w:sz="12"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62500</w:t>
            </w:r>
          </w:p>
        </w:tc>
        <w:tc>
          <w:tcPr>
            <w:tcW w:w="538" w:type="pct"/>
            <w:tcBorders>
              <w:top w:val="nil"/>
              <w:left w:val="single" w:sz="4" w:space="0" w:color="auto"/>
              <w:bottom w:val="single" w:sz="12"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22894.0</w:t>
            </w:r>
          </w:p>
        </w:tc>
        <w:tc>
          <w:tcPr>
            <w:tcW w:w="493" w:type="pct"/>
            <w:tcBorders>
              <w:top w:val="nil"/>
              <w:left w:val="single" w:sz="4" w:space="0" w:color="auto"/>
              <w:bottom w:val="single" w:sz="12"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hint="eastAsia"/>
              </w:rPr>
              <w:t>0.263</w:t>
            </w:r>
          </w:p>
        </w:tc>
        <w:tc>
          <w:tcPr>
            <w:tcW w:w="493" w:type="pct"/>
            <w:tcBorders>
              <w:top w:val="nil"/>
              <w:left w:val="nil"/>
              <w:bottom w:val="single" w:sz="12"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18843</w:t>
            </w:r>
          </w:p>
        </w:tc>
        <w:tc>
          <w:tcPr>
            <w:tcW w:w="493" w:type="pct"/>
            <w:vMerge/>
            <w:tcBorders>
              <w:top w:val="nil"/>
              <w:left w:val="single" w:sz="4" w:space="0" w:color="auto"/>
              <w:bottom w:val="single" w:sz="12"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c>
          <w:tcPr>
            <w:tcW w:w="494" w:type="pct"/>
            <w:vMerge/>
            <w:tcBorders>
              <w:top w:val="nil"/>
              <w:left w:val="single" w:sz="4" w:space="0" w:color="auto"/>
              <w:bottom w:val="single" w:sz="12" w:space="0" w:color="auto"/>
              <w:right w:val="single" w:sz="4" w:space="0" w:color="auto"/>
            </w:tcBorders>
            <w:shd w:val="clear" w:color="auto" w:fill="auto"/>
            <w:vAlign w:val="center"/>
          </w:tcPr>
          <w:p w:rsidR="005C455F" w:rsidRDefault="005C455F">
            <w:pPr>
              <w:widowControl/>
              <w:jc w:val="left"/>
              <w:rPr>
                <w:rFonts w:ascii="Times New Roman" w:eastAsia="宋体" w:hAnsi="Times New Roman" w:cs="Times New Roman"/>
                <w:kern w:val="0"/>
                <w:szCs w:val="21"/>
              </w:rPr>
            </w:pPr>
          </w:p>
        </w:tc>
      </w:tr>
      <w:tr w:rsidR="005C455F">
        <w:trPr>
          <w:trHeight w:val="285"/>
          <w:jc w:val="center"/>
        </w:trPr>
        <w:tc>
          <w:tcPr>
            <w:tcW w:w="1268"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平均酶活力</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g</w:t>
            </w:r>
            <w:r>
              <w:rPr>
                <w:rFonts w:ascii="Times New Roman" w:eastAsia="宋体" w:hAnsi="Times New Roman" w:cs="Times New Roman"/>
                <w:kern w:val="0"/>
                <w:szCs w:val="21"/>
              </w:rPr>
              <w:t>）</w:t>
            </w:r>
          </w:p>
        </w:tc>
        <w:tc>
          <w:tcPr>
            <w:tcW w:w="1220" w:type="pct"/>
            <w:gridSpan w:val="2"/>
            <w:tcBorders>
              <w:top w:val="single" w:sz="12" w:space="0" w:color="auto"/>
              <w:left w:val="single" w:sz="4" w:space="0" w:color="auto"/>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16989</w:t>
            </w:r>
          </w:p>
        </w:tc>
        <w:tc>
          <w:tcPr>
            <w:tcW w:w="1524" w:type="pct"/>
            <w:gridSpan w:val="3"/>
            <w:tcBorders>
              <w:top w:val="single" w:sz="12" w:space="0" w:color="auto"/>
              <w:left w:val="single" w:sz="4" w:space="0" w:color="auto"/>
              <w:bottom w:val="single" w:sz="4" w:space="0" w:color="auto"/>
              <w:right w:val="single" w:sz="4" w:space="0" w:color="auto"/>
            </w:tcBorders>
            <w:shd w:val="clear" w:color="auto" w:fill="auto"/>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hint="eastAsia"/>
              </w:rPr>
              <w:t>实验室间精密度</w:t>
            </w:r>
            <w:r>
              <w:rPr>
                <w:rFonts w:ascii="Times New Roman" w:eastAsia="宋体" w:hAnsi="Times New Roman" w:cs="Times New Roman"/>
                <w:kern w:val="0"/>
                <w:szCs w:val="21"/>
              </w:rPr>
              <w:t>（</w:t>
            </w:r>
            <w:r>
              <w:rPr>
                <w:rFonts w:ascii="Times New Roman" w:eastAsia="宋体" w:hAnsi="Times New Roman" w:cs="Times New Roman"/>
                <w:kern w:val="0"/>
                <w:szCs w:val="21"/>
              </w:rPr>
              <w:t>%</w:t>
            </w:r>
            <w:r>
              <w:rPr>
                <w:rFonts w:ascii="Times New Roman" w:eastAsia="宋体" w:hAnsi="Times New Roman" w:cs="Times New Roman"/>
                <w:kern w:val="0"/>
                <w:szCs w:val="21"/>
              </w:rPr>
              <w:t>）</w:t>
            </w:r>
          </w:p>
        </w:tc>
        <w:tc>
          <w:tcPr>
            <w:tcW w:w="987"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rsidR="005C455F" w:rsidRDefault="006E0C59">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9.16</w:t>
            </w:r>
          </w:p>
        </w:tc>
      </w:tr>
    </w:tbl>
    <w:p w:rsidR="005C455F" w:rsidRDefault="006E0C59">
      <w:pPr>
        <w:widowControl/>
        <w:spacing w:line="360" w:lineRule="auto"/>
        <w:jc w:val="left"/>
        <w:rPr>
          <w:rFonts w:ascii="Times New Roman" w:hAnsi="Times New Roman" w:cs="Times New Roman"/>
          <w:szCs w:val="18"/>
        </w:rPr>
      </w:pPr>
      <w:r>
        <w:rPr>
          <w:rFonts w:ascii="Times New Roman" w:hAnsi="Times New Roman" w:cs="Times New Roman" w:hint="eastAsia"/>
          <w:szCs w:val="18"/>
          <w:vertAlign w:val="superscript"/>
        </w:rPr>
        <w:t>*</w:t>
      </w:r>
      <w:r>
        <w:rPr>
          <w:rFonts w:ascii="Times New Roman" w:hAnsi="Times New Roman" w:cs="Times New Roman" w:hint="eastAsia"/>
          <w:szCs w:val="18"/>
        </w:rPr>
        <w:t>作为异常值剔除。</w:t>
      </w:r>
    </w:p>
    <w:p w:rsidR="005C455F" w:rsidRDefault="006E0C59">
      <w:pPr>
        <w:pStyle w:val="af9"/>
        <w:numPr>
          <w:ilvl w:val="0"/>
          <w:numId w:val="9"/>
        </w:numPr>
        <w:ind w:firstLineChars="0"/>
      </w:pPr>
      <w:r>
        <w:rPr>
          <w:rFonts w:hint="eastAsia"/>
        </w:rPr>
        <w:t>葡萄糖氧化酶温度、</w:t>
      </w:r>
      <w:r>
        <w:rPr>
          <w:rFonts w:hint="eastAsia"/>
        </w:rPr>
        <w:t>pH</w:t>
      </w:r>
      <w:r>
        <w:rPr>
          <w:rFonts w:hint="eastAsia"/>
        </w:rPr>
        <w:t>曲线的测定</w:t>
      </w:r>
    </w:p>
    <w:p w:rsidR="005C455F" w:rsidRDefault="006E0C59">
      <w:pPr>
        <w:adjustRightInd w:val="0"/>
        <w:snapToGrid w:val="0"/>
        <w:spacing w:line="360" w:lineRule="auto"/>
        <w:ind w:firstLineChars="200" w:firstLine="480"/>
        <w:rPr>
          <w:rFonts w:asciiTheme="minorEastAsia" w:hAnsiTheme="minorEastAsia"/>
          <w:bCs/>
          <w:sz w:val="24"/>
          <w:szCs w:val="24"/>
        </w:rPr>
      </w:pPr>
      <w:r>
        <w:rPr>
          <w:rFonts w:asciiTheme="minorEastAsia" w:hAnsiTheme="minorEastAsia" w:hint="eastAsia"/>
          <w:bCs/>
          <w:sz w:val="24"/>
          <w:szCs w:val="24"/>
        </w:rPr>
        <w:t>取三种不同厂家的葡萄糖氧化酶，分别标记为GOD1、GOD2、GOD3，测定温度、pH曲线，结果见图5、图6所示，最适温度均为45℃~55℃，</w:t>
      </w:r>
      <w:proofErr w:type="gramStart"/>
      <w:r>
        <w:rPr>
          <w:rFonts w:asciiTheme="minorEastAsia" w:hAnsiTheme="minorEastAsia" w:hint="eastAsia"/>
          <w:bCs/>
          <w:sz w:val="24"/>
          <w:szCs w:val="24"/>
        </w:rPr>
        <w:t>最</w:t>
      </w:r>
      <w:proofErr w:type="gramEnd"/>
      <w:r>
        <w:rPr>
          <w:rFonts w:asciiTheme="minorEastAsia" w:hAnsiTheme="minorEastAsia" w:hint="eastAsia"/>
          <w:bCs/>
          <w:sz w:val="24"/>
          <w:szCs w:val="24"/>
        </w:rPr>
        <w:t>适pH为6.0</w:t>
      </w:r>
      <w:r>
        <w:rPr>
          <w:rFonts w:asciiTheme="minorEastAsia" w:hAnsiTheme="minorEastAsia"/>
          <w:bCs/>
          <w:sz w:val="24"/>
          <w:szCs w:val="24"/>
        </w:rPr>
        <w:t>。</w:t>
      </w:r>
    </w:p>
    <w:p w:rsidR="005C455F" w:rsidRDefault="006E0C59">
      <w:pPr>
        <w:adjustRightInd w:val="0"/>
        <w:snapToGrid w:val="0"/>
        <w:spacing w:line="360" w:lineRule="auto"/>
        <w:ind w:firstLineChars="200" w:firstLine="420"/>
      </w:pPr>
      <w:r>
        <w:rPr>
          <w:noProof/>
        </w:rPr>
        <w:drawing>
          <wp:inline distT="0" distB="0" distL="114300" distR="114300">
            <wp:extent cx="4401185" cy="2381885"/>
            <wp:effectExtent l="0" t="0" r="5715" b="5715"/>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C455F" w:rsidRDefault="006E0C59">
      <w:pPr>
        <w:widowControl/>
        <w:tabs>
          <w:tab w:val="left" w:pos="360"/>
        </w:tabs>
        <w:spacing w:beforeLines="50" w:before="156" w:afterLines="50" w:after="156"/>
        <w:jc w:val="center"/>
        <w:rPr>
          <w:rFonts w:asciiTheme="minorEastAsia" w:eastAsia="黑体" w:hAnsiTheme="minorEastAsia"/>
          <w:bCs/>
          <w:sz w:val="24"/>
          <w:szCs w:val="24"/>
        </w:rPr>
      </w:pPr>
      <w:r>
        <w:rPr>
          <w:rFonts w:ascii="黑体" w:eastAsia="黑体" w:hAnsi="Times New Roman" w:hint="eastAsia"/>
          <w:kern w:val="0"/>
          <w:szCs w:val="20"/>
        </w:rPr>
        <w:t>图5 葡萄糖氧化酶的温度曲线</w:t>
      </w:r>
    </w:p>
    <w:p w:rsidR="005C455F" w:rsidRDefault="005C455F">
      <w:pPr>
        <w:adjustRightInd w:val="0"/>
        <w:snapToGrid w:val="0"/>
        <w:spacing w:line="360" w:lineRule="auto"/>
        <w:ind w:firstLineChars="200" w:firstLine="420"/>
      </w:pPr>
    </w:p>
    <w:p w:rsidR="005C455F" w:rsidRDefault="006E0C59">
      <w:pPr>
        <w:adjustRightInd w:val="0"/>
        <w:snapToGrid w:val="0"/>
        <w:spacing w:line="360" w:lineRule="auto"/>
        <w:ind w:firstLineChars="200" w:firstLine="420"/>
      </w:pPr>
      <w:r>
        <w:rPr>
          <w:noProof/>
        </w:rPr>
        <w:drawing>
          <wp:inline distT="0" distB="0" distL="114300" distR="114300">
            <wp:extent cx="4534535" cy="2530475"/>
            <wp:effectExtent l="0" t="0" r="12065" b="9525"/>
            <wp:docPr id="13"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C455F" w:rsidRDefault="006E0C59">
      <w:pPr>
        <w:widowControl/>
        <w:tabs>
          <w:tab w:val="left" w:pos="360"/>
        </w:tabs>
        <w:spacing w:beforeLines="50" w:before="156" w:afterLines="50" w:after="156"/>
        <w:jc w:val="center"/>
      </w:pPr>
      <w:r>
        <w:rPr>
          <w:rFonts w:ascii="黑体" w:eastAsia="黑体" w:hAnsi="Times New Roman" w:hint="eastAsia"/>
          <w:kern w:val="0"/>
          <w:szCs w:val="20"/>
        </w:rPr>
        <w:t>图6 葡萄糖氧化酶的pH</w:t>
      </w:r>
    </w:p>
    <w:p w:rsidR="005C455F" w:rsidRDefault="006E0C59">
      <w:pPr>
        <w:pStyle w:val="af9"/>
        <w:numPr>
          <w:ilvl w:val="0"/>
          <w:numId w:val="9"/>
        </w:numPr>
        <w:ind w:firstLineChars="0"/>
      </w:pPr>
      <w:r>
        <w:rPr>
          <w:rFonts w:hint="eastAsia"/>
        </w:rPr>
        <w:lastRenderedPageBreak/>
        <w:t>葡萄糖氧化酶制剂样品测定</w:t>
      </w:r>
    </w:p>
    <w:p w:rsidR="005C455F" w:rsidRDefault="006E0C59">
      <w:pPr>
        <w:adjustRightInd w:val="0"/>
        <w:snapToGrid w:val="0"/>
        <w:spacing w:line="360" w:lineRule="auto"/>
        <w:ind w:firstLineChars="200" w:firstLine="480"/>
        <w:rPr>
          <w:rFonts w:asciiTheme="minorEastAsia" w:hAnsiTheme="minorEastAsia"/>
          <w:bCs/>
          <w:sz w:val="24"/>
          <w:szCs w:val="24"/>
        </w:rPr>
      </w:pPr>
      <w:r>
        <w:rPr>
          <w:rFonts w:asciiTheme="minorEastAsia" w:hAnsiTheme="minorEastAsia"/>
          <w:bCs/>
          <w:sz w:val="24"/>
          <w:szCs w:val="24"/>
        </w:rPr>
        <w:t>本次共检测</w:t>
      </w:r>
      <w:r>
        <w:rPr>
          <w:rFonts w:asciiTheme="minorEastAsia" w:hAnsiTheme="minorEastAsia" w:hint="eastAsia"/>
          <w:bCs/>
          <w:sz w:val="24"/>
          <w:szCs w:val="24"/>
        </w:rPr>
        <w:t>葡萄糖氧化酶制剂</w:t>
      </w:r>
      <w:r>
        <w:rPr>
          <w:rFonts w:asciiTheme="minorEastAsia" w:hAnsiTheme="minorEastAsia"/>
          <w:bCs/>
          <w:sz w:val="24"/>
          <w:szCs w:val="24"/>
        </w:rPr>
        <w:t>样品32</w:t>
      </w:r>
      <w:r>
        <w:rPr>
          <w:rFonts w:asciiTheme="minorEastAsia" w:hAnsiTheme="minorEastAsia" w:hint="eastAsia"/>
          <w:bCs/>
          <w:sz w:val="24"/>
          <w:szCs w:val="24"/>
        </w:rPr>
        <w:t>份</w:t>
      </w:r>
      <w:r>
        <w:rPr>
          <w:rFonts w:asciiTheme="minorEastAsia" w:hAnsiTheme="minorEastAsia"/>
          <w:bCs/>
          <w:sz w:val="24"/>
          <w:szCs w:val="24"/>
        </w:rPr>
        <w:t>，按照本标准规定的检验项目和试验方法进行检测，全部达到标准要求，抽样检测结果见附</w:t>
      </w:r>
      <w:r>
        <w:rPr>
          <w:rFonts w:asciiTheme="minorEastAsia" w:hAnsiTheme="minorEastAsia" w:hint="eastAsia"/>
          <w:bCs/>
          <w:sz w:val="24"/>
          <w:szCs w:val="24"/>
        </w:rPr>
        <w:t>件</w:t>
      </w:r>
      <w:r>
        <w:rPr>
          <w:rFonts w:asciiTheme="minorEastAsia" w:hAnsiTheme="minorEastAsia"/>
          <w:bCs/>
          <w:sz w:val="24"/>
          <w:szCs w:val="24"/>
        </w:rPr>
        <w:t>。</w:t>
      </w:r>
    </w:p>
    <w:p w:rsidR="005C455F" w:rsidRPr="006E0C59" w:rsidRDefault="006E0C59">
      <w:pPr>
        <w:spacing w:line="360" w:lineRule="auto"/>
        <w:rPr>
          <w:rFonts w:ascii="Times New Roman" w:hAnsi="Times New Roman" w:cs="Times New Roman"/>
          <w:b/>
          <w:sz w:val="24"/>
          <w:szCs w:val="24"/>
        </w:rPr>
      </w:pPr>
      <w:r>
        <w:rPr>
          <w:rFonts w:ascii="Times New Roman" w:hAnsi="Times New Roman" w:cs="Times New Roman"/>
          <w:b/>
          <w:sz w:val="24"/>
          <w:szCs w:val="24"/>
        </w:rPr>
        <w:t>四、标准中涉及专利的情况</w:t>
      </w:r>
    </w:p>
    <w:p w:rsidR="005C455F" w:rsidRPr="006E0C59" w:rsidRDefault="006E0C59">
      <w:pPr>
        <w:spacing w:line="360" w:lineRule="auto"/>
        <w:rPr>
          <w:rFonts w:ascii="Times New Roman" w:hAnsi="Times New Roman" w:cs="Times New Roman"/>
          <w:b/>
          <w:sz w:val="24"/>
          <w:szCs w:val="24"/>
        </w:rPr>
      </w:pPr>
      <w:r w:rsidRPr="006E0C59">
        <w:rPr>
          <w:rFonts w:ascii="Times New Roman" w:hAnsi="Times New Roman" w:cs="Times New Roman"/>
          <w:b/>
          <w:sz w:val="24"/>
          <w:szCs w:val="24"/>
        </w:rPr>
        <w:t xml:space="preserve">   </w:t>
      </w:r>
      <w:r w:rsidRPr="006E0C59">
        <w:rPr>
          <w:rFonts w:ascii="Times New Roman" w:hAnsi="Times New Roman" w:cs="Times New Roman"/>
          <w:sz w:val="24"/>
          <w:szCs w:val="24"/>
        </w:rPr>
        <w:t xml:space="preserve"> </w:t>
      </w:r>
      <w:r w:rsidRPr="006E0C59">
        <w:rPr>
          <w:rFonts w:ascii="Times New Roman" w:hAnsi="Times New Roman" w:cs="Times New Roman"/>
          <w:sz w:val="24"/>
          <w:szCs w:val="24"/>
        </w:rPr>
        <w:t>标准中无涉及专利。</w:t>
      </w:r>
    </w:p>
    <w:p w:rsidR="005C455F" w:rsidRPr="006E0C59" w:rsidRDefault="006E0C59">
      <w:pPr>
        <w:adjustRightInd w:val="0"/>
        <w:snapToGrid w:val="0"/>
        <w:spacing w:line="360" w:lineRule="auto"/>
        <w:rPr>
          <w:rFonts w:ascii="Times New Roman" w:hAnsi="Times New Roman" w:cs="Times New Roman"/>
          <w:b/>
          <w:sz w:val="24"/>
          <w:szCs w:val="24"/>
        </w:rPr>
      </w:pPr>
      <w:r w:rsidRPr="006E0C59">
        <w:rPr>
          <w:rFonts w:ascii="Times New Roman" w:hAnsi="Times New Roman" w:cs="Times New Roman"/>
          <w:b/>
          <w:sz w:val="24"/>
          <w:szCs w:val="24"/>
        </w:rPr>
        <w:t>五、预期达到的社会效益、对产业发展的作用等情况</w:t>
      </w:r>
    </w:p>
    <w:p w:rsidR="005C455F" w:rsidRPr="00E3291B" w:rsidRDefault="00E3291B" w:rsidP="00E3291B">
      <w:pPr>
        <w:spacing w:line="360" w:lineRule="auto"/>
        <w:ind w:firstLineChars="200" w:firstLine="480"/>
        <w:rPr>
          <w:rFonts w:ascii="Times New Roman" w:eastAsia="宋体" w:hAnsi="Times New Roman" w:cs="Times New Roman"/>
          <w:kern w:val="0"/>
          <w:sz w:val="24"/>
          <w:szCs w:val="24"/>
        </w:rPr>
      </w:pPr>
      <w:r w:rsidRPr="00B4080C">
        <w:rPr>
          <w:rFonts w:ascii="Times New Roman" w:eastAsia="宋体" w:hAnsi="Times New Roman" w:cs="Times New Roman" w:hint="eastAsia"/>
          <w:sz w:val="24"/>
          <w:szCs w:val="24"/>
        </w:rPr>
        <w:t>本标准统一了葡萄糖氧化酶、葡萄糖氧化酶活力单位，葡萄糖氧化酶酶制剂活力的定义，建立了葡萄糖氧化酶制剂酶活力测定方法，规范了葡萄糖氧化酶制剂产品的要求。本标准解决了行业无标可依，生产、流通过程不规范的问题，有助于企业间的公平竞争和市场的有序进行。</w:t>
      </w:r>
      <w:bookmarkStart w:id="1" w:name="_GoBack"/>
      <w:bookmarkEnd w:id="1"/>
      <w:r w:rsidR="006E0C59" w:rsidRPr="006E0C59">
        <w:rPr>
          <w:rFonts w:ascii="Times New Roman" w:eastAsia="宋体" w:hAnsi="Times New Roman" w:cs="Times New Roman" w:hint="eastAsia"/>
          <w:kern w:val="0"/>
          <w:sz w:val="24"/>
          <w:szCs w:val="20"/>
        </w:rPr>
        <w:t>葡萄糖氧化酶制剂行业标准的制定进一步完善了我国酶制剂行业标准体系，一方面规范了产品质量，有助于</w:t>
      </w:r>
      <w:r w:rsidR="006E0C59" w:rsidRPr="006E0C59">
        <w:rPr>
          <w:rFonts w:ascii="Times New Roman" w:eastAsia="宋体" w:hAnsi="Times New Roman" w:cs="Times New Roman"/>
          <w:kern w:val="0"/>
          <w:sz w:val="24"/>
          <w:szCs w:val="20"/>
        </w:rPr>
        <w:t>产品的性能和品质</w:t>
      </w:r>
      <w:r w:rsidR="006E0C59" w:rsidRPr="006E0C59">
        <w:rPr>
          <w:rFonts w:ascii="Times New Roman" w:eastAsia="宋体" w:hAnsi="Times New Roman" w:cs="Times New Roman" w:hint="eastAsia"/>
          <w:kern w:val="0"/>
          <w:sz w:val="24"/>
          <w:szCs w:val="20"/>
        </w:rPr>
        <w:t>的</w:t>
      </w:r>
      <w:r w:rsidR="006E0C59" w:rsidRPr="006E0C59">
        <w:rPr>
          <w:rFonts w:ascii="Times New Roman" w:eastAsia="宋体" w:hAnsi="Times New Roman" w:cs="Times New Roman"/>
          <w:kern w:val="0"/>
          <w:sz w:val="24"/>
          <w:szCs w:val="20"/>
        </w:rPr>
        <w:t>提升</w:t>
      </w:r>
      <w:r w:rsidR="006E0C59" w:rsidRPr="006E0C59">
        <w:rPr>
          <w:rFonts w:ascii="Times New Roman" w:eastAsia="宋体" w:hAnsi="Times New Roman" w:cs="Times New Roman" w:hint="eastAsia"/>
          <w:kern w:val="0"/>
          <w:sz w:val="24"/>
          <w:szCs w:val="20"/>
        </w:rPr>
        <w:t>，</w:t>
      </w:r>
      <w:r w:rsidR="006E0C59" w:rsidRPr="006E0C59">
        <w:rPr>
          <w:rFonts w:ascii="Times New Roman" w:eastAsia="宋体" w:hAnsi="Times New Roman" w:cs="Times New Roman"/>
          <w:kern w:val="0"/>
          <w:sz w:val="24"/>
          <w:szCs w:val="20"/>
        </w:rPr>
        <w:t>带动整个产业升级</w:t>
      </w:r>
      <w:r w:rsidR="006E0C59" w:rsidRPr="006E0C59">
        <w:rPr>
          <w:rFonts w:ascii="Times New Roman" w:eastAsia="宋体" w:hAnsi="Times New Roman" w:cs="Times New Roman" w:hint="eastAsia"/>
          <w:kern w:val="0"/>
          <w:sz w:val="24"/>
          <w:szCs w:val="20"/>
        </w:rPr>
        <w:t>，另一方面保证了下游应用企业生产的稳定性，推动了国产替代，提高国产葡萄糖氧化酶的市场竞争力。</w:t>
      </w:r>
    </w:p>
    <w:p w:rsidR="005C455F" w:rsidRPr="006E0C59" w:rsidRDefault="006E0C59">
      <w:pPr>
        <w:spacing w:line="360" w:lineRule="auto"/>
        <w:rPr>
          <w:rFonts w:ascii="Times New Roman" w:hAnsi="Times New Roman" w:cs="Times New Roman"/>
          <w:b/>
          <w:sz w:val="24"/>
          <w:szCs w:val="24"/>
        </w:rPr>
      </w:pPr>
      <w:r w:rsidRPr="006E0C59">
        <w:rPr>
          <w:rFonts w:ascii="Times New Roman" w:hAnsi="Times New Roman" w:cs="Times New Roman" w:hint="eastAsia"/>
          <w:b/>
          <w:sz w:val="24"/>
          <w:szCs w:val="24"/>
        </w:rPr>
        <w:t>六</w:t>
      </w:r>
      <w:r w:rsidRPr="006E0C59">
        <w:rPr>
          <w:rFonts w:ascii="Times New Roman" w:hAnsi="Times New Roman" w:cs="Times New Roman"/>
          <w:b/>
          <w:sz w:val="24"/>
          <w:szCs w:val="24"/>
        </w:rPr>
        <w:t>、与国际、国外对比情况</w:t>
      </w:r>
    </w:p>
    <w:p w:rsidR="005C455F" w:rsidRDefault="006E0C59">
      <w:pPr>
        <w:pStyle w:val="af9"/>
      </w:pPr>
      <w:r>
        <w:t>本标准没有采用国际标准。</w:t>
      </w:r>
      <w:r>
        <w:t xml:space="preserve"> </w:t>
      </w:r>
    </w:p>
    <w:p w:rsidR="005C455F" w:rsidRDefault="006E0C59">
      <w:pPr>
        <w:pStyle w:val="af9"/>
      </w:pPr>
      <w:r>
        <w:t>本标准制定过程中未查到同类国际、国外标准。</w:t>
      </w:r>
      <w:r>
        <w:t xml:space="preserve"> </w:t>
      </w:r>
    </w:p>
    <w:p w:rsidR="005C455F" w:rsidRDefault="006E0C59">
      <w:pPr>
        <w:pStyle w:val="af9"/>
      </w:pPr>
      <w:r>
        <w:t>本标准制定过程中未测试国外的样品。</w:t>
      </w:r>
    </w:p>
    <w:p w:rsidR="005C455F" w:rsidRDefault="006E0C59">
      <w:pPr>
        <w:spacing w:line="360" w:lineRule="auto"/>
        <w:rPr>
          <w:rFonts w:ascii="Times New Roman" w:hAnsi="Times New Roman" w:cs="Times New Roman"/>
          <w:b/>
          <w:sz w:val="24"/>
          <w:szCs w:val="24"/>
        </w:rPr>
      </w:pPr>
      <w:r>
        <w:rPr>
          <w:rFonts w:ascii="Times New Roman" w:hAnsi="Times New Roman" w:cs="Times New Roman" w:hint="eastAsia"/>
          <w:b/>
          <w:sz w:val="24"/>
          <w:szCs w:val="24"/>
        </w:rPr>
        <w:t>七</w:t>
      </w:r>
      <w:r>
        <w:rPr>
          <w:rFonts w:ascii="Times New Roman" w:hAnsi="Times New Roman" w:cs="Times New Roman"/>
          <w:b/>
          <w:sz w:val="24"/>
          <w:szCs w:val="24"/>
        </w:rPr>
        <w:t>、在标准体系中的位置，与现行相关法律、法规、规章及相关标准，特别是强制性标准的协调性</w:t>
      </w:r>
    </w:p>
    <w:p w:rsidR="005C455F" w:rsidRDefault="006E0C59">
      <w:pPr>
        <w:spacing w:beforeLines="50" w:before="156" w:afterLines="50" w:after="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本专业领域标准体系框图见下图。</w:t>
      </w:r>
    </w:p>
    <w:p w:rsidR="005C455F" w:rsidRDefault="006E0C59">
      <w:pPr>
        <w:spacing w:beforeLines="50" w:before="156" w:afterLines="50" w:after="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本标准属于</w:t>
      </w:r>
      <w:bookmarkStart w:id="2" w:name="_Hlk121939740"/>
      <w:r>
        <w:rPr>
          <w:rFonts w:ascii="Times New Roman" w:eastAsia="宋体" w:hAnsi="Times New Roman" w:cs="Times New Roman" w:hint="eastAsia"/>
          <w:sz w:val="24"/>
          <w:szCs w:val="24"/>
        </w:rPr>
        <w:t>食品行业发酵制品领域标准体系</w:t>
      </w:r>
      <w:r>
        <w:rPr>
          <w:rFonts w:ascii="Times New Roman" w:eastAsia="宋体" w:hAnsi="Times New Roman" w:cs="Times New Roman"/>
          <w:sz w:val="24"/>
          <w:szCs w:val="24"/>
        </w:rPr>
        <w:t>“</w:t>
      </w:r>
      <w:r>
        <w:rPr>
          <w:rFonts w:ascii="Times New Roman" w:eastAsia="宋体" w:hAnsi="Times New Roman" w:cs="Times New Roman" w:hint="eastAsia"/>
          <w:sz w:val="24"/>
          <w:szCs w:val="24"/>
        </w:rPr>
        <w:t>酶制剂</w:t>
      </w:r>
      <w:r>
        <w:rPr>
          <w:rFonts w:ascii="Times New Roman" w:eastAsia="宋体" w:hAnsi="Times New Roman" w:cs="Times New Roman"/>
          <w:sz w:val="24"/>
          <w:szCs w:val="24"/>
        </w:rPr>
        <w:t>”</w:t>
      </w:r>
      <w:r>
        <w:rPr>
          <w:rFonts w:ascii="Times New Roman" w:eastAsia="宋体" w:hAnsi="Times New Roman" w:cs="Times New Roman" w:hint="eastAsia"/>
          <w:sz w:val="24"/>
          <w:szCs w:val="24"/>
        </w:rPr>
        <w:t>中类，</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氧化还原酶</w:t>
      </w:r>
      <w:r>
        <w:rPr>
          <w:rFonts w:ascii="Times New Roman" w:eastAsia="宋体" w:hAnsi="Times New Roman" w:cs="Times New Roman"/>
          <w:sz w:val="24"/>
          <w:szCs w:val="24"/>
        </w:rPr>
        <w:t>”</w:t>
      </w:r>
      <w:r>
        <w:rPr>
          <w:rFonts w:ascii="Times New Roman" w:eastAsia="宋体" w:hAnsi="Times New Roman" w:cs="Times New Roman" w:hint="eastAsia"/>
          <w:sz w:val="24"/>
          <w:szCs w:val="24"/>
        </w:rPr>
        <w:t>小类。</w:t>
      </w:r>
      <w:bookmarkEnd w:id="2"/>
    </w:p>
    <w:p w:rsidR="005C455F" w:rsidRDefault="006E0C59">
      <w:pPr>
        <w:spacing w:beforeLines="50" w:before="156" w:afterLines="50" w:after="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noProof/>
          <w:sz w:val="24"/>
          <w:szCs w:val="24"/>
        </w:rPr>
        <w:lastRenderedPageBreak/>
        <w:drawing>
          <wp:anchor distT="0" distB="0" distL="114300" distR="114300" simplePos="0" relativeHeight="251659264" behindDoc="0" locked="0" layoutInCell="1" allowOverlap="1">
            <wp:simplePos x="0" y="0"/>
            <wp:positionH relativeFrom="margin">
              <wp:posOffset>127000</wp:posOffset>
            </wp:positionH>
            <wp:positionV relativeFrom="paragraph">
              <wp:posOffset>804545</wp:posOffset>
            </wp:positionV>
            <wp:extent cx="5459730" cy="3009265"/>
            <wp:effectExtent l="0" t="0" r="11430" b="8255"/>
            <wp:wrapTopAndBottom/>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59730" cy="3009265"/>
                    </a:xfrm>
                    <a:prstGeom prst="rect">
                      <a:avLst/>
                    </a:prstGeom>
                  </pic:spPr>
                </pic:pic>
              </a:graphicData>
            </a:graphic>
          </wp:anchor>
        </w:drawing>
      </w:r>
      <w:r>
        <w:rPr>
          <w:rFonts w:ascii="Times New Roman" w:eastAsia="宋体" w:hAnsi="Times New Roman" w:cs="Times New Roman" w:hint="eastAsia"/>
          <w:sz w:val="24"/>
          <w:szCs w:val="24"/>
        </w:rPr>
        <w:t>本标准与现行相关法律、法规、规章及相关标准协调一致，无不符、冲突之处。</w:t>
      </w:r>
    </w:p>
    <w:p w:rsidR="005C455F" w:rsidRDefault="006E0C59">
      <w:pPr>
        <w:spacing w:line="360" w:lineRule="auto"/>
        <w:rPr>
          <w:rFonts w:ascii="Times New Roman" w:hAnsi="Times New Roman" w:cs="Times New Roman"/>
          <w:b/>
          <w:sz w:val="24"/>
          <w:szCs w:val="24"/>
        </w:rPr>
      </w:pPr>
      <w:r>
        <w:rPr>
          <w:rFonts w:ascii="Times New Roman" w:hAnsi="Times New Roman" w:cs="Times New Roman" w:hint="eastAsia"/>
          <w:b/>
          <w:sz w:val="24"/>
          <w:szCs w:val="24"/>
        </w:rPr>
        <w:t>八</w:t>
      </w:r>
      <w:r>
        <w:rPr>
          <w:rFonts w:ascii="Times New Roman" w:hAnsi="Times New Roman" w:cs="Times New Roman"/>
          <w:b/>
          <w:sz w:val="24"/>
          <w:szCs w:val="24"/>
        </w:rPr>
        <w:t>、重大分歧意见的处理经过和依据</w:t>
      </w:r>
    </w:p>
    <w:p w:rsidR="005C455F" w:rsidRDefault="00946248">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无</w:t>
      </w:r>
      <w:r w:rsidR="006E0C59">
        <w:rPr>
          <w:rFonts w:ascii="Times New Roman" w:hAnsi="Times New Roman" w:cs="Times New Roman"/>
          <w:sz w:val="24"/>
          <w:szCs w:val="24"/>
        </w:rPr>
        <w:t>。</w:t>
      </w:r>
    </w:p>
    <w:p w:rsidR="005C455F" w:rsidRDefault="006E0C59">
      <w:pPr>
        <w:spacing w:line="360" w:lineRule="auto"/>
        <w:rPr>
          <w:rFonts w:ascii="Times New Roman" w:hAnsi="Times New Roman" w:cs="Times New Roman"/>
          <w:b/>
          <w:sz w:val="24"/>
          <w:szCs w:val="24"/>
        </w:rPr>
      </w:pPr>
      <w:r>
        <w:rPr>
          <w:rFonts w:ascii="Times New Roman" w:hAnsi="Times New Roman" w:cs="Times New Roman" w:hint="eastAsia"/>
          <w:b/>
          <w:sz w:val="24"/>
          <w:szCs w:val="24"/>
        </w:rPr>
        <w:t>九</w:t>
      </w:r>
      <w:r>
        <w:rPr>
          <w:rFonts w:ascii="Times New Roman" w:hAnsi="Times New Roman" w:cs="Times New Roman"/>
          <w:b/>
          <w:sz w:val="24"/>
          <w:szCs w:val="24"/>
        </w:rPr>
        <w:t>、</w:t>
      </w:r>
      <w:r>
        <w:rPr>
          <w:rFonts w:ascii="Times New Roman" w:hAnsi="Times New Roman" w:cs="Times New Roman" w:hint="eastAsia"/>
          <w:b/>
          <w:sz w:val="24"/>
          <w:szCs w:val="24"/>
        </w:rPr>
        <w:t>标准性质的建议</w:t>
      </w:r>
      <w:r w:rsidR="00E62775">
        <w:rPr>
          <w:rFonts w:ascii="Times New Roman" w:hAnsi="Times New Roman" w:cs="Times New Roman" w:hint="eastAsia"/>
          <w:b/>
          <w:sz w:val="24"/>
          <w:szCs w:val="24"/>
        </w:rPr>
        <w:t>说明</w:t>
      </w:r>
    </w:p>
    <w:p w:rsidR="005C455F" w:rsidRDefault="006E0C59">
      <w:pPr>
        <w:pStyle w:val="af9"/>
        <w:rPr>
          <w:b/>
        </w:rPr>
      </w:pPr>
      <w:r>
        <w:t>建议本标准的性质为推荐性</w:t>
      </w:r>
      <w:r>
        <w:rPr>
          <w:rFonts w:hint="eastAsia"/>
        </w:rPr>
        <w:t>行业</w:t>
      </w:r>
      <w:r>
        <w:t>标准。</w:t>
      </w:r>
    </w:p>
    <w:p w:rsidR="005C455F" w:rsidRDefault="006E0C59">
      <w:pPr>
        <w:spacing w:line="360" w:lineRule="auto"/>
        <w:rPr>
          <w:rFonts w:ascii="Times New Roman" w:hAnsi="Times New Roman" w:cs="Times New Roman"/>
          <w:b/>
          <w:sz w:val="24"/>
          <w:szCs w:val="24"/>
        </w:rPr>
      </w:pPr>
      <w:r>
        <w:rPr>
          <w:rFonts w:ascii="Times New Roman" w:hAnsi="Times New Roman" w:cs="Times New Roman" w:hint="eastAsia"/>
          <w:b/>
          <w:sz w:val="24"/>
          <w:szCs w:val="24"/>
        </w:rPr>
        <w:t>十、贯彻标准的要求和措施建议</w:t>
      </w:r>
    </w:p>
    <w:p w:rsidR="005C455F" w:rsidRDefault="006E0C59">
      <w:pPr>
        <w:pStyle w:val="af9"/>
        <w:rPr>
          <w:b/>
        </w:rPr>
      </w:pPr>
      <w:r>
        <w:t>建议本标准批准发布</w:t>
      </w:r>
      <w:r>
        <w:t xml:space="preserve"> 6 </w:t>
      </w:r>
      <w:proofErr w:type="gramStart"/>
      <w:r>
        <w:t>个</w:t>
      </w:r>
      <w:proofErr w:type="gramEnd"/>
      <w:r>
        <w:t>月后实施。</w:t>
      </w:r>
    </w:p>
    <w:p w:rsidR="005C455F" w:rsidRDefault="006E0C59">
      <w:pPr>
        <w:spacing w:before="100" w:beforeAutospacing="1" w:line="360" w:lineRule="auto"/>
        <w:jc w:val="left"/>
        <w:rPr>
          <w:rFonts w:ascii="Times New Roman" w:hAnsi="Times New Roman" w:cs="Times New Roman"/>
          <w:b/>
          <w:sz w:val="24"/>
          <w:szCs w:val="24"/>
        </w:rPr>
      </w:pPr>
      <w:r>
        <w:rPr>
          <w:rFonts w:ascii="Times New Roman" w:hAnsi="Times New Roman" w:cs="Times New Roman" w:hint="eastAsia"/>
          <w:b/>
          <w:sz w:val="24"/>
          <w:szCs w:val="24"/>
        </w:rPr>
        <w:t>十一、</w:t>
      </w:r>
      <w:r>
        <w:rPr>
          <w:rFonts w:ascii="Times New Roman" w:hAnsi="Times New Roman" w:cs="Times New Roman"/>
          <w:b/>
          <w:sz w:val="24"/>
          <w:szCs w:val="24"/>
        </w:rPr>
        <w:t>废止现行相关标准的建议</w:t>
      </w:r>
    </w:p>
    <w:p w:rsidR="005C455F" w:rsidRDefault="006E0C59">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无。</w:t>
      </w:r>
    </w:p>
    <w:p w:rsidR="005C455F" w:rsidRDefault="006E0C59">
      <w:pPr>
        <w:spacing w:before="100" w:beforeAutospacing="1" w:line="360" w:lineRule="auto"/>
        <w:jc w:val="left"/>
        <w:rPr>
          <w:rFonts w:ascii="Times New Roman" w:hAnsi="Times New Roman" w:cs="Times New Roman"/>
          <w:b/>
          <w:sz w:val="24"/>
          <w:szCs w:val="24"/>
        </w:rPr>
      </w:pPr>
      <w:r>
        <w:rPr>
          <w:rFonts w:ascii="Times New Roman" w:hAnsi="Times New Roman" w:cs="Times New Roman" w:hint="eastAsia"/>
          <w:b/>
          <w:sz w:val="24"/>
          <w:szCs w:val="24"/>
        </w:rPr>
        <w:t>十二、</w:t>
      </w:r>
      <w:r>
        <w:rPr>
          <w:rFonts w:ascii="Times New Roman" w:hAnsi="Times New Roman" w:cs="Times New Roman"/>
          <w:b/>
          <w:sz w:val="24"/>
          <w:szCs w:val="24"/>
        </w:rPr>
        <w:t>其他应予说明的事项</w:t>
      </w:r>
    </w:p>
    <w:p w:rsidR="005C455F" w:rsidRDefault="006E0C59">
      <w:pPr>
        <w:spacing w:line="360" w:lineRule="auto"/>
        <w:ind w:firstLineChars="200" w:firstLine="480"/>
        <w:jc w:val="left"/>
        <w:rPr>
          <w:rFonts w:ascii="Times New Roman" w:eastAsia="宋体" w:hAnsi="Times New Roman" w:cs="Times New Roman"/>
          <w:sz w:val="24"/>
        </w:rPr>
      </w:pPr>
      <w:r>
        <w:rPr>
          <w:rFonts w:ascii="Times New Roman" w:eastAsia="宋体" w:hAnsi="Times New Roman" w:cs="Times New Roman" w:hint="eastAsia"/>
          <w:sz w:val="24"/>
        </w:rPr>
        <w:t>无。</w:t>
      </w:r>
    </w:p>
    <w:p w:rsidR="005C455F" w:rsidRDefault="005C455F">
      <w:pPr>
        <w:spacing w:line="360" w:lineRule="auto"/>
        <w:ind w:firstLineChars="200" w:firstLine="480"/>
        <w:rPr>
          <w:rFonts w:ascii="Times New Roman" w:hAnsi="Times New Roman" w:cs="Times New Roman"/>
          <w:sz w:val="24"/>
          <w:szCs w:val="24"/>
        </w:rPr>
      </w:pPr>
    </w:p>
    <w:p w:rsidR="005C455F" w:rsidRDefault="006E0C59">
      <w:pPr>
        <w:pStyle w:val="af9"/>
        <w:jc w:val="right"/>
      </w:pPr>
      <w:r>
        <w:t>《</w:t>
      </w:r>
      <w:r>
        <w:rPr>
          <w:rFonts w:hint="eastAsia"/>
        </w:rPr>
        <w:t>葡萄糖氧化酶制剂</w:t>
      </w:r>
      <w:r>
        <w:t>》</w:t>
      </w:r>
      <w:r>
        <w:rPr>
          <w:rFonts w:hint="eastAsia"/>
        </w:rPr>
        <w:t>行业</w:t>
      </w:r>
      <w:r>
        <w:t>标准编制工作组</w:t>
      </w:r>
      <w:r>
        <w:t xml:space="preserve"> </w:t>
      </w:r>
    </w:p>
    <w:p w:rsidR="005C455F" w:rsidRDefault="006E0C59">
      <w:pPr>
        <w:pStyle w:val="af9"/>
        <w:jc w:val="right"/>
      </w:pPr>
      <w:r>
        <w:t>202</w:t>
      </w:r>
      <w:r>
        <w:rPr>
          <w:rFonts w:hint="eastAsia"/>
        </w:rPr>
        <w:t>5</w:t>
      </w:r>
      <w:r>
        <w:t xml:space="preserve"> </w:t>
      </w:r>
      <w:r>
        <w:t>年</w:t>
      </w:r>
      <w:r>
        <w:t xml:space="preserve"> </w:t>
      </w:r>
      <w:r>
        <w:rPr>
          <w:rFonts w:hint="eastAsia"/>
        </w:rPr>
        <w:t>7</w:t>
      </w:r>
      <w:r>
        <w:t xml:space="preserve"> </w:t>
      </w:r>
      <w:r>
        <w:t>月</w:t>
      </w:r>
    </w:p>
    <w:p w:rsidR="005C455F" w:rsidRDefault="005C455F">
      <w:pPr>
        <w:pStyle w:val="af9"/>
        <w:ind w:firstLineChars="0" w:firstLine="0"/>
        <w:sectPr w:rsidR="005C455F">
          <w:pgSz w:w="11906" w:h="16838"/>
          <w:pgMar w:top="1440" w:right="1800" w:bottom="1440" w:left="1800" w:header="851" w:footer="992" w:gutter="0"/>
          <w:cols w:space="425"/>
          <w:docGrid w:type="lines" w:linePitch="312"/>
        </w:sectPr>
      </w:pPr>
    </w:p>
    <w:tbl>
      <w:tblPr>
        <w:tblStyle w:val="af6"/>
        <w:tblW w:w="13816" w:type="dxa"/>
        <w:jc w:val="center"/>
        <w:shd w:val="clear" w:color="auto" w:fill="FFFFFF" w:themeFill="background1"/>
        <w:tblLook w:val="04A0" w:firstRow="1" w:lastRow="0" w:firstColumn="1" w:lastColumn="0" w:noHBand="0" w:noVBand="1"/>
      </w:tblPr>
      <w:tblGrid>
        <w:gridCol w:w="936"/>
        <w:gridCol w:w="1222"/>
        <w:gridCol w:w="3945"/>
        <w:gridCol w:w="1910"/>
        <w:gridCol w:w="3784"/>
        <w:gridCol w:w="2019"/>
      </w:tblGrid>
      <w:tr w:rsidR="005C455F">
        <w:trPr>
          <w:trHeight w:val="389"/>
          <w:jc w:val="center"/>
        </w:trPr>
        <w:tc>
          <w:tcPr>
            <w:tcW w:w="13816" w:type="dxa"/>
            <w:gridSpan w:val="6"/>
            <w:shd w:val="clear" w:color="auto" w:fill="FFFFFF" w:themeFill="background1"/>
          </w:tcPr>
          <w:p w:rsidR="005C455F" w:rsidRDefault="006E0C59">
            <w:pPr>
              <w:spacing w:line="500" w:lineRule="exact"/>
              <w:rPr>
                <w:rFonts w:ascii="Times New Roman" w:eastAsia="宋体" w:hAnsi="Times New Roman" w:cs="Times New Roman"/>
                <w:kern w:val="0"/>
                <w:sz w:val="24"/>
                <w:szCs w:val="24"/>
              </w:rPr>
            </w:pPr>
            <w:r>
              <w:rPr>
                <w:rFonts w:ascii="Times New Roman" w:eastAsia="宋体" w:hAnsi="Times New Roman" w:cs="Times New Roman" w:hint="eastAsia"/>
                <w:b/>
                <w:bCs/>
                <w:kern w:val="0"/>
                <w:sz w:val="24"/>
                <w:szCs w:val="24"/>
              </w:rPr>
              <w:lastRenderedPageBreak/>
              <w:t>附件：葡萄糖氧化酶制剂样品检测结果</w:t>
            </w:r>
          </w:p>
        </w:tc>
      </w:tr>
      <w:tr w:rsidR="005C455F">
        <w:trPr>
          <w:trHeight w:val="389"/>
          <w:jc w:val="center"/>
        </w:trPr>
        <w:tc>
          <w:tcPr>
            <w:tcW w:w="936" w:type="dxa"/>
            <w:shd w:val="clear" w:color="auto" w:fill="FFFFFF" w:themeFill="background1"/>
            <w:vAlign w:val="center"/>
          </w:tcPr>
          <w:p w:rsidR="005C455F" w:rsidRDefault="006E0C59">
            <w:pPr>
              <w:spacing w:line="5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样品</w:t>
            </w:r>
          </w:p>
        </w:tc>
        <w:tc>
          <w:tcPr>
            <w:tcW w:w="1222" w:type="dxa"/>
            <w:shd w:val="clear" w:color="auto" w:fill="FFFFFF" w:themeFill="background1"/>
            <w:vAlign w:val="center"/>
          </w:tcPr>
          <w:p w:rsidR="005C455F" w:rsidRDefault="006E0C59">
            <w:pPr>
              <w:spacing w:line="5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色泽</w:t>
            </w:r>
          </w:p>
        </w:tc>
        <w:tc>
          <w:tcPr>
            <w:tcW w:w="3945" w:type="dxa"/>
            <w:shd w:val="clear" w:color="auto" w:fill="FFFFFF" w:themeFill="background1"/>
            <w:vAlign w:val="center"/>
          </w:tcPr>
          <w:p w:rsidR="005C455F" w:rsidRDefault="006E0C59">
            <w:pPr>
              <w:spacing w:line="5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状态</w:t>
            </w:r>
          </w:p>
        </w:tc>
        <w:tc>
          <w:tcPr>
            <w:tcW w:w="1910" w:type="dxa"/>
            <w:shd w:val="clear" w:color="auto" w:fill="FFFFFF" w:themeFill="background1"/>
            <w:vAlign w:val="center"/>
          </w:tcPr>
          <w:p w:rsidR="005C455F" w:rsidRDefault="006E0C59">
            <w:pPr>
              <w:spacing w:line="5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气味</w:t>
            </w:r>
          </w:p>
        </w:tc>
        <w:tc>
          <w:tcPr>
            <w:tcW w:w="3784" w:type="dxa"/>
            <w:shd w:val="clear" w:color="auto" w:fill="FFFFFF" w:themeFill="background1"/>
            <w:vAlign w:val="center"/>
          </w:tcPr>
          <w:p w:rsidR="005C455F" w:rsidRDefault="006E0C59">
            <w:pPr>
              <w:spacing w:line="5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葡萄糖氧化酶活力</w:t>
            </w:r>
            <w:r>
              <w:rPr>
                <w:rFonts w:ascii="Times New Roman" w:eastAsia="宋体" w:hAnsi="Times New Roman" w:cs="Times New Roman"/>
                <w:kern w:val="0"/>
                <w:szCs w:val="21"/>
              </w:rPr>
              <w:t>/</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g</w:t>
            </w:r>
            <w:r>
              <w:rPr>
                <w:rFonts w:ascii="Times New Roman" w:eastAsia="宋体" w:hAnsi="Times New Roman" w:cs="Times New Roman"/>
                <w:kern w:val="0"/>
                <w:szCs w:val="21"/>
              </w:rPr>
              <w:t>或</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ml</w:t>
            </w:r>
            <w:r>
              <w:rPr>
                <w:rFonts w:ascii="Times New Roman" w:eastAsia="宋体" w:hAnsi="Times New Roman" w:cs="Times New Roman"/>
                <w:kern w:val="0"/>
                <w:szCs w:val="21"/>
              </w:rPr>
              <w:t>）</w:t>
            </w:r>
          </w:p>
        </w:tc>
        <w:tc>
          <w:tcPr>
            <w:tcW w:w="2019" w:type="dxa"/>
            <w:shd w:val="clear" w:color="auto" w:fill="FFFFFF" w:themeFill="background1"/>
            <w:vAlign w:val="center"/>
          </w:tcPr>
          <w:p w:rsidR="005C455F" w:rsidRDefault="006E0C59">
            <w:pPr>
              <w:spacing w:line="5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干燥失重</w:t>
            </w:r>
            <w:r>
              <w:rPr>
                <w:rFonts w:ascii="Times New Roman" w:eastAsia="宋体" w:hAnsi="Times New Roman" w:cs="Times New Roman"/>
                <w:kern w:val="0"/>
                <w:szCs w:val="21"/>
              </w:rPr>
              <w:t>/%</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黄褐色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发酵固有香味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6626</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5.2</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黄褐色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发酵固有香味</w:t>
            </w:r>
          </w:p>
        </w:tc>
        <w:tc>
          <w:tcPr>
            <w:tcW w:w="3784" w:type="dxa"/>
            <w:shd w:val="clear" w:color="auto" w:fill="FFFFFF" w:themeFill="background1"/>
          </w:tcPr>
          <w:p w:rsidR="005C455F" w:rsidRDefault="006E0C59">
            <w:pPr>
              <w:jc w:val="center"/>
              <w:rPr>
                <w:rFonts w:ascii="Times New Roman" w:eastAsia="宋体" w:hAnsi="Times New Roman" w:cs="Times New Roman"/>
                <w:b/>
                <w:bCs/>
                <w:kern w:val="0"/>
                <w:szCs w:val="21"/>
              </w:rPr>
            </w:pPr>
            <w:r>
              <w:rPr>
                <w:rFonts w:ascii="Times New Roman" w:eastAsia="宋体" w:hAnsi="Times New Roman" w:cs="Times New Roman"/>
                <w:kern w:val="0"/>
                <w:szCs w:val="21"/>
              </w:rPr>
              <w:t>6959</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5.4</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发酵固有香味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12560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5.5</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发酵固有香味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13238</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5.2</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黄褐色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发酵固有香味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6521</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5.1</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黄褐色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发酵固有香味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6830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4.8</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7</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发酵固有香味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12033</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5.6</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8</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发酵固有香味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11988</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5.4</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9</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浅黄色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固体粉末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2341</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6.18</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浅黄色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固体粉末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2014</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6.80</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浅黄色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固体粉末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2220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6.25</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12</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黄棕色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固体粉末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4586</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4.26</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13</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黄棕色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固体粉末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4750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3.87</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14</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固体粉末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11095</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6.45</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15</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固体粉末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10998</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7.02</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16</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固体粉末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10882</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6.50</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17</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淡黄色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无异嗅、异味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4200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5.7%</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18</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淡黄色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无异嗅、异味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4300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6.4%</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19</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淡黄色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无异嗅、异味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4250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6.9</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淡黄色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无异嗅、异味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4150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6.3</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21</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淡黄色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无异嗅、异味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11000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5.9</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22</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淡黄色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无异嗅、异味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10900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6.7</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23</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淡黄色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无异嗅、异味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11500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6.9</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24</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淡黄色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无异嗅、异味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11200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6.8</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25</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褐色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粉末状，无潮解、无霉变、无结块</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有特殊发酵气味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5623</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4.3</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26</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褐色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粉末状，无潮解、无霉变、无结块</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有特殊发酵气味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8500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4.9</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27</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褐色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粉末状，无潮解、无霉变、无结块</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有特殊发酵气味</w:t>
            </w:r>
          </w:p>
        </w:tc>
        <w:tc>
          <w:tcPr>
            <w:tcW w:w="3784"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15301</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4.6</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28</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褐色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粉末状，无潮解、无霉变、无结块</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有特殊发酵气味</w:t>
            </w:r>
          </w:p>
        </w:tc>
        <w:tc>
          <w:tcPr>
            <w:tcW w:w="3784" w:type="dxa"/>
            <w:shd w:val="clear" w:color="auto" w:fill="FFFFFF" w:themeFill="background1"/>
          </w:tcPr>
          <w:p w:rsidR="005C455F" w:rsidRDefault="006E0C59">
            <w:pPr>
              <w:tabs>
                <w:tab w:val="left" w:pos="1140"/>
              </w:tabs>
              <w:jc w:val="center"/>
              <w:rPr>
                <w:rFonts w:ascii="Times New Roman" w:eastAsia="宋体" w:hAnsi="Times New Roman" w:cs="Times New Roman"/>
                <w:kern w:val="0"/>
                <w:szCs w:val="21"/>
              </w:rPr>
            </w:pPr>
            <w:r>
              <w:rPr>
                <w:rFonts w:ascii="Times New Roman" w:eastAsia="宋体" w:hAnsi="Times New Roman" w:cs="Times New Roman"/>
                <w:kern w:val="0"/>
                <w:szCs w:val="21"/>
              </w:rPr>
              <w:t>21951</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5.3</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29</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浅棕色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液态，颜色均</w:t>
            </w:r>
            <w:proofErr w:type="gramStart"/>
            <w:r>
              <w:rPr>
                <w:rFonts w:ascii="Times New Roman" w:eastAsia="宋体" w:hAnsi="Times New Roman" w:cs="Times New Roman"/>
                <w:kern w:val="0"/>
                <w:szCs w:val="21"/>
              </w:rPr>
              <w:t>一</w:t>
            </w:r>
            <w:proofErr w:type="gramEnd"/>
            <w:r>
              <w:rPr>
                <w:rFonts w:ascii="Times New Roman" w:eastAsia="宋体" w:hAnsi="Times New Roman" w:cs="Times New Roman"/>
                <w:kern w:val="0"/>
                <w:szCs w:val="21"/>
              </w:rPr>
              <w:t>，无异味</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有特殊发酵气味</w:t>
            </w:r>
          </w:p>
        </w:tc>
        <w:tc>
          <w:tcPr>
            <w:tcW w:w="3784" w:type="dxa"/>
            <w:shd w:val="clear" w:color="auto" w:fill="FFFFFF" w:themeFill="background1"/>
          </w:tcPr>
          <w:p w:rsidR="005C455F" w:rsidRDefault="006E0C59">
            <w:pPr>
              <w:tabs>
                <w:tab w:val="left" w:pos="1140"/>
              </w:tabs>
              <w:jc w:val="center"/>
              <w:rPr>
                <w:rFonts w:ascii="Times New Roman" w:eastAsia="宋体" w:hAnsi="Times New Roman" w:cs="Times New Roman"/>
                <w:kern w:val="0"/>
                <w:szCs w:val="21"/>
              </w:rPr>
            </w:pPr>
            <w:r>
              <w:rPr>
                <w:rFonts w:ascii="Times New Roman" w:eastAsia="宋体" w:hAnsi="Times New Roman" w:cs="Times New Roman"/>
                <w:kern w:val="0"/>
                <w:szCs w:val="21"/>
              </w:rPr>
              <w:t>23380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30</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棕色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液态，颜色均</w:t>
            </w:r>
            <w:proofErr w:type="gramStart"/>
            <w:r>
              <w:rPr>
                <w:rFonts w:ascii="Times New Roman" w:eastAsia="宋体" w:hAnsi="Times New Roman" w:cs="Times New Roman"/>
                <w:kern w:val="0"/>
                <w:szCs w:val="21"/>
              </w:rPr>
              <w:t>一</w:t>
            </w:r>
            <w:proofErr w:type="gramEnd"/>
            <w:r>
              <w:rPr>
                <w:rFonts w:ascii="Times New Roman" w:eastAsia="宋体" w:hAnsi="Times New Roman" w:cs="Times New Roman"/>
                <w:kern w:val="0"/>
                <w:szCs w:val="21"/>
              </w:rPr>
              <w:t>，无异味</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有特殊发酵气味</w:t>
            </w:r>
          </w:p>
        </w:tc>
        <w:tc>
          <w:tcPr>
            <w:tcW w:w="3784" w:type="dxa"/>
            <w:shd w:val="clear" w:color="auto" w:fill="FFFFFF" w:themeFill="background1"/>
          </w:tcPr>
          <w:p w:rsidR="005C455F" w:rsidRDefault="006E0C59">
            <w:pPr>
              <w:tabs>
                <w:tab w:val="left" w:pos="1140"/>
              </w:tabs>
              <w:jc w:val="center"/>
              <w:rPr>
                <w:rFonts w:ascii="Times New Roman" w:eastAsia="宋体" w:hAnsi="Times New Roman" w:cs="Times New Roman"/>
                <w:kern w:val="0"/>
                <w:szCs w:val="21"/>
              </w:rPr>
            </w:pPr>
            <w:r>
              <w:rPr>
                <w:rFonts w:ascii="Times New Roman" w:eastAsia="宋体" w:hAnsi="Times New Roman" w:cs="Times New Roman"/>
                <w:kern w:val="0"/>
                <w:szCs w:val="21"/>
              </w:rPr>
              <w:t>34930</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31</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微丸状，无潮解、无霉变、无结块</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有特殊发酵气味</w:t>
            </w:r>
          </w:p>
        </w:tc>
        <w:tc>
          <w:tcPr>
            <w:tcW w:w="3784" w:type="dxa"/>
            <w:shd w:val="clear" w:color="auto" w:fill="FFFFFF" w:themeFill="background1"/>
          </w:tcPr>
          <w:p w:rsidR="005C455F" w:rsidRDefault="006E0C59">
            <w:pPr>
              <w:tabs>
                <w:tab w:val="left" w:pos="1140"/>
              </w:tabs>
              <w:jc w:val="center"/>
              <w:rPr>
                <w:rFonts w:ascii="Times New Roman" w:eastAsia="宋体" w:hAnsi="Times New Roman" w:cs="Times New Roman"/>
                <w:kern w:val="0"/>
                <w:szCs w:val="21"/>
              </w:rPr>
            </w:pPr>
            <w:r>
              <w:rPr>
                <w:rFonts w:ascii="Times New Roman" w:eastAsia="宋体" w:hAnsi="Times New Roman" w:cs="Times New Roman"/>
                <w:kern w:val="0"/>
                <w:szCs w:val="21"/>
              </w:rPr>
              <w:t>3512</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7.2</w:t>
            </w:r>
          </w:p>
        </w:tc>
      </w:tr>
      <w:tr w:rsidR="005C455F">
        <w:trPr>
          <w:trHeight w:val="389"/>
          <w:jc w:val="center"/>
        </w:trPr>
        <w:tc>
          <w:tcPr>
            <w:tcW w:w="936"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32</w:t>
            </w:r>
          </w:p>
        </w:tc>
        <w:tc>
          <w:tcPr>
            <w:tcW w:w="1222"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黄色</w:t>
            </w:r>
          </w:p>
        </w:tc>
        <w:tc>
          <w:tcPr>
            <w:tcW w:w="3945"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微丸状，无潮解、无霉变、无结块</w:t>
            </w:r>
          </w:p>
        </w:tc>
        <w:tc>
          <w:tcPr>
            <w:tcW w:w="1910"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有特殊发酵气味</w:t>
            </w:r>
          </w:p>
        </w:tc>
        <w:tc>
          <w:tcPr>
            <w:tcW w:w="3784" w:type="dxa"/>
            <w:shd w:val="clear" w:color="auto" w:fill="FFFFFF" w:themeFill="background1"/>
          </w:tcPr>
          <w:p w:rsidR="005C455F" w:rsidRDefault="006E0C59">
            <w:pPr>
              <w:tabs>
                <w:tab w:val="left" w:pos="1140"/>
              </w:tabs>
              <w:jc w:val="center"/>
              <w:rPr>
                <w:rFonts w:ascii="Times New Roman" w:eastAsia="宋体" w:hAnsi="Times New Roman" w:cs="Times New Roman"/>
                <w:kern w:val="0"/>
                <w:szCs w:val="21"/>
              </w:rPr>
            </w:pPr>
            <w:r>
              <w:rPr>
                <w:rFonts w:ascii="Times New Roman" w:eastAsia="宋体" w:hAnsi="Times New Roman" w:cs="Times New Roman"/>
                <w:kern w:val="0"/>
                <w:szCs w:val="21"/>
              </w:rPr>
              <w:t>1726</w:t>
            </w:r>
          </w:p>
        </w:tc>
        <w:tc>
          <w:tcPr>
            <w:tcW w:w="2019" w:type="dxa"/>
            <w:shd w:val="clear" w:color="auto" w:fill="FFFFFF" w:themeFill="background1"/>
          </w:tcPr>
          <w:p w:rsidR="005C455F" w:rsidRDefault="006E0C59">
            <w:pPr>
              <w:jc w:val="center"/>
              <w:rPr>
                <w:rFonts w:ascii="Times New Roman" w:eastAsia="宋体" w:hAnsi="Times New Roman" w:cs="Times New Roman"/>
                <w:kern w:val="0"/>
                <w:szCs w:val="21"/>
              </w:rPr>
            </w:pPr>
            <w:r>
              <w:rPr>
                <w:rFonts w:ascii="Times New Roman" w:eastAsia="宋体" w:hAnsi="Times New Roman" w:cs="Times New Roman"/>
                <w:kern w:val="0"/>
                <w:szCs w:val="21"/>
              </w:rPr>
              <w:t>7.8</w:t>
            </w:r>
          </w:p>
        </w:tc>
      </w:tr>
    </w:tbl>
    <w:p w:rsidR="005C455F" w:rsidRDefault="005C455F">
      <w:pPr>
        <w:pStyle w:val="af9"/>
        <w:ind w:firstLineChars="0" w:firstLine="0"/>
      </w:pPr>
    </w:p>
    <w:sectPr w:rsidR="005C455F">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76A3"/>
    <w:multiLevelType w:val="multilevel"/>
    <w:tmpl w:val="081076A3"/>
    <w:lvl w:ilvl="0">
      <w:start w:val="1"/>
      <w:numFmt w:val="chineseCountingThousand"/>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3536BA"/>
    <w:multiLevelType w:val="multilevel"/>
    <w:tmpl w:val="153536BA"/>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829F8A3"/>
    <w:multiLevelType w:val="multilevel"/>
    <w:tmpl w:val="2829F8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F7B0264"/>
    <w:multiLevelType w:val="multilevel"/>
    <w:tmpl w:val="3F7B0264"/>
    <w:lvl w:ilvl="0">
      <w:start w:val="10"/>
      <w:numFmt w:val="japaneseCounting"/>
      <w:lvlText w:val="%1、"/>
      <w:lvlJc w:val="left"/>
      <w:pPr>
        <w:ind w:left="510" w:hanging="510"/>
      </w:pPr>
      <w:rPr>
        <w:rFonts w:ascii="黑体" w:eastAsia="黑体" w:hAnsi="黑体"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3169CE8"/>
    <w:multiLevelType w:val="multilevel"/>
    <w:tmpl w:val="43169CE8"/>
    <w:lvl w:ilvl="0">
      <w:start w:val="1"/>
      <w:numFmt w:val="decimal"/>
      <w:suff w:val="nothing"/>
      <w:lvlText w:val="%1、"/>
      <w:lvlJc w:val="left"/>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4.%4　"/>
      <w:lvlJc w:val="left"/>
      <w:pPr>
        <w:ind w:left="2940" w:firstLine="0"/>
      </w:pPr>
      <w:rPr>
        <w:rFonts w:ascii="黑体" w:eastAsia="黑体" w:hAnsi="Times New Roman" w:hint="eastAsia"/>
        <w:b w:val="0"/>
        <w:i w:val="0"/>
        <w:sz w:val="21"/>
      </w:rPr>
    </w:lvl>
    <w:lvl w:ilvl="4">
      <w:start w:val="1"/>
      <w:numFmt w:val="decimal"/>
      <w:suff w:val="nothing"/>
      <w:lvlText w:val="%1%2.4.%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6065459C"/>
    <w:multiLevelType w:val="multilevel"/>
    <w:tmpl w:val="6065459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63976099"/>
    <w:multiLevelType w:val="multilevel"/>
    <w:tmpl w:val="6397609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6DA47E53"/>
    <w:multiLevelType w:val="multilevel"/>
    <w:tmpl w:val="6DA47E53"/>
    <w:lvl w:ilvl="0">
      <w:start w:val="1"/>
      <w:numFmt w:val="chineseCountingThousand"/>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50E5DA9"/>
    <w:multiLevelType w:val="multilevel"/>
    <w:tmpl w:val="750E5D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4"/>
  </w:num>
  <w:num w:numId="3">
    <w:abstractNumId w:val="0"/>
  </w:num>
  <w:num w:numId="4">
    <w:abstractNumId w:val="5"/>
  </w:num>
  <w:num w:numId="5">
    <w:abstractNumId w:val="8"/>
  </w:num>
  <w:num w:numId="6">
    <w:abstractNumId w:val="9"/>
  </w:num>
  <w:num w:numId="7">
    <w:abstractNumId w:val="6"/>
  </w:num>
  <w:num w:numId="8">
    <w:abstractNumId w:val="1"/>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760"/>
    <w:rsid w:val="00000B15"/>
    <w:rsid w:val="00000EA0"/>
    <w:rsid w:val="0000111C"/>
    <w:rsid w:val="00006654"/>
    <w:rsid w:val="000102EA"/>
    <w:rsid w:val="00016D68"/>
    <w:rsid w:val="000244F2"/>
    <w:rsid w:val="00025E70"/>
    <w:rsid w:val="000271CC"/>
    <w:rsid w:val="00034988"/>
    <w:rsid w:val="0003518F"/>
    <w:rsid w:val="0003648E"/>
    <w:rsid w:val="00051FBA"/>
    <w:rsid w:val="000638EB"/>
    <w:rsid w:val="000655A4"/>
    <w:rsid w:val="00075CC2"/>
    <w:rsid w:val="00082D4C"/>
    <w:rsid w:val="00085495"/>
    <w:rsid w:val="00086C29"/>
    <w:rsid w:val="00091B1F"/>
    <w:rsid w:val="0009276D"/>
    <w:rsid w:val="000A0BBB"/>
    <w:rsid w:val="000B6699"/>
    <w:rsid w:val="000C3F06"/>
    <w:rsid w:val="000C4FDD"/>
    <w:rsid w:val="000D091A"/>
    <w:rsid w:val="000D6F09"/>
    <w:rsid w:val="000D7596"/>
    <w:rsid w:val="000E0003"/>
    <w:rsid w:val="000E4A35"/>
    <w:rsid w:val="000F08FD"/>
    <w:rsid w:val="000F5874"/>
    <w:rsid w:val="00102131"/>
    <w:rsid w:val="0010457C"/>
    <w:rsid w:val="0011422F"/>
    <w:rsid w:val="0011518D"/>
    <w:rsid w:val="001157FF"/>
    <w:rsid w:val="001160A6"/>
    <w:rsid w:val="0013271E"/>
    <w:rsid w:val="001410EA"/>
    <w:rsid w:val="0014362A"/>
    <w:rsid w:val="001501B9"/>
    <w:rsid w:val="0015422E"/>
    <w:rsid w:val="00156F9F"/>
    <w:rsid w:val="00160683"/>
    <w:rsid w:val="00162ECA"/>
    <w:rsid w:val="0017086F"/>
    <w:rsid w:val="00171A39"/>
    <w:rsid w:val="00187185"/>
    <w:rsid w:val="00193F34"/>
    <w:rsid w:val="00194BA8"/>
    <w:rsid w:val="001A1A8A"/>
    <w:rsid w:val="001B2C41"/>
    <w:rsid w:val="001B4FE8"/>
    <w:rsid w:val="001B67A4"/>
    <w:rsid w:val="001D0798"/>
    <w:rsid w:val="001D2C63"/>
    <w:rsid w:val="001E7A38"/>
    <w:rsid w:val="001F110B"/>
    <w:rsid w:val="00200B99"/>
    <w:rsid w:val="00205624"/>
    <w:rsid w:val="0020736B"/>
    <w:rsid w:val="002105ED"/>
    <w:rsid w:val="002241EC"/>
    <w:rsid w:val="00230C72"/>
    <w:rsid w:val="002315B8"/>
    <w:rsid w:val="0023438E"/>
    <w:rsid w:val="00254368"/>
    <w:rsid w:val="00260610"/>
    <w:rsid w:val="002659C5"/>
    <w:rsid w:val="00270553"/>
    <w:rsid w:val="00285CB7"/>
    <w:rsid w:val="002917BA"/>
    <w:rsid w:val="002A55F8"/>
    <w:rsid w:val="002A6D37"/>
    <w:rsid w:val="002D094D"/>
    <w:rsid w:val="002D635B"/>
    <w:rsid w:val="002E1052"/>
    <w:rsid w:val="002E45FA"/>
    <w:rsid w:val="002F1B28"/>
    <w:rsid w:val="00310E6B"/>
    <w:rsid w:val="003212EB"/>
    <w:rsid w:val="003245A2"/>
    <w:rsid w:val="003504A5"/>
    <w:rsid w:val="003505E7"/>
    <w:rsid w:val="00352466"/>
    <w:rsid w:val="003560E7"/>
    <w:rsid w:val="00360544"/>
    <w:rsid w:val="00377819"/>
    <w:rsid w:val="0038120B"/>
    <w:rsid w:val="003815CC"/>
    <w:rsid w:val="003818AC"/>
    <w:rsid w:val="00382AAA"/>
    <w:rsid w:val="00384588"/>
    <w:rsid w:val="00386D8C"/>
    <w:rsid w:val="003A5C37"/>
    <w:rsid w:val="003C0DDE"/>
    <w:rsid w:val="003C3005"/>
    <w:rsid w:val="003D2D34"/>
    <w:rsid w:val="003D72BC"/>
    <w:rsid w:val="003E7D17"/>
    <w:rsid w:val="003F0634"/>
    <w:rsid w:val="004113AD"/>
    <w:rsid w:val="00411910"/>
    <w:rsid w:val="004150ED"/>
    <w:rsid w:val="00427123"/>
    <w:rsid w:val="0042727E"/>
    <w:rsid w:val="00432631"/>
    <w:rsid w:val="00434FF4"/>
    <w:rsid w:val="0046400D"/>
    <w:rsid w:val="00464F42"/>
    <w:rsid w:val="00465398"/>
    <w:rsid w:val="004747D4"/>
    <w:rsid w:val="004823A2"/>
    <w:rsid w:val="004B35E6"/>
    <w:rsid w:val="004B699F"/>
    <w:rsid w:val="004C5B5E"/>
    <w:rsid w:val="004C6478"/>
    <w:rsid w:val="004D01F9"/>
    <w:rsid w:val="004D7678"/>
    <w:rsid w:val="004D7900"/>
    <w:rsid w:val="004D7D1F"/>
    <w:rsid w:val="004E0071"/>
    <w:rsid w:val="004E7105"/>
    <w:rsid w:val="00503648"/>
    <w:rsid w:val="0050580D"/>
    <w:rsid w:val="00507AC1"/>
    <w:rsid w:val="00513007"/>
    <w:rsid w:val="00514C26"/>
    <w:rsid w:val="005278B9"/>
    <w:rsid w:val="005303EB"/>
    <w:rsid w:val="005431A9"/>
    <w:rsid w:val="00546EE6"/>
    <w:rsid w:val="005553D8"/>
    <w:rsid w:val="0055605B"/>
    <w:rsid w:val="0056640B"/>
    <w:rsid w:val="0056717F"/>
    <w:rsid w:val="005747FA"/>
    <w:rsid w:val="005760B1"/>
    <w:rsid w:val="00576864"/>
    <w:rsid w:val="0058077E"/>
    <w:rsid w:val="0059002B"/>
    <w:rsid w:val="005A08F8"/>
    <w:rsid w:val="005B2E9B"/>
    <w:rsid w:val="005B34C7"/>
    <w:rsid w:val="005C08E0"/>
    <w:rsid w:val="005C455F"/>
    <w:rsid w:val="005C52FE"/>
    <w:rsid w:val="005D4E0D"/>
    <w:rsid w:val="005D7A3A"/>
    <w:rsid w:val="005E03F0"/>
    <w:rsid w:val="00603E33"/>
    <w:rsid w:val="00611A1F"/>
    <w:rsid w:val="0061285F"/>
    <w:rsid w:val="006201A5"/>
    <w:rsid w:val="0062365D"/>
    <w:rsid w:val="00627EF8"/>
    <w:rsid w:val="0063126F"/>
    <w:rsid w:val="00640E20"/>
    <w:rsid w:val="00651E0A"/>
    <w:rsid w:val="00652662"/>
    <w:rsid w:val="00657E1A"/>
    <w:rsid w:val="00660F7C"/>
    <w:rsid w:val="00667F5D"/>
    <w:rsid w:val="00675442"/>
    <w:rsid w:val="00685A2F"/>
    <w:rsid w:val="00685D88"/>
    <w:rsid w:val="00691DCB"/>
    <w:rsid w:val="00696A1C"/>
    <w:rsid w:val="006A161C"/>
    <w:rsid w:val="006A7D28"/>
    <w:rsid w:val="006B3D26"/>
    <w:rsid w:val="006C070C"/>
    <w:rsid w:val="006C315D"/>
    <w:rsid w:val="006C3B01"/>
    <w:rsid w:val="006C66EC"/>
    <w:rsid w:val="006D25D4"/>
    <w:rsid w:val="006E0C59"/>
    <w:rsid w:val="006E14B4"/>
    <w:rsid w:val="006E2F3A"/>
    <w:rsid w:val="006F0CAF"/>
    <w:rsid w:val="00701673"/>
    <w:rsid w:val="007125D1"/>
    <w:rsid w:val="00715FD6"/>
    <w:rsid w:val="00721034"/>
    <w:rsid w:val="00721C57"/>
    <w:rsid w:val="00732747"/>
    <w:rsid w:val="007333E8"/>
    <w:rsid w:val="00737A1C"/>
    <w:rsid w:val="00742184"/>
    <w:rsid w:val="007562F5"/>
    <w:rsid w:val="00766BFD"/>
    <w:rsid w:val="00781258"/>
    <w:rsid w:val="00787AAC"/>
    <w:rsid w:val="00790B6B"/>
    <w:rsid w:val="00794179"/>
    <w:rsid w:val="00796AC8"/>
    <w:rsid w:val="007A4154"/>
    <w:rsid w:val="007C2760"/>
    <w:rsid w:val="007C2AAC"/>
    <w:rsid w:val="007C4A1D"/>
    <w:rsid w:val="007D03EC"/>
    <w:rsid w:val="007D763A"/>
    <w:rsid w:val="007D7BBA"/>
    <w:rsid w:val="007D7C5B"/>
    <w:rsid w:val="007F1DEC"/>
    <w:rsid w:val="007F3676"/>
    <w:rsid w:val="00802607"/>
    <w:rsid w:val="0080364B"/>
    <w:rsid w:val="008036FF"/>
    <w:rsid w:val="00803CE9"/>
    <w:rsid w:val="008072BE"/>
    <w:rsid w:val="008127EA"/>
    <w:rsid w:val="00812A36"/>
    <w:rsid w:val="00827EC0"/>
    <w:rsid w:val="00835118"/>
    <w:rsid w:val="00846F8F"/>
    <w:rsid w:val="008531CD"/>
    <w:rsid w:val="0085369B"/>
    <w:rsid w:val="00873D1B"/>
    <w:rsid w:val="008815F6"/>
    <w:rsid w:val="00885409"/>
    <w:rsid w:val="0089731D"/>
    <w:rsid w:val="008A5656"/>
    <w:rsid w:val="008A77B3"/>
    <w:rsid w:val="008A7BED"/>
    <w:rsid w:val="008B5510"/>
    <w:rsid w:val="008D0776"/>
    <w:rsid w:val="008D0E0C"/>
    <w:rsid w:val="008D7FA9"/>
    <w:rsid w:val="008E2F4E"/>
    <w:rsid w:val="008E6783"/>
    <w:rsid w:val="00917D6F"/>
    <w:rsid w:val="00926FC7"/>
    <w:rsid w:val="00927B09"/>
    <w:rsid w:val="00940721"/>
    <w:rsid w:val="009457E7"/>
    <w:rsid w:val="00946248"/>
    <w:rsid w:val="00952C1C"/>
    <w:rsid w:val="00954FD4"/>
    <w:rsid w:val="00957520"/>
    <w:rsid w:val="00961247"/>
    <w:rsid w:val="0096334E"/>
    <w:rsid w:val="0097254F"/>
    <w:rsid w:val="009731B6"/>
    <w:rsid w:val="00973CCF"/>
    <w:rsid w:val="009863BC"/>
    <w:rsid w:val="00993428"/>
    <w:rsid w:val="009C004C"/>
    <w:rsid w:val="009C483D"/>
    <w:rsid w:val="009C6336"/>
    <w:rsid w:val="009D582D"/>
    <w:rsid w:val="009E013B"/>
    <w:rsid w:val="009E47F4"/>
    <w:rsid w:val="009E4E10"/>
    <w:rsid w:val="009F0BA2"/>
    <w:rsid w:val="009F7625"/>
    <w:rsid w:val="00A005E3"/>
    <w:rsid w:val="00A052F0"/>
    <w:rsid w:val="00A118C5"/>
    <w:rsid w:val="00A132CF"/>
    <w:rsid w:val="00A22998"/>
    <w:rsid w:val="00A23AEB"/>
    <w:rsid w:val="00A26EEF"/>
    <w:rsid w:val="00A318AE"/>
    <w:rsid w:val="00A35FE9"/>
    <w:rsid w:val="00A54EF7"/>
    <w:rsid w:val="00A555F6"/>
    <w:rsid w:val="00A61627"/>
    <w:rsid w:val="00A61A64"/>
    <w:rsid w:val="00A62560"/>
    <w:rsid w:val="00A82A23"/>
    <w:rsid w:val="00A925B2"/>
    <w:rsid w:val="00A973AA"/>
    <w:rsid w:val="00AA0A6F"/>
    <w:rsid w:val="00AA32D5"/>
    <w:rsid w:val="00AB5075"/>
    <w:rsid w:val="00AB7B96"/>
    <w:rsid w:val="00AC5D08"/>
    <w:rsid w:val="00AC755F"/>
    <w:rsid w:val="00AD71B2"/>
    <w:rsid w:val="00AE1173"/>
    <w:rsid w:val="00AF34E3"/>
    <w:rsid w:val="00AF3B7F"/>
    <w:rsid w:val="00AF47FD"/>
    <w:rsid w:val="00AF4AE8"/>
    <w:rsid w:val="00AF4B97"/>
    <w:rsid w:val="00AF4D42"/>
    <w:rsid w:val="00AF67ED"/>
    <w:rsid w:val="00AF7F53"/>
    <w:rsid w:val="00B07E32"/>
    <w:rsid w:val="00B10AFC"/>
    <w:rsid w:val="00B1366C"/>
    <w:rsid w:val="00B26628"/>
    <w:rsid w:val="00B34F42"/>
    <w:rsid w:val="00B37523"/>
    <w:rsid w:val="00B4080C"/>
    <w:rsid w:val="00B42876"/>
    <w:rsid w:val="00B42FD4"/>
    <w:rsid w:val="00B61431"/>
    <w:rsid w:val="00B63AA7"/>
    <w:rsid w:val="00B654CD"/>
    <w:rsid w:val="00B71BC6"/>
    <w:rsid w:val="00B74CE6"/>
    <w:rsid w:val="00B828C3"/>
    <w:rsid w:val="00B837B8"/>
    <w:rsid w:val="00B87E4A"/>
    <w:rsid w:val="00B905B5"/>
    <w:rsid w:val="00B95C95"/>
    <w:rsid w:val="00B97CB3"/>
    <w:rsid w:val="00BA2B37"/>
    <w:rsid w:val="00BB542C"/>
    <w:rsid w:val="00BC55B5"/>
    <w:rsid w:val="00BC58DC"/>
    <w:rsid w:val="00BD0A80"/>
    <w:rsid w:val="00BD20C9"/>
    <w:rsid w:val="00BD3299"/>
    <w:rsid w:val="00BE561C"/>
    <w:rsid w:val="00BE5FB1"/>
    <w:rsid w:val="00C07101"/>
    <w:rsid w:val="00C11BED"/>
    <w:rsid w:val="00C14789"/>
    <w:rsid w:val="00C17BD2"/>
    <w:rsid w:val="00C2350E"/>
    <w:rsid w:val="00C31C6C"/>
    <w:rsid w:val="00C35553"/>
    <w:rsid w:val="00C35568"/>
    <w:rsid w:val="00C35ACB"/>
    <w:rsid w:val="00C46150"/>
    <w:rsid w:val="00C5221A"/>
    <w:rsid w:val="00C57046"/>
    <w:rsid w:val="00C623CF"/>
    <w:rsid w:val="00C654D8"/>
    <w:rsid w:val="00C65A43"/>
    <w:rsid w:val="00C73E06"/>
    <w:rsid w:val="00C81B7B"/>
    <w:rsid w:val="00C829CF"/>
    <w:rsid w:val="00C8353F"/>
    <w:rsid w:val="00C8611C"/>
    <w:rsid w:val="00C901DF"/>
    <w:rsid w:val="00C9044C"/>
    <w:rsid w:val="00C9119A"/>
    <w:rsid w:val="00C9188D"/>
    <w:rsid w:val="00C97611"/>
    <w:rsid w:val="00C97CDF"/>
    <w:rsid w:val="00CB1C73"/>
    <w:rsid w:val="00CB3FD6"/>
    <w:rsid w:val="00CC630C"/>
    <w:rsid w:val="00CC6C57"/>
    <w:rsid w:val="00CC70B3"/>
    <w:rsid w:val="00CD36B9"/>
    <w:rsid w:val="00CE0024"/>
    <w:rsid w:val="00CE51B1"/>
    <w:rsid w:val="00D0383D"/>
    <w:rsid w:val="00D03EA7"/>
    <w:rsid w:val="00D1482C"/>
    <w:rsid w:val="00D20FE1"/>
    <w:rsid w:val="00D23940"/>
    <w:rsid w:val="00D25726"/>
    <w:rsid w:val="00D258EB"/>
    <w:rsid w:val="00D26833"/>
    <w:rsid w:val="00D30311"/>
    <w:rsid w:val="00D34071"/>
    <w:rsid w:val="00D35E1F"/>
    <w:rsid w:val="00D45DBD"/>
    <w:rsid w:val="00D504FD"/>
    <w:rsid w:val="00D63173"/>
    <w:rsid w:val="00D7590E"/>
    <w:rsid w:val="00D870B6"/>
    <w:rsid w:val="00D93270"/>
    <w:rsid w:val="00DA24AD"/>
    <w:rsid w:val="00DA5A64"/>
    <w:rsid w:val="00DB15D7"/>
    <w:rsid w:val="00DC4C8A"/>
    <w:rsid w:val="00DD641E"/>
    <w:rsid w:val="00DE38D5"/>
    <w:rsid w:val="00DE7299"/>
    <w:rsid w:val="00E02F4F"/>
    <w:rsid w:val="00E07DF7"/>
    <w:rsid w:val="00E13FB8"/>
    <w:rsid w:val="00E21D10"/>
    <w:rsid w:val="00E2317A"/>
    <w:rsid w:val="00E24EB2"/>
    <w:rsid w:val="00E3291B"/>
    <w:rsid w:val="00E44732"/>
    <w:rsid w:val="00E46724"/>
    <w:rsid w:val="00E53077"/>
    <w:rsid w:val="00E57159"/>
    <w:rsid w:val="00E62775"/>
    <w:rsid w:val="00E7410F"/>
    <w:rsid w:val="00E74DBB"/>
    <w:rsid w:val="00E75432"/>
    <w:rsid w:val="00E76E73"/>
    <w:rsid w:val="00E800EF"/>
    <w:rsid w:val="00E81A2B"/>
    <w:rsid w:val="00EA0B7A"/>
    <w:rsid w:val="00EA1385"/>
    <w:rsid w:val="00EA7799"/>
    <w:rsid w:val="00EB1B66"/>
    <w:rsid w:val="00EC039B"/>
    <w:rsid w:val="00EC3550"/>
    <w:rsid w:val="00EC35F6"/>
    <w:rsid w:val="00ED723E"/>
    <w:rsid w:val="00EE753C"/>
    <w:rsid w:val="00EF09BF"/>
    <w:rsid w:val="00EF520A"/>
    <w:rsid w:val="00EF59DE"/>
    <w:rsid w:val="00EF64EC"/>
    <w:rsid w:val="00F00C8A"/>
    <w:rsid w:val="00F05DFC"/>
    <w:rsid w:val="00F176A0"/>
    <w:rsid w:val="00F27189"/>
    <w:rsid w:val="00F338C6"/>
    <w:rsid w:val="00F33C2C"/>
    <w:rsid w:val="00F35BAF"/>
    <w:rsid w:val="00F44F83"/>
    <w:rsid w:val="00F51E18"/>
    <w:rsid w:val="00F53184"/>
    <w:rsid w:val="00F55355"/>
    <w:rsid w:val="00FA0705"/>
    <w:rsid w:val="00FA390F"/>
    <w:rsid w:val="00FA3AA5"/>
    <w:rsid w:val="00FA707C"/>
    <w:rsid w:val="00FB2BD2"/>
    <w:rsid w:val="00FB566F"/>
    <w:rsid w:val="00FC0DFB"/>
    <w:rsid w:val="00FD3C2A"/>
    <w:rsid w:val="00FE73C8"/>
    <w:rsid w:val="00FF40E1"/>
    <w:rsid w:val="00FF7793"/>
    <w:rsid w:val="06FD062C"/>
    <w:rsid w:val="07A03ECE"/>
    <w:rsid w:val="0A8464FD"/>
    <w:rsid w:val="0C55565C"/>
    <w:rsid w:val="1108781F"/>
    <w:rsid w:val="15D00C5D"/>
    <w:rsid w:val="18A07D1C"/>
    <w:rsid w:val="18BF3C55"/>
    <w:rsid w:val="18EA7810"/>
    <w:rsid w:val="1B520DB0"/>
    <w:rsid w:val="1D542101"/>
    <w:rsid w:val="252314D1"/>
    <w:rsid w:val="2CF60403"/>
    <w:rsid w:val="31B950F7"/>
    <w:rsid w:val="3C270B57"/>
    <w:rsid w:val="46F7724B"/>
    <w:rsid w:val="590D0B13"/>
    <w:rsid w:val="641B1637"/>
    <w:rsid w:val="686432C0"/>
    <w:rsid w:val="72755BD4"/>
    <w:rsid w:val="7AE43501"/>
    <w:rsid w:val="7AFD57B8"/>
    <w:rsid w:val="7EF26C55"/>
    <w:rsid w:val="7FD60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A9DD787"/>
  <w15:docId w15:val="{63C7CB25-35AD-4FA5-8D91-84404426F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7"/>
    <w:next w:val="a7"/>
    <w:link w:val="10"/>
    <w:uiPriority w:val="9"/>
    <w:qFormat/>
    <w:pPr>
      <w:keepNext/>
      <w:keepLines/>
      <w:spacing w:before="340" w:after="330" w:line="578" w:lineRule="auto"/>
      <w:outlineLvl w:val="0"/>
    </w:pPr>
    <w:rPr>
      <w:b/>
      <w:bCs/>
      <w:kern w:val="44"/>
      <w:sz w:val="44"/>
      <w:szCs w:val="4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Date"/>
    <w:basedOn w:val="a7"/>
    <w:next w:val="a7"/>
    <w:link w:val="ac"/>
    <w:uiPriority w:val="99"/>
    <w:semiHidden/>
    <w:unhideWhenUsed/>
    <w:qFormat/>
    <w:pPr>
      <w:ind w:leftChars="2500" w:left="100"/>
    </w:pPr>
  </w:style>
  <w:style w:type="paragraph" w:styleId="ad">
    <w:name w:val="Balloon Text"/>
    <w:basedOn w:val="a7"/>
    <w:link w:val="ae"/>
    <w:uiPriority w:val="99"/>
    <w:semiHidden/>
    <w:unhideWhenUsed/>
    <w:qFormat/>
    <w:rPr>
      <w:sz w:val="18"/>
      <w:szCs w:val="18"/>
    </w:rPr>
  </w:style>
  <w:style w:type="paragraph" w:styleId="af">
    <w:name w:val="footer"/>
    <w:basedOn w:val="a7"/>
    <w:link w:val="af0"/>
    <w:uiPriority w:val="99"/>
    <w:unhideWhenUsed/>
    <w:qFormat/>
    <w:pPr>
      <w:tabs>
        <w:tab w:val="center" w:pos="4153"/>
        <w:tab w:val="right" w:pos="8306"/>
      </w:tabs>
      <w:snapToGrid w:val="0"/>
      <w:jc w:val="left"/>
    </w:pPr>
    <w:rPr>
      <w:sz w:val="18"/>
      <w:szCs w:val="18"/>
    </w:rPr>
  </w:style>
  <w:style w:type="paragraph" w:styleId="af1">
    <w:name w:val="header"/>
    <w:basedOn w:val="a7"/>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af3">
    <w:name w:val="Normal (Web)"/>
    <w:basedOn w:val="a7"/>
    <w:uiPriority w:val="99"/>
    <w:qFormat/>
    <w:pPr>
      <w:widowControl/>
      <w:spacing w:before="100" w:beforeAutospacing="1" w:after="100" w:afterAutospacing="1"/>
      <w:jc w:val="left"/>
    </w:pPr>
    <w:rPr>
      <w:rFonts w:ascii="宋体" w:eastAsia="宋体" w:hAnsi="宋体" w:cs="Times New Roman"/>
      <w:kern w:val="0"/>
      <w:sz w:val="24"/>
      <w:szCs w:val="24"/>
    </w:rPr>
  </w:style>
  <w:style w:type="paragraph" w:styleId="af4">
    <w:name w:val="Title"/>
    <w:basedOn w:val="a7"/>
    <w:next w:val="a7"/>
    <w:link w:val="af5"/>
    <w:uiPriority w:val="10"/>
    <w:qFormat/>
    <w:pPr>
      <w:spacing w:before="240" w:after="60"/>
      <w:jc w:val="center"/>
      <w:outlineLvl w:val="0"/>
    </w:pPr>
    <w:rPr>
      <w:rFonts w:asciiTheme="majorHAnsi" w:eastAsia="宋体" w:hAnsiTheme="majorHAnsi" w:cstheme="majorBidi"/>
      <w:b/>
      <w:bCs/>
      <w:sz w:val="32"/>
      <w:szCs w:val="32"/>
    </w:rPr>
  </w:style>
  <w:style w:type="table" w:styleId="af6">
    <w:name w:val="Table Grid"/>
    <w:basedOn w:val="a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眉 字符"/>
    <w:basedOn w:val="a8"/>
    <w:link w:val="af1"/>
    <w:uiPriority w:val="99"/>
    <w:qFormat/>
    <w:rPr>
      <w:sz w:val="18"/>
      <w:szCs w:val="18"/>
    </w:rPr>
  </w:style>
  <w:style w:type="character" w:customStyle="1" w:styleId="af0">
    <w:name w:val="页脚 字符"/>
    <w:basedOn w:val="a8"/>
    <w:link w:val="af"/>
    <w:uiPriority w:val="99"/>
    <w:qFormat/>
    <w:rPr>
      <w:sz w:val="18"/>
      <w:szCs w:val="18"/>
    </w:rPr>
  </w:style>
  <w:style w:type="paragraph" w:styleId="af7">
    <w:name w:val="List Paragraph"/>
    <w:basedOn w:val="a7"/>
    <w:uiPriority w:val="34"/>
    <w:qFormat/>
    <w:pPr>
      <w:ind w:firstLineChars="200" w:firstLine="420"/>
    </w:pPr>
  </w:style>
  <w:style w:type="character" w:customStyle="1" w:styleId="ac">
    <w:name w:val="日期 字符"/>
    <w:basedOn w:val="a8"/>
    <w:link w:val="ab"/>
    <w:uiPriority w:val="99"/>
    <w:semiHidden/>
    <w:qFormat/>
  </w:style>
  <w:style w:type="character" w:customStyle="1" w:styleId="font11">
    <w:name w:val="font11"/>
    <w:qFormat/>
    <w:rPr>
      <w:rFonts w:ascii="宋体" w:eastAsia="宋体" w:hAnsi="宋体" w:cs="宋体" w:hint="eastAsia"/>
      <w:color w:val="000000"/>
      <w:sz w:val="24"/>
      <w:szCs w:val="24"/>
      <w:u w:val="none"/>
    </w:rPr>
  </w:style>
  <w:style w:type="character" w:customStyle="1" w:styleId="font21">
    <w:name w:val="font21"/>
    <w:qFormat/>
    <w:rPr>
      <w:rFonts w:ascii="Times New Roman" w:hAnsi="Times New Roman" w:cs="Times New Roman" w:hint="default"/>
      <w:color w:val="000000"/>
      <w:sz w:val="24"/>
      <w:szCs w:val="24"/>
      <w:u w:val="none"/>
    </w:rPr>
  </w:style>
  <w:style w:type="character" w:customStyle="1" w:styleId="ae">
    <w:name w:val="批注框文本 字符"/>
    <w:basedOn w:val="a8"/>
    <w:link w:val="ad"/>
    <w:uiPriority w:val="99"/>
    <w:semiHidden/>
    <w:qFormat/>
    <w:rPr>
      <w:sz w:val="18"/>
      <w:szCs w:val="18"/>
    </w:rPr>
  </w:style>
  <w:style w:type="paragraph" w:styleId="af8">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10">
    <w:name w:val="标题 1 字符"/>
    <w:basedOn w:val="a8"/>
    <w:link w:val="1"/>
    <w:uiPriority w:val="9"/>
    <w:qFormat/>
    <w:rPr>
      <w:b/>
      <w:bCs/>
      <w:kern w:val="44"/>
      <w:sz w:val="44"/>
      <w:szCs w:val="44"/>
    </w:rPr>
  </w:style>
  <w:style w:type="character" w:customStyle="1" w:styleId="af5">
    <w:name w:val="标题 字符"/>
    <w:basedOn w:val="a8"/>
    <w:link w:val="af4"/>
    <w:uiPriority w:val="10"/>
    <w:qFormat/>
    <w:rPr>
      <w:rFonts w:asciiTheme="majorHAnsi" w:eastAsia="宋体" w:hAnsiTheme="majorHAnsi" w:cstheme="majorBidi"/>
      <w:b/>
      <w:bCs/>
      <w:sz w:val="32"/>
      <w:szCs w:val="32"/>
    </w:rPr>
  </w:style>
  <w:style w:type="paragraph" w:customStyle="1" w:styleId="af9">
    <w:name w:val="编制说明正文"/>
    <w:basedOn w:val="af7"/>
    <w:qFormat/>
    <w:pPr>
      <w:spacing w:line="360" w:lineRule="auto"/>
      <w:ind w:firstLine="480"/>
    </w:pPr>
    <w:rPr>
      <w:rFonts w:ascii="Times New Roman" w:hAnsi="Times New Roman" w:cs="Times New Roman"/>
      <w:sz w:val="24"/>
      <w:szCs w:val="24"/>
    </w:rPr>
  </w:style>
  <w:style w:type="paragraph" w:customStyle="1" w:styleId="a3">
    <w:name w:val="标准文件_二级条标题"/>
    <w:next w:val="afa"/>
    <w:qFormat/>
    <w:pPr>
      <w:widowControl w:val="0"/>
      <w:numPr>
        <w:ilvl w:val="3"/>
        <w:numId w:val="1"/>
      </w:numPr>
      <w:spacing w:beforeLines="50" w:before="50" w:afterLines="50" w:after="50"/>
      <w:jc w:val="both"/>
      <w:outlineLvl w:val="2"/>
    </w:pPr>
    <w:rPr>
      <w:rFonts w:ascii="黑体" w:eastAsia="黑体"/>
      <w:sz w:val="21"/>
    </w:rPr>
  </w:style>
  <w:style w:type="paragraph" w:customStyle="1" w:styleId="afa">
    <w:name w:val="标准文件_段"/>
    <w:link w:val="Char"/>
    <w:qFormat/>
    <w:pPr>
      <w:autoSpaceDE w:val="0"/>
      <w:autoSpaceDN w:val="0"/>
      <w:ind w:firstLineChars="200" w:firstLine="200"/>
      <w:jc w:val="both"/>
    </w:pPr>
    <w:rPr>
      <w:rFonts w:ascii="宋体"/>
      <w:sz w:val="21"/>
    </w:rPr>
  </w:style>
  <w:style w:type="paragraph" w:customStyle="1" w:styleId="a4">
    <w:name w:val="标准文件_三级条标题"/>
    <w:basedOn w:val="a3"/>
    <w:next w:val="a7"/>
    <w:qFormat/>
    <w:pPr>
      <w:widowControl/>
      <w:numPr>
        <w:ilvl w:val="4"/>
      </w:numPr>
      <w:outlineLvl w:val="3"/>
    </w:pPr>
  </w:style>
  <w:style w:type="paragraph" w:customStyle="1" w:styleId="a5">
    <w:name w:val="标准文件_四级条标题"/>
    <w:next w:val="a7"/>
    <w:qFormat/>
    <w:pPr>
      <w:widowControl w:val="0"/>
      <w:numPr>
        <w:ilvl w:val="5"/>
        <w:numId w:val="1"/>
      </w:numPr>
      <w:spacing w:beforeLines="50" w:before="50" w:afterLines="50" w:after="50"/>
      <w:jc w:val="both"/>
      <w:outlineLvl w:val="4"/>
    </w:pPr>
    <w:rPr>
      <w:rFonts w:ascii="黑体" w:eastAsia="黑体"/>
      <w:sz w:val="21"/>
    </w:rPr>
  </w:style>
  <w:style w:type="paragraph" w:customStyle="1" w:styleId="a6">
    <w:name w:val="标准文件_五级条标题"/>
    <w:next w:val="a7"/>
    <w:qFormat/>
    <w:pPr>
      <w:widowControl w:val="0"/>
      <w:numPr>
        <w:ilvl w:val="6"/>
        <w:numId w:val="1"/>
      </w:numPr>
      <w:spacing w:beforeLines="50" w:before="50" w:afterLines="50" w:after="50"/>
      <w:jc w:val="both"/>
      <w:outlineLvl w:val="5"/>
    </w:pPr>
    <w:rPr>
      <w:rFonts w:ascii="黑体" w:eastAsia="黑体"/>
      <w:sz w:val="21"/>
    </w:rPr>
  </w:style>
  <w:style w:type="paragraph" w:customStyle="1" w:styleId="a1">
    <w:name w:val="标准文件_章标题"/>
    <w:next w:val="afa"/>
    <w:qFormat/>
    <w:pPr>
      <w:numPr>
        <w:ilvl w:val="1"/>
        <w:numId w:val="1"/>
      </w:numPr>
      <w:spacing w:beforeLines="100" w:before="100" w:afterLines="100" w:after="100"/>
      <w:jc w:val="both"/>
      <w:outlineLvl w:val="0"/>
    </w:pPr>
    <w:rPr>
      <w:rFonts w:ascii="黑体" w:eastAsia="黑体"/>
      <w:sz w:val="21"/>
    </w:rPr>
  </w:style>
  <w:style w:type="paragraph" w:customStyle="1" w:styleId="a2">
    <w:name w:val="标准文件_一级条标题"/>
    <w:basedOn w:val="a1"/>
    <w:next w:val="afa"/>
    <w:qFormat/>
    <w:pPr>
      <w:numPr>
        <w:ilvl w:val="2"/>
      </w:numPr>
      <w:spacing w:beforeLines="50" w:before="50" w:afterLines="50" w:after="50"/>
      <w:outlineLvl w:val="1"/>
    </w:pPr>
  </w:style>
  <w:style w:type="paragraph" w:customStyle="1" w:styleId="a0">
    <w:name w:val="前言标题"/>
    <w:next w:val="a7"/>
    <w:qFormat/>
    <w:pPr>
      <w:numPr>
        <w:numId w:val="1"/>
      </w:numPr>
      <w:shd w:val="clear" w:color="FFFFFF" w:fill="FFFFFF"/>
      <w:spacing w:before="540" w:after="600"/>
      <w:jc w:val="center"/>
      <w:outlineLvl w:val="0"/>
    </w:pPr>
    <w:rPr>
      <w:rFonts w:ascii="黑体" w:eastAsia="黑体"/>
      <w:sz w:val="32"/>
    </w:rPr>
  </w:style>
  <w:style w:type="character" w:customStyle="1" w:styleId="Char">
    <w:name w:val="标准文件_段 Char"/>
    <w:link w:val="afa"/>
    <w:qFormat/>
    <w:rPr>
      <w:rFonts w:ascii="宋体" w:eastAsia="宋体" w:hAnsi="Times New Roman" w:cs="Times New Roman"/>
      <w:kern w:val="0"/>
      <w:szCs w:val="20"/>
    </w:rPr>
  </w:style>
  <w:style w:type="character" w:customStyle="1" w:styleId="CharChar">
    <w:name w:val="段 Char Char"/>
    <w:link w:val="afb"/>
    <w:qFormat/>
    <w:rPr>
      <w:rFonts w:ascii="宋体"/>
    </w:rPr>
  </w:style>
  <w:style w:type="paragraph" w:customStyle="1" w:styleId="afb">
    <w:name w:val="段"/>
    <w:link w:val="Char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character" w:customStyle="1" w:styleId="ql-font-timesnewroman">
    <w:name w:val="ql-font-timesnewroman"/>
    <w:basedOn w:val="a8"/>
    <w:qFormat/>
  </w:style>
  <w:style w:type="paragraph" w:customStyle="1" w:styleId="a">
    <w:name w:val="标准文件_术语条二"/>
    <w:basedOn w:val="a7"/>
    <w:next w:val="a7"/>
    <w:qFormat/>
    <w:pPr>
      <w:numPr>
        <w:ilvl w:val="3"/>
        <w:numId w:val="2"/>
      </w:numPr>
    </w:pPr>
    <w:rPr>
      <w:rFonts w:ascii="宋体" w:eastAsia="宋体" w:hAnsi="Times New Roman" w:cs="Times New Roman"/>
      <w:kern w:val="0"/>
      <w:szCs w:val="20"/>
    </w:rPr>
  </w:style>
  <w:style w:type="paragraph" w:customStyle="1" w:styleId="afc">
    <w:name w:val="一级无"/>
    <w:basedOn w:val="a7"/>
    <w:qFormat/>
    <w:pPr>
      <w:widowControl/>
      <w:jc w:val="left"/>
      <w:outlineLvl w:val="2"/>
    </w:pPr>
    <w:rPr>
      <w:rFonts w:ascii="宋体" w:eastAsia="宋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013;&#22269;&#39135;&#21697;&#21457;&#37237;&#24037;&#19994;&#30740;&#31350;&#38498;\CNN-&#24037;&#20316;\&#26631;&#20934;-&#33889;&#33796;&#31958;&#27687;&#21270;&#37238;&#27963;&#21147;&#27979;&#23450;2022.07-2022.09&#65288;&#24050;&#32467;&#26463;&#65289;\&#23454;&#39564;&#23460;&#27604;&#23545;\&#25968;&#25454;&#32479;&#35745;%20-MH.xls"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Desktop\&#20013;&#22269;&#39135;&#21697;&#21457;&#37237;&#24037;&#19994;&#30740;&#31350;&#38498;\CNN-&#24037;&#20316;\&#26631;&#20934;-&#33889;&#33796;&#31958;&#27687;&#21270;&#37238;&#27963;&#21147;&#27979;&#23450;2022.07-2022.09&#65288;&#24050;&#32467;&#26463;&#65289;\&#23454;&#39564;&#23460;&#27604;&#23545;\&#25968;&#25454;&#32479;&#35745;%20-MH.xls"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dmin\Desktop\&#20013;&#22269;&#39135;&#21697;&#21457;&#37237;&#24037;&#19994;&#30740;&#31350;&#38498;\CNN-&#24037;&#20316;\&#26631;&#20934;-&#33889;&#33796;&#31958;&#27687;&#21270;&#37238;&#27963;&#21147;&#27979;&#23450;2022.07-2022.09&#65288;&#24050;&#32467;&#26463;&#65289;\&#23454;&#39564;&#23460;&#27604;&#23545;\&#25968;&#25454;&#32479;&#35745;%20-MH.xls"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D:\working\002&#20998;&#26512;&#21270;&#39564;&#23454;&#39564;&#23460;\004&#37238;&#21046;&#21058;&#24212;&#29992;&#25968;&#25454;&#24211;\&#37238;&#23398;&#29305;&#24615;\&#37325;&#35201;&#25968;&#25454;&#24211;\&#20135;&#21697;&#29305;&#24615;&#25972;&#29702;&#21457;&#20964;&#36229;20231220.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D:\working\002&#20998;&#26512;&#21270;&#39564;&#23454;&#39564;&#23460;\004&#37238;&#21046;&#21058;&#24212;&#29992;&#25968;&#25454;&#24211;\&#37238;&#23398;&#29305;&#24615;\&#37325;&#35201;&#25968;&#25454;&#24211;\&#20135;&#21697;&#29305;&#24615;&#25972;&#29702;&#21457;&#20964;&#36229;2023122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50" b="0" i="0" u="none" strike="noStrike" kern="1200" spc="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en-US" altLang="zh-CN" sz="1050" b="0" i="0" u="none" strike="noStrike" baseline="0">
                <a:effectLst/>
                <a:latin typeface="Times New Roman" panose="02020603050405020304" charset="0"/>
                <a:ea typeface="宋体" panose="02010600030101010101" charset="-122"/>
                <a:cs typeface="Times New Roman" panose="02020603050405020304" charset="0"/>
              </a:rPr>
              <a:t>4-</a:t>
            </a:r>
            <a:r>
              <a:rPr lang="zh-CN" altLang="en-US" sz="1050" b="0" i="0" u="none" strike="noStrike" baseline="0">
                <a:effectLst/>
                <a:latin typeface="Times New Roman" panose="02020603050405020304" charset="0"/>
                <a:ea typeface="宋体" panose="02010600030101010101" charset="-122"/>
                <a:cs typeface="Times New Roman" panose="02020603050405020304" charset="0"/>
              </a:rPr>
              <a:t>氨基安替比林法标准曲线</a:t>
            </a:r>
            <a:r>
              <a:rPr lang="zh-CN" altLang="en-US" sz="1050" b="0" i="0" u="none" strike="noStrike" baseline="0">
                <a:latin typeface="Times New Roman" panose="02020603050405020304" charset="0"/>
                <a:ea typeface="宋体" panose="02010600030101010101" charset="-122"/>
                <a:cs typeface="Times New Roman" panose="02020603050405020304" charset="0"/>
              </a:rPr>
              <a:t> </a:t>
            </a:r>
            <a:endParaRPr lang="zh-CN" altLang="en-US" sz="1050">
              <a:latin typeface="Times New Roman" panose="02020603050405020304" charset="0"/>
              <a:ea typeface="宋体" panose="02010600030101010101" charset="-122"/>
              <a:cs typeface="Times New Roman" panose="02020603050405020304" charset="0"/>
            </a:endParaRPr>
          </a:p>
        </c:rich>
      </c:tx>
      <c:overlay val="0"/>
      <c:spPr>
        <a:noFill/>
        <a:ln>
          <a:noFill/>
        </a:ln>
        <a:effectLst/>
      </c:spPr>
    </c:title>
    <c:autoTitleDeleted val="0"/>
    <c:plotArea>
      <c:layout/>
      <c:scatterChart>
        <c:scatterStyle val="lineMarker"/>
        <c:varyColors val="0"/>
        <c:ser>
          <c:idx val="0"/>
          <c:order val="0"/>
          <c:tx>
            <c:strRef>
              <c:f>Sheet1!$C$59</c:f>
              <c:strCache>
                <c:ptCount val="1"/>
                <c:pt idx="0">
                  <c:v>吸光度</c:v>
                </c:pt>
              </c:strCache>
            </c:strRef>
          </c:tx>
          <c:spPr>
            <a:ln w="1905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trendline>
            <c:spPr>
              <a:ln w="6350" cap="rnd" cmpd="sng" algn="ctr">
                <a:solidFill>
                  <a:schemeClr val="accent1"/>
                </a:solidFill>
                <a:prstDash val="dash"/>
                <a:round/>
              </a:ln>
            </c:spPr>
            <c:trendlineType val="linear"/>
            <c:dispRSqr val="1"/>
            <c:dispEq val="1"/>
            <c:trendlineLbl>
              <c:layout>
                <c:manualLayout>
                  <c:x val="0.13146958262264699"/>
                  <c:y val="0.398049233627497"/>
                </c:manualLayout>
              </c:layout>
              <c:numFmt formatCode="General" sourceLinked="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trendlineLbl>
          </c:trendline>
          <c:xVal>
            <c:numRef>
              <c:f>Sheet1!$B$60:$B$66</c:f>
              <c:numCache>
                <c:formatCode>General</c:formatCode>
                <c:ptCount val="7"/>
                <c:pt idx="0">
                  <c:v>0.02</c:v>
                </c:pt>
                <c:pt idx="1">
                  <c:v>0.04</c:v>
                </c:pt>
                <c:pt idx="2">
                  <c:v>0.06</c:v>
                </c:pt>
                <c:pt idx="3">
                  <c:v>0.08</c:v>
                </c:pt>
                <c:pt idx="4">
                  <c:v>0.1</c:v>
                </c:pt>
                <c:pt idx="5">
                  <c:v>0.12</c:v>
                </c:pt>
                <c:pt idx="6">
                  <c:v>0.16</c:v>
                </c:pt>
              </c:numCache>
            </c:numRef>
          </c:xVal>
          <c:yVal>
            <c:numRef>
              <c:f>Sheet1!$C$60:$C$66</c:f>
              <c:numCache>
                <c:formatCode>General</c:formatCode>
                <c:ptCount val="7"/>
                <c:pt idx="0">
                  <c:v>0.10199999999999999</c:v>
                </c:pt>
                <c:pt idx="1">
                  <c:v>0.19500000000000001</c:v>
                </c:pt>
                <c:pt idx="2">
                  <c:v>0.30399999999999999</c:v>
                </c:pt>
                <c:pt idx="3">
                  <c:v>0.39600000000000002</c:v>
                </c:pt>
                <c:pt idx="4">
                  <c:v>0.48</c:v>
                </c:pt>
                <c:pt idx="5">
                  <c:v>0.57599999999999996</c:v>
                </c:pt>
                <c:pt idx="6">
                  <c:v>0.76900000000000002</c:v>
                </c:pt>
              </c:numCache>
            </c:numRef>
          </c:yVal>
          <c:smooth val="0"/>
          <c:extLst>
            <c:ext xmlns:c16="http://schemas.microsoft.com/office/drawing/2014/chart" uri="{C3380CC4-5D6E-409C-BE32-E72D297353CC}">
              <c16:uniqueId val="{00000000-69D4-4B58-AEFC-8255D020F271}"/>
            </c:ext>
          </c:extLst>
        </c:ser>
        <c:dLbls>
          <c:showLegendKey val="0"/>
          <c:showVal val="0"/>
          <c:showCatName val="0"/>
          <c:showSerName val="0"/>
          <c:showPercent val="0"/>
          <c:showBubbleSize val="0"/>
        </c:dLbls>
        <c:axId val="1311391727"/>
        <c:axId val="1"/>
      </c:scatterChart>
      <c:valAx>
        <c:axId val="1311391727"/>
        <c:scaling>
          <c:orientation val="minMax"/>
        </c:scaling>
        <c:delete val="0"/>
        <c:axPos val="b"/>
        <c:title>
          <c:tx>
            <c:rich>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zh-CN" altLang="zh-CN" sz="1050" b="0" i="0" baseline="0">
                    <a:effectLst/>
                    <a:latin typeface="Times New Roman" panose="02020603050405020304" charset="0"/>
                    <a:ea typeface="宋体" panose="02010600030101010101" charset="-122"/>
                    <a:cs typeface="Times New Roman" panose="02020603050405020304" charset="0"/>
                  </a:rPr>
                  <a:t>标准过氧化氢浓度（</a:t>
                </a:r>
                <a:r>
                  <a:rPr lang="en-US" altLang="zh-CN" sz="1050" b="0" i="0" baseline="0">
                    <a:effectLst/>
                    <a:latin typeface="Times New Roman" panose="02020603050405020304" charset="0"/>
                    <a:ea typeface="宋体" panose="02010600030101010101" charset="-122"/>
                    <a:cs typeface="Times New Roman" panose="02020603050405020304" charset="0"/>
                  </a:rPr>
                  <a:t>μg/mL</a:t>
                </a:r>
                <a:r>
                  <a:rPr lang="zh-CN" altLang="zh-CN" sz="1050" b="0" i="0" baseline="0">
                    <a:effectLst/>
                    <a:latin typeface="Times New Roman" panose="02020603050405020304" charset="0"/>
                    <a:ea typeface="宋体" panose="02010600030101010101" charset="-122"/>
                    <a:cs typeface="Times New Roman" panose="02020603050405020304" charset="0"/>
                  </a:rPr>
                  <a:t>）</a:t>
                </a:r>
                <a:endParaRPr lang="zh-CN" altLang="zh-CN" sz="1050">
                  <a:effectLst/>
                  <a:latin typeface="Times New Roman" panose="02020603050405020304" charset="0"/>
                  <a:ea typeface="宋体" panose="02010600030101010101" charset="-122"/>
                  <a:cs typeface="Times New Roman" panose="02020603050405020304" charset="0"/>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solidFill>
            <a:prstDash val="solid"/>
            <a:round/>
          </a:ln>
          <a:effectLst/>
        </c:spPr>
        <c:txPr>
          <a:bodyPr rot="0" spcFirstLastPara="0" vertOverflow="ellipsis" vert="horz" wrap="square" anchor="ctr" anchorCtr="1"/>
          <a:lstStyle/>
          <a:p>
            <a:pPr>
              <a:defRPr lang="zh-CN" sz="900" b="0" i="0" u="none" strike="noStrike" kern="1200" baseline="0">
                <a:solidFill>
                  <a:srgbClr val="333333"/>
                </a:solidFill>
                <a:latin typeface="宋体" panose="02010600030101010101" charset="-122"/>
                <a:ea typeface="宋体" panose="02010600030101010101" charset="-122"/>
                <a:cs typeface="宋体" panose="02010600030101010101" charset="-122"/>
              </a:defRPr>
            </a:pPr>
            <a:endParaRPr lang="zh-CN"/>
          </a:p>
        </c:txPr>
        <c:crossAx val="1"/>
        <c:crosses val="autoZero"/>
        <c:crossBetween val="midCat"/>
      </c:valAx>
      <c:valAx>
        <c:axId val="1"/>
        <c:scaling>
          <c:orientation val="minMax"/>
        </c:scaling>
        <c:delete val="0"/>
        <c:axPos val="l"/>
        <c:title>
          <c:tx>
            <c:rich>
              <a:bodyPr rot="-540000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en-US" altLang="zh-CN" sz="1050" b="0" i="0" baseline="0">
                    <a:effectLst/>
                    <a:latin typeface="Times New Roman" panose="02020603050405020304" charset="0"/>
                    <a:ea typeface="宋体" panose="02010600030101010101" charset="-122"/>
                    <a:cs typeface="Times New Roman" panose="02020603050405020304" charset="0"/>
                  </a:rPr>
                  <a:t>OD500nm</a:t>
                </a:r>
                <a:endParaRPr lang="zh-CN" altLang="zh-CN" sz="1050">
                  <a:effectLst/>
                  <a:latin typeface="Times New Roman" panose="02020603050405020304" charset="0"/>
                  <a:ea typeface="宋体" panose="02010600030101010101" charset="-122"/>
                  <a:cs typeface="Times New Roman" panose="02020603050405020304" charset="0"/>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311391727"/>
        <c:crosses val="autoZero"/>
        <c:crossBetween val="midCat"/>
      </c:valAx>
      <c:spPr>
        <a:noFill/>
        <a:ln w="25400">
          <a:noFill/>
        </a:ln>
      </c:spPr>
    </c:plotArea>
    <c:plotVisOnly val="1"/>
    <c:dispBlanksAs val="gap"/>
    <c:showDLblsOverMax val="0"/>
    <c:extLst>
      <c:ext uri="{0b15fc19-7d7d-44ad-8c2d-2c3a37ce22c3}">
        <chartProps xmlns="https://web.wps.cn/et/2018/main" chartId="{da4ee76f-ce9c-45f0-9458-e2a1ca1d78e8}"/>
      </c:ext>
    </c:extLst>
  </c:chart>
  <c:spPr>
    <a:solidFill>
      <a:schemeClr val="bg1"/>
    </a:solidFill>
    <a:ln w="9525" cap="flat" cmpd="sng" algn="ctr">
      <a:solidFill>
        <a:schemeClr val="bg1"/>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50" b="0" i="0" u="none" strike="noStrike" kern="1200" spc="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zh-CN" altLang="zh-CN" sz="1050" b="0" i="0" u="none" strike="noStrike" baseline="0">
                <a:effectLst/>
                <a:latin typeface="Times New Roman" panose="02020603050405020304" charset="0"/>
                <a:ea typeface="宋体" panose="02010600030101010101" charset="-122"/>
                <a:cs typeface="Times New Roman" panose="02020603050405020304" charset="0"/>
              </a:rPr>
              <a:t>邻联茴香胺法标准曲线</a:t>
            </a:r>
            <a:endParaRPr lang="zh-CN" altLang="en-US" sz="1050">
              <a:latin typeface="Times New Roman" panose="02020603050405020304" charset="0"/>
              <a:ea typeface="宋体" panose="02010600030101010101" charset="-122"/>
              <a:cs typeface="Times New Roman" panose="02020603050405020304" charset="0"/>
            </a:endParaRPr>
          </a:p>
        </c:rich>
      </c:tx>
      <c:overlay val="0"/>
      <c:spPr>
        <a:noFill/>
        <a:ln>
          <a:noFill/>
        </a:ln>
        <a:effectLst/>
      </c:spPr>
      <c:txPr>
        <a:bodyPr rot="0" spcFirstLastPara="1" vertOverflow="ellipsis" vert="horz" wrap="square" anchor="ctr" anchorCtr="1"/>
        <a:lstStyle/>
        <a:p>
          <a:pPr>
            <a:defRPr lang="zh-CN" sz="1050" b="0" i="0" u="none" strike="noStrike" kern="1200" spc="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endParaRPr lang="zh-CN"/>
        </a:p>
      </c:txPr>
    </c:title>
    <c:autoTitleDeleted val="0"/>
    <c:plotArea>
      <c:layout/>
      <c:scatterChart>
        <c:scatterStyle val="lineMarker"/>
        <c:varyColors val="0"/>
        <c:ser>
          <c:idx val="0"/>
          <c:order val="0"/>
          <c:tx>
            <c:strRef>
              <c:f>Sheet1!$M$58:$M$59</c:f>
              <c:strCache>
                <c:ptCount val="1"/>
                <c:pt idx="0">
                  <c:v>4 吸光度</c:v>
                </c:pt>
              </c:strCache>
            </c:strRef>
          </c:tx>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51798755434846"/>
                  <c:y val="0.406018518518519"/>
                </c:manualLayout>
              </c:layout>
              <c:numFmt formatCode="General" sourceLinked="0"/>
              <c:spPr>
                <a:noFill/>
                <a:ln>
                  <a:noFill/>
                </a:ln>
                <a:effectLst/>
              </c:spPr>
              <c:txPr>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rendlineLbl>
          </c:trendline>
          <c:xVal>
            <c:numRef>
              <c:f>Sheet1!$L$60:$L$66</c:f>
              <c:numCache>
                <c:formatCode>General</c:formatCode>
                <c:ptCount val="7"/>
                <c:pt idx="0">
                  <c:v>0.02</c:v>
                </c:pt>
                <c:pt idx="1">
                  <c:v>0.04</c:v>
                </c:pt>
                <c:pt idx="2">
                  <c:v>0.06</c:v>
                </c:pt>
                <c:pt idx="3">
                  <c:v>0.08</c:v>
                </c:pt>
                <c:pt idx="4">
                  <c:v>0.1</c:v>
                </c:pt>
                <c:pt idx="5">
                  <c:v>0.12</c:v>
                </c:pt>
                <c:pt idx="6">
                  <c:v>0.16</c:v>
                </c:pt>
              </c:numCache>
            </c:numRef>
          </c:xVal>
          <c:yVal>
            <c:numRef>
              <c:f>Sheet1!$M$60:$M$66</c:f>
              <c:numCache>
                <c:formatCode>General</c:formatCode>
                <c:ptCount val="7"/>
                <c:pt idx="0">
                  <c:v>0.05</c:v>
                </c:pt>
                <c:pt idx="1">
                  <c:v>9.2999999999999999E-2</c:v>
                </c:pt>
                <c:pt idx="2">
                  <c:v>0.13500000000000001</c:v>
                </c:pt>
                <c:pt idx="3">
                  <c:v>0.18</c:v>
                </c:pt>
                <c:pt idx="4">
                  <c:v>0.221</c:v>
                </c:pt>
                <c:pt idx="5">
                  <c:v>0.26900000000000002</c:v>
                </c:pt>
                <c:pt idx="6">
                  <c:v>0.35499999999999998</c:v>
                </c:pt>
              </c:numCache>
            </c:numRef>
          </c:yVal>
          <c:smooth val="0"/>
          <c:extLst>
            <c:ext xmlns:c16="http://schemas.microsoft.com/office/drawing/2014/chart" uri="{C3380CC4-5D6E-409C-BE32-E72D297353CC}">
              <c16:uniqueId val="{00000000-FE6D-4B64-8653-058A1AC22D08}"/>
            </c:ext>
          </c:extLst>
        </c:ser>
        <c:dLbls>
          <c:showLegendKey val="0"/>
          <c:showVal val="0"/>
          <c:showCatName val="0"/>
          <c:showSerName val="0"/>
          <c:showPercent val="0"/>
          <c:showBubbleSize val="0"/>
        </c:dLbls>
        <c:axId val="1461340383"/>
        <c:axId val="1461337055"/>
      </c:scatterChart>
      <c:valAx>
        <c:axId val="1461340383"/>
        <c:scaling>
          <c:orientation val="minMax"/>
        </c:scaling>
        <c:delete val="0"/>
        <c:axPos val="b"/>
        <c:title>
          <c:tx>
            <c:rich>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zh-CN" altLang="zh-CN" sz="1050" b="0" i="0" baseline="0">
                    <a:effectLst/>
                    <a:latin typeface="Times New Roman" panose="02020603050405020304" charset="0"/>
                    <a:ea typeface="宋体" panose="02010600030101010101" charset="-122"/>
                    <a:cs typeface="Times New Roman" panose="02020603050405020304" charset="0"/>
                  </a:rPr>
                  <a:t>标准过氧化氢浓度（</a:t>
                </a:r>
                <a:r>
                  <a:rPr lang="en-US" altLang="zh-CN" sz="1050" b="0" i="0" baseline="0">
                    <a:effectLst/>
                    <a:latin typeface="Times New Roman" panose="02020603050405020304" charset="0"/>
                    <a:ea typeface="宋体" panose="02010600030101010101" charset="-122"/>
                    <a:cs typeface="Times New Roman" panose="02020603050405020304" charset="0"/>
                  </a:rPr>
                  <a:t>μg/mL</a:t>
                </a:r>
                <a:r>
                  <a:rPr lang="zh-CN" altLang="zh-CN" sz="1050" b="0" i="0" baseline="0">
                    <a:effectLst/>
                    <a:latin typeface="Times New Roman" panose="02020603050405020304" charset="0"/>
                    <a:ea typeface="宋体" panose="02010600030101010101" charset="-122"/>
                    <a:cs typeface="Times New Roman" panose="02020603050405020304" charset="0"/>
                  </a:rPr>
                  <a:t>）</a:t>
                </a:r>
                <a:endParaRPr lang="zh-CN" altLang="zh-CN" sz="1050">
                  <a:effectLst/>
                  <a:latin typeface="Times New Roman" panose="02020603050405020304" charset="0"/>
                  <a:ea typeface="宋体" panose="02010600030101010101" charset="-122"/>
                  <a:cs typeface="Times New Roman" panose="02020603050405020304" charset="0"/>
                </a:endParaRPr>
              </a:p>
            </c:rich>
          </c:tx>
          <c:overlay val="0"/>
          <c:spPr>
            <a:noFill/>
            <a:ln>
              <a:noFill/>
            </a:ln>
            <a:effectLst/>
          </c:spPr>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61337055"/>
        <c:crosses val="autoZero"/>
        <c:crossBetween val="midCat"/>
      </c:valAx>
      <c:valAx>
        <c:axId val="1461337055"/>
        <c:scaling>
          <c:orientation val="minMax"/>
        </c:scaling>
        <c:delete val="0"/>
        <c:axPos val="l"/>
        <c:title>
          <c:tx>
            <c:rich>
              <a:bodyPr rot="-540000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en-US" altLang="zh-CN" sz="1050" b="0" i="0" baseline="0">
                    <a:effectLst/>
                    <a:latin typeface="Times New Roman" panose="02020603050405020304" charset="0"/>
                    <a:ea typeface="宋体" panose="02010600030101010101" charset="-122"/>
                    <a:cs typeface="Times New Roman" panose="02020603050405020304" charset="0"/>
                  </a:rPr>
                  <a:t>OD540nm</a:t>
                </a:r>
                <a:endParaRPr lang="zh-CN" altLang="zh-CN" sz="1050">
                  <a:effectLst/>
                  <a:latin typeface="Times New Roman" panose="02020603050405020304" charset="0"/>
                  <a:ea typeface="宋体" panose="02010600030101010101" charset="-122"/>
                  <a:cs typeface="Times New Roman" panose="02020603050405020304" charset="0"/>
                </a:endParaRPr>
              </a:p>
            </c:rich>
          </c:tx>
          <c:overlay val="0"/>
          <c:spPr>
            <a:noFill/>
            <a:ln>
              <a:noFill/>
            </a:ln>
            <a:effectLst/>
          </c:spPr>
          <c:txPr>
            <a:bodyPr rot="-540000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61340383"/>
        <c:crosses val="autoZero"/>
        <c:crossBetween val="midCat"/>
      </c:valAx>
      <c:spPr>
        <a:noFill/>
        <a:ln>
          <a:noFill/>
        </a:ln>
        <a:effectLst/>
      </c:spPr>
    </c:plotArea>
    <c:plotVisOnly val="1"/>
    <c:dispBlanksAs val="gap"/>
    <c:showDLblsOverMax val="0"/>
    <c:extLst>
      <c:ext uri="{0b15fc19-7d7d-44ad-8c2d-2c3a37ce22c3}">
        <chartProps xmlns="https://web.wps.cn/et/2018/main" chartId="{1e81a269-ffa3-452f-8222-744bb41ea437}"/>
      </c:ext>
    </c:extLst>
  </c:chart>
  <c:spPr>
    <a:solidFill>
      <a:schemeClr val="bg1"/>
    </a:solidFill>
    <a:ln w="9525" cap="flat" cmpd="sng" algn="ctr">
      <a:solidFill>
        <a:schemeClr val="bg1"/>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5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en-US" altLang="zh-CN" sz="1050" b="0" i="0" u="none" strike="noStrike" baseline="0">
                <a:effectLst/>
              </a:rPr>
              <a:t>4-</a:t>
            </a:r>
            <a:r>
              <a:rPr lang="zh-CN" altLang="zh-CN" sz="1050" b="0" i="0" u="none" strike="noStrike" baseline="0">
                <a:effectLst/>
              </a:rPr>
              <a:t>氨基安替比林法和邻联茴香胺法</a:t>
            </a:r>
            <a:r>
              <a:rPr lang="zh-CN" altLang="en-US" sz="1050" b="0" i="0" u="none" strike="noStrike" baseline="0">
                <a:effectLst/>
              </a:rPr>
              <a:t>方法对比</a:t>
            </a:r>
            <a:endParaRPr lang="zh-CN" altLang="en-US" sz="1050">
              <a:latin typeface="宋体" panose="02010600030101010101" charset="-122"/>
              <a:ea typeface="宋体" panose="02010600030101010101" charset="-122"/>
            </a:endParaRPr>
          </a:p>
        </c:rich>
      </c:tx>
      <c:overlay val="0"/>
      <c:spPr>
        <a:noFill/>
        <a:ln>
          <a:noFill/>
        </a:ln>
        <a:effectLst/>
      </c:spPr>
      <c:txPr>
        <a:bodyPr rot="0" spcFirstLastPara="1" vertOverflow="ellipsis" vert="horz" wrap="square" anchor="ctr" anchorCtr="1"/>
        <a:lstStyle/>
        <a:p>
          <a:pPr>
            <a:defRPr lang="zh-CN" sz="105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endParaRPr lang="zh-CN"/>
        </a:p>
      </c:txPr>
    </c:title>
    <c:autoTitleDeleted val="0"/>
    <c:plotArea>
      <c:layout>
        <c:manualLayout>
          <c:layoutTarget val="inner"/>
          <c:xMode val="edge"/>
          <c:yMode val="edge"/>
          <c:x val="0.14136474940398"/>
          <c:y val="0.179514537209923"/>
          <c:w val="0.83284694910733204"/>
          <c:h val="0.540746629972224"/>
        </c:manualLayout>
      </c:layout>
      <c:barChart>
        <c:barDir val="col"/>
        <c:grouping val="clustered"/>
        <c:varyColors val="0"/>
        <c:ser>
          <c:idx val="0"/>
          <c:order val="0"/>
          <c:tx>
            <c:strRef>
              <c:f>Sheet1!$C$109</c:f>
              <c:strCache>
                <c:ptCount val="1"/>
                <c:pt idx="0">
                  <c:v>4-氨基安替比林法</c:v>
                </c:pt>
              </c:strCache>
            </c:strRef>
          </c:tx>
          <c:spPr>
            <a:solidFill>
              <a:schemeClr val="accent1"/>
            </a:solidFill>
            <a:ln>
              <a:noFill/>
            </a:ln>
            <a:effectLst/>
          </c:spPr>
          <c:invertIfNegative val="0"/>
          <c:cat>
            <c:strRef>
              <c:f>Sheet1!$B$110:$B$120</c:f>
              <c:strCache>
                <c:ptCount val="11"/>
                <c:pt idx="0">
                  <c:v>SCFF-GOD-01</c:v>
                </c:pt>
                <c:pt idx="1">
                  <c:v>SCFF-GOD-02</c:v>
                </c:pt>
                <c:pt idx="2">
                  <c:v>SCFF-GOD-03</c:v>
                </c:pt>
                <c:pt idx="3">
                  <c:v>SCFF-GOD-04</c:v>
                </c:pt>
                <c:pt idx="4">
                  <c:v>SCFF-GOD-05</c:v>
                </c:pt>
                <c:pt idx="5">
                  <c:v>SCFF-GOD-06</c:v>
                </c:pt>
                <c:pt idx="6">
                  <c:v>SCFF-GOD-07</c:v>
                </c:pt>
                <c:pt idx="7">
                  <c:v>SCFF-GOD-08</c:v>
                </c:pt>
                <c:pt idx="8">
                  <c:v>SCFF-GOD-09</c:v>
                </c:pt>
                <c:pt idx="9">
                  <c:v>SCFF-GOD-10</c:v>
                </c:pt>
                <c:pt idx="10">
                  <c:v>SCFF-GOD-11</c:v>
                </c:pt>
              </c:strCache>
            </c:strRef>
          </c:cat>
          <c:val>
            <c:numRef>
              <c:f>Sheet1!$C$110:$C$120</c:f>
              <c:numCache>
                <c:formatCode>General</c:formatCode>
                <c:ptCount val="11"/>
                <c:pt idx="0">
                  <c:v>3309</c:v>
                </c:pt>
                <c:pt idx="1">
                  <c:v>3389</c:v>
                </c:pt>
                <c:pt idx="2">
                  <c:v>9321</c:v>
                </c:pt>
                <c:pt idx="3">
                  <c:v>1360</c:v>
                </c:pt>
                <c:pt idx="4">
                  <c:v>3078</c:v>
                </c:pt>
                <c:pt idx="5">
                  <c:v>15181</c:v>
                </c:pt>
                <c:pt idx="6">
                  <c:v>5797</c:v>
                </c:pt>
                <c:pt idx="7">
                  <c:v>7040</c:v>
                </c:pt>
                <c:pt idx="8">
                  <c:v>9388</c:v>
                </c:pt>
                <c:pt idx="9">
                  <c:v>9388</c:v>
                </c:pt>
                <c:pt idx="10">
                  <c:v>4751</c:v>
                </c:pt>
              </c:numCache>
            </c:numRef>
          </c:val>
          <c:extLst>
            <c:ext xmlns:c16="http://schemas.microsoft.com/office/drawing/2014/chart" uri="{C3380CC4-5D6E-409C-BE32-E72D297353CC}">
              <c16:uniqueId val="{00000000-0A5F-4B9D-8A78-D9592835525A}"/>
            </c:ext>
          </c:extLst>
        </c:ser>
        <c:ser>
          <c:idx val="1"/>
          <c:order val="1"/>
          <c:tx>
            <c:strRef>
              <c:f>Sheet1!$D$109</c:f>
              <c:strCache>
                <c:ptCount val="1"/>
                <c:pt idx="0">
                  <c:v>邻联茴香胺法</c:v>
                </c:pt>
              </c:strCache>
            </c:strRef>
          </c:tx>
          <c:spPr>
            <a:solidFill>
              <a:schemeClr val="accent2"/>
            </a:solidFill>
            <a:ln>
              <a:noFill/>
            </a:ln>
            <a:effectLst/>
          </c:spPr>
          <c:invertIfNegative val="0"/>
          <c:cat>
            <c:strRef>
              <c:f>Sheet1!$B$110:$B$120</c:f>
              <c:strCache>
                <c:ptCount val="11"/>
                <c:pt idx="0">
                  <c:v>SCFF-GOD-01</c:v>
                </c:pt>
                <c:pt idx="1">
                  <c:v>SCFF-GOD-02</c:v>
                </c:pt>
                <c:pt idx="2">
                  <c:v>SCFF-GOD-03</c:v>
                </c:pt>
                <c:pt idx="3">
                  <c:v>SCFF-GOD-04</c:v>
                </c:pt>
                <c:pt idx="4">
                  <c:v>SCFF-GOD-05</c:v>
                </c:pt>
                <c:pt idx="5">
                  <c:v>SCFF-GOD-06</c:v>
                </c:pt>
                <c:pt idx="6">
                  <c:v>SCFF-GOD-07</c:v>
                </c:pt>
                <c:pt idx="7">
                  <c:v>SCFF-GOD-08</c:v>
                </c:pt>
                <c:pt idx="8">
                  <c:v>SCFF-GOD-09</c:v>
                </c:pt>
                <c:pt idx="9">
                  <c:v>SCFF-GOD-10</c:v>
                </c:pt>
                <c:pt idx="10">
                  <c:v>SCFF-GOD-11</c:v>
                </c:pt>
              </c:strCache>
            </c:strRef>
          </c:cat>
          <c:val>
            <c:numRef>
              <c:f>Sheet1!$D$110:$D$120</c:f>
              <c:numCache>
                <c:formatCode>General</c:formatCode>
                <c:ptCount val="11"/>
                <c:pt idx="0">
                  <c:v>4484</c:v>
                </c:pt>
                <c:pt idx="1">
                  <c:v>4457</c:v>
                </c:pt>
                <c:pt idx="2">
                  <c:v>12612</c:v>
                </c:pt>
                <c:pt idx="3">
                  <c:v>1731</c:v>
                </c:pt>
                <c:pt idx="4">
                  <c:v>3964</c:v>
                </c:pt>
                <c:pt idx="5">
                  <c:v>22550</c:v>
                </c:pt>
                <c:pt idx="6">
                  <c:v>8047</c:v>
                </c:pt>
                <c:pt idx="7">
                  <c:v>9011</c:v>
                </c:pt>
                <c:pt idx="8">
                  <c:v>12285</c:v>
                </c:pt>
                <c:pt idx="9">
                  <c:v>11881</c:v>
                </c:pt>
                <c:pt idx="10">
                  <c:v>5134</c:v>
                </c:pt>
              </c:numCache>
            </c:numRef>
          </c:val>
          <c:extLst>
            <c:ext xmlns:c16="http://schemas.microsoft.com/office/drawing/2014/chart" uri="{C3380CC4-5D6E-409C-BE32-E72D297353CC}">
              <c16:uniqueId val="{00000001-0A5F-4B9D-8A78-D9592835525A}"/>
            </c:ext>
          </c:extLst>
        </c:ser>
        <c:dLbls>
          <c:showLegendKey val="0"/>
          <c:showVal val="0"/>
          <c:showCatName val="0"/>
          <c:showSerName val="0"/>
          <c:showPercent val="0"/>
          <c:showBubbleSize val="0"/>
        </c:dLbls>
        <c:gapWidth val="219"/>
        <c:overlap val="-27"/>
        <c:axId val="1491440511"/>
        <c:axId val="1491418047"/>
      </c:barChart>
      <c:catAx>
        <c:axId val="1491440511"/>
        <c:scaling>
          <c:orientation val="minMax"/>
        </c:scaling>
        <c:delete val="0"/>
        <c:axPos val="b"/>
        <c:title>
          <c:tx>
            <c:rich>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r>
                  <a:rPr lang="zh-CN" altLang="en-US" sz="1050"/>
                  <a:t>不同葡萄糖氧化酶样品</a:t>
                </a:r>
              </a:p>
            </c:rich>
          </c:tx>
          <c:layout>
            <c:manualLayout>
              <c:xMode val="edge"/>
              <c:yMode val="edge"/>
              <c:x val="0.36982064689462102"/>
              <c:y val="0.92127618053506999"/>
            </c:manualLayout>
          </c:layout>
          <c:overlay val="0"/>
          <c:spPr>
            <a:noFill/>
            <a:ln>
              <a:noFill/>
            </a:ln>
            <a:effectLst/>
          </c:spPr>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endParaRPr lang="zh-CN"/>
          </a:p>
        </c:txPr>
        <c:crossAx val="1491418047"/>
        <c:crosses val="autoZero"/>
        <c:auto val="1"/>
        <c:lblAlgn val="ctr"/>
        <c:lblOffset val="100"/>
        <c:noMultiLvlLbl val="0"/>
      </c:catAx>
      <c:valAx>
        <c:axId val="1491418047"/>
        <c:scaling>
          <c:orientation val="minMax"/>
        </c:scaling>
        <c:delete val="0"/>
        <c:axPos val="l"/>
        <c:title>
          <c:tx>
            <c:rich>
              <a:bodyPr rot="-540000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zh-CN" altLang="en-US" sz="1050" b="0" i="0" u="none" strike="noStrike" baseline="0">
                    <a:effectLst/>
                    <a:latin typeface="Times New Roman" panose="02020603050405020304" charset="0"/>
                    <a:ea typeface="宋体" panose="02010600030101010101" charset="-122"/>
                    <a:cs typeface="Times New Roman" panose="02020603050405020304" charset="0"/>
                  </a:rPr>
                  <a:t>酶活力（</a:t>
                </a:r>
                <a:r>
                  <a:rPr lang="en-US" altLang="zh-CN" sz="1050" b="0" i="0" u="none" strike="noStrike" baseline="0">
                    <a:effectLst/>
                    <a:latin typeface="Times New Roman" panose="02020603050405020304" charset="0"/>
                    <a:ea typeface="宋体" panose="02010600030101010101" charset="-122"/>
                    <a:cs typeface="Times New Roman" panose="02020603050405020304" charset="0"/>
                  </a:rPr>
                  <a:t>u/g</a:t>
                </a:r>
                <a:r>
                  <a:rPr lang="zh-CN" altLang="en-US" sz="1050" b="0" i="0" u="none" strike="noStrike" baseline="0">
                    <a:effectLst/>
                    <a:latin typeface="Times New Roman" panose="02020603050405020304" charset="0"/>
                    <a:ea typeface="宋体" panose="02010600030101010101" charset="-122"/>
                    <a:cs typeface="Times New Roman" panose="02020603050405020304" charset="0"/>
                  </a:rPr>
                  <a:t>）</a:t>
                </a:r>
                <a:r>
                  <a:rPr lang="en-US" altLang="zh-CN" sz="1050" b="0" i="0" u="none" strike="noStrike" baseline="0">
                    <a:latin typeface="Times New Roman" panose="02020603050405020304" charset="0"/>
                    <a:ea typeface="宋体" panose="02010600030101010101" charset="-122"/>
                    <a:cs typeface="Times New Roman" panose="02020603050405020304" charset="0"/>
                  </a:rPr>
                  <a:t> </a:t>
                </a:r>
                <a:endParaRPr lang="zh-CN" altLang="en-US" sz="1050">
                  <a:latin typeface="Times New Roman" panose="02020603050405020304" charset="0"/>
                  <a:ea typeface="宋体" panose="02010600030101010101" charset="-122"/>
                  <a:cs typeface="Times New Roman" panose="02020603050405020304" charset="0"/>
                </a:endParaRPr>
              </a:p>
            </c:rich>
          </c:tx>
          <c:overlay val="0"/>
          <c:spPr>
            <a:noFill/>
            <a:ln>
              <a:noFill/>
            </a:ln>
            <a:effectLst/>
          </c:spPr>
          <c:txPr>
            <a:bodyPr rot="-540000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endParaRPr lang="zh-CN"/>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91440511"/>
        <c:crosses val="autoZero"/>
        <c:crossBetween val="between"/>
      </c:valAx>
      <c:spPr>
        <a:noFill/>
        <a:ln>
          <a:noFill/>
        </a:ln>
        <a:effectLst/>
      </c:spPr>
    </c:plotArea>
    <c:legend>
      <c:legendPos val="b"/>
      <c:layout>
        <c:manualLayout>
          <c:xMode val="edge"/>
          <c:yMode val="edge"/>
          <c:x val="0.58743876893100899"/>
          <c:y val="0.124673580067621"/>
          <c:w val="0.400699625358927"/>
          <c:h val="9.5307305045124899E-2"/>
        </c:manualLayout>
      </c:layout>
      <c:overlay val="0"/>
      <c:spPr>
        <a:noFill/>
        <a:ln>
          <a:noFill/>
        </a:ln>
        <a:effectLst/>
      </c:spPr>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endParaRPr lang="zh-CN"/>
        </a:p>
      </c:txPr>
    </c:legend>
    <c:plotVisOnly val="1"/>
    <c:dispBlanksAs val="gap"/>
    <c:showDLblsOverMax val="0"/>
    <c:extLst>
      <c:ext uri="{0b15fc19-7d7d-44ad-8c2d-2c3a37ce22c3}">
        <chartProps xmlns="https://web.wps.cn/et/2018/main" chartId="{3adf53ca-e949-4c69-a408-b766714bad31}"/>
      </c:ext>
    </c:extLst>
  </c:chart>
  <c:spPr>
    <a:solidFill>
      <a:schemeClr val="bg1"/>
    </a:solidFill>
    <a:ln w="9525" cap="flat" cmpd="sng" algn="ctr">
      <a:solidFill>
        <a:schemeClr val="bg1"/>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葡萄糖氧化酶温度曲线</a:t>
            </a:r>
          </a:p>
        </c:rich>
      </c:tx>
      <c:overlay val="0"/>
      <c:spPr>
        <a:noFill/>
        <a:ln>
          <a:noFill/>
        </a:ln>
        <a:effectLst/>
      </c:spPr>
      <c:txPr>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endParaRPr lang="zh-CN"/>
        </a:p>
      </c:txPr>
    </c:title>
    <c:autoTitleDeleted val="0"/>
    <c:plotArea>
      <c:layout/>
      <c:scatterChart>
        <c:scatterStyle val="smoothMarker"/>
        <c:varyColors val="0"/>
        <c:ser>
          <c:idx val="0"/>
          <c:order val="0"/>
          <c:tx>
            <c:strRef>
              <c:f>[产品特性整理发凤超20231220.xlsx]葡萄糖氧化酶!$M$2</c:f>
              <c:strCache>
                <c:ptCount val="1"/>
                <c:pt idx="0">
                  <c:v>GOD1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[产品特性整理发凤超20231220.xlsx]葡萄糖氧化酶!$L$3:$L$12</c:f>
              <c:numCache>
                <c:formatCode>General</c:formatCode>
                <c:ptCount val="10"/>
                <c:pt idx="0">
                  <c:v>25</c:v>
                </c:pt>
                <c:pt idx="1">
                  <c:v>30</c:v>
                </c:pt>
                <c:pt idx="2">
                  <c:v>35</c:v>
                </c:pt>
                <c:pt idx="3">
                  <c:v>40</c:v>
                </c:pt>
                <c:pt idx="4">
                  <c:v>45</c:v>
                </c:pt>
                <c:pt idx="5">
                  <c:v>50</c:v>
                </c:pt>
                <c:pt idx="6">
                  <c:v>55</c:v>
                </c:pt>
                <c:pt idx="7">
                  <c:v>60</c:v>
                </c:pt>
                <c:pt idx="8">
                  <c:v>65</c:v>
                </c:pt>
                <c:pt idx="9">
                  <c:v>70</c:v>
                </c:pt>
              </c:numCache>
            </c:numRef>
          </c:xVal>
          <c:yVal>
            <c:numRef>
              <c:f>[产品特性整理发凤超20231220.xlsx]葡萄糖氧化酶!$M$3:$M$12</c:f>
              <c:numCache>
                <c:formatCode>General</c:formatCode>
                <c:ptCount val="10"/>
                <c:pt idx="0">
                  <c:v>29.4</c:v>
                </c:pt>
                <c:pt idx="1">
                  <c:v>44.2</c:v>
                </c:pt>
                <c:pt idx="2">
                  <c:v>59.8</c:v>
                </c:pt>
                <c:pt idx="3">
                  <c:v>69.900000000000006</c:v>
                </c:pt>
                <c:pt idx="4">
                  <c:v>93.8</c:v>
                </c:pt>
                <c:pt idx="5">
                  <c:v>100</c:v>
                </c:pt>
                <c:pt idx="6">
                  <c:v>84.9</c:v>
                </c:pt>
                <c:pt idx="7">
                  <c:v>62</c:v>
                </c:pt>
                <c:pt idx="8">
                  <c:v>34.9</c:v>
                </c:pt>
                <c:pt idx="9">
                  <c:v>11</c:v>
                </c:pt>
              </c:numCache>
            </c:numRef>
          </c:yVal>
          <c:smooth val="1"/>
          <c:extLst>
            <c:ext xmlns:c16="http://schemas.microsoft.com/office/drawing/2014/chart" uri="{C3380CC4-5D6E-409C-BE32-E72D297353CC}">
              <c16:uniqueId val="{00000000-A421-4D05-B4F5-6129B69BD303}"/>
            </c:ext>
          </c:extLst>
        </c:ser>
        <c:ser>
          <c:idx val="1"/>
          <c:order val="1"/>
          <c:tx>
            <c:strRef>
              <c:f>[产品特性整理发凤超20231220.xlsx]葡萄糖氧化酶!$N$2</c:f>
              <c:strCache>
                <c:ptCount val="1"/>
                <c:pt idx="0">
                  <c:v>GOD2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[产品特性整理发凤超20231220.xlsx]葡萄糖氧化酶!$L$3:$L$12</c:f>
              <c:numCache>
                <c:formatCode>General</c:formatCode>
                <c:ptCount val="10"/>
                <c:pt idx="0">
                  <c:v>25</c:v>
                </c:pt>
                <c:pt idx="1">
                  <c:v>30</c:v>
                </c:pt>
                <c:pt idx="2">
                  <c:v>35</c:v>
                </c:pt>
                <c:pt idx="3">
                  <c:v>40</c:v>
                </c:pt>
                <c:pt idx="4">
                  <c:v>45</c:v>
                </c:pt>
                <c:pt idx="5">
                  <c:v>50</c:v>
                </c:pt>
                <c:pt idx="6">
                  <c:v>55</c:v>
                </c:pt>
                <c:pt idx="7">
                  <c:v>60</c:v>
                </c:pt>
                <c:pt idx="8">
                  <c:v>65</c:v>
                </c:pt>
                <c:pt idx="9">
                  <c:v>70</c:v>
                </c:pt>
              </c:numCache>
            </c:numRef>
          </c:xVal>
          <c:yVal>
            <c:numRef>
              <c:f>[产品特性整理发凤超20231220.xlsx]葡萄糖氧化酶!$N$3:$N$12</c:f>
              <c:numCache>
                <c:formatCode>General</c:formatCode>
                <c:ptCount val="10"/>
                <c:pt idx="0">
                  <c:v>32.200000000000003</c:v>
                </c:pt>
                <c:pt idx="1">
                  <c:v>46.1</c:v>
                </c:pt>
                <c:pt idx="2">
                  <c:v>61.5</c:v>
                </c:pt>
                <c:pt idx="3">
                  <c:v>78.099999999999994</c:v>
                </c:pt>
                <c:pt idx="4">
                  <c:v>95.8</c:v>
                </c:pt>
                <c:pt idx="5">
                  <c:v>100</c:v>
                </c:pt>
                <c:pt idx="6">
                  <c:v>84.6</c:v>
                </c:pt>
                <c:pt idx="7">
                  <c:v>62.3</c:v>
                </c:pt>
                <c:pt idx="8">
                  <c:v>39.799999999999997</c:v>
                </c:pt>
                <c:pt idx="9">
                  <c:v>19.399999999999999</c:v>
                </c:pt>
              </c:numCache>
            </c:numRef>
          </c:yVal>
          <c:smooth val="1"/>
          <c:extLst>
            <c:ext xmlns:c16="http://schemas.microsoft.com/office/drawing/2014/chart" uri="{C3380CC4-5D6E-409C-BE32-E72D297353CC}">
              <c16:uniqueId val="{00000001-A421-4D05-B4F5-6129B69BD303}"/>
            </c:ext>
          </c:extLst>
        </c:ser>
        <c:ser>
          <c:idx val="2"/>
          <c:order val="2"/>
          <c:tx>
            <c:strRef>
              <c:f>[产品特性整理发凤超20231220.xlsx]葡萄糖氧化酶!$O$2</c:f>
              <c:strCache>
                <c:ptCount val="1"/>
                <c:pt idx="0">
                  <c:v>GOD3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[产品特性整理发凤超20231220.xlsx]葡萄糖氧化酶!$L$3:$L$12</c:f>
              <c:numCache>
                <c:formatCode>General</c:formatCode>
                <c:ptCount val="10"/>
                <c:pt idx="0">
                  <c:v>25</c:v>
                </c:pt>
                <c:pt idx="1">
                  <c:v>30</c:v>
                </c:pt>
                <c:pt idx="2">
                  <c:v>35</c:v>
                </c:pt>
                <c:pt idx="3">
                  <c:v>40</c:v>
                </c:pt>
                <c:pt idx="4">
                  <c:v>45</c:v>
                </c:pt>
                <c:pt idx="5">
                  <c:v>50</c:v>
                </c:pt>
                <c:pt idx="6">
                  <c:v>55</c:v>
                </c:pt>
                <c:pt idx="7">
                  <c:v>60</c:v>
                </c:pt>
                <c:pt idx="8">
                  <c:v>65</c:v>
                </c:pt>
                <c:pt idx="9">
                  <c:v>70</c:v>
                </c:pt>
              </c:numCache>
            </c:numRef>
          </c:xVal>
          <c:yVal>
            <c:numRef>
              <c:f>[产品特性整理发凤超20231220.xlsx]葡萄糖氧化酶!$O$3:$O$12</c:f>
              <c:numCache>
                <c:formatCode>General</c:formatCode>
                <c:ptCount val="10"/>
                <c:pt idx="0">
                  <c:v>35.9</c:v>
                </c:pt>
                <c:pt idx="1">
                  <c:v>47.1</c:v>
                </c:pt>
                <c:pt idx="2">
                  <c:v>71.8</c:v>
                </c:pt>
                <c:pt idx="3">
                  <c:v>83.7</c:v>
                </c:pt>
                <c:pt idx="4">
                  <c:v>90.9</c:v>
                </c:pt>
                <c:pt idx="5">
                  <c:v>100</c:v>
                </c:pt>
                <c:pt idx="6">
                  <c:v>98.5</c:v>
                </c:pt>
                <c:pt idx="7">
                  <c:v>61.9</c:v>
                </c:pt>
                <c:pt idx="8">
                  <c:v>0</c:v>
                </c:pt>
                <c:pt idx="9">
                  <c:v>0</c:v>
                </c:pt>
              </c:numCache>
            </c:numRef>
          </c:yVal>
          <c:smooth val="1"/>
          <c:extLst>
            <c:ext xmlns:c16="http://schemas.microsoft.com/office/drawing/2014/chart" uri="{C3380CC4-5D6E-409C-BE32-E72D297353CC}">
              <c16:uniqueId val="{00000002-A421-4D05-B4F5-6129B69BD303}"/>
            </c:ext>
          </c:extLst>
        </c:ser>
        <c:dLbls>
          <c:showLegendKey val="0"/>
          <c:showVal val="0"/>
          <c:showCatName val="0"/>
          <c:showSerName val="0"/>
          <c:showPercent val="0"/>
          <c:showBubbleSize val="0"/>
        </c:dLbls>
        <c:axId val="868943779"/>
        <c:axId val="422835281"/>
      </c:scatterChart>
      <c:valAx>
        <c:axId val="868943779"/>
        <c:scaling>
          <c:orientation val="minMax"/>
          <c:max val="75"/>
          <c:min val="20"/>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温度（℃）</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22835281"/>
        <c:crosses val="autoZero"/>
        <c:crossBetween val="midCat"/>
        <c:majorUnit val="5"/>
      </c:valAx>
      <c:valAx>
        <c:axId val="422835281"/>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相对酶活（</a:t>
                </a:r>
                <a:r>
                  <a:rPr lang="en-US" altLang="zh-CN"/>
                  <a:t>%</a:t>
                </a:r>
                <a:r>
                  <a:rPr lang="zh-CN" altLang="en-US"/>
                  <a:t>）</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68943779"/>
        <c:crosses val="autoZero"/>
        <c:crossBetween val="midCat"/>
      </c:valAx>
      <c:spPr>
        <a:noFill/>
        <a:ln w="9525" cap="flat" cmpd="sng" algn="ctr">
          <a:solidFill>
            <a:schemeClr val="tx1">
              <a:lumMod val="15000"/>
              <a:lumOff val="85000"/>
            </a:schemeClr>
          </a:solidFill>
          <a:round/>
        </a:ln>
        <a:effectLst/>
      </c:spPr>
    </c:plotArea>
    <c:legend>
      <c:legendPos val="r"/>
      <c:layout>
        <c:manualLayout>
          <c:xMode val="edge"/>
          <c:yMode val="edge"/>
          <c:x val="0.843157894736842"/>
          <c:y val="0.16740395809080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07e02198-8fb1-4bd4-abcf-e4efd42e6156}"/>
      </c:ext>
    </c:extLst>
  </c:chart>
  <c:spPr>
    <a:solidFill>
      <a:schemeClr val="bg1"/>
    </a:solidFill>
    <a:ln w="9525" cap="flat" cmpd="sng" algn="ctr">
      <a:no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ln>
                  <a:noFill/>
                </a:ln>
                <a:solidFill>
                  <a:schemeClr val="tx1">
                    <a:lumMod val="75000"/>
                    <a:lumOff val="25000"/>
                  </a:schemeClr>
                </a:solidFill>
                <a:latin typeface="+mn-lt"/>
                <a:ea typeface="+mn-ea"/>
                <a:cs typeface="+mn-cs"/>
              </a:defRPr>
            </a:pPr>
            <a:r>
              <a:rPr lang="zh-CN" altLang="en-US">
                <a:ln>
                  <a:noFill/>
                </a:ln>
              </a:rPr>
              <a:t>葡萄糖氧化酶</a:t>
            </a:r>
            <a:r>
              <a:rPr lang="en-US" altLang="zh-CN">
                <a:ln>
                  <a:noFill/>
                </a:ln>
              </a:rPr>
              <a:t>pH</a:t>
            </a:r>
            <a:r>
              <a:rPr lang="zh-CN" altLang="en-US">
                <a:ln>
                  <a:noFill/>
                </a:ln>
              </a:rPr>
              <a:t>曲线</a:t>
            </a:r>
          </a:p>
        </c:rich>
      </c:tx>
      <c:overlay val="0"/>
      <c:spPr>
        <a:noFill/>
        <a:ln>
          <a:noFill/>
        </a:ln>
        <a:effectLst/>
      </c:spPr>
      <c:txPr>
        <a:bodyPr rot="0" spcFirstLastPara="0" vertOverflow="ellipsis" vert="horz" wrap="square" anchor="ctr" anchorCtr="1"/>
        <a:lstStyle/>
        <a:p>
          <a:pPr defTabSz="914400">
            <a:defRPr lang="zh-CN" sz="1400" b="1" i="0" u="none" strike="noStrike" kern="1200" baseline="0">
              <a:ln>
                <a:noFill/>
              </a:ln>
              <a:solidFill>
                <a:schemeClr val="tx1">
                  <a:lumMod val="75000"/>
                  <a:lumOff val="25000"/>
                </a:schemeClr>
              </a:solidFill>
              <a:latin typeface="+mn-lt"/>
              <a:ea typeface="+mn-ea"/>
              <a:cs typeface="+mn-cs"/>
            </a:defRPr>
          </a:pPr>
          <a:endParaRPr lang="zh-CN"/>
        </a:p>
      </c:txPr>
    </c:title>
    <c:autoTitleDeleted val="0"/>
    <c:plotArea>
      <c:layout/>
      <c:scatterChart>
        <c:scatterStyle val="smoothMarker"/>
        <c:varyColors val="0"/>
        <c:ser>
          <c:idx val="0"/>
          <c:order val="0"/>
          <c:tx>
            <c:strRef>
              <c:f>[产品特性整理发凤超20231220.xlsx]葡萄糖氧化酶!$M$21</c:f>
              <c:strCache>
                <c:ptCount val="1"/>
                <c:pt idx="0">
                  <c:v>GOD1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[产品特性整理发凤超20231220.xlsx]葡萄糖氧化酶!$L$22:$L$32</c:f>
              <c:numCache>
                <c:formatCode>General</c:formatCode>
                <c:ptCount val="11"/>
                <c:pt idx="0">
                  <c:v>3</c:v>
                </c:pt>
                <c:pt idx="1">
                  <c:v>3.5</c:v>
                </c:pt>
                <c:pt idx="2">
                  <c:v>4</c:v>
                </c:pt>
                <c:pt idx="3">
                  <c:v>4.5</c:v>
                </c:pt>
                <c:pt idx="4">
                  <c:v>5</c:v>
                </c:pt>
                <c:pt idx="5">
                  <c:v>5.5</c:v>
                </c:pt>
                <c:pt idx="6">
                  <c:v>6</c:v>
                </c:pt>
                <c:pt idx="7">
                  <c:v>6.5</c:v>
                </c:pt>
                <c:pt idx="8">
                  <c:v>7</c:v>
                </c:pt>
                <c:pt idx="9">
                  <c:v>7.5</c:v>
                </c:pt>
                <c:pt idx="10">
                  <c:v>8</c:v>
                </c:pt>
              </c:numCache>
            </c:numRef>
          </c:xVal>
          <c:yVal>
            <c:numRef>
              <c:f>[产品特性整理发凤超20231220.xlsx]葡萄糖氧化酶!$M$22:$M$32</c:f>
              <c:numCache>
                <c:formatCode>General</c:formatCode>
                <c:ptCount val="11"/>
                <c:pt idx="0">
                  <c:v>5.5</c:v>
                </c:pt>
                <c:pt idx="1">
                  <c:v>18.600000000000001</c:v>
                </c:pt>
                <c:pt idx="2">
                  <c:v>26.6</c:v>
                </c:pt>
                <c:pt idx="3">
                  <c:v>52</c:v>
                </c:pt>
                <c:pt idx="4">
                  <c:v>97.5</c:v>
                </c:pt>
                <c:pt idx="5">
                  <c:v>99.7</c:v>
                </c:pt>
                <c:pt idx="6">
                  <c:v>100</c:v>
                </c:pt>
                <c:pt idx="7">
                  <c:v>89.5</c:v>
                </c:pt>
                <c:pt idx="8">
                  <c:v>70.900000000000006</c:v>
                </c:pt>
                <c:pt idx="9">
                  <c:v>46.5</c:v>
                </c:pt>
                <c:pt idx="10">
                  <c:v>23.6</c:v>
                </c:pt>
              </c:numCache>
            </c:numRef>
          </c:yVal>
          <c:smooth val="1"/>
          <c:extLst>
            <c:ext xmlns:c16="http://schemas.microsoft.com/office/drawing/2014/chart" uri="{C3380CC4-5D6E-409C-BE32-E72D297353CC}">
              <c16:uniqueId val="{00000000-6088-4ECA-BD51-7BE5F3378DB6}"/>
            </c:ext>
          </c:extLst>
        </c:ser>
        <c:ser>
          <c:idx val="1"/>
          <c:order val="1"/>
          <c:tx>
            <c:strRef>
              <c:f>[产品特性整理发凤超20231220.xlsx]葡萄糖氧化酶!$N$21</c:f>
              <c:strCache>
                <c:ptCount val="1"/>
                <c:pt idx="0">
                  <c:v>GOD2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[产品特性整理发凤超20231220.xlsx]葡萄糖氧化酶!$L$22:$L$32</c:f>
              <c:numCache>
                <c:formatCode>General</c:formatCode>
                <c:ptCount val="11"/>
                <c:pt idx="0">
                  <c:v>3</c:v>
                </c:pt>
                <c:pt idx="1">
                  <c:v>3.5</c:v>
                </c:pt>
                <c:pt idx="2">
                  <c:v>4</c:v>
                </c:pt>
                <c:pt idx="3">
                  <c:v>4.5</c:v>
                </c:pt>
                <c:pt idx="4">
                  <c:v>5</c:v>
                </c:pt>
                <c:pt idx="5">
                  <c:v>5.5</c:v>
                </c:pt>
                <c:pt idx="6">
                  <c:v>6</c:v>
                </c:pt>
                <c:pt idx="7">
                  <c:v>6.5</c:v>
                </c:pt>
                <c:pt idx="8">
                  <c:v>7</c:v>
                </c:pt>
                <c:pt idx="9">
                  <c:v>7.5</c:v>
                </c:pt>
                <c:pt idx="10">
                  <c:v>8</c:v>
                </c:pt>
              </c:numCache>
            </c:numRef>
          </c:xVal>
          <c:yVal>
            <c:numRef>
              <c:f>[产品特性整理发凤超20231220.xlsx]葡萄糖氧化酶!$N$22:$N$32</c:f>
              <c:numCache>
                <c:formatCode>General</c:formatCode>
                <c:ptCount val="11"/>
                <c:pt idx="0">
                  <c:v>15.7</c:v>
                </c:pt>
                <c:pt idx="1">
                  <c:v>25.9</c:v>
                </c:pt>
                <c:pt idx="2">
                  <c:v>40.799999999999997</c:v>
                </c:pt>
                <c:pt idx="3">
                  <c:v>61.5</c:v>
                </c:pt>
                <c:pt idx="4">
                  <c:v>89</c:v>
                </c:pt>
                <c:pt idx="5">
                  <c:v>95.2</c:v>
                </c:pt>
                <c:pt idx="6">
                  <c:v>100</c:v>
                </c:pt>
                <c:pt idx="7">
                  <c:v>82</c:v>
                </c:pt>
                <c:pt idx="8">
                  <c:v>61.6</c:v>
                </c:pt>
                <c:pt idx="9">
                  <c:v>41.1</c:v>
                </c:pt>
                <c:pt idx="10">
                  <c:v>20.5</c:v>
                </c:pt>
              </c:numCache>
            </c:numRef>
          </c:yVal>
          <c:smooth val="1"/>
          <c:extLst>
            <c:ext xmlns:c16="http://schemas.microsoft.com/office/drawing/2014/chart" uri="{C3380CC4-5D6E-409C-BE32-E72D297353CC}">
              <c16:uniqueId val="{00000001-6088-4ECA-BD51-7BE5F3378DB6}"/>
            </c:ext>
          </c:extLst>
        </c:ser>
        <c:ser>
          <c:idx val="2"/>
          <c:order val="2"/>
          <c:tx>
            <c:strRef>
              <c:f>[产品特性整理发凤超20231220.xlsx]葡萄糖氧化酶!$O$21</c:f>
              <c:strCache>
                <c:ptCount val="1"/>
                <c:pt idx="0">
                  <c:v>GOD3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[产品特性整理发凤超20231220.xlsx]葡萄糖氧化酶!$L$22:$L$32</c:f>
              <c:numCache>
                <c:formatCode>General</c:formatCode>
                <c:ptCount val="11"/>
                <c:pt idx="0">
                  <c:v>3</c:v>
                </c:pt>
                <c:pt idx="1">
                  <c:v>3.5</c:v>
                </c:pt>
                <c:pt idx="2">
                  <c:v>4</c:v>
                </c:pt>
                <c:pt idx="3">
                  <c:v>4.5</c:v>
                </c:pt>
                <c:pt idx="4">
                  <c:v>5</c:v>
                </c:pt>
                <c:pt idx="5">
                  <c:v>5.5</c:v>
                </c:pt>
                <c:pt idx="6">
                  <c:v>6</c:v>
                </c:pt>
                <c:pt idx="7">
                  <c:v>6.5</c:v>
                </c:pt>
                <c:pt idx="8">
                  <c:v>7</c:v>
                </c:pt>
                <c:pt idx="9">
                  <c:v>7.5</c:v>
                </c:pt>
                <c:pt idx="10">
                  <c:v>8</c:v>
                </c:pt>
              </c:numCache>
            </c:numRef>
          </c:xVal>
          <c:yVal>
            <c:numRef>
              <c:f>[产品特性整理发凤超20231220.xlsx]葡萄糖氧化酶!$O$22:$O$32</c:f>
              <c:numCache>
                <c:formatCode>General</c:formatCode>
                <c:ptCount val="11"/>
                <c:pt idx="0">
                  <c:v>13.4</c:v>
                </c:pt>
                <c:pt idx="1">
                  <c:v>28.3</c:v>
                </c:pt>
                <c:pt idx="2">
                  <c:v>39.799999999999997</c:v>
                </c:pt>
                <c:pt idx="3">
                  <c:v>58.2</c:v>
                </c:pt>
                <c:pt idx="4">
                  <c:v>80.5</c:v>
                </c:pt>
                <c:pt idx="5">
                  <c:v>89.5</c:v>
                </c:pt>
                <c:pt idx="6">
                  <c:v>100</c:v>
                </c:pt>
                <c:pt idx="7">
                  <c:v>85.2</c:v>
                </c:pt>
                <c:pt idx="8">
                  <c:v>52.3</c:v>
                </c:pt>
                <c:pt idx="9">
                  <c:v>21.3</c:v>
                </c:pt>
                <c:pt idx="10">
                  <c:v>7.4</c:v>
                </c:pt>
              </c:numCache>
            </c:numRef>
          </c:yVal>
          <c:smooth val="1"/>
          <c:extLst>
            <c:ext xmlns:c16="http://schemas.microsoft.com/office/drawing/2014/chart" uri="{C3380CC4-5D6E-409C-BE32-E72D297353CC}">
              <c16:uniqueId val="{00000002-6088-4ECA-BD51-7BE5F3378DB6}"/>
            </c:ext>
          </c:extLst>
        </c:ser>
        <c:dLbls>
          <c:showLegendKey val="0"/>
          <c:showVal val="0"/>
          <c:showCatName val="0"/>
          <c:showSerName val="0"/>
          <c:showPercent val="0"/>
          <c:showBubbleSize val="0"/>
        </c:dLbls>
        <c:axId val="418260054"/>
        <c:axId val="633774569"/>
      </c:scatterChart>
      <c:valAx>
        <c:axId val="418260054"/>
        <c:scaling>
          <c:orientation val="minMax"/>
          <c:max val="9"/>
          <c:min val="2"/>
        </c:scaling>
        <c:delete val="0"/>
        <c:axPos val="b"/>
        <c:title>
          <c:tx>
            <c:rich>
              <a:bodyPr rot="0" spcFirstLastPara="0" vertOverflow="ellipsis" vert="horz" wrap="square" anchor="ctr" anchorCtr="1"/>
              <a:lstStyle/>
              <a:p>
                <a:pPr defTabSz="914400">
                  <a:defRPr lang="zh-CN" sz="1000" b="0" i="0" u="none" strike="noStrike" kern="1200" baseline="0">
                    <a:ln>
                      <a:noFill/>
                    </a:ln>
                    <a:solidFill>
                      <a:schemeClr val="tx1">
                        <a:lumMod val="65000"/>
                        <a:lumOff val="35000"/>
                      </a:schemeClr>
                    </a:solidFill>
                    <a:latin typeface="+mn-lt"/>
                    <a:ea typeface="+mn-ea"/>
                    <a:cs typeface="+mn-cs"/>
                  </a:defRPr>
                </a:pPr>
                <a:r>
                  <a:rPr lang="en-US" altLang="zh-CN">
                    <a:ln>
                      <a:noFill/>
                    </a:ln>
                  </a:rPr>
                  <a:t>pH</a:t>
                </a:r>
                <a:endParaRPr lang="en-US">
                  <a:ln>
                    <a:noFill/>
                  </a:ln>
                </a:endParaRPr>
              </a:p>
            </c:rich>
          </c:tx>
          <c:overlay val="0"/>
          <c:spPr>
            <a:noFill/>
            <a:ln>
              <a:noFill/>
            </a:ln>
            <a:effectLst/>
          </c:spPr>
          <c:txPr>
            <a:bodyPr rot="0" spcFirstLastPara="0" vertOverflow="ellipsis" vert="horz" wrap="square" anchor="ctr" anchorCtr="1"/>
            <a:lstStyle/>
            <a:p>
              <a:pPr defTabSz="914400">
                <a:defRPr lang="zh-CN" sz="1000" b="0" i="0" u="none" strike="noStrike" kern="1200" baseline="0">
                  <a:ln>
                    <a:noFill/>
                  </a:ln>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crossAx val="633774569"/>
        <c:crosses val="autoZero"/>
        <c:crossBetween val="midCat"/>
      </c:valAx>
      <c:valAx>
        <c:axId val="633774569"/>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ln>
                      <a:noFill/>
                    </a:ln>
                    <a:solidFill>
                      <a:schemeClr val="tx1">
                        <a:lumMod val="65000"/>
                        <a:lumOff val="35000"/>
                      </a:schemeClr>
                    </a:solidFill>
                    <a:latin typeface="+mn-lt"/>
                    <a:ea typeface="+mn-ea"/>
                    <a:cs typeface="+mn-cs"/>
                  </a:defRPr>
                </a:pPr>
                <a:r>
                  <a:rPr lang="zh-CN" altLang="en-US">
                    <a:ln>
                      <a:noFill/>
                    </a:ln>
                  </a:rPr>
                  <a:t>相对酶活（</a:t>
                </a:r>
                <a:r>
                  <a:rPr lang="en-US" altLang="zh-CN">
                    <a:ln>
                      <a:noFill/>
                    </a:ln>
                  </a:rPr>
                  <a:t>%</a:t>
                </a:r>
                <a:r>
                  <a:rPr lang="zh-CN" altLang="en-US">
                    <a:ln>
                      <a:noFill/>
                    </a:ln>
                  </a:rPr>
                  <a:t>）</a:t>
                </a:r>
              </a:p>
            </c:rich>
          </c:tx>
          <c:layout>
            <c:manualLayout>
              <c:xMode val="edge"/>
              <c:yMode val="edge"/>
              <c:x val="2.89473684210526E-2"/>
              <c:y val="0.35317129629629601"/>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ln>
                    <a:noFill/>
                  </a:ln>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crossAx val="418260054"/>
        <c:crosses val="autoZero"/>
        <c:crossBetween val="midCat"/>
      </c:valAx>
      <c:spPr>
        <a:noFill/>
        <a:ln w="9525" cap="flat" cmpd="sng" algn="ctr">
          <a:solidFill>
            <a:schemeClr val="tx1">
              <a:lumMod val="15000"/>
              <a:lumOff val="85000"/>
            </a:schemeClr>
          </a:solidFill>
          <a:round/>
        </a:ln>
        <a:effectLst/>
      </c:spPr>
    </c:plotArea>
    <c:legend>
      <c:legendPos val="r"/>
      <c:legendEntry>
        <c:idx val="0"/>
        <c:txPr>
          <a:bodyPr rot="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legendEntry>
      <c:layout>
        <c:manualLayout>
          <c:xMode val="edge"/>
          <c:yMode val="edge"/>
          <c:x val="0.84184210526315795"/>
          <c:y val="0.171990740740741"/>
        </c:manualLayout>
      </c:layout>
      <c:overlay val="0"/>
      <c:spPr>
        <a:noFill/>
        <a:ln>
          <a:noFill/>
        </a:ln>
        <a:effectLst/>
      </c:spPr>
      <c:txPr>
        <a:bodyPr rot="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fc66ea92-4cef-42b8-ae01-a58a19de3d1b}"/>
      </c:ext>
    </c:extLst>
  </c:chart>
  <c:spPr>
    <a:solidFill>
      <a:schemeClr val="bg1"/>
    </a:solidFill>
    <a:ln w="9525" cap="flat" cmpd="sng" algn="ctr">
      <a:noFill/>
      <a:round/>
    </a:ln>
    <a:effectLst/>
  </c:spPr>
  <c:txPr>
    <a:bodyPr/>
    <a:lstStyle/>
    <a:p>
      <a:pPr>
        <a:defRPr lang="zh-CN">
          <a:ln>
            <a:noFill/>
          </a:ln>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18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solidFill>
          <a:schemeClr val="phClr"/>
        </a:solid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18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solidFill>
          <a:schemeClr val="phClr"/>
        </a:solid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CD289-A2D3-41C1-A6D0-F4192975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1328</Words>
  <Characters>7570</Characters>
  <Application>Microsoft Office Word</Application>
  <DocSecurity>0</DocSecurity>
  <Lines>63</Lines>
  <Paragraphs>17</Paragraphs>
  <ScaleCrop>false</ScaleCrop>
  <Company>MS</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47</cp:revision>
  <dcterms:created xsi:type="dcterms:W3CDTF">2023-01-05T00:31:00Z</dcterms:created>
  <dcterms:modified xsi:type="dcterms:W3CDTF">2025-07-28T07:24:00Z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eyJoZGlkIjoiN2YzNjBkOTgyNWQ1YTMxYzM3MzMwNWFiODNmOWIzYWMiLCJ1c2VySWQiOiI1NTMzMjYzNzcifQ==</vt:lpwstr>
  </property>
  <property fmtid="{D5CDD505-2E9C-101B-9397-08002B2CF9AE}" pid="3" name="KSOProductBuildVer">
    <vt:lpwstr>2052-12.1.0.21915</vt:lpwstr>
  </property>
  <property fmtid="{D5CDD505-2E9C-101B-9397-08002B2CF9AE}" pid="4" name="ICV">
    <vt:lpwstr>92FDA03C957A488282F2AB729D52E16B_12</vt:lpwstr>
  </property>
</Properties>
</file>