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8FE6" w14:textId="77777777" w:rsidR="00A504B7" w:rsidRDefault="00000000">
      <w:pPr>
        <w:pStyle w:val="af1"/>
        <w:framePr w:wrap="around"/>
        <w:wordWrap w:val="0"/>
      </w:pPr>
      <w:r>
        <w:t xml:space="preserve">DB </w:t>
      </w:r>
    </w:p>
    <w:p w14:paraId="65DF5AF2" w14:textId="77777777" w:rsidR="00A504B7" w:rsidRDefault="00000000">
      <w:pPr>
        <w:pStyle w:val="af3"/>
        <w:framePr w:wrap="around"/>
        <w:rPr>
          <w:rFonts w:ascii="Times New Roman" w:hAnsi="Times New Roman"/>
        </w:rPr>
      </w:pPr>
      <w:r>
        <w:rPr>
          <w:rFonts w:ascii="Times New Roman" w:hAnsi="Times New Roman"/>
        </w:rPr>
        <w:t>上海市地方标准</w:t>
      </w:r>
    </w:p>
    <w:p w14:paraId="44B0E170" w14:textId="77777777" w:rsidR="00A504B7" w:rsidRDefault="00000000">
      <w:pPr>
        <w:pStyle w:val="2"/>
        <w:framePr w:wrap="around"/>
        <w:rPr>
          <w:rFonts w:ascii="Times New Roman"/>
        </w:rPr>
      </w:pPr>
      <w:r>
        <w:rPr>
          <w:rFonts w:ascii="Times New Roman"/>
        </w:rPr>
        <w:t>DB 31/ 2009—</w:t>
      </w:r>
      <w:r>
        <w:rPr>
          <w:rFonts w:ascii="Times New Roman" w:hint="eastAsia"/>
        </w:rPr>
        <w:t>XXXX</w:t>
      </w:r>
    </w:p>
    <w:p w14:paraId="50C55243" w14:textId="77777777" w:rsidR="00A504B7" w:rsidRDefault="00000000">
      <w:pPr>
        <w:pStyle w:val="2"/>
        <w:framePr w:wrap="around"/>
        <w:rPr>
          <w:rFonts w:ascii="Times New Roman"/>
        </w:rPr>
      </w:pPr>
      <w:r>
        <w:rPr>
          <w:rFonts w:ascii="Times New Roman"/>
        </w:rPr>
        <w:t>代替</w:t>
      </w:r>
      <w:r>
        <w:rPr>
          <w:rFonts w:ascii="Times New Roman"/>
        </w:rPr>
        <w:t>DB 31/ 2009—2012</w:t>
      </w:r>
    </w:p>
    <w:p w14:paraId="3CF1C69B" w14:textId="77777777" w:rsidR="00A504B7" w:rsidRDefault="00A504B7">
      <w:pPr>
        <w:pStyle w:val="2"/>
        <w:framePr w:wrap="around"/>
        <w:rPr>
          <w:rFonts w:ascii="Times New Roman"/>
        </w:rPr>
      </w:pPr>
    </w:p>
    <w:p w14:paraId="225D023A" w14:textId="77777777" w:rsidR="00A504B7" w:rsidRDefault="00000000">
      <w:pPr>
        <w:pStyle w:val="af4"/>
        <w:framePr w:wrap="around"/>
        <w:spacing w:line="240" w:lineRule="auto"/>
        <w:rPr>
          <w:rFonts w:ascii="Times New Roman"/>
        </w:rPr>
      </w:pPr>
      <w:bookmarkStart w:id="0" w:name="FY"/>
      <w:r>
        <w:rPr>
          <w:rFonts w:ascii="Times New Roman"/>
        </w:rPr>
        <w:t>食品安全地方标准</w:t>
      </w:r>
    </w:p>
    <w:p w14:paraId="652B1D58" w14:textId="77777777" w:rsidR="00A504B7" w:rsidRDefault="00000000">
      <w:pPr>
        <w:pStyle w:val="af4"/>
        <w:framePr w:wrap="around"/>
        <w:spacing w:line="240" w:lineRule="auto"/>
        <w:rPr>
          <w:rFonts w:ascii="Times New Roman"/>
        </w:rPr>
      </w:pPr>
      <w:r>
        <w:rPr>
          <w:rFonts w:ascii="Times New Roman" w:hint="eastAsia"/>
        </w:rPr>
        <w:t>团体膳食外卖卫生规范</w:t>
      </w:r>
    </w:p>
    <w:p w14:paraId="4211B49A" w14:textId="77777777" w:rsidR="00A504B7" w:rsidRDefault="00000000">
      <w:pPr>
        <w:pStyle w:val="af4"/>
        <w:framePr w:wrap="around"/>
        <w:spacing w:line="240" w:lineRule="auto"/>
        <w:rPr>
          <w:rFonts w:ascii="Times New Roman"/>
          <w:sz w:val="36"/>
          <w:szCs w:val="36"/>
        </w:rPr>
      </w:pPr>
      <w:r>
        <w:rPr>
          <w:rFonts w:ascii="Times New Roman"/>
          <w:sz w:val="36"/>
          <w:szCs w:val="36"/>
        </w:rPr>
        <w:t>（</w:t>
      </w:r>
      <w:r>
        <w:rPr>
          <w:rFonts w:ascii="Times New Roman" w:hint="eastAsia"/>
          <w:sz w:val="36"/>
          <w:szCs w:val="36"/>
        </w:rPr>
        <w:t>征求意见</w:t>
      </w:r>
      <w:r>
        <w:rPr>
          <w:rFonts w:ascii="Times New Roman"/>
          <w:sz w:val="36"/>
          <w:szCs w:val="36"/>
        </w:rPr>
        <w:t>稿）</w:t>
      </w:r>
    </w:p>
    <w:bookmarkEnd w:id="0"/>
    <w:p w14:paraId="3C4A468C" w14:textId="77777777" w:rsidR="00A504B7" w:rsidRDefault="00000000">
      <w:pPr>
        <w:pStyle w:val="af5"/>
        <w:framePr w:wrap="around" w:hAnchor="page" w:x="1335"/>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r>
        <w:t xml:space="preserve">- </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 xml:space="preserve"> - </w:t>
      </w:r>
      <w:bookmarkStart w:id="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
      <w:r>
        <w:t>发布</w:t>
      </w:r>
      <w:r>
        <w:rPr>
          <w:noProof/>
        </w:rPr>
        <mc:AlternateContent>
          <mc:Choice Requires="wps">
            <w:drawing>
              <wp:anchor distT="0" distB="0" distL="114300" distR="114300" simplePos="0" relativeHeight="251660288" behindDoc="0" locked="1" layoutInCell="1" allowOverlap="1" wp14:anchorId="7498CA65" wp14:editId="24996A25">
                <wp:simplePos x="0" y="0"/>
                <wp:positionH relativeFrom="column">
                  <wp:posOffset>-28575</wp:posOffset>
                </wp:positionH>
                <wp:positionV relativeFrom="page">
                  <wp:posOffset>446405</wp:posOffset>
                </wp:positionV>
                <wp:extent cx="612013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25pt;margin-top:35.15pt;height:0pt;width:481.9pt;mso-position-vertical-relative:page;z-index:251660288;mso-width-relative:page;mso-height-relative:page;" filled="f" stroked="t" coordsize="21600,21600" o:gfxdata="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Mis&#10;mNYAAAAIAQAADwAAAAAAAAABACAAAAAiAAAAZHJzL2Rvd25yZXYueG1sUEsBAhQAFAAAAAgAh07i&#10;QC3tf+PrAQAA2AMAAA4AAAAAAAAAAQAgAAAAJQEAAGRycy9lMm9Eb2MueG1sUEsFBgAAAAAGAAYA&#10;WQEAAIIFAAAAAA==&#10;">
                <v:fill on="f" focussize="0,0"/>
                <v:stroke color="#000000" joinstyle="round"/>
                <v:imagedata o:title=""/>
                <o:lock v:ext="edit" aspectratio="f"/>
                <w10:anchorlock/>
              </v:line>
            </w:pict>
          </mc:Fallback>
        </mc:AlternateContent>
      </w:r>
    </w:p>
    <w:bookmarkStart w:id="2" w:name="SY"/>
    <w:p w14:paraId="08813118" w14:textId="77777777" w:rsidR="00A504B7" w:rsidRDefault="00000000">
      <w:pPr>
        <w:pStyle w:val="af7"/>
        <w:framePr w:wrap="around" w:hAnchor="page" w:x="7409"/>
        <w:ind w:firstLineChars="100" w:firstLine="280"/>
        <w:jc w:val="both"/>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2"/>
      <w:r>
        <w:t xml:space="preserve"> - </w:t>
      </w:r>
      <w:bookmarkStart w:id="3"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3"/>
      <w:r>
        <w:t xml:space="preserve"> - </w:t>
      </w:r>
      <w:bookmarkStart w:id="4"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4"/>
      <w:r>
        <w:t>实施</w:t>
      </w:r>
    </w:p>
    <w:tbl>
      <w:tblPr>
        <w:tblW w:w="0" w:type="auto"/>
        <w:tblLayout w:type="fixed"/>
        <w:tblLook w:val="04A0" w:firstRow="1" w:lastRow="0" w:firstColumn="1" w:lastColumn="0" w:noHBand="0" w:noVBand="1"/>
      </w:tblPr>
      <w:tblGrid>
        <w:gridCol w:w="6239"/>
        <w:gridCol w:w="1664"/>
      </w:tblGrid>
      <w:tr w:rsidR="00A504B7" w14:paraId="534AC172" w14:textId="77777777">
        <w:tc>
          <w:tcPr>
            <w:tcW w:w="6239" w:type="dxa"/>
          </w:tcPr>
          <w:p w14:paraId="5F451D17" w14:textId="77777777" w:rsidR="00A504B7" w:rsidRDefault="00000000">
            <w:pPr>
              <w:pStyle w:val="af9"/>
              <w:framePr w:wrap="around" w:x="2549" w:y="14800"/>
              <w:spacing w:before="156" w:after="156"/>
              <w:jc w:val="distribute"/>
              <w:rPr>
                <w:rFonts w:ascii="Times New Roman"/>
                <w:szCs w:val="18"/>
              </w:rPr>
            </w:pPr>
            <w:r>
              <w:rPr>
                <w:rFonts w:ascii="Times New Roman"/>
                <w:szCs w:val="18"/>
              </w:rPr>
              <w:t>上海市卫生健康委员会</w:t>
            </w:r>
          </w:p>
        </w:tc>
        <w:tc>
          <w:tcPr>
            <w:tcW w:w="1664" w:type="dxa"/>
            <w:vMerge w:val="restart"/>
            <w:vAlign w:val="center"/>
          </w:tcPr>
          <w:p w14:paraId="7979DE1C" w14:textId="77777777" w:rsidR="00A504B7" w:rsidRDefault="00000000">
            <w:pPr>
              <w:pStyle w:val="af9"/>
              <w:framePr w:wrap="around" w:x="2549" w:y="14800"/>
              <w:rPr>
                <w:rFonts w:ascii="Times New Roman"/>
                <w:szCs w:val="18"/>
              </w:rPr>
            </w:pPr>
            <w:r>
              <w:rPr>
                <w:rStyle w:val="afc"/>
                <w:rFonts w:ascii="Times New Roman"/>
              </w:rPr>
              <w:t>发布</w:t>
            </w:r>
          </w:p>
        </w:tc>
      </w:tr>
      <w:tr w:rsidR="00A504B7" w14:paraId="43DD0152" w14:textId="77777777">
        <w:trPr>
          <w:trHeight w:val="426"/>
        </w:trPr>
        <w:tc>
          <w:tcPr>
            <w:tcW w:w="6239" w:type="dxa"/>
          </w:tcPr>
          <w:p w14:paraId="75EC1431" w14:textId="77777777" w:rsidR="00A504B7" w:rsidRDefault="00000000">
            <w:pPr>
              <w:pStyle w:val="af9"/>
              <w:framePr w:wrap="around" w:x="2549" w:y="14800"/>
              <w:jc w:val="distribute"/>
              <w:rPr>
                <w:rFonts w:ascii="Times New Roman"/>
                <w:szCs w:val="18"/>
              </w:rPr>
            </w:pPr>
            <w:r>
              <w:rPr>
                <w:rFonts w:ascii="Times New Roman"/>
                <w:szCs w:val="18"/>
              </w:rPr>
              <w:t>上海市市场监督管理局</w:t>
            </w:r>
          </w:p>
        </w:tc>
        <w:tc>
          <w:tcPr>
            <w:tcW w:w="1664" w:type="dxa"/>
            <w:vMerge/>
          </w:tcPr>
          <w:p w14:paraId="7CCF9D93" w14:textId="77777777" w:rsidR="00A504B7" w:rsidRDefault="00A504B7">
            <w:pPr>
              <w:pStyle w:val="af9"/>
              <w:framePr w:wrap="around" w:x="2549" w:y="14800"/>
              <w:rPr>
                <w:rFonts w:ascii="Times New Roman"/>
                <w:szCs w:val="18"/>
              </w:rPr>
            </w:pPr>
          </w:p>
        </w:tc>
      </w:tr>
    </w:tbl>
    <w:p w14:paraId="10887671" w14:textId="77777777" w:rsidR="00A504B7" w:rsidRDefault="00000000">
      <w:pPr>
        <w:pStyle w:val="afb"/>
        <w:rPr>
          <w:rFonts w:ascii="Times New Roman"/>
        </w:rPr>
        <w:sectPr w:rsidR="00A504B7">
          <w:headerReference w:type="even" r:id="rId8"/>
          <w:footerReference w:type="even" r:id="rId9"/>
          <w:footerReference w:type="default" r:id="rId10"/>
          <w:pgSz w:w="11906" w:h="16838"/>
          <w:pgMar w:top="567" w:right="1134" w:bottom="1134" w:left="1417"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61312" behindDoc="0" locked="0" layoutInCell="1" allowOverlap="1" wp14:anchorId="2C89E52F" wp14:editId="412A0A73">
                <wp:simplePos x="0" y="0"/>
                <wp:positionH relativeFrom="column">
                  <wp:posOffset>-635</wp:posOffset>
                </wp:positionH>
                <wp:positionV relativeFrom="paragraph">
                  <wp:posOffset>2339975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JB&#10;4l/XAAAACQEAAA8AAAAAAAAAAQAgAAAAIgAAAGRycy9kb3ducmV2LnhtbFBLAQIUABQAAAAIAIdO&#10;4kBzLft/6wEAANgDAAAOAAAAAAAAAAEAIAAAACYBAABkcnMvZTJvRG9jLnhtbFBLBQYAAAAABgAG&#10;AFkBAACDBQAAAAA=&#10;">
                <v:fill on="f" focussize="0,0"/>
                <v:stroke color="#000000" joinstyle="round"/>
                <v:imagedata o:title=""/>
                <o:lock v:ext="edit" aspectratio="f"/>
              </v:line>
            </w:pict>
          </mc:Fallback>
        </mc:AlternateContent>
      </w:r>
    </w:p>
    <w:p w14:paraId="5E3483BF" w14:textId="77777777" w:rsidR="00A504B7" w:rsidRDefault="00000000">
      <w:pPr>
        <w:pStyle w:val="aff0"/>
        <w:rPr>
          <w:rFonts w:ascii="Times New Roman"/>
        </w:rPr>
      </w:pPr>
      <w:r>
        <w:rPr>
          <w:rFonts w:ascii="Times New Roman"/>
        </w:rPr>
        <w:lastRenderedPageBreak/>
        <w:t>前</w:t>
      </w:r>
      <w:bookmarkStart w:id="5" w:name="BKQY"/>
      <w:r>
        <w:rPr>
          <w:rFonts w:ascii="Times New Roman" w:eastAsia="MS Mincho"/>
        </w:rPr>
        <w:t>  </w:t>
      </w:r>
      <w:r>
        <w:rPr>
          <w:rFonts w:ascii="Times New Roman"/>
        </w:rPr>
        <w:t>言</w:t>
      </w:r>
      <w:bookmarkEnd w:id="5"/>
    </w:p>
    <w:p w14:paraId="1FAF2728" w14:textId="77777777" w:rsidR="00A504B7" w:rsidRDefault="00000000">
      <w:pPr>
        <w:pStyle w:val="afb"/>
        <w:rPr>
          <w:rFonts w:ascii="Times New Roman"/>
        </w:rPr>
      </w:pPr>
      <w:r>
        <w:rPr>
          <w:rFonts w:ascii="Times New Roman"/>
        </w:rPr>
        <w:t>本标准代替《</w:t>
      </w:r>
      <w:r>
        <w:rPr>
          <w:rFonts w:ascii="Times New Roman" w:hint="eastAsia"/>
        </w:rPr>
        <w:t>食品安全地方标准</w:t>
      </w:r>
      <w:r>
        <w:rPr>
          <w:rFonts w:ascii="Times New Roman" w:hint="eastAsia"/>
        </w:rPr>
        <w:t xml:space="preserve"> </w:t>
      </w:r>
      <w:r>
        <w:rPr>
          <w:rFonts w:ascii="Times New Roman" w:hint="eastAsia"/>
        </w:rPr>
        <w:t>餐饮服务团体膳食外卖卫生规范</w:t>
      </w:r>
      <w:r>
        <w:rPr>
          <w:rFonts w:ascii="Times New Roman"/>
        </w:rPr>
        <w:t>》（</w:t>
      </w:r>
      <w:r>
        <w:rPr>
          <w:rFonts w:ascii="Times New Roman"/>
        </w:rPr>
        <w:t>DB 31/2009-2012</w:t>
      </w:r>
      <w:r>
        <w:rPr>
          <w:rFonts w:ascii="Times New Roman"/>
        </w:rPr>
        <w:t>）。</w:t>
      </w:r>
    </w:p>
    <w:p w14:paraId="1D7DEB2C" w14:textId="77777777" w:rsidR="00A504B7" w:rsidRDefault="00000000">
      <w:pPr>
        <w:pStyle w:val="afb"/>
        <w:rPr>
          <w:rFonts w:ascii="Times New Roman"/>
        </w:rPr>
      </w:pPr>
      <w:r>
        <w:rPr>
          <w:rFonts w:ascii="Times New Roman"/>
        </w:rPr>
        <w:t>本标准与</w:t>
      </w:r>
      <w:r>
        <w:rPr>
          <w:rFonts w:ascii="Times New Roman"/>
        </w:rPr>
        <w:t>DB 31/2009-2012</w:t>
      </w:r>
      <w:r>
        <w:rPr>
          <w:rFonts w:ascii="Times New Roman"/>
        </w:rPr>
        <w:t>相比，主要变化如下：</w:t>
      </w:r>
    </w:p>
    <w:p w14:paraId="02B3AEF6" w14:textId="77777777" w:rsidR="00A504B7" w:rsidRDefault="00000000">
      <w:pPr>
        <w:pStyle w:val="a2"/>
        <w:ind w:left="828"/>
        <w:rPr>
          <w:rFonts w:ascii="Times New Roman"/>
        </w:rPr>
      </w:pPr>
      <w:r>
        <w:rPr>
          <w:rFonts w:ascii="Times New Roman"/>
        </w:rPr>
        <w:t>调整了</w:t>
      </w:r>
      <w:r>
        <w:rPr>
          <w:rFonts w:ascii="Times New Roman" w:hint="eastAsia"/>
        </w:rPr>
        <w:t>章节框架</w:t>
      </w:r>
      <w:r>
        <w:rPr>
          <w:rFonts w:ascii="Times New Roman"/>
        </w:rPr>
        <w:t>；</w:t>
      </w:r>
    </w:p>
    <w:p w14:paraId="424BBAC8" w14:textId="77777777" w:rsidR="00A504B7" w:rsidRDefault="00000000">
      <w:pPr>
        <w:pStyle w:val="a2"/>
        <w:rPr>
          <w:rFonts w:ascii="Times New Roman"/>
        </w:rPr>
      </w:pPr>
      <w:r>
        <w:rPr>
          <w:rFonts w:ascii="Times New Roman"/>
        </w:rPr>
        <w:t>修改了</w:t>
      </w:r>
      <w:r>
        <w:rPr>
          <w:rFonts w:ascii="Times New Roman" w:hint="eastAsia"/>
        </w:rPr>
        <w:t>范围</w:t>
      </w:r>
      <w:r>
        <w:rPr>
          <w:rFonts w:ascii="Times New Roman"/>
        </w:rPr>
        <w:t>；</w:t>
      </w:r>
    </w:p>
    <w:p w14:paraId="6E4952F6" w14:textId="77777777" w:rsidR="00A504B7" w:rsidRDefault="00000000">
      <w:pPr>
        <w:pStyle w:val="a2"/>
        <w:rPr>
          <w:rFonts w:ascii="Times New Roman"/>
        </w:rPr>
      </w:pPr>
      <w:r>
        <w:rPr>
          <w:rFonts w:ascii="Times New Roman" w:hint="eastAsia"/>
        </w:rPr>
        <w:t>删除了规范性引用文件；</w:t>
      </w:r>
    </w:p>
    <w:p w14:paraId="0E00A314" w14:textId="77777777" w:rsidR="00A504B7" w:rsidRDefault="00000000">
      <w:pPr>
        <w:pStyle w:val="a2"/>
        <w:rPr>
          <w:rFonts w:ascii="Times New Roman"/>
        </w:rPr>
      </w:pPr>
      <w:r>
        <w:rPr>
          <w:rFonts w:ascii="Times New Roman"/>
        </w:rPr>
        <w:t>修改了</w:t>
      </w:r>
      <w:r>
        <w:rPr>
          <w:rFonts w:ascii="Times New Roman" w:hint="eastAsia"/>
        </w:rPr>
        <w:t>术语和定义</w:t>
      </w:r>
      <w:r>
        <w:rPr>
          <w:rFonts w:ascii="Times New Roman"/>
        </w:rPr>
        <w:t>；</w:t>
      </w:r>
    </w:p>
    <w:p w14:paraId="497CE58C" w14:textId="77777777" w:rsidR="00A504B7" w:rsidRDefault="00000000">
      <w:pPr>
        <w:pStyle w:val="a2"/>
        <w:rPr>
          <w:rFonts w:ascii="Times New Roman"/>
        </w:rPr>
      </w:pPr>
      <w:r>
        <w:rPr>
          <w:rFonts w:ascii="Times New Roman"/>
        </w:rPr>
        <w:t>修改了</w:t>
      </w:r>
      <w:r>
        <w:rPr>
          <w:rFonts w:ascii="Times New Roman" w:hint="eastAsia"/>
        </w:rPr>
        <w:t>选址和结构</w:t>
      </w:r>
      <w:r>
        <w:rPr>
          <w:rFonts w:ascii="Times New Roman"/>
        </w:rPr>
        <w:t>；</w:t>
      </w:r>
    </w:p>
    <w:p w14:paraId="577EF6F0" w14:textId="70F45B7B" w:rsidR="00A504B7" w:rsidRDefault="00000000">
      <w:pPr>
        <w:pStyle w:val="a2"/>
        <w:rPr>
          <w:rFonts w:ascii="Times New Roman"/>
        </w:rPr>
      </w:pPr>
      <w:r>
        <w:rPr>
          <w:rFonts w:ascii="Times New Roman" w:hint="eastAsia"/>
        </w:rPr>
        <w:t>修改了加工经营场所</w:t>
      </w:r>
      <w:r w:rsidR="00AF1D0D">
        <w:rPr>
          <w:rFonts w:ascii="Times New Roman"/>
        </w:rPr>
        <w:t>；</w:t>
      </w:r>
    </w:p>
    <w:p w14:paraId="3CD42F2D" w14:textId="77777777" w:rsidR="00A504B7" w:rsidRDefault="00000000">
      <w:pPr>
        <w:pStyle w:val="a2"/>
        <w:rPr>
          <w:rFonts w:ascii="Times New Roman"/>
        </w:rPr>
      </w:pPr>
      <w:r>
        <w:rPr>
          <w:rFonts w:ascii="Times New Roman" w:hint="eastAsia"/>
        </w:rPr>
        <w:t>修改了设施设备；</w:t>
      </w:r>
    </w:p>
    <w:p w14:paraId="3322B0F5" w14:textId="4E6B7373" w:rsidR="00A504B7" w:rsidRDefault="00000000">
      <w:pPr>
        <w:pStyle w:val="a2"/>
        <w:rPr>
          <w:rFonts w:ascii="Times New Roman"/>
        </w:rPr>
      </w:pPr>
      <w:r>
        <w:rPr>
          <w:rFonts w:ascii="Times New Roman" w:hint="eastAsia"/>
        </w:rPr>
        <w:t>修改了供餐方式和供应品种控制</w:t>
      </w:r>
      <w:r w:rsidR="00AF1D0D">
        <w:rPr>
          <w:rFonts w:ascii="Times New Roman"/>
        </w:rPr>
        <w:t>；</w:t>
      </w:r>
    </w:p>
    <w:p w14:paraId="54EB7826" w14:textId="77777777" w:rsidR="00A504B7" w:rsidRDefault="00000000">
      <w:pPr>
        <w:pStyle w:val="a2"/>
        <w:rPr>
          <w:rFonts w:ascii="Times New Roman"/>
        </w:rPr>
      </w:pPr>
      <w:r>
        <w:rPr>
          <w:rFonts w:ascii="Times New Roman" w:hint="eastAsia"/>
        </w:rPr>
        <w:t>修改了加工配送过程的食品安全控制；</w:t>
      </w:r>
    </w:p>
    <w:p w14:paraId="686D3F24" w14:textId="2E425A09" w:rsidR="00A504B7" w:rsidRDefault="00000000">
      <w:pPr>
        <w:pStyle w:val="a2"/>
        <w:rPr>
          <w:rFonts w:ascii="Times New Roman"/>
        </w:rPr>
      </w:pPr>
      <w:r>
        <w:rPr>
          <w:rFonts w:ascii="Times New Roman" w:hint="eastAsia"/>
        </w:rPr>
        <w:t>修改了供餐点备餐和供餐</w:t>
      </w:r>
      <w:r w:rsidR="00AF1D0D">
        <w:rPr>
          <w:rFonts w:ascii="Times New Roman"/>
        </w:rPr>
        <w:t>；</w:t>
      </w:r>
    </w:p>
    <w:p w14:paraId="421C3327" w14:textId="77777777" w:rsidR="00A504B7" w:rsidRDefault="00000000">
      <w:pPr>
        <w:pStyle w:val="a2"/>
        <w:rPr>
          <w:rFonts w:ascii="Times New Roman"/>
        </w:rPr>
      </w:pPr>
      <w:r>
        <w:rPr>
          <w:rFonts w:ascii="Times New Roman" w:hint="eastAsia"/>
        </w:rPr>
        <w:t>增加了有害生物防制；</w:t>
      </w:r>
    </w:p>
    <w:p w14:paraId="4EE3284C" w14:textId="77777777" w:rsidR="00A504B7" w:rsidRDefault="00000000">
      <w:pPr>
        <w:pStyle w:val="a2"/>
        <w:rPr>
          <w:rFonts w:ascii="Times New Roman"/>
        </w:rPr>
      </w:pPr>
      <w:r>
        <w:rPr>
          <w:rFonts w:ascii="Times New Roman" w:hint="eastAsia"/>
        </w:rPr>
        <w:t>修改了检测；</w:t>
      </w:r>
    </w:p>
    <w:p w14:paraId="7B8DD03C" w14:textId="77777777" w:rsidR="00A504B7" w:rsidRDefault="00000000">
      <w:pPr>
        <w:pStyle w:val="a2"/>
        <w:rPr>
          <w:rFonts w:ascii="Times New Roman"/>
        </w:rPr>
      </w:pPr>
      <w:r>
        <w:rPr>
          <w:rFonts w:ascii="Times New Roman" w:hint="eastAsia"/>
        </w:rPr>
        <w:t>修改了标签标注；</w:t>
      </w:r>
    </w:p>
    <w:p w14:paraId="0A7A8BD4" w14:textId="77777777" w:rsidR="00A504B7" w:rsidRDefault="00000000">
      <w:pPr>
        <w:pStyle w:val="a2"/>
        <w:rPr>
          <w:rFonts w:ascii="Times New Roman"/>
        </w:rPr>
      </w:pPr>
      <w:r>
        <w:rPr>
          <w:rFonts w:ascii="Times New Roman"/>
        </w:rPr>
        <w:t>修改了</w:t>
      </w:r>
      <w:r>
        <w:rPr>
          <w:rFonts w:ascii="Times New Roman" w:hint="eastAsia"/>
        </w:rPr>
        <w:t>卫生管理</w:t>
      </w:r>
      <w:r>
        <w:rPr>
          <w:rFonts w:ascii="Times New Roman"/>
        </w:rPr>
        <w:t>。</w:t>
      </w:r>
    </w:p>
    <w:p w14:paraId="1A530B93" w14:textId="77777777" w:rsidR="00A504B7" w:rsidRDefault="00A504B7">
      <w:pPr>
        <w:pStyle w:val="a2"/>
        <w:numPr>
          <w:ilvl w:val="0"/>
          <w:numId w:val="0"/>
        </w:numPr>
        <w:rPr>
          <w:rFonts w:ascii="Times New Roman"/>
        </w:rPr>
      </w:pPr>
    </w:p>
    <w:p w14:paraId="7EEFCBC8" w14:textId="77777777" w:rsidR="00A504B7" w:rsidRDefault="00A504B7">
      <w:pPr>
        <w:pStyle w:val="a2"/>
        <w:numPr>
          <w:ilvl w:val="0"/>
          <w:numId w:val="0"/>
        </w:numPr>
        <w:rPr>
          <w:rFonts w:ascii="Times New Roman"/>
        </w:rPr>
        <w:sectPr w:rsidR="00A504B7">
          <w:headerReference w:type="default" r:id="rId11"/>
          <w:footerReference w:type="default" r:id="rId12"/>
          <w:pgSz w:w="11906" w:h="16838"/>
          <w:pgMar w:top="567" w:right="1134" w:bottom="1134" w:left="1417" w:header="1418" w:footer="1134" w:gutter="0"/>
          <w:pgNumType w:fmt="upperRoman" w:start="1"/>
          <w:cols w:space="720"/>
          <w:formProt w:val="0"/>
          <w:docGrid w:type="lines" w:linePitch="312"/>
        </w:sectPr>
      </w:pPr>
    </w:p>
    <w:p w14:paraId="5069BF80" w14:textId="77777777" w:rsidR="00A504B7" w:rsidRDefault="00000000" w:rsidP="00BA7D4B">
      <w:pPr>
        <w:pStyle w:val="afb"/>
        <w:ind w:firstLineChars="0" w:firstLine="0"/>
        <w:jc w:val="center"/>
        <w:rPr>
          <w:rFonts w:ascii="Times New Roman" w:eastAsia="黑体"/>
          <w:sz w:val="32"/>
        </w:rPr>
      </w:pPr>
      <w:r>
        <w:rPr>
          <w:rFonts w:ascii="Times New Roman" w:eastAsia="黑体"/>
          <w:sz w:val="32"/>
        </w:rPr>
        <w:lastRenderedPageBreak/>
        <w:t>食品安全地方标准</w:t>
      </w:r>
    </w:p>
    <w:p w14:paraId="03E4777B" w14:textId="77777777" w:rsidR="00A504B7" w:rsidRDefault="00000000" w:rsidP="00BA7D4B">
      <w:pPr>
        <w:pStyle w:val="afb"/>
        <w:ind w:firstLineChars="0" w:firstLine="0"/>
        <w:jc w:val="center"/>
        <w:rPr>
          <w:rFonts w:ascii="Times New Roman" w:eastAsia="黑体"/>
          <w:sz w:val="32"/>
        </w:rPr>
      </w:pPr>
      <w:r>
        <w:rPr>
          <w:rFonts w:ascii="Times New Roman" w:eastAsia="黑体" w:hint="eastAsia"/>
          <w:sz w:val="32"/>
        </w:rPr>
        <w:t>团体膳食外卖卫生规范</w:t>
      </w:r>
    </w:p>
    <w:p w14:paraId="6EC86553" w14:textId="77777777" w:rsidR="00A504B7" w:rsidRDefault="00A504B7">
      <w:pPr>
        <w:pStyle w:val="afb"/>
        <w:ind w:firstLine="422"/>
        <w:jc w:val="center"/>
        <w:rPr>
          <w:rFonts w:ascii="Times New Roman"/>
          <w:b/>
          <w:bCs/>
        </w:rPr>
      </w:pPr>
    </w:p>
    <w:p w14:paraId="18E41179" w14:textId="77777777" w:rsidR="00A504B7" w:rsidRDefault="00000000">
      <w:pPr>
        <w:pStyle w:val="a"/>
        <w:rPr>
          <w:rFonts w:ascii="Times New Roman"/>
        </w:rPr>
      </w:pPr>
      <w:r>
        <w:rPr>
          <w:rFonts w:ascii="Times New Roman"/>
        </w:rPr>
        <w:t>范围</w:t>
      </w:r>
    </w:p>
    <w:p w14:paraId="007F0D3A" w14:textId="77777777" w:rsidR="00A504B7" w:rsidRDefault="00000000">
      <w:pPr>
        <w:pStyle w:val="afb"/>
        <w:rPr>
          <w:rFonts w:ascii="Times New Roman" w:eastAsiaTheme="minorEastAsia" w:cstheme="minorEastAsia"/>
        </w:rPr>
      </w:pPr>
      <w:r>
        <w:rPr>
          <w:rFonts w:ascii="Times New Roman" w:eastAsiaTheme="minorEastAsia" w:cstheme="minorEastAsia" w:hint="eastAsia"/>
        </w:rPr>
        <w:t>本标准规定了团体膳食加工场所、供餐场所的场所与布局、设施与设备，以及团体膳食加工、贮存、配送、供应等环节的食品安全基本要求和管理准则。</w:t>
      </w:r>
    </w:p>
    <w:p w14:paraId="252B1B60" w14:textId="77777777" w:rsidR="00A504B7" w:rsidRDefault="00000000">
      <w:pPr>
        <w:pStyle w:val="afb"/>
        <w:rPr>
          <w:rFonts w:ascii="Times New Roman" w:eastAsiaTheme="minorEastAsia" w:cstheme="minorEastAsia"/>
        </w:rPr>
      </w:pPr>
      <w:r>
        <w:rPr>
          <w:rFonts w:ascii="Times New Roman" w:eastAsiaTheme="minorEastAsia" w:cstheme="minorEastAsia" w:hint="eastAsia"/>
        </w:rPr>
        <w:t>本标准适用于餐饮服务经营者从事的团体膳食外卖服务活动。</w:t>
      </w:r>
    </w:p>
    <w:p w14:paraId="01C5F949" w14:textId="77777777" w:rsidR="00A504B7" w:rsidRDefault="00000000">
      <w:pPr>
        <w:pStyle w:val="a"/>
        <w:rPr>
          <w:rFonts w:ascii="Times New Roman" w:eastAsiaTheme="majorEastAsia" w:cstheme="majorEastAsia"/>
          <w:b/>
          <w:bCs/>
        </w:rPr>
      </w:pPr>
      <w:r>
        <w:rPr>
          <w:rFonts w:ascii="Times New Roman"/>
        </w:rPr>
        <w:t>术语和定义</w:t>
      </w:r>
    </w:p>
    <w:p w14:paraId="22F92878" w14:textId="77777777" w:rsidR="00A504B7" w:rsidRDefault="00000000">
      <w:pPr>
        <w:pStyle w:val="a0"/>
        <w:ind w:left="0"/>
        <w:rPr>
          <w:rFonts w:ascii="Times New Roman"/>
        </w:rPr>
      </w:pPr>
      <w:r>
        <w:rPr>
          <w:rFonts w:ascii="Times New Roman" w:hint="eastAsia"/>
        </w:rPr>
        <w:t>团体膳食外卖</w:t>
      </w:r>
    </w:p>
    <w:p w14:paraId="4B92559B" w14:textId="77777777" w:rsidR="00A504B7" w:rsidRDefault="00000000">
      <w:pPr>
        <w:pStyle w:val="afb"/>
        <w:rPr>
          <w:rFonts w:ascii="Times New Roman" w:eastAsiaTheme="minorEastAsia" w:cstheme="minorEastAsia"/>
        </w:rPr>
      </w:pPr>
      <w:r>
        <w:rPr>
          <w:rFonts w:ascii="Times New Roman" w:eastAsiaTheme="minorEastAsia" w:cstheme="minorEastAsia" w:hint="eastAsia"/>
        </w:rPr>
        <w:t>根据团体膳食用餐者的临时订购需求，餐饮服务经营者在其加工场所集中加工膳食半成品或成品后，集中配送到团体膳食供餐场所供应的餐饮经营方式。</w:t>
      </w:r>
    </w:p>
    <w:p w14:paraId="47EAF183" w14:textId="77777777" w:rsidR="00A504B7" w:rsidRDefault="00000000">
      <w:pPr>
        <w:pStyle w:val="a0"/>
        <w:ind w:left="0"/>
        <w:rPr>
          <w:rFonts w:ascii="Times New Roman"/>
        </w:rPr>
      </w:pPr>
      <w:r>
        <w:rPr>
          <w:rFonts w:ascii="Times New Roman" w:hint="eastAsia"/>
        </w:rPr>
        <w:t>团体膳食加工场所</w:t>
      </w:r>
    </w:p>
    <w:p w14:paraId="1B401ACA" w14:textId="120261AE" w:rsidR="00A504B7" w:rsidRDefault="00000000">
      <w:pPr>
        <w:pStyle w:val="a9"/>
        <w:spacing w:before="163" w:line="381" w:lineRule="exact"/>
        <w:ind w:firstLineChars="200" w:firstLine="420"/>
        <w:rPr>
          <w:rFonts w:ascii="Times New Roman" w:eastAsiaTheme="minorEastAsia" w:hAnsi="Times New Roman" w:cstheme="minorEastAsia"/>
          <w:color w:val="auto"/>
          <w:sz w:val="21"/>
          <w:szCs w:val="20"/>
          <w:lang w:eastAsia="zh-CN"/>
        </w:rPr>
      </w:pPr>
      <w:r>
        <w:rPr>
          <w:rFonts w:ascii="Times New Roman" w:eastAsiaTheme="minorEastAsia" w:hAnsi="Times New Roman" w:cstheme="minorEastAsia" w:hint="eastAsia"/>
          <w:color w:val="auto"/>
          <w:sz w:val="21"/>
          <w:szCs w:val="20"/>
          <w:lang w:eastAsia="zh-CN"/>
        </w:rPr>
        <w:t>团体膳食外卖经营者用于集中进行食品原料、半成品和成品的加工、制作、分装及配送活动的场所。</w:t>
      </w:r>
    </w:p>
    <w:p w14:paraId="055075F4" w14:textId="77777777" w:rsidR="00A504B7" w:rsidRDefault="00000000">
      <w:pPr>
        <w:pStyle w:val="a0"/>
        <w:ind w:left="0"/>
        <w:rPr>
          <w:rFonts w:ascii="Times New Roman"/>
        </w:rPr>
      </w:pPr>
      <w:r>
        <w:rPr>
          <w:rFonts w:ascii="Times New Roman" w:hint="eastAsia"/>
        </w:rPr>
        <w:t>团体膳食供餐场所</w:t>
      </w:r>
    </w:p>
    <w:p w14:paraId="7AC9B873" w14:textId="77777777" w:rsidR="00A504B7" w:rsidRDefault="00000000">
      <w:pPr>
        <w:pStyle w:val="a9"/>
        <w:spacing w:before="163" w:line="381" w:lineRule="exact"/>
        <w:ind w:firstLineChars="200" w:firstLine="420"/>
        <w:rPr>
          <w:rFonts w:ascii="Times New Roman" w:eastAsiaTheme="minorEastAsia" w:hAnsi="Times New Roman" w:cstheme="minorEastAsia"/>
          <w:color w:val="auto"/>
          <w:sz w:val="21"/>
          <w:szCs w:val="20"/>
          <w:lang w:eastAsia="zh-CN"/>
        </w:rPr>
      </w:pPr>
      <w:r>
        <w:rPr>
          <w:rFonts w:ascii="Times New Roman" w:eastAsiaTheme="minorEastAsia" w:hAnsi="Times New Roman" w:cstheme="minorEastAsia" w:hint="eastAsia"/>
          <w:color w:val="auto"/>
          <w:sz w:val="21"/>
          <w:szCs w:val="20"/>
          <w:lang w:eastAsia="zh-CN"/>
        </w:rPr>
        <w:t>由团体膳食用餐者设立或指定的，</w:t>
      </w:r>
      <w:proofErr w:type="gramStart"/>
      <w:r>
        <w:rPr>
          <w:rFonts w:ascii="Times New Roman" w:eastAsiaTheme="minorEastAsia" w:hAnsi="Times New Roman" w:cstheme="minorEastAsia" w:hint="eastAsia"/>
          <w:color w:val="auto"/>
          <w:sz w:val="21"/>
          <w:szCs w:val="20"/>
          <w:lang w:eastAsia="zh-CN"/>
        </w:rPr>
        <w:t>供团体</w:t>
      </w:r>
      <w:proofErr w:type="gramEnd"/>
      <w:r>
        <w:rPr>
          <w:rFonts w:ascii="Times New Roman" w:eastAsiaTheme="minorEastAsia" w:hAnsi="Times New Roman" w:cstheme="minorEastAsia" w:hint="eastAsia"/>
          <w:color w:val="auto"/>
          <w:sz w:val="21"/>
          <w:szCs w:val="20"/>
          <w:lang w:eastAsia="zh-CN"/>
        </w:rPr>
        <w:t>膳食外卖经营者现场加工供应或直接供应团体膳食的场所。</w:t>
      </w:r>
    </w:p>
    <w:p w14:paraId="27B6176E" w14:textId="77777777" w:rsidR="00A504B7" w:rsidRDefault="00000000">
      <w:pPr>
        <w:pStyle w:val="a0"/>
        <w:ind w:left="0"/>
        <w:rPr>
          <w:rFonts w:ascii="Times New Roman"/>
        </w:rPr>
      </w:pPr>
      <w:r>
        <w:rPr>
          <w:rFonts w:ascii="Times New Roman" w:hint="eastAsia"/>
        </w:rPr>
        <w:t>热食类食品</w:t>
      </w:r>
    </w:p>
    <w:p w14:paraId="0FAD8FFC" w14:textId="77777777" w:rsidR="00A504B7" w:rsidRDefault="00000000">
      <w:pPr>
        <w:pStyle w:val="afb"/>
        <w:rPr>
          <w:rFonts w:ascii="Times New Roman" w:eastAsiaTheme="minorEastAsia" w:cstheme="minorEastAsia"/>
        </w:rPr>
      </w:pPr>
      <w:r>
        <w:rPr>
          <w:rFonts w:ascii="Times New Roman" w:eastAsiaTheme="minorEastAsia" w:cstheme="minorEastAsia" w:hint="eastAsia"/>
        </w:rPr>
        <w:t>食品原料经过粗加工、</w:t>
      </w:r>
      <w:proofErr w:type="gramStart"/>
      <w:r>
        <w:rPr>
          <w:rFonts w:ascii="Times New Roman" w:eastAsiaTheme="minorEastAsia" w:cstheme="minorEastAsia" w:hint="eastAsia"/>
        </w:rPr>
        <w:t>切配并经过</w:t>
      </w:r>
      <w:proofErr w:type="gramEnd"/>
      <w:r>
        <w:rPr>
          <w:rFonts w:ascii="Times New Roman" w:eastAsiaTheme="minorEastAsia" w:cstheme="minorEastAsia" w:hint="eastAsia"/>
        </w:rPr>
        <w:t>蒸、煮、烹、煎、炒、烤、炸、焙烤等烹饪工艺制作的即食食品，含热加工糕点、汉堡，以及火锅和烧烤等烹饪方式加工而成的食品等。</w:t>
      </w:r>
    </w:p>
    <w:p w14:paraId="107972CB" w14:textId="77777777" w:rsidR="00A504B7" w:rsidRDefault="00000000">
      <w:pPr>
        <w:pStyle w:val="a0"/>
        <w:ind w:left="0"/>
        <w:rPr>
          <w:rFonts w:ascii="Times New Roman"/>
        </w:rPr>
      </w:pPr>
      <w:r>
        <w:rPr>
          <w:rFonts w:ascii="Times New Roman" w:hint="eastAsia"/>
        </w:rPr>
        <w:t>冷食类食品</w:t>
      </w:r>
    </w:p>
    <w:p w14:paraId="1E358AB9" w14:textId="77777777" w:rsidR="00A504B7" w:rsidRDefault="00000000">
      <w:pPr>
        <w:pStyle w:val="afb"/>
        <w:rPr>
          <w:rFonts w:ascii="Times New Roman" w:eastAsiaTheme="minorEastAsia" w:cstheme="minorEastAsia"/>
        </w:rPr>
      </w:pPr>
      <w:r>
        <w:rPr>
          <w:rFonts w:ascii="Times New Roman" w:eastAsiaTheme="minorEastAsia" w:cstheme="minorEastAsia" w:hint="eastAsia"/>
        </w:rPr>
        <w:t>最后一道工艺是在常温或者低温条件下进行的，包括解冻、切配、调制等过程，加工后在常温或者低温条件下即可食用的食品，含生食瓜果蔬菜、腌菜、冷加工糕点、冷荤类食品等。</w:t>
      </w:r>
    </w:p>
    <w:p w14:paraId="07179ECC" w14:textId="006A0BA2" w:rsidR="00A504B7" w:rsidRDefault="00000000">
      <w:pPr>
        <w:pStyle w:val="a"/>
        <w:rPr>
          <w:rFonts w:ascii="Times New Roman" w:eastAsiaTheme="minorEastAsia" w:cstheme="minorEastAsia"/>
        </w:rPr>
      </w:pPr>
      <w:r>
        <w:rPr>
          <w:rFonts w:ascii="Times New Roman" w:hint="eastAsia"/>
        </w:rPr>
        <w:t>团体膳食加工场所及食品安全控制</w:t>
      </w:r>
    </w:p>
    <w:p w14:paraId="3033A571" w14:textId="77777777" w:rsidR="00A504B7" w:rsidRDefault="00000000">
      <w:pPr>
        <w:pStyle w:val="a0"/>
        <w:ind w:left="0"/>
        <w:rPr>
          <w:rFonts w:ascii="Times New Roman"/>
        </w:rPr>
      </w:pPr>
      <w:r>
        <w:rPr>
          <w:rFonts w:ascii="Times New Roman" w:hint="eastAsia"/>
        </w:rPr>
        <w:t>场所</w:t>
      </w:r>
      <w:bookmarkStart w:id="6" w:name="_Hlk166676535"/>
      <w:r>
        <w:rPr>
          <w:rFonts w:ascii="Times New Roman" w:hint="eastAsia"/>
        </w:rPr>
        <w:t>与布局</w:t>
      </w:r>
    </w:p>
    <w:p w14:paraId="485EB5C5" w14:textId="77777777" w:rsidR="00A504B7" w:rsidRDefault="00000000">
      <w:pPr>
        <w:pStyle w:val="a1"/>
        <w:spacing w:before="156" w:after="156"/>
        <w:ind w:left="0"/>
        <w:rPr>
          <w:rFonts w:ascii="Times New Roman" w:eastAsiaTheme="minorEastAsia" w:cstheme="minorEastAsia"/>
        </w:rPr>
      </w:pPr>
      <w:r>
        <w:rPr>
          <w:rFonts w:ascii="Times New Roman" w:eastAsia="宋体" w:cs="宋体" w:hint="eastAsia"/>
        </w:rPr>
        <w:t>应符合</w:t>
      </w:r>
      <w:r>
        <w:rPr>
          <w:rFonts w:ascii="Times New Roman" w:eastAsia="宋体" w:cs="宋体" w:hint="eastAsia"/>
        </w:rPr>
        <w:t>GB 31654</w:t>
      </w:r>
      <w:r>
        <w:rPr>
          <w:rFonts w:ascii="Times New Roman" w:eastAsia="宋体" w:cs="宋体" w:hint="eastAsia"/>
        </w:rPr>
        <w:t>的规定</w:t>
      </w:r>
      <w:bookmarkEnd w:id="6"/>
      <w:r>
        <w:rPr>
          <w:rFonts w:ascii="Times New Roman" w:eastAsia="宋体" w:cs="宋体" w:hint="eastAsia"/>
        </w:rPr>
        <w:t>。</w:t>
      </w:r>
    </w:p>
    <w:p w14:paraId="7470189C"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加工场所应至少满足</w:t>
      </w:r>
      <w:r>
        <w:rPr>
          <w:rFonts w:ascii="Times New Roman" w:eastAsiaTheme="minorEastAsia"/>
        </w:rPr>
        <w:t>200</w:t>
      </w:r>
      <w:r>
        <w:rPr>
          <w:rFonts w:ascii="Times New Roman" w:eastAsiaTheme="minorEastAsia" w:cstheme="minorEastAsia" w:hint="eastAsia"/>
        </w:rPr>
        <w:t>人份以上团体膳食加工条件，经营场所使用面积应≥</w:t>
      </w:r>
      <w:r>
        <w:rPr>
          <w:rFonts w:ascii="Times New Roman" w:eastAsiaTheme="minorEastAsia"/>
        </w:rPr>
        <w:t>500m</w:t>
      </w:r>
      <w:r>
        <w:rPr>
          <w:rFonts w:ascii="Times New Roman" w:eastAsiaTheme="minorEastAsia"/>
          <w:vertAlign w:val="superscript"/>
        </w:rPr>
        <w:t>2</w:t>
      </w:r>
      <w:r>
        <w:rPr>
          <w:rFonts w:ascii="Times New Roman" w:eastAsiaTheme="minorEastAsia" w:cstheme="minorEastAsia" w:hint="eastAsia"/>
        </w:rPr>
        <w:t>。</w:t>
      </w:r>
    </w:p>
    <w:p w14:paraId="0B6D14E8"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hint="eastAsia"/>
          <w:kern w:val="2"/>
          <w:szCs w:val="30"/>
        </w:rPr>
        <w:t>应</w:t>
      </w:r>
      <w:r>
        <w:rPr>
          <w:rFonts w:ascii="Times New Roman" w:eastAsiaTheme="minorEastAsia" w:cstheme="minorEastAsia" w:hint="eastAsia"/>
        </w:rPr>
        <w:t>设置待配送食品分装、暂存专间（专区）。</w:t>
      </w:r>
    </w:p>
    <w:p w14:paraId="72C7C20C"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lastRenderedPageBreak/>
        <w:t>加工冷食类食品的，应设置制作专间，专间面积≥</w:t>
      </w:r>
      <w:r>
        <w:rPr>
          <w:rFonts w:ascii="Times New Roman" w:eastAsiaTheme="minorEastAsia"/>
        </w:rPr>
        <w:t>5m</w:t>
      </w:r>
      <w:r>
        <w:rPr>
          <w:rFonts w:ascii="Times New Roman" w:eastAsiaTheme="minorEastAsia"/>
          <w:vertAlign w:val="superscript"/>
        </w:rPr>
        <w:t>2</w:t>
      </w:r>
      <w:r>
        <w:rPr>
          <w:rFonts w:ascii="Times New Roman" w:eastAsiaTheme="minorEastAsia" w:cstheme="minorEastAsia" w:hint="eastAsia"/>
        </w:rPr>
        <w:t>，且应与供餐品种和数量相适应。</w:t>
      </w:r>
    </w:p>
    <w:p w14:paraId="746C4848"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加工团体膳食期间，加工场所应专用。</w:t>
      </w:r>
    </w:p>
    <w:p w14:paraId="791DF128" w14:textId="77777777" w:rsidR="00A504B7" w:rsidRDefault="00000000">
      <w:pPr>
        <w:pStyle w:val="a0"/>
        <w:ind w:left="0"/>
        <w:rPr>
          <w:rFonts w:ascii="Times New Roman"/>
        </w:rPr>
      </w:pPr>
      <w:r>
        <w:rPr>
          <w:rFonts w:ascii="Times New Roman" w:hint="eastAsia"/>
        </w:rPr>
        <w:t>设施与设备</w:t>
      </w:r>
    </w:p>
    <w:p w14:paraId="0CB9873E" w14:textId="77777777" w:rsidR="00A504B7" w:rsidRDefault="00000000">
      <w:pPr>
        <w:pStyle w:val="a1"/>
        <w:spacing w:before="156" w:after="156"/>
        <w:ind w:left="0"/>
        <w:rPr>
          <w:rFonts w:ascii="Times New Roman" w:eastAsia="宋体" w:cs="宋体"/>
        </w:rPr>
      </w:pPr>
      <w:r>
        <w:rPr>
          <w:rFonts w:ascii="Times New Roman" w:eastAsia="宋体" w:cs="宋体" w:hint="eastAsia"/>
        </w:rPr>
        <w:t>应符合</w:t>
      </w:r>
      <w:r>
        <w:rPr>
          <w:rFonts w:ascii="Times New Roman" w:eastAsia="宋体" w:cs="宋体"/>
        </w:rPr>
        <w:t>GB 31654</w:t>
      </w:r>
      <w:r>
        <w:rPr>
          <w:rFonts w:ascii="Times New Roman" w:eastAsia="宋体" w:cs="宋体" w:hint="eastAsia"/>
        </w:rPr>
        <w:t>的规定。</w:t>
      </w:r>
    </w:p>
    <w:p w14:paraId="448604CE" w14:textId="77777777" w:rsidR="00A504B7" w:rsidRDefault="00000000">
      <w:pPr>
        <w:pStyle w:val="a1"/>
        <w:spacing w:before="156" w:after="156"/>
        <w:ind w:left="0"/>
        <w:rPr>
          <w:rFonts w:ascii="Times New Roman" w:eastAsia="宋体" w:cs="宋体"/>
        </w:rPr>
      </w:pPr>
      <w:r>
        <w:rPr>
          <w:rFonts w:ascii="Times New Roman" w:eastAsia="宋体" w:cs="宋体" w:hint="eastAsia"/>
        </w:rPr>
        <w:t>冷食类食品的分装、分切等操作应设置专间。专间水龙头应采用非手动式。</w:t>
      </w:r>
    </w:p>
    <w:p w14:paraId="64731DEA" w14:textId="77777777" w:rsidR="00A504B7" w:rsidRDefault="00000000">
      <w:pPr>
        <w:pStyle w:val="a1"/>
        <w:spacing w:before="156" w:after="156"/>
        <w:ind w:left="0"/>
        <w:rPr>
          <w:rFonts w:ascii="Times New Roman" w:eastAsia="宋体" w:cs="宋体"/>
        </w:rPr>
      </w:pPr>
      <w:r>
        <w:rPr>
          <w:rFonts w:ascii="Times New Roman" w:eastAsia="宋体" w:cs="宋体" w:hint="eastAsia"/>
        </w:rPr>
        <w:t>采用冷链工艺实施配送的，应配备食品快速冷却设备或设施。食品快速冷却设备的数量、容量及其技术参数应符合团体膳食的品种和数量，且满足</w:t>
      </w:r>
      <w:r>
        <w:rPr>
          <w:rFonts w:ascii="Times New Roman" w:eastAsia="宋体" w:cs="宋体"/>
        </w:rPr>
        <w:t>200</w:t>
      </w:r>
      <w:r>
        <w:rPr>
          <w:rFonts w:ascii="Times New Roman" w:eastAsia="宋体" w:cs="宋体" w:hint="eastAsia"/>
        </w:rPr>
        <w:t>人份以上团体膳食加工供应的要求，确保食品安全。</w:t>
      </w:r>
    </w:p>
    <w:p w14:paraId="2F4F73FF" w14:textId="77777777" w:rsidR="00A504B7" w:rsidRDefault="00000000">
      <w:pPr>
        <w:pStyle w:val="a1"/>
        <w:spacing w:before="156" w:after="156"/>
        <w:ind w:left="0"/>
        <w:rPr>
          <w:rFonts w:ascii="Times New Roman" w:eastAsia="宋体" w:cs="宋体"/>
        </w:rPr>
      </w:pPr>
      <w:r>
        <w:rPr>
          <w:rFonts w:ascii="Times New Roman" w:eastAsia="宋体" w:cs="宋体" w:hint="eastAsia"/>
        </w:rPr>
        <w:t>采用冷却专</w:t>
      </w:r>
      <w:proofErr w:type="gramStart"/>
      <w:r>
        <w:rPr>
          <w:rFonts w:ascii="Times New Roman" w:eastAsia="宋体" w:cs="宋体" w:hint="eastAsia"/>
        </w:rPr>
        <w:t>间方式</w:t>
      </w:r>
      <w:proofErr w:type="gramEnd"/>
      <w:r>
        <w:rPr>
          <w:rFonts w:ascii="Times New Roman" w:eastAsia="宋体" w:cs="宋体" w:hint="eastAsia"/>
        </w:rPr>
        <w:t>冷却的，冷却专间应配备紫外线消毒灯、温度指示装置等设施。</w:t>
      </w:r>
    </w:p>
    <w:p w14:paraId="1621DD40" w14:textId="77777777" w:rsidR="00A504B7" w:rsidRDefault="00000000">
      <w:pPr>
        <w:pStyle w:val="a1"/>
        <w:spacing w:before="156" w:after="156"/>
        <w:ind w:left="0"/>
        <w:rPr>
          <w:rFonts w:ascii="Times New Roman" w:eastAsia="宋体"/>
        </w:rPr>
      </w:pPr>
      <w:r>
        <w:rPr>
          <w:rFonts w:ascii="Times New Roman" w:eastAsia="宋体" w:cs="宋体" w:hint="eastAsia"/>
        </w:rPr>
        <w:t>供应热食类食品的，应配备膳食加热保温设备。</w:t>
      </w:r>
    </w:p>
    <w:p w14:paraId="2C318B09"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t>自动清洗消毒设备应配备温度显示和清洗消毒剂自动添加装置。装置应定期校验。</w:t>
      </w:r>
    </w:p>
    <w:p w14:paraId="03AFA73F" w14:textId="77777777" w:rsidR="00A504B7" w:rsidRDefault="00000000">
      <w:pPr>
        <w:pStyle w:val="a0"/>
        <w:ind w:left="0"/>
        <w:rPr>
          <w:rFonts w:ascii="Times New Roman" w:eastAsia="宋体" w:cs="宋体"/>
          <w:b/>
          <w:bCs/>
        </w:rPr>
      </w:pPr>
      <w:r>
        <w:rPr>
          <w:rFonts w:ascii="Times New Roman" w:hint="eastAsia"/>
        </w:rPr>
        <w:t>加工过程的食品安全控制</w:t>
      </w:r>
    </w:p>
    <w:p w14:paraId="04AFE09A" w14:textId="77777777" w:rsidR="00A504B7" w:rsidRDefault="00000000">
      <w:pPr>
        <w:pStyle w:val="a1"/>
        <w:spacing w:before="156" w:after="156"/>
        <w:ind w:left="0"/>
        <w:rPr>
          <w:rFonts w:ascii="Times New Roman" w:eastAsia="宋体" w:cs="宋体"/>
        </w:rPr>
      </w:pPr>
      <w:r>
        <w:rPr>
          <w:rFonts w:ascii="Times New Roman" w:eastAsia="宋体" w:cs="宋体" w:hint="eastAsia"/>
        </w:rPr>
        <w:t>原料的采购、运输、验收与贮存应符合</w:t>
      </w:r>
      <w:r>
        <w:rPr>
          <w:rFonts w:ascii="Times New Roman" w:eastAsia="宋体" w:cs="宋体" w:hint="eastAsia"/>
        </w:rPr>
        <w:t>GB 31654</w:t>
      </w:r>
      <w:r>
        <w:rPr>
          <w:rFonts w:ascii="Times New Roman" w:eastAsia="宋体" w:cs="宋体" w:hint="eastAsia"/>
        </w:rPr>
        <w:t>的规定。</w:t>
      </w:r>
    </w:p>
    <w:p w14:paraId="6A4816B6" w14:textId="77777777" w:rsidR="00A504B7" w:rsidRDefault="00000000">
      <w:pPr>
        <w:pStyle w:val="a1"/>
        <w:spacing w:before="156" w:after="156"/>
        <w:ind w:left="0"/>
        <w:rPr>
          <w:rFonts w:asciiTheme="minorEastAsia" w:eastAsiaTheme="minorEastAsia" w:hAnsiTheme="minorEastAsia" w:hint="eastAsia"/>
        </w:rPr>
      </w:pPr>
      <w:r>
        <w:rPr>
          <w:rFonts w:ascii="Times New Roman" w:eastAsia="宋体" w:cs="宋体" w:hint="eastAsia"/>
        </w:rPr>
        <w:t>加工过程的食品安全控制应符合</w:t>
      </w:r>
      <w:r>
        <w:rPr>
          <w:rFonts w:ascii="Times New Roman" w:eastAsia="宋体" w:cs="宋体" w:hint="eastAsia"/>
        </w:rPr>
        <w:t>GB 31654</w:t>
      </w:r>
      <w:r>
        <w:rPr>
          <w:rFonts w:ascii="Times New Roman" w:eastAsia="宋体" w:cs="宋体" w:hint="eastAsia"/>
        </w:rPr>
        <w:t>的规定。</w:t>
      </w:r>
    </w:p>
    <w:p w14:paraId="6A9C28BE" w14:textId="1AD8CB64"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存放即食食品与非即食食品的容器应</w:t>
      </w:r>
      <w:r w:rsidR="00E94059">
        <w:rPr>
          <w:rFonts w:asciiTheme="minorEastAsia" w:eastAsiaTheme="minorEastAsia" w:hAnsiTheme="minorEastAsia" w:hint="eastAsia"/>
        </w:rPr>
        <w:t>以</w:t>
      </w:r>
      <w:r>
        <w:rPr>
          <w:rFonts w:asciiTheme="minorEastAsia" w:eastAsiaTheme="minorEastAsia" w:hAnsiTheme="minorEastAsia" w:hint="eastAsia"/>
        </w:rPr>
        <w:t>醒目标记等方式加以区分，避免受到污染。</w:t>
      </w:r>
    </w:p>
    <w:p w14:paraId="03D3FF0F" w14:textId="77777777" w:rsidR="00A504B7" w:rsidRDefault="00000000">
      <w:pPr>
        <w:pStyle w:val="a1"/>
        <w:spacing w:before="156" w:after="156"/>
        <w:ind w:left="0"/>
        <w:rPr>
          <w:rFonts w:asciiTheme="minorEastAsia" w:eastAsiaTheme="minorEastAsia" w:hAnsiTheme="minorEastAsia" w:hint="eastAsia"/>
        </w:rPr>
      </w:pPr>
      <w:r>
        <w:rPr>
          <w:rFonts w:ascii="Times New Roman" w:eastAsiaTheme="minorEastAsia" w:cstheme="minorEastAsia" w:hint="eastAsia"/>
        </w:rPr>
        <w:t>餐用具及保温箱使用后应及时清洗，定位存放，保持清洁。</w:t>
      </w:r>
    </w:p>
    <w:p w14:paraId="76EC837D"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cs="宋体" w:hint="eastAsia"/>
        </w:rPr>
        <w:t>生食</w:t>
      </w:r>
      <w:r>
        <w:rPr>
          <w:rFonts w:asciiTheme="minorEastAsia" w:eastAsiaTheme="minorEastAsia" w:hAnsiTheme="minorEastAsia" w:hint="eastAsia"/>
        </w:rPr>
        <w:t>果蔬的消毒、浸泡或冲淋减少消毒剂残留、沥水和包装应在专间内进行。</w:t>
      </w:r>
    </w:p>
    <w:p w14:paraId="6A7D5695"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消毒后的生食</w:t>
      </w:r>
      <w:proofErr w:type="gramStart"/>
      <w:r>
        <w:rPr>
          <w:rFonts w:asciiTheme="minorEastAsia" w:eastAsiaTheme="minorEastAsia" w:hAnsiTheme="minorEastAsia" w:hint="eastAsia"/>
        </w:rPr>
        <w:t>果蔬应采用</w:t>
      </w:r>
      <w:proofErr w:type="gramEnd"/>
      <w:r>
        <w:rPr>
          <w:rFonts w:asciiTheme="minorEastAsia" w:eastAsiaTheme="minorEastAsia" w:hAnsiTheme="minorEastAsia" w:hint="eastAsia"/>
        </w:rPr>
        <w:t>符合相关规定的饮用水浸泡或冲淋，沥水后采用密闭保洁包装，防止二次污染。</w:t>
      </w:r>
    </w:p>
    <w:p w14:paraId="656F7BDA"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烹饪后的成品、半成品应与食品原料分开存放。</w:t>
      </w:r>
    </w:p>
    <w:p w14:paraId="00EF3F5A"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热加工处理的易腐食品需要冷冻（藏）的，应在</w:t>
      </w:r>
      <w:r>
        <w:rPr>
          <w:rFonts w:asciiTheme="minorEastAsia" w:eastAsiaTheme="minorEastAsia" w:hAnsiTheme="minorEastAsia"/>
        </w:rPr>
        <w:t>2h</w:t>
      </w:r>
      <w:r>
        <w:rPr>
          <w:rFonts w:asciiTheme="minorEastAsia" w:eastAsiaTheme="minorEastAsia" w:hAnsiTheme="minorEastAsia" w:hint="eastAsia"/>
        </w:rPr>
        <w:t>内将食品中心温度降至</w:t>
      </w:r>
      <w:r>
        <w:rPr>
          <w:rFonts w:asciiTheme="minorEastAsia" w:eastAsiaTheme="minorEastAsia" w:hAnsiTheme="minorEastAsia"/>
        </w:rPr>
        <w:t>10℃</w:t>
      </w:r>
      <w:r>
        <w:rPr>
          <w:rFonts w:asciiTheme="minorEastAsia" w:eastAsiaTheme="minorEastAsia" w:hAnsiTheme="minorEastAsia" w:hint="eastAsia"/>
        </w:rPr>
        <w:t>以下，并及时测量每批冷却</w:t>
      </w:r>
      <w:proofErr w:type="gramStart"/>
      <w:r>
        <w:rPr>
          <w:rFonts w:asciiTheme="minorEastAsia" w:eastAsiaTheme="minorEastAsia" w:hAnsiTheme="minorEastAsia" w:hint="eastAsia"/>
        </w:rPr>
        <w:t>后食品</w:t>
      </w:r>
      <w:proofErr w:type="gramEnd"/>
      <w:r>
        <w:rPr>
          <w:rFonts w:asciiTheme="minorEastAsia" w:eastAsiaTheme="minorEastAsia" w:hAnsiTheme="minorEastAsia" w:hint="eastAsia"/>
        </w:rPr>
        <w:t>的中心温度，未达到要求的，不得使用。</w:t>
      </w:r>
    </w:p>
    <w:p w14:paraId="755E1B69"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食品</w:t>
      </w:r>
      <w:r>
        <w:rPr>
          <w:rFonts w:asciiTheme="minorEastAsia" w:eastAsiaTheme="minorEastAsia" w:hAnsiTheme="minorEastAsia"/>
        </w:rPr>
        <w:t>应在快速冷却设备或冷却专间进行冷却，并在其盛放容器上标注加工制作时间。</w:t>
      </w:r>
      <w:r>
        <w:rPr>
          <w:rFonts w:asciiTheme="minorEastAsia" w:eastAsiaTheme="minorEastAsia" w:hAnsiTheme="minorEastAsia" w:hint="eastAsia"/>
        </w:rPr>
        <w:t>冷却即食食品的</w:t>
      </w:r>
      <w:r>
        <w:rPr>
          <w:rFonts w:asciiTheme="minorEastAsia" w:eastAsiaTheme="minorEastAsia" w:hAnsiTheme="minorEastAsia"/>
        </w:rPr>
        <w:t>快速冷却设备或冷却专间不得用于冷却热加工半成品。</w:t>
      </w:r>
    </w:p>
    <w:p w14:paraId="364E826F"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进入专间内的操作人员应穿戴与其他场所有明显区分标识的清洁工作衣帽和一次性口罩。</w:t>
      </w:r>
    </w:p>
    <w:p w14:paraId="7CEEA1EE" w14:textId="77777777" w:rsidR="00A504B7" w:rsidRDefault="00000000">
      <w:pPr>
        <w:pStyle w:val="a1"/>
        <w:spacing w:before="156" w:after="156"/>
        <w:ind w:left="0"/>
        <w:rPr>
          <w:rFonts w:asciiTheme="minorEastAsia" w:eastAsiaTheme="minorEastAsia" w:hAnsiTheme="minorEastAsia" w:hint="eastAsia"/>
        </w:rPr>
      </w:pPr>
      <w:r>
        <w:rPr>
          <w:rFonts w:asciiTheme="minorEastAsia" w:eastAsiaTheme="minorEastAsia" w:hAnsiTheme="minorEastAsia" w:hint="eastAsia"/>
        </w:rPr>
        <w:t>专间在每次使用前应进行空气、货架和操作台面的消毒。使用紫外线消毒的开启时间应≥</w:t>
      </w:r>
      <w:r>
        <w:rPr>
          <w:rFonts w:asciiTheme="minorEastAsia" w:eastAsiaTheme="minorEastAsia" w:hAnsiTheme="minorEastAsia"/>
        </w:rPr>
        <w:t>30min</w:t>
      </w:r>
      <w:r>
        <w:rPr>
          <w:rFonts w:asciiTheme="minorEastAsia" w:eastAsiaTheme="minorEastAsia" w:hAnsiTheme="minorEastAsia" w:hint="eastAsia"/>
        </w:rPr>
        <w:t>。</w:t>
      </w:r>
    </w:p>
    <w:p w14:paraId="69C71DD8" w14:textId="77777777" w:rsidR="00A504B7" w:rsidRDefault="00000000">
      <w:pPr>
        <w:pStyle w:val="a0"/>
        <w:ind w:left="0"/>
        <w:rPr>
          <w:rFonts w:ascii="Times New Roman" w:eastAsiaTheme="minorEastAsia" w:cstheme="minorEastAsia"/>
        </w:rPr>
      </w:pPr>
      <w:r>
        <w:rPr>
          <w:rFonts w:ascii="Times New Roman" w:hint="eastAsia"/>
        </w:rPr>
        <w:t>供餐方式和品种控制</w:t>
      </w:r>
    </w:p>
    <w:p w14:paraId="16D0E760"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餐饮服务经营者应根据团体膳食供餐场所的条件，选择适当的供餐方式（自助餐、桌餐、每人份餐等）和膳食类别（热食类食品、冷食类食品、预包装食品等）。严格控制高风险食品品种（改刀熟食、冷加工糕点、即食果蔬），气温超过</w:t>
      </w:r>
      <w:r>
        <w:rPr>
          <w:rFonts w:ascii="Times New Roman" w:eastAsiaTheme="minorEastAsia" w:cstheme="minorEastAsia" w:hint="eastAsia"/>
        </w:rPr>
        <w:t>35</w:t>
      </w:r>
      <w:r>
        <w:rPr>
          <w:rFonts w:ascii="宋体" w:eastAsia="宋体" w:hAnsi="宋体" w:cstheme="minorEastAsia" w:hint="eastAsia"/>
        </w:rPr>
        <w:t>℃</w:t>
      </w:r>
      <w:r>
        <w:rPr>
          <w:rFonts w:ascii="Times New Roman" w:eastAsiaTheme="minorEastAsia" w:cstheme="minorEastAsia" w:hint="eastAsia"/>
        </w:rPr>
        <w:t>不得提供高风险食品品种。</w:t>
      </w:r>
    </w:p>
    <w:p w14:paraId="674903AC"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不得加工配送国家和本市禁止生产经营的食品，以及生食类食品、四季豆和预拌色拉等。</w:t>
      </w:r>
    </w:p>
    <w:p w14:paraId="771EC75B" w14:textId="77777777" w:rsidR="00A504B7" w:rsidRDefault="00000000">
      <w:pPr>
        <w:pStyle w:val="a0"/>
        <w:ind w:left="0"/>
        <w:rPr>
          <w:rFonts w:ascii="Times New Roman"/>
        </w:rPr>
      </w:pPr>
      <w:r>
        <w:rPr>
          <w:rFonts w:ascii="Times New Roman" w:hint="eastAsia"/>
        </w:rPr>
        <w:lastRenderedPageBreak/>
        <w:t>清洁维护和废弃物管理</w:t>
      </w:r>
    </w:p>
    <w:p w14:paraId="72D2E125" w14:textId="77777777" w:rsidR="00A504B7" w:rsidRDefault="00000000">
      <w:pPr>
        <w:pStyle w:val="a0"/>
        <w:numPr>
          <w:ilvl w:val="1"/>
          <w:numId w:val="0"/>
        </w:numPr>
        <w:rPr>
          <w:rFonts w:ascii="Times New Roman" w:eastAsiaTheme="minorEastAsia" w:cstheme="minorEastAsia"/>
          <w:b/>
          <w:bCs/>
        </w:rPr>
      </w:pPr>
      <w:r>
        <w:rPr>
          <w:rFonts w:ascii="Times New Roman" w:eastAsiaTheme="minorEastAsia" w:cstheme="minorEastAsia" w:hint="eastAsia"/>
        </w:rPr>
        <w:t>应符合</w:t>
      </w:r>
      <w:r>
        <w:rPr>
          <w:rFonts w:ascii="Times New Roman" w:eastAsiaTheme="minorEastAsia"/>
        </w:rPr>
        <w:t>GB 31654</w:t>
      </w:r>
      <w:r>
        <w:rPr>
          <w:rFonts w:ascii="Times New Roman" w:eastAsiaTheme="minorEastAsia" w:cstheme="minorEastAsia" w:hint="eastAsia"/>
        </w:rPr>
        <w:t>的规定。</w:t>
      </w:r>
    </w:p>
    <w:p w14:paraId="1F1448A5" w14:textId="77777777" w:rsidR="00A504B7" w:rsidRDefault="00000000">
      <w:pPr>
        <w:pStyle w:val="a0"/>
        <w:ind w:left="0"/>
        <w:rPr>
          <w:rFonts w:ascii="Times New Roman"/>
        </w:rPr>
      </w:pPr>
      <w:r>
        <w:rPr>
          <w:rFonts w:ascii="Times New Roman" w:hint="eastAsia"/>
        </w:rPr>
        <w:t>有害生物防制</w:t>
      </w:r>
    </w:p>
    <w:p w14:paraId="6833B3B0" w14:textId="77777777" w:rsidR="00A504B7" w:rsidRDefault="00000000">
      <w:pPr>
        <w:pStyle w:val="a1"/>
        <w:numPr>
          <w:ilvl w:val="2"/>
          <w:numId w:val="0"/>
        </w:numPr>
        <w:spacing w:beforeLines="0" w:before="0" w:afterLines="0" w:after="0"/>
        <w:rPr>
          <w:rFonts w:ascii="Times New Roman" w:eastAsiaTheme="minorEastAsia" w:cstheme="minorEastAsia"/>
        </w:rPr>
      </w:pPr>
      <w:r>
        <w:rPr>
          <w:rFonts w:ascii="Times New Roman" w:eastAsiaTheme="minorEastAsia" w:cstheme="minorEastAsia" w:hint="eastAsia"/>
        </w:rPr>
        <w:t>应符合</w:t>
      </w:r>
      <w:r>
        <w:rPr>
          <w:rFonts w:ascii="Times New Roman" w:eastAsiaTheme="minorEastAsia"/>
        </w:rPr>
        <w:t>GB 31654</w:t>
      </w:r>
      <w:r>
        <w:rPr>
          <w:rFonts w:ascii="Times New Roman" w:eastAsiaTheme="minorEastAsia" w:cstheme="minorEastAsia" w:hint="eastAsia"/>
        </w:rPr>
        <w:t>的规定。</w:t>
      </w:r>
    </w:p>
    <w:p w14:paraId="2281474C" w14:textId="77777777" w:rsidR="00A504B7" w:rsidRDefault="00000000">
      <w:pPr>
        <w:pStyle w:val="a"/>
        <w:rPr>
          <w:rFonts w:ascii="Times New Roman" w:eastAsiaTheme="minorEastAsia" w:cstheme="minorEastAsia"/>
        </w:rPr>
      </w:pPr>
      <w:r>
        <w:rPr>
          <w:rFonts w:ascii="Times New Roman" w:hint="eastAsia"/>
        </w:rPr>
        <w:t>团体膳食配送及食品安全控制</w:t>
      </w:r>
    </w:p>
    <w:p w14:paraId="5498F8B6" w14:textId="77777777" w:rsidR="00A504B7" w:rsidRDefault="00000000">
      <w:pPr>
        <w:pStyle w:val="a0"/>
        <w:ind w:left="0"/>
        <w:rPr>
          <w:rFonts w:ascii="Times New Roman" w:eastAsiaTheme="minorEastAsia" w:cstheme="minorEastAsia"/>
        </w:rPr>
      </w:pPr>
      <w:r>
        <w:rPr>
          <w:rFonts w:ascii="Times New Roman" w:eastAsiaTheme="minorEastAsia" w:cstheme="minorEastAsia" w:hint="eastAsia"/>
        </w:rPr>
        <w:t>应符合</w:t>
      </w:r>
      <w:r>
        <w:rPr>
          <w:rFonts w:ascii="Times New Roman" w:eastAsiaTheme="minorEastAsia" w:cstheme="minorEastAsia"/>
        </w:rPr>
        <w:t>GB 31654</w:t>
      </w:r>
      <w:r>
        <w:rPr>
          <w:rFonts w:ascii="Times New Roman" w:eastAsiaTheme="minorEastAsia" w:cstheme="minorEastAsia" w:hint="eastAsia"/>
        </w:rPr>
        <w:t>的规定。</w:t>
      </w:r>
    </w:p>
    <w:p w14:paraId="0B8A509C" w14:textId="77777777" w:rsidR="00A504B7" w:rsidRDefault="00000000">
      <w:pPr>
        <w:pStyle w:val="a0"/>
        <w:ind w:left="0"/>
        <w:rPr>
          <w:rFonts w:ascii="Times New Roman" w:eastAsia="宋体"/>
        </w:rPr>
      </w:pPr>
      <w:r>
        <w:rPr>
          <w:rFonts w:ascii="Times New Roman" w:eastAsiaTheme="minorEastAsia" w:cstheme="minorEastAsia" w:hint="eastAsia"/>
        </w:rPr>
        <w:t>应根据团体膳食类别特点配备足够数量的冷藏冷冻（如移动冰箱、可加载冰排的保温箱）、加热保温（加热保温柜、保温箱）配送设备，其数量、容量及其技术参数应符合所配送的团体膳食的品种和数量，确保食品安全。</w:t>
      </w:r>
    </w:p>
    <w:p w14:paraId="54433920" w14:textId="77777777" w:rsidR="00A504B7" w:rsidRDefault="00000000">
      <w:pPr>
        <w:pStyle w:val="a0"/>
        <w:ind w:left="0"/>
        <w:rPr>
          <w:rFonts w:ascii="Times New Roman" w:eastAsiaTheme="minorEastAsia" w:cstheme="minorEastAsia"/>
        </w:rPr>
      </w:pPr>
      <w:r>
        <w:rPr>
          <w:rFonts w:ascii="Times New Roman" w:eastAsiaTheme="minorEastAsia" w:cstheme="minorEastAsia" w:hint="eastAsia"/>
        </w:rPr>
        <w:t>供应热食类食品的，应保证食品中心温度在熟制后至食用前始终保持在≥</w:t>
      </w:r>
      <w:r>
        <w:rPr>
          <w:rFonts w:ascii="Times New Roman" w:eastAsiaTheme="minorEastAsia"/>
        </w:rPr>
        <w:t>60℃</w:t>
      </w:r>
      <w:r>
        <w:rPr>
          <w:rFonts w:ascii="Times New Roman" w:eastAsiaTheme="minorEastAsia" w:cstheme="minorEastAsia" w:hint="eastAsia"/>
        </w:rPr>
        <w:t>。供应冷食类食品的，应保证食品中心温度在冷却后至食用前始终保持在≤</w:t>
      </w:r>
      <w:r>
        <w:rPr>
          <w:rFonts w:ascii="Times New Roman" w:eastAsiaTheme="minorEastAsia"/>
        </w:rPr>
        <w:t>10℃</w:t>
      </w:r>
      <w:r>
        <w:rPr>
          <w:rFonts w:ascii="Times New Roman" w:eastAsiaTheme="minorEastAsia" w:cstheme="minorEastAsia" w:hint="eastAsia"/>
        </w:rPr>
        <w:t>。</w:t>
      </w:r>
    </w:p>
    <w:p w14:paraId="31F37344" w14:textId="77777777" w:rsidR="00A504B7" w:rsidRDefault="00000000">
      <w:pPr>
        <w:pStyle w:val="a0"/>
        <w:ind w:left="0"/>
        <w:rPr>
          <w:rFonts w:ascii="Times New Roman" w:eastAsiaTheme="minorEastAsia" w:cstheme="minorEastAsia"/>
        </w:rPr>
      </w:pPr>
      <w:r>
        <w:rPr>
          <w:rFonts w:ascii="Times New Roman" w:eastAsiaTheme="minorEastAsia" w:cstheme="minorEastAsia" w:hint="eastAsia"/>
        </w:rPr>
        <w:t>消毒后的餐用具应存放在专用配送容器或独立包装内，防止交叉污染。</w:t>
      </w:r>
    </w:p>
    <w:p w14:paraId="6399CE18" w14:textId="77777777" w:rsidR="00A504B7" w:rsidRDefault="00000000">
      <w:pPr>
        <w:pStyle w:val="a0"/>
        <w:ind w:left="0"/>
        <w:rPr>
          <w:rFonts w:ascii="Times New Roman" w:eastAsiaTheme="minorEastAsia" w:cstheme="minorEastAsia"/>
        </w:rPr>
      </w:pPr>
      <w:r>
        <w:rPr>
          <w:rFonts w:ascii="Times New Roman" w:eastAsiaTheme="minorEastAsia" w:cstheme="minorEastAsia" w:hint="eastAsia"/>
        </w:rPr>
        <w:t>应严格控制配送时间，确保在规定时间内食用。</w:t>
      </w:r>
    </w:p>
    <w:p w14:paraId="1E84591F" w14:textId="77777777" w:rsidR="00A504B7" w:rsidRDefault="00000000">
      <w:pPr>
        <w:pStyle w:val="a"/>
        <w:rPr>
          <w:rFonts w:ascii="Times New Roman"/>
        </w:rPr>
      </w:pPr>
      <w:r>
        <w:rPr>
          <w:rFonts w:ascii="Times New Roman" w:hint="eastAsia"/>
        </w:rPr>
        <w:t>团体膳食供餐场所及食品安全控制</w:t>
      </w:r>
    </w:p>
    <w:p w14:paraId="565BAB0A" w14:textId="77777777" w:rsidR="00A504B7" w:rsidRDefault="00000000">
      <w:pPr>
        <w:pStyle w:val="a0"/>
        <w:ind w:left="0"/>
        <w:rPr>
          <w:rFonts w:ascii="Times New Roman"/>
        </w:rPr>
      </w:pPr>
      <w:bookmarkStart w:id="7" w:name="_Hlk166673333"/>
      <w:r>
        <w:rPr>
          <w:rFonts w:ascii="Times New Roman" w:hint="eastAsia"/>
        </w:rPr>
        <w:t>场所和布局</w:t>
      </w:r>
      <w:bookmarkEnd w:id="7"/>
    </w:p>
    <w:p w14:paraId="15BD81FE"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地面应清洁，宜有给排水条件和电力供应。</w:t>
      </w:r>
    </w:p>
    <w:p w14:paraId="22309B35"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餐饮服务经营者应事先对团体膳食供餐场所条件是否符合本标准要求，以满足团体膳食规模、供餐方式和膳食品种的加工供应条件进行现场核实评估。</w:t>
      </w:r>
    </w:p>
    <w:p w14:paraId="3DBF00FE" w14:textId="6811083D"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需要在供餐场所对食品作进一步加工处理的，其加工场所应为封闭场所，易于清洁，与外界相通的门、窗应有防止</w:t>
      </w:r>
      <w:r w:rsidR="000E0F18">
        <w:rPr>
          <w:rFonts w:ascii="Times New Roman" w:eastAsiaTheme="minorEastAsia" w:cstheme="minorEastAsia" w:hint="eastAsia"/>
        </w:rPr>
        <w:t>有</w:t>
      </w:r>
      <w:r>
        <w:rPr>
          <w:rFonts w:ascii="Times New Roman" w:eastAsiaTheme="minorEastAsia" w:cstheme="minorEastAsia" w:hint="eastAsia"/>
        </w:rPr>
        <w:t>害生物侵入的有效措施（如防蝇帘、防虫纱窗等）。</w:t>
      </w:r>
    </w:p>
    <w:p w14:paraId="6395E7B7" w14:textId="77777777" w:rsidR="00A504B7" w:rsidRDefault="00000000">
      <w:pPr>
        <w:pStyle w:val="a1"/>
        <w:spacing w:before="156" w:after="156"/>
        <w:ind w:left="0"/>
        <w:rPr>
          <w:rFonts w:ascii="Times New Roman" w:eastAsiaTheme="minorEastAsia" w:cstheme="minorEastAsia"/>
          <w:szCs w:val="20"/>
        </w:rPr>
      </w:pPr>
      <w:r>
        <w:rPr>
          <w:rFonts w:ascii="Times New Roman" w:eastAsiaTheme="minorEastAsia" w:cstheme="minorEastAsia" w:hint="eastAsia"/>
        </w:rPr>
        <w:t>食品加工场所的面积应与团体膳食加工供应的品种数量相适应，应根据供应方式和品种，设置即食食品</w:t>
      </w:r>
      <w:proofErr w:type="gramStart"/>
      <w:r>
        <w:rPr>
          <w:rFonts w:ascii="Times New Roman" w:eastAsiaTheme="minorEastAsia" w:cstheme="minorEastAsia" w:hint="eastAsia"/>
        </w:rPr>
        <w:t>操作区</w:t>
      </w:r>
      <w:proofErr w:type="gramEnd"/>
      <w:r>
        <w:rPr>
          <w:rFonts w:ascii="Times New Roman" w:eastAsiaTheme="minorEastAsia" w:cstheme="minorEastAsia" w:hint="eastAsia"/>
        </w:rPr>
        <w:t>和非即食食品操作区，并有适当的分离或分隔措施，防止交叉污染。按照食品进入、贮存、加工和供应的生</w:t>
      </w:r>
      <w:proofErr w:type="gramStart"/>
      <w:r>
        <w:rPr>
          <w:rFonts w:ascii="Times New Roman" w:eastAsiaTheme="minorEastAsia" w:cstheme="minorEastAsia" w:hint="eastAsia"/>
        </w:rPr>
        <w:t>进熟出</w:t>
      </w:r>
      <w:proofErr w:type="gramEnd"/>
      <w:r>
        <w:rPr>
          <w:rFonts w:ascii="Times New Roman" w:eastAsiaTheme="minorEastAsia" w:cstheme="minorEastAsia" w:hint="eastAsia"/>
        </w:rPr>
        <w:t>流程合理布局。</w:t>
      </w:r>
    </w:p>
    <w:p w14:paraId="08E73059"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t>食品需要分装后供应的，应设置食品分装场所。供应冷食类食品的，应设置独立隔间的冷食类食品专用场所。</w:t>
      </w:r>
    </w:p>
    <w:p w14:paraId="28368A25"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餐用具需要现场进行清洗消毒的，应设置餐用具清洗消毒场所。</w:t>
      </w:r>
    </w:p>
    <w:p w14:paraId="4F5E6FAD" w14:textId="77777777" w:rsidR="00A504B7" w:rsidRDefault="00000000">
      <w:pPr>
        <w:pStyle w:val="a0"/>
        <w:ind w:left="0"/>
        <w:rPr>
          <w:rFonts w:ascii="Times New Roman"/>
        </w:rPr>
      </w:pPr>
      <w:r>
        <w:rPr>
          <w:rFonts w:ascii="Times New Roman" w:hint="eastAsia"/>
        </w:rPr>
        <w:t>设施与设备</w:t>
      </w:r>
    </w:p>
    <w:p w14:paraId="74EF2F90"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应根据团体膳食品种特点配备足够数量的冷藏冷冻或加热保温等设施设备。</w:t>
      </w:r>
    </w:p>
    <w:p w14:paraId="1700A0D9"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提供成品膳食的，供餐场所应设置食品贮存、备餐、供餐等设施设备；餐用具在加工场所清洗消毒后，应使用专用容器或独立包装带至供餐场所。</w:t>
      </w:r>
    </w:p>
    <w:p w14:paraId="0E27704A"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lastRenderedPageBreak/>
        <w:t>需要在供餐场所进行再烹饪的，还应配置与供应的膳食品种、数量相适应的食品暂存、烹饪等设施设备。</w:t>
      </w:r>
    </w:p>
    <w:p w14:paraId="1A0B76FD" w14:textId="77777777" w:rsidR="00A504B7" w:rsidRDefault="00000000">
      <w:pPr>
        <w:pStyle w:val="a1"/>
        <w:spacing w:before="156" w:after="156"/>
        <w:ind w:left="0"/>
        <w:rPr>
          <w:rFonts w:ascii="Times New Roman" w:eastAsia="宋体" w:cs="宋体"/>
        </w:rPr>
      </w:pPr>
      <w:r>
        <w:rPr>
          <w:rFonts w:ascii="Times New Roman" w:eastAsiaTheme="minorEastAsia" w:cstheme="minorEastAsia" w:hint="eastAsia"/>
        </w:rPr>
        <w:t>供应热食类食品的，加热保温设备应能保证食品中心温度在食用前始终保持在≥</w:t>
      </w:r>
      <w:r>
        <w:rPr>
          <w:rFonts w:ascii="Times New Roman" w:eastAsiaTheme="minorEastAsia"/>
        </w:rPr>
        <w:t>60℃</w:t>
      </w:r>
      <w:r>
        <w:rPr>
          <w:rFonts w:ascii="Times New Roman" w:eastAsiaTheme="minorEastAsia"/>
        </w:rPr>
        <w:t>。</w:t>
      </w:r>
    </w:p>
    <w:p w14:paraId="44E092EA"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t>冷食类食品专用场所、热食类食品分装间应配备空气消毒设施、手部和工用具清洗消毒设施设备，保证环境温度≤</w:t>
      </w:r>
      <w:r>
        <w:rPr>
          <w:rFonts w:ascii="Times New Roman" w:eastAsiaTheme="minorEastAsia"/>
        </w:rPr>
        <w:t>25℃</w:t>
      </w:r>
      <w:r>
        <w:rPr>
          <w:rFonts w:ascii="Times New Roman" w:eastAsiaTheme="minorEastAsia" w:cstheme="minorEastAsia" w:hint="eastAsia"/>
        </w:rPr>
        <w:t>。入口处应设置洗手、消毒、更衣设施。需要使用直接接触成品膳食用水的，还应配备净水设备（或使用包装饮用水）。</w:t>
      </w:r>
    </w:p>
    <w:p w14:paraId="7670EE06"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应定时对供餐场所使用的设施设备进行清洗消毒。</w:t>
      </w:r>
    </w:p>
    <w:p w14:paraId="65686645"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应在供餐场所设置与食品容器有明显区分的废弃物存放设施。</w:t>
      </w:r>
    </w:p>
    <w:p w14:paraId="71285C46" w14:textId="77777777" w:rsidR="00A504B7" w:rsidRDefault="00000000">
      <w:pPr>
        <w:pStyle w:val="a0"/>
        <w:ind w:left="0"/>
        <w:rPr>
          <w:rFonts w:ascii="Times New Roman"/>
        </w:rPr>
      </w:pPr>
      <w:r>
        <w:rPr>
          <w:rFonts w:ascii="Times New Roman" w:hint="eastAsia"/>
        </w:rPr>
        <w:t>加工供应过程的食品安全控制</w:t>
      </w:r>
    </w:p>
    <w:p w14:paraId="3468E942"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供餐人员分餐前应对双手进行清洗消毒，宜戴一次性手套和口罩。</w:t>
      </w:r>
    </w:p>
    <w:p w14:paraId="37C95E52" w14:textId="77777777" w:rsidR="00A504B7" w:rsidRDefault="00000000">
      <w:pPr>
        <w:pStyle w:val="a1"/>
        <w:spacing w:before="156" w:after="156"/>
        <w:ind w:left="0"/>
        <w:rPr>
          <w:rFonts w:ascii="Times New Roman"/>
        </w:rPr>
      </w:pPr>
      <w:r>
        <w:rPr>
          <w:rFonts w:ascii="Times New Roman" w:eastAsiaTheme="minorEastAsia" w:cstheme="minorEastAsia" w:hint="eastAsia"/>
        </w:rPr>
        <w:t>在供餐场所现场加工制作热食类食品，应按照餐饮食品烹饪要求进行制作，需要烧熟煮透，确保食品中心温度达到</w:t>
      </w:r>
      <w:r>
        <w:rPr>
          <w:rFonts w:ascii="Times New Roman" w:eastAsiaTheme="minorEastAsia" w:cstheme="minorEastAsia" w:hint="eastAsia"/>
        </w:rPr>
        <w:t>70</w:t>
      </w:r>
      <w:r>
        <w:rPr>
          <w:rFonts w:ascii="Times New Roman" w:eastAsiaTheme="minorEastAsia" w:cstheme="minorEastAsia" w:hint="eastAsia"/>
        </w:rPr>
        <w:t>℃以上。不采取加热保温措施的，熟制后至食用前的存放时间应≤</w:t>
      </w:r>
      <w:r>
        <w:rPr>
          <w:rFonts w:ascii="Times New Roman" w:eastAsiaTheme="minorEastAsia"/>
        </w:rPr>
        <w:t>2h</w:t>
      </w:r>
      <w:r>
        <w:rPr>
          <w:rFonts w:ascii="Times New Roman" w:eastAsiaTheme="minorEastAsia" w:cstheme="minorEastAsia" w:hint="eastAsia"/>
        </w:rPr>
        <w:t>。采取加热保温措施的，熟制后至食用前的食品中心温度应保持在≥</w:t>
      </w:r>
      <w:r>
        <w:rPr>
          <w:rFonts w:ascii="Times New Roman" w:eastAsiaTheme="minorEastAsia"/>
        </w:rPr>
        <w:t>60℃</w:t>
      </w:r>
      <w:r>
        <w:rPr>
          <w:rFonts w:ascii="Times New Roman" w:eastAsiaTheme="minorEastAsia" w:cstheme="minorEastAsia" w:hint="eastAsia"/>
        </w:rPr>
        <w:t>，存放时间应≤</w:t>
      </w:r>
      <w:r>
        <w:rPr>
          <w:rFonts w:ascii="Times New Roman" w:eastAsiaTheme="minorEastAsia"/>
        </w:rPr>
        <w:t>4h</w:t>
      </w:r>
      <w:r>
        <w:rPr>
          <w:rFonts w:ascii="Times New Roman" w:eastAsiaTheme="minorEastAsia" w:cstheme="minorEastAsia" w:hint="eastAsia"/>
        </w:rPr>
        <w:t>。</w:t>
      </w:r>
    </w:p>
    <w:p w14:paraId="4334455B" w14:textId="77777777" w:rsidR="00A504B7" w:rsidRDefault="00000000">
      <w:pPr>
        <w:pStyle w:val="a1"/>
        <w:spacing w:before="156" w:after="156"/>
        <w:ind w:left="0"/>
        <w:rPr>
          <w:rFonts w:ascii="Times New Roman"/>
        </w:rPr>
      </w:pPr>
      <w:r>
        <w:rPr>
          <w:rFonts w:ascii="Times New Roman" w:eastAsiaTheme="minorEastAsia" w:cstheme="minorEastAsia" w:hint="eastAsia"/>
        </w:rPr>
        <w:t>在供餐场所现场加工制作冷食类食品，制作环境温度应控制在</w:t>
      </w:r>
      <w:r>
        <w:rPr>
          <w:rFonts w:ascii="Times New Roman" w:eastAsiaTheme="minorEastAsia" w:cstheme="minorEastAsia" w:hint="eastAsia"/>
        </w:rPr>
        <w:t>25</w:t>
      </w:r>
      <w:r>
        <w:rPr>
          <w:rFonts w:ascii="Times New Roman" w:eastAsiaTheme="minorEastAsia" w:cstheme="minorEastAsia" w:hint="eastAsia"/>
        </w:rPr>
        <w:t>℃以下，制作完成后至食用前存放时间应≤</w:t>
      </w:r>
      <w:r>
        <w:rPr>
          <w:rFonts w:ascii="Times New Roman" w:eastAsiaTheme="minorEastAsia" w:cstheme="minorEastAsia" w:hint="eastAsia"/>
        </w:rPr>
        <w:t>1h</w:t>
      </w:r>
      <w:r>
        <w:rPr>
          <w:rFonts w:ascii="Times New Roman" w:eastAsiaTheme="minorEastAsia" w:cstheme="minorEastAsia" w:hint="eastAsia"/>
        </w:rPr>
        <w:t>。熟制后中心温度在</w:t>
      </w:r>
      <w:r>
        <w:rPr>
          <w:rFonts w:ascii="Times New Roman" w:eastAsiaTheme="minorEastAsia" w:cstheme="minorEastAsia" w:hint="eastAsia"/>
        </w:rPr>
        <w:t>2h</w:t>
      </w:r>
      <w:r>
        <w:rPr>
          <w:rFonts w:ascii="Times New Roman" w:eastAsiaTheme="minorEastAsia" w:cstheme="minorEastAsia" w:hint="eastAsia"/>
        </w:rPr>
        <w:t>内降至</w:t>
      </w:r>
      <w:r>
        <w:rPr>
          <w:rFonts w:ascii="Times New Roman" w:eastAsiaTheme="minorEastAsia" w:hint="eastAsia"/>
        </w:rPr>
        <w:t>10</w:t>
      </w:r>
      <w:r>
        <w:rPr>
          <w:rFonts w:ascii="Times New Roman" w:eastAsiaTheme="minorEastAsia"/>
        </w:rPr>
        <w:t>℃</w:t>
      </w:r>
      <w:r>
        <w:rPr>
          <w:rFonts w:ascii="Times New Roman" w:eastAsiaTheme="minorEastAsia" w:cstheme="minorEastAsia" w:hint="eastAsia"/>
        </w:rPr>
        <w:t>以下保存的，其食用时限为熟制后</w:t>
      </w:r>
      <w:r>
        <w:rPr>
          <w:rFonts w:ascii="Times New Roman" w:eastAsiaTheme="minorEastAsia"/>
        </w:rPr>
        <w:t>24h</w:t>
      </w:r>
      <w:r>
        <w:rPr>
          <w:rFonts w:ascii="Times New Roman" w:eastAsiaTheme="minorEastAsia" w:cstheme="minorEastAsia" w:hint="eastAsia"/>
        </w:rPr>
        <w:t>。</w:t>
      </w:r>
    </w:p>
    <w:p w14:paraId="47559E88"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在供餐场所加工生食果蔬的，应采用符合相关规定的饮用水冲洗，生食果蔬的消毒、冲洗、沥水和包装应在专间内进行。</w:t>
      </w:r>
    </w:p>
    <w:p w14:paraId="3AAFA584"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连续供餐时间超过</w:t>
      </w:r>
      <w:r>
        <w:rPr>
          <w:rFonts w:ascii="Times New Roman" w:eastAsia="宋体"/>
        </w:rPr>
        <w:t>2h</w:t>
      </w:r>
      <w:r>
        <w:rPr>
          <w:rFonts w:ascii="Times New Roman" w:eastAsiaTheme="minorEastAsia" w:cstheme="minorEastAsia" w:hint="eastAsia"/>
        </w:rPr>
        <w:t>的，应分批加工供应。向容器中添加食物时，不应将不同时间加工的食物混合。</w:t>
      </w:r>
    </w:p>
    <w:p w14:paraId="7F6D982F"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t>已上桌供应的膳食不得回收再次加工后供应</w:t>
      </w:r>
      <w:r>
        <w:rPr>
          <w:rFonts w:ascii="Times New Roman" w:eastAsia="宋体" w:hint="eastAsia"/>
        </w:rPr>
        <w:t>。</w:t>
      </w:r>
    </w:p>
    <w:p w14:paraId="2A743E1C" w14:textId="77777777" w:rsidR="00A504B7" w:rsidRDefault="00000000">
      <w:pPr>
        <w:pStyle w:val="a"/>
        <w:rPr>
          <w:rFonts w:ascii="Times New Roman"/>
        </w:rPr>
      </w:pPr>
      <w:r>
        <w:rPr>
          <w:rFonts w:ascii="Times New Roman" w:hint="eastAsia"/>
        </w:rPr>
        <w:t>食品安全管理</w:t>
      </w:r>
    </w:p>
    <w:p w14:paraId="487F758A" w14:textId="77777777" w:rsidR="00A504B7" w:rsidRDefault="00000000">
      <w:pPr>
        <w:pStyle w:val="a0"/>
        <w:ind w:left="0"/>
        <w:rPr>
          <w:rFonts w:ascii="Times New Roman"/>
        </w:rPr>
      </w:pPr>
      <w:r>
        <w:rPr>
          <w:rFonts w:ascii="Times New Roman" w:hint="eastAsia"/>
        </w:rPr>
        <w:t>管理制度、事故处置、食品安全自查、记录和文件管理</w:t>
      </w:r>
    </w:p>
    <w:p w14:paraId="5CCCFFE7"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应符合</w:t>
      </w:r>
      <w:r>
        <w:rPr>
          <w:rFonts w:ascii="Times New Roman" w:eastAsiaTheme="minorEastAsia" w:cstheme="minorEastAsia"/>
        </w:rPr>
        <w:t>GB 31654</w:t>
      </w:r>
      <w:r>
        <w:rPr>
          <w:rFonts w:ascii="Times New Roman" w:eastAsiaTheme="minorEastAsia" w:cstheme="minorEastAsia" w:hint="eastAsia"/>
        </w:rPr>
        <w:t>的规定。</w:t>
      </w:r>
    </w:p>
    <w:p w14:paraId="3F8239C7" w14:textId="77777777" w:rsidR="00A504B7" w:rsidRDefault="00000000">
      <w:pPr>
        <w:pStyle w:val="a1"/>
        <w:spacing w:before="156" w:after="156"/>
        <w:ind w:left="0"/>
        <w:rPr>
          <w:rFonts w:ascii="Times New Roman" w:eastAsia="宋体" w:cs="宋体"/>
        </w:rPr>
      </w:pPr>
      <w:r>
        <w:rPr>
          <w:rFonts w:ascii="Times New Roman" w:eastAsiaTheme="minorEastAsia" w:cstheme="minorEastAsia" w:hint="eastAsia"/>
        </w:rPr>
        <w:t>团体膳食经营者应建立和实施</w:t>
      </w:r>
      <w:r>
        <w:rPr>
          <w:rFonts w:ascii="Times New Roman" w:eastAsiaTheme="minorEastAsia" w:cstheme="minorEastAsia" w:hint="eastAsia"/>
        </w:rPr>
        <w:t>HACCP</w:t>
      </w:r>
      <w:r>
        <w:rPr>
          <w:rFonts w:ascii="Times New Roman" w:eastAsiaTheme="minorEastAsia" w:cstheme="minorEastAsia" w:hint="eastAsia"/>
        </w:rPr>
        <w:t>食品安全管理体系。</w:t>
      </w:r>
    </w:p>
    <w:p w14:paraId="01EF609D" w14:textId="77777777" w:rsidR="00A504B7" w:rsidRDefault="00000000">
      <w:pPr>
        <w:pStyle w:val="a1"/>
        <w:spacing w:before="156" w:after="156"/>
        <w:ind w:left="0"/>
        <w:rPr>
          <w:rFonts w:ascii="Times New Roman"/>
        </w:rPr>
      </w:pPr>
      <w:r>
        <w:rPr>
          <w:rFonts w:ascii="Times New Roman" w:eastAsiaTheme="minorEastAsia" w:cstheme="minorEastAsia" w:hint="eastAsia"/>
        </w:rPr>
        <w:t>团体膳食经营者应根据食品类别工艺和风险特点，制定各类食品加工、配送、供应等操作规程（包括加工操作程序、加工操作过程关键项目控制标准、设备操作与维护标准等），明确各工序、各岗位人员的工作要求及职责。</w:t>
      </w:r>
    </w:p>
    <w:p w14:paraId="575A07ED" w14:textId="77777777" w:rsidR="00A504B7" w:rsidRDefault="00000000">
      <w:pPr>
        <w:pStyle w:val="a1"/>
        <w:spacing w:before="156" w:after="156"/>
        <w:ind w:left="0"/>
        <w:rPr>
          <w:rFonts w:ascii="Times New Roman"/>
        </w:rPr>
      </w:pPr>
      <w:r>
        <w:rPr>
          <w:rFonts w:ascii="Times New Roman" w:eastAsiaTheme="minorEastAsia" w:cstheme="minorEastAsia" w:hint="eastAsia"/>
        </w:rPr>
        <w:t>应定期按国家有关规定开展食品安全自查。</w:t>
      </w:r>
    </w:p>
    <w:p w14:paraId="33EF0557" w14:textId="77777777" w:rsidR="00A504B7" w:rsidRDefault="00000000">
      <w:pPr>
        <w:pStyle w:val="a0"/>
        <w:ind w:left="0"/>
        <w:rPr>
          <w:rFonts w:ascii="Times New Roman"/>
        </w:rPr>
      </w:pPr>
      <w:r>
        <w:rPr>
          <w:rFonts w:ascii="Times New Roman" w:hint="eastAsia"/>
        </w:rPr>
        <w:t>检验</w:t>
      </w:r>
    </w:p>
    <w:p w14:paraId="73AC96D8"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应符合</w:t>
      </w:r>
      <w:r>
        <w:rPr>
          <w:rFonts w:ascii="Times New Roman" w:eastAsiaTheme="minorEastAsia" w:cstheme="minorEastAsia" w:hint="eastAsia"/>
        </w:rPr>
        <w:t>GB 31654</w:t>
      </w:r>
      <w:r>
        <w:rPr>
          <w:rFonts w:ascii="Times New Roman" w:eastAsiaTheme="minorEastAsia" w:cstheme="minorEastAsia" w:hint="eastAsia"/>
        </w:rPr>
        <w:t>的规定。</w:t>
      </w:r>
    </w:p>
    <w:p w14:paraId="3F23DE2C"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自行开展检验的，应设置检验室。</w:t>
      </w:r>
    </w:p>
    <w:p w14:paraId="5E0F01A5"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lastRenderedPageBreak/>
        <w:t>应配备食品中心（环境）温度计、表面环节清洁度测定仪（</w:t>
      </w:r>
      <w:r>
        <w:rPr>
          <w:rFonts w:ascii="Times New Roman" w:eastAsiaTheme="minorEastAsia" w:cstheme="minorEastAsia" w:hint="eastAsia"/>
        </w:rPr>
        <w:t>ATP</w:t>
      </w:r>
      <w:r>
        <w:rPr>
          <w:rFonts w:ascii="Times New Roman" w:eastAsiaTheme="minorEastAsia" w:cstheme="minorEastAsia" w:hint="eastAsia"/>
        </w:rPr>
        <w:t>检测仪）、极性组分、余氯消毒测试纸以及农兽药残留、甲醛、亚硝酸盐等食品安全快速检测装备。</w:t>
      </w:r>
    </w:p>
    <w:p w14:paraId="00BEF19C"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应在食品加工及供餐场所开展农药残留、兽药残留、餐用具及即食食品接触表面清洗消毒效果等快速检测，每次供餐、每种项目检测应≥</w:t>
      </w:r>
      <w:r>
        <w:rPr>
          <w:rFonts w:ascii="Times New Roman" w:eastAsiaTheme="minorEastAsia"/>
        </w:rPr>
        <w:t>5</w:t>
      </w:r>
      <w:r>
        <w:rPr>
          <w:rFonts w:ascii="Times New Roman" w:eastAsiaTheme="minorEastAsia" w:cstheme="minorEastAsia" w:hint="eastAsia"/>
        </w:rPr>
        <w:t>件次。</w:t>
      </w:r>
    </w:p>
    <w:p w14:paraId="384798E8" w14:textId="77777777" w:rsidR="00A504B7" w:rsidRDefault="00000000">
      <w:pPr>
        <w:pStyle w:val="a0"/>
        <w:ind w:left="0"/>
        <w:rPr>
          <w:rFonts w:ascii="Times New Roman"/>
        </w:rPr>
      </w:pPr>
      <w:r>
        <w:rPr>
          <w:rFonts w:ascii="Times New Roman" w:hint="eastAsia"/>
        </w:rPr>
        <w:t>信息标注</w:t>
      </w:r>
    </w:p>
    <w:p w14:paraId="2DC1CEB4"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t>装有半成品或膳食成品的容器上应有标签，注明品名、加工时间、储存条件、使用期限、加工单位名称。</w:t>
      </w:r>
    </w:p>
    <w:p w14:paraId="7F23AD33" w14:textId="77777777" w:rsidR="00A504B7" w:rsidRDefault="00000000">
      <w:pPr>
        <w:pStyle w:val="a1"/>
        <w:spacing w:before="156" w:after="156"/>
        <w:ind w:left="0"/>
        <w:rPr>
          <w:rFonts w:ascii="Times New Roman" w:eastAsia="宋体"/>
        </w:rPr>
      </w:pPr>
      <w:r>
        <w:rPr>
          <w:rFonts w:ascii="Times New Roman" w:eastAsiaTheme="minorEastAsia" w:cstheme="minorEastAsia" w:hint="eastAsia"/>
        </w:rPr>
        <w:t>半成品要标明食用前的加工或处理方式和处理条件。</w:t>
      </w:r>
    </w:p>
    <w:p w14:paraId="16B86741" w14:textId="77777777" w:rsidR="00A504B7" w:rsidRDefault="00000000">
      <w:pPr>
        <w:pStyle w:val="a0"/>
        <w:ind w:left="0"/>
        <w:rPr>
          <w:rFonts w:ascii="Times New Roman"/>
        </w:rPr>
      </w:pPr>
      <w:r>
        <w:rPr>
          <w:rFonts w:ascii="Times New Roman" w:hint="eastAsia"/>
        </w:rPr>
        <w:t>留样管理</w:t>
      </w:r>
    </w:p>
    <w:p w14:paraId="3B5DE77B" w14:textId="77777777" w:rsidR="00A504B7" w:rsidRDefault="00000000">
      <w:pPr>
        <w:pStyle w:val="a1"/>
        <w:spacing w:before="156" w:after="156"/>
        <w:ind w:left="0"/>
        <w:rPr>
          <w:rFonts w:ascii="Times New Roman" w:eastAsia="宋体" w:cs="宋体"/>
        </w:rPr>
      </w:pPr>
      <w:r>
        <w:rPr>
          <w:rFonts w:ascii="Times New Roman" w:eastAsiaTheme="minorEastAsia" w:cstheme="minorEastAsia" w:hint="eastAsia"/>
        </w:rPr>
        <w:t>供应量超过</w:t>
      </w:r>
      <w:r>
        <w:rPr>
          <w:rFonts w:ascii="Times New Roman" w:eastAsiaTheme="minorEastAsia" w:cstheme="minorEastAsia"/>
        </w:rPr>
        <w:t>100</w:t>
      </w:r>
      <w:r>
        <w:rPr>
          <w:rFonts w:ascii="Times New Roman" w:eastAsiaTheme="minorEastAsia" w:cstheme="minorEastAsia" w:hint="eastAsia"/>
        </w:rPr>
        <w:t>人的团体膳食，餐饮服务经营者应对提供的食品进行留样。</w:t>
      </w:r>
    </w:p>
    <w:p w14:paraId="1C861C5F"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留样食品应按餐次、品种分别盛放于清洗消毒后的密闭专用容器内，并放置在专用冷藏设施中，留样时间应≥</w:t>
      </w:r>
      <w:r>
        <w:rPr>
          <w:rFonts w:ascii="Times New Roman" w:eastAsiaTheme="minorEastAsia"/>
        </w:rPr>
        <w:t>48h</w:t>
      </w:r>
      <w:r>
        <w:rPr>
          <w:rFonts w:ascii="Times New Roman" w:eastAsiaTheme="minorEastAsia" w:cstheme="minorEastAsia" w:hint="eastAsia"/>
        </w:rPr>
        <w:t>，每个品种留样量应≥</w:t>
      </w:r>
      <w:r>
        <w:rPr>
          <w:rFonts w:ascii="Times New Roman" w:eastAsiaTheme="minorEastAsia"/>
        </w:rPr>
        <w:t>125g</w:t>
      </w:r>
      <w:r>
        <w:rPr>
          <w:rFonts w:ascii="Times New Roman" w:eastAsiaTheme="minorEastAsia" w:cstheme="minorEastAsia" w:hint="eastAsia"/>
        </w:rPr>
        <w:t>，并做好记录</w:t>
      </w:r>
      <w:r>
        <w:rPr>
          <w:rFonts w:ascii="Times New Roman" w:eastAsia="宋体" w:cs="宋体" w:hint="eastAsia"/>
        </w:rPr>
        <w:t>。</w:t>
      </w:r>
    </w:p>
    <w:p w14:paraId="5FFB3550" w14:textId="77777777" w:rsidR="00A504B7" w:rsidRDefault="00000000">
      <w:pPr>
        <w:pStyle w:val="a1"/>
        <w:spacing w:before="156" w:after="156"/>
        <w:ind w:left="0"/>
        <w:rPr>
          <w:rFonts w:ascii="Times New Roman" w:eastAsiaTheme="minorEastAsia" w:cstheme="minorEastAsia"/>
        </w:rPr>
      </w:pPr>
      <w:r>
        <w:rPr>
          <w:rFonts w:ascii="Times New Roman" w:eastAsiaTheme="minorEastAsia" w:cstheme="minorEastAsia" w:hint="eastAsia"/>
        </w:rPr>
        <w:t>留样记录应包括样品名称、留样量、制作时间、留样时间、留样人员等项目。</w:t>
      </w:r>
    </w:p>
    <w:p w14:paraId="43391EDF" w14:textId="77777777" w:rsidR="00A504B7" w:rsidRDefault="00000000">
      <w:pPr>
        <w:pStyle w:val="a"/>
        <w:rPr>
          <w:rFonts w:ascii="Times New Roman"/>
        </w:rPr>
      </w:pPr>
      <w:r>
        <w:rPr>
          <w:rFonts w:ascii="Times New Roman" w:hint="eastAsia"/>
        </w:rPr>
        <w:t>人员健康与卫生</w:t>
      </w:r>
    </w:p>
    <w:p w14:paraId="01621E91" w14:textId="77777777" w:rsidR="00A504B7" w:rsidRDefault="00000000">
      <w:pPr>
        <w:pStyle w:val="afb"/>
        <w:ind w:firstLineChars="0" w:firstLine="0"/>
        <w:rPr>
          <w:rFonts w:ascii="Times New Roman" w:eastAsiaTheme="minorEastAsia" w:cstheme="minorEastAsia"/>
          <w:szCs w:val="21"/>
        </w:rPr>
      </w:pPr>
      <w:r>
        <w:rPr>
          <w:rFonts w:ascii="Times New Roman" w:eastAsiaTheme="minorEastAsia" w:cstheme="minorEastAsia" w:hint="eastAsia"/>
          <w:szCs w:val="21"/>
        </w:rPr>
        <w:t>应符合</w:t>
      </w:r>
      <w:r>
        <w:rPr>
          <w:rFonts w:ascii="Times New Roman" w:eastAsiaTheme="minorEastAsia" w:cstheme="minorEastAsia"/>
          <w:szCs w:val="21"/>
        </w:rPr>
        <w:t>GB 31654</w:t>
      </w:r>
      <w:r>
        <w:rPr>
          <w:rFonts w:ascii="Times New Roman" w:eastAsiaTheme="minorEastAsia" w:cstheme="minorEastAsia" w:hint="eastAsia"/>
          <w:szCs w:val="21"/>
        </w:rPr>
        <w:t>的规定。</w:t>
      </w:r>
    </w:p>
    <w:p w14:paraId="2C3B5414" w14:textId="77777777" w:rsidR="00A504B7" w:rsidRDefault="00000000">
      <w:pPr>
        <w:pStyle w:val="a"/>
        <w:rPr>
          <w:rFonts w:ascii="Times New Roman" w:eastAsiaTheme="minorEastAsia" w:cstheme="minorEastAsia"/>
          <w:szCs w:val="21"/>
        </w:rPr>
      </w:pPr>
      <w:r>
        <w:rPr>
          <w:rFonts w:ascii="Times New Roman" w:hint="eastAsia"/>
        </w:rPr>
        <w:t>培训</w:t>
      </w:r>
    </w:p>
    <w:p w14:paraId="7B154DF8" w14:textId="77777777" w:rsidR="00A504B7" w:rsidRDefault="00000000">
      <w:pPr>
        <w:pStyle w:val="a0"/>
        <w:ind w:left="0"/>
        <w:rPr>
          <w:rFonts w:ascii="Times New Roman" w:eastAsiaTheme="minorEastAsia" w:cstheme="minorEastAsia"/>
        </w:rPr>
      </w:pPr>
      <w:r>
        <w:rPr>
          <w:rFonts w:ascii="Times New Roman" w:eastAsiaTheme="minorEastAsia" w:cstheme="minorEastAsia" w:hint="eastAsia"/>
        </w:rPr>
        <w:t>应符合</w:t>
      </w:r>
      <w:r>
        <w:rPr>
          <w:rFonts w:ascii="Times New Roman" w:eastAsiaTheme="minorEastAsia" w:cstheme="minorEastAsia"/>
        </w:rPr>
        <w:t>GB 31654</w:t>
      </w:r>
      <w:r>
        <w:rPr>
          <w:rFonts w:ascii="Times New Roman" w:eastAsiaTheme="minorEastAsia" w:cstheme="minorEastAsia" w:hint="eastAsia"/>
        </w:rPr>
        <w:t>的规定。</w:t>
      </w:r>
    </w:p>
    <w:p w14:paraId="7B5D0C1A" w14:textId="77777777" w:rsidR="00A504B7" w:rsidRDefault="00000000">
      <w:pPr>
        <w:pStyle w:val="a0"/>
        <w:ind w:left="0"/>
        <w:rPr>
          <w:rFonts w:ascii="Times New Roman" w:eastAsia="宋体" w:cs="宋体"/>
        </w:rPr>
      </w:pPr>
      <w:r>
        <w:rPr>
          <w:rFonts w:ascii="Times New Roman" w:eastAsiaTheme="minorEastAsia" w:cstheme="minorEastAsia" w:hint="eastAsia"/>
        </w:rPr>
        <w:t>应对从业人员开展本标准相关规定的培训。</w:t>
      </w:r>
    </w:p>
    <w:p w14:paraId="3BA64458" w14:textId="77777777" w:rsidR="00A504B7" w:rsidRDefault="00000000">
      <w:pPr>
        <w:pStyle w:val="aff4"/>
        <w:framePr w:wrap="around"/>
      </w:pPr>
      <w:r>
        <w:t>_________________________________</w:t>
      </w:r>
    </w:p>
    <w:sectPr w:rsidR="00A504B7">
      <w:footerReference w:type="default" r:id="rId13"/>
      <w:pgSz w:w="11906" w:h="16838"/>
      <w:pgMar w:top="567" w:right="1134" w:bottom="1134" w:left="1417"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A375" w14:textId="77777777" w:rsidR="003C3594" w:rsidRDefault="003C3594">
      <w:r>
        <w:separator/>
      </w:r>
    </w:p>
  </w:endnote>
  <w:endnote w:type="continuationSeparator" w:id="0">
    <w:p w14:paraId="14B1BADB" w14:textId="77777777" w:rsidR="003C3594" w:rsidRDefault="003C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D4B5" w14:textId="77777777" w:rsidR="00A504B7" w:rsidRDefault="00000000">
    <w:pPr>
      <w:pStyle w:val="aff"/>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AA4D" w14:textId="77777777" w:rsidR="00A504B7" w:rsidRDefault="00000000">
    <w:pPr>
      <w:pStyle w:val="ac"/>
    </w:pPr>
    <w:r>
      <w:rPr>
        <w:noProof/>
      </w:rPr>
      <mc:AlternateContent>
        <mc:Choice Requires="wps">
          <w:drawing>
            <wp:anchor distT="0" distB="0" distL="114300" distR="114300" simplePos="0" relativeHeight="251659264" behindDoc="0" locked="0" layoutInCell="1" allowOverlap="1" wp14:anchorId="3F6766D2" wp14:editId="7CE06CA3">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715F9" w14:textId="77777777" w:rsidR="00A504B7" w:rsidRDefault="00A504B7">
                          <w:pPr>
                            <w:pStyle w:val="ac"/>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6766D2"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A715F9" w14:textId="77777777" w:rsidR="00A504B7" w:rsidRDefault="00A504B7">
                    <w:pPr>
                      <w:pStyle w:val="ac"/>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5DCE" w14:textId="77777777" w:rsidR="00A504B7" w:rsidRDefault="00A504B7">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FADF" w14:textId="77777777" w:rsidR="00A504B7" w:rsidRDefault="00000000">
    <w:pPr>
      <w:spacing w:line="176" w:lineRule="auto"/>
      <w:jc w:val="right"/>
      <w:rPr>
        <w:rFonts w:eastAsia="Times New Roman"/>
        <w:sz w:val="18"/>
        <w:szCs w:val="18"/>
      </w:rPr>
    </w:pPr>
    <w:r>
      <w:rPr>
        <w:noProof/>
        <w:sz w:val="18"/>
      </w:rPr>
      <mc:AlternateContent>
        <mc:Choice Requires="wps">
          <w:drawing>
            <wp:anchor distT="0" distB="0" distL="114300" distR="114300" simplePos="0" relativeHeight="251661312" behindDoc="0" locked="0" layoutInCell="1" allowOverlap="1" wp14:anchorId="48B4AE10" wp14:editId="56867799">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2536" w14:textId="77777777" w:rsidR="00A504B7" w:rsidRDefault="00000000">
                          <w:pPr>
                            <w:pStyle w:val="ac"/>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B4AE10" id="_x0000_t202" coordsize="21600,21600" o:spt="202" path="m,l,21600r21600,l21600,xe">
              <v:stroke joinstyle="miter"/>
              <v:path gradientshapeok="t" o:connecttype="rect"/>
            </v:shapetype>
            <v:shape id="文本框 5"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51D2536" w14:textId="77777777" w:rsidR="00A504B7" w:rsidRDefault="00000000">
                    <w:pPr>
                      <w:pStyle w:val="ac"/>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7D91" w14:textId="77777777" w:rsidR="003C3594" w:rsidRDefault="003C3594">
      <w:r>
        <w:separator/>
      </w:r>
    </w:p>
  </w:footnote>
  <w:footnote w:type="continuationSeparator" w:id="0">
    <w:p w14:paraId="127DF5B2" w14:textId="77777777" w:rsidR="003C3594" w:rsidRDefault="003C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B3D" w14:textId="52CA11FE" w:rsidR="00A504B7" w:rsidRDefault="00A504B7">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9264" w14:textId="77777777" w:rsidR="00A504B7" w:rsidRDefault="00000000">
    <w:pPr>
      <w:pStyle w:val="afe"/>
    </w:pPr>
    <w:r>
      <w:t>DB</w:t>
    </w:r>
    <w:r>
      <w:rPr>
        <w:rFonts w:hint="eastAsia"/>
      </w:rPr>
      <w:t>31</w:t>
    </w:r>
    <w:r>
      <w:t xml:space="preserve">/ </w:t>
    </w:r>
    <w:r>
      <w:rPr>
        <w:rFonts w:hint="eastAsia"/>
      </w:rPr>
      <w:t>2009</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85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C5917C3"/>
    <w:multiLevelType w:val="multilevel"/>
    <w:tmpl w:val="2C5917C3"/>
    <w:lvl w:ilvl="0">
      <w:start w:val="1"/>
      <w:numFmt w:val="none"/>
      <w:pStyle w:val="a2"/>
      <w:suff w:val="nothing"/>
      <w:lvlText w:val="%1——"/>
      <w:lvlJc w:val="left"/>
      <w:pPr>
        <w:ind w:left="834" w:hanging="408"/>
      </w:pPr>
      <w:rPr>
        <w:rFonts w:ascii="Times New Roman" w:hAnsi="Times New Roman" w:cs="Times New Roman" w:hint="default"/>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16cid:durableId="1434743507">
    <w:abstractNumId w:val="1"/>
  </w:num>
  <w:num w:numId="2" w16cid:durableId="127783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wNDkwMjkxODljZTQ0Y2IwNGYwYTMwYjkxMWNkNDQifQ=="/>
  </w:docVars>
  <w:rsids>
    <w:rsidRoot w:val="76F662CB"/>
    <w:rsid w:val="CEEF0A62"/>
    <w:rsid w:val="00002E34"/>
    <w:rsid w:val="00032B58"/>
    <w:rsid w:val="00047C9A"/>
    <w:rsid w:val="00087101"/>
    <w:rsid w:val="0009289C"/>
    <w:rsid w:val="000B5461"/>
    <w:rsid w:val="000C48AE"/>
    <w:rsid w:val="000D0557"/>
    <w:rsid w:val="000E0F18"/>
    <w:rsid w:val="00140348"/>
    <w:rsid w:val="00173915"/>
    <w:rsid w:val="001A4530"/>
    <w:rsid w:val="001E0B8D"/>
    <w:rsid w:val="001E2D2C"/>
    <w:rsid w:val="001E2D97"/>
    <w:rsid w:val="001E2DE0"/>
    <w:rsid w:val="002002C1"/>
    <w:rsid w:val="00207852"/>
    <w:rsid w:val="00275732"/>
    <w:rsid w:val="002C30F5"/>
    <w:rsid w:val="002C3348"/>
    <w:rsid w:val="002F269D"/>
    <w:rsid w:val="00334C5F"/>
    <w:rsid w:val="0034340E"/>
    <w:rsid w:val="003C3594"/>
    <w:rsid w:val="003F19B8"/>
    <w:rsid w:val="003F2140"/>
    <w:rsid w:val="00422C7B"/>
    <w:rsid w:val="00430BE2"/>
    <w:rsid w:val="00434D00"/>
    <w:rsid w:val="00443423"/>
    <w:rsid w:val="00493824"/>
    <w:rsid w:val="004B72A9"/>
    <w:rsid w:val="00502CF4"/>
    <w:rsid w:val="00521D51"/>
    <w:rsid w:val="00535250"/>
    <w:rsid w:val="005851E5"/>
    <w:rsid w:val="005B3358"/>
    <w:rsid w:val="005C7E32"/>
    <w:rsid w:val="00611D3F"/>
    <w:rsid w:val="00657E9B"/>
    <w:rsid w:val="00681530"/>
    <w:rsid w:val="00697BAE"/>
    <w:rsid w:val="006E05AB"/>
    <w:rsid w:val="007050FB"/>
    <w:rsid w:val="00710456"/>
    <w:rsid w:val="007322BB"/>
    <w:rsid w:val="00744E9F"/>
    <w:rsid w:val="0077378C"/>
    <w:rsid w:val="007C73C3"/>
    <w:rsid w:val="00805AF6"/>
    <w:rsid w:val="00850A3B"/>
    <w:rsid w:val="008A5E50"/>
    <w:rsid w:val="008E4334"/>
    <w:rsid w:val="009332D2"/>
    <w:rsid w:val="00983D52"/>
    <w:rsid w:val="009F44C3"/>
    <w:rsid w:val="00A229AD"/>
    <w:rsid w:val="00A504B7"/>
    <w:rsid w:val="00A56D76"/>
    <w:rsid w:val="00AB7B5A"/>
    <w:rsid w:val="00AC51B3"/>
    <w:rsid w:val="00AF1D0D"/>
    <w:rsid w:val="00AF7246"/>
    <w:rsid w:val="00B02643"/>
    <w:rsid w:val="00B62189"/>
    <w:rsid w:val="00B72088"/>
    <w:rsid w:val="00B75576"/>
    <w:rsid w:val="00B81B8C"/>
    <w:rsid w:val="00BA7D4B"/>
    <w:rsid w:val="00BF1AC1"/>
    <w:rsid w:val="00C33704"/>
    <w:rsid w:val="00C71C1D"/>
    <w:rsid w:val="00D12483"/>
    <w:rsid w:val="00D13941"/>
    <w:rsid w:val="00D831DA"/>
    <w:rsid w:val="00E234D7"/>
    <w:rsid w:val="00E361AC"/>
    <w:rsid w:val="00E42CE6"/>
    <w:rsid w:val="00E778A1"/>
    <w:rsid w:val="00E94059"/>
    <w:rsid w:val="00ED56B0"/>
    <w:rsid w:val="00F20B67"/>
    <w:rsid w:val="00F40FB3"/>
    <w:rsid w:val="00F53622"/>
    <w:rsid w:val="00F85C3C"/>
    <w:rsid w:val="00FD64AE"/>
    <w:rsid w:val="01006071"/>
    <w:rsid w:val="014E205D"/>
    <w:rsid w:val="01F01B2D"/>
    <w:rsid w:val="028265A2"/>
    <w:rsid w:val="028579B2"/>
    <w:rsid w:val="028639BC"/>
    <w:rsid w:val="02B11F32"/>
    <w:rsid w:val="055146DC"/>
    <w:rsid w:val="060E12B2"/>
    <w:rsid w:val="06BD7DF4"/>
    <w:rsid w:val="07BF7A34"/>
    <w:rsid w:val="099D4776"/>
    <w:rsid w:val="09D516AE"/>
    <w:rsid w:val="09FF478C"/>
    <w:rsid w:val="0BE20DB9"/>
    <w:rsid w:val="0DFC65E6"/>
    <w:rsid w:val="0F426F80"/>
    <w:rsid w:val="10CD1330"/>
    <w:rsid w:val="11011877"/>
    <w:rsid w:val="11CC3425"/>
    <w:rsid w:val="12114BCE"/>
    <w:rsid w:val="137361BF"/>
    <w:rsid w:val="14C75818"/>
    <w:rsid w:val="14E169CB"/>
    <w:rsid w:val="15C26F8A"/>
    <w:rsid w:val="16235D5E"/>
    <w:rsid w:val="163C6642"/>
    <w:rsid w:val="174E1D42"/>
    <w:rsid w:val="17690566"/>
    <w:rsid w:val="1819680C"/>
    <w:rsid w:val="1832280E"/>
    <w:rsid w:val="18A53058"/>
    <w:rsid w:val="19BA5AAC"/>
    <w:rsid w:val="1A1C7F2B"/>
    <w:rsid w:val="1A421244"/>
    <w:rsid w:val="1B404677"/>
    <w:rsid w:val="1B811F55"/>
    <w:rsid w:val="1C36422E"/>
    <w:rsid w:val="1C9F0A07"/>
    <w:rsid w:val="1D304629"/>
    <w:rsid w:val="1E1A2525"/>
    <w:rsid w:val="1EC0227C"/>
    <w:rsid w:val="1F4C4878"/>
    <w:rsid w:val="1FC76AE3"/>
    <w:rsid w:val="21737925"/>
    <w:rsid w:val="21787096"/>
    <w:rsid w:val="218C5C6D"/>
    <w:rsid w:val="21B05393"/>
    <w:rsid w:val="223C39BA"/>
    <w:rsid w:val="245E77F6"/>
    <w:rsid w:val="24736B95"/>
    <w:rsid w:val="24E0567E"/>
    <w:rsid w:val="24E2740C"/>
    <w:rsid w:val="251A0C86"/>
    <w:rsid w:val="25A5102F"/>
    <w:rsid w:val="2658418F"/>
    <w:rsid w:val="27445323"/>
    <w:rsid w:val="28E75E09"/>
    <w:rsid w:val="29820040"/>
    <w:rsid w:val="2B815966"/>
    <w:rsid w:val="2C646B95"/>
    <w:rsid w:val="2CAA3DC7"/>
    <w:rsid w:val="2CC90F6C"/>
    <w:rsid w:val="2D0041FB"/>
    <w:rsid w:val="2E3D1E67"/>
    <w:rsid w:val="2F430CE4"/>
    <w:rsid w:val="2FDD4C94"/>
    <w:rsid w:val="2FE66D8A"/>
    <w:rsid w:val="2FF32F53"/>
    <w:rsid w:val="31002916"/>
    <w:rsid w:val="31B40EAA"/>
    <w:rsid w:val="31FA4705"/>
    <w:rsid w:val="3242568C"/>
    <w:rsid w:val="32762DF7"/>
    <w:rsid w:val="32D02F03"/>
    <w:rsid w:val="331D0079"/>
    <w:rsid w:val="33261063"/>
    <w:rsid w:val="33C543BD"/>
    <w:rsid w:val="350843D6"/>
    <w:rsid w:val="35202001"/>
    <w:rsid w:val="363423A1"/>
    <w:rsid w:val="36CE3C09"/>
    <w:rsid w:val="36CF6727"/>
    <w:rsid w:val="37092C93"/>
    <w:rsid w:val="376637C1"/>
    <w:rsid w:val="37DB26EA"/>
    <w:rsid w:val="37DE137B"/>
    <w:rsid w:val="37FA5F36"/>
    <w:rsid w:val="387F7482"/>
    <w:rsid w:val="3888607F"/>
    <w:rsid w:val="389D2DBF"/>
    <w:rsid w:val="3A802587"/>
    <w:rsid w:val="3AD00993"/>
    <w:rsid w:val="3CCF3BB7"/>
    <w:rsid w:val="3D2442CF"/>
    <w:rsid w:val="3EEF6BC1"/>
    <w:rsid w:val="3F21290D"/>
    <w:rsid w:val="405876C3"/>
    <w:rsid w:val="4183419A"/>
    <w:rsid w:val="42AD1032"/>
    <w:rsid w:val="43911BC6"/>
    <w:rsid w:val="439A4E21"/>
    <w:rsid w:val="4510761C"/>
    <w:rsid w:val="45CD2A10"/>
    <w:rsid w:val="45D2300A"/>
    <w:rsid w:val="45EA0366"/>
    <w:rsid w:val="47A50D35"/>
    <w:rsid w:val="4A7638C4"/>
    <w:rsid w:val="4AA15B5C"/>
    <w:rsid w:val="4ADA20A4"/>
    <w:rsid w:val="4C8F03F4"/>
    <w:rsid w:val="4D62143B"/>
    <w:rsid w:val="4E2D2E33"/>
    <w:rsid w:val="4F1777EB"/>
    <w:rsid w:val="4F773901"/>
    <w:rsid w:val="502A587C"/>
    <w:rsid w:val="505E72D4"/>
    <w:rsid w:val="507873E2"/>
    <w:rsid w:val="50EA2975"/>
    <w:rsid w:val="516C5A20"/>
    <w:rsid w:val="52235FCD"/>
    <w:rsid w:val="52887ADE"/>
    <w:rsid w:val="53A94213"/>
    <w:rsid w:val="542D183F"/>
    <w:rsid w:val="548E2517"/>
    <w:rsid w:val="54E5252B"/>
    <w:rsid w:val="556A04C9"/>
    <w:rsid w:val="566E2B01"/>
    <w:rsid w:val="56783B41"/>
    <w:rsid w:val="58676F82"/>
    <w:rsid w:val="58706740"/>
    <w:rsid w:val="589A4356"/>
    <w:rsid w:val="5AB87F28"/>
    <w:rsid w:val="5ABB1AC9"/>
    <w:rsid w:val="5B2664EF"/>
    <w:rsid w:val="5B494191"/>
    <w:rsid w:val="5D3B3632"/>
    <w:rsid w:val="5D8B722E"/>
    <w:rsid w:val="5D95037D"/>
    <w:rsid w:val="5FCF54E2"/>
    <w:rsid w:val="609058FF"/>
    <w:rsid w:val="6117019C"/>
    <w:rsid w:val="62843025"/>
    <w:rsid w:val="62C31218"/>
    <w:rsid w:val="62C9528F"/>
    <w:rsid w:val="64857D13"/>
    <w:rsid w:val="64D157D9"/>
    <w:rsid w:val="65A2396C"/>
    <w:rsid w:val="65B37A34"/>
    <w:rsid w:val="6703126A"/>
    <w:rsid w:val="67466B0D"/>
    <w:rsid w:val="680776D9"/>
    <w:rsid w:val="68525711"/>
    <w:rsid w:val="68914293"/>
    <w:rsid w:val="694A2606"/>
    <w:rsid w:val="69B12112"/>
    <w:rsid w:val="6AB06526"/>
    <w:rsid w:val="6AC85CDC"/>
    <w:rsid w:val="6B403D4E"/>
    <w:rsid w:val="6BBD4594"/>
    <w:rsid w:val="6BE0541D"/>
    <w:rsid w:val="6C1A5014"/>
    <w:rsid w:val="6D4B38CD"/>
    <w:rsid w:val="6DAE3DA6"/>
    <w:rsid w:val="6E633C11"/>
    <w:rsid w:val="6F1A4C69"/>
    <w:rsid w:val="6FEF6521"/>
    <w:rsid w:val="70A065C7"/>
    <w:rsid w:val="73583796"/>
    <w:rsid w:val="738B43CE"/>
    <w:rsid w:val="74176A5A"/>
    <w:rsid w:val="745D4819"/>
    <w:rsid w:val="75527D89"/>
    <w:rsid w:val="75BA3F68"/>
    <w:rsid w:val="76A5715B"/>
    <w:rsid w:val="76AB5344"/>
    <w:rsid w:val="76B77F80"/>
    <w:rsid w:val="76D773C6"/>
    <w:rsid w:val="76E557A9"/>
    <w:rsid w:val="76F662CB"/>
    <w:rsid w:val="77941F13"/>
    <w:rsid w:val="779C2502"/>
    <w:rsid w:val="77B07B65"/>
    <w:rsid w:val="77B46E51"/>
    <w:rsid w:val="79442F50"/>
    <w:rsid w:val="79915709"/>
    <w:rsid w:val="7AC77F2D"/>
    <w:rsid w:val="7BAD355F"/>
    <w:rsid w:val="7C9061B7"/>
    <w:rsid w:val="7CCB0742"/>
    <w:rsid w:val="7D2420A7"/>
    <w:rsid w:val="7D941001"/>
    <w:rsid w:val="7E2F4519"/>
    <w:rsid w:val="7F251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FEC47A"/>
  <w15:docId w15:val="{69F93741-8D95-4D1D-BD9B-F54A1CBA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1"/>
    <w:qFormat/>
    <w:pPr>
      <w:widowControl w:val="0"/>
      <w:jc w:val="both"/>
    </w:pPr>
    <w:rPr>
      <w:kern w:val="2"/>
      <w:sz w:val="21"/>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
    <w:name w:val="样式1"/>
    <w:basedOn w:val="a3"/>
    <w:qFormat/>
    <w:pPr>
      <w:overflowPunct w:val="0"/>
      <w:topLinePunct/>
      <w:ind w:firstLineChars="200" w:firstLine="602"/>
    </w:pPr>
    <w:rPr>
      <w:rFonts w:ascii="仿宋" w:eastAsia="仿宋" w:hAnsi="仿宋"/>
      <w:sz w:val="30"/>
      <w:szCs w:val="30"/>
    </w:rPr>
  </w:style>
  <w:style w:type="paragraph" w:styleId="a7">
    <w:name w:val="annotation text"/>
    <w:basedOn w:val="a3"/>
    <w:link w:val="a8"/>
    <w:qFormat/>
    <w:pPr>
      <w:jc w:val="left"/>
    </w:pPr>
  </w:style>
  <w:style w:type="paragraph" w:styleId="a9">
    <w:name w:val="Body Text"/>
    <w:basedOn w:val="a3"/>
    <w:qFormat/>
    <w:pPr>
      <w:widowControl/>
      <w:kinsoku w:val="0"/>
      <w:autoSpaceDE w:val="0"/>
      <w:autoSpaceDN w:val="0"/>
      <w:adjustRightInd w:val="0"/>
      <w:snapToGrid w:val="0"/>
      <w:jc w:val="left"/>
      <w:textAlignment w:val="baseline"/>
    </w:pPr>
    <w:rPr>
      <w:rFonts w:ascii="宋体" w:hAnsi="宋体"/>
      <w:color w:val="000000"/>
      <w:kern w:val="0"/>
      <w:sz w:val="43"/>
      <w:szCs w:val="43"/>
      <w:lang w:eastAsia="en-US"/>
    </w:rPr>
  </w:style>
  <w:style w:type="paragraph" w:styleId="aa">
    <w:name w:val="Balloon Text"/>
    <w:basedOn w:val="a3"/>
    <w:link w:val="ab"/>
    <w:qFormat/>
    <w:rPr>
      <w:sz w:val="18"/>
      <w:szCs w:val="18"/>
    </w:rPr>
  </w:style>
  <w:style w:type="paragraph" w:styleId="ac">
    <w:name w:val="footer"/>
    <w:basedOn w:val="a3"/>
    <w:qFormat/>
    <w:pPr>
      <w:tabs>
        <w:tab w:val="center" w:pos="4153"/>
        <w:tab w:val="right" w:pos="8306"/>
      </w:tabs>
      <w:snapToGrid w:val="0"/>
      <w:jc w:val="left"/>
    </w:pPr>
    <w:rPr>
      <w:sz w:val="18"/>
    </w:rPr>
  </w:style>
  <w:style w:type="paragraph" w:styleId="ad">
    <w:name w:val="header"/>
    <w:basedOn w:val="a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annotation subject"/>
    <w:basedOn w:val="a7"/>
    <w:next w:val="a7"/>
    <w:link w:val="af"/>
    <w:qFormat/>
    <w:rPr>
      <w:b/>
      <w:bCs/>
    </w:rPr>
  </w:style>
  <w:style w:type="character" w:styleId="af0">
    <w:name w:val="annotation reference"/>
    <w:basedOn w:val="a4"/>
    <w:qFormat/>
    <w:rPr>
      <w:sz w:val="21"/>
      <w:szCs w:val="21"/>
    </w:rPr>
  </w:style>
  <w:style w:type="paragraph" w:customStyle="1" w:styleId="af1">
    <w:name w:val="其他标准标志"/>
    <w:basedOn w:val="af2"/>
    <w:qFormat/>
    <w:pPr>
      <w:framePr w:w="6101" w:wrap="around" w:vAnchor="page" w:hAnchor="page" w:x="4673" w:y="942"/>
    </w:pPr>
    <w:rPr>
      <w:w w:val="130"/>
    </w:rPr>
  </w:style>
  <w:style w:type="paragraph" w:customStyle="1" w:styleId="af2">
    <w:name w:val="标准标志"/>
    <w:next w:val="a3"/>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3">
    <w:name w:val="其他标准称谓"/>
    <w:next w:val="a3"/>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5">
    <w:name w:val="其他发布日期"/>
    <w:basedOn w:val="af6"/>
    <w:qFormat/>
    <w:pPr>
      <w:framePr w:wrap="around" w:vAnchor="page" w:hAnchor="text" w:x="1419"/>
    </w:pPr>
  </w:style>
  <w:style w:type="paragraph" w:customStyle="1" w:styleId="af6">
    <w:name w:val="发布日期"/>
    <w:qFormat/>
    <w:pPr>
      <w:framePr w:w="3997" w:h="471" w:hRule="exact" w:vSpace="181" w:wrap="around" w:hAnchor="page" w:x="7089" w:y="14097" w:anchorLock="1"/>
    </w:pPr>
    <w:rPr>
      <w:rFonts w:eastAsia="黑体"/>
      <w:sz w:val="28"/>
    </w:rPr>
  </w:style>
  <w:style w:type="paragraph" w:customStyle="1" w:styleId="af7">
    <w:name w:val="其他实施日期"/>
    <w:basedOn w:val="af8"/>
    <w:qFormat/>
    <w:pPr>
      <w:framePr w:wrap="around"/>
    </w:pPr>
  </w:style>
  <w:style w:type="paragraph" w:customStyle="1" w:styleId="af8">
    <w:name w:val="实施日期"/>
    <w:basedOn w:val="af6"/>
    <w:qFormat/>
    <w:pPr>
      <w:framePr w:wrap="around" w:vAnchor="page" w:hAnchor="text"/>
      <w:jc w:val="right"/>
    </w:pPr>
  </w:style>
  <w:style w:type="paragraph" w:customStyle="1" w:styleId="af9">
    <w:name w:val="其他发布部门"/>
    <w:basedOn w:val="afa"/>
    <w:qFormat/>
    <w:pPr>
      <w:framePr w:wrap="around" w:y="15310"/>
      <w:spacing w:line="0" w:lineRule="atLeast"/>
    </w:pPr>
    <w:rPr>
      <w:rFonts w:ascii="黑体" w:eastAsia="黑体"/>
      <w:b w:val="0"/>
    </w:rPr>
  </w:style>
  <w:style w:type="paragraph" w:customStyle="1" w:styleId="afa">
    <w:name w:val="发布部门"/>
    <w:next w:val="afb"/>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b">
    <w:name w:val="段"/>
    <w:qFormat/>
    <w:pPr>
      <w:tabs>
        <w:tab w:val="center" w:pos="4201"/>
        <w:tab w:val="right" w:leader="dot" w:pos="9298"/>
      </w:tabs>
      <w:autoSpaceDE w:val="0"/>
      <w:autoSpaceDN w:val="0"/>
      <w:ind w:firstLineChars="200" w:firstLine="420"/>
      <w:jc w:val="both"/>
    </w:pPr>
    <w:rPr>
      <w:rFonts w:ascii="宋体"/>
      <w:sz w:val="21"/>
    </w:rPr>
  </w:style>
  <w:style w:type="character" w:customStyle="1" w:styleId="afc">
    <w:name w:val="发布"/>
    <w:qFormat/>
    <w:rPr>
      <w:rFonts w:ascii="黑体" w:eastAsia="黑体"/>
      <w:spacing w:val="85"/>
      <w:w w:val="100"/>
      <w:position w:val="3"/>
      <w:sz w:val="28"/>
      <w:szCs w:val="28"/>
    </w:rPr>
  </w:style>
  <w:style w:type="paragraph" w:customStyle="1" w:styleId="afd">
    <w:name w:val="标准书眉_偶数页"/>
    <w:basedOn w:val="afe"/>
    <w:next w:val="a3"/>
    <w:qFormat/>
    <w:pPr>
      <w:jc w:val="left"/>
    </w:pPr>
  </w:style>
  <w:style w:type="paragraph" w:customStyle="1" w:styleId="afe">
    <w:name w:val="标准书眉_奇数页"/>
    <w:next w:val="a3"/>
    <w:qFormat/>
    <w:pPr>
      <w:tabs>
        <w:tab w:val="center" w:pos="4154"/>
        <w:tab w:val="right" w:pos="8306"/>
      </w:tabs>
      <w:spacing w:after="220"/>
      <w:jc w:val="right"/>
    </w:pPr>
    <w:rPr>
      <w:rFonts w:ascii="黑体" w:eastAsia="黑体"/>
      <w:sz w:val="21"/>
      <w:szCs w:val="21"/>
    </w:rPr>
  </w:style>
  <w:style w:type="paragraph" w:customStyle="1" w:styleId="aff">
    <w:name w:val="标准书脚_偶数页"/>
    <w:qFormat/>
    <w:pPr>
      <w:spacing w:before="120"/>
      <w:ind w:left="221"/>
    </w:pPr>
    <w:rPr>
      <w:rFonts w:ascii="宋体"/>
      <w:sz w:val="18"/>
      <w:szCs w:val="18"/>
    </w:rPr>
  </w:style>
  <w:style w:type="paragraph" w:customStyle="1" w:styleId="aff0">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a2">
    <w:name w:val="列项——（一级）"/>
    <w:qFormat/>
    <w:pPr>
      <w:widowControl w:val="0"/>
      <w:numPr>
        <w:numId w:val="1"/>
      </w:numPr>
      <w:ind w:left="833"/>
      <w:jc w:val="both"/>
    </w:pPr>
    <w:rPr>
      <w:rFonts w:ascii="宋体"/>
      <w:sz w:val="21"/>
    </w:rPr>
  </w:style>
  <w:style w:type="paragraph" w:customStyle="1" w:styleId="aff1">
    <w:name w:val="标准书脚_奇数页"/>
    <w:qFormat/>
    <w:pPr>
      <w:spacing w:before="120"/>
      <w:ind w:right="198"/>
      <w:jc w:val="right"/>
    </w:pPr>
    <w:rPr>
      <w:rFonts w:ascii="宋体"/>
      <w:sz w:val="18"/>
      <w:szCs w:val="18"/>
    </w:rPr>
  </w:style>
  <w:style w:type="paragraph" w:customStyle="1" w:styleId="a">
    <w:name w:val="章标题"/>
    <w:next w:val="afb"/>
    <w:qFormat/>
    <w:pPr>
      <w:numPr>
        <w:numId w:val="2"/>
      </w:numPr>
      <w:spacing w:beforeLines="100" w:before="312" w:afterLines="100" w:after="312"/>
      <w:jc w:val="both"/>
      <w:outlineLvl w:val="1"/>
    </w:pPr>
    <w:rPr>
      <w:rFonts w:ascii="黑体" w:eastAsia="黑体"/>
      <w:sz w:val="21"/>
    </w:rPr>
  </w:style>
  <w:style w:type="paragraph" w:customStyle="1" w:styleId="a0">
    <w:name w:val="一级条标题"/>
    <w:next w:val="afb"/>
    <w:qFormat/>
    <w:pPr>
      <w:numPr>
        <w:ilvl w:val="1"/>
        <w:numId w:val="2"/>
      </w:numPr>
      <w:spacing w:beforeLines="50" w:before="156" w:afterLines="50" w:after="156"/>
      <w:outlineLvl w:val="2"/>
    </w:pPr>
    <w:rPr>
      <w:rFonts w:ascii="黑体" w:eastAsia="黑体"/>
      <w:sz w:val="21"/>
      <w:szCs w:val="21"/>
    </w:rPr>
  </w:style>
  <w:style w:type="paragraph" w:customStyle="1" w:styleId="aff2">
    <w:name w:val="二级无"/>
    <w:basedOn w:val="a1"/>
    <w:qFormat/>
    <w:pPr>
      <w:spacing w:beforeLines="0" w:before="0" w:afterLines="0" w:after="0"/>
    </w:pPr>
    <w:rPr>
      <w:rFonts w:ascii="宋体" w:eastAsia="宋体"/>
    </w:rPr>
  </w:style>
  <w:style w:type="paragraph" w:customStyle="1" w:styleId="a1">
    <w:name w:val="二级条标题"/>
    <w:basedOn w:val="a0"/>
    <w:next w:val="afb"/>
    <w:qFormat/>
    <w:pPr>
      <w:numPr>
        <w:ilvl w:val="2"/>
      </w:numPr>
      <w:spacing w:before="50" w:after="50"/>
      <w:outlineLvl w:val="3"/>
    </w:pPr>
  </w:style>
  <w:style w:type="paragraph" w:customStyle="1" w:styleId="aff3">
    <w:name w:val="一级无"/>
    <w:basedOn w:val="a0"/>
    <w:qFormat/>
    <w:pPr>
      <w:spacing w:beforeLines="0" w:before="0" w:afterLines="0" w:after="0"/>
    </w:pPr>
    <w:rPr>
      <w:rFonts w:ascii="宋体" w:eastAsia="宋体"/>
    </w:rPr>
  </w:style>
  <w:style w:type="paragraph" w:customStyle="1" w:styleId="aff4">
    <w:name w:val="终结线"/>
    <w:basedOn w:val="a3"/>
    <w:qFormat/>
    <w:pPr>
      <w:framePr w:hSpace="181" w:vSpace="181" w:wrap="around" w:vAnchor="text" w:hAnchor="margin" w:xAlign="center" w:y="285"/>
    </w:pPr>
  </w:style>
  <w:style w:type="character" w:customStyle="1" w:styleId="a8">
    <w:name w:val="批注文字 字符"/>
    <w:basedOn w:val="a4"/>
    <w:link w:val="a7"/>
    <w:qFormat/>
    <w:rPr>
      <w:kern w:val="2"/>
      <w:sz w:val="21"/>
      <w:szCs w:val="24"/>
    </w:rPr>
  </w:style>
  <w:style w:type="character" w:customStyle="1" w:styleId="af">
    <w:name w:val="批注主题 字符"/>
    <w:basedOn w:val="a8"/>
    <w:link w:val="ae"/>
    <w:qFormat/>
    <w:rPr>
      <w:b/>
      <w:bCs/>
      <w:kern w:val="2"/>
      <w:sz w:val="21"/>
      <w:szCs w:val="24"/>
    </w:rPr>
  </w:style>
  <w:style w:type="character" w:customStyle="1" w:styleId="ab">
    <w:name w:val="批注框文本 字符"/>
    <w:basedOn w:val="a4"/>
    <w:link w:val="aa"/>
    <w:qFormat/>
    <w:rPr>
      <w:kern w:val="2"/>
      <w:sz w:val="18"/>
      <w:szCs w:val="18"/>
    </w:rPr>
  </w:style>
  <w:style w:type="paragraph" w:customStyle="1" w:styleId="10">
    <w:name w:val="修订1"/>
    <w:hidden/>
    <w:uiPriority w:val="99"/>
    <w:semiHidden/>
    <w:qFormat/>
    <w:rPr>
      <w:kern w:val="2"/>
      <w:sz w:val="21"/>
      <w:szCs w:val="24"/>
    </w:rPr>
  </w:style>
  <w:style w:type="paragraph" w:styleId="aff5">
    <w:name w:val="Revision"/>
    <w:hidden/>
    <w:uiPriority w:val="99"/>
    <w:unhideWhenUsed/>
    <w:rsid w:val="00AF1D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1909</Words>
  <Characters>2158</Characters>
  <Application>Microsoft Office Word</Application>
  <DocSecurity>0</DocSecurity>
  <Lines>89</Lines>
  <Paragraphs>123</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李妍</dc:creator>
  <cp:lastModifiedBy>力 刘</cp:lastModifiedBy>
  <cp:revision>13</cp:revision>
  <cp:lastPrinted>2025-07-10T10:59:00Z</cp:lastPrinted>
  <dcterms:created xsi:type="dcterms:W3CDTF">2025-09-23T02:43:00Z</dcterms:created>
  <dcterms:modified xsi:type="dcterms:W3CDTF">2025-09-24T09:44:00Z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22F2C7039F2E4C5887F06FDF7FCB4108_13</vt:lpwstr>
  </property>
  <property fmtid="{D5CDD505-2E9C-101B-9397-08002B2CF9AE}" pid="4" name="KSOTemplateDocerSaveRecord">
    <vt:lpwstr>eyJoZGlkIjoiOTkwNDkwMjkxODljZTQ0Y2IwNGYwYTMwYjkxMWNkNDQiLCJ1c2VySWQiOiIyNjM1ODc3MTcifQ==</vt:lpwstr>
  </property>
</Properties>
</file>