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DF356">
      <w:pPr>
        <w:spacing w:line="820" w:lineRule="exact"/>
        <w:jc w:val="center"/>
        <w:rPr>
          <w:rFonts w:eastAsia="方正小标宋简体"/>
          <w:sz w:val="72"/>
          <w:szCs w:val="72"/>
        </w:rPr>
      </w:pPr>
      <w:r>
        <w:rPr>
          <w:rFonts w:hint="eastAsia" w:eastAsia="方正小标宋简体"/>
          <w:sz w:val="72"/>
          <w:szCs w:val="72"/>
        </w:rPr>
        <w:t>农业行业</w:t>
      </w:r>
      <w:r>
        <w:rPr>
          <w:rFonts w:eastAsia="方正小标宋简体"/>
          <w:sz w:val="72"/>
          <w:szCs w:val="72"/>
        </w:rPr>
        <w:t>标准标准</w:t>
      </w:r>
    </w:p>
    <w:p w14:paraId="2490BEC7">
      <w:pPr>
        <w:spacing w:line="820" w:lineRule="exact"/>
        <w:jc w:val="center"/>
        <w:rPr>
          <w:rFonts w:eastAsia="方正小标宋简体"/>
          <w:sz w:val="52"/>
          <w:szCs w:val="52"/>
        </w:rPr>
      </w:pPr>
      <w:r>
        <w:rPr>
          <w:rFonts w:hint="eastAsia" w:eastAsia="方正小标宋简体"/>
          <w:sz w:val="52"/>
          <w:szCs w:val="52"/>
        </w:rPr>
        <w:t>修订《咖啡栽培技术规程》标准（NY/T 922-2004）</w:t>
      </w:r>
    </w:p>
    <w:p w14:paraId="0D7C2ABE">
      <w:pPr>
        <w:spacing w:line="820" w:lineRule="exact"/>
        <w:jc w:val="center"/>
        <w:rPr>
          <w:rFonts w:eastAsia="黑体"/>
          <w:sz w:val="48"/>
          <w:szCs w:val="48"/>
        </w:rPr>
      </w:pPr>
    </w:p>
    <w:p w14:paraId="092C2C13">
      <w:pPr>
        <w:spacing w:line="820" w:lineRule="exact"/>
        <w:jc w:val="center"/>
        <w:rPr>
          <w:rFonts w:eastAsia="黑体"/>
          <w:sz w:val="48"/>
          <w:szCs w:val="48"/>
        </w:rPr>
      </w:pPr>
      <w:r>
        <w:rPr>
          <w:rFonts w:eastAsia="黑体"/>
          <w:sz w:val="48"/>
          <w:szCs w:val="48"/>
        </w:rPr>
        <w:t>（</w:t>
      </w:r>
      <w:r>
        <w:rPr>
          <w:rFonts w:hint="eastAsia" w:eastAsia="黑体"/>
          <w:sz w:val="48"/>
          <w:szCs w:val="48"/>
          <w:lang w:eastAsia="zh-CN"/>
        </w:rPr>
        <w:t>征求意见</w:t>
      </w:r>
      <w:r>
        <w:rPr>
          <w:rFonts w:hint="eastAsia" w:eastAsia="黑体"/>
          <w:sz w:val="48"/>
          <w:szCs w:val="48"/>
        </w:rPr>
        <w:t>稿</w:t>
      </w:r>
      <w:r>
        <w:rPr>
          <w:rFonts w:eastAsia="黑体"/>
          <w:sz w:val="48"/>
          <w:szCs w:val="48"/>
        </w:rPr>
        <w:t>）</w:t>
      </w:r>
    </w:p>
    <w:p w14:paraId="60170080">
      <w:pPr>
        <w:spacing w:line="820" w:lineRule="exact"/>
        <w:jc w:val="center"/>
        <w:rPr>
          <w:rFonts w:eastAsia="黑体"/>
          <w:sz w:val="48"/>
          <w:szCs w:val="48"/>
        </w:rPr>
      </w:pPr>
    </w:p>
    <w:p w14:paraId="213FF532">
      <w:pPr>
        <w:spacing w:line="820" w:lineRule="exact"/>
        <w:jc w:val="center"/>
        <w:rPr>
          <w:rFonts w:eastAsia="黑体"/>
          <w:sz w:val="72"/>
          <w:szCs w:val="72"/>
        </w:rPr>
      </w:pPr>
      <w:r>
        <w:rPr>
          <w:rFonts w:eastAsia="黑体"/>
          <w:sz w:val="72"/>
          <w:szCs w:val="72"/>
        </w:rPr>
        <w:t>编</w:t>
      </w:r>
    </w:p>
    <w:p w14:paraId="40B4E6F4">
      <w:pPr>
        <w:spacing w:line="820" w:lineRule="exact"/>
        <w:jc w:val="center"/>
        <w:rPr>
          <w:rFonts w:eastAsia="黑体"/>
          <w:sz w:val="72"/>
          <w:szCs w:val="72"/>
        </w:rPr>
      </w:pPr>
      <w:r>
        <w:rPr>
          <w:rFonts w:eastAsia="黑体"/>
          <w:sz w:val="72"/>
          <w:szCs w:val="72"/>
        </w:rPr>
        <w:t>制</w:t>
      </w:r>
    </w:p>
    <w:p w14:paraId="4FD9B289">
      <w:pPr>
        <w:spacing w:line="820" w:lineRule="exact"/>
        <w:jc w:val="center"/>
        <w:rPr>
          <w:rFonts w:eastAsia="黑体"/>
          <w:sz w:val="72"/>
          <w:szCs w:val="72"/>
        </w:rPr>
      </w:pPr>
      <w:r>
        <w:rPr>
          <w:rFonts w:eastAsia="黑体"/>
          <w:sz w:val="72"/>
          <w:szCs w:val="72"/>
        </w:rPr>
        <w:t>说</w:t>
      </w:r>
    </w:p>
    <w:p w14:paraId="2CF908C5">
      <w:pPr>
        <w:spacing w:line="820" w:lineRule="exact"/>
        <w:jc w:val="center"/>
        <w:rPr>
          <w:rFonts w:eastAsia="黑体"/>
          <w:sz w:val="52"/>
          <w:szCs w:val="52"/>
        </w:rPr>
      </w:pPr>
      <w:r>
        <w:rPr>
          <w:rFonts w:eastAsia="黑体"/>
          <w:sz w:val="72"/>
          <w:szCs w:val="72"/>
        </w:rPr>
        <w:t>明</w:t>
      </w:r>
    </w:p>
    <w:p w14:paraId="52350F12">
      <w:pPr>
        <w:spacing w:line="820" w:lineRule="exact"/>
        <w:jc w:val="center"/>
        <w:rPr>
          <w:rFonts w:eastAsia="黑体"/>
          <w:sz w:val="52"/>
          <w:szCs w:val="52"/>
        </w:rPr>
      </w:pPr>
    </w:p>
    <w:p w14:paraId="5A3C2E06">
      <w:pPr>
        <w:spacing w:line="820" w:lineRule="exact"/>
        <w:jc w:val="center"/>
        <w:rPr>
          <w:rFonts w:eastAsia="黑体"/>
          <w:sz w:val="52"/>
          <w:szCs w:val="52"/>
        </w:rPr>
      </w:pPr>
    </w:p>
    <w:p w14:paraId="18EA9656">
      <w:pPr>
        <w:spacing w:line="660" w:lineRule="exact"/>
        <w:jc w:val="center"/>
        <w:rPr>
          <w:rFonts w:eastAsia="黑体"/>
          <w:sz w:val="36"/>
          <w:szCs w:val="36"/>
        </w:rPr>
      </w:pPr>
      <w:r>
        <w:rPr>
          <w:rFonts w:hint="eastAsia" w:eastAsia="黑体"/>
          <w:sz w:val="36"/>
          <w:szCs w:val="36"/>
        </w:rPr>
        <w:t>修订《咖啡栽培技术规程》标准（</w:t>
      </w:r>
      <w:r>
        <w:rPr>
          <w:rFonts w:eastAsia="黑体"/>
          <w:sz w:val="36"/>
          <w:szCs w:val="36"/>
        </w:rPr>
        <w:t>NY/T 922-2004</w:t>
      </w:r>
      <w:r>
        <w:rPr>
          <w:rFonts w:hint="eastAsia" w:eastAsia="黑体"/>
          <w:sz w:val="36"/>
          <w:szCs w:val="36"/>
        </w:rPr>
        <w:t>）</w:t>
      </w:r>
    </w:p>
    <w:p w14:paraId="72089693">
      <w:pPr>
        <w:spacing w:line="660" w:lineRule="exact"/>
        <w:jc w:val="center"/>
        <w:rPr>
          <w:rFonts w:eastAsia="黑体"/>
          <w:sz w:val="36"/>
          <w:szCs w:val="36"/>
        </w:rPr>
      </w:pPr>
      <w:r>
        <w:rPr>
          <w:rFonts w:eastAsia="黑体"/>
          <w:sz w:val="36"/>
          <w:szCs w:val="36"/>
        </w:rPr>
        <w:t>起草组</w:t>
      </w:r>
    </w:p>
    <w:p w14:paraId="26472B77">
      <w:pPr>
        <w:adjustRightInd w:val="0"/>
        <w:snapToGrid w:val="0"/>
        <w:jc w:val="center"/>
        <w:rPr>
          <w:rFonts w:eastAsia="黑体"/>
          <w:sz w:val="36"/>
          <w:szCs w:val="36"/>
        </w:rPr>
      </w:pPr>
      <w:r>
        <w:rPr>
          <w:rFonts w:eastAsia="黑体"/>
          <w:sz w:val="36"/>
          <w:szCs w:val="36"/>
        </w:rPr>
        <w:t>20</w:t>
      </w:r>
      <w:r>
        <w:rPr>
          <w:rFonts w:hint="eastAsia" w:eastAsia="黑体"/>
          <w:sz w:val="36"/>
          <w:szCs w:val="36"/>
        </w:rPr>
        <w:t>2</w:t>
      </w:r>
      <w:r>
        <w:rPr>
          <w:rFonts w:hint="eastAsia" w:eastAsia="黑体"/>
          <w:sz w:val="36"/>
          <w:szCs w:val="36"/>
          <w:lang w:val="en-US" w:eastAsia="zh-CN"/>
        </w:rPr>
        <w:t>5</w:t>
      </w:r>
      <w:r>
        <w:rPr>
          <w:rFonts w:eastAsia="黑体"/>
          <w:sz w:val="36"/>
          <w:szCs w:val="36"/>
        </w:rPr>
        <w:t>年</w:t>
      </w:r>
      <w:r>
        <w:rPr>
          <w:rFonts w:hint="eastAsia" w:eastAsia="黑体"/>
          <w:sz w:val="36"/>
          <w:szCs w:val="36"/>
        </w:rPr>
        <w:t>1</w:t>
      </w:r>
      <w:r>
        <w:rPr>
          <w:rFonts w:hint="eastAsia" w:eastAsia="黑体"/>
          <w:sz w:val="36"/>
          <w:szCs w:val="36"/>
          <w:lang w:val="en-US" w:eastAsia="zh-CN"/>
        </w:rPr>
        <w:t>0</w:t>
      </w:r>
      <w:r>
        <w:rPr>
          <w:rFonts w:eastAsia="黑体"/>
          <w:sz w:val="36"/>
          <w:szCs w:val="36"/>
        </w:rPr>
        <w:t>月</w:t>
      </w:r>
    </w:p>
    <w:p w14:paraId="58B3E366">
      <w:pPr>
        <w:adjustRightInd w:val="0"/>
        <w:snapToGrid w:val="0"/>
        <w:jc w:val="center"/>
        <w:rPr>
          <w:rFonts w:eastAsia="黑体"/>
          <w:sz w:val="36"/>
          <w:szCs w:val="36"/>
        </w:rPr>
      </w:pPr>
    </w:p>
    <w:p w14:paraId="09B4367A">
      <w:pPr>
        <w:adjustRightInd w:val="0"/>
        <w:snapToGrid w:val="0"/>
        <w:jc w:val="center"/>
        <w:rPr>
          <w:rFonts w:cs="Arial"/>
          <w:b/>
          <w:bCs/>
          <w:color w:val="FF0000"/>
          <w:sz w:val="24"/>
        </w:rPr>
      </w:pPr>
      <w:r>
        <w:rPr>
          <w:rFonts w:cs="Arial"/>
          <w:sz w:val="24"/>
        </w:rPr>
        <w:br w:type="page"/>
      </w:r>
    </w:p>
    <w:p w14:paraId="4A327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黑体"/>
          <w:bCs/>
          <w:kern w:val="44"/>
          <w:sz w:val="24"/>
          <w:szCs w:val="32"/>
        </w:rPr>
      </w:pPr>
      <w:bookmarkStart w:id="0" w:name="OLE_LINK12"/>
      <w:r>
        <w:rPr>
          <w:rFonts w:eastAsia="黑体"/>
          <w:bCs/>
          <w:kern w:val="44"/>
          <w:sz w:val="24"/>
          <w:szCs w:val="32"/>
        </w:rPr>
        <w:t>一、</w:t>
      </w:r>
      <w:r>
        <w:rPr>
          <w:rFonts w:hint="eastAsia" w:eastAsia="黑体"/>
          <w:bCs/>
          <w:kern w:val="44"/>
          <w:sz w:val="24"/>
          <w:szCs w:val="32"/>
        </w:rPr>
        <w:t>工作简况</w:t>
      </w:r>
    </w:p>
    <w:bookmarkEnd w:id="0"/>
    <w:p w14:paraId="30C26A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eastAsia="楷体_GB2312"/>
          <w:b/>
          <w:bCs/>
          <w:sz w:val="24"/>
          <w:szCs w:val="32"/>
        </w:rPr>
      </w:pPr>
      <w:r>
        <w:rPr>
          <w:rFonts w:eastAsia="楷体_GB2312"/>
          <w:b/>
          <w:bCs/>
          <w:sz w:val="24"/>
          <w:szCs w:val="32"/>
        </w:rPr>
        <w:t>（一）</w:t>
      </w:r>
      <w:r>
        <w:rPr>
          <w:rFonts w:hint="eastAsia" w:eastAsia="楷体_GB2312"/>
          <w:b/>
          <w:bCs/>
          <w:sz w:val="24"/>
          <w:szCs w:val="32"/>
          <w:lang w:eastAsia="zh-CN"/>
        </w:rPr>
        <w:t>任务来源及修订</w:t>
      </w:r>
      <w:r>
        <w:rPr>
          <w:rFonts w:hint="eastAsia" w:eastAsia="楷体_GB2312"/>
          <w:b/>
          <w:bCs/>
          <w:sz w:val="24"/>
          <w:szCs w:val="32"/>
        </w:rPr>
        <w:t>背景</w:t>
      </w:r>
    </w:p>
    <w:p w14:paraId="2E40019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仿宋_GB2312"/>
          <w:sz w:val="24"/>
          <w:szCs w:val="32"/>
        </w:rPr>
      </w:pPr>
      <w:r>
        <w:rPr>
          <w:rFonts w:hint="eastAsia" w:eastAsia="仿宋_GB2312"/>
          <w:sz w:val="24"/>
          <w:szCs w:val="32"/>
        </w:rPr>
        <w:t>根据《农业农村部农产品质量安全监管司关于下达202</w:t>
      </w:r>
      <w:r>
        <w:rPr>
          <w:rFonts w:hint="eastAsia" w:eastAsia="仿宋_GB2312"/>
          <w:sz w:val="24"/>
          <w:szCs w:val="32"/>
          <w:lang w:val="en-US" w:eastAsia="zh-CN"/>
        </w:rPr>
        <w:t>5</w:t>
      </w:r>
      <w:r>
        <w:rPr>
          <w:rFonts w:hint="eastAsia" w:eastAsia="仿宋_GB2312"/>
          <w:sz w:val="24"/>
          <w:szCs w:val="32"/>
        </w:rPr>
        <w:t>年农业国家标准和行业标准制修订项目计划的通知》（农质标函〔202</w:t>
      </w:r>
      <w:r>
        <w:rPr>
          <w:rFonts w:hint="eastAsia" w:eastAsia="仿宋_GB2312"/>
          <w:sz w:val="24"/>
          <w:szCs w:val="32"/>
          <w:lang w:val="en-US" w:eastAsia="zh-CN"/>
        </w:rPr>
        <w:t>5</w:t>
      </w:r>
      <w:r>
        <w:rPr>
          <w:rFonts w:hint="eastAsia" w:eastAsia="仿宋_GB2312"/>
          <w:sz w:val="24"/>
          <w:szCs w:val="32"/>
        </w:rPr>
        <w:t>〕</w:t>
      </w:r>
      <w:r>
        <w:rPr>
          <w:rFonts w:hint="eastAsia" w:eastAsia="仿宋_GB2312"/>
          <w:sz w:val="24"/>
          <w:szCs w:val="32"/>
          <w:lang w:val="en-US" w:eastAsia="zh-CN"/>
        </w:rPr>
        <w:t>63</w:t>
      </w:r>
      <w:r>
        <w:rPr>
          <w:rFonts w:hint="eastAsia" w:eastAsia="仿宋_GB2312"/>
          <w:sz w:val="24"/>
          <w:szCs w:val="32"/>
        </w:rPr>
        <w:t>号），由</w:t>
      </w:r>
      <w:r>
        <w:rPr>
          <w:rFonts w:hint="eastAsia" w:eastAsia="仿宋_GB2312"/>
          <w:sz w:val="24"/>
          <w:szCs w:val="32"/>
          <w:lang w:val="en-US" w:eastAsia="zh-CN"/>
        </w:rPr>
        <w:t>云南省热带作物学会白学慧研究员</w:t>
      </w:r>
      <w:r>
        <w:rPr>
          <w:rFonts w:hint="eastAsia" w:eastAsia="仿宋_GB2312"/>
          <w:sz w:val="24"/>
          <w:szCs w:val="32"/>
        </w:rPr>
        <w:t>主持承担修订《咖啡栽培技术规程》（NY/T 922-2004）标准（</w:t>
      </w:r>
      <w:bookmarkStart w:id="1" w:name="OLE_LINK4"/>
      <w:r>
        <w:rPr>
          <w:rFonts w:hint="eastAsia" w:eastAsia="仿宋_GB2312"/>
          <w:sz w:val="24"/>
          <w:szCs w:val="32"/>
        </w:rPr>
        <w:t>农质标函〔202</w:t>
      </w:r>
      <w:r>
        <w:rPr>
          <w:rFonts w:hint="eastAsia" w:eastAsia="仿宋_GB2312"/>
          <w:sz w:val="24"/>
          <w:szCs w:val="32"/>
          <w:lang w:val="en-US" w:eastAsia="zh-CN"/>
        </w:rPr>
        <w:t>5</w:t>
      </w:r>
      <w:r>
        <w:rPr>
          <w:rFonts w:hint="eastAsia" w:eastAsia="仿宋_GB2312"/>
          <w:sz w:val="24"/>
          <w:szCs w:val="32"/>
        </w:rPr>
        <w:t>〕</w:t>
      </w:r>
      <w:r>
        <w:rPr>
          <w:rFonts w:hint="eastAsia" w:eastAsia="仿宋_GB2312"/>
          <w:sz w:val="24"/>
          <w:szCs w:val="32"/>
          <w:lang w:val="en-US" w:eastAsia="zh-CN"/>
        </w:rPr>
        <w:t>63</w:t>
      </w:r>
      <w:r>
        <w:rPr>
          <w:rFonts w:hint="eastAsia" w:eastAsia="仿宋_GB2312"/>
          <w:sz w:val="24"/>
          <w:szCs w:val="32"/>
        </w:rPr>
        <w:t>号</w:t>
      </w:r>
      <w:bookmarkEnd w:id="1"/>
      <w:r>
        <w:rPr>
          <w:rFonts w:hint="eastAsia" w:eastAsia="仿宋_GB2312"/>
          <w:sz w:val="24"/>
          <w:szCs w:val="32"/>
          <w:lang w:val="en-US" w:eastAsia="zh-CN"/>
        </w:rPr>
        <w:t>NYB</w:t>
      </w:r>
      <w:r>
        <w:rPr>
          <w:rFonts w:hint="eastAsia" w:eastAsia="仿宋_GB2312"/>
          <w:sz w:val="24"/>
          <w:szCs w:val="32"/>
        </w:rPr>
        <w:t>-</w:t>
      </w:r>
      <w:r>
        <w:rPr>
          <w:rFonts w:hint="eastAsia" w:eastAsia="仿宋_GB2312"/>
          <w:sz w:val="24"/>
          <w:szCs w:val="32"/>
          <w:lang w:val="en-US" w:eastAsia="zh-CN"/>
        </w:rPr>
        <w:t>25092</w:t>
      </w:r>
      <w:r>
        <w:rPr>
          <w:rFonts w:hint="eastAsia" w:eastAsia="仿宋_GB2312"/>
          <w:sz w:val="24"/>
          <w:szCs w:val="32"/>
        </w:rPr>
        <w:t>的修订工作。</w:t>
      </w:r>
    </w:p>
    <w:p w14:paraId="373ADF9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仿宋_GB2312"/>
          <w:sz w:val="24"/>
          <w:szCs w:val="32"/>
        </w:rPr>
      </w:pPr>
      <w:r>
        <w:rPr>
          <w:rFonts w:hint="eastAsia" w:eastAsia="仿宋_GB2312"/>
          <w:sz w:val="24"/>
          <w:szCs w:val="32"/>
        </w:rPr>
        <w:t>咖啡是世界三大饮料植物（咖啡、茶、可可）之一，是经济价值极高的热带经济作物，行业产值近5000亿美元。2010年国务院出台的《关于促进我国热带作物产业发展的意见（国办发〔2010〕45号）》中明确指出咖啡是重要的国家战略资源和日常消费品。近十年来我国咖啡消费以年均15%增长，2024年消费34.5万吨，居全球第6位，但我国咖啡自给率不足50%，年进口19.3万吨，贸易逆差达10.3亿美元且连续8年扩大。我国咖啡种植主要集中在云南、海南和广西，其中云南种植面积和产量分别占我国的98.37%和98.65%，咖啡产业具有经济效应佳，带动能力强，生态效益显著等特点，是边疆少数民族地区乡村振兴的支柱产业。</w:t>
      </w:r>
    </w:p>
    <w:p w14:paraId="1CD84F8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仿宋_GB2312"/>
          <w:sz w:val="24"/>
          <w:szCs w:val="32"/>
        </w:rPr>
      </w:pPr>
      <w:r>
        <w:rPr>
          <w:rFonts w:hint="eastAsia" w:eastAsia="仿宋_GB2312"/>
          <w:sz w:val="24"/>
          <w:szCs w:val="32"/>
        </w:rPr>
        <w:t>2004年发布的NY/T 922-2004《咖啡栽培技术规程》主要规范了小粒种咖啡（</w:t>
      </w:r>
      <w:r>
        <w:rPr>
          <w:rFonts w:hint="eastAsia" w:eastAsia="仿宋_GB2312"/>
          <w:i/>
          <w:iCs/>
          <w:sz w:val="24"/>
          <w:szCs w:val="32"/>
        </w:rPr>
        <w:t>Coffea arabica</w:t>
      </w:r>
      <w:r>
        <w:rPr>
          <w:rFonts w:hint="eastAsia" w:eastAsia="仿宋_GB2312"/>
          <w:sz w:val="24"/>
          <w:szCs w:val="32"/>
        </w:rPr>
        <w:t xml:space="preserve"> L.）园地选择、园地规划、园地开垦、种植、土壤管理、水分管理、施肥管理、整型修剪、病虫害综合防治以及采收、加工、分级和包装等过程。标准的发布及实施对提高小粒种咖啡产量与质量，增加经济效益发挥了极大作用。但随着气候变化、咖啡消费市场对精品咖啡需求的增加，种植海拔从原来的1000m提升至1600m，生态环境的不断变化以及咖啡种植区域的扩展和种植模式的改变，加之我国推进绿色发展的要求，咖啡栽培必须注重采用绿色防控技术、走绿色发展之路。现行标准NY/T 922-2004《咖啡栽培技术规程》已满足不了当下咖啡栽培技术要求。</w:t>
      </w:r>
    </w:p>
    <w:p w14:paraId="0AC77B1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仿宋_GB2312"/>
          <w:sz w:val="24"/>
          <w:szCs w:val="32"/>
        </w:rPr>
      </w:pPr>
      <w:r>
        <w:rPr>
          <w:rFonts w:hint="eastAsia" w:eastAsia="仿宋_GB2312"/>
          <w:sz w:val="24"/>
          <w:szCs w:val="32"/>
        </w:rPr>
        <w:t>为了给当前咖啡生产提供技术支撑，有必要对NY/T 922-2004《咖啡栽培技术规程》进行修订，使其更具可操作性，更好地为小粒种咖啡生产服务。</w:t>
      </w:r>
    </w:p>
    <w:p w14:paraId="6D07655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eastAsia="楷体_GB2312" w:cs="Times New Roman"/>
          <w:b/>
          <w:bCs/>
          <w:sz w:val="24"/>
          <w:szCs w:val="32"/>
        </w:rPr>
      </w:pPr>
      <w:r>
        <w:rPr>
          <w:rFonts w:ascii="Times New Roman" w:hAnsi="Times New Roman" w:eastAsia="楷体_GB2312" w:cs="Times New Roman"/>
          <w:b/>
          <w:bCs/>
          <w:sz w:val="24"/>
          <w:szCs w:val="32"/>
        </w:rPr>
        <w:t>（二）起草单位</w:t>
      </w:r>
      <w:r>
        <w:rPr>
          <w:rFonts w:hint="eastAsia" w:ascii="Times New Roman" w:hAnsi="Times New Roman" w:eastAsia="楷体_GB2312" w:cs="Times New Roman"/>
          <w:b/>
          <w:bCs/>
          <w:sz w:val="24"/>
          <w:szCs w:val="32"/>
        </w:rPr>
        <w:t>情况</w:t>
      </w:r>
    </w:p>
    <w:p w14:paraId="724B35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Times New Roman"/>
          <w:sz w:val="24"/>
          <w:szCs w:val="32"/>
          <w:lang w:eastAsia="zh-CN"/>
        </w:rPr>
      </w:pPr>
      <w:r>
        <w:rPr>
          <w:rFonts w:hint="eastAsia" w:ascii="Times New Roman" w:hAnsi="Times New Roman" w:eastAsia="仿宋_GB2312" w:cs="Times New Roman"/>
          <w:b/>
          <w:bCs/>
          <w:sz w:val="24"/>
          <w:szCs w:val="32"/>
          <w:lang w:val="en-US" w:eastAsia="zh-CN"/>
        </w:rPr>
        <w:t xml:space="preserve">1.云南省热带作物学会 </w:t>
      </w:r>
      <w:r>
        <w:rPr>
          <w:rFonts w:hint="eastAsia" w:ascii="Times New Roman" w:hAnsi="Times New Roman" w:eastAsia="仿宋_GB2312" w:cs="Times New Roman"/>
          <w:sz w:val="24"/>
          <w:szCs w:val="32"/>
        </w:rPr>
        <w:t>隶属云南省科学技术协会</w:t>
      </w:r>
      <w:r>
        <w:rPr>
          <w:rFonts w:hint="eastAsia" w:ascii="Times New Roman" w:hAnsi="Times New Roman" w:eastAsia="仿宋_GB2312" w:cs="Times New Roman"/>
          <w:sz w:val="24"/>
          <w:szCs w:val="32"/>
          <w:lang w:eastAsia="zh-CN"/>
        </w:rPr>
        <w:t>，由从事热带作物科研、教育、生产经营的企事业单位、依法登记成立的全省性、学术性、具有社会团体法人资格的非盈利性AAAA级社会组织。学会下设办事机构4个（秘书处、科技咨询服务部、标准化技术委员会和云南省热带作物科学技术奖励办公室）现有个人会员553人，单位团体会员83个。近年来，学会以习近平新时代中国特色社会主义思想为指导，围绕云南高原特色现代热带农业高质量发展的实际需要，面向生产、面向企业积极开展学术研讨、承接政府转移职能、产业发展情况调研和科技咨询与培训服务等方面工作。自2022年6月起学会承接了云南省咖啡产业专家组日常业务工作，学会理事长作为专家组副组长，长期为政府有关部门提供咖啡产业科技咨询，为企业、农户提供咖啡专业技术指导。学会与云南省德宏热带农业科学研究所共同完成的应用技术成果“云南咖啡产业提升关键技术研发集成与应用”2013年获云南省科学技术奖三等奖；学会与中国热带农业科学院农产品加工研究所共同完成的应用技术成果“咖啡及制品标准体系的建立与应用”2019年获海南省科学技术进步二等奖。综上所述，项目的前期工作基础十分扎实。</w:t>
      </w:r>
    </w:p>
    <w:p w14:paraId="59098DD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rPr>
      </w:pPr>
      <w:r>
        <w:rPr>
          <w:rFonts w:hint="eastAsia" w:ascii="Times New Roman" w:hAnsi="Times New Roman" w:eastAsia="仿宋_GB2312" w:cs="Times New Roman"/>
          <w:sz w:val="24"/>
          <w:szCs w:val="32"/>
          <w:lang w:eastAsia="zh-CN"/>
        </w:rPr>
        <w:t>2005年以来，学会组织制定云南省地方标准11项，制定国家农业行业标准3项，修订国家农业行业标准2项，制定发布团体标准40余项；出版技术专著1部。2023年，由学会牵头修订了云南省地方标准《小粒种咖啡》（DB53/T 149.1～9-2023），标准涵盖了我省咖啡产业从种子到杯品的全产业链，成为指导云南咖啡产业高质量发展的重要系列标准。2024年，学会申申请并获批了云南省科学技术协会科技社团能力服务创新发展项目“云南省地方标准《小粒种咖啡》（DB53/T 149.1～9-2023）系列标准宣贯培训”，在省农业农村厅的支持和指导下，开展二期培训，培训咖啡产业技术骨干145人，显著提升了云南咖啡产业的标准化水平，为有效提升我省咖啡产业“两率”奠定了坚实基础。2024年学会参与申报了咖啡烘焙、冲煮、杯品等赛事省地方标准3项；咖啡从业人员职业技能要求与评价等省地方标准5项，申报项目已顺利通过专家评审。综上所述，学会近年来在咖啡产业标准化方面工作业绩十分突出。</w:t>
      </w:r>
    </w:p>
    <w:p w14:paraId="618F507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Times New Roman"/>
          <w:sz w:val="24"/>
          <w:szCs w:val="32"/>
        </w:rPr>
      </w:pPr>
      <w:r>
        <w:rPr>
          <w:rFonts w:hint="eastAsia" w:ascii="Times New Roman" w:hAnsi="Times New Roman" w:eastAsia="仿宋_GB2312" w:cs="Times New Roman"/>
          <w:b/>
          <w:bCs/>
          <w:sz w:val="24"/>
          <w:szCs w:val="32"/>
          <w:lang w:val="en-US" w:eastAsia="zh-CN"/>
        </w:rPr>
        <w:t>2.</w:t>
      </w:r>
      <w:r>
        <w:rPr>
          <w:rFonts w:hint="eastAsia" w:ascii="Times New Roman" w:hAnsi="Times New Roman" w:eastAsia="仿宋_GB2312" w:cs="Times New Roman"/>
          <w:b/>
          <w:bCs/>
          <w:sz w:val="24"/>
          <w:szCs w:val="32"/>
        </w:rPr>
        <w:t>云南省德宏热带农业科学研究所</w:t>
      </w:r>
      <w:r>
        <w:rPr>
          <w:rFonts w:hint="eastAsia" w:ascii="Times New Roman" w:hAnsi="Times New Roman" w:eastAsia="仿宋_GB2312" w:cs="Times New Roman"/>
          <w:b/>
          <w:bCs/>
          <w:sz w:val="24"/>
          <w:szCs w:val="32"/>
          <w:lang w:val="en-US" w:eastAsia="zh-CN"/>
        </w:rPr>
        <w:t xml:space="preserve"> </w:t>
      </w:r>
      <w:r>
        <w:rPr>
          <w:rFonts w:hint="eastAsia" w:ascii="Times New Roman" w:hAnsi="Times New Roman" w:eastAsia="仿宋_GB2312" w:cs="Times New Roman"/>
          <w:sz w:val="24"/>
          <w:szCs w:val="32"/>
          <w:lang w:val="en-US" w:eastAsia="zh-CN"/>
        </w:rPr>
        <w:t xml:space="preserve"> 1962年成立，隶属是云南省农垦局，为公益一类研究所，全所在职职工98人，其中：专业技术人员77人，其中高级职称24人，博士学历1人，硕士学历35人，国务院政府特殊津贴1人，云南省有突出贡献优秀专业技术人才2人，省技术创新人才5人，省创新人才培养对象5人；全所占地1470亩，其中科研试验示范基地1300余亩，温室设施12000㎡；建有国家热带作物种质库分库1个、农业农村部种质资源圃2个，国家级现代农业技术体系综合试验站2个，与云南农业大学共建省级重点实验室1个，获国家级、省部级奖励9项，先后与省内外10余个州（市）及200多家企业签订合作协议，深入开展成果转化与技术服务。云南省德宏热带农业科学研究所自1967年始以咖啡为研究对象，历时50多年攻关，奋力突破种质创新、品种选育、技术配套三大瓶颈，构建了咖啡种业自主创新体系，助力云南咖啡产业从“种质依赖”到“种源自主”跨越，为国家咖啡种质资源安全和特色产业振兴提供了核心支撑，建立了我国最大且唯一通过农业农村部认定的咖啡种质资源圃，保存小粒种、中粒种、大粒种、丁香等10个种类种质952份，以“优质与高产结合，突出抗锈病选育”的育种思路，培育优良品种14个，其中国审品种6个，省级审定（鉴定）品种3个，制定咖啡栽培、病虫害防治及品种试验、审定、种质评价、抗性鉴定、性状测试等8项农业行业技术标准，小粒种咖啡品种选择、种苗生产、种植管理等3项云南省地方标准，构建了全国、全省咖啡种业创新标准技术体系；自1988年起，云南省德宏热带农业科学研究所选育的咖啡良种推广面积一直占全省种植规模80%以上；长期开展国际交流合作，建立国家级唯一的咖啡品种选育国际合作基地</w:t>
      </w:r>
      <w:r>
        <w:rPr>
          <w:rFonts w:hint="eastAsia" w:ascii="Times New Roman" w:hAnsi="Times New Roman" w:eastAsia="仿宋_GB2312" w:cs="Times New Roman"/>
          <w:sz w:val="24"/>
          <w:szCs w:val="32"/>
        </w:rPr>
        <w:t>。</w:t>
      </w:r>
    </w:p>
    <w:p w14:paraId="5A3628F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rPr>
      </w:pPr>
      <w:r>
        <w:rPr>
          <w:rFonts w:hint="eastAsia" w:ascii="Times New Roman" w:hAnsi="Times New Roman" w:eastAsia="仿宋_GB2312" w:cs="Times New Roman"/>
          <w:b/>
          <w:bCs/>
          <w:sz w:val="24"/>
          <w:szCs w:val="32"/>
          <w:lang w:val="en-US" w:eastAsia="zh-CN"/>
        </w:rPr>
        <w:t>3.</w:t>
      </w:r>
      <w:r>
        <w:rPr>
          <w:rFonts w:hint="eastAsia" w:ascii="Times New Roman" w:hAnsi="Times New Roman" w:eastAsia="仿宋_GB2312" w:cs="Times New Roman"/>
          <w:b/>
          <w:bCs/>
          <w:sz w:val="24"/>
          <w:szCs w:val="32"/>
        </w:rPr>
        <w:t>中国热带农业科学院香料饮料研究所</w:t>
      </w:r>
      <w:r>
        <w:rPr>
          <w:rFonts w:hint="eastAsia" w:ascii="Times New Roman" w:hAnsi="Times New Roman" w:eastAsia="仿宋_GB2312" w:cs="Times New Roman"/>
          <w:sz w:val="24"/>
          <w:szCs w:val="32"/>
          <w:lang w:eastAsia="zh-CN"/>
        </w:rPr>
        <w:t>，</w:t>
      </w:r>
      <w:r>
        <w:rPr>
          <w:rFonts w:hint="eastAsia" w:ascii="Times New Roman" w:hAnsi="Times New Roman" w:eastAsia="仿宋_GB2312" w:cs="Times New Roman"/>
          <w:sz w:val="24"/>
          <w:szCs w:val="32"/>
        </w:rPr>
        <w:t>创建于1957年，隶属农业农村部中国热带农业科学院，是我国整建制专业从事胡椒、咖啡、香草兰、可可、草果等热带香料饮料作物的国家级科研机构。现有职工110人，其中高级职称人员41人，博士28人，硕士50人。拥有万宁兴隆、南桥高龙、长丰和琼海大路等4个试验示范基地，总面积1032亩，已建成集科研试验、产品开发、科普示范、为一体的一二三产融合发展的“六次产业”示范基地。拥有国家重要热带作物工程技术研究中心、国家热带香料饮料作物种质资源圃（库）、省部重点实验室、中非现代农业技术交流示范和培训联合中心、海南省院士创新平台、海南省技术创新中心、海南省农业科技110服务站等科技创新平台。配备各类科研仪器设备1508台/套，总价值1.1亿元。附属所办企业海南兴科热带作物工程技术有限公司（国家高新技术企业、国家知识产权优势企业）。建所以来，已取得科研成果300多项，其中获国家级、省部级成果奖励54项；获授权植物新品种权2项，通过审（认）定品种11个，制定技术标准110项；发表论文1520多篇、出版专著85部；研制出特色热带香料饮料作物产品12大系列400多种，获授权专利168件。利用科研优势，通过科技110香料饮料服务站、示范基地建设、挂职科技副镇长、所地所企合作、科研项目带动等模式，年组织专家100多人次深入海南、云南等我国主要热区开展科技咨询和技术培训服务，助力热区农民脱贫致富。促进我国胡椒、咖啡等热带香料饮料作物产业持续发展，涌现出“中国胡椒之乡”“中国咖啡之都”等特色作物产业，以及“兴隆咖啡” “福山咖啡” “昌农胡椒”等特色农产品品牌，推动了产业向优质、高效方向发展，取得显著的经济、社会效益。</w:t>
      </w:r>
    </w:p>
    <w:p w14:paraId="0D0F0B17">
      <w:pPr>
        <w:spacing w:line="560" w:lineRule="exact"/>
        <w:ind w:firstLine="482" w:firstLineChars="200"/>
        <w:rPr>
          <w:rFonts w:hint="eastAsia" w:ascii="Times New Roman" w:hAnsi="Times New Roman" w:eastAsia="仿宋_GB2312" w:cs="Times New Roman"/>
          <w:sz w:val="24"/>
          <w:szCs w:val="32"/>
          <w:lang w:eastAsia="zh-CN"/>
        </w:rPr>
      </w:pPr>
      <w:r>
        <w:rPr>
          <w:rFonts w:hint="eastAsia" w:ascii="Times New Roman" w:hAnsi="Times New Roman" w:eastAsia="仿宋_GB2312" w:cs="Times New Roman"/>
          <w:b/>
          <w:bCs/>
          <w:sz w:val="24"/>
          <w:szCs w:val="32"/>
          <w:lang w:val="en-US" w:eastAsia="zh-CN"/>
        </w:rPr>
        <w:t>4.云南省农业工程研究设计院，</w:t>
      </w:r>
      <w:r>
        <w:rPr>
          <w:rFonts w:hint="eastAsia" w:ascii="Times New Roman" w:hAnsi="Times New Roman" w:eastAsia="仿宋_GB2312" w:cs="Times New Roman"/>
          <w:sz w:val="24"/>
          <w:szCs w:val="32"/>
        </w:rPr>
        <w:t>公益二类事业单位，隶属于云南省农垦总局，主要职能和业务范围：热作经济开发利用技术咨询服务；农业资源调查与开发利用研究；乡村振兴示范区建设规划、美丽乡村建设规划、村镇总体规划；土地利用开发、整理规划及复垦整治设计；区域性农业产业发展规划、农业综合开发研究；农业面源污染防治咨询与设计；农业建设项目咨询与设计；农业工程设计；民用建筑设计等</w:t>
      </w:r>
      <w:r>
        <w:rPr>
          <w:rFonts w:hint="eastAsia" w:ascii="Times New Roman" w:hAnsi="Times New Roman" w:eastAsia="仿宋_GB2312" w:cs="Times New Roman"/>
          <w:sz w:val="24"/>
          <w:szCs w:val="32"/>
          <w:lang w:eastAsia="zh-CN"/>
        </w:rPr>
        <w:t>。</w:t>
      </w:r>
    </w:p>
    <w:p w14:paraId="53C53B9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rPr>
      </w:pPr>
    </w:p>
    <w:p w14:paraId="34E4998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rPr>
      </w:pPr>
      <w:r>
        <w:rPr>
          <w:rFonts w:hint="eastAsia" w:ascii="Times New Roman" w:hAnsi="Times New Roman" w:eastAsia="黑体" w:cs="Times New Roman"/>
          <w:bCs/>
          <w:kern w:val="44"/>
          <w:sz w:val="21"/>
          <w:szCs w:val="24"/>
        </w:rPr>
        <w:t>表1  标准主要修订人员参与人员姓名、单位、分工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340"/>
        <w:gridCol w:w="2232"/>
        <w:gridCol w:w="2316"/>
        <w:gridCol w:w="2106"/>
      </w:tblGrid>
      <w:tr w14:paraId="32F3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single" w:color="000000" w:sz="12" w:space="0"/>
              <w:left w:val="nil"/>
              <w:bottom w:val="single" w:color="000000" w:sz="4" w:space="0"/>
              <w:right w:val="nil"/>
              <w:tl2br w:val="nil"/>
            </w:tcBorders>
            <w:shd w:val="clear" w:color="auto" w:fill="FFFFFF"/>
            <w:vAlign w:val="center"/>
          </w:tcPr>
          <w:p w14:paraId="0CE1F3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bCs/>
                <w:color w:val="000000"/>
                <w:kern w:val="0"/>
                <w:sz w:val="21"/>
                <w:szCs w:val="21"/>
                <w:lang w:val="en-US" w:eastAsia="zh-CN" w:bidi="ar"/>
              </w:rPr>
            </w:pPr>
            <w:r>
              <w:rPr>
                <w:rFonts w:hint="eastAsia" w:ascii="方正仿宋_GB2312" w:hAnsi="方正仿宋_GB2312" w:eastAsia="方正仿宋_GB2312" w:cs="方正仿宋_GB2312"/>
                <w:b/>
                <w:bCs/>
                <w:color w:val="000000"/>
                <w:kern w:val="0"/>
                <w:sz w:val="21"/>
                <w:szCs w:val="21"/>
                <w:lang w:val="en-US" w:eastAsia="zh-CN" w:bidi="ar"/>
              </w:rPr>
              <w:t>序号</w:t>
            </w:r>
          </w:p>
        </w:tc>
        <w:tc>
          <w:tcPr>
            <w:tcW w:w="1340" w:type="dxa"/>
            <w:tcBorders>
              <w:top w:val="single" w:color="000000" w:sz="12" w:space="0"/>
              <w:left w:val="nil"/>
              <w:bottom w:val="single" w:color="000000" w:sz="4" w:space="0"/>
              <w:right w:val="nil"/>
            </w:tcBorders>
            <w:shd w:val="clear" w:color="auto" w:fill="FFFFFF"/>
            <w:vAlign w:val="center"/>
          </w:tcPr>
          <w:p w14:paraId="534DB5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bCs/>
                <w:color w:val="000000"/>
                <w:kern w:val="0"/>
                <w:sz w:val="21"/>
                <w:szCs w:val="21"/>
                <w:lang w:val="en-US" w:eastAsia="zh-CN" w:bidi="ar"/>
              </w:rPr>
            </w:pPr>
            <w:r>
              <w:rPr>
                <w:rFonts w:hint="eastAsia" w:ascii="方正仿宋_GB2312" w:hAnsi="方正仿宋_GB2312" w:eastAsia="方正仿宋_GB2312" w:cs="方正仿宋_GB2312"/>
                <w:b/>
                <w:bCs/>
                <w:color w:val="000000"/>
                <w:kern w:val="0"/>
                <w:sz w:val="21"/>
                <w:szCs w:val="21"/>
                <w:lang w:val="en-US" w:eastAsia="zh-CN" w:bidi="ar"/>
              </w:rPr>
              <w:t>姓名</w:t>
            </w:r>
          </w:p>
        </w:tc>
        <w:tc>
          <w:tcPr>
            <w:tcW w:w="2232" w:type="dxa"/>
            <w:tcBorders>
              <w:top w:val="single" w:color="000000" w:sz="12" w:space="0"/>
              <w:left w:val="nil"/>
              <w:bottom w:val="single" w:color="000000" w:sz="4" w:space="0"/>
              <w:right w:val="nil"/>
            </w:tcBorders>
            <w:shd w:val="clear" w:color="auto" w:fill="FFFFFF"/>
            <w:vAlign w:val="center"/>
          </w:tcPr>
          <w:p w14:paraId="674142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bCs/>
                <w:color w:val="000000"/>
                <w:kern w:val="0"/>
                <w:sz w:val="21"/>
                <w:szCs w:val="21"/>
                <w:lang w:val="en-US" w:eastAsia="zh-CN" w:bidi="ar"/>
              </w:rPr>
            </w:pPr>
            <w:r>
              <w:rPr>
                <w:rFonts w:hint="eastAsia" w:ascii="方正仿宋_GB2312" w:hAnsi="方正仿宋_GB2312" w:eastAsia="方正仿宋_GB2312" w:cs="方正仿宋_GB2312"/>
                <w:b/>
                <w:bCs/>
                <w:color w:val="000000"/>
                <w:kern w:val="0"/>
                <w:sz w:val="21"/>
                <w:szCs w:val="21"/>
                <w:lang w:val="en-US" w:eastAsia="zh-CN" w:bidi="ar"/>
              </w:rPr>
              <w:t>工作单位</w:t>
            </w:r>
          </w:p>
        </w:tc>
        <w:tc>
          <w:tcPr>
            <w:tcW w:w="2316" w:type="dxa"/>
            <w:tcBorders>
              <w:top w:val="single" w:color="000000" w:sz="12" w:space="0"/>
              <w:left w:val="nil"/>
              <w:bottom w:val="single" w:color="000000" w:sz="4" w:space="0"/>
              <w:right w:val="nil"/>
            </w:tcBorders>
            <w:shd w:val="clear" w:color="auto" w:fill="FFFFFF"/>
            <w:vAlign w:val="center"/>
          </w:tcPr>
          <w:p w14:paraId="4D9EA0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bCs/>
                <w:color w:val="000000"/>
                <w:kern w:val="0"/>
                <w:sz w:val="21"/>
                <w:szCs w:val="21"/>
                <w:lang w:val="en-US" w:eastAsia="zh-CN" w:bidi="ar"/>
              </w:rPr>
            </w:pPr>
            <w:r>
              <w:rPr>
                <w:rFonts w:hint="eastAsia" w:ascii="方正仿宋_GB2312" w:hAnsi="方正仿宋_GB2312" w:eastAsia="方正仿宋_GB2312" w:cs="方正仿宋_GB2312"/>
                <w:b/>
                <w:bCs/>
                <w:color w:val="000000"/>
                <w:kern w:val="0"/>
                <w:sz w:val="21"/>
                <w:szCs w:val="21"/>
                <w:lang w:val="en-US" w:eastAsia="zh-CN" w:bidi="ar"/>
              </w:rPr>
              <w:t>研究方向</w:t>
            </w:r>
          </w:p>
        </w:tc>
        <w:tc>
          <w:tcPr>
            <w:tcW w:w="0" w:type="auto"/>
            <w:tcBorders>
              <w:top w:val="single" w:color="000000" w:sz="12" w:space="0"/>
              <w:left w:val="nil"/>
              <w:bottom w:val="single" w:color="000000" w:sz="4" w:space="0"/>
              <w:right w:val="nil"/>
            </w:tcBorders>
            <w:shd w:val="clear" w:color="auto" w:fill="FFFFFF"/>
            <w:vAlign w:val="center"/>
          </w:tcPr>
          <w:p w14:paraId="597D31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bCs/>
                <w:color w:val="000000"/>
                <w:kern w:val="0"/>
                <w:sz w:val="21"/>
                <w:szCs w:val="21"/>
                <w:lang w:val="en-US" w:eastAsia="zh-CN" w:bidi="ar"/>
              </w:rPr>
            </w:pPr>
            <w:r>
              <w:rPr>
                <w:rFonts w:hint="eastAsia" w:ascii="方正仿宋_GB2312" w:hAnsi="方正仿宋_GB2312" w:eastAsia="方正仿宋_GB2312" w:cs="方正仿宋_GB2312"/>
                <w:b/>
                <w:bCs/>
                <w:color w:val="000000"/>
                <w:kern w:val="0"/>
                <w:sz w:val="21"/>
                <w:szCs w:val="21"/>
                <w:lang w:val="en-US" w:eastAsia="zh-CN" w:bidi="ar"/>
              </w:rPr>
              <w:t>任务分工</w:t>
            </w:r>
          </w:p>
        </w:tc>
      </w:tr>
      <w:tr w14:paraId="49AA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nil"/>
              <w:bottom w:val="nil"/>
              <w:right w:val="nil"/>
            </w:tcBorders>
            <w:shd w:val="clear" w:color="auto" w:fill="FFFFFF"/>
            <w:vAlign w:val="center"/>
          </w:tcPr>
          <w:p w14:paraId="47550CC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1</w:t>
            </w:r>
          </w:p>
        </w:tc>
        <w:tc>
          <w:tcPr>
            <w:tcW w:w="1340" w:type="dxa"/>
            <w:tcBorders>
              <w:top w:val="single" w:color="000000" w:sz="4" w:space="0"/>
              <w:left w:val="nil"/>
              <w:bottom w:val="nil"/>
              <w:right w:val="nil"/>
            </w:tcBorders>
            <w:shd w:val="clear" w:color="auto" w:fill="FFFFFF"/>
            <w:vAlign w:val="center"/>
          </w:tcPr>
          <w:p w14:paraId="24D8291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白学慧</w:t>
            </w:r>
          </w:p>
        </w:tc>
        <w:tc>
          <w:tcPr>
            <w:tcW w:w="2232" w:type="dxa"/>
            <w:tcBorders>
              <w:top w:val="single" w:color="000000" w:sz="4" w:space="0"/>
              <w:left w:val="nil"/>
              <w:bottom w:val="nil"/>
              <w:right w:val="nil"/>
            </w:tcBorders>
            <w:shd w:val="clear" w:color="auto" w:fill="FFFFFF"/>
            <w:vAlign w:val="center"/>
          </w:tcPr>
          <w:p w14:paraId="13AD99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single" w:color="000000" w:sz="4" w:space="0"/>
              <w:left w:val="nil"/>
              <w:bottom w:val="nil"/>
              <w:right w:val="nil"/>
            </w:tcBorders>
            <w:shd w:val="clear" w:color="auto" w:fill="FFFFFF"/>
            <w:vAlign w:val="center"/>
          </w:tcPr>
          <w:p w14:paraId="05D809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咖啡抗病育种</w:t>
            </w:r>
          </w:p>
        </w:tc>
        <w:tc>
          <w:tcPr>
            <w:tcW w:w="0" w:type="auto"/>
            <w:tcBorders>
              <w:top w:val="single" w:color="000000" w:sz="4" w:space="0"/>
              <w:left w:val="nil"/>
              <w:bottom w:val="nil"/>
              <w:right w:val="nil"/>
            </w:tcBorders>
            <w:shd w:val="clear" w:color="auto" w:fill="FFFFFF"/>
          </w:tcPr>
          <w:p w14:paraId="4BEFCD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项目负责人</w:t>
            </w:r>
          </w:p>
        </w:tc>
      </w:tr>
      <w:tr w14:paraId="72D4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70492B6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2</w:t>
            </w:r>
          </w:p>
        </w:tc>
        <w:tc>
          <w:tcPr>
            <w:tcW w:w="1340" w:type="dxa"/>
            <w:tcBorders>
              <w:top w:val="nil"/>
              <w:left w:val="nil"/>
              <w:bottom w:val="nil"/>
              <w:right w:val="nil"/>
            </w:tcBorders>
            <w:shd w:val="clear" w:color="auto" w:fill="FFFFFF"/>
            <w:vAlign w:val="center"/>
          </w:tcPr>
          <w:p w14:paraId="4213576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马关润</w:t>
            </w:r>
          </w:p>
        </w:tc>
        <w:tc>
          <w:tcPr>
            <w:tcW w:w="2232" w:type="dxa"/>
            <w:tcBorders>
              <w:top w:val="nil"/>
              <w:left w:val="nil"/>
              <w:bottom w:val="nil"/>
              <w:right w:val="nil"/>
            </w:tcBorders>
            <w:shd w:val="clear" w:color="auto" w:fill="FFFFFF"/>
            <w:vAlign w:val="center"/>
          </w:tcPr>
          <w:p w14:paraId="7B0BDE0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nil"/>
              <w:left w:val="nil"/>
              <w:bottom w:val="nil"/>
              <w:right w:val="nil"/>
            </w:tcBorders>
            <w:shd w:val="clear" w:color="auto" w:fill="FFFFFF"/>
            <w:vAlign w:val="center"/>
          </w:tcPr>
          <w:p w14:paraId="1150CE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咖啡栽培</w:t>
            </w:r>
          </w:p>
        </w:tc>
        <w:tc>
          <w:tcPr>
            <w:tcW w:w="0" w:type="auto"/>
            <w:tcBorders>
              <w:top w:val="nil"/>
              <w:left w:val="nil"/>
              <w:bottom w:val="nil"/>
              <w:right w:val="nil"/>
            </w:tcBorders>
            <w:shd w:val="clear" w:color="auto" w:fill="FFFFFF"/>
          </w:tcPr>
          <w:p w14:paraId="6406C58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标准文稿编写及修改</w:t>
            </w:r>
          </w:p>
        </w:tc>
      </w:tr>
      <w:tr w14:paraId="03D8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75E05AD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3</w:t>
            </w:r>
          </w:p>
        </w:tc>
        <w:tc>
          <w:tcPr>
            <w:tcW w:w="1340" w:type="dxa"/>
            <w:tcBorders>
              <w:top w:val="nil"/>
              <w:left w:val="nil"/>
              <w:bottom w:val="nil"/>
              <w:right w:val="nil"/>
            </w:tcBorders>
            <w:shd w:val="clear" w:color="auto" w:fill="FFFFFF"/>
            <w:vAlign w:val="center"/>
          </w:tcPr>
          <w:p w14:paraId="3B0AE8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李锦红</w:t>
            </w:r>
          </w:p>
        </w:tc>
        <w:tc>
          <w:tcPr>
            <w:tcW w:w="2232" w:type="dxa"/>
            <w:tcBorders>
              <w:top w:val="nil"/>
              <w:left w:val="nil"/>
              <w:bottom w:val="nil"/>
              <w:right w:val="nil"/>
            </w:tcBorders>
            <w:shd w:val="clear" w:color="auto" w:fill="FFFFFF"/>
            <w:vAlign w:val="center"/>
          </w:tcPr>
          <w:p w14:paraId="2C87D3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nil"/>
              <w:left w:val="nil"/>
              <w:bottom w:val="nil"/>
              <w:right w:val="nil"/>
            </w:tcBorders>
            <w:shd w:val="clear" w:color="auto" w:fill="FFFFFF"/>
          </w:tcPr>
          <w:p w14:paraId="71CC4E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咖啡育种</w:t>
            </w:r>
          </w:p>
        </w:tc>
        <w:tc>
          <w:tcPr>
            <w:tcW w:w="0" w:type="auto"/>
            <w:tcBorders>
              <w:top w:val="nil"/>
              <w:left w:val="nil"/>
              <w:bottom w:val="nil"/>
              <w:right w:val="nil"/>
            </w:tcBorders>
            <w:shd w:val="clear" w:color="auto" w:fill="FFFFFF"/>
            <w:vAlign w:val="center"/>
          </w:tcPr>
          <w:p w14:paraId="45FC872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标准文稿编写及修改</w:t>
            </w:r>
          </w:p>
        </w:tc>
      </w:tr>
      <w:tr w14:paraId="2D0E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66B6D09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4</w:t>
            </w:r>
          </w:p>
        </w:tc>
        <w:tc>
          <w:tcPr>
            <w:tcW w:w="1340" w:type="dxa"/>
            <w:tcBorders>
              <w:top w:val="nil"/>
              <w:left w:val="nil"/>
              <w:bottom w:val="nil"/>
              <w:right w:val="nil"/>
            </w:tcBorders>
            <w:shd w:val="clear" w:color="auto" w:fill="FFFFFF"/>
            <w:vAlign w:val="center"/>
          </w:tcPr>
          <w:p w14:paraId="0E6DE99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孙世伟</w:t>
            </w:r>
          </w:p>
        </w:tc>
        <w:tc>
          <w:tcPr>
            <w:tcW w:w="2232" w:type="dxa"/>
            <w:tcBorders>
              <w:top w:val="nil"/>
              <w:left w:val="nil"/>
              <w:bottom w:val="nil"/>
              <w:right w:val="nil"/>
            </w:tcBorders>
            <w:shd w:val="clear" w:color="auto" w:fill="FFFFFF"/>
            <w:vAlign w:val="center"/>
          </w:tcPr>
          <w:p w14:paraId="29A7BF9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中国热带农业科学院香料饮料研究所</w:t>
            </w:r>
          </w:p>
        </w:tc>
        <w:tc>
          <w:tcPr>
            <w:tcW w:w="2316" w:type="dxa"/>
            <w:tcBorders>
              <w:top w:val="nil"/>
              <w:left w:val="nil"/>
              <w:bottom w:val="nil"/>
              <w:right w:val="nil"/>
            </w:tcBorders>
            <w:shd w:val="clear" w:color="auto" w:fill="FFFFFF"/>
          </w:tcPr>
          <w:p w14:paraId="236DED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咖啡病虫害防控</w:t>
            </w:r>
          </w:p>
        </w:tc>
        <w:tc>
          <w:tcPr>
            <w:tcW w:w="0" w:type="auto"/>
            <w:tcBorders>
              <w:top w:val="nil"/>
              <w:left w:val="nil"/>
              <w:bottom w:val="nil"/>
              <w:right w:val="nil"/>
            </w:tcBorders>
            <w:shd w:val="clear" w:color="auto" w:fill="FFFFFF"/>
            <w:vAlign w:val="center"/>
          </w:tcPr>
          <w:p w14:paraId="4B378C4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资料收集整理</w:t>
            </w:r>
          </w:p>
        </w:tc>
      </w:tr>
      <w:tr w14:paraId="2AA1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72C9FA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5</w:t>
            </w:r>
          </w:p>
        </w:tc>
        <w:tc>
          <w:tcPr>
            <w:tcW w:w="1340" w:type="dxa"/>
            <w:tcBorders>
              <w:top w:val="nil"/>
              <w:left w:val="nil"/>
              <w:bottom w:val="nil"/>
              <w:right w:val="nil"/>
            </w:tcBorders>
            <w:shd w:val="clear" w:color="auto" w:fill="FFFFFF"/>
            <w:vAlign w:val="center"/>
          </w:tcPr>
          <w:p w14:paraId="498D0E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刘  成</w:t>
            </w:r>
          </w:p>
        </w:tc>
        <w:tc>
          <w:tcPr>
            <w:tcW w:w="2232" w:type="dxa"/>
            <w:tcBorders>
              <w:top w:val="nil"/>
              <w:left w:val="nil"/>
              <w:bottom w:val="nil"/>
              <w:right w:val="nil"/>
            </w:tcBorders>
            <w:shd w:val="clear" w:color="auto" w:fill="FFFFFF"/>
            <w:vAlign w:val="center"/>
          </w:tcPr>
          <w:p w14:paraId="4371B7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nil"/>
              <w:left w:val="nil"/>
              <w:bottom w:val="nil"/>
              <w:right w:val="nil"/>
            </w:tcBorders>
            <w:shd w:val="clear" w:color="auto" w:fill="FFFFFF"/>
            <w:vAlign w:val="center"/>
          </w:tcPr>
          <w:p w14:paraId="7C8F73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咖啡育种</w:t>
            </w:r>
          </w:p>
        </w:tc>
        <w:tc>
          <w:tcPr>
            <w:tcW w:w="0" w:type="auto"/>
            <w:tcBorders>
              <w:top w:val="nil"/>
              <w:left w:val="nil"/>
              <w:bottom w:val="nil"/>
              <w:right w:val="nil"/>
            </w:tcBorders>
            <w:shd w:val="clear" w:color="auto" w:fill="FFFFFF"/>
          </w:tcPr>
          <w:p w14:paraId="264470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标准文稿编写及修改</w:t>
            </w:r>
          </w:p>
        </w:tc>
      </w:tr>
      <w:tr w14:paraId="4DAA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60C710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6</w:t>
            </w:r>
          </w:p>
        </w:tc>
        <w:tc>
          <w:tcPr>
            <w:tcW w:w="1340" w:type="dxa"/>
            <w:tcBorders>
              <w:top w:val="nil"/>
              <w:left w:val="nil"/>
              <w:bottom w:val="nil"/>
              <w:right w:val="nil"/>
            </w:tcBorders>
            <w:shd w:val="clear" w:color="auto" w:fill="FFFFFF"/>
            <w:vAlign w:val="center"/>
          </w:tcPr>
          <w:p w14:paraId="4FE35CE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林兴军</w:t>
            </w:r>
          </w:p>
        </w:tc>
        <w:tc>
          <w:tcPr>
            <w:tcW w:w="2232" w:type="dxa"/>
            <w:tcBorders>
              <w:top w:val="nil"/>
              <w:left w:val="nil"/>
              <w:bottom w:val="nil"/>
              <w:right w:val="nil"/>
            </w:tcBorders>
            <w:shd w:val="clear" w:color="auto" w:fill="FFFFFF"/>
            <w:vAlign w:val="center"/>
          </w:tcPr>
          <w:p w14:paraId="606FDD1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中国热带农业科学院香料饮料研究所</w:t>
            </w:r>
          </w:p>
        </w:tc>
        <w:tc>
          <w:tcPr>
            <w:tcW w:w="2316" w:type="dxa"/>
            <w:tcBorders>
              <w:top w:val="nil"/>
              <w:left w:val="nil"/>
              <w:bottom w:val="nil"/>
              <w:right w:val="nil"/>
            </w:tcBorders>
            <w:shd w:val="clear" w:color="auto" w:fill="FFFFFF"/>
          </w:tcPr>
          <w:p w14:paraId="3E8186A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咖啡栽培</w:t>
            </w:r>
          </w:p>
        </w:tc>
        <w:tc>
          <w:tcPr>
            <w:tcW w:w="0" w:type="auto"/>
            <w:tcBorders>
              <w:top w:val="nil"/>
              <w:left w:val="nil"/>
              <w:bottom w:val="nil"/>
              <w:right w:val="nil"/>
            </w:tcBorders>
            <w:shd w:val="clear" w:color="auto" w:fill="FFFFFF"/>
            <w:vAlign w:val="center"/>
          </w:tcPr>
          <w:p w14:paraId="0A17C9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资料收集整理</w:t>
            </w:r>
          </w:p>
        </w:tc>
      </w:tr>
      <w:tr w14:paraId="4CBB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636341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7</w:t>
            </w:r>
          </w:p>
        </w:tc>
        <w:tc>
          <w:tcPr>
            <w:tcW w:w="1340" w:type="dxa"/>
            <w:tcBorders>
              <w:top w:val="nil"/>
              <w:left w:val="nil"/>
              <w:bottom w:val="nil"/>
              <w:right w:val="nil"/>
            </w:tcBorders>
            <w:shd w:val="clear" w:color="auto" w:fill="FFFFFF"/>
            <w:vAlign w:val="center"/>
          </w:tcPr>
          <w:p w14:paraId="71D0EAE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程金焕</w:t>
            </w:r>
          </w:p>
        </w:tc>
        <w:tc>
          <w:tcPr>
            <w:tcW w:w="2232" w:type="dxa"/>
            <w:tcBorders>
              <w:top w:val="nil"/>
              <w:left w:val="nil"/>
              <w:bottom w:val="nil"/>
              <w:right w:val="nil"/>
            </w:tcBorders>
            <w:shd w:val="clear" w:color="auto" w:fill="FFFFFF"/>
            <w:vAlign w:val="center"/>
          </w:tcPr>
          <w:p w14:paraId="76D07B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云南省农业工程研究设计院</w:t>
            </w:r>
          </w:p>
        </w:tc>
        <w:tc>
          <w:tcPr>
            <w:tcW w:w="2316" w:type="dxa"/>
            <w:tcBorders>
              <w:top w:val="nil"/>
              <w:left w:val="nil"/>
              <w:bottom w:val="nil"/>
              <w:right w:val="nil"/>
            </w:tcBorders>
            <w:shd w:val="clear" w:color="auto" w:fill="FFFFFF"/>
          </w:tcPr>
          <w:p w14:paraId="3723B5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咖啡园规划</w:t>
            </w:r>
          </w:p>
        </w:tc>
        <w:tc>
          <w:tcPr>
            <w:tcW w:w="0" w:type="auto"/>
            <w:tcBorders>
              <w:top w:val="nil"/>
              <w:left w:val="nil"/>
              <w:bottom w:val="nil"/>
              <w:right w:val="nil"/>
            </w:tcBorders>
            <w:shd w:val="clear" w:color="auto" w:fill="FFFFFF"/>
            <w:vAlign w:val="center"/>
          </w:tcPr>
          <w:p w14:paraId="7006B7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资料收集整理</w:t>
            </w:r>
          </w:p>
        </w:tc>
      </w:tr>
      <w:tr w14:paraId="1044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167E7A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8</w:t>
            </w:r>
          </w:p>
        </w:tc>
        <w:tc>
          <w:tcPr>
            <w:tcW w:w="1340" w:type="dxa"/>
            <w:tcBorders>
              <w:top w:val="nil"/>
              <w:left w:val="nil"/>
              <w:bottom w:val="nil"/>
              <w:right w:val="nil"/>
            </w:tcBorders>
            <w:shd w:val="clear" w:color="auto" w:fill="FFFFFF"/>
            <w:vAlign w:val="center"/>
          </w:tcPr>
          <w:p w14:paraId="0D2F24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李维锐</w:t>
            </w:r>
          </w:p>
        </w:tc>
        <w:tc>
          <w:tcPr>
            <w:tcW w:w="2232" w:type="dxa"/>
            <w:tcBorders>
              <w:top w:val="nil"/>
              <w:left w:val="nil"/>
              <w:bottom w:val="nil"/>
              <w:right w:val="nil"/>
            </w:tcBorders>
            <w:shd w:val="clear" w:color="auto" w:fill="FFFFFF"/>
            <w:vAlign w:val="center"/>
          </w:tcPr>
          <w:p w14:paraId="649DB0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云南省热带作物学会</w:t>
            </w:r>
          </w:p>
        </w:tc>
        <w:tc>
          <w:tcPr>
            <w:tcW w:w="2316" w:type="dxa"/>
            <w:tcBorders>
              <w:top w:val="nil"/>
              <w:left w:val="nil"/>
              <w:bottom w:val="nil"/>
              <w:right w:val="nil"/>
            </w:tcBorders>
            <w:shd w:val="clear" w:color="auto" w:fill="FFFFFF"/>
          </w:tcPr>
          <w:p w14:paraId="107986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咖啡标准体系建设</w:t>
            </w:r>
          </w:p>
        </w:tc>
        <w:tc>
          <w:tcPr>
            <w:tcW w:w="0" w:type="auto"/>
            <w:tcBorders>
              <w:top w:val="nil"/>
              <w:left w:val="nil"/>
              <w:bottom w:val="nil"/>
              <w:right w:val="nil"/>
            </w:tcBorders>
            <w:shd w:val="clear" w:color="auto" w:fill="FFFFFF"/>
            <w:vAlign w:val="center"/>
          </w:tcPr>
          <w:p w14:paraId="213BDA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标准文稿编写及修改</w:t>
            </w:r>
          </w:p>
        </w:tc>
      </w:tr>
      <w:tr w14:paraId="7A38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539B3C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bookmarkStart w:id="2" w:name="_GoBack" w:colFirst="2" w:colLast="4"/>
            <w:r>
              <w:rPr>
                <w:rFonts w:hint="eastAsia" w:ascii="方正仿宋_GB2312" w:hAnsi="方正仿宋_GB2312" w:eastAsia="方正仿宋_GB2312" w:cs="方正仿宋_GB2312"/>
                <w:b w:val="0"/>
                <w:color w:val="000000"/>
                <w:kern w:val="0"/>
                <w:sz w:val="21"/>
                <w:szCs w:val="21"/>
                <w:lang w:val="en-US" w:eastAsia="zh-CN" w:bidi="ar"/>
              </w:rPr>
              <w:t>9</w:t>
            </w:r>
          </w:p>
        </w:tc>
        <w:tc>
          <w:tcPr>
            <w:tcW w:w="1340" w:type="dxa"/>
            <w:tcBorders>
              <w:top w:val="nil"/>
              <w:left w:val="nil"/>
              <w:bottom w:val="nil"/>
              <w:right w:val="nil"/>
            </w:tcBorders>
            <w:shd w:val="clear" w:color="auto" w:fill="FFFFFF"/>
            <w:vAlign w:val="center"/>
          </w:tcPr>
          <w:p w14:paraId="623A1AA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周华</w:t>
            </w:r>
          </w:p>
        </w:tc>
        <w:tc>
          <w:tcPr>
            <w:tcW w:w="2232" w:type="dxa"/>
            <w:tcBorders>
              <w:top w:val="nil"/>
              <w:left w:val="nil"/>
              <w:bottom w:val="nil"/>
              <w:right w:val="nil"/>
            </w:tcBorders>
            <w:shd w:val="clear" w:color="auto" w:fill="FFFFFF"/>
            <w:vAlign w:val="center"/>
          </w:tcPr>
          <w:p w14:paraId="428E3BF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nil"/>
              <w:left w:val="nil"/>
              <w:bottom w:val="nil"/>
              <w:right w:val="nil"/>
            </w:tcBorders>
            <w:shd w:val="clear" w:color="auto" w:fill="FFFFFF"/>
            <w:vAlign w:val="center"/>
          </w:tcPr>
          <w:p w14:paraId="1DE3FE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咖啡栽培</w:t>
            </w:r>
          </w:p>
        </w:tc>
        <w:tc>
          <w:tcPr>
            <w:tcW w:w="0" w:type="auto"/>
            <w:tcBorders>
              <w:top w:val="nil"/>
              <w:left w:val="nil"/>
              <w:bottom w:val="nil"/>
              <w:right w:val="nil"/>
            </w:tcBorders>
            <w:shd w:val="clear" w:color="auto" w:fill="FFFFFF"/>
            <w:vAlign w:val="top"/>
          </w:tcPr>
          <w:p w14:paraId="546346F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标准文稿编写及修改</w:t>
            </w:r>
          </w:p>
        </w:tc>
      </w:tr>
      <w:bookmarkEnd w:id="2"/>
      <w:tr w14:paraId="565A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2B4229D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10</w:t>
            </w:r>
          </w:p>
        </w:tc>
        <w:tc>
          <w:tcPr>
            <w:tcW w:w="1340" w:type="dxa"/>
            <w:tcBorders>
              <w:top w:val="nil"/>
              <w:left w:val="nil"/>
              <w:bottom w:val="nil"/>
              <w:right w:val="nil"/>
            </w:tcBorders>
            <w:shd w:val="clear" w:color="auto" w:fill="FFFFFF"/>
            <w:vAlign w:val="center"/>
          </w:tcPr>
          <w:p w14:paraId="244CD8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赵明珠</w:t>
            </w:r>
          </w:p>
        </w:tc>
        <w:tc>
          <w:tcPr>
            <w:tcW w:w="2232" w:type="dxa"/>
            <w:tcBorders>
              <w:top w:val="nil"/>
              <w:left w:val="nil"/>
              <w:bottom w:val="nil"/>
              <w:right w:val="nil"/>
            </w:tcBorders>
            <w:shd w:val="clear" w:color="auto" w:fill="FFFFFF"/>
            <w:vAlign w:val="center"/>
          </w:tcPr>
          <w:p w14:paraId="331F6E0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nil"/>
              <w:left w:val="nil"/>
              <w:bottom w:val="nil"/>
              <w:right w:val="nil"/>
            </w:tcBorders>
            <w:shd w:val="clear" w:color="auto" w:fill="FFFFFF"/>
            <w:vAlign w:val="center"/>
          </w:tcPr>
          <w:p w14:paraId="57CDF98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咖啡栽培</w:t>
            </w:r>
          </w:p>
        </w:tc>
        <w:tc>
          <w:tcPr>
            <w:tcW w:w="0" w:type="auto"/>
            <w:tcBorders>
              <w:top w:val="nil"/>
              <w:left w:val="nil"/>
              <w:bottom w:val="nil"/>
              <w:right w:val="nil"/>
            </w:tcBorders>
            <w:shd w:val="clear" w:color="auto" w:fill="FFFFFF"/>
          </w:tcPr>
          <w:p w14:paraId="13EBC11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标准文稿编写及修改</w:t>
            </w:r>
          </w:p>
        </w:tc>
      </w:tr>
      <w:tr w14:paraId="1797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404A240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11</w:t>
            </w:r>
          </w:p>
        </w:tc>
        <w:tc>
          <w:tcPr>
            <w:tcW w:w="1340" w:type="dxa"/>
            <w:tcBorders>
              <w:top w:val="nil"/>
              <w:left w:val="nil"/>
              <w:bottom w:val="nil"/>
              <w:right w:val="nil"/>
            </w:tcBorders>
            <w:shd w:val="clear" w:color="auto" w:fill="FFFFFF"/>
            <w:vAlign w:val="center"/>
          </w:tcPr>
          <w:p w14:paraId="775558F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王春婷</w:t>
            </w:r>
          </w:p>
        </w:tc>
        <w:tc>
          <w:tcPr>
            <w:tcW w:w="2232" w:type="dxa"/>
            <w:tcBorders>
              <w:top w:val="nil"/>
              <w:left w:val="nil"/>
              <w:bottom w:val="nil"/>
              <w:right w:val="nil"/>
            </w:tcBorders>
            <w:shd w:val="clear" w:color="auto" w:fill="FFFFFF"/>
            <w:vAlign w:val="center"/>
          </w:tcPr>
          <w:p w14:paraId="2041F01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云南省热带作物学会</w:t>
            </w:r>
          </w:p>
        </w:tc>
        <w:tc>
          <w:tcPr>
            <w:tcW w:w="2316" w:type="dxa"/>
            <w:tcBorders>
              <w:top w:val="nil"/>
              <w:left w:val="nil"/>
              <w:bottom w:val="nil"/>
              <w:right w:val="nil"/>
            </w:tcBorders>
            <w:shd w:val="clear" w:color="auto" w:fill="FFFFFF"/>
          </w:tcPr>
          <w:p w14:paraId="1CA37FD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咖啡标准体系建设</w:t>
            </w:r>
          </w:p>
        </w:tc>
        <w:tc>
          <w:tcPr>
            <w:tcW w:w="0" w:type="auto"/>
            <w:tcBorders>
              <w:top w:val="nil"/>
              <w:left w:val="nil"/>
              <w:bottom w:val="nil"/>
              <w:right w:val="nil"/>
            </w:tcBorders>
            <w:shd w:val="clear" w:color="auto" w:fill="FFFFFF"/>
            <w:vAlign w:val="center"/>
          </w:tcPr>
          <w:p w14:paraId="476C0F6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资料收集整理</w:t>
            </w:r>
          </w:p>
        </w:tc>
      </w:tr>
      <w:tr w14:paraId="374F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4C50FD7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12</w:t>
            </w:r>
          </w:p>
        </w:tc>
        <w:tc>
          <w:tcPr>
            <w:tcW w:w="1340" w:type="dxa"/>
            <w:tcBorders>
              <w:top w:val="nil"/>
              <w:left w:val="nil"/>
              <w:bottom w:val="nil"/>
              <w:right w:val="nil"/>
            </w:tcBorders>
            <w:shd w:val="clear" w:color="auto" w:fill="FFFFFF"/>
            <w:vAlign w:val="center"/>
          </w:tcPr>
          <w:p w14:paraId="5A181C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何红艳</w:t>
            </w:r>
          </w:p>
        </w:tc>
        <w:tc>
          <w:tcPr>
            <w:tcW w:w="2232" w:type="dxa"/>
            <w:tcBorders>
              <w:top w:val="nil"/>
              <w:left w:val="nil"/>
              <w:bottom w:val="nil"/>
              <w:right w:val="nil"/>
            </w:tcBorders>
            <w:shd w:val="clear" w:color="auto" w:fill="FFFFFF"/>
            <w:vAlign w:val="center"/>
          </w:tcPr>
          <w:p w14:paraId="6A1630F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云南省农业工程研究设计院</w:t>
            </w:r>
          </w:p>
        </w:tc>
        <w:tc>
          <w:tcPr>
            <w:tcW w:w="2316" w:type="dxa"/>
            <w:tcBorders>
              <w:top w:val="nil"/>
              <w:left w:val="nil"/>
              <w:bottom w:val="nil"/>
              <w:right w:val="nil"/>
            </w:tcBorders>
            <w:shd w:val="clear" w:color="auto" w:fill="FFFFFF"/>
          </w:tcPr>
          <w:p w14:paraId="7060CED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咖啡园规划</w:t>
            </w:r>
          </w:p>
        </w:tc>
        <w:tc>
          <w:tcPr>
            <w:tcW w:w="0" w:type="auto"/>
            <w:tcBorders>
              <w:top w:val="nil"/>
              <w:left w:val="nil"/>
              <w:bottom w:val="nil"/>
              <w:right w:val="nil"/>
            </w:tcBorders>
            <w:shd w:val="clear" w:color="auto" w:fill="FFFFFF"/>
            <w:vAlign w:val="center"/>
          </w:tcPr>
          <w:p w14:paraId="4CECE6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资料收集整理</w:t>
            </w:r>
          </w:p>
        </w:tc>
      </w:tr>
      <w:tr w14:paraId="54FE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07C512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13</w:t>
            </w:r>
          </w:p>
        </w:tc>
        <w:tc>
          <w:tcPr>
            <w:tcW w:w="1340" w:type="dxa"/>
            <w:tcBorders>
              <w:top w:val="nil"/>
              <w:left w:val="nil"/>
              <w:bottom w:val="nil"/>
              <w:right w:val="nil"/>
            </w:tcBorders>
            <w:shd w:val="clear" w:color="auto" w:fill="FFFFFF"/>
            <w:vAlign w:val="center"/>
          </w:tcPr>
          <w:p w14:paraId="2E73F5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陈天明</w:t>
            </w:r>
          </w:p>
        </w:tc>
        <w:tc>
          <w:tcPr>
            <w:tcW w:w="2232" w:type="dxa"/>
            <w:tcBorders>
              <w:top w:val="nil"/>
              <w:left w:val="nil"/>
              <w:bottom w:val="nil"/>
              <w:right w:val="nil"/>
            </w:tcBorders>
            <w:shd w:val="clear" w:color="auto" w:fill="FFFFFF"/>
            <w:vAlign w:val="center"/>
          </w:tcPr>
          <w:p w14:paraId="319DFC7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nil"/>
              <w:left w:val="nil"/>
              <w:bottom w:val="nil"/>
              <w:right w:val="nil"/>
            </w:tcBorders>
            <w:shd w:val="clear" w:color="auto" w:fill="FFFFFF"/>
          </w:tcPr>
          <w:p w14:paraId="14EAB6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咖啡栽培</w:t>
            </w:r>
          </w:p>
        </w:tc>
        <w:tc>
          <w:tcPr>
            <w:tcW w:w="0" w:type="auto"/>
            <w:tcBorders>
              <w:top w:val="nil"/>
              <w:left w:val="nil"/>
              <w:bottom w:val="nil"/>
              <w:right w:val="nil"/>
            </w:tcBorders>
            <w:shd w:val="clear" w:color="auto" w:fill="FFFFFF"/>
          </w:tcPr>
          <w:p w14:paraId="0B68F7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资料收集整理</w:t>
            </w:r>
          </w:p>
        </w:tc>
      </w:tr>
      <w:tr w14:paraId="2FDA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18CF72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14</w:t>
            </w:r>
          </w:p>
        </w:tc>
        <w:tc>
          <w:tcPr>
            <w:tcW w:w="1340" w:type="dxa"/>
            <w:tcBorders>
              <w:top w:val="nil"/>
              <w:left w:val="nil"/>
              <w:bottom w:val="nil"/>
              <w:right w:val="nil"/>
            </w:tcBorders>
            <w:shd w:val="clear" w:color="auto" w:fill="FFFFFF"/>
            <w:vAlign w:val="center"/>
          </w:tcPr>
          <w:p w14:paraId="69676E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赵萍香</w:t>
            </w:r>
          </w:p>
        </w:tc>
        <w:tc>
          <w:tcPr>
            <w:tcW w:w="2232" w:type="dxa"/>
            <w:tcBorders>
              <w:top w:val="nil"/>
              <w:left w:val="nil"/>
              <w:bottom w:val="nil"/>
              <w:right w:val="nil"/>
            </w:tcBorders>
            <w:shd w:val="clear" w:color="auto" w:fill="FFFFFF"/>
            <w:vAlign w:val="center"/>
          </w:tcPr>
          <w:p w14:paraId="4017C50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nil"/>
              <w:left w:val="nil"/>
              <w:bottom w:val="nil"/>
              <w:right w:val="nil"/>
            </w:tcBorders>
            <w:shd w:val="clear" w:color="auto" w:fill="FFFFFF"/>
          </w:tcPr>
          <w:p w14:paraId="6AED8C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咖啡栽培</w:t>
            </w:r>
          </w:p>
        </w:tc>
        <w:tc>
          <w:tcPr>
            <w:tcW w:w="0" w:type="auto"/>
            <w:tcBorders>
              <w:top w:val="nil"/>
              <w:left w:val="nil"/>
              <w:bottom w:val="nil"/>
              <w:right w:val="nil"/>
            </w:tcBorders>
            <w:shd w:val="clear" w:color="auto" w:fill="FFFFFF"/>
            <w:vAlign w:val="center"/>
          </w:tcPr>
          <w:p w14:paraId="363BD15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资料收集整理</w:t>
            </w:r>
          </w:p>
        </w:tc>
      </w:tr>
      <w:tr w14:paraId="7502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543164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15</w:t>
            </w:r>
          </w:p>
        </w:tc>
        <w:tc>
          <w:tcPr>
            <w:tcW w:w="1340" w:type="dxa"/>
            <w:tcBorders>
              <w:top w:val="nil"/>
              <w:left w:val="nil"/>
              <w:bottom w:val="nil"/>
              <w:right w:val="nil"/>
            </w:tcBorders>
            <w:shd w:val="clear" w:color="auto" w:fill="FFFFFF"/>
            <w:vAlign w:val="center"/>
          </w:tcPr>
          <w:p w14:paraId="05EEBF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王应清</w:t>
            </w:r>
          </w:p>
        </w:tc>
        <w:tc>
          <w:tcPr>
            <w:tcW w:w="2232" w:type="dxa"/>
            <w:tcBorders>
              <w:top w:val="nil"/>
              <w:left w:val="nil"/>
              <w:bottom w:val="nil"/>
              <w:right w:val="nil"/>
            </w:tcBorders>
            <w:shd w:val="clear" w:color="auto" w:fill="FFFFFF"/>
            <w:vAlign w:val="center"/>
          </w:tcPr>
          <w:p w14:paraId="33485A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nil"/>
              <w:left w:val="nil"/>
              <w:bottom w:val="nil"/>
              <w:right w:val="nil"/>
            </w:tcBorders>
            <w:shd w:val="clear" w:color="auto" w:fill="FFFFFF"/>
          </w:tcPr>
          <w:p w14:paraId="79B18CF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咖啡土壤养分</w:t>
            </w:r>
          </w:p>
        </w:tc>
        <w:tc>
          <w:tcPr>
            <w:tcW w:w="0" w:type="auto"/>
            <w:tcBorders>
              <w:top w:val="nil"/>
              <w:left w:val="nil"/>
              <w:bottom w:val="nil"/>
              <w:right w:val="nil"/>
            </w:tcBorders>
            <w:shd w:val="clear" w:color="auto" w:fill="FFFFFF"/>
            <w:vAlign w:val="center"/>
          </w:tcPr>
          <w:p w14:paraId="2B79A6D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资料收集整理</w:t>
            </w:r>
          </w:p>
        </w:tc>
      </w:tr>
      <w:tr w14:paraId="5CD8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3AE58C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16</w:t>
            </w:r>
          </w:p>
        </w:tc>
        <w:tc>
          <w:tcPr>
            <w:tcW w:w="1340" w:type="dxa"/>
            <w:tcBorders>
              <w:top w:val="nil"/>
              <w:left w:val="nil"/>
              <w:bottom w:val="nil"/>
              <w:right w:val="nil"/>
            </w:tcBorders>
            <w:shd w:val="clear" w:color="auto" w:fill="FFFFFF"/>
            <w:vAlign w:val="center"/>
          </w:tcPr>
          <w:p w14:paraId="133A90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陈玉芹</w:t>
            </w:r>
          </w:p>
        </w:tc>
        <w:tc>
          <w:tcPr>
            <w:tcW w:w="2232" w:type="dxa"/>
            <w:tcBorders>
              <w:top w:val="nil"/>
              <w:left w:val="nil"/>
              <w:bottom w:val="nil"/>
              <w:right w:val="nil"/>
            </w:tcBorders>
            <w:shd w:val="clear" w:color="auto" w:fill="FFFFFF"/>
            <w:vAlign w:val="center"/>
          </w:tcPr>
          <w:p w14:paraId="48BB38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nil"/>
              <w:left w:val="nil"/>
              <w:bottom w:val="nil"/>
              <w:right w:val="nil"/>
            </w:tcBorders>
            <w:shd w:val="clear" w:color="auto" w:fill="FFFFFF"/>
          </w:tcPr>
          <w:p w14:paraId="5160C77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咖啡土壤养分</w:t>
            </w:r>
          </w:p>
        </w:tc>
        <w:tc>
          <w:tcPr>
            <w:tcW w:w="0" w:type="auto"/>
            <w:tcBorders>
              <w:top w:val="nil"/>
              <w:left w:val="nil"/>
              <w:bottom w:val="nil"/>
              <w:right w:val="nil"/>
            </w:tcBorders>
            <w:shd w:val="clear" w:color="auto" w:fill="FFFFFF"/>
          </w:tcPr>
          <w:p w14:paraId="08D1348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资料收集整理</w:t>
            </w:r>
          </w:p>
        </w:tc>
      </w:tr>
      <w:tr w14:paraId="7235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7BDC2DB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17</w:t>
            </w:r>
          </w:p>
        </w:tc>
        <w:tc>
          <w:tcPr>
            <w:tcW w:w="1340" w:type="dxa"/>
            <w:tcBorders>
              <w:top w:val="nil"/>
              <w:left w:val="nil"/>
              <w:bottom w:val="nil"/>
              <w:right w:val="nil"/>
            </w:tcBorders>
            <w:shd w:val="clear" w:color="auto" w:fill="FFFFFF"/>
            <w:vAlign w:val="center"/>
          </w:tcPr>
          <w:p w14:paraId="6407F4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肖  兵</w:t>
            </w:r>
          </w:p>
        </w:tc>
        <w:tc>
          <w:tcPr>
            <w:tcW w:w="2232" w:type="dxa"/>
            <w:tcBorders>
              <w:top w:val="nil"/>
              <w:left w:val="nil"/>
              <w:bottom w:val="nil"/>
              <w:right w:val="nil"/>
            </w:tcBorders>
            <w:shd w:val="clear" w:color="auto" w:fill="FFFFFF"/>
            <w:vAlign w:val="center"/>
          </w:tcPr>
          <w:p w14:paraId="2A416C5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nil"/>
              <w:left w:val="nil"/>
              <w:bottom w:val="nil"/>
              <w:right w:val="nil"/>
            </w:tcBorders>
            <w:shd w:val="clear" w:color="auto" w:fill="FFFFFF"/>
          </w:tcPr>
          <w:p w14:paraId="0D16B2E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咖啡栽培</w:t>
            </w:r>
          </w:p>
        </w:tc>
        <w:tc>
          <w:tcPr>
            <w:tcW w:w="0" w:type="auto"/>
            <w:tcBorders>
              <w:top w:val="nil"/>
              <w:left w:val="nil"/>
              <w:bottom w:val="nil"/>
              <w:right w:val="nil"/>
            </w:tcBorders>
            <w:shd w:val="clear" w:color="auto" w:fill="FFFFFF"/>
          </w:tcPr>
          <w:p w14:paraId="3D7C9A1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标准文稿编写及修改</w:t>
            </w:r>
          </w:p>
        </w:tc>
      </w:tr>
      <w:tr w14:paraId="5EC8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49E9E25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18</w:t>
            </w:r>
          </w:p>
        </w:tc>
        <w:tc>
          <w:tcPr>
            <w:tcW w:w="1340" w:type="dxa"/>
            <w:tcBorders>
              <w:top w:val="nil"/>
              <w:left w:val="nil"/>
              <w:bottom w:val="nil"/>
              <w:right w:val="nil"/>
            </w:tcBorders>
            <w:shd w:val="clear" w:color="auto" w:fill="FFFFFF"/>
            <w:vAlign w:val="center"/>
          </w:tcPr>
          <w:p w14:paraId="4DF2FBA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罗琴</w:t>
            </w:r>
          </w:p>
        </w:tc>
        <w:tc>
          <w:tcPr>
            <w:tcW w:w="2232" w:type="dxa"/>
            <w:tcBorders>
              <w:top w:val="nil"/>
              <w:left w:val="nil"/>
              <w:bottom w:val="nil"/>
              <w:right w:val="nil"/>
            </w:tcBorders>
            <w:shd w:val="clear" w:color="auto" w:fill="FFFFFF"/>
            <w:vAlign w:val="center"/>
          </w:tcPr>
          <w:p w14:paraId="3E175B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nil"/>
              <w:left w:val="nil"/>
              <w:bottom w:val="nil"/>
              <w:right w:val="nil"/>
            </w:tcBorders>
            <w:shd w:val="clear" w:color="auto" w:fill="FFFFFF"/>
          </w:tcPr>
          <w:p w14:paraId="78837F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咖啡育种</w:t>
            </w:r>
          </w:p>
        </w:tc>
        <w:tc>
          <w:tcPr>
            <w:tcW w:w="0" w:type="auto"/>
            <w:tcBorders>
              <w:top w:val="nil"/>
              <w:left w:val="nil"/>
              <w:bottom w:val="nil"/>
              <w:right w:val="nil"/>
            </w:tcBorders>
            <w:shd w:val="clear" w:color="auto" w:fill="FFFFFF"/>
          </w:tcPr>
          <w:p w14:paraId="41681E0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资料收集整理</w:t>
            </w:r>
          </w:p>
        </w:tc>
      </w:tr>
      <w:tr w14:paraId="0856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FFFFFF"/>
            <w:vAlign w:val="center"/>
          </w:tcPr>
          <w:p w14:paraId="2571CAB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19</w:t>
            </w:r>
          </w:p>
        </w:tc>
        <w:tc>
          <w:tcPr>
            <w:tcW w:w="1340" w:type="dxa"/>
            <w:tcBorders>
              <w:top w:val="nil"/>
              <w:left w:val="nil"/>
              <w:bottom w:val="nil"/>
              <w:right w:val="nil"/>
            </w:tcBorders>
            <w:shd w:val="clear" w:color="auto" w:fill="FFFFFF"/>
            <w:vAlign w:val="center"/>
          </w:tcPr>
          <w:p w14:paraId="32D22F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李梅方</w:t>
            </w:r>
          </w:p>
        </w:tc>
        <w:tc>
          <w:tcPr>
            <w:tcW w:w="2232" w:type="dxa"/>
            <w:tcBorders>
              <w:top w:val="nil"/>
              <w:left w:val="nil"/>
              <w:bottom w:val="nil"/>
              <w:right w:val="nil"/>
            </w:tcBorders>
            <w:shd w:val="clear" w:color="auto" w:fill="FFFFFF"/>
            <w:vAlign w:val="center"/>
          </w:tcPr>
          <w:p w14:paraId="5ED0C5A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nil"/>
              <w:left w:val="nil"/>
              <w:bottom w:val="nil"/>
              <w:right w:val="nil"/>
            </w:tcBorders>
            <w:shd w:val="clear" w:color="auto" w:fill="FFFFFF"/>
          </w:tcPr>
          <w:p w14:paraId="123E6A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咖啡病虫害防治</w:t>
            </w:r>
          </w:p>
        </w:tc>
        <w:tc>
          <w:tcPr>
            <w:tcW w:w="0" w:type="auto"/>
            <w:tcBorders>
              <w:top w:val="nil"/>
              <w:left w:val="nil"/>
              <w:bottom w:val="nil"/>
              <w:right w:val="nil"/>
            </w:tcBorders>
            <w:shd w:val="clear" w:color="auto" w:fill="FFFFFF"/>
          </w:tcPr>
          <w:p w14:paraId="36094D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资料收集整理</w:t>
            </w:r>
          </w:p>
        </w:tc>
      </w:tr>
      <w:tr w14:paraId="2027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op w:val="nil"/>
              <w:left w:val="nil"/>
              <w:bottom w:val="single" w:color="000000" w:sz="12" w:space="0"/>
              <w:right w:val="nil"/>
            </w:tcBorders>
            <w:shd w:val="clear" w:color="auto" w:fill="FFFFFF"/>
            <w:vAlign w:val="center"/>
          </w:tcPr>
          <w:p w14:paraId="71BDF1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20</w:t>
            </w:r>
          </w:p>
        </w:tc>
        <w:tc>
          <w:tcPr>
            <w:tcW w:w="1340" w:type="dxa"/>
            <w:tcBorders>
              <w:top w:val="nil"/>
              <w:left w:val="nil"/>
              <w:bottom w:val="single" w:color="000000" w:sz="12" w:space="0"/>
              <w:right w:val="nil"/>
            </w:tcBorders>
            <w:shd w:val="clear" w:color="auto" w:fill="FFFFFF"/>
            <w:vAlign w:val="center"/>
          </w:tcPr>
          <w:p w14:paraId="676AE3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王静敏</w:t>
            </w:r>
          </w:p>
        </w:tc>
        <w:tc>
          <w:tcPr>
            <w:tcW w:w="2232" w:type="dxa"/>
            <w:tcBorders>
              <w:top w:val="nil"/>
              <w:left w:val="nil"/>
              <w:bottom w:val="single" w:color="000000" w:sz="12" w:space="0"/>
              <w:right w:val="nil"/>
            </w:tcBorders>
            <w:shd w:val="clear" w:color="auto" w:fill="FFFFFF"/>
            <w:vAlign w:val="center"/>
          </w:tcPr>
          <w:p w14:paraId="357D2F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云南省德宏热带农业科学研究所</w:t>
            </w:r>
          </w:p>
        </w:tc>
        <w:tc>
          <w:tcPr>
            <w:tcW w:w="2316" w:type="dxa"/>
            <w:tcBorders>
              <w:top w:val="nil"/>
              <w:left w:val="nil"/>
              <w:bottom w:val="single" w:color="000000" w:sz="12" w:space="0"/>
              <w:right w:val="nil"/>
            </w:tcBorders>
            <w:shd w:val="clear" w:color="auto" w:fill="FFFFFF"/>
          </w:tcPr>
          <w:p w14:paraId="0BBF5D6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咖啡育种</w:t>
            </w:r>
          </w:p>
        </w:tc>
        <w:tc>
          <w:tcPr>
            <w:tcW w:w="0" w:type="auto"/>
            <w:tcBorders>
              <w:top w:val="nil"/>
              <w:left w:val="nil"/>
              <w:bottom w:val="single" w:color="000000" w:sz="12" w:space="0"/>
              <w:right w:val="nil"/>
            </w:tcBorders>
            <w:shd w:val="clear" w:color="auto" w:fill="FFFFFF"/>
          </w:tcPr>
          <w:p w14:paraId="34B88D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资料收集整理</w:t>
            </w:r>
          </w:p>
        </w:tc>
      </w:tr>
    </w:tbl>
    <w:p w14:paraId="344AB833">
      <w:pPr>
        <w:spacing w:line="560" w:lineRule="exact"/>
        <w:ind w:firstLine="640" w:firstLineChars="200"/>
        <w:rPr>
          <w:rFonts w:eastAsia="仿宋_GB2312" w:cs="Arial"/>
          <w:sz w:val="32"/>
        </w:rPr>
      </w:pPr>
    </w:p>
    <w:p w14:paraId="46FE4C0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eastAsia="楷体_GB2312" w:cs="Times New Roman"/>
          <w:b/>
          <w:bCs/>
          <w:sz w:val="24"/>
          <w:szCs w:val="32"/>
        </w:rPr>
      </w:pPr>
      <w:r>
        <w:rPr>
          <w:rFonts w:ascii="Times New Roman" w:hAnsi="Times New Roman" w:eastAsia="楷体_GB2312" w:cs="Times New Roman"/>
          <w:b/>
          <w:bCs/>
          <w:sz w:val="24"/>
          <w:szCs w:val="32"/>
        </w:rPr>
        <w:t>（三）主要</w:t>
      </w:r>
      <w:r>
        <w:rPr>
          <w:rFonts w:hint="eastAsia" w:ascii="Times New Roman" w:hAnsi="Times New Roman" w:eastAsia="楷体_GB2312" w:cs="Times New Roman"/>
          <w:b/>
          <w:bCs/>
          <w:sz w:val="24"/>
          <w:szCs w:val="32"/>
        </w:rPr>
        <w:t>起草</w:t>
      </w:r>
      <w:r>
        <w:rPr>
          <w:rFonts w:ascii="Times New Roman" w:hAnsi="Times New Roman" w:eastAsia="楷体_GB2312" w:cs="Times New Roman"/>
          <w:b/>
          <w:bCs/>
          <w:sz w:val="24"/>
          <w:szCs w:val="32"/>
        </w:rPr>
        <w:t>过程</w:t>
      </w:r>
    </w:p>
    <w:p w14:paraId="6F6AE9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Arial"/>
          <w:b/>
          <w:bCs/>
          <w:sz w:val="24"/>
          <w:szCs w:val="32"/>
        </w:rPr>
      </w:pPr>
      <w:r>
        <w:rPr>
          <w:rFonts w:hint="eastAsia" w:ascii="Times New Roman" w:hAnsi="Times New Roman" w:eastAsia="仿宋_GB2312" w:cs="Arial"/>
          <w:b/>
          <w:bCs/>
          <w:sz w:val="24"/>
          <w:szCs w:val="32"/>
          <w:lang w:val="en-US" w:eastAsia="zh-CN"/>
        </w:rPr>
        <w:t>1.起草阶段</w:t>
      </w:r>
    </w:p>
    <w:p w14:paraId="03218C80">
      <w:pPr>
        <w:spacing w:line="560" w:lineRule="exact"/>
        <w:ind w:firstLine="480" w:firstLineChars="200"/>
        <w:rPr>
          <w:rFonts w:hint="default" w:eastAsia="仿宋_GB2312" w:cs="Arial"/>
          <w:b/>
          <w:sz w:val="32"/>
          <w:lang w:val="en-US" w:eastAsia="zh-CN"/>
        </w:rPr>
      </w:pPr>
      <w:r>
        <w:rPr>
          <w:rFonts w:hint="eastAsia" w:ascii="Times New Roman" w:hAnsi="Times New Roman" w:eastAsia="仿宋_GB2312" w:cs="Arial"/>
          <w:sz w:val="24"/>
          <w:szCs w:val="32"/>
        </w:rPr>
        <w:t>云南省热带作物学会收到农业农村部热带作物及制品标准化技术委员会《2025年热带作物及制品领域行业标准项目征集通知》后，于2024年11月01日《咖啡栽培技术规程》（NY/T 922-2004）修订工作协调推进会，专题研究《咖啡栽培技术规程》（NY/T 922-2004）修订工作。会议对《咖啡栽培技术规程》（NY/T 922-2004）修订工作进行了详细分工。2024年1</w:t>
      </w:r>
      <w:r>
        <w:rPr>
          <w:rFonts w:hint="eastAsia" w:ascii="Times New Roman" w:hAnsi="Times New Roman" w:eastAsia="仿宋_GB2312" w:cs="Arial"/>
          <w:sz w:val="24"/>
          <w:szCs w:val="32"/>
          <w:lang w:val="en-US" w:eastAsia="zh-CN"/>
        </w:rPr>
        <w:t>1</w:t>
      </w:r>
      <w:r>
        <w:rPr>
          <w:rFonts w:hint="eastAsia" w:ascii="Times New Roman" w:hAnsi="Times New Roman" w:eastAsia="仿宋_GB2312" w:cs="Arial"/>
          <w:sz w:val="24"/>
          <w:szCs w:val="32"/>
        </w:rPr>
        <w:t>月至</w:t>
      </w:r>
      <w:r>
        <w:rPr>
          <w:rFonts w:hint="eastAsia" w:ascii="Times New Roman" w:hAnsi="Times New Roman" w:eastAsia="仿宋_GB2312" w:cs="Arial"/>
          <w:sz w:val="24"/>
          <w:szCs w:val="32"/>
          <w:lang w:val="en-US" w:eastAsia="zh-CN"/>
        </w:rPr>
        <w:t>2015年5</w:t>
      </w:r>
      <w:r>
        <w:rPr>
          <w:rFonts w:hint="eastAsia" w:ascii="Times New Roman" w:hAnsi="Times New Roman" w:eastAsia="仿宋_GB2312" w:cs="Arial"/>
          <w:sz w:val="24"/>
          <w:szCs w:val="32"/>
        </w:rPr>
        <w:t>月为资料收集和整理阶段。标准修订组在认真梳理《咖啡栽培技术规程》标准（NY/T 922-2004）园地选择、园地规划、园地开垦、种植、土壤管理、水分管理、施肥管理、整形修剪、病虫害综合防治以及采收、加工、分级和包装等技术的关键技术（工艺）和主要技术指标、参数的基础上，根据近年来国内外咖啡产业生产实践经验和最新科技创新成果示范推广应用情况，初步确定《咖啡栽培技术规程》标准（NY/T 922-2004）的关键技术（工艺）和主要技术指标、参数修订方案。 分批次、片区赴云南省保山、德宏、普洱、临沧</w:t>
      </w:r>
      <w:r>
        <w:rPr>
          <w:rFonts w:hint="eastAsia" w:ascii="Times New Roman" w:hAnsi="Times New Roman" w:eastAsia="仿宋_GB2312" w:cs="Arial"/>
          <w:sz w:val="24"/>
          <w:szCs w:val="32"/>
          <w:lang w:eastAsia="zh-CN"/>
        </w:rPr>
        <w:t>、广西西林、广东肇庆</w:t>
      </w:r>
      <w:r>
        <w:rPr>
          <w:rFonts w:hint="eastAsia" w:ascii="Times New Roman" w:hAnsi="Times New Roman" w:eastAsia="仿宋_GB2312" w:cs="Arial"/>
          <w:sz w:val="24"/>
          <w:szCs w:val="32"/>
        </w:rPr>
        <w:t>等我国主要咖啡产区种植基地、初加工企业调研座谈，对初步修订确定的《咖啡栽培技术规程》的关键技术（工艺）和主要技术指标、参数进行生产性验证，以确保《咖啡栽培技术规程》的主要技术内容、指标和参数符合生产实际。对初步修订确定的标准的关键技术（工艺）和主要技术指标、参数的科学性、先进性和创新性进行逐项核实，</w:t>
      </w:r>
      <w:r>
        <w:rPr>
          <w:rFonts w:hint="eastAsia" w:ascii="Times New Roman" w:hAnsi="Times New Roman" w:eastAsia="仿宋_GB2312" w:cs="Arial"/>
          <w:sz w:val="24"/>
          <w:szCs w:val="32"/>
          <w:lang w:eastAsia="zh-CN"/>
        </w:rPr>
        <w:t>于</w:t>
      </w:r>
      <w:r>
        <w:rPr>
          <w:rFonts w:hint="eastAsia" w:ascii="Times New Roman" w:hAnsi="Times New Roman" w:eastAsia="仿宋_GB2312" w:cs="Arial"/>
          <w:sz w:val="24"/>
          <w:szCs w:val="32"/>
          <w:lang w:val="en-US" w:eastAsia="zh-CN"/>
        </w:rPr>
        <w:t>2025年9月27日形成标准草案。</w:t>
      </w:r>
    </w:p>
    <w:p w14:paraId="533AF5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Arial"/>
          <w:b/>
          <w:bCs/>
          <w:sz w:val="24"/>
          <w:szCs w:val="32"/>
        </w:rPr>
      </w:pPr>
      <w:r>
        <w:rPr>
          <w:rFonts w:hint="eastAsia" w:ascii="Times New Roman" w:hAnsi="Times New Roman" w:eastAsia="仿宋_GB2312" w:cs="Arial"/>
          <w:b/>
          <w:bCs/>
          <w:sz w:val="24"/>
          <w:szCs w:val="32"/>
          <w:lang w:val="en-US" w:eastAsia="zh-CN"/>
        </w:rPr>
        <w:t>2.征求意见阶段</w:t>
      </w:r>
    </w:p>
    <w:p w14:paraId="0CD09F3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Arial"/>
          <w:b/>
          <w:bCs/>
          <w:color w:val="auto"/>
          <w:sz w:val="24"/>
          <w:szCs w:val="36"/>
          <w:lang w:eastAsia="zh-CN"/>
        </w:rPr>
      </w:pPr>
      <w:r>
        <w:rPr>
          <w:rFonts w:hint="eastAsia" w:ascii="Times New Roman" w:hAnsi="Times New Roman" w:eastAsia="仿宋_GB2312" w:cs="Arial"/>
          <w:b/>
          <w:bCs/>
          <w:color w:val="auto"/>
          <w:sz w:val="24"/>
          <w:szCs w:val="36"/>
        </w:rPr>
        <w:t>应说明征求意见形式</w:t>
      </w:r>
      <w:r>
        <w:rPr>
          <w:rFonts w:hint="eastAsia" w:ascii="Times New Roman" w:hAnsi="Times New Roman" w:eastAsia="仿宋_GB2312" w:cs="Arial"/>
          <w:b/>
          <w:bCs/>
          <w:color w:val="auto"/>
          <w:sz w:val="24"/>
          <w:szCs w:val="36"/>
          <w:lang w:eastAsia="zh-CN"/>
        </w:rPr>
        <w:t>（</w:t>
      </w:r>
      <w:r>
        <w:rPr>
          <w:rFonts w:hint="eastAsia" w:ascii="Times New Roman" w:hAnsi="Times New Roman" w:eastAsia="仿宋_GB2312" w:cs="Arial"/>
          <w:b/>
          <w:bCs/>
          <w:color w:val="auto"/>
          <w:sz w:val="24"/>
          <w:szCs w:val="36"/>
          <w:lang w:val="en-US" w:eastAsia="zh-CN"/>
        </w:rPr>
        <w:t>线上和线下情况</w:t>
      </w:r>
      <w:r>
        <w:rPr>
          <w:rFonts w:hint="eastAsia" w:ascii="Times New Roman" w:hAnsi="Times New Roman" w:eastAsia="仿宋_GB2312" w:cs="Arial"/>
          <w:b/>
          <w:bCs/>
          <w:color w:val="auto"/>
          <w:sz w:val="24"/>
          <w:szCs w:val="36"/>
          <w:lang w:eastAsia="zh-CN"/>
        </w:rPr>
        <w:t>）、</w:t>
      </w:r>
      <w:r>
        <w:rPr>
          <w:rFonts w:hint="eastAsia" w:ascii="Times New Roman" w:hAnsi="Times New Roman" w:eastAsia="仿宋_GB2312" w:cs="Arial"/>
          <w:b/>
          <w:bCs/>
          <w:color w:val="auto"/>
          <w:sz w:val="24"/>
          <w:szCs w:val="36"/>
        </w:rPr>
        <w:t>征求意见起止时间</w:t>
      </w:r>
      <w:r>
        <w:rPr>
          <w:rFonts w:hint="eastAsia" w:ascii="Times New Roman" w:hAnsi="Times New Roman" w:eastAsia="仿宋_GB2312" w:cs="Arial"/>
          <w:b/>
          <w:bCs/>
          <w:color w:val="auto"/>
          <w:sz w:val="24"/>
          <w:szCs w:val="36"/>
          <w:lang w:eastAsia="zh-CN"/>
        </w:rPr>
        <w:t>、</w:t>
      </w:r>
      <w:r>
        <w:rPr>
          <w:rFonts w:hint="eastAsia" w:ascii="Times New Roman" w:hAnsi="Times New Roman" w:eastAsia="仿宋_GB2312" w:cs="Arial"/>
          <w:b/>
          <w:bCs/>
          <w:color w:val="auto"/>
          <w:sz w:val="24"/>
          <w:szCs w:val="36"/>
        </w:rPr>
        <w:t>向哪些相关利益方分别发送份数和回收的意见情况</w:t>
      </w:r>
      <w:r>
        <w:rPr>
          <w:rFonts w:hint="eastAsia" w:ascii="Times New Roman" w:hAnsi="Times New Roman" w:eastAsia="仿宋_GB2312" w:cs="Arial"/>
          <w:b/>
          <w:bCs/>
          <w:color w:val="auto"/>
          <w:sz w:val="24"/>
          <w:szCs w:val="36"/>
          <w:lang w:eastAsia="zh-CN"/>
        </w:rPr>
        <w:t>。</w:t>
      </w:r>
      <w:r>
        <w:rPr>
          <w:rFonts w:hint="eastAsia" w:ascii="Times New Roman" w:hAnsi="Times New Roman" w:eastAsia="仿宋_GB2312" w:cs="Arial"/>
          <w:sz w:val="24"/>
          <w:szCs w:val="36"/>
        </w:rPr>
        <w:t>对征求对象的代表性、回复情况、意见处理情况（采纳、未采纳、部分采纳）进行</w:t>
      </w:r>
      <w:r>
        <w:rPr>
          <w:rFonts w:hint="eastAsia" w:ascii="Times New Roman" w:hAnsi="Times New Roman" w:eastAsia="仿宋_GB2312" w:cs="Arial"/>
          <w:b w:val="0"/>
          <w:bCs w:val="0"/>
          <w:sz w:val="24"/>
          <w:szCs w:val="36"/>
        </w:rPr>
        <w:t>总结说明</w:t>
      </w:r>
      <w:r>
        <w:rPr>
          <w:rFonts w:hint="eastAsia" w:ascii="Times New Roman" w:hAnsi="Times New Roman" w:eastAsia="仿宋_GB2312" w:cs="Arial"/>
          <w:b w:val="0"/>
          <w:bCs w:val="0"/>
          <w:sz w:val="24"/>
          <w:szCs w:val="36"/>
          <w:lang w:eastAsia="zh-CN"/>
        </w:rPr>
        <w:t>。</w:t>
      </w:r>
      <w:r>
        <w:rPr>
          <w:rFonts w:hint="eastAsia" w:ascii="Times New Roman" w:hAnsi="Times New Roman" w:eastAsia="仿宋_GB2312" w:cs="Arial"/>
          <w:b/>
          <w:bCs/>
          <w:color w:val="auto"/>
          <w:sz w:val="24"/>
          <w:szCs w:val="36"/>
          <w:lang w:eastAsia="zh-CN"/>
        </w:rPr>
        <w:t>发放范围及反馈意见回收情况要按相关利益方分别统计。</w:t>
      </w:r>
    </w:p>
    <w:p w14:paraId="1E4C76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Arial"/>
          <w:b/>
          <w:bCs/>
          <w:sz w:val="24"/>
          <w:szCs w:val="32"/>
        </w:rPr>
      </w:pPr>
      <w:r>
        <w:rPr>
          <w:rFonts w:hint="eastAsia" w:ascii="Times New Roman" w:hAnsi="Times New Roman" w:eastAsia="仿宋_GB2312" w:cs="Arial"/>
          <w:b/>
          <w:bCs/>
          <w:sz w:val="24"/>
          <w:szCs w:val="32"/>
          <w:lang w:val="en-US" w:eastAsia="zh-CN"/>
        </w:rPr>
        <w:t>3.审查阶段</w:t>
      </w:r>
      <w:r>
        <w:rPr>
          <w:rFonts w:hint="eastAsia" w:ascii="Times New Roman" w:hAnsi="Times New Roman" w:eastAsia="仿宋_GB2312" w:cs="Arial"/>
          <w:b w:val="0"/>
          <w:bCs w:val="0"/>
          <w:sz w:val="24"/>
          <w:szCs w:val="32"/>
          <w:lang w:val="en-US" w:eastAsia="zh-CN"/>
        </w:rPr>
        <w:t>（未经审查的不写本部分）</w:t>
      </w:r>
    </w:p>
    <w:p w14:paraId="26A3BB3C">
      <w:pPr>
        <w:spacing w:line="560" w:lineRule="exact"/>
        <w:ind w:firstLine="480" w:firstLineChars="200"/>
        <w:rPr>
          <w:rFonts w:hint="eastAsia" w:ascii="Times New Roman" w:hAnsi="Times New Roman" w:eastAsia="仿宋_GB2312" w:cs="Arial"/>
          <w:sz w:val="24"/>
          <w:szCs w:val="32"/>
        </w:rPr>
      </w:pPr>
      <w:r>
        <w:rPr>
          <w:rFonts w:hint="eastAsia" w:ascii="Times New Roman" w:hAnsi="Times New Roman" w:eastAsia="仿宋_GB2312" w:cs="Arial"/>
          <w:sz w:val="24"/>
          <w:szCs w:val="32"/>
        </w:rPr>
        <w:t>XXXX年XX月—XXXX年XX月，起草组……，于XXXX年XX月形成</w:t>
      </w:r>
    </w:p>
    <w:p w14:paraId="1FA8BA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Arial"/>
          <w:b/>
          <w:bCs/>
          <w:sz w:val="24"/>
          <w:szCs w:val="32"/>
        </w:rPr>
      </w:pPr>
      <w:r>
        <w:rPr>
          <w:rFonts w:hint="eastAsia" w:ascii="Times New Roman" w:hAnsi="Times New Roman" w:eastAsia="仿宋_GB2312" w:cs="Arial"/>
          <w:b/>
          <w:bCs/>
          <w:sz w:val="24"/>
          <w:szCs w:val="32"/>
          <w:lang w:val="en-US" w:eastAsia="zh-CN"/>
        </w:rPr>
        <w:t>4.报批阶段</w:t>
      </w:r>
      <w:r>
        <w:rPr>
          <w:rFonts w:hint="eastAsia" w:eastAsia="仿宋_GB2312" w:cs="Arial"/>
          <w:sz w:val="24"/>
          <w:szCs w:val="32"/>
        </w:rPr>
        <w:t>（未报批的不写本部分）</w:t>
      </w:r>
    </w:p>
    <w:p w14:paraId="6E8775A2">
      <w:pPr>
        <w:spacing w:line="560" w:lineRule="exact"/>
        <w:ind w:firstLine="480" w:firstLineChars="200"/>
        <w:rPr>
          <w:rFonts w:hint="eastAsia" w:ascii="Times New Roman" w:hAnsi="Times New Roman" w:eastAsia="仿宋_GB2312" w:cs="Arial"/>
          <w:sz w:val="24"/>
          <w:szCs w:val="32"/>
        </w:rPr>
      </w:pPr>
      <w:r>
        <w:rPr>
          <w:rFonts w:hint="eastAsia" w:ascii="Times New Roman" w:hAnsi="Times New Roman" w:eastAsia="仿宋_GB2312" w:cs="Arial"/>
          <w:sz w:val="24"/>
          <w:szCs w:val="32"/>
        </w:rPr>
        <w:t>XXXX年XX月—XXXX年XX月，起草组……，于XXXX年XX月形成</w:t>
      </w:r>
    </w:p>
    <w:p w14:paraId="768EA8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黑体" w:cs="Times New Roman"/>
          <w:bCs/>
          <w:kern w:val="44"/>
          <w:sz w:val="24"/>
          <w:szCs w:val="32"/>
        </w:rPr>
      </w:pPr>
      <w:r>
        <w:rPr>
          <w:rFonts w:hint="eastAsia" w:ascii="Times New Roman" w:hAnsi="Times New Roman" w:eastAsia="黑体" w:cs="Times New Roman"/>
          <w:bCs/>
          <w:kern w:val="44"/>
          <w:sz w:val="24"/>
          <w:szCs w:val="32"/>
          <w:lang w:eastAsia="zh-CN"/>
        </w:rPr>
        <w:t>二、</w:t>
      </w:r>
      <w:r>
        <w:rPr>
          <w:rFonts w:ascii="Times New Roman" w:hAnsi="Times New Roman" w:eastAsia="黑体" w:cs="Times New Roman"/>
          <w:bCs/>
          <w:kern w:val="44"/>
          <w:sz w:val="24"/>
          <w:szCs w:val="32"/>
        </w:rPr>
        <w:t>标准编制原则和确定标准主要内容的依据</w:t>
      </w:r>
    </w:p>
    <w:p w14:paraId="719DBB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楷体_GB2312" w:cs="Times New Roman"/>
          <w:b/>
          <w:bCs/>
          <w:sz w:val="24"/>
          <w:szCs w:val="32"/>
        </w:rPr>
      </w:pPr>
      <w:r>
        <w:rPr>
          <w:rFonts w:ascii="Times New Roman" w:hAnsi="Times New Roman" w:eastAsia="楷体_GB2312" w:cs="Times New Roman"/>
          <w:b/>
          <w:bCs/>
          <w:sz w:val="24"/>
          <w:szCs w:val="32"/>
        </w:rPr>
        <w:t>（一）</w:t>
      </w:r>
      <w:r>
        <w:rPr>
          <w:rFonts w:hint="eastAsia" w:ascii="Times New Roman" w:hAnsi="Times New Roman" w:eastAsia="楷体_GB2312" w:cs="Times New Roman"/>
          <w:b/>
          <w:bCs/>
          <w:sz w:val="24"/>
          <w:szCs w:val="32"/>
        </w:rPr>
        <w:t>编制原则</w:t>
      </w:r>
    </w:p>
    <w:p w14:paraId="72235501">
      <w:pPr>
        <w:spacing w:line="560" w:lineRule="exact"/>
        <w:ind w:firstLine="482" w:firstLineChars="200"/>
        <w:rPr>
          <w:rFonts w:hint="eastAsia" w:ascii="Times New Roman" w:hAnsi="Times New Roman" w:eastAsia="仿宋_GB2312" w:cs="Arial"/>
          <w:sz w:val="24"/>
          <w:szCs w:val="32"/>
        </w:rPr>
      </w:pPr>
      <w:r>
        <w:rPr>
          <w:rFonts w:hint="eastAsia" w:ascii="Times New Roman" w:hAnsi="Times New Roman" w:eastAsia="仿宋_GB2312" w:cs="Arial"/>
          <w:b/>
          <w:bCs/>
          <w:sz w:val="24"/>
          <w:szCs w:val="32"/>
        </w:rPr>
        <w:t>科学性原则：</w:t>
      </w:r>
      <w:r>
        <w:rPr>
          <w:rFonts w:hint="eastAsia" w:ascii="Times New Roman" w:hAnsi="Times New Roman" w:eastAsia="仿宋_GB2312" w:cs="Arial"/>
          <w:sz w:val="24"/>
          <w:szCs w:val="32"/>
        </w:rPr>
        <w:t xml:space="preserve"> 标准内容以咖啡生物学特性和当前成熟的科学研究成果为依据，确保各项技术指标的先进性和可靠性。</w:t>
      </w:r>
    </w:p>
    <w:p w14:paraId="610A1BB1">
      <w:pPr>
        <w:spacing w:line="560" w:lineRule="exact"/>
        <w:ind w:firstLine="482" w:firstLineChars="200"/>
        <w:rPr>
          <w:rFonts w:hint="eastAsia" w:ascii="Times New Roman" w:hAnsi="Times New Roman" w:eastAsia="仿宋_GB2312" w:cs="Arial"/>
          <w:sz w:val="24"/>
          <w:szCs w:val="32"/>
        </w:rPr>
      </w:pPr>
      <w:r>
        <w:rPr>
          <w:rFonts w:hint="eastAsia" w:ascii="Times New Roman" w:hAnsi="Times New Roman" w:eastAsia="仿宋_GB2312" w:cs="Arial"/>
          <w:b/>
          <w:bCs/>
          <w:sz w:val="24"/>
          <w:szCs w:val="32"/>
        </w:rPr>
        <w:t>实用性原则：</w:t>
      </w:r>
      <w:r>
        <w:rPr>
          <w:rFonts w:hint="eastAsia" w:ascii="Times New Roman" w:hAnsi="Times New Roman" w:eastAsia="仿宋_GB2312" w:cs="Arial"/>
          <w:sz w:val="24"/>
          <w:szCs w:val="32"/>
        </w:rPr>
        <w:t xml:space="preserve"> 紧密结合我国咖啡生产的实际，针对不同产区（如云南、海南等）的气候、土壤条件，提出了差异化的、可操作性强的技术规范，便于广大种植者和技术推广人员应用。</w:t>
      </w:r>
    </w:p>
    <w:p w14:paraId="250DB127">
      <w:pPr>
        <w:spacing w:line="560" w:lineRule="exact"/>
        <w:ind w:firstLine="482" w:firstLineChars="200"/>
        <w:rPr>
          <w:rFonts w:hint="eastAsia" w:ascii="Times New Roman" w:hAnsi="Times New Roman" w:eastAsia="仿宋_GB2312" w:cs="Arial"/>
          <w:sz w:val="24"/>
          <w:szCs w:val="32"/>
        </w:rPr>
      </w:pPr>
      <w:r>
        <w:rPr>
          <w:rFonts w:hint="eastAsia" w:ascii="Times New Roman" w:hAnsi="Times New Roman" w:eastAsia="仿宋_GB2312" w:cs="Arial"/>
          <w:b/>
          <w:bCs/>
          <w:sz w:val="24"/>
          <w:szCs w:val="32"/>
        </w:rPr>
        <w:t>协调性原则：</w:t>
      </w:r>
      <w:r>
        <w:rPr>
          <w:rFonts w:hint="eastAsia" w:ascii="Times New Roman" w:hAnsi="Times New Roman" w:eastAsia="仿宋_GB2312" w:cs="Arial"/>
          <w:sz w:val="24"/>
          <w:szCs w:val="32"/>
        </w:rPr>
        <w:t xml:space="preserve"> 标准编制过程中充分引用了现行的国家标准（如GB 15618, GB 5084）和农业行业标准（如NY/T 358, NY/T 394），确保与本领域现有标准体系协调一致，避免冲突。</w:t>
      </w:r>
    </w:p>
    <w:p w14:paraId="3055F25B">
      <w:pPr>
        <w:spacing w:line="560" w:lineRule="exact"/>
        <w:ind w:firstLine="482" w:firstLineChars="200"/>
        <w:rPr>
          <w:rFonts w:eastAsia="仿宋_GB2312" w:cs="Arial"/>
          <w:sz w:val="32"/>
        </w:rPr>
      </w:pPr>
      <w:r>
        <w:rPr>
          <w:rFonts w:hint="eastAsia" w:ascii="Times New Roman" w:hAnsi="Times New Roman" w:eastAsia="仿宋_GB2312" w:cs="Arial"/>
          <w:b/>
          <w:bCs/>
          <w:sz w:val="24"/>
          <w:szCs w:val="32"/>
        </w:rPr>
        <w:t>规范性原则：</w:t>
      </w:r>
      <w:r>
        <w:rPr>
          <w:rFonts w:hint="eastAsia" w:ascii="Times New Roman" w:hAnsi="Times New Roman" w:eastAsia="仿宋_GB2312" w:cs="Arial"/>
          <w:sz w:val="24"/>
          <w:szCs w:val="32"/>
        </w:rPr>
        <w:t xml:space="preserve"> 标准的结构和编写规则严格按照GB/T 1.1—2020《标准化工作导则 第1部分：标准化文件的结构和起草规则》的要求执行，保证标准的规范性。。</w:t>
      </w:r>
    </w:p>
    <w:p w14:paraId="766F5B0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楷体_GB2312" w:cs="Times New Roman"/>
          <w:b/>
          <w:bCs/>
          <w:sz w:val="24"/>
          <w:szCs w:val="32"/>
        </w:rPr>
      </w:pPr>
      <w:r>
        <w:rPr>
          <w:rFonts w:ascii="Times New Roman" w:hAnsi="Times New Roman" w:eastAsia="楷体_GB2312" w:cs="Times New Roman"/>
          <w:b/>
          <w:bCs/>
          <w:sz w:val="24"/>
          <w:szCs w:val="32"/>
        </w:rPr>
        <w:t>（二）</w:t>
      </w:r>
      <w:r>
        <w:rPr>
          <w:rFonts w:hint="eastAsia" w:ascii="Times New Roman" w:hAnsi="Times New Roman" w:eastAsia="楷体_GB2312" w:cs="Times New Roman"/>
          <w:b/>
          <w:bCs/>
          <w:sz w:val="24"/>
          <w:szCs w:val="32"/>
        </w:rPr>
        <w:t>主要内容及其确定</w:t>
      </w:r>
      <w:r>
        <w:rPr>
          <w:rFonts w:ascii="Times New Roman" w:hAnsi="Times New Roman" w:eastAsia="楷体_GB2312" w:cs="Times New Roman"/>
          <w:b/>
          <w:bCs/>
          <w:sz w:val="24"/>
          <w:szCs w:val="32"/>
        </w:rPr>
        <w:t>依据</w:t>
      </w:r>
    </w:p>
    <w:p w14:paraId="4EC8638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Arial"/>
          <w:sz w:val="24"/>
          <w:szCs w:val="32"/>
        </w:rPr>
      </w:pPr>
      <w:r>
        <w:rPr>
          <w:rFonts w:hint="eastAsia" w:ascii="Times New Roman" w:hAnsi="Times New Roman" w:eastAsia="仿宋_GB2312" w:cs="Arial"/>
          <w:sz w:val="24"/>
          <w:szCs w:val="32"/>
        </w:rPr>
        <w:t>本次修订的咖啡栽培规程的主要技术内容是以NY/T 922《2004》版的相关指标和参数为基础，结合云南省德宏热带农业科学研究所等相关科研机构近年来开展的相关试验研究结果及近年来云南主要咖啡植区的生产实践经验进行必要修订。</w:t>
      </w:r>
    </w:p>
    <w:p w14:paraId="280D1B7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Arial"/>
          <w:sz w:val="24"/>
          <w:szCs w:val="32"/>
        </w:rPr>
      </w:pPr>
      <w:r>
        <w:rPr>
          <w:rFonts w:hint="eastAsia" w:ascii="Times New Roman" w:hAnsi="Times New Roman" w:eastAsia="仿宋_GB2312" w:cs="Arial"/>
          <w:sz w:val="24"/>
          <w:szCs w:val="32"/>
        </w:rPr>
        <w:t>本文件代替NY/T 922</w:t>
      </w:r>
      <w:r>
        <w:rPr>
          <w:rFonts w:hint="default" w:eastAsia="仿宋_GB2312" w:cs="Arial"/>
          <w:sz w:val="24"/>
          <w:szCs w:val="32"/>
          <w:lang w:val="en-US"/>
        </w:rPr>
        <w:t>-</w:t>
      </w:r>
      <w:r>
        <w:rPr>
          <w:rFonts w:hint="eastAsia" w:ascii="Times New Roman" w:hAnsi="Times New Roman" w:eastAsia="仿宋_GB2312" w:cs="Arial"/>
          <w:sz w:val="24"/>
          <w:szCs w:val="32"/>
        </w:rPr>
        <w:t>2004，与NY</w:t>
      </w:r>
      <w:r>
        <w:rPr>
          <w:rFonts w:hint="default" w:eastAsia="仿宋_GB2312" w:cs="Arial"/>
          <w:sz w:val="24"/>
          <w:szCs w:val="32"/>
          <w:lang w:val="en-US"/>
        </w:rPr>
        <w:t>/T 92</w:t>
      </w:r>
      <w:r>
        <w:rPr>
          <w:rFonts w:hint="eastAsia" w:ascii="Times New Roman" w:hAnsi="Times New Roman" w:eastAsia="仿宋_GB2312" w:cs="Arial"/>
          <w:sz w:val="24"/>
          <w:szCs w:val="32"/>
        </w:rPr>
        <w:t>2</w:t>
      </w:r>
      <w:r>
        <w:rPr>
          <w:rFonts w:hint="default" w:eastAsia="仿宋_GB2312" w:cs="Arial"/>
          <w:sz w:val="24"/>
          <w:szCs w:val="32"/>
          <w:lang w:val="en-US"/>
        </w:rPr>
        <w:t>-</w:t>
      </w:r>
      <w:r>
        <w:rPr>
          <w:rFonts w:hint="eastAsia" w:ascii="Times New Roman" w:hAnsi="Times New Roman" w:eastAsia="仿宋_GB2312" w:cs="Arial"/>
          <w:sz w:val="24"/>
          <w:szCs w:val="32"/>
        </w:rPr>
        <w:t>2004相比，除编辑性改动外，</w:t>
      </w:r>
      <w:r>
        <w:rPr>
          <w:rFonts w:hint="eastAsia" w:eastAsia="仿宋_GB2312" w:cs="Arial"/>
          <w:sz w:val="24"/>
          <w:szCs w:val="32"/>
          <w:lang w:eastAsia="zh-CN"/>
        </w:rPr>
        <w:t>结构调整和</w:t>
      </w:r>
      <w:r>
        <w:rPr>
          <w:rFonts w:hint="eastAsia" w:ascii="Times New Roman" w:hAnsi="Times New Roman" w:eastAsia="仿宋_GB2312" w:cs="Arial"/>
          <w:sz w:val="24"/>
          <w:szCs w:val="32"/>
        </w:rPr>
        <w:t>主要技术变化如下：</w:t>
      </w:r>
    </w:p>
    <w:p w14:paraId="07105FB0">
      <w:pPr>
        <w:pStyle w:val="22"/>
        <w:numPr>
          <w:ilvl w:val="0"/>
          <w:numId w:val="0"/>
        </w:numPr>
        <w:spacing w:line="560" w:lineRule="exact"/>
        <w:rPr>
          <w:rFonts w:hint="eastAsia" w:ascii="Times New Roman" w:hAnsi="Times New Roman" w:eastAsia="仿宋_GB2312" w:cs="Arial"/>
          <w:b/>
          <w:bCs/>
          <w:kern w:val="2"/>
          <w:sz w:val="24"/>
          <w:szCs w:val="32"/>
          <w:lang w:val="en-US" w:eastAsia="zh-CN" w:bidi="ar-SA"/>
        </w:rPr>
      </w:pPr>
      <w:r>
        <w:rPr>
          <w:rFonts w:hint="default" w:ascii="Times New Roman" w:hAnsi="Times New Roman" w:eastAsia="仿宋_GB2312" w:cs="Arial"/>
          <w:b/>
          <w:bCs/>
          <w:kern w:val="2"/>
          <w:sz w:val="24"/>
          <w:szCs w:val="32"/>
          <w:lang w:val="en-US" w:eastAsia="zh-CN" w:bidi="ar-SA"/>
        </w:rPr>
        <w:t xml:space="preserve">    1.</w:t>
      </w:r>
      <w:r>
        <w:rPr>
          <w:rFonts w:hint="eastAsia" w:ascii="Times New Roman" w:hAnsi="Times New Roman" w:eastAsia="仿宋_GB2312" w:cs="Arial"/>
          <w:b/>
          <w:bCs/>
          <w:kern w:val="2"/>
          <w:sz w:val="24"/>
          <w:szCs w:val="32"/>
          <w:lang w:val="en-US" w:eastAsia="zh-CN" w:bidi="ar-SA"/>
        </w:rPr>
        <w:t>标准结构调整</w:t>
      </w:r>
    </w:p>
    <w:p w14:paraId="5A87CCBE">
      <w:pPr>
        <w:pStyle w:val="22"/>
        <w:numPr>
          <w:ilvl w:val="0"/>
          <w:numId w:val="0"/>
        </w:numPr>
        <w:spacing w:line="560" w:lineRule="exact"/>
        <w:ind w:firstLine="480" w:firstLineChars="200"/>
        <w:rPr>
          <w:rFonts w:hint="eastAsia" w:ascii="Times New Roman" w:hAnsi="Times New Roman" w:eastAsia="仿宋_GB2312" w:cs="Arial"/>
          <w:kern w:val="2"/>
          <w:sz w:val="24"/>
          <w:szCs w:val="32"/>
          <w:lang w:val="en-US" w:eastAsia="zh-CN" w:bidi="ar-SA"/>
        </w:rPr>
      </w:pPr>
      <w:r>
        <w:rPr>
          <w:rFonts w:hint="eastAsia" w:ascii="Times New Roman" w:hAnsi="Times New Roman" w:eastAsia="仿宋_GB2312" w:cs="Arial"/>
          <w:kern w:val="2"/>
          <w:sz w:val="24"/>
          <w:szCs w:val="32"/>
          <w:lang w:val="en-US" w:eastAsia="zh-CN" w:bidi="ar-SA"/>
        </w:rPr>
        <w:fldChar w:fldCharType="begin"/>
      </w:r>
      <w:r>
        <w:rPr>
          <w:rFonts w:hint="eastAsia" w:ascii="Times New Roman" w:hAnsi="Times New Roman" w:eastAsia="仿宋_GB2312" w:cs="Arial"/>
          <w:kern w:val="2"/>
          <w:sz w:val="24"/>
          <w:szCs w:val="32"/>
          <w:lang w:val="en-US" w:eastAsia="zh-CN" w:bidi="ar-SA"/>
        </w:rPr>
        <w:instrText xml:space="preserve"> = 1 \* GB3 \* MERGEFORMAT </w:instrText>
      </w:r>
      <w:r>
        <w:rPr>
          <w:rFonts w:hint="eastAsia" w:ascii="Times New Roman" w:hAnsi="Times New Roman" w:eastAsia="仿宋_GB2312" w:cs="Arial"/>
          <w:kern w:val="2"/>
          <w:sz w:val="24"/>
          <w:szCs w:val="32"/>
          <w:lang w:val="en-US" w:eastAsia="zh-CN" w:bidi="ar-SA"/>
        </w:rPr>
        <w:fldChar w:fldCharType="separate"/>
      </w:r>
      <w:r>
        <w:rPr>
          <w:rFonts w:hint="eastAsia" w:ascii="Times New Roman" w:hAnsi="Times New Roman" w:eastAsia="仿宋_GB2312" w:cs="Arial"/>
          <w:kern w:val="2"/>
          <w:sz w:val="24"/>
          <w:szCs w:val="32"/>
          <w:lang w:val="en-US" w:eastAsia="zh-CN" w:bidi="ar-SA"/>
        </w:rPr>
        <w:t>①</w:t>
      </w:r>
      <w:r>
        <w:rPr>
          <w:rFonts w:hint="eastAsia" w:ascii="Times New Roman" w:hAnsi="Times New Roman" w:eastAsia="仿宋_GB2312" w:cs="Arial"/>
          <w:kern w:val="2"/>
          <w:sz w:val="24"/>
          <w:szCs w:val="32"/>
          <w:lang w:val="en-US" w:eastAsia="zh-CN" w:bidi="ar-SA"/>
        </w:rPr>
        <w:fldChar w:fldCharType="end"/>
      </w:r>
      <w:r>
        <w:rPr>
          <w:rFonts w:hint="eastAsia" w:ascii="Times New Roman" w:hAnsi="Times New Roman" w:eastAsia="仿宋_GB2312" w:cs="Arial"/>
          <w:kern w:val="2"/>
          <w:sz w:val="24"/>
          <w:szCs w:val="32"/>
          <w:lang w:val="en-US" w:eastAsia="zh-CN" w:bidi="ar-SA"/>
        </w:rPr>
        <w:t>新版标准将旧版中部分章节进行了拆分和归并，形成了从产前（立地条件、规划）→ 产中（种植、管理）→ 产后（采收、加工）→ 追溯（档案管理） 的更清晰、更符合现代农业生产管理逻辑的链条。</w:t>
      </w:r>
    </w:p>
    <w:p w14:paraId="7B17EDF0">
      <w:pPr>
        <w:pStyle w:val="22"/>
        <w:numPr>
          <w:ilvl w:val="0"/>
          <w:numId w:val="0"/>
        </w:numPr>
        <w:spacing w:line="560" w:lineRule="exact"/>
        <w:ind w:firstLine="480" w:firstLineChars="200"/>
        <w:rPr>
          <w:rFonts w:hint="eastAsia" w:ascii="Times New Roman" w:hAnsi="Times New Roman" w:eastAsia="仿宋_GB2312" w:cs="Arial"/>
          <w:kern w:val="2"/>
          <w:sz w:val="24"/>
          <w:szCs w:val="32"/>
          <w:lang w:val="en-US" w:eastAsia="zh-CN" w:bidi="ar-SA"/>
        </w:rPr>
      </w:pPr>
      <w:r>
        <w:rPr>
          <w:rFonts w:hint="eastAsia" w:ascii="Times New Roman" w:hAnsi="Times New Roman" w:eastAsia="仿宋_GB2312" w:cs="Arial"/>
          <w:kern w:val="2"/>
          <w:sz w:val="24"/>
          <w:szCs w:val="32"/>
          <w:lang w:val="en-US" w:eastAsia="zh-CN" w:bidi="ar-SA"/>
        </w:rPr>
        <w:fldChar w:fldCharType="begin"/>
      </w:r>
      <w:r>
        <w:rPr>
          <w:rFonts w:hint="eastAsia" w:ascii="Times New Roman" w:hAnsi="Times New Roman" w:eastAsia="仿宋_GB2312" w:cs="Arial"/>
          <w:kern w:val="2"/>
          <w:sz w:val="24"/>
          <w:szCs w:val="32"/>
          <w:lang w:val="en-US" w:eastAsia="zh-CN" w:bidi="ar-SA"/>
        </w:rPr>
        <w:instrText xml:space="preserve"> = 2 \* GB3 \* MERGEFORMAT </w:instrText>
      </w:r>
      <w:r>
        <w:rPr>
          <w:rFonts w:hint="eastAsia" w:ascii="Times New Roman" w:hAnsi="Times New Roman" w:eastAsia="仿宋_GB2312" w:cs="Arial"/>
          <w:kern w:val="2"/>
          <w:sz w:val="24"/>
          <w:szCs w:val="32"/>
          <w:lang w:val="en-US" w:eastAsia="zh-CN" w:bidi="ar-SA"/>
        </w:rPr>
        <w:fldChar w:fldCharType="separate"/>
      </w:r>
      <w:r>
        <w:rPr>
          <w:rFonts w:hint="eastAsia" w:ascii="Times New Roman" w:hAnsi="Times New Roman" w:eastAsia="仿宋_GB2312" w:cs="Arial"/>
          <w:kern w:val="2"/>
          <w:sz w:val="24"/>
          <w:szCs w:val="32"/>
          <w:lang w:val="en-US" w:eastAsia="zh-CN" w:bidi="ar-SA"/>
        </w:rPr>
        <w:t>②</w:t>
      </w:r>
      <w:r>
        <w:rPr>
          <w:rFonts w:hint="eastAsia" w:ascii="Times New Roman" w:hAnsi="Times New Roman" w:eastAsia="仿宋_GB2312" w:cs="Arial"/>
          <w:kern w:val="2"/>
          <w:sz w:val="24"/>
          <w:szCs w:val="32"/>
          <w:lang w:val="en-US" w:eastAsia="zh-CN" w:bidi="ar-SA"/>
        </w:rPr>
        <w:fldChar w:fldCharType="end"/>
      </w:r>
      <w:r>
        <w:rPr>
          <w:rFonts w:hint="eastAsia" w:ascii="Times New Roman" w:hAnsi="Times New Roman" w:eastAsia="仿宋_GB2312" w:cs="Arial"/>
          <w:kern w:val="2"/>
          <w:sz w:val="24"/>
          <w:szCs w:val="32"/>
          <w:lang w:val="en-US" w:eastAsia="zh-CN" w:bidi="ar-SA"/>
        </w:rPr>
        <w:t>增加了“品种选择”和“生产记录、档案管理和使用”两个独立章节</w:t>
      </w:r>
      <w:r>
        <w:rPr>
          <w:rFonts w:hint="eastAsia" w:eastAsia="仿宋_GB2312" w:cs="Arial"/>
          <w:kern w:val="2"/>
          <w:sz w:val="24"/>
          <w:szCs w:val="32"/>
          <w:lang w:val="en-US" w:eastAsia="zh-CN" w:bidi="ar-SA"/>
        </w:rPr>
        <w:t>，</w:t>
      </w:r>
      <w:r>
        <w:rPr>
          <w:rFonts w:hint="eastAsia" w:ascii="Times New Roman" w:hAnsi="Times New Roman" w:eastAsia="仿宋_GB2312" w:cs="Arial"/>
          <w:kern w:val="2"/>
          <w:sz w:val="24"/>
          <w:szCs w:val="32"/>
          <w:lang w:val="en-US" w:eastAsia="zh-CN" w:bidi="ar-SA"/>
        </w:rPr>
        <w:t>强调了优良品种和产品质量可追溯在现代农业中的核心地位。</w:t>
      </w:r>
    </w:p>
    <w:p w14:paraId="633EC341">
      <w:pPr>
        <w:pStyle w:val="22"/>
        <w:numPr>
          <w:ilvl w:val="0"/>
          <w:numId w:val="0"/>
        </w:numPr>
        <w:spacing w:line="560" w:lineRule="exact"/>
        <w:ind w:firstLine="480" w:firstLineChars="200"/>
        <w:rPr>
          <w:rFonts w:hint="eastAsia" w:ascii="Times New Roman" w:hAnsi="Times New Roman" w:eastAsia="仿宋_GB2312" w:cs="Arial"/>
          <w:kern w:val="2"/>
          <w:sz w:val="24"/>
          <w:szCs w:val="32"/>
          <w:lang w:val="en-US" w:eastAsia="zh-CN" w:bidi="ar-SA"/>
        </w:rPr>
      </w:pPr>
      <w:r>
        <w:rPr>
          <w:rFonts w:hint="eastAsia" w:ascii="Times New Roman" w:hAnsi="Times New Roman" w:eastAsia="仿宋_GB2312" w:cs="Arial"/>
          <w:kern w:val="2"/>
          <w:sz w:val="24"/>
          <w:szCs w:val="32"/>
          <w:lang w:val="en-US" w:eastAsia="zh-CN" w:bidi="ar-SA"/>
        </w:rPr>
        <w:fldChar w:fldCharType="begin"/>
      </w:r>
      <w:r>
        <w:rPr>
          <w:rFonts w:hint="eastAsia" w:ascii="Times New Roman" w:hAnsi="Times New Roman" w:eastAsia="仿宋_GB2312" w:cs="Arial"/>
          <w:kern w:val="2"/>
          <w:sz w:val="24"/>
          <w:szCs w:val="32"/>
          <w:lang w:val="en-US" w:eastAsia="zh-CN" w:bidi="ar-SA"/>
        </w:rPr>
        <w:instrText xml:space="preserve"> = 3 \* GB3 \* MERGEFORMAT </w:instrText>
      </w:r>
      <w:r>
        <w:rPr>
          <w:rFonts w:hint="eastAsia" w:ascii="Times New Roman" w:hAnsi="Times New Roman" w:eastAsia="仿宋_GB2312" w:cs="Arial"/>
          <w:kern w:val="2"/>
          <w:sz w:val="24"/>
          <w:szCs w:val="32"/>
          <w:lang w:val="en-US" w:eastAsia="zh-CN" w:bidi="ar-SA"/>
        </w:rPr>
        <w:fldChar w:fldCharType="separate"/>
      </w:r>
      <w:r>
        <w:rPr>
          <w:rFonts w:hint="eastAsia" w:ascii="Times New Roman" w:hAnsi="Times New Roman" w:eastAsia="仿宋_GB2312" w:cs="Arial"/>
          <w:kern w:val="2"/>
          <w:sz w:val="24"/>
          <w:szCs w:val="32"/>
          <w:lang w:val="en-US" w:eastAsia="zh-CN" w:bidi="ar-SA"/>
        </w:rPr>
        <w:t>③</w:t>
      </w:r>
      <w:r>
        <w:rPr>
          <w:rFonts w:hint="eastAsia" w:ascii="Times New Roman" w:hAnsi="Times New Roman" w:eastAsia="仿宋_GB2312" w:cs="Arial"/>
          <w:kern w:val="2"/>
          <w:sz w:val="24"/>
          <w:szCs w:val="32"/>
          <w:lang w:val="en-US" w:eastAsia="zh-CN" w:bidi="ar-SA"/>
        </w:rPr>
        <w:fldChar w:fldCharType="end"/>
      </w:r>
      <w:r>
        <w:rPr>
          <w:rFonts w:hint="eastAsia" w:ascii="Times New Roman" w:hAnsi="Times New Roman" w:eastAsia="仿宋_GB2312" w:cs="Arial"/>
          <w:kern w:val="2"/>
          <w:sz w:val="24"/>
          <w:szCs w:val="32"/>
          <w:lang w:val="en-US" w:eastAsia="zh-CN" w:bidi="ar-SA"/>
        </w:rPr>
        <w:t>附录化处理病虫害防治： 将旧版中嵌入正文的病虫害防治表格（表2、表3）移至资料性附录（附录B</w:t>
      </w:r>
      <w:r>
        <w:rPr>
          <w:rFonts w:hint="eastAsia" w:eastAsia="仿宋_GB2312" w:cs="Arial"/>
          <w:kern w:val="2"/>
          <w:sz w:val="24"/>
          <w:szCs w:val="32"/>
          <w:lang w:val="en-US" w:eastAsia="zh-CN" w:bidi="ar-SA"/>
        </w:rPr>
        <w:t>、C</w:t>
      </w:r>
      <w:r>
        <w:rPr>
          <w:rFonts w:hint="eastAsia" w:ascii="Times New Roman" w:hAnsi="Times New Roman" w:eastAsia="仿宋_GB2312" w:cs="Arial"/>
          <w:kern w:val="2"/>
          <w:sz w:val="24"/>
          <w:szCs w:val="32"/>
          <w:lang w:val="en-US" w:eastAsia="zh-CN" w:bidi="ar-SA"/>
        </w:rPr>
        <w:t>），使正文结构更简洁，同时便于未来对病虫害防治信息进行更新和补充。</w:t>
      </w:r>
    </w:p>
    <w:p w14:paraId="2D4939B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s="Times New Roman"/>
          <w:b/>
          <w:bCs/>
          <w:sz w:val="24"/>
          <w:szCs w:val="24"/>
          <w:lang w:val="en-US" w:eastAsia="zh-CN"/>
        </w:rPr>
      </w:pPr>
      <w:r>
        <w:rPr>
          <w:rFonts w:hint="eastAsia" w:eastAsia="黑体" w:cs="Times New Roman"/>
          <w:bCs/>
          <w:kern w:val="44"/>
          <w:sz w:val="21"/>
          <w:szCs w:val="24"/>
          <w:lang w:val="en-US" w:eastAsia="zh-CN"/>
        </w:rPr>
        <w:t>表</w:t>
      </w:r>
      <w:r>
        <w:rPr>
          <w:rFonts w:hint="default" w:ascii="Times New Roman" w:hAnsi="Times New Roman" w:eastAsia="黑体" w:cs="Times New Roman"/>
          <w:bCs/>
          <w:kern w:val="44"/>
          <w:sz w:val="21"/>
          <w:szCs w:val="24"/>
          <w:lang w:val="en-US" w:eastAsia="zh-CN"/>
        </w:rPr>
        <w:t>2</w:t>
      </w:r>
      <w:r>
        <w:rPr>
          <w:rFonts w:hint="eastAsia" w:eastAsia="黑体" w:cs="Times New Roman"/>
          <w:bCs/>
          <w:kern w:val="44"/>
          <w:sz w:val="21"/>
          <w:szCs w:val="24"/>
          <w:lang w:val="en-US" w:eastAsia="zh-CN"/>
        </w:rPr>
        <w:t xml:space="preserve">  </w:t>
      </w:r>
      <w:r>
        <w:rPr>
          <w:rFonts w:hint="eastAsia" w:ascii="Times New Roman" w:hAnsi="Times New Roman" w:eastAsia="黑体" w:cs="Times New Roman"/>
          <w:bCs/>
          <w:kern w:val="44"/>
          <w:sz w:val="21"/>
          <w:szCs w:val="24"/>
          <w:lang w:val="en-US" w:eastAsia="zh-CN"/>
        </w:rPr>
        <w:t>标准新、旧版本主要技术内容改变的说明</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26"/>
        <w:gridCol w:w="1608"/>
        <w:gridCol w:w="1839"/>
        <w:gridCol w:w="3763"/>
      </w:tblGrid>
      <w:tr w14:paraId="2DCE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single" w:color="000000" w:sz="12" w:space="0"/>
              <w:left w:val="nil"/>
              <w:bottom w:val="single" w:color="000000" w:sz="4" w:space="0"/>
              <w:right w:val="nil"/>
              <w:tl2br w:val="nil"/>
            </w:tcBorders>
            <w:shd w:val="clear" w:color="auto" w:fill="FFFFFF"/>
            <w:tcMar>
              <w:top w:w="120" w:type="dxa"/>
              <w:left w:w="0" w:type="dxa"/>
              <w:bottom w:w="120" w:type="dxa"/>
              <w:right w:w="192" w:type="dxa"/>
            </w:tcMar>
            <w:vAlign w:val="center"/>
          </w:tcPr>
          <w:p w14:paraId="4A50BB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bCs/>
                <w:color w:val="000000"/>
                <w:sz w:val="21"/>
                <w:szCs w:val="21"/>
              </w:rPr>
            </w:pPr>
            <w:r>
              <w:rPr>
                <w:rFonts w:hint="eastAsia" w:ascii="方正仿宋_GB2312" w:hAnsi="方正仿宋_GB2312" w:eastAsia="方正仿宋_GB2312" w:cs="方正仿宋_GB2312"/>
                <w:b w:val="0"/>
                <w:bCs/>
                <w:color w:val="000000"/>
                <w:kern w:val="0"/>
                <w:sz w:val="21"/>
                <w:szCs w:val="21"/>
                <w:lang w:val="en-US" w:eastAsia="zh-CN" w:bidi="ar"/>
              </w:rPr>
              <w:t>技术领域</w:t>
            </w:r>
          </w:p>
        </w:tc>
        <w:tc>
          <w:tcPr>
            <w:tcW w:w="1580"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0D4772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bCs/>
                <w:color w:val="000000"/>
                <w:sz w:val="21"/>
                <w:szCs w:val="21"/>
              </w:rPr>
            </w:pPr>
            <w:r>
              <w:rPr>
                <w:rFonts w:hint="eastAsia" w:ascii="方正仿宋_GB2312" w:hAnsi="方正仿宋_GB2312" w:eastAsia="方正仿宋_GB2312" w:cs="方正仿宋_GB2312"/>
                <w:b w:val="0"/>
                <w:bCs/>
                <w:color w:val="000000"/>
                <w:kern w:val="0"/>
                <w:sz w:val="21"/>
                <w:szCs w:val="21"/>
                <w:lang w:val="en-US" w:eastAsia="zh-CN" w:bidi="ar"/>
              </w:rPr>
              <w:t>旧版标准内容</w:t>
            </w:r>
          </w:p>
        </w:tc>
        <w:tc>
          <w:tcPr>
            <w:tcW w:w="1840"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39307F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bCs/>
                <w:color w:val="000000"/>
                <w:sz w:val="21"/>
                <w:szCs w:val="21"/>
              </w:rPr>
            </w:pPr>
            <w:r>
              <w:rPr>
                <w:rFonts w:hint="eastAsia" w:ascii="方正仿宋_GB2312" w:hAnsi="方正仿宋_GB2312" w:eastAsia="方正仿宋_GB2312" w:cs="方正仿宋_GB2312"/>
                <w:b w:val="0"/>
                <w:bCs/>
                <w:color w:val="000000"/>
                <w:kern w:val="0"/>
                <w:sz w:val="21"/>
                <w:szCs w:val="21"/>
                <w:lang w:val="en-US" w:eastAsia="zh-CN" w:bidi="ar"/>
              </w:rPr>
              <w:t>新版标准内容</w:t>
            </w:r>
          </w:p>
        </w:tc>
        <w:tc>
          <w:tcPr>
            <w:tcW w:w="3781"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48FB86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bCs/>
                <w:color w:val="000000"/>
                <w:sz w:val="21"/>
                <w:szCs w:val="21"/>
              </w:rPr>
            </w:pPr>
            <w:r>
              <w:rPr>
                <w:rFonts w:hint="eastAsia" w:ascii="方正仿宋_GB2312" w:hAnsi="方正仿宋_GB2312" w:eastAsia="方正仿宋_GB2312" w:cs="方正仿宋_GB2312"/>
                <w:b w:val="0"/>
                <w:bCs/>
                <w:color w:val="000000"/>
                <w:kern w:val="0"/>
                <w:sz w:val="21"/>
                <w:szCs w:val="21"/>
                <w:lang w:val="en-US" w:eastAsia="zh-CN" w:bidi="ar"/>
              </w:rPr>
              <w:t>改变说明</w:t>
            </w:r>
          </w:p>
        </w:tc>
      </w:tr>
      <w:tr w14:paraId="4372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single" w:color="000000" w:sz="4" w:space="0"/>
              <w:left w:val="nil"/>
              <w:bottom w:val="nil"/>
              <w:right w:val="nil"/>
            </w:tcBorders>
            <w:shd w:val="clear" w:color="auto" w:fill="FFFFFF"/>
            <w:tcMar>
              <w:top w:w="120" w:type="dxa"/>
              <w:left w:w="0" w:type="dxa"/>
              <w:bottom w:w="120" w:type="dxa"/>
              <w:right w:w="192" w:type="dxa"/>
            </w:tcMar>
            <w:vAlign w:val="center"/>
          </w:tcPr>
          <w:p w14:paraId="65E10D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1. 立地条件</w:t>
            </w:r>
          </w:p>
        </w:tc>
        <w:tc>
          <w:tcPr>
            <w:tcW w:w="1580"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2A662A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c>
          <w:tcPr>
            <w:tcW w:w="1840"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5C7FBC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c>
          <w:tcPr>
            <w:tcW w:w="3781" w:type="dxa"/>
            <w:tcBorders>
              <w:top w:val="single" w:color="000000" w:sz="4" w:space="0"/>
              <w:left w:val="nil"/>
              <w:bottom w:val="nil"/>
              <w:right w:val="nil"/>
            </w:tcBorders>
            <w:shd w:val="clear" w:color="auto" w:fill="FFFFFF"/>
            <w:tcMar>
              <w:top w:w="120" w:type="dxa"/>
              <w:left w:w="192" w:type="dxa"/>
              <w:bottom w:w="120" w:type="dxa"/>
              <w:right w:w="0" w:type="dxa"/>
            </w:tcMar>
            <w:vAlign w:val="center"/>
          </w:tcPr>
          <w:p w14:paraId="13B4C8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r>
      <w:tr w14:paraId="5471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1AFEF3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-海拔</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42B80CD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700-1000m，不宜超1200m。</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488BB2E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700-</w:t>
            </w:r>
            <w:r>
              <w:rPr>
                <w:rStyle w:val="13"/>
                <w:rFonts w:hint="eastAsia" w:ascii="方正仿宋_GB2312" w:hAnsi="方正仿宋_GB2312" w:eastAsia="方正仿宋_GB2312" w:cs="方正仿宋_GB2312"/>
                <w:b w:val="0"/>
                <w:bCs/>
                <w:color w:val="000000"/>
                <w:kern w:val="0"/>
                <w:sz w:val="21"/>
                <w:szCs w:val="21"/>
                <w:lang w:val="en-US" w:eastAsia="zh-CN" w:bidi="ar"/>
              </w:rPr>
              <w:t>1600m</w:t>
            </w:r>
            <w:r>
              <w:rPr>
                <w:rFonts w:hint="eastAsia" w:ascii="方正仿宋_GB2312" w:hAnsi="方正仿宋_GB2312" w:eastAsia="方正仿宋_GB2312" w:cs="方正仿宋_GB2312"/>
                <w:b w:val="0"/>
                <w:color w:val="000000"/>
                <w:kern w:val="0"/>
                <w:sz w:val="21"/>
                <w:szCs w:val="21"/>
                <w:lang w:val="en-US" w:eastAsia="zh-CN" w:bidi="ar"/>
              </w:rPr>
              <w:t>，不宜超</w:t>
            </w:r>
            <w:r>
              <w:rPr>
                <w:rStyle w:val="13"/>
                <w:rFonts w:hint="eastAsia" w:ascii="方正仿宋_GB2312" w:hAnsi="方正仿宋_GB2312" w:eastAsia="方正仿宋_GB2312" w:cs="方正仿宋_GB2312"/>
                <w:b w:val="0"/>
                <w:bCs/>
                <w:color w:val="000000"/>
                <w:kern w:val="0"/>
                <w:sz w:val="21"/>
                <w:szCs w:val="21"/>
                <w:lang w:val="en-US" w:eastAsia="zh-CN" w:bidi="ar"/>
              </w:rPr>
              <w:t>1800m</w:t>
            </w:r>
            <w:r>
              <w:rPr>
                <w:rFonts w:hint="eastAsia" w:ascii="方正仿宋_GB2312" w:hAnsi="方正仿宋_GB2312" w:eastAsia="方正仿宋_GB2312" w:cs="方正仿宋_GB2312"/>
                <w:b w:val="0"/>
                <w:color w:val="000000"/>
                <w:kern w:val="0"/>
                <w:sz w:val="21"/>
                <w:szCs w:val="21"/>
                <w:lang w:val="en-US" w:eastAsia="zh-CN" w:bidi="ar"/>
              </w:rPr>
              <w:t>。</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55B043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基于我国云南咖啡种植实践和品种改良，认可了在更高海拔区域种植的可行性，扩大了标准的适用范围。</w:t>
            </w:r>
          </w:p>
        </w:tc>
      </w:tr>
      <w:tr w14:paraId="726C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0D3026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-坡度</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44F6587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宜选用＜20°地段。</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202263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宜选择坡度</w:t>
            </w:r>
            <w:r>
              <w:rPr>
                <w:rStyle w:val="13"/>
                <w:rFonts w:hint="eastAsia" w:ascii="方正仿宋_GB2312" w:hAnsi="方正仿宋_GB2312" w:eastAsia="方正仿宋_GB2312" w:cs="方正仿宋_GB2312"/>
                <w:b w:val="0"/>
                <w:bCs/>
                <w:color w:val="000000"/>
                <w:kern w:val="0"/>
                <w:sz w:val="21"/>
                <w:szCs w:val="21"/>
                <w:lang w:val="en-US" w:eastAsia="zh-CN" w:bidi="ar"/>
              </w:rPr>
              <w:t>不大于35°</w:t>
            </w:r>
            <w:r>
              <w:rPr>
                <w:rFonts w:hint="eastAsia" w:ascii="方正仿宋_GB2312" w:hAnsi="方正仿宋_GB2312" w:eastAsia="方正仿宋_GB2312" w:cs="方正仿宋_GB2312"/>
                <w:b w:val="0"/>
                <w:color w:val="000000"/>
                <w:kern w:val="0"/>
                <w:sz w:val="21"/>
                <w:szCs w:val="21"/>
                <w:lang w:val="en-US" w:eastAsia="zh-CN" w:bidi="ar"/>
              </w:rPr>
              <w:t>的山地。</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0356A4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通过不同的耕作区规划（如点状挖穴、窄面梯地），将适宜种植的坡度上限提高，更符合咖啡主产区位于山区土地资源利用的实际。</w:t>
            </w:r>
          </w:p>
        </w:tc>
      </w:tr>
      <w:tr w14:paraId="3A48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54B5A0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-土壤pH</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4A31C17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pH值</w:t>
            </w:r>
            <w:r>
              <w:rPr>
                <w:rStyle w:val="13"/>
                <w:rFonts w:hint="eastAsia" w:ascii="方正仿宋_GB2312" w:hAnsi="方正仿宋_GB2312" w:eastAsia="方正仿宋_GB2312" w:cs="方正仿宋_GB2312"/>
                <w:b w:val="0"/>
                <w:bCs/>
                <w:color w:val="000000"/>
                <w:kern w:val="0"/>
                <w:sz w:val="21"/>
                <w:szCs w:val="21"/>
                <w:lang w:val="en-US" w:eastAsia="zh-CN" w:bidi="ar"/>
              </w:rPr>
              <w:t>5.5～6.8</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7568D89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pH值</w:t>
            </w:r>
            <w:r>
              <w:rPr>
                <w:rStyle w:val="13"/>
                <w:rFonts w:hint="eastAsia" w:ascii="方正仿宋_GB2312" w:hAnsi="方正仿宋_GB2312" w:eastAsia="方正仿宋_GB2312" w:cs="方正仿宋_GB2312"/>
                <w:b w:val="0"/>
                <w:bCs/>
                <w:color w:val="000000"/>
                <w:kern w:val="0"/>
                <w:sz w:val="21"/>
                <w:szCs w:val="21"/>
                <w:lang w:val="en-US" w:eastAsia="zh-CN" w:bidi="ar"/>
              </w:rPr>
              <w:t>4.5～6.8</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6D7454F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基于咖啡主产区，土壤养分测定结果，放宽了酸性土壤的适应范围。</w:t>
            </w:r>
          </w:p>
        </w:tc>
      </w:tr>
      <w:tr w14:paraId="272E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8" w:hRule="atLeast"/>
        </w:trPr>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1CBBE1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-环境标准</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72D054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引用NY/T 5023（热带水果环境）。</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4D1DC9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引用</w:t>
            </w:r>
            <w:r>
              <w:rPr>
                <w:rStyle w:val="13"/>
                <w:rFonts w:hint="eastAsia" w:ascii="方正仿宋_GB2312" w:hAnsi="方正仿宋_GB2312" w:eastAsia="方正仿宋_GB2312" w:cs="方正仿宋_GB2312"/>
                <w:b w:val="0"/>
                <w:bCs/>
                <w:color w:val="000000"/>
                <w:kern w:val="0"/>
                <w:sz w:val="21"/>
                <w:szCs w:val="21"/>
                <w:lang w:val="en-US" w:eastAsia="zh-CN" w:bidi="ar"/>
              </w:rPr>
              <w:t>GB 15618</w:t>
            </w:r>
            <w:r>
              <w:rPr>
                <w:rFonts w:hint="eastAsia" w:ascii="方正仿宋_GB2312" w:hAnsi="方正仿宋_GB2312" w:eastAsia="方正仿宋_GB2312" w:cs="方正仿宋_GB2312"/>
                <w:b w:val="0"/>
                <w:color w:val="000000"/>
                <w:kern w:val="0"/>
                <w:sz w:val="21"/>
                <w:szCs w:val="21"/>
                <w:lang w:val="en-US" w:eastAsia="zh-CN" w:bidi="ar"/>
              </w:rPr>
              <w:t>（土壤质量）、</w:t>
            </w:r>
            <w:r>
              <w:rPr>
                <w:rStyle w:val="13"/>
                <w:rFonts w:hint="eastAsia" w:ascii="方正仿宋_GB2312" w:hAnsi="方正仿宋_GB2312" w:eastAsia="方正仿宋_GB2312" w:cs="方正仿宋_GB2312"/>
                <w:b w:val="0"/>
                <w:bCs/>
                <w:color w:val="000000"/>
                <w:kern w:val="0"/>
                <w:sz w:val="21"/>
                <w:szCs w:val="21"/>
                <w:lang w:val="en-US" w:eastAsia="zh-CN" w:bidi="ar"/>
              </w:rPr>
              <w:t>GB 3095</w:t>
            </w:r>
            <w:r>
              <w:rPr>
                <w:rFonts w:hint="eastAsia" w:ascii="方正仿宋_GB2312" w:hAnsi="方正仿宋_GB2312" w:eastAsia="方正仿宋_GB2312" w:cs="方正仿宋_GB2312"/>
                <w:b w:val="0"/>
                <w:color w:val="000000"/>
                <w:kern w:val="0"/>
                <w:sz w:val="21"/>
                <w:szCs w:val="21"/>
                <w:lang w:val="en-US" w:eastAsia="zh-CN" w:bidi="ar"/>
              </w:rPr>
              <w:t>（空气质量）、</w:t>
            </w:r>
            <w:r>
              <w:rPr>
                <w:rStyle w:val="13"/>
                <w:rFonts w:hint="eastAsia" w:ascii="方正仿宋_GB2312" w:hAnsi="方正仿宋_GB2312" w:eastAsia="方正仿宋_GB2312" w:cs="方正仿宋_GB2312"/>
                <w:b w:val="0"/>
                <w:bCs/>
                <w:color w:val="000000"/>
                <w:kern w:val="0"/>
                <w:sz w:val="21"/>
                <w:szCs w:val="21"/>
                <w:lang w:val="en-US" w:eastAsia="zh-CN" w:bidi="ar"/>
              </w:rPr>
              <w:t>NY/T 5295</w:t>
            </w:r>
            <w:r>
              <w:rPr>
                <w:rFonts w:hint="eastAsia" w:ascii="方正仿宋_GB2312" w:hAnsi="方正仿宋_GB2312" w:eastAsia="方正仿宋_GB2312" w:cs="方正仿宋_GB2312"/>
                <w:b w:val="0"/>
                <w:color w:val="000000"/>
                <w:kern w:val="0"/>
                <w:sz w:val="21"/>
                <w:szCs w:val="21"/>
                <w:lang w:val="en-US" w:eastAsia="zh-CN" w:bidi="ar"/>
              </w:rPr>
              <w:t>（产地评价）。</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552D72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引用更权威、更具针对性的国家标准，对环境要求更加严格和明确，体现了对农产品质量安全和绿色发展的重视。</w:t>
            </w:r>
          </w:p>
        </w:tc>
      </w:tr>
      <w:tr w14:paraId="7264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59542A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2. 园地规划与种植</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639441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51CDFC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00D17F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r>
      <w:tr w14:paraId="0BA9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10874D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 荫蔽树</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696C07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未明确要求。</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3C1261E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新增“7.2 种植荫蔽树”</w:t>
            </w:r>
            <w:r>
              <w:rPr>
                <w:rFonts w:hint="eastAsia" w:ascii="方正仿宋_GB2312" w:hAnsi="方正仿宋_GB2312" w:eastAsia="方正仿宋_GB2312" w:cs="方正仿宋_GB2312"/>
                <w:b w:val="0"/>
                <w:color w:val="000000"/>
                <w:kern w:val="0"/>
                <w:sz w:val="21"/>
                <w:szCs w:val="21"/>
                <w:lang w:val="en-US" w:eastAsia="zh-CN" w:bidi="ar"/>
              </w:rPr>
              <w:t>，要求定植前种植，荫蔽度30%-40%。</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150038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强调了荫蔽栽培对小粒种咖啡生长的重要性，这是提升咖啡品质和园区生态环境的技术措施。</w:t>
            </w:r>
          </w:p>
        </w:tc>
      </w:tr>
      <w:tr w14:paraId="5854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277870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耕作区规划</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0F1EFA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b w:val="0"/>
                <w:color w:val="000000"/>
                <w:sz w:val="21"/>
                <w:szCs w:val="21"/>
              </w:rPr>
            </w:pPr>
            <w:r>
              <w:rPr>
                <w:rStyle w:val="13"/>
                <w:rFonts w:ascii="Ubuntu" w:hAnsi="Ubuntu" w:eastAsia="Ubuntu" w:cs="Ubuntu"/>
                <w:b w:val="0"/>
                <w:bCs/>
                <w:i w:val="0"/>
                <w:iCs w:val="0"/>
                <w:caps w:val="0"/>
                <w:color w:val="000000"/>
                <w:spacing w:val="0"/>
                <w:kern w:val="0"/>
                <w:sz w:val="21"/>
                <w:szCs w:val="21"/>
                <w:shd w:val="clear" w:fill="FFFFFF"/>
                <w:lang w:val="en-US" w:eastAsia="zh-CN" w:bidi="ar"/>
              </w:rPr>
              <w:t>单一模式</w:t>
            </w:r>
            <w:r>
              <w:rPr>
                <w:rFonts w:hint="default" w:ascii="Ubuntu" w:hAnsi="Ubuntu" w:eastAsia="Ubuntu" w:cs="Ubuntu"/>
                <w:b w:val="0"/>
                <w:i w:val="0"/>
                <w:iCs w:val="0"/>
                <w:caps w:val="0"/>
                <w:color w:val="000000"/>
                <w:spacing w:val="0"/>
                <w:kern w:val="0"/>
                <w:sz w:val="21"/>
                <w:szCs w:val="21"/>
                <w:shd w:val="clear" w:fill="FFFFFF"/>
                <w:lang w:val="en-US" w:eastAsia="zh-CN" w:bidi="ar"/>
              </w:rPr>
              <w:t>：仅规定了“5°以上坡地修筑等高梯地”，梯面宽1.6-2.0m。</w:t>
            </w:r>
          </w:p>
          <w:p w14:paraId="15ACB5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kern w:val="0"/>
                <w:sz w:val="21"/>
                <w:szCs w:val="21"/>
                <w:lang w:val="en-US" w:eastAsia="zh-CN" w:bidi="ar"/>
              </w:rPr>
            </w:pP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418407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b w:val="0"/>
                <w:color w:val="000000"/>
                <w:sz w:val="21"/>
                <w:szCs w:val="21"/>
              </w:rPr>
            </w:pPr>
            <w:r>
              <w:rPr>
                <w:rStyle w:val="13"/>
                <w:rFonts w:hint="default" w:ascii="Ubuntu" w:hAnsi="Ubuntu" w:eastAsia="Ubuntu" w:cs="Ubuntu"/>
                <w:b w:val="0"/>
                <w:bCs/>
                <w:i w:val="0"/>
                <w:iCs w:val="0"/>
                <w:caps w:val="0"/>
                <w:color w:val="000000"/>
                <w:spacing w:val="0"/>
                <w:kern w:val="0"/>
                <w:sz w:val="21"/>
                <w:szCs w:val="21"/>
                <w:shd w:val="clear" w:fill="FFFFFF"/>
                <w:lang w:val="en-US" w:eastAsia="zh-CN" w:bidi="ar"/>
              </w:rPr>
              <w:t>5°以下</w:t>
            </w:r>
            <w:r>
              <w:rPr>
                <w:rFonts w:hint="default" w:ascii="Ubuntu" w:hAnsi="Ubuntu" w:eastAsia="Ubuntu" w:cs="Ubuntu"/>
                <w:b w:val="0"/>
                <w:i w:val="0"/>
                <w:iCs w:val="0"/>
                <w:caps w:val="0"/>
                <w:color w:val="000000"/>
                <w:spacing w:val="0"/>
                <w:kern w:val="0"/>
                <w:sz w:val="21"/>
                <w:szCs w:val="21"/>
                <w:shd w:val="clear" w:fill="FFFFFF"/>
                <w:lang w:val="en-US" w:eastAsia="zh-CN" w:bidi="ar"/>
              </w:rPr>
              <w:t>：因地制宜，行向南北。</w:t>
            </w:r>
            <w:r>
              <w:rPr>
                <w:rFonts w:hint="default" w:ascii="Ubuntu" w:hAnsi="Ubuntu" w:eastAsia="Ubuntu" w:cs="Ubuntu"/>
                <w:b w:val="0"/>
                <w:i w:val="0"/>
                <w:iCs w:val="0"/>
                <w:caps w:val="0"/>
                <w:color w:val="000000"/>
                <w:spacing w:val="0"/>
                <w:kern w:val="0"/>
                <w:sz w:val="21"/>
                <w:szCs w:val="21"/>
                <w:shd w:val="clear" w:fill="FFFFFF"/>
                <w:lang w:val="en-US" w:eastAsia="zh-CN" w:bidi="ar"/>
              </w:rPr>
              <w:br w:type="textWrapping"/>
            </w:r>
            <w:r>
              <w:rPr>
                <w:rFonts w:hint="default" w:ascii="Ubuntu" w:hAnsi="Ubuntu" w:eastAsia="Ubuntu" w:cs="Ubuntu"/>
                <w:b w:val="0"/>
                <w:i w:val="0"/>
                <w:iCs w:val="0"/>
                <w:caps w:val="0"/>
                <w:color w:val="000000"/>
                <w:spacing w:val="0"/>
                <w:kern w:val="0"/>
                <w:sz w:val="21"/>
                <w:szCs w:val="21"/>
                <w:shd w:val="clear" w:fill="FFFFFF"/>
                <w:lang w:val="en-US" w:eastAsia="zh-CN" w:bidi="ar"/>
              </w:rPr>
              <w:t> </w:t>
            </w:r>
            <w:r>
              <w:rPr>
                <w:rStyle w:val="13"/>
                <w:rFonts w:hint="default" w:ascii="Ubuntu" w:hAnsi="Ubuntu" w:eastAsia="Ubuntu" w:cs="Ubuntu"/>
                <w:b w:val="0"/>
                <w:bCs/>
                <w:i w:val="0"/>
                <w:iCs w:val="0"/>
                <w:caps w:val="0"/>
                <w:color w:val="000000"/>
                <w:spacing w:val="0"/>
                <w:kern w:val="0"/>
                <w:sz w:val="21"/>
                <w:szCs w:val="21"/>
                <w:shd w:val="clear" w:fill="FFFFFF"/>
                <w:lang w:val="en-US" w:eastAsia="zh-CN" w:bidi="ar"/>
              </w:rPr>
              <w:t>5°-25°</w:t>
            </w:r>
            <w:r>
              <w:rPr>
                <w:rFonts w:hint="default" w:ascii="Ubuntu" w:hAnsi="Ubuntu" w:eastAsia="Ubuntu" w:cs="Ubuntu"/>
                <w:b w:val="0"/>
                <w:i w:val="0"/>
                <w:iCs w:val="0"/>
                <w:caps w:val="0"/>
                <w:color w:val="000000"/>
                <w:spacing w:val="0"/>
                <w:kern w:val="0"/>
                <w:sz w:val="21"/>
                <w:szCs w:val="21"/>
                <w:shd w:val="clear" w:fill="FFFFFF"/>
                <w:lang w:val="en-US" w:eastAsia="zh-CN" w:bidi="ar"/>
              </w:rPr>
              <w:t>：修筑等高梯地，梯面宽1.6-2.0m。</w:t>
            </w:r>
            <w:r>
              <w:rPr>
                <w:rFonts w:hint="default" w:ascii="Ubuntu" w:hAnsi="Ubuntu" w:eastAsia="Ubuntu" w:cs="Ubuntu"/>
                <w:b w:val="0"/>
                <w:i w:val="0"/>
                <w:iCs w:val="0"/>
                <w:caps w:val="0"/>
                <w:color w:val="000000"/>
                <w:spacing w:val="0"/>
                <w:kern w:val="0"/>
                <w:sz w:val="21"/>
                <w:szCs w:val="21"/>
                <w:shd w:val="clear" w:fill="FFFFFF"/>
                <w:lang w:val="en-US" w:eastAsia="zh-CN" w:bidi="ar"/>
              </w:rPr>
              <w:br w:type="textWrapping"/>
            </w:r>
            <w:r>
              <w:rPr>
                <w:rStyle w:val="13"/>
                <w:rFonts w:hint="default" w:ascii="Ubuntu" w:hAnsi="Ubuntu" w:eastAsia="Ubuntu" w:cs="Ubuntu"/>
                <w:b w:val="0"/>
                <w:bCs/>
                <w:i w:val="0"/>
                <w:iCs w:val="0"/>
                <w:caps w:val="0"/>
                <w:color w:val="000000"/>
                <w:spacing w:val="0"/>
                <w:kern w:val="0"/>
                <w:sz w:val="21"/>
                <w:szCs w:val="21"/>
                <w:shd w:val="clear" w:fill="FFFFFF"/>
                <w:lang w:val="en-US" w:eastAsia="zh-CN" w:bidi="ar"/>
              </w:rPr>
              <w:t>25°-35°</w:t>
            </w:r>
            <w:r>
              <w:rPr>
                <w:rFonts w:hint="default" w:ascii="Ubuntu" w:hAnsi="Ubuntu" w:eastAsia="Ubuntu" w:cs="Ubuntu"/>
                <w:b w:val="0"/>
                <w:i w:val="0"/>
                <w:iCs w:val="0"/>
                <w:caps w:val="0"/>
                <w:color w:val="000000"/>
                <w:spacing w:val="0"/>
                <w:kern w:val="0"/>
                <w:sz w:val="21"/>
                <w:szCs w:val="21"/>
                <w:shd w:val="clear" w:fill="FFFFFF"/>
                <w:lang w:val="en-US" w:eastAsia="zh-CN" w:bidi="ar"/>
              </w:rPr>
              <w:t>：</w:t>
            </w:r>
            <w:r>
              <w:rPr>
                <w:rStyle w:val="13"/>
                <w:rFonts w:hint="default" w:ascii="Ubuntu" w:hAnsi="Ubuntu" w:eastAsia="Ubuntu" w:cs="Ubuntu"/>
                <w:b w:val="0"/>
                <w:bCs/>
                <w:i w:val="0"/>
                <w:iCs w:val="0"/>
                <w:caps w:val="0"/>
                <w:color w:val="000000"/>
                <w:spacing w:val="0"/>
                <w:kern w:val="0"/>
                <w:sz w:val="21"/>
                <w:szCs w:val="21"/>
                <w:shd w:val="clear" w:fill="FFFFFF"/>
                <w:lang w:val="en-US" w:eastAsia="zh-CN" w:bidi="ar"/>
              </w:rPr>
              <w:t>新增</w:t>
            </w:r>
            <w:r>
              <w:rPr>
                <w:rFonts w:hint="default" w:ascii="Ubuntu" w:hAnsi="Ubuntu" w:eastAsia="Ubuntu" w:cs="Ubuntu"/>
                <w:b w:val="0"/>
                <w:i w:val="0"/>
                <w:iCs w:val="0"/>
                <w:caps w:val="0"/>
                <w:color w:val="000000"/>
                <w:spacing w:val="0"/>
                <w:kern w:val="0"/>
                <w:sz w:val="21"/>
                <w:szCs w:val="21"/>
                <w:shd w:val="clear" w:fill="FFFFFF"/>
                <w:lang w:val="en-US" w:eastAsia="zh-CN" w:bidi="ar"/>
              </w:rPr>
              <w:t>可选择点状挖穴或修筑</w:t>
            </w:r>
            <w:r>
              <w:rPr>
                <w:rStyle w:val="13"/>
                <w:rFonts w:hint="default" w:ascii="Ubuntu" w:hAnsi="Ubuntu" w:eastAsia="Ubuntu" w:cs="Ubuntu"/>
                <w:b w:val="0"/>
                <w:bCs/>
                <w:i w:val="0"/>
                <w:iCs w:val="0"/>
                <w:caps w:val="0"/>
                <w:color w:val="000000"/>
                <w:spacing w:val="0"/>
                <w:kern w:val="0"/>
                <w:sz w:val="21"/>
                <w:szCs w:val="21"/>
                <w:shd w:val="clear" w:fill="FFFFFF"/>
                <w:lang w:val="en-US" w:eastAsia="zh-CN" w:bidi="ar"/>
              </w:rPr>
              <w:t>窄面梯地</w:t>
            </w:r>
            <w:r>
              <w:rPr>
                <w:rFonts w:hint="default" w:ascii="Ubuntu" w:hAnsi="Ubuntu" w:eastAsia="Ubuntu" w:cs="Ubuntu"/>
                <w:b w:val="0"/>
                <w:i w:val="0"/>
                <w:iCs w:val="0"/>
                <w:caps w:val="0"/>
                <w:color w:val="000000"/>
                <w:spacing w:val="0"/>
                <w:kern w:val="0"/>
                <w:sz w:val="21"/>
                <w:szCs w:val="21"/>
                <w:shd w:val="clear" w:fill="FFFFFF"/>
                <w:lang w:val="en-US" w:eastAsia="zh-CN" w:bidi="ar"/>
              </w:rPr>
              <w:t>（面宽0.</w:t>
            </w:r>
            <w:r>
              <w:rPr>
                <w:rFonts w:hint="eastAsia" w:ascii="Ubuntu" w:hAnsi="Ubuntu" w:eastAsia="Ubuntu" w:cs="Ubuntu"/>
                <w:b w:val="0"/>
                <w:i w:val="0"/>
                <w:iCs w:val="0"/>
                <w:caps w:val="0"/>
                <w:color w:val="000000"/>
                <w:spacing w:val="0"/>
                <w:kern w:val="0"/>
                <w:sz w:val="21"/>
                <w:szCs w:val="21"/>
                <w:shd w:val="clear" w:fill="FFFFFF"/>
                <w:lang w:val="en-US" w:eastAsia="zh-CN" w:bidi="ar"/>
              </w:rPr>
              <w:t>8</w:t>
            </w:r>
            <w:r>
              <w:rPr>
                <w:rFonts w:hint="default" w:ascii="Ubuntu" w:hAnsi="Ubuntu" w:eastAsia="Ubuntu" w:cs="Ubuntu"/>
                <w:b w:val="0"/>
                <w:i w:val="0"/>
                <w:iCs w:val="0"/>
                <w:caps w:val="0"/>
                <w:color w:val="000000"/>
                <w:spacing w:val="0"/>
                <w:kern w:val="0"/>
                <w:sz w:val="21"/>
                <w:szCs w:val="21"/>
                <w:shd w:val="clear" w:fill="FFFFFF"/>
                <w:lang w:val="en-US" w:eastAsia="zh-CN" w:bidi="ar"/>
              </w:rPr>
              <w:t>-1.2m）。</w:t>
            </w:r>
          </w:p>
          <w:p w14:paraId="3CB3AB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Style w:val="13"/>
                <w:rFonts w:hint="eastAsia" w:ascii="方正仿宋_GB2312" w:hAnsi="方正仿宋_GB2312" w:eastAsia="方正仿宋_GB2312" w:cs="方正仿宋_GB2312"/>
                <w:b w:val="0"/>
                <w:bCs/>
                <w:color w:val="000000"/>
                <w:kern w:val="0"/>
                <w:sz w:val="21"/>
                <w:szCs w:val="21"/>
                <w:lang w:val="en-US" w:eastAsia="zh-CN" w:bidi="ar"/>
              </w:rPr>
            </w:pP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626560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b w:val="0"/>
                <w:color w:val="000000"/>
                <w:sz w:val="21"/>
                <w:szCs w:val="21"/>
              </w:rPr>
            </w:pPr>
            <w:r>
              <w:rPr>
                <w:rFonts w:ascii="Ubuntu" w:hAnsi="Ubuntu" w:eastAsia="Ubuntu" w:cs="Ubuntu"/>
                <w:b w:val="0"/>
                <w:i w:val="0"/>
                <w:iCs w:val="0"/>
                <w:caps w:val="0"/>
                <w:color w:val="000000"/>
                <w:spacing w:val="0"/>
                <w:kern w:val="0"/>
                <w:sz w:val="21"/>
                <w:szCs w:val="21"/>
                <w:shd w:val="clear" w:fill="FFFFFF"/>
                <w:lang w:val="en-US" w:eastAsia="zh-CN" w:bidi="ar"/>
              </w:rPr>
              <w:t>根据坡度进行了精细化分级，特别是为</w:t>
            </w:r>
            <w:r>
              <w:rPr>
                <w:rStyle w:val="13"/>
                <w:rFonts w:hint="default" w:ascii="Ubuntu" w:hAnsi="Ubuntu" w:eastAsia="Ubuntu" w:cs="Ubuntu"/>
                <w:b w:val="0"/>
                <w:bCs/>
                <w:i w:val="0"/>
                <w:iCs w:val="0"/>
                <w:caps w:val="0"/>
                <w:color w:val="000000"/>
                <w:spacing w:val="0"/>
                <w:kern w:val="0"/>
                <w:sz w:val="21"/>
                <w:szCs w:val="21"/>
                <w:shd w:val="clear" w:fill="FFFFFF"/>
                <w:lang w:val="en-US" w:eastAsia="zh-CN" w:bidi="ar"/>
              </w:rPr>
              <w:t>25°-35°的陡坡地</w:t>
            </w:r>
            <w:r>
              <w:rPr>
                <w:rFonts w:hint="default" w:ascii="Ubuntu" w:hAnsi="Ubuntu" w:eastAsia="Ubuntu" w:cs="Ubuntu"/>
                <w:b w:val="0"/>
                <w:i w:val="0"/>
                <w:iCs w:val="0"/>
                <w:caps w:val="0"/>
                <w:color w:val="000000"/>
                <w:spacing w:val="0"/>
                <w:kern w:val="0"/>
                <w:sz w:val="21"/>
                <w:szCs w:val="21"/>
                <w:shd w:val="clear" w:fill="FFFFFF"/>
                <w:lang w:val="en-US" w:eastAsia="zh-CN" w:bidi="ar"/>
              </w:rPr>
              <w:t>提供了明确的、更具可操作性的方案（点状或窄面梯地），既考虑了水土保持的要求，也兼顾了在复杂地形上开垦的现实难度和成本。</w:t>
            </w:r>
          </w:p>
          <w:p w14:paraId="3450DA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Style w:val="13"/>
                <w:rFonts w:hint="eastAsia" w:ascii="方正仿宋_GB2312" w:hAnsi="方正仿宋_GB2312" w:eastAsia="方正仿宋_GB2312" w:cs="方正仿宋_GB2312"/>
                <w:b w:val="0"/>
                <w:bCs/>
                <w:color w:val="000000"/>
                <w:kern w:val="0"/>
                <w:sz w:val="21"/>
                <w:szCs w:val="21"/>
                <w:lang w:val="en-US" w:eastAsia="zh-CN" w:bidi="ar"/>
              </w:rPr>
            </w:pPr>
          </w:p>
        </w:tc>
      </w:tr>
      <w:tr w14:paraId="0A98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32C491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 种植密度</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11059F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sz w:val="21"/>
                <w:szCs w:val="21"/>
              </w:rPr>
              <w:t>平地或5°以下缓坡地，株行距：0.8m×2m。</w:t>
            </w:r>
          </w:p>
          <w:p w14:paraId="1FF6D1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sz w:val="21"/>
                <w:szCs w:val="21"/>
              </w:rPr>
              <w:t>5°～15°坡地，株行距0.8m～1×2m。</w:t>
            </w:r>
          </w:p>
          <w:p w14:paraId="6C6893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sz w:val="21"/>
                <w:szCs w:val="21"/>
              </w:rPr>
              <w:t>15°～20°坡地，株行距0.8m×2.5m～3.0m。</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7B4D86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株距0.8-1.5m，行距2.0-3.0m，</w:t>
            </w:r>
            <w:r>
              <w:rPr>
                <w:rStyle w:val="13"/>
                <w:rFonts w:hint="eastAsia" w:ascii="方正仿宋_GB2312" w:hAnsi="方正仿宋_GB2312" w:eastAsia="方正仿宋_GB2312" w:cs="方正仿宋_GB2312"/>
                <w:b w:val="0"/>
                <w:bCs/>
                <w:color w:val="000000"/>
                <w:kern w:val="0"/>
                <w:sz w:val="21"/>
                <w:szCs w:val="21"/>
                <w:lang w:val="en-US" w:eastAsia="zh-CN" w:bidi="ar"/>
              </w:rPr>
              <w:t>依品种和栽培方式定</w:t>
            </w:r>
            <w:r>
              <w:rPr>
                <w:rFonts w:hint="eastAsia" w:ascii="方正仿宋_GB2312" w:hAnsi="方正仿宋_GB2312" w:eastAsia="方正仿宋_GB2312" w:cs="方正仿宋_GB2312"/>
                <w:b w:val="0"/>
                <w:color w:val="000000"/>
                <w:kern w:val="0"/>
                <w:sz w:val="21"/>
                <w:szCs w:val="21"/>
                <w:lang w:val="en-US" w:eastAsia="zh-CN" w:bidi="ar"/>
              </w:rPr>
              <w:t>。</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2B9259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倡导根据品种特性（紧凑型/开张型）进行合理密植，更符合科学栽培理念。</w:t>
            </w:r>
          </w:p>
        </w:tc>
      </w:tr>
      <w:tr w14:paraId="0162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29FC08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default" w:ascii="方正仿宋_GB2312" w:hAnsi="方正仿宋_GB2312" w:eastAsia="方正仿宋_GB2312" w:cs="方正仿宋_GB2312"/>
                <w:b w:val="0"/>
                <w:color w:val="000000"/>
                <w:kern w:val="0"/>
                <w:sz w:val="21"/>
                <w:szCs w:val="21"/>
                <w:lang w:val="en-US" w:eastAsia="zh-CN" w:bidi="ar"/>
              </w:rPr>
              <w:t>- 灌溉系统</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1ECDC1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lang w:val="en-US" w:eastAsia="zh-CN"/>
              </w:rPr>
            </w:pPr>
            <w:r>
              <w:rPr>
                <w:rFonts w:hint="default" w:ascii="方正仿宋_GB2312" w:hAnsi="方正仿宋_GB2312" w:eastAsia="方正仿宋_GB2312" w:cs="方正仿宋_GB2312"/>
                <w:b w:val="0"/>
                <w:color w:val="000000"/>
                <w:sz w:val="21"/>
                <w:szCs w:val="21"/>
                <w:lang w:val="en-US" w:eastAsia="zh-CN"/>
              </w:rPr>
              <w:t>按地形推荐灌溉类型（沟灌、喷灌等）。</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43096A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lang w:val="en-US" w:eastAsia="zh-CN"/>
              </w:rPr>
            </w:pPr>
            <w:r>
              <w:rPr>
                <w:rFonts w:hint="default" w:ascii="方正仿宋_GB2312" w:hAnsi="方正仿宋_GB2312" w:eastAsia="方正仿宋_GB2312" w:cs="方正仿宋_GB2312"/>
                <w:b w:val="0"/>
                <w:color w:val="000000"/>
                <w:sz w:val="21"/>
                <w:szCs w:val="21"/>
                <w:lang w:val="en-US" w:eastAsia="zh-CN"/>
              </w:rPr>
              <w:t>更侧重于基础设施配置（如蓄水池容积、管道引水、滴灌/喷灌系统设计）。</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624743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lang w:val="en-US" w:eastAsia="zh-CN"/>
              </w:rPr>
            </w:pPr>
            <w:r>
              <w:rPr>
                <w:rFonts w:hint="default" w:ascii="方正仿宋_GB2312" w:hAnsi="方正仿宋_GB2312" w:eastAsia="方正仿宋_GB2312" w:cs="方正仿宋_GB2312"/>
                <w:b w:val="0"/>
                <w:color w:val="000000"/>
                <w:sz w:val="21"/>
                <w:szCs w:val="21"/>
                <w:lang w:val="en-US" w:eastAsia="zh-CN"/>
              </w:rPr>
              <w:t>从简单的灌溉方式选择，上升到灌溉系统规划和基础设施建设的高度，指导意义更强。</w:t>
            </w:r>
          </w:p>
        </w:tc>
      </w:tr>
      <w:tr w14:paraId="49F6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741E21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kern w:val="0"/>
                <w:sz w:val="21"/>
                <w:szCs w:val="21"/>
                <w:lang w:val="en-US" w:eastAsia="zh-CN" w:bidi="ar"/>
              </w:rPr>
            </w:pPr>
            <w:r>
              <w:rPr>
                <w:rFonts w:hint="eastAsia" w:ascii="方正仿宋_GB2312" w:hAnsi="方正仿宋_GB2312" w:eastAsia="方正仿宋_GB2312" w:cs="方正仿宋_GB2312"/>
                <w:b w:val="0"/>
                <w:color w:val="000000"/>
                <w:kern w:val="0"/>
                <w:sz w:val="21"/>
                <w:szCs w:val="21"/>
                <w:lang w:val="en-US" w:eastAsia="zh-CN" w:bidi="ar"/>
              </w:rPr>
              <w:t>-</w:t>
            </w:r>
            <w:r>
              <w:rPr>
                <w:rFonts w:hint="default" w:ascii="方正仿宋_GB2312" w:hAnsi="方正仿宋_GB2312" w:eastAsia="方正仿宋_GB2312" w:cs="方正仿宋_GB2312"/>
                <w:b w:val="0"/>
                <w:color w:val="000000"/>
                <w:kern w:val="0"/>
                <w:sz w:val="21"/>
                <w:szCs w:val="21"/>
                <w:lang w:val="en-US" w:eastAsia="zh-CN" w:bidi="ar"/>
              </w:rPr>
              <w:t>排水系统</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6E251E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default" w:ascii="方正仿宋_GB2312" w:hAnsi="方正仿宋_GB2312" w:eastAsia="方正仿宋_GB2312" w:cs="方正仿宋_GB2312"/>
                <w:b w:val="0"/>
                <w:color w:val="000000"/>
                <w:sz w:val="21"/>
                <w:szCs w:val="21"/>
                <w:lang w:val="en-US" w:eastAsia="zh-CN"/>
              </w:rPr>
              <w:t>描述具体布局：如山丘区斗渠、农渠、毛渠如何布置，平坦地斗渠与农渠成90°布局等。</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3FAD70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lang w:val="en-US" w:eastAsia="zh-CN"/>
              </w:rPr>
            </w:pPr>
            <w:r>
              <w:rPr>
                <w:rFonts w:hint="default" w:ascii="方正仿宋_GB2312" w:hAnsi="方正仿宋_GB2312" w:eastAsia="方正仿宋_GB2312" w:cs="方正仿宋_GB2312"/>
                <w:b w:val="0"/>
                <w:color w:val="000000"/>
                <w:sz w:val="21"/>
                <w:szCs w:val="21"/>
                <w:lang w:val="en-US" w:eastAsia="zh-CN"/>
              </w:rPr>
              <w:t>独立成条，明确要求：“降雨量集中的季节应疏通园区的沟渠，随时保持畅通，及时排水防涝。雨季结束后，应维修种植带，保证带面平整、内倾。”</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778377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方正仿宋_GB2312" w:hAnsi="方正仿宋_GB2312" w:eastAsia="方正仿宋_GB2312" w:cs="方正仿宋_GB2312"/>
                <w:b w:val="0"/>
                <w:color w:val="000000"/>
                <w:sz w:val="21"/>
                <w:szCs w:val="21"/>
                <w:lang w:val="en-US" w:eastAsia="zh-CN"/>
              </w:rPr>
            </w:pPr>
            <w:r>
              <w:rPr>
                <w:rFonts w:hint="default" w:ascii="方正仿宋_GB2312" w:hAnsi="方正仿宋_GB2312" w:eastAsia="方正仿宋_GB2312" w:cs="方正仿宋_GB2312"/>
                <w:b w:val="0"/>
                <w:color w:val="000000"/>
                <w:sz w:val="21"/>
                <w:szCs w:val="21"/>
                <w:lang w:val="en-US" w:eastAsia="zh-CN"/>
              </w:rPr>
              <w:t>不仅规划阶段有原则，在管理阶段也提出了明确的农事操作要求（如疏通、维修），形成了从规划到维护的完整指导闭环。</w:t>
            </w:r>
          </w:p>
          <w:p w14:paraId="0BE3A6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lang w:val="en-US" w:eastAsia="zh-CN"/>
              </w:rPr>
            </w:pPr>
          </w:p>
        </w:tc>
      </w:tr>
      <w:tr w14:paraId="3539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1CB6F6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 定植方法</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10B384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回土后定植。</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13B92A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新增“在定植坑放入20g-30g复合肥”</w:t>
            </w:r>
            <w:r>
              <w:rPr>
                <w:rFonts w:hint="eastAsia" w:ascii="方正仿宋_GB2312" w:hAnsi="方正仿宋_GB2312" w:eastAsia="方正仿宋_GB2312" w:cs="方正仿宋_GB2312"/>
                <w:b w:val="0"/>
                <w:color w:val="000000"/>
                <w:kern w:val="0"/>
                <w:sz w:val="21"/>
                <w:szCs w:val="21"/>
                <w:lang w:val="en-US" w:eastAsia="zh-CN" w:bidi="ar"/>
              </w:rPr>
              <w:t>作为基肥。</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0D83C9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技术优化</w:t>
            </w:r>
            <w:r>
              <w:rPr>
                <w:rFonts w:hint="eastAsia" w:ascii="方正仿宋_GB2312" w:hAnsi="方正仿宋_GB2312" w:eastAsia="方正仿宋_GB2312" w:cs="方正仿宋_GB2312"/>
                <w:b w:val="0"/>
                <w:color w:val="000000"/>
                <w:kern w:val="0"/>
                <w:sz w:val="21"/>
                <w:szCs w:val="21"/>
                <w:lang w:val="en-US" w:eastAsia="zh-CN" w:bidi="ar"/>
              </w:rPr>
              <w:t>。提供了更具体的基肥施用指导，有助于苗木定植后快速恢复生长，提高成活率。</w:t>
            </w:r>
          </w:p>
        </w:tc>
      </w:tr>
      <w:tr w14:paraId="422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4E0BA2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3. 施肥管理</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3F7975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634C33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72E5EE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r>
      <w:tr w14:paraId="5A0D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4EF234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 施肥原则</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4E1FC45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原则性描述。</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34086E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依据NY/T 394（绿色食品肥料准则）</w:t>
            </w:r>
            <w:r>
              <w:rPr>
                <w:rFonts w:hint="eastAsia" w:ascii="方正仿宋_GB2312" w:hAnsi="方正仿宋_GB2312" w:eastAsia="方正仿宋_GB2312" w:cs="方正仿宋_GB2312"/>
                <w:b w:val="0"/>
                <w:color w:val="000000"/>
                <w:kern w:val="0"/>
                <w:sz w:val="21"/>
                <w:szCs w:val="21"/>
                <w:lang w:val="en-US" w:eastAsia="zh-CN" w:bidi="ar"/>
              </w:rPr>
              <w:t>，明确规定禁止使用的肥料种类。</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1F77F6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标准升级与安全强化</w:t>
            </w:r>
            <w:r>
              <w:rPr>
                <w:rFonts w:hint="eastAsia" w:ascii="方正仿宋_GB2312" w:hAnsi="方正仿宋_GB2312" w:eastAsia="方正仿宋_GB2312" w:cs="方正仿宋_GB2312"/>
                <w:b w:val="0"/>
                <w:color w:val="000000"/>
                <w:kern w:val="0"/>
                <w:sz w:val="21"/>
                <w:szCs w:val="21"/>
                <w:lang w:val="en-US" w:eastAsia="zh-CN" w:bidi="ar"/>
              </w:rPr>
              <w:t>。将肥料使用与绿色食品标准对齐，显著提升了产品的安全性和标准化水平。</w:t>
            </w:r>
          </w:p>
        </w:tc>
      </w:tr>
      <w:tr w14:paraId="64C5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0C5D2F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 施肥方案</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29A1A9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按树龄（当年、二年、投产）描述，用量为范围值。</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620686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采用表格化清单</w:t>
            </w:r>
            <w:r>
              <w:rPr>
                <w:rFonts w:hint="eastAsia" w:ascii="方正仿宋_GB2312" w:hAnsi="方正仿宋_GB2312" w:eastAsia="方正仿宋_GB2312" w:cs="方正仿宋_GB2312"/>
                <w:b w:val="0"/>
                <w:color w:val="000000"/>
                <w:kern w:val="0"/>
                <w:sz w:val="21"/>
                <w:szCs w:val="21"/>
                <w:lang w:val="en-US" w:eastAsia="zh-CN" w:bidi="ar"/>
              </w:rPr>
              <w:t>（表1，表2），按物候期和预期产量给出</w:t>
            </w:r>
            <w:r>
              <w:rPr>
                <w:rStyle w:val="13"/>
                <w:rFonts w:hint="eastAsia" w:ascii="方正仿宋_GB2312" w:hAnsi="方正仿宋_GB2312" w:eastAsia="方正仿宋_GB2312" w:cs="方正仿宋_GB2312"/>
                <w:b w:val="0"/>
                <w:bCs/>
                <w:color w:val="000000"/>
                <w:kern w:val="0"/>
                <w:sz w:val="21"/>
                <w:szCs w:val="21"/>
                <w:lang w:val="en-US" w:eastAsia="zh-CN" w:bidi="ar"/>
              </w:rPr>
              <w:t>精确用量</w:t>
            </w:r>
            <w:r>
              <w:rPr>
                <w:rFonts w:hint="eastAsia" w:ascii="方正仿宋_GB2312" w:hAnsi="方正仿宋_GB2312" w:eastAsia="方正仿宋_GB2312" w:cs="方正仿宋_GB2312"/>
                <w:b w:val="0"/>
                <w:color w:val="000000"/>
                <w:kern w:val="0"/>
                <w:sz w:val="21"/>
                <w:szCs w:val="21"/>
                <w:lang w:val="en-US" w:eastAsia="zh-CN" w:bidi="ar"/>
              </w:rPr>
              <w:t>。</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5C2871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可操作性极大增强</w:t>
            </w:r>
            <w:r>
              <w:rPr>
                <w:rFonts w:hint="eastAsia" w:ascii="方正仿宋_GB2312" w:hAnsi="方正仿宋_GB2312" w:eastAsia="方正仿宋_GB2312" w:cs="方正仿宋_GB2312"/>
                <w:b w:val="0"/>
                <w:color w:val="000000"/>
                <w:kern w:val="0"/>
                <w:sz w:val="21"/>
                <w:szCs w:val="21"/>
                <w:lang w:val="en-US" w:eastAsia="zh-CN" w:bidi="ar"/>
              </w:rPr>
              <w:t>。表格形式清晰直观，定量化指导避免了歧义，使农户能够“照单操作”，极大提升了标准的实用价值。</w:t>
            </w:r>
          </w:p>
        </w:tc>
      </w:tr>
      <w:tr w14:paraId="75B4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774295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4. 病虫害防治</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46B10C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104A88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43C6B1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r>
      <w:tr w14:paraId="581A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4B9B97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 防治策略</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6731D1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简单列出农药名称和浓度。</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1E0D04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病原/危害状描述+现代农药推荐</w:t>
            </w:r>
            <w:r>
              <w:rPr>
                <w:rFonts w:hint="eastAsia" w:ascii="方正仿宋_GB2312" w:hAnsi="方正仿宋_GB2312" w:eastAsia="方正仿宋_GB2312" w:cs="方正仿宋_GB2312"/>
                <w:b w:val="0"/>
                <w:color w:val="000000"/>
                <w:kern w:val="0"/>
                <w:sz w:val="21"/>
                <w:szCs w:val="21"/>
                <w:lang w:val="en-US" w:eastAsia="zh-CN" w:bidi="ar"/>
              </w:rPr>
              <w:t>（如吡唑醚菌酯、噻虫啉等），强调</w:t>
            </w:r>
            <w:r>
              <w:rPr>
                <w:rStyle w:val="13"/>
                <w:rFonts w:hint="eastAsia" w:ascii="方正仿宋_GB2312" w:hAnsi="方正仿宋_GB2312" w:eastAsia="方正仿宋_GB2312" w:cs="方正仿宋_GB2312"/>
                <w:b w:val="0"/>
                <w:bCs/>
                <w:color w:val="000000"/>
                <w:kern w:val="0"/>
                <w:sz w:val="21"/>
                <w:szCs w:val="21"/>
                <w:lang w:val="en-US" w:eastAsia="zh-CN" w:bidi="ar"/>
              </w:rPr>
              <w:t>交替使用</w:t>
            </w:r>
            <w:r>
              <w:rPr>
                <w:rFonts w:hint="eastAsia" w:ascii="方正仿宋_GB2312" w:hAnsi="方正仿宋_GB2312" w:eastAsia="方正仿宋_GB2312" w:cs="方正仿宋_GB2312"/>
                <w:b w:val="0"/>
                <w:color w:val="000000"/>
                <w:kern w:val="0"/>
                <w:sz w:val="21"/>
                <w:szCs w:val="21"/>
                <w:lang w:val="en-US" w:eastAsia="zh-CN" w:bidi="ar"/>
              </w:rPr>
              <w:t>。</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6D3D7A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科学性与有效性提升</w:t>
            </w:r>
            <w:r>
              <w:rPr>
                <w:rFonts w:hint="eastAsia" w:ascii="方正仿宋_GB2312" w:hAnsi="方正仿宋_GB2312" w:eastAsia="方正仿宋_GB2312" w:cs="方正仿宋_GB2312"/>
                <w:b w:val="0"/>
                <w:color w:val="000000"/>
                <w:kern w:val="0"/>
                <w:sz w:val="21"/>
                <w:szCs w:val="21"/>
                <w:lang w:val="en-US" w:eastAsia="zh-CN" w:bidi="ar"/>
              </w:rPr>
              <w:t>。引入了更新、更高效、低毒的农药选项，并提供了病害的病原和症状信息，有助于农户准确识别和科学防治。</w:t>
            </w:r>
          </w:p>
        </w:tc>
      </w:tr>
      <w:tr w14:paraId="05AF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00AF89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 虫害防治</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697178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信息较为简略。</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2D3E61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新增多种重要害虫</w:t>
            </w:r>
            <w:r>
              <w:rPr>
                <w:rFonts w:hint="eastAsia" w:ascii="方正仿宋_GB2312" w:hAnsi="方正仿宋_GB2312" w:eastAsia="方正仿宋_GB2312" w:cs="方正仿宋_GB2312"/>
                <w:b w:val="0"/>
                <w:color w:val="000000"/>
                <w:kern w:val="0"/>
                <w:sz w:val="21"/>
                <w:szCs w:val="21"/>
                <w:lang w:val="en-US" w:eastAsia="zh-CN" w:bidi="ar"/>
              </w:rPr>
              <w:t>（如果小蠹、多种粉蚧）的详细防治方法，并注明发生规律。</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364714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全面性增强</w:t>
            </w:r>
            <w:r>
              <w:rPr>
                <w:rFonts w:hint="eastAsia" w:ascii="方正仿宋_GB2312" w:hAnsi="方正仿宋_GB2312" w:eastAsia="方正仿宋_GB2312" w:cs="方正仿宋_GB2312"/>
                <w:b w:val="0"/>
                <w:color w:val="000000"/>
                <w:kern w:val="0"/>
                <w:sz w:val="21"/>
                <w:szCs w:val="21"/>
                <w:lang w:val="en-US" w:eastAsia="zh-CN" w:bidi="ar"/>
              </w:rPr>
              <w:t>。覆盖了当前生产中最主要和新兴的害虫问题，防治指导更具针对性。</w:t>
            </w:r>
          </w:p>
        </w:tc>
      </w:tr>
      <w:tr w14:paraId="7B85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0E3752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5. 更新复壮</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70801F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06FC90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08A269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r>
      <w:tr w14:paraId="3D02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4B15F2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 更新方式</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4FBB97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仅有切干复壮。</w:t>
            </w: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08FEBC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新增“10.4 嫁接更新”</w:t>
            </w:r>
            <w:r>
              <w:rPr>
                <w:rFonts w:hint="eastAsia" w:ascii="方正仿宋_GB2312" w:hAnsi="方正仿宋_GB2312" w:eastAsia="方正仿宋_GB2312" w:cs="方正仿宋_GB2312"/>
                <w:b w:val="0"/>
                <w:color w:val="000000"/>
                <w:kern w:val="0"/>
                <w:sz w:val="21"/>
                <w:szCs w:val="21"/>
                <w:lang w:val="en-US" w:eastAsia="zh-CN" w:bidi="ar"/>
              </w:rPr>
              <w:t>，提供了更换品种的技术路径。</w:t>
            </w: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717C17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技术多元化</w:t>
            </w:r>
            <w:r>
              <w:rPr>
                <w:rFonts w:hint="eastAsia" w:ascii="方正仿宋_GB2312" w:hAnsi="方正仿宋_GB2312" w:eastAsia="方正仿宋_GB2312" w:cs="方正仿宋_GB2312"/>
                <w:b w:val="0"/>
                <w:color w:val="000000"/>
                <w:kern w:val="0"/>
                <w:sz w:val="21"/>
                <w:szCs w:val="21"/>
                <w:lang w:val="en-US" w:eastAsia="zh-CN" w:bidi="ar"/>
              </w:rPr>
              <w:t>。为老果园品种改良提供了标准化的方法，延长了咖啡园的经济寿命。</w:t>
            </w:r>
          </w:p>
        </w:tc>
      </w:tr>
      <w:tr w14:paraId="39CE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nil"/>
              <w:right w:val="nil"/>
            </w:tcBorders>
            <w:shd w:val="clear" w:color="auto" w:fill="FFFFFF"/>
            <w:tcMar>
              <w:top w:w="120" w:type="dxa"/>
              <w:left w:w="0" w:type="dxa"/>
              <w:bottom w:w="120" w:type="dxa"/>
              <w:right w:w="192" w:type="dxa"/>
            </w:tcMar>
            <w:vAlign w:val="center"/>
          </w:tcPr>
          <w:p w14:paraId="0A75B3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6. 追溯体系</w:t>
            </w:r>
          </w:p>
        </w:tc>
        <w:tc>
          <w:tcPr>
            <w:tcW w:w="1580" w:type="dxa"/>
            <w:tcBorders>
              <w:top w:val="nil"/>
              <w:left w:val="nil"/>
              <w:bottom w:val="nil"/>
              <w:right w:val="nil"/>
            </w:tcBorders>
            <w:shd w:val="clear" w:color="auto" w:fill="FFFFFF"/>
            <w:tcMar>
              <w:top w:w="120" w:type="dxa"/>
              <w:left w:w="192" w:type="dxa"/>
              <w:bottom w:w="120" w:type="dxa"/>
              <w:right w:w="192" w:type="dxa"/>
            </w:tcMar>
            <w:vAlign w:val="center"/>
          </w:tcPr>
          <w:p w14:paraId="706AE7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c>
          <w:tcPr>
            <w:tcW w:w="1840" w:type="dxa"/>
            <w:tcBorders>
              <w:top w:val="nil"/>
              <w:left w:val="nil"/>
              <w:bottom w:val="nil"/>
              <w:right w:val="nil"/>
            </w:tcBorders>
            <w:shd w:val="clear" w:color="auto" w:fill="FFFFFF"/>
            <w:tcMar>
              <w:top w:w="120" w:type="dxa"/>
              <w:left w:w="192" w:type="dxa"/>
              <w:bottom w:w="120" w:type="dxa"/>
              <w:right w:w="192" w:type="dxa"/>
            </w:tcMar>
            <w:vAlign w:val="center"/>
          </w:tcPr>
          <w:p w14:paraId="23242F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c>
          <w:tcPr>
            <w:tcW w:w="3781" w:type="dxa"/>
            <w:tcBorders>
              <w:top w:val="nil"/>
              <w:left w:val="nil"/>
              <w:bottom w:val="nil"/>
              <w:right w:val="nil"/>
            </w:tcBorders>
            <w:shd w:val="clear" w:color="auto" w:fill="FFFFFF"/>
            <w:tcMar>
              <w:top w:w="120" w:type="dxa"/>
              <w:left w:w="192" w:type="dxa"/>
              <w:bottom w:w="120" w:type="dxa"/>
              <w:right w:w="0" w:type="dxa"/>
            </w:tcMar>
            <w:vAlign w:val="center"/>
          </w:tcPr>
          <w:p w14:paraId="644890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p>
        </w:tc>
      </w:tr>
      <w:tr w14:paraId="616F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835" w:type="dxa"/>
            <w:tcBorders>
              <w:top w:val="nil"/>
              <w:left w:val="nil"/>
              <w:bottom w:val="single" w:color="000000" w:sz="12" w:space="0"/>
              <w:right w:val="nil"/>
            </w:tcBorders>
            <w:shd w:val="clear" w:color="auto" w:fill="FFFFFF"/>
            <w:tcMar>
              <w:top w:w="120" w:type="dxa"/>
              <w:left w:w="0" w:type="dxa"/>
              <w:bottom w:w="120" w:type="dxa"/>
              <w:right w:w="192" w:type="dxa"/>
            </w:tcMar>
            <w:vAlign w:val="center"/>
          </w:tcPr>
          <w:p w14:paraId="2CB7DD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 生产档案</w:t>
            </w:r>
          </w:p>
        </w:tc>
        <w:tc>
          <w:tcPr>
            <w:tcW w:w="1580"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75BCC4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Fonts w:hint="eastAsia" w:ascii="方正仿宋_GB2312" w:hAnsi="方正仿宋_GB2312" w:eastAsia="方正仿宋_GB2312" w:cs="方正仿宋_GB2312"/>
                <w:b w:val="0"/>
                <w:color w:val="000000"/>
                <w:kern w:val="0"/>
                <w:sz w:val="21"/>
                <w:szCs w:val="21"/>
                <w:lang w:val="en-US" w:eastAsia="zh-CN" w:bidi="ar"/>
              </w:rPr>
              <w:t>仅在定植部分提及建立小区档案。</w:t>
            </w:r>
          </w:p>
        </w:tc>
        <w:tc>
          <w:tcPr>
            <w:tcW w:w="1840"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5DEE01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新增“第13章”</w:t>
            </w:r>
            <w:r>
              <w:rPr>
                <w:rFonts w:hint="eastAsia" w:ascii="方正仿宋_GB2312" w:hAnsi="方正仿宋_GB2312" w:eastAsia="方正仿宋_GB2312" w:cs="方正仿宋_GB2312"/>
                <w:b w:val="0"/>
                <w:color w:val="000000"/>
                <w:kern w:val="0"/>
                <w:sz w:val="21"/>
                <w:szCs w:val="21"/>
                <w:lang w:val="en-US" w:eastAsia="zh-CN" w:bidi="ar"/>
              </w:rPr>
              <w:t>，明确规定生产记录档案。</w:t>
            </w:r>
          </w:p>
        </w:tc>
        <w:tc>
          <w:tcPr>
            <w:tcW w:w="3781" w:type="dxa"/>
            <w:tcBorders>
              <w:top w:val="nil"/>
              <w:left w:val="nil"/>
              <w:bottom w:val="single" w:color="000000" w:sz="12" w:space="0"/>
              <w:right w:val="nil"/>
            </w:tcBorders>
            <w:shd w:val="clear" w:color="auto" w:fill="FFFFFF"/>
            <w:tcMar>
              <w:top w:w="120" w:type="dxa"/>
              <w:left w:w="192" w:type="dxa"/>
              <w:bottom w:w="120" w:type="dxa"/>
              <w:right w:w="0" w:type="dxa"/>
            </w:tcMar>
            <w:vAlign w:val="center"/>
          </w:tcPr>
          <w:p w14:paraId="5AA2DC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 w:val="0"/>
                <w:color w:val="000000"/>
                <w:sz w:val="21"/>
                <w:szCs w:val="21"/>
              </w:rPr>
            </w:pPr>
            <w:r>
              <w:rPr>
                <w:rStyle w:val="13"/>
                <w:rFonts w:hint="eastAsia" w:ascii="方正仿宋_GB2312" w:hAnsi="方正仿宋_GB2312" w:eastAsia="方正仿宋_GB2312" w:cs="方正仿宋_GB2312"/>
                <w:b w:val="0"/>
                <w:bCs/>
                <w:color w:val="000000"/>
                <w:kern w:val="0"/>
                <w:sz w:val="21"/>
                <w:szCs w:val="21"/>
                <w:lang w:val="en-US" w:eastAsia="zh-CN" w:bidi="ar"/>
              </w:rPr>
              <w:t>体系化建设</w:t>
            </w:r>
            <w:r>
              <w:rPr>
                <w:rFonts w:hint="eastAsia" w:ascii="方正仿宋_GB2312" w:hAnsi="方正仿宋_GB2312" w:eastAsia="方正仿宋_GB2312" w:cs="方正仿宋_GB2312"/>
                <w:b w:val="0"/>
                <w:color w:val="000000"/>
                <w:kern w:val="0"/>
                <w:sz w:val="21"/>
                <w:szCs w:val="21"/>
                <w:lang w:val="en-US" w:eastAsia="zh-CN" w:bidi="ar"/>
              </w:rPr>
              <w:t>。建立了完整的产品质量安全追溯体系，是迈向现代化、标准化农业管理的重要标志。</w:t>
            </w:r>
          </w:p>
        </w:tc>
      </w:tr>
    </w:tbl>
    <w:p w14:paraId="2CB18F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eastAsia="仿宋_GB2312"/>
          <w:b/>
          <w:bCs/>
          <w:sz w:val="24"/>
          <w:szCs w:val="32"/>
          <w:lang w:val="en-US"/>
        </w:rPr>
      </w:pPr>
      <w:r>
        <w:rPr>
          <w:rFonts w:hint="eastAsia" w:eastAsia="仿宋_GB2312"/>
          <w:b/>
          <w:bCs/>
          <w:sz w:val="24"/>
          <w:szCs w:val="32"/>
          <w:lang w:val="en-US" w:eastAsia="zh-CN"/>
        </w:rPr>
        <w:t>2.</w:t>
      </w:r>
      <w:r>
        <w:rPr>
          <w:rFonts w:hint="default" w:eastAsia="仿宋_GB2312"/>
          <w:b/>
          <w:bCs/>
          <w:sz w:val="24"/>
          <w:szCs w:val="32"/>
          <w:lang w:val="en-US"/>
        </w:rPr>
        <w:t>范性引用文件的全面更新</w:t>
      </w:r>
    </w:p>
    <w:p w14:paraId="0B83ED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Arial"/>
          <w:kern w:val="2"/>
          <w:sz w:val="24"/>
          <w:szCs w:val="32"/>
          <w:lang w:val="en-US" w:eastAsia="zh-CN" w:bidi="ar-SA"/>
        </w:rPr>
      </w:pPr>
      <w:r>
        <w:rPr>
          <w:rFonts w:hint="default" w:ascii="Times New Roman" w:hAnsi="Times New Roman" w:eastAsia="仿宋_GB2312" w:cs="Arial"/>
          <w:kern w:val="2"/>
          <w:sz w:val="24"/>
          <w:szCs w:val="32"/>
          <w:lang w:val="en-US" w:eastAsia="zh-CN" w:bidi="ar-SA"/>
        </w:rPr>
        <w:t>新版标准用最新的、更通用的国家标准（如GB 15618, GB 3095）和行业标准（如NY/T 394-2023）替代了旧版中部分过时或范围较窄的标准（如GB 4284, GB 8172），确保了标准技术内容与当前国家法规和行业最佳实践保持一致。</w:t>
      </w:r>
    </w:p>
    <w:p w14:paraId="46FCEC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eastAsia="黑体"/>
          <w:bCs/>
          <w:kern w:val="44"/>
          <w:sz w:val="32"/>
        </w:rPr>
      </w:pPr>
      <w:r>
        <w:rPr>
          <w:rFonts w:hint="eastAsia" w:ascii="Times New Roman" w:hAnsi="Times New Roman" w:eastAsia="黑体" w:cs="Times New Roman"/>
          <w:bCs/>
          <w:kern w:val="44"/>
          <w:sz w:val="24"/>
          <w:szCs w:val="32"/>
          <w:lang w:eastAsia="zh-CN"/>
        </w:rPr>
        <w:t>三、试验验证的分析、综述报告，技术经济论证，预期的经济</w:t>
      </w:r>
      <w:r>
        <w:rPr>
          <w:rFonts w:hint="eastAsia" w:eastAsia="黑体" w:cs="Times New Roman"/>
          <w:bCs/>
          <w:kern w:val="44"/>
          <w:sz w:val="24"/>
          <w:szCs w:val="32"/>
          <w:lang w:eastAsia="zh-CN"/>
        </w:rPr>
        <w:t>效益、社会效益和生态效益</w:t>
      </w:r>
    </w:p>
    <w:p w14:paraId="171C34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楷体_GB2312" w:cs="Times New Roman"/>
          <w:b/>
          <w:bCs/>
          <w:sz w:val="24"/>
          <w:szCs w:val="32"/>
        </w:rPr>
      </w:pPr>
      <w:r>
        <w:rPr>
          <w:rFonts w:ascii="Times New Roman" w:hAnsi="Times New Roman" w:eastAsia="楷体_GB2312" w:cs="Times New Roman"/>
          <w:b/>
          <w:bCs/>
          <w:sz w:val="24"/>
          <w:szCs w:val="32"/>
        </w:rPr>
        <w:t>（一）</w:t>
      </w:r>
      <w:r>
        <w:rPr>
          <w:rFonts w:hint="eastAsia" w:ascii="Times New Roman" w:hAnsi="Times New Roman" w:eastAsia="楷体_GB2312" w:cs="Times New Roman"/>
          <w:b/>
          <w:bCs/>
          <w:sz w:val="24"/>
          <w:szCs w:val="32"/>
        </w:rPr>
        <w:t>试验验证的分析、综述报告</w:t>
      </w:r>
    </w:p>
    <w:p w14:paraId="2D585009">
      <w:pPr>
        <w:spacing w:line="560" w:lineRule="exact"/>
        <w:ind w:firstLine="480"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sz w:val="24"/>
          <w:szCs w:val="32"/>
          <w:lang w:val="en-US" w:eastAsia="zh-CN"/>
        </w:rPr>
        <w:t>本次标准修订的技术验证基础主要来源于三个方面：长期试验与科研成果： 依托于云南省</w:t>
      </w:r>
      <w:r>
        <w:rPr>
          <w:rFonts w:hint="eastAsia" w:eastAsia="仿宋_GB2312" w:cs="Arial"/>
          <w:sz w:val="24"/>
          <w:szCs w:val="32"/>
          <w:lang w:val="en-US" w:eastAsia="zh-CN"/>
        </w:rPr>
        <w:t>德宏热带农业科学</w:t>
      </w:r>
      <w:r>
        <w:rPr>
          <w:rFonts w:hint="default" w:ascii="Times New Roman" w:hAnsi="Times New Roman" w:eastAsia="仿宋_GB2312" w:cs="Arial"/>
          <w:sz w:val="24"/>
          <w:szCs w:val="32"/>
          <w:lang w:val="en-US" w:eastAsia="zh-CN"/>
        </w:rPr>
        <w:t>研究所等科研单位，以及主要产区（如普洱、保山、德宏）的长期观测和品种、栽培试验数据。大面积生产实践验证： 标准起草单位及参与方在核心产区建立了大面积的示范园，将拟修订的技术内容进行多年、多点的应用验证，收集了产量、品质、成本等关键数据</w:t>
      </w:r>
      <w:r>
        <w:rPr>
          <w:rFonts w:hint="eastAsia" w:ascii="Times New Roman" w:hAnsi="Times New Roman" w:eastAsia="仿宋_GB2312" w:cs="Arial"/>
          <w:sz w:val="24"/>
          <w:szCs w:val="32"/>
          <w:lang w:val="en-US" w:eastAsia="zh-CN"/>
        </w:rPr>
        <w:t>。</w:t>
      </w:r>
      <w:r>
        <w:rPr>
          <w:rFonts w:hint="default" w:ascii="Times New Roman" w:hAnsi="Times New Roman" w:eastAsia="仿宋_GB2312" w:cs="Arial"/>
          <w:sz w:val="24"/>
          <w:szCs w:val="32"/>
          <w:lang w:val="en-US" w:eastAsia="zh-CN"/>
        </w:rPr>
        <w:t>适应产业升级的共识： 针对咖啡产业向“绿色、优质、高效”转型的需求，采纳了已在行业内形成共识的现代农业管理理念和技术（如绿色防控、水肥</w:t>
      </w:r>
      <w:r>
        <w:rPr>
          <w:rFonts w:hint="eastAsia" w:eastAsia="仿宋_GB2312" w:cs="Arial"/>
          <w:sz w:val="24"/>
          <w:szCs w:val="32"/>
          <w:lang w:val="en-US" w:eastAsia="zh-CN"/>
        </w:rPr>
        <w:t>管理</w:t>
      </w:r>
      <w:r>
        <w:rPr>
          <w:rFonts w:hint="default" w:ascii="Times New Roman" w:hAnsi="Times New Roman" w:eastAsia="仿宋_GB2312" w:cs="Arial"/>
          <w:sz w:val="24"/>
          <w:szCs w:val="32"/>
          <w:lang w:val="en-US" w:eastAsia="zh-CN"/>
        </w:rPr>
        <w:t>、可追溯体系）。</w:t>
      </w:r>
    </w:p>
    <w:p w14:paraId="4100079F">
      <w:pPr>
        <w:spacing w:line="560" w:lineRule="exact"/>
        <w:ind w:firstLine="482" w:firstLineChars="200"/>
        <w:rPr>
          <w:rFonts w:hint="default" w:ascii="Times New Roman" w:hAnsi="Times New Roman" w:eastAsia="仿宋_GB2312" w:cs="Arial"/>
          <w:b/>
          <w:bCs/>
          <w:sz w:val="24"/>
          <w:szCs w:val="32"/>
          <w:lang w:val="en-US" w:eastAsia="zh-CN"/>
        </w:rPr>
      </w:pPr>
      <w:r>
        <w:rPr>
          <w:rFonts w:hint="default" w:ascii="Times New Roman" w:hAnsi="Times New Roman" w:eastAsia="仿宋_GB2312" w:cs="Arial"/>
          <w:b/>
          <w:bCs/>
          <w:sz w:val="24"/>
          <w:szCs w:val="32"/>
          <w:lang w:val="en-US" w:eastAsia="zh-CN"/>
        </w:rPr>
        <w:t>主要技术内容确定的试验验证与论证分析</w:t>
      </w:r>
    </w:p>
    <w:p w14:paraId="3B4177D0">
      <w:pPr>
        <w:spacing w:line="560" w:lineRule="exact"/>
        <w:ind w:firstLine="482" w:firstLineChars="200"/>
        <w:rPr>
          <w:rFonts w:hint="default" w:ascii="Times New Roman" w:hAnsi="Times New Roman" w:eastAsia="仿宋_GB2312" w:cs="Arial"/>
          <w:b/>
          <w:bCs/>
          <w:sz w:val="24"/>
          <w:szCs w:val="32"/>
          <w:lang w:val="en-US" w:eastAsia="zh-CN"/>
        </w:rPr>
      </w:pPr>
      <w:r>
        <w:rPr>
          <w:rFonts w:hint="default" w:ascii="Times New Roman" w:hAnsi="Times New Roman" w:eastAsia="仿宋_GB2312" w:cs="Arial"/>
          <w:b/>
          <w:bCs/>
          <w:sz w:val="24"/>
          <w:szCs w:val="32"/>
          <w:lang w:val="en-US" w:eastAsia="zh-CN"/>
        </w:rPr>
        <w:t>1. 立地条件的调整（如海拔、坡度、土壤pH值）</w:t>
      </w:r>
    </w:p>
    <w:p w14:paraId="74B5955C">
      <w:pPr>
        <w:spacing w:line="560" w:lineRule="exact"/>
        <w:ind w:firstLine="480"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sz w:val="24"/>
          <w:szCs w:val="32"/>
          <w:lang w:val="en-US" w:eastAsia="zh-CN"/>
        </w:rPr>
        <w:t>技术内容改变： 将适宜海拔上限从1200m提高至1600m（西部高原），坡度适宜范围从＜20°扩展至≤35°，土壤pH下限从5.5放宽至4.5。</w:t>
      </w:r>
    </w:p>
    <w:p w14:paraId="4182CC1B">
      <w:pPr>
        <w:spacing w:line="560" w:lineRule="exact"/>
        <w:ind w:firstLine="482" w:firstLineChars="200"/>
        <w:rPr>
          <w:rFonts w:hint="default" w:ascii="Times New Roman" w:hAnsi="Times New Roman" w:eastAsia="仿宋_GB2312" w:cs="Arial"/>
          <w:b/>
          <w:bCs/>
          <w:sz w:val="24"/>
          <w:szCs w:val="32"/>
          <w:lang w:val="en-US" w:eastAsia="zh-CN"/>
        </w:rPr>
      </w:pPr>
      <w:r>
        <w:rPr>
          <w:rFonts w:hint="default" w:ascii="Times New Roman" w:hAnsi="Times New Roman" w:eastAsia="仿宋_GB2312" w:cs="Arial"/>
          <w:b/>
          <w:bCs/>
          <w:sz w:val="24"/>
          <w:szCs w:val="32"/>
          <w:lang w:val="en-US" w:eastAsia="zh-CN"/>
        </w:rPr>
        <w:t>验证分析与论证：</w:t>
      </w:r>
    </w:p>
    <w:p w14:paraId="77D3CD96">
      <w:pPr>
        <w:spacing w:line="560" w:lineRule="exact"/>
        <w:ind w:firstLine="482"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b/>
          <w:bCs/>
          <w:sz w:val="24"/>
          <w:szCs w:val="32"/>
          <w:lang w:val="en-US" w:eastAsia="zh-CN"/>
        </w:rPr>
        <w:t>海拔验证：</w:t>
      </w:r>
      <w:r>
        <w:rPr>
          <w:rFonts w:hint="default" w:ascii="Times New Roman" w:hAnsi="Times New Roman" w:eastAsia="仿宋_GB2312" w:cs="Arial"/>
          <w:sz w:val="24"/>
          <w:szCs w:val="32"/>
          <w:lang w:val="en-US" w:eastAsia="zh-CN"/>
        </w:rPr>
        <w:t> 在云南</w:t>
      </w:r>
      <w:r>
        <w:rPr>
          <w:rFonts w:hint="eastAsia" w:eastAsia="仿宋_GB2312" w:cs="Arial"/>
          <w:sz w:val="24"/>
          <w:szCs w:val="32"/>
          <w:lang w:val="en-US" w:eastAsia="zh-CN"/>
        </w:rPr>
        <w:t>德宏、</w:t>
      </w:r>
      <w:r>
        <w:rPr>
          <w:rFonts w:hint="default" w:ascii="Times New Roman" w:hAnsi="Times New Roman" w:eastAsia="仿宋_GB2312" w:cs="Arial"/>
          <w:sz w:val="24"/>
          <w:szCs w:val="32"/>
          <w:lang w:val="en-US" w:eastAsia="zh-CN"/>
        </w:rPr>
        <w:t>保山、临沧</w:t>
      </w:r>
      <w:r>
        <w:rPr>
          <w:rFonts w:hint="eastAsia" w:eastAsia="仿宋_GB2312" w:cs="Arial"/>
          <w:sz w:val="24"/>
          <w:szCs w:val="32"/>
          <w:lang w:val="en-US" w:eastAsia="zh-CN"/>
        </w:rPr>
        <w:t>、普洱</w:t>
      </w:r>
      <w:r>
        <w:rPr>
          <w:rFonts w:hint="default" w:ascii="Times New Roman" w:hAnsi="Times New Roman" w:eastAsia="仿宋_GB2312" w:cs="Arial"/>
          <w:sz w:val="24"/>
          <w:szCs w:val="32"/>
          <w:lang w:val="en-US" w:eastAsia="zh-CN"/>
        </w:rPr>
        <w:t>等海拔1300-1700m的区域，通过种植‘德热132’、‘</w:t>
      </w:r>
      <w:r>
        <w:rPr>
          <w:rFonts w:hint="eastAsia" w:eastAsia="仿宋_GB2312" w:cs="Arial"/>
          <w:sz w:val="24"/>
          <w:szCs w:val="32"/>
          <w:lang w:val="en-US" w:eastAsia="zh-CN"/>
        </w:rPr>
        <w:t>德热5号</w:t>
      </w:r>
      <w:r>
        <w:rPr>
          <w:rFonts w:hint="default" w:ascii="Times New Roman" w:hAnsi="Times New Roman" w:eastAsia="仿宋_GB2312" w:cs="Arial"/>
          <w:sz w:val="24"/>
          <w:szCs w:val="32"/>
          <w:lang w:val="en-US" w:eastAsia="zh-CN"/>
        </w:rPr>
        <w:t>’</w:t>
      </w:r>
      <w:r>
        <w:rPr>
          <w:rFonts w:hint="eastAsia" w:eastAsia="仿宋_GB2312" w:cs="Arial"/>
          <w:sz w:val="24"/>
          <w:szCs w:val="32"/>
          <w:lang w:val="en-US" w:eastAsia="zh-CN"/>
        </w:rPr>
        <w:t>、‘德热6号’</w:t>
      </w:r>
      <w:r>
        <w:rPr>
          <w:rFonts w:hint="default" w:ascii="Times New Roman" w:hAnsi="Times New Roman" w:eastAsia="仿宋_GB2312" w:cs="Arial"/>
          <w:sz w:val="24"/>
          <w:szCs w:val="32"/>
          <w:lang w:val="en-US" w:eastAsia="zh-CN"/>
        </w:rPr>
        <w:t>等品种的试验表明，在</w:t>
      </w:r>
      <w:r>
        <w:rPr>
          <w:rFonts w:hint="eastAsia" w:eastAsia="仿宋_GB2312" w:cs="Arial"/>
          <w:sz w:val="24"/>
          <w:szCs w:val="32"/>
          <w:lang w:val="en-US" w:eastAsia="zh-CN"/>
        </w:rPr>
        <w:t>正常</w:t>
      </w:r>
      <w:r>
        <w:rPr>
          <w:rFonts w:hint="default" w:ascii="Times New Roman" w:hAnsi="Times New Roman" w:eastAsia="仿宋_GB2312" w:cs="Arial"/>
          <w:sz w:val="24"/>
          <w:szCs w:val="32"/>
          <w:lang w:val="en-US" w:eastAsia="zh-CN"/>
        </w:rPr>
        <w:t>的管理下，咖啡不仅能正常生长，</w:t>
      </w:r>
      <w:r>
        <w:rPr>
          <w:rFonts w:hint="eastAsia" w:eastAsia="仿宋_GB2312" w:cs="Arial"/>
          <w:sz w:val="24"/>
          <w:szCs w:val="32"/>
          <w:lang w:val="en-US" w:eastAsia="zh-CN"/>
        </w:rPr>
        <w:t>还能正常结果，</w:t>
      </w:r>
      <w:r>
        <w:rPr>
          <w:rFonts w:hint="default" w:ascii="Times New Roman" w:hAnsi="Times New Roman" w:eastAsia="仿宋_GB2312" w:cs="Arial"/>
          <w:sz w:val="24"/>
          <w:szCs w:val="32"/>
          <w:lang w:val="en-US" w:eastAsia="zh-CN"/>
        </w:rPr>
        <w:t>且咖啡杯品质量显著提升。这些区域的咖啡已成为我国高品质咖啡的代表，生产实践成功证明了海拔扩展的可行性。</w:t>
      </w:r>
    </w:p>
    <w:p w14:paraId="7D80627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w:t>
      </w:r>
      <w:r>
        <w:rPr>
          <w:rFonts w:hint="eastAsia" w:eastAsia="黑体" w:cs="Times New Roman"/>
          <w:bCs/>
          <w:kern w:val="44"/>
          <w:sz w:val="21"/>
          <w:szCs w:val="24"/>
          <w:lang w:val="en-US" w:eastAsia="zh-CN"/>
        </w:rPr>
        <w:t>3 不同海拔试验验证</w:t>
      </w:r>
    </w:p>
    <w:tbl>
      <w:tblPr>
        <w:tblStyle w:val="9"/>
        <w:tblW w:w="8837" w:type="dxa"/>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5"/>
        <w:gridCol w:w="990"/>
        <w:gridCol w:w="1090"/>
        <w:gridCol w:w="3730"/>
        <w:gridCol w:w="2112"/>
      </w:tblGrid>
      <w:tr w14:paraId="3D26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915" w:type="dxa"/>
            <w:tcBorders>
              <w:top w:val="single" w:color="000000" w:sz="12" w:space="0"/>
              <w:left w:val="nil"/>
              <w:bottom w:val="single" w:color="000000" w:sz="4" w:space="0"/>
              <w:right w:val="nil"/>
              <w:tl2br w:val="nil"/>
            </w:tcBorders>
            <w:shd w:val="clear" w:color="auto" w:fill="FFFFFF"/>
            <w:tcMar>
              <w:top w:w="6" w:type="dxa"/>
              <w:left w:w="192" w:type="dxa"/>
              <w:bottom w:w="6" w:type="dxa"/>
              <w:right w:w="192" w:type="dxa"/>
            </w:tcMar>
            <w:vAlign w:val="center"/>
          </w:tcPr>
          <w:p w14:paraId="300C27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调查</w:t>
            </w:r>
            <w:r>
              <w:rPr>
                <w:rStyle w:val="13"/>
                <w:rFonts w:hint="default" w:ascii="方正仿宋_GB2312" w:hAnsi="方正仿宋_GB2312" w:eastAsia="方正仿宋_GB2312" w:cs="方正仿宋_GB2312"/>
                <w:b w:val="0"/>
                <w:bCs/>
                <w:color w:val="000000"/>
                <w:kern w:val="0"/>
                <w:sz w:val="18"/>
                <w:szCs w:val="18"/>
                <w:lang w:val="en-US" w:eastAsia="zh-CN" w:bidi="ar"/>
              </w:rPr>
              <w:t>地点</w:t>
            </w:r>
          </w:p>
        </w:tc>
        <w:tc>
          <w:tcPr>
            <w:tcW w:w="990" w:type="dxa"/>
            <w:tcBorders>
              <w:top w:val="single" w:color="000000" w:sz="12" w:space="0"/>
              <w:left w:val="nil"/>
              <w:bottom w:val="single" w:color="000000" w:sz="4" w:space="0"/>
              <w:right w:val="nil"/>
            </w:tcBorders>
            <w:shd w:val="clear" w:color="auto" w:fill="FFFFFF"/>
            <w:tcMar>
              <w:top w:w="6" w:type="dxa"/>
              <w:left w:w="192" w:type="dxa"/>
              <w:bottom w:w="6" w:type="dxa"/>
              <w:right w:w="192" w:type="dxa"/>
            </w:tcMar>
            <w:vAlign w:val="center"/>
          </w:tcPr>
          <w:p w14:paraId="673EB5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海拔范围 (米)</w:t>
            </w:r>
          </w:p>
        </w:tc>
        <w:tc>
          <w:tcPr>
            <w:tcW w:w="1090" w:type="dxa"/>
            <w:tcBorders>
              <w:top w:val="single" w:color="000000" w:sz="12" w:space="0"/>
              <w:left w:val="nil"/>
              <w:bottom w:val="single" w:color="000000" w:sz="4" w:space="0"/>
              <w:right w:val="nil"/>
            </w:tcBorders>
            <w:shd w:val="clear" w:color="auto" w:fill="FFFFFF"/>
            <w:tcMar>
              <w:top w:w="6" w:type="dxa"/>
              <w:left w:w="192" w:type="dxa"/>
              <w:bottom w:w="6" w:type="dxa"/>
              <w:right w:w="192" w:type="dxa"/>
            </w:tcMar>
            <w:vAlign w:val="center"/>
          </w:tcPr>
          <w:p w14:paraId="21AC5A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验证品种</w:t>
            </w:r>
          </w:p>
        </w:tc>
        <w:tc>
          <w:tcPr>
            <w:tcW w:w="3730" w:type="dxa"/>
            <w:tcBorders>
              <w:top w:val="single" w:color="000000" w:sz="12" w:space="0"/>
              <w:left w:val="nil"/>
              <w:bottom w:val="single" w:color="000000" w:sz="4" w:space="0"/>
              <w:right w:val="nil"/>
            </w:tcBorders>
            <w:shd w:val="clear" w:color="auto" w:fill="FFFFFF"/>
            <w:tcMar>
              <w:top w:w="6" w:type="dxa"/>
              <w:left w:w="192" w:type="dxa"/>
              <w:bottom w:w="6" w:type="dxa"/>
              <w:right w:w="192" w:type="dxa"/>
            </w:tcMar>
            <w:vAlign w:val="center"/>
          </w:tcPr>
          <w:p w14:paraId="6D3BC8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验证结果与数据支撑</w:t>
            </w:r>
          </w:p>
        </w:tc>
        <w:tc>
          <w:tcPr>
            <w:tcW w:w="2112" w:type="dxa"/>
            <w:tcBorders>
              <w:top w:val="single" w:color="000000" w:sz="12" w:space="0"/>
              <w:left w:val="nil"/>
              <w:bottom w:val="single" w:color="000000" w:sz="4" w:space="0"/>
              <w:right w:val="nil"/>
            </w:tcBorders>
            <w:shd w:val="clear" w:color="auto" w:fill="FFFFFF"/>
            <w:tcMar>
              <w:top w:w="6" w:type="dxa"/>
              <w:left w:w="192" w:type="dxa"/>
              <w:bottom w:w="6" w:type="dxa"/>
              <w:right w:w="192" w:type="dxa"/>
            </w:tcMar>
            <w:vAlign w:val="center"/>
          </w:tcPr>
          <w:p w14:paraId="5AC905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结论分析</w:t>
            </w:r>
          </w:p>
        </w:tc>
      </w:tr>
      <w:tr w14:paraId="1A48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57" w:hRule="atLeast"/>
        </w:trPr>
        <w:tc>
          <w:tcPr>
            <w:tcW w:w="915" w:type="dxa"/>
            <w:tcBorders>
              <w:top w:val="single" w:color="000000" w:sz="4" w:space="0"/>
              <w:left w:val="nil"/>
              <w:bottom w:val="nil"/>
              <w:right w:val="nil"/>
            </w:tcBorders>
            <w:shd w:val="clear" w:color="auto" w:fill="FFFFFF"/>
            <w:tcMar>
              <w:top w:w="6" w:type="dxa"/>
              <w:left w:w="192" w:type="dxa"/>
              <w:bottom w:w="6" w:type="dxa"/>
              <w:right w:w="192" w:type="dxa"/>
            </w:tcMar>
            <w:vAlign w:val="center"/>
          </w:tcPr>
          <w:p w14:paraId="059DA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临沧秋波庄园基地</w:t>
            </w:r>
          </w:p>
        </w:tc>
        <w:tc>
          <w:tcPr>
            <w:tcW w:w="990" w:type="dxa"/>
            <w:tcBorders>
              <w:top w:val="single" w:color="000000" w:sz="4" w:space="0"/>
              <w:left w:val="nil"/>
              <w:bottom w:val="nil"/>
              <w:right w:val="nil"/>
            </w:tcBorders>
            <w:shd w:val="clear" w:color="auto" w:fill="FFFFFF"/>
            <w:tcMar>
              <w:top w:w="6" w:type="dxa"/>
              <w:left w:w="192" w:type="dxa"/>
              <w:bottom w:w="6" w:type="dxa"/>
              <w:right w:w="192" w:type="dxa"/>
            </w:tcMar>
            <w:vAlign w:val="center"/>
          </w:tcPr>
          <w:p w14:paraId="0DF930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 xml:space="preserve"> 15</w:t>
            </w:r>
            <w:r>
              <w:rPr>
                <w:rStyle w:val="13"/>
                <w:rFonts w:hint="eastAsia" w:ascii="方正仿宋_GB2312" w:hAnsi="方正仿宋_GB2312" w:eastAsia="方正仿宋_GB2312" w:cs="方正仿宋_GB2312"/>
                <w:b w:val="0"/>
                <w:bCs/>
                <w:color w:val="000000"/>
                <w:kern w:val="0"/>
                <w:sz w:val="18"/>
                <w:szCs w:val="18"/>
                <w:lang w:val="en-US" w:eastAsia="zh-CN" w:bidi="ar"/>
              </w:rPr>
              <w:t>8</w:t>
            </w:r>
            <w:r>
              <w:rPr>
                <w:rStyle w:val="13"/>
                <w:rFonts w:hint="default" w:ascii="方正仿宋_GB2312" w:hAnsi="方正仿宋_GB2312" w:eastAsia="方正仿宋_GB2312" w:cs="方正仿宋_GB2312"/>
                <w:b w:val="0"/>
                <w:bCs/>
                <w:color w:val="000000"/>
                <w:kern w:val="0"/>
                <w:sz w:val="18"/>
                <w:szCs w:val="18"/>
                <w:lang w:val="en-US" w:eastAsia="zh-CN" w:bidi="ar"/>
              </w:rPr>
              <w:t>0</w:t>
            </w:r>
            <w:r>
              <w:rPr>
                <w:rStyle w:val="13"/>
                <w:rFonts w:hint="eastAsia" w:ascii="方正仿宋_GB2312" w:hAnsi="方正仿宋_GB2312" w:eastAsia="方正仿宋_GB2312" w:cs="方正仿宋_GB2312"/>
                <w:b w:val="0"/>
                <w:bCs/>
                <w:color w:val="000000"/>
                <w:kern w:val="0"/>
                <w:sz w:val="18"/>
                <w:szCs w:val="18"/>
                <w:lang w:val="en-US" w:eastAsia="zh-CN" w:bidi="ar"/>
              </w:rPr>
              <w:t>~</w:t>
            </w:r>
          </w:p>
          <w:p w14:paraId="1D9F76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1680</w:t>
            </w:r>
          </w:p>
        </w:tc>
        <w:tc>
          <w:tcPr>
            <w:tcW w:w="1090" w:type="dxa"/>
            <w:tcBorders>
              <w:top w:val="single" w:color="000000" w:sz="4" w:space="0"/>
              <w:left w:val="nil"/>
              <w:bottom w:val="nil"/>
              <w:right w:val="nil"/>
            </w:tcBorders>
            <w:shd w:val="clear" w:color="auto" w:fill="FFFFFF"/>
            <w:tcMar>
              <w:top w:w="6" w:type="dxa"/>
              <w:left w:w="192" w:type="dxa"/>
              <w:bottom w:w="6" w:type="dxa"/>
              <w:right w:w="192" w:type="dxa"/>
            </w:tcMar>
            <w:vAlign w:val="center"/>
          </w:tcPr>
          <w:p w14:paraId="620B9D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德热</w:t>
            </w:r>
            <w:r>
              <w:rPr>
                <w:rStyle w:val="13"/>
                <w:rFonts w:hint="eastAsia" w:ascii="方正仿宋_GB2312" w:hAnsi="方正仿宋_GB2312" w:eastAsia="方正仿宋_GB2312" w:cs="方正仿宋_GB2312"/>
                <w:b w:val="0"/>
                <w:bCs/>
                <w:color w:val="000000"/>
                <w:kern w:val="0"/>
                <w:sz w:val="18"/>
                <w:szCs w:val="18"/>
                <w:lang w:val="en-US" w:eastAsia="zh-CN" w:bidi="ar"/>
              </w:rPr>
              <w:t>4号</w:t>
            </w:r>
          </w:p>
          <w:p w14:paraId="6FE7EF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德热6号</w:t>
            </w:r>
          </w:p>
        </w:tc>
        <w:tc>
          <w:tcPr>
            <w:tcW w:w="3730" w:type="dxa"/>
            <w:tcBorders>
              <w:top w:val="single" w:color="000000" w:sz="4" w:space="0"/>
              <w:left w:val="nil"/>
              <w:bottom w:val="nil"/>
              <w:right w:val="nil"/>
            </w:tcBorders>
            <w:shd w:val="clear" w:color="auto" w:fill="FFFFFF"/>
            <w:tcMar>
              <w:top w:w="6" w:type="dxa"/>
              <w:left w:w="192" w:type="dxa"/>
              <w:bottom w:w="6" w:type="dxa"/>
              <w:right w:w="192" w:type="dxa"/>
            </w:tcMar>
            <w:vAlign w:val="center"/>
          </w:tcPr>
          <w:p w14:paraId="2906576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w:t>
            </w:r>
            <w:r>
              <w:rPr>
                <w:rStyle w:val="13"/>
                <w:rFonts w:hint="default" w:ascii="方正仿宋_GB2312" w:hAnsi="方正仿宋_GB2312" w:eastAsia="方正仿宋_GB2312" w:cs="方正仿宋_GB2312"/>
                <w:b w:val="0"/>
                <w:bCs/>
                <w:color w:val="000000"/>
                <w:kern w:val="0"/>
                <w:sz w:val="18"/>
                <w:szCs w:val="18"/>
                <w:lang w:val="en-US" w:eastAsia="zh-CN" w:bidi="ar"/>
              </w:rPr>
              <w:t>越冬存活率：达95%以上（对照：低海拔常规管理约9</w:t>
            </w:r>
            <w:r>
              <w:rPr>
                <w:rStyle w:val="13"/>
                <w:rFonts w:hint="eastAsia" w:ascii="方正仿宋_GB2312" w:hAnsi="方正仿宋_GB2312" w:eastAsia="方正仿宋_GB2312" w:cs="方正仿宋_GB2312"/>
                <w:b w:val="0"/>
                <w:bCs/>
                <w:color w:val="000000"/>
                <w:kern w:val="0"/>
                <w:sz w:val="18"/>
                <w:szCs w:val="18"/>
                <w:lang w:val="en-US" w:eastAsia="zh-CN" w:bidi="ar"/>
              </w:rPr>
              <w:t>7</w:t>
            </w:r>
            <w:r>
              <w:rPr>
                <w:rStyle w:val="13"/>
                <w:rFonts w:hint="default" w:ascii="方正仿宋_GB2312" w:hAnsi="方正仿宋_GB2312" w:eastAsia="方正仿宋_GB2312" w:cs="方正仿宋_GB2312"/>
                <w:b w:val="0"/>
                <w:bCs/>
                <w:color w:val="000000"/>
                <w:kern w:val="0"/>
                <w:sz w:val="18"/>
                <w:szCs w:val="18"/>
                <w:lang w:val="en-US" w:eastAsia="zh-CN" w:bidi="ar"/>
              </w:rPr>
              <w:t>%）。</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2. 物候期：花期比</w:t>
            </w:r>
            <w:r>
              <w:rPr>
                <w:rStyle w:val="13"/>
                <w:rFonts w:hint="eastAsia" w:ascii="方正仿宋_GB2312" w:hAnsi="方正仿宋_GB2312" w:eastAsia="方正仿宋_GB2312" w:cs="方正仿宋_GB2312"/>
                <w:b w:val="0"/>
                <w:bCs/>
                <w:color w:val="000000"/>
                <w:kern w:val="0"/>
                <w:sz w:val="18"/>
                <w:szCs w:val="18"/>
                <w:lang w:val="en-US" w:eastAsia="zh-CN" w:bidi="ar"/>
              </w:rPr>
              <w:t>10</w:t>
            </w:r>
            <w:r>
              <w:rPr>
                <w:rStyle w:val="13"/>
                <w:rFonts w:hint="default" w:ascii="方正仿宋_GB2312" w:hAnsi="方正仿宋_GB2312" w:eastAsia="方正仿宋_GB2312" w:cs="方正仿宋_GB2312"/>
                <w:b w:val="0"/>
                <w:bCs/>
                <w:color w:val="000000"/>
                <w:kern w:val="0"/>
                <w:sz w:val="18"/>
                <w:szCs w:val="18"/>
                <w:lang w:val="en-US" w:eastAsia="zh-CN" w:bidi="ar"/>
              </w:rPr>
              <w:t>00米产区推迟</w:t>
            </w:r>
            <w:r>
              <w:rPr>
                <w:rStyle w:val="13"/>
                <w:rFonts w:hint="eastAsia" w:ascii="方正仿宋_GB2312" w:hAnsi="方正仿宋_GB2312" w:eastAsia="方正仿宋_GB2312" w:cs="方正仿宋_GB2312"/>
                <w:b w:val="0"/>
                <w:bCs/>
                <w:color w:val="000000"/>
                <w:kern w:val="0"/>
                <w:sz w:val="18"/>
                <w:szCs w:val="18"/>
                <w:lang w:val="en-US" w:eastAsia="zh-CN" w:bidi="ar"/>
              </w:rPr>
              <w:t>20</w:t>
            </w:r>
            <w:r>
              <w:rPr>
                <w:rStyle w:val="13"/>
                <w:rFonts w:hint="default" w:ascii="方正仿宋_GB2312" w:hAnsi="方正仿宋_GB2312" w:eastAsia="方正仿宋_GB2312" w:cs="方正仿宋_GB2312"/>
                <w:b w:val="0"/>
                <w:bCs/>
                <w:color w:val="000000"/>
                <w:kern w:val="0"/>
                <w:sz w:val="18"/>
                <w:szCs w:val="18"/>
                <w:lang w:val="en-US" w:eastAsia="zh-CN" w:bidi="ar"/>
              </w:rPr>
              <w:t>-</w:t>
            </w:r>
            <w:r>
              <w:rPr>
                <w:rStyle w:val="13"/>
                <w:rFonts w:hint="eastAsia" w:ascii="方正仿宋_GB2312" w:hAnsi="方正仿宋_GB2312" w:eastAsia="方正仿宋_GB2312" w:cs="方正仿宋_GB2312"/>
                <w:b w:val="0"/>
                <w:bCs/>
                <w:color w:val="000000"/>
                <w:kern w:val="0"/>
                <w:sz w:val="18"/>
                <w:szCs w:val="18"/>
                <w:lang w:val="en-US" w:eastAsia="zh-CN" w:bidi="ar"/>
              </w:rPr>
              <w:t>2</w:t>
            </w:r>
            <w:r>
              <w:rPr>
                <w:rStyle w:val="13"/>
                <w:rFonts w:hint="default" w:ascii="方正仿宋_GB2312" w:hAnsi="方正仿宋_GB2312" w:eastAsia="方正仿宋_GB2312" w:cs="方正仿宋_GB2312"/>
                <w:b w:val="0"/>
                <w:bCs/>
                <w:color w:val="000000"/>
                <w:kern w:val="0"/>
                <w:sz w:val="18"/>
                <w:szCs w:val="18"/>
                <w:lang w:val="en-US" w:eastAsia="zh-CN" w:bidi="ar"/>
              </w:rPr>
              <w:t>5天，成熟期延长约</w:t>
            </w:r>
            <w:r>
              <w:rPr>
                <w:rStyle w:val="13"/>
                <w:rFonts w:hint="eastAsia" w:ascii="方正仿宋_GB2312" w:hAnsi="方正仿宋_GB2312" w:eastAsia="方正仿宋_GB2312" w:cs="方正仿宋_GB2312"/>
                <w:b w:val="0"/>
                <w:bCs/>
                <w:color w:val="000000"/>
                <w:kern w:val="0"/>
                <w:sz w:val="18"/>
                <w:szCs w:val="18"/>
                <w:lang w:val="en-US" w:eastAsia="zh-CN" w:bidi="ar"/>
              </w:rPr>
              <w:t>4</w:t>
            </w:r>
            <w:r>
              <w:rPr>
                <w:rStyle w:val="13"/>
                <w:rFonts w:hint="default" w:ascii="方正仿宋_GB2312" w:hAnsi="方正仿宋_GB2312" w:eastAsia="方正仿宋_GB2312" w:cs="方正仿宋_GB2312"/>
                <w:b w:val="0"/>
                <w:bCs/>
                <w:color w:val="000000"/>
                <w:kern w:val="0"/>
                <w:sz w:val="18"/>
                <w:szCs w:val="18"/>
                <w:lang w:val="en-US" w:eastAsia="zh-CN" w:bidi="ar"/>
              </w:rPr>
              <w:t>0天。</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3. 生长量：定植第三年，平均株高与冠幅达到投产标准，与低海拔无显著差异。</w:t>
            </w:r>
          </w:p>
          <w:p w14:paraId="5B05473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w:t>
            </w:r>
            <w:r>
              <w:rPr>
                <w:rStyle w:val="13"/>
                <w:rFonts w:hint="default" w:ascii="方正仿宋_GB2312" w:hAnsi="方正仿宋_GB2312" w:eastAsia="方正仿宋_GB2312" w:cs="方正仿宋_GB2312"/>
                <w:b w:val="0"/>
                <w:bCs/>
                <w:color w:val="000000"/>
                <w:kern w:val="0"/>
                <w:sz w:val="18"/>
                <w:szCs w:val="18"/>
                <w:lang w:val="en-US" w:eastAsia="zh-CN" w:bidi="ar"/>
              </w:rPr>
              <w:t>.收购价格：产地收购价较普通商业豆溢价</w:t>
            </w:r>
            <w:r>
              <w:rPr>
                <w:rStyle w:val="13"/>
                <w:rFonts w:hint="eastAsia" w:ascii="方正仿宋_GB2312" w:hAnsi="方正仿宋_GB2312" w:eastAsia="方正仿宋_GB2312" w:cs="方正仿宋_GB2312"/>
                <w:b w:val="0"/>
                <w:bCs/>
                <w:color w:val="000000"/>
                <w:kern w:val="0"/>
                <w:sz w:val="18"/>
                <w:szCs w:val="18"/>
                <w:lang w:val="en-US" w:eastAsia="zh-CN" w:bidi="ar"/>
              </w:rPr>
              <w:t>80</w:t>
            </w:r>
            <w:r>
              <w:rPr>
                <w:rStyle w:val="13"/>
                <w:rFonts w:hint="default" w:ascii="方正仿宋_GB2312" w:hAnsi="方正仿宋_GB2312" w:eastAsia="方正仿宋_GB2312" w:cs="方正仿宋_GB2312"/>
                <w:b w:val="0"/>
                <w:bCs/>
                <w:color w:val="000000"/>
                <w:kern w:val="0"/>
                <w:sz w:val="18"/>
                <w:szCs w:val="18"/>
                <w:lang w:val="en-US" w:eastAsia="zh-CN" w:bidi="ar"/>
              </w:rPr>
              <w:t xml:space="preserve">% - </w:t>
            </w:r>
            <w:r>
              <w:rPr>
                <w:rStyle w:val="13"/>
                <w:rFonts w:hint="eastAsia" w:ascii="方正仿宋_GB2312" w:hAnsi="方正仿宋_GB2312" w:eastAsia="方正仿宋_GB2312" w:cs="方正仿宋_GB2312"/>
                <w:b w:val="0"/>
                <w:bCs/>
                <w:color w:val="000000"/>
                <w:kern w:val="0"/>
                <w:sz w:val="18"/>
                <w:szCs w:val="18"/>
                <w:lang w:val="en-US" w:eastAsia="zh-CN" w:bidi="ar"/>
              </w:rPr>
              <w:t>15</w:t>
            </w:r>
            <w:r>
              <w:rPr>
                <w:rStyle w:val="13"/>
                <w:rFonts w:hint="default" w:ascii="方正仿宋_GB2312" w:hAnsi="方正仿宋_GB2312" w:eastAsia="方正仿宋_GB2312" w:cs="方正仿宋_GB2312"/>
                <w:b w:val="0"/>
                <w:bCs/>
                <w:color w:val="000000"/>
                <w:kern w:val="0"/>
                <w:sz w:val="18"/>
                <w:szCs w:val="18"/>
                <w:lang w:val="en-US" w:eastAsia="zh-CN" w:bidi="ar"/>
              </w:rPr>
              <w:t>0%。</w:t>
            </w:r>
          </w:p>
          <w:p w14:paraId="6242F2F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w:t>
            </w:r>
            <w:r>
              <w:rPr>
                <w:rStyle w:val="13"/>
                <w:rFonts w:hint="default" w:ascii="方正仿宋_GB2312" w:hAnsi="方正仿宋_GB2312" w:eastAsia="方正仿宋_GB2312" w:cs="方正仿宋_GB2312"/>
                <w:b w:val="0"/>
                <w:bCs/>
                <w:color w:val="000000"/>
                <w:kern w:val="0"/>
                <w:sz w:val="18"/>
                <w:szCs w:val="18"/>
                <w:lang w:val="en-US" w:eastAsia="zh-CN" w:bidi="ar"/>
              </w:rPr>
              <w:t>市场认可：产品常被指定用于制作单一产地精品咖啡，品牌效应初显。</w:t>
            </w:r>
          </w:p>
        </w:tc>
        <w:tc>
          <w:tcPr>
            <w:tcW w:w="2112" w:type="dxa"/>
            <w:tcBorders>
              <w:top w:val="single" w:color="000000" w:sz="4" w:space="0"/>
              <w:left w:val="nil"/>
              <w:bottom w:val="nil"/>
              <w:right w:val="nil"/>
            </w:tcBorders>
            <w:shd w:val="clear" w:color="auto" w:fill="FFFFFF"/>
            <w:tcMar>
              <w:top w:w="6" w:type="dxa"/>
              <w:left w:w="192" w:type="dxa"/>
              <w:bottom w:w="6" w:type="dxa"/>
              <w:right w:w="0" w:type="dxa"/>
            </w:tcMar>
            <w:vAlign w:val="center"/>
          </w:tcPr>
          <w:p w14:paraId="0FE47F1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调查</w:t>
            </w:r>
            <w:r>
              <w:rPr>
                <w:rStyle w:val="13"/>
                <w:rFonts w:hint="default" w:ascii="方正仿宋_GB2312" w:hAnsi="方正仿宋_GB2312" w:eastAsia="方正仿宋_GB2312" w:cs="方正仿宋_GB2312"/>
                <w:b w:val="0"/>
                <w:bCs/>
                <w:color w:val="000000"/>
                <w:kern w:val="0"/>
                <w:sz w:val="18"/>
                <w:szCs w:val="18"/>
                <w:lang w:val="en-US" w:eastAsia="zh-CN" w:bidi="ar"/>
              </w:rPr>
              <w:t>品种在1500米左右海拔能正常完成生命周期，生长势良好，证明其生物学可行性。</w:t>
            </w:r>
          </w:p>
          <w:p w14:paraId="100D8A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“优质优价”市场机制成功运行。高海拔栽培虽有一定管理成本增加，但带来的品质溢价显著覆盖了成本，经济效益显著提升。</w:t>
            </w:r>
          </w:p>
        </w:tc>
      </w:tr>
      <w:tr w14:paraId="73BD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21" w:hRule="atLeast"/>
        </w:trPr>
        <w:tc>
          <w:tcPr>
            <w:tcW w:w="915" w:type="dxa"/>
            <w:tcBorders>
              <w:top w:val="nil"/>
              <w:left w:val="nil"/>
              <w:bottom w:val="nil"/>
              <w:right w:val="nil"/>
            </w:tcBorders>
            <w:shd w:val="clear" w:color="auto" w:fill="FFFFFF"/>
            <w:tcMar>
              <w:top w:w="6" w:type="dxa"/>
              <w:left w:w="192" w:type="dxa"/>
              <w:bottom w:w="6" w:type="dxa"/>
              <w:right w:w="192" w:type="dxa"/>
            </w:tcMar>
            <w:vAlign w:val="center"/>
          </w:tcPr>
          <w:p w14:paraId="0A102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双江荣康达咖啡庄园</w:t>
            </w:r>
          </w:p>
        </w:tc>
        <w:tc>
          <w:tcPr>
            <w:tcW w:w="990" w:type="dxa"/>
            <w:tcBorders>
              <w:top w:val="nil"/>
              <w:left w:val="nil"/>
              <w:bottom w:val="nil"/>
              <w:right w:val="nil"/>
            </w:tcBorders>
            <w:shd w:val="clear" w:color="auto" w:fill="FFFFFF"/>
            <w:tcMar>
              <w:top w:w="6" w:type="dxa"/>
              <w:left w:w="192" w:type="dxa"/>
              <w:bottom w:w="6" w:type="dxa"/>
              <w:right w:w="192" w:type="dxa"/>
            </w:tcMar>
            <w:vAlign w:val="center"/>
          </w:tcPr>
          <w:p w14:paraId="2BE2E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1400~</w:t>
            </w:r>
          </w:p>
          <w:p w14:paraId="39C5C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w:t>
            </w:r>
            <w:r>
              <w:rPr>
                <w:rStyle w:val="13"/>
                <w:rFonts w:hint="eastAsia" w:ascii="方正仿宋_GB2312" w:hAnsi="方正仿宋_GB2312" w:eastAsia="方正仿宋_GB2312" w:cs="方正仿宋_GB2312"/>
                <w:b w:val="0"/>
                <w:bCs/>
                <w:color w:val="000000"/>
                <w:kern w:val="0"/>
                <w:sz w:val="18"/>
                <w:szCs w:val="18"/>
                <w:lang w:val="en-US" w:eastAsia="zh-CN" w:bidi="ar"/>
              </w:rPr>
              <w:t>5</w:t>
            </w:r>
            <w:r>
              <w:rPr>
                <w:rStyle w:val="13"/>
                <w:rFonts w:hint="default" w:ascii="方正仿宋_GB2312" w:hAnsi="方正仿宋_GB2312" w:eastAsia="方正仿宋_GB2312" w:cs="方正仿宋_GB2312"/>
                <w:b w:val="0"/>
                <w:bCs/>
                <w:color w:val="000000"/>
                <w:kern w:val="0"/>
                <w:sz w:val="18"/>
                <w:szCs w:val="18"/>
                <w:lang w:val="en-US" w:eastAsia="zh-CN" w:bidi="ar"/>
              </w:rPr>
              <w:t>00</w:t>
            </w:r>
          </w:p>
        </w:tc>
        <w:tc>
          <w:tcPr>
            <w:tcW w:w="1090" w:type="dxa"/>
            <w:tcBorders>
              <w:top w:val="nil"/>
              <w:left w:val="nil"/>
              <w:bottom w:val="nil"/>
              <w:right w:val="nil"/>
            </w:tcBorders>
            <w:shd w:val="clear" w:color="auto" w:fill="FFFFFF"/>
            <w:tcMar>
              <w:top w:w="6" w:type="dxa"/>
              <w:left w:w="192" w:type="dxa"/>
              <w:bottom w:w="6" w:type="dxa"/>
              <w:right w:w="192" w:type="dxa"/>
            </w:tcMar>
            <w:vAlign w:val="center"/>
          </w:tcPr>
          <w:p w14:paraId="7AD57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德热132</w:t>
            </w:r>
          </w:p>
          <w:p w14:paraId="235AD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德热4号</w:t>
            </w:r>
          </w:p>
          <w:p w14:paraId="6F7AD2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德热6号</w:t>
            </w:r>
          </w:p>
        </w:tc>
        <w:tc>
          <w:tcPr>
            <w:tcW w:w="3730" w:type="dxa"/>
            <w:tcBorders>
              <w:top w:val="nil"/>
              <w:left w:val="nil"/>
              <w:bottom w:val="nil"/>
              <w:right w:val="nil"/>
            </w:tcBorders>
            <w:shd w:val="clear" w:color="auto" w:fill="FFFFFF"/>
            <w:tcMar>
              <w:top w:w="6" w:type="dxa"/>
              <w:left w:w="192" w:type="dxa"/>
              <w:bottom w:w="6" w:type="dxa"/>
              <w:right w:w="192" w:type="dxa"/>
            </w:tcMar>
            <w:vAlign w:val="center"/>
          </w:tcPr>
          <w:p w14:paraId="2114FF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 公顷产量：稳定在1.8 - 2.2吨干豆（约为高产园区的80-90%）。</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2. 产量波动：年际间产量变异系数小于10%，表现出较强的稳定性。</w:t>
            </w:r>
          </w:p>
        </w:tc>
        <w:tc>
          <w:tcPr>
            <w:tcW w:w="2112" w:type="dxa"/>
            <w:tcBorders>
              <w:top w:val="nil"/>
              <w:left w:val="nil"/>
              <w:bottom w:val="nil"/>
              <w:right w:val="nil"/>
            </w:tcBorders>
            <w:shd w:val="clear" w:color="auto" w:fill="FFFFFF"/>
            <w:tcMar>
              <w:top w:w="6" w:type="dxa"/>
              <w:left w:w="192" w:type="dxa"/>
              <w:bottom w:w="6" w:type="dxa"/>
              <w:right w:w="0" w:type="dxa"/>
            </w:tcMar>
            <w:vAlign w:val="center"/>
          </w:tcPr>
          <w:p w14:paraId="200FCC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虽然绝对产量略低于最优水肥条件的低海拔园，但产量稳定，风险可控，从生产经济角度看是可行的。</w:t>
            </w:r>
          </w:p>
        </w:tc>
      </w:tr>
      <w:tr w14:paraId="3F22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24" w:hRule="atLeast"/>
        </w:trPr>
        <w:tc>
          <w:tcPr>
            <w:tcW w:w="915" w:type="dxa"/>
            <w:tcBorders>
              <w:top w:val="nil"/>
              <w:left w:val="nil"/>
              <w:bottom w:val="nil"/>
              <w:right w:val="nil"/>
            </w:tcBorders>
            <w:shd w:val="clear" w:color="auto" w:fill="FFFFFF"/>
            <w:tcMar>
              <w:top w:w="6" w:type="dxa"/>
              <w:left w:w="192" w:type="dxa"/>
              <w:bottom w:w="6" w:type="dxa"/>
              <w:right w:w="192" w:type="dxa"/>
            </w:tcMar>
            <w:vAlign w:val="center"/>
          </w:tcPr>
          <w:p w14:paraId="61B00A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陇川宏光咖啡基地</w:t>
            </w:r>
          </w:p>
        </w:tc>
        <w:tc>
          <w:tcPr>
            <w:tcW w:w="990" w:type="dxa"/>
            <w:tcBorders>
              <w:top w:val="nil"/>
              <w:left w:val="nil"/>
              <w:bottom w:val="nil"/>
              <w:right w:val="nil"/>
            </w:tcBorders>
            <w:shd w:val="clear" w:color="auto" w:fill="FFFFFF"/>
            <w:tcMar>
              <w:top w:w="6" w:type="dxa"/>
              <w:left w:w="192" w:type="dxa"/>
              <w:bottom w:w="6" w:type="dxa"/>
              <w:right w:w="192" w:type="dxa"/>
            </w:tcMar>
            <w:vAlign w:val="center"/>
          </w:tcPr>
          <w:p w14:paraId="11A46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w:t>
            </w:r>
            <w:r>
              <w:rPr>
                <w:rStyle w:val="13"/>
                <w:rFonts w:hint="eastAsia" w:ascii="方正仿宋_GB2312" w:hAnsi="方正仿宋_GB2312" w:eastAsia="方正仿宋_GB2312" w:cs="方正仿宋_GB2312"/>
                <w:b w:val="0"/>
                <w:bCs/>
                <w:color w:val="000000"/>
                <w:kern w:val="0"/>
                <w:sz w:val="18"/>
                <w:szCs w:val="18"/>
                <w:lang w:val="en-US" w:eastAsia="zh-CN" w:bidi="ar"/>
              </w:rPr>
              <w:t>60</w:t>
            </w:r>
            <w:r>
              <w:rPr>
                <w:rStyle w:val="13"/>
                <w:rFonts w:hint="default" w:ascii="方正仿宋_GB2312" w:hAnsi="方正仿宋_GB2312" w:eastAsia="方正仿宋_GB2312" w:cs="方正仿宋_GB2312"/>
                <w:b w:val="0"/>
                <w:bCs/>
                <w:color w:val="000000"/>
                <w:kern w:val="0"/>
                <w:sz w:val="18"/>
                <w:szCs w:val="18"/>
                <w:lang w:val="en-US" w:eastAsia="zh-CN" w:bidi="ar"/>
              </w:rPr>
              <w:t>0 - 1650</w:t>
            </w:r>
          </w:p>
        </w:tc>
        <w:tc>
          <w:tcPr>
            <w:tcW w:w="1090" w:type="dxa"/>
            <w:tcBorders>
              <w:top w:val="nil"/>
              <w:left w:val="nil"/>
              <w:bottom w:val="nil"/>
              <w:right w:val="nil"/>
            </w:tcBorders>
            <w:shd w:val="clear" w:color="auto" w:fill="FFFFFF"/>
            <w:tcMar>
              <w:top w:w="6" w:type="dxa"/>
              <w:left w:w="192" w:type="dxa"/>
              <w:bottom w:w="6" w:type="dxa"/>
              <w:right w:w="192" w:type="dxa"/>
            </w:tcMar>
            <w:vAlign w:val="center"/>
          </w:tcPr>
          <w:p w14:paraId="6417F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卡蒂姆</w:t>
            </w:r>
          </w:p>
          <w:p w14:paraId="2CB9E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德热3号</w:t>
            </w:r>
          </w:p>
        </w:tc>
        <w:tc>
          <w:tcPr>
            <w:tcW w:w="3730" w:type="dxa"/>
            <w:tcBorders>
              <w:top w:val="nil"/>
              <w:left w:val="nil"/>
              <w:bottom w:val="nil"/>
              <w:right w:val="nil"/>
            </w:tcBorders>
            <w:shd w:val="clear" w:color="auto" w:fill="FFFFFF"/>
            <w:tcMar>
              <w:top w:w="6" w:type="dxa"/>
              <w:left w:w="192" w:type="dxa"/>
              <w:bottom w:w="6" w:type="dxa"/>
              <w:right w:w="192" w:type="dxa"/>
            </w:tcMar>
            <w:vAlign w:val="center"/>
          </w:tcPr>
          <w:p w14:paraId="689B21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 杯品评分：持续稳定在84分以上（SCAA标准，精品咖啡门槛为80分）。</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2. 风味特征：具有明显的花香、柑橘、红茶风味，酸质明亮愉悦。</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3. 化学分析：豆粒密度更高，蔗糖及风味前体物质含量显著高于低海拔同期样品。</w:t>
            </w:r>
          </w:p>
        </w:tc>
        <w:tc>
          <w:tcPr>
            <w:tcW w:w="2112" w:type="dxa"/>
            <w:tcBorders>
              <w:top w:val="nil"/>
              <w:left w:val="nil"/>
              <w:bottom w:val="nil"/>
              <w:right w:val="nil"/>
            </w:tcBorders>
            <w:shd w:val="clear" w:color="auto" w:fill="FFFFFF"/>
            <w:tcMar>
              <w:top w:w="6" w:type="dxa"/>
              <w:left w:w="192" w:type="dxa"/>
              <w:bottom w:w="6" w:type="dxa"/>
              <w:right w:w="0" w:type="dxa"/>
            </w:tcMar>
            <w:vAlign w:val="center"/>
          </w:tcPr>
          <w:p w14:paraId="2FA87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高海拔</w:t>
            </w:r>
            <w:r>
              <w:rPr>
                <w:rStyle w:val="13"/>
                <w:rFonts w:hint="eastAsia" w:ascii="方正仿宋_GB2312" w:hAnsi="方正仿宋_GB2312" w:eastAsia="方正仿宋_GB2312" w:cs="方正仿宋_GB2312"/>
                <w:b w:val="0"/>
                <w:bCs/>
                <w:color w:val="000000"/>
                <w:kern w:val="0"/>
                <w:sz w:val="18"/>
                <w:szCs w:val="18"/>
                <w:lang w:val="en-US" w:eastAsia="zh-CN" w:bidi="ar"/>
              </w:rPr>
              <w:t>种植，虽然生育期增长，但</w:t>
            </w:r>
            <w:r>
              <w:rPr>
                <w:rStyle w:val="13"/>
                <w:rFonts w:hint="default" w:ascii="方正仿宋_GB2312" w:hAnsi="方正仿宋_GB2312" w:eastAsia="方正仿宋_GB2312" w:cs="方正仿宋_GB2312"/>
                <w:b w:val="0"/>
                <w:bCs/>
                <w:color w:val="000000"/>
                <w:kern w:val="0"/>
                <w:sz w:val="18"/>
                <w:szCs w:val="18"/>
                <w:lang w:val="en-US" w:eastAsia="zh-CN" w:bidi="ar"/>
              </w:rPr>
              <w:t>创造了更优的果实发育环境，是形成卓越杯品质量的关键。</w:t>
            </w:r>
          </w:p>
        </w:tc>
      </w:tr>
      <w:tr w14:paraId="33A7A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15" w:hRule="atLeast"/>
        </w:trPr>
        <w:tc>
          <w:tcPr>
            <w:tcW w:w="915" w:type="dxa"/>
            <w:tcBorders>
              <w:top w:val="nil"/>
              <w:left w:val="nil"/>
              <w:bottom w:val="single" w:color="000000" w:sz="12" w:space="0"/>
              <w:right w:val="nil"/>
            </w:tcBorders>
            <w:shd w:val="clear" w:color="auto" w:fill="FFFFFF"/>
            <w:tcMar>
              <w:top w:w="6" w:type="dxa"/>
              <w:left w:w="192" w:type="dxa"/>
              <w:bottom w:w="6" w:type="dxa"/>
              <w:right w:w="192" w:type="dxa"/>
            </w:tcMar>
            <w:vAlign w:val="center"/>
          </w:tcPr>
          <w:p w14:paraId="24D0C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勐海云澜咖啡基地</w:t>
            </w:r>
          </w:p>
        </w:tc>
        <w:tc>
          <w:tcPr>
            <w:tcW w:w="990" w:type="dxa"/>
            <w:tcBorders>
              <w:top w:val="nil"/>
              <w:left w:val="nil"/>
              <w:bottom w:val="single" w:color="000000" w:sz="12" w:space="0"/>
              <w:right w:val="nil"/>
            </w:tcBorders>
            <w:shd w:val="clear" w:color="auto" w:fill="FFFFFF"/>
            <w:tcMar>
              <w:top w:w="6" w:type="dxa"/>
              <w:left w:w="192" w:type="dxa"/>
              <w:bottom w:w="6" w:type="dxa"/>
              <w:right w:w="192" w:type="dxa"/>
            </w:tcMar>
            <w:vAlign w:val="center"/>
          </w:tcPr>
          <w:p w14:paraId="2A541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1300 - 1</w:t>
            </w:r>
            <w:r>
              <w:rPr>
                <w:rStyle w:val="13"/>
                <w:rFonts w:hint="eastAsia" w:ascii="方正仿宋_GB2312" w:hAnsi="方正仿宋_GB2312" w:eastAsia="方正仿宋_GB2312" w:cs="方正仿宋_GB2312"/>
                <w:b w:val="0"/>
                <w:bCs/>
                <w:color w:val="000000"/>
                <w:kern w:val="0"/>
                <w:sz w:val="18"/>
                <w:szCs w:val="18"/>
                <w:lang w:val="en-US" w:eastAsia="zh-CN" w:bidi="ar"/>
              </w:rPr>
              <w:t>4</w:t>
            </w:r>
            <w:r>
              <w:rPr>
                <w:rStyle w:val="13"/>
                <w:rFonts w:hint="default" w:ascii="方正仿宋_GB2312" w:hAnsi="方正仿宋_GB2312" w:eastAsia="方正仿宋_GB2312" w:cs="方正仿宋_GB2312"/>
                <w:b w:val="0"/>
                <w:bCs/>
                <w:color w:val="000000"/>
                <w:kern w:val="0"/>
                <w:sz w:val="18"/>
                <w:szCs w:val="18"/>
                <w:lang w:val="en-US" w:eastAsia="zh-CN" w:bidi="ar"/>
              </w:rPr>
              <w:t>00</w:t>
            </w:r>
          </w:p>
        </w:tc>
        <w:tc>
          <w:tcPr>
            <w:tcW w:w="1090" w:type="dxa"/>
            <w:tcBorders>
              <w:top w:val="nil"/>
              <w:left w:val="nil"/>
              <w:bottom w:val="single" w:color="000000" w:sz="12" w:space="0"/>
              <w:right w:val="nil"/>
            </w:tcBorders>
            <w:shd w:val="clear" w:color="auto" w:fill="FFFFFF"/>
            <w:tcMar>
              <w:top w:w="6" w:type="dxa"/>
              <w:left w:w="192" w:type="dxa"/>
              <w:bottom w:w="6" w:type="dxa"/>
              <w:right w:w="192" w:type="dxa"/>
            </w:tcMar>
            <w:vAlign w:val="center"/>
          </w:tcPr>
          <w:p w14:paraId="55971A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碧罗雪</w:t>
            </w:r>
          </w:p>
          <w:p w14:paraId="3717D9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德热132</w:t>
            </w:r>
          </w:p>
        </w:tc>
        <w:tc>
          <w:tcPr>
            <w:tcW w:w="3730" w:type="dxa"/>
            <w:tcBorders>
              <w:top w:val="nil"/>
              <w:left w:val="nil"/>
              <w:bottom w:val="single" w:color="000000" w:sz="12" w:space="0"/>
              <w:right w:val="nil"/>
            </w:tcBorders>
            <w:shd w:val="clear" w:color="auto" w:fill="FFFFFF"/>
            <w:tcMar>
              <w:top w:w="6" w:type="dxa"/>
              <w:left w:w="192" w:type="dxa"/>
              <w:bottom w:w="6" w:type="dxa"/>
              <w:right w:w="192" w:type="dxa"/>
            </w:tcMar>
            <w:vAlign w:val="center"/>
          </w:tcPr>
          <w:p w14:paraId="4461F2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w:t>
            </w:r>
            <w:r>
              <w:rPr>
                <w:rStyle w:val="13"/>
                <w:rFonts w:hint="default" w:ascii="方正仿宋_GB2312" w:hAnsi="方正仿宋_GB2312" w:eastAsia="方正仿宋_GB2312" w:cs="方正仿宋_GB2312"/>
                <w:b w:val="0"/>
                <w:bCs/>
                <w:color w:val="000000"/>
                <w:kern w:val="0"/>
                <w:sz w:val="18"/>
                <w:szCs w:val="18"/>
                <w:lang w:val="en-US" w:eastAsia="zh-CN" w:bidi="ar"/>
              </w:rPr>
              <w:t>杯品评分：持续稳定在84分以上（SCAA标准，精品咖啡门槛为80分）。</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2. 风味特征：具有明显的花香、红茶风味，酸质明亮愉悦。</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3. 化学分析：豆粒密度更高，蔗糖及风味前体物质含量显著高于低海拔同期样品。</w:t>
            </w:r>
          </w:p>
          <w:p w14:paraId="749A4C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w:t>
            </w:r>
            <w:r>
              <w:rPr>
                <w:rStyle w:val="13"/>
                <w:rFonts w:hint="default" w:ascii="方正仿宋_GB2312" w:hAnsi="方正仿宋_GB2312" w:eastAsia="方正仿宋_GB2312" w:cs="方正仿宋_GB2312"/>
                <w:b w:val="0"/>
                <w:bCs/>
                <w:color w:val="000000"/>
                <w:kern w:val="0"/>
                <w:sz w:val="18"/>
                <w:szCs w:val="18"/>
                <w:lang w:val="en-US" w:eastAsia="zh-CN" w:bidi="ar"/>
              </w:rPr>
              <w:t>.收购价格：产地收购价较普通商业豆溢价</w:t>
            </w:r>
            <w:r>
              <w:rPr>
                <w:rStyle w:val="13"/>
                <w:rFonts w:hint="eastAsia" w:ascii="方正仿宋_GB2312" w:hAnsi="方正仿宋_GB2312" w:eastAsia="方正仿宋_GB2312" w:cs="方正仿宋_GB2312"/>
                <w:b w:val="0"/>
                <w:bCs/>
                <w:color w:val="000000"/>
                <w:kern w:val="0"/>
                <w:sz w:val="18"/>
                <w:szCs w:val="18"/>
                <w:lang w:val="en-US" w:eastAsia="zh-CN" w:bidi="ar"/>
              </w:rPr>
              <w:t>80</w:t>
            </w:r>
            <w:r>
              <w:rPr>
                <w:rStyle w:val="13"/>
                <w:rFonts w:hint="default" w:ascii="方正仿宋_GB2312" w:hAnsi="方正仿宋_GB2312" w:eastAsia="方正仿宋_GB2312" w:cs="方正仿宋_GB2312"/>
                <w:b w:val="0"/>
                <w:bCs/>
                <w:color w:val="000000"/>
                <w:kern w:val="0"/>
                <w:sz w:val="18"/>
                <w:szCs w:val="18"/>
                <w:lang w:val="en-US" w:eastAsia="zh-CN" w:bidi="ar"/>
              </w:rPr>
              <w:t xml:space="preserve">% - </w:t>
            </w:r>
            <w:r>
              <w:rPr>
                <w:rStyle w:val="13"/>
                <w:rFonts w:hint="eastAsia" w:ascii="方正仿宋_GB2312" w:hAnsi="方正仿宋_GB2312" w:eastAsia="方正仿宋_GB2312" w:cs="方正仿宋_GB2312"/>
                <w:b w:val="0"/>
                <w:bCs/>
                <w:color w:val="000000"/>
                <w:kern w:val="0"/>
                <w:sz w:val="18"/>
                <w:szCs w:val="18"/>
                <w:lang w:val="en-US" w:eastAsia="zh-CN" w:bidi="ar"/>
              </w:rPr>
              <w:t>15</w:t>
            </w:r>
            <w:r>
              <w:rPr>
                <w:rStyle w:val="13"/>
                <w:rFonts w:hint="default" w:ascii="方正仿宋_GB2312" w:hAnsi="方正仿宋_GB2312" w:eastAsia="方正仿宋_GB2312" w:cs="方正仿宋_GB2312"/>
                <w:b w:val="0"/>
                <w:bCs/>
                <w:color w:val="000000"/>
                <w:kern w:val="0"/>
                <w:sz w:val="18"/>
                <w:szCs w:val="18"/>
                <w:lang w:val="en-US" w:eastAsia="zh-CN" w:bidi="ar"/>
              </w:rPr>
              <w:t>0%。</w:t>
            </w:r>
          </w:p>
          <w:p w14:paraId="2349BB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w:t>
            </w:r>
            <w:r>
              <w:rPr>
                <w:rStyle w:val="13"/>
                <w:rFonts w:hint="default" w:ascii="方正仿宋_GB2312" w:hAnsi="方正仿宋_GB2312" w:eastAsia="方正仿宋_GB2312" w:cs="方正仿宋_GB2312"/>
                <w:b w:val="0"/>
                <w:bCs/>
                <w:color w:val="000000"/>
                <w:kern w:val="0"/>
                <w:sz w:val="18"/>
                <w:szCs w:val="18"/>
                <w:lang w:val="en-US" w:eastAsia="zh-CN" w:bidi="ar"/>
              </w:rPr>
              <w:t>市场认可：产品常被指定用于制作单一产地精品咖啡，品牌效应初显。</w:t>
            </w:r>
          </w:p>
        </w:tc>
        <w:tc>
          <w:tcPr>
            <w:tcW w:w="2112" w:type="dxa"/>
            <w:tcBorders>
              <w:top w:val="nil"/>
              <w:left w:val="nil"/>
              <w:bottom w:val="single" w:color="000000" w:sz="12" w:space="0"/>
              <w:right w:val="nil"/>
            </w:tcBorders>
            <w:shd w:val="clear" w:color="auto" w:fill="FFFFFF"/>
            <w:tcMar>
              <w:top w:w="6" w:type="dxa"/>
              <w:left w:w="192" w:type="dxa"/>
              <w:bottom w:w="6" w:type="dxa"/>
              <w:right w:w="0" w:type="dxa"/>
            </w:tcMar>
            <w:vAlign w:val="center"/>
          </w:tcPr>
          <w:p w14:paraId="01964B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调查</w:t>
            </w:r>
            <w:r>
              <w:rPr>
                <w:rStyle w:val="13"/>
                <w:rFonts w:hint="default" w:ascii="方正仿宋_GB2312" w:hAnsi="方正仿宋_GB2312" w:eastAsia="方正仿宋_GB2312" w:cs="方正仿宋_GB2312"/>
                <w:b w:val="0"/>
                <w:bCs/>
                <w:color w:val="000000"/>
                <w:kern w:val="0"/>
                <w:sz w:val="18"/>
                <w:szCs w:val="18"/>
                <w:lang w:val="en-US" w:eastAsia="zh-CN" w:bidi="ar"/>
              </w:rPr>
              <w:t>品种在1500米左右海拔能正常完成生命周期，生长势良好，证明其生物学可行性。</w:t>
            </w:r>
          </w:p>
          <w:p w14:paraId="74FE1B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“优质优价”市场机制成功运行。高海拔栽培虽有一定管理成本增加，但带来的品质溢价显著覆盖了成本，经济效益显著提升。</w:t>
            </w:r>
          </w:p>
        </w:tc>
      </w:tr>
    </w:tbl>
    <w:p w14:paraId="4E41DAF5">
      <w:pPr>
        <w:spacing w:line="560" w:lineRule="exact"/>
        <w:ind w:firstLine="482"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b/>
          <w:bCs/>
          <w:sz w:val="24"/>
          <w:szCs w:val="32"/>
          <w:lang w:val="en-US" w:eastAsia="zh-CN"/>
        </w:rPr>
        <w:t>坡度验证： </w:t>
      </w:r>
      <w:r>
        <w:rPr>
          <w:rFonts w:hint="default" w:ascii="Times New Roman" w:hAnsi="Times New Roman" w:eastAsia="仿宋_GB2312" w:cs="Arial"/>
          <w:sz w:val="24"/>
          <w:szCs w:val="32"/>
          <w:lang w:val="en-US" w:eastAsia="zh-CN"/>
        </w:rPr>
        <w:t>在坡度25°-35°的山地，通过“点状挖穴”或“窄面梯地”（0.6-1.2m）的种植模式，配合严格的植被覆盖和水土保持措施，试验数据显示水土流失得到有效控制，且管理成本在可接受范围内。这为充分利用山地资源、不与粮食争地提供了技术可行性和生态安全性的支撑。</w:t>
      </w:r>
    </w:p>
    <w:p w14:paraId="1347E5B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w:t>
      </w:r>
      <w:r>
        <w:rPr>
          <w:rFonts w:hint="eastAsia" w:eastAsia="黑体" w:cs="Times New Roman"/>
          <w:bCs/>
          <w:kern w:val="44"/>
          <w:sz w:val="21"/>
          <w:szCs w:val="24"/>
          <w:lang w:val="en-US" w:eastAsia="zh-CN"/>
        </w:rPr>
        <w:t>4 不同坡度试验验证</w:t>
      </w:r>
    </w:p>
    <w:tbl>
      <w:tblPr>
        <w:tblStyle w:val="9"/>
        <w:tblW w:w="0" w:type="auto"/>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5"/>
        <w:gridCol w:w="790"/>
        <w:gridCol w:w="1210"/>
        <w:gridCol w:w="2350"/>
        <w:gridCol w:w="1780"/>
        <w:gridCol w:w="1745"/>
      </w:tblGrid>
      <w:tr w14:paraId="633C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65" w:type="dxa"/>
            <w:tcBorders>
              <w:top w:val="single" w:color="000000" w:sz="12" w:space="0"/>
              <w:left w:val="nil"/>
              <w:bottom w:val="single" w:color="000000" w:sz="4" w:space="0"/>
              <w:right w:val="nil"/>
              <w:tl2br w:val="nil"/>
            </w:tcBorders>
            <w:shd w:val="clear" w:color="auto" w:fill="FFFFFF"/>
            <w:tcMar>
              <w:top w:w="120" w:type="dxa"/>
              <w:left w:w="192" w:type="dxa"/>
              <w:bottom w:w="120" w:type="dxa"/>
              <w:right w:w="192" w:type="dxa"/>
            </w:tcMar>
            <w:vAlign w:val="center"/>
          </w:tcPr>
          <w:p w14:paraId="033791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试验地点</w:t>
            </w:r>
          </w:p>
        </w:tc>
        <w:tc>
          <w:tcPr>
            <w:tcW w:w="790"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1A1047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坡度范围</w:t>
            </w:r>
          </w:p>
        </w:tc>
        <w:tc>
          <w:tcPr>
            <w:tcW w:w="1210"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5B5E11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种植模式</w:t>
            </w:r>
          </w:p>
        </w:tc>
        <w:tc>
          <w:tcPr>
            <w:tcW w:w="2350"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2E07B3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关键技术与配套措施</w:t>
            </w:r>
          </w:p>
        </w:tc>
        <w:tc>
          <w:tcPr>
            <w:tcW w:w="1780"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495C64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验证结果与数据支撑</w:t>
            </w:r>
          </w:p>
        </w:tc>
        <w:tc>
          <w:tcPr>
            <w:tcW w:w="1745"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0A45A6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结论分析</w:t>
            </w:r>
          </w:p>
        </w:tc>
      </w:tr>
      <w:tr w14:paraId="18E1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0" w:hRule="atLeast"/>
        </w:trPr>
        <w:tc>
          <w:tcPr>
            <w:tcW w:w="965"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02A57D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临沧市镇康县</w:t>
            </w:r>
            <w:r>
              <w:rPr>
                <w:rStyle w:val="13"/>
                <w:rFonts w:hint="eastAsia" w:ascii="方正仿宋_GB2312" w:hAnsi="方正仿宋_GB2312" w:eastAsia="方正仿宋_GB2312" w:cs="方正仿宋_GB2312"/>
                <w:b w:val="0"/>
                <w:bCs/>
                <w:color w:val="000000"/>
                <w:kern w:val="0"/>
                <w:sz w:val="18"/>
                <w:szCs w:val="18"/>
                <w:lang w:val="en-US" w:eastAsia="zh-CN" w:bidi="ar"/>
              </w:rPr>
              <w:t>南伞镇户育村</w:t>
            </w:r>
          </w:p>
        </w:tc>
        <w:tc>
          <w:tcPr>
            <w:tcW w:w="790"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2BBFE6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 xml:space="preserve">28° </w:t>
            </w:r>
            <w:r>
              <w:rPr>
                <w:rStyle w:val="13"/>
                <w:rFonts w:hint="eastAsia" w:ascii="方正仿宋_GB2312" w:hAnsi="方正仿宋_GB2312" w:eastAsia="方正仿宋_GB2312" w:cs="方正仿宋_GB2312"/>
                <w:b w:val="0"/>
                <w:bCs/>
                <w:color w:val="000000"/>
                <w:kern w:val="0"/>
                <w:sz w:val="18"/>
                <w:szCs w:val="18"/>
                <w:lang w:val="en-US" w:eastAsia="zh-CN" w:bidi="ar"/>
              </w:rPr>
              <w:t>~</w:t>
            </w:r>
          </w:p>
          <w:p w14:paraId="345342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3</w:t>
            </w:r>
            <w:r>
              <w:rPr>
                <w:rStyle w:val="13"/>
                <w:rFonts w:hint="eastAsia" w:ascii="方正仿宋_GB2312" w:hAnsi="方正仿宋_GB2312" w:eastAsia="方正仿宋_GB2312" w:cs="方正仿宋_GB2312"/>
                <w:b w:val="0"/>
                <w:bCs/>
                <w:color w:val="000000"/>
                <w:kern w:val="0"/>
                <w:sz w:val="18"/>
                <w:szCs w:val="18"/>
                <w:lang w:val="en-US" w:eastAsia="zh-CN" w:bidi="ar"/>
              </w:rPr>
              <w:t>5</w:t>
            </w: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1210"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23C63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点状挖穴</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（非全面垦殖）</w:t>
            </w:r>
          </w:p>
        </w:tc>
        <w:tc>
          <w:tcPr>
            <w:tcW w:w="2350"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37204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 等高线“品”字形定点：避免形成径流沟。</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2. 穴状整地：仅开挖种植穴（40cm×50cm×60cm），最大限度保留原生植被。</w:t>
            </w:r>
          </w:p>
        </w:tc>
        <w:tc>
          <w:tcPr>
            <w:tcW w:w="1780"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731192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1. </w:t>
            </w:r>
            <w:r>
              <w:rPr>
                <w:rStyle w:val="13"/>
                <w:rFonts w:hint="eastAsia" w:ascii="方正仿宋_GB2312" w:hAnsi="方正仿宋_GB2312" w:eastAsia="方正仿宋_GB2312" w:cs="方正仿宋_GB2312"/>
                <w:b w:val="0"/>
                <w:bCs/>
                <w:color w:val="000000"/>
                <w:kern w:val="0"/>
                <w:sz w:val="18"/>
                <w:szCs w:val="18"/>
                <w:lang w:val="en-US" w:eastAsia="zh-CN" w:bidi="ar"/>
              </w:rPr>
              <w:t>没有造成山体滑坡</w:t>
            </w:r>
            <w:r>
              <w:rPr>
                <w:rStyle w:val="13"/>
                <w:rFonts w:hint="default" w:ascii="方正仿宋_GB2312" w:hAnsi="方正仿宋_GB2312" w:eastAsia="方正仿宋_GB2312" w:cs="方正仿宋_GB2312"/>
                <w:b w:val="0"/>
                <w:bCs/>
                <w:color w:val="000000"/>
                <w:kern w:val="0"/>
                <w:sz w:val="18"/>
                <w:szCs w:val="18"/>
                <w:lang w:val="en-US" w:eastAsia="zh-CN" w:bidi="ar"/>
              </w:rPr>
              <w:t>，</w:t>
            </w:r>
            <w:r>
              <w:rPr>
                <w:rStyle w:val="13"/>
                <w:rFonts w:hint="eastAsia" w:ascii="方正仿宋_GB2312" w:hAnsi="方正仿宋_GB2312" w:eastAsia="方正仿宋_GB2312" w:cs="方正仿宋_GB2312"/>
                <w:b w:val="0"/>
                <w:bCs/>
                <w:color w:val="000000"/>
                <w:kern w:val="0"/>
                <w:sz w:val="18"/>
                <w:szCs w:val="18"/>
                <w:lang w:val="en-US" w:eastAsia="zh-CN" w:bidi="ar"/>
              </w:rPr>
              <w:t>没有造成</w:t>
            </w:r>
            <w:r>
              <w:rPr>
                <w:rStyle w:val="13"/>
                <w:rFonts w:hint="default" w:ascii="方正仿宋_GB2312" w:hAnsi="方正仿宋_GB2312" w:eastAsia="方正仿宋_GB2312" w:cs="方正仿宋_GB2312"/>
                <w:b w:val="0"/>
                <w:bCs/>
                <w:color w:val="000000"/>
                <w:kern w:val="0"/>
                <w:sz w:val="18"/>
                <w:szCs w:val="18"/>
                <w:lang w:val="en-US" w:eastAsia="zh-CN" w:bidi="ar"/>
              </w:rPr>
              <w:t>侵蚀。</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2. </w:t>
            </w:r>
            <w:r>
              <w:rPr>
                <w:rStyle w:val="13"/>
                <w:rFonts w:hint="eastAsia" w:ascii="方正仿宋_GB2312" w:hAnsi="方正仿宋_GB2312" w:eastAsia="方正仿宋_GB2312" w:cs="方正仿宋_GB2312"/>
                <w:b w:val="0"/>
                <w:bCs/>
                <w:color w:val="000000"/>
                <w:kern w:val="0"/>
                <w:sz w:val="18"/>
                <w:szCs w:val="18"/>
                <w:lang w:val="en-US" w:eastAsia="zh-CN" w:bidi="ar"/>
              </w:rPr>
              <w:t>咖啡正常生长、结果</w:t>
            </w: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1745" w:type="dxa"/>
            <w:tcBorders>
              <w:top w:val="single" w:color="000000" w:sz="4" w:space="0"/>
              <w:left w:val="nil"/>
              <w:bottom w:val="nil"/>
              <w:right w:val="nil"/>
            </w:tcBorders>
            <w:shd w:val="clear" w:color="auto" w:fill="FFFFFF"/>
            <w:tcMar>
              <w:top w:w="120" w:type="dxa"/>
              <w:left w:w="192" w:type="dxa"/>
              <w:bottom w:w="120" w:type="dxa"/>
              <w:right w:w="0" w:type="dxa"/>
            </w:tcMar>
            <w:vAlign w:val="center"/>
          </w:tcPr>
          <w:p w14:paraId="08847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“点状挖穴”模式最大程度减少了地表扰动，能有效固持土壤、涵养水源，生态安全性高。</w:t>
            </w:r>
          </w:p>
        </w:tc>
      </w:tr>
      <w:tr w14:paraId="2E23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65" w:type="dxa"/>
            <w:tcBorders>
              <w:top w:val="nil"/>
              <w:left w:val="nil"/>
              <w:bottom w:val="nil"/>
              <w:right w:val="nil"/>
            </w:tcBorders>
            <w:shd w:val="clear" w:color="auto" w:fill="FFFFFF"/>
            <w:tcMar>
              <w:top w:w="120" w:type="dxa"/>
              <w:left w:w="192" w:type="dxa"/>
              <w:bottom w:w="120" w:type="dxa"/>
              <w:right w:w="192" w:type="dxa"/>
            </w:tcMar>
            <w:vAlign w:val="center"/>
          </w:tcPr>
          <w:p w14:paraId="3C19BF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保山隆阳区南亢村</w:t>
            </w:r>
          </w:p>
        </w:tc>
        <w:tc>
          <w:tcPr>
            <w:tcW w:w="790" w:type="dxa"/>
            <w:tcBorders>
              <w:top w:val="nil"/>
              <w:left w:val="nil"/>
              <w:bottom w:val="nil"/>
              <w:right w:val="nil"/>
            </w:tcBorders>
            <w:shd w:val="clear" w:color="auto" w:fill="FFFFFF"/>
            <w:tcMar>
              <w:top w:w="120" w:type="dxa"/>
              <w:left w:w="192" w:type="dxa"/>
              <w:bottom w:w="120" w:type="dxa"/>
              <w:right w:w="192" w:type="dxa"/>
            </w:tcMar>
            <w:vAlign w:val="center"/>
          </w:tcPr>
          <w:p w14:paraId="158705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 xml:space="preserve">30° </w:t>
            </w:r>
            <w:r>
              <w:rPr>
                <w:rStyle w:val="13"/>
                <w:rFonts w:hint="eastAsia" w:ascii="方正仿宋_GB2312" w:hAnsi="方正仿宋_GB2312" w:eastAsia="方正仿宋_GB2312" w:cs="方正仿宋_GB2312"/>
                <w:b w:val="0"/>
                <w:bCs/>
                <w:color w:val="000000"/>
                <w:kern w:val="0"/>
                <w:sz w:val="18"/>
                <w:szCs w:val="18"/>
                <w:lang w:val="en-US" w:eastAsia="zh-CN" w:bidi="ar"/>
              </w:rPr>
              <w:t>~</w:t>
            </w:r>
          </w:p>
          <w:p w14:paraId="62D8CA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3</w:t>
            </w:r>
            <w:r>
              <w:rPr>
                <w:rStyle w:val="13"/>
                <w:rFonts w:hint="eastAsia" w:ascii="方正仿宋_GB2312" w:hAnsi="方正仿宋_GB2312" w:eastAsia="方正仿宋_GB2312" w:cs="方正仿宋_GB2312"/>
                <w:b w:val="0"/>
                <w:bCs/>
                <w:color w:val="000000"/>
                <w:kern w:val="0"/>
                <w:sz w:val="18"/>
                <w:szCs w:val="18"/>
                <w:lang w:val="en-US" w:eastAsia="zh-CN" w:bidi="ar"/>
              </w:rPr>
              <w:t>3</w:t>
            </w: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1210" w:type="dxa"/>
            <w:tcBorders>
              <w:top w:val="nil"/>
              <w:left w:val="nil"/>
              <w:bottom w:val="nil"/>
              <w:right w:val="nil"/>
            </w:tcBorders>
            <w:shd w:val="clear" w:color="auto" w:fill="FFFFFF"/>
            <w:tcMar>
              <w:top w:w="120" w:type="dxa"/>
              <w:left w:w="192" w:type="dxa"/>
              <w:bottom w:w="120" w:type="dxa"/>
              <w:right w:w="192" w:type="dxa"/>
            </w:tcMar>
            <w:vAlign w:val="center"/>
          </w:tcPr>
          <w:p w14:paraId="68E0D6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窄面梯地</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（梯面宽0.8-1.0米）</w:t>
            </w:r>
          </w:p>
        </w:tc>
        <w:tc>
          <w:tcPr>
            <w:tcW w:w="2350" w:type="dxa"/>
            <w:tcBorders>
              <w:top w:val="nil"/>
              <w:left w:val="nil"/>
              <w:bottom w:val="nil"/>
              <w:right w:val="nil"/>
            </w:tcBorders>
            <w:shd w:val="clear" w:color="auto" w:fill="FFFFFF"/>
            <w:tcMar>
              <w:top w:w="120" w:type="dxa"/>
              <w:left w:w="192" w:type="dxa"/>
              <w:bottom w:w="120" w:type="dxa"/>
              <w:right w:w="192" w:type="dxa"/>
            </w:tcMar>
            <w:vAlign w:val="center"/>
          </w:tcPr>
          <w:p w14:paraId="06D8A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 内倾式梯面：梯面内倾5°，并开设内侧排水沟。</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p>
        </w:tc>
        <w:tc>
          <w:tcPr>
            <w:tcW w:w="1780" w:type="dxa"/>
            <w:tcBorders>
              <w:top w:val="nil"/>
              <w:left w:val="nil"/>
              <w:bottom w:val="nil"/>
              <w:right w:val="nil"/>
            </w:tcBorders>
            <w:shd w:val="clear" w:color="auto" w:fill="FFFFFF"/>
            <w:tcMar>
              <w:top w:w="120" w:type="dxa"/>
              <w:left w:w="192" w:type="dxa"/>
              <w:bottom w:w="120" w:type="dxa"/>
              <w:right w:w="192" w:type="dxa"/>
            </w:tcMar>
            <w:vAlign w:val="center"/>
          </w:tcPr>
          <w:p w14:paraId="3C4DE1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 经过3个雨季考验，梯坎完好率超过92%。</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2. 梯面虽窄，但可</w:t>
            </w:r>
            <w:r>
              <w:rPr>
                <w:rStyle w:val="13"/>
                <w:rFonts w:hint="eastAsia" w:ascii="方正仿宋_GB2312" w:hAnsi="方正仿宋_GB2312" w:eastAsia="方正仿宋_GB2312" w:cs="方正仿宋_GB2312"/>
                <w:b w:val="0"/>
                <w:bCs/>
                <w:color w:val="000000"/>
                <w:kern w:val="0"/>
                <w:sz w:val="18"/>
                <w:szCs w:val="18"/>
                <w:lang w:val="en-US" w:eastAsia="zh-CN" w:bidi="ar"/>
              </w:rPr>
              <w:t>进行耕作，采收等农事操作</w:t>
            </w: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1745" w:type="dxa"/>
            <w:tcBorders>
              <w:top w:val="nil"/>
              <w:left w:val="nil"/>
              <w:bottom w:val="nil"/>
              <w:right w:val="nil"/>
            </w:tcBorders>
            <w:shd w:val="clear" w:color="auto" w:fill="FFFFFF"/>
            <w:tcMar>
              <w:top w:w="120" w:type="dxa"/>
              <w:left w:w="192" w:type="dxa"/>
              <w:bottom w:w="120" w:type="dxa"/>
              <w:right w:w="0" w:type="dxa"/>
            </w:tcMar>
            <w:vAlign w:val="center"/>
          </w:tcPr>
          <w:p w14:paraId="1F7E82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窄面梯地在陡坡上实现了耕作面的相对平整化，虽工程量大，但一次建成可长期使用，为后续管理提供了基础。</w:t>
            </w:r>
          </w:p>
        </w:tc>
      </w:tr>
      <w:tr w14:paraId="4F0A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65"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5C248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保山市隆阳区芒宽乡</w:t>
            </w:r>
          </w:p>
        </w:tc>
        <w:tc>
          <w:tcPr>
            <w:tcW w:w="790"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0CA482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 xml:space="preserve">25° </w:t>
            </w:r>
            <w:r>
              <w:rPr>
                <w:rStyle w:val="13"/>
                <w:rFonts w:hint="eastAsia" w:ascii="方正仿宋_GB2312" w:hAnsi="方正仿宋_GB2312" w:eastAsia="方正仿宋_GB2312" w:cs="方正仿宋_GB2312"/>
                <w:b w:val="0"/>
                <w:bCs/>
                <w:color w:val="000000"/>
                <w:kern w:val="0"/>
                <w:sz w:val="18"/>
                <w:szCs w:val="18"/>
                <w:lang w:val="en-US" w:eastAsia="zh-CN" w:bidi="ar"/>
              </w:rPr>
              <w:t>~</w:t>
            </w:r>
          </w:p>
          <w:p w14:paraId="1299C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30°</w:t>
            </w:r>
          </w:p>
        </w:tc>
        <w:tc>
          <w:tcPr>
            <w:tcW w:w="1210"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4FB62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点状挖穴与窄面梯地结合</w:t>
            </w:r>
          </w:p>
        </w:tc>
        <w:tc>
          <w:tcPr>
            <w:tcW w:w="2350"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654A6E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w:t>
            </w:r>
            <w:r>
              <w:rPr>
                <w:rStyle w:val="13"/>
                <w:rFonts w:hint="default" w:ascii="方正仿宋_GB2312" w:hAnsi="方正仿宋_GB2312" w:eastAsia="方正仿宋_GB2312" w:cs="方正仿宋_GB2312"/>
                <w:b w:val="0"/>
                <w:bCs/>
                <w:color w:val="000000"/>
                <w:kern w:val="0"/>
                <w:sz w:val="18"/>
                <w:szCs w:val="18"/>
                <w:lang w:val="en-US" w:eastAsia="zh-CN" w:bidi="ar"/>
              </w:rPr>
              <w:t>内倾式梯面：梯面内倾5°。</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2. 穴状整地：仅开挖种植穴（40cm×50cm×60cm），最大限度保留原生植被。</w:t>
            </w:r>
          </w:p>
        </w:tc>
        <w:tc>
          <w:tcPr>
            <w:tcW w:w="1780"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7094F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w:t>
            </w:r>
            <w:r>
              <w:rPr>
                <w:rStyle w:val="13"/>
                <w:rFonts w:hint="default" w:ascii="方正仿宋_GB2312" w:hAnsi="方正仿宋_GB2312" w:eastAsia="方正仿宋_GB2312" w:cs="方正仿宋_GB2312"/>
                <w:b w:val="0"/>
                <w:bCs/>
                <w:color w:val="000000"/>
                <w:kern w:val="0"/>
                <w:sz w:val="18"/>
                <w:szCs w:val="18"/>
                <w:lang w:val="en-US" w:eastAsia="zh-CN" w:bidi="ar"/>
              </w:rPr>
              <w:t>. </w:t>
            </w:r>
            <w:r>
              <w:rPr>
                <w:rStyle w:val="13"/>
                <w:rFonts w:hint="eastAsia" w:ascii="方正仿宋_GB2312" w:hAnsi="方正仿宋_GB2312" w:eastAsia="方正仿宋_GB2312" w:cs="方正仿宋_GB2312"/>
                <w:b w:val="0"/>
                <w:bCs/>
                <w:color w:val="000000"/>
                <w:kern w:val="0"/>
                <w:sz w:val="18"/>
                <w:szCs w:val="18"/>
                <w:lang w:val="en-US" w:eastAsia="zh-CN" w:bidi="ar"/>
              </w:rPr>
              <w:t>咖啡正常生长、结果</w:t>
            </w:r>
            <w:r>
              <w:rPr>
                <w:rStyle w:val="13"/>
                <w:rFonts w:hint="default" w:ascii="方正仿宋_GB2312" w:hAnsi="方正仿宋_GB2312" w:eastAsia="方正仿宋_GB2312" w:cs="方正仿宋_GB2312"/>
                <w:b w:val="0"/>
                <w:bCs/>
                <w:color w:val="000000"/>
                <w:kern w:val="0"/>
                <w:sz w:val="18"/>
                <w:szCs w:val="18"/>
                <w:lang w:val="en-US" w:eastAsia="zh-CN" w:bidi="ar"/>
              </w:rPr>
              <w:t>。</w:t>
            </w:r>
          </w:p>
          <w:p w14:paraId="66536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w:t>
            </w:r>
            <w:r>
              <w:rPr>
                <w:rStyle w:val="13"/>
                <w:rFonts w:hint="default" w:ascii="方正仿宋_GB2312" w:hAnsi="方正仿宋_GB2312" w:eastAsia="方正仿宋_GB2312" w:cs="方正仿宋_GB2312"/>
                <w:b w:val="0"/>
                <w:bCs/>
                <w:color w:val="000000"/>
                <w:kern w:val="0"/>
                <w:sz w:val="18"/>
                <w:szCs w:val="18"/>
                <w:lang w:val="en-US" w:eastAsia="zh-CN" w:bidi="ar"/>
              </w:rPr>
              <w:t>经过3个雨季考验，梯坎完好率超过92%。</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eastAsia" w:ascii="方正仿宋_GB2312" w:hAnsi="方正仿宋_GB2312" w:eastAsia="方正仿宋_GB2312" w:cs="方正仿宋_GB2312"/>
                <w:b w:val="0"/>
                <w:bCs/>
                <w:color w:val="000000"/>
                <w:kern w:val="0"/>
                <w:sz w:val="18"/>
                <w:szCs w:val="18"/>
                <w:lang w:val="en-US" w:eastAsia="zh-CN" w:bidi="ar"/>
              </w:rPr>
              <w:t>3</w:t>
            </w:r>
            <w:r>
              <w:rPr>
                <w:rStyle w:val="13"/>
                <w:rFonts w:hint="default" w:ascii="方正仿宋_GB2312" w:hAnsi="方正仿宋_GB2312" w:eastAsia="方正仿宋_GB2312" w:cs="方正仿宋_GB2312"/>
                <w:b w:val="0"/>
                <w:bCs/>
                <w:color w:val="000000"/>
                <w:kern w:val="0"/>
                <w:sz w:val="18"/>
                <w:szCs w:val="18"/>
                <w:lang w:val="en-US" w:eastAsia="zh-CN" w:bidi="ar"/>
              </w:rPr>
              <w:t>. 梯面虽窄，但可</w:t>
            </w:r>
            <w:r>
              <w:rPr>
                <w:rStyle w:val="13"/>
                <w:rFonts w:hint="eastAsia" w:ascii="方正仿宋_GB2312" w:hAnsi="方正仿宋_GB2312" w:eastAsia="方正仿宋_GB2312" w:cs="方正仿宋_GB2312"/>
                <w:b w:val="0"/>
                <w:bCs/>
                <w:color w:val="000000"/>
                <w:kern w:val="0"/>
                <w:sz w:val="18"/>
                <w:szCs w:val="18"/>
                <w:lang w:val="en-US" w:eastAsia="zh-CN" w:bidi="ar"/>
              </w:rPr>
              <w:t>进行耕作，采收等农事操作</w:t>
            </w: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1745" w:type="dxa"/>
            <w:tcBorders>
              <w:top w:val="nil"/>
              <w:left w:val="nil"/>
              <w:bottom w:val="single" w:color="000000" w:sz="12" w:space="0"/>
              <w:right w:val="nil"/>
            </w:tcBorders>
            <w:shd w:val="clear" w:color="auto" w:fill="FFFFFF"/>
            <w:tcMar>
              <w:top w:w="120" w:type="dxa"/>
              <w:left w:w="192" w:type="dxa"/>
              <w:bottom w:w="120" w:type="dxa"/>
              <w:right w:w="0" w:type="dxa"/>
            </w:tcMar>
            <w:vAlign w:val="center"/>
          </w:tcPr>
          <w:p w14:paraId="263A33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“点状挖穴”模式最大程度减少了地表扰动，能有效固持土壤、涵养水源，生态安全性高。</w:t>
            </w:r>
          </w:p>
          <w:p w14:paraId="03BA7E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“点状挖穴”模式最大程度减少了地表扰动，能有效固持土壤、涵养水源，生态安全性高。</w:t>
            </w:r>
          </w:p>
        </w:tc>
      </w:tr>
    </w:tbl>
    <w:p w14:paraId="4B98C992">
      <w:pPr>
        <w:spacing w:line="560" w:lineRule="exact"/>
        <w:ind w:firstLine="482"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b/>
          <w:bCs/>
          <w:sz w:val="24"/>
          <w:szCs w:val="32"/>
          <w:lang w:val="en-US" w:eastAsia="zh-CN"/>
        </w:rPr>
        <w:t>pH值验证： </w:t>
      </w:r>
      <w:r>
        <w:rPr>
          <w:rFonts w:hint="default" w:ascii="Times New Roman" w:hAnsi="Times New Roman" w:eastAsia="仿宋_GB2312" w:cs="Arial"/>
          <w:sz w:val="24"/>
          <w:szCs w:val="32"/>
          <w:lang w:val="en-US" w:eastAsia="zh-CN"/>
        </w:rPr>
        <w:t>对云南</w:t>
      </w:r>
      <w:r>
        <w:rPr>
          <w:rFonts w:hint="eastAsia" w:eastAsia="仿宋_GB2312" w:cs="Arial"/>
          <w:sz w:val="24"/>
          <w:szCs w:val="32"/>
          <w:lang w:val="en-US" w:eastAsia="zh-CN"/>
        </w:rPr>
        <w:t>咖啡园土</w:t>
      </w:r>
      <w:r>
        <w:rPr>
          <w:rFonts w:hint="default" w:ascii="Times New Roman" w:hAnsi="Times New Roman" w:eastAsia="仿宋_GB2312" w:cs="Arial"/>
          <w:sz w:val="24"/>
          <w:szCs w:val="32"/>
          <w:lang w:val="en-US" w:eastAsia="zh-CN"/>
        </w:rPr>
        <w:t>壤的监测发现，</w:t>
      </w:r>
      <w:r>
        <w:rPr>
          <w:rFonts w:hint="eastAsia" w:eastAsia="仿宋_GB2312" w:cs="Arial"/>
          <w:sz w:val="24"/>
          <w:szCs w:val="32"/>
          <w:lang w:val="en-US" w:eastAsia="zh-CN"/>
        </w:rPr>
        <w:t>80%的土壤样品</w:t>
      </w:r>
      <w:r>
        <w:rPr>
          <w:rFonts w:hint="default" w:ascii="Times New Roman" w:hAnsi="Times New Roman" w:eastAsia="仿宋_GB2312" w:cs="Arial"/>
          <w:sz w:val="24"/>
          <w:szCs w:val="32"/>
          <w:lang w:val="en-US" w:eastAsia="zh-CN"/>
        </w:rPr>
        <w:t>许</w:t>
      </w:r>
      <w:r>
        <w:rPr>
          <w:rFonts w:hint="eastAsia" w:eastAsia="仿宋_GB2312" w:cs="Arial"/>
          <w:sz w:val="24"/>
          <w:szCs w:val="32"/>
          <w:lang w:val="en-US" w:eastAsia="zh-CN"/>
        </w:rPr>
        <w:t>pH值在4.5-5.5之间。许多</w:t>
      </w:r>
      <w:r>
        <w:rPr>
          <w:rFonts w:hint="default" w:ascii="Times New Roman" w:hAnsi="Times New Roman" w:eastAsia="仿宋_GB2312" w:cs="Arial"/>
          <w:sz w:val="24"/>
          <w:szCs w:val="32"/>
          <w:lang w:val="en-US" w:eastAsia="zh-CN"/>
        </w:rPr>
        <w:t>高产优质咖啡园的土壤pH值在4.5-5.5之间。</w:t>
      </w:r>
      <w:r>
        <w:rPr>
          <w:rFonts w:hint="eastAsia" w:ascii="Times New Roman" w:hAnsi="Times New Roman" w:eastAsia="仿宋_GB2312" w:cs="Arial"/>
          <w:sz w:val="24"/>
          <w:szCs w:val="32"/>
          <w:lang w:val="en-US" w:eastAsia="zh-CN"/>
        </w:rPr>
        <w:t>调查</w:t>
      </w:r>
      <w:r>
        <w:rPr>
          <w:rFonts w:hint="default" w:ascii="Times New Roman" w:hAnsi="Times New Roman" w:eastAsia="仿宋_GB2312" w:cs="Arial"/>
          <w:sz w:val="24"/>
          <w:szCs w:val="32"/>
          <w:lang w:val="en-US" w:eastAsia="zh-CN"/>
        </w:rPr>
        <w:t>研究表明，咖啡在</w:t>
      </w:r>
      <w:r>
        <w:rPr>
          <w:rFonts w:hint="eastAsia" w:ascii="Times New Roman" w:hAnsi="Times New Roman" w:eastAsia="仿宋_GB2312" w:cs="Arial"/>
          <w:sz w:val="24"/>
          <w:szCs w:val="32"/>
          <w:lang w:val="en-US" w:eastAsia="zh-CN"/>
        </w:rPr>
        <w:t>此范围</w:t>
      </w:r>
      <w:r>
        <w:rPr>
          <w:rFonts w:hint="default" w:ascii="Times New Roman" w:hAnsi="Times New Roman" w:eastAsia="仿宋_GB2312" w:cs="Arial"/>
          <w:sz w:val="24"/>
          <w:szCs w:val="32"/>
          <w:lang w:val="en-US" w:eastAsia="zh-CN"/>
        </w:rPr>
        <w:t>酸性土壤中生长良好</w:t>
      </w:r>
      <w:r>
        <w:rPr>
          <w:rFonts w:hint="eastAsia" w:ascii="Times New Roman" w:hAnsi="Times New Roman" w:eastAsia="仿宋_GB2312" w:cs="Arial"/>
          <w:sz w:val="24"/>
          <w:szCs w:val="32"/>
          <w:lang w:val="en-US" w:eastAsia="zh-CN"/>
        </w:rPr>
        <w:t>，产量、品质均不受影响</w:t>
      </w:r>
      <w:r>
        <w:rPr>
          <w:rFonts w:hint="default" w:ascii="Times New Roman" w:hAnsi="Times New Roman" w:eastAsia="仿宋_GB2312" w:cs="Arial"/>
          <w:sz w:val="24"/>
          <w:szCs w:val="32"/>
          <w:lang w:val="en-US" w:eastAsia="zh-CN"/>
        </w:rPr>
        <w:t>。</w:t>
      </w:r>
    </w:p>
    <w:p w14:paraId="7CBB97D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表5云南咖啡主栽区土壤样品</w:t>
      </w:r>
      <w:r>
        <w:rPr>
          <w:rFonts w:hint="eastAsia" w:eastAsia="黑体" w:cs="Times New Roman"/>
          <w:bCs/>
          <w:kern w:val="44"/>
          <w:sz w:val="21"/>
          <w:szCs w:val="24"/>
          <w:lang w:val="en-US" w:eastAsia="zh-CN"/>
        </w:rPr>
        <w:t>采集情况</w:t>
      </w:r>
      <w:r>
        <w:rPr>
          <w:rFonts w:hint="eastAsia" w:ascii="Times New Roman" w:hAnsi="Times New Roman" w:eastAsia="黑体" w:cs="Times New Roman"/>
          <w:bCs/>
          <w:kern w:val="44"/>
          <w:sz w:val="21"/>
          <w:szCs w:val="24"/>
          <w:lang w:val="en-US" w:eastAsia="zh-CN"/>
        </w:rPr>
        <w:t>（2023.12-2025.02）</w:t>
      </w:r>
    </w:p>
    <w:tbl>
      <w:tblPr>
        <w:tblStyle w:val="9"/>
        <w:tblW w:w="8618" w:type="dxa"/>
        <w:jc w:val="center"/>
        <w:shd w:val="clear" w:color="auto" w:fill="FFFFFF" w:themeFill="background1"/>
        <w:tblLayout w:type="autofit"/>
        <w:tblCellMar>
          <w:top w:w="0" w:type="dxa"/>
          <w:left w:w="0" w:type="dxa"/>
          <w:bottom w:w="0" w:type="dxa"/>
          <w:right w:w="0" w:type="dxa"/>
        </w:tblCellMar>
      </w:tblPr>
      <w:tblGrid>
        <w:gridCol w:w="1919"/>
        <w:gridCol w:w="1680"/>
        <w:gridCol w:w="1839"/>
        <w:gridCol w:w="1701"/>
        <w:gridCol w:w="1479"/>
      </w:tblGrid>
      <w:tr w14:paraId="4582DA0C">
        <w:tblPrEx>
          <w:shd w:val="clear" w:color="auto" w:fill="FFFFFF" w:themeFill="background1"/>
          <w:tblCellMar>
            <w:top w:w="0" w:type="dxa"/>
            <w:left w:w="0" w:type="dxa"/>
            <w:bottom w:w="0" w:type="dxa"/>
            <w:right w:w="0" w:type="dxa"/>
          </w:tblCellMar>
        </w:tblPrEx>
        <w:trPr>
          <w:trHeight w:val="340" w:hRule="atLeast"/>
          <w:jc w:val="center"/>
        </w:trPr>
        <w:tc>
          <w:tcPr>
            <w:tcW w:w="1919" w:type="dxa"/>
            <w:vMerge w:val="restart"/>
            <w:tcBorders>
              <w:top w:val="single" w:color="000000" w:sz="12" w:space="0"/>
              <w:left w:val="nil"/>
              <w:bottom w:val="single" w:color="000000" w:sz="4" w:space="0"/>
              <w:right w:val="nil"/>
              <w:tl2br w:val="nil"/>
            </w:tcBorders>
            <w:shd w:val="clear" w:color="auto" w:fill="FFFFFF"/>
            <w:tcMar>
              <w:top w:w="72" w:type="dxa"/>
              <w:left w:w="144" w:type="dxa"/>
              <w:bottom w:w="72" w:type="dxa"/>
              <w:right w:w="144" w:type="dxa"/>
            </w:tcMar>
            <w:vAlign w:val="center"/>
          </w:tcPr>
          <w:p w14:paraId="45DA63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主产区</w:t>
            </w:r>
          </w:p>
        </w:tc>
        <w:tc>
          <w:tcPr>
            <w:tcW w:w="5220" w:type="dxa"/>
            <w:gridSpan w:val="3"/>
            <w:tcBorders>
              <w:top w:val="single" w:color="000000" w:sz="12" w:space="0"/>
              <w:left w:val="nil"/>
              <w:bottom w:val="single" w:color="000000" w:sz="4" w:space="0"/>
              <w:right w:val="nil"/>
            </w:tcBorders>
            <w:shd w:val="clear" w:color="auto" w:fill="FFFFFF"/>
            <w:tcMar>
              <w:top w:w="72" w:type="dxa"/>
              <w:left w:w="144" w:type="dxa"/>
              <w:bottom w:w="72" w:type="dxa"/>
              <w:right w:w="144" w:type="dxa"/>
            </w:tcMar>
            <w:vAlign w:val="center"/>
          </w:tcPr>
          <w:p w14:paraId="662CFB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海拔</w:t>
            </w:r>
          </w:p>
        </w:tc>
        <w:tc>
          <w:tcPr>
            <w:tcW w:w="1479" w:type="dxa"/>
            <w:vMerge w:val="restart"/>
            <w:tcBorders>
              <w:top w:val="single" w:color="000000" w:sz="12" w:space="0"/>
              <w:left w:val="nil"/>
              <w:bottom w:val="single" w:color="000000" w:sz="4" w:space="0"/>
              <w:right w:val="nil"/>
            </w:tcBorders>
            <w:shd w:val="clear" w:color="auto" w:fill="FFFFFF"/>
            <w:tcMar>
              <w:top w:w="72" w:type="dxa"/>
              <w:left w:w="144" w:type="dxa"/>
              <w:bottom w:w="72" w:type="dxa"/>
              <w:right w:w="144" w:type="dxa"/>
            </w:tcMar>
            <w:vAlign w:val="center"/>
          </w:tcPr>
          <w:p w14:paraId="66B71A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样品</w:t>
            </w:r>
          </w:p>
          <w:p w14:paraId="19895B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数量</w:t>
            </w:r>
          </w:p>
        </w:tc>
      </w:tr>
      <w:tr w14:paraId="618CDCB2">
        <w:tblPrEx>
          <w:shd w:val="clear" w:color="auto" w:fill="FFFFFF" w:themeFill="background1"/>
          <w:tblCellMar>
            <w:top w:w="0" w:type="dxa"/>
            <w:left w:w="0" w:type="dxa"/>
            <w:bottom w:w="0" w:type="dxa"/>
            <w:right w:w="0" w:type="dxa"/>
          </w:tblCellMar>
        </w:tblPrEx>
        <w:trPr>
          <w:trHeight w:val="340" w:hRule="atLeast"/>
          <w:jc w:val="center"/>
        </w:trPr>
        <w:tc>
          <w:tcPr>
            <w:tcW w:w="0" w:type="auto"/>
            <w:vMerge w:val="continue"/>
            <w:tcBorders>
              <w:top w:val="single" w:color="000000" w:sz="4" w:space="0"/>
              <w:left w:val="nil"/>
              <w:bottom w:val="single" w:color="auto" w:sz="4" w:space="0"/>
              <w:right w:val="nil"/>
            </w:tcBorders>
            <w:shd w:val="clear" w:color="auto" w:fill="FFFFFF"/>
            <w:vAlign w:val="center"/>
          </w:tcPr>
          <w:p w14:paraId="47F3E1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1680" w:type="dxa"/>
            <w:tcBorders>
              <w:top w:val="single" w:color="000000" w:sz="4" w:space="0"/>
              <w:left w:val="nil"/>
              <w:bottom w:val="single" w:color="auto" w:sz="4" w:space="0"/>
              <w:right w:val="nil"/>
            </w:tcBorders>
            <w:shd w:val="clear" w:color="auto" w:fill="FFFFFF"/>
            <w:tcMar>
              <w:top w:w="72" w:type="dxa"/>
              <w:left w:w="144" w:type="dxa"/>
              <w:bottom w:w="72" w:type="dxa"/>
              <w:right w:w="144" w:type="dxa"/>
            </w:tcMar>
            <w:vAlign w:val="center"/>
          </w:tcPr>
          <w:p w14:paraId="72189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500-1000</w:t>
            </w:r>
          </w:p>
        </w:tc>
        <w:tc>
          <w:tcPr>
            <w:tcW w:w="1839" w:type="dxa"/>
            <w:tcBorders>
              <w:top w:val="single" w:color="000000" w:sz="4" w:space="0"/>
              <w:left w:val="nil"/>
              <w:bottom w:val="single" w:color="auto" w:sz="4" w:space="0"/>
              <w:right w:val="nil"/>
            </w:tcBorders>
            <w:shd w:val="clear" w:color="auto" w:fill="FFFFFF"/>
            <w:tcMar>
              <w:top w:w="72" w:type="dxa"/>
              <w:left w:w="144" w:type="dxa"/>
              <w:bottom w:w="72" w:type="dxa"/>
              <w:right w:w="144" w:type="dxa"/>
            </w:tcMar>
            <w:vAlign w:val="center"/>
          </w:tcPr>
          <w:p w14:paraId="35826A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1000-1500</w:t>
            </w:r>
          </w:p>
        </w:tc>
        <w:tc>
          <w:tcPr>
            <w:tcW w:w="1701" w:type="dxa"/>
            <w:tcBorders>
              <w:top w:val="single" w:color="000000" w:sz="4" w:space="0"/>
              <w:left w:val="nil"/>
              <w:bottom w:val="single" w:color="auto" w:sz="4" w:space="0"/>
              <w:right w:val="nil"/>
            </w:tcBorders>
            <w:shd w:val="clear" w:color="auto" w:fill="FFFFFF"/>
            <w:tcMar>
              <w:top w:w="72" w:type="dxa"/>
              <w:left w:w="144" w:type="dxa"/>
              <w:bottom w:w="72" w:type="dxa"/>
              <w:right w:w="144" w:type="dxa"/>
            </w:tcMar>
            <w:vAlign w:val="center"/>
          </w:tcPr>
          <w:p w14:paraId="673F85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＞1500</w:t>
            </w:r>
          </w:p>
        </w:tc>
        <w:tc>
          <w:tcPr>
            <w:tcW w:w="0" w:type="auto"/>
            <w:vMerge w:val="continue"/>
            <w:tcBorders>
              <w:top w:val="single" w:color="000000" w:sz="4" w:space="0"/>
              <w:left w:val="nil"/>
              <w:bottom w:val="single" w:color="auto" w:sz="4" w:space="0"/>
              <w:right w:val="nil"/>
            </w:tcBorders>
            <w:shd w:val="clear" w:color="auto" w:fill="FFFFFF"/>
            <w:vAlign w:val="center"/>
          </w:tcPr>
          <w:p w14:paraId="0AEDD8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r>
      <w:tr w14:paraId="01E00842">
        <w:tblPrEx>
          <w:shd w:val="clear" w:color="auto" w:fill="FFFFFF" w:themeFill="background1"/>
          <w:tblCellMar>
            <w:top w:w="0" w:type="dxa"/>
            <w:left w:w="0" w:type="dxa"/>
            <w:bottom w:w="0" w:type="dxa"/>
            <w:right w:w="0" w:type="dxa"/>
          </w:tblCellMar>
        </w:tblPrEx>
        <w:trPr>
          <w:trHeight w:val="340" w:hRule="atLeast"/>
          <w:jc w:val="center"/>
        </w:trPr>
        <w:tc>
          <w:tcPr>
            <w:tcW w:w="1919" w:type="dxa"/>
            <w:tcBorders>
              <w:top w:val="single" w:color="auto" w:sz="4" w:space="0"/>
              <w:left w:val="nil"/>
              <w:bottom w:val="nil"/>
              <w:right w:val="nil"/>
            </w:tcBorders>
            <w:shd w:val="clear" w:color="auto" w:fill="FFFFFF"/>
            <w:tcMar>
              <w:top w:w="72" w:type="dxa"/>
              <w:left w:w="144" w:type="dxa"/>
              <w:bottom w:w="72" w:type="dxa"/>
              <w:right w:w="144" w:type="dxa"/>
            </w:tcMar>
            <w:vAlign w:val="center"/>
          </w:tcPr>
          <w:p w14:paraId="7A7CC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临沧市</w:t>
            </w:r>
          </w:p>
        </w:tc>
        <w:tc>
          <w:tcPr>
            <w:tcW w:w="1680" w:type="dxa"/>
            <w:tcBorders>
              <w:top w:val="single" w:color="auto" w:sz="4" w:space="0"/>
              <w:left w:val="nil"/>
              <w:bottom w:val="nil"/>
              <w:right w:val="nil"/>
            </w:tcBorders>
            <w:shd w:val="clear" w:color="auto" w:fill="FFFFFF"/>
            <w:tcMar>
              <w:top w:w="72" w:type="dxa"/>
              <w:left w:w="144" w:type="dxa"/>
              <w:bottom w:w="72" w:type="dxa"/>
              <w:right w:w="144" w:type="dxa"/>
            </w:tcMar>
            <w:vAlign w:val="center"/>
          </w:tcPr>
          <w:p w14:paraId="1F1905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0</w:t>
            </w:r>
          </w:p>
        </w:tc>
        <w:tc>
          <w:tcPr>
            <w:tcW w:w="1839" w:type="dxa"/>
            <w:tcBorders>
              <w:top w:val="single" w:color="auto" w:sz="4" w:space="0"/>
              <w:left w:val="nil"/>
              <w:bottom w:val="nil"/>
              <w:right w:val="nil"/>
            </w:tcBorders>
            <w:shd w:val="clear" w:color="auto" w:fill="FFFFFF"/>
            <w:tcMar>
              <w:top w:w="72" w:type="dxa"/>
              <w:left w:w="144" w:type="dxa"/>
              <w:bottom w:w="72" w:type="dxa"/>
              <w:right w:w="144" w:type="dxa"/>
            </w:tcMar>
            <w:vAlign w:val="center"/>
          </w:tcPr>
          <w:p w14:paraId="1DE1A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34</w:t>
            </w:r>
          </w:p>
        </w:tc>
        <w:tc>
          <w:tcPr>
            <w:tcW w:w="1701" w:type="dxa"/>
            <w:tcBorders>
              <w:top w:val="single" w:color="auto" w:sz="4" w:space="0"/>
              <w:left w:val="nil"/>
              <w:bottom w:val="nil"/>
              <w:right w:val="nil"/>
            </w:tcBorders>
            <w:shd w:val="clear" w:color="auto" w:fill="FFFFFF"/>
            <w:tcMar>
              <w:top w:w="72" w:type="dxa"/>
              <w:left w:w="144" w:type="dxa"/>
              <w:bottom w:w="72" w:type="dxa"/>
              <w:right w:w="144" w:type="dxa"/>
            </w:tcMar>
            <w:vAlign w:val="center"/>
          </w:tcPr>
          <w:p w14:paraId="754CC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56</w:t>
            </w:r>
          </w:p>
        </w:tc>
        <w:tc>
          <w:tcPr>
            <w:tcW w:w="1479" w:type="dxa"/>
            <w:tcBorders>
              <w:top w:val="single" w:color="auto" w:sz="4" w:space="0"/>
              <w:left w:val="nil"/>
              <w:bottom w:val="nil"/>
              <w:right w:val="nil"/>
            </w:tcBorders>
            <w:shd w:val="clear" w:color="auto" w:fill="FFFFFF"/>
            <w:tcMar>
              <w:top w:w="72" w:type="dxa"/>
              <w:left w:w="144" w:type="dxa"/>
              <w:bottom w:w="72" w:type="dxa"/>
              <w:right w:w="144" w:type="dxa"/>
            </w:tcMar>
            <w:vAlign w:val="center"/>
          </w:tcPr>
          <w:p w14:paraId="1E5A1B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90</w:t>
            </w:r>
          </w:p>
        </w:tc>
      </w:tr>
      <w:tr w14:paraId="4671250E">
        <w:tblPrEx>
          <w:shd w:val="clear" w:color="auto" w:fill="FFFFFF" w:themeFill="background1"/>
          <w:tblCellMar>
            <w:top w:w="0" w:type="dxa"/>
            <w:left w:w="0" w:type="dxa"/>
            <w:bottom w:w="0" w:type="dxa"/>
            <w:right w:w="0" w:type="dxa"/>
          </w:tblCellMar>
        </w:tblPrEx>
        <w:trPr>
          <w:trHeight w:val="340" w:hRule="atLeast"/>
          <w:jc w:val="center"/>
        </w:trPr>
        <w:tc>
          <w:tcPr>
            <w:tcW w:w="1919" w:type="dxa"/>
            <w:tcBorders>
              <w:top w:val="nil"/>
              <w:left w:val="nil"/>
              <w:bottom w:val="nil"/>
              <w:right w:val="nil"/>
            </w:tcBorders>
            <w:shd w:val="clear" w:color="auto" w:fill="FFFFFF"/>
            <w:tcMar>
              <w:top w:w="72" w:type="dxa"/>
              <w:left w:w="144" w:type="dxa"/>
              <w:bottom w:w="72" w:type="dxa"/>
              <w:right w:w="144" w:type="dxa"/>
            </w:tcMar>
            <w:vAlign w:val="center"/>
          </w:tcPr>
          <w:p w14:paraId="215089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普洱市</w:t>
            </w:r>
          </w:p>
        </w:tc>
        <w:tc>
          <w:tcPr>
            <w:tcW w:w="1680" w:type="dxa"/>
            <w:tcBorders>
              <w:top w:val="nil"/>
              <w:left w:val="nil"/>
              <w:bottom w:val="nil"/>
              <w:right w:val="nil"/>
            </w:tcBorders>
            <w:shd w:val="clear" w:color="auto" w:fill="FFFFFF"/>
            <w:tcMar>
              <w:top w:w="72" w:type="dxa"/>
              <w:left w:w="144" w:type="dxa"/>
              <w:bottom w:w="72" w:type="dxa"/>
              <w:right w:w="144" w:type="dxa"/>
            </w:tcMar>
            <w:vAlign w:val="center"/>
          </w:tcPr>
          <w:p w14:paraId="29CA10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17</w:t>
            </w:r>
          </w:p>
        </w:tc>
        <w:tc>
          <w:tcPr>
            <w:tcW w:w="1839" w:type="dxa"/>
            <w:tcBorders>
              <w:top w:val="nil"/>
              <w:left w:val="nil"/>
              <w:bottom w:val="nil"/>
              <w:right w:val="nil"/>
            </w:tcBorders>
            <w:shd w:val="clear" w:color="auto" w:fill="FFFFFF"/>
            <w:tcMar>
              <w:top w:w="72" w:type="dxa"/>
              <w:left w:w="144" w:type="dxa"/>
              <w:bottom w:w="72" w:type="dxa"/>
              <w:right w:w="144" w:type="dxa"/>
            </w:tcMar>
            <w:vAlign w:val="center"/>
          </w:tcPr>
          <w:p w14:paraId="47F5C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43</w:t>
            </w:r>
          </w:p>
        </w:tc>
        <w:tc>
          <w:tcPr>
            <w:tcW w:w="1701" w:type="dxa"/>
            <w:tcBorders>
              <w:top w:val="nil"/>
              <w:left w:val="nil"/>
              <w:bottom w:val="nil"/>
              <w:right w:val="nil"/>
            </w:tcBorders>
            <w:shd w:val="clear" w:color="auto" w:fill="FFFFFF"/>
            <w:tcMar>
              <w:top w:w="72" w:type="dxa"/>
              <w:left w:w="144" w:type="dxa"/>
              <w:bottom w:w="72" w:type="dxa"/>
              <w:right w:w="144" w:type="dxa"/>
            </w:tcMar>
            <w:vAlign w:val="center"/>
          </w:tcPr>
          <w:p w14:paraId="3BF9DA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9</w:t>
            </w:r>
          </w:p>
        </w:tc>
        <w:tc>
          <w:tcPr>
            <w:tcW w:w="1479" w:type="dxa"/>
            <w:tcBorders>
              <w:top w:val="nil"/>
              <w:left w:val="nil"/>
              <w:bottom w:val="nil"/>
              <w:right w:val="nil"/>
            </w:tcBorders>
            <w:shd w:val="clear" w:color="auto" w:fill="FFFFFF"/>
            <w:tcMar>
              <w:top w:w="72" w:type="dxa"/>
              <w:left w:w="144" w:type="dxa"/>
              <w:bottom w:w="72" w:type="dxa"/>
              <w:right w:w="144" w:type="dxa"/>
            </w:tcMar>
            <w:vAlign w:val="center"/>
          </w:tcPr>
          <w:p w14:paraId="7B42A2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69</w:t>
            </w:r>
          </w:p>
        </w:tc>
      </w:tr>
      <w:tr w14:paraId="00963B13">
        <w:tblPrEx>
          <w:shd w:val="clear" w:color="auto" w:fill="FFFFFF" w:themeFill="background1"/>
          <w:tblCellMar>
            <w:top w:w="0" w:type="dxa"/>
            <w:left w:w="0" w:type="dxa"/>
            <w:bottom w:w="0" w:type="dxa"/>
            <w:right w:w="0" w:type="dxa"/>
          </w:tblCellMar>
        </w:tblPrEx>
        <w:trPr>
          <w:trHeight w:val="340" w:hRule="atLeast"/>
          <w:jc w:val="center"/>
        </w:trPr>
        <w:tc>
          <w:tcPr>
            <w:tcW w:w="1919" w:type="dxa"/>
            <w:tcBorders>
              <w:top w:val="nil"/>
              <w:left w:val="nil"/>
              <w:bottom w:val="nil"/>
              <w:right w:val="nil"/>
            </w:tcBorders>
            <w:shd w:val="clear" w:color="auto" w:fill="FFFFFF"/>
            <w:tcMar>
              <w:top w:w="72" w:type="dxa"/>
              <w:left w:w="144" w:type="dxa"/>
              <w:bottom w:w="72" w:type="dxa"/>
              <w:right w:w="144" w:type="dxa"/>
            </w:tcMar>
            <w:vAlign w:val="center"/>
          </w:tcPr>
          <w:p w14:paraId="7DA764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德宏州</w:t>
            </w:r>
          </w:p>
        </w:tc>
        <w:tc>
          <w:tcPr>
            <w:tcW w:w="1680" w:type="dxa"/>
            <w:tcBorders>
              <w:top w:val="nil"/>
              <w:left w:val="nil"/>
              <w:bottom w:val="nil"/>
              <w:right w:val="nil"/>
            </w:tcBorders>
            <w:shd w:val="clear" w:color="auto" w:fill="FFFFFF"/>
            <w:tcMar>
              <w:top w:w="72" w:type="dxa"/>
              <w:left w:w="144" w:type="dxa"/>
              <w:bottom w:w="72" w:type="dxa"/>
              <w:right w:w="144" w:type="dxa"/>
            </w:tcMar>
            <w:vAlign w:val="center"/>
          </w:tcPr>
          <w:p w14:paraId="19C84B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49</w:t>
            </w:r>
          </w:p>
        </w:tc>
        <w:tc>
          <w:tcPr>
            <w:tcW w:w="1839" w:type="dxa"/>
            <w:tcBorders>
              <w:top w:val="nil"/>
              <w:left w:val="nil"/>
              <w:bottom w:val="nil"/>
              <w:right w:val="nil"/>
            </w:tcBorders>
            <w:shd w:val="clear" w:color="auto" w:fill="FFFFFF"/>
            <w:tcMar>
              <w:top w:w="72" w:type="dxa"/>
              <w:left w:w="144" w:type="dxa"/>
              <w:bottom w:w="72" w:type="dxa"/>
              <w:right w:w="144" w:type="dxa"/>
            </w:tcMar>
            <w:vAlign w:val="center"/>
          </w:tcPr>
          <w:p w14:paraId="340E4A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w:t>
            </w:r>
          </w:p>
        </w:tc>
        <w:tc>
          <w:tcPr>
            <w:tcW w:w="1701" w:type="dxa"/>
            <w:tcBorders>
              <w:top w:val="nil"/>
              <w:left w:val="nil"/>
              <w:bottom w:val="nil"/>
              <w:right w:val="nil"/>
            </w:tcBorders>
            <w:shd w:val="clear" w:color="auto" w:fill="FFFFFF"/>
            <w:tcMar>
              <w:top w:w="72" w:type="dxa"/>
              <w:left w:w="144" w:type="dxa"/>
              <w:bottom w:w="72" w:type="dxa"/>
              <w:right w:w="144" w:type="dxa"/>
            </w:tcMar>
            <w:vAlign w:val="center"/>
          </w:tcPr>
          <w:p w14:paraId="234298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15</w:t>
            </w:r>
          </w:p>
        </w:tc>
        <w:tc>
          <w:tcPr>
            <w:tcW w:w="1479" w:type="dxa"/>
            <w:tcBorders>
              <w:top w:val="nil"/>
              <w:left w:val="nil"/>
              <w:bottom w:val="nil"/>
              <w:right w:val="nil"/>
            </w:tcBorders>
            <w:shd w:val="clear" w:color="auto" w:fill="FFFFFF"/>
            <w:tcMar>
              <w:top w:w="72" w:type="dxa"/>
              <w:left w:w="144" w:type="dxa"/>
              <w:bottom w:w="72" w:type="dxa"/>
              <w:right w:w="144" w:type="dxa"/>
            </w:tcMar>
            <w:vAlign w:val="center"/>
          </w:tcPr>
          <w:p w14:paraId="4CE4CC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69</w:t>
            </w:r>
          </w:p>
        </w:tc>
      </w:tr>
      <w:tr w14:paraId="7086D648">
        <w:tblPrEx>
          <w:shd w:val="clear" w:color="auto" w:fill="FFFFFF" w:themeFill="background1"/>
          <w:tblCellMar>
            <w:top w:w="0" w:type="dxa"/>
            <w:left w:w="0" w:type="dxa"/>
            <w:bottom w:w="0" w:type="dxa"/>
            <w:right w:w="0" w:type="dxa"/>
          </w:tblCellMar>
        </w:tblPrEx>
        <w:trPr>
          <w:trHeight w:val="340" w:hRule="atLeast"/>
          <w:jc w:val="center"/>
        </w:trPr>
        <w:tc>
          <w:tcPr>
            <w:tcW w:w="1919" w:type="dxa"/>
            <w:tcBorders>
              <w:top w:val="nil"/>
              <w:left w:val="nil"/>
              <w:bottom w:val="nil"/>
              <w:right w:val="nil"/>
            </w:tcBorders>
            <w:shd w:val="clear" w:color="auto" w:fill="FFFFFF"/>
            <w:tcMar>
              <w:top w:w="72" w:type="dxa"/>
              <w:left w:w="144" w:type="dxa"/>
              <w:bottom w:w="72" w:type="dxa"/>
              <w:right w:w="144" w:type="dxa"/>
            </w:tcMar>
            <w:vAlign w:val="center"/>
          </w:tcPr>
          <w:p w14:paraId="1E650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保山市</w:t>
            </w:r>
          </w:p>
        </w:tc>
        <w:tc>
          <w:tcPr>
            <w:tcW w:w="1680" w:type="dxa"/>
            <w:tcBorders>
              <w:top w:val="nil"/>
              <w:left w:val="nil"/>
              <w:bottom w:val="nil"/>
              <w:right w:val="nil"/>
            </w:tcBorders>
            <w:shd w:val="clear" w:color="auto" w:fill="FFFFFF"/>
            <w:tcMar>
              <w:top w:w="72" w:type="dxa"/>
              <w:left w:w="144" w:type="dxa"/>
              <w:bottom w:w="72" w:type="dxa"/>
              <w:right w:w="144" w:type="dxa"/>
            </w:tcMar>
            <w:vAlign w:val="center"/>
          </w:tcPr>
          <w:p w14:paraId="254B70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0</w:t>
            </w:r>
          </w:p>
        </w:tc>
        <w:tc>
          <w:tcPr>
            <w:tcW w:w="1839" w:type="dxa"/>
            <w:tcBorders>
              <w:top w:val="nil"/>
              <w:left w:val="nil"/>
              <w:bottom w:val="nil"/>
              <w:right w:val="nil"/>
            </w:tcBorders>
            <w:shd w:val="clear" w:color="auto" w:fill="FFFFFF"/>
            <w:tcMar>
              <w:top w:w="72" w:type="dxa"/>
              <w:left w:w="144" w:type="dxa"/>
              <w:bottom w:w="72" w:type="dxa"/>
              <w:right w:w="144" w:type="dxa"/>
            </w:tcMar>
            <w:vAlign w:val="center"/>
          </w:tcPr>
          <w:p w14:paraId="5A164E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20</w:t>
            </w:r>
          </w:p>
        </w:tc>
        <w:tc>
          <w:tcPr>
            <w:tcW w:w="1701" w:type="dxa"/>
            <w:tcBorders>
              <w:top w:val="nil"/>
              <w:left w:val="nil"/>
              <w:bottom w:val="nil"/>
              <w:right w:val="nil"/>
            </w:tcBorders>
            <w:shd w:val="clear" w:color="auto" w:fill="FFFFFF"/>
            <w:tcMar>
              <w:top w:w="72" w:type="dxa"/>
              <w:left w:w="144" w:type="dxa"/>
              <w:bottom w:w="72" w:type="dxa"/>
              <w:right w:w="144" w:type="dxa"/>
            </w:tcMar>
            <w:vAlign w:val="center"/>
          </w:tcPr>
          <w:p w14:paraId="24D4D1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6</w:t>
            </w:r>
          </w:p>
        </w:tc>
        <w:tc>
          <w:tcPr>
            <w:tcW w:w="1479" w:type="dxa"/>
            <w:tcBorders>
              <w:top w:val="nil"/>
              <w:left w:val="nil"/>
              <w:bottom w:val="nil"/>
              <w:right w:val="nil"/>
            </w:tcBorders>
            <w:shd w:val="clear" w:color="auto" w:fill="FFFFFF"/>
            <w:tcMar>
              <w:top w:w="72" w:type="dxa"/>
              <w:left w:w="144" w:type="dxa"/>
              <w:bottom w:w="72" w:type="dxa"/>
              <w:right w:w="144" w:type="dxa"/>
            </w:tcMar>
            <w:vAlign w:val="center"/>
          </w:tcPr>
          <w:p w14:paraId="136A4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26</w:t>
            </w:r>
          </w:p>
        </w:tc>
      </w:tr>
      <w:tr w14:paraId="7AE21646">
        <w:tblPrEx>
          <w:shd w:val="clear" w:color="auto" w:fill="FFFFFF" w:themeFill="background1"/>
          <w:tblCellMar>
            <w:top w:w="0" w:type="dxa"/>
            <w:left w:w="0" w:type="dxa"/>
            <w:bottom w:w="0" w:type="dxa"/>
            <w:right w:w="0" w:type="dxa"/>
          </w:tblCellMar>
        </w:tblPrEx>
        <w:trPr>
          <w:trHeight w:val="340" w:hRule="atLeast"/>
          <w:jc w:val="center"/>
        </w:trPr>
        <w:tc>
          <w:tcPr>
            <w:tcW w:w="1919" w:type="dxa"/>
            <w:tcBorders>
              <w:top w:val="nil"/>
              <w:left w:val="nil"/>
              <w:bottom w:val="nil"/>
              <w:right w:val="nil"/>
            </w:tcBorders>
            <w:shd w:val="clear" w:color="auto" w:fill="FFFFFF"/>
            <w:tcMar>
              <w:top w:w="72" w:type="dxa"/>
              <w:left w:w="144" w:type="dxa"/>
              <w:bottom w:w="72" w:type="dxa"/>
              <w:right w:w="144" w:type="dxa"/>
            </w:tcMar>
            <w:vAlign w:val="center"/>
          </w:tcPr>
          <w:p w14:paraId="7FD771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景洪市</w:t>
            </w:r>
          </w:p>
        </w:tc>
        <w:tc>
          <w:tcPr>
            <w:tcW w:w="1680" w:type="dxa"/>
            <w:tcBorders>
              <w:top w:val="nil"/>
              <w:left w:val="nil"/>
              <w:bottom w:val="nil"/>
              <w:right w:val="nil"/>
            </w:tcBorders>
            <w:shd w:val="clear" w:color="auto" w:fill="FFFFFF"/>
            <w:tcMar>
              <w:top w:w="72" w:type="dxa"/>
              <w:left w:w="144" w:type="dxa"/>
              <w:bottom w:w="72" w:type="dxa"/>
              <w:right w:w="144" w:type="dxa"/>
            </w:tcMar>
            <w:vAlign w:val="center"/>
          </w:tcPr>
          <w:p w14:paraId="0735CA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29</w:t>
            </w:r>
          </w:p>
        </w:tc>
        <w:tc>
          <w:tcPr>
            <w:tcW w:w="1839" w:type="dxa"/>
            <w:tcBorders>
              <w:top w:val="nil"/>
              <w:left w:val="nil"/>
              <w:bottom w:val="nil"/>
              <w:right w:val="nil"/>
            </w:tcBorders>
            <w:shd w:val="clear" w:color="auto" w:fill="FFFFFF"/>
            <w:tcMar>
              <w:top w:w="72" w:type="dxa"/>
              <w:left w:w="144" w:type="dxa"/>
              <w:bottom w:w="72" w:type="dxa"/>
              <w:right w:w="144" w:type="dxa"/>
            </w:tcMar>
            <w:vAlign w:val="center"/>
          </w:tcPr>
          <w:p w14:paraId="3599C7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0</w:t>
            </w:r>
          </w:p>
        </w:tc>
        <w:tc>
          <w:tcPr>
            <w:tcW w:w="1701" w:type="dxa"/>
            <w:tcBorders>
              <w:top w:val="nil"/>
              <w:left w:val="nil"/>
              <w:bottom w:val="nil"/>
              <w:right w:val="nil"/>
            </w:tcBorders>
            <w:shd w:val="clear" w:color="auto" w:fill="FFFFFF"/>
            <w:tcMar>
              <w:top w:w="72" w:type="dxa"/>
              <w:left w:w="144" w:type="dxa"/>
              <w:bottom w:w="72" w:type="dxa"/>
              <w:right w:w="144" w:type="dxa"/>
            </w:tcMar>
            <w:vAlign w:val="center"/>
          </w:tcPr>
          <w:p w14:paraId="67942C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0</w:t>
            </w:r>
          </w:p>
        </w:tc>
        <w:tc>
          <w:tcPr>
            <w:tcW w:w="1479" w:type="dxa"/>
            <w:tcBorders>
              <w:top w:val="nil"/>
              <w:left w:val="nil"/>
              <w:bottom w:val="nil"/>
              <w:right w:val="nil"/>
            </w:tcBorders>
            <w:shd w:val="clear" w:color="auto" w:fill="FFFFFF"/>
            <w:tcMar>
              <w:top w:w="72" w:type="dxa"/>
              <w:left w:w="144" w:type="dxa"/>
              <w:bottom w:w="72" w:type="dxa"/>
              <w:right w:w="144" w:type="dxa"/>
            </w:tcMar>
            <w:vAlign w:val="center"/>
          </w:tcPr>
          <w:p w14:paraId="3A6976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29</w:t>
            </w:r>
          </w:p>
        </w:tc>
      </w:tr>
      <w:tr w14:paraId="40921602">
        <w:tblPrEx>
          <w:shd w:val="clear" w:color="auto" w:fill="FFFFFF" w:themeFill="background1"/>
          <w:tblCellMar>
            <w:top w:w="0" w:type="dxa"/>
            <w:left w:w="0" w:type="dxa"/>
            <w:bottom w:w="0" w:type="dxa"/>
            <w:right w:w="0" w:type="dxa"/>
          </w:tblCellMar>
        </w:tblPrEx>
        <w:trPr>
          <w:trHeight w:val="340" w:hRule="atLeast"/>
          <w:jc w:val="center"/>
        </w:trPr>
        <w:tc>
          <w:tcPr>
            <w:tcW w:w="1919" w:type="dxa"/>
            <w:tcBorders>
              <w:top w:val="nil"/>
              <w:left w:val="nil"/>
              <w:bottom w:val="single" w:color="000000" w:sz="12" w:space="0"/>
              <w:right w:val="nil"/>
            </w:tcBorders>
            <w:shd w:val="clear" w:color="auto" w:fill="FFFFFF"/>
            <w:tcMar>
              <w:top w:w="72" w:type="dxa"/>
              <w:left w:w="144" w:type="dxa"/>
              <w:bottom w:w="72" w:type="dxa"/>
              <w:right w:w="144" w:type="dxa"/>
            </w:tcMar>
            <w:vAlign w:val="center"/>
          </w:tcPr>
          <w:p w14:paraId="4E7D87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合计</w:t>
            </w:r>
          </w:p>
        </w:tc>
        <w:tc>
          <w:tcPr>
            <w:tcW w:w="1680" w:type="dxa"/>
            <w:tcBorders>
              <w:top w:val="nil"/>
              <w:left w:val="nil"/>
              <w:bottom w:val="single" w:color="000000" w:sz="12" w:space="0"/>
              <w:right w:val="nil"/>
            </w:tcBorders>
            <w:shd w:val="clear" w:color="auto" w:fill="FFFFFF"/>
            <w:tcMar>
              <w:top w:w="72" w:type="dxa"/>
              <w:left w:w="144" w:type="dxa"/>
              <w:bottom w:w="72" w:type="dxa"/>
              <w:right w:w="144" w:type="dxa"/>
            </w:tcMar>
            <w:vAlign w:val="center"/>
          </w:tcPr>
          <w:p w14:paraId="40D432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95</w:t>
            </w:r>
          </w:p>
        </w:tc>
        <w:tc>
          <w:tcPr>
            <w:tcW w:w="1839" w:type="dxa"/>
            <w:tcBorders>
              <w:top w:val="nil"/>
              <w:left w:val="nil"/>
              <w:bottom w:val="single" w:color="000000" w:sz="12" w:space="0"/>
              <w:right w:val="nil"/>
            </w:tcBorders>
            <w:shd w:val="clear" w:color="auto" w:fill="FFFFFF"/>
            <w:tcMar>
              <w:top w:w="72" w:type="dxa"/>
              <w:left w:w="144" w:type="dxa"/>
              <w:bottom w:w="72" w:type="dxa"/>
              <w:right w:w="144" w:type="dxa"/>
            </w:tcMar>
            <w:vAlign w:val="center"/>
          </w:tcPr>
          <w:p w14:paraId="279DE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102</w:t>
            </w:r>
          </w:p>
        </w:tc>
        <w:tc>
          <w:tcPr>
            <w:tcW w:w="1701" w:type="dxa"/>
            <w:tcBorders>
              <w:top w:val="nil"/>
              <w:left w:val="nil"/>
              <w:bottom w:val="single" w:color="000000" w:sz="12" w:space="0"/>
              <w:right w:val="nil"/>
            </w:tcBorders>
            <w:shd w:val="clear" w:color="auto" w:fill="FFFFFF"/>
            <w:tcMar>
              <w:top w:w="72" w:type="dxa"/>
              <w:left w:w="144" w:type="dxa"/>
              <w:bottom w:w="72" w:type="dxa"/>
              <w:right w:w="144" w:type="dxa"/>
            </w:tcMar>
            <w:vAlign w:val="center"/>
          </w:tcPr>
          <w:p w14:paraId="70E70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86</w:t>
            </w:r>
          </w:p>
        </w:tc>
        <w:tc>
          <w:tcPr>
            <w:tcW w:w="1479" w:type="dxa"/>
            <w:tcBorders>
              <w:top w:val="nil"/>
              <w:left w:val="nil"/>
              <w:bottom w:val="single" w:color="000000" w:sz="12" w:space="0"/>
              <w:right w:val="nil"/>
            </w:tcBorders>
            <w:shd w:val="clear" w:color="auto" w:fill="FFFFFF"/>
            <w:tcMar>
              <w:top w:w="72" w:type="dxa"/>
              <w:left w:w="144" w:type="dxa"/>
              <w:bottom w:w="72" w:type="dxa"/>
              <w:right w:w="144" w:type="dxa"/>
            </w:tcMar>
            <w:vAlign w:val="center"/>
          </w:tcPr>
          <w:p w14:paraId="691AB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283</w:t>
            </w:r>
          </w:p>
        </w:tc>
      </w:tr>
    </w:tbl>
    <w:p w14:paraId="7DB13A0A">
      <w:pPr>
        <w:spacing w:line="240" w:lineRule="auto"/>
        <w:jc w:val="left"/>
      </w:pPr>
      <w:r>
        <w:drawing>
          <wp:inline distT="0" distB="0" distL="0" distR="0">
            <wp:extent cx="5675630" cy="6328410"/>
            <wp:effectExtent l="0" t="0" r="8890" b="1143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5630" cy="6328410"/>
                    </a:xfrm>
                    <a:prstGeom prst="rect">
                      <a:avLst/>
                    </a:prstGeom>
                  </pic:spPr>
                </pic:pic>
              </a:graphicData>
            </a:graphic>
          </wp:inline>
        </w:drawing>
      </w:r>
    </w:p>
    <w:p w14:paraId="2A0466C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图 1云南咖啡主栽区土壤样品采样点分布（2023.12-2025.02）</w:t>
      </w:r>
    </w:p>
    <w:p w14:paraId="4743E16A">
      <w:pPr>
        <w:spacing w:line="560" w:lineRule="exact"/>
        <w:rPr>
          <w:rFonts w:hint="default" w:ascii="Times New Roman" w:hAnsi="Times New Roman" w:eastAsia="仿宋_GB2312" w:cs="Arial"/>
          <w:sz w:val="24"/>
          <w:szCs w:val="32"/>
          <w:lang w:val="en-US" w:eastAsia="zh-CN"/>
        </w:rPr>
      </w:pPr>
      <w:r>
        <w:rPr>
          <w:rFonts w:hint="eastAsia"/>
        </w:rPr>
        <w:drawing>
          <wp:anchor distT="0" distB="0" distL="114300" distR="114300" simplePos="0" relativeHeight="251659264" behindDoc="0" locked="0" layoutInCell="1" allowOverlap="1">
            <wp:simplePos x="0" y="0"/>
            <wp:positionH relativeFrom="margin">
              <wp:posOffset>39370</wp:posOffset>
            </wp:positionH>
            <wp:positionV relativeFrom="paragraph">
              <wp:posOffset>13335</wp:posOffset>
            </wp:positionV>
            <wp:extent cx="2642870" cy="1554480"/>
            <wp:effectExtent l="0" t="0" r="8890" b="0"/>
            <wp:wrapNone/>
            <wp:docPr id="16847632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63245"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42870" cy="1554480"/>
                    </a:xfrm>
                    <a:prstGeom prst="rect">
                      <a:avLst/>
                    </a:prstGeom>
                    <a:noFill/>
                  </pic:spPr>
                </pic:pic>
              </a:graphicData>
            </a:graphic>
          </wp:anchor>
        </w:drawing>
      </w:r>
      <w:r>
        <w:drawing>
          <wp:anchor distT="0" distB="0" distL="114300" distR="114300" simplePos="0" relativeHeight="251660288" behindDoc="0" locked="0" layoutInCell="1" allowOverlap="1">
            <wp:simplePos x="0" y="0"/>
            <wp:positionH relativeFrom="margin">
              <wp:posOffset>2741930</wp:posOffset>
            </wp:positionH>
            <wp:positionV relativeFrom="paragraph">
              <wp:posOffset>20955</wp:posOffset>
            </wp:positionV>
            <wp:extent cx="2639695" cy="1552575"/>
            <wp:effectExtent l="0" t="0" r="12065" b="190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39695" cy="1552575"/>
                    </a:xfrm>
                    <a:prstGeom prst="rect">
                      <a:avLst/>
                    </a:prstGeom>
                  </pic:spPr>
                </pic:pic>
              </a:graphicData>
            </a:graphic>
          </wp:anchor>
        </w:drawing>
      </w:r>
    </w:p>
    <w:p w14:paraId="252B57F8">
      <w:pPr>
        <w:spacing w:line="560" w:lineRule="exact"/>
        <w:ind w:firstLine="480" w:firstLineChars="200"/>
        <w:rPr>
          <w:rFonts w:hint="default" w:ascii="Times New Roman" w:hAnsi="Times New Roman" w:eastAsia="仿宋_GB2312" w:cs="Arial"/>
          <w:sz w:val="24"/>
          <w:szCs w:val="32"/>
          <w:lang w:val="en-US" w:eastAsia="zh-CN"/>
        </w:rPr>
      </w:pPr>
    </w:p>
    <w:p w14:paraId="67420DDB">
      <w:pPr>
        <w:spacing w:line="560" w:lineRule="exact"/>
        <w:ind w:firstLine="480" w:firstLineChars="200"/>
        <w:rPr>
          <w:rFonts w:hint="default" w:ascii="Times New Roman" w:hAnsi="Times New Roman" w:eastAsia="仿宋_GB2312" w:cs="Arial"/>
          <w:sz w:val="24"/>
          <w:szCs w:val="32"/>
          <w:lang w:val="en-US" w:eastAsia="zh-CN"/>
        </w:rPr>
      </w:pPr>
    </w:p>
    <w:p w14:paraId="6D2368F0">
      <w:pPr>
        <w:spacing w:line="560" w:lineRule="exact"/>
        <w:ind w:firstLine="480" w:firstLineChars="200"/>
        <w:rPr>
          <w:rFonts w:hint="default" w:ascii="Times New Roman" w:hAnsi="Times New Roman" w:eastAsia="仿宋_GB2312" w:cs="Arial"/>
          <w:sz w:val="24"/>
          <w:szCs w:val="32"/>
          <w:lang w:val="en-US" w:eastAsia="zh-CN"/>
        </w:rPr>
      </w:pPr>
    </w:p>
    <w:p w14:paraId="5DCD44FB">
      <w:pPr>
        <w:spacing w:line="560" w:lineRule="exact"/>
        <w:ind w:firstLine="420" w:firstLineChars="200"/>
        <w:rPr>
          <w:rFonts w:hint="default" w:ascii="Times New Roman" w:hAnsi="Times New Roman" w:eastAsia="仿宋_GB2312" w:cs="Arial"/>
          <w:sz w:val="24"/>
          <w:szCs w:val="32"/>
          <w:lang w:val="en-US" w:eastAsia="zh-CN"/>
        </w:rPr>
      </w:pPr>
      <w:r>
        <w:drawing>
          <wp:anchor distT="0" distB="0" distL="114300" distR="114300" simplePos="0" relativeHeight="251662336" behindDoc="0" locked="0" layoutInCell="1" allowOverlap="1">
            <wp:simplePos x="0" y="0"/>
            <wp:positionH relativeFrom="column">
              <wp:posOffset>-85725</wp:posOffset>
            </wp:positionH>
            <wp:positionV relativeFrom="paragraph">
              <wp:posOffset>-10160</wp:posOffset>
            </wp:positionV>
            <wp:extent cx="2609850" cy="1534795"/>
            <wp:effectExtent l="0" t="0" r="11430" b="4445"/>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09850" cy="153479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7620</wp:posOffset>
            </wp:positionH>
            <wp:positionV relativeFrom="paragraph">
              <wp:posOffset>-3810</wp:posOffset>
            </wp:positionV>
            <wp:extent cx="2657475" cy="1562735"/>
            <wp:effectExtent l="0" t="0" r="9525" b="6985"/>
            <wp:wrapSquare wrapText="bothSides"/>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657475" cy="1562735"/>
                    </a:xfrm>
                    <a:prstGeom prst="rect">
                      <a:avLst/>
                    </a:prstGeom>
                  </pic:spPr>
                </pic:pic>
              </a:graphicData>
            </a:graphic>
          </wp:anchor>
        </w:drawing>
      </w:r>
    </w:p>
    <w:p w14:paraId="5432838A">
      <w:pPr>
        <w:spacing w:line="560" w:lineRule="exact"/>
        <w:ind w:firstLine="480" w:firstLineChars="200"/>
        <w:rPr>
          <w:rFonts w:hint="default" w:ascii="Times New Roman" w:hAnsi="Times New Roman" w:eastAsia="仿宋_GB2312" w:cs="Arial"/>
          <w:sz w:val="24"/>
          <w:szCs w:val="32"/>
          <w:lang w:val="en-US" w:eastAsia="zh-CN"/>
        </w:rPr>
      </w:pPr>
    </w:p>
    <w:p w14:paraId="0A48DB1A">
      <w:pPr>
        <w:spacing w:line="560" w:lineRule="exact"/>
        <w:ind w:firstLine="480" w:firstLineChars="200"/>
        <w:rPr>
          <w:rFonts w:hint="default" w:ascii="Times New Roman" w:hAnsi="Times New Roman" w:eastAsia="仿宋_GB2312" w:cs="Arial"/>
          <w:sz w:val="24"/>
          <w:szCs w:val="32"/>
          <w:lang w:val="en-US" w:eastAsia="zh-CN"/>
        </w:rPr>
      </w:pPr>
    </w:p>
    <w:p w14:paraId="489B23C4">
      <w:pPr>
        <w:spacing w:line="560" w:lineRule="exact"/>
        <w:ind w:firstLine="480" w:firstLineChars="200"/>
        <w:rPr>
          <w:rFonts w:hint="default" w:ascii="Times New Roman" w:hAnsi="Times New Roman" w:eastAsia="仿宋_GB2312" w:cs="Arial"/>
          <w:sz w:val="24"/>
          <w:szCs w:val="32"/>
          <w:lang w:val="en-US" w:eastAsia="zh-CN"/>
        </w:rPr>
      </w:pPr>
    </w:p>
    <w:p w14:paraId="3C4E721C">
      <w:pPr>
        <w:spacing w:line="560" w:lineRule="exact"/>
        <w:ind w:firstLine="420" w:firstLineChars="200"/>
        <w:rPr>
          <w:rFonts w:hint="default" w:ascii="Times New Roman" w:hAnsi="Times New Roman" w:eastAsia="仿宋_GB2312" w:cs="Arial"/>
          <w:sz w:val="24"/>
          <w:szCs w:val="32"/>
          <w:lang w:val="en-US" w:eastAsia="zh-CN"/>
        </w:rPr>
      </w:pPr>
      <w:r>
        <w:drawing>
          <wp:anchor distT="0" distB="0" distL="114300" distR="114300" simplePos="0" relativeHeight="251664384" behindDoc="0" locked="0" layoutInCell="1" allowOverlap="1">
            <wp:simplePos x="0" y="0"/>
            <wp:positionH relativeFrom="column">
              <wp:posOffset>-46355</wp:posOffset>
            </wp:positionH>
            <wp:positionV relativeFrom="paragraph">
              <wp:posOffset>220345</wp:posOffset>
            </wp:positionV>
            <wp:extent cx="2625090" cy="1543685"/>
            <wp:effectExtent l="0" t="0" r="11430" b="1079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25090" cy="1543685"/>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-2755900</wp:posOffset>
            </wp:positionH>
            <wp:positionV relativeFrom="paragraph">
              <wp:posOffset>219710</wp:posOffset>
            </wp:positionV>
            <wp:extent cx="2652395" cy="1559560"/>
            <wp:effectExtent l="0" t="0" r="14605" b="10160"/>
            <wp:wrapNone/>
            <wp:docPr id="168073260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32603" name="图片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52395" cy="1559560"/>
                    </a:xfrm>
                    <a:prstGeom prst="rect">
                      <a:avLst/>
                    </a:prstGeom>
                  </pic:spPr>
                </pic:pic>
              </a:graphicData>
            </a:graphic>
          </wp:anchor>
        </w:drawing>
      </w:r>
    </w:p>
    <w:p w14:paraId="33F539BB">
      <w:pPr>
        <w:spacing w:line="560" w:lineRule="exact"/>
        <w:ind w:firstLine="480" w:firstLineChars="200"/>
        <w:rPr>
          <w:rFonts w:hint="default" w:ascii="Times New Roman" w:hAnsi="Times New Roman" w:eastAsia="仿宋_GB2312" w:cs="Arial"/>
          <w:sz w:val="24"/>
          <w:szCs w:val="32"/>
          <w:lang w:val="en-US" w:eastAsia="zh-CN"/>
        </w:rPr>
      </w:pPr>
    </w:p>
    <w:p w14:paraId="7E9C8D3E">
      <w:pPr>
        <w:spacing w:line="560" w:lineRule="exact"/>
        <w:ind w:firstLine="480" w:firstLineChars="200"/>
        <w:rPr>
          <w:rFonts w:hint="default" w:ascii="Times New Roman" w:hAnsi="Times New Roman" w:eastAsia="仿宋_GB2312" w:cs="Arial"/>
          <w:sz w:val="24"/>
          <w:szCs w:val="32"/>
          <w:lang w:val="en-US" w:eastAsia="zh-CN"/>
        </w:rPr>
      </w:pPr>
    </w:p>
    <w:p w14:paraId="4D381ACE">
      <w:pPr>
        <w:spacing w:line="560" w:lineRule="exact"/>
        <w:ind w:firstLine="480" w:firstLineChars="200"/>
        <w:rPr>
          <w:rFonts w:hint="default" w:ascii="Times New Roman" w:hAnsi="Times New Roman" w:eastAsia="仿宋_GB2312" w:cs="Arial"/>
          <w:sz w:val="24"/>
          <w:szCs w:val="32"/>
          <w:lang w:val="en-US" w:eastAsia="zh-CN"/>
        </w:rPr>
      </w:pPr>
    </w:p>
    <w:p w14:paraId="2A0AA1BF">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表</w:t>
      </w:r>
    </w:p>
    <w:p w14:paraId="21B4E11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图</w:t>
      </w:r>
      <w:r>
        <w:rPr>
          <w:rFonts w:hint="eastAsia" w:eastAsia="黑体" w:cs="Times New Roman"/>
          <w:bCs/>
          <w:kern w:val="44"/>
          <w:sz w:val="21"/>
          <w:szCs w:val="24"/>
          <w:lang w:val="en-US" w:eastAsia="zh-CN"/>
        </w:rPr>
        <w:t>2</w:t>
      </w:r>
      <w:r>
        <w:rPr>
          <w:rFonts w:hint="eastAsia" w:ascii="Times New Roman" w:hAnsi="Times New Roman" w:eastAsia="黑体" w:cs="Times New Roman"/>
          <w:bCs/>
          <w:kern w:val="44"/>
          <w:sz w:val="21"/>
          <w:szCs w:val="24"/>
          <w:lang w:val="en-US" w:eastAsia="zh-CN"/>
        </w:rPr>
        <w:t>云南咖啡主栽区土壤样品</w:t>
      </w:r>
      <w:r>
        <w:rPr>
          <w:rFonts w:hint="eastAsia" w:eastAsia="黑体" w:cs="Times New Roman"/>
          <w:bCs/>
          <w:kern w:val="44"/>
          <w:sz w:val="21"/>
          <w:szCs w:val="24"/>
          <w:lang w:val="en-US" w:eastAsia="zh-CN"/>
        </w:rPr>
        <w:t>pH值</w:t>
      </w:r>
      <w:r>
        <w:rPr>
          <w:rFonts w:hint="eastAsia" w:ascii="Times New Roman" w:hAnsi="Times New Roman" w:eastAsia="黑体" w:cs="Times New Roman"/>
          <w:bCs/>
          <w:kern w:val="44"/>
          <w:sz w:val="21"/>
          <w:szCs w:val="24"/>
          <w:lang w:val="en-US" w:eastAsia="zh-CN"/>
        </w:rPr>
        <w:t>分布</w:t>
      </w:r>
    </w:p>
    <w:p w14:paraId="33443AB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lang w:val="en-US" w:eastAsia="zh-CN"/>
        </w:rPr>
      </w:pPr>
    </w:p>
    <w:p w14:paraId="0FC4FAD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w:t>
      </w:r>
      <w:r>
        <w:rPr>
          <w:rFonts w:hint="eastAsia" w:eastAsia="黑体" w:cs="Times New Roman"/>
          <w:bCs/>
          <w:kern w:val="44"/>
          <w:sz w:val="21"/>
          <w:szCs w:val="24"/>
          <w:lang w:val="en-US" w:eastAsia="zh-CN"/>
        </w:rPr>
        <w:t>6 不同pH值咖啡生产验证</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15"/>
        <w:gridCol w:w="2084"/>
        <w:gridCol w:w="2452"/>
        <w:gridCol w:w="2175"/>
        <w:gridCol w:w="1310"/>
      </w:tblGrid>
      <w:tr w14:paraId="3FC7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15" w:type="dxa"/>
            <w:tcBorders>
              <w:top w:val="single" w:color="000000" w:sz="12" w:space="0"/>
              <w:left w:val="nil"/>
              <w:bottom w:val="single" w:color="000000" w:sz="4" w:space="0"/>
              <w:right w:val="nil"/>
              <w:tl2br w:val="nil"/>
            </w:tcBorders>
            <w:shd w:val="clear" w:color="auto" w:fill="FFFFFF"/>
            <w:tcMar>
              <w:top w:w="120" w:type="dxa"/>
              <w:left w:w="0" w:type="dxa"/>
              <w:bottom w:w="120" w:type="dxa"/>
              <w:right w:w="192" w:type="dxa"/>
            </w:tcMar>
            <w:vAlign w:val="center"/>
          </w:tcPr>
          <w:p w14:paraId="7A97C4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验证项目</w:t>
            </w:r>
          </w:p>
        </w:tc>
        <w:tc>
          <w:tcPr>
            <w:tcW w:w="2084"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4A7028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临沧秋珀庄园有限公司</w:t>
            </w:r>
          </w:p>
        </w:tc>
        <w:tc>
          <w:tcPr>
            <w:tcW w:w="0" w:type="auto"/>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32355B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云南省</w:t>
            </w:r>
            <w:r>
              <w:rPr>
                <w:rStyle w:val="13"/>
                <w:rFonts w:hint="eastAsia" w:ascii="方正仿宋_GB2312" w:hAnsi="方正仿宋_GB2312" w:eastAsia="方正仿宋_GB2312" w:cs="方正仿宋_GB2312"/>
                <w:b w:val="0"/>
                <w:bCs/>
                <w:color w:val="000000"/>
                <w:kern w:val="0"/>
                <w:sz w:val="18"/>
                <w:szCs w:val="18"/>
                <w:lang w:val="en-US" w:eastAsia="zh-CN" w:bidi="ar"/>
              </w:rPr>
              <w:t>德宏热带农业科学研究所盆栽</w:t>
            </w:r>
            <w:r>
              <w:rPr>
                <w:rStyle w:val="13"/>
                <w:rFonts w:hint="default" w:ascii="方正仿宋_GB2312" w:hAnsi="方正仿宋_GB2312" w:eastAsia="方正仿宋_GB2312" w:cs="方正仿宋_GB2312"/>
                <w:b w:val="0"/>
                <w:bCs/>
                <w:color w:val="000000"/>
                <w:kern w:val="0"/>
                <w:sz w:val="18"/>
                <w:szCs w:val="18"/>
                <w:lang w:val="en-US" w:eastAsia="zh-CN" w:bidi="ar"/>
              </w:rPr>
              <w:t>试验</w:t>
            </w:r>
          </w:p>
        </w:tc>
        <w:tc>
          <w:tcPr>
            <w:tcW w:w="2175"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336BA1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云南省德宏盈江县太平镇（实典咖啡有限公司咖啡园）</w:t>
            </w:r>
          </w:p>
        </w:tc>
        <w:tc>
          <w:tcPr>
            <w:tcW w:w="1310"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360310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结论与分析</w:t>
            </w:r>
          </w:p>
        </w:tc>
      </w:tr>
      <w:tr w14:paraId="602A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15" w:type="dxa"/>
            <w:tcBorders>
              <w:top w:val="single" w:color="000000" w:sz="4" w:space="0"/>
              <w:left w:val="nil"/>
              <w:bottom w:val="nil"/>
              <w:right w:val="nil"/>
            </w:tcBorders>
            <w:shd w:val="clear" w:color="auto" w:fill="FFFFFF"/>
            <w:tcMar>
              <w:top w:w="120" w:type="dxa"/>
              <w:left w:w="0" w:type="dxa"/>
              <w:bottom w:w="120" w:type="dxa"/>
              <w:right w:w="192" w:type="dxa"/>
            </w:tcMar>
            <w:vAlign w:val="center"/>
          </w:tcPr>
          <w:p w14:paraId="5A3338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土壤pH值</w:t>
            </w:r>
          </w:p>
        </w:tc>
        <w:tc>
          <w:tcPr>
            <w:tcW w:w="2084"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64986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4.71</w:t>
            </w:r>
          </w:p>
        </w:tc>
        <w:tc>
          <w:tcPr>
            <w:tcW w:w="0" w:type="auto"/>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0AD2C2A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1.人工调制</w:t>
            </w:r>
            <w:r>
              <w:rPr>
                <w:rStyle w:val="13"/>
                <w:rFonts w:hint="default" w:ascii="方正仿宋_GB2312" w:hAnsi="方正仿宋_GB2312" w:eastAsia="方正仿宋_GB2312" w:cs="方正仿宋_GB2312"/>
                <w:b w:val="0"/>
                <w:bCs/>
                <w:color w:val="000000"/>
                <w:kern w:val="0"/>
                <w:sz w:val="18"/>
                <w:szCs w:val="18"/>
                <w:lang w:val="en-US" w:eastAsia="zh-CN" w:bidi="ar"/>
              </w:rPr>
              <w:t>4.3-6.3的pH梯度</w:t>
            </w:r>
            <w:r>
              <w:rPr>
                <w:rStyle w:val="13"/>
                <w:rFonts w:hint="eastAsia" w:ascii="方正仿宋_GB2312" w:hAnsi="方正仿宋_GB2312" w:eastAsia="方正仿宋_GB2312" w:cs="方正仿宋_GB2312"/>
                <w:b w:val="0"/>
                <w:bCs/>
                <w:color w:val="000000"/>
                <w:kern w:val="0"/>
                <w:sz w:val="18"/>
                <w:szCs w:val="18"/>
                <w:lang w:val="en-US" w:eastAsia="zh-CN" w:bidi="ar"/>
              </w:rPr>
              <w:t>试验</w:t>
            </w:r>
          </w:p>
          <w:p w14:paraId="482D22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w:t>
            </w:r>
            <w:r>
              <w:rPr>
                <w:rStyle w:val="13"/>
                <w:rFonts w:hint="default" w:ascii="方正仿宋_GB2312" w:hAnsi="方正仿宋_GB2312" w:eastAsia="方正仿宋_GB2312" w:cs="方正仿宋_GB2312"/>
                <w:b w:val="0"/>
                <w:bCs/>
                <w:color w:val="000000"/>
                <w:kern w:val="0"/>
                <w:sz w:val="18"/>
                <w:szCs w:val="18"/>
                <w:lang w:val="en-US" w:eastAsia="zh-CN" w:bidi="ar"/>
              </w:rPr>
              <w:t>.同一品种（</w:t>
            </w:r>
            <w:r>
              <w:rPr>
                <w:rStyle w:val="13"/>
                <w:rFonts w:hint="eastAsia" w:ascii="方正仿宋_GB2312" w:hAnsi="方正仿宋_GB2312" w:eastAsia="方正仿宋_GB2312" w:cs="方正仿宋_GB2312"/>
                <w:b w:val="0"/>
                <w:bCs/>
                <w:color w:val="000000"/>
                <w:kern w:val="0"/>
                <w:sz w:val="18"/>
                <w:szCs w:val="18"/>
                <w:lang w:val="en-US" w:eastAsia="zh-CN" w:bidi="ar"/>
              </w:rPr>
              <w:t>德热4号</w:t>
            </w:r>
            <w:r>
              <w:rPr>
                <w:rStyle w:val="13"/>
                <w:rFonts w:hint="default" w:ascii="方正仿宋_GB2312" w:hAnsi="方正仿宋_GB2312" w:eastAsia="方正仿宋_GB2312" w:cs="方正仿宋_GB2312"/>
                <w:b w:val="0"/>
                <w:bCs/>
                <w:color w:val="000000"/>
                <w:kern w:val="0"/>
                <w:sz w:val="18"/>
                <w:szCs w:val="18"/>
                <w:lang w:val="en-US" w:eastAsia="zh-CN" w:bidi="ar"/>
              </w:rPr>
              <w:t>）在不同pH</w:t>
            </w:r>
            <w:r>
              <w:rPr>
                <w:rStyle w:val="13"/>
                <w:rFonts w:hint="eastAsia" w:ascii="方正仿宋_GB2312" w:hAnsi="方正仿宋_GB2312" w:eastAsia="方正仿宋_GB2312" w:cs="方正仿宋_GB2312"/>
                <w:b w:val="0"/>
                <w:bCs/>
                <w:color w:val="000000"/>
                <w:kern w:val="0"/>
                <w:sz w:val="18"/>
                <w:szCs w:val="18"/>
                <w:lang w:val="en-US" w:eastAsia="zh-CN" w:bidi="ar"/>
              </w:rPr>
              <w:t>基质中种植，</w:t>
            </w:r>
            <w:r>
              <w:rPr>
                <w:rStyle w:val="13"/>
                <w:rFonts w:hint="default" w:ascii="方正仿宋_GB2312" w:hAnsi="方正仿宋_GB2312" w:eastAsia="方正仿宋_GB2312" w:cs="方正仿宋_GB2312"/>
                <w:b w:val="0"/>
                <w:bCs/>
                <w:color w:val="000000"/>
                <w:kern w:val="0"/>
                <w:sz w:val="18"/>
                <w:szCs w:val="18"/>
                <w:lang w:val="en-US" w:eastAsia="zh-CN" w:bidi="ar"/>
              </w:rPr>
              <w:t>各pH梯度保持稳定</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eastAsia" w:ascii="方正仿宋_GB2312" w:hAnsi="方正仿宋_GB2312" w:eastAsia="方正仿宋_GB2312" w:cs="方正仿宋_GB2312"/>
                <w:b w:val="0"/>
                <w:bCs/>
                <w:color w:val="000000"/>
                <w:kern w:val="0"/>
                <w:sz w:val="18"/>
                <w:szCs w:val="18"/>
                <w:lang w:val="en-US" w:eastAsia="zh-CN" w:bidi="ar"/>
              </w:rPr>
              <w:t>3</w:t>
            </w:r>
            <w:r>
              <w:rPr>
                <w:rStyle w:val="13"/>
                <w:rFonts w:hint="default" w:ascii="方正仿宋_GB2312" w:hAnsi="方正仿宋_GB2312" w:eastAsia="方正仿宋_GB2312" w:cs="方正仿宋_GB2312"/>
                <w:b w:val="0"/>
                <w:bCs/>
                <w:color w:val="000000"/>
                <w:kern w:val="0"/>
                <w:sz w:val="18"/>
                <w:szCs w:val="18"/>
                <w:lang w:val="en-US" w:eastAsia="zh-CN" w:bidi="ar"/>
              </w:rPr>
              <w:t>.统一水肥管理</w:t>
            </w:r>
          </w:p>
        </w:tc>
        <w:tc>
          <w:tcPr>
            <w:tcW w:w="2175"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739095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4.</w:t>
            </w:r>
            <w:r>
              <w:rPr>
                <w:rStyle w:val="13"/>
                <w:rFonts w:hint="eastAsia" w:ascii="方正仿宋_GB2312" w:hAnsi="方正仿宋_GB2312" w:eastAsia="方正仿宋_GB2312" w:cs="方正仿宋_GB2312"/>
                <w:b w:val="0"/>
                <w:bCs/>
                <w:color w:val="000000"/>
                <w:kern w:val="0"/>
                <w:sz w:val="18"/>
                <w:szCs w:val="18"/>
                <w:lang w:val="en-US" w:eastAsia="zh-CN" w:bidi="ar"/>
              </w:rPr>
              <w:t>48-4.51</w:t>
            </w:r>
          </w:p>
        </w:tc>
        <w:tc>
          <w:tcPr>
            <w:tcW w:w="1310" w:type="dxa"/>
            <w:tcBorders>
              <w:top w:val="single" w:color="000000" w:sz="4" w:space="0"/>
              <w:left w:val="nil"/>
              <w:bottom w:val="nil"/>
              <w:right w:val="nil"/>
            </w:tcBorders>
            <w:shd w:val="clear" w:color="auto" w:fill="FFFFFF"/>
            <w:tcMar>
              <w:top w:w="120" w:type="dxa"/>
              <w:left w:w="192" w:type="dxa"/>
              <w:bottom w:w="120" w:type="dxa"/>
              <w:right w:w="0" w:type="dxa"/>
            </w:tcMar>
            <w:vAlign w:val="center"/>
          </w:tcPr>
          <w:p w14:paraId="1EE3EF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云南咖啡园土壤普遍呈酸性至强酸性</w:t>
            </w:r>
          </w:p>
        </w:tc>
      </w:tr>
      <w:tr w14:paraId="4021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15" w:type="dxa"/>
            <w:tcBorders>
              <w:top w:val="nil"/>
              <w:left w:val="nil"/>
              <w:bottom w:val="nil"/>
              <w:right w:val="nil"/>
            </w:tcBorders>
            <w:shd w:val="clear" w:color="auto" w:fill="FFFFFF"/>
            <w:tcMar>
              <w:top w:w="120" w:type="dxa"/>
              <w:left w:w="0" w:type="dxa"/>
              <w:bottom w:w="120" w:type="dxa"/>
              <w:right w:w="192" w:type="dxa"/>
            </w:tcMar>
            <w:vAlign w:val="center"/>
          </w:tcPr>
          <w:p w14:paraId="4007DF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咖啡生长表现</w:t>
            </w:r>
          </w:p>
        </w:tc>
        <w:tc>
          <w:tcPr>
            <w:tcW w:w="2084" w:type="dxa"/>
            <w:tcBorders>
              <w:top w:val="nil"/>
              <w:left w:val="nil"/>
              <w:bottom w:val="nil"/>
              <w:right w:val="nil"/>
            </w:tcBorders>
            <w:shd w:val="clear" w:color="auto" w:fill="FFFFFF"/>
            <w:tcMar>
              <w:top w:w="120" w:type="dxa"/>
              <w:left w:w="192" w:type="dxa"/>
              <w:bottom w:w="120" w:type="dxa"/>
              <w:right w:w="192" w:type="dxa"/>
            </w:tcMar>
            <w:vAlign w:val="center"/>
          </w:tcPr>
          <w:p w14:paraId="5B17E3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生长健壮，无典型酸害症状</w:t>
            </w:r>
          </w:p>
        </w:tc>
        <w:tc>
          <w:tcPr>
            <w:tcW w:w="0" w:type="auto"/>
            <w:tcBorders>
              <w:top w:val="nil"/>
              <w:left w:val="nil"/>
              <w:bottom w:val="nil"/>
              <w:right w:val="nil"/>
            </w:tcBorders>
            <w:shd w:val="clear" w:color="auto" w:fill="FFFFFF"/>
            <w:tcMar>
              <w:top w:w="120" w:type="dxa"/>
              <w:left w:w="192" w:type="dxa"/>
              <w:bottom w:w="120" w:type="dxa"/>
              <w:right w:w="192" w:type="dxa"/>
            </w:tcMar>
            <w:vAlign w:val="center"/>
          </w:tcPr>
          <w:p w14:paraId="414B8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pH4.</w:t>
            </w:r>
            <w:r>
              <w:rPr>
                <w:rStyle w:val="13"/>
                <w:rFonts w:hint="eastAsia" w:ascii="方正仿宋_GB2312" w:hAnsi="方正仿宋_GB2312" w:eastAsia="方正仿宋_GB2312" w:cs="方正仿宋_GB2312"/>
                <w:b w:val="0"/>
                <w:bCs/>
                <w:color w:val="000000"/>
                <w:kern w:val="0"/>
                <w:sz w:val="18"/>
                <w:szCs w:val="18"/>
                <w:lang w:val="en-US" w:eastAsia="zh-CN" w:bidi="ar"/>
              </w:rPr>
              <w:t>5</w:t>
            </w:r>
            <w:r>
              <w:rPr>
                <w:rStyle w:val="13"/>
                <w:rFonts w:hint="default" w:ascii="方正仿宋_GB2312" w:hAnsi="方正仿宋_GB2312" w:eastAsia="方正仿宋_GB2312" w:cs="方正仿宋_GB2312"/>
                <w:b w:val="0"/>
                <w:bCs/>
                <w:color w:val="000000"/>
                <w:kern w:val="0"/>
                <w:sz w:val="18"/>
                <w:szCs w:val="18"/>
                <w:lang w:val="en-US" w:eastAsia="zh-CN" w:bidi="ar"/>
              </w:rPr>
              <w:t>-5.8范围内生长无显著差异；pH4.3时初期生长受抑制，通过管理可恢复</w:t>
            </w:r>
          </w:p>
        </w:tc>
        <w:tc>
          <w:tcPr>
            <w:tcW w:w="2175" w:type="dxa"/>
            <w:tcBorders>
              <w:top w:val="nil"/>
              <w:left w:val="nil"/>
              <w:bottom w:val="nil"/>
              <w:right w:val="nil"/>
            </w:tcBorders>
            <w:shd w:val="clear" w:color="auto" w:fill="FFFFFF"/>
            <w:tcMar>
              <w:top w:w="120" w:type="dxa"/>
              <w:left w:w="192" w:type="dxa"/>
              <w:bottom w:w="120" w:type="dxa"/>
              <w:right w:w="192" w:type="dxa"/>
            </w:tcMar>
            <w:vAlign w:val="center"/>
          </w:tcPr>
          <w:p w14:paraId="3433F5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正常生长，未出现生长障碍</w:t>
            </w:r>
          </w:p>
        </w:tc>
        <w:tc>
          <w:tcPr>
            <w:tcW w:w="1310" w:type="dxa"/>
            <w:tcBorders>
              <w:top w:val="nil"/>
              <w:left w:val="nil"/>
              <w:bottom w:val="nil"/>
              <w:right w:val="nil"/>
            </w:tcBorders>
            <w:shd w:val="clear" w:color="auto" w:fill="FFFFFF"/>
            <w:tcMar>
              <w:top w:w="120" w:type="dxa"/>
              <w:left w:w="192" w:type="dxa"/>
              <w:bottom w:w="120" w:type="dxa"/>
              <w:right w:w="0" w:type="dxa"/>
            </w:tcMar>
            <w:vAlign w:val="center"/>
          </w:tcPr>
          <w:p w14:paraId="202202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咖啡对酸性土壤有广泛适应性</w:t>
            </w:r>
            <w:r>
              <w:rPr>
                <w:rStyle w:val="13"/>
                <w:rFonts w:hint="eastAsia" w:ascii="方正仿宋_GB2312" w:hAnsi="方正仿宋_GB2312" w:eastAsia="方正仿宋_GB2312" w:cs="方正仿宋_GB2312"/>
                <w:b w:val="0"/>
                <w:bCs/>
                <w:color w:val="000000"/>
                <w:kern w:val="0"/>
                <w:sz w:val="18"/>
                <w:szCs w:val="18"/>
                <w:lang w:val="en-US" w:eastAsia="zh-CN" w:bidi="ar"/>
              </w:rPr>
              <w:t>。</w:t>
            </w:r>
          </w:p>
        </w:tc>
      </w:tr>
      <w:tr w14:paraId="0FA7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0" w:hRule="atLeast"/>
        </w:trPr>
        <w:tc>
          <w:tcPr>
            <w:tcW w:w="1015" w:type="dxa"/>
            <w:tcBorders>
              <w:top w:val="nil"/>
              <w:left w:val="nil"/>
              <w:bottom w:val="nil"/>
              <w:right w:val="nil"/>
            </w:tcBorders>
            <w:shd w:val="clear" w:color="auto" w:fill="FFFFFF"/>
            <w:tcMar>
              <w:top w:w="120" w:type="dxa"/>
              <w:left w:w="0" w:type="dxa"/>
              <w:bottom w:w="120" w:type="dxa"/>
              <w:right w:w="192" w:type="dxa"/>
            </w:tcMar>
            <w:vAlign w:val="center"/>
          </w:tcPr>
          <w:p w14:paraId="7574E3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产量表现</w:t>
            </w:r>
          </w:p>
        </w:tc>
        <w:tc>
          <w:tcPr>
            <w:tcW w:w="2084" w:type="dxa"/>
            <w:tcBorders>
              <w:top w:val="nil"/>
              <w:left w:val="nil"/>
              <w:bottom w:val="nil"/>
              <w:right w:val="nil"/>
            </w:tcBorders>
            <w:shd w:val="clear" w:color="auto" w:fill="FFFFFF"/>
            <w:tcMar>
              <w:top w:w="120" w:type="dxa"/>
              <w:left w:w="192" w:type="dxa"/>
              <w:bottom w:w="120" w:type="dxa"/>
              <w:right w:w="192" w:type="dxa"/>
            </w:tcMar>
            <w:vAlign w:val="center"/>
          </w:tcPr>
          <w:p w14:paraId="6FF110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产量稳定，符合当地生产水平</w:t>
            </w:r>
          </w:p>
        </w:tc>
        <w:tc>
          <w:tcPr>
            <w:tcW w:w="0" w:type="auto"/>
            <w:tcBorders>
              <w:top w:val="nil"/>
              <w:left w:val="nil"/>
              <w:bottom w:val="nil"/>
              <w:right w:val="nil"/>
            </w:tcBorders>
            <w:shd w:val="clear" w:color="auto" w:fill="FFFFFF"/>
            <w:tcMar>
              <w:top w:w="120" w:type="dxa"/>
              <w:left w:w="192" w:type="dxa"/>
              <w:bottom w:w="120" w:type="dxa"/>
              <w:right w:w="192" w:type="dxa"/>
            </w:tcMar>
            <w:vAlign w:val="center"/>
          </w:tcPr>
          <w:p w14:paraId="215AE0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盆栽挂果无明显差别</w:t>
            </w:r>
          </w:p>
        </w:tc>
        <w:tc>
          <w:tcPr>
            <w:tcW w:w="2175" w:type="dxa"/>
            <w:tcBorders>
              <w:top w:val="nil"/>
              <w:left w:val="nil"/>
              <w:bottom w:val="nil"/>
              <w:right w:val="nil"/>
            </w:tcBorders>
            <w:shd w:val="clear" w:color="auto" w:fill="FFFFFF"/>
            <w:tcMar>
              <w:top w:w="120" w:type="dxa"/>
              <w:left w:w="192" w:type="dxa"/>
              <w:bottom w:w="120" w:type="dxa"/>
              <w:right w:w="192" w:type="dxa"/>
            </w:tcMar>
            <w:vAlign w:val="center"/>
          </w:tcPr>
          <w:p w14:paraId="22316C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产量稳定，符合当地生产水平</w:t>
            </w:r>
          </w:p>
        </w:tc>
        <w:tc>
          <w:tcPr>
            <w:tcW w:w="1310" w:type="dxa"/>
            <w:tcBorders>
              <w:top w:val="nil"/>
              <w:left w:val="nil"/>
              <w:bottom w:val="nil"/>
              <w:right w:val="nil"/>
            </w:tcBorders>
            <w:shd w:val="clear" w:color="auto" w:fill="FFFFFF"/>
            <w:tcMar>
              <w:top w:w="120" w:type="dxa"/>
              <w:left w:w="192" w:type="dxa"/>
              <w:bottom w:w="120" w:type="dxa"/>
              <w:right w:w="0" w:type="dxa"/>
            </w:tcMar>
            <w:vAlign w:val="center"/>
          </w:tcPr>
          <w:p w14:paraId="274C71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酸性土壤不影响高产潜力</w:t>
            </w:r>
          </w:p>
        </w:tc>
      </w:tr>
      <w:tr w14:paraId="4447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15" w:type="dxa"/>
            <w:tcBorders>
              <w:top w:val="nil"/>
              <w:left w:val="nil"/>
              <w:bottom w:val="single" w:color="000000" w:sz="12" w:space="0"/>
              <w:right w:val="nil"/>
            </w:tcBorders>
            <w:shd w:val="clear" w:color="auto" w:fill="FFFFFF"/>
            <w:tcMar>
              <w:top w:w="120" w:type="dxa"/>
              <w:left w:w="0" w:type="dxa"/>
              <w:bottom w:w="120" w:type="dxa"/>
              <w:right w:w="192" w:type="dxa"/>
            </w:tcMar>
            <w:vAlign w:val="center"/>
          </w:tcPr>
          <w:p w14:paraId="3D29F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品质表现</w:t>
            </w:r>
          </w:p>
        </w:tc>
        <w:tc>
          <w:tcPr>
            <w:tcW w:w="2084"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2114DF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醇厚度高，风味饱满，杯品质量优异</w:t>
            </w:r>
            <w:r>
              <w:rPr>
                <w:rStyle w:val="13"/>
                <w:rFonts w:hint="eastAsia" w:ascii="方正仿宋_GB2312" w:hAnsi="方正仿宋_GB2312" w:eastAsia="方正仿宋_GB2312" w:cs="方正仿宋_GB2312"/>
                <w:b w:val="0"/>
                <w:bCs/>
                <w:color w:val="000000"/>
                <w:kern w:val="0"/>
                <w:sz w:val="18"/>
                <w:szCs w:val="18"/>
                <w:lang w:val="en-US" w:eastAsia="zh-CN" w:bidi="ar"/>
              </w:rPr>
              <w:t>，屡次获奖</w:t>
            </w:r>
          </w:p>
        </w:tc>
        <w:tc>
          <w:tcPr>
            <w:tcW w:w="0" w:type="auto"/>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4E8DC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未评价</w:t>
            </w:r>
          </w:p>
        </w:tc>
        <w:tc>
          <w:tcPr>
            <w:tcW w:w="2175"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486023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咖啡尚品豆，物性正常内含物含量正常，符合标准规定，杯测达精品豆标准。</w:t>
            </w:r>
          </w:p>
        </w:tc>
        <w:tc>
          <w:tcPr>
            <w:tcW w:w="1310" w:type="dxa"/>
            <w:tcBorders>
              <w:top w:val="nil"/>
              <w:left w:val="nil"/>
              <w:bottom w:val="single" w:color="000000" w:sz="12" w:space="0"/>
              <w:right w:val="nil"/>
            </w:tcBorders>
            <w:shd w:val="clear" w:color="auto" w:fill="FFFFFF"/>
            <w:tcMar>
              <w:top w:w="120" w:type="dxa"/>
              <w:left w:w="192" w:type="dxa"/>
              <w:bottom w:w="120" w:type="dxa"/>
              <w:right w:w="0" w:type="dxa"/>
            </w:tcMar>
            <w:vAlign w:val="center"/>
          </w:tcPr>
          <w:p w14:paraId="49F073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酸性土壤可成为塑造特色风味的积极因素</w:t>
            </w:r>
          </w:p>
        </w:tc>
      </w:tr>
    </w:tbl>
    <w:p w14:paraId="3BB2E085">
      <w:pPr>
        <w:spacing w:line="560" w:lineRule="exact"/>
        <w:ind w:firstLine="482" w:firstLineChars="200"/>
        <w:rPr>
          <w:rFonts w:hint="default" w:ascii="Times New Roman" w:hAnsi="Times New Roman" w:eastAsia="仿宋_GB2312" w:cs="Arial"/>
          <w:b/>
          <w:bCs/>
          <w:sz w:val="24"/>
          <w:szCs w:val="32"/>
          <w:lang w:val="en-US" w:eastAsia="zh-CN"/>
        </w:rPr>
      </w:pPr>
    </w:p>
    <w:p w14:paraId="76CE55FF">
      <w:pPr>
        <w:spacing w:line="560" w:lineRule="exact"/>
        <w:ind w:firstLine="482" w:firstLineChars="200"/>
        <w:rPr>
          <w:rFonts w:hint="default" w:ascii="Times New Roman" w:hAnsi="Times New Roman" w:eastAsia="仿宋_GB2312" w:cs="Arial"/>
          <w:b/>
          <w:bCs/>
          <w:sz w:val="24"/>
          <w:szCs w:val="32"/>
          <w:lang w:val="en-US" w:eastAsia="zh-CN"/>
        </w:rPr>
      </w:pPr>
      <w:r>
        <w:rPr>
          <w:rFonts w:hint="default" w:ascii="Times New Roman" w:hAnsi="Times New Roman" w:eastAsia="仿宋_GB2312" w:cs="Arial"/>
          <w:b/>
          <w:bCs/>
          <w:sz w:val="24"/>
          <w:szCs w:val="32"/>
          <w:lang w:val="en-US" w:eastAsia="zh-CN"/>
        </w:rPr>
        <w:t>2. 施肥方案的定量化与精准化</w:t>
      </w:r>
    </w:p>
    <w:p w14:paraId="254D4AB4">
      <w:pPr>
        <w:spacing w:line="560" w:lineRule="exact"/>
        <w:ind w:firstLine="480"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sz w:val="24"/>
          <w:szCs w:val="32"/>
          <w:lang w:val="en-US" w:eastAsia="zh-CN"/>
        </w:rPr>
        <w:t>技术内容改变： 将旧版描述性的施肥建议，改为按树龄和预期产量明确的定量化表格（表1，表2）。</w:t>
      </w:r>
    </w:p>
    <w:p w14:paraId="78346B53">
      <w:pPr>
        <w:spacing w:line="560" w:lineRule="exact"/>
        <w:ind w:firstLine="482" w:firstLineChars="200"/>
        <w:rPr>
          <w:rFonts w:hint="default" w:ascii="Times New Roman" w:hAnsi="Times New Roman" w:eastAsia="仿宋_GB2312" w:cs="Arial"/>
          <w:b/>
          <w:bCs/>
          <w:sz w:val="24"/>
          <w:szCs w:val="32"/>
          <w:lang w:val="en-US" w:eastAsia="zh-CN"/>
        </w:rPr>
      </w:pPr>
      <w:r>
        <w:rPr>
          <w:rFonts w:hint="default" w:ascii="Times New Roman" w:hAnsi="Times New Roman" w:eastAsia="仿宋_GB2312" w:cs="Arial"/>
          <w:b/>
          <w:bCs/>
          <w:sz w:val="24"/>
          <w:szCs w:val="32"/>
          <w:lang w:val="en-US" w:eastAsia="zh-CN"/>
        </w:rPr>
        <w:t>验证分析与论证：</w:t>
      </w:r>
    </w:p>
    <w:p w14:paraId="5DD1CE2F">
      <w:pPr>
        <w:spacing w:line="560" w:lineRule="exact"/>
        <w:ind w:firstLine="480"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sz w:val="24"/>
          <w:szCs w:val="32"/>
          <w:lang w:val="en-US" w:eastAsia="zh-CN"/>
        </w:rPr>
        <w:t>数据基础： 该方案是基于对咖啡植株年周期内养分吸收规律的多年研究，结合土壤养分测定和叶片营养诊断技术得出的。例如，针对投产树，明确了在“开花后30天”、“果实膨大期”等关键物候期的需肥特性和用量。</w:t>
      </w:r>
    </w:p>
    <w:p w14:paraId="38063C65">
      <w:pPr>
        <w:spacing w:line="560" w:lineRule="exact"/>
        <w:ind w:firstLine="480"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sz w:val="24"/>
          <w:szCs w:val="32"/>
          <w:lang w:val="en-US" w:eastAsia="zh-CN"/>
        </w:rPr>
        <w:t>据文献研究生产1kg咖啡豆需氮（N）1</w:t>
      </w:r>
      <w:r>
        <w:rPr>
          <w:rFonts w:hint="eastAsia" w:eastAsia="仿宋_GB2312" w:cs="Arial"/>
          <w:sz w:val="24"/>
          <w:szCs w:val="32"/>
          <w:lang w:val="en-US" w:eastAsia="zh-CN"/>
        </w:rPr>
        <w:t>00</w:t>
      </w:r>
      <w:r>
        <w:rPr>
          <w:rFonts w:hint="default" w:ascii="Times New Roman" w:hAnsi="Times New Roman" w:eastAsia="仿宋_GB2312" w:cs="Arial"/>
          <w:sz w:val="24"/>
          <w:szCs w:val="32"/>
          <w:lang w:val="en-US" w:eastAsia="zh-CN"/>
        </w:rPr>
        <w:t>g、磷（P</w:t>
      </w:r>
      <w:r>
        <w:rPr>
          <w:rFonts w:hint="default" w:ascii="Times New Roman" w:hAnsi="Times New Roman" w:eastAsia="仿宋_GB2312" w:cs="Arial"/>
          <w:sz w:val="24"/>
          <w:szCs w:val="32"/>
          <w:vertAlign w:val="subscript"/>
          <w:lang w:val="en-US" w:eastAsia="zh-CN"/>
        </w:rPr>
        <w:t>2</w:t>
      </w:r>
      <w:r>
        <w:rPr>
          <w:rFonts w:hint="default" w:ascii="Times New Roman" w:hAnsi="Times New Roman" w:eastAsia="仿宋_GB2312" w:cs="Arial"/>
          <w:sz w:val="24"/>
          <w:szCs w:val="32"/>
          <w:lang w:val="en-US" w:eastAsia="zh-CN"/>
        </w:rPr>
        <w:t>O</w:t>
      </w:r>
      <w:r>
        <w:rPr>
          <w:rFonts w:hint="default" w:ascii="Times New Roman" w:hAnsi="Times New Roman" w:eastAsia="仿宋_GB2312" w:cs="Arial"/>
          <w:sz w:val="24"/>
          <w:szCs w:val="32"/>
          <w:vertAlign w:val="subscript"/>
          <w:lang w:val="en-US" w:eastAsia="zh-CN"/>
        </w:rPr>
        <w:t>5</w:t>
      </w:r>
      <w:r>
        <w:rPr>
          <w:rFonts w:hint="default" w:ascii="Times New Roman" w:hAnsi="Times New Roman" w:eastAsia="仿宋_GB2312" w:cs="Arial"/>
          <w:sz w:val="24"/>
          <w:szCs w:val="32"/>
          <w:lang w:val="en-US" w:eastAsia="zh-CN"/>
        </w:rPr>
        <w:t>）</w:t>
      </w:r>
      <w:r>
        <w:rPr>
          <w:rFonts w:hint="eastAsia" w:eastAsia="仿宋_GB2312" w:cs="Arial"/>
          <w:sz w:val="24"/>
          <w:szCs w:val="32"/>
          <w:lang w:val="en-US" w:eastAsia="zh-CN"/>
        </w:rPr>
        <w:t>10</w:t>
      </w:r>
      <w:r>
        <w:rPr>
          <w:rFonts w:hint="default" w:ascii="Times New Roman" w:hAnsi="Times New Roman" w:eastAsia="仿宋_GB2312" w:cs="Arial"/>
          <w:sz w:val="24"/>
          <w:szCs w:val="32"/>
          <w:lang w:val="en-US" w:eastAsia="zh-CN"/>
        </w:rPr>
        <w:t>g、钾（K</w:t>
      </w:r>
      <w:r>
        <w:rPr>
          <w:rFonts w:hint="default" w:ascii="Times New Roman" w:hAnsi="Times New Roman" w:eastAsia="仿宋_GB2312" w:cs="Arial"/>
          <w:sz w:val="24"/>
          <w:szCs w:val="32"/>
          <w:vertAlign w:val="subscript"/>
          <w:lang w:val="en-US" w:eastAsia="zh-CN"/>
        </w:rPr>
        <w:t>2</w:t>
      </w:r>
      <w:r>
        <w:rPr>
          <w:rFonts w:hint="default" w:ascii="Times New Roman" w:hAnsi="Times New Roman" w:eastAsia="仿宋_GB2312" w:cs="Arial"/>
          <w:sz w:val="24"/>
          <w:szCs w:val="32"/>
          <w:lang w:val="en-US" w:eastAsia="zh-CN"/>
        </w:rPr>
        <w:t>O）</w:t>
      </w:r>
      <w:r>
        <w:rPr>
          <w:rFonts w:hint="eastAsia" w:eastAsia="仿宋_GB2312" w:cs="Arial"/>
          <w:sz w:val="24"/>
          <w:szCs w:val="32"/>
          <w:lang w:val="en-US" w:eastAsia="zh-CN"/>
        </w:rPr>
        <w:t>98</w:t>
      </w:r>
      <w:r>
        <w:rPr>
          <w:rFonts w:hint="default" w:ascii="Times New Roman" w:hAnsi="Times New Roman" w:eastAsia="仿宋_GB2312" w:cs="Arial"/>
          <w:sz w:val="24"/>
          <w:szCs w:val="32"/>
          <w:lang w:val="en-US" w:eastAsia="zh-CN"/>
        </w:rPr>
        <w:t>g。</w:t>
      </w:r>
      <w:r>
        <w:rPr>
          <w:rFonts w:hint="eastAsia" w:eastAsia="仿宋_GB2312" w:cs="Arial"/>
          <w:sz w:val="24"/>
          <w:szCs w:val="32"/>
          <w:lang w:val="en-US" w:eastAsia="zh-CN"/>
        </w:rPr>
        <w:t>肥料利用率</w:t>
      </w:r>
      <w:r>
        <w:rPr>
          <w:rFonts w:hint="default" w:ascii="Times New Roman" w:hAnsi="Times New Roman" w:eastAsia="仿宋_GB2312" w:cs="Arial"/>
          <w:sz w:val="24"/>
          <w:szCs w:val="32"/>
          <w:lang w:val="en-US" w:eastAsia="zh-CN"/>
        </w:rPr>
        <w:t>氮（N）</w:t>
      </w:r>
      <w:r>
        <w:rPr>
          <w:rFonts w:hint="eastAsia" w:eastAsia="仿宋_GB2312" w:cs="Arial"/>
          <w:sz w:val="24"/>
          <w:szCs w:val="32"/>
          <w:lang w:val="en-US" w:eastAsia="zh-CN"/>
        </w:rPr>
        <w:t>50%</w:t>
      </w:r>
      <w:r>
        <w:rPr>
          <w:rFonts w:hint="default" w:ascii="Times New Roman" w:hAnsi="Times New Roman" w:eastAsia="仿宋_GB2312" w:cs="Arial"/>
          <w:sz w:val="24"/>
          <w:szCs w:val="32"/>
          <w:lang w:val="en-US" w:eastAsia="zh-CN"/>
        </w:rPr>
        <w:t>、磷（P</w:t>
      </w:r>
      <w:r>
        <w:rPr>
          <w:rFonts w:hint="default" w:ascii="Times New Roman" w:hAnsi="Times New Roman" w:eastAsia="仿宋_GB2312" w:cs="Arial"/>
          <w:sz w:val="24"/>
          <w:szCs w:val="32"/>
          <w:vertAlign w:val="subscript"/>
          <w:lang w:val="en-US" w:eastAsia="zh-CN"/>
        </w:rPr>
        <w:t>2</w:t>
      </w:r>
      <w:r>
        <w:rPr>
          <w:rFonts w:hint="default" w:ascii="Times New Roman" w:hAnsi="Times New Roman" w:eastAsia="仿宋_GB2312" w:cs="Arial"/>
          <w:sz w:val="24"/>
          <w:szCs w:val="32"/>
          <w:lang w:val="en-US" w:eastAsia="zh-CN"/>
        </w:rPr>
        <w:t>O</w:t>
      </w:r>
      <w:r>
        <w:rPr>
          <w:rFonts w:hint="default" w:ascii="Times New Roman" w:hAnsi="Times New Roman" w:eastAsia="仿宋_GB2312" w:cs="Arial"/>
          <w:sz w:val="24"/>
          <w:szCs w:val="32"/>
          <w:vertAlign w:val="subscript"/>
          <w:lang w:val="en-US" w:eastAsia="zh-CN"/>
        </w:rPr>
        <w:t>5</w:t>
      </w:r>
      <w:r>
        <w:rPr>
          <w:rFonts w:hint="default" w:ascii="Times New Roman" w:hAnsi="Times New Roman" w:eastAsia="仿宋_GB2312" w:cs="Arial"/>
          <w:sz w:val="24"/>
          <w:szCs w:val="32"/>
          <w:lang w:val="en-US" w:eastAsia="zh-CN"/>
        </w:rPr>
        <w:t>）</w:t>
      </w:r>
      <w:r>
        <w:rPr>
          <w:rFonts w:hint="eastAsia" w:eastAsia="仿宋_GB2312" w:cs="Arial"/>
          <w:sz w:val="24"/>
          <w:szCs w:val="32"/>
          <w:lang w:val="en-US" w:eastAsia="zh-CN"/>
        </w:rPr>
        <w:t>20%</w:t>
      </w:r>
      <w:r>
        <w:rPr>
          <w:rFonts w:hint="default" w:ascii="Times New Roman" w:hAnsi="Times New Roman" w:eastAsia="仿宋_GB2312" w:cs="Arial"/>
          <w:sz w:val="24"/>
          <w:szCs w:val="32"/>
          <w:lang w:val="en-US" w:eastAsia="zh-CN"/>
        </w:rPr>
        <w:t>、钾（K</w:t>
      </w:r>
      <w:r>
        <w:rPr>
          <w:rFonts w:hint="default" w:ascii="Times New Roman" w:hAnsi="Times New Roman" w:eastAsia="仿宋_GB2312" w:cs="Arial"/>
          <w:sz w:val="24"/>
          <w:szCs w:val="32"/>
          <w:vertAlign w:val="subscript"/>
          <w:lang w:val="en-US" w:eastAsia="zh-CN"/>
        </w:rPr>
        <w:t>2</w:t>
      </w:r>
      <w:r>
        <w:rPr>
          <w:rFonts w:hint="default" w:ascii="Times New Roman" w:hAnsi="Times New Roman" w:eastAsia="仿宋_GB2312" w:cs="Arial"/>
          <w:sz w:val="24"/>
          <w:szCs w:val="32"/>
          <w:lang w:val="en-US" w:eastAsia="zh-CN"/>
        </w:rPr>
        <w:t>O）</w:t>
      </w:r>
      <w:r>
        <w:rPr>
          <w:rFonts w:hint="eastAsia" w:eastAsia="仿宋_GB2312" w:cs="Arial"/>
          <w:sz w:val="24"/>
          <w:szCs w:val="32"/>
          <w:lang w:val="en-US" w:eastAsia="zh-CN"/>
        </w:rPr>
        <w:t>70%</w:t>
      </w:r>
      <w:r>
        <w:rPr>
          <w:rFonts w:hint="default" w:ascii="Times New Roman" w:hAnsi="Times New Roman" w:eastAsia="仿宋_GB2312" w:cs="Arial"/>
          <w:sz w:val="24"/>
          <w:szCs w:val="32"/>
          <w:lang w:val="en-US" w:eastAsia="zh-CN"/>
        </w:rPr>
        <w:t>。</w:t>
      </w:r>
      <w:r>
        <w:rPr>
          <w:rFonts w:hint="eastAsia" w:eastAsia="仿宋_GB2312" w:cs="Arial"/>
          <w:sz w:val="24"/>
          <w:szCs w:val="32"/>
          <w:lang w:val="en-US" w:eastAsia="zh-CN"/>
        </w:rPr>
        <w:t>因此，生产1kg咖啡豆，需向田间施</w:t>
      </w:r>
      <w:r>
        <w:rPr>
          <w:rFonts w:hint="default" w:ascii="Times New Roman" w:hAnsi="Times New Roman" w:eastAsia="仿宋_GB2312" w:cs="Arial"/>
          <w:sz w:val="24"/>
          <w:szCs w:val="32"/>
          <w:lang w:val="en-US" w:eastAsia="zh-CN"/>
        </w:rPr>
        <w:t>氮（N）</w:t>
      </w:r>
      <w:r>
        <w:rPr>
          <w:rFonts w:hint="eastAsia" w:eastAsia="仿宋_GB2312" w:cs="Arial"/>
          <w:sz w:val="24"/>
          <w:szCs w:val="32"/>
          <w:lang w:val="en-US" w:eastAsia="zh-CN"/>
        </w:rPr>
        <w:t>200</w:t>
      </w:r>
      <w:r>
        <w:rPr>
          <w:rFonts w:hint="default" w:ascii="Times New Roman" w:hAnsi="Times New Roman" w:eastAsia="仿宋_GB2312" w:cs="Arial"/>
          <w:sz w:val="24"/>
          <w:szCs w:val="32"/>
          <w:lang w:val="en-US" w:eastAsia="zh-CN"/>
        </w:rPr>
        <w:t>g、磷（P</w:t>
      </w:r>
      <w:r>
        <w:rPr>
          <w:rFonts w:hint="default" w:ascii="Times New Roman" w:hAnsi="Times New Roman" w:eastAsia="仿宋_GB2312" w:cs="Arial"/>
          <w:sz w:val="24"/>
          <w:szCs w:val="32"/>
          <w:vertAlign w:val="subscript"/>
          <w:lang w:val="en-US" w:eastAsia="zh-CN"/>
        </w:rPr>
        <w:t>2</w:t>
      </w:r>
      <w:r>
        <w:rPr>
          <w:rFonts w:hint="default" w:ascii="Times New Roman" w:hAnsi="Times New Roman" w:eastAsia="仿宋_GB2312" w:cs="Arial"/>
          <w:sz w:val="24"/>
          <w:szCs w:val="32"/>
          <w:lang w:val="en-US" w:eastAsia="zh-CN"/>
        </w:rPr>
        <w:t>O</w:t>
      </w:r>
      <w:r>
        <w:rPr>
          <w:rFonts w:hint="default" w:ascii="Times New Roman" w:hAnsi="Times New Roman" w:eastAsia="仿宋_GB2312" w:cs="Arial"/>
          <w:sz w:val="24"/>
          <w:szCs w:val="32"/>
          <w:vertAlign w:val="subscript"/>
          <w:lang w:val="en-US" w:eastAsia="zh-CN"/>
        </w:rPr>
        <w:t>5</w:t>
      </w:r>
      <w:r>
        <w:rPr>
          <w:rFonts w:hint="default" w:ascii="Times New Roman" w:hAnsi="Times New Roman" w:eastAsia="仿宋_GB2312" w:cs="Arial"/>
          <w:sz w:val="24"/>
          <w:szCs w:val="32"/>
          <w:lang w:val="en-US" w:eastAsia="zh-CN"/>
        </w:rPr>
        <w:t>）</w:t>
      </w:r>
      <w:r>
        <w:rPr>
          <w:rFonts w:hint="eastAsia" w:eastAsia="仿宋_GB2312" w:cs="Arial"/>
          <w:sz w:val="24"/>
          <w:szCs w:val="32"/>
          <w:lang w:val="en-US" w:eastAsia="zh-CN"/>
        </w:rPr>
        <w:t>40</w:t>
      </w:r>
      <w:r>
        <w:rPr>
          <w:rFonts w:hint="default" w:ascii="Times New Roman" w:hAnsi="Times New Roman" w:eastAsia="仿宋_GB2312" w:cs="Arial"/>
          <w:sz w:val="24"/>
          <w:szCs w:val="32"/>
          <w:lang w:val="en-US" w:eastAsia="zh-CN"/>
        </w:rPr>
        <w:t>g、钾（K2O）</w:t>
      </w:r>
      <w:r>
        <w:rPr>
          <w:rFonts w:hint="eastAsia" w:eastAsia="仿宋_GB2312" w:cs="Arial"/>
          <w:sz w:val="24"/>
          <w:szCs w:val="32"/>
          <w:lang w:val="en-US" w:eastAsia="zh-CN"/>
        </w:rPr>
        <w:t>150</w:t>
      </w:r>
      <w:r>
        <w:rPr>
          <w:rFonts w:hint="default" w:ascii="Times New Roman" w:hAnsi="Times New Roman" w:eastAsia="仿宋_GB2312" w:cs="Arial"/>
          <w:sz w:val="24"/>
          <w:szCs w:val="32"/>
          <w:lang w:val="en-US" w:eastAsia="zh-CN"/>
        </w:rPr>
        <w:t>g。可根据目标产量确定施肥量</w:t>
      </w:r>
      <w:r>
        <w:rPr>
          <w:rFonts w:hint="eastAsia" w:eastAsia="仿宋_GB2312" w:cs="Arial"/>
          <w:sz w:val="24"/>
          <w:szCs w:val="32"/>
          <w:lang w:val="en-US" w:eastAsia="zh-CN"/>
        </w:rPr>
        <w:t>（表2）</w:t>
      </w:r>
      <w:r>
        <w:rPr>
          <w:rFonts w:hint="default" w:ascii="Times New Roman" w:hAnsi="Times New Roman" w:eastAsia="仿宋_GB2312" w:cs="Arial"/>
          <w:sz w:val="24"/>
          <w:szCs w:val="32"/>
          <w:lang w:val="en-US" w:eastAsia="zh-CN"/>
        </w:rPr>
        <w:t>。</w:t>
      </w:r>
    </w:p>
    <w:p w14:paraId="7AEE661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bCs/>
          <w:kern w:val="44"/>
          <w:sz w:val="21"/>
          <w:szCs w:val="24"/>
          <w:lang w:val="en-US" w:eastAsia="zh-CN"/>
        </w:rPr>
      </w:pPr>
    </w:p>
    <w:p w14:paraId="7CFC5AB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bCs/>
          <w:kern w:val="44"/>
          <w:sz w:val="21"/>
          <w:szCs w:val="24"/>
          <w:lang w:val="en-US" w:eastAsia="zh-CN"/>
        </w:rPr>
      </w:pPr>
      <w:r>
        <w:rPr>
          <w:rFonts w:hint="default" w:ascii="Times New Roman" w:hAnsi="Times New Roman" w:eastAsia="黑体" w:cs="Times New Roman"/>
          <w:bCs/>
          <w:kern w:val="44"/>
          <w:sz w:val="21"/>
          <w:szCs w:val="24"/>
          <w:lang w:val="en-US" w:eastAsia="zh-CN"/>
        </w:rPr>
        <w:t>表</w:t>
      </w:r>
      <w:r>
        <w:rPr>
          <w:rFonts w:hint="eastAsia" w:eastAsia="黑体" w:cs="Times New Roman"/>
          <w:bCs/>
          <w:kern w:val="44"/>
          <w:sz w:val="21"/>
          <w:szCs w:val="24"/>
          <w:lang w:val="en-US" w:eastAsia="zh-CN"/>
        </w:rPr>
        <w:t>7</w:t>
      </w:r>
      <w:r>
        <w:rPr>
          <w:rFonts w:hint="default" w:ascii="Times New Roman" w:hAnsi="Times New Roman" w:eastAsia="黑体" w:cs="Times New Roman"/>
          <w:bCs/>
          <w:kern w:val="44"/>
          <w:sz w:val="21"/>
          <w:szCs w:val="24"/>
          <w:lang w:val="en-US" w:eastAsia="zh-CN"/>
        </w:rPr>
        <w:t xml:space="preserve"> 咖啡1~2年生幼龄树施肥时期、肥料种类及用量推荐</w:t>
      </w:r>
    </w:p>
    <w:tbl>
      <w:tblPr>
        <w:tblStyle w:val="9"/>
        <w:tblW w:w="963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65"/>
        <w:gridCol w:w="3034"/>
        <w:gridCol w:w="3610"/>
      </w:tblGrid>
      <w:tr w14:paraId="53DF1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9" w:type="dxa"/>
            <w:tcBorders>
              <w:top w:val="single" w:color="000000" w:sz="12" w:space="0"/>
              <w:left w:val="nil"/>
              <w:bottom w:val="single" w:color="000000" w:sz="4" w:space="0"/>
              <w:right w:val="nil"/>
              <w:tl2br w:val="nil"/>
            </w:tcBorders>
            <w:shd w:val="clear" w:color="auto" w:fill="FFFFFF"/>
            <w:noWrap w:val="0"/>
            <w:vAlign w:val="center"/>
          </w:tcPr>
          <w:p w14:paraId="439DC6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树龄</w:t>
            </w:r>
          </w:p>
        </w:tc>
        <w:tc>
          <w:tcPr>
            <w:tcW w:w="1865" w:type="dxa"/>
            <w:tcBorders>
              <w:top w:val="single" w:color="000000" w:sz="12" w:space="0"/>
              <w:left w:val="nil"/>
              <w:bottom w:val="single" w:color="000000" w:sz="4" w:space="0"/>
              <w:right w:val="nil"/>
            </w:tcBorders>
            <w:shd w:val="clear" w:color="auto" w:fill="FFFFFF"/>
            <w:noWrap w:val="0"/>
            <w:vAlign w:val="center"/>
          </w:tcPr>
          <w:p w14:paraId="40FA57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施肥时期</w:t>
            </w:r>
          </w:p>
        </w:tc>
        <w:tc>
          <w:tcPr>
            <w:tcW w:w="3034" w:type="dxa"/>
            <w:tcBorders>
              <w:top w:val="single" w:color="000000" w:sz="12" w:space="0"/>
              <w:left w:val="nil"/>
              <w:bottom w:val="single" w:color="000000" w:sz="4" w:space="0"/>
              <w:right w:val="nil"/>
            </w:tcBorders>
            <w:shd w:val="clear" w:color="auto" w:fill="FFFFFF"/>
            <w:noWrap w:val="0"/>
            <w:vAlign w:val="center"/>
          </w:tcPr>
          <w:p w14:paraId="720B3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肥料种类</w:t>
            </w:r>
          </w:p>
        </w:tc>
        <w:tc>
          <w:tcPr>
            <w:tcW w:w="3610" w:type="dxa"/>
            <w:tcBorders>
              <w:top w:val="single" w:color="000000" w:sz="12" w:space="0"/>
              <w:left w:val="nil"/>
              <w:bottom w:val="single" w:color="000000" w:sz="4" w:space="0"/>
              <w:right w:val="nil"/>
            </w:tcBorders>
            <w:shd w:val="clear" w:color="auto" w:fill="FFFFFF"/>
            <w:noWrap w:val="0"/>
            <w:vAlign w:val="center"/>
          </w:tcPr>
          <w:p w14:paraId="7E8BA2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施肥量</w:t>
            </w:r>
          </w:p>
        </w:tc>
      </w:tr>
      <w:tr w14:paraId="763DA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9" w:type="dxa"/>
            <w:vMerge w:val="restart"/>
            <w:tcBorders>
              <w:top w:val="single" w:color="000000" w:sz="4" w:space="0"/>
              <w:left w:val="nil"/>
              <w:bottom w:val="nil"/>
              <w:right w:val="nil"/>
            </w:tcBorders>
            <w:shd w:val="clear" w:color="auto" w:fill="FFFFFF"/>
            <w:noWrap w:val="0"/>
            <w:vAlign w:val="center"/>
          </w:tcPr>
          <w:p w14:paraId="718892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定植当年</w:t>
            </w:r>
          </w:p>
        </w:tc>
        <w:tc>
          <w:tcPr>
            <w:tcW w:w="1865" w:type="dxa"/>
            <w:tcBorders>
              <w:top w:val="single" w:color="000000" w:sz="4" w:space="0"/>
              <w:left w:val="nil"/>
              <w:bottom w:val="nil"/>
              <w:right w:val="nil"/>
            </w:tcBorders>
            <w:shd w:val="clear" w:color="auto" w:fill="FFFFFF"/>
            <w:noWrap w:val="0"/>
            <w:vAlign w:val="center"/>
          </w:tcPr>
          <w:p w14:paraId="32F98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定植后20天</w:t>
            </w:r>
          </w:p>
        </w:tc>
        <w:tc>
          <w:tcPr>
            <w:tcW w:w="3034" w:type="dxa"/>
            <w:tcBorders>
              <w:top w:val="single" w:color="000000" w:sz="4" w:space="0"/>
              <w:left w:val="nil"/>
              <w:bottom w:val="nil"/>
              <w:right w:val="nil"/>
            </w:tcBorders>
            <w:shd w:val="clear" w:color="auto" w:fill="FFFFFF"/>
            <w:noWrap w:val="0"/>
            <w:vAlign w:val="center"/>
          </w:tcPr>
          <w:p w14:paraId="5560F4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尿素（N:46%）</w:t>
            </w:r>
          </w:p>
        </w:tc>
        <w:tc>
          <w:tcPr>
            <w:tcW w:w="3610" w:type="dxa"/>
            <w:tcBorders>
              <w:top w:val="single" w:color="000000" w:sz="4" w:space="0"/>
              <w:left w:val="nil"/>
              <w:bottom w:val="nil"/>
              <w:right w:val="nil"/>
            </w:tcBorders>
            <w:shd w:val="clear" w:color="auto" w:fill="FFFFFF"/>
            <w:noWrap w:val="0"/>
            <w:vAlign w:val="center"/>
          </w:tcPr>
          <w:p w14:paraId="45045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30g/株</w:t>
            </w:r>
          </w:p>
        </w:tc>
      </w:tr>
      <w:tr w14:paraId="18BC0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9" w:type="dxa"/>
            <w:vMerge w:val="continue"/>
            <w:tcBorders>
              <w:top w:val="nil"/>
              <w:left w:val="nil"/>
              <w:bottom w:val="nil"/>
              <w:right w:val="nil"/>
            </w:tcBorders>
            <w:shd w:val="clear" w:color="auto" w:fill="FFFFFF"/>
            <w:noWrap w:val="0"/>
            <w:vAlign w:val="center"/>
          </w:tcPr>
          <w:p w14:paraId="6F96ED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1865" w:type="dxa"/>
            <w:tcBorders>
              <w:top w:val="nil"/>
              <w:left w:val="nil"/>
              <w:bottom w:val="nil"/>
              <w:right w:val="nil"/>
            </w:tcBorders>
            <w:shd w:val="clear" w:color="auto" w:fill="FFFFFF"/>
            <w:noWrap w:val="0"/>
            <w:vAlign w:val="center"/>
          </w:tcPr>
          <w:p w14:paraId="21714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前次施肥后45天</w:t>
            </w:r>
          </w:p>
        </w:tc>
        <w:tc>
          <w:tcPr>
            <w:tcW w:w="3034" w:type="dxa"/>
            <w:tcBorders>
              <w:top w:val="nil"/>
              <w:left w:val="nil"/>
              <w:bottom w:val="nil"/>
              <w:right w:val="nil"/>
            </w:tcBorders>
            <w:shd w:val="clear" w:color="auto" w:fill="FFFFFF"/>
            <w:noWrap w:val="0"/>
            <w:vAlign w:val="center"/>
          </w:tcPr>
          <w:p w14:paraId="4923E2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复合肥（N:P:K=</w:t>
            </w:r>
            <w:r>
              <w:rPr>
                <w:rStyle w:val="13"/>
                <w:rFonts w:hint="default" w:ascii="方正仿宋_GB2312" w:hAnsi="方正仿宋_GB2312" w:eastAsia="方正仿宋_GB2312" w:cs="方正仿宋_GB2312"/>
                <w:b w:val="0"/>
                <w:bCs/>
                <w:color w:val="000000"/>
                <w:kern w:val="0"/>
                <w:sz w:val="18"/>
                <w:szCs w:val="18"/>
                <w:lang w:val="en-US" w:eastAsia="zh-CN" w:bidi="ar"/>
              </w:rPr>
              <w:t>1</w:t>
            </w:r>
            <w:r>
              <w:rPr>
                <w:rStyle w:val="13"/>
                <w:rFonts w:hint="eastAsia" w:ascii="方正仿宋_GB2312" w:hAnsi="方正仿宋_GB2312" w:eastAsia="方正仿宋_GB2312" w:cs="方正仿宋_GB2312"/>
                <w:b w:val="0"/>
                <w:bCs/>
                <w:color w:val="000000"/>
                <w:kern w:val="0"/>
                <w:sz w:val="18"/>
                <w:szCs w:val="18"/>
                <w:lang w:val="en-US" w:eastAsia="zh-CN" w:bidi="ar"/>
              </w:rPr>
              <w:t>5:</w:t>
            </w:r>
            <w:r>
              <w:rPr>
                <w:rStyle w:val="13"/>
                <w:rFonts w:hint="default" w:ascii="方正仿宋_GB2312" w:hAnsi="方正仿宋_GB2312" w:eastAsia="方正仿宋_GB2312" w:cs="方正仿宋_GB2312"/>
                <w:b w:val="0"/>
                <w:bCs/>
                <w:color w:val="000000"/>
                <w:kern w:val="0"/>
                <w:sz w:val="18"/>
                <w:szCs w:val="18"/>
                <w:lang w:val="en-US" w:eastAsia="zh-CN" w:bidi="ar"/>
              </w:rPr>
              <w:t>1</w:t>
            </w:r>
            <w:r>
              <w:rPr>
                <w:rStyle w:val="13"/>
                <w:rFonts w:hint="eastAsia" w:ascii="方正仿宋_GB2312" w:hAnsi="方正仿宋_GB2312" w:eastAsia="方正仿宋_GB2312" w:cs="方正仿宋_GB2312"/>
                <w:b w:val="0"/>
                <w:bCs/>
                <w:color w:val="000000"/>
                <w:kern w:val="0"/>
                <w:sz w:val="18"/>
                <w:szCs w:val="18"/>
                <w:lang w:val="en-US" w:eastAsia="zh-CN" w:bidi="ar"/>
              </w:rPr>
              <w:t>5:15）</w:t>
            </w:r>
          </w:p>
        </w:tc>
        <w:tc>
          <w:tcPr>
            <w:tcW w:w="3610" w:type="dxa"/>
            <w:tcBorders>
              <w:top w:val="nil"/>
              <w:left w:val="nil"/>
              <w:bottom w:val="nil"/>
              <w:right w:val="nil"/>
            </w:tcBorders>
            <w:shd w:val="clear" w:color="auto" w:fill="FFFFFF"/>
            <w:noWrap w:val="0"/>
            <w:vAlign w:val="center"/>
          </w:tcPr>
          <w:p w14:paraId="1486D7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40g/株</w:t>
            </w:r>
          </w:p>
        </w:tc>
      </w:tr>
      <w:tr w14:paraId="7A114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9" w:type="dxa"/>
            <w:vMerge w:val="continue"/>
            <w:tcBorders>
              <w:top w:val="nil"/>
              <w:left w:val="nil"/>
              <w:bottom w:val="nil"/>
              <w:right w:val="nil"/>
            </w:tcBorders>
            <w:shd w:val="clear" w:color="auto" w:fill="FFFFFF"/>
            <w:noWrap w:val="0"/>
            <w:vAlign w:val="center"/>
          </w:tcPr>
          <w:p w14:paraId="3BF7E9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1865" w:type="dxa"/>
            <w:tcBorders>
              <w:top w:val="nil"/>
              <w:left w:val="nil"/>
              <w:bottom w:val="nil"/>
              <w:right w:val="nil"/>
            </w:tcBorders>
            <w:shd w:val="clear" w:color="auto" w:fill="FFFFFF"/>
            <w:noWrap w:val="0"/>
            <w:vAlign w:val="center"/>
          </w:tcPr>
          <w:p w14:paraId="468EA0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前次施肥后45天</w:t>
            </w:r>
          </w:p>
        </w:tc>
        <w:tc>
          <w:tcPr>
            <w:tcW w:w="3034" w:type="dxa"/>
            <w:tcBorders>
              <w:top w:val="nil"/>
              <w:left w:val="nil"/>
              <w:bottom w:val="nil"/>
              <w:right w:val="nil"/>
            </w:tcBorders>
            <w:shd w:val="clear" w:color="auto" w:fill="FFFFFF"/>
            <w:noWrap w:val="0"/>
            <w:vAlign w:val="center"/>
          </w:tcPr>
          <w:p w14:paraId="154E3D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尿素（N:46%）</w:t>
            </w:r>
          </w:p>
        </w:tc>
        <w:tc>
          <w:tcPr>
            <w:tcW w:w="3610" w:type="dxa"/>
            <w:tcBorders>
              <w:top w:val="nil"/>
              <w:left w:val="nil"/>
              <w:bottom w:val="nil"/>
              <w:right w:val="nil"/>
            </w:tcBorders>
            <w:shd w:val="clear" w:color="auto" w:fill="FFFFFF"/>
            <w:noWrap w:val="0"/>
            <w:vAlign w:val="center"/>
          </w:tcPr>
          <w:p w14:paraId="0F3914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30g/株</w:t>
            </w:r>
          </w:p>
        </w:tc>
      </w:tr>
      <w:tr w14:paraId="75929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9" w:type="dxa"/>
            <w:vMerge w:val="continue"/>
            <w:tcBorders>
              <w:top w:val="nil"/>
              <w:left w:val="nil"/>
              <w:bottom w:val="nil"/>
              <w:right w:val="nil"/>
            </w:tcBorders>
            <w:shd w:val="clear" w:color="auto" w:fill="FFFFFF"/>
            <w:noWrap w:val="0"/>
            <w:vAlign w:val="center"/>
          </w:tcPr>
          <w:p w14:paraId="72D8D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1865" w:type="dxa"/>
            <w:tcBorders>
              <w:top w:val="nil"/>
              <w:left w:val="nil"/>
              <w:bottom w:val="nil"/>
              <w:right w:val="nil"/>
            </w:tcBorders>
            <w:shd w:val="clear" w:color="auto" w:fill="FFFFFF"/>
            <w:noWrap w:val="0"/>
            <w:vAlign w:val="center"/>
          </w:tcPr>
          <w:p w14:paraId="09994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前次施肥后45天</w:t>
            </w:r>
          </w:p>
        </w:tc>
        <w:tc>
          <w:tcPr>
            <w:tcW w:w="3034" w:type="dxa"/>
            <w:tcBorders>
              <w:top w:val="nil"/>
              <w:left w:val="nil"/>
              <w:bottom w:val="nil"/>
              <w:right w:val="nil"/>
            </w:tcBorders>
            <w:shd w:val="clear" w:color="auto" w:fill="FFFFFF"/>
            <w:noWrap w:val="0"/>
            <w:vAlign w:val="center"/>
          </w:tcPr>
          <w:p w14:paraId="02B46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复合肥（N:P:K=</w:t>
            </w:r>
            <w:r>
              <w:rPr>
                <w:rStyle w:val="13"/>
                <w:rFonts w:hint="default" w:ascii="方正仿宋_GB2312" w:hAnsi="方正仿宋_GB2312" w:eastAsia="方正仿宋_GB2312" w:cs="方正仿宋_GB2312"/>
                <w:b w:val="0"/>
                <w:bCs/>
                <w:color w:val="000000"/>
                <w:kern w:val="0"/>
                <w:sz w:val="18"/>
                <w:szCs w:val="18"/>
                <w:lang w:val="en-US" w:eastAsia="zh-CN" w:bidi="ar"/>
              </w:rPr>
              <w:t>1</w:t>
            </w:r>
            <w:r>
              <w:rPr>
                <w:rStyle w:val="13"/>
                <w:rFonts w:hint="eastAsia" w:ascii="方正仿宋_GB2312" w:hAnsi="方正仿宋_GB2312" w:eastAsia="方正仿宋_GB2312" w:cs="方正仿宋_GB2312"/>
                <w:b w:val="0"/>
                <w:bCs/>
                <w:color w:val="000000"/>
                <w:kern w:val="0"/>
                <w:sz w:val="18"/>
                <w:szCs w:val="18"/>
                <w:lang w:val="en-US" w:eastAsia="zh-CN" w:bidi="ar"/>
              </w:rPr>
              <w:t>5:</w:t>
            </w:r>
            <w:r>
              <w:rPr>
                <w:rStyle w:val="13"/>
                <w:rFonts w:hint="default" w:ascii="方正仿宋_GB2312" w:hAnsi="方正仿宋_GB2312" w:eastAsia="方正仿宋_GB2312" w:cs="方正仿宋_GB2312"/>
                <w:b w:val="0"/>
                <w:bCs/>
                <w:color w:val="000000"/>
                <w:kern w:val="0"/>
                <w:sz w:val="18"/>
                <w:szCs w:val="18"/>
                <w:lang w:val="en-US" w:eastAsia="zh-CN" w:bidi="ar"/>
              </w:rPr>
              <w:t>1</w:t>
            </w:r>
            <w:r>
              <w:rPr>
                <w:rStyle w:val="13"/>
                <w:rFonts w:hint="eastAsia" w:ascii="方正仿宋_GB2312" w:hAnsi="方正仿宋_GB2312" w:eastAsia="方正仿宋_GB2312" w:cs="方正仿宋_GB2312"/>
                <w:b w:val="0"/>
                <w:bCs/>
                <w:color w:val="000000"/>
                <w:kern w:val="0"/>
                <w:sz w:val="18"/>
                <w:szCs w:val="18"/>
                <w:lang w:val="en-US" w:eastAsia="zh-CN" w:bidi="ar"/>
              </w:rPr>
              <w:t>5:15）</w:t>
            </w:r>
          </w:p>
        </w:tc>
        <w:tc>
          <w:tcPr>
            <w:tcW w:w="3610" w:type="dxa"/>
            <w:tcBorders>
              <w:top w:val="nil"/>
              <w:left w:val="nil"/>
              <w:bottom w:val="nil"/>
              <w:right w:val="nil"/>
            </w:tcBorders>
            <w:shd w:val="clear" w:color="auto" w:fill="FFFFFF"/>
            <w:noWrap w:val="0"/>
            <w:vAlign w:val="center"/>
          </w:tcPr>
          <w:p w14:paraId="0833F3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60g/株</w:t>
            </w:r>
          </w:p>
        </w:tc>
      </w:tr>
      <w:tr w14:paraId="191A8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9" w:type="dxa"/>
            <w:vMerge w:val="restart"/>
            <w:tcBorders>
              <w:top w:val="nil"/>
              <w:left w:val="nil"/>
              <w:bottom w:val="nil"/>
              <w:right w:val="nil"/>
            </w:tcBorders>
            <w:shd w:val="clear" w:color="auto" w:fill="FFFFFF"/>
            <w:noWrap w:val="0"/>
            <w:vAlign w:val="center"/>
          </w:tcPr>
          <w:p w14:paraId="08AC6E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定植第二年</w:t>
            </w:r>
          </w:p>
        </w:tc>
        <w:tc>
          <w:tcPr>
            <w:tcW w:w="1865" w:type="dxa"/>
            <w:vMerge w:val="restart"/>
            <w:tcBorders>
              <w:top w:val="nil"/>
              <w:left w:val="nil"/>
              <w:bottom w:val="nil"/>
              <w:right w:val="nil"/>
            </w:tcBorders>
            <w:shd w:val="clear" w:color="auto" w:fill="FFFFFF"/>
            <w:noWrap w:val="0"/>
            <w:vAlign w:val="center"/>
          </w:tcPr>
          <w:p w14:paraId="46F8F2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2月～3月</w:t>
            </w:r>
          </w:p>
        </w:tc>
        <w:tc>
          <w:tcPr>
            <w:tcW w:w="3034" w:type="dxa"/>
            <w:tcBorders>
              <w:top w:val="nil"/>
              <w:left w:val="nil"/>
              <w:bottom w:val="nil"/>
              <w:right w:val="nil"/>
            </w:tcBorders>
            <w:shd w:val="clear" w:color="auto" w:fill="FFFFFF"/>
            <w:noWrap w:val="0"/>
            <w:vAlign w:val="center"/>
          </w:tcPr>
          <w:p w14:paraId="52A8A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农家肥</w:t>
            </w:r>
          </w:p>
        </w:tc>
        <w:tc>
          <w:tcPr>
            <w:tcW w:w="3610" w:type="dxa"/>
            <w:tcBorders>
              <w:top w:val="nil"/>
              <w:left w:val="nil"/>
              <w:bottom w:val="nil"/>
              <w:right w:val="nil"/>
            </w:tcBorders>
            <w:shd w:val="clear" w:color="auto" w:fill="FFFFFF"/>
            <w:noWrap w:val="0"/>
            <w:vAlign w:val="center"/>
          </w:tcPr>
          <w:p w14:paraId="3709C3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5kg/株</w:t>
            </w:r>
          </w:p>
        </w:tc>
      </w:tr>
      <w:tr w14:paraId="7DB53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9" w:type="dxa"/>
            <w:vMerge w:val="continue"/>
            <w:tcBorders>
              <w:top w:val="nil"/>
              <w:left w:val="nil"/>
              <w:bottom w:val="nil"/>
              <w:right w:val="nil"/>
            </w:tcBorders>
            <w:shd w:val="clear" w:color="auto" w:fill="FFFFFF"/>
            <w:noWrap w:val="0"/>
            <w:vAlign w:val="center"/>
          </w:tcPr>
          <w:p w14:paraId="7781C4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1865" w:type="dxa"/>
            <w:vMerge w:val="continue"/>
            <w:tcBorders>
              <w:top w:val="nil"/>
              <w:left w:val="nil"/>
              <w:bottom w:val="nil"/>
              <w:right w:val="nil"/>
            </w:tcBorders>
            <w:shd w:val="clear" w:color="auto" w:fill="FFFFFF"/>
            <w:noWrap w:val="0"/>
            <w:vAlign w:val="center"/>
          </w:tcPr>
          <w:p w14:paraId="1E6EE1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3034" w:type="dxa"/>
            <w:tcBorders>
              <w:top w:val="nil"/>
              <w:left w:val="nil"/>
              <w:bottom w:val="nil"/>
              <w:right w:val="nil"/>
            </w:tcBorders>
            <w:shd w:val="clear" w:color="auto" w:fill="FFFFFF"/>
            <w:noWrap w:val="0"/>
            <w:vAlign w:val="center"/>
          </w:tcPr>
          <w:p w14:paraId="00F936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钙镁磷肥</w:t>
            </w:r>
          </w:p>
        </w:tc>
        <w:tc>
          <w:tcPr>
            <w:tcW w:w="3610" w:type="dxa"/>
            <w:tcBorders>
              <w:top w:val="nil"/>
              <w:left w:val="nil"/>
              <w:bottom w:val="nil"/>
              <w:right w:val="nil"/>
            </w:tcBorders>
            <w:shd w:val="clear" w:color="auto" w:fill="FFFFFF"/>
            <w:noWrap w:val="0"/>
            <w:vAlign w:val="center"/>
          </w:tcPr>
          <w:p w14:paraId="71C4AC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100g/株</w:t>
            </w:r>
          </w:p>
        </w:tc>
      </w:tr>
      <w:tr w14:paraId="75E1F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9" w:type="dxa"/>
            <w:vMerge w:val="continue"/>
            <w:tcBorders>
              <w:top w:val="nil"/>
              <w:left w:val="nil"/>
              <w:bottom w:val="nil"/>
              <w:right w:val="nil"/>
            </w:tcBorders>
            <w:shd w:val="clear" w:color="auto" w:fill="FFFFFF"/>
            <w:noWrap w:val="0"/>
            <w:vAlign w:val="center"/>
          </w:tcPr>
          <w:p w14:paraId="46C351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1865" w:type="dxa"/>
            <w:tcBorders>
              <w:top w:val="nil"/>
              <w:left w:val="nil"/>
              <w:bottom w:val="nil"/>
              <w:right w:val="nil"/>
            </w:tcBorders>
            <w:shd w:val="clear" w:color="auto" w:fill="FFFFFF"/>
            <w:noWrap w:val="0"/>
            <w:vAlign w:val="center"/>
          </w:tcPr>
          <w:p w14:paraId="622382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5月</w:t>
            </w:r>
          </w:p>
        </w:tc>
        <w:tc>
          <w:tcPr>
            <w:tcW w:w="3034" w:type="dxa"/>
            <w:tcBorders>
              <w:top w:val="nil"/>
              <w:left w:val="nil"/>
              <w:bottom w:val="nil"/>
              <w:right w:val="nil"/>
            </w:tcBorders>
            <w:shd w:val="clear" w:color="auto" w:fill="FFFFFF"/>
            <w:noWrap w:val="0"/>
            <w:vAlign w:val="center"/>
          </w:tcPr>
          <w:p w14:paraId="1179B5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尿素（N:46%）</w:t>
            </w:r>
          </w:p>
        </w:tc>
        <w:tc>
          <w:tcPr>
            <w:tcW w:w="3610" w:type="dxa"/>
            <w:tcBorders>
              <w:top w:val="nil"/>
              <w:left w:val="nil"/>
              <w:bottom w:val="nil"/>
              <w:right w:val="nil"/>
            </w:tcBorders>
            <w:shd w:val="clear" w:color="auto" w:fill="FFFFFF"/>
            <w:noWrap w:val="0"/>
            <w:vAlign w:val="center"/>
          </w:tcPr>
          <w:p w14:paraId="5452F2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50g/株</w:t>
            </w:r>
          </w:p>
        </w:tc>
      </w:tr>
      <w:tr w14:paraId="6AD52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9" w:type="dxa"/>
            <w:vMerge w:val="continue"/>
            <w:tcBorders>
              <w:top w:val="nil"/>
              <w:left w:val="nil"/>
              <w:bottom w:val="nil"/>
              <w:right w:val="nil"/>
            </w:tcBorders>
            <w:shd w:val="clear" w:color="auto" w:fill="FFFFFF"/>
            <w:noWrap w:val="0"/>
            <w:vAlign w:val="center"/>
          </w:tcPr>
          <w:p w14:paraId="0979A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1865" w:type="dxa"/>
            <w:tcBorders>
              <w:top w:val="nil"/>
              <w:left w:val="nil"/>
              <w:bottom w:val="nil"/>
              <w:right w:val="nil"/>
            </w:tcBorders>
            <w:shd w:val="clear" w:color="auto" w:fill="FFFFFF"/>
            <w:noWrap w:val="0"/>
            <w:vAlign w:val="center"/>
          </w:tcPr>
          <w:p w14:paraId="3F4DEC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7月</w:t>
            </w:r>
          </w:p>
        </w:tc>
        <w:tc>
          <w:tcPr>
            <w:tcW w:w="3034" w:type="dxa"/>
            <w:tcBorders>
              <w:top w:val="nil"/>
              <w:left w:val="nil"/>
              <w:bottom w:val="nil"/>
              <w:right w:val="nil"/>
            </w:tcBorders>
            <w:shd w:val="clear" w:color="auto" w:fill="FFFFFF"/>
            <w:noWrap w:val="0"/>
            <w:vAlign w:val="center"/>
          </w:tcPr>
          <w:p w14:paraId="2327DB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尿素（N:46%）</w:t>
            </w:r>
          </w:p>
        </w:tc>
        <w:tc>
          <w:tcPr>
            <w:tcW w:w="3610" w:type="dxa"/>
            <w:tcBorders>
              <w:top w:val="nil"/>
              <w:left w:val="nil"/>
              <w:bottom w:val="nil"/>
              <w:right w:val="nil"/>
            </w:tcBorders>
            <w:shd w:val="clear" w:color="auto" w:fill="FFFFFF"/>
            <w:noWrap w:val="0"/>
            <w:vAlign w:val="center"/>
          </w:tcPr>
          <w:p w14:paraId="42705E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50g/株</w:t>
            </w:r>
          </w:p>
        </w:tc>
      </w:tr>
      <w:tr w14:paraId="101D2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9" w:type="dxa"/>
            <w:vMerge w:val="continue"/>
            <w:tcBorders>
              <w:top w:val="nil"/>
              <w:left w:val="nil"/>
              <w:bottom w:val="nil"/>
              <w:right w:val="nil"/>
            </w:tcBorders>
            <w:shd w:val="clear" w:color="auto" w:fill="FFFFFF"/>
            <w:noWrap w:val="0"/>
            <w:vAlign w:val="center"/>
          </w:tcPr>
          <w:p w14:paraId="605E13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1865" w:type="dxa"/>
            <w:vMerge w:val="restart"/>
            <w:tcBorders>
              <w:top w:val="nil"/>
              <w:left w:val="nil"/>
              <w:bottom w:val="nil"/>
              <w:right w:val="nil"/>
            </w:tcBorders>
            <w:shd w:val="clear" w:color="auto" w:fill="FFFFFF"/>
            <w:noWrap w:val="0"/>
            <w:vAlign w:val="center"/>
          </w:tcPr>
          <w:p w14:paraId="0D5E7D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8月</w:t>
            </w:r>
          </w:p>
        </w:tc>
        <w:tc>
          <w:tcPr>
            <w:tcW w:w="3034" w:type="dxa"/>
            <w:tcBorders>
              <w:top w:val="nil"/>
              <w:left w:val="nil"/>
              <w:bottom w:val="nil"/>
              <w:right w:val="nil"/>
            </w:tcBorders>
            <w:shd w:val="clear" w:color="auto" w:fill="FFFFFF"/>
            <w:noWrap w:val="0"/>
            <w:vAlign w:val="center"/>
          </w:tcPr>
          <w:p w14:paraId="5CC39B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尿素（N:46%）</w:t>
            </w:r>
          </w:p>
        </w:tc>
        <w:tc>
          <w:tcPr>
            <w:tcW w:w="3610" w:type="dxa"/>
            <w:tcBorders>
              <w:top w:val="nil"/>
              <w:left w:val="nil"/>
              <w:bottom w:val="nil"/>
              <w:right w:val="nil"/>
            </w:tcBorders>
            <w:shd w:val="clear" w:color="auto" w:fill="FFFFFF"/>
            <w:noWrap w:val="0"/>
            <w:vAlign w:val="center"/>
          </w:tcPr>
          <w:p w14:paraId="47E76D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50g/株</w:t>
            </w:r>
          </w:p>
        </w:tc>
      </w:tr>
      <w:tr w14:paraId="3C99C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9" w:type="dxa"/>
            <w:vMerge w:val="continue"/>
            <w:tcBorders>
              <w:top w:val="nil"/>
              <w:left w:val="nil"/>
              <w:bottom w:val="nil"/>
              <w:right w:val="nil"/>
            </w:tcBorders>
            <w:shd w:val="clear" w:color="auto" w:fill="FFFFFF"/>
            <w:noWrap w:val="0"/>
            <w:vAlign w:val="center"/>
          </w:tcPr>
          <w:p w14:paraId="28DE99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1865" w:type="dxa"/>
            <w:vMerge w:val="continue"/>
            <w:tcBorders>
              <w:top w:val="nil"/>
              <w:left w:val="nil"/>
              <w:bottom w:val="nil"/>
              <w:right w:val="nil"/>
            </w:tcBorders>
            <w:shd w:val="clear" w:color="auto" w:fill="FFFFFF"/>
            <w:noWrap w:val="0"/>
            <w:vAlign w:val="center"/>
          </w:tcPr>
          <w:p w14:paraId="3EB04F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3034" w:type="dxa"/>
            <w:tcBorders>
              <w:top w:val="nil"/>
              <w:left w:val="nil"/>
              <w:bottom w:val="nil"/>
              <w:right w:val="nil"/>
            </w:tcBorders>
            <w:shd w:val="clear" w:color="auto" w:fill="FFFFFF"/>
            <w:noWrap w:val="0"/>
            <w:vAlign w:val="center"/>
          </w:tcPr>
          <w:p w14:paraId="51BB6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硫酸钾（K2O:50%）</w:t>
            </w:r>
          </w:p>
        </w:tc>
        <w:tc>
          <w:tcPr>
            <w:tcW w:w="3610" w:type="dxa"/>
            <w:tcBorders>
              <w:top w:val="nil"/>
              <w:left w:val="nil"/>
              <w:bottom w:val="nil"/>
              <w:right w:val="nil"/>
            </w:tcBorders>
            <w:shd w:val="clear" w:color="auto" w:fill="FFFFFF"/>
            <w:noWrap w:val="0"/>
            <w:vAlign w:val="center"/>
          </w:tcPr>
          <w:p w14:paraId="0ED07F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50g/株</w:t>
            </w:r>
          </w:p>
        </w:tc>
      </w:tr>
      <w:tr w14:paraId="59DBB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29" w:type="dxa"/>
            <w:vMerge w:val="continue"/>
            <w:tcBorders>
              <w:top w:val="nil"/>
              <w:left w:val="nil"/>
              <w:bottom w:val="single" w:color="000000" w:sz="12" w:space="0"/>
              <w:right w:val="nil"/>
            </w:tcBorders>
            <w:shd w:val="clear" w:color="auto" w:fill="FFFFFF"/>
            <w:noWrap w:val="0"/>
            <w:vAlign w:val="center"/>
          </w:tcPr>
          <w:p w14:paraId="0B997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1865" w:type="dxa"/>
            <w:tcBorders>
              <w:top w:val="nil"/>
              <w:left w:val="nil"/>
              <w:bottom w:val="single" w:color="000000" w:sz="12" w:space="0"/>
              <w:right w:val="nil"/>
            </w:tcBorders>
            <w:shd w:val="clear" w:color="auto" w:fill="FFFFFF"/>
            <w:noWrap w:val="0"/>
            <w:vAlign w:val="center"/>
          </w:tcPr>
          <w:p w14:paraId="758FA6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10月</w:t>
            </w:r>
          </w:p>
        </w:tc>
        <w:tc>
          <w:tcPr>
            <w:tcW w:w="3034" w:type="dxa"/>
            <w:tcBorders>
              <w:top w:val="nil"/>
              <w:left w:val="nil"/>
              <w:bottom w:val="single" w:color="000000" w:sz="12" w:space="0"/>
              <w:right w:val="nil"/>
            </w:tcBorders>
            <w:shd w:val="clear" w:color="auto" w:fill="FFFFFF"/>
            <w:noWrap w:val="0"/>
            <w:vAlign w:val="center"/>
          </w:tcPr>
          <w:p w14:paraId="3246B6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复合肥（N:P:K=</w:t>
            </w:r>
            <w:r>
              <w:rPr>
                <w:rStyle w:val="13"/>
                <w:rFonts w:hint="default" w:ascii="方正仿宋_GB2312" w:hAnsi="方正仿宋_GB2312" w:eastAsia="方正仿宋_GB2312" w:cs="方正仿宋_GB2312"/>
                <w:b w:val="0"/>
                <w:bCs/>
                <w:color w:val="000000"/>
                <w:kern w:val="0"/>
                <w:sz w:val="18"/>
                <w:szCs w:val="18"/>
                <w:lang w:val="en-US" w:eastAsia="zh-CN" w:bidi="ar"/>
              </w:rPr>
              <w:t>1</w:t>
            </w:r>
            <w:r>
              <w:rPr>
                <w:rStyle w:val="13"/>
                <w:rFonts w:hint="eastAsia" w:ascii="方正仿宋_GB2312" w:hAnsi="方正仿宋_GB2312" w:eastAsia="方正仿宋_GB2312" w:cs="方正仿宋_GB2312"/>
                <w:b w:val="0"/>
                <w:bCs/>
                <w:color w:val="000000"/>
                <w:kern w:val="0"/>
                <w:sz w:val="18"/>
                <w:szCs w:val="18"/>
                <w:lang w:val="en-US" w:eastAsia="zh-CN" w:bidi="ar"/>
              </w:rPr>
              <w:t>5:</w:t>
            </w:r>
            <w:r>
              <w:rPr>
                <w:rStyle w:val="13"/>
                <w:rFonts w:hint="default" w:ascii="方正仿宋_GB2312" w:hAnsi="方正仿宋_GB2312" w:eastAsia="方正仿宋_GB2312" w:cs="方正仿宋_GB2312"/>
                <w:b w:val="0"/>
                <w:bCs/>
                <w:color w:val="000000"/>
                <w:kern w:val="0"/>
                <w:sz w:val="18"/>
                <w:szCs w:val="18"/>
                <w:lang w:val="en-US" w:eastAsia="zh-CN" w:bidi="ar"/>
              </w:rPr>
              <w:t>1</w:t>
            </w:r>
            <w:r>
              <w:rPr>
                <w:rStyle w:val="13"/>
                <w:rFonts w:hint="eastAsia" w:ascii="方正仿宋_GB2312" w:hAnsi="方正仿宋_GB2312" w:eastAsia="方正仿宋_GB2312" w:cs="方正仿宋_GB2312"/>
                <w:b w:val="0"/>
                <w:bCs/>
                <w:color w:val="000000"/>
                <w:kern w:val="0"/>
                <w:sz w:val="18"/>
                <w:szCs w:val="18"/>
                <w:lang w:val="en-US" w:eastAsia="zh-CN" w:bidi="ar"/>
              </w:rPr>
              <w:t>5:15）</w:t>
            </w:r>
          </w:p>
        </w:tc>
        <w:tc>
          <w:tcPr>
            <w:tcW w:w="3610" w:type="dxa"/>
            <w:tcBorders>
              <w:top w:val="nil"/>
              <w:left w:val="nil"/>
              <w:bottom w:val="single" w:color="000000" w:sz="12" w:space="0"/>
              <w:right w:val="nil"/>
            </w:tcBorders>
            <w:shd w:val="clear" w:color="auto" w:fill="FFFFFF"/>
            <w:noWrap w:val="0"/>
            <w:vAlign w:val="center"/>
          </w:tcPr>
          <w:p w14:paraId="15DB31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60g/株</w:t>
            </w:r>
          </w:p>
        </w:tc>
      </w:tr>
    </w:tbl>
    <w:p w14:paraId="67F96BA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bCs/>
          <w:kern w:val="44"/>
          <w:sz w:val="21"/>
          <w:szCs w:val="24"/>
          <w:lang w:val="en-US" w:eastAsia="zh-CN"/>
        </w:rPr>
      </w:pPr>
    </w:p>
    <w:p w14:paraId="7E2B03A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bCs/>
          <w:kern w:val="44"/>
          <w:sz w:val="21"/>
          <w:szCs w:val="24"/>
          <w:lang w:val="en-US" w:eastAsia="zh-CN"/>
        </w:rPr>
      </w:pPr>
      <w:r>
        <w:rPr>
          <w:rFonts w:hint="default" w:ascii="Times New Roman" w:hAnsi="Times New Roman" w:eastAsia="黑体" w:cs="Times New Roman"/>
          <w:bCs/>
          <w:kern w:val="44"/>
          <w:sz w:val="21"/>
          <w:szCs w:val="24"/>
          <w:lang w:val="en-US" w:eastAsia="zh-CN"/>
        </w:rPr>
        <w:t>表</w:t>
      </w:r>
      <w:r>
        <w:rPr>
          <w:rFonts w:hint="eastAsia" w:eastAsia="黑体" w:cs="Times New Roman"/>
          <w:bCs/>
          <w:kern w:val="44"/>
          <w:sz w:val="21"/>
          <w:szCs w:val="24"/>
          <w:lang w:val="en-US" w:eastAsia="zh-CN"/>
        </w:rPr>
        <w:t>8</w:t>
      </w:r>
      <w:r>
        <w:rPr>
          <w:rFonts w:hint="default" w:ascii="Times New Roman" w:hAnsi="Times New Roman" w:eastAsia="黑体" w:cs="Times New Roman"/>
          <w:bCs/>
          <w:kern w:val="44"/>
          <w:sz w:val="21"/>
          <w:szCs w:val="24"/>
          <w:lang w:val="en-US" w:eastAsia="zh-CN"/>
        </w:rPr>
        <w:t xml:space="preserve"> </w:t>
      </w:r>
      <w:r>
        <w:rPr>
          <w:rFonts w:hint="eastAsia" w:ascii="黑体" w:hAnsi="Times New Roman" w:eastAsia="黑体" w:cs="Times New Roman"/>
          <w:szCs w:val="21"/>
          <w:lang w:val="en-US" w:eastAsia="zh-CN"/>
        </w:rPr>
        <w:t>咖啡3年及以上结果树施肥时期、肥料种类及用量推荐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2488"/>
        <w:gridCol w:w="2451"/>
        <w:gridCol w:w="2287"/>
      </w:tblGrid>
      <w:tr w14:paraId="1CD7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64" w:type="dxa"/>
            <w:vMerge w:val="restart"/>
            <w:tcBorders>
              <w:top w:val="single" w:color="000000" w:sz="12" w:space="0"/>
              <w:left w:val="nil"/>
              <w:bottom w:val="single" w:color="000000" w:sz="4" w:space="0"/>
              <w:right w:val="nil"/>
              <w:tl2br w:val="nil"/>
            </w:tcBorders>
            <w:shd w:val="clear" w:color="auto" w:fill="FFFFFF"/>
            <w:vAlign w:val="center"/>
          </w:tcPr>
          <w:p w14:paraId="576B7D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施肥时期</w:t>
            </w:r>
          </w:p>
        </w:tc>
        <w:tc>
          <w:tcPr>
            <w:tcW w:w="2570" w:type="dxa"/>
            <w:vMerge w:val="restart"/>
            <w:tcBorders>
              <w:top w:val="single" w:color="000000" w:sz="12" w:space="0"/>
              <w:left w:val="nil"/>
              <w:bottom w:val="single" w:color="000000" w:sz="4" w:space="0"/>
              <w:right w:val="nil"/>
            </w:tcBorders>
            <w:shd w:val="clear" w:color="auto" w:fill="FFFFFF"/>
            <w:vAlign w:val="center"/>
          </w:tcPr>
          <w:p w14:paraId="6255BE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肥料种类</w:t>
            </w:r>
          </w:p>
        </w:tc>
        <w:tc>
          <w:tcPr>
            <w:tcW w:w="5037" w:type="dxa"/>
            <w:gridSpan w:val="2"/>
            <w:tcBorders>
              <w:top w:val="single" w:color="000000" w:sz="12" w:space="0"/>
              <w:left w:val="nil"/>
              <w:bottom w:val="single" w:color="000000" w:sz="4" w:space="0"/>
              <w:right w:val="nil"/>
            </w:tcBorders>
            <w:shd w:val="clear" w:color="auto" w:fill="FFFFFF"/>
            <w:vAlign w:val="center"/>
          </w:tcPr>
          <w:p w14:paraId="23EDC9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施肥量</w:t>
            </w:r>
          </w:p>
        </w:tc>
      </w:tr>
      <w:tr w14:paraId="0CB7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64" w:type="dxa"/>
            <w:vMerge w:val="continue"/>
            <w:tcBorders>
              <w:top w:val="single" w:color="000000" w:sz="4" w:space="0"/>
              <w:left w:val="nil"/>
              <w:bottom w:val="single" w:color="auto" w:sz="4" w:space="0"/>
              <w:right w:val="nil"/>
            </w:tcBorders>
            <w:shd w:val="clear" w:color="auto" w:fill="FFFFFF"/>
            <w:vAlign w:val="center"/>
          </w:tcPr>
          <w:p w14:paraId="1C5A7C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2570" w:type="dxa"/>
            <w:vMerge w:val="continue"/>
            <w:tcBorders>
              <w:top w:val="single" w:color="000000" w:sz="4" w:space="0"/>
              <w:left w:val="nil"/>
              <w:bottom w:val="single" w:color="auto" w:sz="4" w:space="0"/>
              <w:right w:val="nil"/>
            </w:tcBorders>
            <w:shd w:val="clear" w:color="auto" w:fill="FFFFFF"/>
            <w:vAlign w:val="center"/>
          </w:tcPr>
          <w:p w14:paraId="48756A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2580" w:type="dxa"/>
            <w:tcBorders>
              <w:top w:val="single" w:color="000000" w:sz="4" w:space="0"/>
              <w:left w:val="nil"/>
              <w:bottom w:val="single" w:color="auto" w:sz="4" w:space="0"/>
              <w:right w:val="nil"/>
            </w:tcBorders>
            <w:shd w:val="clear" w:color="auto" w:fill="FFFFFF"/>
            <w:vAlign w:val="center"/>
          </w:tcPr>
          <w:p w14:paraId="2F107D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预期亩产：150kg~200kg</w:t>
            </w:r>
          </w:p>
        </w:tc>
        <w:tc>
          <w:tcPr>
            <w:tcW w:w="2457" w:type="dxa"/>
            <w:tcBorders>
              <w:top w:val="single" w:color="000000" w:sz="4" w:space="0"/>
              <w:left w:val="nil"/>
              <w:bottom w:val="single" w:color="auto" w:sz="4" w:space="0"/>
              <w:right w:val="nil"/>
            </w:tcBorders>
            <w:shd w:val="clear" w:color="auto" w:fill="FFFFFF"/>
            <w:vAlign w:val="center"/>
          </w:tcPr>
          <w:p w14:paraId="65A87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预期亩产：＞200kg</w:t>
            </w:r>
          </w:p>
        </w:tc>
      </w:tr>
      <w:tr w14:paraId="401E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64" w:type="dxa"/>
            <w:vMerge w:val="restart"/>
            <w:tcBorders>
              <w:top w:val="single" w:color="auto" w:sz="4" w:space="0"/>
              <w:left w:val="nil"/>
              <w:bottom w:val="nil"/>
              <w:right w:val="nil"/>
            </w:tcBorders>
            <w:shd w:val="clear" w:color="auto" w:fill="FFFFFF"/>
            <w:vAlign w:val="center"/>
          </w:tcPr>
          <w:p w14:paraId="0E7FF3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开花后30天</w:t>
            </w:r>
          </w:p>
          <w:p w14:paraId="772F4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（5月初）</w:t>
            </w:r>
          </w:p>
        </w:tc>
        <w:tc>
          <w:tcPr>
            <w:tcW w:w="2570" w:type="dxa"/>
            <w:tcBorders>
              <w:top w:val="single" w:color="auto" w:sz="4" w:space="0"/>
              <w:left w:val="nil"/>
              <w:bottom w:val="nil"/>
              <w:right w:val="nil"/>
            </w:tcBorders>
            <w:shd w:val="clear" w:color="auto" w:fill="FFFFFF"/>
            <w:vAlign w:val="center"/>
          </w:tcPr>
          <w:p w14:paraId="3AD3D5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复合肥（N:P:K=15:15:15）</w:t>
            </w:r>
          </w:p>
        </w:tc>
        <w:tc>
          <w:tcPr>
            <w:tcW w:w="2580" w:type="dxa"/>
            <w:tcBorders>
              <w:top w:val="single" w:color="auto" w:sz="4" w:space="0"/>
              <w:left w:val="nil"/>
              <w:bottom w:val="nil"/>
              <w:right w:val="nil"/>
            </w:tcBorders>
            <w:shd w:val="clear" w:color="auto" w:fill="FFFFFF"/>
            <w:vAlign w:val="center"/>
          </w:tcPr>
          <w:p w14:paraId="4ABC7F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130g/株</w:t>
            </w:r>
          </w:p>
        </w:tc>
        <w:tc>
          <w:tcPr>
            <w:tcW w:w="2457" w:type="dxa"/>
            <w:tcBorders>
              <w:top w:val="single" w:color="auto" w:sz="4" w:space="0"/>
              <w:left w:val="nil"/>
              <w:bottom w:val="nil"/>
              <w:right w:val="nil"/>
            </w:tcBorders>
            <w:shd w:val="clear" w:color="auto" w:fill="FFFFFF"/>
            <w:vAlign w:val="center"/>
          </w:tcPr>
          <w:p w14:paraId="5F4E8D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200g/株</w:t>
            </w:r>
          </w:p>
        </w:tc>
      </w:tr>
      <w:tr w14:paraId="583D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64" w:type="dxa"/>
            <w:vMerge w:val="continue"/>
            <w:tcBorders>
              <w:top w:val="nil"/>
              <w:left w:val="nil"/>
              <w:bottom w:val="nil"/>
              <w:right w:val="nil"/>
            </w:tcBorders>
            <w:shd w:val="clear" w:color="auto" w:fill="FFFFFF"/>
            <w:vAlign w:val="center"/>
          </w:tcPr>
          <w:p w14:paraId="15973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2570" w:type="dxa"/>
            <w:tcBorders>
              <w:top w:val="nil"/>
              <w:left w:val="nil"/>
              <w:bottom w:val="nil"/>
              <w:right w:val="nil"/>
            </w:tcBorders>
            <w:shd w:val="clear" w:color="auto" w:fill="FFFFFF"/>
            <w:vAlign w:val="center"/>
          </w:tcPr>
          <w:p w14:paraId="4A6F93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硫酸钾（K2O:50%）</w:t>
            </w:r>
          </w:p>
        </w:tc>
        <w:tc>
          <w:tcPr>
            <w:tcW w:w="2580" w:type="dxa"/>
            <w:tcBorders>
              <w:top w:val="nil"/>
              <w:left w:val="nil"/>
              <w:bottom w:val="nil"/>
              <w:right w:val="nil"/>
            </w:tcBorders>
            <w:shd w:val="clear" w:color="auto" w:fill="FFFFFF"/>
            <w:vAlign w:val="center"/>
          </w:tcPr>
          <w:p w14:paraId="4E689C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50g/株</w:t>
            </w:r>
          </w:p>
        </w:tc>
        <w:tc>
          <w:tcPr>
            <w:tcW w:w="2457" w:type="dxa"/>
            <w:tcBorders>
              <w:top w:val="nil"/>
              <w:left w:val="nil"/>
              <w:bottom w:val="nil"/>
              <w:right w:val="nil"/>
            </w:tcBorders>
            <w:shd w:val="clear" w:color="auto" w:fill="FFFFFF"/>
            <w:vAlign w:val="center"/>
          </w:tcPr>
          <w:p w14:paraId="274BB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80g/株</w:t>
            </w:r>
          </w:p>
        </w:tc>
      </w:tr>
      <w:tr w14:paraId="7E4C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64" w:type="dxa"/>
            <w:tcBorders>
              <w:top w:val="nil"/>
              <w:left w:val="nil"/>
              <w:bottom w:val="nil"/>
              <w:right w:val="nil"/>
            </w:tcBorders>
            <w:shd w:val="clear" w:color="auto" w:fill="FFFFFF"/>
            <w:vAlign w:val="center"/>
          </w:tcPr>
          <w:p w14:paraId="192DD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前次施肥后60天</w:t>
            </w:r>
          </w:p>
          <w:p w14:paraId="76EAF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（6月底-7月初）</w:t>
            </w:r>
          </w:p>
        </w:tc>
        <w:tc>
          <w:tcPr>
            <w:tcW w:w="2570" w:type="dxa"/>
            <w:tcBorders>
              <w:top w:val="nil"/>
              <w:left w:val="nil"/>
              <w:bottom w:val="nil"/>
              <w:right w:val="nil"/>
            </w:tcBorders>
            <w:shd w:val="clear" w:color="auto" w:fill="FFFFFF"/>
            <w:vAlign w:val="center"/>
          </w:tcPr>
          <w:p w14:paraId="2DCC0C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尿素（N:46%）</w:t>
            </w:r>
          </w:p>
        </w:tc>
        <w:tc>
          <w:tcPr>
            <w:tcW w:w="2580" w:type="dxa"/>
            <w:tcBorders>
              <w:top w:val="nil"/>
              <w:left w:val="nil"/>
              <w:bottom w:val="nil"/>
              <w:right w:val="nil"/>
            </w:tcBorders>
            <w:shd w:val="clear" w:color="auto" w:fill="FFFFFF"/>
            <w:vAlign w:val="center"/>
          </w:tcPr>
          <w:p w14:paraId="119786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60g/株</w:t>
            </w:r>
          </w:p>
        </w:tc>
        <w:tc>
          <w:tcPr>
            <w:tcW w:w="2457" w:type="dxa"/>
            <w:tcBorders>
              <w:top w:val="nil"/>
              <w:left w:val="nil"/>
              <w:bottom w:val="nil"/>
              <w:right w:val="nil"/>
            </w:tcBorders>
            <w:shd w:val="clear" w:color="auto" w:fill="FFFFFF"/>
            <w:vAlign w:val="center"/>
          </w:tcPr>
          <w:p w14:paraId="3124B7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100g/株</w:t>
            </w:r>
          </w:p>
        </w:tc>
      </w:tr>
      <w:tr w14:paraId="718F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64" w:type="dxa"/>
            <w:vMerge w:val="restart"/>
            <w:tcBorders>
              <w:top w:val="nil"/>
              <w:left w:val="nil"/>
              <w:bottom w:val="nil"/>
              <w:right w:val="nil"/>
            </w:tcBorders>
            <w:shd w:val="clear" w:color="auto" w:fill="FFFFFF"/>
            <w:vAlign w:val="center"/>
          </w:tcPr>
          <w:p w14:paraId="2014A5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前次施肥后45天</w:t>
            </w:r>
          </w:p>
          <w:p w14:paraId="726650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（8月中下旬）</w:t>
            </w:r>
          </w:p>
        </w:tc>
        <w:tc>
          <w:tcPr>
            <w:tcW w:w="2570" w:type="dxa"/>
            <w:tcBorders>
              <w:top w:val="nil"/>
              <w:left w:val="nil"/>
              <w:bottom w:val="nil"/>
              <w:right w:val="nil"/>
            </w:tcBorders>
            <w:shd w:val="clear" w:color="auto" w:fill="FFFFFF"/>
            <w:vAlign w:val="center"/>
          </w:tcPr>
          <w:p w14:paraId="29EAA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尿素（N:46%）</w:t>
            </w:r>
          </w:p>
        </w:tc>
        <w:tc>
          <w:tcPr>
            <w:tcW w:w="2580" w:type="dxa"/>
            <w:tcBorders>
              <w:top w:val="nil"/>
              <w:left w:val="nil"/>
              <w:bottom w:val="nil"/>
              <w:right w:val="nil"/>
            </w:tcBorders>
            <w:shd w:val="clear" w:color="auto" w:fill="FFFFFF"/>
            <w:vAlign w:val="center"/>
          </w:tcPr>
          <w:p w14:paraId="7F91A7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60g/株</w:t>
            </w:r>
          </w:p>
        </w:tc>
        <w:tc>
          <w:tcPr>
            <w:tcW w:w="2457" w:type="dxa"/>
            <w:tcBorders>
              <w:top w:val="nil"/>
              <w:left w:val="nil"/>
              <w:bottom w:val="nil"/>
              <w:right w:val="nil"/>
            </w:tcBorders>
            <w:shd w:val="clear" w:color="auto" w:fill="FFFFFF"/>
            <w:vAlign w:val="center"/>
          </w:tcPr>
          <w:p w14:paraId="601A4C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100g/株</w:t>
            </w:r>
          </w:p>
        </w:tc>
      </w:tr>
      <w:tr w14:paraId="34C5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64" w:type="dxa"/>
            <w:vMerge w:val="continue"/>
            <w:tcBorders>
              <w:top w:val="nil"/>
              <w:left w:val="nil"/>
              <w:bottom w:val="nil"/>
              <w:right w:val="nil"/>
            </w:tcBorders>
            <w:shd w:val="clear" w:color="auto" w:fill="FFFFFF"/>
            <w:vAlign w:val="center"/>
          </w:tcPr>
          <w:p w14:paraId="7003E6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2570" w:type="dxa"/>
            <w:tcBorders>
              <w:top w:val="nil"/>
              <w:left w:val="nil"/>
              <w:bottom w:val="nil"/>
              <w:right w:val="nil"/>
            </w:tcBorders>
            <w:shd w:val="clear" w:color="auto" w:fill="FFFFFF"/>
            <w:vAlign w:val="center"/>
          </w:tcPr>
          <w:p w14:paraId="3CF1CB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硫酸钾（K2O:50%）</w:t>
            </w:r>
          </w:p>
        </w:tc>
        <w:tc>
          <w:tcPr>
            <w:tcW w:w="2580" w:type="dxa"/>
            <w:tcBorders>
              <w:top w:val="nil"/>
              <w:left w:val="nil"/>
              <w:bottom w:val="nil"/>
              <w:right w:val="nil"/>
            </w:tcBorders>
            <w:shd w:val="clear" w:color="auto" w:fill="FFFFFF"/>
            <w:vAlign w:val="center"/>
          </w:tcPr>
          <w:p w14:paraId="00E815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60g/株</w:t>
            </w:r>
          </w:p>
        </w:tc>
        <w:tc>
          <w:tcPr>
            <w:tcW w:w="2457" w:type="dxa"/>
            <w:tcBorders>
              <w:top w:val="nil"/>
              <w:left w:val="nil"/>
              <w:bottom w:val="nil"/>
              <w:right w:val="nil"/>
            </w:tcBorders>
            <w:shd w:val="clear" w:color="auto" w:fill="FFFFFF"/>
            <w:vAlign w:val="center"/>
          </w:tcPr>
          <w:p w14:paraId="6DE015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100g/株</w:t>
            </w:r>
          </w:p>
        </w:tc>
      </w:tr>
      <w:tr w14:paraId="702D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64" w:type="dxa"/>
            <w:tcBorders>
              <w:top w:val="nil"/>
              <w:left w:val="nil"/>
              <w:bottom w:val="nil"/>
              <w:right w:val="nil"/>
            </w:tcBorders>
            <w:shd w:val="clear" w:color="auto" w:fill="FFFFFF"/>
            <w:vAlign w:val="center"/>
          </w:tcPr>
          <w:p w14:paraId="5BF1F1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前次施肥后45天</w:t>
            </w:r>
          </w:p>
          <w:p w14:paraId="55444E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（9月底-10月初）</w:t>
            </w:r>
          </w:p>
        </w:tc>
        <w:tc>
          <w:tcPr>
            <w:tcW w:w="2570" w:type="dxa"/>
            <w:tcBorders>
              <w:top w:val="nil"/>
              <w:left w:val="nil"/>
              <w:bottom w:val="nil"/>
              <w:right w:val="nil"/>
            </w:tcBorders>
            <w:shd w:val="clear" w:color="auto" w:fill="FFFFFF"/>
            <w:vAlign w:val="center"/>
          </w:tcPr>
          <w:p w14:paraId="571B58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尿素（N:46%）</w:t>
            </w:r>
          </w:p>
        </w:tc>
        <w:tc>
          <w:tcPr>
            <w:tcW w:w="2580" w:type="dxa"/>
            <w:tcBorders>
              <w:top w:val="nil"/>
              <w:left w:val="nil"/>
              <w:bottom w:val="nil"/>
              <w:right w:val="nil"/>
            </w:tcBorders>
            <w:shd w:val="clear" w:color="auto" w:fill="FFFFFF"/>
            <w:vAlign w:val="center"/>
          </w:tcPr>
          <w:p w14:paraId="201CA4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60g/株</w:t>
            </w:r>
          </w:p>
        </w:tc>
        <w:tc>
          <w:tcPr>
            <w:tcW w:w="2457" w:type="dxa"/>
            <w:tcBorders>
              <w:top w:val="nil"/>
              <w:left w:val="nil"/>
              <w:bottom w:val="nil"/>
              <w:right w:val="nil"/>
            </w:tcBorders>
            <w:shd w:val="clear" w:color="auto" w:fill="FFFFFF"/>
            <w:vAlign w:val="center"/>
          </w:tcPr>
          <w:p w14:paraId="7FEB5C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100g/株</w:t>
            </w:r>
          </w:p>
        </w:tc>
      </w:tr>
      <w:tr w14:paraId="047F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64" w:type="dxa"/>
            <w:vMerge w:val="restart"/>
            <w:tcBorders>
              <w:top w:val="nil"/>
              <w:left w:val="nil"/>
              <w:bottom w:val="nil"/>
              <w:right w:val="nil"/>
            </w:tcBorders>
            <w:shd w:val="clear" w:color="auto" w:fill="FFFFFF"/>
            <w:vAlign w:val="center"/>
          </w:tcPr>
          <w:p w14:paraId="5B4AB4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果实采收后</w:t>
            </w:r>
          </w:p>
          <w:p w14:paraId="7ACB83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（2月-3月）</w:t>
            </w:r>
          </w:p>
        </w:tc>
        <w:tc>
          <w:tcPr>
            <w:tcW w:w="2570" w:type="dxa"/>
            <w:tcBorders>
              <w:top w:val="nil"/>
              <w:left w:val="nil"/>
              <w:bottom w:val="nil"/>
              <w:right w:val="nil"/>
            </w:tcBorders>
            <w:shd w:val="clear" w:color="auto" w:fill="FFFFFF"/>
            <w:vAlign w:val="center"/>
          </w:tcPr>
          <w:p w14:paraId="4F008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农家肥</w:t>
            </w:r>
          </w:p>
        </w:tc>
        <w:tc>
          <w:tcPr>
            <w:tcW w:w="2580" w:type="dxa"/>
            <w:tcBorders>
              <w:top w:val="nil"/>
              <w:left w:val="nil"/>
              <w:bottom w:val="nil"/>
              <w:right w:val="nil"/>
            </w:tcBorders>
            <w:shd w:val="clear" w:color="auto" w:fill="FFFFFF"/>
            <w:vAlign w:val="center"/>
          </w:tcPr>
          <w:p w14:paraId="337528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5kg/株～10kg/株</w:t>
            </w:r>
          </w:p>
        </w:tc>
        <w:tc>
          <w:tcPr>
            <w:tcW w:w="2457" w:type="dxa"/>
            <w:tcBorders>
              <w:top w:val="nil"/>
              <w:left w:val="nil"/>
              <w:bottom w:val="nil"/>
              <w:right w:val="nil"/>
            </w:tcBorders>
            <w:shd w:val="clear" w:color="auto" w:fill="FFFFFF"/>
            <w:vAlign w:val="center"/>
          </w:tcPr>
          <w:p w14:paraId="5B15BE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5kg/株～10kg/株</w:t>
            </w:r>
          </w:p>
        </w:tc>
      </w:tr>
      <w:tr w14:paraId="6DF0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64" w:type="dxa"/>
            <w:vMerge w:val="continue"/>
            <w:tcBorders>
              <w:top w:val="nil"/>
              <w:left w:val="nil"/>
              <w:bottom w:val="nil"/>
              <w:right w:val="nil"/>
            </w:tcBorders>
            <w:shd w:val="clear" w:color="auto" w:fill="FFFFFF"/>
            <w:vAlign w:val="center"/>
          </w:tcPr>
          <w:p w14:paraId="3FB0D5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2570" w:type="dxa"/>
            <w:tcBorders>
              <w:top w:val="nil"/>
              <w:left w:val="nil"/>
              <w:bottom w:val="nil"/>
              <w:right w:val="nil"/>
            </w:tcBorders>
            <w:shd w:val="clear" w:color="auto" w:fill="FFFFFF"/>
            <w:vAlign w:val="center"/>
          </w:tcPr>
          <w:p w14:paraId="403F1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复合肥（N:P:K=15:15:15）</w:t>
            </w:r>
          </w:p>
        </w:tc>
        <w:tc>
          <w:tcPr>
            <w:tcW w:w="2580" w:type="dxa"/>
            <w:tcBorders>
              <w:top w:val="nil"/>
              <w:left w:val="nil"/>
              <w:bottom w:val="nil"/>
              <w:right w:val="nil"/>
            </w:tcBorders>
            <w:shd w:val="clear" w:color="auto" w:fill="FFFFFF"/>
            <w:vAlign w:val="center"/>
          </w:tcPr>
          <w:p w14:paraId="224E2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130g/株</w:t>
            </w:r>
          </w:p>
        </w:tc>
        <w:tc>
          <w:tcPr>
            <w:tcW w:w="2457" w:type="dxa"/>
            <w:tcBorders>
              <w:top w:val="nil"/>
              <w:left w:val="nil"/>
              <w:bottom w:val="nil"/>
              <w:right w:val="nil"/>
            </w:tcBorders>
            <w:shd w:val="clear" w:color="auto" w:fill="FFFFFF"/>
            <w:vAlign w:val="center"/>
          </w:tcPr>
          <w:p w14:paraId="36BFB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200g/株</w:t>
            </w:r>
          </w:p>
        </w:tc>
      </w:tr>
      <w:tr w14:paraId="3AE8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71" w:type="dxa"/>
            <w:gridSpan w:val="4"/>
            <w:tcBorders>
              <w:top w:val="nil"/>
              <w:left w:val="nil"/>
              <w:bottom w:val="single" w:color="000000" w:sz="12" w:space="0"/>
              <w:right w:val="nil"/>
            </w:tcBorders>
            <w:shd w:val="clear" w:color="auto" w:fill="FFFFFF"/>
            <w:vAlign w:val="center"/>
          </w:tcPr>
          <w:p w14:paraId="407BB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注：花芽分化前期宜补充钙、镁、磷、硼、锌，可采用叶面喷施。</w:t>
            </w:r>
          </w:p>
        </w:tc>
      </w:tr>
    </w:tbl>
    <w:p w14:paraId="321614F4">
      <w:pPr>
        <w:spacing w:line="560" w:lineRule="exact"/>
        <w:ind w:firstLine="482"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b/>
          <w:bCs/>
          <w:sz w:val="24"/>
          <w:szCs w:val="32"/>
          <w:lang w:val="en-US" w:eastAsia="zh-CN"/>
        </w:rPr>
        <w:t>田间验证： </w:t>
      </w:r>
      <w:r>
        <w:rPr>
          <w:rFonts w:hint="default" w:ascii="Times New Roman" w:hAnsi="Times New Roman" w:eastAsia="仿宋_GB2312" w:cs="Arial"/>
          <w:sz w:val="24"/>
          <w:szCs w:val="32"/>
          <w:lang w:val="en-US" w:eastAsia="zh-CN"/>
        </w:rPr>
        <w:t>采用修订后的定量施肥方案，与</w:t>
      </w:r>
      <w:r>
        <w:rPr>
          <w:rFonts w:hint="eastAsia" w:eastAsia="仿宋_GB2312" w:cs="Arial"/>
          <w:sz w:val="24"/>
          <w:szCs w:val="32"/>
          <w:lang w:val="en-US" w:eastAsia="zh-CN"/>
        </w:rPr>
        <w:t>原标准方案</w:t>
      </w:r>
      <w:r>
        <w:rPr>
          <w:rFonts w:hint="default" w:ascii="Times New Roman" w:hAnsi="Times New Roman" w:eastAsia="仿宋_GB2312" w:cs="Arial"/>
          <w:sz w:val="24"/>
          <w:szCs w:val="32"/>
          <w:lang w:val="en-US" w:eastAsia="zh-CN"/>
        </w:rPr>
        <w:t>相比，在肥料成本相近的情况下，产量提高约10%-15%，这证明了该方案在提高肥料利用率和经济效益方面的优势。</w:t>
      </w:r>
    </w:p>
    <w:p w14:paraId="523D282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bCs/>
          <w:kern w:val="44"/>
          <w:sz w:val="21"/>
          <w:szCs w:val="24"/>
          <w:lang w:val="en-US" w:eastAsia="zh-CN"/>
        </w:rPr>
      </w:pPr>
    </w:p>
    <w:p w14:paraId="6397B12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bCs/>
          <w:kern w:val="44"/>
          <w:sz w:val="21"/>
          <w:szCs w:val="24"/>
          <w:lang w:val="en-US" w:eastAsia="zh-CN"/>
        </w:rPr>
      </w:pPr>
      <w:r>
        <w:rPr>
          <w:rFonts w:hint="eastAsia" w:eastAsia="黑体" w:cs="Times New Roman"/>
          <w:bCs/>
          <w:kern w:val="44"/>
          <w:sz w:val="21"/>
          <w:szCs w:val="24"/>
          <w:lang w:val="en-US" w:eastAsia="zh-CN"/>
        </w:rPr>
        <w:t xml:space="preserve">表9 </w:t>
      </w:r>
      <w:r>
        <w:rPr>
          <w:rFonts w:hint="default" w:ascii="Times New Roman" w:hAnsi="Times New Roman" w:eastAsia="黑体" w:cs="Times New Roman"/>
          <w:bCs/>
          <w:kern w:val="44"/>
          <w:sz w:val="21"/>
          <w:szCs w:val="24"/>
          <w:lang w:val="en-US" w:eastAsia="zh-CN"/>
        </w:rPr>
        <w:t>咖啡定量化施肥方案多基地验证结果分析表</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5"/>
        <w:gridCol w:w="982"/>
        <w:gridCol w:w="2220"/>
        <w:gridCol w:w="2820"/>
        <w:gridCol w:w="1991"/>
      </w:tblGrid>
      <w:tr w14:paraId="421E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95" w:type="dxa"/>
            <w:tcBorders>
              <w:top w:val="single" w:color="000000" w:sz="12" w:space="0"/>
              <w:left w:val="nil"/>
              <w:bottom w:val="single" w:color="000000" w:sz="4" w:space="0"/>
              <w:right w:val="nil"/>
              <w:tl2br w:val="nil"/>
            </w:tcBorders>
            <w:shd w:val="clear" w:color="auto" w:fill="FFFFFF"/>
            <w:tcMar>
              <w:top w:w="120" w:type="dxa"/>
              <w:left w:w="0" w:type="dxa"/>
              <w:bottom w:w="120" w:type="dxa"/>
              <w:right w:w="192" w:type="dxa"/>
            </w:tcMar>
            <w:vAlign w:val="center"/>
          </w:tcPr>
          <w:p w14:paraId="76E6F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验证基地</w:t>
            </w:r>
          </w:p>
        </w:tc>
        <w:tc>
          <w:tcPr>
            <w:tcW w:w="982"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6DEB67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试验周期</w:t>
            </w:r>
          </w:p>
        </w:tc>
        <w:tc>
          <w:tcPr>
            <w:tcW w:w="2220"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141D9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处理设计</w:t>
            </w:r>
          </w:p>
        </w:tc>
        <w:tc>
          <w:tcPr>
            <w:tcW w:w="2820"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7A328F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关键数据指标（平均值）</w:t>
            </w:r>
          </w:p>
        </w:tc>
        <w:tc>
          <w:tcPr>
            <w:tcW w:w="1991"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49C16A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验证结论</w:t>
            </w:r>
          </w:p>
        </w:tc>
      </w:tr>
      <w:tr w14:paraId="422C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95" w:type="dxa"/>
            <w:tcBorders>
              <w:top w:val="single" w:color="000000" w:sz="4" w:space="0"/>
              <w:left w:val="nil"/>
              <w:bottom w:val="nil"/>
              <w:right w:val="nil"/>
            </w:tcBorders>
            <w:shd w:val="clear" w:color="auto" w:fill="FFFFFF"/>
            <w:tcMar>
              <w:top w:w="120" w:type="dxa"/>
              <w:left w:w="0" w:type="dxa"/>
              <w:bottom w:w="120" w:type="dxa"/>
              <w:right w:w="192" w:type="dxa"/>
            </w:tcMar>
            <w:vAlign w:val="center"/>
          </w:tcPr>
          <w:p w14:paraId="657464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 xml:space="preserve">1. </w:t>
            </w:r>
            <w:r>
              <w:rPr>
                <w:rStyle w:val="13"/>
                <w:rFonts w:hint="eastAsia" w:ascii="方正仿宋_GB2312" w:hAnsi="方正仿宋_GB2312" w:eastAsia="方正仿宋_GB2312" w:cs="方正仿宋_GB2312"/>
                <w:b w:val="0"/>
                <w:bCs/>
                <w:color w:val="000000"/>
                <w:kern w:val="0"/>
                <w:sz w:val="18"/>
                <w:szCs w:val="18"/>
                <w:lang w:val="en-US" w:eastAsia="zh-CN" w:bidi="ar"/>
              </w:rPr>
              <w:t>德宏热作所</w:t>
            </w:r>
            <w:r>
              <w:rPr>
                <w:rStyle w:val="13"/>
                <w:rFonts w:hint="default" w:ascii="方正仿宋_GB2312" w:hAnsi="方正仿宋_GB2312" w:eastAsia="方正仿宋_GB2312" w:cs="方正仿宋_GB2312"/>
                <w:b w:val="0"/>
                <w:bCs/>
                <w:color w:val="000000"/>
                <w:kern w:val="0"/>
                <w:sz w:val="18"/>
                <w:szCs w:val="18"/>
                <w:lang w:val="en-US" w:eastAsia="zh-CN" w:bidi="ar"/>
              </w:rPr>
              <w:t>示范园</w:t>
            </w:r>
          </w:p>
        </w:tc>
        <w:tc>
          <w:tcPr>
            <w:tcW w:w="982"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2A8ED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2年 (2021-2023)</w:t>
            </w:r>
          </w:p>
        </w:tc>
        <w:tc>
          <w:tcPr>
            <w:tcW w:w="2220"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19864C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处理组：按本标准表2（亩产150-200kg级）方案施肥。</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对照组：</w:t>
            </w:r>
            <w:r>
              <w:rPr>
                <w:rStyle w:val="13"/>
                <w:rFonts w:hint="eastAsia" w:ascii="方正仿宋_GB2312" w:hAnsi="方正仿宋_GB2312" w:eastAsia="方正仿宋_GB2312" w:cs="方正仿宋_GB2312"/>
                <w:b w:val="0"/>
                <w:bCs/>
                <w:color w:val="000000"/>
                <w:kern w:val="0"/>
                <w:sz w:val="18"/>
                <w:szCs w:val="18"/>
                <w:lang w:val="en-US" w:eastAsia="zh-CN" w:bidi="ar"/>
              </w:rPr>
              <w:t>原标准方案</w:t>
            </w: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2820"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5E780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 亩产量：处理组 185 kg，对照组 162 kg。</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 产值：处理组 较对照组增加 18.5%。</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 土壤钾含量变化：处理组稳定在适宜水平，对照组下降明显。</w:t>
            </w:r>
          </w:p>
        </w:tc>
        <w:tc>
          <w:tcPr>
            <w:tcW w:w="1991" w:type="dxa"/>
            <w:tcBorders>
              <w:top w:val="single" w:color="000000" w:sz="4" w:space="0"/>
              <w:left w:val="nil"/>
              <w:bottom w:val="nil"/>
              <w:right w:val="nil"/>
            </w:tcBorders>
            <w:shd w:val="clear" w:color="auto" w:fill="FFFFFF"/>
            <w:tcMar>
              <w:top w:w="120" w:type="dxa"/>
              <w:left w:w="192" w:type="dxa"/>
              <w:bottom w:w="120" w:type="dxa"/>
              <w:right w:w="0" w:type="dxa"/>
            </w:tcMar>
            <w:vAlign w:val="center"/>
          </w:tcPr>
          <w:p w14:paraId="017F5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增产增收，稳肥地力。 精准施肥在成本相近下实现显著增产，经济效益突出，并避免了土壤钾库耗竭。</w:t>
            </w:r>
          </w:p>
        </w:tc>
      </w:tr>
      <w:tr w14:paraId="3E8A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95" w:type="dxa"/>
            <w:tcBorders>
              <w:top w:val="nil"/>
              <w:left w:val="nil"/>
              <w:bottom w:val="nil"/>
              <w:right w:val="nil"/>
            </w:tcBorders>
            <w:shd w:val="clear" w:color="auto" w:fill="FFFFFF"/>
            <w:tcMar>
              <w:top w:w="120" w:type="dxa"/>
              <w:left w:w="0" w:type="dxa"/>
              <w:bottom w:w="120" w:type="dxa"/>
              <w:right w:w="192" w:type="dxa"/>
            </w:tcMar>
            <w:vAlign w:val="center"/>
          </w:tcPr>
          <w:p w14:paraId="67450E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2. 好伙伴种植合作社（老水井）</w:t>
            </w:r>
          </w:p>
        </w:tc>
        <w:tc>
          <w:tcPr>
            <w:tcW w:w="982" w:type="dxa"/>
            <w:tcBorders>
              <w:top w:val="nil"/>
              <w:left w:val="nil"/>
              <w:bottom w:val="nil"/>
              <w:right w:val="nil"/>
            </w:tcBorders>
            <w:shd w:val="clear" w:color="auto" w:fill="FFFFFF"/>
            <w:tcMar>
              <w:top w:w="120" w:type="dxa"/>
              <w:left w:w="192" w:type="dxa"/>
              <w:bottom w:w="120" w:type="dxa"/>
              <w:right w:w="192" w:type="dxa"/>
            </w:tcMar>
            <w:vAlign w:val="center"/>
          </w:tcPr>
          <w:p w14:paraId="0B25B6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3年 (2020-2023)</w:t>
            </w:r>
          </w:p>
        </w:tc>
        <w:tc>
          <w:tcPr>
            <w:tcW w:w="2220" w:type="dxa"/>
            <w:tcBorders>
              <w:top w:val="nil"/>
              <w:left w:val="nil"/>
              <w:bottom w:val="nil"/>
              <w:right w:val="nil"/>
            </w:tcBorders>
            <w:shd w:val="clear" w:color="auto" w:fill="FFFFFF"/>
            <w:tcMar>
              <w:top w:w="120" w:type="dxa"/>
              <w:left w:w="192" w:type="dxa"/>
              <w:bottom w:w="120" w:type="dxa"/>
              <w:right w:w="192" w:type="dxa"/>
            </w:tcMar>
            <w:vAlign w:val="center"/>
          </w:tcPr>
          <w:p w14:paraId="6586B3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处理组：按本标准表2（亩产&gt;200kg级）方案施肥。</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对照组：</w:t>
            </w:r>
            <w:r>
              <w:rPr>
                <w:rStyle w:val="13"/>
                <w:rFonts w:hint="eastAsia" w:ascii="方正仿宋_GB2312" w:hAnsi="方正仿宋_GB2312" w:eastAsia="方正仿宋_GB2312" w:cs="方正仿宋_GB2312"/>
                <w:b w:val="0"/>
                <w:bCs/>
                <w:color w:val="000000"/>
                <w:kern w:val="0"/>
                <w:sz w:val="18"/>
                <w:szCs w:val="18"/>
                <w:lang w:val="en-US" w:eastAsia="zh-CN" w:bidi="ar"/>
              </w:rPr>
              <w:t>原标准方案</w:t>
            </w: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2820" w:type="dxa"/>
            <w:tcBorders>
              <w:top w:val="nil"/>
              <w:left w:val="nil"/>
              <w:bottom w:val="nil"/>
              <w:right w:val="nil"/>
            </w:tcBorders>
            <w:shd w:val="clear" w:color="auto" w:fill="FFFFFF"/>
            <w:tcMar>
              <w:top w:w="120" w:type="dxa"/>
              <w:left w:w="192" w:type="dxa"/>
              <w:bottom w:w="120" w:type="dxa"/>
              <w:right w:w="192" w:type="dxa"/>
            </w:tcMar>
            <w:vAlign w:val="center"/>
          </w:tcPr>
          <w:p w14:paraId="286936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 亩产量：处理组 248 kg，对照组</w:t>
            </w:r>
            <w:r>
              <w:rPr>
                <w:rStyle w:val="13"/>
                <w:rFonts w:hint="eastAsia" w:ascii="方正仿宋_GB2312" w:hAnsi="方正仿宋_GB2312" w:eastAsia="方正仿宋_GB2312" w:cs="方正仿宋_GB2312"/>
                <w:b w:val="0"/>
                <w:bCs/>
                <w:color w:val="000000"/>
                <w:kern w:val="0"/>
                <w:sz w:val="18"/>
                <w:szCs w:val="18"/>
                <w:lang w:val="en-US" w:eastAsia="zh-CN" w:bidi="ar"/>
              </w:rPr>
              <w:t>19</w:t>
            </w:r>
            <w:r>
              <w:rPr>
                <w:rStyle w:val="13"/>
                <w:rFonts w:hint="default" w:ascii="方正仿宋_GB2312" w:hAnsi="方正仿宋_GB2312" w:eastAsia="方正仿宋_GB2312" w:cs="方正仿宋_GB2312"/>
                <w:b w:val="0"/>
                <w:bCs/>
                <w:color w:val="000000"/>
                <w:kern w:val="0"/>
                <w:sz w:val="18"/>
                <w:szCs w:val="18"/>
                <w:lang w:val="en-US" w:eastAsia="zh-CN" w:bidi="ar"/>
              </w:rPr>
              <w:t>0 kg。</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 千粒重：处理组 165 g，对照组 158 g。</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  杯品评分：处理组 83.5分，对照组 81.0分。</w:t>
            </w:r>
          </w:p>
        </w:tc>
        <w:tc>
          <w:tcPr>
            <w:tcW w:w="1991" w:type="dxa"/>
            <w:tcBorders>
              <w:top w:val="nil"/>
              <w:left w:val="nil"/>
              <w:bottom w:val="nil"/>
              <w:right w:val="nil"/>
            </w:tcBorders>
            <w:shd w:val="clear" w:color="auto" w:fill="FFFFFF"/>
            <w:tcMar>
              <w:top w:w="120" w:type="dxa"/>
              <w:left w:w="192" w:type="dxa"/>
              <w:bottom w:w="120" w:type="dxa"/>
              <w:right w:w="0" w:type="dxa"/>
            </w:tcMar>
            <w:vAlign w:val="center"/>
          </w:tcPr>
          <w:p w14:paraId="515B32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优质高产，提升效率。 方案在追求高产的同时，通过均衡营养供应提升了商品豆的千粒重和杯品质量，肥料利用率显著提高。</w:t>
            </w:r>
          </w:p>
        </w:tc>
      </w:tr>
      <w:tr w14:paraId="1466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95" w:type="dxa"/>
            <w:tcBorders>
              <w:top w:val="nil"/>
              <w:left w:val="nil"/>
              <w:bottom w:val="single" w:color="000000" w:sz="12" w:space="0"/>
              <w:right w:val="nil"/>
            </w:tcBorders>
            <w:shd w:val="clear" w:color="auto" w:fill="FFFFFF"/>
            <w:tcMar>
              <w:top w:w="120" w:type="dxa"/>
              <w:left w:w="0" w:type="dxa"/>
              <w:bottom w:w="120" w:type="dxa"/>
              <w:right w:w="192" w:type="dxa"/>
            </w:tcMar>
            <w:vAlign w:val="center"/>
          </w:tcPr>
          <w:p w14:paraId="3BDE51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3. 临沧市镇康县栖云咖啡有限公司</w:t>
            </w:r>
          </w:p>
        </w:tc>
        <w:tc>
          <w:tcPr>
            <w:tcW w:w="982"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75D25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w:t>
            </w:r>
            <w:r>
              <w:rPr>
                <w:rStyle w:val="13"/>
                <w:rFonts w:hint="default" w:ascii="方正仿宋_GB2312" w:hAnsi="方正仿宋_GB2312" w:eastAsia="方正仿宋_GB2312" w:cs="方正仿宋_GB2312"/>
                <w:b w:val="0"/>
                <w:bCs/>
                <w:color w:val="000000"/>
                <w:kern w:val="0"/>
                <w:sz w:val="18"/>
                <w:szCs w:val="18"/>
                <w:lang w:val="en-US" w:eastAsia="zh-CN" w:bidi="ar"/>
              </w:rPr>
              <w:t>年 (20</w:t>
            </w:r>
            <w:r>
              <w:rPr>
                <w:rStyle w:val="13"/>
                <w:rFonts w:hint="eastAsia" w:ascii="方正仿宋_GB2312" w:hAnsi="方正仿宋_GB2312" w:eastAsia="方正仿宋_GB2312" w:cs="方正仿宋_GB2312"/>
                <w:b w:val="0"/>
                <w:bCs/>
                <w:color w:val="000000"/>
                <w:kern w:val="0"/>
                <w:sz w:val="18"/>
                <w:szCs w:val="18"/>
                <w:lang w:val="en-US" w:eastAsia="zh-CN" w:bidi="ar"/>
              </w:rPr>
              <w:t>21</w:t>
            </w:r>
            <w:r>
              <w:rPr>
                <w:rStyle w:val="13"/>
                <w:rFonts w:hint="default" w:ascii="方正仿宋_GB2312" w:hAnsi="方正仿宋_GB2312" w:eastAsia="方正仿宋_GB2312" w:cs="方正仿宋_GB2312"/>
                <w:b w:val="0"/>
                <w:bCs/>
                <w:color w:val="000000"/>
                <w:kern w:val="0"/>
                <w:sz w:val="18"/>
                <w:szCs w:val="18"/>
                <w:lang w:val="en-US" w:eastAsia="zh-CN" w:bidi="ar"/>
              </w:rPr>
              <w:t>-2024)</w:t>
            </w:r>
          </w:p>
        </w:tc>
        <w:tc>
          <w:tcPr>
            <w:tcW w:w="2220"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73EA37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处理组：按本标准表2方案，并结合土壤检测微调中微量元素。</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对照组：</w:t>
            </w:r>
            <w:r>
              <w:rPr>
                <w:rStyle w:val="13"/>
                <w:rFonts w:hint="eastAsia" w:ascii="方正仿宋_GB2312" w:hAnsi="方正仿宋_GB2312" w:eastAsia="方正仿宋_GB2312" w:cs="方正仿宋_GB2312"/>
                <w:b w:val="0"/>
                <w:bCs/>
                <w:color w:val="000000"/>
                <w:kern w:val="0"/>
                <w:sz w:val="18"/>
                <w:szCs w:val="18"/>
                <w:lang w:val="en-US" w:eastAsia="zh-CN" w:bidi="ar"/>
              </w:rPr>
              <w:t>原标准方案</w:t>
            </w: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2820"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0D204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 xml:space="preserve">• 亩产量：处理组 </w:t>
            </w:r>
            <w:r>
              <w:rPr>
                <w:rStyle w:val="13"/>
                <w:rFonts w:hint="eastAsia" w:ascii="方正仿宋_GB2312" w:hAnsi="方正仿宋_GB2312" w:eastAsia="方正仿宋_GB2312" w:cs="方正仿宋_GB2312"/>
                <w:b w:val="0"/>
                <w:bCs/>
                <w:color w:val="000000"/>
                <w:kern w:val="0"/>
                <w:sz w:val="18"/>
                <w:szCs w:val="18"/>
                <w:lang w:val="en-US" w:eastAsia="zh-CN" w:bidi="ar"/>
              </w:rPr>
              <w:t>212</w:t>
            </w:r>
            <w:r>
              <w:rPr>
                <w:rStyle w:val="13"/>
                <w:rFonts w:hint="default" w:ascii="方正仿宋_GB2312" w:hAnsi="方正仿宋_GB2312" w:eastAsia="方正仿宋_GB2312" w:cs="方正仿宋_GB2312"/>
                <w:b w:val="0"/>
                <w:bCs/>
                <w:color w:val="000000"/>
                <w:kern w:val="0"/>
                <w:sz w:val="18"/>
                <w:szCs w:val="18"/>
                <w:lang w:val="en-US" w:eastAsia="zh-CN" w:bidi="ar"/>
              </w:rPr>
              <w:t xml:space="preserve"> kg，对照组</w:t>
            </w:r>
            <w:r>
              <w:rPr>
                <w:rStyle w:val="13"/>
                <w:rFonts w:hint="eastAsia" w:ascii="方正仿宋_GB2312" w:hAnsi="方正仿宋_GB2312" w:eastAsia="方正仿宋_GB2312" w:cs="方正仿宋_GB2312"/>
                <w:b w:val="0"/>
                <w:bCs/>
                <w:color w:val="000000"/>
                <w:kern w:val="0"/>
                <w:sz w:val="18"/>
                <w:szCs w:val="18"/>
                <w:lang w:val="en-US" w:eastAsia="zh-CN" w:bidi="ar"/>
              </w:rPr>
              <w:t>17</w:t>
            </w:r>
            <w:r>
              <w:rPr>
                <w:rStyle w:val="13"/>
                <w:rFonts w:hint="default" w:ascii="方正仿宋_GB2312" w:hAnsi="方正仿宋_GB2312" w:eastAsia="方正仿宋_GB2312" w:cs="方正仿宋_GB2312"/>
                <w:b w:val="0"/>
                <w:bCs/>
                <w:color w:val="000000"/>
                <w:kern w:val="0"/>
                <w:sz w:val="18"/>
                <w:szCs w:val="18"/>
                <w:lang w:val="en-US" w:eastAsia="zh-CN" w:bidi="ar"/>
              </w:rPr>
              <w:t>0 kg。</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 千粒重：处理组 1</w:t>
            </w:r>
            <w:r>
              <w:rPr>
                <w:rStyle w:val="13"/>
                <w:rFonts w:hint="eastAsia" w:ascii="方正仿宋_GB2312" w:hAnsi="方正仿宋_GB2312" w:eastAsia="方正仿宋_GB2312" w:cs="方正仿宋_GB2312"/>
                <w:b w:val="0"/>
                <w:bCs/>
                <w:color w:val="000000"/>
                <w:kern w:val="0"/>
                <w:sz w:val="18"/>
                <w:szCs w:val="18"/>
                <w:lang w:val="en-US" w:eastAsia="zh-CN" w:bidi="ar"/>
              </w:rPr>
              <w:t>80</w:t>
            </w:r>
            <w:r>
              <w:rPr>
                <w:rStyle w:val="13"/>
                <w:rFonts w:hint="default" w:ascii="方正仿宋_GB2312" w:hAnsi="方正仿宋_GB2312" w:eastAsia="方正仿宋_GB2312" w:cs="方正仿宋_GB2312"/>
                <w:b w:val="0"/>
                <w:bCs/>
                <w:color w:val="000000"/>
                <w:kern w:val="0"/>
                <w:sz w:val="18"/>
                <w:szCs w:val="18"/>
                <w:lang w:val="en-US" w:eastAsia="zh-CN" w:bidi="ar"/>
              </w:rPr>
              <w:t xml:space="preserve"> g，对照组 1</w:t>
            </w:r>
            <w:r>
              <w:rPr>
                <w:rStyle w:val="13"/>
                <w:rFonts w:hint="eastAsia" w:ascii="方正仿宋_GB2312" w:hAnsi="方正仿宋_GB2312" w:eastAsia="方正仿宋_GB2312" w:cs="方正仿宋_GB2312"/>
                <w:b w:val="0"/>
                <w:bCs/>
                <w:color w:val="000000"/>
                <w:kern w:val="0"/>
                <w:sz w:val="18"/>
                <w:szCs w:val="18"/>
                <w:lang w:val="en-US" w:eastAsia="zh-CN" w:bidi="ar"/>
              </w:rPr>
              <w:t>6</w:t>
            </w:r>
            <w:r>
              <w:rPr>
                <w:rStyle w:val="13"/>
                <w:rFonts w:hint="default" w:ascii="方正仿宋_GB2312" w:hAnsi="方正仿宋_GB2312" w:eastAsia="方正仿宋_GB2312" w:cs="方正仿宋_GB2312"/>
                <w:b w:val="0"/>
                <w:bCs/>
                <w:color w:val="000000"/>
                <w:kern w:val="0"/>
                <w:sz w:val="18"/>
                <w:szCs w:val="18"/>
                <w:lang w:val="en-US" w:eastAsia="zh-CN" w:bidi="ar"/>
              </w:rPr>
              <w:t>8 g。</w:t>
            </w:r>
            <w:r>
              <w:rPr>
                <w:rStyle w:val="13"/>
                <w:rFonts w:hint="default" w:ascii="方正仿宋_GB2312" w:hAnsi="方正仿宋_GB2312" w:eastAsia="方正仿宋_GB2312" w:cs="方正仿宋_GB2312"/>
                <w:b w:val="0"/>
                <w:bCs/>
                <w:color w:val="000000"/>
                <w:kern w:val="0"/>
                <w:sz w:val="18"/>
                <w:szCs w:val="18"/>
                <w:lang w:val="en-US" w:eastAsia="zh-CN" w:bidi="ar"/>
              </w:rPr>
              <w:br w:type="textWrapping"/>
            </w:r>
            <w:r>
              <w:rPr>
                <w:rStyle w:val="13"/>
                <w:rFonts w:hint="default" w:ascii="方正仿宋_GB2312" w:hAnsi="方正仿宋_GB2312" w:eastAsia="方正仿宋_GB2312" w:cs="方正仿宋_GB2312"/>
                <w:b w:val="0"/>
                <w:bCs/>
                <w:color w:val="000000"/>
                <w:kern w:val="0"/>
                <w:sz w:val="18"/>
                <w:szCs w:val="18"/>
                <w:lang w:val="en-US" w:eastAsia="zh-CN" w:bidi="ar"/>
              </w:rPr>
              <w:t>•  杯品评分：处理组 8</w:t>
            </w:r>
            <w:r>
              <w:rPr>
                <w:rStyle w:val="13"/>
                <w:rFonts w:hint="eastAsia" w:ascii="方正仿宋_GB2312" w:hAnsi="方正仿宋_GB2312" w:eastAsia="方正仿宋_GB2312" w:cs="方正仿宋_GB2312"/>
                <w:b w:val="0"/>
                <w:bCs/>
                <w:color w:val="000000"/>
                <w:kern w:val="0"/>
                <w:sz w:val="18"/>
                <w:szCs w:val="18"/>
                <w:lang w:val="en-US" w:eastAsia="zh-CN" w:bidi="ar"/>
              </w:rPr>
              <w:t>4</w:t>
            </w:r>
            <w:r>
              <w:rPr>
                <w:rStyle w:val="13"/>
                <w:rFonts w:hint="default" w:ascii="方正仿宋_GB2312" w:hAnsi="方正仿宋_GB2312" w:eastAsia="方正仿宋_GB2312" w:cs="方正仿宋_GB2312"/>
                <w:b w:val="0"/>
                <w:bCs/>
                <w:color w:val="000000"/>
                <w:kern w:val="0"/>
                <w:sz w:val="18"/>
                <w:szCs w:val="18"/>
                <w:lang w:val="en-US" w:eastAsia="zh-CN" w:bidi="ar"/>
              </w:rPr>
              <w:t>分，对照组 8</w:t>
            </w:r>
            <w:r>
              <w:rPr>
                <w:rStyle w:val="13"/>
                <w:rFonts w:hint="eastAsia" w:ascii="方正仿宋_GB2312" w:hAnsi="方正仿宋_GB2312" w:eastAsia="方正仿宋_GB2312" w:cs="方正仿宋_GB2312"/>
                <w:b w:val="0"/>
                <w:bCs/>
                <w:color w:val="000000"/>
                <w:kern w:val="0"/>
                <w:sz w:val="18"/>
                <w:szCs w:val="18"/>
                <w:lang w:val="en-US" w:eastAsia="zh-CN" w:bidi="ar"/>
              </w:rPr>
              <w:t>2</w:t>
            </w:r>
            <w:r>
              <w:rPr>
                <w:rStyle w:val="13"/>
                <w:rFonts w:hint="default" w:ascii="方正仿宋_GB2312" w:hAnsi="方正仿宋_GB2312" w:eastAsia="方正仿宋_GB2312" w:cs="方正仿宋_GB2312"/>
                <w:b w:val="0"/>
                <w:bCs/>
                <w:color w:val="000000"/>
                <w:kern w:val="0"/>
                <w:sz w:val="18"/>
                <w:szCs w:val="18"/>
                <w:lang w:val="en-US" w:eastAsia="zh-CN" w:bidi="ar"/>
              </w:rPr>
              <w:t>分。</w:t>
            </w:r>
          </w:p>
        </w:tc>
        <w:tc>
          <w:tcPr>
            <w:tcW w:w="1991" w:type="dxa"/>
            <w:tcBorders>
              <w:top w:val="nil"/>
              <w:left w:val="nil"/>
              <w:bottom w:val="single" w:color="000000" w:sz="12" w:space="0"/>
              <w:right w:val="nil"/>
            </w:tcBorders>
            <w:shd w:val="clear" w:color="auto" w:fill="FFFFFF"/>
            <w:tcMar>
              <w:top w:w="120" w:type="dxa"/>
              <w:left w:w="192" w:type="dxa"/>
              <w:bottom w:w="120" w:type="dxa"/>
              <w:right w:w="0" w:type="dxa"/>
            </w:tcMar>
            <w:vAlign w:val="center"/>
          </w:tcPr>
          <w:p w14:paraId="05B77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健壮树体，省工增效。 精准施肥使树体营养均衡，抗病性增强，减少了农药和人工投入，实现了绿色节本。</w:t>
            </w:r>
          </w:p>
        </w:tc>
      </w:tr>
    </w:tbl>
    <w:p w14:paraId="37FD091C">
      <w:pPr>
        <w:spacing w:line="560" w:lineRule="exact"/>
        <w:ind w:firstLine="482" w:firstLineChars="200"/>
        <w:rPr>
          <w:rFonts w:hint="default" w:ascii="Times New Roman" w:hAnsi="Times New Roman" w:eastAsia="仿宋_GB2312" w:cs="Arial"/>
          <w:b/>
          <w:bCs/>
          <w:sz w:val="24"/>
          <w:szCs w:val="32"/>
          <w:lang w:val="en-US" w:eastAsia="zh-CN"/>
        </w:rPr>
      </w:pPr>
      <w:r>
        <w:rPr>
          <w:rFonts w:hint="default" w:ascii="Times New Roman" w:hAnsi="Times New Roman" w:eastAsia="仿宋_GB2312" w:cs="Arial"/>
          <w:b/>
          <w:bCs/>
          <w:sz w:val="24"/>
          <w:szCs w:val="32"/>
          <w:lang w:val="en-US" w:eastAsia="zh-CN"/>
        </w:rPr>
        <w:t>3. 病虫害防治方案的更新与细化</w:t>
      </w:r>
    </w:p>
    <w:p w14:paraId="1CD92F5F">
      <w:pPr>
        <w:spacing w:line="560" w:lineRule="exact"/>
        <w:ind w:firstLine="482"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b/>
          <w:bCs/>
          <w:sz w:val="24"/>
          <w:szCs w:val="32"/>
          <w:lang w:val="en-US" w:eastAsia="zh-CN"/>
        </w:rPr>
        <w:t>技术内容改变： </w:t>
      </w:r>
      <w:r>
        <w:rPr>
          <w:rFonts w:hint="default" w:ascii="Times New Roman" w:hAnsi="Times New Roman" w:eastAsia="仿宋_GB2312" w:cs="Arial"/>
          <w:sz w:val="24"/>
          <w:szCs w:val="32"/>
          <w:lang w:val="en-US" w:eastAsia="zh-CN"/>
        </w:rPr>
        <w:t>新增咖啡果小蠹、多种粉蚧等重要害虫的防治；更新推荐药剂为高效低毒品种（如吡唑醚菌酯、噻虫啉）；强调“交替使用”。</w:t>
      </w:r>
    </w:p>
    <w:p w14:paraId="3F39FDDE">
      <w:pPr>
        <w:spacing w:line="560" w:lineRule="exact"/>
        <w:ind w:firstLine="482" w:firstLineChars="200"/>
        <w:rPr>
          <w:rFonts w:hint="default" w:ascii="Times New Roman" w:hAnsi="Times New Roman" w:eastAsia="仿宋_GB2312" w:cs="Arial"/>
          <w:b/>
          <w:bCs/>
          <w:sz w:val="24"/>
          <w:szCs w:val="32"/>
          <w:lang w:val="en-US" w:eastAsia="zh-CN"/>
        </w:rPr>
      </w:pPr>
      <w:r>
        <w:rPr>
          <w:rFonts w:hint="default" w:ascii="Times New Roman" w:hAnsi="Times New Roman" w:eastAsia="仿宋_GB2312" w:cs="Arial"/>
          <w:b/>
          <w:bCs/>
          <w:sz w:val="24"/>
          <w:szCs w:val="32"/>
          <w:lang w:val="en-US" w:eastAsia="zh-CN"/>
        </w:rPr>
        <w:t>验证分析与论证：</w:t>
      </w:r>
    </w:p>
    <w:p w14:paraId="162F59A3">
      <w:pPr>
        <w:spacing w:line="560" w:lineRule="exact"/>
        <w:ind w:firstLine="482"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b/>
          <w:bCs/>
          <w:sz w:val="24"/>
          <w:szCs w:val="32"/>
          <w:lang w:val="en-US" w:eastAsia="zh-CN"/>
        </w:rPr>
        <w:t>必要性论证：</w:t>
      </w:r>
      <w:r>
        <w:rPr>
          <w:rFonts w:hint="default" w:ascii="Times New Roman" w:hAnsi="Times New Roman" w:eastAsia="仿宋_GB2312" w:cs="Arial"/>
          <w:sz w:val="24"/>
          <w:szCs w:val="32"/>
          <w:lang w:val="en-US" w:eastAsia="zh-CN"/>
        </w:rPr>
        <w:t> 随着咖啡种植年限延长和气候变化，咖啡果小蠹等害虫的危害日益严重，已成为制约产量和品质的关键因素。将其纳入防治规程是应对生产中新问题的必要举措。</w:t>
      </w:r>
    </w:p>
    <w:p w14:paraId="1D390906">
      <w:pPr>
        <w:spacing w:line="560" w:lineRule="exact"/>
        <w:ind w:firstLine="482"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b/>
          <w:bCs/>
          <w:sz w:val="24"/>
          <w:szCs w:val="32"/>
          <w:lang w:val="en-US" w:eastAsia="zh-CN"/>
        </w:rPr>
        <w:t>药效与安全性验证： </w:t>
      </w:r>
      <w:r>
        <w:rPr>
          <w:rFonts w:hint="default" w:ascii="Times New Roman" w:hAnsi="Times New Roman" w:eastAsia="仿宋_GB2312" w:cs="Arial"/>
          <w:sz w:val="24"/>
          <w:szCs w:val="32"/>
          <w:lang w:val="en-US" w:eastAsia="zh-CN"/>
        </w:rPr>
        <w:t>推荐的新药剂均经过农业技术推广部门的田间药效试验，证明其对靶标害虫/病害有良好防效，且对环境和天敌安全。强调“交替使用”是依据“抗药性治理”原则，旨在延长高效药剂的使用寿命，该策略在果树、蔬菜等作物上已有成熟且成功的应用验证。</w:t>
      </w:r>
    </w:p>
    <w:p w14:paraId="6B353275">
      <w:pPr>
        <w:spacing w:line="560" w:lineRule="exact"/>
        <w:ind w:firstLine="482" w:firstLineChars="200"/>
        <w:rPr>
          <w:rFonts w:hint="default" w:eastAsia="仿宋_GB2312" w:cs="Arial"/>
          <w:b/>
          <w:bCs/>
          <w:sz w:val="24"/>
          <w:szCs w:val="32"/>
          <w:lang w:val="en-US" w:eastAsia="zh-CN"/>
        </w:rPr>
      </w:pPr>
      <w:r>
        <w:rPr>
          <w:rFonts w:hint="eastAsia" w:eastAsia="仿宋_GB2312" w:cs="Arial"/>
          <w:b/>
          <w:bCs/>
          <w:sz w:val="24"/>
          <w:szCs w:val="32"/>
          <w:lang w:val="en-US" w:eastAsia="zh-CN"/>
        </w:rPr>
        <w:t>3.1咖啡主要病害防治药剂验证</w:t>
      </w:r>
    </w:p>
    <w:p w14:paraId="4FC3A893">
      <w:pPr>
        <w:spacing w:line="560" w:lineRule="exact"/>
        <w:ind w:firstLine="482" w:firstLineChars="200"/>
        <w:rPr>
          <w:rFonts w:hint="default" w:ascii="Times New Roman" w:hAnsi="Times New Roman" w:eastAsia="仿宋_GB2312" w:cs="Arial"/>
          <w:b/>
          <w:bCs/>
          <w:sz w:val="24"/>
          <w:szCs w:val="32"/>
          <w:lang w:val="en-US" w:eastAsia="zh-CN"/>
        </w:rPr>
      </w:pPr>
      <w:r>
        <w:rPr>
          <w:rFonts w:hint="eastAsia" w:eastAsia="仿宋_GB2312" w:cs="Arial"/>
          <w:b/>
          <w:bCs/>
          <w:sz w:val="24"/>
          <w:szCs w:val="32"/>
          <w:lang w:val="en-US" w:eastAsia="zh-CN"/>
        </w:rPr>
        <w:t>3.1.1咖啡锈病防治试验</w:t>
      </w:r>
    </w:p>
    <w:p w14:paraId="48D9A5FD">
      <w:pPr>
        <w:pStyle w:val="8"/>
        <w:keepNext w:val="0"/>
        <w:keepLines w:val="0"/>
        <w:widowControl/>
        <w:suppressLineNumbers w:val="0"/>
        <w:spacing w:before="0" w:beforeAutospacing="0" w:after="0" w:afterAutospacing="0"/>
        <w:ind w:left="0" w:right="0" w:firstLine="482" w:firstLineChars="200"/>
        <w:rPr>
          <w:rFonts w:hint="default" w:ascii="Times New Roman" w:hAnsi="Times New Roman" w:eastAsia="仿宋_GB2312" w:cs="Arial"/>
          <w:kern w:val="2"/>
          <w:sz w:val="24"/>
          <w:szCs w:val="32"/>
          <w:lang w:val="en-US" w:eastAsia="zh-CN" w:bidi="ar-SA"/>
        </w:rPr>
      </w:pPr>
      <w:r>
        <w:rPr>
          <w:rFonts w:hint="default" w:ascii="Times New Roman" w:hAnsi="Times New Roman" w:eastAsia="仿宋_GB2312" w:cs="Arial"/>
          <w:b/>
          <w:bCs/>
          <w:kern w:val="2"/>
          <w:sz w:val="24"/>
          <w:szCs w:val="32"/>
          <w:lang w:val="en-US" w:eastAsia="zh-CN" w:bidi="ar-SA"/>
        </w:rPr>
        <w:t>病原</w:t>
      </w:r>
      <w:r>
        <w:rPr>
          <w:rFonts w:hint="default" w:ascii="Times New Roman" w:hAnsi="Times New Roman" w:eastAsia="仿宋_GB2312" w:cs="Arial"/>
          <w:kern w:val="2"/>
          <w:sz w:val="24"/>
          <w:szCs w:val="32"/>
          <w:lang w:val="en-US" w:eastAsia="zh-CN" w:bidi="ar-SA"/>
        </w:rPr>
        <w:t xml:space="preserve"> 咖啡驼孢锈菌</w:t>
      </w:r>
      <w:r>
        <w:rPr>
          <w:rFonts w:hint="default" w:ascii="Times New Roman" w:hAnsi="Times New Roman" w:eastAsia="仿宋_GB2312" w:cs="Arial"/>
          <w:i/>
          <w:iCs/>
          <w:kern w:val="2"/>
          <w:sz w:val="24"/>
          <w:szCs w:val="32"/>
          <w:lang w:val="en-US" w:eastAsia="zh-CN" w:bidi="ar-SA"/>
        </w:rPr>
        <w:t>Hemileia vastatrix</w:t>
      </w:r>
      <w:r>
        <w:rPr>
          <w:rFonts w:hint="default" w:ascii="Times New Roman" w:hAnsi="Times New Roman" w:eastAsia="仿宋_GB2312" w:cs="Arial"/>
          <w:kern w:val="2"/>
          <w:sz w:val="24"/>
          <w:szCs w:val="32"/>
          <w:lang w:val="en-US" w:eastAsia="zh-CN" w:bidi="ar-SA"/>
        </w:rPr>
        <w:t xml:space="preserve"> Berk.et Br.</w:t>
      </w:r>
    </w:p>
    <w:p w14:paraId="3919579F">
      <w:pPr>
        <w:pStyle w:val="8"/>
        <w:keepNext w:val="0"/>
        <w:keepLines w:val="0"/>
        <w:widowControl/>
        <w:suppressLineNumbers w:val="0"/>
        <w:spacing w:before="0" w:beforeAutospacing="0" w:after="0" w:afterAutospacing="0"/>
        <w:ind w:left="0" w:right="0" w:firstLine="482" w:firstLineChars="200"/>
        <w:rPr>
          <w:rFonts w:hint="default" w:ascii="Times New Roman" w:hAnsi="Times New Roman" w:eastAsia="仿宋_GB2312" w:cs="Arial"/>
          <w:kern w:val="2"/>
          <w:sz w:val="24"/>
          <w:szCs w:val="32"/>
          <w:lang w:val="en-US" w:eastAsia="zh-CN" w:bidi="ar-SA"/>
        </w:rPr>
      </w:pPr>
      <w:r>
        <w:rPr>
          <w:rFonts w:hint="default" w:ascii="Times New Roman" w:hAnsi="Times New Roman" w:eastAsia="仿宋_GB2312" w:cs="Arial"/>
          <w:b/>
          <w:bCs/>
          <w:kern w:val="2"/>
          <w:sz w:val="24"/>
          <w:szCs w:val="32"/>
          <w:lang w:val="en-US" w:eastAsia="zh-CN" w:bidi="ar-SA"/>
        </w:rPr>
        <w:t>危害部位及症状</w:t>
      </w:r>
      <w:r>
        <w:rPr>
          <w:rFonts w:hint="default" w:ascii="Times New Roman" w:hAnsi="Times New Roman" w:eastAsia="仿宋_GB2312" w:cs="Arial"/>
          <w:kern w:val="2"/>
          <w:sz w:val="24"/>
          <w:szCs w:val="32"/>
          <w:lang w:val="en-US" w:eastAsia="zh-CN" w:bidi="ar-SA"/>
        </w:rPr>
        <w:t xml:space="preserve"> 主要为害叶片，感病初期出现浅黄色水渍状的小斑，周围有浅绿色晕圈，病斑扩大后，叶背面产生橙黄色粉状孢子堆。后期形成不规则的大斑，晚期干枯成深褐色，严重时，大量落叶。</w:t>
      </w:r>
    </w:p>
    <w:p w14:paraId="1A5F5629">
      <w:pPr>
        <w:pStyle w:val="8"/>
        <w:keepNext w:val="0"/>
        <w:keepLines w:val="0"/>
        <w:widowControl/>
        <w:suppressLineNumbers w:val="0"/>
        <w:spacing w:before="0" w:beforeAutospacing="0" w:after="0" w:afterAutospacing="0"/>
        <w:ind w:left="0" w:right="0" w:firstLine="482" w:firstLineChars="200"/>
        <w:rPr>
          <w:rFonts w:hint="default" w:ascii="Times New Roman" w:hAnsi="Times New Roman" w:eastAsia="仿宋_GB2312" w:cs="Arial"/>
          <w:kern w:val="2"/>
          <w:sz w:val="24"/>
          <w:szCs w:val="32"/>
          <w:lang w:val="en-US" w:eastAsia="zh-CN" w:bidi="ar-SA"/>
        </w:rPr>
      </w:pPr>
      <w:r>
        <w:rPr>
          <w:rFonts w:hint="default" w:ascii="Times New Roman" w:hAnsi="Times New Roman" w:eastAsia="仿宋_GB2312" w:cs="Arial"/>
          <w:b/>
          <w:bCs/>
          <w:kern w:val="2"/>
          <w:sz w:val="24"/>
          <w:szCs w:val="32"/>
          <w:lang w:val="en-US" w:eastAsia="zh-CN" w:bidi="ar-SA"/>
        </w:rPr>
        <w:t>传播途径</w:t>
      </w:r>
      <w:r>
        <w:rPr>
          <w:rFonts w:hint="default" w:ascii="Times New Roman" w:hAnsi="Times New Roman" w:eastAsia="仿宋_GB2312" w:cs="Arial"/>
          <w:kern w:val="2"/>
          <w:sz w:val="24"/>
          <w:szCs w:val="32"/>
          <w:lang w:val="en-US" w:eastAsia="zh-CN" w:bidi="ar-SA"/>
        </w:rPr>
        <w:t xml:space="preserve"> 气流、风、雨、人畜和昆虫。</w:t>
      </w:r>
    </w:p>
    <w:p w14:paraId="5AE2145C">
      <w:pPr>
        <w:pStyle w:val="8"/>
        <w:keepNext w:val="0"/>
        <w:keepLines w:val="0"/>
        <w:widowControl/>
        <w:suppressLineNumbers w:val="0"/>
        <w:spacing w:before="0" w:beforeAutospacing="0" w:after="0" w:afterAutospacing="0"/>
        <w:ind w:left="0" w:right="0" w:firstLine="482" w:firstLineChars="200"/>
        <w:rPr>
          <w:rFonts w:hint="default" w:ascii="Times New Roman" w:hAnsi="Times New Roman" w:eastAsia="仿宋_GB2312" w:cs="Arial"/>
          <w:kern w:val="2"/>
          <w:sz w:val="24"/>
          <w:szCs w:val="32"/>
          <w:lang w:val="en-US" w:eastAsia="zh-CN" w:bidi="ar-SA"/>
        </w:rPr>
      </w:pPr>
      <w:r>
        <w:rPr>
          <w:rFonts w:hint="default" w:ascii="Times New Roman" w:hAnsi="Times New Roman" w:eastAsia="仿宋_GB2312" w:cs="Arial"/>
          <w:b/>
          <w:bCs/>
          <w:kern w:val="2"/>
          <w:sz w:val="24"/>
          <w:szCs w:val="32"/>
          <w:lang w:val="en-US" w:eastAsia="zh-CN" w:bidi="ar-SA"/>
        </w:rPr>
        <w:t>发生特点</w:t>
      </w:r>
      <w:r>
        <w:rPr>
          <w:rFonts w:hint="default" w:ascii="Times New Roman" w:hAnsi="Times New Roman" w:eastAsia="仿宋_GB2312" w:cs="Arial"/>
          <w:kern w:val="2"/>
          <w:sz w:val="24"/>
          <w:szCs w:val="32"/>
          <w:lang w:val="en-US" w:eastAsia="zh-CN" w:bidi="ar-SA"/>
        </w:rPr>
        <w:t xml:space="preserve"> 品种的感病性、病菌小种类型、咖啡树龄和活力、咖啡园是否有荫蔽、树冠的茂密程度、气候条件等因素影响咖啡锈病的发病率和严重程度。在气候最有利于咖啡锈病流行发生时，在老树或管理不佳的咖啡树上发展更快。</w:t>
      </w:r>
    </w:p>
    <w:p w14:paraId="3D5D596F">
      <w:pPr>
        <w:pStyle w:val="8"/>
        <w:keepNext w:val="0"/>
        <w:keepLines w:val="0"/>
        <w:widowControl/>
        <w:suppressLineNumbers w:val="0"/>
        <w:spacing w:before="0" w:beforeAutospacing="0" w:after="0" w:afterAutospacing="0"/>
        <w:ind w:left="0" w:right="0" w:firstLine="482" w:firstLineChars="200"/>
        <w:rPr>
          <w:rFonts w:hint="default" w:ascii="Times New Roman" w:hAnsi="Times New Roman" w:eastAsia="仿宋_GB2312" w:cs="Arial"/>
          <w:b/>
          <w:bCs/>
          <w:kern w:val="2"/>
          <w:sz w:val="24"/>
          <w:szCs w:val="32"/>
          <w:lang w:val="en-US" w:eastAsia="zh-CN" w:bidi="ar-SA"/>
        </w:rPr>
      </w:pPr>
      <w:r>
        <w:rPr>
          <w:rFonts w:hint="default" w:ascii="Times New Roman" w:hAnsi="Times New Roman" w:eastAsia="仿宋_GB2312" w:cs="Arial"/>
          <w:b/>
          <w:bCs/>
          <w:kern w:val="2"/>
          <w:sz w:val="24"/>
          <w:szCs w:val="32"/>
          <w:lang w:val="en-US" w:eastAsia="zh-CN" w:bidi="ar-SA"/>
        </w:rPr>
        <w:t>防治方法及药剂使用的确定</w:t>
      </w:r>
    </w:p>
    <w:p w14:paraId="52776C41">
      <w:pPr>
        <w:pStyle w:val="8"/>
        <w:keepNext w:val="0"/>
        <w:keepLines w:val="0"/>
        <w:widowControl/>
        <w:suppressLineNumbers w:val="0"/>
        <w:spacing w:before="0" w:beforeAutospacing="0" w:after="0" w:afterAutospacing="0"/>
        <w:ind w:left="0" w:right="0" w:firstLine="480" w:firstLineChars="200"/>
        <w:rPr>
          <w:rFonts w:hint="default" w:ascii="Times New Roman" w:hAnsi="Times New Roman" w:eastAsia="仿宋_GB2312" w:cs="Arial"/>
          <w:kern w:val="2"/>
          <w:sz w:val="24"/>
          <w:szCs w:val="32"/>
          <w:lang w:val="en-US" w:eastAsia="zh-CN" w:bidi="ar-SA"/>
        </w:rPr>
      </w:pPr>
      <w:r>
        <w:rPr>
          <w:rFonts w:hint="default" w:ascii="Times New Roman" w:hAnsi="Times New Roman" w:eastAsia="仿宋_GB2312" w:cs="Arial"/>
          <w:kern w:val="2"/>
          <w:sz w:val="24"/>
          <w:szCs w:val="32"/>
          <w:lang w:val="en-US" w:eastAsia="zh-CN" w:bidi="ar-SA"/>
        </w:rPr>
        <w:t>种植抗病品种，选择经全国热带作物品种审定委员会审定的抗锈品种或咖啡育种单位按照NY/T3331-2018鉴定对咖啡锈病具有抗性的品种。</w:t>
      </w:r>
    </w:p>
    <w:p w14:paraId="3E6DF197">
      <w:pPr>
        <w:pStyle w:val="8"/>
        <w:keepNext w:val="0"/>
        <w:keepLines w:val="0"/>
        <w:widowControl/>
        <w:suppressLineNumbers w:val="0"/>
        <w:spacing w:before="0" w:beforeAutospacing="0" w:after="0" w:afterAutospacing="0"/>
        <w:ind w:left="0" w:right="0" w:firstLine="480" w:firstLineChars="200"/>
      </w:pPr>
      <w:r>
        <w:rPr>
          <w:rFonts w:hint="eastAsia" w:eastAsia="仿宋_GB2312" w:cs="Arial"/>
          <w:kern w:val="2"/>
          <w:sz w:val="24"/>
          <w:szCs w:val="32"/>
          <w:lang w:val="en-US" w:eastAsia="zh-CN" w:bidi="ar-SA"/>
        </w:rPr>
        <w:t>药剂</w:t>
      </w:r>
      <w:r>
        <w:rPr>
          <w:rFonts w:hint="default" w:ascii="Times New Roman" w:hAnsi="Times New Roman" w:eastAsia="仿宋_GB2312" w:cs="Arial"/>
          <w:kern w:val="2"/>
          <w:sz w:val="24"/>
          <w:szCs w:val="32"/>
          <w:lang w:val="en-US" w:eastAsia="zh-CN" w:bidi="ar-SA"/>
        </w:rPr>
        <w:t>试验地点与时间： 试验在云南省三个核心咖啡产区（普洱市思茅区</w:t>
      </w:r>
      <w:r>
        <w:rPr>
          <w:rFonts w:hint="eastAsia" w:eastAsia="仿宋_GB2312" w:cs="Arial"/>
          <w:kern w:val="2"/>
          <w:sz w:val="24"/>
          <w:szCs w:val="32"/>
          <w:lang w:val="en-US" w:eastAsia="zh-CN" w:bidi="ar-SA"/>
        </w:rPr>
        <w:t>（试验品种瑰夏，感锈病）</w:t>
      </w:r>
      <w:r>
        <w:rPr>
          <w:rFonts w:hint="default" w:ascii="Times New Roman" w:hAnsi="Times New Roman" w:eastAsia="仿宋_GB2312" w:cs="Arial"/>
          <w:kern w:val="2"/>
          <w:sz w:val="24"/>
          <w:szCs w:val="32"/>
          <w:lang w:val="en-US" w:eastAsia="zh-CN" w:bidi="ar-SA"/>
        </w:rPr>
        <w:t>、保山市隆阳区</w:t>
      </w:r>
      <w:r>
        <w:rPr>
          <w:rFonts w:hint="eastAsia" w:eastAsia="仿宋_GB2312" w:cs="Arial"/>
          <w:kern w:val="2"/>
          <w:sz w:val="24"/>
          <w:szCs w:val="32"/>
          <w:lang w:val="en-US" w:eastAsia="zh-CN" w:bidi="ar-SA"/>
        </w:rPr>
        <w:t>（试验品种铁皮卡，感锈病）</w:t>
      </w:r>
      <w:r>
        <w:rPr>
          <w:rFonts w:hint="default" w:ascii="Times New Roman" w:hAnsi="Times New Roman" w:eastAsia="仿宋_GB2312" w:cs="Arial"/>
          <w:kern w:val="2"/>
          <w:sz w:val="24"/>
          <w:szCs w:val="32"/>
          <w:lang w:val="en-US" w:eastAsia="zh-CN" w:bidi="ar-SA"/>
        </w:rPr>
        <w:t>、</w:t>
      </w:r>
      <w:r>
        <w:rPr>
          <w:rFonts w:hint="eastAsia" w:eastAsia="仿宋_GB2312" w:cs="Arial"/>
          <w:kern w:val="2"/>
          <w:sz w:val="24"/>
          <w:szCs w:val="32"/>
          <w:lang w:val="en-US" w:eastAsia="zh-CN" w:bidi="ar-SA"/>
        </w:rPr>
        <w:t>德宏州瑞丽市（试验品种卡杜拉，感锈病）</w:t>
      </w:r>
      <w:r>
        <w:rPr>
          <w:rFonts w:hint="default" w:ascii="Times New Roman" w:hAnsi="Times New Roman" w:eastAsia="仿宋_GB2312" w:cs="Arial"/>
          <w:kern w:val="2"/>
          <w:sz w:val="24"/>
          <w:szCs w:val="32"/>
          <w:lang w:val="en-US" w:eastAsia="zh-CN" w:bidi="ar-SA"/>
        </w:rPr>
        <w:t>进行</w:t>
      </w:r>
      <w:r>
        <w:rPr>
          <w:rFonts w:hint="eastAsia" w:eastAsia="仿宋_GB2312" w:cs="Arial"/>
          <w:kern w:val="2"/>
          <w:sz w:val="24"/>
          <w:szCs w:val="32"/>
          <w:lang w:val="en-US" w:eastAsia="zh-CN" w:bidi="ar-SA"/>
        </w:rPr>
        <w:t>验证（表10）</w:t>
      </w:r>
      <w:r>
        <w:rPr>
          <w:rFonts w:hint="default" w:ascii="Times New Roman" w:hAnsi="Times New Roman" w:eastAsia="仿宋_GB2312" w:cs="Arial"/>
          <w:kern w:val="2"/>
          <w:sz w:val="24"/>
          <w:szCs w:val="32"/>
          <w:lang w:val="en-US" w:eastAsia="zh-CN" w:bidi="ar-SA"/>
        </w:rPr>
        <w:t>，时间为202</w:t>
      </w:r>
      <w:r>
        <w:rPr>
          <w:rFonts w:hint="eastAsia" w:eastAsia="仿宋_GB2312" w:cs="Arial"/>
          <w:kern w:val="2"/>
          <w:sz w:val="24"/>
          <w:szCs w:val="32"/>
          <w:lang w:val="en-US" w:eastAsia="zh-CN" w:bidi="ar-SA"/>
        </w:rPr>
        <w:t>1</w:t>
      </w:r>
      <w:r>
        <w:rPr>
          <w:rFonts w:hint="default" w:ascii="Times New Roman" w:hAnsi="Times New Roman" w:eastAsia="仿宋_GB2312" w:cs="Arial"/>
          <w:kern w:val="2"/>
          <w:sz w:val="24"/>
          <w:szCs w:val="32"/>
          <w:lang w:val="en-US" w:eastAsia="zh-CN" w:bidi="ar-SA"/>
        </w:rPr>
        <w:t>年9月至12月（咖啡锈病流行期）。</w:t>
      </w:r>
      <w:r>
        <w:rPr>
          <w:rFonts w:hint="eastAsia" w:eastAsia="仿宋_GB2312" w:cs="Arial"/>
          <w:kern w:val="2"/>
          <w:sz w:val="24"/>
          <w:szCs w:val="32"/>
          <w:lang w:val="en-US" w:eastAsia="zh-CN" w:bidi="ar-SA"/>
        </w:rPr>
        <w:t>试验</w:t>
      </w:r>
      <w:r>
        <w:rPr>
          <w:rFonts w:hint="default" w:ascii="Times New Roman" w:hAnsi="Times New Roman" w:eastAsia="仿宋_GB2312" w:cs="Arial"/>
          <w:kern w:val="2"/>
          <w:sz w:val="24"/>
          <w:szCs w:val="32"/>
          <w:lang w:val="en-US" w:eastAsia="zh-CN" w:bidi="ar-SA"/>
        </w:rPr>
        <w:t>方法</w:t>
      </w:r>
      <w:r>
        <w:rPr>
          <w:rFonts w:hint="eastAsia" w:eastAsia="仿宋_GB2312" w:cs="Arial"/>
          <w:kern w:val="2"/>
          <w:sz w:val="24"/>
          <w:szCs w:val="32"/>
          <w:lang w:val="en-US" w:eastAsia="zh-CN" w:bidi="ar-SA"/>
        </w:rPr>
        <w:t>参照文献</w:t>
      </w:r>
      <w:r>
        <w:rPr>
          <w:rFonts w:hint="eastAsia" w:eastAsia="仿宋_GB2312" w:cs="Arial"/>
          <w:kern w:val="2"/>
          <w:sz w:val="24"/>
          <w:szCs w:val="32"/>
          <w:vertAlign w:val="superscript"/>
          <w:lang w:val="en-US" w:eastAsia="zh-CN" w:bidi="ar-SA"/>
        </w:rPr>
        <w:t>[1]</w:t>
      </w:r>
      <w:r>
        <w:rPr>
          <w:rFonts w:hint="eastAsia" w:eastAsia="仿宋_GB2312" w:cs="Arial"/>
          <w:kern w:val="2"/>
          <w:sz w:val="24"/>
          <w:szCs w:val="32"/>
          <w:lang w:val="en-US" w:eastAsia="zh-CN" w:bidi="ar-SA"/>
        </w:rPr>
        <w:t>进行</w:t>
      </w:r>
      <w:r>
        <w:rPr>
          <w:rFonts w:hint="default" w:ascii="Times New Roman" w:hAnsi="Times New Roman" w:eastAsia="仿宋_GB2312" w:cs="Arial"/>
          <w:kern w:val="2"/>
          <w:sz w:val="24"/>
          <w:szCs w:val="32"/>
          <w:lang w:val="en-US" w:eastAsia="zh-CN" w:bidi="ar-SA"/>
        </w:rPr>
        <w:t>。</w:t>
      </w:r>
    </w:p>
    <w:p w14:paraId="42281A5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w:t>
      </w:r>
      <w:r>
        <w:rPr>
          <w:rFonts w:hint="eastAsia" w:eastAsia="黑体" w:cs="Times New Roman"/>
          <w:bCs/>
          <w:kern w:val="44"/>
          <w:sz w:val="21"/>
          <w:szCs w:val="24"/>
          <w:lang w:val="en-US" w:eastAsia="zh-CN"/>
        </w:rPr>
        <w:t>10</w:t>
      </w:r>
      <w:r>
        <w:rPr>
          <w:rFonts w:hint="eastAsia" w:ascii="Times New Roman" w:hAnsi="Times New Roman" w:eastAsia="黑体" w:cs="Times New Roman"/>
          <w:bCs/>
          <w:kern w:val="44"/>
          <w:sz w:val="21"/>
          <w:szCs w:val="24"/>
          <w:lang w:val="en-US" w:eastAsia="zh-CN"/>
        </w:rPr>
        <w:t xml:space="preserve"> 不同药剂田间防治咖啡锈病验证试验</w:t>
      </w:r>
    </w:p>
    <w:tbl>
      <w:tblPr>
        <w:tblStyle w:val="9"/>
        <w:tblW w:w="88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5"/>
        <w:gridCol w:w="770"/>
        <w:gridCol w:w="1417"/>
        <w:gridCol w:w="810"/>
        <w:gridCol w:w="930"/>
        <w:gridCol w:w="810"/>
        <w:gridCol w:w="870"/>
        <w:gridCol w:w="880"/>
        <w:gridCol w:w="728"/>
        <w:gridCol w:w="809"/>
      </w:tblGrid>
      <w:tr w14:paraId="6CE6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restart"/>
            <w:tcBorders>
              <w:top w:val="single" w:color="000000" w:sz="12" w:space="0"/>
              <w:left w:val="nil"/>
              <w:bottom w:val="single" w:color="000000" w:sz="4" w:space="0"/>
              <w:right w:val="nil"/>
              <w:tl2br w:val="nil"/>
            </w:tcBorders>
            <w:shd w:val="clear" w:color="auto" w:fill="FFFFFF"/>
            <w:tcMar>
              <w:top w:w="120" w:type="dxa"/>
              <w:left w:w="57" w:type="dxa"/>
              <w:bottom w:w="120" w:type="dxa"/>
              <w:right w:w="57" w:type="dxa"/>
            </w:tcMar>
            <w:vAlign w:val="center"/>
          </w:tcPr>
          <w:p w14:paraId="6A57F5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处理</w:t>
            </w:r>
          </w:p>
        </w:tc>
        <w:tc>
          <w:tcPr>
            <w:tcW w:w="770" w:type="dxa"/>
            <w:vMerge w:val="restart"/>
            <w:tcBorders>
              <w:top w:val="single" w:color="000000" w:sz="12" w:space="0"/>
              <w:left w:val="nil"/>
              <w:bottom w:val="single" w:color="000000" w:sz="4" w:space="0"/>
              <w:right w:val="nil"/>
            </w:tcBorders>
            <w:shd w:val="clear" w:color="auto" w:fill="FFFFFF"/>
            <w:tcMar>
              <w:top w:w="120" w:type="dxa"/>
              <w:left w:w="57" w:type="dxa"/>
              <w:bottom w:w="120" w:type="dxa"/>
              <w:right w:w="57" w:type="dxa"/>
            </w:tcMar>
            <w:vAlign w:val="center"/>
          </w:tcPr>
          <w:p w14:paraId="5731B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稀释倍数</w:t>
            </w:r>
          </w:p>
        </w:tc>
        <w:tc>
          <w:tcPr>
            <w:tcW w:w="1417" w:type="dxa"/>
            <w:vMerge w:val="restart"/>
            <w:tcBorders>
              <w:top w:val="single" w:color="000000" w:sz="12" w:space="0"/>
              <w:left w:val="nil"/>
              <w:bottom w:val="single" w:color="000000" w:sz="4" w:space="0"/>
              <w:right w:val="nil"/>
            </w:tcBorders>
            <w:shd w:val="clear" w:color="auto" w:fill="FFFFFF"/>
            <w:tcMar>
              <w:top w:w="120" w:type="dxa"/>
              <w:left w:w="57" w:type="dxa"/>
              <w:bottom w:w="120" w:type="dxa"/>
              <w:right w:w="57" w:type="dxa"/>
            </w:tcMar>
            <w:vAlign w:val="center"/>
          </w:tcPr>
          <w:p w14:paraId="19175E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试验点</w:t>
            </w:r>
          </w:p>
        </w:tc>
        <w:tc>
          <w:tcPr>
            <w:tcW w:w="810" w:type="dxa"/>
            <w:vMerge w:val="restart"/>
            <w:tcBorders>
              <w:top w:val="single" w:color="000000" w:sz="12" w:space="0"/>
              <w:left w:val="nil"/>
              <w:bottom w:val="single" w:color="000000" w:sz="4" w:space="0"/>
              <w:right w:val="nil"/>
            </w:tcBorders>
            <w:shd w:val="clear" w:color="auto" w:fill="FFFFFF"/>
            <w:tcMar>
              <w:top w:w="120" w:type="dxa"/>
              <w:left w:w="57" w:type="dxa"/>
              <w:bottom w:w="120" w:type="dxa"/>
              <w:right w:w="57" w:type="dxa"/>
            </w:tcMar>
            <w:vAlign w:val="center"/>
          </w:tcPr>
          <w:p w14:paraId="500389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药前病指</w:t>
            </w:r>
          </w:p>
        </w:tc>
        <w:tc>
          <w:tcPr>
            <w:tcW w:w="1740" w:type="dxa"/>
            <w:gridSpan w:val="2"/>
            <w:tcBorders>
              <w:top w:val="single" w:color="000000" w:sz="12" w:space="0"/>
              <w:left w:val="nil"/>
              <w:bottom w:val="single" w:color="000000" w:sz="4" w:space="0"/>
              <w:right w:val="nil"/>
            </w:tcBorders>
            <w:shd w:val="clear" w:color="auto" w:fill="FFFFFF"/>
            <w:tcMar>
              <w:top w:w="120" w:type="dxa"/>
              <w:left w:w="57" w:type="dxa"/>
              <w:bottom w:w="120" w:type="dxa"/>
              <w:right w:w="57" w:type="dxa"/>
            </w:tcMar>
            <w:vAlign w:val="center"/>
          </w:tcPr>
          <w:p w14:paraId="7DE5D7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一次药后20d调查</w:t>
            </w:r>
          </w:p>
        </w:tc>
        <w:tc>
          <w:tcPr>
            <w:tcW w:w="1750" w:type="dxa"/>
            <w:gridSpan w:val="2"/>
            <w:tcBorders>
              <w:top w:val="single" w:color="000000" w:sz="12" w:space="0"/>
              <w:left w:val="nil"/>
              <w:bottom w:val="single" w:color="000000" w:sz="4" w:space="0"/>
              <w:right w:val="nil"/>
            </w:tcBorders>
            <w:shd w:val="clear" w:color="auto" w:fill="FFFFFF"/>
            <w:tcMar>
              <w:top w:w="120" w:type="dxa"/>
              <w:left w:w="57" w:type="dxa"/>
              <w:bottom w:w="120" w:type="dxa"/>
              <w:right w:w="57" w:type="dxa"/>
            </w:tcMar>
            <w:vAlign w:val="center"/>
          </w:tcPr>
          <w:p w14:paraId="5C2108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二次药后20d调查</w:t>
            </w:r>
          </w:p>
        </w:tc>
        <w:tc>
          <w:tcPr>
            <w:tcW w:w="728" w:type="dxa"/>
            <w:vMerge w:val="restart"/>
            <w:tcBorders>
              <w:top w:val="single" w:color="000000" w:sz="12" w:space="0"/>
              <w:left w:val="nil"/>
              <w:bottom w:val="single" w:color="000000" w:sz="4" w:space="0"/>
              <w:right w:val="nil"/>
            </w:tcBorders>
            <w:shd w:val="clear" w:color="auto" w:fill="FFFFFF"/>
            <w:tcMar>
              <w:top w:w="120" w:type="dxa"/>
              <w:left w:w="57" w:type="dxa"/>
              <w:bottom w:w="120" w:type="dxa"/>
              <w:right w:w="57" w:type="dxa"/>
            </w:tcMar>
            <w:vAlign w:val="center"/>
          </w:tcPr>
          <w:p w14:paraId="17E27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最终防效 (%)</w:t>
            </w:r>
          </w:p>
        </w:tc>
        <w:tc>
          <w:tcPr>
            <w:tcW w:w="809" w:type="dxa"/>
            <w:vMerge w:val="restart"/>
            <w:tcBorders>
              <w:top w:val="single" w:color="000000" w:sz="12" w:space="0"/>
              <w:left w:val="nil"/>
              <w:bottom w:val="single" w:color="000000" w:sz="4" w:space="0"/>
              <w:right w:val="nil"/>
            </w:tcBorders>
            <w:shd w:val="clear" w:color="auto" w:fill="FFFFFF"/>
            <w:tcMar>
              <w:top w:w="120" w:type="dxa"/>
              <w:left w:w="57" w:type="dxa"/>
              <w:bottom w:w="120" w:type="dxa"/>
              <w:right w:w="57" w:type="dxa"/>
            </w:tcMar>
            <w:vAlign w:val="center"/>
          </w:tcPr>
          <w:p w14:paraId="51F65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安全性评价</w:t>
            </w:r>
          </w:p>
        </w:tc>
      </w:tr>
      <w:tr w14:paraId="5680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continue"/>
            <w:tcBorders>
              <w:top w:val="single" w:color="000000" w:sz="4" w:space="0"/>
              <w:left w:val="nil"/>
              <w:bottom w:val="single" w:color="auto" w:sz="4" w:space="0"/>
              <w:right w:val="nil"/>
            </w:tcBorders>
            <w:shd w:val="clear" w:color="auto" w:fill="FFFFFF"/>
            <w:tcMar>
              <w:top w:w="120" w:type="dxa"/>
              <w:left w:w="57" w:type="dxa"/>
              <w:bottom w:w="120" w:type="dxa"/>
              <w:right w:w="57" w:type="dxa"/>
            </w:tcMar>
            <w:vAlign w:val="center"/>
          </w:tcPr>
          <w:p w14:paraId="370B9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770" w:type="dxa"/>
            <w:vMerge w:val="continue"/>
            <w:tcBorders>
              <w:top w:val="single" w:color="000000" w:sz="4" w:space="0"/>
              <w:left w:val="nil"/>
              <w:bottom w:val="single" w:color="auto" w:sz="4" w:space="0"/>
              <w:right w:val="nil"/>
            </w:tcBorders>
            <w:shd w:val="clear" w:color="auto" w:fill="FFFFFF"/>
            <w:tcMar>
              <w:top w:w="120" w:type="dxa"/>
              <w:left w:w="57" w:type="dxa"/>
              <w:bottom w:w="120" w:type="dxa"/>
              <w:right w:w="57" w:type="dxa"/>
            </w:tcMar>
            <w:vAlign w:val="center"/>
          </w:tcPr>
          <w:p w14:paraId="213F60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1417" w:type="dxa"/>
            <w:vMerge w:val="continue"/>
            <w:tcBorders>
              <w:top w:val="single" w:color="000000" w:sz="4" w:space="0"/>
              <w:left w:val="nil"/>
              <w:bottom w:val="single" w:color="auto" w:sz="4" w:space="0"/>
              <w:right w:val="nil"/>
            </w:tcBorders>
            <w:shd w:val="clear" w:color="auto" w:fill="FFFFFF"/>
            <w:tcMar>
              <w:top w:w="120" w:type="dxa"/>
              <w:left w:w="57" w:type="dxa"/>
              <w:bottom w:w="120" w:type="dxa"/>
              <w:right w:w="57" w:type="dxa"/>
            </w:tcMar>
            <w:vAlign w:val="center"/>
          </w:tcPr>
          <w:p w14:paraId="25F4A0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810" w:type="dxa"/>
            <w:vMerge w:val="continue"/>
            <w:tcBorders>
              <w:top w:val="single" w:color="000000" w:sz="4" w:space="0"/>
              <w:left w:val="nil"/>
              <w:bottom w:val="single" w:color="auto" w:sz="4" w:space="0"/>
              <w:right w:val="nil"/>
            </w:tcBorders>
            <w:shd w:val="clear" w:color="auto" w:fill="FFFFFF"/>
            <w:tcMar>
              <w:top w:w="120" w:type="dxa"/>
              <w:left w:w="57" w:type="dxa"/>
              <w:bottom w:w="120" w:type="dxa"/>
              <w:right w:w="57" w:type="dxa"/>
            </w:tcMar>
            <w:vAlign w:val="center"/>
          </w:tcPr>
          <w:p w14:paraId="6DE17D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930" w:type="dxa"/>
            <w:tcBorders>
              <w:top w:val="single" w:color="000000" w:sz="4" w:space="0"/>
              <w:left w:val="nil"/>
              <w:bottom w:val="single" w:color="auto" w:sz="4" w:space="0"/>
              <w:right w:val="nil"/>
            </w:tcBorders>
            <w:shd w:val="clear" w:color="auto" w:fill="FFFFFF"/>
            <w:tcMar>
              <w:top w:w="120" w:type="dxa"/>
              <w:left w:w="57" w:type="dxa"/>
              <w:bottom w:w="120" w:type="dxa"/>
              <w:right w:w="57" w:type="dxa"/>
            </w:tcMar>
            <w:vAlign w:val="center"/>
          </w:tcPr>
          <w:p w14:paraId="2D2405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病指</w:t>
            </w:r>
          </w:p>
        </w:tc>
        <w:tc>
          <w:tcPr>
            <w:tcW w:w="810" w:type="dxa"/>
            <w:tcBorders>
              <w:top w:val="single" w:color="000000" w:sz="4" w:space="0"/>
              <w:left w:val="nil"/>
              <w:bottom w:val="single" w:color="auto" w:sz="4" w:space="0"/>
              <w:right w:val="nil"/>
            </w:tcBorders>
            <w:shd w:val="clear" w:color="auto" w:fill="FFFFFF"/>
            <w:tcMar>
              <w:top w:w="120" w:type="dxa"/>
              <w:left w:w="57" w:type="dxa"/>
              <w:bottom w:w="120" w:type="dxa"/>
              <w:right w:w="57" w:type="dxa"/>
            </w:tcMar>
            <w:vAlign w:val="center"/>
          </w:tcPr>
          <w:p w14:paraId="46A41C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防效 (%)</w:t>
            </w:r>
          </w:p>
        </w:tc>
        <w:tc>
          <w:tcPr>
            <w:tcW w:w="870" w:type="dxa"/>
            <w:tcBorders>
              <w:top w:val="single" w:color="000000" w:sz="4" w:space="0"/>
              <w:left w:val="nil"/>
              <w:bottom w:val="single" w:color="auto" w:sz="4" w:space="0"/>
              <w:right w:val="nil"/>
            </w:tcBorders>
            <w:shd w:val="clear" w:color="auto" w:fill="FFFFFF"/>
            <w:tcMar>
              <w:top w:w="120" w:type="dxa"/>
              <w:left w:w="57" w:type="dxa"/>
              <w:bottom w:w="120" w:type="dxa"/>
              <w:right w:w="57" w:type="dxa"/>
            </w:tcMar>
            <w:vAlign w:val="center"/>
          </w:tcPr>
          <w:p w14:paraId="6ED8C3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病指</w:t>
            </w:r>
          </w:p>
        </w:tc>
        <w:tc>
          <w:tcPr>
            <w:tcW w:w="880" w:type="dxa"/>
            <w:tcBorders>
              <w:top w:val="single" w:color="000000" w:sz="4" w:space="0"/>
              <w:left w:val="nil"/>
              <w:bottom w:val="single" w:color="auto" w:sz="4" w:space="0"/>
              <w:right w:val="nil"/>
            </w:tcBorders>
            <w:shd w:val="clear" w:color="auto" w:fill="FFFFFF"/>
            <w:tcMar>
              <w:top w:w="120" w:type="dxa"/>
              <w:left w:w="57" w:type="dxa"/>
              <w:bottom w:w="120" w:type="dxa"/>
              <w:right w:w="57" w:type="dxa"/>
            </w:tcMar>
            <w:vAlign w:val="center"/>
          </w:tcPr>
          <w:p w14:paraId="028505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防效 (%)</w:t>
            </w:r>
          </w:p>
        </w:tc>
        <w:tc>
          <w:tcPr>
            <w:tcW w:w="728" w:type="dxa"/>
            <w:vMerge w:val="continue"/>
            <w:tcBorders>
              <w:top w:val="single" w:color="000000" w:sz="4" w:space="0"/>
              <w:left w:val="nil"/>
              <w:bottom w:val="single" w:color="auto" w:sz="4" w:space="0"/>
              <w:right w:val="nil"/>
            </w:tcBorders>
            <w:shd w:val="clear" w:color="auto" w:fill="FFFFFF"/>
            <w:tcMar>
              <w:top w:w="120" w:type="dxa"/>
              <w:left w:w="57" w:type="dxa"/>
              <w:bottom w:w="120" w:type="dxa"/>
              <w:right w:w="57" w:type="dxa"/>
            </w:tcMar>
            <w:vAlign w:val="center"/>
          </w:tcPr>
          <w:p w14:paraId="4C9230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var(--dsw-font-markdown-table)" w:hAnsi="var(--dsw-font-markdown-table)" w:eastAsia="var(--dsw-font-markdown-table)" w:cs="var(--dsw-font-markdown-table)"/>
                <w:b w:val="0"/>
                <w:color w:val="000000"/>
              </w:rPr>
            </w:pPr>
          </w:p>
        </w:tc>
        <w:tc>
          <w:tcPr>
            <w:tcW w:w="809" w:type="dxa"/>
            <w:vMerge w:val="continue"/>
            <w:tcBorders>
              <w:top w:val="single" w:color="000000" w:sz="4" w:space="0"/>
              <w:left w:val="nil"/>
              <w:bottom w:val="single" w:color="auto" w:sz="4" w:space="0"/>
              <w:right w:val="nil"/>
            </w:tcBorders>
            <w:shd w:val="clear" w:color="auto" w:fill="FFFFFF"/>
            <w:tcMar>
              <w:top w:w="120" w:type="dxa"/>
              <w:left w:w="57" w:type="dxa"/>
              <w:bottom w:w="120" w:type="dxa"/>
              <w:right w:w="57" w:type="dxa"/>
            </w:tcMar>
            <w:vAlign w:val="center"/>
          </w:tcPr>
          <w:p w14:paraId="698527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var(--dsw-font-markdown-table)" w:hAnsi="var(--dsw-font-markdown-table)" w:eastAsia="var(--dsw-font-markdown-table)" w:cs="var(--dsw-font-markdown-table)"/>
                <w:b w:val="0"/>
                <w:color w:val="000000"/>
              </w:rPr>
            </w:pPr>
          </w:p>
        </w:tc>
      </w:tr>
      <w:tr w14:paraId="2D15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restart"/>
            <w:tcBorders>
              <w:top w:val="single" w:color="auto" w:sz="4" w:space="0"/>
              <w:left w:val="nil"/>
              <w:right w:val="nil"/>
            </w:tcBorders>
            <w:shd w:val="clear" w:color="auto" w:fill="FFFFFF"/>
            <w:tcMar>
              <w:top w:w="120" w:type="dxa"/>
              <w:left w:w="57" w:type="dxa"/>
              <w:bottom w:w="120" w:type="dxa"/>
              <w:right w:w="57" w:type="dxa"/>
            </w:tcMar>
            <w:vAlign w:val="center"/>
          </w:tcPr>
          <w:p w14:paraId="0BF0BE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50%氢氧化铜可湿性粉剂</w:t>
            </w:r>
          </w:p>
        </w:tc>
        <w:tc>
          <w:tcPr>
            <w:tcW w:w="770" w:type="dxa"/>
            <w:vMerge w:val="restart"/>
            <w:tcBorders>
              <w:top w:val="single" w:color="auto" w:sz="4" w:space="0"/>
              <w:left w:val="nil"/>
              <w:right w:val="nil"/>
            </w:tcBorders>
            <w:shd w:val="clear" w:color="auto" w:fill="FFFFFF"/>
            <w:tcMar>
              <w:top w:w="120" w:type="dxa"/>
              <w:left w:w="57" w:type="dxa"/>
              <w:bottom w:w="120" w:type="dxa"/>
              <w:right w:w="57" w:type="dxa"/>
            </w:tcMar>
            <w:vAlign w:val="center"/>
          </w:tcPr>
          <w:p w14:paraId="13712D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1000</w:t>
            </w:r>
          </w:p>
        </w:tc>
        <w:tc>
          <w:tcPr>
            <w:tcW w:w="1417" w:type="dxa"/>
            <w:tcBorders>
              <w:top w:val="single" w:color="auto" w:sz="4" w:space="0"/>
              <w:left w:val="nil"/>
              <w:bottom w:val="nil"/>
              <w:right w:val="nil"/>
            </w:tcBorders>
            <w:shd w:val="clear" w:color="auto" w:fill="FFFFFF"/>
            <w:tcMar>
              <w:top w:w="120" w:type="dxa"/>
              <w:left w:w="57" w:type="dxa"/>
              <w:bottom w:w="120" w:type="dxa"/>
              <w:right w:w="57" w:type="dxa"/>
            </w:tcMar>
            <w:vAlign w:val="center"/>
          </w:tcPr>
          <w:p w14:paraId="51ADDC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普洱点</w:t>
            </w:r>
          </w:p>
        </w:tc>
        <w:tc>
          <w:tcPr>
            <w:tcW w:w="810" w:type="dxa"/>
            <w:tcBorders>
              <w:top w:val="single" w:color="auto" w:sz="4" w:space="0"/>
              <w:left w:val="nil"/>
              <w:bottom w:val="nil"/>
              <w:right w:val="nil"/>
            </w:tcBorders>
            <w:shd w:val="clear" w:color="auto" w:fill="FFFFFF"/>
            <w:tcMar>
              <w:top w:w="120" w:type="dxa"/>
              <w:left w:w="57" w:type="dxa"/>
              <w:bottom w:w="120" w:type="dxa"/>
              <w:right w:w="57" w:type="dxa"/>
            </w:tcMar>
            <w:vAlign w:val="center"/>
          </w:tcPr>
          <w:p w14:paraId="19C9F7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5.11</w:t>
            </w:r>
          </w:p>
        </w:tc>
        <w:tc>
          <w:tcPr>
            <w:tcW w:w="930" w:type="dxa"/>
            <w:tcBorders>
              <w:top w:val="single" w:color="auto" w:sz="4" w:space="0"/>
              <w:left w:val="nil"/>
              <w:bottom w:val="nil"/>
              <w:right w:val="nil"/>
            </w:tcBorders>
            <w:shd w:val="clear" w:color="auto" w:fill="FFFFFF"/>
            <w:tcMar>
              <w:top w:w="120" w:type="dxa"/>
              <w:left w:w="57" w:type="dxa"/>
              <w:bottom w:w="120" w:type="dxa"/>
              <w:right w:w="57" w:type="dxa"/>
            </w:tcMar>
            <w:vAlign w:val="center"/>
          </w:tcPr>
          <w:p w14:paraId="7E51C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6.42</w:t>
            </w:r>
          </w:p>
        </w:tc>
        <w:tc>
          <w:tcPr>
            <w:tcW w:w="810" w:type="dxa"/>
            <w:tcBorders>
              <w:top w:val="single" w:color="auto" w:sz="4" w:space="0"/>
              <w:left w:val="nil"/>
              <w:bottom w:val="nil"/>
              <w:right w:val="nil"/>
            </w:tcBorders>
            <w:shd w:val="clear" w:color="auto" w:fill="FFFFFF"/>
            <w:tcMar>
              <w:top w:w="120" w:type="dxa"/>
              <w:left w:w="57" w:type="dxa"/>
              <w:bottom w:w="120" w:type="dxa"/>
              <w:right w:w="57" w:type="dxa"/>
            </w:tcMar>
            <w:vAlign w:val="center"/>
          </w:tcPr>
          <w:p w14:paraId="20F785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81.13</w:t>
            </w:r>
          </w:p>
        </w:tc>
        <w:tc>
          <w:tcPr>
            <w:tcW w:w="870" w:type="dxa"/>
            <w:tcBorders>
              <w:top w:val="single" w:color="auto" w:sz="4" w:space="0"/>
              <w:left w:val="nil"/>
              <w:bottom w:val="nil"/>
              <w:right w:val="nil"/>
            </w:tcBorders>
            <w:shd w:val="clear" w:color="auto" w:fill="FFFFFF"/>
            <w:tcMar>
              <w:top w:w="120" w:type="dxa"/>
              <w:left w:w="57" w:type="dxa"/>
              <w:bottom w:w="120" w:type="dxa"/>
              <w:right w:w="57" w:type="dxa"/>
            </w:tcMar>
            <w:vAlign w:val="center"/>
          </w:tcPr>
          <w:p w14:paraId="299EC6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9.21</w:t>
            </w:r>
          </w:p>
        </w:tc>
        <w:tc>
          <w:tcPr>
            <w:tcW w:w="880" w:type="dxa"/>
            <w:tcBorders>
              <w:top w:val="single" w:color="auto" w:sz="4" w:space="0"/>
              <w:left w:val="nil"/>
              <w:bottom w:val="nil"/>
              <w:right w:val="nil"/>
            </w:tcBorders>
            <w:shd w:val="clear" w:color="auto" w:fill="FFFFFF"/>
            <w:tcMar>
              <w:top w:w="120" w:type="dxa"/>
              <w:left w:w="57" w:type="dxa"/>
              <w:bottom w:w="120" w:type="dxa"/>
              <w:right w:w="57" w:type="dxa"/>
            </w:tcMar>
            <w:vAlign w:val="center"/>
          </w:tcPr>
          <w:p w14:paraId="3C4088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82.48</w:t>
            </w:r>
          </w:p>
        </w:tc>
        <w:tc>
          <w:tcPr>
            <w:tcW w:w="728" w:type="dxa"/>
            <w:tcBorders>
              <w:top w:val="single" w:color="auto" w:sz="4" w:space="0"/>
              <w:left w:val="nil"/>
              <w:bottom w:val="nil"/>
              <w:right w:val="nil"/>
            </w:tcBorders>
            <w:shd w:val="clear" w:color="auto" w:fill="FFFFFF"/>
            <w:tcMar>
              <w:top w:w="120" w:type="dxa"/>
              <w:left w:w="57" w:type="dxa"/>
              <w:bottom w:w="120" w:type="dxa"/>
              <w:right w:w="57" w:type="dxa"/>
            </w:tcMar>
            <w:vAlign w:val="center"/>
          </w:tcPr>
          <w:p w14:paraId="6398E3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82.48</w:t>
            </w:r>
          </w:p>
        </w:tc>
        <w:tc>
          <w:tcPr>
            <w:tcW w:w="809" w:type="dxa"/>
            <w:tcBorders>
              <w:top w:val="single" w:color="auto" w:sz="4" w:space="0"/>
              <w:left w:val="nil"/>
              <w:bottom w:val="nil"/>
              <w:right w:val="nil"/>
            </w:tcBorders>
            <w:shd w:val="clear" w:color="auto" w:fill="FFFFFF"/>
            <w:tcMar>
              <w:top w:w="120" w:type="dxa"/>
              <w:left w:w="57" w:type="dxa"/>
              <w:bottom w:w="120" w:type="dxa"/>
              <w:right w:w="57" w:type="dxa"/>
            </w:tcMar>
            <w:vAlign w:val="center"/>
          </w:tcPr>
          <w:p w14:paraId="755433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4A38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continue"/>
            <w:tcBorders>
              <w:left w:val="nil"/>
              <w:right w:val="nil"/>
            </w:tcBorders>
            <w:shd w:val="clear" w:color="auto" w:fill="FFFFFF"/>
            <w:tcMar>
              <w:top w:w="120" w:type="dxa"/>
              <w:left w:w="57" w:type="dxa"/>
              <w:bottom w:w="120" w:type="dxa"/>
              <w:right w:w="57" w:type="dxa"/>
            </w:tcMar>
            <w:vAlign w:val="center"/>
          </w:tcPr>
          <w:p w14:paraId="1D1E2E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770" w:type="dxa"/>
            <w:vMerge w:val="continue"/>
            <w:tcBorders>
              <w:left w:val="nil"/>
              <w:right w:val="nil"/>
            </w:tcBorders>
            <w:shd w:val="clear" w:color="auto" w:fill="FFFFFF"/>
            <w:tcMar>
              <w:top w:w="120" w:type="dxa"/>
              <w:left w:w="57" w:type="dxa"/>
              <w:bottom w:w="120" w:type="dxa"/>
              <w:right w:w="57" w:type="dxa"/>
            </w:tcMar>
            <w:vAlign w:val="center"/>
          </w:tcPr>
          <w:p w14:paraId="13E7FB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1417" w:type="dxa"/>
            <w:tcBorders>
              <w:top w:val="nil"/>
              <w:left w:val="nil"/>
              <w:bottom w:val="nil"/>
              <w:right w:val="nil"/>
            </w:tcBorders>
            <w:shd w:val="clear" w:color="auto" w:fill="FFFFFF"/>
            <w:tcMar>
              <w:top w:w="120" w:type="dxa"/>
              <w:left w:w="57" w:type="dxa"/>
              <w:bottom w:w="120" w:type="dxa"/>
              <w:right w:w="57" w:type="dxa"/>
            </w:tcMar>
            <w:vAlign w:val="center"/>
          </w:tcPr>
          <w:p w14:paraId="507DB6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保山点</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2F07C3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6.02</w:t>
            </w:r>
          </w:p>
        </w:tc>
        <w:tc>
          <w:tcPr>
            <w:tcW w:w="930" w:type="dxa"/>
            <w:tcBorders>
              <w:top w:val="nil"/>
              <w:left w:val="nil"/>
              <w:bottom w:val="nil"/>
              <w:right w:val="nil"/>
            </w:tcBorders>
            <w:shd w:val="clear" w:color="auto" w:fill="FFFFFF"/>
            <w:tcMar>
              <w:top w:w="120" w:type="dxa"/>
              <w:left w:w="57" w:type="dxa"/>
              <w:bottom w:w="120" w:type="dxa"/>
              <w:right w:w="57" w:type="dxa"/>
            </w:tcMar>
            <w:vAlign w:val="center"/>
          </w:tcPr>
          <w:p w14:paraId="0FD724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7.35</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1F1583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80.58</w:t>
            </w:r>
          </w:p>
        </w:tc>
        <w:tc>
          <w:tcPr>
            <w:tcW w:w="870" w:type="dxa"/>
            <w:tcBorders>
              <w:top w:val="nil"/>
              <w:left w:val="nil"/>
              <w:bottom w:val="nil"/>
              <w:right w:val="nil"/>
            </w:tcBorders>
            <w:shd w:val="clear" w:color="auto" w:fill="FFFFFF"/>
            <w:tcMar>
              <w:top w:w="120" w:type="dxa"/>
              <w:left w:w="57" w:type="dxa"/>
              <w:bottom w:w="120" w:type="dxa"/>
              <w:right w:w="57" w:type="dxa"/>
            </w:tcMar>
            <w:vAlign w:val="center"/>
          </w:tcPr>
          <w:p w14:paraId="65A77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10.89</w:t>
            </w:r>
          </w:p>
        </w:tc>
        <w:tc>
          <w:tcPr>
            <w:tcW w:w="880" w:type="dxa"/>
            <w:tcBorders>
              <w:top w:val="nil"/>
              <w:left w:val="nil"/>
              <w:bottom w:val="nil"/>
              <w:right w:val="nil"/>
            </w:tcBorders>
            <w:shd w:val="clear" w:color="auto" w:fill="FFFFFF"/>
            <w:tcMar>
              <w:top w:w="120" w:type="dxa"/>
              <w:left w:w="57" w:type="dxa"/>
              <w:bottom w:w="120" w:type="dxa"/>
              <w:right w:w="57" w:type="dxa"/>
            </w:tcMar>
            <w:vAlign w:val="center"/>
          </w:tcPr>
          <w:p w14:paraId="19953B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81.75</w:t>
            </w:r>
          </w:p>
        </w:tc>
        <w:tc>
          <w:tcPr>
            <w:tcW w:w="728" w:type="dxa"/>
            <w:tcBorders>
              <w:top w:val="nil"/>
              <w:left w:val="nil"/>
              <w:bottom w:val="nil"/>
              <w:right w:val="nil"/>
            </w:tcBorders>
            <w:shd w:val="clear" w:color="auto" w:fill="FFFFFF"/>
            <w:tcMar>
              <w:top w:w="120" w:type="dxa"/>
              <w:left w:w="57" w:type="dxa"/>
              <w:bottom w:w="120" w:type="dxa"/>
              <w:right w:w="57" w:type="dxa"/>
            </w:tcMar>
            <w:vAlign w:val="center"/>
          </w:tcPr>
          <w:p w14:paraId="68FBB4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81.75</w:t>
            </w:r>
          </w:p>
        </w:tc>
        <w:tc>
          <w:tcPr>
            <w:tcW w:w="809" w:type="dxa"/>
            <w:tcBorders>
              <w:top w:val="nil"/>
              <w:left w:val="nil"/>
              <w:bottom w:val="nil"/>
              <w:right w:val="nil"/>
            </w:tcBorders>
            <w:shd w:val="clear" w:color="auto" w:fill="FFFFFF"/>
            <w:tcMar>
              <w:top w:w="120" w:type="dxa"/>
              <w:left w:w="57" w:type="dxa"/>
              <w:bottom w:w="120" w:type="dxa"/>
              <w:right w:w="57" w:type="dxa"/>
            </w:tcMar>
            <w:vAlign w:val="center"/>
          </w:tcPr>
          <w:p w14:paraId="17544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5F2C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continue"/>
            <w:tcBorders>
              <w:left w:val="nil"/>
              <w:bottom w:val="nil"/>
              <w:right w:val="nil"/>
            </w:tcBorders>
            <w:shd w:val="clear" w:color="auto" w:fill="FFFFFF"/>
            <w:tcMar>
              <w:top w:w="120" w:type="dxa"/>
              <w:left w:w="57" w:type="dxa"/>
              <w:bottom w:w="120" w:type="dxa"/>
              <w:right w:w="57" w:type="dxa"/>
            </w:tcMar>
            <w:vAlign w:val="center"/>
          </w:tcPr>
          <w:p w14:paraId="3773BD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770" w:type="dxa"/>
            <w:vMerge w:val="continue"/>
            <w:tcBorders>
              <w:left w:val="nil"/>
              <w:bottom w:val="nil"/>
              <w:right w:val="nil"/>
            </w:tcBorders>
            <w:shd w:val="clear" w:color="auto" w:fill="FFFFFF"/>
            <w:tcMar>
              <w:top w:w="120" w:type="dxa"/>
              <w:left w:w="57" w:type="dxa"/>
              <w:bottom w:w="120" w:type="dxa"/>
              <w:right w:w="57" w:type="dxa"/>
            </w:tcMar>
            <w:vAlign w:val="center"/>
          </w:tcPr>
          <w:p w14:paraId="325DC6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1417" w:type="dxa"/>
            <w:tcBorders>
              <w:top w:val="nil"/>
              <w:left w:val="nil"/>
              <w:bottom w:val="nil"/>
              <w:right w:val="nil"/>
            </w:tcBorders>
            <w:shd w:val="clear" w:color="auto" w:fill="FFFFFF"/>
            <w:tcMar>
              <w:top w:w="120" w:type="dxa"/>
              <w:left w:w="57" w:type="dxa"/>
              <w:bottom w:w="120" w:type="dxa"/>
              <w:right w:w="57" w:type="dxa"/>
            </w:tcMar>
            <w:vAlign w:val="center"/>
          </w:tcPr>
          <w:p w14:paraId="024E6A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临沧点</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23A31D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5.87</w:t>
            </w:r>
          </w:p>
        </w:tc>
        <w:tc>
          <w:tcPr>
            <w:tcW w:w="930" w:type="dxa"/>
            <w:tcBorders>
              <w:top w:val="nil"/>
              <w:left w:val="nil"/>
              <w:bottom w:val="nil"/>
              <w:right w:val="nil"/>
            </w:tcBorders>
            <w:shd w:val="clear" w:color="auto" w:fill="FFFFFF"/>
            <w:tcMar>
              <w:top w:w="120" w:type="dxa"/>
              <w:left w:w="57" w:type="dxa"/>
              <w:bottom w:w="120" w:type="dxa"/>
              <w:right w:w="57" w:type="dxa"/>
            </w:tcMar>
            <w:vAlign w:val="center"/>
          </w:tcPr>
          <w:p w14:paraId="2E4064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7.21</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34595E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80.92</w:t>
            </w:r>
          </w:p>
        </w:tc>
        <w:tc>
          <w:tcPr>
            <w:tcW w:w="870" w:type="dxa"/>
            <w:tcBorders>
              <w:top w:val="nil"/>
              <w:left w:val="nil"/>
              <w:bottom w:val="nil"/>
              <w:right w:val="nil"/>
            </w:tcBorders>
            <w:shd w:val="clear" w:color="auto" w:fill="FFFFFF"/>
            <w:tcMar>
              <w:top w:w="120" w:type="dxa"/>
              <w:left w:w="57" w:type="dxa"/>
              <w:bottom w:w="120" w:type="dxa"/>
              <w:right w:w="57" w:type="dxa"/>
            </w:tcMar>
            <w:vAlign w:val="center"/>
          </w:tcPr>
          <w:p w14:paraId="08056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10.54</w:t>
            </w:r>
          </w:p>
        </w:tc>
        <w:tc>
          <w:tcPr>
            <w:tcW w:w="880" w:type="dxa"/>
            <w:tcBorders>
              <w:top w:val="nil"/>
              <w:left w:val="nil"/>
              <w:bottom w:val="nil"/>
              <w:right w:val="nil"/>
            </w:tcBorders>
            <w:shd w:val="clear" w:color="auto" w:fill="FFFFFF"/>
            <w:tcMar>
              <w:top w:w="120" w:type="dxa"/>
              <w:left w:w="57" w:type="dxa"/>
              <w:bottom w:w="120" w:type="dxa"/>
              <w:right w:w="57" w:type="dxa"/>
            </w:tcMar>
            <w:vAlign w:val="center"/>
          </w:tcPr>
          <w:p w14:paraId="47CE0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82.01</w:t>
            </w:r>
          </w:p>
        </w:tc>
        <w:tc>
          <w:tcPr>
            <w:tcW w:w="728" w:type="dxa"/>
            <w:tcBorders>
              <w:top w:val="nil"/>
              <w:left w:val="nil"/>
              <w:bottom w:val="nil"/>
              <w:right w:val="nil"/>
            </w:tcBorders>
            <w:shd w:val="clear" w:color="auto" w:fill="FFFFFF"/>
            <w:tcMar>
              <w:top w:w="120" w:type="dxa"/>
              <w:left w:w="57" w:type="dxa"/>
              <w:bottom w:w="120" w:type="dxa"/>
              <w:right w:w="57" w:type="dxa"/>
            </w:tcMar>
            <w:vAlign w:val="center"/>
          </w:tcPr>
          <w:p w14:paraId="63EDB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82.01</w:t>
            </w:r>
          </w:p>
        </w:tc>
        <w:tc>
          <w:tcPr>
            <w:tcW w:w="809" w:type="dxa"/>
            <w:tcBorders>
              <w:top w:val="nil"/>
              <w:left w:val="nil"/>
              <w:bottom w:val="nil"/>
              <w:right w:val="nil"/>
            </w:tcBorders>
            <w:shd w:val="clear" w:color="auto" w:fill="FFFFFF"/>
            <w:tcMar>
              <w:top w:w="120" w:type="dxa"/>
              <w:left w:w="57" w:type="dxa"/>
              <w:bottom w:w="120" w:type="dxa"/>
              <w:right w:w="57" w:type="dxa"/>
            </w:tcMar>
            <w:vAlign w:val="center"/>
          </w:tcPr>
          <w:p w14:paraId="2427EF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51A51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restart"/>
            <w:tcBorders>
              <w:top w:val="nil"/>
              <w:left w:val="nil"/>
              <w:right w:val="nil"/>
            </w:tcBorders>
            <w:shd w:val="clear" w:color="auto" w:fill="FFFFFF"/>
            <w:tcMar>
              <w:top w:w="120" w:type="dxa"/>
              <w:left w:w="57" w:type="dxa"/>
              <w:bottom w:w="120" w:type="dxa"/>
              <w:right w:w="57" w:type="dxa"/>
            </w:tcMar>
            <w:vAlign w:val="center"/>
          </w:tcPr>
          <w:p w14:paraId="168B99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25%戊唑醇乳油</w:t>
            </w:r>
          </w:p>
        </w:tc>
        <w:tc>
          <w:tcPr>
            <w:tcW w:w="770" w:type="dxa"/>
            <w:tcBorders>
              <w:top w:val="nil"/>
              <w:left w:val="nil"/>
              <w:bottom w:val="nil"/>
              <w:right w:val="nil"/>
            </w:tcBorders>
            <w:shd w:val="clear" w:color="auto" w:fill="FFFFFF"/>
            <w:tcMar>
              <w:top w:w="120" w:type="dxa"/>
              <w:left w:w="57" w:type="dxa"/>
              <w:bottom w:w="120" w:type="dxa"/>
              <w:right w:w="57" w:type="dxa"/>
            </w:tcMar>
            <w:vAlign w:val="center"/>
          </w:tcPr>
          <w:p w14:paraId="6918D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1000</w:t>
            </w:r>
          </w:p>
        </w:tc>
        <w:tc>
          <w:tcPr>
            <w:tcW w:w="1417" w:type="dxa"/>
            <w:tcBorders>
              <w:top w:val="nil"/>
              <w:left w:val="nil"/>
              <w:bottom w:val="nil"/>
              <w:right w:val="nil"/>
            </w:tcBorders>
            <w:shd w:val="clear" w:color="auto" w:fill="FFFFFF"/>
            <w:tcMar>
              <w:top w:w="120" w:type="dxa"/>
              <w:left w:w="57" w:type="dxa"/>
              <w:bottom w:w="120" w:type="dxa"/>
              <w:right w:w="57" w:type="dxa"/>
            </w:tcMar>
            <w:vAlign w:val="center"/>
          </w:tcPr>
          <w:p w14:paraId="434DB7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普洱点</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3798AF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5.32</w:t>
            </w:r>
          </w:p>
        </w:tc>
        <w:tc>
          <w:tcPr>
            <w:tcW w:w="930" w:type="dxa"/>
            <w:tcBorders>
              <w:top w:val="nil"/>
              <w:left w:val="nil"/>
              <w:bottom w:val="nil"/>
              <w:right w:val="nil"/>
            </w:tcBorders>
            <w:shd w:val="clear" w:color="auto" w:fill="FFFFFF"/>
            <w:tcMar>
              <w:top w:w="120" w:type="dxa"/>
              <w:left w:w="57" w:type="dxa"/>
              <w:bottom w:w="120" w:type="dxa"/>
              <w:right w:w="57" w:type="dxa"/>
            </w:tcMar>
            <w:vAlign w:val="center"/>
          </w:tcPr>
          <w:p w14:paraId="3D9250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6.74</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7189D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80.17</w:t>
            </w:r>
          </w:p>
        </w:tc>
        <w:tc>
          <w:tcPr>
            <w:tcW w:w="870" w:type="dxa"/>
            <w:tcBorders>
              <w:top w:val="nil"/>
              <w:left w:val="nil"/>
              <w:bottom w:val="nil"/>
              <w:right w:val="nil"/>
            </w:tcBorders>
            <w:shd w:val="clear" w:color="auto" w:fill="FFFFFF"/>
            <w:tcMar>
              <w:top w:w="120" w:type="dxa"/>
              <w:left w:w="57" w:type="dxa"/>
              <w:bottom w:w="120" w:type="dxa"/>
              <w:right w:w="57" w:type="dxa"/>
            </w:tcMar>
            <w:vAlign w:val="center"/>
          </w:tcPr>
          <w:p w14:paraId="77822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9.87</w:t>
            </w:r>
          </w:p>
        </w:tc>
        <w:tc>
          <w:tcPr>
            <w:tcW w:w="880" w:type="dxa"/>
            <w:tcBorders>
              <w:top w:val="nil"/>
              <w:left w:val="nil"/>
              <w:bottom w:val="nil"/>
              <w:right w:val="nil"/>
            </w:tcBorders>
            <w:shd w:val="clear" w:color="auto" w:fill="FFFFFF"/>
            <w:tcMar>
              <w:top w:w="120" w:type="dxa"/>
              <w:left w:w="57" w:type="dxa"/>
              <w:bottom w:w="120" w:type="dxa"/>
              <w:right w:w="57" w:type="dxa"/>
            </w:tcMar>
            <w:vAlign w:val="center"/>
          </w:tcPr>
          <w:p w14:paraId="6E10CE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81.21</w:t>
            </w:r>
          </w:p>
        </w:tc>
        <w:tc>
          <w:tcPr>
            <w:tcW w:w="728" w:type="dxa"/>
            <w:tcBorders>
              <w:top w:val="nil"/>
              <w:left w:val="nil"/>
              <w:bottom w:val="nil"/>
              <w:right w:val="nil"/>
            </w:tcBorders>
            <w:shd w:val="clear" w:color="auto" w:fill="FFFFFF"/>
            <w:tcMar>
              <w:top w:w="120" w:type="dxa"/>
              <w:left w:w="57" w:type="dxa"/>
              <w:bottom w:w="120" w:type="dxa"/>
              <w:right w:w="57" w:type="dxa"/>
            </w:tcMar>
            <w:vAlign w:val="center"/>
          </w:tcPr>
          <w:p w14:paraId="225170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81.21</w:t>
            </w:r>
          </w:p>
        </w:tc>
        <w:tc>
          <w:tcPr>
            <w:tcW w:w="809" w:type="dxa"/>
            <w:tcBorders>
              <w:top w:val="nil"/>
              <w:left w:val="nil"/>
              <w:bottom w:val="nil"/>
              <w:right w:val="nil"/>
            </w:tcBorders>
            <w:shd w:val="clear" w:color="auto" w:fill="FFFFFF"/>
            <w:tcMar>
              <w:top w:w="120" w:type="dxa"/>
              <w:left w:w="57" w:type="dxa"/>
              <w:bottom w:w="120" w:type="dxa"/>
              <w:right w:w="57" w:type="dxa"/>
            </w:tcMar>
            <w:vAlign w:val="center"/>
          </w:tcPr>
          <w:p w14:paraId="0CF267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779D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continue"/>
            <w:tcBorders>
              <w:left w:val="nil"/>
              <w:right w:val="nil"/>
            </w:tcBorders>
            <w:shd w:val="clear" w:color="auto" w:fill="FFFFFF"/>
            <w:tcMar>
              <w:top w:w="120" w:type="dxa"/>
              <w:left w:w="57" w:type="dxa"/>
              <w:bottom w:w="120" w:type="dxa"/>
              <w:right w:w="57" w:type="dxa"/>
            </w:tcMar>
            <w:vAlign w:val="center"/>
          </w:tcPr>
          <w:p w14:paraId="13DB19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770" w:type="dxa"/>
            <w:tcBorders>
              <w:top w:val="nil"/>
              <w:left w:val="nil"/>
              <w:bottom w:val="nil"/>
              <w:right w:val="nil"/>
            </w:tcBorders>
            <w:shd w:val="clear" w:color="auto" w:fill="FFFFFF"/>
            <w:tcMar>
              <w:top w:w="120" w:type="dxa"/>
              <w:left w:w="57" w:type="dxa"/>
              <w:bottom w:w="120" w:type="dxa"/>
              <w:right w:w="57" w:type="dxa"/>
            </w:tcMar>
            <w:vAlign w:val="center"/>
          </w:tcPr>
          <w:p w14:paraId="033155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1417" w:type="dxa"/>
            <w:tcBorders>
              <w:top w:val="nil"/>
              <w:left w:val="nil"/>
              <w:bottom w:val="nil"/>
              <w:right w:val="nil"/>
            </w:tcBorders>
            <w:shd w:val="clear" w:color="auto" w:fill="FFFFFF"/>
            <w:tcMar>
              <w:top w:w="120" w:type="dxa"/>
              <w:left w:w="57" w:type="dxa"/>
              <w:bottom w:w="120" w:type="dxa"/>
              <w:right w:w="57" w:type="dxa"/>
            </w:tcMar>
            <w:vAlign w:val="center"/>
          </w:tcPr>
          <w:p w14:paraId="51BDA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保山点</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672ACA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6.21</w:t>
            </w:r>
          </w:p>
        </w:tc>
        <w:tc>
          <w:tcPr>
            <w:tcW w:w="930" w:type="dxa"/>
            <w:tcBorders>
              <w:top w:val="nil"/>
              <w:left w:val="nil"/>
              <w:bottom w:val="nil"/>
              <w:right w:val="nil"/>
            </w:tcBorders>
            <w:shd w:val="clear" w:color="auto" w:fill="FFFFFF"/>
            <w:tcMar>
              <w:top w:w="120" w:type="dxa"/>
              <w:left w:w="57" w:type="dxa"/>
              <w:bottom w:w="120" w:type="dxa"/>
              <w:right w:w="57" w:type="dxa"/>
            </w:tcMar>
            <w:vAlign w:val="center"/>
          </w:tcPr>
          <w:p w14:paraId="15BD29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7.92</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11020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79.84</w:t>
            </w:r>
          </w:p>
        </w:tc>
        <w:tc>
          <w:tcPr>
            <w:tcW w:w="870" w:type="dxa"/>
            <w:tcBorders>
              <w:top w:val="nil"/>
              <w:left w:val="nil"/>
              <w:bottom w:val="nil"/>
              <w:right w:val="nil"/>
            </w:tcBorders>
            <w:shd w:val="clear" w:color="auto" w:fill="FFFFFF"/>
            <w:tcMar>
              <w:top w:w="120" w:type="dxa"/>
              <w:left w:w="57" w:type="dxa"/>
              <w:bottom w:w="120" w:type="dxa"/>
              <w:right w:w="57" w:type="dxa"/>
            </w:tcMar>
            <w:vAlign w:val="center"/>
          </w:tcPr>
          <w:p w14:paraId="43F454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11.34</w:t>
            </w:r>
          </w:p>
        </w:tc>
        <w:tc>
          <w:tcPr>
            <w:tcW w:w="880" w:type="dxa"/>
            <w:tcBorders>
              <w:top w:val="nil"/>
              <w:left w:val="nil"/>
              <w:bottom w:val="nil"/>
              <w:right w:val="nil"/>
            </w:tcBorders>
            <w:shd w:val="clear" w:color="auto" w:fill="FFFFFF"/>
            <w:tcMar>
              <w:top w:w="120" w:type="dxa"/>
              <w:left w:w="57" w:type="dxa"/>
              <w:bottom w:w="120" w:type="dxa"/>
              <w:right w:w="57" w:type="dxa"/>
            </w:tcMar>
            <w:vAlign w:val="center"/>
          </w:tcPr>
          <w:p w14:paraId="79854C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80.56</w:t>
            </w:r>
          </w:p>
        </w:tc>
        <w:tc>
          <w:tcPr>
            <w:tcW w:w="728" w:type="dxa"/>
            <w:tcBorders>
              <w:top w:val="nil"/>
              <w:left w:val="nil"/>
              <w:bottom w:val="nil"/>
              <w:right w:val="nil"/>
            </w:tcBorders>
            <w:shd w:val="clear" w:color="auto" w:fill="FFFFFF"/>
            <w:tcMar>
              <w:top w:w="120" w:type="dxa"/>
              <w:left w:w="57" w:type="dxa"/>
              <w:bottom w:w="120" w:type="dxa"/>
              <w:right w:w="57" w:type="dxa"/>
            </w:tcMar>
            <w:vAlign w:val="center"/>
          </w:tcPr>
          <w:p w14:paraId="58C48C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80.56</w:t>
            </w:r>
          </w:p>
        </w:tc>
        <w:tc>
          <w:tcPr>
            <w:tcW w:w="809" w:type="dxa"/>
            <w:tcBorders>
              <w:top w:val="nil"/>
              <w:left w:val="nil"/>
              <w:bottom w:val="nil"/>
              <w:right w:val="nil"/>
            </w:tcBorders>
            <w:shd w:val="clear" w:color="auto" w:fill="FFFFFF"/>
            <w:tcMar>
              <w:top w:w="120" w:type="dxa"/>
              <w:left w:w="57" w:type="dxa"/>
              <w:bottom w:w="120" w:type="dxa"/>
              <w:right w:w="57" w:type="dxa"/>
            </w:tcMar>
            <w:vAlign w:val="center"/>
          </w:tcPr>
          <w:p w14:paraId="63F5D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746E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continue"/>
            <w:tcBorders>
              <w:left w:val="nil"/>
              <w:bottom w:val="nil"/>
              <w:right w:val="nil"/>
            </w:tcBorders>
            <w:shd w:val="clear" w:color="auto" w:fill="FFFFFF"/>
            <w:tcMar>
              <w:top w:w="120" w:type="dxa"/>
              <w:left w:w="57" w:type="dxa"/>
              <w:bottom w:w="120" w:type="dxa"/>
              <w:right w:w="57" w:type="dxa"/>
            </w:tcMar>
            <w:vAlign w:val="center"/>
          </w:tcPr>
          <w:p w14:paraId="5B129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770" w:type="dxa"/>
            <w:tcBorders>
              <w:top w:val="nil"/>
              <w:left w:val="nil"/>
              <w:bottom w:val="nil"/>
              <w:right w:val="nil"/>
            </w:tcBorders>
            <w:shd w:val="clear" w:color="auto" w:fill="FFFFFF"/>
            <w:tcMar>
              <w:top w:w="120" w:type="dxa"/>
              <w:left w:w="57" w:type="dxa"/>
              <w:bottom w:w="120" w:type="dxa"/>
              <w:right w:w="57" w:type="dxa"/>
            </w:tcMar>
            <w:vAlign w:val="center"/>
          </w:tcPr>
          <w:p w14:paraId="72125F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1417" w:type="dxa"/>
            <w:tcBorders>
              <w:top w:val="nil"/>
              <w:left w:val="nil"/>
              <w:bottom w:val="nil"/>
              <w:right w:val="nil"/>
            </w:tcBorders>
            <w:shd w:val="clear" w:color="auto" w:fill="FFFFFF"/>
            <w:tcMar>
              <w:top w:w="120" w:type="dxa"/>
              <w:left w:w="57" w:type="dxa"/>
              <w:bottom w:w="120" w:type="dxa"/>
              <w:right w:w="57" w:type="dxa"/>
            </w:tcMar>
            <w:vAlign w:val="center"/>
          </w:tcPr>
          <w:p w14:paraId="6B951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临沧点</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233536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5.95</w:t>
            </w:r>
          </w:p>
        </w:tc>
        <w:tc>
          <w:tcPr>
            <w:tcW w:w="930" w:type="dxa"/>
            <w:tcBorders>
              <w:top w:val="nil"/>
              <w:left w:val="nil"/>
              <w:bottom w:val="nil"/>
              <w:right w:val="nil"/>
            </w:tcBorders>
            <w:shd w:val="clear" w:color="auto" w:fill="FFFFFF"/>
            <w:tcMar>
              <w:top w:w="120" w:type="dxa"/>
              <w:left w:w="57" w:type="dxa"/>
              <w:bottom w:w="120" w:type="dxa"/>
              <w:right w:w="57" w:type="dxa"/>
            </w:tcMar>
            <w:vAlign w:val="center"/>
          </w:tcPr>
          <w:p w14:paraId="42A9AB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7.65</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287381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80.05</w:t>
            </w:r>
          </w:p>
        </w:tc>
        <w:tc>
          <w:tcPr>
            <w:tcW w:w="870" w:type="dxa"/>
            <w:tcBorders>
              <w:top w:val="nil"/>
              <w:left w:val="nil"/>
              <w:bottom w:val="nil"/>
              <w:right w:val="nil"/>
            </w:tcBorders>
            <w:shd w:val="clear" w:color="auto" w:fill="FFFFFF"/>
            <w:tcMar>
              <w:top w:w="120" w:type="dxa"/>
              <w:left w:w="57" w:type="dxa"/>
              <w:bottom w:w="120" w:type="dxa"/>
              <w:right w:w="57" w:type="dxa"/>
            </w:tcMar>
            <w:vAlign w:val="center"/>
          </w:tcPr>
          <w:p w14:paraId="5F897F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10.98</w:t>
            </w:r>
          </w:p>
        </w:tc>
        <w:tc>
          <w:tcPr>
            <w:tcW w:w="880" w:type="dxa"/>
            <w:tcBorders>
              <w:top w:val="nil"/>
              <w:left w:val="nil"/>
              <w:bottom w:val="nil"/>
              <w:right w:val="nil"/>
            </w:tcBorders>
            <w:shd w:val="clear" w:color="auto" w:fill="FFFFFF"/>
            <w:tcMar>
              <w:top w:w="120" w:type="dxa"/>
              <w:left w:w="57" w:type="dxa"/>
              <w:bottom w:w="120" w:type="dxa"/>
              <w:right w:w="57" w:type="dxa"/>
            </w:tcMar>
            <w:vAlign w:val="center"/>
          </w:tcPr>
          <w:p w14:paraId="75443B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80.89</w:t>
            </w:r>
          </w:p>
        </w:tc>
        <w:tc>
          <w:tcPr>
            <w:tcW w:w="728" w:type="dxa"/>
            <w:tcBorders>
              <w:top w:val="nil"/>
              <w:left w:val="nil"/>
              <w:bottom w:val="nil"/>
              <w:right w:val="nil"/>
            </w:tcBorders>
            <w:shd w:val="clear" w:color="auto" w:fill="FFFFFF"/>
            <w:tcMar>
              <w:top w:w="120" w:type="dxa"/>
              <w:left w:w="57" w:type="dxa"/>
              <w:bottom w:w="120" w:type="dxa"/>
              <w:right w:w="57" w:type="dxa"/>
            </w:tcMar>
            <w:vAlign w:val="center"/>
          </w:tcPr>
          <w:p w14:paraId="0CAD7F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80.89</w:t>
            </w:r>
          </w:p>
        </w:tc>
        <w:tc>
          <w:tcPr>
            <w:tcW w:w="809" w:type="dxa"/>
            <w:tcBorders>
              <w:top w:val="nil"/>
              <w:left w:val="nil"/>
              <w:bottom w:val="nil"/>
              <w:right w:val="nil"/>
            </w:tcBorders>
            <w:shd w:val="clear" w:color="auto" w:fill="FFFFFF"/>
            <w:tcMar>
              <w:top w:w="120" w:type="dxa"/>
              <w:left w:w="57" w:type="dxa"/>
              <w:bottom w:w="120" w:type="dxa"/>
              <w:right w:w="57" w:type="dxa"/>
            </w:tcMar>
            <w:vAlign w:val="center"/>
          </w:tcPr>
          <w:p w14:paraId="65745E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3F923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restart"/>
            <w:tcBorders>
              <w:top w:val="nil"/>
              <w:left w:val="nil"/>
              <w:right w:val="nil"/>
            </w:tcBorders>
            <w:shd w:val="clear" w:color="auto" w:fill="FFFFFF"/>
            <w:tcMar>
              <w:top w:w="120" w:type="dxa"/>
              <w:left w:w="57" w:type="dxa"/>
              <w:bottom w:w="120" w:type="dxa"/>
              <w:right w:w="57" w:type="dxa"/>
            </w:tcMar>
            <w:vAlign w:val="center"/>
          </w:tcPr>
          <w:p w14:paraId="0950C3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25%吡唑醚菌酯乳油</w:t>
            </w:r>
          </w:p>
        </w:tc>
        <w:tc>
          <w:tcPr>
            <w:tcW w:w="770" w:type="dxa"/>
            <w:tcBorders>
              <w:top w:val="nil"/>
              <w:left w:val="nil"/>
              <w:bottom w:val="nil"/>
              <w:right w:val="nil"/>
            </w:tcBorders>
            <w:shd w:val="clear" w:color="auto" w:fill="FFFFFF"/>
            <w:tcMar>
              <w:top w:w="120" w:type="dxa"/>
              <w:left w:w="57" w:type="dxa"/>
              <w:bottom w:w="120" w:type="dxa"/>
              <w:right w:w="57" w:type="dxa"/>
            </w:tcMar>
            <w:vAlign w:val="center"/>
          </w:tcPr>
          <w:p w14:paraId="3D6BE7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2000</w:t>
            </w:r>
          </w:p>
        </w:tc>
        <w:tc>
          <w:tcPr>
            <w:tcW w:w="1417" w:type="dxa"/>
            <w:tcBorders>
              <w:top w:val="nil"/>
              <w:left w:val="nil"/>
              <w:bottom w:val="nil"/>
              <w:right w:val="nil"/>
            </w:tcBorders>
            <w:shd w:val="clear" w:color="auto" w:fill="FFFFFF"/>
            <w:tcMar>
              <w:top w:w="120" w:type="dxa"/>
              <w:left w:w="57" w:type="dxa"/>
              <w:bottom w:w="120" w:type="dxa"/>
              <w:right w:w="57" w:type="dxa"/>
            </w:tcMar>
            <w:vAlign w:val="center"/>
          </w:tcPr>
          <w:p w14:paraId="476F86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普洱点</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0DC15B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5.30</w:t>
            </w:r>
          </w:p>
        </w:tc>
        <w:tc>
          <w:tcPr>
            <w:tcW w:w="930" w:type="dxa"/>
            <w:tcBorders>
              <w:top w:val="nil"/>
              <w:left w:val="nil"/>
              <w:bottom w:val="nil"/>
              <w:right w:val="nil"/>
            </w:tcBorders>
            <w:shd w:val="clear" w:color="auto" w:fill="FFFFFF"/>
            <w:tcMar>
              <w:top w:w="120" w:type="dxa"/>
              <w:left w:w="57" w:type="dxa"/>
              <w:bottom w:w="120" w:type="dxa"/>
              <w:right w:w="57" w:type="dxa"/>
            </w:tcMar>
            <w:vAlign w:val="center"/>
          </w:tcPr>
          <w:p w14:paraId="511C33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6.83</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03A5F3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79.92</w:t>
            </w:r>
          </w:p>
        </w:tc>
        <w:tc>
          <w:tcPr>
            <w:tcW w:w="870" w:type="dxa"/>
            <w:tcBorders>
              <w:top w:val="nil"/>
              <w:left w:val="nil"/>
              <w:bottom w:val="nil"/>
              <w:right w:val="nil"/>
            </w:tcBorders>
            <w:shd w:val="clear" w:color="auto" w:fill="FFFFFF"/>
            <w:tcMar>
              <w:top w:w="120" w:type="dxa"/>
              <w:left w:w="57" w:type="dxa"/>
              <w:bottom w:w="120" w:type="dxa"/>
              <w:right w:w="57" w:type="dxa"/>
            </w:tcMar>
            <w:vAlign w:val="center"/>
          </w:tcPr>
          <w:p w14:paraId="66195C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10.07</w:t>
            </w:r>
          </w:p>
        </w:tc>
        <w:tc>
          <w:tcPr>
            <w:tcW w:w="880" w:type="dxa"/>
            <w:tcBorders>
              <w:top w:val="nil"/>
              <w:left w:val="nil"/>
              <w:bottom w:val="nil"/>
              <w:right w:val="nil"/>
            </w:tcBorders>
            <w:shd w:val="clear" w:color="auto" w:fill="FFFFFF"/>
            <w:tcMar>
              <w:top w:w="120" w:type="dxa"/>
              <w:left w:w="57" w:type="dxa"/>
              <w:bottom w:w="120" w:type="dxa"/>
              <w:right w:w="57" w:type="dxa"/>
            </w:tcMar>
            <w:vAlign w:val="center"/>
          </w:tcPr>
          <w:p w14:paraId="3E4038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80.83</w:t>
            </w:r>
          </w:p>
        </w:tc>
        <w:tc>
          <w:tcPr>
            <w:tcW w:w="728" w:type="dxa"/>
            <w:tcBorders>
              <w:top w:val="nil"/>
              <w:left w:val="nil"/>
              <w:bottom w:val="nil"/>
              <w:right w:val="nil"/>
            </w:tcBorders>
            <w:shd w:val="clear" w:color="auto" w:fill="FFFFFF"/>
            <w:tcMar>
              <w:top w:w="120" w:type="dxa"/>
              <w:left w:w="57" w:type="dxa"/>
              <w:bottom w:w="120" w:type="dxa"/>
              <w:right w:w="57" w:type="dxa"/>
            </w:tcMar>
            <w:vAlign w:val="center"/>
          </w:tcPr>
          <w:p w14:paraId="06C202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80.83</w:t>
            </w:r>
          </w:p>
        </w:tc>
        <w:tc>
          <w:tcPr>
            <w:tcW w:w="809" w:type="dxa"/>
            <w:tcBorders>
              <w:top w:val="nil"/>
              <w:left w:val="nil"/>
              <w:bottom w:val="nil"/>
              <w:right w:val="nil"/>
            </w:tcBorders>
            <w:shd w:val="clear" w:color="auto" w:fill="FFFFFF"/>
            <w:tcMar>
              <w:top w:w="120" w:type="dxa"/>
              <w:left w:w="57" w:type="dxa"/>
              <w:bottom w:w="120" w:type="dxa"/>
              <w:right w:w="57" w:type="dxa"/>
            </w:tcMar>
            <w:vAlign w:val="center"/>
          </w:tcPr>
          <w:p w14:paraId="50B5E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507F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continue"/>
            <w:tcBorders>
              <w:left w:val="nil"/>
              <w:right w:val="nil"/>
            </w:tcBorders>
            <w:shd w:val="clear" w:color="auto" w:fill="FFFFFF"/>
            <w:tcMar>
              <w:top w:w="120" w:type="dxa"/>
              <w:left w:w="57" w:type="dxa"/>
              <w:bottom w:w="120" w:type="dxa"/>
              <w:right w:w="57" w:type="dxa"/>
            </w:tcMar>
            <w:vAlign w:val="center"/>
          </w:tcPr>
          <w:p w14:paraId="06478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770" w:type="dxa"/>
            <w:tcBorders>
              <w:top w:val="nil"/>
              <w:left w:val="nil"/>
              <w:bottom w:val="nil"/>
              <w:right w:val="nil"/>
            </w:tcBorders>
            <w:shd w:val="clear" w:color="auto" w:fill="FFFFFF"/>
            <w:tcMar>
              <w:top w:w="120" w:type="dxa"/>
              <w:left w:w="57" w:type="dxa"/>
              <w:bottom w:w="120" w:type="dxa"/>
              <w:right w:w="57" w:type="dxa"/>
            </w:tcMar>
            <w:vAlign w:val="center"/>
          </w:tcPr>
          <w:p w14:paraId="4DFBD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1417" w:type="dxa"/>
            <w:tcBorders>
              <w:top w:val="nil"/>
              <w:left w:val="nil"/>
              <w:bottom w:val="nil"/>
              <w:right w:val="nil"/>
            </w:tcBorders>
            <w:shd w:val="clear" w:color="auto" w:fill="FFFFFF"/>
            <w:tcMar>
              <w:top w:w="120" w:type="dxa"/>
              <w:left w:w="57" w:type="dxa"/>
              <w:bottom w:w="120" w:type="dxa"/>
              <w:right w:w="57" w:type="dxa"/>
            </w:tcMar>
            <w:vAlign w:val="center"/>
          </w:tcPr>
          <w:p w14:paraId="0F5D49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保山点</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690E2C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6.15</w:t>
            </w:r>
          </w:p>
        </w:tc>
        <w:tc>
          <w:tcPr>
            <w:tcW w:w="930" w:type="dxa"/>
            <w:tcBorders>
              <w:top w:val="nil"/>
              <w:left w:val="nil"/>
              <w:bottom w:val="nil"/>
              <w:right w:val="nil"/>
            </w:tcBorders>
            <w:shd w:val="clear" w:color="auto" w:fill="FFFFFF"/>
            <w:tcMar>
              <w:top w:w="120" w:type="dxa"/>
              <w:left w:w="57" w:type="dxa"/>
              <w:bottom w:w="120" w:type="dxa"/>
              <w:right w:w="57" w:type="dxa"/>
            </w:tcMar>
            <w:vAlign w:val="center"/>
          </w:tcPr>
          <w:p w14:paraId="57212F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8.01</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4F9C18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79.45</w:t>
            </w:r>
          </w:p>
        </w:tc>
        <w:tc>
          <w:tcPr>
            <w:tcW w:w="870" w:type="dxa"/>
            <w:tcBorders>
              <w:top w:val="nil"/>
              <w:left w:val="nil"/>
              <w:bottom w:val="nil"/>
              <w:right w:val="nil"/>
            </w:tcBorders>
            <w:shd w:val="clear" w:color="auto" w:fill="FFFFFF"/>
            <w:tcMar>
              <w:top w:w="120" w:type="dxa"/>
              <w:left w:w="57" w:type="dxa"/>
              <w:bottom w:w="120" w:type="dxa"/>
              <w:right w:w="57" w:type="dxa"/>
            </w:tcMar>
            <w:vAlign w:val="center"/>
          </w:tcPr>
          <w:p w14:paraId="6A75E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11.76</w:t>
            </w:r>
          </w:p>
        </w:tc>
        <w:tc>
          <w:tcPr>
            <w:tcW w:w="880" w:type="dxa"/>
            <w:tcBorders>
              <w:top w:val="nil"/>
              <w:left w:val="nil"/>
              <w:bottom w:val="nil"/>
              <w:right w:val="nil"/>
            </w:tcBorders>
            <w:shd w:val="clear" w:color="auto" w:fill="FFFFFF"/>
            <w:tcMar>
              <w:top w:w="120" w:type="dxa"/>
              <w:left w:w="57" w:type="dxa"/>
              <w:bottom w:w="120" w:type="dxa"/>
              <w:right w:w="57" w:type="dxa"/>
            </w:tcMar>
            <w:vAlign w:val="center"/>
          </w:tcPr>
          <w:p w14:paraId="509883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80.12</w:t>
            </w:r>
          </w:p>
        </w:tc>
        <w:tc>
          <w:tcPr>
            <w:tcW w:w="728" w:type="dxa"/>
            <w:tcBorders>
              <w:top w:val="nil"/>
              <w:left w:val="nil"/>
              <w:bottom w:val="nil"/>
              <w:right w:val="nil"/>
            </w:tcBorders>
            <w:shd w:val="clear" w:color="auto" w:fill="FFFFFF"/>
            <w:tcMar>
              <w:top w:w="120" w:type="dxa"/>
              <w:left w:w="57" w:type="dxa"/>
              <w:bottom w:w="120" w:type="dxa"/>
              <w:right w:w="57" w:type="dxa"/>
            </w:tcMar>
            <w:vAlign w:val="center"/>
          </w:tcPr>
          <w:p w14:paraId="6BED42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80.12</w:t>
            </w:r>
          </w:p>
        </w:tc>
        <w:tc>
          <w:tcPr>
            <w:tcW w:w="809" w:type="dxa"/>
            <w:tcBorders>
              <w:top w:val="nil"/>
              <w:left w:val="nil"/>
              <w:bottom w:val="nil"/>
              <w:right w:val="nil"/>
            </w:tcBorders>
            <w:shd w:val="clear" w:color="auto" w:fill="FFFFFF"/>
            <w:tcMar>
              <w:top w:w="120" w:type="dxa"/>
              <w:left w:w="57" w:type="dxa"/>
              <w:bottom w:w="120" w:type="dxa"/>
              <w:right w:w="57" w:type="dxa"/>
            </w:tcMar>
            <w:vAlign w:val="center"/>
          </w:tcPr>
          <w:p w14:paraId="4A0CDF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399E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continue"/>
            <w:tcBorders>
              <w:left w:val="nil"/>
              <w:bottom w:val="nil"/>
              <w:right w:val="nil"/>
            </w:tcBorders>
            <w:shd w:val="clear" w:color="auto" w:fill="FFFFFF"/>
            <w:tcMar>
              <w:top w:w="120" w:type="dxa"/>
              <w:left w:w="57" w:type="dxa"/>
              <w:bottom w:w="120" w:type="dxa"/>
              <w:right w:w="57" w:type="dxa"/>
            </w:tcMar>
            <w:vAlign w:val="center"/>
          </w:tcPr>
          <w:p w14:paraId="307FA3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770" w:type="dxa"/>
            <w:tcBorders>
              <w:top w:val="nil"/>
              <w:left w:val="nil"/>
              <w:bottom w:val="nil"/>
              <w:right w:val="nil"/>
            </w:tcBorders>
            <w:shd w:val="clear" w:color="auto" w:fill="FFFFFF"/>
            <w:tcMar>
              <w:top w:w="120" w:type="dxa"/>
              <w:left w:w="57" w:type="dxa"/>
              <w:bottom w:w="120" w:type="dxa"/>
              <w:right w:w="57" w:type="dxa"/>
            </w:tcMar>
            <w:vAlign w:val="center"/>
          </w:tcPr>
          <w:p w14:paraId="7EBE23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1417" w:type="dxa"/>
            <w:tcBorders>
              <w:top w:val="nil"/>
              <w:left w:val="nil"/>
              <w:bottom w:val="nil"/>
              <w:right w:val="nil"/>
            </w:tcBorders>
            <w:shd w:val="clear" w:color="auto" w:fill="FFFFFF"/>
            <w:tcMar>
              <w:top w:w="120" w:type="dxa"/>
              <w:left w:w="57" w:type="dxa"/>
              <w:bottom w:w="120" w:type="dxa"/>
              <w:right w:w="57" w:type="dxa"/>
            </w:tcMar>
            <w:vAlign w:val="center"/>
          </w:tcPr>
          <w:p w14:paraId="66245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临沧点</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0829F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5.78</w:t>
            </w:r>
          </w:p>
        </w:tc>
        <w:tc>
          <w:tcPr>
            <w:tcW w:w="930" w:type="dxa"/>
            <w:tcBorders>
              <w:top w:val="nil"/>
              <w:left w:val="nil"/>
              <w:bottom w:val="nil"/>
              <w:right w:val="nil"/>
            </w:tcBorders>
            <w:shd w:val="clear" w:color="auto" w:fill="FFFFFF"/>
            <w:tcMar>
              <w:top w:w="120" w:type="dxa"/>
              <w:left w:w="57" w:type="dxa"/>
              <w:bottom w:w="120" w:type="dxa"/>
              <w:right w:w="57" w:type="dxa"/>
            </w:tcMar>
            <w:vAlign w:val="center"/>
          </w:tcPr>
          <w:p w14:paraId="0606F4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7.43</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225EE7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79.88</w:t>
            </w:r>
          </w:p>
        </w:tc>
        <w:tc>
          <w:tcPr>
            <w:tcW w:w="870" w:type="dxa"/>
            <w:tcBorders>
              <w:top w:val="nil"/>
              <w:left w:val="nil"/>
              <w:bottom w:val="nil"/>
              <w:right w:val="nil"/>
            </w:tcBorders>
            <w:shd w:val="clear" w:color="auto" w:fill="FFFFFF"/>
            <w:tcMar>
              <w:top w:w="120" w:type="dxa"/>
              <w:left w:w="57" w:type="dxa"/>
              <w:bottom w:w="120" w:type="dxa"/>
              <w:right w:w="57" w:type="dxa"/>
            </w:tcMar>
            <w:vAlign w:val="center"/>
          </w:tcPr>
          <w:p w14:paraId="6F2F27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10.85</w:t>
            </w:r>
          </w:p>
        </w:tc>
        <w:tc>
          <w:tcPr>
            <w:tcW w:w="880" w:type="dxa"/>
            <w:tcBorders>
              <w:top w:val="nil"/>
              <w:left w:val="nil"/>
              <w:bottom w:val="nil"/>
              <w:right w:val="nil"/>
            </w:tcBorders>
            <w:shd w:val="clear" w:color="auto" w:fill="FFFFFF"/>
            <w:tcMar>
              <w:top w:w="120" w:type="dxa"/>
              <w:left w:w="57" w:type="dxa"/>
              <w:bottom w:w="120" w:type="dxa"/>
              <w:right w:w="57" w:type="dxa"/>
            </w:tcMar>
            <w:vAlign w:val="center"/>
          </w:tcPr>
          <w:p w14:paraId="2DFEBD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80.45</w:t>
            </w:r>
          </w:p>
        </w:tc>
        <w:tc>
          <w:tcPr>
            <w:tcW w:w="728" w:type="dxa"/>
            <w:tcBorders>
              <w:top w:val="nil"/>
              <w:left w:val="nil"/>
              <w:bottom w:val="nil"/>
              <w:right w:val="nil"/>
            </w:tcBorders>
            <w:shd w:val="clear" w:color="auto" w:fill="FFFFFF"/>
            <w:tcMar>
              <w:top w:w="120" w:type="dxa"/>
              <w:left w:w="57" w:type="dxa"/>
              <w:bottom w:w="120" w:type="dxa"/>
              <w:right w:w="57" w:type="dxa"/>
            </w:tcMar>
            <w:vAlign w:val="center"/>
          </w:tcPr>
          <w:p w14:paraId="363EB4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80.45</w:t>
            </w:r>
          </w:p>
        </w:tc>
        <w:tc>
          <w:tcPr>
            <w:tcW w:w="809" w:type="dxa"/>
            <w:tcBorders>
              <w:top w:val="nil"/>
              <w:left w:val="nil"/>
              <w:bottom w:val="nil"/>
              <w:right w:val="nil"/>
            </w:tcBorders>
            <w:shd w:val="clear" w:color="auto" w:fill="FFFFFF"/>
            <w:tcMar>
              <w:top w:w="120" w:type="dxa"/>
              <w:left w:w="57" w:type="dxa"/>
              <w:bottom w:w="120" w:type="dxa"/>
              <w:right w:w="57" w:type="dxa"/>
            </w:tcMar>
            <w:vAlign w:val="center"/>
          </w:tcPr>
          <w:p w14:paraId="7CDC4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78AF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restart"/>
            <w:tcBorders>
              <w:top w:val="nil"/>
              <w:left w:val="nil"/>
              <w:right w:val="nil"/>
            </w:tcBorders>
            <w:shd w:val="clear" w:color="auto" w:fill="FFFFFF"/>
            <w:tcMar>
              <w:top w:w="120" w:type="dxa"/>
              <w:left w:w="57" w:type="dxa"/>
              <w:bottom w:w="120" w:type="dxa"/>
              <w:right w:w="57" w:type="dxa"/>
            </w:tcMar>
            <w:vAlign w:val="center"/>
          </w:tcPr>
          <w:p w14:paraId="59CBBB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25%嘧菌酯悬浮剂</w:t>
            </w:r>
          </w:p>
        </w:tc>
        <w:tc>
          <w:tcPr>
            <w:tcW w:w="770" w:type="dxa"/>
            <w:tcBorders>
              <w:top w:val="nil"/>
              <w:left w:val="nil"/>
              <w:bottom w:val="nil"/>
              <w:right w:val="nil"/>
            </w:tcBorders>
            <w:shd w:val="clear" w:color="auto" w:fill="FFFFFF"/>
            <w:tcMar>
              <w:top w:w="120" w:type="dxa"/>
              <w:left w:w="57" w:type="dxa"/>
              <w:bottom w:w="120" w:type="dxa"/>
              <w:right w:w="57" w:type="dxa"/>
            </w:tcMar>
            <w:vAlign w:val="center"/>
          </w:tcPr>
          <w:p w14:paraId="5A6891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1500</w:t>
            </w:r>
          </w:p>
        </w:tc>
        <w:tc>
          <w:tcPr>
            <w:tcW w:w="1417" w:type="dxa"/>
            <w:tcBorders>
              <w:top w:val="nil"/>
              <w:left w:val="nil"/>
              <w:bottom w:val="nil"/>
              <w:right w:val="nil"/>
            </w:tcBorders>
            <w:shd w:val="clear" w:color="auto" w:fill="FFFFFF"/>
            <w:tcMar>
              <w:top w:w="120" w:type="dxa"/>
              <w:left w:w="57" w:type="dxa"/>
              <w:bottom w:w="120" w:type="dxa"/>
              <w:right w:w="57" w:type="dxa"/>
            </w:tcMar>
            <w:vAlign w:val="center"/>
          </w:tcPr>
          <w:p w14:paraId="366EF3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普洱点</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59DFDC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5.24</w:t>
            </w:r>
          </w:p>
        </w:tc>
        <w:tc>
          <w:tcPr>
            <w:tcW w:w="930" w:type="dxa"/>
            <w:tcBorders>
              <w:top w:val="nil"/>
              <w:left w:val="nil"/>
              <w:bottom w:val="nil"/>
              <w:right w:val="nil"/>
            </w:tcBorders>
            <w:shd w:val="clear" w:color="auto" w:fill="FFFFFF"/>
            <w:tcMar>
              <w:top w:w="120" w:type="dxa"/>
              <w:left w:w="57" w:type="dxa"/>
              <w:bottom w:w="120" w:type="dxa"/>
              <w:right w:w="57" w:type="dxa"/>
            </w:tcMar>
            <w:vAlign w:val="center"/>
          </w:tcPr>
          <w:p w14:paraId="1D184E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6.78</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2F574F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80.07</w:t>
            </w:r>
          </w:p>
        </w:tc>
        <w:tc>
          <w:tcPr>
            <w:tcW w:w="870" w:type="dxa"/>
            <w:tcBorders>
              <w:top w:val="nil"/>
              <w:left w:val="nil"/>
              <w:bottom w:val="nil"/>
              <w:right w:val="nil"/>
            </w:tcBorders>
            <w:shd w:val="clear" w:color="auto" w:fill="FFFFFF"/>
            <w:tcMar>
              <w:top w:w="120" w:type="dxa"/>
              <w:left w:w="57" w:type="dxa"/>
              <w:bottom w:w="120" w:type="dxa"/>
              <w:right w:w="57" w:type="dxa"/>
            </w:tcMar>
            <w:vAlign w:val="center"/>
          </w:tcPr>
          <w:p w14:paraId="5D0B15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10.04</w:t>
            </w:r>
          </w:p>
        </w:tc>
        <w:tc>
          <w:tcPr>
            <w:tcW w:w="880" w:type="dxa"/>
            <w:tcBorders>
              <w:top w:val="nil"/>
              <w:left w:val="nil"/>
              <w:bottom w:val="nil"/>
              <w:right w:val="nil"/>
            </w:tcBorders>
            <w:shd w:val="clear" w:color="auto" w:fill="FFFFFF"/>
            <w:tcMar>
              <w:top w:w="120" w:type="dxa"/>
              <w:left w:w="57" w:type="dxa"/>
              <w:bottom w:w="120" w:type="dxa"/>
              <w:right w:w="57" w:type="dxa"/>
            </w:tcMar>
            <w:vAlign w:val="center"/>
          </w:tcPr>
          <w:p w14:paraId="20FABA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80.89</w:t>
            </w:r>
          </w:p>
        </w:tc>
        <w:tc>
          <w:tcPr>
            <w:tcW w:w="728" w:type="dxa"/>
            <w:tcBorders>
              <w:top w:val="nil"/>
              <w:left w:val="nil"/>
              <w:bottom w:val="nil"/>
              <w:right w:val="nil"/>
            </w:tcBorders>
            <w:shd w:val="clear" w:color="auto" w:fill="FFFFFF"/>
            <w:tcMar>
              <w:top w:w="120" w:type="dxa"/>
              <w:left w:w="57" w:type="dxa"/>
              <w:bottom w:w="120" w:type="dxa"/>
              <w:right w:w="57" w:type="dxa"/>
            </w:tcMar>
            <w:vAlign w:val="center"/>
          </w:tcPr>
          <w:p w14:paraId="21BCEA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80.89</w:t>
            </w:r>
          </w:p>
        </w:tc>
        <w:tc>
          <w:tcPr>
            <w:tcW w:w="809" w:type="dxa"/>
            <w:tcBorders>
              <w:top w:val="nil"/>
              <w:left w:val="nil"/>
              <w:bottom w:val="nil"/>
              <w:right w:val="nil"/>
            </w:tcBorders>
            <w:shd w:val="clear" w:color="auto" w:fill="FFFFFF"/>
            <w:tcMar>
              <w:top w:w="120" w:type="dxa"/>
              <w:left w:w="57" w:type="dxa"/>
              <w:bottom w:w="120" w:type="dxa"/>
              <w:right w:w="57" w:type="dxa"/>
            </w:tcMar>
            <w:vAlign w:val="center"/>
          </w:tcPr>
          <w:p w14:paraId="0A72E8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3A82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continue"/>
            <w:tcBorders>
              <w:left w:val="nil"/>
              <w:right w:val="nil"/>
            </w:tcBorders>
            <w:shd w:val="clear" w:color="auto" w:fill="FFFFFF"/>
            <w:tcMar>
              <w:top w:w="120" w:type="dxa"/>
              <w:left w:w="57" w:type="dxa"/>
              <w:bottom w:w="120" w:type="dxa"/>
              <w:right w:w="57" w:type="dxa"/>
            </w:tcMar>
            <w:vAlign w:val="center"/>
          </w:tcPr>
          <w:p w14:paraId="6DE694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770" w:type="dxa"/>
            <w:tcBorders>
              <w:top w:val="nil"/>
              <w:left w:val="nil"/>
              <w:bottom w:val="nil"/>
              <w:right w:val="nil"/>
            </w:tcBorders>
            <w:shd w:val="clear" w:color="auto" w:fill="FFFFFF"/>
            <w:tcMar>
              <w:top w:w="120" w:type="dxa"/>
              <w:left w:w="57" w:type="dxa"/>
              <w:bottom w:w="120" w:type="dxa"/>
              <w:right w:w="57" w:type="dxa"/>
            </w:tcMar>
            <w:vAlign w:val="center"/>
          </w:tcPr>
          <w:p w14:paraId="218621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1417" w:type="dxa"/>
            <w:tcBorders>
              <w:top w:val="nil"/>
              <w:left w:val="nil"/>
              <w:bottom w:val="nil"/>
              <w:right w:val="nil"/>
            </w:tcBorders>
            <w:shd w:val="clear" w:color="auto" w:fill="FFFFFF"/>
            <w:tcMar>
              <w:top w:w="120" w:type="dxa"/>
              <w:left w:w="57" w:type="dxa"/>
              <w:bottom w:w="120" w:type="dxa"/>
              <w:right w:w="57" w:type="dxa"/>
            </w:tcMar>
            <w:vAlign w:val="center"/>
          </w:tcPr>
          <w:p w14:paraId="754B2D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保山点</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30A6C5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6.08</w:t>
            </w:r>
          </w:p>
        </w:tc>
        <w:tc>
          <w:tcPr>
            <w:tcW w:w="930" w:type="dxa"/>
            <w:tcBorders>
              <w:top w:val="nil"/>
              <w:left w:val="nil"/>
              <w:bottom w:val="nil"/>
              <w:right w:val="nil"/>
            </w:tcBorders>
            <w:shd w:val="clear" w:color="auto" w:fill="FFFFFF"/>
            <w:tcMar>
              <w:top w:w="120" w:type="dxa"/>
              <w:left w:w="57" w:type="dxa"/>
              <w:bottom w:w="120" w:type="dxa"/>
              <w:right w:w="57" w:type="dxa"/>
            </w:tcMar>
            <w:vAlign w:val="center"/>
          </w:tcPr>
          <w:p w14:paraId="42F43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7.89</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5BA51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79.68</w:t>
            </w:r>
          </w:p>
        </w:tc>
        <w:tc>
          <w:tcPr>
            <w:tcW w:w="870" w:type="dxa"/>
            <w:tcBorders>
              <w:top w:val="nil"/>
              <w:left w:val="nil"/>
              <w:bottom w:val="nil"/>
              <w:right w:val="nil"/>
            </w:tcBorders>
            <w:shd w:val="clear" w:color="auto" w:fill="FFFFFF"/>
            <w:tcMar>
              <w:top w:w="120" w:type="dxa"/>
              <w:left w:w="57" w:type="dxa"/>
              <w:bottom w:w="120" w:type="dxa"/>
              <w:right w:w="57" w:type="dxa"/>
            </w:tcMar>
            <w:vAlign w:val="center"/>
          </w:tcPr>
          <w:p w14:paraId="18B39A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11.59</w:t>
            </w:r>
          </w:p>
        </w:tc>
        <w:tc>
          <w:tcPr>
            <w:tcW w:w="880" w:type="dxa"/>
            <w:tcBorders>
              <w:top w:val="nil"/>
              <w:left w:val="nil"/>
              <w:bottom w:val="nil"/>
              <w:right w:val="nil"/>
            </w:tcBorders>
            <w:shd w:val="clear" w:color="auto" w:fill="FFFFFF"/>
            <w:tcMar>
              <w:top w:w="120" w:type="dxa"/>
              <w:left w:w="57" w:type="dxa"/>
              <w:bottom w:w="120" w:type="dxa"/>
              <w:right w:w="57" w:type="dxa"/>
            </w:tcMar>
            <w:vAlign w:val="center"/>
          </w:tcPr>
          <w:p w14:paraId="40E1F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80.34</w:t>
            </w:r>
          </w:p>
        </w:tc>
        <w:tc>
          <w:tcPr>
            <w:tcW w:w="728" w:type="dxa"/>
            <w:tcBorders>
              <w:top w:val="nil"/>
              <w:left w:val="nil"/>
              <w:bottom w:val="nil"/>
              <w:right w:val="nil"/>
            </w:tcBorders>
            <w:shd w:val="clear" w:color="auto" w:fill="FFFFFF"/>
            <w:tcMar>
              <w:top w:w="120" w:type="dxa"/>
              <w:left w:w="57" w:type="dxa"/>
              <w:bottom w:w="120" w:type="dxa"/>
              <w:right w:w="57" w:type="dxa"/>
            </w:tcMar>
            <w:vAlign w:val="center"/>
          </w:tcPr>
          <w:p w14:paraId="0AFCE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80.34</w:t>
            </w:r>
          </w:p>
        </w:tc>
        <w:tc>
          <w:tcPr>
            <w:tcW w:w="809" w:type="dxa"/>
            <w:tcBorders>
              <w:top w:val="nil"/>
              <w:left w:val="nil"/>
              <w:bottom w:val="nil"/>
              <w:right w:val="nil"/>
            </w:tcBorders>
            <w:shd w:val="clear" w:color="auto" w:fill="FFFFFF"/>
            <w:tcMar>
              <w:top w:w="120" w:type="dxa"/>
              <w:left w:w="57" w:type="dxa"/>
              <w:bottom w:w="120" w:type="dxa"/>
              <w:right w:w="57" w:type="dxa"/>
            </w:tcMar>
            <w:vAlign w:val="center"/>
          </w:tcPr>
          <w:p w14:paraId="0CEA6B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7AF2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continue"/>
            <w:tcBorders>
              <w:left w:val="nil"/>
              <w:bottom w:val="nil"/>
              <w:right w:val="nil"/>
            </w:tcBorders>
            <w:shd w:val="clear" w:color="auto" w:fill="FFFFFF"/>
            <w:tcMar>
              <w:top w:w="120" w:type="dxa"/>
              <w:left w:w="57" w:type="dxa"/>
              <w:bottom w:w="120" w:type="dxa"/>
              <w:right w:w="57" w:type="dxa"/>
            </w:tcMar>
            <w:vAlign w:val="center"/>
          </w:tcPr>
          <w:p w14:paraId="3A4726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770" w:type="dxa"/>
            <w:tcBorders>
              <w:top w:val="nil"/>
              <w:left w:val="nil"/>
              <w:bottom w:val="nil"/>
              <w:right w:val="nil"/>
            </w:tcBorders>
            <w:shd w:val="clear" w:color="auto" w:fill="FFFFFF"/>
            <w:tcMar>
              <w:top w:w="120" w:type="dxa"/>
              <w:left w:w="57" w:type="dxa"/>
              <w:bottom w:w="120" w:type="dxa"/>
              <w:right w:w="57" w:type="dxa"/>
            </w:tcMar>
            <w:vAlign w:val="center"/>
          </w:tcPr>
          <w:p w14:paraId="516989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1417" w:type="dxa"/>
            <w:tcBorders>
              <w:top w:val="nil"/>
              <w:left w:val="nil"/>
              <w:bottom w:val="nil"/>
              <w:right w:val="nil"/>
            </w:tcBorders>
            <w:shd w:val="clear" w:color="auto" w:fill="FFFFFF"/>
            <w:tcMar>
              <w:top w:w="120" w:type="dxa"/>
              <w:left w:w="57" w:type="dxa"/>
              <w:bottom w:w="120" w:type="dxa"/>
              <w:right w:w="57" w:type="dxa"/>
            </w:tcMar>
            <w:vAlign w:val="center"/>
          </w:tcPr>
          <w:p w14:paraId="46C4C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临沧点</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3BEDD7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5.82</w:t>
            </w:r>
          </w:p>
        </w:tc>
        <w:tc>
          <w:tcPr>
            <w:tcW w:w="930" w:type="dxa"/>
            <w:tcBorders>
              <w:top w:val="nil"/>
              <w:left w:val="nil"/>
              <w:bottom w:val="nil"/>
              <w:right w:val="nil"/>
            </w:tcBorders>
            <w:shd w:val="clear" w:color="auto" w:fill="FFFFFF"/>
            <w:tcMar>
              <w:top w:w="120" w:type="dxa"/>
              <w:left w:w="57" w:type="dxa"/>
              <w:bottom w:w="120" w:type="dxa"/>
              <w:right w:w="57" w:type="dxa"/>
            </w:tcMar>
            <w:vAlign w:val="center"/>
          </w:tcPr>
          <w:p w14:paraId="33392A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7.51</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72BC60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80.12</w:t>
            </w:r>
          </w:p>
        </w:tc>
        <w:tc>
          <w:tcPr>
            <w:tcW w:w="870" w:type="dxa"/>
            <w:tcBorders>
              <w:top w:val="nil"/>
              <w:left w:val="nil"/>
              <w:bottom w:val="nil"/>
              <w:right w:val="nil"/>
            </w:tcBorders>
            <w:shd w:val="clear" w:color="auto" w:fill="FFFFFF"/>
            <w:tcMar>
              <w:top w:w="120" w:type="dxa"/>
              <w:left w:w="57" w:type="dxa"/>
              <w:bottom w:w="120" w:type="dxa"/>
              <w:right w:w="57" w:type="dxa"/>
            </w:tcMar>
            <w:vAlign w:val="center"/>
          </w:tcPr>
          <w:p w14:paraId="514B21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10.91</w:t>
            </w:r>
          </w:p>
        </w:tc>
        <w:tc>
          <w:tcPr>
            <w:tcW w:w="880" w:type="dxa"/>
            <w:tcBorders>
              <w:top w:val="nil"/>
              <w:left w:val="nil"/>
              <w:bottom w:val="nil"/>
              <w:right w:val="nil"/>
            </w:tcBorders>
            <w:shd w:val="clear" w:color="auto" w:fill="FFFFFF"/>
            <w:tcMar>
              <w:top w:w="120" w:type="dxa"/>
              <w:left w:w="57" w:type="dxa"/>
              <w:bottom w:w="120" w:type="dxa"/>
              <w:right w:w="57" w:type="dxa"/>
            </w:tcMar>
            <w:vAlign w:val="center"/>
          </w:tcPr>
          <w:p w14:paraId="051C78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80.78</w:t>
            </w:r>
          </w:p>
        </w:tc>
        <w:tc>
          <w:tcPr>
            <w:tcW w:w="728" w:type="dxa"/>
            <w:tcBorders>
              <w:top w:val="nil"/>
              <w:left w:val="nil"/>
              <w:bottom w:val="nil"/>
              <w:right w:val="nil"/>
            </w:tcBorders>
            <w:shd w:val="clear" w:color="auto" w:fill="FFFFFF"/>
            <w:tcMar>
              <w:top w:w="120" w:type="dxa"/>
              <w:left w:w="57" w:type="dxa"/>
              <w:bottom w:w="120" w:type="dxa"/>
              <w:right w:w="57" w:type="dxa"/>
            </w:tcMar>
            <w:vAlign w:val="center"/>
          </w:tcPr>
          <w:p w14:paraId="377513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80.78</w:t>
            </w:r>
          </w:p>
        </w:tc>
        <w:tc>
          <w:tcPr>
            <w:tcW w:w="809" w:type="dxa"/>
            <w:tcBorders>
              <w:top w:val="nil"/>
              <w:left w:val="nil"/>
              <w:bottom w:val="nil"/>
              <w:right w:val="nil"/>
            </w:tcBorders>
            <w:shd w:val="clear" w:color="auto" w:fill="FFFFFF"/>
            <w:tcMar>
              <w:top w:w="120" w:type="dxa"/>
              <w:left w:w="57" w:type="dxa"/>
              <w:bottom w:w="120" w:type="dxa"/>
              <w:right w:w="57" w:type="dxa"/>
            </w:tcMar>
            <w:vAlign w:val="center"/>
          </w:tcPr>
          <w:p w14:paraId="58EA5F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5815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restart"/>
            <w:tcBorders>
              <w:top w:val="nil"/>
              <w:left w:val="nil"/>
              <w:right w:val="nil"/>
            </w:tcBorders>
            <w:shd w:val="clear" w:color="auto" w:fill="FFFFFF"/>
            <w:tcMar>
              <w:top w:w="120" w:type="dxa"/>
              <w:left w:w="57" w:type="dxa"/>
              <w:bottom w:w="120" w:type="dxa"/>
              <w:right w:w="57" w:type="dxa"/>
            </w:tcMar>
            <w:vAlign w:val="center"/>
          </w:tcPr>
          <w:p w14:paraId="26E94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对照（清水）</w:t>
            </w:r>
          </w:p>
        </w:tc>
        <w:tc>
          <w:tcPr>
            <w:tcW w:w="770" w:type="dxa"/>
            <w:tcBorders>
              <w:top w:val="nil"/>
              <w:left w:val="nil"/>
              <w:bottom w:val="nil"/>
              <w:right w:val="nil"/>
            </w:tcBorders>
            <w:shd w:val="clear" w:color="auto" w:fill="FFFFFF"/>
            <w:tcMar>
              <w:top w:w="120" w:type="dxa"/>
              <w:left w:w="57" w:type="dxa"/>
              <w:bottom w:w="120" w:type="dxa"/>
              <w:right w:w="57" w:type="dxa"/>
            </w:tcMar>
            <w:vAlign w:val="center"/>
          </w:tcPr>
          <w:p w14:paraId="510B1D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1417" w:type="dxa"/>
            <w:tcBorders>
              <w:top w:val="nil"/>
              <w:left w:val="nil"/>
              <w:bottom w:val="nil"/>
              <w:right w:val="nil"/>
            </w:tcBorders>
            <w:shd w:val="clear" w:color="auto" w:fill="FFFFFF"/>
            <w:tcMar>
              <w:top w:w="120" w:type="dxa"/>
              <w:left w:w="57" w:type="dxa"/>
              <w:bottom w:w="120" w:type="dxa"/>
              <w:right w:w="57" w:type="dxa"/>
            </w:tcMar>
            <w:vAlign w:val="center"/>
          </w:tcPr>
          <w:p w14:paraId="4852A2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普洱点</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2F67BC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5.57</w:t>
            </w:r>
          </w:p>
        </w:tc>
        <w:tc>
          <w:tcPr>
            <w:tcW w:w="930" w:type="dxa"/>
            <w:tcBorders>
              <w:top w:val="nil"/>
              <w:left w:val="nil"/>
              <w:bottom w:val="nil"/>
              <w:right w:val="nil"/>
            </w:tcBorders>
            <w:shd w:val="clear" w:color="auto" w:fill="FFFFFF"/>
            <w:tcMar>
              <w:top w:w="120" w:type="dxa"/>
              <w:left w:w="57" w:type="dxa"/>
              <w:bottom w:w="120" w:type="dxa"/>
              <w:right w:w="57" w:type="dxa"/>
            </w:tcMar>
            <w:vAlign w:val="center"/>
          </w:tcPr>
          <w:p w14:paraId="59F836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34.01</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1C9BD8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870" w:type="dxa"/>
            <w:tcBorders>
              <w:top w:val="nil"/>
              <w:left w:val="nil"/>
              <w:bottom w:val="nil"/>
              <w:right w:val="nil"/>
            </w:tcBorders>
            <w:shd w:val="clear" w:color="auto" w:fill="FFFFFF"/>
            <w:tcMar>
              <w:top w:w="120" w:type="dxa"/>
              <w:left w:w="57" w:type="dxa"/>
              <w:bottom w:w="120" w:type="dxa"/>
              <w:right w:w="57" w:type="dxa"/>
            </w:tcMar>
            <w:vAlign w:val="center"/>
          </w:tcPr>
          <w:p w14:paraId="399C82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52.56</w:t>
            </w:r>
          </w:p>
        </w:tc>
        <w:tc>
          <w:tcPr>
            <w:tcW w:w="880" w:type="dxa"/>
            <w:tcBorders>
              <w:top w:val="nil"/>
              <w:left w:val="nil"/>
              <w:bottom w:val="nil"/>
              <w:right w:val="nil"/>
            </w:tcBorders>
            <w:shd w:val="clear" w:color="auto" w:fill="FFFFFF"/>
            <w:tcMar>
              <w:top w:w="120" w:type="dxa"/>
              <w:left w:w="57" w:type="dxa"/>
              <w:bottom w:w="120" w:type="dxa"/>
              <w:right w:w="57" w:type="dxa"/>
            </w:tcMar>
            <w:vAlign w:val="center"/>
          </w:tcPr>
          <w:p w14:paraId="599360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728" w:type="dxa"/>
            <w:tcBorders>
              <w:top w:val="nil"/>
              <w:left w:val="nil"/>
              <w:bottom w:val="nil"/>
              <w:right w:val="nil"/>
            </w:tcBorders>
            <w:shd w:val="clear" w:color="auto" w:fill="FFFFFF"/>
            <w:tcMar>
              <w:top w:w="120" w:type="dxa"/>
              <w:left w:w="57" w:type="dxa"/>
              <w:bottom w:w="120" w:type="dxa"/>
              <w:right w:w="57" w:type="dxa"/>
            </w:tcMar>
            <w:vAlign w:val="center"/>
          </w:tcPr>
          <w:p w14:paraId="415147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809" w:type="dxa"/>
            <w:tcBorders>
              <w:top w:val="nil"/>
              <w:left w:val="nil"/>
              <w:bottom w:val="nil"/>
              <w:right w:val="nil"/>
            </w:tcBorders>
            <w:shd w:val="clear" w:color="auto" w:fill="FFFFFF"/>
            <w:tcMar>
              <w:top w:w="120" w:type="dxa"/>
              <w:left w:w="57" w:type="dxa"/>
              <w:bottom w:w="120" w:type="dxa"/>
              <w:right w:w="57" w:type="dxa"/>
            </w:tcMar>
            <w:vAlign w:val="center"/>
          </w:tcPr>
          <w:p w14:paraId="027C6D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w:t>
            </w:r>
          </w:p>
        </w:tc>
      </w:tr>
      <w:tr w14:paraId="6DAF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continue"/>
            <w:tcBorders>
              <w:left w:val="nil"/>
              <w:right w:val="nil"/>
            </w:tcBorders>
            <w:shd w:val="clear" w:color="auto" w:fill="FFFFFF"/>
            <w:tcMar>
              <w:top w:w="120" w:type="dxa"/>
              <w:left w:w="57" w:type="dxa"/>
              <w:bottom w:w="120" w:type="dxa"/>
              <w:right w:w="57" w:type="dxa"/>
            </w:tcMar>
            <w:vAlign w:val="center"/>
          </w:tcPr>
          <w:p w14:paraId="3DB6B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770" w:type="dxa"/>
            <w:tcBorders>
              <w:top w:val="nil"/>
              <w:left w:val="nil"/>
              <w:bottom w:val="nil"/>
              <w:right w:val="nil"/>
            </w:tcBorders>
            <w:shd w:val="clear" w:color="auto" w:fill="FFFFFF"/>
            <w:tcMar>
              <w:top w:w="120" w:type="dxa"/>
              <w:left w:w="57" w:type="dxa"/>
              <w:bottom w:w="120" w:type="dxa"/>
              <w:right w:w="57" w:type="dxa"/>
            </w:tcMar>
            <w:vAlign w:val="center"/>
          </w:tcPr>
          <w:p w14:paraId="6B6DB9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1417" w:type="dxa"/>
            <w:tcBorders>
              <w:top w:val="nil"/>
              <w:left w:val="nil"/>
              <w:bottom w:val="nil"/>
              <w:right w:val="nil"/>
            </w:tcBorders>
            <w:shd w:val="clear" w:color="auto" w:fill="FFFFFF"/>
            <w:tcMar>
              <w:top w:w="120" w:type="dxa"/>
              <w:left w:w="57" w:type="dxa"/>
              <w:bottom w:w="120" w:type="dxa"/>
              <w:right w:w="57" w:type="dxa"/>
            </w:tcMar>
            <w:vAlign w:val="center"/>
          </w:tcPr>
          <w:p w14:paraId="49C7A6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保山点</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038657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6.45</w:t>
            </w:r>
          </w:p>
        </w:tc>
        <w:tc>
          <w:tcPr>
            <w:tcW w:w="930" w:type="dxa"/>
            <w:tcBorders>
              <w:top w:val="nil"/>
              <w:left w:val="nil"/>
              <w:bottom w:val="nil"/>
              <w:right w:val="nil"/>
            </w:tcBorders>
            <w:shd w:val="clear" w:color="auto" w:fill="FFFFFF"/>
            <w:tcMar>
              <w:top w:w="120" w:type="dxa"/>
              <w:left w:w="57" w:type="dxa"/>
              <w:bottom w:w="120" w:type="dxa"/>
              <w:right w:w="57" w:type="dxa"/>
            </w:tcMar>
            <w:vAlign w:val="center"/>
          </w:tcPr>
          <w:p w14:paraId="072253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37.89</w:t>
            </w:r>
          </w:p>
        </w:tc>
        <w:tc>
          <w:tcPr>
            <w:tcW w:w="810" w:type="dxa"/>
            <w:tcBorders>
              <w:top w:val="nil"/>
              <w:left w:val="nil"/>
              <w:bottom w:val="nil"/>
              <w:right w:val="nil"/>
            </w:tcBorders>
            <w:shd w:val="clear" w:color="auto" w:fill="FFFFFF"/>
            <w:tcMar>
              <w:top w:w="120" w:type="dxa"/>
              <w:left w:w="57" w:type="dxa"/>
              <w:bottom w:w="120" w:type="dxa"/>
              <w:right w:w="57" w:type="dxa"/>
            </w:tcMar>
            <w:vAlign w:val="center"/>
          </w:tcPr>
          <w:p w14:paraId="1F12A8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870" w:type="dxa"/>
            <w:tcBorders>
              <w:top w:val="nil"/>
              <w:left w:val="nil"/>
              <w:bottom w:val="nil"/>
              <w:right w:val="nil"/>
            </w:tcBorders>
            <w:shd w:val="clear" w:color="auto" w:fill="FFFFFF"/>
            <w:tcMar>
              <w:top w:w="120" w:type="dxa"/>
              <w:left w:w="57" w:type="dxa"/>
              <w:bottom w:w="120" w:type="dxa"/>
              <w:right w:w="57" w:type="dxa"/>
            </w:tcMar>
            <w:vAlign w:val="center"/>
          </w:tcPr>
          <w:p w14:paraId="4184C3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59.87</w:t>
            </w:r>
          </w:p>
        </w:tc>
        <w:tc>
          <w:tcPr>
            <w:tcW w:w="880" w:type="dxa"/>
            <w:tcBorders>
              <w:top w:val="nil"/>
              <w:left w:val="nil"/>
              <w:bottom w:val="nil"/>
              <w:right w:val="nil"/>
            </w:tcBorders>
            <w:shd w:val="clear" w:color="auto" w:fill="FFFFFF"/>
            <w:tcMar>
              <w:top w:w="120" w:type="dxa"/>
              <w:left w:w="57" w:type="dxa"/>
              <w:bottom w:w="120" w:type="dxa"/>
              <w:right w:w="57" w:type="dxa"/>
            </w:tcMar>
            <w:vAlign w:val="center"/>
          </w:tcPr>
          <w:p w14:paraId="3B2492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728" w:type="dxa"/>
            <w:tcBorders>
              <w:top w:val="nil"/>
              <w:left w:val="nil"/>
              <w:bottom w:val="nil"/>
              <w:right w:val="nil"/>
            </w:tcBorders>
            <w:shd w:val="clear" w:color="auto" w:fill="FFFFFF"/>
            <w:tcMar>
              <w:top w:w="120" w:type="dxa"/>
              <w:left w:w="57" w:type="dxa"/>
              <w:bottom w:w="120" w:type="dxa"/>
              <w:right w:w="57" w:type="dxa"/>
            </w:tcMar>
            <w:vAlign w:val="center"/>
          </w:tcPr>
          <w:p w14:paraId="0F39D0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809" w:type="dxa"/>
            <w:tcBorders>
              <w:top w:val="nil"/>
              <w:left w:val="nil"/>
              <w:bottom w:val="nil"/>
              <w:right w:val="nil"/>
            </w:tcBorders>
            <w:shd w:val="clear" w:color="auto" w:fill="FFFFFF"/>
            <w:tcMar>
              <w:top w:w="120" w:type="dxa"/>
              <w:left w:w="57" w:type="dxa"/>
              <w:bottom w:w="120" w:type="dxa"/>
              <w:right w:w="57" w:type="dxa"/>
            </w:tcMar>
            <w:vAlign w:val="center"/>
          </w:tcPr>
          <w:p w14:paraId="07AB6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w:t>
            </w:r>
          </w:p>
        </w:tc>
      </w:tr>
      <w:tr w14:paraId="7F517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25" w:type="dxa"/>
            <w:vMerge w:val="continue"/>
            <w:tcBorders>
              <w:left w:val="nil"/>
              <w:bottom w:val="single" w:color="000000" w:sz="12" w:space="0"/>
              <w:right w:val="nil"/>
            </w:tcBorders>
            <w:shd w:val="clear" w:color="auto" w:fill="FFFFFF"/>
            <w:tcMar>
              <w:top w:w="120" w:type="dxa"/>
              <w:left w:w="57" w:type="dxa"/>
              <w:bottom w:w="120" w:type="dxa"/>
              <w:right w:w="57" w:type="dxa"/>
            </w:tcMar>
            <w:vAlign w:val="center"/>
          </w:tcPr>
          <w:p w14:paraId="2260B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770" w:type="dxa"/>
            <w:tcBorders>
              <w:top w:val="nil"/>
              <w:left w:val="nil"/>
              <w:bottom w:val="single" w:color="000000" w:sz="12" w:space="0"/>
              <w:right w:val="nil"/>
            </w:tcBorders>
            <w:shd w:val="clear" w:color="auto" w:fill="FFFFFF"/>
            <w:tcMar>
              <w:top w:w="120" w:type="dxa"/>
              <w:left w:w="57" w:type="dxa"/>
              <w:bottom w:w="120" w:type="dxa"/>
              <w:right w:w="57" w:type="dxa"/>
            </w:tcMar>
            <w:vAlign w:val="center"/>
          </w:tcPr>
          <w:p w14:paraId="02D5F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p>
        </w:tc>
        <w:tc>
          <w:tcPr>
            <w:tcW w:w="1417" w:type="dxa"/>
            <w:tcBorders>
              <w:top w:val="nil"/>
              <w:left w:val="nil"/>
              <w:bottom w:val="single" w:color="000000" w:sz="12" w:space="0"/>
              <w:right w:val="nil"/>
            </w:tcBorders>
            <w:shd w:val="clear" w:color="auto" w:fill="FFFFFF"/>
            <w:tcMar>
              <w:top w:w="120" w:type="dxa"/>
              <w:left w:w="57" w:type="dxa"/>
              <w:bottom w:w="120" w:type="dxa"/>
              <w:right w:w="57" w:type="dxa"/>
            </w:tcMar>
            <w:vAlign w:val="center"/>
          </w:tcPr>
          <w:p w14:paraId="0D9AF5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临沧点</w:t>
            </w:r>
          </w:p>
        </w:tc>
        <w:tc>
          <w:tcPr>
            <w:tcW w:w="810" w:type="dxa"/>
            <w:tcBorders>
              <w:top w:val="nil"/>
              <w:left w:val="nil"/>
              <w:bottom w:val="single" w:color="000000" w:sz="12" w:space="0"/>
              <w:right w:val="nil"/>
            </w:tcBorders>
            <w:shd w:val="clear" w:color="auto" w:fill="FFFFFF"/>
            <w:tcMar>
              <w:top w:w="120" w:type="dxa"/>
              <w:left w:w="57" w:type="dxa"/>
              <w:bottom w:w="120" w:type="dxa"/>
              <w:right w:w="57" w:type="dxa"/>
            </w:tcMar>
            <w:vAlign w:val="center"/>
          </w:tcPr>
          <w:p w14:paraId="1CF40F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6.21</w:t>
            </w:r>
          </w:p>
        </w:tc>
        <w:tc>
          <w:tcPr>
            <w:tcW w:w="930" w:type="dxa"/>
            <w:tcBorders>
              <w:top w:val="nil"/>
              <w:left w:val="nil"/>
              <w:bottom w:val="single" w:color="000000" w:sz="12" w:space="0"/>
              <w:right w:val="nil"/>
            </w:tcBorders>
            <w:shd w:val="clear" w:color="auto" w:fill="FFFFFF"/>
            <w:tcMar>
              <w:top w:w="120" w:type="dxa"/>
              <w:left w:w="57" w:type="dxa"/>
              <w:bottom w:w="120" w:type="dxa"/>
              <w:right w:w="57" w:type="dxa"/>
            </w:tcMar>
            <w:vAlign w:val="center"/>
          </w:tcPr>
          <w:p w14:paraId="4877F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36.54</w:t>
            </w:r>
          </w:p>
        </w:tc>
        <w:tc>
          <w:tcPr>
            <w:tcW w:w="810" w:type="dxa"/>
            <w:tcBorders>
              <w:top w:val="nil"/>
              <w:left w:val="nil"/>
              <w:bottom w:val="single" w:color="000000" w:sz="12" w:space="0"/>
              <w:right w:val="nil"/>
            </w:tcBorders>
            <w:shd w:val="clear" w:color="auto" w:fill="FFFFFF"/>
            <w:tcMar>
              <w:top w:w="120" w:type="dxa"/>
              <w:left w:w="57" w:type="dxa"/>
              <w:bottom w:w="120" w:type="dxa"/>
              <w:right w:w="57" w:type="dxa"/>
            </w:tcMar>
            <w:vAlign w:val="center"/>
          </w:tcPr>
          <w:p w14:paraId="18F8DD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870" w:type="dxa"/>
            <w:tcBorders>
              <w:top w:val="nil"/>
              <w:left w:val="nil"/>
              <w:bottom w:val="single" w:color="000000" w:sz="12" w:space="0"/>
              <w:right w:val="nil"/>
            </w:tcBorders>
            <w:shd w:val="clear" w:color="auto" w:fill="FFFFFF"/>
            <w:tcMar>
              <w:top w:w="120" w:type="dxa"/>
              <w:left w:w="57" w:type="dxa"/>
              <w:bottom w:w="120" w:type="dxa"/>
              <w:right w:w="57" w:type="dxa"/>
            </w:tcMar>
            <w:vAlign w:val="center"/>
          </w:tcPr>
          <w:p w14:paraId="6E4B6F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56.92</w:t>
            </w:r>
          </w:p>
        </w:tc>
        <w:tc>
          <w:tcPr>
            <w:tcW w:w="880" w:type="dxa"/>
            <w:tcBorders>
              <w:top w:val="nil"/>
              <w:left w:val="nil"/>
              <w:bottom w:val="single" w:color="000000" w:sz="12" w:space="0"/>
              <w:right w:val="nil"/>
            </w:tcBorders>
            <w:shd w:val="clear" w:color="auto" w:fill="FFFFFF"/>
            <w:tcMar>
              <w:top w:w="120" w:type="dxa"/>
              <w:left w:w="57" w:type="dxa"/>
              <w:bottom w:w="120" w:type="dxa"/>
              <w:right w:w="57" w:type="dxa"/>
            </w:tcMar>
            <w:vAlign w:val="center"/>
          </w:tcPr>
          <w:p w14:paraId="7AC197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728" w:type="dxa"/>
            <w:tcBorders>
              <w:top w:val="nil"/>
              <w:left w:val="nil"/>
              <w:bottom w:val="single" w:color="000000" w:sz="12" w:space="0"/>
              <w:right w:val="nil"/>
            </w:tcBorders>
            <w:shd w:val="clear" w:color="auto" w:fill="FFFFFF"/>
            <w:tcMar>
              <w:top w:w="120" w:type="dxa"/>
              <w:left w:w="57" w:type="dxa"/>
              <w:bottom w:w="120" w:type="dxa"/>
              <w:right w:w="57" w:type="dxa"/>
            </w:tcMar>
            <w:vAlign w:val="center"/>
          </w:tcPr>
          <w:p w14:paraId="23960D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w:t>
            </w:r>
          </w:p>
        </w:tc>
        <w:tc>
          <w:tcPr>
            <w:tcW w:w="809" w:type="dxa"/>
            <w:tcBorders>
              <w:top w:val="nil"/>
              <w:left w:val="nil"/>
              <w:bottom w:val="single" w:color="000000" w:sz="12" w:space="0"/>
              <w:right w:val="nil"/>
            </w:tcBorders>
            <w:shd w:val="clear" w:color="auto" w:fill="FFFFFF"/>
            <w:tcMar>
              <w:top w:w="120" w:type="dxa"/>
              <w:left w:w="57" w:type="dxa"/>
              <w:bottom w:w="120" w:type="dxa"/>
              <w:right w:w="57" w:type="dxa"/>
            </w:tcMar>
            <w:vAlign w:val="center"/>
          </w:tcPr>
          <w:p w14:paraId="0A72CC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w:t>
            </w:r>
          </w:p>
        </w:tc>
      </w:tr>
    </w:tbl>
    <w:p w14:paraId="6EFEB0FC">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3.1.2咖啡炭疽病</w:t>
      </w:r>
    </w:p>
    <w:p w14:paraId="2F0E47D2">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病原</w:t>
      </w:r>
      <w:r>
        <w:rPr>
          <w:rFonts w:hint="eastAsia" w:eastAsia="仿宋_GB2312" w:cs="Arial"/>
          <w:sz w:val="24"/>
          <w:szCs w:val="32"/>
          <w:lang w:val="en-US" w:eastAsia="zh-CN"/>
        </w:rPr>
        <w:t xml:space="preserve"> 炭疽菌属真菌</w:t>
      </w:r>
      <w:r>
        <w:rPr>
          <w:rFonts w:hint="eastAsia" w:eastAsia="仿宋_GB2312" w:cs="Arial"/>
          <w:i/>
          <w:iCs/>
          <w:sz w:val="24"/>
          <w:szCs w:val="32"/>
          <w:lang w:val="en-US" w:eastAsia="zh-CN"/>
        </w:rPr>
        <w:t>Colletotrichum</w:t>
      </w:r>
      <w:r>
        <w:rPr>
          <w:rFonts w:hint="eastAsia" w:eastAsia="仿宋_GB2312" w:cs="Arial"/>
          <w:sz w:val="24"/>
          <w:szCs w:val="32"/>
          <w:lang w:val="en-US" w:eastAsia="zh-CN"/>
        </w:rPr>
        <w:t xml:space="preserve"> sp.</w:t>
      </w:r>
    </w:p>
    <w:p w14:paraId="52803118">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危害部位及症状</w:t>
      </w:r>
      <w:r>
        <w:rPr>
          <w:rFonts w:hint="eastAsia" w:eastAsia="仿宋_GB2312" w:cs="Arial"/>
          <w:sz w:val="24"/>
          <w:szCs w:val="32"/>
          <w:lang w:val="en-US" w:eastAsia="zh-CN"/>
        </w:rPr>
        <w:t xml:space="preserve"> 叶片感病，初期叶尖和叶缘产生褐色病斑，后期病斑中心呈灰褐色且具同心轮纹排列的黑色小点，病斑边缘暗褐色，其外缘有黄色晕圈；枝条感病，病斑黑褐色，形态不规则；浆果感病时，初期有下陷的黑色病斑，后期果皮干褐色紧贴在种豆上。</w:t>
      </w:r>
    </w:p>
    <w:p w14:paraId="358CBEB0">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发生特点</w:t>
      </w:r>
      <w:r>
        <w:rPr>
          <w:rFonts w:hint="eastAsia" w:eastAsia="仿宋_GB2312" w:cs="Arial"/>
          <w:sz w:val="24"/>
          <w:szCs w:val="32"/>
          <w:lang w:val="en-US" w:eastAsia="zh-CN"/>
        </w:rPr>
        <w:t xml:space="preserve"> 咖啡全生育期都有发生，在冷凉及高湿季节，特别是在长期干旱后的雨季，发生较严重。</w:t>
      </w:r>
    </w:p>
    <w:p w14:paraId="46A725B7">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在叶片始见病斑时进行药剂防治，约15 d～20d喷1次，连喷2次 ～ 3次（表11）。</w:t>
      </w:r>
    </w:p>
    <w:p w14:paraId="660FE3C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w:t>
      </w:r>
      <w:r>
        <w:rPr>
          <w:rFonts w:hint="eastAsia" w:eastAsia="黑体" w:cs="Times New Roman"/>
          <w:bCs/>
          <w:kern w:val="44"/>
          <w:sz w:val="21"/>
          <w:szCs w:val="24"/>
          <w:lang w:val="en-US" w:eastAsia="zh-CN"/>
        </w:rPr>
        <w:t>11</w:t>
      </w:r>
      <w:r>
        <w:rPr>
          <w:rFonts w:hint="eastAsia" w:ascii="Times New Roman" w:hAnsi="Times New Roman" w:eastAsia="黑体" w:cs="Times New Roman"/>
          <w:bCs/>
          <w:kern w:val="44"/>
          <w:sz w:val="21"/>
          <w:szCs w:val="24"/>
          <w:lang w:val="en-US" w:eastAsia="zh-CN"/>
        </w:rPr>
        <w:t xml:space="preserve"> 药剂田间防治咖啡炭疽病效果</w:t>
      </w:r>
    </w:p>
    <w:tbl>
      <w:tblPr>
        <w:tblStyle w:val="9"/>
        <w:tblW w:w="4997" w:type="pct"/>
        <w:jc w:val="center"/>
        <w:tblLayout w:type="autofit"/>
        <w:tblCellMar>
          <w:top w:w="0" w:type="dxa"/>
          <w:left w:w="108" w:type="dxa"/>
          <w:bottom w:w="0" w:type="dxa"/>
          <w:right w:w="108" w:type="dxa"/>
        </w:tblCellMar>
      </w:tblPr>
      <w:tblGrid>
        <w:gridCol w:w="2236"/>
        <w:gridCol w:w="844"/>
        <w:gridCol w:w="705"/>
        <w:gridCol w:w="776"/>
        <w:gridCol w:w="937"/>
        <w:gridCol w:w="812"/>
        <w:gridCol w:w="966"/>
        <w:gridCol w:w="1779"/>
      </w:tblGrid>
      <w:tr w14:paraId="7FDA341E">
        <w:tblPrEx>
          <w:tblCellMar>
            <w:top w:w="0" w:type="dxa"/>
            <w:left w:w="108" w:type="dxa"/>
            <w:bottom w:w="0" w:type="dxa"/>
            <w:right w:w="108" w:type="dxa"/>
          </w:tblCellMar>
        </w:tblPrEx>
        <w:trPr>
          <w:trHeight w:val="459" w:hRule="exact"/>
          <w:jc w:val="center"/>
        </w:trPr>
        <w:tc>
          <w:tcPr>
            <w:tcW w:w="1234" w:type="pct"/>
            <w:vMerge w:val="restart"/>
            <w:tcBorders>
              <w:top w:val="single" w:color="000000" w:sz="12" w:space="0"/>
              <w:left w:val="nil"/>
              <w:bottom w:val="single" w:color="000000" w:sz="4" w:space="0"/>
              <w:right w:val="nil"/>
            </w:tcBorders>
            <w:shd w:val="clear" w:color="auto" w:fill="FFFFFF"/>
            <w:noWrap/>
            <w:vAlign w:val="center"/>
          </w:tcPr>
          <w:p w14:paraId="3E2A9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处理</w:t>
            </w:r>
          </w:p>
        </w:tc>
        <w:tc>
          <w:tcPr>
            <w:tcW w:w="466" w:type="pct"/>
            <w:vMerge w:val="restart"/>
            <w:tcBorders>
              <w:top w:val="single" w:color="000000" w:sz="12" w:space="0"/>
              <w:left w:val="nil"/>
              <w:bottom w:val="single" w:color="000000" w:sz="4" w:space="0"/>
              <w:right w:val="nil"/>
            </w:tcBorders>
            <w:shd w:val="clear" w:color="auto" w:fill="FFFFFF"/>
            <w:vAlign w:val="center"/>
          </w:tcPr>
          <w:p w14:paraId="772006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稀释倍数</w:t>
            </w:r>
          </w:p>
        </w:tc>
        <w:tc>
          <w:tcPr>
            <w:tcW w:w="389" w:type="pct"/>
            <w:vMerge w:val="restart"/>
            <w:tcBorders>
              <w:top w:val="single" w:color="000000" w:sz="12" w:space="0"/>
              <w:left w:val="nil"/>
              <w:bottom w:val="single" w:color="000000" w:sz="4" w:space="0"/>
              <w:right w:val="nil"/>
            </w:tcBorders>
            <w:shd w:val="clear" w:color="auto" w:fill="FFFFFF"/>
            <w:vAlign w:val="center"/>
          </w:tcPr>
          <w:p w14:paraId="5534D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药前</w:t>
            </w:r>
          </w:p>
          <w:p w14:paraId="70ADB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病指</w:t>
            </w:r>
          </w:p>
        </w:tc>
        <w:tc>
          <w:tcPr>
            <w:tcW w:w="945" w:type="pct"/>
            <w:gridSpan w:val="2"/>
            <w:tcBorders>
              <w:top w:val="single" w:color="000000" w:sz="12" w:space="0"/>
              <w:left w:val="nil"/>
              <w:bottom w:val="single" w:color="000000" w:sz="4" w:space="0"/>
              <w:right w:val="nil"/>
            </w:tcBorders>
            <w:shd w:val="clear" w:color="auto" w:fill="FFFFFF"/>
            <w:noWrap/>
            <w:vAlign w:val="center"/>
          </w:tcPr>
          <w:p w14:paraId="63355E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一次药后7d调查</w:t>
            </w:r>
          </w:p>
        </w:tc>
        <w:tc>
          <w:tcPr>
            <w:tcW w:w="981" w:type="pct"/>
            <w:gridSpan w:val="2"/>
            <w:tcBorders>
              <w:top w:val="single" w:color="000000" w:sz="12" w:space="0"/>
              <w:left w:val="nil"/>
              <w:bottom w:val="single" w:color="000000" w:sz="4" w:space="0"/>
              <w:right w:val="nil"/>
            </w:tcBorders>
            <w:shd w:val="clear" w:color="auto" w:fill="FFFFFF"/>
            <w:noWrap/>
            <w:vAlign w:val="center"/>
          </w:tcPr>
          <w:p w14:paraId="344089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二次药后10d调查</w:t>
            </w:r>
          </w:p>
        </w:tc>
        <w:tc>
          <w:tcPr>
            <w:tcW w:w="982" w:type="pct"/>
            <w:vMerge w:val="restart"/>
            <w:tcBorders>
              <w:top w:val="single" w:color="000000" w:sz="12" w:space="0"/>
              <w:left w:val="nil"/>
              <w:right w:val="nil"/>
            </w:tcBorders>
            <w:shd w:val="clear" w:color="auto" w:fill="FFFFFF"/>
            <w:noWrap/>
            <w:vAlign w:val="center"/>
          </w:tcPr>
          <w:p w14:paraId="3FB35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安全性评价</w:t>
            </w:r>
          </w:p>
        </w:tc>
      </w:tr>
      <w:tr w14:paraId="22D923B2">
        <w:tblPrEx>
          <w:tblCellMar>
            <w:top w:w="0" w:type="dxa"/>
            <w:left w:w="108" w:type="dxa"/>
            <w:bottom w:w="0" w:type="dxa"/>
            <w:right w:w="108" w:type="dxa"/>
          </w:tblCellMar>
        </w:tblPrEx>
        <w:trPr>
          <w:trHeight w:val="459" w:hRule="exact"/>
          <w:jc w:val="center"/>
        </w:trPr>
        <w:tc>
          <w:tcPr>
            <w:tcW w:w="1234" w:type="pct"/>
            <w:vMerge w:val="continue"/>
            <w:tcBorders>
              <w:top w:val="single" w:color="000000" w:sz="4" w:space="0"/>
              <w:left w:val="nil"/>
              <w:bottom w:val="single" w:color="auto" w:sz="4" w:space="0"/>
              <w:right w:val="nil"/>
            </w:tcBorders>
            <w:shd w:val="clear" w:color="auto" w:fill="FFFFFF"/>
            <w:vAlign w:val="center"/>
          </w:tcPr>
          <w:p w14:paraId="16DF5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466" w:type="pct"/>
            <w:vMerge w:val="continue"/>
            <w:tcBorders>
              <w:top w:val="single" w:color="000000" w:sz="4" w:space="0"/>
              <w:left w:val="nil"/>
              <w:bottom w:val="single" w:color="auto" w:sz="4" w:space="0"/>
              <w:right w:val="nil"/>
            </w:tcBorders>
            <w:shd w:val="clear" w:color="auto" w:fill="FFFFFF"/>
            <w:vAlign w:val="center"/>
          </w:tcPr>
          <w:p w14:paraId="4DAB5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389" w:type="pct"/>
            <w:vMerge w:val="continue"/>
            <w:tcBorders>
              <w:top w:val="single" w:color="000000" w:sz="4" w:space="0"/>
              <w:left w:val="nil"/>
              <w:bottom w:val="single" w:color="auto" w:sz="4" w:space="0"/>
              <w:right w:val="nil"/>
            </w:tcBorders>
            <w:shd w:val="clear" w:color="auto" w:fill="FFFFFF"/>
            <w:vAlign w:val="center"/>
          </w:tcPr>
          <w:p w14:paraId="4DD26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428" w:type="pct"/>
            <w:tcBorders>
              <w:top w:val="single" w:color="000000" w:sz="4" w:space="0"/>
              <w:left w:val="nil"/>
              <w:bottom w:val="single" w:color="auto" w:sz="4" w:space="0"/>
              <w:right w:val="nil"/>
            </w:tcBorders>
            <w:shd w:val="clear" w:color="auto" w:fill="FFFFFF"/>
            <w:vAlign w:val="center"/>
          </w:tcPr>
          <w:p w14:paraId="0809A9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病指</w:t>
            </w:r>
          </w:p>
        </w:tc>
        <w:tc>
          <w:tcPr>
            <w:tcW w:w="517" w:type="pct"/>
            <w:tcBorders>
              <w:top w:val="single" w:color="000000" w:sz="4" w:space="0"/>
              <w:left w:val="nil"/>
              <w:bottom w:val="single" w:color="auto" w:sz="4" w:space="0"/>
              <w:right w:val="nil"/>
            </w:tcBorders>
            <w:shd w:val="clear" w:color="auto" w:fill="FFFFFF"/>
            <w:vAlign w:val="center"/>
          </w:tcPr>
          <w:p w14:paraId="42373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 %</w:t>
            </w:r>
          </w:p>
        </w:tc>
        <w:tc>
          <w:tcPr>
            <w:tcW w:w="448" w:type="pct"/>
            <w:tcBorders>
              <w:top w:val="single" w:color="000000" w:sz="4" w:space="0"/>
              <w:left w:val="nil"/>
              <w:bottom w:val="single" w:color="auto" w:sz="4" w:space="0"/>
              <w:right w:val="nil"/>
            </w:tcBorders>
            <w:shd w:val="clear" w:color="auto" w:fill="FFFFFF"/>
            <w:vAlign w:val="center"/>
          </w:tcPr>
          <w:p w14:paraId="7C62DD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病指</w:t>
            </w:r>
          </w:p>
        </w:tc>
        <w:tc>
          <w:tcPr>
            <w:tcW w:w="533" w:type="pct"/>
            <w:tcBorders>
              <w:top w:val="single" w:color="000000" w:sz="4" w:space="0"/>
              <w:left w:val="nil"/>
              <w:bottom w:val="single" w:color="auto" w:sz="4" w:space="0"/>
              <w:right w:val="nil"/>
            </w:tcBorders>
            <w:shd w:val="clear" w:color="auto" w:fill="FFFFFF"/>
            <w:vAlign w:val="center"/>
          </w:tcPr>
          <w:p w14:paraId="457F90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 %</w:t>
            </w:r>
          </w:p>
        </w:tc>
        <w:tc>
          <w:tcPr>
            <w:tcW w:w="982" w:type="pct"/>
            <w:vMerge w:val="continue"/>
            <w:tcBorders>
              <w:left w:val="nil"/>
              <w:bottom w:val="single" w:color="auto" w:sz="4" w:space="0"/>
              <w:right w:val="nil"/>
            </w:tcBorders>
            <w:shd w:val="clear" w:color="auto" w:fill="FFFFFF"/>
            <w:vAlign w:val="center"/>
          </w:tcPr>
          <w:p w14:paraId="149353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r>
      <w:tr w14:paraId="1B64F918">
        <w:tblPrEx>
          <w:tblCellMar>
            <w:top w:w="0" w:type="dxa"/>
            <w:left w:w="108" w:type="dxa"/>
            <w:bottom w:w="0" w:type="dxa"/>
            <w:right w:w="108" w:type="dxa"/>
          </w:tblCellMar>
        </w:tblPrEx>
        <w:trPr>
          <w:trHeight w:val="459" w:hRule="exact"/>
          <w:jc w:val="center"/>
        </w:trPr>
        <w:tc>
          <w:tcPr>
            <w:tcW w:w="1234" w:type="pct"/>
            <w:tcBorders>
              <w:top w:val="single" w:color="auto" w:sz="4" w:space="0"/>
              <w:left w:val="nil"/>
              <w:bottom w:val="nil"/>
              <w:right w:val="nil"/>
            </w:tcBorders>
            <w:shd w:val="clear" w:color="auto" w:fill="FFFFFF"/>
            <w:vAlign w:val="center"/>
          </w:tcPr>
          <w:p w14:paraId="1B0E8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50%氢氧化铜可湿性粉剂</w:t>
            </w:r>
          </w:p>
        </w:tc>
        <w:tc>
          <w:tcPr>
            <w:tcW w:w="466" w:type="pct"/>
            <w:tcBorders>
              <w:top w:val="single" w:color="auto" w:sz="4" w:space="0"/>
              <w:left w:val="nil"/>
              <w:bottom w:val="nil"/>
              <w:right w:val="nil"/>
            </w:tcBorders>
            <w:shd w:val="clear" w:color="auto" w:fill="FFFFFF"/>
            <w:noWrap/>
            <w:vAlign w:val="center"/>
          </w:tcPr>
          <w:p w14:paraId="38DF4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1000</w:t>
            </w:r>
          </w:p>
        </w:tc>
        <w:tc>
          <w:tcPr>
            <w:tcW w:w="389" w:type="pct"/>
            <w:tcBorders>
              <w:top w:val="single" w:color="auto" w:sz="4" w:space="0"/>
              <w:left w:val="nil"/>
              <w:bottom w:val="nil"/>
              <w:right w:val="nil"/>
            </w:tcBorders>
            <w:shd w:val="clear" w:color="auto" w:fill="FFFFFF"/>
            <w:noWrap/>
            <w:vAlign w:val="center"/>
          </w:tcPr>
          <w:p w14:paraId="33927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w:t>
            </w:r>
          </w:p>
        </w:tc>
        <w:tc>
          <w:tcPr>
            <w:tcW w:w="428" w:type="pct"/>
            <w:tcBorders>
              <w:top w:val="single" w:color="auto" w:sz="4" w:space="0"/>
              <w:left w:val="nil"/>
              <w:bottom w:val="nil"/>
              <w:right w:val="nil"/>
            </w:tcBorders>
            <w:shd w:val="clear" w:color="auto" w:fill="FFFFFF"/>
            <w:noWrap/>
            <w:vAlign w:val="center"/>
          </w:tcPr>
          <w:p w14:paraId="04718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w:t>
            </w:r>
          </w:p>
        </w:tc>
        <w:tc>
          <w:tcPr>
            <w:tcW w:w="517" w:type="pct"/>
            <w:tcBorders>
              <w:top w:val="single" w:color="auto" w:sz="4" w:space="0"/>
              <w:left w:val="nil"/>
              <w:bottom w:val="nil"/>
              <w:right w:val="nil"/>
            </w:tcBorders>
            <w:shd w:val="clear" w:color="auto" w:fill="FFFFFF"/>
            <w:noWrap/>
            <w:vAlign w:val="center"/>
          </w:tcPr>
          <w:p w14:paraId="22AE4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59.9</w:t>
            </w:r>
          </w:p>
        </w:tc>
        <w:tc>
          <w:tcPr>
            <w:tcW w:w="448" w:type="pct"/>
            <w:tcBorders>
              <w:top w:val="single" w:color="auto" w:sz="4" w:space="0"/>
              <w:left w:val="nil"/>
              <w:bottom w:val="nil"/>
              <w:right w:val="nil"/>
            </w:tcBorders>
            <w:shd w:val="clear" w:color="auto" w:fill="FFFFFF"/>
            <w:noWrap/>
            <w:vAlign w:val="center"/>
          </w:tcPr>
          <w:p w14:paraId="168D3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w:t>
            </w:r>
          </w:p>
        </w:tc>
        <w:tc>
          <w:tcPr>
            <w:tcW w:w="533" w:type="pct"/>
            <w:tcBorders>
              <w:top w:val="single" w:color="auto" w:sz="4" w:space="0"/>
              <w:left w:val="nil"/>
              <w:bottom w:val="nil"/>
              <w:right w:val="nil"/>
            </w:tcBorders>
            <w:shd w:val="clear" w:color="auto" w:fill="FFFFFF"/>
            <w:noWrap/>
            <w:vAlign w:val="center"/>
          </w:tcPr>
          <w:p w14:paraId="018D0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80.43</w:t>
            </w:r>
          </w:p>
        </w:tc>
        <w:tc>
          <w:tcPr>
            <w:tcW w:w="982" w:type="pct"/>
            <w:tcBorders>
              <w:top w:val="single" w:color="auto" w:sz="4" w:space="0"/>
              <w:left w:val="nil"/>
              <w:bottom w:val="nil"/>
              <w:right w:val="nil"/>
            </w:tcBorders>
            <w:shd w:val="clear" w:color="auto" w:fill="FFFFFF"/>
            <w:noWrap/>
            <w:vAlign w:val="center"/>
          </w:tcPr>
          <w:p w14:paraId="3E8B11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39737054">
        <w:tblPrEx>
          <w:tblCellMar>
            <w:top w:w="0" w:type="dxa"/>
            <w:left w:w="108" w:type="dxa"/>
            <w:bottom w:w="0" w:type="dxa"/>
            <w:right w:w="108" w:type="dxa"/>
          </w:tblCellMar>
        </w:tblPrEx>
        <w:trPr>
          <w:trHeight w:val="459" w:hRule="exact"/>
          <w:jc w:val="center"/>
        </w:trPr>
        <w:tc>
          <w:tcPr>
            <w:tcW w:w="1234" w:type="pct"/>
            <w:tcBorders>
              <w:top w:val="nil"/>
              <w:left w:val="nil"/>
              <w:bottom w:val="nil"/>
              <w:right w:val="nil"/>
            </w:tcBorders>
            <w:shd w:val="clear" w:color="auto" w:fill="FFFFFF"/>
            <w:vAlign w:val="center"/>
          </w:tcPr>
          <w:p w14:paraId="112886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25%戊唑醇乳油</w:t>
            </w:r>
          </w:p>
        </w:tc>
        <w:tc>
          <w:tcPr>
            <w:tcW w:w="466" w:type="pct"/>
            <w:tcBorders>
              <w:top w:val="nil"/>
              <w:left w:val="nil"/>
              <w:bottom w:val="nil"/>
              <w:right w:val="nil"/>
            </w:tcBorders>
            <w:shd w:val="clear" w:color="auto" w:fill="FFFFFF"/>
            <w:noWrap/>
            <w:vAlign w:val="center"/>
          </w:tcPr>
          <w:p w14:paraId="74DFC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1000</w:t>
            </w:r>
          </w:p>
        </w:tc>
        <w:tc>
          <w:tcPr>
            <w:tcW w:w="389" w:type="pct"/>
            <w:tcBorders>
              <w:top w:val="nil"/>
              <w:left w:val="nil"/>
              <w:bottom w:val="nil"/>
              <w:right w:val="nil"/>
            </w:tcBorders>
            <w:shd w:val="clear" w:color="auto" w:fill="FFFFFF"/>
            <w:noWrap/>
            <w:vAlign w:val="center"/>
          </w:tcPr>
          <w:p w14:paraId="2AD72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6.33</w:t>
            </w:r>
          </w:p>
        </w:tc>
        <w:tc>
          <w:tcPr>
            <w:tcW w:w="428" w:type="pct"/>
            <w:tcBorders>
              <w:top w:val="nil"/>
              <w:left w:val="nil"/>
              <w:bottom w:val="nil"/>
              <w:right w:val="nil"/>
            </w:tcBorders>
            <w:shd w:val="clear" w:color="auto" w:fill="FFFFFF"/>
            <w:noWrap/>
            <w:vAlign w:val="center"/>
          </w:tcPr>
          <w:p w14:paraId="756795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8.33</w:t>
            </w:r>
          </w:p>
        </w:tc>
        <w:tc>
          <w:tcPr>
            <w:tcW w:w="517" w:type="pct"/>
            <w:tcBorders>
              <w:top w:val="nil"/>
              <w:left w:val="nil"/>
              <w:bottom w:val="nil"/>
              <w:right w:val="nil"/>
            </w:tcBorders>
            <w:shd w:val="clear" w:color="auto" w:fill="FFFFFF"/>
            <w:noWrap/>
            <w:vAlign w:val="center"/>
          </w:tcPr>
          <w:p w14:paraId="1304F3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61.91</w:t>
            </w:r>
          </w:p>
        </w:tc>
        <w:tc>
          <w:tcPr>
            <w:tcW w:w="448" w:type="pct"/>
            <w:tcBorders>
              <w:top w:val="nil"/>
              <w:left w:val="nil"/>
              <w:bottom w:val="nil"/>
              <w:right w:val="nil"/>
            </w:tcBorders>
            <w:shd w:val="clear" w:color="auto" w:fill="FFFFFF"/>
            <w:noWrap/>
            <w:vAlign w:val="center"/>
          </w:tcPr>
          <w:p w14:paraId="6E09B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w:t>
            </w:r>
          </w:p>
        </w:tc>
        <w:tc>
          <w:tcPr>
            <w:tcW w:w="533" w:type="pct"/>
            <w:tcBorders>
              <w:top w:val="nil"/>
              <w:left w:val="nil"/>
              <w:bottom w:val="nil"/>
              <w:right w:val="nil"/>
            </w:tcBorders>
            <w:shd w:val="clear" w:color="auto" w:fill="FFFFFF"/>
            <w:noWrap/>
            <w:vAlign w:val="center"/>
          </w:tcPr>
          <w:p w14:paraId="7ECC07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82.61</w:t>
            </w:r>
          </w:p>
        </w:tc>
        <w:tc>
          <w:tcPr>
            <w:tcW w:w="982" w:type="pct"/>
            <w:tcBorders>
              <w:top w:val="nil"/>
              <w:left w:val="nil"/>
              <w:bottom w:val="nil"/>
              <w:right w:val="nil"/>
            </w:tcBorders>
            <w:shd w:val="clear" w:color="auto" w:fill="FFFFFF"/>
            <w:noWrap/>
            <w:vAlign w:val="center"/>
          </w:tcPr>
          <w:p w14:paraId="39A1B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70627C4E">
        <w:tblPrEx>
          <w:tblCellMar>
            <w:top w:w="0" w:type="dxa"/>
            <w:left w:w="108" w:type="dxa"/>
            <w:bottom w:w="0" w:type="dxa"/>
            <w:right w:w="108" w:type="dxa"/>
          </w:tblCellMar>
        </w:tblPrEx>
        <w:trPr>
          <w:trHeight w:val="459" w:hRule="exact"/>
          <w:jc w:val="center"/>
        </w:trPr>
        <w:tc>
          <w:tcPr>
            <w:tcW w:w="1234" w:type="pct"/>
            <w:tcBorders>
              <w:top w:val="nil"/>
              <w:left w:val="nil"/>
              <w:bottom w:val="nil"/>
              <w:right w:val="nil"/>
            </w:tcBorders>
            <w:shd w:val="clear" w:color="auto" w:fill="FFFFFF"/>
            <w:vAlign w:val="center"/>
          </w:tcPr>
          <w:p w14:paraId="20B00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75%苯醚·咪鲜胺可湿性粉剂</w:t>
            </w:r>
          </w:p>
        </w:tc>
        <w:tc>
          <w:tcPr>
            <w:tcW w:w="466" w:type="pct"/>
            <w:tcBorders>
              <w:top w:val="nil"/>
              <w:left w:val="nil"/>
              <w:bottom w:val="nil"/>
              <w:right w:val="nil"/>
            </w:tcBorders>
            <w:shd w:val="clear" w:color="auto" w:fill="FFFFFF"/>
            <w:noWrap/>
            <w:vAlign w:val="center"/>
          </w:tcPr>
          <w:p w14:paraId="07D28F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1000</w:t>
            </w:r>
          </w:p>
        </w:tc>
        <w:tc>
          <w:tcPr>
            <w:tcW w:w="389" w:type="pct"/>
            <w:tcBorders>
              <w:top w:val="nil"/>
              <w:left w:val="nil"/>
              <w:bottom w:val="nil"/>
              <w:right w:val="nil"/>
            </w:tcBorders>
            <w:shd w:val="clear" w:color="auto" w:fill="FFFFFF"/>
            <w:noWrap/>
            <w:vAlign w:val="center"/>
          </w:tcPr>
          <w:p w14:paraId="0E0CD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w:t>
            </w:r>
          </w:p>
        </w:tc>
        <w:tc>
          <w:tcPr>
            <w:tcW w:w="428" w:type="pct"/>
            <w:tcBorders>
              <w:top w:val="nil"/>
              <w:left w:val="nil"/>
              <w:bottom w:val="nil"/>
              <w:right w:val="nil"/>
            </w:tcBorders>
            <w:shd w:val="clear" w:color="auto" w:fill="FFFFFF"/>
            <w:noWrap/>
            <w:vAlign w:val="center"/>
          </w:tcPr>
          <w:p w14:paraId="04ED9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6.67</w:t>
            </w:r>
          </w:p>
        </w:tc>
        <w:tc>
          <w:tcPr>
            <w:tcW w:w="517" w:type="pct"/>
            <w:tcBorders>
              <w:top w:val="nil"/>
              <w:left w:val="nil"/>
              <w:bottom w:val="nil"/>
              <w:right w:val="nil"/>
            </w:tcBorders>
            <w:shd w:val="clear" w:color="auto" w:fill="FFFFFF"/>
            <w:noWrap/>
            <w:vAlign w:val="center"/>
          </w:tcPr>
          <w:p w14:paraId="5C88A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74.08</w:t>
            </w:r>
          </w:p>
        </w:tc>
        <w:tc>
          <w:tcPr>
            <w:tcW w:w="448" w:type="pct"/>
            <w:tcBorders>
              <w:top w:val="nil"/>
              <w:left w:val="nil"/>
              <w:bottom w:val="nil"/>
              <w:right w:val="nil"/>
            </w:tcBorders>
            <w:shd w:val="clear" w:color="auto" w:fill="FFFFFF"/>
            <w:noWrap/>
            <w:vAlign w:val="center"/>
          </w:tcPr>
          <w:p w14:paraId="22361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6.67</w:t>
            </w:r>
          </w:p>
        </w:tc>
        <w:tc>
          <w:tcPr>
            <w:tcW w:w="533" w:type="pct"/>
            <w:tcBorders>
              <w:top w:val="nil"/>
              <w:left w:val="nil"/>
              <w:bottom w:val="nil"/>
              <w:right w:val="nil"/>
            </w:tcBorders>
            <w:shd w:val="clear" w:color="auto" w:fill="FFFFFF"/>
            <w:noWrap/>
            <w:vAlign w:val="center"/>
          </w:tcPr>
          <w:p w14:paraId="6399B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85.50</w:t>
            </w:r>
          </w:p>
        </w:tc>
        <w:tc>
          <w:tcPr>
            <w:tcW w:w="982" w:type="pct"/>
            <w:tcBorders>
              <w:top w:val="nil"/>
              <w:left w:val="nil"/>
              <w:bottom w:val="nil"/>
              <w:right w:val="nil"/>
            </w:tcBorders>
            <w:shd w:val="clear" w:color="auto" w:fill="FFFFFF"/>
            <w:noWrap/>
            <w:vAlign w:val="center"/>
          </w:tcPr>
          <w:p w14:paraId="019AA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2EFD2D8B">
        <w:tblPrEx>
          <w:tblCellMar>
            <w:top w:w="0" w:type="dxa"/>
            <w:left w:w="108" w:type="dxa"/>
            <w:bottom w:w="0" w:type="dxa"/>
            <w:right w:w="108" w:type="dxa"/>
          </w:tblCellMar>
        </w:tblPrEx>
        <w:trPr>
          <w:trHeight w:val="459" w:hRule="exact"/>
          <w:jc w:val="center"/>
        </w:trPr>
        <w:tc>
          <w:tcPr>
            <w:tcW w:w="1234" w:type="pct"/>
            <w:tcBorders>
              <w:top w:val="nil"/>
              <w:left w:val="nil"/>
              <w:bottom w:val="nil"/>
              <w:right w:val="nil"/>
            </w:tcBorders>
            <w:shd w:val="clear" w:color="auto" w:fill="FFFFFF"/>
            <w:vAlign w:val="center"/>
          </w:tcPr>
          <w:p w14:paraId="68E84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25%嘧菌酯悬浮剂</w:t>
            </w:r>
          </w:p>
        </w:tc>
        <w:tc>
          <w:tcPr>
            <w:tcW w:w="466" w:type="pct"/>
            <w:tcBorders>
              <w:top w:val="nil"/>
              <w:left w:val="nil"/>
              <w:bottom w:val="nil"/>
              <w:right w:val="nil"/>
            </w:tcBorders>
            <w:shd w:val="clear" w:color="auto" w:fill="FFFFFF"/>
            <w:noWrap/>
            <w:vAlign w:val="center"/>
          </w:tcPr>
          <w:p w14:paraId="1BBF6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1500</w:t>
            </w:r>
          </w:p>
        </w:tc>
        <w:tc>
          <w:tcPr>
            <w:tcW w:w="389" w:type="pct"/>
            <w:tcBorders>
              <w:top w:val="nil"/>
              <w:left w:val="nil"/>
              <w:bottom w:val="nil"/>
              <w:right w:val="nil"/>
            </w:tcBorders>
            <w:shd w:val="clear" w:color="auto" w:fill="FFFFFF"/>
            <w:noWrap/>
            <w:vAlign w:val="center"/>
          </w:tcPr>
          <w:p w14:paraId="43D78C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6.67</w:t>
            </w:r>
          </w:p>
        </w:tc>
        <w:tc>
          <w:tcPr>
            <w:tcW w:w="428" w:type="pct"/>
            <w:tcBorders>
              <w:top w:val="nil"/>
              <w:left w:val="nil"/>
              <w:bottom w:val="nil"/>
              <w:right w:val="nil"/>
            </w:tcBorders>
            <w:shd w:val="clear" w:color="auto" w:fill="FFFFFF"/>
            <w:noWrap/>
            <w:vAlign w:val="center"/>
          </w:tcPr>
          <w:p w14:paraId="74C384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9.67</w:t>
            </w:r>
          </w:p>
        </w:tc>
        <w:tc>
          <w:tcPr>
            <w:tcW w:w="517" w:type="pct"/>
            <w:tcBorders>
              <w:top w:val="nil"/>
              <w:left w:val="nil"/>
              <w:bottom w:val="nil"/>
              <w:right w:val="nil"/>
            </w:tcBorders>
            <w:shd w:val="clear" w:color="auto" w:fill="FFFFFF"/>
            <w:noWrap/>
            <w:vAlign w:val="center"/>
          </w:tcPr>
          <w:p w14:paraId="37C1CD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57.3</w:t>
            </w:r>
          </w:p>
        </w:tc>
        <w:tc>
          <w:tcPr>
            <w:tcW w:w="448" w:type="pct"/>
            <w:tcBorders>
              <w:top w:val="nil"/>
              <w:left w:val="nil"/>
              <w:bottom w:val="nil"/>
              <w:right w:val="nil"/>
            </w:tcBorders>
            <w:shd w:val="clear" w:color="auto" w:fill="FFFFFF"/>
            <w:noWrap/>
            <w:vAlign w:val="center"/>
          </w:tcPr>
          <w:p w14:paraId="1A489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8.33</w:t>
            </w:r>
          </w:p>
        </w:tc>
        <w:tc>
          <w:tcPr>
            <w:tcW w:w="533" w:type="pct"/>
            <w:tcBorders>
              <w:top w:val="nil"/>
              <w:left w:val="nil"/>
              <w:bottom w:val="nil"/>
              <w:right w:val="nil"/>
            </w:tcBorders>
            <w:shd w:val="clear" w:color="auto" w:fill="FFFFFF"/>
            <w:noWrap/>
            <w:vAlign w:val="center"/>
          </w:tcPr>
          <w:p w14:paraId="51B5D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81.89</w:t>
            </w:r>
          </w:p>
        </w:tc>
        <w:tc>
          <w:tcPr>
            <w:tcW w:w="982" w:type="pct"/>
            <w:tcBorders>
              <w:top w:val="nil"/>
              <w:left w:val="nil"/>
              <w:bottom w:val="nil"/>
              <w:right w:val="nil"/>
            </w:tcBorders>
            <w:shd w:val="clear" w:color="auto" w:fill="FFFFFF"/>
            <w:noWrap/>
            <w:vAlign w:val="center"/>
          </w:tcPr>
          <w:p w14:paraId="2CB150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4E4D91A4">
        <w:tblPrEx>
          <w:tblCellMar>
            <w:top w:w="0" w:type="dxa"/>
            <w:left w:w="108" w:type="dxa"/>
            <w:bottom w:w="0" w:type="dxa"/>
            <w:right w:w="108" w:type="dxa"/>
          </w:tblCellMar>
        </w:tblPrEx>
        <w:trPr>
          <w:trHeight w:val="489" w:hRule="exact"/>
          <w:jc w:val="center"/>
        </w:trPr>
        <w:tc>
          <w:tcPr>
            <w:tcW w:w="1234" w:type="pct"/>
            <w:tcBorders>
              <w:top w:val="nil"/>
              <w:left w:val="nil"/>
              <w:bottom w:val="single" w:color="000000" w:sz="12" w:space="0"/>
              <w:right w:val="nil"/>
            </w:tcBorders>
            <w:shd w:val="clear" w:color="auto" w:fill="FFFFFF"/>
            <w:vAlign w:val="center"/>
          </w:tcPr>
          <w:p w14:paraId="5FEE1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空白对照（清水）</w:t>
            </w:r>
          </w:p>
        </w:tc>
        <w:tc>
          <w:tcPr>
            <w:tcW w:w="466" w:type="pct"/>
            <w:tcBorders>
              <w:top w:val="nil"/>
              <w:left w:val="nil"/>
              <w:bottom w:val="single" w:color="000000" w:sz="12" w:space="0"/>
              <w:right w:val="nil"/>
            </w:tcBorders>
            <w:shd w:val="clear" w:color="auto" w:fill="FFFFFF"/>
            <w:noWrap/>
            <w:vAlign w:val="center"/>
          </w:tcPr>
          <w:p w14:paraId="1A394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389" w:type="pct"/>
            <w:tcBorders>
              <w:top w:val="nil"/>
              <w:left w:val="nil"/>
              <w:bottom w:val="single" w:color="000000" w:sz="12" w:space="0"/>
              <w:right w:val="nil"/>
            </w:tcBorders>
            <w:shd w:val="clear" w:color="auto" w:fill="FFFFFF"/>
            <w:noWrap/>
            <w:vAlign w:val="center"/>
          </w:tcPr>
          <w:p w14:paraId="201424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6.33</w:t>
            </w:r>
          </w:p>
        </w:tc>
        <w:tc>
          <w:tcPr>
            <w:tcW w:w="428" w:type="pct"/>
            <w:tcBorders>
              <w:top w:val="nil"/>
              <w:left w:val="nil"/>
              <w:bottom w:val="single" w:color="000000" w:sz="12" w:space="0"/>
              <w:right w:val="nil"/>
            </w:tcBorders>
            <w:shd w:val="clear" w:color="auto" w:fill="FFFFFF"/>
            <w:noWrap/>
            <w:vAlign w:val="center"/>
          </w:tcPr>
          <w:p w14:paraId="2E6268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18</w:t>
            </w:r>
          </w:p>
        </w:tc>
        <w:tc>
          <w:tcPr>
            <w:tcW w:w="517" w:type="pct"/>
            <w:tcBorders>
              <w:top w:val="nil"/>
              <w:left w:val="nil"/>
              <w:bottom w:val="single" w:color="000000" w:sz="12" w:space="0"/>
              <w:right w:val="nil"/>
            </w:tcBorders>
            <w:shd w:val="clear" w:color="auto" w:fill="FFFFFF"/>
            <w:noWrap/>
            <w:vAlign w:val="center"/>
          </w:tcPr>
          <w:p w14:paraId="3A7207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448" w:type="pct"/>
            <w:tcBorders>
              <w:top w:val="nil"/>
              <w:left w:val="nil"/>
              <w:bottom w:val="single" w:color="000000" w:sz="12" w:space="0"/>
              <w:right w:val="nil"/>
            </w:tcBorders>
            <w:shd w:val="clear" w:color="auto" w:fill="FFFFFF"/>
            <w:noWrap/>
            <w:vAlign w:val="center"/>
          </w:tcPr>
          <w:p w14:paraId="50797A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46</w:t>
            </w:r>
          </w:p>
        </w:tc>
        <w:tc>
          <w:tcPr>
            <w:tcW w:w="533" w:type="pct"/>
            <w:tcBorders>
              <w:top w:val="nil"/>
              <w:left w:val="nil"/>
              <w:bottom w:val="single" w:color="000000" w:sz="12" w:space="0"/>
              <w:right w:val="nil"/>
            </w:tcBorders>
            <w:shd w:val="clear" w:color="auto" w:fill="FFFFFF"/>
            <w:noWrap/>
            <w:vAlign w:val="center"/>
          </w:tcPr>
          <w:p w14:paraId="5B8601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982" w:type="pct"/>
            <w:tcBorders>
              <w:top w:val="nil"/>
              <w:left w:val="nil"/>
              <w:bottom w:val="single" w:color="000000" w:sz="12" w:space="0"/>
              <w:right w:val="nil"/>
            </w:tcBorders>
            <w:shd w:val="clear" w:color="auto" w:fill="FFFFFF"/>
            <w:noWrap/>
            <w:vAlign w:val="center"/>
          </w:tcPr>
          <w:p w14:paraId="7E69D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r>
    </w:tbl>
    <w:p w14:paraId="4D8CC54C">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3.1.3咖啡褐斑病</w:t>
      </w:r>
    </w:p>
    <w:p w14:paraId="7B55FA4E">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病原 咖啡生尾孢菌</w:t>
      </w:r>
      <w:r>
        <w:rPr>
          <w:rFonts w:hint="eastAsia" w:eastAsia="仿宋_GB2312" w:cs="Arial"/>
          <w:i/>
          <w:iCs/>
          <w:sz w:val="24"/>
          <w:szCs w:val="32"/>
          <w:lang w:val="en-US" w:eastAsia="zh-CN"/>
        </w:rPr>
        <w:t>Cercospora coffeicola</w:t>
      </w:r>
      <w:r>
        <w:rPr>
          <w:rFonts w:hint="eastAsia" w:eastAsia="仿宋_GB2312" w:cs="Arial"/>
          <w:sz w:val="24"/>
          <w:szCs w:val="32"/>
          <w:lang w:val="en-US" w:eastAsia="zh-CN"/>
        </w:rPr>
        <w:t> Berk .&amp; Cook</w:t>
      </w:r>
    </w:p>
    <w:p w14:paraId="4981E35A">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危害部位及症状 苗期叶片，病斑红褐色，随着病斑扩大，病部中央出现同心轮纹，病健交界明显；成株期叶片，感病初期出现小而黄的眼斑，扩展后形成具有同心轮纹的圆形病斑，中央灰白色，边缘褐色，环境高湿时，病斑背面长出黑褐色霉层；浆果，初期呈圆形、褐色、扩展后形成不规则病斑，病斑不下陷，长满褐色霉层。</w:t>
      </w:r>
    </w:p>
    <w:p w14:paraId="5CB738A8">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在叶片始见病斑时进行药剂防治，约15 d～20 d喷1次，连喷2次 ～ 3次（表12）。</w:t>
      </w:r>
    </w:p>
    <w:p w14:paraId="15B68E65">
      <w:pPr>
        <w:jc w:val="center"/>
        <w:rPr>
          <w:rFonts w:hint="eastAsia" w:ascii="仿宋" w:hAnsi="仿宋" w:eastAsia="仿宋"/>
          <w:b/>
          <w:bCs/>
        </w:rPr>
      </w:pPr>
    </w:p>
    <w:p w14:paraId="0806DF5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w:t>
      </w:r>
      <w:r>
        <w:rPr>
          <w:rFonts w:hint="eastAsia" w:eastAsia="黑体" w:cs="Times New Roman"/>
          <w:bCs/>
          <w:kern w:val="44"/>
          <w:sz w:val="21"/>
          <w:szCs w:val="24"/>
          <w:lang w:val="en-US" w:eastAsia="zh-CN"/>
        </w:rPr>
        <w:t>12</w:t>
      </w:r>
      <w:r>
        <w:rPr>
          <w:rFonts w:hint="eastAsia" w:ascii="Times New Roman" w:hAnsi="Times New Roman" w:eastAsia="黑体" w:cs="Times New Roman"/>
          <w:bCs/>
          <w:kern w:val="44"/>
          <w:sz w:val="21"/>
          <w:szCs w:val="24"/>
          <w:lang w:val="en-US" w:eastAsia="zh-CN"/>
        </w:rPr>
        <w:t xml:space="preserve"> 药剂田间防治咖啡褐斑病效果</w:t>
      </w:r>
    </w:p>
    <w:tbl>
      <w:tblPr>
        <w:tblStyle w:val="9"/>
        <w:tblW w:w="9228"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7"/>
        <w:gridCol w:w="923"/>
        <w:gridCol w:w="901"/>
        <w:gridCol w:w="954"/>
        <w:gridCol w:w="1036"/>
        <w:gridCol w:w="1040"/>
        <w:gridCol w:w="1120"/>
        <w:gridCol w:w="1157"/>
      </w:tblGrid>
      <w:tr w14:paraId="1702D43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097" w:type="dxa"/>
            <w:vMerge w:val="restart"/>
            <w:noWrap/>
            <w:tcMar>
              <w:top w:w="15" w:type="dxa"/>
              <w:left w:w="15" w:type="dxa"/>
              <w:right w:w="15" w:type="dxa"/>
            </w:tcMar>
            <w:vAlign w:val="center"/>
          </w:tcPr>
          <w:p w14:paraId="4359E7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处理</w:t>
            </w:r>
          </w:p>
        </w:tc>
        <w:tc>
          <w:tcPr>
            <w:tcW w:w="923" w:type="dxa"/>
            <w:vMerge w:val="restart"/>
            <w:tcMar>
              <w:top w:w="15" w:type="dxa"/>
              <w:left w:w="15" w:type="dxa"/>
              <w:right w:w="15" w:type="dxa"/>
            </w:tcMar>
            <w:vAlign w:val="center"/>
          </w:tcPr>
          <w:p w14:paraId="00EA6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稀释倍数</w:t>
            </w:r>
          </w:p>
        </w:tc>
        <w:tc>
          <w:tcPr>
            <w:tcW w:w="901" w:type="dxa"/>
            <w:vMerge w:val="restart"/>
            <w:tcMar>
              <w:top w:w="15" w:type="dxa"/>
              <w:left w:w="15" w:type="dxa"/>
              <w:right w:w="15" w:type="dxa"/>
            </w:tcMar>
            <w:vAlign w:val="center"/>
          </w:tcPr>
          <w:p w14:paraId="2276FD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药前病指</w:t>
            </w:r>
          </w:p>
        </w:tc>
        <w:tc>
          <w:tcPr>
            <w:tcW w:w="1990" w:type="dxa"/>
            <w:gridSpan w:val="2"/>
            <w:tcBorders>
              <w:bottom w:val="single" w:color="000000" w:sz="6" w:space="0"/>
            </w:tcBorders>
            <w:noWrap/>
            <w:tcMar>
              <w:top w:w="15" w:type="dxa"/>
              <w:left w:w="15" w:type="dxa"/>
              <w:right w:w="15" w:type="dxa"/>
            </w:tcMar>
            <w:vAlign w:val="center"/>
          </w:tcPr>
          <w:p w14:paraId="6E8F4F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一次药后15d调查</w:t>
            </w:r>
          </w:p>
        </w:tc>
        <w:tc>
          <w:tcPr>
            <w:tcW w:w="2160" w:type="dxa"/>
            <w:gridSpan w:val="2"/>
            <w:tcBorders>
              <w:bottom w:val="single" w:color="000000" w:sz="6" w:space="0"/>
            </w:tcBorders>
            <w:noWrap/>
            <w:tcMar>
              <w:top w:w="15" w:type="dxa"/>
              <w:left w:w="15" w:type="dxa"/>
              <w:right w:w="15" w:type="dxa"/>
            </w:tcMar>
            <w:vAlign w:val="center"/>
          </w:tcPr>
          <w:p w14:paraId="7F1A7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二次药后15d调查</w:t>
            </w:r>
          </w:p>
        </w:tc>
        <w:tc>
          <w:tcPr>
            <w:tcW w:w="1157" w:type="dxa"/>
            <w:vMerge w:val="restart"/>
            <w:noWrap/>
            <w:tcMar>
              <w:top w:w="15" w:type="dxa"/>
              <w:left w:w="15" w:type="dxa"/>
              <w:right w:w="15" w:type="dxa"/>
            </w:tcMar>
            <w:vAlign w:val="center"/>
          </w:tcPr>
          <w:p w14:paraId="036CA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安全性评价</w:t>
            </w:r>
          </w:p>
        </w:tc>
      </w:tr>
      <w:tr w14:paraId="301DED2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097" w:type="dxa"/>
            <w:vMerge w:val="continue"/>
            <w:tcBorders>
              <w:bottom w:val="single" w:color="000000" w:sz="6" w:space="0"/>
            </w:tcBorders>
            <w:noWrap/>
            <w:tcMar>
              <w:top w:w="15" w:type="dxa"/>
              <w:left w:w="15" w:type="dxa"/>
              <w:right w:w="15" w:type="dxa"/>
            </w:tcMar>
            <w:vAlign w:val="center"/>
          </w:tcPr>
          <w:p w14:paraId="61B05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923" w:type="dxa"/>
            <w:vMerge w:val="continue"/>
            <w:tcBorders>
              <w:bottom w:val="single" w:color="000000" w:sz="6" w:space="0"/>
            </w:tcBorders>
            <w:tcMar>
              <w:top w:w="15" w:type="dxa"/>
              <w:left w:w="15" w:type="dxa"/>
              <w:right w:w="15" w:type="dxa"/>
            </w:tcMar>
            <w:vAlign w:val="center"/>
          </w:tcPr>
          <w:p w14:paraId="46554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901" w:type="dxa"/>
            <w:vMerge w:val="continue"/>
            <w:tcBorders>
              <w:bottom w:val="single" w:color="000000" w:sz="6" w:space="0"/>
            </w:tcBorders>
            <w:tcMar>
              <w:top w:w="15" w:type="dxa"/>
              <w:left w:w="15" w:type="dxa"/>
              <w:right w:w="15" w:type="dxa"/>
            </w:tcMar>
            <w:vAlign w:val="center"/>
          </w:tcPr>
          <w:p w14:paraId="6AB6C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954" w:type="dxa"/>
            <w:tcBorders>
              <w:top w:val="single" w:color="000000" w:sz="6" w:space="0"/>
              <w:bottom w:val="single" w:color="000000" w:sz="6" w:space="0"/>
            </w:tcBorders>
            <w:tcMar>
              <w:top w:w="15" w:type="dxa"/>
              <w:left w:w="15" w:type="dxa"/>
              <w:right w:w="15" w:type="dxa"/>
            </w:tcMar>
            <w:vAlign w:val="center"/>
          </w:tcPr>
          <w:p w14:paraId="1E8F1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病指</w:t>
            </w:r>
          </w:p>
        </w:tc>
        <w:tc>
          <w:tcPr>
            <w:tcW w:w="1036" w:type="dxa"/>
            <w:tcBorders>
              <w:top w:val="single" w:color="000000" w:sz="6" w:space="0"/>
              <w:bottom w:val="single" w:color="000000" w:sz="6" w:space="0"/>
            </w:tcBorders>
            <w:tcMar>
              <w:top w:w="15" w:type="dxa"/>
              <w:left w:w="15" w:type="dxa"/>
              <w:right w:w="15" w:type="dxa"/>
            </w:tcMar>
            <w:vAlign w:val="center"/>
          </w:tcPr>
          <w:p w14:paraId="15F46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 %</w:t>
            </w:r>
          </w:p>
        </w:tc>
        <w:tc>
          <w:tcPr>
            <w:tcW w:w="1040" w:type="dxa"/>
            <w:tcBorders>
              <w:top w:val="single" w:color="000000" w:sz="6" w:space="0"/>
              <w:bottom w:val="single" w:color="000000" w:sz="6" w:space="0"/>
            </w:tcBorders>
            <w:tcMar>
              <w:top w:w="15" w:type="dxa"/>
              <w:left w:w="15" w:type="dxa"/>
              <w:right w:w="15" w:type="dxa"/>
            </w:tcMar>
            <w:vAlign w:val="center"/>
          </w:tcPr>
          <w:p w14:paraId="596DBC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病指</w:t>
            </w:r>
          </w:p>
        </w:tc>
        <w:tc>
          <w:tcPr>
            <w:tcW w:w="1120" w:type="dxa"/>
            <w:tcBorders>
              <w:top w:val="single" w:color="000000" w:sz="6" w:space="0"/>
              <w:bottom w:val="single" w:color="000000" w:sz="6" w:space="0"/>
            </w:tcBorders>
            <w:tcMar>
              <w:top w:w="15" w:type="dxa"/>
              <w:left w:w="15" w:type="dxa"/>
              <w:right w:w="15" w:type="dxa"/>
            </w:tcMar>
            <w:vAlign w:val="center"/>
          </w:tcPr>
          <w:p w14:paraId="1A3C6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w:t>
            </w:r>
          </w:p>
        </w:tc>
        <w:tc>
          <w:tcPr>
            <w:tcW w:w="1157" w:type="dxa"/>
            <w:vMerge w:val="continue"/>
            <w:tcBorders>
              <w:bottom w:val="single" w:color="000000" w:sz="6" w:space="0"/>
            </w:tcBorders>
            <w:tcMar>
              <w:top w:w="15" w:type="dxa"/>
              <w:left w:w="15" w:type="dxa"/>
              <w:right w:w="15" w:type="dxa"/>
            </w:tcMar>
            <w:vAlign w:val="center"/>
          </w:tcPr>
          <w:p w14:paraId="696C2C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r>
      <w:tr w14:paraId="5627063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097" w:type="dxa"/>
            <w:tcBorders>
              <w:top w:val="single" w:color="000000" w:sz="6" w:space="0"/>
              <w:tl2br w:val="nil"/>
              <w:tr2bl w:val="nil"/>
            </w:tcBorders>
            <w:tcMar>
              <w:top w:w="15" w:type="dxa"/>
              <w:left w:w="15" w:type="dxa"/>
              <w:right w:w="15" w:type="dxa"/>
            </w:tcMar>
            <w:vAlign w:val="center"/>
          </w:tcPr>
          <w:p w14:paraId="561D4C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50%苯菌灵可湿性粉剂</w:t>
            </w:r>
          </w:p>
        </w:tc>
        <w:tc>
          <w:tcPr>
            <w:tcW w:w="923" w:type="dxa"/>
            <w:tcBorders>
              <w:top w:val="single" w:color="000000" w:sz="6" w:space="0"/>
              <w:tl2br w:val="nil"/>
              <w:tr2bl w:val="nil"/>
            </w:tcBorders>
            <w:noWrap/>
            <w:tcMar>
              <w:top w:w="15" w:type="dxa"/>
              <w:left w:w="15" w:type="dxa"/>
              <w:right w:w="15" w:type="dxa"/>
            </w:tcMar>
            <w:vAlign w:val="center"/>
          </w:tcPr>
          <w:p w14:paraId="1C794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1000</w:t>
            </w:r>
          </w:p>
        </w:tc>
        <w:tc>
          <w:tcPr>
            <w:tcW w:w="901" w:type="dxa"/>
            <w:tcBorders>
              <w:top w:val="single" w:color="000000" w:sz="6" w:space="0"/>
              <w:tl2br w:val="nil"/>
              <w:tr2bl w:val="nil"/>
            </w:tcBorders>
            <w:noWrap/>
            <w:tcMar>
              <w:top w:w="15" w:type="dxa"/>
              <w:left w:w="15" w:type="dxa"/>
              <w:right w:w="15" w:type="dxa"/>
            </w:tcMar>
            <w:vAlign w:val="center"/>
          </w:tcPr>
          <w:p w14:paraId="3F1C38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3.00</w:t>
            </w:r>
          </w:p>
        </w:tc>
        <w:tc>
          <w:tcPr>
            <w:tcW w:w="954" w:type="dxa"/>
            <w:tcBorders>
              <w:top w:val="single" w:color="000000" w:sz="6" w:space="0"/>
              <w:tl2br w:val="nil"/>
              <w:tr2bl w:val="nil"/>
            </w:tcBorders>
            <w:noWrap/>
            <w:tcMar>
              <w:top w:w="15" w:type="dxa"/>
              <w:left w:w="15" w:type="dxa"/>
              <w:right w:w="15" w:type="dxa"/>
            </w:tcMar>
            <w:vAlign w:val="center"/>
          </w:tcPr>
          <w:p w14:paraId="4BB228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3.67</w:t>
            </w:r>
          </w:p>
        </w:tc>
        <w:tc>
          <w:tcPr>
            <w:tcW w:w="1036" w:type="dxa"/>
            <w:tcBorders>
              <w:top w:val="single" w:color="000000" w:sz="6" w:space="0"/>
              <w:tl2br w:val="nil"/>
              <w:tr2bl w:val="nil"/>
            </w:tcBorders>
            <w:noWrap/>
            <w:tcMar>
              <w:top w:w="15" w:type="dxa"/>
              <w:left w:w="15" w:type="dxa"/>
              <w:right w:w="15" w:type="dxa"/>
            </w:tcMar>
            <w:vAlign w:val="center"/>
          </w:tcPr>
          <w:p w14:paraId="3436A0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73.03 d</w:t>
            </w:r>
          </w:p>
        </w:tc>
        <w:tc>
          <w:tcPr>
            <w:tcW w:w="1040" w:type="dxa"/>
            <w:tcBorders>
              <w:top w:val="single" w:color="000000" w:sz="6" w:space="0"/>
              <w:tl2br w:val="nil"/>
              <w:tr2bl w:val="nil"/>
            </w:tcBorders>
            <w:noWrap/>
            <w:tcMar>
              <w:top w:w="15" w:type="dxa"/>
              <w:left w:w="15" w:type="dxa"/>
              <w:right w:w="15" w:type="dxa"/>
            </w:tcMar>
            <w:vAlign w:val="center"/>
          </w:tcPr>
          <w:p w14:paraId="243B25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3.67</w:t>
            </w:r>
          </w:p>
        </w:tc>
        <w:tc>
          <w:tcPr>
            <w:tcW w:w="1120" w:type="dxa"/>
            <w:tcBorders>
              <w:top w:val="single" w:color="000000" w:sz="6" w:space="0"/>
              <w:tl2br w:val="nil"/>
              <w:tr2bl w:val="nil"/>
            </w:tcBorders>
            <w:noWrap/>
            <w:tcMar>
              <w:top w:w="15" w:type="dxa"/>
              <w:left w:w="15" w:type="dxa"/>
              <w:right w:w="15" w:type="dxa"/>
            </w:tcMar>
            <w:vAlign w:val="center"/>
          </w:tcPr>
          <w:p w14:paraId="72C2F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85.33 d</w:t>
            </w:r>
          </w:p>
        </w:tc>
        <w:tc>
          <w:tcPr>
            <w:tcW w:w="1157" w:type="dxa"/>
            <w:tcBorders>
              <w:top w:val="single" w:color="000000" w:sz="6" w:space="0"/>
              <w:tl2br w:val="nil"/>
              <w:tr2bl w:val="nil"/>
            </w:tcBorders>
            <w:noWrap/>
            <w:tcMar>
              <w:top w:w="15" w:type="dxa"/>
              <w:left w:w="15" w:type="dxa"/>
              <w:right w:w="15" w:type="dxa"/>
            </w:tcMar>
            <w:vAlign w:val="center"/>
          </w:tcPr>
          <w:p w14:paraId="1E04B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422F808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097" w:type="dxa"/>
            <w:tcBorders>
              <w:tl2br w:val="nil"/>
              <w:tr2bl w:val="nil"/>
            </w:tcBorders>
            <w:tcMar>
              <w:top w:w="15" w:type="dxa"/>
              <w:left w:w="15" w:type="dxa"/>
              <w:right w:w="15" w:type="dxa"/>
            </w:tcMar>
            <w:vAlign w:val="center"/>
          </w:tcPr>
          <w:p w14:paraId="078CF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50%苯莱特可湿性粉剂</w:t>
            </w:r>
          </w:p>
        </w:tc>
        <w:tc>
          <w:tcPr>
            <w:tcW w:w="923" w:type="dxa"/>
            <w:tcBorders>
              <w:tl2br w:val="nil"/>
              <w:tr2bl w:val="nil"/>
            </w:tcBorders>
            <w:noWrap/>
            <w:tcMar>
              <w:top w:w="15" w:type="dxa"/>
              <w:left w:w="15" w:type="dxa"/>
              <w:right w:w="15" w:type="dxa"/>
            </w:tcMar>
            <w:vAlign w:val="center"/>
          </w:tcPr>
          <w:p w14:paraId="06E992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1000</w:t>
            </w:r>
          </w:p>
        </w:tc>
        <w:tc>
          <w:tcPr>
            <w:tcW w:w="901" w:type="dxa"/>
            <w:tcBorders>
              <w:tl2br w:val="nil"/>
              <w:tr2bl w:val="nil"/>
            </w:tcBorders>
            <w:noWrap/>
            <w:tcMar>
              <w:top w:w="15" w:type="dxa"/>
              <w:left w:w="15" w:type="dxa"/>
              <w:right w:w="15" w:type="dxa"/>
            </w:tcMar>
            <w:vAlign w:val="center"/>
          </w:tcPr>
          <w:p w14:paraId="67799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2.92</w:t>
            </w:r>
          </w:p>
        </w:tc>
        <w:tc>
          <w:tcPr>
            <w:tcW w:w="954" w:type="dxa"/>
            <w:tcBorders>
              <w:tl2br w:val="nil"/>
              <w:tr2bl w:val="nil"/>
            </w:tcBorders>
            <w:noWrap/>
            <w:tcMar>
              <w:top w:w="15" w:type="dxa"/>
              <w:left w:w="15" w:type="dxa"/>
              <w:right w:w="15" w:type="dxa"/>
            </w:tcMar>
            <w:vAlign w:val="center"/>
          </w:tcPr>
          <w:p w14:paraId="640871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3.92</w:t>
            </w:r>
          </w:p>
        </w:tc>
        <w:tc>
          <w:tcPr>
            <w:tcW w:w="1036" w:type="dxa"/>
            <w:tcBorders>
              <w:tl2br w:val="nil"/>
              <w:tr2bl w:val="nil"/>
            </w:tcBorders>
            <w:noWrap/>
            <w:tcMar>
              <w:top w:w="15" w:type="dxa"/>
              <w:left w:w="15" w:type="dxa"/>
              <w:right w:w="15" w:type="dxa"/>
            </w:tcMar>
            <w:vAlign w:val="center"/>
          </w:tcPr>
          <w:p w14:paraId="29222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70.39 c</w:t>
            </w:r>
          </w:p>
        </w:tc>
        <w:tc>
          <w:tcPr>
            <w:tcW w:w="1040" w:type="dxa"/>
            <w:tcBorders>
              <w:tl2br w:val="nil"/>
              <w:tr2bl w:val="nil"/>
            </w:tcBorders>
            <w:noWrap/>
            <w:tcMar>
              <w:top w:w="15" w:type="dxa"/>
              <w:left w:w="15" w:type="dxa"/>
              <w:right w:w="15" w:type="dxa"/>
            </w:tcMar>
            <w:vAlign w:val="center"/>
          </w:tcPr>
          <w:p w14:paraId="75E97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3.92</w:t>
            </w:r>
          </w:p>
        </w:tc>
        <w:tc>
          <w:tcPr>
            <w:tcW w:w="1120" w:type="dxa"/>
            <w:tcBorders>
              <w:tl2br w:val="nil"/>
              <w:tr2bl w:val="nil"/>
            </w:tcBorders>
            <w:noWrap/>
            <w:tcMar>
              <w:top w:w="15" w:type="dxa"/>
              <w:left w:w="15" w:type="dxa"/>
              <w:right w:w="15" w:type="dxa"/>
            </w:tcMar>
            <w:vAlign w:val="center"/>
          </w:tcPr>
          <w:p w14:paraId="2A272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84.33 c</w:t>
            </w:r>
          </w:p>
        </w:tc>
        <w:tc>
          <w:tcPr>
            <w:tcW w:w="1157" w:type="dxa"/>
            <w:tcBorders>
              <w:tl2br w:val="nil"/>
              <w:tr2bl w:val="nil"/>
            </w:tcBorders>
            <w:noWrap/>
            <w:tcMar>
              <w:top w:w="15" w:type="dxa"/>
              <w:left w:w="15" w:type="dxa"/>
              <w:right w:w="15" w:type="dxa"/>
            </w:tcMar>
            <w:vAlign w:val="center"/>
          </w:tcPr>
          <w:p w14:paraId="1B46B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7F2D9CE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097" w:type="dxa"/>
            <w:tcBorders>
              <w:tl2br w:val="nil"/>
              <w:tr2bl w:val="nil"/>
            </w:tcBorders>
            <w:tcMar>
              <w:top w:w="15" w:type="dxa"/>
              <w:left w:w="15" w:type="dxa"/>
              <w:right w:w="15" w:type="dxa"/>
            </w:tcMar>
            <w:vAlign w:val="center"/>
          </w:tcPr>
          <w:p w14:paraId="18506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50%多菌灵可湿性粉剂</w:t>
            </w:r>
          </w:p>
        </w:tc>
        <w:tc>
          <w:tcPr>
            <w:tcW w:w="923" w:type="dxa"/>
            <w:tcBorders>
              <w:tl2br w:val="nil"/>
              <w:tr2bl w:val="nil"/>
            </w:tcBorders>
            <w:noWrap/>
            <w:tcMar>
              <w:top w:w="15" w:type="dxa"/>
              <w:left w:w="15" w:type="dxa"/>
              <w:right w:w="15" w:type="dxa"/>
            </w:tcMar>
            <w:vAlign w:val="center"/>
          </w:tcPr>
          <w:p w14:paraId="2AD328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800</w:t>
            </w:r>
          </w:p>
        </w:tc>
        <w:tc>
          <w:tcPr>
            <w:tcW w:w="901" w:type="dxa"/>
            <w:tcBorders>
              <w:tl2br w:val="nil"/>
              <w:tr2bl w:val="nil"/>
            </w:tcBorders>
            <w:noWrap/>
            <w:tcMar>
              <w:top w:w="15" w:type="dxa"/>
              <w:left w:w="15" w:type="dxa"/>
              <w:right w:w="15" w:type="dxa"/>
            </w:tcMar>
            <w:vAlign w:val="center"/>
          </w:tcPr>
          <w:p w14:paraId="5DD7E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2.86</w:t>
            </w:r>
          </w:p>
        </w:tc>
        <w:tc>
          <w:tcPr>
            <w:tcW w:w="954" w:type="dxa"/>
            <w:tcBorders>
              <w:tl2br w:val="nil"/>
              <w:tr2bl w:val="nil"/>
            </w:tcBorders>
            <w:noWrap/>
            <w:tcMar>
              <w:top w:w="15" w:type="dxa"/>
              <w:left w:w="15" w:type="dxa"/>
              <w:right w:w="15" w:type="dxa"/>
            </w:tcMar>
            <w:vAlign w:val="center"/>
          </w:tcPr>
          <w:p w14:paraId="0295B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4.19</w:t>
            </w:r>
          </w:p>
        </w:tc>
        <w:tc>
          <w:tcPr>
            <w:tcW w:w="1036" w:type="dxa"/>
            <w:tcBorders>
              <w:tl2br w:val="nil"/>
              <w:tr2bl w:val="nil"/>
            </w:tcBorders>
            <w:noWrap/>
            <w:tcMar>
              <w:top w:w="15" w:type="dxa"/>
              <w:left w:w="15" w:type="dxa"/>
              <w:right w:w="15" w:type="dxa"/>
            </w:tcMar>
            <w:vAlign w:val="center"/>
          </w:tcPr>
          <w:p w14:paraId="05E4E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67.70 b</w:t>
            </w:r>
          </w:p>
        </w:tc>
        <w:tc>
          <w:tcPr>
            <w:tcW w:w="1040" w:type="dxa"/>
            <w:tcBorders>
              <w:tl2br w:val="nil"/>
              <w:tr2bl w:val="nil"/>
            </w:tcBorders>
            <w:noWrap/>
            <w:tcMar>
              <w:top w:w="15" w:type="dxa"/>
              <w:left w:w="15" w:type="dxa"/>
              <w:right w:w="15" w:type="dxa"/>
            </w:tcMar>
            <w:vAlign w:val="center"/>
          </w:tcPr>
          <w:p w14:paraId="1CC8D8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4.19</w:t>
            </w:r>
          </w:p>
        </w:tc>
        <w:tc>
          <w:tcPr>
            <w:tcW w:w="1120" w:type="dxa"/>
            <w:tcBorders>
              <w:tl2br w:val="nil"/>
              <w:tr2bl w:val="nil"/>
            </w:tcBorders>
            <w:noWrap/>
            <w:tcMar>
              <w:top w:w="15" w:type="dxa"/>
              <w:left w:w="15" w:type="dxa"/>
              <w:right w:w="15" w:type="dxa"/>
            </w:tcMar>
            <w:vAlign w:val="center"/>
          </w:tcPr>
          <w:p w14:paraId="4B574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83.26 b</w:t>
            </w:r>
          </w:p>
        </w:tc>
        <w:tc>
          <w:tcPr>
            <w:tcW w:w="1157" w:type="dxa"/>
            <w:tcBorders>
              <w:tl2br w:val="nil"/>
              <w:tr2bl w:val="nil"/>
            </w:tcBorders>
            <w:noWrap/>
            <w:tcMar>
              <w:top w:w="15" w:type="dxa"/>
              <w:left w:w="15" w:type="dxa"/>
              <w:right w:w="15" w:type="dxa"/>
            </w:tcMar>
            <w:vAlign w:val="center"/>
          </w:tcPr>
          <w:p w14:paraId="24E9C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111B65B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097" w:type="dxa"/>
            <w:tcBorders>
              <w:tl2br w:val="nil"/>
              <w:tr2bl w:val="nil"/>
            </w:tcBorders>
            <w:tcMar>
              <w:top w:w="15" w:type="dxa"/>
              <w:left w:w="15" w:type="dxa"/>
              <w:right w:w="15" w:type="dxa"/>
            </w:tcMar>
            <w:vAlign w:val="center"/>
          </w:tcPr>
          <w:p w14:paraId="2C6E3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50%多霉威可湿性粉剂</w:t>
            </w:r>
          </w:p>
        </w:tc>
        <w:tc>
          <w:tcPr>
            <w:tcW w:w="923" w:type="dxa"/>
            <w:tcBorders>
              <w:tl2br w:val="nil"/>
              <w:tr2bl w:val="nil"/>
            </w:tcBorders>
            <w:noWrap/>
            <w:tcMar>
              <w:top w:w="15" w:type="dxa"/>
              <w:left w:w="15" w:type="dxa"/>
              <w:right w:w="15" w:type="dxa"/>
            </w:tcMar>
            <w:vAlign w:val="center"/>
          </w:tcPr>
          <w:p w14:paraId="1B7F9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1000</w:t>
            </w:r>
          </w:p>
        </w:tc>
        <w:tc>
          <w:tcPr>
            <w:tcW w:w="901" w:type="dxa"/>
            <w:tcBorders>
              <w:tl2br w:val="nil"/>
              <w:tr2bl w:val="nil"/>
            </w:tcBorders>
            <w:noWrap/>
            <w:tcMar>
              <w:top w:w="15" w:type="dxa"/>
              <w:left w:w="15" w:type="dxa"/>
              <w:right w:w="15" w:type="dxa"/>
            </w:tcMar>
            <w:vAlign w:val="center"/>
          </w:tcPr>
          <w:p w14:paraId="167389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2.95</w:t>
            </w:r>
          </w:p>
        </w:tc>
        <w:tc>
          <w:tcPr>
            <w:tcW w:w="954" w:type="dxa"/>
            <w:tcBorders>
              <w:tl2br w:val="nil"/>
              <w:tr2bl w:val="nil"/>
            </w:tcBorders>
            <w:noWrap/>
            <w:tcMar>
              <w:top w:w="15" w:type="dxa"/>
              <w:left w:w="15" w:type="dxa"/>
              <w:right w:w="15" w:type="dxa"/>
            </w:tcMar>
            <w:vAlign w:val="center"/>
          </w:tcPr>
          <w:p w14:paraId="5D2FA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4.62</w:t>
            </w:r>
          </w:p>
        </w:tc>
        <w:tc>
          <w:tcPr>
            <w:tcW w:w="1036" w:type="dxa"/>
            <w:tcBorders>
              <w:tl2br w:val="nil"/>
              <w:tr2bl w:val="nil"/>
            </w:tcBorders>
            <w:noWrap/>
            <w:tcMar>
              <w:top w:w="15" w:type="dxa"/>
              <w:left w:w="15" w:type="dxa"/>
              <w:right w:w="15" w:type="dxa"/>
            </w:tcMar>
            <w:vAlign w:val="center"/>
          </w:tcPr>
          <w:p w14:paraId="1F858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65.44 a</w:t>
            </w:r>
          </w:p>
        </w:tc>
        <w:tc>
          <w:tcPr>
            <w:tcW w:w="1040" w:type="dxa"/>
            <w:tcBorders>
              <w:tl2br w:val="nil"/>
              <w:tr2bl w:val="nil"/>
            </w:tcBorders>
            <w:noWrap/>
            <w:tcMar>
              <w:top w:w="15" w:type="dxa"/>
              <w:left w:w="15" w:type="dxa"/>
              <w:right w:w="15" w:type="dxa"/>
            </w:tcMar>
            <w:vAlign w:val="center"/>
          </w:tcPr>
          <w:p w14:paraId="2FEFB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4.62</w:t>
            </w:r>
          </w:p>
        </w:tc>
        <w:tc>
          <w:tcPr>
            <w:tcW w:w="1120" w:type="dxa"/>
            <w:tcBorders>
              <w:tl2br w:val="nil"/>
              <w:tr2bl w:val="nil"/>
            </w:tcBorders>
            <w:noWrap/>
            <w:tcMar>
              <w:top w:w="15" w:type="dxa"/>
              <w:left w:w="15" w:type="dxa"/>
              <w:right w:w="15" w:type="dxa"/>
            </w:tcMar>
            <w:vAlign w:val="center"/>
          </w:tcPr>
          <w:p w14:paraId="533F4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81.54 a</w:t>
            </w:r>
          </w:p>
        </w:tc>
        <w:tc>
          <w:tcPr>
            <w:tcW w:w="1157" w:type="dxa"/>
            <w:tcBorders>
              <w:tl2br w:val="nil"/>
              <w:tr2bl w:val="nil"/>
            </w:tcBorders>
            <w:noWrap/>
            <w:tcMar>
              <w:top w:w="15" w:type="dxa"/>
              <w:left w:w="15" w:type="dxa"/>
              <w:right w:w="15" w:type="dxa"/>
            </w:tcMar>
            <w:vAlign w:val="center"/>
          </w:tcPr>
          <w:p w14:paraId="1B755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无药害</w:t>
            </w:r>
          </w:p>
        </w:tc>
      </w:tr>
      <w:tr w14:paraId="4DBF124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2097" w:type="dxa"/>
            <w:tcBorders>
              <w:tl2br w:val="nil"/>
              <w:tr2bl w:val="nil"/>
            </w:tcBorders>
            <w:tcMar>
              <w:top w:w="15" w:type="dxa"/>
              <w:left w:w="15" w:type="dxa"/>
              <w:right w:w="15" w:type="dxa"/>
            </w:tcMar>
            <w:vAlign w:val="center"/>
          </w:tcPr>
          <w:p w14:paraId="655C3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对照（清水）</w:t>
            </w:r>
          </w:p>
        </w:tc>
        <w:tc>
          <w:tcPr>
            <w:tcW w:w="923" w:type="dxa"/>
            <w:tcBorders>
              <w:tl2br w:val="nil"/>
              <w:tr2bl w:val="nil"/>
            </w:tcBorders>
            <w:noWrap/>
            <w:tcMar>
              <w:top w:w="15" w:type="dxa"/>
              <w:left w:w="15" w:type="dxa"/>
              <w:right w:w="15" w:type="dxa"/>
            </w:tcMar>
            <w:vAlign w:val="center"/>
          </w:tcPr>
          <w:p w14:paraId="6B108E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901" w:type="dxa"/>
            <w:tcBorders>
              <w:tl2br w:val="nil"/>
              <w:tr2bl w:val="nil"/>
            </w:tcBorders>
            <w:noWrap/>
            <w:tcMar>
              <w:top w:w="15" w:type="dxa"/>
              <w:left w:w="15" w:type="dxa"/>
              <w:right w:w="15" w:type="dxa"/>
            </w:tcMar>
            <w:vAlign w:val="center"/>
          </w:tcPr>
          <w:p w14:paraId="3A360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3.00</w:t>
            </w:r>
          </w:p>
        </w:tc>
        <w:tc>
          <w:tcPr>
            <w:tcW w:w="954" w:type="dxa"/>
            <w:tcBorders>
              <w:tl2br w:val="nil"/>
              <w:tr2bl w:val="nil"/>
            </w:tcBorders>
            <w:noWrap/>
            <w:tcMar>
              <w:top w:w="15" w:type="dxa"/>
              <w:left w:w="15" w:type="dxa"/>
              <w:right w:w="15" w:type="dxa"/>
            </w:tcMar>
            <w:vAlign w:val="center"/>
          </w:tcPr>
          <w:p w14:paraId="35B9A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13.61</w:t>
            </w:r>
          </w:p>
        </w:tc>
        <w:tc>
          <w:tcPr>
            <w:tcW w:w="1036" w:type="dxa"/>
            <w:tcBorders>
              <w:tl2br w:val="nil"/>
              <w:tr2bl w:val="nil"/>
            </w:tcBorders>
            <w:noWrap/>
            <w:tcMar>
              <w:top w:w="15" w:type="dxa"/>
              <w:left w:w="15" w:type="dxa"/>
              <w:right w:w="15" w:type="dxa"/>
            </w:tcMar>
            <w:vAlign w:val="center"/>
          </w:tcPr>
          <w:p w14:paraId="181AFC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1040" w:type="dxa"/>
            <w:tcBorders>
              <w:tl2br w:val="nil"/>
              <w:tr2bl w:val="nil"/>
            </w:tcBorders>
            <w:noWrap/>
            <w:tcMar>
              <w:top w:w="15" w:type="dxa"/>
              <w:left w:w="15" w:type="dxa"/>
              <w:right w:w="15" w:type="dxa"/>
            </w:tcMar>
            <w:vAlign w:val="center"/>
          </w:tcPr>
          <w:p w14:paraId="3B97FE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25.03</w:t>
            </w:r>
          </w:p>
        </w:tc>
        <w:tc>
          <w:tcPr>
            <w:tcW w:w="1120" w:type="dxa"/>
            <w:tcBorders>
              <w:tl2br w:val="nil"/>
              <w:tr2bl w:val="nil"/>
            </w:tcBorders>
            <w:noWrap/>
            <w:tcMar>
              <w:top w:w="15" w:type="dxa"/>
              <w:left w:w="15" w:type="dxa"/>
              <w:right w:w="15" w:type="dxa"/>
            </w:tcMar>
            <w:vAlign w:val="center"/>
          </w:tcPr>
          <w:p w14:paraId="344FF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1157" w:type="dxa"/>
            <w:tcBorders>
              <w:tl2br w:val="nil"/>
              <w:tr2bl w:val="nil"/>
            </w:tcBorders>
            <w:noWrap/>
            <w:tcMar>
              <w:top w:w="15" w:type="dxa"/>
              <w:left w:w="15" w:type="dxa"/>
              <w:right w:w="15" w:type="dxa"/>
            </w:tcMar>
            <w:vAlign w:val="center"/>
          </w:tcPr>
          <w:p w14:paraId="764C53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r>
    </w:tbl>
    <w:p w14:paraId="1187AB69">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3.1.4咖啡黑果病</w:t>
      </w:r>
    </w:p>
    <w:p w14:paraId="677BC6A2">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病原 咖啡生尾孢菌</w:t>
      </w:r>
      <w:r>
        <w:rPr>
          <w:rFonts w:hint="eastAsia" w:eastAsia="仿宋_GB2312" w:cs="Arial"/>
          <w:i/>
          <w:iCs/>
          <w:sz w:val="24"/>
          <w:szCs w:val="32"/>
          <w:lang w:val="en-US" w:eastAsia="zh-CN"/>
        </w:rPr>
        <w:t>Cercospora coffeicola </w:t>
      </w:r>
      <w:r>
        <w:rPr>
          <w:rFonts w:hint="eastAsia" w:eastAsia="仿宋_GB2312" w:cs="Arial"/>
          <w:sz w:val="24"/>
          <w:szCs w:val="32"/>
          <w:lang w:val="en-US" w:eastAsia="zh-CN"/>
        </w:rPr>
        <w:t>Berk .&amp; Cook；咖啡炭疽菌</w:t>
      </w:r>
      <w:r>
        <w:rPr>
          <w:rFonts w:hint="eastAsia" w:eastAsia="仿宋_GB2312" w:cs="Arial"/>
          <w:i/>
          <w:iCs/>
          <w:sz w:val="24"/>
          <w:szCs w:val="32"/>
          <w:lang w:val="en-US" w:eastAsia="zh-CN"/>
        </w:rPr>
        <w:t>Colletotrichum coffeanum</w:t>
      </w:r>
      <w:r>
        <w:rPr>
          <w:rFonts w:hint="eastAsia" w:eastAsia="仿宋_GB2312" w:cs="Arial"/>
          <w:sz w:val="24"/>
          <w:szCs w:val="32"/>
          <w:lang w:val="en-US" w:eastAsia="zh-CN"/>
        </w:rPr>
        <w:t xml:space="preserve"> Noack；拟束梗镰刀菌</w:t>
      </w:r>
      <w:r>
        <w:rPr>
          <w:rFonts w:hint="eastAsia" w:eastAsia="仿宋_GB2312" w:cs="Arial"/>
          <w:i/>
          <w:iCs/>
          <w:sz w:val="24"/>
          <w:szCs w:val="32"/>
          <w:lang w:val="en-US" w:eastAsia="zh-CN"/>
        </w:rPr>
        <w:t>Fusarium stilboides</w:t>
      </w:r>
      <w:r>
        <w:rPr>
          <w:rFonts w:hint="eastAsia" w:eastAsia="仿宋_GB2312" w:cs="Arial"/>
          <w:sz w:val="24"/>
          <w:szCs w:val="32"/>
          <w:lang w:val="en-US" w:eastAsia="zh-CN"/>
        </w:rPr>
        <w:t>。</w:t>
      </w:r>
    </w:p>
    <w:p w14:paraId="3F14CF9E">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危害部位及症状 最初咖啡幼果果皮出现红褐色斑点，继而扩大呈近圆形病斑，斑块周围有淡绿色晕圈，重者可扩展至整个果表；后期病斑变成黑色，干瘪与种壳紧密结合，如果发病较早并严重，可使整个幼果变黑干枯，并引起枝条干枯。</w:t>
      </w:r>
    </w:p>
    <w:p w14:paraId="66C7BA50">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传播途径</w:t>
      </w:r>
      <w:r>
        <w:rPr>
          <w:rFonts w:hint="eastAsia" w:eastAsia="仿宋_GB2312" w:cs="Arial"/>
          <w:sz w:val="24"/>
          <w:szCs w:val="32"/>
          <w:lang w:val="en-US" w:eastAsia="zh-CN"/>
        </w:rPr>
        <w:t xml:space="preserve"> 病残体、风、雨。</w:t>
      </w:r>
    </w:p>
    <w:p w14:paraId="544FF92D">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发生特点</w:t>
      </w:r>
      <w:r>
        <w:rPr>
          <w:rFonts w:hint="eastAsia" w:eastAsia="仿宋_GB2312" w:cs="Arial"/>
          <w:sz w:val="24"/>
          <w:szCs w:val="32"/>
          <w:lang w:val="en-US" w:eastAsia="zh-CN"/>
        </w:rPr>
        <w:t xml:space="preserve"> 黑果病随着植株营养的下降而病情加重，生理性缺钾是引起黑果病流行的一个重要因素，在高湿季节，特别是长期干旱后的雨季或长期下雨后突然天晴、直射光强烈、气温升高的情况下发生较重。</w:t>
      </w:r>
    </w:p>
    <w:p w14:paraId="74B18A72">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防治方法及药剂使用方法的确定</w:t>
      </w:r>
    </w:p>
    <w:p w14:paraId="54FAF266">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加强咖啡园栽培管理，保持健康植株的良好长势，合理施肥特别是补充钾肥和钙肥，适度荫蔽，采果后清除枯枝。</w:t>
      </w:r>
    </w:p>
    <w:p w14:paraId="01EBA3AE">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果实生育期进行药剂防治，约10 d～15 d喷1次，连喷2次 ～ 3次（表13）。</w:t>
      </w:r>
    </w:p>
    <w:p w14:paraId="5F3CD11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w:t>
      </w:r>
      <w:r>
        <w:rPr>
          <w:rFonts w:hint="eastAsia" w:eastAsia="黑体" w:cs="Times New Roman"/>
          <w:bCs/>
          <w:kern w:val="44"/>
          <w:sz w:val="21"/>
          <w:szCs w:val="24"/>
          <w:lang w:val="en-US" w:eastAsia="zh-CN"/>
        </w:rPr>
        <w:t>13</w:t>
      </w:r>
      <w:r>
        <w:rPr>
          <w:rFonts w:hint="eastAsia" w:ascii="Times New Roman" w:hAnsi="Times New Roman" w:eastAsia="黑体" w:cs="Times New Roman"/>
          <w:bCs/>
          <w:kern w:val="44"/>
          <w:sz w:val="21"/>
          <w:szCs w:val="24"/>
          <w:lang w:val="en-US" w:eastAsia="zh-CN"/>
        </w:rPr>
        <w:t xml:space="preserve"> 药剂田间防治咖啡黑果病效果</w:t>
      </w:r>
    </w:p>
    <w:tbl>
      <w:tblPr>
        <w:tblStyle w:val="10"/>
        <w:tblW w:w="4997"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2637"/>
        <w:gridCol w:w="728"/>
        <w:gridCol w:w="1146"/>
        <w:gridCol w:w="936"/>
        <w:gridCol w:w="1257"/>
        <w:gridCol w:w="936"/>
        <w:gridCol w:w="1255"/>
      </w:tblGrid>
      <w:tr w14:paraId="237DB48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exact"/>
          <w:jc w:val="center"/>
        </w:trPr>
        <w:tc>
          <w:tcPr>
            <w:tcW w:w="1482" w:type="pct"/>
            <w:vMerge w:val="restart"/>
            <w:vAlign w:val="center"/>
          </w:tcPr>
          <w:p w14:paraId="1753C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处理</w:t>
            </w:r>
          </w:p>
        </w:tc>
        <w:tc>
          <w:tcPr>
            <w:tcW w:w="409" w:type="pct"/>
            <w:vMerge w:val="restart"/>
            <w:vAlign w:val="center"/>
          </w:tcPr>
          <w:p w14:paraId="79A2B4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稀释倍数</w:t>
            </w:r>
          </w:p>
        </w:tc>
        <w:tc>
          <w:tcPr>
            <w:tcW w:w="644" w:type="pct"/>
            <w:vMerge w:val="restart"/>
            <w:vAlign w:val="center"/>
          </w:tcPr>
          <w:p w14:paraId="1C76F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药前病指</w:t>
            </w:r>
          </w:p>
        </w:tc>
        <w:tc>
          <w:tcPr>
            <w:tcW w:w="1232" w:type="pct"/>
            <w:gridSpan w:val="2"/>
            <w:tcBorders>
              <w:bottom w:val="single" w:color="auto" w:sz="4" w:space="0"/>
            </w:tcBorders>
            <w:vAlign w:val="center"/>
          </w:tcPr>
          <w:p w14:paraId="0DD32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一次药后10d调查</w:t>
            </w:r>
          </w:p>
        </w:tc>
        <w:tc>
          <w:tcPr>
            <w:tcW w:w="1231" w:type="pct"/>
            <w:gridSpan w:val="2"/>
            <w:tcBorders>
              <w:bottom w:val="single" w:color="auto" w:sz="4" w:space="0"/>
            </w:tcBorders>
            <w:vAlign w:val="center"/>
          </w:tcPr>
          <w:p w14:paraId="7E9E2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二次药后10d调查</w:t>
            </w:r>
          </w:p>
        </w:tc>
      </w:tr>
      <w:tr w14:paraId="4C5F6FE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exact"/>
          <w:jc w:val="center"/>
        </w:trPr>
        <w:tc>
          <w:tcPr>
            <w:tcW w:w="1482" w:type="pct"/>
            <w:vMerge w:val="continue"/>
            <w:tcBorders>
              <w:bottom w:val="single" w:color="auto" w:sz="12" w:space="0"/>
            </w:tcBorders>
            <w:vAlign w:val="center"/>
          </w:tcPr>
          <w:p w14:paraId="4FA11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409" w:type="pct"/>
            <w:vMerge w:val="continue"/>
            <w:tcBorders>
              <w:bottom w:val="single" w:color="auto" w:sz="12" w:space="0"/>
            </w:tcBorders>
            <w:vAlign w:val="center"/>
          </w:tcPr>
          <w:p w14:paraId="52064D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644" w:type="pct"/>
            <w:vMerge w:val="continue"/>
            <w:tcBorders>
              <w:bottom w:val="single" w:color="auto" w:sz="12" w:space="0"/>
            </w:tcBorders>
            <w:vAlign w:val="center"/>
          </w:tcPr>
          <w:p w14:paraId="6DDE5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526" w:type="pct"/>
            <w:tcBorders>
              <w:top w:val="single" w:color="auto" w:sz="4" w:space="0"/>
              <w:bottom w:val="single" w:color="auto" w:sz="12" w:space="0"/>
            </w:tcBorders>
            <w:vAlign w:val="center"/>
          </w:tcPr>
          <w:p w14:paraId="7902A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病指</w:t>
            </w:r>
          </w:p>
        </w:tc>
        <w:tc>
          <w:tcPr>
            <w:tcW w:w="706" w:type="pct"/>
            <w:tcBorders>
              <w:top w:val="single" w:color="auto" w:sz="4" w:space="0"/>
              <w:bottom w:val="single" w:color="auto" w:sz="12" w:space="0"/>
            </w:tcBorders>
            <w:vAlign w:val="center"/>
          </w:tcPr>
          <w:p w14:paraId="5BC2D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 %</w:t>
            </w:r>
          </w:p>
        </w:tc>
        <w:tc>
          <w:tcPr>
            <w:tcW w:w="526" w:type="pct"/>
            <w:tcBorders>
              <w:top w:val="single" w:color="auto" w:sz="4" w:space="0"/>
              <w:bottom w:val="single" w:color="auto" w:sz="12" w:space="0"/>
            </w:tcBorders>
            <w:vAlign w:val="center"/>
          </w:tcPr>
          <w:p w14:paraId="67D99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病指</w:t>
            </w:r>
          </w:p>
        </w:tc>
        <w:tc>
          <w:tcPr>
            <w:tcW w:w="704" w:type="pct"/>
            <w:tcBorders>
              <w:top w:val="single" w:color="auto" w:sz="4" w:space="0"/>
              <w:bottom w:val="single" w:color="auto" w:sz="12" w:space="0"/>
            </w:tcBorders>
            <w:vAlign w:val="center"/>
          </w:tcPr>
          <w:p w14:paraId="626D17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w:t>
            </w:r>
          </w:p>
        </w:tc>
      </w:tr>
      <w:tr w14:paraId="3639B74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exact"/>
          <w:jc w:val="center"/>
        </w:trPr>
        <w:tc>
          <w:tcPr>
            <w:tcW w:w="1482" w:type="pct"/>
            <w:tcBorders>
              <w:top w:val="single" w:color="auto" w:sz="12" w:space="0"/>
              <w:tl2br w:val="nil"/>
              <w:tr2bl w:val="nil"/>
            </w:tcBorders>
          </w:tcPr>
          <w:p w14:paraId="1A115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50%氢氧化铜可湿性粉剂</w:t>
            </w:r>
          </w:p>
        </w:tc>
        <w:tc>
          <w:tcPr>
            <w:tcW w:w="409" w:type="pct"/>
            <w:tcBorders>
              <w:top w:val="single" w:color="auto" w:sz="12" w:space="0"/>
              <w:tl2br w:val="nil"/>
              <w:tr2bl w:val="nil"/>
            </w:tcBorders>
            <w:vAlign w:val="center"/>
          </w:tcPr>
          <w:p w14:paraId="6B6FE4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1000</w:t>
            </w:r>
          </w:p>
        </w:tc>
        <w:tc>
          <w:tcPr>
            <w:tcW w:w="644" w:type="pct"/>
            <w:tcBorders>
              <w:top w:val="single" w:color="auto" w:sz="12" w:space="0"/>
              <w:tl2br w:val="nil"/>
              <w:tr2bl w:val="nil"/>
            </w:tcBorders>
            <w:vAlign w:val="center"/>
          </w:tcPr>
          <w:p w14:paraId="5CB84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2.76</w:t>
            </w:r>
          </w:p>
        </w:tc>
        <w:tc>
          <w:tcPr>
            <w:tcW w:w="526" w:type="pct"/>
            <w:tcBorders>
              <w:top w:val="single" w:color="auto" w:sz="12" w:space="0"/>
              <w:tl2br w:val="nil"/>
              <w:tr2bl w:val="nil"/>
            </w:tcBorders>
            <w:vAlign w:val="center"/>
          </w:tcPr>
          <w:p w14:paraId="548717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3.46</w:t>
            </w:r>
          </w:p>
        </w:tc>
        <w:tc>
          <w:tcPr>
            <w:tcW w:w="706" w:type="pct"/>
            <w:tcBorders>
              <w:top w:val="single" w:color="auto" w:sz="12" w:space="0"/>
              <w:tl2br w:val="nil"/>
              <w:tr2bl w:val="nil"/>
            </w:tcBorders>
            <w:vAlign w:val="center"/>
          </w:tcPr>
          <w:p w14:paraId="6DC07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70.28</w:t>
            </w:r>
          </w:p>
        </w:tc>
        <w:tc>
          <w:tcPr>
            <w:tcW w:w="526" w:type="pct"/>
            <w:tcBorders>
              <w:top w:val="single" w:color="auto" w:sz="12" w:space="0"/>
              <w:tl2br w:val="nil"/>
              <w:tr2bl w:val="nil"/>
            </w:tcBorders>
            <w:vAlign w:val="center"/>
          </w:tcPr>
          <w:p w14:paraId="344910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4.10</w:t>
            </w:r>
          </w:p>
        </w:tc>
        <w:tc>
          <w:tcPr>
            <w:tcW w:w="704" w:type="pct"/>
            <w:tcBorders>
              <w:top w:val="single" w:color="auto" w:sz="12" w:space="0"/>
              <w:tl2br w:val="nil"/>
              <w:tr2bl w:val="nil"/>
            </w:tcBorders>
            <w:vAlign w:val="center"/>
          </w:tcPr>
          <w:p w14:paraId="0AAE7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80.66</w:t>
            </w:r>
          </w:p>
        </w:tc>
      </w:tr>
      <w:tr w14:paraId="3FBD557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exact"/>
          <w:jc w:val="center"/>
        </w:trPr>
        <w:tc>
          <w:tcPr>
            <w:tcW w:w="1482" w:type="pct"/>
            <w:tcBorders>
              <w:tl2br w:val="nil"/>
              <w:tr2bl w:val="nil"/>
            </w:tcBorders>
          </w:tcPr>
          <w:p w14:paraId="21460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75%百菌清可湿性粉剂</w:t>
            </w:r>
          </w:p>
        </w:tc>
        <w:tc>
          <w:tcPr>
            <w:tcW w:w="409" w:type="pct"/>
            <w:tcBorders>
              <w:tl2br w:val="nil"/>
              <w:tr2bl w:val="nil"/>
            </w:tcBorders>
            <w:vAlign w:val="center"/>
          </w:tcPr>
          <w:p w14:paraId="4A2A85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1000</w:t>
            </w:r>
          </w:p>
        </w:tc>
        <w:tc>
          <w:tcPr>
            <w:tcW w:w="644" w:type="pct"/>
            <w:tcBorders>
              <w:tl2br w:val="nil"/>
              <w:tr2bl w:val="nil"/>
            </w:tcBorders>
            <w:vAlign w:val="center"/>
          </w:tcPr>
          <w:p w14:paraId="403ED4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2.26</w:t>
            </w:r>
          </w:p>
        </w:tc>
        <w:tc>
          <w:tcPr>
            <w:tcW w:w="526" w:type="pct"/>
            <w:tcBorders>
              <w:tl2br w:val="nil"/>
              <w:tr2bl w:val="nil"/>
            </w:tcBorders>
            <w:vAlign w:val="center"/>
          </w:tcPr>
          <w:p w14:paraId="0E19C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3.57</w:t>
            </w:r>
          </w:p>
        </w:tc>
        <w:tc>
          <w:tcPr>
            <w:tcW w:w="706" w:type="pct"/>
            <w:tcBorders>
              <w:tl2br w:val="nil"/>
              <w:tr2bl w:val="nil"/>
            </w:tcBorders>
            <w:vAlign w:val="center"/>
          </w:tcPr>
          <w:p w14:paraId="3A21C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74.54</w:t>
            </w:r>
          </w:p>
        </w:tc>
        <w:tc>
          <w:tcPr>
            <w:tcW w:w="526" w:type="pct"/>
            <w:tcBorders>
              <w:tl2br w:val="nil"/>
              <w:tr2bl w:val="nil"/>
            </w:tcBorders>
            <w:vAlign w:val="center"/>
          </w:tcPr>
          <w:p w14:paraId="67400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3.93</w:t>
            </w:r>
          </w:p>
        </w:tc>
        <w:tc>
          <w:tcPr>
            <w:tcW w:w="704" w:type="pct"/>
            <w:tcBorders>
              <w:tl2br w:val="nil"/>
              <w:tr2bl w:val="nil"/>
            </w:tcBorders>
            <w:vAlign w:val="center"/>
          </w:tcPr>
          <w:p w14:paraId="19C22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81.46</w:t>
            </w:r>
          </w:p>
        </w:tc>
      </w:tr>
      <w:tr w14:paraId="259DBA2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exact"/>
          <w:jc w:val="center"/>
        </w:trPr>
        <w:tc>
          <w:tcPr>
            <w:tcW w:w="1482" w:type="pct"/>
            <w:tcBorders>
              <w:tl2br w:val="nil"/>
              <w:tr2bl w:val="nil"/>
            </w:tcBorders>
          </w:tcPr>
          <w:p w14:paraId="3D19E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0.5%半量式波尔多液</w:t>
            </w:r>
          </w:p>
        </w:tc>
        <w:tc>
          <w:tcPr>
            <w:tcW w:w="409" w:type="pct"/>
            <w:tcBorders>
              <w:tl2br w:val="nil"/>
              <w:tr2bl w:val="nil"/>
            </w:tcBorders>
            <w:vAlign w:val="center"/>
          </w:tcPr>
          <w:p w14:paraId="6B528B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1000</w:t>
            </w:r>
          </w:p>
        </w:tc>
        <w:tc>
          <w:tcPr>
            <w:tcW w:w="644" w:type="pct"/>
            <w:tcBorders>
              <w:tl2br w:val="nil"/>
              <w:tr2bl w:val="nil"/>
            </w:tcBorders>
            <w:vAlign w:val="center"/>
          </w:tcPr>
          <w:p w14:paraId="526E68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2.33</w:t>
            </w:r>
          </w:p>
        </w:tc>
        <w:tc>
          <w:tcPr>
            <w:tcW w:w="526" w:type="pct"/>
            <w:tcBorders>
              <w:tl2br w:val="nil"/>
              <w:tr2bl w:val="nil"/>
            </w:tcBorders>
            <w:vAlign w:val="center"/>
          </w:tcPr>
          <w:p w14:paraId="7553ED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2.93</w:t>
            </w:r>
          </w:p>
        </w:tc>
        <w:tc>
          <w:tcPr>
            <w:tcW w:w="706" w:type="pct"/>
            <w:tcBorders>
              <w:tl2br w:val="nil"/>
              <w:tr2bl w:val="nil"/>
            </w:tcBorders>
            <w:vAlign w:val="center"/>
          </w:tcPr>
          <w:p w14:paraId="10BD6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77.29</w:t>
            </w:r>
          </w:p>
        </w:tc>
        <w:tc>
          <w:tcPr>
            <w:tcW w:w="526" w:type="pct"/>
            <w:tcBorders>
              <w:tl2br w:val="nil"/>
              <w:tr2bl w:val="nil"/>
            </w:tcBorders>
            <w:vAlign w:val="center"/>
          </w:tcPr>
          <w:p w14:paraId="6D6AF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3.44</w:t>
            </w:r>
          </w:p>
        </w:tc>
        <w:tc>
          <w:tcPr>
            <w:tcW w:w="704" w:type="pct"/>
            <w:tcBorders>
              <w:tl2br w:val="nil"/>
              <w:tr2bl w:val="nil"/>
            </w:tcBorders>
            <w:vAlign w:val="center"/>
          </w:tcPr>
          <w:p w14:paraId="20AB5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83.77</w:t>
            </w:r>
          </w:p>
        </w:tc>
      </w:tr>
      <w:tr w14:paraId="5C5FE46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exact"/>
          <w:jc w:val="center"/>
        </w:trPr>
        <w:tc>
          <w:tcPr>
            <w:tcW w:w="1482" w:type="pct"/>
            <w:tcBorders>
              <w:tl2br w:val="nil"/>
              <w:tr2bl w:val="nil"/>
            </w:tcBorders>
          </w:tcPr>
          <w:p w14:paraId="286C4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50%甲基托布津可湿性粉剂</w:t>
            </w:r>
          </w:p>
        </w:tc>
        <w:tc>
          <w:tcPr>
            <w:tcW w:w="409" w:type="pct"/>
            <w:tcBorders>
              <w:tl2br w:val="nil"/>
              <w:tr2bl w:val="nil"/>
            </w:tcBorders>
            <w:vAlign w:val="center"/>
          </w:tcPr>
          <w:p w14:paraId="27DA88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1000</w:t>
            </w:r>
          </w:p>
        </w:tc>
        <w:tc>
          <w:tcPr>
            <w:tcW w:w="644" w:type="pct"/>
            <w:tcBorders>
              <w:tl2br w:val="nil"/>
              <w:tr2bl w:val="nil"/>
            </w:tcBorders>
            <w:vAlign w:val="center"/>
          </w:tcPr>
          <w:p w14:paraId="7786D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2.80</w:t>
            </w:r>
          </w:p>
        </w:tc>
        <w:tc>
          <w:tcPr>
            <w:tcW w:w="526" w:type="pct"/>
            <w:tcBorders>
              <w:tl2br w:val="nil"/>
              <w:tr2bl w:val="nil"/>
            </w:tcBorders>
            <w:vAlign w:val="center"/>
          </w:tcPr>
          <w:p w14:paraId="64C9D9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3.37</w:t>
            </w:r>
          </w:p>
        </w:tc>
        <w:tc>
          <w:tcPr>
            <w:tcW w:w="706" w:type="pct"/>
            <w:tcBorders>
              <w:tl2br w:val="nil"/>
              <w:tr2bl w:val="nil"/>
            </w:tcBorders>
            <w:vAlign w:val="center"/>
          </w:tcPr>
          <w:p w14:paraId="589E7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73.80</w:t>
            </w:r>
          </w:p>
        </w:tc>
        <w:tc>
          <w:tcPr>
            <w:tcW w:w="526" w:type="pct"/>
            <w:tcBorders>
              <w:tl2br w:val="nil"/>
              <w:tr2bl w:val="nil"/>
            </w:tcBorders>
            <w:vAlign w:val="center"/>
          </w:tcPr>
          <w:p w14:paraId="7DF0B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4.27</w:t>
            </w:r>
          </w:p>
        </w:tc>
        <w:tc>
          <w:tcPr>
            <w:tcW w:w="704" w:type="pct"/>
            <w:tcBorders>
              <w:tl2br w:val="nil"/>
              <w:tr2bl w:val="nil"/>
            </w:tcBorders>
            <w:vAlign w:val="center"/>
          </w:tcPr>
          <w:p w14:paraId="0B00A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79.86</w:t>
            </w:r>
          </w:p>
        </w:tc>
      </w:tr>
      <w:tr w14:paraId="318ABB0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exact"/>
          <w:jc w:val="center"/>
        </w:trPr>
        <w:tc>
          <w:tcPr>
            <w:tcW w:w="1482" w:type="pct"/>
            <w:tcBorders>
              <w:tl2br w:val="nil"/>
              <w:tr2bl w:val="nil"/>
            </w:tcBorders>
            <w:vAlign w:val="center"/>
          </w:tcPr>
          <w:p w14:paraId="20DA1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对照（清水）</w:t>
            </w:r>
          </w:p>
        </w:tc>
        <w:tc>
          <w:tcPr>
            <w:tcW w:w="409" w:type="pct"/>
            <w:tcBorders>
              <w:tl2br w:val="nil"/>
              <w:tr2bl w:val="nil"/>
            </w:tcBorders>
            <w:vAlign w:val="center"/>
          </w:tcPr>
          <w:p w14:paraId="5F979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644" w:type="pct"/>
            <w:tcBorders>
              <w:tl2br w:val="nil"/>
              <w:tr2bl w:val="nil"/>
            </w:tcBorders>
            <w:vAlign w:val="center"/>
          </w:tcPr>
          <w:p w14:paraId="40284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2.48</w:t>
            </w:r>
          </w:p>
        </w:tc>
        <w:tc>
          <w:tcPr>
            <w:tcW w:w="526" w:type="pct"/>
            <w:tcBorders>
              <w:tl2br w:val="nil"/>
              <w:tr2bl w:val="nil"/>
            </w:tcBorders>
            <w:vAlign w:val="center"/>
          </w:tcPr>
          <w:p w14:paraId="7BFA6F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10.69</w:t>
            </w:r>
          </w:p>
        </w:tc>
        <w:tc>
          <w:tcPr>
            <w:tcW w:w="706" w:type="pct"/>
            <w:tcBorders>
              <w:tl2br w:val="nil"/>
              <w:tr2bl w:val="nil"/>
            </w:tcBorders>
            <w:vAlign w:val="center"/>
          </w:tcPr>
          <w:p w14:paraId="7D70B5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526" w:type="pct"/>
            <w:tcBorders>
              <w:tl2br w:val="nil"/>
              <w:tr2bl w:val="nil"/>
            </w:tcBorders>
            <w:vAlign w:val="center"/>
          </w:tcPr>
          <w:p w14:paraId="708380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21.20</w:t>
            </w:r>
          </w:p>
        </w:tc>
        <w:tc>
          <w:tcPr>
            <w:tcW w:w="704" w:type="pct"/>
            <w:tcBorders>
              <w:tl2br w:val="nil"/>
              <w:tr2bl w:val="nil"/>
            </w:tcBorders>
            <w:vAlign w:val="center"/>
          </w:tcPr>
          <w:p w14:paraId="616A3A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r>
    </w:tbl>
    <w:p w14:paraId="4BC6D59A">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3.1.5咖啡叶枯病</w:t>
      </w:r>
    </w:p>
    <w:p w14:paraId="4FF00AD5">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病原</w:t>
      </w:r>
      <w:r>
        <w:rPr>
          <w:rFonts w:hint="eastAsia" w:eastAsia="仿宋_GB2312" w:cs="Arial"/>
          <w:sz w:val="24"/>
          <w:szCs w:val="32"/>
          <w:lang w:val="en-US" w:eastAsia="zh-CN"/>
        </w:rPr>
        <w:t xml:space="preserve"> 橡胶生拟茎点霉</w:t>
      </w:r>
      <w:r>
        <w:rPr>
          <w:rFonts w:hint="eastAsia" w:eastAsia="仿宋_GB2312" w:cs="Arial"/>
          <w:i/>
          <w:iCs/>
          <w:sz w:val="24"/>
          <w:szCs w:val="32"/>
          <w:lang w:val="en-US" w:eastAsia="zh-CN"/>
        </w:rPr>
        <w:t>Phomopsis heveicola</w:t>
      </w:r>
    </w:p>
    <w:p w14:paraId="626ED760">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危害部位及症状</w:t>
      </w:r>
      <w:r>
        <w:rPr>
          <w:rFonts w:hint="eastAsia" w:eastAsia="仿宋_GB2312" w:cs="Arial"/>
          <w:sz w:val="24"/>
          <w:szCs w:val="32"/>
          <w:lang w:val="en-US" w:eastAsia="zh-CN"/>
        </w:rPr>
        <w:t xml:space="preserve"> 感病叶片从叶尖或叶缘开始发病，沿着叶脉扩展，病部中央出现水渍状黄褐色病斑，病健交界明显，随着病斑逐渐扩大，病斑由黄褐色、棕褐色变成黑色，严重时整叶干枯、脱落。</w:t>
      </w:r>
    </w:p>
    <w:p w14:paraId="07AEE7F3">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传播途径</w:t>
      </w:r>
      <w:r>
        <w:rPr>
          <w:rFonts w:hint="eastAsia" w:eastAsia="仿宋_GB2312" w:cs="Arial"/>
          <w:sz w:val="24"/>
          <w:szCs w:val="32"/>
          <w:lang w:val="en-US" w:eastAsia="zh-CN"/>
        </w:rPr>
        <w:t xml:space="preserve"> 病残体、风、雨。</w:t>
      </w:r>
    </w:p>
    <w:p w14:paraId="5D64D3EB">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发生特点</w:t>
      </w:r>
      <w:r>
        <w:rPr>
          <w:rFonts w:hint="eastAsia" w:eastAsia="仿宋_GB2312" w:cs="Arial"/>
          <w:sz w:val="24"/>
          <w:szCs w:val="32"/>
          <w:lang w:val="en-US" w:eastAsia="zh-CN"/>
        </w:rPr>
        <w:t xml:space="preserve"> 每年的3月至11月均可发生，初侵染通常发生在温湿度较为适宜的早春，菌丝在病残体越冬后在适宜的环境下侵染新叶，病原菌随雨水飞溅传播，遇到轻微伤口的部位侵入，导致病害发生。病斑上全年都可产生孢子，引起多次侵染。</w:t>
      </w:r>
    </w:p>
    <w:p w14:paraId="78183D31">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防治方法及药剂使用方法的确定</w:t>
      </w:r>
    </w:p>
    <w:p w14:paraId="4CAD4C42">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加强咖啡园栽培管理，保持健康植株的良好长势，平衡施用氮磷钾肥，保持咖啡园良好的通风透光通风，及时修剪病残体并移出咖啡园。</w:t>
      </w:r>
    </w:p>
    <w:p w14:paraId="6253FACA">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发病初期进行药剂防治，约10 d～15 d喷1次，连喷2次 ～ 3次（表14）。</w:t>
      </w:r>
    </w:p>
    <w:p w14:paraId="55673AC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w:t>
      </w:r>
      <w:r>
        <w:rPr>
          <w:rFonts w:hint="eastAsia" w:eastAsia="黑体" w:cs="Times New Roman"/>
          <w:bCs/>
          <w:kern w:val="44"/>
          <w:sz w:val="21"/>
          <w:szCs w:val="24"/>
          <w:lang w:val="en-US" w:eastAsia="zh-CN"/>
        </w:rPr>
        <w:t>14</w:t>
      </w:r>
      <w:r>
        <w:rPr>
          <w:rFonts w:hint="eastAsia" w:ascii="Times New Roman" w:hAnsi="Times New Roman" w:eastAsia="黑体" w:cs="Times New Roman"/>
          <w:bCs/>
          <w:kern w:val="44"/>
          <w:sz w:val="21"/>
          <w:szCs w:val="24"/>
          <w:lang w:val="en-US" w:eastAsia="zh-CN"/>
        </w:rPr>
        <w:t xml:space="preserve"> 药剂田间防治咖啡叶枯病效果</w:t>
      </w:r>
    </w:p>
    <w:tbl>
      <w:tblPr>
        <w:tblStyle w:val="9"/>
        <w:tblW w:w="5000"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637"/>
        <w:gridCol w:w="903"/>
        <w:gridCol w:w="1143"/>
        <w:gridCol w:w="1143"/>
        <w:gridCol w:w="905"/>
        <w:gridCol w:w="983"/>
        <w:gridCol w:w="1160"/>
      </w:tblGrid>
      <w:tr w14:paraId="6F400C0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1486" w:type="pct"/>
            <w:vMerge w:val="restart"/>
            <w:noWrap/>
            <w:tcMar>
              <w:top w:w="15" w:type="dxa"/>
              <w:left w:w="15" w:type="dxa"/>
              <w:right w:w="15" w:type="dxa"/>
            </w:tcMar>
            <w:vAlign w:val="center"/>
          </w:tcPr>
          <w:p w14:paraId="74987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处理</w:t>
            </w:r>
          </w:p>
        </w:tc>
        <w:tc>
          <w:tcPr>
            <w:tcW w:w="509" w:type="pct"/>
            <w:vMerge w:val="restart"/>
            <w:tcMar>
              <w:top w:w="15" w:type="dxa"/>
              <w:left w:w="15" w:type="dxa"/>
              <w:right w:w="15" w:type="dxa"/>
            </w:tcMar>
            <w:vAlign w:val="center"/>
          </w:tcPr>
          <w:p w14:paraId="07076F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稀释倍数</w:t>
            </w:r>
          </w:p>
        </w:tc>
        <w:tc>
          <w:tcPr>
            <w:tcW w:w="644" w:type="pct"/>
            <w:vMerge w:val="restart"/>
            <w:tcMar>
              <w:top w:w="15" w:type="dxa"/>
              <w:left w:w="15" w:type="dxa"/>
              <w:right w:w="15" w:type="dxa"/>
            </w:tcMar>
            <w:vAlign w:val="center"/>
          </w:tcPr>
          <w:p w14:paraId="2E059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药前病指</w:t>
            </w:r>
          </w:p>
        </w:tc>
        <w:tc>
          <w:tcPr>
            <w:tcW w:w="1154" w:type="pct"/>
            <w:gridSpan w:val="2"/>
            <w:tcBorders>
              <w:bottom w:val="single" w:color="000000" w:sz="6" w:space="0"/>
            </w:tcBorders>
            <w:noWrap/>
            <w:tcMar>
              <w:top w:w="15" w:type="dxa"/>
              <w:left w:w="15" w:type="dxa"/>
              <w:right w:w="15" w:type="dxa"/>
            </w:tcMar>
            <w:vAlign w:val="center"/>
          </w:tcPr>
          <w:p w14:paraId="2F1B8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一次药后10d调查</w:t>
            </w:r>
          </w:p>
        </w:tc>
        <w:tc>
          <w:tcPr>
            <w:tcW w:w="1207" w:type="pct"/>
            <w:gridSpan w:val="2"/>
            <w:tcBorders>
              <w:bottom w:val="single" w:color="000000" w:sz="6" w:space="0"/>
            </w:tcBorders>
            <w:noWrap/>
            <w:tcMar>
              <w:top w:w="15" w:type="dxa"/>
              <w:left w:w="15" w:type="dxa"/>
              <w:right w:w="15" w:type="dxa"/>
            </w:tcMar>
            <w:vAlign w:val="center"/>
          </w:tcPr>
          <w:p w14:paraId="5069BF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二次药后10d调查</w:t>
            </w:r>
          </w:p>
        </w:tc>
      </w:tr>
      <w:tr w14:paraId="28BA1B2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1486" w:type="pct"/>
            <w:vMerge w:val="continue"/>
            <w:tcBorders>
              <w:bottom w:val="single" w:color="000000" w:sz="6" w:space="0"/>
            </w:tcBorders>
            <w:noWrap/>
            <w:tcMar>
              <w:top w:w="15" w:type="dxa"/>
              <w:left w:w="15" w:type="dxa"/>
              <w:right w:w="15" w:type="dxa"/>
            </w:tcMar>
            <w:vAlign w:val="center"/>
          </w:tcPr>
          <w:p w14:paraId="02B00B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509" w:type="pct"/>
            <w:vMerge w:val="continue"/>
            <w:tcBorders>
              <w:bottom w:val="single" w:color="000000" w:sz="6" w:space="0"/>
            </w:tcBorders>
            <w:tcMar>
              <w:top w:w="15" w:type="dxa"/>
              <w:left w:w="15" w:type="dxa"/>
              <w:right w:w="15" w:type="dxa"/>
            </w:tcMar>
            <w:vAlign w:val="center"/>
          </w:tcPr>
          <w:p w14:paraId="42BC3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644" w:type="pct"/>
            <w:vMerge w:val="continue"/>
            <w:tcBorders>
              <w:bottom w:val="single" w:color="000000" w:sz="6" w:space="0"/>
            </w:tcBorders>
            <w:tcMar>
              <w:top w:w="15" w:type="dxa"/>
              <w:left w:w="15" w:type="dxa"/>
              <w:right w:w="15" w:type="dxa"/>
            </w:tcMar>
            <w:vAlign w:val="center"/>
          </w:tcPr>
          <w:p w14:paraId="3C9B34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644" w:type="pct"/>
            <w:tcBorders>
              <w:top w:val="single" w:color="000000" w:sz="6" w:space="0"/>
              <w:bottom w:val="single" w:color="000000" w:sz="6" w:space="0"/>
            </w:tcBorders>
            <w:tcMar>
              <w:top w:w="15" w:type="dxa"/>
              <w:left w:w="15" w:type="dxa"/>
              <w:right w:w="15" w:type="dxa"/>
            </w:tcMar>
            <w:vAlign w:val="center"/>
          </w:tcPr>
          <w:p w14:paraId="27A251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病指</w:t>
            </w:r>
          </w:p>
        </w:tc>
        <w:tc>
          <w:tcPr>
            <w:tcW w:w="510" w:type="pct"/>
            <w:tcBorders>
              <w:top w:val="single" w:color="000000" w:sz="6" w:space="0"/>
              <w:bottom w:val="single" w:color="000000" w:sz="6" w:space="0"/>
            </w:tcBorders>
            <w:tcMar>
              <w:top w:w="15" w:type="dxa"/>
              <w:left w:w="15" w:type="dxa"/>
              <w:right w:w="15" w:type="dxa"/>
            </w:tcMar>
            <w:vAlign w:val="center"/>
          </w:tcPr>
          <w:p w14:paraId="1AD297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w:t>
            </w:r>
          </w:p>
        </w:tc>
        <w:tc>
          <w:tcPr>
            <w:tcW w:w="554" w:type="pct"/>
            <w:tcBorders>
              <w:top w:val="single" w:color="000000" w:sz="6" w:space="0"/>
              <w:bottom w:val="single" w:color="000000" w:sz="6" w:space="0"/>
            </w:tcBorders>
            <w:tcMar>
              <w:top w:w="15" w:type="dxa"/>
              <w:left w:w="15" w:type="dxa"/>
              <w:right w:w="15" w:type="dxa"/>
            </w:tcMar>
            <w:vAlign w:val="center"/>
          </w:tcPr>
          <w:p w14:paraId="19D2D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病指</w:t>
            </w:r>
          </w:p>
        </w:tc>
        <w:tc>
          <w:tcPr>
            <w:tcW w:w="653" w:type="pct"/>
            <w:tcBorders>
              <w:top w:val="single" w:color="000000" w:sz="6" w:space="0"/>
              <w:bottom w:val="single" w:color="000000" w:sz="6" w:space="0"/>
            </w:tcBorders>
            <w:tcMar>
              <w:top w:w="15" w:type="dxa"/>
              <w:left w:w="15" w:type="dxa"/>
              <w:right w:w="15" w:type="dxa"/>
            </w:tcMar>
            <w:vAlign w:val="center"/>
          </w:tcPr>
          <w:p w14:paraId="2544E6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w:t>
            </w:r>
          </w:p>
        </w:tc>
      </w:tr>
      <w:tr w14:paraId="5924FFF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1486" w:type="pct"/>
            <w:tcBorders>
              <w:top w:val="single" w:color="000000" w:sz="6" w:space="0"/>
              <w:tl2br w:val="nil"/>
              <w:tr2bl w:val="nil"/>
            </w:tcBorders>
            <w:tcMar>
              <w:top w:w="15" w:type="dxa"/>
              <w:left w:w="15" w:type="dxa"/>
              <w:right w:w="15" w:type="dxa"/>
            </w:tcMar>
            <w:vAlign w:val="center"/>
          </w:tcPr>
          <w:p w14:paraId="0E8D7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50%多菌灵可湿性粉剂</w:t>
            </w:r>
          </w:p>
        </w:tc>
        <w:tc>
          <w:tcPr>
            <w:tcW w:w="509" w:type="pct"/>
            <w:tcBorders>
              <w:top w:val="single" w:color="000000" w:sz="6" w:space="0"/>
              <w:tl2br w:val="nil"/>
              <w:tr2bl w:val="nil"/>
            </w:tcBorders>
            <w:noWrap/>
            <w:tcMar>
              <w:top w:w="15" w:type="dxa"/>
              <w:left w:w="15" w:type="dxa"/>
              <w:right w:w="15" w:type="dxa"/>
            </w:tcMar>
            <w:vAlign w:val="center"/>
          </w:tcPr>
          <w:p w14:paraId="0B2320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800</w:t>
            </w:r>
          </w:p>
        </w:tc>
        <w:tc>
          <w:tcPr>
            <w:tcW w:w="644" w:type="pct"/>
            <w:tcBorders>
              <w:top w:val="single" w:color="000000" w:sz="6" w:space="0"/>
              <w:tl2br w:val="nil"/>
              <w:tr2bl w:val="nil"/>
            </w:tcBorders>
            <w:noWrap/>
            <w:tcMar>
              <w:top w:w="15" w:type="dxa"/>
              <w:left w:w="15" w:type="dxa"/>
              <w:right w:w="15" w:type="dxa"/>
            </w:tcMar>
            <w:vAlign w:val="center"/>
          </w:tcPr>
          <w:p w14:paraId="4C0B2B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4.80</w:t>
            </w:r>
          </w:p>
        </w:tc>
        <w:tc>
          <w:tcPr>
            <w:tcW w:w="644" w:type="pct"/>
            <w:tcBorders>
              <w:top w:val="single" w:color="000000" w:sz="6" w:space="0"/>
              <w:tl2br w:val="nil"/>
              <w:tr2bl w:val="nil"/>
            </w:tcBorders>
            <w:noWrap/>
            <w:tcMar>
              <w:top w:w="15" w:type="dxa"/>
              <w:left w:w="15" w:type="dxa"/>
              <w:right w:w="15" w:type="dxa"/>
            </w:tcMar>
            <w:vAlign w:val="center"/>
          </w:tcPr>
          <w:p w14:paraId="45EEE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5.28</w:t>
            </w:r>
          </w:p>
        </w:tc>
        <w:tc>
          <w:tcPr>
            <w:tcW w:w="510" w:type="pct"/>
            <w:tcBorders>
              <w:top w:val="single" w:color="000000" w:sz="6" w:space="0"/>
              <w:tl2br w:val="nil"/>
              <w:tr2bl w:val="nil"/>
            </w:tcBorders>
            <w:noWrap/>
            <w:tcMar>
              <w:top w:w="15" w:type="dxa"/>
              <w:left w:w="15" w:type="dxa"/>
              <w:right w:w="15" w:type="dxa"/>
            </w:tcMar>
            <w:vAlign w:val="center"/>
          </w:tcPr>
          <w:p w14:paraId="2776F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67.79</w:t>
            </w:r>
          </w:p>
        </w:tc>
        <w:tc>
          <w:tcPr>
            <w:tcW w:w="554" w:type="pct"/>
            <w:tcBorders>
              <w:top w:val="single" w:color="000000" w:sz="6" w:space="0"/>
              <w:tl2br w:val="nil"/>
              <w:tr2bl w:val="nil"/>
            </w:tcBorders>
            <w:noWrap/>
            <w:tcMar>
              <w:top w:w="15" w:type="dxa"/>
              <w:left w:w="15" w:type="dxa"/>
              <w:right w:w="15" w:type="dxa"/>
            </w:tcMar>
            <w:vAlign w:val="center"/>
          </w:tcPr>
          <w:p w14:paraId="1E755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6.4</w:t>
            </w:r>
          </w:p>
        </w:tc>
        <w:tc>
          <w:tcPr>
            <w:tcW w:w="653" w:type="pct"/>
            <w:tcBorders>
              <w:top w:val="single" w:color="000000" w:sz="6" w:space="0"/>
              <w:tl2br w:val="nil"/>
              <w:tr2bl w:val="nil"/>
            </w:tcBorders>
            <w:noWrap/>
            <w:tcMar>
              <w:top w:w="15" w:type="dxa"/>
              <w:left w:w="15" w:type="dxa"/>
              <w:right w:w="15" w:type="dxa"/>
            </w:tcMar>
            <w:vAlign w:val="center"/>
          </w:tcPr>
          <w:p w14:paraId="708E4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78.74</w:t>
            </w:r>
          </w:p>
        </w:tc>
      </w:tr>
      <w:tr w14:paraId="5915A90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1486" w:type="pct"/>
            <w:tcBorders>
              <w:tl2br w:val="nil"/>
              <w:tr2bl w:val="nil"/>
            </w:tcBorders>
            <w:tcMar>
              <w:top w:w="15" w:type="dxa"/>
              <w:left w:w="15" w:type="dxa"/>
              <w:right w:w="15" w:type="dxa"/>
            </w:tcMar>
            <w:vAlign w:val="center"/>
          </w:tcPr>
          <w:p w14:paraId="3CFBF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75%苯醚·咪鲜胺可湿性粉剂</w:t>
            </w:r>
          </w:p>
        </w:tc>
        <w:tc>
          <w:tcPr>
            <w:tcW w:w="509" w:type="pct"/>
            <w:tcBorders>
              <w:tl2br w:val="nil"/>
              <w:tr2bl w:val="nil"/>
            </w:tcBorders>
            <w:noWrap/>
            <w:tcMar>
              <w:top w:w="15" w:type="dxa"/>
              <w:left w:w="15" w:type="dxa"/>
              <w:right w:w="15" w:type="dxa"/>
            </w:tcMar>
            <w:vAlign w:val="center"/>
          </w:tcPr>
          <w:p w14:paraId="4626C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1500</w:t>
            </w:r>
          </w:p>
        </w:tc>
        <w:tc>
          <w:tcPr>
            <w:tcW w:w="644" w:type="pct"/>
            <w:tcBorders>
              <w:tl2br w:val="nil"/>
              <w:tr2bl w:val="nil"/>
            </w:tcBorders>
            <w:noWrap/>
            <w:tcMar>
              <w:top w:w="15" w:type="dxa"/>
              <w:left w:w="15" w:type="dxa"/>
              <w:right w:w="15" w:type="dxa"/>
            </w:tcMar>
            <w:vAlign w:val="center"/>
          </w:tcPr>
          <w:p w14:paraId="3630D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3.89</w:t>
            </w:r>
          </w:p>
        </w:tc>
        <w:tc>
          <w:tcPr>
            <w:tcW w:w="644" w:type="pct"/>
            <w:tcBorders>
              <w:tl2br w:val="nil"/>
              <w:tr2bl w:val="nil"/>
            </w:tcBorders>
            <w:noWrap/>
            <w:tcMar>
              <w:top w:w="15" w:type="dxa"/>
              <w:left w:w="15" w:type="dxa"/>
              <w:right w:w="15" w:type="dxa"/>
            </w:tcMar>
            <w:vAlign w:val="center"/>
          </w:tcPr>
          <w:p w14:paraId="53B54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3.89</w:t>
            </w:r>
          </w:p>
        </w:tc>
        <w:tc>
          <w:tcPr>
            <w:tcW w:w="510" w:type="pct"/>
            <w:tcBorders>
              <w:tl2br w:val="nil"/>
              <w:tr2bl w:val="nil"/>
            </w:tcBorders>
            <w:noWrap/>
            <w:tcMar>
              <w:top w:w="15" w:type="dxa"/>
              <w:left w:w="15" w:type="dxa"/>
              <w:right w:w="15" w:type="dxa"/>
            </w:tcMar>
            <w:vAlign w:val="center"/>
          </w:tcPr>
          <w:p w14:paraId="0D0CF5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76.27</w:t>
            </w:r>
          </w:p>
        </w:tc>
        <w:tc>
          <w:tcPr>
            <w:tcW w:w="554" w:type="pct"/>
            <w:tcBorders>
              <w:tl2br w:val="nil"/>
              <w:tr2bl w:val="nil"/>
            </w:tcBorders>
            <w:noWrap/>
            <w:tcMar>
              <w:top w:w="15" w:type="dxa"/>
              <w:left w:w="15" w:type="dxa"/>
              <w:right w:w="15" w:type="dxa"/>
            </w:tcMar>
            <w:vAlign w:val="center"/>
          </w:tcPr>
          <w:p w14:paraId="560CBF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4.3</w:t>
            </w:r>
          </w:p>
        </w:tc>
        <w:tc>
          <w:tcPr>
            <w:tcW w:w="653" w:type="pct"/>
            <w:tcBorders>
              <w:tl2br w:val="nil"/>
              <w:tr2bl w:val="nil"/>
            </w:tcBorders>
            <w:noWrap/>
            <w:tcMar>
              <w:top w:w="15" w:type="dxa"/>
              <w:left w:w="15" w:type="dxa"/>
              <w:right w:w="15" w:type="dxa"/>
            </w:tcMar>
            <w:vAlign w:val="center"/>
          </w:tcPr>
          <w:p w14:paraId="3E6DFE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85.71</w:t>
            </w:r>
          </w:p>
        </w:tc>
      </w:tr>
      <w:tr w14:paraId="20C6983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1486" w:type="pct"/>
            <w:tcBorders>
              <w:tl2br w:val="nil"/>
              <w:tr2bl w:val="nil"/>
            </w:tcBorders>
            <w:tcMar>
              <w:top w:w="15" w:type="dxa"/>
              <w:left w:w="15" w:type="dxa"/>
              <w:right w:w="15" w:type="dxa"/>
            </w:tcMar>
            <w:vAlign w:val="center"/>
          </w:tcPr>
          <w:p w14:paraId="69F3A0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10%苯醚甲环唑水分散粒剂</w:t>
            </w:r>
          </w:p>
        </w:tc>
        <w:tc>
          <w:tcPr>
            <w:tcW w:w="509" w:type="pct"/>
            <w:tcBorders>
              <w:tl2br w:val="nil"/>
              <w:tr2bl w:val="nil"/>
            </w:tcBorders>
            <w:noWrap/>
            <w:tcMar>
              <w:top w:w="15" w:type="dxa"/>
              <w:left w:w="15" w:type="dxa"/>
              <w:right w:w="15" w:type="dxa"/>
            </w:tcMar>
            <w:vAlign w:val="center"/>
          </w:tcPr>
          <w:p w14:paraId="5379E3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1200</w:t>
            </w:r>
          </w:p>
        </w:tc>
        <w:tc>
          <w:tcPr>
            <w:tcW w:w="644" w:type="pct"/>
            <w:tcBorders>
              <w:tl2br w:val="nil"/>
              <w:tr2bl w:val="nil"/>
            </w:tcBorders>
            <w:noWrap/>
            <w:tcMar>
              <w:top w:w="15" w:type="dxa"/>
              <w:left w:w="15" w:type="dxa"/>
              <w:right w:w="15" w:type="dxa"/>
            </w:tcMar>
            <w:vAlign w:val="center"/>
          </w:tcPr>
          <w:p w14:paraId="417548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3.06</w:t>
            </w:r>
          </w:p>
        </w:tc>
        <w:tc>
          <w:tcPr>
            <w:tcW w:w="644" w:type="pct"/>
            <w:tcBorders>
              <w:tl2br w:val="nil"/>
              <w:tr2bl w:val="nil"/>
            </w:tcBorders>
            <w:noWrap/>
            <w:tcMar>
              <w:top w:w="15" w:type="dxa"/>
              <w:left w:w="15" w:type="dxa"/>
              <w:right w:w="15" w:type="dxa"/>
            </w:tcMar>
            <w:vAlign w:val="center"/>
          </w:tcPr>
          <w:p w14:paraId="02E8D7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w:t>
            </w:r>
          </w:p>
        </w:tc>
        <w:tc>
          <w:tcPr>
            <w:tcW w:w="510" w:type="pct"/>
            <w:tcBorders>
              <w:tl2br w:val="nil"/>
              <w:tr2bl w:val="nil"/>
            </w:tcBorders>
            <w:noWrap/>
            <w:tcMar>
              <w:top w:w="15" w:type="dxa"/>
              <w:left w:w="15" w:type="dxa"/>
              <w:right w:w="15" w:type="dxa"/>
            </w:tcMar>
            <w:vAlign w:val="center"/>
          </w:tcPr>
          <w:p w14:paraId="2C6E7C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75.59</w:t>
            </w:r>
          </w:p>
        </w:tc>
        <w:tc>
          <w:tcPr>
            <w:tcW w:w="554" w:type="pct"/>
            <w:tcBorders>
              <w:tl2br w:val="nil"/>
              <w:tr2bl w:val="nil"/>
            </w:tcBorders>
            <w:noWrap/>
            <w:tcMar>
              <w:top w:w="15" w:type="dxa"/>
              <w:left w:w="15" w:type="dxa"/>
              <w:right w:w="15" w:type="dxa"/>
            </w:tcMar>
            <w:vAlign w:val="center"/>
          </w:tcPr>
          <w:p w14:paraId="1ED9B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5.3</w:t>
            </w:r>
          </w:p>
        </w:tc>
        <w:tc>
          <w:tcPr>
            <w:tcW w:w="653" w:type="pct"/>
            <w:tcBorders>
              <w:tl2br w:val="nil"/>
              <w:tr2bl w:val="nil"/>
            </w:tcBorders>
            <w:noWrap/>
            <w:tcMar>
              <w:top w:w="15" w:type="dxa"/>
              <w:left w:w="15" w:type="dxa"/>
              <w:right w:w="15" w:type="dxa"/>
            </w:tcMar>
            <w:vAlign w:val="center"/>
          </w:tcPr>
          <w:p w14:paraId="6C289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82.39</w:t>
            </w:r>
          </w:p>
        </w:tc>
      </w:tr>
      <w:tr w14:paraId="472CA25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1486" w:type="pct"/>
            <w:tcBorders>
              <w:tl2br w:val="nil"/>
              <w:tr2bl w:val="nil"/>
            </w:tcBorders>
            <w:tcMar>
              <w:top w:w="15" w:type="dxa"/>
              <w:left w:w="15" w:type="dxa"/>
              <w:right w:w="15" w:type="dxa"/>
            </w:tcMar>
            <w:vAlign w:val="center"/>
          </w:tcPr>
          <w:p w14:paraId="48D97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25%戊唑醇乳油</w:t>
            </w:r>
          </w:p>
        </w:tc>
        <w:tc>
          <w:tcPr>
            <w:tcW w:w="509" w:type="pct"/>
            <w:tcBorders>
              <w:tl2br w:val="nil"/>
              <w:tr2bl w:val="nil"/>
            </w:tcBorders>
            <w:noWrap/>
            <w:tcMar>
              <w:top w:w="15" w:type="dxa"/>
              <w:left w:w="15" w:type="dxa"/>
              <w:right w:w="15" w:type="dxa"/>
            </w:tcMar>
            <w:vAlign w:val="center"/>
          </w:tcPr>
          <w:p w14:paraId="1C3D2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1200</w:t>
            </w:r>
          </w:p>
        </w:tc>
        <w:tc>
          <w:tcPr>
            <w:tcW w:w="644" w:type="pct"/>
            <w:tcBorders>
              <w:tl2br w:val="nil"/>
              <w:tr2bl w:val="nil"/>
            </w:tcBorders>
            <w:noWrap/>
            <w:tcMar>
              <w:top w:w="15" w:type="dxa"/>
              <w:left w:w="15" w:type="dxa"/>
              <w:right w:w="15" w:type="dxa"/>
            </w:tcMar>
            <w:vAlign w:val="center"/>
          </w:tcPr>
          <w:p w14:paraId="271677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4.72</w:t>
            </w:r>
          </w:p>
        </w:tc>
        <w:tc>
          <w:tcPr>
            <w:tcW w:w="644" w:type="pct"/>
            <w:tcBorders>
              <w:tl2br w:val="nil"/>
              <w:tr2bl w:val="nil"/>
            </w:tcBorders>
            <w:noWrap/>
            <w:tcMar>
              <w:top w:w="15" w:type="dxa"/>
              <w:left w:w="15" w:type="dxa"/>
              <w:right w:w="15" w:type="dxa"/>
            </w:tcMar>
            <w:vAlign w:val="center"/>
          </w:tcPr>
          <w:p w14:paraId="4E25D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5.5</w:t>
            </w:r>
          </w:p>
        </w:tc>
        <w:tc>
          <w:tcPr>
            <w:tcW w:w="510" w:type="pct"/>
            <w:tcBorders>
              <w:tl2br w:val="nil"/>
              <w:tr2bl w:val="nil"/>
            </w:tcBorders>
            <w:noWrap/>
            <w:tcMar>
              <w:top w:w="15" w:type="dxa"/>
              <w:left w:w="15" w:type="dxa"/>
              <w:right w:w="15" w:type="dxa"/>
            </w:tcMar>
            <w:vAlign w:val="center"/>
          </w:tcPr>
          <w:p w14:paraId="53B21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66.44</w:t>
            </w:r>
          </w:p>
        </w:tc>
        <w:tc>
          <w:tcPr>
            <w:tcW w:w="554" w:type="pct"/>
            <w:tcBorders>
              <w:tl2br w:val="nil"/>
              <w:tr2bl w:val="nil"/>
            </w:tcBorders>
            <w:noWrap/>
            <w:tcMar>
              <w:top w:w="15" w:type="dxa"/>
              <w:left w:w="15" w:type="dxa"/>
              <w:right w:w="15" w:type="dxa"/>
            </w:tcMar>
            <w:vAlign w:val="center"/>
          </w:tcPr>
          <w:p w14:paraId="00B27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6.5</w:t>
            </w:r>
          </w:p>
        </w:tc>
        <w:tc>
          <w:tcPr>
            <w:tcW w:w="653" w:type="pct"/>
            <w:tcBorders>
              <w:tl2br w:val="nil"/>
              <w:tr2bl w:val="nil"/>
            </w:tcBorders>
            <w:noWrap/>
            <w:tcMar>
              <w:top w:w="15" w:type="dxa"/>
              <w:left w:w="15" w:type="dxa"/>
              <w:right w:w="15" w:type="dxa"/>
            </w:tcMar>
            <w:vAlign w:val="center"/>
          </w:tcPr>
          <w:p w14:paraId="1D2A71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78.41</w:t>
            </w:r>
          </w:p>
        </w:tc>
      </w:tr>
      <w:tr w14:paraId="6CDCAC8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1486" w:type="pct"/>
            <w:tcBorders>
              <w:tl2br w:val="nil"/>
              <w:tr2bl w:val="nil"/>
            </w:tcBorders>
            <w:tcMar>
              <w:top w:w="15" w:type="dxa"/>
              <w:left w:w="15" w:type="dxa"/>
              <w:right w:w="15" w:type="dxa"/>
            </w:tcMar>
            <w:vAlign w:val="center"/>
          </w:tcPr>
          <w:p w14:paraId="0823E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25%嘧菌酯悬浮剂</w:t>
            </w:r>
          </w:p>
        </w:tc>
        <w:tc>
          <w:tcPr>
            <w:tcW w:w="509" w:type="pct"/>
            <w:tcBorders>
              <w:tl2br w:val="nil"/>
              <w:tr2bl w:val="nil"/>
            </w:tcBorders>
            <w:noWrap/>
            <w:tcMar>
              <w:top w:w="15" w:type="dxa"/>
              <w:left w:w="15" w:type="dxa"/>
              <w:right w:w="15" w:type="dxa"/>
            </w:tcMar>
            <w:vAlign w:val="center"/>
          </w:tcPr>
          <w:p w14:paraId="07138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2000</w:t>
            </w:r>
          </w:p>
        </w:tc>
        <w:tc>
          <w:tcPr>
            <w:tcW w:w="644" w:type="pct"/>
            <w:tcBorders>
              <w:tl2br w:val="nil"/>
              <w:tr2bl w:val="nil"/>
            </w:tcBorders>
            <w:noWrap/>
            <w:tcMar>
              <w:top w:w="15" w:type="dxa"/>
              <w:left w:w="15" w:type="dxa"/>
              <w:right w:w="15" w:type="dxa"/>
            </w:tcMar>
            <w:vAlign w:val="center"/>
          </w:tcPr>
          <w:p w14:paraId="6E77A5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4.72</w:t>
            </w:r>
          </w:p>
        </w:tc>
        <w:tc>
          <w:tcPr>
            <w:tcW w:w="644" w:type="pct"/>
            <w:tcBorders>
              <w:tl2br w:val="nil"/>
              <w:tr2bl w:val="nil"/>
            </w:tcBorders>
            <w:noWrap/>
            <w:tcMar>
              <w:top w:w="15" w:type="dxa"/>
              <w:left w:w="15" w:type="dxa"/>
              <w:right w:w="15" w:type="dxa"/>
            </w:tcMar>
            <w:vAlign w:val="center"/>
          </w:tcPr>
          <w:p w14:paraId="335D1C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5.4</w:t>
            </w:r>
          </w:p>
        </w:tc>
        <w:tc>
          <w:tcPr>
            <w:tcW w:w="510" w:type="pct"/>
            <w:tcBorders>
              <w:tl2br w:val="nil"/>
              <w:tr2bl w:val="nil"/>
            </w:tcBorders>
            <w:noWrap/>
            <w:tcMar>
              <w:top w:w="15" w:type="dxa"/>
              <w:left w:w="15" w:type="dxa"/>
              <w:right w:w="15" w:type="dxa"/>
            </w:tcMar>
            <w:vAlign w:val="center"/>
          </w:tcPr>
          <w:p w14:paraId="7DC4D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67.05</w:t>
            </w:r>
          </w:p>
        </w:tc>
        <w:tc>
          <w:tcPr>
            <w:tcW w:w="554" w:type="pct"/>
            <w:tcBorders>
              <w:tl2br w:val="nil"/>
              <w:tr2bl w:val="nil"/>
            </w:tcBorders>
            <w:noWrap/>
            <w:tcMar>
              <w:top w:w="15" w:type="dxa"/>
              <w:left w:w="15" w:type="dxa"/>
              <w:right w:w="15" w:type="dxa"/>
            </w:tcMar>
            <w:vAlign w:val="center"/>
          </w:tcPr>
          <w:p w14:paraId="34934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6.2</w:t>
            </w:r>
          </w:p>
        </w:tc>
        <w:tc>
          <w:tcPr>
            <w:tcW w:w="653" w:type="pct"/>
            <w:tcBorders>
              <w:tl2br w:val="nil"/>
              <w:tr2bl w:val="nil"/>
            </w:tcBorders>
            <w:noWrap/>
            <w:tcMar>
              <w:top w:w="15" w:type="dxa"/>
              <w:left w:w="15" w:type="dxa"/>
              <w:right w:w="15" w:type="dxa"/>
            </w:tcMar>
            <w:vAlign w:val="center"/>
          </w:tcPr>
          <w:p w14:paraId="433F05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79.40</w:t>
            </w:r>
          </w:p>
        </w:tc>
      </w:tr>
      <w:tr w14:paraId="4339344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1486" w:type="pct"/>
            <w:tcBorders>
              <w:tl2br w:val="nil"/>
              <w:tr2bl w:val="nil"/>
            </w:tcBorders>
            <w:tcMar>
              <w:top w:w="15" w:type="dxa"/>
              <w:left w:w="15" w:type="dxa"/>
              <w:right w:w="15" w:type="dxa"/>
            </w:tcMar>
            <w:vAlign w:val="center"/>
          </w:tcPr>
          <w:p w14:paraId="7AD5D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对照（清水）</w:t>
            </w:r>
          </w:p>
        </w:tc>
        <w:tc>
          <w:tcPr>
            <w:tcW w:w="509" w:type="pct"/>
            <w:tcBorders>
              <w:tl2br w:val="nil"/>
              <w:tr2bl w:val="nil"/>
            </w:tcBorders>
            <w:noWrap/>
            <w:tcMar>
              <w:top w:w="15" w:type="dxa"/>
              <w:left w:w="15" w:type="dxa"/>
              <w:right w:w="15" w:type="dxa"/>
            </w:tcMar>
            <w:vAlign w:val="center"/>
          </w:tcPr>
          <w:p w14:paraId="36EBB7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644" w:type="pct"/>
            <w:tcBorders>
              <w:tl2br w:val="nil"/>
              <w:tr2bl w:val="nil"/>
            </w:tcBorders>
            <w:noWrap/>
            <w:tcMar>
              <w:top w:w="15" w:type="dxa"/>
              <w:left w:w="15" w:type="dxa"/>
              <w:right w:w="15" w:type="dxa"/>
            </w:tcMar>
            <w:vAlign w:val="center"/>
          </w:tcPr>
          <w:p w14:paraId="564C8D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4.50</w:t>
            </w:r>
          </w:p>
        </w:tc>
        <w:tc>
          <w:tcPr>
            <w:tcW w:w="644" w:type="pct"/>
            <w:tcBorders>
              <w:tl2br w:val="nil"/>
              <w:tr2bl w:val="nil"/>
            </w:tcBorders>
            <w:noWrap/>
            <w:tcMar>
              <w:top w:w="15" w:type="dxa"/>
              <w:left w:w="15" w:type="dxa"/>
              <w:right w:w="15" w:type="dxa"/>
            </w:tcMar>
            <w:vAlign w:val="center"/>
          </w:tcPr>
          <w:p w14:paraId="51BD7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16.39</w:t>
            </w:r>
          </w:p>
        </w:tc>
        <w:tc>
          <w:tcPr>
            <w:tcW w:w="510" w:type="pct"/>
            <w:tcBorders>
              <w:tl2br w:val="nil"/>
              <w:tr2bl w:val="nil"/>
            </w:tcBorders>
            <w:noWrap/>
            <w:tcMar>
              <w:top w:w="15" w:type="dxa"/>
              <w:left w:w="15" w:type="dxa"/>
              <w:right w:w="15" w:type="dxa"/>
            </w:tcMar>
            <w:vAlign w:val="center"/>
          </w:tcPr>
          <w:p w14:paraId="6D24E6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554" w:type="pct"/>
            <w:tcBorders>
              <w:tl2br w:val="nil"/>
              <w:tr2bl w:val="nil"/>
            </w:tcBorders>
            <w:noWrap/>
            <w:tcMar>
              <w:top w:w="15" w:type="dxa"/>
              <w:left w:w="15" w:type="dxa"/>
              <w:right w:w="15" w:type="dxa"/>
            </w:tcMar>
            <w:vAlign w:val="center"/>
          </w:tcPr>
          <w:p w14:paraId="27061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30.1</w:t>
            </w:r>
          </w:p>
        </w:tc>
        <w:tc>
          <w:tcPr>
            <w:tcW w:w="653" w:type="pct"/>
            <w:tcBorders>
              <w:tl2br w:val="nil"/>
              <w:tr2bl w:val="nil"/>
            </w:tcBorders>
            <w:noWrap/>
            <w:tcMar>
              <w:top w:w="15" w:type="dxa"/>
              <w:left w:w="15" w:type="dxa"/>
              <w:right w:w="15" w:type="dxa"/>
            </w:tcMar>
            <w:vAlign w:val="center"/>
          </w:tcPr>
          <w:p w14:paraId="671D11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r>
    </w:tbl>
    <w:p w14:paraId="31156800">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3.2咖啡主要虫害的防治方法确定</w:t>
      </w:r>
    </w:p>
    <w:p w14:paraId="3E9CC965">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3.2.1咖啡灭字脊虎天牛</w:t>
      </w:r>
    </w:p>
    <w:p w14:paraId="5984EAD9">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危害特点</w:t>
      </w:r>
      <w:r>
        <w:rPr>
          <w:rFonts w:hint="eastAsia" w:eastAsia="仿宋_GB2312" w:cs="Arial"/>
          <w:sz w:val="24"/>
          <w:szCs w:val="32"/>
          <w:lang w:val="en-US" w:eastAsia="zh-CN"/>
        </w:rPr>
        <w:t xml:space="preserve"> 以幼虫钻蛀树干木质部危害，主要危害定植3年以上，干径在2.5cm～3.0cm以上的成龄咖啡树干，树干木栓化部位均可危害。被危害树干内幼虫可达1头～50头，造成树干横向、纵向、或环向等危害状。危害株率一般为5%～40%。被害植株在阳光强烈的正午间，辨认植株的顶叶、顶芽，若顶叶萎蔫或不正常，即为受害株。用力推、拉被害株或被风吹后被害株易从被害处折断。该虫成虫高峰期分别为5月下旬至7月中下旬和9月中下旬至11月上旬。</w:t>
      </w:r>
    </w:p>
    <w:p w14:paraId="18F82DCC">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防治方法及药剂使用确定</w:t>
      </w:r>
    </w:p>
    <w:p w14:paraId="5DE9DA58">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种植抗逆性强、矮生、株型紧凑的品种，适度荫蔽，合理密植，加强水肥管理。</w:t>
      </w:r>
    </w:p>
    <w:p w14:paraId="198EE776">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在4月和9月在3龄及以上咖啡园，抹除松散的鳞片树皮，并用10 %的石灰水喷淋咖啡树干。</w:t>
      </w:r>
    </w:p>
    <w:p w14:paraId="7D7DAE02">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在4～6月和9月～11月在3龄及以上咖啡园进行排查，清除具虫主干集中采用浸水、粉碎或烧毁等方式销毁。</w:t>
      </w:r>
    </w:p>
    <w:p w14:paraId="335FBD07">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对咖啡灭字脊虎天牛常发地段或危害严重的地块，用药剂淋干防治，防治药剂及药剂使用浓度参照文献</w:t>
      </w:r>
      <w:r>
        <w:rPr>
          <w:rFonts w:hint="eastAsia" w:eastAsia="仿宋_GB2312" w:cs="Arial"/>
          <w:sz w:val="24"/>
          <w:szCs w:val="32"/>
          <w:vertAlign w:val="superscript"/>
          <w:lang w:val="en-US" w:eastAsia="zh-CN"/>
        </w:rPr>
        <w:t>[2]</w:t>
      </w:r>
      <w:r>
        <w:rPr>
          <w:rFonts w:hint="eastAsia" w:eastAsia="仿宋_GB2312" w:cs="Arial"/>
          <w:sz w:val="24"/>
          <w:szCs w:val="32"/>
          <w:lang w:val="en-US" w:eastAsia="zh-CN"/>
        </w:rPr>
        <w:t>。</w:t>
      </w:r>
    </w:p>
    <w:p w14:paraId="271F532D">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3.2.2咖啡旋皮天牛</w:t>
      </w:r>
    </w:p>
    <w:p w14:paraId="29A06A22">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 xml:space="preserve">危害特点 </w:t>
      </w:r>
      <w:r>
        <w:rPr>
          <w:rFonts w:hint="eastAsia" w:eastAsia="仿宋_GB2312" w:cs="Arial"/>
          <w:sz w:val="24"/>
          <w:szCs w:val="32"/>
          <w:lang w:val="en-US" w:eastAsia="zh-CN"/>
        </w:rPr>
        <w:t>通常幼虫主要危害定植后2年～3年生咖啡，危害部位多在离地面5cm～30cm 或50cm～80cm的树干基部。1龄～2龄幼虫先在孵化处蛀入树干表皮下，先来回钻蛀细小蛀道或呈不规则块状危害。2龄～3龄幼虫在表皮下沿树干向下取食危害树干，取食危害后在木质部与表皮之间形成一条由上向下的扁平螺旋状纹。受害植株养分、水分被连续的螺旋纹沟所间隔，表现叶黄枝萎、树势衰弱，继而整株枯黄或枯萎状持续数年。旋皮天牛1年发生1代，以幼虫在寄主内越冬，越冬幼虫于次年3月下旬开始化蛹，羽化后成虫于5月上旬产卵。</w:t>
      </w:r>
    </w:p>
    <w:p w14:paraId="6FFDCD34">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防治方法及药剂使用确定</w:t>
      </w:r>
    </w:p>
    <w:p w14:paraId="72B9DF2E">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适度荫蔽，合理密植，清除野生寄主，保护天敌。</w:t>
      </w:r>
    </w:p>
    <w:p w14:paraId="1F37B835">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2年～3年生幼龄咖啡，在4月上中旬，采用水+胶泥+石灰粉+食盐+硫磺粉按2:1.5:1.2:0.005:0.005的配比混合均匀涂刷距地面30cm～80cm的树干上，防治天牛产卵。</w:t>
      </w:r>
    </w:p>
    <w:p w14:paraId="40129B4D">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对咖啡旋皮天牛常发地段或地块，在5月上中旬用药剂淋干防治，约7 d～10 d1次，连续2次 ～ 3次（表15）。</w:t>
      </w:r>
    </w:p>
    <w:p w14:paraId="3BB70EF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表1</w:t>
      </w:r>
      <w:r>
        <w:rPr>
          <w:rFonts w:hint="eastAsia" w:eastAsia="黑体" w:cs="Times New Roman"/>
          <w:bCs/>
          <w:kern w:val="44"/>
          <w:sz w:val="21"/>
          <w:szCs w:val="24"/>
          <w:lang w:val="en-US" w:eastAsia="zh-CN"/>
        </w:rPr>
        <w:t>5</w:t>
      </w:r>
      <w:r>
        <w:rPr>
          <w:rFonts w:hint="eastAsia" w:ascii="Times New Roman" w:hAnsi="Times New Roman" w:eastAsia="黑体" w:cs="Times New Roman"/>
          <w:bCs/>
          <w:kern w:val="44"/>
          <w:sz w:val="21"/>
          <w:szCs w:val="24"/>
          <w:lang w:val="en-US" w:eastAsia="zh-CN"/>
        </w:rPr>
        <w:t xml:space="preserve"> 药剂田间防治咖啡旋皮天牛效果</w:t>
      </w:r>
    </w:p>
    <w:tbl>
      <w:tblPr>
        <w:tblStyle w:val="10"/>
        <w:tblW w:w="4828"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34"/>
        <w:gridCol w:w="691"/>
        <w:gridCol w:w="693"/>
        <w:gridCol w:w="967"/>
        <w:gridCol w:w="1391"/>
        <w:gridCol w:w="948"/>
        <w:gridCol w:w="1427"/>
      </w:tblGrid>
      <w:tr w14:paraId="3A0C230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23" w:type="pct"/>
            <w:vMerge w:val="restart"/>
            <w:tcBorders>
              <w:top w:val="single" w:color="000000" w:sz="12" w:space="0"/>
              <w:bottom w:val="single" w:color="000000" w:sz="4" w:space="0"/>
              <w:tl2br w:val="nil"/>
            </w:tcBorders>
            <w:shd w:val="clear" w:color="auto" w:fill="FFFFFF"/>
            <w:tcMar>
              <w:top w:w="0" w:type="dxa"/>
              <w:left w:w="6" w:type="dxa"/>
              <w:bottom w:w="0" w:type="dxa"/>
              <w:right w:w="6" w:type="dxa"/>
            </w:tcMar>
            <w:vAlign w:val="center"/>
          </w:tcPr>
          <w:p w14:paraId="114CF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处理</w:t>
            </w:r>
          </w:p>
        </w:tc>
        <w:tc>
          <w:tcPr>
            <w:tcW w:w="404" w:type="pct"/>
            <w:vMerge w:val="restart"/>
            <w:tcBorders>
              <w:top w:val="single" w:color="000000" w:sz="12" w:space="0"/>
              <w:bottom w:val="single" w:color="000000" w:sz="4" w:space="0"/>
            </w:tcBorders>
            <w:shd w:val="clear" w:color="auto" w:fill="FFFFFF"/>
            <w:tcMar>
              <w:top w:w="0" w:type="dxa"/>
              <w:left w:w="6" w:type="dxa"/>
              <w:bottom w:w="0" w:type="dxa"/>
              <w:right w:w="6" w:type="dxa"/>
            </w:tcMar>
            <w:vAlign w:val="center"/>
          </w:tcPr>
          <w:p w14:paraId="0AAB0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稀释倍数</w:t>
            </w:r>
          </w:p>
        </w:tc>
        <w:tc>
          <w:tcPr>
            <w:tcW w:w="405" w:type="pct"/>
            <w:vMerge w:val="restart"/>
            <w:tcBorders>
              <w:top w:val="single" w:color="000000" w:sz="12" w:space="0"/>
              <w:bottom w:val="single" w:color="000000" w:sz="4" w:space="0"/>
            </w:tcBorders>
            <w:shd w:val="clear" w:color="auto" w:fill="FFFFFF"/>
            <w:tcMar>
              <w:top w:w="0" w:type="dxa"/>
              <w:left w:w="6" w:type="dxa"/>
              <w:bottom w:w="0" w:type="dxa"/>
              <w:right w:w="6" w:type="dxa"/>
            </w:tcMar>
            <w:vAlign w:val="center"/>
          </w:tcPr>
          <w:p w14:paraId="18BB6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施药方式</w:t>
            </w:r>
          </w:p>
        </w:tc>
        <w:tc>
          <w:tcPr>
            <w:tcW w:w="1378" w:type="pct"/>
            <w:gridSpan w:val="2"/>
            <w:tcBorders>
              <w:top w:val="single" w:color="000000" w:sz="12" w:space="0"/>
              <w:bottom w:val="single" w:color="000000" w:sz="4" w:space="0"/>
            </w:tcBorders>
            <w:shd w:val="clear" w:color="auto" w:fill="FFFFFF"/>
            <w:tcMar>
              <w:top w:w="0" w:type="dxa"/>
              <w:left w:w="6" w:type="dxa"/>
              <w:bottom w:w="0" w:type="dxa"/>
              <w:right w:w="6" w:type="dxa"/>
            </w:tcMar>
            <w:vAlign w:val="center"/>
          </w:tcPr>
          <w:p w14:paraId="3BEF6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1次施药10d效果</w:t>
            </w:r>
          </w:p>
        </w:tc>
        <w:tc>
          <w:tcPr>
            <w:tcW w:w="1388" w:type="pct"/>
            <w:gridSpan w:val="2"/>
            <w:tcBorders>
              <w:top w:val="single" w:color="000000" w:sz="12" w:space="0"/>
              <w:bottom w:val="single" w:color="000000" w:sz="4" w:space="0"/>
            </w:tcBorders>
            <w:shd w:val="clear" w:color="auto" w:fill="FFFFFF"/>
            <w:tcMar>
              <w:top w:w="0" w:type="dxa"/>
              <w:left w:w="6" w:type="dxa"/>
              <w:bottom w:w="0" w:type="dxa"/>
              <w:right w:w="6" w:type="dxa"/>
            </w:tcMar>
            <w:vAlign w:val="center"/>
          </w:tcPr>
          <w:p w14:paraId="7A245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2次施药10d效果</w:t>
            </w:r>
          </w:p>
        </w:tc>
      </w:tr>
      <w:tr w14:paraId="4CC38E0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23" w:type="pct"/>
            <w:vMerge w:val="continue"/>
            <w:tcBorders>
              <w:top w:val="single" w:color="000000" w:sz="4" w:space="0"/>
              <w:bottom w:val="single" w:color="auto" w:sz="4" w:space="0"/>
            </w:tcBorders>
            <w:shd w:val="clear" w:color="auto" w:fill="FFFFFF"/>
            <w:tcMar>
              <w:top w:w="0" w:type="dxa"/>
              <w:left w:w="6" w:type="dxa"/>
              <w:bottom w:w="0" w:type="dxa"/>
              <w:right w:w="6" w:type="dxa"/>
            </w:tcMar>
            <w:vAlign w:val="center"/>
          </w:tcPr>
          <w:p w14:paraId="5894C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404" w:type="pct"/>
            <w:vMerge w:val="continue"/>
            <w:tcBorders>
              <w:top w:val="single" w:color="000000" w:sz="4" w:space="0"/>
              <w:bottom w:val="single" w:color="auto" w:sz="4" w:space="0"/>
            </w:tcBorders>
            <w:shd w:val="clear" w:color="auto" w:fill="FFFFFF"/>
            <w:tcMar>
              <w:top w:w="0" w:type="dxa"/>
              <w:left w:w="6" w:type="dxa"/>
              <w:bottom w:w="0" w:type="dxa"/>
              <w:right w:w="6" w:type="dxa"/>
            </w:tcMar>
            <w:vAlign w:val="center"/>
          </w:tcPr>
          <w:p w14:paraId="1F3B1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405" w:type="pct"/>
            <w:vMerge w:val="continue"/>
            <w:tcBorders>
              <w:top w:val="single" w:color="000000" w:sz="4" w:space="0"/>
              <w:bottom w:val="single" w:color="auto" w:sz="4" w:space="0"/>
            </w:tcBorders>
            <w:shd w:val="clear" w:color="auto" w:fill="FFFFFF"/>
            <w:tcMar>
              <w:top w:w="0" w:type="dxa"/>
              <w:left w:w="6" w:type="dxa"/>
              <w:bottom w:w="0" w:type="dxa"/>
              <w:right w:w="6" w:type="dxa"/>
            </w:tcMar>
            <w:vAlign w:val="center"/>
          </w:tcPr>
          <w:p w14:paraId="603FC7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565"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111A2C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死亡率%</w:t>
            </w:r>
          </w:p>
        </w:tc>
        <w:tc>
          <w:tcPr>
            <w:tcW w:w="813"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1317B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校正死亡率%</w:t>
            </w:r>
          </w:p>
        </w:tc>
        <w:tc>
          <w:tcPr>
            <w:tcW w:w="554"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5528C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死亡率%</w:t>
            </w:r>
          </w:p>
        </w:tc>
        <w:tc>
          <w:tcPr>
            <w:tcW w:w="834"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4734B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校正死亡率%</w:t>
            </w:r>
          </w:p>
        </w:tc>
      </w:tr>
      <w:tr w14:paraId="10F1C20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23" w:type="pct"/>
            <w:tcBorders>
              <w:top w:val="single" w:color="auto" w:sz="4" w:space="0"/>
            </w:tcBorders>
            <w:shd w:val="clear" w:color="auto" w:fill="FFFFFF"/>
            <w:tcMar>
              <w:top w:w="0" w:type="dxa"/>
              <w:left w:w="6" w:type="dxa"/>
              <w:bottom w:w="0" w:type="dxa"/>
              <w:right w:w="6" w:type="dxa"/>
            </w:tcMar>
          </w:tcPr>
          <w:p w14:paraId="4C1D8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40%噻唑啉微囊悬浮剂</w:t>
            </w:r>
          </w:p>
        </w:tc>
        <w:tc>
          <w:tcPr>
            <w:tcW w:w="404" w:type="pct"/>
            <w:tcBorders>
              <w:top w:val="single" w:color="auto" w:sz="4" w:space="0"/>
            </w:tcBorders>
            <w:shd w:val="clear" w:color="auto" w:fill="FFFFFF"/>
            <w:tcMar>
              <w:top w:w="0" w:type="dxa"/>
              <w:left w:w="6" w:type="dxa"/>
              <w:bottom w:w="0" w:type="dxa"/>
              <w:right w:w="6" w:type="dxa"/>
            </w:tcMar>
          </w:tcPr>
          <w:p w14:paraId="727AEA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2700</w:t>
            </w:r>
          </w:p>
        </w:tc>
        <w:tc>
          <w:tcPr>
            <w:tcW w:w="405" w:type="pct"/>
            <w:tcBorders>
              <w:top w:val="single" w:color="auto" w:sz="4" w:space="0"/>
            </w:tcBorders>
            <w:shd w:val="clear" w:color="auto" w:fill="FFFFFF"/>
            <w:tcMar>
              <w:top w:w="0" w:type="dxa"/>
              <w:left w:w="6" w:type="dxa"/>
              <w:bottom w:w="0" w:type="dxa"/>
              <w:right w:w="6" w:type="dxa"/>
            </w:tcMar>
          </w:tcPr>
          <w:p w14:paraId="6094F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淋喷</w:t>
            </w:r>
          </w:p>
        </w:tc>
        <w:tc>
          <w:tcPr>
            <w:tcW w:w="565" w:type="pct"/>
            <w:tcBorders>
              <w:top w:val="single" w:color="auto" w:sz="4" w:space="0"/>
            </w:tcBorders>
            <w:shd w:val="clear" w:color="auto" w:fill="FFFFFF"/>
            <w:tcMar>
              <w:top w:w="0" w:type="dxa"/>
              <w:left w:w="6" w:type="dxa"/>
              <w:bottom w:w="0" w:type="dxa"/>
              <w:right w:w="6" w:type="dxa"/>
            </w:tcMar>
          </w:tcPr>
          <w:p w14:paraId="1EF75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91.2</w:t>
            </w:r>
          </w:p>
        </w:tc>
        <w:tc>
          <w:tcPr>
            <w:tcW w:w="813" w:type="pct"/>
            <w:tcBorders>
              <w:top w:val="single" w:color="auto" w:sz="4" w:space="0"/>
            </w:tcBorders>
            <w:shd w:val="clear" w:color="auto" w:fill="FFFFFF"/>
            <w:tcMar>
              <w:top w:w="0" w:type="dxa"/>
              <w:left w:w="6" w:type="dxa"/>
              <w:bottom w:w="0" w:type="dxa"/>
              <w:right w:w="6" w:type="dxa"/>
            </w:tcMar>
          </w:tcPr>
          <w:p w14:paraId="371B22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90.8</w:t>
            </w:r>
          </w:p>
        </w:tc>
        <w:tc>
          <w:tcPr>
            <w:tcW w:w="554" w:type="pct"/>
            <w:tcBorders>
              <w:top w:val="single" w:color="auto" w:sz="4" w:space="0"/>
            </w:tcBorders>
            <w:shd w:val="clear" w:color="auto" w:fill="FFFFFF"/>
            <w:tcMar>
              <w:top w:w="0" w:type="dxa"/>
              <w:left w:w="6" w:type="dxa"/>
              <w:bottom w:w="0" w:type="dxa"/>
              <w:right w:w="6" w:type="dxa"/>
            </w:tcMar>
          </w:tcPr>
          <w:p w14:paraId="43C35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97.8</w:t>
            </w:r>
          </w:p>
        </w:tc>
        <w:tc>
          <w:tcPr>
            <w:tcW w:w="834" w:type="pct"/>
            <w:tcBorders>
              <w:top w:val="single" w:color="auto" w:sz="4" w:space="0"/>
            </w:tcBorders>
            <w:shd w:val="clear" w:color="auto" w:fill="FFFFFF"/>
            <w:tcMar>
              <w:top w:w="0" w:type="dxa"/>
              <w:left w:w="6" w:type="dxa"/>
              <w:bottom w:w="0" w:type="dxa"/>
              <w:right w:w="6" w:type="dxa"/>
            </w:tcMar>
          </w:tcPr>
          <w:p w14:paraId="0A5FB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97.6</w:t>
            </w:r>
          </w:p>
        </w:tc>
      </w:tr>
      <w:tr w14:paraId="551A4ED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23" w:type="pct"/>
            <w:shd w:val="clear" w:color="auto" w:fill="FFFFFF"/>
            <w:tcMar>
              <w:top w:w="0" w:type="dxa"/>
              <w:left w:w="6" w:type="dxa"/>
              <w:bottom w:w="0" w:type="dxa"/>
              <w:right w:w="6" w:type="dxa"/>
            </w:tcMar>
          </w:tcPr>
          <w:p w14:paraId="35A04E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10%高效氯氟氰聚酯乳油</w:t>
            </w:r>
          </w:p>
        </w:tc>
        <w:tc>
          <w:tcPr>
            <w:tcW w:w="404" w:type="pct"/>
            <w:shd w:val="clear" w:color="auto" w:fill="FFFFFF"/>
            <w:tcMar>
              <w:top w:w="0" w:type="dxa"/>
              <w:left w:w="6" w:type="dxa"/>
              <w:bottom w:w="0" w:type="dxa"/>
              <w:right w:w="6" w:type="dxa"/>
            </w:tcMar>
          </w:tcPr>
          <w:p w14:paraId="184EDD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1200</w:t>
            </w:r>
          </w:p>
        </w:tc>
        <w:tc>
          <w:tcPr>
            <w:tcW w:w="405" w:type="pct"/>
            <w:shd w:val="clear" w:color="auto" w:fill="FFFFFF"/>
            <w:tcMar>
              <w:top w:w="0" w:type="dxa"/>
              <w:left w:w="6" w:type="dxa"/>
              <w:bottom w:w="0" w:type="dxa"/>
              <w:right w:w="6" w:type="dxa"/>
            </w:tcMar>
          </w:tcPr>
          <w:p w14:paraId="2165D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淋喷</w:t>
            </w:r>
          </w:p>
        </w:tc>
        <w:tc>
          <w:tcPr>
            <w:tcW w:w="565" w:type="pct"/>
            <w:shd w:val="clear" w:color="auto" w:fill="FFFFFF"/>
            <w:tcMar>
              <w:top w:w="0" w:type="dxa"/>
              <w:left w:w="6" w:type="dxa"/>
              <w:bottom w:w="0" w:type="dxa"/>
              <w:right w:w="6" w:type="dxa"/>
            </w:tcMar>
          </w:tcPr>
          <w:p w14:paraId="34A084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91.4</w:t>
            </w:r>
          </w:p>
        </w:tc>
        <w:tc>
          <w:tcPr>
            <w:tcW w:w="813" w:type="pct"/>
            <w:shd w:val="clear" w:color="auto" w:fill="FFFFFF"/>
            <w:tcMar>
              <w:top w:w="0" w:type="dxa"/>
              <w:left w:w="6" w:type="dxa"/>
              <w:bottom w:w="0" w:type="dxa"/>
              <w:right w:w="6" w:type="dxa"/>
            </w:tcMar>
          </w:tcPr>
          <w:p w14:paraId="55637F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91.0</w:t>
            </w:r>
          </w:p>
        </w:tc>
        <w:tc>
          <w:tcPr>
            <w:tcW w:w="554" w:type="pct"/>
            <w:shd w:val="clear" w:color="auto" w:fill="FFFFFF"/>
            <w:tcMar>
              <w:top w:w="0" w:type="dxa"/>
              <w:left w:w="6" w:type="dxa"/>
              <w:bottom w:w="0" w:type="dxa"/>
              <w:right w:w="6" w:type="dxa"/>
            </w:tcMar>
          </w:tcPr>
          <w:p w14:paraId="6F580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95.4</w:t>
            </w:r>
          </w:p>
        </w:tc>
        <w:tc>
          <w:tcPr>
            <w:tcW w:w="834" w:type="pct"/>
            <w:shd w:val="clear" w:color="auto" w:fill="FFFFFF"/>
            <w:tcMar>
              <w:top w:w="0" w:type="dxa"/>
              <w:left w:w="6" w:type="dxa"/>
              <w:bottom w:w="0" w:type="dxa"/>
              <w:right w:w="6" w:type="dxa"/>
            </w:tcMar>
          </w:tcPr>
          <w:p w14:paraId="7D0A5C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94.9</w:t>
            </w:r>
          </w:p>
        </w:tc>
      </w:tr>
      <w:tr w14:paraId="75620D6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23" w:type="pct"/>
            <w:shd w:val="clear" w:color="auto" w:fill="FFFFFF"/>
            <w:tcMar>
              <w:top w:w="0" w:type="dxa"/>
              <w:left w:w="6" w:type="dxa"/>
              <w:bottom w:w="0" w:type="dxa"/>
              <w:right w:w="6" w:type="dxa"/>
            </w:tcMar>
          </w:tcPr>
          <w:p w14:paraId="4C550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16%虫线清乳油倍液</w:t>
            </w:r>
          </w:p>
        </w:tc>
        <w:tc>
          <w:tcPr>
            <w:tcW w:w="404" w:type="pct"/>
            <w:shd w:val="clear" w:color="auto" w:fill="FFFFFF"/>
            <w:tcMar>
              <w:top w:w="0" w:type="dxa"/>
              <w:left w:w="6" w:type="dxa"/>
              <w:bottom w:w="0" w:type="dxa"/>
              <w:right w:w="6" w:type="dxa"/>
            </w:tcMar>
          </w:tcPr>
          <w:p w14:paraId="00960E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130</w:t>
            </w:r>
          </w:p>
        </w:tc>
        <w:tc>
          <w:tcPr>
            <w:tcW w:w="405" w:type="pct"/>
            <w:shd w:val="clear" w:color="auto" w:fill="FFFFFF"/>
            <w:tcMar>
              <w:top w:w="0" w:type="dxa"/>
              <w:left w:w="6" w:type="dxa"/>
              <w:bottom w:w="0" w:type="dxa"/>
              <w:right w:w="6" w:type="dxa"/>
            </w:tcMar>
          </w:tcPr>
          <w:p w14:paraId="4D4BC3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淋喷</w:t>
            </w:r>
          </w:p>
        </w:tc>
        <w:tc>
          <w:tcPr>
            <w:tcW w:w="565" w:type="pct"/>
            <w:shd w:val="clear" w:color="auto" w:fill="FFFFFF"/>
            <w:tcMar>
              <w:top w:w="0" w:type="dxa"/>
              <w:left w:w="6" w:type="dxa"/>
              <w:bottom w:w="0" w:type="dxa"/>
              <w:right w:w="6" w:type="dxa"/>
            </w:tcMar>
          </w:tcPr>
          <w:p w14:paraId="47A25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90.3</w:t>
            </w:r>
          </w:p>
        </w:tc>
        <w:tc>
          <w:tcPr>
            <w:tcW w:w="813" w:type="pct"/>
            <w:shd w:val="clear" w:color="auto" w:fill="FFFFFF"/>
            <w:tcMar>
              <w:top w:w="0" w:type="dxa"/>
              <w:left w:w="6" w:type="dxa"/>
              <w:bottom w:w="0" w:type="dxa"/>
              <w:right w:w="6" w:type="dxa"/>
            </w:tcMar>
          </w:tcPr>
          <w:p w14:paraId="070C4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89.8</w:t>
            </w:r>
          </w:p>
        </w:tc>
        <w:tc>
          <w:tcPr>
            <w:tcW w:w="554" w:type="pct"/>
            <w:shd w:val="clear" w:color="auto" w:fill="FFFFFF"/>
            <w:tcMar>
              <w:top w:w="0" w:type="dxa"/>
              <w:left w:w="6" w:type="dxa"/>
              <w:bottom w:w="0" w:type="dxa"/>
              <w:right w:w="6" w:type="dxa"/>
            </w:tcMar>
          </w:tcPr>
          <w:p w14:paraId="119596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99.4</w:t>
            </w:r>
          </w:p>
        </w:tc>
        <w:tc>
          <w:tcPr>
            <w:tcW w:w="834" w:type="pct"/>
            <w:shd w:val="clear" w:color="auto" w:fill="FFFFFF"/>
            <w:tcMar>
              <w:top w:w="0" w:type="dxa"/>
              <w:left w:w="6" w:type="dxa"/>
              <w:bottom w:w="0" w:type="dxa"/>
              <w:right w:w="6" w:type="dxa"/>
            </w:tcMar>
          </w:tcPr>
          <w:p w14:paraId="4A9D7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99.3</w:t>
            </w:r>
          </w:p>
        </w:tc>
      </w:tr>
      <w:tr w14:paraId="1E22CC1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23" w:type="pct"/>
            <w:tcBorders>
              <w:bottom w:val="single" w:color="000000" w:sz="12" w:space="0"/>
            </w:tcBorders>
            <w:shd w:val="clear" w:color="auto" w:fill="FFFFFF"/>
            <w:tcMar>
              <w:top w:w="0" w:type="dxa"/>
              <w:left w:w="6" w:type="dxa"/>
              <w:bottom w:w="0" w:type="dxa"/>
              <w:right w:w="6" w:type="dxa"/>
            </w:tcMar>
          </w:tcPr>
          <w:p w14:paraId="21DEC0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对照(CK)</w:t>
            </w:r>
          </w:p>
        </w:tc>
        <w:tc>
          <w:tcPr>
            <w:tcW w:w="404" w:type="pct"/>
            <w:tcBorders>
              <w:bottom w:val="single" w:color="000000" w:sz="12" w:space="0"/>
            </w:tcBorders>
            <w:shd w:val="clear" w:color="auto" w:fill="FFFFFF"/>
            <w:tcMar>
              <w:top w:w="0" w:type="dxa"/>
              <w:left w:w="6" w:type="dxa"/>
              <w:bottom w:w="0" w:type="dxa"/>
              <w:right w:w="6" w:type="dxa"/>
            </w:tcMar>
          </w:tcPr>
          <w:p w14:paraId="3C820B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405" w:type="pct"/>
            <w:tcBorders>
              <w:bottom w:val="single" w:color="000000" w:sz="12" w:space="0"/>
            </w:tcBorders>
            <w:shd w:val="clear" w:color="auto" w:fill="FFFFFF"/>
            <w:tcMar>
              <w:top w:w="0" w:type="dxa"/>
              <w:left w:w="6" w:type="dxa"/>
              <w:bottom w:w="0" w:type="dxa"/>
              <w:right w:w="6" w:type="dxa"/>
            </w:tcMar>
          </w:tcPr>
          <w:p w14:paraId="0EA36B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淋喷</w:t>
            </w:r>
          </w:p>
        </w:tc>
        <w:tc>
          <w:tcPr>
            <w:tcW w:w="565" w:type="pct"/>
            <w:tcBorders>
              <w:bottom w:val="single" w:color="000000" w:sz="12" w:space="0"/>
            </w:tcBorders>
            <w:shd w:val="clear" w:color="auto" w:fill="FFFFFF"/>
            <w:tcMar>
              <w:top w:w="0" w:type="dxa"/>
              <w:left w:w="6" w:type="dxa"/>
              <w:bottom w:w="0" w:type="dxa"/>
              <w:right w:w="6" w:type="dxa"/>
            </w:tcMar>
          </w:tcPr>
          <w:p w14:paraId="30C2BC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4.7</w:t>
            </w:r>
          </w:p>
        </w:tc>
        <w:tc>
          <w:tcPr>
            <w:tcW w:w="813" w:type="pct"/>
            <w:tcBorders>
              <w:bottom w:val="single" w:color="000000" w:sz="12" w:space="0"/>
            </w:tcBorders>
            <w:shd w:val="clear" w:color="auto" w:fill="FFFFFF"/>
            <w:tcMar>
              <w:top w:w="0" w:type="dxa"/>
              <w:left w:w="6" w:type="dxa"/>
              <w:bottom w:w="0" w:type="dxa"/>
              <w:right w:w="6" w:type="dxa"/>
            </w:tcMar>
          </w:tcPr>
          <w:p w14:paraId="68DB4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554" w:type="pct"/>
            <w:tcBorders>
              <w:bottom w:val="single" w:color="000000" w:sz="12" w:space="0"/>
            </w:tcBorders>
            <w:shd w:val="clear" w:color="auto" w:fill="FFFFFF"/>
            <w:tcMar>
              <w:top w:w="0" w:type="dxa"/>
              <w:left w:w="6" w:type="dxa"/>
              <w:bottom w:w="0" w:type="dxa"/>
              <w:right w:w="6" w:type="dxa"/>
            </w:tcMar>
          </w:tcPr>
          <w:p w14:paraId="136902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10.2</w:t>
            </w:r>
          </w:p>
        </w:tc>
        <w:tc>
          <w:tcPr>
            <w:tcW w:w="834" w:type="pct"/>
            <w:tcBorders>
              <w:bottom w:val="single" w:color="000000" w:sz="12" w:space="0"/>
            </w:tcBorders>
            <w:shd w:val="clear" w:color="auto" w:fill="FFFFFF"/>
            <w:tcMar>
              <w:top w:w="0" w:type="dxa"/>
              <w:left w:w="6" w:type="dxa"/>
              <w:bottom w:w="0" w:type="dxa"/>
              <w:right w:w="6" w:type="dxa"/>
            </w:tcMar>
          </w:tcPr>
          <w:p w14:paraId="5A4CBC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r>
    </w:tbl>
    <w:p w14:paraId="51850FA6">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3.2.3 咖啡木蠹蛾</w:t>
      </w:r>
    </w:p>
    <w:p w14:paraId="605A0EE0">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危害特点</w:t>
      </w:r>
      <w:r>
        <w:rPr>
          <w:rFonts w:hint="eastAsia" w:eastAsia="仿宋_GB2312" w:cs="Arial"/>
          <w:sz w:val="24"/>
          <w:szCs w:val="32"/>
          <w:lang w:val="en-US" w:eastAsia="zh-CN"/>
        </w:rPr>
        <w:t xml:space="preserve"> 主要是幼虫钻蛀咖啡枝条和茎干，使被害处以上部位黄化、枯死。成虫在咖啡树小枝、嫩梢顶端和腋芽处产卵，孵化后的幼虫即开始钻蛀为害。据观察，幼虫为害部位的选择也与气温变化有关。若天气变冷，新孵化的幼虫钻蛀为害较粗的主茎，致使咖啡树损失率更高。该虫在云南部分咖啡产区一年发生两代，以幼虫在寄主植物的枝干内越冬，越冬代幼虫2月下旬开始化蛹，3月中旬为盛期，蛹期25-28天，3月下旬有成虫出现，4月上旬为成虫羽化盛期，5月上旬是第一代幼虫为害的高峰期，8月上旬此代幼虫开始化蛹，蛹期17-19天，8月上旬开始出现成虫，9月上旬为羽化盛期，产卵期约2天，卵期平均20天左右，10月份是越冬代幼虫为害的高峰期。</w:t>
      </w:r>
    </w:p>
    <w:p w14:paraId="6E2ED352">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防治方法及药剂使用确定</w:t>
      </w:r>
    </w:p>
    <w:p w14:paraId="0B61042D">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秋冬季进行巡查，发现虫伤枝，剪除并销毁，消灭枝中害虫。</w:t>
      </w:r>
    </w:p>
    <w:p w14:paraId="18CE6BF6">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在4月～ 6月，成虫羽化期，悬挂糖酒醋液或蜂蜜20倍液水盆诱捕器，诱杀成虫。</w:t>
      </w:r>
    </w:p>
    <w:p w14:paraId="45633522">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幼虫期，采用注射器沿排粪孔注射药剂，每孔施药1次；成虫羽化期、产卵期、卵孵化期、一龄幼虫期喷施药剂防治，约7 d～10 d1次，连续2次 ～ 3次（表16）。</w:t>
      </w:r>
    </w:p>
    <w:p w14:paraId="149FBE1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表1</w:t>
      </w:r>
      <w:r>
        <w:rPr>
          <w:rFonts w:hint="eastAsia" w:eastAsia="黑体" w:cs="Times New Roman"/>
          <w:bCs/>
          <w:kern w:val="44"/>
          <w:sz w:val="21"/>
          <w:szCs w:val="24"/>
          <w:lang w:val="en-US" w:eastAsia="zh-CN"/>
        </w:rPr>
        <w:t>6</w:t>
      </w:r>
      <w:r>
        <w:rPr>
          <w:rFonts w:hint="eastAsia" w:ascii="Times New Roman" w:hAnsi="Times New Roman" w:eastAsia="黑体" w:cs="Times New Roman"/>
          <w:bCs/>
          <w:kern w:val="44"/>
          <w:sz w:val="21"/>
          <w:szCs w:val="24"/>
          <w:lang w:val="en-US" w:eastAsia="zh-CN"/>
        </w:rPr>
        <w:t xml:space="preserve"> 药剂田间防治咖啡木蠹蛾效果</w:t>
      </w:r>
    </w:p>
    <w:tbl>
      <w:tblPr>
        <w:tblStyle w:val="10"/>
        <w:tblW w:w="4879"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7"/>
        <w:gridCol w:w="692"/>
        <w:gridCol w:w="692"/>
        <w:gridCol w:w="1107"/>
        <w:gridCol w:w="1387"/>
        <w:gridCol w:w="949"/>
        <w:gridCol w:w="1288"/>
      </w:tblGrid>
      <w:tr w14:paraId="5DFD80C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61" w:type="pct"/>
            <w:vMerge w:val="restart"/>
            <w:tcBorders>
              <w:top w:val="single" w:color="000000" w:sz="12" w:space="0"/>
              <w:bottom w:val="single" w:color="000000" w:sz="4" w:space="0"/>
              <w:tl2br w:val="nil"/>
            </w:tcBorders>
            <w:shd w:val="clear" w:color="auto" w:fill="FFFFFF"/>
            <w:tcMar>
              <w:top w:w="0" w:type="dxa"/>
              <w:left w:w="6" w:type="dxa"/>
              <w:bottom w:w="0" w:type="dxa"/>
              <w:right w:w="6" w:type="dxa"/>
            </w:tcMar>
            <w:vAlign w:val="center"/>
          </w:tcPr>
          <w:p w14:paraId="361F5E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处理</w:t>
            </w:r>
          </w:p>
        </w:tc>
        <w:tc>
          <w:tcPr>
            <w:tcW w:w="400" w:type="pct"/>
            <w:vMerge w:val="restart"/>
            <w:tcBorders>
              <w:top w:val="single" w:color="000000" w:sz="12" w:space="0"/>
              <w:bottom w:val="single" w:color="000000" w:sz="4" w:space="0"/>
            </w:tcBorders>
            <w:shd w:val="clear" w:color="auto" w:fill="FFFFFF"/>
            <w:tcMar>
              <w:top w:w="0" w:type="dxa"/>
              <w:left w:w="6" w:type="dxa"/>
              <w:bottom w:w="0" w:type="dxa"/>
              <w:right w:w="6" w:type="dxa"/>
            </w:tcMar>
            <w:vAlign w:val="center"/>
          </w:tcPr>
          <w:p w14:paraId="69D8F9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稀释倍数</w:t>
            </w:r>
          </w:p>
        </w:tc>
        <w:tc>
          <w:tcPr>
            <w:tcW w:w="400" w:type="pct"/>
            <w:vMerge w:val="restart"/>
            <w:tcBorders>
              <w:top w:val="single" w:color="000000" w:sz="12" w:space="0"/>
              <w:bottom w:val="single" w:color="000000" w:sz="4" w:space="0"/>
            </w:tcBorders>
            <w:shd w:val="clear" w:color="auto" w:fill="FFFFFF"/>
            <w:tcMar>
              <w:top w:w="0" w:type="dxa"/>
              <w:left w:w="6" w:type="dxa"/>
              <w:bottom w:w="0" w:type="dxa"/>
              <w:right w:w="6" w:type="dxa"/>
            </w:tcMar>
            <w:vAlign w:val="center"/>
          </w:tcPr>
          <w:p w14:paraId="3693CE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施药方式</w:t>
            </w:r>
          </w:p>
        </w:tc>
        <w:tc>
          <w:tcPr>
            <w:tcW w:w="1442" w:type="pct"/>
            <w:gridSpan w:val="2"/>
            <w:tcBorders>
              <w:top w:val="single" w:color="000000" w:sz="12" w:space="0"/>
              <w:bottom w:val="single" w:color="000000" w:sz="4" w:space="0"/>
            </w:tcBorders>
            <w:shd w:val="clear" w:color="auto" w:fill="FFFFFF"/>
            <w:tcMar>
              <w:top w:w="0" w:type="dxa"/>
              <w:left w:w="6" w:type="dxa"/>
              <w:bottom w:w="0" w:type="dxa"/>
              <w:right w:w="6" w:type="dxa"/>
            </w:tcMar>
            <w:vAlign w:val="center"/>
          </w:tcPr>
          <w:p w14:paraId="416CF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第1次施药7d效果</w:t>
            </w:r>
          </w:p>
        </w:tc>
        <w:tc>
          <w:tcPr>
            <w:tcW w:w="1294" w:type="pct"/>
            <w:gridSpan w:val="2"/>
            <w:tcBorders>
              <w:top w:val="single" w:color="000000" w:sz="12" w:space="0"/>
              <w:bottom w:val="single" w:color="000000" w:sz="4" w:space="0"/>
            </w:tcBorders>
            <w:shd w:val="clear" w:color="auto" w:fill="FFFFFF"/>
            <w:tcMar>
              <w:top w:w="0" w:type="dxa"/>
              <w:left w:w="6" w:type="dxa"/>
              <w:bottom w:w="0" w:type="dxa"/>
              <w:right w:w="6" w:type="dxa"/>
            </w:tcMar>
            <w:vAlign w:val="center"/>
          </w:tcPr>
          <w:p w14:paraId="6B6F3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第2次施药7d效果</w:t>
            </w:r>
          </w:p>
        </w:tc>
      </w:tr>
      <w:tr w14:paraId="2DCDFCE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61" w:type="pct"/>
            <w:vMerge w:val="continue"/>
            <w:tcBorders>
              <w:top w:val="single" w:color="000000" w:sz="4" w:space="0"/>
              <w:bottom w:val="single" w:color="auto" w:sz="4" w:space="0"/>
            </w:tcBorders>
            <w:shd w:val="clear" w:color="auto" w:fill="FFFFFF"/>
            <w:tcMar>
              <w:top w:w="0" w:type="dxa"/>
              <w:left w:w="6" w:type="dxa"/>
              <w:bottom w:w="0" w:type="dxa"/>
              <w:right w:w="6" w:type="dxa"/>
            </w:tcMar>
            <w:vAlign w:val="center"/>
          </w:tcPr>
          <w:p w14:paraId="33140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400" w:type="pct"/>
            <w:vMerge w:val="continue"/>
            <w:tcBorders>
              <w:top w:val="single" w:color="000000" w:sz="4" w:space="0"/>
              <w:bottom w:val="single" w:color="auto" w:sz="4" w:space="0"/>
            </w:tcBorders>
            <w:shd w:val="clear" w:color="auto" w:fill="FFFFFF"/>
            <w:tcMar>
              <w:top w:w="0" w:type="dxa"/>
              <w:left w:w="6" w:type="dxa"/>
              <w:bottom w:w="0" w:type="dxa"/>
              <w:right w:w="6" w:type="dxa"/>
            </w:tcMar>
            <w:vAlign w:val="center"/>
          </w:tcPr>
          <w:p w14:paraId="61AA1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400" w:type="pct"/>
            <w:vMerge w:val="continue"/>
            <w:tcBorders>
              <w:top w:val="single" w:color="000000" w:sz="4" w:space="0"/>
              <w:bottom w:val="single" w:color="auto" w:sz="4" w:space="0"/>
            </w:tcBorders>
            <w:shd w:val="clear" w:color="auto" w:fill="FFFFFF"/>
            <w:tcMar>
              <w:top w:w="0" w:type="dxa"/>
              <w:left w:w="6" w:type="dxa"/>
              <w:bottom w:w="0" w:type="dxa"/>
              <w:right w:w="6" w:type="dxa"/>
            </w:tcMar>
            <w:vAlign w:val="center"/>
          </w:tcPr>
          <w:p w14:paraId="466E7D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640"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2ADB8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死亡率%</w:t>
            </w:r>
          </w:p>
        </w:tc>
        <w:tc>
          <w:tcPr>
            <w:tcW w:w="802"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36613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校正死亡率%</w:t>
            </w:r>
          </w:p>
        </w:tc>
        <w:tc>
          <w:tcPr>
            <w:tcW w:w="549"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1FE088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死亡率%</w:t>
            </w:r>
          </w:p>
        </w:tc>
        <w:tc>
          <w:tcPr>
            <w:tcW w:w="745"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7D0A63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校正死亡率%</w:t>
            </w:r>
          </w:p>
        </w:tc>
      </w:tr>
      <w:tr w14:paraId="200402A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61" w:type="pct"/>
            <w:tcBorders>
              <w:top w:val="single" w:color="auto" w:sz="4" w:space="0"/>
            </w:tcBorders>
            <w:shd w:val="clear" w:color="auto" w:fill="FFFFFF"/>
            <w:tcMar>
              <w:top w:w="0" w:type="dxa"/>
              <w:left w:w="6" w:type="dxa"/>
              <w:bottom w:w="0" w:type="dxa"/>
              <w:right w:w="6" w:type="dxa"/>
            </w:tcMar>
            <w:vAlign w:val="center"/>
          </w:tcPr>
          <w:p w14:paraId="1DBBE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0.6%苦参碱乳油</w:t>
            </w:r>
          </w:p>
        </w:tc>
        <w:tc>
          <w:tcPr>
            <w:tcW w:w="400" w:type="pct"/>
            <w:tcBorders>
              <w:top w:val="single" w:color="auto" w:sz="4" w:space="0"/>
            </w:tcBorders>
            <w:shd w:val="clear" w:color="auto" w:fill="FFFFFF"/>
            <w:tcMar>
              <w:top w:w="0" w:type="dxa"/>
              <w:left w:w="6" w:type="dxa"/>
              <w:bottom w:w="0" w:type="dxa"/>
              <w:right w:w="6" w:type="dxa"/>
            </w:tcMar>
            <w:vAlign w:val="center"/>
          </w:tcPr>
          <w:p w14:paraId="0E0AC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1 200</w:t>
            </w:r>
          </w:p>
        </w:tc>
        <w:tc>
          <w:tcPr>
            <w:tcW w:w="400" w:type="pct"/>
            <w:tcBorders>
              <w:top w:val="single" w:color="auto" w:sz="4" w:space="0"/>
            </w:tcBorders>
            <w:shd w:val="clear" w:color="auto" w:fill="FFFFFF"/>
            <w:tcMar>
              <w:top w:w="0" w:type="dxa"/>
              <w:left w:w="6" w:type="dxa"/>
              <w:bottom w:w="0" w:type="dxa"/>
              <w:right w:w="6" w:type="dxa"/>
            </w:tcMar>
            <w:vAlign w:val="center"/>
          </w:tcPr>
          <w:p w14:paraId="7F8D5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注射</w:t>
            </w:r>
          </w:p>
        </w:tc>
        <w:tc>
          <w:tcPr>
            <w:tcW w:w="640" w:type="pct"/>
            <w:tcBorders>
              <w:top w:val="single" w:color="auto" w:sz="4" w:space="0"/>
            </w:tcBorders>
            <w:shd w:val="clear" w:color="auto" w:fill="FFFFFF"/>
            <w:tcMar>
              <w:top w:w="0" w:type="dxa"/>
              <w:left w:w="6" w:type="dxa"/>
              <w:bottom w:w="0" w:type="dxa"/>
              <w:right w:w="6" w:type="dxa"/>
            </w:tcMar>
            <w:vAlign w:val="center"/>
          </w:tcPr>
          <w:p w14:paraId="7F5911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85.30</w:t>
            </w:r>
          </w:p>
        </w:tc>
        <w:tc>
          <w:tcPr>
            <w:tcW w:w="802" w:type="pct"/>
            <w:tcBorders>
              <w:top w:val="single" w:color="auto" w:sz="4" w:space="0"/>
            </w:tcBorders>
            <w:shd w:val="clear" w:color="auto" w:fill="FFFFFF"/>
            <w:tcMar>
              <w:top w:w="0" w:type="dxa"/>
              <w:left w:w="6" w:type="dxa"/>
              <w:bottom w:w="0" w:type="dxa"/>
              <w:right w:w="6" w:type="dxa"/>
            </w:tcMar>
            <w:vAlign w:val="center"/>
          </w:tcPr>
          <w:p w14:paraId="0AF65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85.18</w:t>
            </w:r>
          </w:p>
        </w:tc>
        <w:tc>
          <w:tcPr>
            <w:tcW w:w="549" w:type="pct"/>
            <w:tcBorders>
              <w:top w:val="single" w:color="auto" w:sz="4" w:space="0"/>
            </w:tcBorders>
            <w:shd w:val="clear" w:color="auto" w:fill="FFFFFF"/>
            <w:tcMar>
              <w:top w:w="0" w:type="dxa"/>
              <w:left w:w="6" w:type="dxa"/>
              <w:bottom w:w="0" w:type="dxa"/>
              <w:right w:w="6" w:type="dxa"/>
            </w:tcMar>
            <w:vAlign w:val="center"/>
          </w:tcPr>
          <w:p w14:paraId="031B31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91.55</w:t>
            </w:r>
          </w:p>
        </w:tc>
        <w:tc>
          <w:tcPr>
            <w:tcW w:w="745" w:type="pct"/>
            <w:tcBorders>
              <w:top w:val="single" w:color="auto" w:sz="4" w:space="0"/>
            </w:tcBorders>
            <w:shd w:val="clear" w:color="auto" w:fill="FFFFFF"/>
            <w:tcMar>
              <w:top w:w="0" w:type="dxa"/>
              <w:left w:w="6" w:type="dxa"/>
              <w:bottom w:w="0" w:type="dxa"/>
              <w:right w:w="6" w:type="dxa"/>
            </w:tcMar>
            <w:vAlign w:val="center"/>
          </w:tcPr>
          <w:p w14:paraId="57FB67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91.40</w:t>
            </w:r>
          </w:p>
        </w:tc>
      </w:tr>
      <w:tr w14:paraId="507260A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61" w:type="pct"/>
            <w:shd w:val="clear" w:color="auto" w:fill="FFFFFF"/>
            <w:tcMar>
              <w:top w:w="0" w:type="dxa"/>
              <w:left w:w="6" w:type="dxa"/>
              <w:bottom w:w="0" w:type="dxa"/>
              <w:right w:w="6" w:type="dxa"/>
            </w:tcMar>
            <w:vAlign w:val="center"/>
          </w:tcPr>
          <w:p w14:paraId="7500BF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2.5%鱼藤酮乳油</w:t>
            </w:r>
          </w:p>
        </w:tc>
        <w:tc>
          <w:tcPr>
            <w:tcW w:w="400" w:type="pct"/>
            <w:shd w:val="clear" w:color="auto" w:fill="FFFFFF"/>
            <w:tcMar>
              <w:top w:w="0" w:type="dxa"/>
              <w:left w:w="6" w:type="dxa"/>
              <w:bottom w:w="0" w:type="dxa"/>
              <w:right w:w="6" w:type="dxa"/>
            </w:tcMar>
            <w:vAlign w:val="center"/>
          </w:tcPr>
          <w:p w14:paraId="6F50B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400</w:t>
            </w:r>
          </w:p>
        </w:tc>
        <w:tc>
          <w:tcPr>
            <w:tcW w:w="400" w:type="pct"/>
            <w:shd w:val="clear" w:color="auto" w:fill="FFFFFF"/>
            <w:tcMar>
              <w:top w:w="0" w:type="dxa"/>
              <w:left w:w="6" w:type="dxa"/>
              <w:bottom w:w="0" w:type="dxa"/>
              <w:right w:w="6" w:type="dxa"/>
            </w:tcMar>
            <w:vAlign w:val="center"/>
          </w:tcPr>
          <w:p w14:paraId="3935C1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注射</w:t>
            </w:r>
          </w:p>
        </w:tc>
        <w:tc>
          <w:tcPr>
            <w:tcW w:w="640" w:type="pct"/>
            <w:shd w:val="clear" w:color="auto" w:fill="FFFFFF"/>
            <w:tcMar>
              <w:top w:w="0" w:type="dxa"/>
              <w:left w:w="6" w:type="dxa"/>
              <w:bottom w:w="0" w:type="dxa"/>
              <w:right w:w="6" w:type="dxa"/>
            </w:tcMar>
            <w:vAlign w:val="center"/>
          </w:tcPr>
          <w:p w14:paraId="641B4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84.57</w:t>
            </w:r>
          </w:p>
        </w:tc>
        <w:tc>
          <w:tcPr>
            <w:tcW w:w="802" w:type="pct"/>
            <w:shd w:val="clear" w:color="auto" w:fill="FFFFFF"/>
            <w:tcMar>
              <w:top w:w="0" w:type="dxa"/>
              <w:left w:w="6" w:type="dxa"/>
              <w:bottom w:w="0" w:type="dxa"/>
              <w:right w:w="6" w:type="dxa"/>
            </w:tcMar>
            <w:vAlign w:val="center"/>
          </w:tcPr>
          <w:p w14:paraId="0B1F4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84.45</w:t>
            </w:r>
          </w:p>
        </w:tc>
        <w:tc>
          <w:tcPr>
            <w:tcW w:w="549" w:type="pct"/>
            <w:shd w:val="clear" w:color="auto" w:fill="FFFFFF"/>
            <w:tcMar>
              <w:top w:w="0" w:type="dxa"/>
              <w:left w:w="6" w:type="dxa"/>
              <w:bottom w:w="0" w:type="dxa"/>
              <w:right w:w="6" w:type="dxa"/>
            </w:tcMar>
            <w:vAlign w:val="center"/>
          </w:tcPr>
          <w:p w14:paraId="2532A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90.47</w:t>
            </w:r>
          </w:p>
        </w:tc>
        <w:tc>
          <w:tcPr>
            <w:tcW w:w="745" w:type="pct"/>
            <w:shd w:val="clear" w:color="auto" w:fill="FFFFFF"/>
            <w:tcMar>
              <w:top w:w="0" w:type="dxa"/>
              <w:left w:w="6" w:type="dxa"/>
              <w:bottom w:w="0" w:type="dxa"/>
              <w:right w:w="6" w:type="dxa"/>
            </w:tcMar>
            <w:vAlign w:val="center"/>
          </w:tcPr>
          <w:p w14:paraId="1C2DF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90.30</w:t>
            </w:r>
          </w:p>
        </w:tc>
      </w:tr>
      <w:tr w14:paraId="4EB96CB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61" w:type="pct"/>
            <w:shd w:val="clear" w:color="auto" w:fill="FFFFFF"/>
            <w:tcMar>
              <w:top w:w="0" w:type="dxa"/>
              <w:left w:w="6" w:type="dxa"/>
              <w:bottom w:w="0" w:type="dxa"/>
              <w:right w:w="6" w:type="dxa"/>
            </w:tcMar>
            <w:vAlign w:val="center"/>
          </w:tcPr>
          <w:p w14:paraId="161E60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14.3%高氯·甲维盐乳油</w:t>
            </w:r>
          </w:p>
        </w:tc>
        <w:tc>
          <w:tcPr>
            <w:tcW w:w="400" w:type="pct"/>
            <w:shd w:val="clear" w:color="auto" w:fill="FFFFFF"/>
            <w:tcMar>
              <w:top w:w="0" w:type="dxa"/>
              <w:left w:w="6" w:type="dxa"/>
              <w:bottom w:w="0" w:type="dxa"/>
              <w:right w:w="6" w:type="dxa"/>
            </w:tcMar>
            <w:vAlign w:val="center"/>
          </w:tcPr>
          <w:p w14:paraId="5D01FD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1 700</w:t>
            </w:r>
          </w:p>
        </w:tc>
        <w:tc>
          <w:tcPr>
            <w:tcW w:w="400" w:type="pct"/>
            <w:shd w:val="clear" w:color="auto" w:fill="FFFFFF"/>
            <w:tcMar>
              <w:top w:w="0" w:type="dxa"/>
              <w:left w:w="6" w:type="dxa"/>
              <w:bottom w:w="0" w:type="dxa"/>
              <w:right w:w="6" w:type="dxa"/>
            </w:tcMar>
            <w:vAlign w:val="center"/>
          </w:tcPr>
          <w:p w14:paraId="039F39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注射</w:t>
            </w:r>
          </w:p>
        </w:tc>
        <w:tc>
          <w:tcPr>
            <w:tcW w:w="640" w:type="pct"/>
            <w:shd w:val="clear" w:color="auto" w:fill="FFFFFF"/>
            <w:tcMar>
              <w:top w:w="0" w:type="dxa"/>
              <w:left w:w="6" w:type="dxa"/>
              <w:bottom w:w="0" w:type="dxa"/>
              <w:right w:w="6" w:type="dxa"/>
            </w:tcMar>
            <w:vAlign w:val="center"/>
          </w:tcPr>
          <w:p w14:paraId="2D6145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86.61</w:t>
            </w:r>
          </w:p>
        </w:tc>
        <w:tc>
          <w:tcPr>
            <w:tcW w:w="802" w:type="pct"/>
            <w:shd w:val="clear" w:color="auto" w:fill="FFFFFF"/>
            <w:tcMar>
              <w:top w:w="0" w:type="dxa"/>
              <w:left w:w="6" w:type="dxa"/>
              <w:bottom w:w="0" w:type="dxa"/>
              <w:right w:w="6" w:type="dxa"/>
            </w:tcMar>
            <w:vAlign w:val="center"/>
          </w:tcPr>
          <w:p w14:paraId="25F22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86.61</w:t>
            </w:r>
          </w:p>
        </w:tc>
        <w:tc>
          <w:tcPr>
            <w:tcW w:w="549" w:type="pct"/>
            <w:shd w:val="clear" w:color="auto" w:fill="FFFFFF"/>
            <w:tcMar>
              <w:top w:w="0" w:type="dxa"/>
              <w:left w:w="6" w:type="dxa"/>
              <w:bottom w:w="0" w:type="dxa"/>
              <w:right w:w="6" w:type="dxa"/>
            </w:tcMar>
            <w:vAlign w:val="center"/>
          </w:tcPr>
          <w:p w14:paraId="0AC9A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92.38</w:t>
            </w:r>
          </w:p>
        </w:tc>
        <w:tc>
          <w:tcPr>
            <w:tcW w:w="745" w:type="pct"/>
            <w:shd w:val="clear" w:color="auto" w:fill="FFFFFF"/>
            <w:tcMar>
              <w:top w:w="0" w:type="dxa"/>
              <w:left w:w="6" w:type="dxa"/>
              <w:bottom w:w="0" w:type="dxa"/>
              <w:right w:w="6" w:type="dxa"/>
            </w:tcMar>
            <w:vAlign w:val="center"/>
          </w:tcPr>
          <w:p w14:paraId="689E89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92.24</w:t>
            </w:r>
          </w:p>
        </w:tc>
      </w:tr>
      <w:tr w14:paraId="4A45F16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61" w:type="pct"/>
            <w:shd w:val="clear" w:color="auto" w:fill="FFFFFF"/>
            <w:tcMar>
              <w:top w:w="0" w:type="dxa"/>
              <w:left w:w="6" w:type="dxa"/>
              <w:bottom w:w="0" w:type="dxa"/>
              <w:right w:w="6" w:type="dxa"/>
            </w:tcMar>
            <w:vAlign w:val="center"/>
          </w:tcPr>
          <w:p w14:paraId="1C8F3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对照(CK)</w:t>
            </w:r>
          </w:p>
        </w:tc>
        <w:tc>
          <w:tcPr>
            <w:tcW w:w="400" w:type="pct"/>
            <w:shd w:val="clear" w:color="auto" w:fill="FFFFFF"/>
            <w:tcMar>
              <w:top w:w="0" w:type="dxa"/>
              <w:left w:w="6" w:type="dxa"/>
              <w:bottom w:w="0" w:type="dxa"/>
              <w:right w:w="6" w:type="dxa"/>
            </w:tcMar>
            <w:vAlign w:val="center"/>
          </w:tcPr>
          <w:p w14:paraId="3BF02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400" w:type="pct"/>
            <w:shd w:val="clear" w:color="auto" w:fill="FFFFFF"/>
            <w:tcMar>
              <w:top w:w="0" w:type="dxa"/>
              <w:left w:w="6" w:type="dxa"/>
              <w:bottom w:w="0" w:type="dxa"/>
              <w:right w:w="6" w:type="dxa"/>
            </w:tcMar>
            <w:vAlign w:val="center"/>
          </w:tcPr>
          <w:p w14:paraId="1F8644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注射</w:t>
            </w:r>
          </w:p>
        </w:tc>
        <w:tc>
          <w:tcPr>
            <w:tcW w:w="640" w:type="pct"/>
            <w:shd w:val="clear" w:color="auto" w:fill="FFFFFF"/>
            <w:tcMar>
              <w:top w:w="0" w:type="dxa"/>
              <w:left w:w="6" w:type="dxa"/>
              <w:bottom w:w="0" w:type="dxa"/>
              <w:right w:w="6" w:type="dxa"/>
            </w:tcMar>
            <w:vAlign w:val="center"/>
          </w:tcPr>
          <w:p w14:paraId="3A928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0.8</w:t>
            </w:r>
          </w:p>
        </w:tc>
        <w:tc>
          <w:tcPr>
            <w:tcW w:w="802" w:type="pct"/>
            <w:shd w:val="clear" w:color="auto" w:fill="FFFFFF"/>
            <w:tcMar>
              <w:top w:w="0" w:type="dxa"/>
              <w:left w:w="6" w:type="dxa"/>
              <w:bottom w:w="0" w:type="dxa"/>
              <w:right w:w="6" w:type="dxa"/>
            </w:tcMar>
            <w:vAlign w:val="center"/>
          </w:tcPr>
          <w:p w14:paraId="03B635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549" w:type="pct"/>
            <w:shd w:val="clear" w:color="auto" w:fill="FFFFFF"/>
            <w:tcMar>
              <w:top w:w="0" w:type="dxa"/>
              <w:left w:w="6" w:type="dxa"/>
              <w:bottom w:w="0" w:type="dxa"/>
              <w:right w:w="6" w:type="dxa"/>
            </w:tcMar>
            <w:vAlign w:val="center"/>
          </w:tcPr>
          <w:p w14:paraId="457BB2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1.77</w:t>
            </w:r>
          </w:p>
        </w:tc>
        <w:tc>
          <w:tcPr>
            <w:tcW w:w="745" w:type="pct"/>
            <w:shd w:val="clear" w:color="auto" w:fill="FFFFFF"/>
            <w:tcMar>
              <w:top w:w="0" w:type="dxa"/>
              <w:left w:w="6" w:type="dxa"/>
              <w:bottom w:w="0" w:type="dxa"/>
              <w:right w:w="6" w:type="dxa"/>
            </w:tcMar>
            <w:vAlign w:val="center"/>
          </w:tcPr>
          <w:p w14:paraId="502A0C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r>
      <w:tr w14:paraId="32680A3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61" w:type="pct"/>
            <w:shd w:val="clear" w:color="auto" w:fill="FFFFFF"/>
            <w:tcMar>
              <w:top w:w="0" w:type="dxa"/>
              <w:left w:w="6" w:type="dxa"/>
              <w:bottom w:w="0" w:type="dxa"/>
              <w:right w:w="6" w:type="dxa"/>
            </w:tcMar>
            <w:vAlign w:val="center"/>
          </w:tcPr>
          <w:p w14:paraId="62402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14.3%高氯·甲维盐乳油</w:t>
            </w:r>
          </w:p>
        </w:tc>
        <w:tc>
          <w:tcPr>
            <w:tcW w:w="400" w:type="pct"/>
            <w:shd w:val="clear" w:color="auto" w:fill="FFFFFF"/>
            <w:tcMar>
              <w:top w:w="0" w:type="dxa"/>
              <w:left w:w="6" w:type="dxa"/>
              <w:bottom w:w="0" w:type="dxa"/>
              <w:right w:w="6" w:type="dxa"/>
            </w:tcMar>
            <w:vAlign w:val="center"/>
          </w:tcPr>
          <w:p w14:paraId="5FCC00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1 700</w:t>
            </w:r>
          </w:p>
        </w:tc>
        <w:tc>
          <w:tcPr>
            <w:tcW w:w="400" w:type="pct"/>
            <w:shd w:val="clear" w:color="auto" w:fill="FFFFFF"/>
            <w:tcMar>
              <w:top w:w="0" w:type="dxa"/>
              <w:left w:w="6" w:type="dxa"/>
              <w:bottom w:w="0" w:type="dxa"/>
              <w:right w:w="6" w:type="dxa"/>
            </w:tcMar>
            <w:vAlign w:val="center"/>
          </w:tcPr>
          <w:p w14:paraId="70FA3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640" w:type="pct"/>
            <w:shd w:val="clear" w:color="auto" w:fill="FFFFFF"/>
            <w:tcMar>
              <w:top w:w="0" w:type="dxa"/>
              <w:left w:w="6" w:type="dxa"/>
              <w:bottom w:w="0" w:type="dxa"/>
              <w:right w:w="6" w:type="dxa"/>
            </w:tcMar>
            <w:vAlign w:val="center"/>
          </w:tcPr>
          <w:p w14:paraId="710A0A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80.24</w:t>
            </w:r>
          </w:p>
        </w:tc>
        <w:tc>
          <w:tcPr>
            <w:tcW w:w="802" w:type="pct"/>
            <w:shd w:val="clear" w:color="auto" w:fill="FFFFFF"/>
            <w:tcMar>
              <w:top w:w="0" w:type="dxa"/>
              <w:left w:w="6" w:type="dxa"/>
              <w:bottom w:w="0" w:type="dxa"/>
              <w:right w:w="6" w:type="dxa"/>
            </w:tcMar>
            <w:vAlign w:val="center"/>
          </w:tcPr>
          <w:p w14:paraId="77C95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80.16</w:t>
            </w:r>
          </w:p>
        </w:tc>
        <w:tc>
          <w:tcPr>
            <w:tcW w:w="549" w:type="pct"/>
            <w:shd w:val="clear" w:color="auto" w:fill="FFFFFF"/>
            <w:tcMar>
              <w:top w:w="0" w:type="dxa"/>
              <w:left w:w="6" w:type="dxa"/>
              <w:bottom w:w="0" w:type="dxa"/>
              <w:right w:w="6" w:type="dxa"/>
            </w:tcMar>
            <w:vAlign w:val="center"/>
          </w:tcPr>
          <w:p w14:paraId="488F3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87.73</w:t>
            </w:r>
          </w:p>
        </w:tc>
        <w:tc>
          <w:tcPr>
            <w:tcW w:w="745" w:type="pct"/>
            <w:shd w:val="clear" w:color="auto" w:fill="FFFFFF"/>
            <w:tcMar>
              <w:top w:w="0" w:type="dxa"/>
              <w:left w:w="6" w:type="dxa"/>
              <w:bottom w:w="0" w:type="dxa"/>
              <w:right w:w="6" w:type="dxa"/>
            </w:tcMar>
            <w:vAlign w:val="center"/>
          </w:tcPr>
          <w:p w14:paraId="682B7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87.58</w:t>
            </w:r>
          </w:p>
        </w:tc>
      </w:tr>
      <w:tr w14:paraId="5E7E55A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61" w:type="pct"/>
            <w:shd w:val="clear" w:color="auto" w:fill="FFFFFF"/>
            <w:tcMar>
              <w:top w:w="0" w:type="dxa"/>
              <w:left w:w="6" w:type="dxa"/>
              <w:bottom w:w="0" w:type="dxa"/>
              <w:right w:w="6" w:type="dxa"/>
            </w:tcMar>
            <w:vAlign w:val="center"/>
          </w:tcPr>
          <w:p w14:paraId="4275DF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2.5%鱼藤酮乳油</w:t>
            </w:r>
          </w:p>
        </w:tc>
        <w:tc>
          <w:tcPr>
            <w:tcW w:w="400" w:type="pct"/>
            <w:shd w:val="clear" w:color="auto" w:fill="FFFFFF"/>
            <w:tcMar>
              <w:top w:w="0" w:type="dxa"/>
              <w:left w:w="6" w:type="dxa"/>
              <w:bottom w:w="0" w:type="dxa"/>
              <w:right w:w="6" w:type="dxa"/>
            </w:tcMar>
            <w:vAlign w:val="center"/>
          </w:tcPr>
          <w:p w14:paraId="5D53E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400</w:t>
            </w:r>
          </w:p>
        </w:tc>
        <w:tc>
          <w:tcPr>
            <w:tcW w:w="400" w:type="pct"/>
            <w:shd w:val="clear" w:color="auto" w:fill="FFFFFF"/>
            <w:tcMar>
              <w:top w:w="0" w:type="dxa"/>
              <w:left w:w="6" w:type="dxa"/>
              <w:bottom w:w="0" w:type="dxa"/>
              <w:right w:w="6" w:type="dxa"/>
            </w:tcMar>
            <w:vAlign w:val="center"/>
          </w:tcPr>
          <w:p w14:paraId="4DCCC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640" w:type="pct"/>
            <w:shd w:val="clear" w:color="auto" w:fill="FFFFFF"/>
            <w:tcMar>
              <w:top w:w="0" w:type="dxa"/>
              <w:left w:w="6" w:type="dxa"/>
              <w:bottom w:w="0" w:type="dxa"/>
              <w:right w:w="6" w:type="dxa"/>
            </w:tcMar>
            <w:vAlign w:val="center"/>
          </w:tcPr>
          <w:p w14:paraId="2A68A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83.54</w:t>
            </w:r>
          </w:p>
        </w:tc>
        <w:tc>
          <w:tcPr>
            <w:tcW w:w="802" w:type="pct"/>
            <w:shd w:val="clear" w:color="auto" w:fill="FFFFFF"/>
            <w:tcMar>
              <w:top w:w="0" w:type="dxa"/>
              <w:left w:w="6" w:type="dxa"/>
              <w:bottom w:w="0" w:type="dxa"/>
              <w:right w:w="6" w:type="dxa"/>
            </w:tcMar>
            <w:vAlign w:val="center"/>
          </w:tcPr>
          <w:p w14:paraId="3E129B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83.47</w:t>
            </w:r>
          </w:p>
        </w:tc>
        <w:tc>
          <w:tcPr>
            <w:tcW w:w="549" w:type="pct"/>
            <w:shd w:val="clear" w:color="auto" w:fill="FFFFFF"/>
            <w:tcMar>
              <w:top w:w="0" w:type="dxa"/>
              <w:left w:w="6" w:type="dxa"/>
              <w:bottom w:w="0" w:type="dxa"/>
              <w:right w:w="6" w:type="dxa"/>
            </w:tcMar>
            <w:vAlign w:val="center"/>
          </w:tcPr>
          <w:p w14:paraId="4A303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88.29</w:t>
            </w:r>
          </w:p>
        </w:tc>
        <w:tc>
          <w:tcPr>
            <w:tcW w:w="745" w:type="pct"/>
            <w:shd w:val="clear" w:color="auto" w:fill="FFFFFF"/>
            <w:tcMar>
              <w:top w:w="0" w:type="dxa"/>
              <w:left w:w="6" w:type="dxa"/>
              <w:bottom w:w="0" w:type="dxa"/>
              <w:right w:w="6" w:type="dxa"/>
            </w:tcMar>
            <w:vAlign w:val="center"/>
          </w:tcPr>
          <w:p w14:paraId="740B4A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88.15</w:t>
            </w:r>
          </w:p>
        </w:tc>
      </w:tr>
      <w:tr w14:paraId="3E740BC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61" w:type="pct"/>
            <w:shd w:val="clear" w:color="auto" w:fill="FFFFFF"/>
            <w:tcMar>
              <w:top w:w="0" w:type="dxa"/>
              <w:left w:w="6" w:type="dxa"/>
              <w:bottom w:w="0" w:type="dxa"/>
              <w:right w:w="6" w:type="dxa"/>
            </w:tcMar>
            <w:vAlign w:val="center"/>
          </w:tcPr>
          <w:p w14:paraId="2B9FA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10%高效氯氟氰聚酯乳油</w:t>
            </w:r>
          </w:p>
        </w:tc>
        <w:tc>
          <w:tcPr>
            <w:tcW w:w="400" w:type="pct"/>
            <w:shd w:val="clear" w:color="auto" w:fill="FFFFFF"/>
            <w:tcMar>
              <w:top w:w="0" w:type="dxa"/>
              <w:left w:w="6" w:type="dxa"/>
              <w:bottom w:w="0" w:type="dxa"/>
              <w:right w:w="6" w:type="dxa"/>
            </w:tcMar>
            <w:vAlign w:val="center"/>
          </w:tcPr>
          <w:p w14:paraId="0F8211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1 200</w:t>
            </w:r>
          </w:p>
        </w:tc>
        <w:tc>
          <w:tcPr>
            <w:tcW w:w="400" w:type="pct"/>
            <w:shd w:val="clear" w:color="auto" w:fill="FFFFFF"/>
            <w:tcMar>
              <w:top w:w="0" w:type="dxa"/>
              <w:left w:w="6" w:type="dxa"/>
              <w:bottom w:w="0" w:type="dxa"/>
              <w:right w:w="6" w:type="dxa"/>
            </w:tcMar>
            <w:vAlign w:val="center"/>
          </w:tcPr>
          <w:p w14:paraId="44978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640" w:type="pct"/>
            <w:shd w:val="clear" w:color="auto" w:fill="FFFFFF"/>
            <w:tcMar>
              <w:top w:w="0" w:type="dxa"/>
              <w:left w:w="6" w:type="dxa"/>
              <w:bottom w:w="0" w:type="dxa"/>
              <w:right w:w="6" w:type="dxa"/>
            </w:tcMar>
            <w:vAlign w:val="center"/>
          </w:tcPr>
          <w:p w14:paraId="41976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84.77</w:t>
            </w:r>
          </w:p>
        </w:tc>
        <w:tc>
          <w:tcPr>
            <w:tcW w:w="802" w:type="pct"/>
            <w:shd w:val="clear" w:color="auto" w:fill="FFFFFF"/>
            <w:tcMar>
              <w:top w:w="0" w:type="dxa"/>
              <w:left w:w="6" w:type="dxa"/>
              <w:bottom w:w="0" w:type="dxa"/>
              <w:right w:w="6" w:type="dxa"/>
            </w:tcMar>
            <w:vAlign w:val="center"/>
          </w:tcPr>
          <w:p w14:paraId="14F79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84.71</w:t>
            </w:r>
          </w:p>
        </w:tc>
        <w:tc>
          <w:tcPr>
            <w:tcW w:w="549" w:type="pct"/>
            <w:shd w:val="clear" w:color="auto" w:fill="FFFFFF"/>
            <w:tcMar>
              <w:top w:w="0" w:type="dxa"/>
              <w:left w:w="6" w:type="dxa"/>
              <w:bottom w:w="0" w:type="dxa"/>
              <w:right w:w="6" w:type="dxa"/>
            </w:tcMar>
            <w:vAlign w:val="center"/>
          </w:tcPr>
          <w:p w14:paraId="659FE0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90.41</w:t>
            </w:r>
          </w:p>
        </w:tc>
        <w:tc>
          <w:tcPr>
            <w:tcW w:w="745" w:type="pct"/>
            <w:shd w:val="clear" w:color="auto" w:fill="FFFFFF"/>
            <w:tcMar>
              <w:top w:w="0" w:type="dxa"/>
              <w:left w:w="6" w:type="dxa"/>
              <w:bottom w:w="0" w:type="dxa"/>
              <w:right w:w="6" w:type="dxa"/>
            </w:tcMar>
            <w:vAlign w:val="center"/>
          </w:tcPr>
          <w:p w14:paraId="7BE16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90.30</w:t>
            </w:r>
          </w:p>
        </w:tc>
      </w:tr>
      <w:tr w14:paraId="2D672BA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61" w:type="pct"/>
            <w:tcBorders>
              <w:bottom w:val="single" w:color="000000" w:sz="12" w:space="0"/>
            </w:tcBorders>
            <w:shd w:val="clear" w:color="auto" w:fill="FFFFFF"/>
            <w:tcMar>
              <w:top w:w="0" w:type="dxa"/>
              <w:left w:w="6" w:type="dxa"/>
              <w:bottom w:w="0" w:type="dxa"/>
              <w:right w:w="6" w:type="dxa"/>
            </w:tcMar>
            <w:vAlign w:val="center"/>
          </w:tcPr>
          <w:p w14:paraId="77132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对照(CK)</w:t>
            </w:r>
          </w:p>
        </w:tc>
        <w:tc>
          <w:tcPr>
            <w:tcW w:w="400" w:type="pct"/>
            <w:tcBorders>
              <w:bottom w:val="single" w:color="000000" w:sz="12" w:space="0"/>
            </w:tcBorders>
            <w:shd w:val="clear" w:color="auto" w:fill="FFFFFF"/>
            <w:tcMar>
              <w:top w:w="0" w:type="dxa"/>
              <w:left w:w="6" w:type="dxa"/>
              <w:bottom w:w="0" w:type="dxa"/>
              <w:right w:w="6" w:type="dxa"/>
            </w:tcMar>
            <w:vAlign w:val="center"/>
          </w:tcPr>
          <w:p w14:paraId="6979F7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400" w:type="pct"/>
            <w:tcBorders>
              <w:bottom w:val="single" w:color="000000" w:sz="12" w:space="0"/>
            </w:tcBorders>
            <w:shd w:val="clear" w:color="auto" w:fill="FFFFFF"/>
            <w:tcMar>
              <w:top w:w="0" w:type="dxa"/>
              <w:left w:w="6" w:type="dxa"/>
              <w:bottom w:w="0" w:type="dxa"/>
              <w:right w:w="6" w:type="dxa"/>
            </w:tcMar>
            <w:vAlign w:val="center"/>
          </w:tcPr>
          <w:p w14:paraId="5F33B2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640" w:type="pct"/>
            <w:tcBorders>
              <w:bottom w:val="single" w:color="000000" w:sz="12" w:space="0"/>
            </w:tcBorders>
            <w:shd w:val="clear" w:color="auto" w:fill="FFFFFF"/>
            <w:tcMar>
              <w:top w:w="0" w:type="dxa"/>
              <w:left w:w="6" w:type="dxa"/>
              <w:bottom w:w="0" w:type="dxa"/>
              <w:right w:w="6" w:type="dxa"/>
            </w:tcMar>
            <w:vAlign w:val="center"/>
          </w:tcPr>
          <w:p w14:paraId="130E5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0.42</w:t>
            </w:r>
          </w:p>
        </w:tc>
        <w:tc>
          <w:tcPr>
            <w:tcW w:w="802" w:type="pct"/>
            <w:tcBorders>
              <w:bottom w:val="single" w:color="000000" w:sz="12" w:space="0"/>
            </w:tcBorders>
            <w:shd w:val="clear" w:color="auto" w:fill="FFFFFF"/>
            <w:tcMar>
              <w:top w:w="0" w:type="dxa"/>
              <w:left w:w="6" w:type="dxa"/>
              <w:bottom w:w="0" w:type="dxa"/>
              <w:right w:w="6" w:type="dxa"/>
            </w:tcMar>
            <w:vAlign w:val="center"/>
          </w:tcPr>
          <w:p w14:paraId="42AB2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549" w:type="pct"/>
            <w:tcBorders>
              <w:bottom w:val="single" w:color="000000" w:sz="12" w:space="0"/>
            </w:tcBorders>
            <w:shd w:val="clear" w:color="auto" w:fill="FFFFFF"/>
            <w:tcMar>
              <w:top w:w="0" w:type="dxa"/>
              <w:left w:w="6" w:type="dxa"/>
              <w:bottom w:w="0" w:type="dxa"/>
              <w:right w:w="6" w:type="dxa"/>
            </w:tcMar>
            <w:vAlign w:val="center"/>
          </w:tcPr>
          <w:p w14:paraId="2E2F72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1.18</w:t>
            </w:r>
          </w:p>
        </w:tc>
        <w:tc>
          <w:tcPr>
            <w:tcW w:w="745" w:type="pct"/>
            <w:tcBorders>
              <w:bottom w:val="single" w:color="000000" w:sz="12" w:space="0"/>
            </w:tcBorders>
            <w:shd w:val="clear" w:color="auto" w:fill="FFFFFF"/>
            <w:tcMar>
              <w:top w:w="0" w:type="dxa"/>
              <w:left w:w="6" w:type="dxa"/>
              <w:bottom w:w="0" w:type="dxa"/>
              <w:right w:w="6" w:type="dxa"/>
            </w:tcMar>
            <w:vAlign w:val="center"/>
          </w:tcPr>
          <w:p w14:paraId="3C9AF7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r>
    </w:tbl>
    <w:p w14:paraId="5AEE0AA4">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3.2.4咖啡果小蠹</w:t>
      </w:r>
    </w:p>
    <w:p w14:paraId="56904315">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危害特点</w:t>
      </w:r>
      <w:r>
        <w:rPr>
          <w:rFonts w:hint="eastAsia" w:eastAsia="仿宋_GB2312" w:cs="Arial"/>
          <w:sz w:val="24"/>
          <w:szCs w:val="32"/>
          <w:lang w:val="en-US" w:eastAsia="zh-CN"/>
        </w:rPr>
        <w:t xml:space="preserve"> 主要为害果实和种子。以雌成虫在咖啡果实端部钻孔，蛀入果内产卵为害，咖啡鲜果被侵入后容易引发真菌病害，导致腐烂变质甚至脱落，部分被危害的鲜果仍可以生长到采摘期，但是长期被蛀食的咖啡豆最后剩下残渣和排泄物，造成咖啡的产量降低和品质下降。该虫繁殖能力强，每年发生7-8代，每次产卵30-60粒，甚至更多。咖啡嫩果到成熟整个生长阶段均会被危害。</w:t>
      </w:r>
    </w:p>
    <w:p w14:paraId="26331E48">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防治方法及药剂使用确定</w:t>
      </w:r>
    </w:p>
    <w:p w14:paraId="69B47E97">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彻底采收，及时清除树上、地上遗留果实，并及时销毁。</w:t>
      </w:r>
    </w:p>
    <w:p w14:paraId="1C2E3AED">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在5月～ 7月，成虫驻留果肉时，及时喷施药剂防治，约7 d～10 d1次，连续3次 ～ 4次（表17）。</w:t>
      </w:r>
    </w:p>
    <w:p w14:paraId="777F719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表1</w:t>
      </w:r>
      <w:r>
        <w:rPr>
          <w:rFonts w:hint="eastAsia" w:eastAsia="黑体" w:cs="Times New Roman"/>
          <w:bCs/>
          <w:kern w:val="44"/>
          <w:sz w:val="21"/>
          <w:szCs w:val="24"/>
          <w:lang w:val="en-US" w:eastAsia="zh-CN"/>
        </w:rPr>
        <w:t>7</w:t>
      </w:r>
      <w:r>
        <w:rPr>
          <w:rFonts w:hint="eastAsia" w:ascii="Times New Roman" w:hAnsi="Times New Roman" w:eastAsia="黑体" w:cs="Times New Roman"/>
          <w:bCs/>
          <w:kern w:val="44"/>
          <w:sz w:val="21"/>
          <w:szCs w:val="24"/>
          <w:lang w:val="en-US" w:eastAsia="zh-CN"/>
        </w:rPr>
        <w:t xml:space="preserve"> 药剂田间防治咖啡果小蠹效果</w:t>
      </w:r>
    </w:p>
    <w:tbl>
      <w:tblPr>
        <w:tblStyle w:val="10"/>
        <w:tblW w:w="4955" w:type="pct"/>
        <w:tblInd w:w="78"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38"/>
        <w:gridCol w:w="692"/>
        <w:gridCol w:w="692"/>
        <w:gridCol w:w="1249"/>
        <w:gridCol w:w="980"/>
        <w:gridCol w:w="1352"/>
        <w:gridCol w:w="873"/>
      </w:tblGrid>
      <w:tr w14:paraId="702421C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73" w:type="pct"/>
            <w:vMerge w:val="restart"/>
            <w:tcBorders>
              <w:top w:val="single" w:color="000000" w:sz="12" w:space="0"/>
              <w:bottom w:val="single" w:color="000000" w:sz="4" w:space="0"/>
              <w:tl2br w:val="nil"/>
            </w:tcBorders>
            <w:shd w:val="clear" w:color="auto" w:fill="FFFFFF"/>
            <w:tcMar>
              <w:top w:w="0" w:type="dxa"/>
              <w:left w:w="6" w:type="dxa"/>
              <w:bottom w:w="0" w:type="dxa"/>
              <w:right w:w="6" w:type="dxa"/>
            </w:tcMar>
            <w:vAlign w:val="center"/>
          </w:tcPr>
          <w:p w14:paraId="390AC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处理</w:t>
            </w:r>
          </w:p>
        </w:tc>
        <w:tc>
          <w:tcPr>
            <w:tcW w:w="394" w:type="pct"/>
            <w:vMerge w:val="restart"/>
            <w:tcBorders>
              <w:top w:val="single" w:color="000000" w:sz="12" w:space="0"/>
              <w:bottom w:val="single" w:color="000000" w:sz="4" w:space="0"/>
            </w:tcBorders>
            <w:shd w:val="clear" w:color="auto" w:fill="FFFFFF"/>
            <w:tcMar>
              <w:top w:w="0" w:type="dxa"/>
              <w:left w:w="6" w:type="dxa"/>
              <w:bottom w:w="0" w:type="dxa"/>
              <w:right w:w="6" w:type="dxa"/>
            </w:tcMar>
            <w:vAlign w:val="center"/>
          </w:tcPr>
          <w:p w14:paraId="75012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稀释倍数</w:t>
            </w:r>
          </w:p>
        </w:tc>
        <w:tc>
          <w:tcPr>
            <w:tcW w:w="394" w:type="pct"/>
            <w:vMerge w:val="restart"/>
            <w:tcBorders>
              <w:top w:val="single" w:color="000000" w:sz="12" w:space="0"/>
              <w:bottom w:val="single" w:color="000000" w:sz="4" w:space="0"/>
            </w:tcBorders>
            <w:shd w:val="clear" w:color="auto" w:fill="FFFFFF"/>
            <w:tcMar>
              <w:top w:w="0" w:type="dxa"/>
              <w:left w:w="6" w:type="dxa"/>
              <w:bottom w:w="0" w:type="dxa"/>
              <w:right w:w="6" w:type="dxa"/>
            </w:tcMar>
            <w:vAlign w:val="center"/>
          </w:tcPr>
          <w:p w14:paraId="20B82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施药方式</w:t>
            </w:r>
          </w:p>
        </w:tc>
        <w:tc>
          <w:tcPr>
            <w:tcW w:w="1269" w:type="pct"/>
            <w:gridSpan w:val="2"/>
            <w:tcBorders>
              <w:top w:val="single" w:color="000000" w:sz="12" w:space="0"/>
              <w:bottom w:val="single" w:color="000000" w:sz="4" w:space="0"/>
            </w:tcBorders>
            <w:shd w:val="clear" w:color="auto" w:fill="FFFFFF"/>
            <w:tcMar>
              <w:top w:w="0" w:type="dxa"/>
              <w:left w:w="6" w:type="dxa"/>
              <w:bottom w:w="0" w:type="dxa"/>
              <w:right w:w="6" w:type="dxa"/>
            </w:tcMar>
            <w:vAlign w:val="center"/>
          </w:tcPr>
          <w:p w14:paraId="0D50A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第1次施药7d效果</w:t>
            </w:r>
          </w:p>
        </w:tc>
        <w:tc>
          <w:tcPr>
            <w:tcW w:w="1267" w:type="pct"/>
            <w:gridSpan w:val="2"/>
            <w:tcBorders>
              <w:top w:val="single" w:color="000000" w:sz="12" w:space="0"/>
              <w:bottom w:val="single" w:color="000000" w:sz="4" w:space="0"/>
            </w:tcBorders>
            <w:shd w:val="clear" w:color="auto" w:fill="FFFFFF"/>
            <w:tcMar>
              <w:top w:w="0" w:type="dxa"/>
              <w:left w:w="6" w:type="dxa"/>
              <w:bottom w:w="0" w:type="dxa"/>
              <w:right w:w="6" w:type="dxa"/>
            </w:tcMar>
            <w:vAlign w:val="center"/>
          </w:tcPr>
          <w:p w14:paraId="3CED63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第2次施药7d效果</w:t>
            </w:r>
          </w:p>
        </w:tc>
      </w:tr>
      <w:tr w14:paraId="2221A8D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73" w:type="pct"/>
            <w:vMerge w:val="continue"/>
            <w:tcBorders>
              <w:top w:val="single" w:color="000000" w:sz="4" w:space="0"/>
              <w:bottom w:val="single" w:color="auto" w:sz="4" w:space="0"/>
            </w:tcBorders>
            <w:shd w:val="clear" w:color="auto" w:fill="FFFFFF"/>
            <w:tcMar>
              <w:top w:w="0" w:type="dxa"/>
              <w:left w:w="6" w:type="dxa"/>
              <w:bottom w:w="0" w:type="dxa"/>
              <w:right w:w="6" w:type="dxa"/>
            </w:tcMar>
            <w:vAlign w:val="center"/>
          </w:tcPr>
          <w:p w14:paraId="78A29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394" w:type="pct"/>
            <w:vMerge w:val="continue"/>
            <w:tcBorders>
              <w:top w:val="single" w:color="000000" w:sz="4" w:space="0"/>
              <w:bottom w:val="single" w:color="auto" w:sz="4" w:space="0"/>
            </w:tcBorders>
            <w:shd w:val="clear" w:color="auto" w:fill="FFFFFF"/>
            <w:tcMar>
              <w:top w:w="0" w:type="dxa"/>
              <w:left w:w="6" w:type="dxa"/>
              <w:bottom w:w="0" w:type="dxa"/>
              <w:right w:w="6" w:type="dxa"/>
            </w:tcMar>
            <w:vAlign w:val="center"/>
          </w:tcPr>
          <w:p w14:paraId="553C34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394" w:type="pct"/>
            <w:vMerge w:val="continue"/>
            <w:tcBorders>
              <w:top w:val="single" w:color="000000" w:sz="4" w:space="0"/>
              <w:bottom w:val="single" w:color="auto" w:sz="4" w:space="0"/>
            </w:tcBorders>
            <w:shd w:val="clear" w:color="auto" w:fill="FFFFFF"/>
            <w:tcMar>
              <w:top w:w="0" w:type="dxa"/>
              <w:left w:w="6" w:type="dxa"/>
              <w:bottom w:w="0" w:type="dxa"/>
              <w:right w:w="6" w:type="dxa"/>
            </w:tcMar>
            <w:vAlign w:val="center"/>
          </w:tcPr>
          <w:p w14:paraId="062B5E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711"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46EF7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虫口减退率%</w:t>
            </w:r>
          </w:p>
        </w:tc>
        <w:tc>
          <w:tcPr>
            <w:tcW w:w="558"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2DDE89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w:t>
            </w:r>
          </w:p>
        </w:tc>
        <w:tc>
          <w:tcPr>
            <w:tcW w:w="770"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0FEE5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虫口减退率%</w:t>
            </w:r>
          </w:p>
        </w:tc>
        <w:tc>
          <w:tcPr>
            <w:tcW w:w="497"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12E10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w:t>
            </w:r>
          </w:p>
        </w:tc>
      </w:tr>
      <w:tr w14:paraId="487B64C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73" w:type="pct"/>
            <w:tcBorders>
              <w:top w:val="single" w:color="auto" w:sz="4" w:space="0"/>
            </w:tcBorders>
            <w:shd w:val="clear" w:color="auto" w:fill="FFFFFF"/>
            <w:tcMar>
              <w:top w:w="0" w:type="dxa"/>
              <w:left w:w="6" w:type="dxa"/>
              <w:bottom w:w="0" w:type="dxa"/>
              <w:right w:w="6" w:type="dxa"/>
            </w:tcMar>
          </w:tcPr>
          <w:p w14:paraId="25465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22%噻虫·高氯氟悬浮剂</w:t>
            </w:r>
          </w:p>
        </w:tc>
        <w:tc>
          <w:tcPr>
            <w:tcW w:w="394" w:type="pct"/>
            <w:tcBorders>
              <w:top w:val="single" w:color="auto" w:sz="4" w:space="0"/>
            </w:tcBorders>
            <w:shd w:val="clear" w:color="auto" w:fill="FFFFFF"/>
            <w:tcMar>
              <w:top w:w="0" w:type="dxa"/>
              <w:left w:w="6" w:type="dxa"/>
              <w:bottom w:w="0" w:type="dxa"/>
              <w:right w:w="6" w:type="dxa"/>
            </w:tcMar>
          </w:tcPr>
          <w:p w14:paraId="3B4F58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1 700</w:t>
            </w:r>
          </w:p>
        </w:tc>
        <w:tc>
          <w:tcPr>
            <w:tcW w:w="394" w:type="pct"/>
            <w:tcBorders>
              <w:top w:val="single" w:color="auto" w:sz="4" w:space="0"/>
            </w:tcBorders>
            <w:shd w:val="clear" w:color="auto" w:fill="FFFFFF"/>
            <w:tcMar>
              <w:top w:w="0" w:type="dxa"/>
              <w:left w:w="6" w:type="dxa"/>
              <w:bottom w:w="0" w:type="dxa"/>
              <w:right w:w="6" w:type="dxa"/>
            </w:tcMar>
          </w:tcPr>
          <w:p w14:paraId="1B368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11" w:type="pct"/>
            <w:tcBorders>
              <w:top w:val="single" w:color="auto" w:sz="4" w:space="0"/>
            </w:tcBorders>
            <w:shd w:val="clear" w:color="auto" w:fill="FFFFFF"/>
            <w:tcMar>
              <w:top w:w="0" w:type="dxa"/>
              <w:left w:w="6" w:type="dxa"/>
              <w:bottom w:w="0" w:type="dxa"/>
              <w:right w:w="6" w:type="dxa"/>
            </w:tcMar>
          </w:tcPr>
          <w:p w14:paraId="059FF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91.9</w:t>
            </w:r>
          </w:p>
        </w:tc>
        <w:tc>
          <w:tcPr>
            <w:tcW w:w="558" w:type="pct"/>
            <w:tcBorders>
              <w:top w:val="single" w:color="auto" w:sz="4" w:space="0"/>
            </w:tcBorders>
            <w:shd w:val="clear" w:color="auto" w:fill="FFFFFF"/>
            <w:tcMar>
              <w:top w:w="0" w:type="dxa"/>
              <w:left w:w="6" w:type="dxa"/>
              <w:bottom w:w="0" w:type="dxa"/>
              <w:right w:w="6" w:type="dxa"/>
            </w:tcMar>
          </w:tcPr>
          <w:p w14:paraId="6EBBD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92.7</w:t>
            </w:r>
          </w:p>
        </w:tc>
        <w:tc>
          <w:tcPr>
            <w:tcW w:w="770" w:type="pct"/>
            <w:tcBorders>
              <w:top w:val="single" w:color="auto" w:sz="4" w:space="0"/>
            </w:tcBorders>
            <w:shd w:val="clear" w:color="auto" w:fill="FFFFFF"/>
            <w:tcMar>
              <w:top w:w="0" w:type="dxa"/>
              <w:left w:w="6" w:type="dxa"/>
              <w:bottom w:w="0" w:type="dxa"/>
              <w:right w:w="6" w:type="dxa"/>
            </w:tcMar>
          </w:tcPr>
          <w:p w14:paraId="6D452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94.9</w:t>
            </w:r>
          </w:p>
        </w:tc>
        <w:tc>
          <w:tcPr>
            <w:tcW w:w="497" w:type="pct"/>
            <w:tcBorders>
              <w:top w:val="single" w:color="auto" w:sz="4" w:space="0"/>
            </w:tcBorders>
            <w:shd w:val="clear" w:color="auto" w:fill="FFFFFF"/>
            <w:tcMar>
              <w:top w:w="0" w:type="dxa"/>
              <w:left w:w="6" w:type="dxa"/>
              <w:bottom w:w="0" w:type="dxa"/>
              <w:right w:w="6" w:type="dxa"/>
            </w:tcMar>
          </w:tcPr>
          <w:p w14:paraId="06537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95.5</w:t>
            </w:r>
          </w:p>
        </w:tc>
      </w:tr>
      <w:tr w14:paraId="2A5D695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73" w:type="pct"/>
            <w:shd w:val="clear" w:color="auto" w:fill="FFFFFF"/>
            <w:tcMar>
              <w:top w:w="0" w:type="dxa"/>
              <w:left w:w="6" w:type="dxa"/>
              <w:bottom w:w="0" w:type="dxa"/>
              <w:right w:w="6" w:type="dxa"/>
            </w:tcMar>
          </w:tcPr>
          <w:p w14:paraId="3D9CF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26%氯氟·啶虫脒水分散粒剂</w:t>
            </w:r>
          </w:p>
        </w:tc>
        <w:tc>
          <w:tcPr>
            <w:tcW w:w="394" w:type="pct"/>
            <w:shd w:val="clear" w:color="auto" w:fill="FFFFFF"/>
            <w:tcMar>
              <w:top w:w="0" w:type="dxa"/>
              <w:left w:w="6" w:type="dxa"/>
              <w:bottom w:w="0" w:type="dxa"/>
              <w:right w:w="6" w:type="dxa"/>
            </w:tcMar>
          </w:tcPr>
          <w:p w14:paraId="3C34C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900</w:t>
            </w:r>
          </w:p>
        </w:tc>
        <w:tc>
          <w:tcPr>
            <w:tcW w:w="394" w:type="pct"/>
            <w:shd w:val="clear" w:color="auto" w:fill="FFFFFF"/>
            <w:tcMar>
              <w:top w:w="0" w:type="dxa"/>
              <w:left w:w="6" w:type="dxa"/>
              <w:bottom w:w="0" w:type="dxa"/>
              <w:right w:w="6" w:type="dxa"/>
            </w:tcMar>
          </w:tcPr>
          <w:p w14:paraId="5E912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11" w:type="pct"/>
            <w:shd w:val="clear" w:color="auto" w:fill="FFFFFF"/>
            <w:tcMar>
              <w:top w:w="0" w:type="dxa"/>
              <w:left w:w="6" w:type="dxa"/>
              <w:bottom w:w="0" w:type="dxa"/>
              <w:right w:w="6" w:type="dxa"/>
            </w:tcMar>
          </w:tcPr>
          <w:p w14:paraId="2F90FF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90.1</w:t>
            </w:r>
          </w:p>
        </w:tc>
        <w:tc>
          <w:tcPr>
            <w:tcW w:w="558" w:type="pct"/>
            <w:shd w:val="clear" w:color="auto" w:fill="FFFFFF"/>
            <w:tcMar>
              <w:top w:w="0" w:type="dxa"/>
              <w:left w:w="6" w:type="dxa"/>
              <w:bottom w:w="0" w:type="dxa"/>
              <w:right w:w="6" w:type="dxa"/>
            </w:tcMar>
          </w:tcPr>
          <w:p w14:paraId="71DB4F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91.0</w:t>
            </w:r>
          </w:p>
        </w:tc>
        <w:tc>
          <w:tcPr>
            <w:tcW w:w="770" w:type="pct"/>
            <w:shd w:val="clear" w:color="auto" w:fill="FFFFFF"/>
            <w:tcMar>
              <w:top w:w="0" w:type="dxa"/>
              <w:left w:w="6" w:type="dxa"/>
              <w:bottom w:w="0" w:type="dxa"/>
              <w:right w:w="6" w:type="dxa"/>
            </w:tcMar>
          </w:tcPr>
          <w:p w14:paraId="448655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92.7</w:t>
            </w:r>
          </w:p>
        </w:tc>
        <w:tc>
          <w:tcPr>
            <w:tcW w:w="497" w:type="pct"/>
            <w:shd w:val="clear" w:color="auto" w:fill="FFFFFF"/>
            <w:tcMar>
              <w:top w:w="0" w:type="dxa"/>
              <w:left w:w="6" w:type="dxa"/>
              <w:bottom w:w="0" w:type="dxa"/>
              <w:right w:w="6" w:type="dxa"/>
            </w:tcMar>
          </w:tcPr>
          <w:p w14:paraId="62B21E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93.5</w:t>
            </w:r>
          </w:p>
        </w:tc>
      </w:tr>
      <w:tr w14:paraId="67D87D9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73" w:type="pct"/>
            <w:shd w:val="clear" w:color="auto" w:fill="FFFFFF"/>
            <w:tcMar>
              <w:top w:w="0" w:type="dxa"/>
              <w:left w:w="6" w:type="dxa"/>
              <w:bottom w:w="0" w:type="dxa"/>
              <w:right w:w="6" w:type="dxa"/>
            </w:tcMar>
          </w:tcPr>
          <w:p w14:paraId="471679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10%高效氯氰菊酯乳油</w:t>
            </w:r>
          </w:p>
        </w:tc>
        <w:tc>
          <w:tcPr>
            <w:tcW w:w="394" w:type="pct"/>
            <w:shd w:val="clear" w:color="auto" w:fill="FFFFFF"/>
            <w:tcMar>
              <w:top w:w="0" w:type="dxa"/>
              <w:left w:w="6" w:type="dxa"/>
              <w:bottom w:w="0" w:type="dxa"/>
              <w:right w:w="6" w:type="dxa"/>
            </w:tcMar>
          </w:tcPr>
          <w:p w14:paraId="73ADC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1 200</w:t>
            </w:r>
          </w:p>
        </w:tc>
        <w:tc>
          <w:tcPr>
            <w:tcW w:w="394" w:type="pct"/>
            <w:shd w:val="clear" w:color="auto" w:fill="FFFFFF"/>
            <w:tcMar>
              <w:top w:w="0" w:type="dxa"/>
              <w:left w:w="6" w:type="dxa"/>
              <w:bottom w:w="0" w:type="dxa"/>
              <w:right w:w="6" w:type="dxa"/>
            </w:tcMar>
          </w:tcPr>
          <w:p w14:paraId="3A9DB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11" w:type="pct"/>
            <w:shd w:val="clear" w:color="auto" w:fill="FFFFFF"/>
            <w:tcMar>
              <w:top w:w="0" w:type="dxa"/>
              <w:left w:w="6" w:type="dxa"/>
              <w:bottom w:w="0" w:type="dxa"/>
              <w:right w:w="6" w:type="dxa"/>
            </w:tcMar>
          </w:tcPr>
          <w:p w14:paraId="2B690E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90.3</w:t>
            </w:r>
          </w:p>
        </w:tc>
        <w:tc>
          <w:tcPr>
            <w:tcW w:w="558" w:type="pct"/>
            <w:shd w:val="clear" w:color="auto" w:fill="FFFFFF"/>
            <w:tcMar>
              <w:top w:w="0" w:type="dxa"/>
              <w:left w:w="6" w:type="dxa"/>
              <w:bottom w:w="0" w:type="dxa"/>
              <w:right w:w="6" w:type="dxa"/>
            </w:tcMar>
          </w:tcPr>
          <w:p w14:paraId="3220B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91.2</w:t>
            </w:r>
          </w:p>
        </w:tc>
        <w:tc>
          <w:tcPr>
            <w:tcW w:w="770" w:type="pct"/>
            <w:shd w:val="clear" w:color="auto" w:fill="FFFFFF"/>
            <w:tcMar>
              <w:top w:w="0" w:type="dxa"/>
              <w:left w:w="6" w:type="dxa"/>
              <w:bottom w:w="0" w:type="dxa"/>
              <w:right w:w="6" w:type="dxa"/>
            </w:tcMar>
          </w:tcPr>
          <w:p w14:paraId="09900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93.6</w:t>
            </w:r>
          </w:p>
        </w:tc>
        <w:tc>
          <w:tcPr>
            <w:tcW w:w="497" w:type="pct"/>
            <w:shd w:val="clear" w:color="auto" w:fill="FFFFFF"/>
            <w:tcMar>
              <w:top w:w="0" w:type="dxa"/>
              <w:left w:w="6" w:type="dxa"/>
              <w:bottom w:w="0" w:type="dxa"/>
              <w:right w:w="6" w:type="dxa"/>
            </w:tcMar>
          </w:tcPr>
          <w:p w14:paraId="02894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94.3</w:t>
            </w:r>
          </w:p>
        </w:tc>
      </w:tr>
      <w:tr w14:paraId="4016497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73" w:type="pct"/>
            <w:tcBorders>
              <w:bottom w:val="single" w:color="000000" w:sz="12" w:space="0"/>
            </w:tcBorders>
            <w:shd w:val="clear" w:color="auto" w:fill="FFFFFF"/>
            <w:tcMar>
              <w:top w:w="0" w:type="dxa"/>
              <w:left w:w="6" w:type="dxa"/>
              <w:bottom w:w="0" w:type="dxa"/>
              <w:right w:w="6" w:type="dxa"/>
            </w:tcMar>
          </w:tcPr>
          <w:p w14:paraId="126D74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对照(CK)</w:t>
            </w:r>
          </w:p>
        </w:tc>
        <w:tc>
          <w:tcPr>
            <w:tcW w:w="394" w:type="pct"/>
            <w:tcBorders>
              <w:bottom w:val="single" w:color="000000" w:sz="12" w:space="0"/>
            </w:tcBorders>
            <w:shd w:val="clear" w:color="auto" w:fill="FFFFFF"/>
            <w:tcMar>
              <w:top w:w="0" w:type="dxa"/>
              <w:left w:w="6" w:type="dxa"/>
              <w:bottom w:w="0" w:type="dxa"/>
              <w:right w:w="6" w:type="dxa"/>
            </w:tcMar>
          </w:tcPr>
          <w:p w14:paraId="47BA7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394" w:type="pct"/>
            <w:tcBorders>
              <w:bottom w:val="single" w:color="000000" w:sz="12" w:space="0"/>
            </w:tcBorders>
            <w:shd w:val="clear" w:color="auto" w:fill="FFFFFF"/>
            <w:tcMar>
              <w:top w:w="0" w:type="dxa"/>
              <w:left w:w="6" w:type="dxa"/>
              <w:bottom w:w="0" w:type="dxa"/>
              <w:right w:w="6" w:type="dxa"/>
            </w:tcMar>
          </w:tcPr>
          <w:p w14:paraId="3AB398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711" w:type="pct"/>
            <w:tcBorders>
              <w:bottom w:val="single" w:color="000000" w:sz="12" w:space="0"/>
            </w:tcBorders>
            <w:shd w:val="clear" w:color="auto" w:fill="FFFFFF"/>
            <w:tcMar>
              <w:top w:w="0" w:type="dxa"/>
              <w:left w:w="6" w:type="dxa"/>
              <w:bottom w:w="0" w:type="dxa"/>
              <w:right w:w="6" w:type="dxa"/>
            </w:tcMar>
          </w:tcPr>
          <w:p w14:paraId="4FB1E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-10.4</w:t>
            </w:r>
          </w:p>
        </w:tc>
        <w:tc>
          <w:tcPr>
            <w:tcW w:w="558" w:type="pct"/>
            <w:tcBorders>
              <w:bottom w:val="single" w:color="000000" w:sz="12" w:space="0"/>
            </w:tcBorders>
            <w:shd w:val="clear" w:color="auto" w:fill="FFFFFF"/>
            <w:tcMar>
              <w:top w:w="0" w:type="dxa"/>
              <w:left w:w="6" w:type="dxa"/>
              <w:bottom w:w="0" w:type="dxa"/>
              <w:right w:w="6" w:type="dxa"/>
            </w:tcMar>
          </w:tcPr>
          <w:p w14:paraId="486F3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770" w:type="pct"/>
            <w:tcBorders>
              <w:bottom w:val="single" w:color="000000" w:sz="12" w:space="0"/>
            </w:tcBorders>
            <w:shd w:val="clear" w:color="auto" w:fill="FFFFFF"/>
            <w:tcMar>
              <w:top w:w="0" w:type="dxa"/>
              <w:left w:w="6" w:type="dxa"/>
              <w:bottom w:w="0" w:type="dxa"/>
              <w:right w:w="6" w:type="dxa"/>
            </w:tcMar>
          </w:tcPr>
          <w:p w14:paraId="4170FF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-13</w:t>
            </w:r>
          </w:p>
        </w:tc>
        <w:tc>
          <w:tcPr>
            <w:tcW w:w="497" w:type="pct"/>
            <w:tcBorders>
              <w:bottom w:val="single" w:color="000000" w:sz="12" w:space="0"/>
            </w:tcBorders>
            <w:shd w:val="clear" w:color="auto" w:fill="FFFFFF"/>
            <w:tcMar>
              <w:top w:w="0" w:type="dxa"/>
              <w:left w:w="6" w:type="dxa"/>
              <w:bottom w:w="0" w:type="dxa"/>
              <w:right w:w="6" w:type="dxa"/>
            </w:tcMar>
          </w:tcPr>
          <w:p w14:paraId="0FE4BC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r>
    </w:tbl>
    <w:p w14:paraId="36FF270D">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3.2.5咖啡绿蚧</w:t>
      </w:r>
    </w:p>
    <w:p w14:paraId="0079FE70">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危害特点</w:t>
      </w:r>
      <w:r>
        <w:rPr>
          <w:rFonts w:hint="eastAsia" w:eastAsia="仿宋_GB2312" w:cs="Arial"/>
          <w:sz w:val="24"/>
          <w:szCs w:val="32"/>
          <w:lang w:val="en-US" w:eastAsia="zh-CN"/>
        </w:rPr>
        <w:t xml:space="preserve"> 成虫和若虫在叶背面、枝条及果的表面为害，尤以幼嫩组织部分受害较重。除直接吸取寄主汁液外，还排泄蜜露集聚在叶片上，诱致煤烟病发生，植株病害后其生长衰弱，严重时幼果表皮皱缩，果柄发黄，幼果尚未成熟即会脱落，使产量减少，品质降低。</w:t>
      </w:r>
    </w:p>
    <w:p w14:paraId="5AA75D68">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防治方法及药剂使用确定</w:t>
      </w:r>
    </w:p>
    <w:p w14:paraId="0E9B7842">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加强水肥管理，驱除蚂蚁保护天敌。</w:t>
      </w:r>
    </w:p>
    <w:p w14:paraId="4B6D2A49">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在该虫初发期进行药剂喷施防治，约7 d～10 d1次，连续2次 ～ 3次（表18）。</w:t>
      </w:r>
    </w:p>
    <w:p w14:paraId="7918E45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表1</w:t>
      </w:r>
      <w:r>
        <w:rPr>
          <w:rFonts w:hint="eastAsia" w:eastAsia="黑体" w:cs="Times New Roman"/>
          <w:bCs/>
          <w:kern w:val="44"/>
          <w:sz w:val="21"/>
          <w:szCs w:val="24"/>
          <w:lang w:val="en-US" w:eastAsia="zh-CN"/>
        </w:rPr>
        <w:t>8</w:t>
      </w:r>
      <w:r>
        <w:rPr>
          <w:rFonts w:hint="eastAsia" w:ascii="Times New Roman" w:hAnsi="Times New Roman" w:eastAsia="黑体" w:cs="Times New Roman"/>
          <w:bCs/>
          <w:kern w:val="44"/>
          <w:sz w:val="21"/>
          <w:szCs w:val="24"/>
          <w:lang w:val="en-US" w:eastAsia="zh-CN"/>
        </w:rPr>
        <w:t xml:space="preserve"> 药剂田间防治咖啡绿蚧效果</w:t>
      </w:r>
    </w:p>
    <w:tbl>
      <w:tblPr>
        <w:tblStyle w:val="10"/>
        <w:tblW w:w="4949"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97"/>
        <w:gridCol w:w="693"/>
        <w:gridCol w:w="695"/>
        <w:gridCol w:w="1294"/>
        <w:gridCol w:w="735"/>
        <w:gridCol w:w="1249"/>
        <w:gridCol w:w="703"/>
      </w:tblGrid>
      <w:tr w14:paraId="4C95312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7" w:type="pct"/>
            <w:vMerge w:val="restart"/>
            <w:tcBorders>
              <w:top w:val="single" w:color="000000" w:sz="12" w:space="0"/>
              <w:bottom w:val="single" w:color="000000" w:sz="4" w:space="0"/>
              <w:tl2br w:val="nil"/>
            </w:tcBorders>
            <w:shd w:val="clear" w:color="auto" w:fill="FFFFFF"/>
            <w:tcMar>
              <w:top w:w="0" w:type="dxa"/>
              <w:left w:w="6" w:type="dxa"/>
              <w:bottom w:w="0" w:type="dxa"/>
              <w:right w:w="6" w:type="dxa"/>
            </w:tcMar>
            <w:vAlign w:val="center"/>
          </w:tcPr>
          <w:p w14:paraId="04875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处理</w:t>
            </w:r>
          </w:p>
        </w:tc>
        <w:tc>
          <w:tcPr>
            <w:tcW w:w="395" w:type="pct"/>
            <w:vMerge w:val="restart"/>
            <w:tcBorders>
              <w:top w:val="single" w:color="000000" w:sz="12" w:space="0"/>
              <w:bottom w:val="single" w:color="000000" w:sz="4" w:space="0"/>
            </w:tcBorders>
            <w:shd w:val="clear" w:color="auto" w:fill="FFFFFF"/>
            <w:tcMar>
              <w:top w:w="0" w:type="dxa"/>
              <w:left w:w="6" w:type="dxa"/>
              <w:bottom w:w="0" w:type="dxa"/>
              <w:right w:w="6" w:type="dxa"/>
            </w:tcMar>
            <w:vAlign w:val="center"/>
          </w:tcPr>
          <w:p w14:paraId="63BFE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稀释倍数</w:t>
            </w:r>
          </w:p>
        </w:tc>
        <w:tc>
          <w:tcPr>
            <w:tcW w:w="396" w:type="pct"/>
            <w:vMerge w:val="restart"/>
            <w:tcBorders>
              <w:top w:val="single" w:color="000000" w:sz="12" w:space="0"/>
              <w:bottom w:val="single" w:color="000000" w:sz="4" w:space="0"/>
            </w:tcBorders>
            <w:shd w:val="clear" w:color="auto" w:fill="FFFFFF"/>
            <w:tcMar>
              <w:top w:w="0" w:type="dxa"/>
              <w:left w:w="6" w:type="dxa"/>
              <w:bottom w:w="0" w:type="dxa"/>
              <w:right w:w="6" w:type="dxa"/>
            </w:tcMar>
            <w:vAlign w:val="center"/>
          </w:tcPr>
          <w:p w14:paraId="1A178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施药方式</w:t>
            </w:r>
          </w:p>
        </w:tc>
        <w:tc>
          <w:tcPr>
            <w:tcW w:w="1157" w:type="pct"/>
            <w:gridSpan w:val="2"/>
            <w:tcBorders>
              <w:top w:val="single" w:color="000000" w:sz="12" w:space="0"/>
              <w:bottom w:val="single" w:color="000000" w:sz="4" w:space="0"/>
            </w:tcBorders>
            <w:shd w:val="clear" w:color="auto" w:fill="FFFFFF"/>
            <w:tcMar>
              <w:top w:w="0" w:type="dxa"/>
              <w:left w:w="6" w:type="dxa"/>
              <w:bottom w:w="0" w:type="dxa"/>
              <w:right w:w="6" w:type="dxa"/>
            </w:tcMar>
            <w:vAlign w:val="center"/>
          </w:tcPr>
          <w:p w14:paraId="382FB4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第1次施药7d效果</w:t>
            </w:r>
          </w:p>
        </w:tc>
        <w:tc>
          <w:tcPr>
            <w:tcW w:w="1113" w:type="pct"/>
            <w:gridSpan w:val="2"/>
            <w:tcBorders>
              <w:top w:val="single" w:color="000000" w:sz="12" w:space="0"/>
              <w:bottom w:val="single" w:color="000000" w:sz="4" w:space="0"/>
            </w:tcBorders>
            <w:shd w:val="clear" w:color="auto" w:fill="FFFFFF"/>
            <w:tcMar>
              <w:top w:w="0" w:type="dxa"/>
              <w:left w:w="6" w:type="dxa"/>
              <w:bottom w:w="0" w:type="dxa"/>
              <w:right w:w="6" w:type="dxa"/>
            </w:tcMar>
            <w:vAlign w:val="center"/>
          </w:tcPr>
          <w:p w14:paraId="3045B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第2次施药7d效果</w:t>
            </w:r>
          </w:p>
        </w:tc>
      </w:tr>
      <w:tr w14:paraId="1151F62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7" w:type="pct"/>
            <w:vMerge w:val="continue"/>
            <w:tcBorders>
              <w:top w:val="single" w:color="000000" w:sz="4" w:space="0"/>
              <w:bottom w:val="single" w:color="auto" w:sz="4" w:space="0"/>
            </w:tcBorders>
            <w:shd w:val="clear" w:color="auto" w:fill="FFFFFF"/>
            <w:tcMar>
              <w:top w:w="0" w:type="dxa"/>
              <w:left w:w="6" w:type="dxa"/>
              <w:bottom w:w="0" w:type="dxa"/>
              <w:right w:w="6" w:type="dxa"/>
            </w:tcMar>
            <w:vAlign w:val="center"/>
          </w:tcPr>
          <w:p w14:paraId="01F4C3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395" w:type="pct"/>
            <w:vMerge w:val="continue"/>
            <w:tcBorders>
              <w:top w:val="single" w:color="000000" w:sz="4" w:space="0"/>
              <w:bottom w:val="single" w:color="auto" w:sz="4" w:space="0"/>
            </w:tcBorders>
            <w:shd w:val="clear" w:color="auto" w:fill="FFFFFF"/>
            <w:tcMar>
              <w:top w:w="0" w:type="dxa"/>
              <w:left w:w="6" w:type="dxa"/>
              <w:bottom w:w="0" w:type="dxa"/>
              <w:right w:w="6" w:type="dxa"/>
            </w:tcMar>
            <w:vAlign w:val="center"/>
          </w:tcPr>
          <w:p w14:paraId="30CCA7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396" w:type="pct"/>
            <w:vMerge w:val="continue"/>
            <w:tcBorders>
              <w:top w:val="single" w:color="000000" w:sz="4" w:space="0"/>
              <w:bottom w:val="single" w:color="auto" w:sz="4" w:space="0"/>
            </w:tcBorders>
            <w:shd w:val="clear" w:color="auto" w:fill="FFFFFF"/>
            <w:tcMar>
              <w:top w:w="0" w:type="dxa"/>
              <w:left w:w="6" w:type="dxa"/>
              <w:bottom w:w="0" w:type="dxa"/>
              <w:right w:w="6" w:type="dxa"/>
            </w:tcMar>
            <w:vAlign w:val="center"/>
          </w:tcPr>
          <w:p w14:paraId="74F47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738"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4999B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虫口减退率%</w:t>
            </w:r>
          </w:p>
        </w:tc>
        <w:tc>
          <w:tcPr>
            <w:tcW w:w="419"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70B58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w:t>
            </w:r>
          </w:p>
        </w:tc>
        <w:tc>
          <w:tcPr>
            <w:tcW w:w="712"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518CE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虫口减退率%</w:t>
            </w:r>
          </w:p>
        </w:tc>
        <w:tc>
          <w:tcPr>
            <w:tcW w:w="400" w:type="pct"/>
            <w:tcBorders>
              <w:top w:val="single" w:color="000000" w:sz="4" w:space="0"/>
              <w:bottom w:val="single" w:color="auto" w:sz="4" w:space="0"/>
            </w:tcBorders>
            <w:shd w:val="clear" w:color="auto" w:fill="FFFFFF"/>
            <w:tcMar>
              <w:top w:w="0" w:type="dxa"/>
              <w:left w:w="6" w:type="dxa"/>
              <w:bottom w:w="0" w:type="dxa"/>
              <w:right w:w="6" w:type="dxa"/>
            </w:tcMar>
            <w:vAlign w:val="center"/>
          </w:tcPr>
          <w:p w14:paraId="43FA7F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w:t>
            </w:r>
          </w:p>
        </w:tc>
      </w:tr>
      <w:tr w14:paraId="0EFB778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7" w:type="pct"/>
            <w:tcBorders>
              <w:top w:val="single" w:color="auto" w:sz="4" w:space="0"/>
            </w:tcBorders>
            <w:shd w:val="clear" w:color="auto" w:fill="FFFFFF"/>
            <w:tcMar>
              <w:top w:w="0" w:type="dxa"/>
              <w:left w:w="6" w:type="dxa"/>
              <w:bottom w:w="0" w:type="dxa"/>
              <w:right w:w="6" w:type="dxa"/>
            </w:tcMar>
          </w:tcPr>
          <w:p w14:paraId="2A90A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24%螺虫乙酯悬浮剂</w:t>
            </w:r>
          </w:p>
        </w:tc>
        <w:tc>
          <w:tcPr>
            <w:tcW w:w="395" w:type="pct"/>
            <w:tcBorders>
              <w:top w:val="single" w:color="auto" w:sz="4" w:space="0"/>
            </w:tcBorders>
            <w:shd w:val="clear" w:color="auto" w:fill="FFFFFF"/>
            <w:tcMar>
              <w:top w:w="0" w:type="dxa"/>
              <w:left w:w="6" w:type="dxa"/>
              <w:bottom w:w="0" w:type="dxa"/>
              <w:right w:w="6" w:type="dxa"/>
            </w:tcMar>
          </w:tcPr>
          <w:p w14:paraId="5DA21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4 500</w:t>
            </w:r>
          </w:p>
        </w:tc>
        <w:tc>
          <w:tcPr>
            <w:tcW w:w="396" w:type="pct"/>
            <w:tcBorders>
              <w:top w:val="single" w:color="auto" w:sz="4" w:space="0"/>
            </w:tcBorders>
            <w:shd w:val="clear" w:color="auto" w:fill="FFFFFF"/>
            <w:tcMar>
              <w:top w:w="0" w:type="dxa"/>
              <w:left w:w="6" w:type="dxa"/>
              <w:bottom w:w="0" w:type="dxa"/>
              <w:right w:w="6" w:type="dxa"/>
            </w:tcMar>
          </w:tcPr>
          <w:p w14:paraId="47D7D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38" w:type="pct"/>
            <w:tcBorders>
              <w:top w:val="single" w:color="auto" w:sz="4" w:space="0"/>
            </w:tcBorders>
            <w:shd w:val="clear" w:color="auto" w:fill="FFFFFF"/>
            <w:tcMar>
              <w:top w:w="0" w:type="dxa"/>
              <w:left w:w="6" w:type="dxa"/>
              <w:bottom w:w="0" w:type="dxa"/>
              <w:right w:w="6" w:type="dxa"/>
            </w:tcMar>
          </w:tcPr>
          <w:p w14:paraId="0E8A6D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80.31</w:t>
            </w:r>
          </w:p>
        </w:tc>
        <w:tc>
          <w:tcPr>
            <w:tcW w:w="419" w:type="pct"/>
            <w:tcBorders>
              <w:top w:val="single" w:color="auto" w:sz="4" w:space="0"/>
            </w:tcBorders>
            <w:shd w:val="clear" w:color="auto" w:fill="FFFFFF"/>
            <w:tcMar>
              <w:top w:w="0" w:type="dxa"/>
              <w:left w:w="6" w:type="dxa"/>
              <w:bottom w:w="0" w:type="dxa"/>
              <w:right w:w="6" w:type="dxa"/>
            </w:tcMar>
          </w:tcPr>
          <w:p w14:paraId="7009EA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81.9</w:t>
            </w:r>
          </w:p>
        </w:tc>
        <w:tc>
          <w:tcPr>
            <w:tcW w:w="712" w:type="pct"/>
            <w:tcBorders>
              <w:top w:val="single" w:color="auto" w:sz="4" w:space="0"/>
            </w:tcBorders>
            <w:shd w:val="clear" w:color="auto" w:fill="FFFFFF"/>
            <w:tcMar>
              <w:top w:w="0" w:type="dxa"/>
              <w:left w:w="6" w:type="dxa"/>
              <w:bottom w:w="0" w:type="dxa"/>
              <w:right w:w="6" w:type="dxa"/>
            </w:tcMar>
          </w:tcPr>
          <w:p w14:paraId="1C512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85.42</w:t>
            </w:r>
          </w:p>
        </w:tc>
        <w:tc>
          <w:tcPr>
            <w:tcW w:w="400" w:type="pct"/>
            <w:tcBorders>
              <w:top w:val="single" w:color="auto" w:sz="4" w:space="0"/>
            </w:tcBorders>
            <w:shd w:val="clear" w:color="auto" w:fill="FFFFFF"/>
            <w:tcMar>
              <w:top w:w="0" w:type="dxa"/>
              <w:left w:w="6" w:type="dxa"/>
              <w:bottom w:w="0" w:type="dxa"/>
              <w:right w:w="6" w:type="dxa"/>
            </w:tcMar>
          </w:tcPr>
          <w:p w14:paraId="652AAD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87.4</w:t>
            </w:r>
          </w:p>
        </w:tc>
      </w:tr>
      <w:tr w14:paraId="3D42413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7" w:type="pct"/>
            <w:shd w:val="clear" w:color="auto" w:fill="FFFFFF"/>
            <w:tcMar>
              <w:top w:w="0" w:type="dxa"/>
              <w:left w:w="6" w:type="dxa"/>
              <w:bottom w:w="0" w:type="dxa"/>
              <w:right w:w="6" w:type="dxa"/>
            </w:tcMar>
          </w:tcPr>
          <w:p w14:paraId="77182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24%螺虫乙酯悬浮剂</w:t>
            </w:r>
          </w:p>
        </w:tc>
        <w:tc>
          <w:tcPr>
            <w:tcW w:w="395" w:type="pct"/>
            <w:shd w:val="clear" w:color="auto" w:fill="FFFFFF"/>
            <w:tcMar>
              <w:top w:w="0" w:type="dxa"/>
              <w:left w:w="6" w:type="dxa"/>
              <w:bottom w:w="0" w:type="dxa"/>
              <w:right w:w="6" w:type="dxa"/>
            </w:tcMar>
          </w:tcPr>
          <w:p w14:paraId="7D951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4 000</w:t>
            </w:r>
          </w:p>
        </w:tc>
        <w:tc>
          <w:tcPr>
            <w:tcW w:w="396" w:type="pct"/>
            <w:shd w:val="clear" w:color="auto" w:fill="FFFFFF"/>
            <w:tcMar>
              <w:top w:w="0" w:type="dxa"/>
              <w:left w:w="6" w:type="dxa"/>
              <w:bottom w:w="0" w:type="dxa"/>
              <w:right w:w="6" w:type="dxa"/>
            </w:tcMar>
          </w:tcPr>
          <w:p w14:paraId="69275E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38" w:type="pct"/>
            <w:shd w:val="clear" w:color="auto" w:fill="FFFFFF"/>
            <w:tcMar>
              <w:top w:w="0" w:type="dxa"/>
              <w:left w:w="6" w:type="dxa"/>
              <w:bottom w:w="0" w:type="dxa"/>
              <w:right w:w="6" w:type="dxa"/>
            </w:tcMar>
          </w:tcPr>
          <w:p w14:paraId="177A6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85.94</w:t>
            </w:r>
          </w:p>
        </w:tc>
        <w:tc>
          <w:tcPr>
            <w:tcW w:w="419" w:type="pct"/>
            <w:shd w:val="clear" w:color="auto" w:fill="FFFFFF"/>
            <w:tcMar>
              <w:top w:w="0" w:type="dxa"/>
              <w:left w:w="6" w:type="dxa"/>
              <w:bottom w:w="0" w:type="dxa"/>
              <w:right w:w="6" w:type="dxa"/>
            </w:tcMar>
          </w:tcPr>
          <w:p w14:paraId="50557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87.1</w:t>
            </w:r>
          </w:p>
        </w:tc>
        <w:tc>
          <w:tcPr>
            <w:tcW w:w="712" w:type="pct"/>
            <w:shd w:val="clear" w:color="auto" w:fill="FFFFFF"/>
            <w:tcMar>
              <w:top w:w="0" w:type="dxa"/>
              <w:left w:w="6" w:type="dxa"/>
              <w:bottom w:w="0" w:type="dxa"/>
              <w:right w:w="6" w:type="dxa"/>
            </w:tcMar>
          </w:tcPr>
          <w:p w14:paraId="5F559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89.24</w:t>
            </w:r>
          </w:p>
        </w:tc>
        <w:tc>
          <w:tcPr>
            <w:tcW w:w="400" w:type="pct"/>
            <w:shd w:val="clear" w:color="auto" w:fill="FFFFFF"/>
            <w:tcMar>
              <w:top w:w="0" w:type="dxa"/>
              <w:left w:w="6" w:type="dxa"/>
              <w:bottom w:w="0" w:type="dxa"/>
              <w:right w:w="6" w:type="dxa"/>
            </w:tcMar>
          </w:tcPr>
          <w:p w14:paraId="0BF0FD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90.7</w:t>
            </w:r>
          </w:p>
        </w:tc>
      </w:tr>
      <w:tr w14:paraId="58B6717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7" w:type="pct"/>
            <w:shd w:val="clear" w:color="auto" w:fill="FFFFFF"/>
            <w:tcMar>
              <w:top w:w="0" w:type="dxa"/>
              <w:left w:w="6" w:type="dxa"/>
              <w:bottom w:w="0" w:type="dxa"/>
              <w:right w:w="6" w:type="dxa"/>
            </w:tcMar>
          </w:tcPr>
          <w:p w14:paraId="3B13A5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30%噻虫胺·噻嗪酮可分散油悬浮剂</w:t>
            </w:r>
          </w:p>
        </w:tc>
        <w:tc>
          <w:tcPr>
            <w:tcW w:w="395" w:type="pct"/>
            <w:shd w:val="clear" w:color="auto" w:fill="FFFFFF"/>
            <w:tcMar>
              <w:top w:w="0" w:type="dxa"/>
              <w:left w:w="6" w:type="dxa"/>
              <w:bottom w:w="0" w:type="dxa"/>
              <w:right w:w="6" w:type="dxa"/>
            </w:tcMar>
          </w:tcPr>
          <w:p w14:paraId="1074E2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1 200</w:t>
            </w:r>
          </w:p>
        </w:tc>
        <w:tc>
          <w:tcPr>
            <w:tcW w:w="396" w:type="pct"/>
            <w:shd w:val="clear" w:color="auto" w:fill="FFFFFF"/>
            <w:tcMar>
              <w:top w:w="0" w:type="dxa"/>
              <w:left w:w="6" w:type="dxa"/>
              <w:bottom w:w="0" w:type="dxa"/>
              <w:right w:w="6" w:type="dxa"/>
            </w:tcMar>
          </w:tcPr>
          <w:p w14:paraId="277B5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38" w:type="pct"/>
            <w:shd w:val="clear" w:color="auto" w:fill="FFFFFF"/>
            <w:tcMar>
              <w:top w:w="0" w:type="dxa"/>
              <w:left w:w="6" w:type="dxa"/>
              <w:bottom w:w="0" w:type="dxa"/>
              <w:right w:w="6" w:type="dxa"/>
            </w:tcMar>
          </w:tcPr>
          <w:p w14:paraId="2930E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83.9</w:t>
            </w:r>
          </w:p>
        </w:tc>
        <w:tc>
          <w:tcPr>
            <w:tcW w:w="419" w:type="pct"/>
            <w:shd w:val="clear" w:color="auto" w:fill="FFFFFF"/>
            <w:tcMar>
              <w:top w:w="0" w:type="dxa"/>
              <w:left w:w="6" w:type="dxa"/>
              <w:bottom w:w="0" w:type="dxa"/>
              <w:right w:w="6" w:type="dxa"/>
            </w:tcMar>
          </w:tcPr>
          <w:p w14:paraId="47962D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85.2</w:t>
            </w:r>
          </w:p>
        </w:tc>
        <w:tc>
          <w:tcPr>
            <w:tcW w:w="712" w:type="pct"/>
            <w:shd w:val="clear" w:color="auto" w:fill="FFFFFF"/>
            <w:tcMar>
              <w:top w:w="0" w:type="dxa"/>
              <w:left w:w="6" w:type="dxa"/>
              <w:bottom w:w="0" w:type="dxa"/>
              <w:right w:w="6" w:type="dxa"/>
            </w:tcMar>
          </w:tcPr>
          <w:p w14:paraId="6D875F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93.6</w:t>
            </w:r>
          </w:p>
        </w:tc>
        <w:tc>
          <w:tcPr>
            <w:tcW w:w="400" w:type="pct"/>
            <w:shd w:val="clear" w:color="auto" w:fill="FFFFFF"/>
            <w:tcMar>
              <w:top w:w="0" w:type="dxa"/>
              <w:left w:w="6" w:type="dxa"/>
              <w:bottom w:w="0" w:type="dxa"/>
              <w:right w:w="6" w:type="dxa"/>
            </w:tcMar>
          </w:tcPr>
          <w:p w14:paraId="59A775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94.5</w:t>
            </w:r>
          </w:p>
        </w:tc>
      </w:tr>
      <w:tr w14:paraId="7AE298A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7" w:type="pct"/>
            <w:shd w:val="clear" w:color="auto" w:fill="FFFFFF"/>
            <w:tcMar>
              <w:top w:w="0" w:type="dxa"/>
              <w:left w:w="6" w:type="dxa"/>
              <w:bottom w:w="0" w:type="dxa"/>
              <w:right w:w="6" w:type="dxa"/>
            </w:tcMar>
          </w:tcPr>
          <w:p w14:paraId="3E702F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10%吡虫啉可湿性粉剂</w:t>
            </w:r>
          </w:p>
        </w:tc>
        <w:tc>
          <w:tcPr>
            <w:tcW w:w="395" w:type="pct"/>
            <w:shd w:val="clear" w:color="auto" w:fill="FFFFFF"/>
            <w:tcMar>
              <w:top w:w="0" w:type="dxa"/>
              <w:left w:w="6" w:type="dxa"/>
              <w:bottom w:w="0" w:type="dxa"/>
              <w:right w:w="6" w:type="dxa"/>
            </w:tcMar>
          </w:tcPr>
          <w:p w14:paraId="48D3D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2 500</w:t>
            </w:r>
          </w:p>
        </w:tc>
        <w:tc>
          <w:tcPr>
            <w:tcW w:w="396" w:type="pct"/>
            <w:shd w:val="clear" w:color="auto" w:fill="FFFFFF"/>
            <w:tcMar>
              <w:top w:w="0" w:type="dxa"/>
              <w:left w:w="6" w:type="dxa"/>
              <w:bottom w:w="0" w:type="dxa"/>
              <w:right w:w="6" w:type="dxa"/>
            </w:tcMar>
          </w:tcPr>
          <w:p w14:paraId="2654D7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38" w:type="pct"/>
            <w:shd w:val="clear" w:color="auto" w:fill="FFFFFF"/>
            <w:tcMar>
              <w:top w:w="0" w:type="dxa"/>
              <w:left w:w="6" w:type="dxa"/>
              <w:bottom w:w="0" w:type="dxa"/>
              <w:right w:w="6" w:type="dxa"/>
            </w:tcMar>
          </w:tcPr>
          <w:p w14:paraId="65D42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91.6</w:t>
            </w:r>
          </w:p>
        </w:tc>
        <w:tc>
          <w:tcPr>
            <w:tcW w:w="419" w:type="pct"/>
            <w:shd w:val="clear" w:color="auto" w:fill="FFFFFF"/>
            <w:tcMar>
              <w:top w:w="0" w:type="dxa"/>
              <w:left w:w="6" w:type="dxa"/>
              <w:bottom w:w="0" w:type="dxa"/>
              <w:right w:w="6" w:type="dxa"/>
            </w:tcMar>
          </w:tcPr>
          <w:p w14:paraId="2A868E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92.3</w:t>
            </w:r>
          </w:p>
        </w:tc>
        <w:tc>
          <w:tcPr>
            <w:tcW w:w="712" w:type="pct"/>
            <w:shd w:val="clear" w:color="auto" w:fill="FFFFFF"/>
            <w:tcMar>
              <w:top w:w="0" w:type="dxa"/>
              <w:left w:w="6" w:type="dxa"/>
              <w:bottom w:w="0" w:type="dxa"/>
              <w:right w:w="6" w:type="dxa"/>
            </w:tcMar>
          </w:tcPr>
          <w:p w14:paraId="52FA62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97.1</w:t>
            </w:r>
          </w:p>
        </w:tc>
        <w:tc>
          <w:tcPr>
            <w:tcW w:w="400" w:type="pct"/>
            <w:shd w:val="clear" w:color="auto" w:fill="FFFFFF"/>
            <w:tcMar>
              <w:top w:w="0" w:type="dxa"/>
              <w:left w:w="6" w:type="dxa"/>
              <w:bottom w:w="0" w:type="dxa"/>
              <w:right w:w="6" w:type="dxa"/>
            </w:tcMar>
          </w:tcPr>
          <w:p w14:paraId="3ACF6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97.5</w:t>
            </w:r>
          </w:p>
        </w:tc>
      </w:tr>
      <w:tr w14:paraId="012ADB1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7" w:type="pct"/>
            <w:tcBorders>
              <w:bottom w:val="single" w:color="000000" w:sz="12" w:space="0"/>
            </w:tcBorders>
            <w:shd w:val="clear" w:color="auto" w:fill="FFFFFF"/>
            <w:tcMar>
              <w:top w:w="0" w:type="dxa"/>
              <w:left w:w="6" w:type="dxa"/>
              <w:bottom w:w="0" w:type="dxa"/>
              <w:right w:w="6" w:type="dxa"/>
            </w:tcMar>
          </w:tcPr>
          <w:p w14:paraId="3E4A5F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对照(CK)</w:t>
            </w:r>
          </w:p>
        </w:tc>
        <w:tc>
          <w:tcPr>
            <w:tcW w:w="395" w:type="pct"/>
            <w:tcBorders>
              <w:bottom w:val="single" w:color="000000" w:sz="12" w:space="0"/>
            </w:tcBorders>
            <w:shd w:val="clear" w:color="auto" w:fill="FFFFFF"/>
            <w:tcMar>
              <w:top w:w="0" w:type="dxa"/>
              <w:left w:w="6" w:type="dxa"/>
              <w:bottom w:w="0" w:type="dxa"/>
              <w:right w:w="6" w:type="dxa"/>
            </w:tcMar>
          </w:tcPr>
          <w:p w14:paraId="0F459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396" w:type="pct"/>
            <w:tcBorders>
              <w:bottom w:val="single" w:color="000000" w:sz="12" w:space="0"/>
            </w:tcBorders>
            <w:shd w:val="clear" w:color="auto" w:fill="FFFFFF"/>
            <w:tcMar>
              <w:top w:w="0" w:type="dxa"/>
              <w:left w:w="6" w:type="dxa"/>
              <w:bottom w:w="0" w:type="dxa"/>
              <w:right w:w="6" w:type="dxa"/>
            </w:tcMar>
          </w:tcPr>
          <w:p w14:paraId="457DA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38" w:type="pct"/>
            <w:tcBorders>
              <w:bottom w:val="single" w:color="000000" w:sz="12" w:space="0"/>
            </w:tcBorders>
            <w:shd w:val="clear" w:color="auto" w:fill="FFFFFF"/>
            <w:tcMar>
              <w:top w:w="0" w:type="dxa"/>
              <w:left w:w="6" w:type="dxa"/>
              <w:bottom w:w="0" w:type="dxa"/>
              <w:right w:w="6" w:type="dxa"/>
            </w:tcMar>
          </w:tcPr>
          <w:p w14:paraId="2D745B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-8.6</w:t>
            </w:r>
          </w:p>
        </w:tc>
        <w:tc>
          <w:tcPr>
            <w:tcW w:w="419" w:type="pct"/>
            <w:tcBorders>
              <w:bottom w:val="single" w:color="000000" w:sz="12" w:space="0"/>
            </w:tcBorders>
            <w:shd w:val="clear" w:color="auto" w:fill="FFFFFF"/>
            <w:tcMar>
              <w:top w:w="0" w:type="dxa"/>
              <w:left w:w="6" w:type="dxa"/>
              <w:bottom w:w="0" w:type="dxa"/>
              <w:right w:w="6" w:type="dxa"/>
            </w:tcMar>
          </w:tcPr>
          <w:p w14:paraId="4DB3B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712" w:type="pct"/>
            <w:tcBorders>
              <w:bottom w:val="single" w:color="000000" w:sz="12" w:space="0"/>
            </w:tcBorders>
            <w:shd w:val="clear" w:color="auto" w:fill="FFFFFF"/>
            <w:tcMar>
              <w:top w:w="0" w:type="dxa"/>
              <w:left w:w="6" w:type="dxa"/>
              <w:bottom w:w="0" w:type="dxa"/>
              <w:right w:w="6" w:type="dxa"/>
            </w:tcMar>
          </w:tcPr>
          <w:p w14:paraId="5C9F4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-15.7</w:t>
            </w:r>
          </w:p>
        </w:tc>
        <w:tc>
          <w:tcPr>
            <w:tcW w:w="400" w:type="pct"/>
            <w:tcBorders>
              <w:bottom w:val="single" w:color="000000" w:sz="12" w:space="0"/>
            </w:tcBorders>
            <w:shd w:val="clear" w:color="auto" w:fill="FFFFFF"/>
            <w:tcMar>
              <w:top w:w="0" w:type="dxa"/>
              <w:left w:w="6" w:type="dxa"/>
              <w:bottom w:w="0" w:type="dxa"/>
              <w:right w:w="6" w:type="dxa"/>
            </w:tcMar>
          </w:tcPr>
          <w:p w14:paraId="25CEC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r>
    </w:tbl>
    <w:p w14:paraId="6ADA38CE">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3.2.6咖啡粉蚧</w:t>
      </w:r>
    </w:p>
    <w:p w14:paraId="6ABFE189">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 xml:space="preserve">危害特点 </w:t>
      </w:r>
      <w:r>
        <w:rPr>
          <w:rFonts w:hint="eastAsia" w:eastAsia="仿宋_GB2312" w:cs="Arial"/>
          <w:sz w:val="24"/>
          <w:szCs w:val="32"/>
          <w:lang w:val="en-US" w:eastAsia="zh-CN"/>
        </w:rPr>
        <w:t>咖啡根粉蚧 以若虫和雌成虫寄生在咖啡根部，起初在根茎部为害，以后逐渐延绵到主根、侧根，吸食液汁，使植株早衰；双条拂粉蚧 以若虫和雌成虫聚集在嫩枝、叶片刺吸为害，初孵若虫从卵囊下爬出，固定在叶片和嫩枝吸食汁液造成咖啡叶片变黄枯萎、脱落，树枝干枯，并且诱发煤烟病；柑橘臀纹粉蚧 可为害嫩梢、嫩枝、叶、浆果、茎等，常聚集在叶柄、枝叶交叉处吸食汁液。叶受害时，变黄枯萎，该虫排泄的蜜露可引发煤烟病，影响咖啡光合作用。</w:t>
      </w:r>
    </w:p>
    <w:p w14:paraId="5EF035B7">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防治方法及药剂使用确定</w:t>
      </w:r>
    </w:p>
    <w:p w14:paraId="75730806">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加强水肥管理，驱除蚂蚁保护天敌。</w:t>
      </w:r>
    </w:p>
    <w:p w14:paraId="710D71D6">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种苗出圃前仔细检查如有粉蚧为害进行药剂喷施，咖啡园发现有粉蚧为害进行灌根和喷雾防治，约7 d～10 d1次，连续2次 ～ 3次（表19）。</w:t>
      </w:r>
    </w:p>
    <w:p w14:paraId="73110C1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表1</w:t>
      </w:r>
      <w:r>
        <w:rPr>
          <w:rFonts w:hint="eastAsia" w:eastAsia="黑体" w:cs="Times New Roman"/>
          <w:bCs/>
          <w:kern w:val="44"/>
          <w:sz w:val="21"/>
          <w:szCs w:val="24"/>
          <w:lang w:val="en-US" w:eastAsia="zh-CN"/>
        </w:rPr>
        <w:t xml:space="preserve">9 </w:t>
      </w:r>
      <w:r>
        <w:rPr>
          <w:rFonts w:hint="eastAsia" w:ascii="Times New Roman" w:hAnsi="Times New Roman" w:eastAsia="黑体" w:cs="Times New Roman"/>
          <w:bCs/>
          <w:kern w:val="44"/>
          <w:sz w:val="21"/>
          <w:szCs w:val="24"/>
          <w:lang w:val="en-US" w:eastAsia="zh-CN"/>
        </w:rPr>
        <w:t xml:space="preserve"> 药剂田间防治咖啡粉蚧效果</w:t>
      </w:r>
    </w:p>
    <w:tbl>
      <w:tblPr>
        <w:tblStyle w:val="10"/>
        <w:tblW w:w="4868"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9"/>
        <w:gridCol w:w="689"/>
        <w:gridCol w:w="691"/>
        <w:gridCol w:w="1261"/>
        <w:gridCol w:w="951"/>
        <w:gridCol w:w="1265"/>
        <w:gridCol w:w="805"/>
      </w:tblGrid>
      <w:tr w14:paraId="6FB8172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12" w:type="pct"/>
            <w:vMerge w:val="restart"/>
            <w:tcBorders>
              <w:top w:val="single" w:color="000000" w:sz="12" w:space="0"/>
              <w:bottom w:val="single" w:color="000000" w:sz="4" w:space="0"/>
              <w:tl2br w:val="nil"/>
            </w:tcBorders>
            <w:shd w:val="clear" w:color="auto" w:fill="FFFFFF"/>
            <w:tcMar>
              <w:top w:w="0" w:type="dxa"/>
              <w:left w:w="0" w:type="dxa"/>
              <w:bottom w:w="0" w:type="dxa"/>
              <w:right w:w="0" w:type="dxa"/>
            </w:tcMar>
            <w:vAlign w:val="center"/>
          </w:tcPr>
          <w:p w14:paraId="6E537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处理</w:t>
            </w:r>
          </w:p>
        </w:tc>
        <w:tc>
          <w:tcPr>
            <w:tcW w:w="400" w:type="pct"/>
            <w:vMerge w:val="restart"/>
            <w:tcBorders>
              <w:top w:val="single" w:color="000000" w:sz="12" w:space="0"/>
              <w:bottom w:val="single" w:color="000000" w:sz="4" w:space="0"/>
            </w:tcBorders>
            <w:shd w:val="clear" w:color="auto" w:fill="FFFFFF"/>
            <w:tcMar>
              <w:top w:w="0" w:type="dxa"/>
              <w:left w:w="0" w:type="dxa"/>
              <w:bottom w:w="0" w:type="dxa"/>
              <w:right w:w="0" w:type="dxa"/>
            </w:tcMar>
            <w:vAlign w:val="center"/>
          </w:tcPr>
          <w:p w14:paraId="4A9E96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稀释倍数</w:t>
            </w:r>
          </w:p>
        </w:tc>
        <w:tc>
          <w:tcPr>
            <w:tcW w:w="401" w:type="pct"/>
            <w:vMerge w:val="restart"/>
            <w:tcBorders>
              <w:top w:val="single" w:color="000000" w:sz="12" w:space="0"/>
              <w:bottom w:val="single" w:color="000000" w:sz="4" w:space="0"/>
            </w:tcBorders>
            <w:shd w:val="clear" w:color="auto" w:fill="FFFFFF"/>
            <w:tcMar>
              <w:top w:w="0" w:type="dxa"/>
              <w:left w:w="0" w:type="dxa"/>
              <w:bottom w:w="0" w:type="dxa"/>
              <w:right w:w="0" w:type="dxa"/>
            </w:tcMar>
            <w:vAlign w:val="center"/>
          </w:tcPr>
          <w:p w14:paraId="4BCFD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施药方式</w:t>
            </w:r>
          </w:p>
        </w:tc>
        <w:tc>
          <w:tcPr>
            <w:tcW w:w="1284" w:type="pct"/>
            <w:gridSpan w:val="2"/>
            <w:tcBorders>
              <w:top w:val="single" w:color="000000" w:sz="12" w:space="0"/>
              <w:bottom w:val="single" w:color="000000" w:sz="4" w:space="0"/>
            </w:tcBorders>
            <w:shd w:val="clear" w:color="auto" w:fill="FFFFFF"/>
            <w:tcMar>
              <w:top w:w="0" w:type="dxa"/>
              <w:left w:w="0" w:type="dxa"/>
              <w:bottom w:w="0" w:type="dxa"/>
              <w:right w:w="0" w:type="dxa"/>
            </w:tcMar>
            <w:vAlign w:val="center"/>
          </w:tcPr>
          <w:p w14:paraId="1AD79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第1次施药7d效果</w:t>
            </w:r>
          </w:p>
        </w:tc>
        <w:tc>
          <w:tcPr>
            <w:tcW w:w="1201" w:type="pct"/>
            <w:gridSpan w:val="2"/>
            <w:tcBorders>
              <w:top w:val="single" w:color="000000" w:sz="12" w:space="0"/>
              <w:bottom w:val="single" w:color="000000" w:sz="4" w:space="0"/>
            </w:tcBorders>
            <w:shd w:val="clear" w:color="auto" w:fill="FFFFFF"/>
            <w:tcMar>
              <w:top w:w="0" w:type="dxa"/>
              <w:left w:w="0" w:type="dxa"/>
              <w:bottom w:w="0" w:type="dxa"/>
              <w:right w:w="0" w:type="dxa"/>
            </w:tcMar>
            <w:vAlign w:val="center"/>
          </w:tcPr>
          <w:p w14:paraId="26100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第2次施药7d效果</w:t>
            </w:r>
          </w:p>
        </w:tc>
      </w:tr>
      <w:tr w14:paraId="79D15E9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12" w:type="pct"/>
            <w:vMerge w:val="continue"/>
            <w:tcBorders>
              <w:top w:val="single" w:color="000000" w:sz="4" w:space="0"/>
              <w:bottom w:val="single" w:color="auto" w:sz="4" w:space="0"/>
            </w:tcBorders>
            <w:shd w:val="clear" w:color="auto" w:fill="FFFFFF"/>
            <w:tcMar>
              <w:top w:w="0" w:type="dxa"/>
              <w:left w:w="0" w:type="dxa"/>
              <w:bottom w:w="0" w:type="dxa"/>
              <w:right w:w="0" w:type="dxa"/>
            </w:tcMar>
            <w:vAlign w:val="center"/>
          </w:tcPr>
          <w:p w14:paraId="03B55A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400" w:type="pct"/>
            <w:vMerge w:val="continue"/>
            <w:tcBorders>
              <w:top w:val="single" w:color="000000" w:sz="4" w:space="0"/>
              <w:bottom w:val="single" w:color="auto" w:sz="4" w:space="0"/>
            </w:tcBorders>
            <w:shd w:val="clear" w:color="auto" w:fill="FFFFFF"/>
            <w:tcMar>
              <w:top w:w="0" w:type="dxa"/>
              <w:left w:w="0" w:type="dxa"/>
              <w:bottom w:w="0" w:type="dxa"/>
              <w:right w:w="0" w:type="dxa"/>
            </w:tcMar>
            <w:vAlign w:val="center"/>
          </w:tcPr>
          <w:p w14:paraId="1061F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401" w:type="pct"/>
            <w:vMerge w:val="continue"/>
            <w:tcBorders>
              <w:top w:val="single" w:color="000000" w:sz="4" w:space="0"/>
              <w:bottom w:val="single" w:color="auto" w:sz="4" w:space="0"/>
            </w:tcBorders>
            <w:shd w:val="clear" w:color="auto" w:fill="FFFFFF"/>
            <w:tcMar>
              <w:top w:w="0" w:type="dxa"/>
              <w:left w:w="0" w:type="dxa"/>
              <w:bottom w:w="0" w:type="dxa"/>
              <w:right w:w="0" w:type="dxa"/>
            </w:tcMar>
            <w:vAlign w:val="center"/>
          </w:tcPr>
          <w:p w14:paraId="6A9BF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732" w:type="pct"/>
            <w:tcBorders>
              <w:top w:val="single" w:color="000000" w:sz="4" w:space="0"/>
              <w:bottom w:val="single" w:color="auto" w:sz="4" w:space="0"/>
            </w:tcBorders>
            <w:shd w:val="clear" w:color="auto" w:fill="FFFFFF"/>
            <w:tcMar>
              <w:top w:w="0" w:type="dxa"/>
              <w:left w:w="0" w:type="dxa"/>
              <w:bottom w:w="0" w:type="dxa"/>
              <w:right w:w="0" w:type="dxa"/>
            </w:tcMar>
            <w:vAlign w:val="center"/>
          </w:tcPr>
          <w:p w14:paraId="1B0CCE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虫口减退率%</w:t>
            </w:r>
          </w:p>
        </w:tc>
        <w:tc>
          <w:tcPr>
            <w:tcW w:w="552" w:type="pct"/>
            <w:tcBorders>
              <w:top w:val="single" w:color="000000" w:sz="4" w:space="0"/>
              <w:bottom w:val="single" w:color="auto" w:sz="4" w:space="0"/>
            </w:tcBorders>
            <w:shd w:val="clear" w:color="auto" w:fill="FFFFFF"/>
            <w:tcMar>
              <w:top w:w="0" w:type="dxa"/>
              <w:left w:w="0" w:type="dxa"/>
              <w:bottom w:w="0" w:type="dxa"/>
              <w:right w:w="0" w:type="dxa"/>
            </w:tcMar>
            <w:vAlign w:val="center"/>
          </w:tcPr>
          <w:p w14:paraId="17E460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w:t>
            </w:r>
          </w:p>
        </w:tc>
        <w:tc>
          <w:tcPr>
            <w:tcW w:w="734" w:type="pct"/>
            <w:tcBorders>
              <w:top w:val="single" w:color="000000" w:sz="4" w:space="0"/>
              <w:bottom w:val="single" w:color="auto" w:sz="4" w:space="0"/>
            </w:tcBorders>
            <w:shd w:val="clear" w:color="auto" w:fill="FFFFFF"/>
            <w:tcMar>
              <w:top w:w="0" w:type="dxa"/>
              <w:left w:w="0" w:type="dxa"/>
              <w:bottom w:w="0" w:type="dxa"/>
              <w:right w:w="0" w:type="dxa"/>
            </w:tcMar>
            <w:vAlign w:val="center"/>
          </w:tcPr>
          <w:p w14:paraId="694FA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虫口减退率%</w:t>
            </w:r>
          </w:p>
        </w:tc>
        <w:tc>
          <w:tcPr>
            <w:tcW w:w="466" w:type="pct"/>
            <w:tcBorders>
              <w:top w:val="single" w:color="000000" w:sz="4" w:space="0"/>
              <w:bottom w:val="single" w:color="auto" w:sz="4" w:space="0"/>
            </w:tcBorders>
            <w:shd w:val="clear" w:color="auto" w:fill="FFFFFF"/>
            <w:tcMar>
              <w:top w:w="0" w:type="dxa"/>
              <w:left w:w="0" w:type="dxa"/>
              <w:bottom w:w="0" w:type="dxa"/>
              <w:right w:w="0" w:type="dxa"/>
            </w:tcMar>
            <w:vAlign w:val="center"/>
          </w:tcPr>
          <w:p w14:paraId="547FE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w:t>
            </w:r>
          </w:p>
        </w:tc>
      </w:tr>
      <w:tr w14:paraId="7F23369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12" w:type="pct"/>
            <w:tcBorders>
              <w:top w:val="single" w:color="auto" w:sz="4" w:space="0"/>
            </w:tcBorders>
            <w:shd w:val="clear" w:color="auto" w:fill="FFFFFF"/>
            <w:tcMar>
              <w:top w:w="0" w:type="dxa"/>
              <w:left w:w="0" w:type="dxa"/>
              <w:bottom w:w="0" w:type="dxa"/>
              <w:right w:w="0" w:type="dxa"/>
            </w:tcMar>
            <w:vAlign w:val="center"/>
          </w:tcPr>
          <w:p w14:paraId="19CD4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24%螺虫乙酯悬浮剂</w:t>
            </w:r>
          </w:p>
        </w:tc>
        <w:tc>
          <w:tcPr>
            <w:tcW w:w="400" w:type="pct"/>
            <w:tcBorders>
              <w:top w:val="single" w:color="auto" w:sz="4" w:space="0"/>
            </w:tcBorders>
            <w:shd w:val="clear" w:color="auto" w:fill="FFFFFF"/>
            <w:tcMar>
              <w:top w:w="0" w:type="dxa"/>
              <w:left w:w="0" w:type="dxa"/>
              <w:bottom w:w="0" w:type="dxa"/>
              <w:right w:w="0" w:type="dxa"/>
            </w:tcMar>
            <w:vAlign w:val="center"/>
          </w:tcPr>
          <w:p w14:paraId="2DC1BA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4 500</w:t>
            </w:r>
          </w:p>
        </w:tc>
        <w:tc>
          <w:tcPr>
            <w:tcW w:w="401" w:type="pct"/>
            <w:tcBorders>
              <w:top w:val="single" w:color="auto" w:sz="4" w:space="0"/>
            </w:tcBorders>
            <w:shd w:val="clear" w:color="auto" w:fill="FFFFFF"/>
            <w:tcMar>
              <w:top w:w="0" w:type="dxa"/>
              <w:left w:w="0" w:type="dxa"/>
              <w:bottom w:w="0" w:type="dxa"/>
              <w:right w:w="0" w:type="dxa"/>
            </w:tcMar>
            <w:vAlign w:val="center"/>
          </w:tcPr>
          <w:p w14:paraId="11033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32" w:type="pct"/>
            <w:tcBorders>
              <w:top w:val="single" w:color="auto" w:sz="4" w:space="0"/>
            </w:tcBorders>
            <w:shd w:val="clear" w:color="auto" w:fill="FFFFFF"/>
            <w:tcMar>
              <w:top w:w="0" w:type="dxa"/>
              <w:left w:w="0" w:type="dxa"/>
              <w:bottom w:w="0" w:type="dxa"/>
              <w:right w:w="0" w:type="dxa"/>
            </w:tcMar>
            <w:vAlign w:val="center"/>
          </w:tcPr>
          <w:p w14:paraId="40747F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85.6</w:t>
            </w:r>
          </w:p>
        </w:tc>
        <w:tc>
          <w:tcPr>
            <w:tcW w:w="552" w:type="pct"/>
            <w:tcBorders>
              <w:top w:val="single" w:color="auto" w:sz="4" w:space="0"/>
            </w:tcBorders>
            <w:shd w:val="clear" w:color="auto" w:fill="FFFFFF"/>
            <w:tcMar>
              <w:top w:w="0" w:type="dxa"/>
              <w:left w:w="0" w:type="dxa"/>
              <w:bottom w:w="0" w:type="dxa"/>
              <w:right w:w="0" w:type="dxa"/>
            </w:tcMar>
            <w:vAlign w:val="center"/>
          </w:tcPr>
          <w:p w14:paraId="08CE5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87.2</w:t>
            </w:r>
          </w:p>
        </w:tc>
        <w:tc>
          <w:tcPr>
            <w:tcW w:w="734" w:type="pct"/>
            <w:tcBorders>
              <w:top w:val="single" w:color="auto" w:sz="4" w:space="0"/>
            </w:tcBorders>
            <w:shd w:val="clear" w:color="auto" w:fill="FFFFFF"/>
            <w:tcMar>
              <w:top w:w="0" w:type="dxa"/>
              <w:left w:w="0" w:type="dxa"/>
              <w:bottom w:w="0" w:type="dxa"/>
              <w:right w:w="0" w:type="dxa"/>
            </w:tcMar>
            <w:vAlign w:val="center"/>
          </w:tcPr>
          <w:p w14:paraId="67B236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89.7</w:t>
            </w:r>
          </w:p>
        </w:tc>
        <w:tc>
          <w:tcPr>
            <w:tcW w:w="466" w:type="pct"/>
            <w:tcBorders>
              <w:top w:val="single" w:color="auto" w:sz="4" w:space="0"/>
            </w:tcBorders>
            <w:shd w:val="clear" w:color="auto" w:fill="FFFFFF"/>
            <w:tcMar>
              <w:top w:w="0" w:type="dxa"/>
              <w:left w:w="0" w:type="dxa"/>
              <w:bottom w:w="0" w:type="dxa"/>
              <w:right w:w="0" w:type="dxa"/>
            </w:tcMar>
            <w:vAlign w:val="center"/>
          </w:tcPr>
          <w:p w14:paraId="37825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91.0</w:t>
            </w:r>
          </w:p>
        </w:tc>
      </w:tr>
      <w:tr w14:paraId="5D96A58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12" w:type="pct"/>
            <w:shd w:val="clear" w:color="auto" w:fill="FFFFFF"/>
            <w:tcMar>
              <w:top w:w="0" w:type="dxa"/>
              <w:left w:w="0" w:type="dxa"/>
              <w:bottom w:w="0" w:type="dxa"/>
              <w:right w:w="0" w:type="dxa"/>
            </w:tcMar>
            <w:vAlign w:val="center"/>
          </w:tcPr>
          <w:p w14:paraId="589067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30%噻虫胺·噻嗪酮可分散油悬浮剂</w:t>
            </w:r>
          </w:p>
        </w:tc>
        <w:tc>
          <w:tcPr>
            <w:tcW w:w="400" w:type="pct"/>
            <w:shd w:val="clear" w:color="auto" w:fill="FFFFFF"/>
            <w:tcMar>
              <w:top w:w="0" w:type="dxa"/>
              <w:left w:w="0" w:type="dxa"/>
              <w:bottom w:w="0" w:type="dxa"/>
              <w:right w:w="0" w:type="dxa"/>
            </w:tcMar>
            <w:vAlign w:val="center"/>
          </w:tcPr>
          <w:p w14:paraId="5E1DC8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1 200</w:t>
            </w:r>
          </w:p>
        </w:tc>
        <w:tc>
          <w:tcPr>
            <w:tcW w:w="401" w:type="pct"/>
            <w:shd w:val="clear" w:color="auto" w:fill="FFFFFF"/>
            <w:tcMar>
              <w:top w:w="0" w:type="dxa"/>
              <w:left w:w="0" w:type="dxa"/>
              <w:bottom w:w="0" w:type="dxa"/>
              <w:right w:w="0" w:type="dxa"/>
            </w:tcMar>
            <w:vAlign w:val="center"/>
          </w:tcPr>
          <w:p w14:paraId="7262C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32" w:type="pct"/>
            <w:shd w:val="clear" w:color="auto" w:fill="FFFFFF"/>
            <w:tcMar>
              <w:top w:w="0" w:type="dxa"/>
              <w:left w:w="0" w:type="dxa"/>
              <w:bottom w:w="0" w:type="dxa"/>
              <w:right w:w="0" w:type="dxa"/>
            </w:tcMar>
            <w:vAlign w:val="center"/>
          </w:tcPr>
          <w:p w14:paraId="7879E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84.8</w:t>
            </w:r>
          </w:p>
        </w:tc>
        <w:tc>
          <w:tcPr>
            <w:tcW w:w="552" w:type="pct"/>
            <w:shd w:val="clear" w:color="auto" w:fill="FFFFFF"/>
            <w:tcMar>
              <w:top w:w="0" w:type="dxa"/>
              <w:left w:w="0" w:type="dxa"/>
              <w:bottom w:w="0" w:type="dxa"/>
              <w:right w:w="0" w:type="dxa"/>
            </w:tcMar>
            <w:vAlign w:val="center"/>
          </w:tcPr>
          <w:p w14:paraId="05DF28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86.5</w:t>
            </w:r>
          </w:p>
        </w:tc>
        <w:tc>
          <w:tcPr>
            <w:tcW w:w="734" w:type="pct"/>
            <w:shd w:val="clear" w:color="auto" w:fill="FFFFFF"/>
            <w:tcMar>
              <w:top w:w="0" w:type="dxa"/>
              <w:left w:w="0" w:type="dxa"/>
              <w:bottom w:w="0" w:type="dxa"/>
              <w:right w:w="0" w:type="dxa"/>
            </w:tcMar>
            <w:vAlign w:val="center"/>
          </w:tcPr>
          <w:p w14:paraId="47E9ED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95.6</w:t>
            </w:r>
          </w:p>
        </w:tc>
        <w:tc>
          <w:tcPr>
            <w:tcW w:w="466" w:type="pct"/>
            <w:shd w:val="clear" w:color="auto" w:fill="FFFFFF"/>
            <w:tcMar>
              <w:top w:w="0" w:type="dxa"/>
              <w:left w:w="0" w:type="dxa"/>
              <w:bottom w:w="0" w:type="dxa"/>
              <w:right w:w="0" w:type="dxa"/>
            </w:tcMar>
            <w:vAlign w:val="center"/>
          </w:tcPr>
          <w:p w14:paraId="24082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96.1</w:t>
            </w:r>
          </w:p>
        </w:tc>
      </w:tr>
      <w:tr w14:paraId="7924614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12" w:type="pct"/>
            <w:shd w:val="clear" w:color="auto" w:fill="FFFFFF"/>
            <w:tcMar>
              <w:top w:w="0" w:type="dxa"/>
              <w:left w:w="0" w:type="dxa"/>
              <w:bottom w:w="0" w:type="dxa"/>
              <w:right w:w="0" w:type="dxa"/>
            </w:tcMar>
            <w:vAlign w:val="center"/>
          </w:tcPr>
          <w:p w14:paraId="707E70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10%吡虫啉可湿性粉剂</w:t>
            </w:r>
          </w:p>
        </w:tc>
        <w:tc>
          <w:tcPr>
            <w:tcW w:w="400" w:type="pct"/>
            <w:shd w:val="clear" w:color="auto" w:fill="FFFFFF"/>
            <w:tcMar>
              <w:top w:w="0" w:type="dxa"/>
              <w:left w:w="0" w:type="dxa"/>
              <w:bottom w:w="0" w:type="dxa"/>
              <w:right w:w="0" w:type="dxa"/>
            </w:tcMar>
            <w:vAlign w:val="center"/>
          </w:tcPr>
          <w:p w14:paraId="3988F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2 500</w:t>
            </w:r>
          </w:p>
        </w:tc>
        <w:tc>
          <w:tcPr>
            <w:tcW w:w="401" w:type="pct"/>
            <w:shd w:val="clear" w:color="auto" w:fill="FFFFFF"/>
            <w:tcMar>
              <w:top w:w="0" w:type="dxa"/>
              <w:left w:w="0" w:type="dxa"/>
              <w:bottom w:w="0" w:type="dxa"/>
              <w:right w:w="0" w:type="dxa"/>
            </w:tcMar>
            <w:vAlign w:val="center"/>
          </w:tcPr>
          <w:p w14:paraId="02B60F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32" w:type="pct"/>
            <w:shd w:val="clear" w:color="auto" w:fill="FFFFFF"/>
            <w:tcMar>
              <w:top w:w="0" w:type="dxa"/>
              <w:left w:w="0" w:type="dxa"/>
              <w:bottom w:w="0" w:type="dxa"/>
              <w:right w:w="0" w:type="dxa"/>
            </w:tcMar>
            <w:vAlign w:val="center"/>
          </w:tcPr>
          <w:p w14:paraId="16A5A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93.2</w:t>
            </w:r>
          </w:p>
        </w:tc>
        <w:tc>
          <w:tcPr>
            <w:tcW w:w="552" w:type="pct"/>
            <w:shd w:val="clear" w:color="auto" w:fill="FFFFFF"/>
            <w:tcMar>
              <w:top w:w="0" w:type="dxa"/>
              <w:left w:w="0" w:type="dxa"/>
              <w:bottom w:w="0" w:type="dxa"/>
              <w:right w:w="0" w:type="dxa"/>
            </w:tcMar>
            <w:vAlign w:val="center"/>
          </w:tcPr>
          <w:p w14:paraId="7E58D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94.0</w:t>
            </w:r>
          </w:p>
        </w:tc>
        <w:tc>
          <w:tcPr>
            <w:tcW w:w="734" w:type="pct"/>
            <w:shd w:val="clear" w:color="auto" w:fill="FFFFFF"/>
            <w:tcMar>
              <w:top w:w="0" w:type="dxa"/>
              <w:left w:w="0" w:type="dxa"/>
              <w:bottom w:w="0" w:type="dxa"/>
              <w:right w:w="0" w:type="dxa"/>
            </w:tcMar>
            <w:vAlign w:val="center"/>
          </w:tcPr>
          <w:p w14:paraId="1023C0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97.2</w:t>
            </w:r>
          </w:p>
        </w:tc>
        <w:tc>
          <w:tcPr>
            <w:tcW w:w="466" w:type="pct"/>
            <w:shd w:val="clear" w:color="auto" w:fill="FFFFFF"/>
            <w:tcMar>
              <w:top w:w="0" w:type="dxa"/>
              <w:left w:w="0" w:type="dxa"/>
              <w:bottom w:w="0" w:type="dxa"/>
              <w:right w:w="0" w:type="dxa"/>
            </w:tcMar>
            <w:vAlign w:val="center"/>
          </w:tcPr>
          <w:p w14:paraId="5B6178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97.5</w:t>
            </w:r>
          </w:p>
        </w:tc>
      </w:tr>
      <w:tr w14:paraId="493418F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12" w:type="pct"/>
            <w:shd w:val="clear" w:color="auto" w:fill="FFFFFF"/>
            <w:tcMar>
              <w:top w:w="0" w:type="dxa"/>
              <w:left w:w="0" w:type="dxa"/>
              <w:bottom w:w="0" w:type="dxa"/>
              <w:right w:w="0" w:type="dxa"/>
            </w:tcMar>
            <w:vAlign w:val="center"/>
          </w:tcPr>
          <w:p w14:paraId="727614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10%高效氯氰菊酯乳油</w:t>
            </w:r>
          </w:p>
        </w:tc>
        <w:tc>
          <w:tcPr>
            <w:tcW w:w="400" w:type="pct"/>
            <w:shd w:val="clear" w:color="auto" w:fill="FFFFFF"/>
            <w:tcMar>
              <w:top w:w="0" w:type="dxa"/>
              <w:left w:w="0" w:type="dxa"/>
              <w:bottom w:w="0" w:type="dxa"/>
              <w:right w:w="0" w:type="dxa"/>
            </w:tcMar>
            <w:vAlign w:val="center"/>
          </w:tcPr>
          <w:p w14:paraId="049B4A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2 700</w:t>
            </w:r>
          </w:p>
        </w:tc>
        <w:tc>
          <w:tcPr>
            <w:tcW w:w="401" w:type="pct"/>
            <w:shd w:val="clear" w:color="auto" w:fill="FFFFFF"/>
            <w:tcMar>
              <w:top w:w="0" w:type="dxa"/>
              <w:left w:w="0" w:type="dxa"/>
              <w:bottom w:w="0" w:type="dxa"/>
              <w:right w:w="0" w:type="dxa"/>
            </w:tcMar>
            <w:vAlign w:val="center"/>
          </w:tcPr>
          <w:p w14:paraId="60206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32" w:type="pct"/>
            <w:shd w:val="clear" w:color="auto" w:fill="FFFFFF"/>
            <w:tcMar>
              <w:top w:w="0" w:type="dxa"/>
              <w:left w:w="0" w:type="dxa"/>
              <w:bottom w:w="0" w:type="dxa"/>
              <w:right w:w="0" w:type="dxa"/>
            </w:tcMar>
            <w:vAlign w:val="center"/>
          </w:tcPr>
          <w:p w14:paraId="7F4D87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90.8</w:t>
            </w:r>
          </w:p>
        </w:tc>
        <w:tc>
          <w:tcPr>
            <w:tcW w:w="552" w:type="pct"/>
            <w:shd w:val="clear" w:color="auto" w:fill="FFFFFF"/>
            <w:tcMar>
              <w:top w:w="0" w:type="dxa"/>
              <w:left w:w="0" w:type="dxa"/>
              <w:bottom w:w="0" w:type="dxa"/>
              <w:right w:w="0" w:type="dxa"/>
            </w:tcMar>
            <w:vAlign w:val="center"/>
          </w:tcPr>
          <w:p w14:paraId="271040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91.8</w:t>
            </w:r>
          </w:p>
        </w:tc>
        <w:tc>
          <w:tcPr>
            <w:tcW w:w="734" w:type="pct"/>
            <w:shd w:val="clear" w:color="auto" w:fill="FFFFFF"/>
            <w:tcMar>
              <w:top w:w="0" w:type="dxa"/>
              <w:left w:w="0" w:type="dxa"/>
              <w:bottom w:w="0" w:type="dxa"/>
              <w:right w:w="0" w:type="dxa"/>
            </w:tcMar>
            <w:vAlign w:val="center"/>
          </w:tcPr>
          <w:p w14:paraId="4D2BF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94.5</w:t>
            </w:r>
          </w:p>
        </w:tc>
        <w:tc>
          <w:tcPr>
            <w:tcW w:w="466" w:type="pct"/>
            <w:shd w:val="clear" w:color="auto" w:fill="FFFFFF"/>
            <w:tcMar>
              <w:top w:w="0" w:type="dxa"/>
              <w:left w:w="0" w:type="dxa"/>
              <w:bottom w:w="0" w:type="dxa"/>
              <w:right w:w="0" w:type="dxa"/>
            </w:tcMar>
            <w:vAlign w:val="center"/>
          </w:tcPr>
          <w:p w14:paraId="3A471E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95.2</w:t>
            </w:r>
          </w:p>
        </w:tc>
      </w:tr>
      <w:tr w14:paraId="68C4042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12" w:type="pct"/>
            <w:shd w:val="clear" w:color="auto" w:fill="FFFFFF"/>
            <w:tcMar>
              <w:top w:w="0" w:type="dxa"/>
              <w:left w:w="0" w:type="dxa"/>
              <w:bottom w:w="0" w:type="dxa"/>
              <w:right w:w="0" w:type="dxa"/>
            </w:tcMar>
            <w:vAlign w:val="center"/>
          </w:tcPr>
          <w:p w14:paraId="530DA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对照(CK)</w:t>
            </w:r>
          </w:p>
        </w:tc>
        <w:tc>
          <w:tcPr>
            <w:tcW w:w="400" w:type="pct"/>
            <w:shd w:val="clear" w:color="auto" w:fill="FFFFFF"/>
            <w:tcMar>
              <w:top w:w="0" w:type="dxa"/>
              <w:left w:w="0" w:type="dxa"/>
              <w:bottom w:w="0" w:type="dxa"/>
              <w:right w:w="0" w:type="dxa"/>
            </w:tcMar>
            <w:vAlign w:val="center"/>
          </w:tcPr>
          <w:p w14:paraId="5B625F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401" w:type="pct"/>
            <w:shd w:val="clear" w:color="auto" w:fill="FFFFFF"/>
            <w:tcMar>
              <w:top w:w="0" w:type="dxa"/>
              <w:left w:w="0" w:type="dxa"/>
              <w:bottom w:w="0" w:type="dxa"/>
              <w:right w:w="0" w:type="dxa"/>
            </w:tcMar>
            <w:vAlign w:val="center"/>
          </w:tcPr>
          <w:p w14:paraId="1B5FC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732" w:type="pct"/>
            <w:shd w:val="clear" w:color="auto" w:fill="FFFFFF"/>
            <w:tcMar>
              <w:top w:w="0" w:type="dxa"/>
              <w:left w:w="0" w:type="dxa"/>
              <w:bottom w:w="0" w:type="dxa"/>
              <w:right w:w="0" w:type="dxa"/>
            </w:tcMar>
            <w:vAlign w:val="center"/>
          </w:tcPr>
          <w:p w14:paraId="2F827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-12.8</w:t>
            </w:r>
          </w:p>
        </w:tc>
        <w:tc>
          <w:tcPr>
            <w:tcW w:w="552" w:type="pct"/>
            <w:shd w:val="clear" w:color="auto" w:fill="FFFFFF"/>
            <w:tcMar>
              <w:top w:w="0" w:type="dxa"/>
              <w:left w:w="0" w:type="dxa"/>
              <w:bottom w:w="0" w:type="dxa"/>
              <w:right w:w="0" w:type="dxa"/>
            </w:tcMar>
            <w:vAlign w:val="center"/>
          </w:tcPr>
          <w:p w14:paraId="28528E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734" w:type="pct"/>
            <w:shd w:val="clear" w:color="auto" w:fill="FFFFFF"/>
            <w:tcMar>
              <w:top w:w="0" w:type="dxa"/>
              <w:left w:w="0" w:type="dxa"/>
              <w:bottom w:w="0" w:type="dxa"/>
              <w:right w:w="0" w:type="dxa"/>
            </w:tcMar>
            <w:vAlign w:val="center"/>
          </w:tcPr>
          <w:p w14:paraId="5F939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-14</w:t>
            </w:r>
          </w:p>
        </w:tc>
        <w:tc>
          <w:tcPr>
            <w:tcW w:w="466" w:type="pct"/>
            <w:shd w:val="clear" w:color="auto" w:fill="FFFFFF"/>
            <w:tcMar>
              <w:top w:w="0" w:type="dxa"/>
              <w:left w:w="0" w:type="dxa"/>
              <w:bottom w:w="0" w:type="dxa"/>
              <w:right w:w="0" w:type="dxa"/>
            </w:tcMar>
            <w:vAlign w:val="center"/>
          </w:tcPr>
          <w:p w14:paraId="6D6B5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r>
      <w:tr w14:paraId="28C9F93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12" w:type="pct"/>
            <w:shd w:val="clear" w:color="auto" w:fill="FFFFFF"/>
            <w:tcMar>
              <w:top w:w="0" w:type="dxa"/>
              <w:left w:w="0" w:type="dxa"/>
              <w:bottom w:w="0" w:type="dxa"/>
              <w:right w:w="0" w:type="dxa"/>
            </w:tcMar>
            <w:vAlign w:val="center"/>
          </w:tcPr>
          <w:p w14:paraId="3EDC7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10%高效氯氰菊酯乳油</w:t>
            </w:r>
          </w:p>
        </w:tc>
        <w:tc>
          <w:tcPr>
            <w:tcW w:w="400" w:type="pct"/>
            <w:shd w:val="clear" w:color="auto" w:fill="FFFFFF"/>
            <w:tcMar>
              <w:top w:w="0" w:type="dxa"/>
              <w:left w:w="0" w:type="dxa"/>
              <w:bottom w:w="0" w:type="dxa"/>
              <w:right w:w="0" w:type="dxa"/>
            </w:tcMar>
            <w:vAlign w:val="center"/>
          </w:tcPr>
          <w:p w14:paraId="21A428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2 500</w:t>
            </w:r>
          </w:p>
        </w:tc>
        <w:tc>
          <w:tcPr>
            <w:tcW w:w="401" w:type="pct"/>
            <w:shd w:val="clear" w:color="auto" w:fill="FFFFFF"/>
            <w:tcMar>
              <w:top w:w="0" w:type="dxa"/>
              <w:left w:w="0" w:type="dxa"/>
              <w:bottom w:w="0" w:type="dxa"/>
              <w:right w:w="0" w:type="dxa"/>
            </w:tcMar>
            <w:vAlign w:val="center"/>
          </w:tcPr>
          <w:p w14:paraId="7E3937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灌根</w:t>
            </w:r>
          </w:p>
        </w:tc>
        <w:tc>
          <w:tcPr>
            <w:tcW w:w="732" w:type="pct"/>
            <w:shd w:val="clear" w:color="auto" w:fill="FFFFFF"/>
            <w:tcMar>
              <w:top w:w="0" w:type="dxa"/>
              <w:left w:w="0" w:type="dxa"/>
              <w:bottom w:w="0" w:type="dxa"/>
              <w:right w:w="0" w:type="dxa"/>
            </w:tcMar>
            <w:vAlign w:val="center"/>
          </w:tcPr>
          <w:p w14:paraId="124D9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85.8</w:t>
            </w:r>
          </w:p>
        </w:tc>
        <w:tc>
          <w:tcPr>
            <w:tcW w:w="552" w:type="pct"/>
            <w:shd w:val="clear" w:color="auto" w:fill="FFFFFF"/>
            <w:tcMar>
              <w:top w:w="0" w:type="dxa"/>
              <w:left w:w="0" w:type="dxa"/>
              <w:bottom w:w="0" w:type="dxa"/>
              <w:right w:w="0" w:type="dxa"/>
            </w:tcMar>
            <w:vAlign w:val="center"/>
          </w:tcPr>
          <w:p w14:paraId="751C9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87.3</w:t>
            </w:r>
          </w:p>
        </w:tc>
        <w:tc>
          <w:tcPr>
            <w:tcW w:w="734" w:type="pct"/>
            <w:shd w:val="clear" w:color="auto" w:fill="FFFFFF"/>
            <w:tcMar>
              <w:top w:w="0" w:type="dxa"/>
              <w:left w:w="0" w:type="dxa"/>
              <w:bottom w:w="0" w:type="dxa"/>
              <w:right w:w="0" w:type="dxa"/>
            </w:tcMar>
            <w:vAlign w:val="center"/>
          </w:tcPr>
          <w:p w14:paraId="2BEBB2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93.6</w:t>
            </w:r>
          </w:p>
        </w:tc>
        <w:tc>
          <w:tcPr>
            <w:tcW w:w="466" w:type="pct"/>
            <w:shd w:val="clear" w:color="auto" w:fill="FFFFFF"/>
            <w:tcMar>
              <w:top w:w="0" w:type="dxa"/>
              <w:left w:w="0" w:type="dxa"/>
              <w:bottom w:w="0" w:type="dxa"/>
              <w:right w:w="0" w:type="dxa"/>
            </w:tcMar>
            <w:vAlign w:val="center"/>
          </w:tcPr>
          <w:p w14:paraId="00FBE9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94.3</w:t>
            </w:r>
          </w:p>
        </w:tc>
      </w:tr>
      <w:tr w14:paraId="30815EE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712" w:type="pct"/>
            <w:tcBorders>
              <w:bottom w:val="single" w:color="000000" w:sz="12" w:space="0"/>
            </w:tcBorders>
            <w:shd w:val="clear" w:color="auto" w:fill="FFFFFF"/>
            <w:tcMar>
              <w:top w:w="0" w:type="dxa"/>
              <w:left w:w="0" w:type="dxa"/>
              <w:bottom w:w="0" w:type="dxa"/>
              <w:right w:w="0" w:type="dxa"/>
            </w:tcMar>
            <w:vAlign w:val="center"/>
          </w:tcPr>
          <w:p w14:paraId="267D45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对照(CK)</w:t>
            </w:r>
          </w:p>
        </w:tc>
        <w:tc>
          <w:tcPr>
            <w:tcW w:w="400" w:type="pct"/>
            <w:tcBorders>
              <w:bottom w:val="single" w:color="000000" w:sz="12" w:space="0"/>
            </w:tcBorders>
            <w:shd w:val="clear" w:color="auto" w:fill="FFFFFF"/>
            <w:tcMar>
              <w:top w:w="0" w:type="dxa"/>
              <w:left w:w="0" w:type="dxa"/>
              <w:bottom w:w="0" w:type="dxa"/>
              <w:right w:w="0" w:type="dxa"/>
            </w:tcMar>
            <w:vAlign w:val="center"/>
          </w:tcPr>
          <w:p w14:paraId="53F7C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401" w:type="pct"/>
            <w:tcBorders>
              <w:bottom w:val="single" w:color="000000" w:sz="12" w:space="0"/>
            </w:tcBorders>
            <w:shd w:val="clear" w:color="auto" w:fill="FFFFFF"/>
            <w:tcMar>
              <w:top w:w="0" w:type="dxa"/>
              <w:left w:w="0" w:type="dxa"/>
              <w:bottom w:w="0" w:type="dxa"/>
              <w:right w:w="0" w:type="dxa"/>
            </w:tcMar>
            <w:vAlign w:val="center"/>
          </w:tcPr>
          <w:p w14:paraId="7228A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灌根</w:t>
            </w:r>
          </w:p>
        </w:tc>
        <w:tc>
          <w:tcPr>
            <w:tcW w:w="732" w:type="pct"/>
            <w:tcBorders>
              <w:bottom w:val="single" w:color="000000" w:sz="12" w:space="0"/>
            </w:tcBorders>
            <w:shd w:val="clear" w:color="auto" w:fill="FFFFFF"/>
            <w:tcMar>
              <w:top w:w="0" w:type="dxa"/>
              <w:left w:w="0" w:type="dxa"/>
              <w:bottom w:w="0" w:type="dxa"/>
              <w:right w:w="0" w:type="dxa"/>
            </w:tcMar>
            <w:vAlign w:val="center"/>
          </w:tcPr>
          <w:p w14:paraId="78B329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-11.8</w:t>
            </w:r>
          </w:p>
        </w:tc>
        <w:tc>
          <w:tcPr>
            <w:tcW w:w="552" w:type="pct"/>
            <w:tcBorders>
              <w:bottom w:val="single" w:color="000000" w:sz="12" w:space="0"/>
            </w:tcBorders>
            <w:shd w:val="clear" w:color="auto" w:fill="FFFFFF"/>
            <w:tcMar>
              <w:top w:w="0" w:type="dxa"/>
              <w:left w:w="0" w:type="dxa"/>
              <w:bottom w:w="0" w:type="dxa"/>
              <w:right w:w="0" w:type="dxa"/>
            </w:tcMar>
            <w:vAlign w:val="center"/>
          </w:tcPr>
          <w:p w14:paraId="798ED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734" w:type="pct"/>
            <w:tcBorders>
              <w:bottom w:val="single" w:color="000000" w:sz="12" w:space="0"/>
            </w:tcBorders>
            <w:shd w:val="clear" w:color="auto" w:fill="FFFFFF"/>
            <w:tcMar>
              <w:top w:w="0" w:type="dxa"/>
              <w:left w:w="0" w:type="dxa"/>
              <w:bottom w:w="0" w:type="dxa"/>
              <w:right w:w="0" w:type="dxa"/>
            </w:tcMar>
            <w:vAlign w:val="center"/>
          </w:tcPr>
          <w:p w14:paraId="5974A9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-13.2</w:t>
            </w:r>
          </w:p>
        </w:tc>
        <w:tc>
          <w:tcPr>
            <w:tcW w:w="466" w:type="pct"/>
            <w:tcBorders>
              <w:bottom w:val="single" w:color="000000" w:sz="12" w:space="0"/>
            </w:tcBorders>
            <w:shd w:val="clear" w:color="auto" w:fill="FFFFFF"/>
            <w:tcMar>
              <w:top w:w="0" w:type="dxa"/>
              <w:left w:w="0" w:type="dxa"/>
              <w:bottom w:w="0" w:type="dxa"/>
              <w:right w:w="0" w:type="dxa"/>
            </w:tcMar>
            <w:vAlign w:val="center"/>
          </w:tcPr>
          <w:p w14:paraId="0E9BB5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r>
    </w:tbl>
    <w:p w14:paraId="74070C17">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3.2.7咖啡盔蚧</w:t>
      </w:r>
    </w:p>
    <w:p w14:paraId="6624DBAF">
      <w:pPr>
        <w:spacing w:line="560" w:lineRule="exact"/>
        <w:ind w:firstLine="482" w:firstLineChars="200"/>
        <w:rPr>
          <w:rFonts w:hint="eastAsia" w:eastAsia="仿宋_GB2312" w:cs="Arial"/>
          <w:sz w:val="24"/>
          <w:szCs w:val="32"/>
          <w:lang w:val="en-US" w:eastAsia="zh-CN"/>
        </w:rPr>
      </w:pPr>
      <w:r>
        <w:rPr>
          <w:rFonts w:hint="eastAsia" w:eastAsia="仿宋_GB2312" w:cs="Arial"/>
          <w:b/>
          <w:bCs/>
          <w:sz w:val="24"/>
          <w:szCs w:val="32"/>
          <w:lang w:val="en-US" w:eastAsia="zh-CN"/>
        </w:rPr>
        <w:t>危害特点</w:t>
      </w:r>
      <w:r>
        <w:rPr>
          <w:rFonts w:hint="eastAsia" w:eastAsia="仿宋_GB2312" w:cs="Arial"/>
          <w:sz w:val="24"/>
          <w:szCs w:val="32"/>
          <w:lang w:val="en-US" w:eastAsia="zh-CN"/>
        </w:rPr>
        <w:t xml:space="preserve"> 以若虫、成虫在咖啡嫩枝、嫩叶上刺吸植株汁液为害，受害处出现褐色油状点或黄色斑，还会排泄蜜露，诱发煤烟病。常局部大量聚生在植株上为害，严重消耗植物养分，造成植株长势衰弱、落花落果、枝条干枯。</w:t>
      </w:r>
    </w:p>
    <w:p w14:paraId="6669AAA1">
      <w:pPr>
        <w:spacing w:line="560" w:lineRule="exact"/>
        <w:ind w:firstLine="482" w:firstLineChars="200"/>
        <w:rPr>
          <w:rFonts w:hint="eastAsia" w:eastAsia="仿宋_GB2312" w:cs="Arial"/>
          <w:b/>
          <w:bCs/>
          <w:sz w:val="24"/>
          <w:szCs w:val="32"/>
          <w:lang w:val="en-US" w:eastAsia="zh-CN"/>
        </w:rPr>
      </w:pPr>
      <w:r>
        <w:rPr>
          <w:rFonts w:hint="eastAsia" w:eastAsia="仿宋_GB2312" w:cs="Arial"/>
          <w:b/>
          <w:bCs/>
          <w:sz w:val="24"/>
          <w:szCs w:val="32"/>
          <w:lang w:val="en-US" w:eastAsia="zh-CN"/>
        </w:rPr>
        <w:t>防治方法及药剂使用确定</w:t>
      </w:r>
    </w:p>
    <w:p w14:paraId="403C8297">
      <w:pPr>
        <w:spacing w:line="560" w:lineRule="exact"/>
        <w:ind w:firstLine="480" w:firstLineChars="200"/>
        <w:rPr>
          <w:rFonts w:hint="eastAsia" w:eastAsia="仿宋_GB2312" w:cs="Arial"/>
          <w:sz w:val="24"/>
          <w:szCs w:val="32"/>
          <w:lang w:val="en-US" w:eastAsia="zh-CN"/>
        </w:rPr>
      </w:pPr>
      <w:r>
        <w:rPr>
          <w:rFonts w:hint="eastAsia" w:eastAsia="仿宋_GB2312" w:cs="Arial"/>
          <w:sz w:val="24"/>
          <w:szCs w:val="32"/>
          <w:lang w:val="en-US" w:eastAsia="zh-CN"/>
        </w:rPr>
        <w:t>加强水肥管理，驱除蚂蚁保护天敌。在该虫初发期进行药剂喷施防治，约7 d～10 d1次，连续2次 ～ 3次（表20）。</w:t>
      </w:r>
    </w:p>
    <w:p w14:paraId="0BB3653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Times New Roman" w:hAnsi="Times New Roman" w:eastAsia="黑体" w:cs="Times New Roman"/>
          <w:bCs/>
          <w:kern w:val="44"/>
          <w:sz w:val="21"/>
          <w:szCs w:val="24"/>
          <w:lang w:val="en-US" w:eastAsia="zh-CN"/>
        </w:rPr>
      </w:pPr>
      <w:r>
        <w:rPr>
          <w:rFonts w:hint="eastAsia" w:ascii="Times New Roman" w:hAnsi="Times New Roman" w:eastAsia="黑体" w:cs="Times New Roman"/>
          <w:bCs/>
          <w:kern w:val="44"/>
          <w:sz w:val="21"/>
          <w:szCs w:val="24"/>
          <w:lang w:val="en-US" w:eastAsia="zh-CN"/>
        </w:rPr>
        <w:t>表</w:t>
      </w:r>
      <w:r>
        <w:rPr>
          <w:rFonts w:hint="eastAsia" w:eastAsia="黑体" w:cs="Times New Roman"/>
          <w:bCs/>
          <w:kern w:val="44"/>
          <w:sz w:val="21"/>
          <w:szCs w:val="24"/>
          <w:lang w:val="en-US" w:eastAsia="zh-CN"/>
        </w:rPr>
        <w:t>20</w:t>
      </w:r>
      <w:r>
        <w:rPr>
          <w:rFonts w:hint="eastAsia" w:ascii="Times New Roman" w:hAnsi="Times New Roman" w:eastAsia="黑体" w:cs="Times New Roman"/>
          <w:bCs/>
          <w:kern w:val="44"/>
          <w:sz w:val="21"/>
          <w:szCs w:val="24"/>
          <w:lang w:val="en-US" w:eastAsia="zh-CN"/>
        </w:rPr>
        <w:t xml:space="preserve"> 药剂田间防治咖啡盔蚧效果</w:t>
      </w:r>
    </w:p>
    <w:tbl>
      <w:tblPr>
        <w:tblStyle w:val="10"/>
        <w:tblW w:w="4915" w:type="pct"/>
        <w:tblInd w:w="15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40"/>
        <w:gridCol w:w="689"/>
        <w:gridCol w:w="691"/>
        <w:gridCol w:w="1242"/>
        <w:gridCol w:w="833"/>
        <w:gridCol w:w="1273"/>
        <w:gridCol w:w="826"/>
      </w:tblGrid>
      <w:tr w14:paraId="7F47B03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805" w:type="pct"/>
            <w:vMerge w:val="restart"/>
            <w:tcBorders>
              <w:top w:val="single" w:color="000000" w:sz="12" w:space="0"/>
              <w:bottom w:val="single" w:color="000000" w:sz="4" w:space="0"/>
              <w:tl2br w:val="nil"/>
            </w:tcBorders>
            <w:shd w:val="clear" w:color="auto" w:fill="FFFFFF"/>
            <w:tcMar>
              <w:top w:w="0" w:type="dxa"/>
              <w:left w:w="0" w:type="dxa"/>
              <w:bottom w:w="0" w:type="dxa"/>
              <w:right w:w="0" w:type="dxa"/>
            </w:tcMar>
            <w:vAlign w:val="center"/>
          </w:tcPr>
          <w:p w14:paraId="113BB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处理</w:t>
            </w:r>
          </w:p>
        </w:tc>
        <w:tc>
          <w:tcPr>
            <w:tcW w:w="396" w:type="pct"/>
            <w:vMerge w:val="restart"/>
            <w:tcBorders>
              <w:top w:val="single" w:color="000000" w:sz="12" w:space="0"/>
              <w:bottom w:val="single" w:color="000000" w:sz="4" w:space="0"/>
            </w:tcBorders>
            <w:shd w:val="clear" w:color="auto" w:fill="FFFFFF"/>
            <w:tcMar>
              <w:top w:w="0" w:type="dxa"/>
              <w:left w:w="0" w:type="dxa"/>
              <w:bottom w:w="0" w:type="dxa"/>
              <w:right w:w="0" w:type="dxa"/>
            </w:tcMar>
            <w:vAlign w:val="center"/>
          </w:tcPr>
          <w:p w14:paraId="2F0C00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稀释倍数</w:t>
            </w:r>
          </w:p>
        </w:tc>
        <w:tc>
          <w:tcPr>
            <w:tcW w:w="397" w:type="pct"/>
            <w:vMerge w:val="restart"/>
            <w:tcBorders>
              <w:top w:val="single" w:color="000000" w:sz="12" w:space="0"/>
              <w:bottom w:val="single" w:color="000000" w:sz="4" w:space="0"/>
            </w:tcBorders>
            <w:shd w:val="clear" w:color="auto" w:fill="FFFFFF"/>
            <w:tcMar>
              <w:top w:w="0" w:type="dxa"/>
              <w:left w:w="0" w:type="dxa"/>
              <w:bottom w:w="0" w:type="dxa"/>
              <w:right w:w="0" w:type="dxa"/>
            </w:tcMar>
            <w:vAlign w:val="center"/>
          </w:tcPr>
          <w:p w14:paraId="48903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施药方式</w:t>
            </w:r>
          </w:p>
        </w:tc>
        <w:tc>
          <w:tcPr>
            <w:tcW w:w="1193" w:type="pct"/>
            <w:gridSpan w:val="2"/>
            <w:tcBorders>
              <w:top w:val="single" w:color="000000" w:sz="12" w:space="0"/>
              <w:bottom w:val="single" w:color="000000" w:sz="4" w:space="0"/>
            </w:tcBorders>
            <w:shd w:val="clear" w:color="auto" w:fill="FFFFFF"/>
            <w:tcMar>
              <w:top w:w="0" w:type="dxa"/>
              <w:left w:w="0" w:type="dxa"/>
              <w:bottom w:w="0" w:type="dxa"/>
              <w:right w:w="0" w:type="dxa"/>
            </w:tcMar>
            <w:vAlign w:val="center"/>
          </w:tcPr>
          <w:p w14:paraId="23D46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第1次施药7d效果</w:t>
            </w:r>
          </w:p>
        </w:tc>
        <w:tc>
          <w:tcPr>
            <w:tcW w:w="1207" w:type="pct"/>
            <w:gridSpan w:val="2"/>
            <w:tcBorders>
              <w:top w:val="single" w:color="000000" w:sz="12" w:space="0"/>
              <w:bottom w:val="single" w:color="000000" w:sz="4" w:space="0"/>
            </w:tcBorders>
            <w:shd w:val="clear" w:color="auto" w:fill="FFFFFF"/>
            <w:tcMar>
              <w:top w:w="0" w:type="dxa"/>
              <w:left w:w="0" w:type="dxa"/>
              <w:bottom w:w="0" w:type="dxa"/>
              <w:right w:w="0" w:type="dxa"/>
            </w:tcMar>
            <w:vAlign w:val="center"/>
          </w:tcPr>
          <w:p w14:paraId="42256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第2次施药7d效果</w:t>
            </w:r>
          </w:p>
        </w:tc>
      </w:tr>
      <w:tr w14:paraId="617A9DF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805" w:type="pct"/>
            <w:vMerge w:val="continue"/>
            <w:tcBorders>
              <w:top w:val="single" w:color="000000" w:sz="4" w:space="0"/>
              <w:bottom w:val="single" w:color="auto" w:sz="4" w:space="0"/>
            </w:tcBorders>
            <w:shd w:val="clear" w:color="auto" w:fill="FFFFFF"/>
            <w:tcMar>
              <w:top w:w="0" w:type="dxa"/>
              <w:left w:w="0" w:type="dxa"/>
              <w:bottom w:w="0" w:type="dxa"/>
              <w:right w:w="0" w:type="dxa"/>
            </w:tcMar>
            <w:vAlign w:val="center"/>
          </w:tcPr>
          <w:p w14:paraId="4B535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396" w:type="pct"/>
            <w:vMerge w:val="continue"/>
            <w:tcBorders>
              <w:top w:val="single" w:color="000000" w:sz="4" w:space="0"/>
              <w:bottom w:val="single" w:color="auto" w:sz="4" w:space="0"/>
            </w:tcBorders>
            <w:shd w:val="clear" w:color="auto" w:fill="FFFFFF"/>
            <w:tcMar>
              <w:top w:w="0" w:type="dxa"/>
              <w:left w:w="0" w:type="dxa"/>
              <w:bottom w:w="0" w:type="dxa"/>
              <w:right w:w="0" w:type="dxa"/>
            </w:tcMar>
            <w:vAlign w:val="center"/>
          </w:tcPr>
          <w:p w14:paraId="656CDE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397" w:type="pct"/>
            <w:vMerge w:val="continue"/>
            <w:tcBorders>
              <w:top w:val="single" w:color="000000" w:sz="4" w:space="0"/>
              <w:bottom w:val="single" w:color="auto" w:sz="4" w:space="0"/>
            </w:tcBorders>
            <w:shd w:val="clear" w:color="auto" w:fill="FFFFFF"/>
            <w:tcMar>
              <w:top w:w="0" w:type="dxa"/>
              <w:left w:w="0" w:type="dxa"/>
              <w:bottom w:w="0" w:type="dxa"/>
              <w:right w:w="0" w:type="dxa"/>
            </w:tcMar>
            <w:vAlign w:val="center"/>
          </w:tcPr>
          <w:p w14:paraId="55ABFF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p>
        </w:tc>
        <w:tc>
          <w:tcPr>
            <w:tcW w:w="714" w:type="pct"/>
            <w:tcBorders>
              <w:top w:val="single" w:color="000000" w:sz="4" w:space="0"/>
              <w:bottom w:val="single" w:color="auto" w:sz="4" w:space="0"/>
            </w:tcBorders>
            <w:shd w:val="clear" w:color="auto" w:fill="FFFFFF"/>
            <w:tcMar>
              <w:top w:w="0" w:type="dxa"/>
              <w:left w:w="0" w:type="dxa"/>
              <w:bottom w:w="0" w:type="dxa"/>
              <w:right w:w="0" w:type="dxa"/>
            </w:tcMar>
            <w:vAlign w:val="center"/>
          </w:tcPr>
          <w:p w14:paraId="15BA5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虫口减退率%</w:t>
            </w:r>
          </w:p>
        </w:tc>
        <w:tc>
          <w:tcPr>
            <w:tcW w:w="479" w:type="pct"/>
            <w:tcBorders>
              <w:top w:val="single" w:color="000000" w:sz="4" w:space="0"/>
              <w:bottom w:val="single" w:color="auto" w:sz="4" w:space="0"/>
            </w:tcBorders>
            <w:shd w:val="clear" w:color="auto" w:fill="FFFFFF"/>
            <w:tcMar>
              <w:top w:w="0" w:type="dxa"/>
              <w:left w:w="0" w:type="dxa"/>
              <w:bottom w:w="0" w:type="dxa"/>
              <w:right w:w="0" w:type="dxa"/>
            </w:tcMar>
            <w:vAlign w:val="center"/>
          </w:tcPr>
          <w:p w14:paraId="0A029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w:t>
            </w:r>
          </w:p>
        </w:tc>
        <w:tc>
          <w:tcPr>
            <w:tcW w:w="732" w:type="pct"/>
            <w:tcBorders>
              <w:top w:val="single" w:color="000000" w:sz="4" w:space="0"/>
              <w:bottom w:val="single" w:color="auto" w:sz="4" w:space="0"/>
            </w:tcBorders>
            <w:shd w:val="clear" w:color="auto" w:fill="FFFFFF"/>
            <w:tcMar>
              <w:top w:w="0" w:type="dxa"/>
              <w:left w:w="0" w:type="dxa"/>
              <w:bottom w:w="0" w:type="dxa"/>
              <w:right w:w="0" w:type="dxa"/>
            </w:tcMar>
            <w:vAlign w:val="center"/>
          </w:tcPr>
          <w:p w14:paraId="485AC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虫口减退率%</w:t>
            </w:r>
          </w:p>
        </w:tc>
        <w:tc>
          <w:tcPr>
            <w:tcW w:w="475" w:type="pct"/>
            <w:tcBorders>
              <w:top w:val="single" w:color="000000" w:sz="4" w:space="0"/>
              <w:bottom w:val="single" w:color="auto" w:sz="4" w:space="0"/>
            </w:tcBorders>
            <w:shd w:val="clear" w:color="auto" w:fill="FFFFFF"/>
            <w:tcMar>
              <w:top w:w="0" w:type="dxa"/>
              <w:left w:w="0" w:type="dxa"/>
              <w:bottom w:w="0" w:type="dxa"/>
              <w:right w:w="0" w:type="dxa"/>
            </w:tcMar>
            <w:vAlign w:val="center"/>
          </w:tcPr>
          <w:p w14:paraId="0A05B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防效%</w:t>
            </w:r>
          </w:p>
        </w:tc>
      </w:tr>
      <w:tr w14:paraId="37B9317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805" w:type="pct"/>
            <w:tcBorders>
              <w:top w:val="single" w:color="auto" w:sz="4" w:space="0"/>
            </w:tcBorders>
            <w:shd w:val="clear" w:color="auto" w:fill="FFFFFF"/>
            <w:tcMar>
              <w:top w:w="0" w:type="dxa"/>
              <w:left w:w="0" w:type="dxa"/>
              <w:bottom w:w="0" w:type="dxa"/>
              <w:right w:w="0" w:type="dxa"/>
            </w:tcMar>
          </w:tcPr>
          <w:p w14:paraId="094EC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24%螺虫乙酯悬浮剂</w:t>
            </w:r>
          </w:p>
        </w:tc>
        <w:tc>
          <w:tcPr>
            <w:tcW w:w="396" w:type="pct"/>
            <w:tcBorders>
              <w:top w:val="single" w:color="auto" w:sz="4" w:space="0"/>
            </w:tcBorders>
            <w:shd w:val="clear" w:color="auto" w:fill="FFFFFF"/>
            <w:tcMar>
              <w:top w:w="0" w:type="dxa"/>
              <w:left w:w="0" w:type="dxa"/>
              <w:bottom w:w="0" w:type="dxa"/>
              <w:right w:w="0" w:type="dxa"/>
            </w:tcMar>
          </w:tcPr>
          <w:p w14:paraId="0BCF7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4 500</w:t>
            </w:r>
          </w:p>
        </w:tc>
        <w:tc>
          <w:tcPr>
            <w:tcW w:w="397" w:type="pct"/>
            <w:tcBorders>
              <w:top w:val="single" w:color="auto" w:sz="4" w:space="0"/>
            </w:tcBorders>
            <w:shd w:val="clear" w:color="auto" w:fill="FFFFFF"/>
            <w:tcMar>
              <w:top w:w="0" w:type="dxa"/>
              <w:left w:w="0" w:type="dxa"/>
              <w:bottom w:w="0" w:type="dxa"/>
              <w:right w:w="0" w:type="dxa"/>
            </w:tcMar>
          </w:tcPr>
          <w:p w14:paraId="6B615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14" w:type="pct"/>
            <w:tcBorders>
              <w:top w:val="single" w:color="auto" w:sz="4" w:space="0"/>
            </w:tcBorders>
            <w:shd w:val="clear" w:color="auto" w:fill="FFFFFF"/>
            <w:tcMar>
              <w:top w:w="0" w:type="dxa"/>
              <w:left w:w="0" w:type="dxa"/>
              <w:bottom w:w="0" w:type="dxa"/>
              <w:right w:w="0" w:type="dxa"/>
            </w:tcMar>
          </w:tcPr>
          <w:p w14:paraId="3B8119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85.2</w:t>
            </w:r>
          </w:p>
        </w:tc>
        <w:tc>
          <w:tcPr>
            <w:tcW w:w="479" w:type="pct"/>
            <w:tcBorders>
              <w:top w:val="single" w:color="auto" w:sz="4" w:space="0"/>
            </w:tcBorders>
            <w:shd w:val="clear" w:color="auto" w:fill="FFFFFF"/>
            <w:tcMar>
              <w:top w:w="0" w:type="dxa"/>
              <w:left w:w="0" w:type="dxa"/>
              <w:bottom w:w="0" w:type="dxa"/>
              <w:right w:w="0" w:type="dxa"/>
            </w:tcMar>
          </w:tcPr>
          <w:p w14:paraId="5524A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86.7</w:t>
            </w:r>
          </w:p>
        </w:tc>
        <w:tc>
          <w:tcPr>
            <w:tcW w:w="732" w:type="pct"/>
            <w:tcBorders>
              <w:top w:val="single" w:color="auto" w:sz="4" w:space="0"/>
            </w:tcBorders>
            <w:shd w:val="clear" w:color="auto" w:fill="FFFFFF"/>
            <w:tcMar>
              <w:top w:w="0" w:type="dxa"/>
              <w:left w:w="0" w:type="dxa"/>
              <w:bottom w:w="0" w:type="dxa"/>
              <w:right w:w="0" w:type="dxa"/>
            </w:tcMar>
          </w:tcPr>
          <w:p w14:paraId="1B56E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88.1</w:t>
            </w:r>
          </w:p>
        </w:tc>
        <w:tc>
          <w:tcPr>
            <w:tcW w:w="475" w:type="pct"/>
            <w:tcBorders>
              <w:top w:val="single" w:color="auto" w:sz="4" w:space="0"/>
            </w:tcBorders>
            <w:shd w:val="clear" w:color="auto" w:fill="FFFFFF"/>
            <w:tcMar>
              <w:top w:w="0" w:type="dxa"/>
              <w:left w:w="0" w:type="dxa"/>
              <w:bottom w:w="0" w:type="dxa"/>
              <w:right w:w="0" w:type="dxa"/>
            </w:tcMar>
          </w:tcPr>
          <w:p w14:paraId="3D47E3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89.5</w:t>
            </w:r>
          </w:p>
        </w:tc>
      </w:tr>
      <w:tr w14:paraId="397D18D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805" w:type="pct"/>
            <w:shd w:val="clear" w:color="auto" w:fill="FFFFFF"/>
            <w:tcMar>
              <w:top w:w="0" w:type="dxa"/>
              <w:left w:w="0" w:type="dxa"/>
              <w:bottom w:w="0" w:type="dxa"/>
              <w:right w:w="0" w:type="dxa"/>
            </w:tcMar>
          </w:tcPr>
          <w:p w14:paraId="1EC321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30%噻虫胺·噻嗪酮可分散油悬浮剂</w:t>
            </w:r>
          </w:p>
        </w:tc>
        <w:tc>
          <w:tcPr>
            <w:tcW w:w="396" w:type="pct"/>
            <w:shd w:val="clear" w:color="auto" w:fill="FFFFFF"/>
            <w:tcMar>
              <w:top w:w="0" w:type="dxa"/>
              <w:left w:w="0" w:type="dxa"/>
              <w:bottom w:w="0" w:type="dxa"/>
              <w:right w:w="0" w:type="dxa"/>
            </w:tcMar>
          </w:tcPr>
          <w:p w14:paraId="35D2F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1 200</w:t>
            </w:r>
          </w:p>
        </w:tc>
        <w:tc>
          <w:tcPr>
            <w:tcW w:w="397" w:type="pct"/>
            <w:shd w:val="clear" w:color="auto" w:fill="FFFFFF"/>
            <w:tcMar>
              <w:top w:w="0" w:type="dxa"/>
              <w:left w:w="0" w:type="dxa"/>
              <w:bottom w:w="0" w:type="dxa"/>
              <w:right w:w="0" w:type="dxa"/>
            </w:tcMar>
          </w:tcPr>
          <w:p w14:paraId="63F846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14" w:type="pct"/>
            <w:shd w:val="clear" w:color="auto" w:fill="FFFFFF"/>
            <w:tcMar>
              <w:top w:w="0" w:type="dxa"/>
              <w:left w:w="0" w:type="dxa"/>
              <w:bottom w:w="0" w:type="dxa"/>
              <w:right w:w="0" w:type="dxa"/>
            </w:tcMar>
          </w:tcPr>
          <w:p w14:paraId="3746B3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86.9</w:t>
            </w:r>
          </w:p>
        </w:tc>
        <w:tc>
          <w:tcPr>
            <w:tcW w:w="479" w:type="pct"/>
            <w:shd w:val="clear" w:color="auto" w:fill="FFFFFF"/>
            <w:tcMar>
              <w:top w:w="0" w:type="dxa"/>
              <w:left w:w="0" w:type="dxa"/>
              <w:bottom w:w="0" w:type="dxa"/>
              <w:right w:w="0" w:type="dxa"/>
            </w:tcMar>
          </w:tcPr>
          <w:p w14:paraId="5E1FB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88.3</w:t>
            </w:r>
          </w:p>
        </w:tc>
        <w:tc>
          <w:tcPr>
            <w:tcW w:w="732" w:type="pct"/>
            <w:shd w:val="clear" w:color="auto" w:fill="FFFFFF"/>
            <w:tcMar>
              <w:top w:w="0" w:type="dxa"/>
              <w:left w:w="0" w:type="dxa"/>
              <w:bottom w:w="0" w:type="dxa"/>
              <w:right w:w="0" w:type="dxa"/>
            </w:tcMar>
          </w:tcPr>
          <w:p w14:paraId="52A62E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97.5</w:t>
            </w:r>
          </w:p>
        </w:tc>
        <w:tc>
          <w:tcPr>
            <w:tcW w:w="475" w:type="pct"/>
            <w:shd w:val="clear" w:color="auto" w:fill="FFFFFF"/>
            <w:tcMar>
              <w:top w:w="0" w:type="dxa"/>
              <w:left w:w="0" w:type="dxa"/>
              <w:bottom w:w="0" w:type="dxa"/>
              <w:right w:w="0" w:type="dxa"/>
            </w:tcMar>
          </w:tcPr>
          <w:p w14:paraId="69AF38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97.8</w:t>
            </w:r>
          </w:p>
        </w:tc>
      </w:tr>
      <w:tr w14:paraId="7705E03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805" w:type="pct"/>
            <w:shd w:val="clear" w:color="auto" w:fill="FFFFFF"/>
            <w:tcMar>
              <w:top w:w="0" w:type="dxa"/>
              <w:left w:w="0" w:type="dxa"/>
              <w:bottom w:w="0" w:type="dxa"/>
              <w:right w:w="0" w:type="dxa"/>
            </w:tcMar>
          </w:tcPr>
          <w:p w14:paraId="46D77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10%吡虫啉可湿性粉剂</w:t>
            </w:r>
          </w:p>
        </w:tc>
        <w:tc>
          <w:tcPr>
            <w:tcW w:w="396" w:type="pct"/>
            <w:shd w:val="clear" w:color="auto" w:fill="FFFFFF"/>
            <w:tcMar>
              <w:top w:w="0" w:type="dxa"/>
              <w:left w:w="0" w:type="dxa"/>
              <w:bottom w:w="0" w:type="dxa"/>
              <w:right w:w="0" w:type="dxa"/>
            </w:tcMar>
          </w:tcPr>
          <w:p w14:paraId="78CCD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2 500</w:t>
            </w:r>
          </w:p>
        </w:tc>
        <w:tc>
          <w:tcPr>
            <w:tcW w:w="397" w:type="pct"/>
            <w:shd w:val="clear" w:color="auto" w:fill="FFFFFF"/>
            <w:tcMar>
              <w:top w:w="0" w:type="dxa"/>
              <w:left w:w="0" w:type="dxa"/>
              <w:bottom w:w="0" w:type="dxa"/>
              <w:right w:w="0" w:type="dxa"/>
            </w:tcMar>
          </w:tcPr>
          <w:p w14:paraId="288B2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14" w:type="pct"/>
            <w:shd w:val="clear" w:color="auto" w:fill="FFFFFF"/>
            <w:tcMar>
              <w:top w:w="0" w:type="dxa"/>
              <w:left w:w="0" w:type="dxa"/>
              <w:bottom w:w="0" w:type="dxa"/>
              <w:right w:w="0" w:type="dxa"/>
            </w:tcMar>
          </w:tcPr>
          <w:p w14:paraId="7073ED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92.4</w:t>
            </w:r>
          </w:p>
        </w:tc>
        <w:tc>
          <w:tcPr>
            <w:tcW w:w="479" w:type="pct"/>
            <w:shd w:val="clear" w:color="auto" w:fill="FFFFFF"/>
            <w:tcMar>
              <w:top w:w="0" w:type="dxa"/>
              <w:left w:w="0" w:type="dxa"/>
              <w:bottom w:w="0" w:type="dxa"/>
              <w:right w:w="0" w:type="dxa"/>
            </w:tcMar>
          </w:tcPr>
          <w:p w14:paraId="609095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93.2</w:t>
            </w:r>
          </w:p>
        </w:tc>
        <w:tc>
          <w:tcPr>
            <w:tcW w:w="732" w:type="pct"/>
            <w:shd w:val="clear" w:color="auto" w:fill="FFFFFF"/>
            <w:tcMar>
              <w:top w:w="0" w:type="dxa"/>
              <w:left w:w="0" w:type="dxa"/>
              <w:bottom w:w="0" w:type="dxa"/>
              <w:right w:w="0" w:type="dxa"/>
            </w:tcMar>
          </w:tcPr>
          <w:p w14:paraId="6A284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96.5</w:t>
            </w:r>
          </w:p>
        </w:tc>
        <w:tc>
          <w:tcPr>
            <w:tcW w:w="475" w:type="pct"/>
            <w:shd w:val="clear" w:color="auto" w:fill="FFFFFF"/>
            <w:tcMar>
              <w:top w:w="0" w:type="dxa"/>
              <w:left w:w="0" w:type="dxa"/>
              <w:bottom w:w="0" w:type="dxa"/>
              <w:right w:w="0" w:type="dxa"/>
            </w:tcMar>
          </w:tcPr>
          <w:p w14:paraId="4C7EB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96.9</w:t>
            </w:r>
          </w:p>
        </w:tc>
      </w:tr>
      <w:tr w14:paraId="6F6864A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805" w:type="pct"/>
            <w:shd w:val="clear" w:color="auto" w:fill="FFFFFF"/>
            <w:tcMar>
              <w:top w:w="0" w:type="dxa"/>
              <w:left w:w="0" w:type="dxa"/>
              <w:bottom w:w="0" w:type="dxa"/>
              <w:right w:w="0" w:type="dxa"/>
            </w:tcMar>
          </w:tcPr>
          <w:p w14:paraId="1896B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10%高效氯氰菊酯乳油</w:t>
            </w:r>
          </w:p>
        </w:tc>
        <w:tc>
          <w:tcPr>
            <w:tcW w:w="396" w:type="pct"/>
            <w:shd w:val="clear" w:color="auto" w:fill="FFFFFF"/>
            <w:tcMar>
              <w:top w:w="0" w:type="dxa"/>
              <w:left w:w="0" w:type="dxa"/>
              <w:bottom w:w="0" w:type="dxa"/>
              <w:right w:w="0" w:type="dxa"/>
            </w:tcMar>
          </w:tcPr>
          <w:p w14:paraId="70EB8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2 700</w:t>
            </w:r>
          </w:p>
        </w:tc>
        <w:tc>
          <w:tcPr>
            <w:tcW w:w="397" w:type="pct"/>
            <w:shd w:val="clear" w:color="auto" w:fill="FFFFFF"/>
            <w:tcMar>
              <w:top w:w="0" w:type="dxa"/>
              <w:left w:w="0" w:type="dxa"/>
              <w:bottom w:w="0" w:type="dxa"/>
              <w:right w:w="0" w:type="dxa"/>
            </w:tcMar>
          </w:tcPr>
          <w:p w14:paraId="40605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14" w:type="pct"/>
            <w:shd w:val="clear" w:color="auto" w:fill="FFFFFF"/>
            <w:tcMar>
              <w:top w:w="0" w:type="dxa"/>
              <w:left w:w="0" w:type="dxa"/>
              <w:bottom w:w="0" w:type="dxa"/>
              <w:right w:w="0" w:type="dxa"/>
            </w:tcMar>
          </w:tcPr>
          <w:p w14:paraId="7C78F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89.8</w:t>
            </w:r>
          </w:p>
        </w:tc>
        <w:tc>
          <w:tcPr>
            <w:tcW w:w="479" w:type="pct"/>
            <w:shd w:val="clear" w:color="auto" w:fill="FFFFFF"/>
            <w:tcMar>
              <w:top w:w="0" w:type="dxa"/>
              <w:left w:w="0" w:type="dxa"/>
              <w:bottom w:w="0" w:type="dxa"/>
              <w:right w:w="0" w:type="dxa"/>
            </w:tcMar>
          </w:tcPr>
          <w:p w14:paraId="43B38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90.9</w:t>
            </w:r>
          </w:p>
        </w:tc>
        <w:tc>
          <w:tcPr>
            <w:tcW w:w="732" w:type="pct"/>
            <w:shd w:val="clear" w:color="auto" w:fill="FFFFFF"/>
            <w:tcMar>
              <w:top w:w="0" w:type="dxa"/>
              <w:left w:w="0" w:type="dxa"/>
              <w:bottom w:w="0" w:type="dxa"/>
              <w:right w:w="0" w:type="dxa"/>
            </w:tcMar>
          </w:tcPr>
          <w:p w14:paraId="1741BF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93.7</w:t>
            </w:r>
          </w:p>
        </w:tc>
        <w:tc>
          <w:tcPr>
            <w:tcW w:w="475" w:type="pct"/>
            <w:shd w:val="clear" w:color="auto" w:fill="FFFFFF"/>
            <w:tcMar>
              <w:top w:w="0" w:type="dxa"/>
              <w:left w:w="0" w:type="dxa"/>
              <w:bottom w:w="0" w:type="dxa"/>
              <w:right w:w="0" w:type="dxa"/>
            </w:tcMar>
          </w:tcPr>
          <w:p w14:paraId="04F59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94.5</w:t>
            </w:r>
          </w:p>
        </w:tc>
      </w:tr>
      <w:tr w14:paraId="21807DA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805" w:type="pct"/>
            <w:tcBorders>
              <w:bottom w:val="single" w:color="000000" w:sz="12" w:space="0"/>
            </w:tcBorders>
            <w:shd w:val="clear" w:color="auto" w:fill="FFFFFF"/>
            <w:tcMar>
              <w:top w:w="0" w:type="dxa"/>
              <w:left w:w="0" w:type="dxa"/>
              <w:bottom w:w="0" w:type="dxa"/>
              <w:right w:w="0" w:type="dxa"/>
            </w:tcMar>
          </w:tcPr>
          <w:p w14:paraId="57A6C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对照(CK)</w:t>
            </w:r>
          </w:p>
        </w:tc>
        <w:tc>
          <w:tcPr>
            <w:tcW w:w="396" w:type="pct"/>
            <w:tcBorders>
              <w:bottom w:val="single" w:color="000000" w:sz="12" w:space="0"/>
            </w:tcBorders>
            <w:shd w:val="clear" w:color="auto" w:fill="FFFFFF"/>
            <w:tcMar>
              <w:top w:w="0" w:type="dxa"/>
              <w:left w:w="0" w:type="dxa"/>
              <w:bottom w:w="0" w:type="dxa"/>
              <w:right w:w="0" w:type="dxa"/>
            </w:tcMar>
          </w:tcPr>
          <w:p w14:paraId="77AC6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397" w:type="pct"/>
            <w:tcBorders>
              <w:bottom w:val="single" w:color="000000" w:sz="12" w:space="0"/>
            </w:tcBorders>
            <w:shd w:val="clear" w:color="auto" w:fill="FFFFFF"/>
            <w:tcMar>
              <w:top w:w="0" w:type="dxa"/>
              <w:left w:w="0" w:type="dxa"/>
              <w:bottom w:w="0" w:type="dxa"/>
              <w:right w:w="0" w:type="dxa"/>
            </w:tcMar>
          </w:tcPr>
          <w:p w14:paraId="2796C8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喷施</w:t>
            </w:r>
          </w:p>
        </w:tc>
        <w:tc>
          <w:tcPr>
            <w:tcW w:w="714" w:type="pct"/>
            <w:tcBorders>
              <w:bottom w:val="single" w:color="000000" w:sz="12" w:space="0"/>
            </w:tcBorders>
            <w:shd w:val="clear" w:color="auto" w:fill="FFFFFF"/>
            <w:tcMar>
              <w:top w:w="0" w:type="dxa"/>
              <w:left w:w="0" w:type="dxa"/>
              <w:bottom w:w="0" w:type="dxa"/>
              <w:right w:w="0" w:type="dxa"/>
            </w:tcMar>
          </w:tcPr>
          <w:p w14:paraId="6C9393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-11.5</w:t>
            </w:r>
          </w:p>
        </w:tc>
        <w:tc>
          <w:tcPr>
            <w:tcW w:w="479" w:type="pct"/>
            <w:tcBorders>
              <w:bottom w:val="single" w:color="000000" w:sz="12" w:space="0"/>
            </w:tcBorders>
            <w:shd w:val="clear" w:color="auto" w:fill="FFFFFF"/>
            <w:tcMar>
              <w:top w:w="0" w:type="dxa"/>
              <w:left w:w="0" w:type="dxa"/>
              <w:bottom w:w="0" w:type="dxa"/>
              <w:right w:w="0" w:type="dxa"/>
            </w:tcMar>
          </w:tcPr>
          <w:p w14:paraId="3B8E4C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c>
          <w:tcPr>
            <w:tcW w:w="732" w:type="pct"/>
            <w:tcBorders>
              <w:bottom w:val="single" w:color="000000" w:sz="12" w:space="0"/>
            </w:tcBorders>
            <w:shd w:val="clear" w:color="auto" w:fill="FFFFFF"/>
            <w:tcMar>
              <w:top w:w="0" w:type="dxa"/>
              <w:left w:w="0" w:type="dxa"/>
              <w:bottom w:w="0" w:type="dxa"/>
              <w:right w:w="0" w:type="dxa"/>
            </w:tcMar>
          </w:tcPr>
          <w:p w14:paraId="6361D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-13.7</w:t>
            </w:r>
          </w:p>
        </w:tc>
        <w:tc>
          <w:tcPr>
            <w:tcW w:w="475" w:type="pct"/>
            <w:tcBorders>
              <w:bottom w:val="single" w:color="000000" w:sz="12" w:space="0"/>
            </w:tcBorders>
            <w:shd w:val="clear" w:color="auto" w:fill="FFFFFF"/>
            <w:tcMar>
              <w:top w:w="0" w:type="dxa"/>
              <w:left w:w="0" w:type="dxa"/>
              <w:bottom w:w="0" w:type="dxa"/>
              <w:right w:w="0" w:type="dxa"/>
            </w:tcMar>
          </w:tcPr>
          <w:p w14:paraId="4E9E4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w:t>
            </w:r>
          </w:p>
        </w:tc>
      </w:tr>
    </w:tbl>
    <w:p w14:paraId="37827AD4">
      <w:pPr>
        <w:spacing w:line="560" w:lineRule="exact"/>
        <w:ind w:firstLine="482" w:firstLineChars="200"/>
        <w:rPr>
          <w:rFonts w:hint="default" w:ascii="Times New Roman" w:hAnsi="Times New Roman" w:eastAsia="仿宋_GB2312" w:cs="Arial"/>
          <w:b/>
          <w:bCs/>
          <w:sz w:val="24"/>
          <w:szCs w:val="32"/>
          <w:lang w:val="en-US" w:eastAsia="zh-CN"/>
        </w:rPr>
      </w:pPr>
      <w:r>
        <w:rPr>
          <w:rFonts w:hint="default" w:ascii="Times New Roman" w:hAnsi="Times New Roman" w:eastAsia="仿宋_GB2312" w:cs="Arial"/>
          <w:b/>
          <w:bCs/>
          <w:sz w:val="24"/>
          <w:szCs w:val="32"/>
          <w:lang w:val="en-US" w:eastAsia="zh-CN"/>
        </w:rPr>
        <w:t>4. 新增“嫁接更新”技术</w:t>
      </w:r>
    </w:p>
    <w:p w14:paraId="70C43425">
      <w:pPr>
        <w:spacing w:line="560" w:lineRule="exact"/>
        <w:ind w:firstLine="482"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b/>
          <w:bCs/>
          <w:sz w:val="24"/>
          <w:szCs w:val="32"/>
          <w:lang w:val="en-US" w:eastAsia="zh-CN"/>
        </w:rPr>
        <w:t>技术内容改变：</w:t>
      </w:r>
      <w:r>
        <w:rPr>
          <w:rFonts w:hint="default" w:ascii="Times New Roman" w:hAnsi="Times New Roman" w:eastAsia="仿宋_GB2312" w:cs="Arial"/>
          <w:sz w:val="24"/>
          <w:szCs w:val="32"/>
          <w:lang w:val="en-US" w:eastAsia="zh-CN"/>
        </w:rPr>
        <w:t> 在更新复壮章节中，新增了通过嫁接更换品种的方法。</w:t>
      </w:r>
    </w:p>
    <w:p w14:paraId="59CA06D1">
      <w:pPr>
        <w:spacing w:line="560" w:lineRule="exact"/>
        <w:ind w:firstLine="482" w:firstLineChars="200"/>
        <w:rPr>
          <w:rFonts w:hint="default" w:ascii="Times New Roman" w:hAnsi="Times New Roman" w:eastAsia="仿宋_GB2312" w:cs="Arial"/>
          <w:b/>
          <w:bCs/>
          <w:sz w:val="24"/>
          <w:szCs w:val="32"/>
          <w:lang w:val="en-US" w:eastAsia="zh-CN"/>
        </w:rPr>
      </w:pPr>
      <w:r>
        <w:rPr>
          <w:rFonts w:hint="default" w:ascii="Times New Roman" w:hAnsi="Times New Roman" w:eastAsia="仿宋_GB2312" w:cs="Arial"/>
          <w:b/>
          <w:bCs/>
          <w:sz w:val="24"/>
          <w:szCs w:val="32"/>
          <w:lang w:val="en-US" w:eastAsia="zh-CN"/>
        </w:rPr>
        <w:t>验证分析与论证：</w:t>
      </w:r>
    </w:p>
    <w:p w14:paraId="7E1DF04C">
      <w:pPr>
        <w:spacing w:line="560" w:lineRule="exact"/>
        <w:ind w:firstLine="482" w:firstLineChars="200"/>
        <w:rPr>
          <w:rFonts w:hint="default" w:ascii="Times New Roman" w:hAnsi="Times New Roman" w:eastAsia="仿宋_GB2312" w:cs="Arial"/>
          <w:sz w:val="24"/>
          <w:szCs w:val="32"/>
          <w:lang w:val="en-US" w:eastAsia="zh-CN"/>
        </w:rPr>
      </w:pPr>
      <w:r>
        <w:rPr>
          <w:rFonts w:hint="default" w:ascii="Times New Roman" w:hAnsi="Times New Roman" w:eastAsia="仿宋_GB2312" w:cs="Arial"/>
          <w:b/>
          <w:bCs/>
          <w:sz w:val="24"/>
          <w:szCs w:val="32"/>
          <w:lang w:val="en-US" w:eastAsia="zh-CN"/>
        </w:rPr>
        <w:t>技术成熟度：</w:t>
      </w:r>
      <w:r>
        <w:rPr>
          <w:rFonts w:hint="default" w:ascii="Times New Roman" w:hAnsi="Times New Roman" w:eastAsia="仿宋_GB2312" w:cs="Arial"/>
          <w:sz w:val="24"/>
          <w:szCs w:val="32"/>
          <w:lang w:val="en-US" w:eastAsia="zh-CN"/>
        </w:rPr>
        <w:t> 皮接、劈接等嫁接技术在咖啡育苗上已广泛应用。将其应用于老园改造，在云南多地的试验表明，嫁接后第2年即可恢复树冠并挂果，比挖除重栽提前1-2年投产，显著降低了更新成本和经济损失。此项技术为</w:t>
      </w:r>
      <w:r>
        <w:rPr>
          <w:rFonts w:hint="eastAsia" w:eastAsia="仿宋_GB2312" w:cs="Arial"/>
          <w:sz w:val="24"/>
          <w:szCs w:val="32"/>
          <w:lang w:val="en-US" w:eastAsia="zh-CN"/>
        </w:rPr>
        <w:t>咖啡园</w:t>
      </w:r>
      <w:r>
        <w:rPr>
          <w:rFonts w:hint="default" w:ascii="Times New Roman" w:hAnsi="Times New Roman" w:eastAsia="仿宋_GB2312" w:cs="Arial"/>
          <w:sz w:val="24"/>
          <w:szCs w:val="32"/>
          <w:lang w:val="en-US" w:eastAsia="zh-CN"/>
        </w:rPr>
        <w:t>品种结构调整提供了经济可行的技术路径</w:t>
      </w:r>
      <w:r>
        <w:rPr>
          <w:rFonts w:hint="eastAsia" w:eastAsia="仿宋_GB2312" w:cs="Arial"/>
          <w:sz w:val="24"/>
          <w:szCs w:val="32"/>
          <w:lang w:val="en-US" w:eastAsia="zh-CN"/>
        </w:rPr>
        <w:t>（表21）</w:t>
      </w:r>
      <w:r>
        <w:rPr>
          <w:rFonts w:hint="default" w:ascii="Times New Roman" w:hAnsi="Times New Roman" w:eastAsia="仿宋_GB2312" w:cs="Arial"/>
          <w:sz w:val="24"/>
          <w:szCs w:val="32"/>
          <w:lang w:val="en-US" w:eastAsia="zh-CN"/>
        </w:rPr>
        <w:t>。</w:t>
      </w:r>
    </w:p>
    <w:p w14:paraId="660E6E9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黑体" w:cs="Times New Roman"/>
          <w:bCs/>
          <w:kern w:val="44"/>
          <w:sz w:val="21"/>
          <w:szCs w:val="24"/>
          <w:lang w:val="en-US" w:eastAsia="zh-CN"/>
        </w:rPr>
      </w:pPr>
      <w:r>
        <w:rPr>
          <w:rFonts w:hint="eastAsia" w:eastAsia="黑体" w:cs="Times New Roman"/>
          <w:bCs/>
          <w:kern w:val="44"/>
          <w:sz w:val="21"/>
          <w:szCs w:val="24"/>
          <w:lang w:val="en-US" w:eastAsia="zh-CN"/>
        </w:rPr>
        <w:t>表21 嫁接更新品种技术</w:t>
      </w:r>
      <w:r>
        <w:rPr>
          <w:rFonts w:hint="default" w:ascii="Times New Roman" w:hAnsi="Times New Roman" w:eastAsia="黑体" w:cs="Times New Roman"/>
          <w:bCs/>
          <w:kern w:val="44"/>
          <w:sz w:val="21"/>
          <w:szCs w:val="24"/>
          <w:lang w:val="en-US" w:eastAsia="zh-CN"/>
        </w:rPr>
        <w:t>验证</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35"/>
        <w:gridCol w:w="2180"/>
        <w:gridCol w:w="2020"/>
        <w:gridCol w:w="2210"/>
        <w:gridCol w:w="1891"/>
      </w:tblGrid>
      <w:tr w14:paraId="4626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35" w:type="dxa"/>
            <w:tcBorders>
              <w:top w:val="single" w:color="000000" w:sz="12" w:space="0"/>
              <w:bottom w:val="single" w:color="000000" w:sz="4" w:space="0"/>
              <w:tl2br w:val="nil"/>
            </w:tcBorders>
            <w:shd w:val="clear" w:color="auto" w:fill="FFFFFF"/>
            <w:tcMar>
              <w:top w:w="120" w:type="dxa"/>
              <w:left w:w="0" w:type="dxa"/>
              <w:bottom w:w="120" w:type="dxa"/>
              <w:right w:w="192" w:type="dxa"/>
            </w:tcMar>
            <w:vAlign w:val="center"/>
          </w:tcPr>
          <w:p w14:paraId="64C52A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验证项目</w:t>
            </w:r>
          </w:p>
        </w:tc>
        <w:tc>
          <w:tcPr>
            <w:tcW w:w="2180" w:type="dxa"/>
            <w:tcBorders>
              <w:top w:val="single" w:color="000000" w:sz="12" w:space="0"/>
              <w:bottom w:val="single" w:color="000000" w:sz="4" w:space="0"/>
            </w:tcBorders>
            <w:shd w:val="clear" w:color="auto" w:fill="FFFFFF"/>
            <w:tcMar>
              <w:top w:w="120" w:type="dxa"/>
              <w:left w:w="192" w:type="dxa"/>
              <w:bottom w:w="120" w:type="dxa"/>
              <w:right w:w="192" w:type="dxa"/>
            </w:tcMar>
            <w:vAlign w:val="center"/>
          </w:tcPr>
          <w:p w14:paraId="09671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云南德宏瑞丽示范基地</w:t>
            </w:r>
          </w:p>
        </w:tc>
        <w:tc>
          <w:tcPr>
            <w:tcW w:w="2020" w:type="dxa"/>
            <w:tcBorders>
              <w:top w:val="single" w:color="000000" w:sz="12" w:space="0"/>
              <w:bottom w:val="single" w:color="000000" w:sz="4" w:space="0"/>
            </w:tcBorders>
            <w:shd w:val="clear" w:color="auto" w:fill="FFFFFF"/>
            <w:tcMar>
              <w:top w:w="120" w:type="dxa"/>
              <w:left w:w="192" w:type="dxa"/>
              <w:bottom w:w="120" w:type="dxa"/>
              <w:right w:w="192" w:type="dxa"/>
            </w:tcMar>
            <w:vAlign w:val="center"/>
          </w:tcPr>
          <w:p w14:paraId="06840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云南德宏芒市示范基地</w:t>
            </w:r>
          </w:p>
        </w:tc>
        <w:tc>
          <w:tcPr>
            <w:tcW w:w="2210" w:type="dxa"/>
            <w:tcBorders>
              <w:top w:val="single" w:color="000000" w:sz="12" w:space="0"/>
              <w:bottom w:val="single" w:color="000000" w:sz="4" w:space="0"/>
            </w:tcBorders>
            <w:shd w:val="clear" w:color="auto" w:fill="FFFFFF"/>
            <w:tcMar>
              <w:top w:w="120" w:type="dxa"/>
              <w:left w:w="192" w:type="dxa"/>
              <w:bottom w:w="120" w:type="dxa"/>
              <w:right w:w="192" w:type="dxa"/>
            </w:tcMar>
            <w:vAlign w:val="center"/>
          </w:tcPr>
          <w:p w14:paraId="6DD8B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云南保山潞江坝示范园</w:t>
            </w:r>
          </w:p>
        </w:tc>
        <w:tc>
          <w:tcPr>
            <w:tcW w:w="1891" w:type="dxa"/>
            <w:tcBorders>
              <w:top w:val="single" w:color="000000" w:sz="12" w:space="0"/>
              <w:bottom w:val="single" w:color="000000" w:sz="4" w:space="0"/>
            </w:tcBorders>
            <w:shd w:val="clear" w:color="auto" w:fill="FFFFFF"/>
            <w:tcMar>
              <w:top w:w="120" w:type="dxa"/>
              <w:left w:w="192" w:type="dxa"/>
              <w:bottom w:w="120" w:type="dxa"/>
              <w:right w:w="192" w:type="dxa"/>
            </w:tcMar>
            <w:vAlign w:val="center"/>
          </w:tcPr>
          <w:p w14:paraId="146EA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综合结论</w:t>
            </w:r>
          </w:p>
        </w:tc>
      </w:tr>
      <w:tr w14:paraId="1846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single" w:color="000000" w:sz="4" w:space="0"/>
            </w:tcBorders>
            <w:shd w:val="clear" w:color="auto" w:fill="FFFFFF"/>
            <w:tcMar>
              <w:top w:w="120" w:type="dxa"/>
              <w:left w:w="0" w:type="dxa"/>
              <w:bottom w:w="120" w:type="dxa"/>
              <w:right w:w="192" w:type="dxa"/>
            </w:tcMar>
            <w:vAlign w:val="center"/>
          </w:tcPr>
          <w:p w14:paraId="25CA8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试验背景</w:t>
            </w:r>
          </w:p>
        </w:tc>
        <w:tc>
          <w:tcPr>
            <w:tcW w:w="2180" w:type="dxa"/>
            <w:tcBorders>
              <w:top w:val="single" w:color="000000" w:sz="4" w:space="0"/>
            </w:tcBorders>
            <w:shd w:val="clear" w:color="auto" w:fill="FFFFFF"/>
            <w:tcMar>
              <w:top w:w="120" w:type="dxa"/>
              <w:left w:w="192" w:type="dxa"/>
              <w:bottom w:w="120" w:type="dxa"/>
              <w:right w:w="192" w:type="dxa"/>
            </w:tcMar>
            <w:vAlign w:val="center"/>
          </w:tcPr>
          <w:p w14:paraId="7540D6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8年生卡蒂姆品种园，树势衰弱，品种市场竞争力下降</w:t>
            </w:r>
          </w:p>
        </w:tc>
        <w:tc>
          <w:tcPr>
            <w:tcW w:w="2020" w:type="dxa"/>
            <w:tcBorders>
              <w:top w:val="single" w:color="000000" w:sz="4" w:space="0"/>
            </w:tcBorders>
            <w:shd w:val="clear" w:color="auto" w:fill="FFFFFF"/>
            <w:tcMar>
              <w:top w:w="120" w:type="dxa"/>
              <w:left w:w="192" w:type="dxa"/>
              <w:bottom w:w="120" w:type="dxa"/>
              <w:right w:w="192" w:type="dxa"/>
            </w:tcMar>
            <w:vAlign w:val="center"/>
          </w:tcPr>
          <w:p w14:paraId="55F41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15年生老咖啡园，产量低且不稳定，需品种更新</w:t>
            </w:r>
          </w:p>
        </w:tc>
        <w:tc>
          <w:tcPr>
            <w:tcW w:w="2210" w:type="dxa"/>
            <w:tcBorders>
              <w:top w:val="single" w:color="000000" w:sz="4" w:space="0"/>
            </w:tcBorders>
            <w:shd w:val="clear" w:color="auto" w:fill="FFFFFF"/>
            <w:tcMar>
              <w:top w:w="120" w:type="dxa"/>
              <w:left w:w="192" w:type="dxa"/>
              <w:bottom w:w="120" w:type="dxa"/>
              <w:right w:w="192" w:type="dxa"/>
            </w:tcMar>
            <w:vAlign w:val="center"/>
          </w:tcPr>
          <w:p w14:paraId="3F78B8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10年生咖啡园，受冻害后树势恢复慢，需更换抗逆性更强品种</w:t>
            </w:r>
          </w:p>
        </w:tc>
        <w:tc>
          <w:tcPr>
            <w:tcW w:w="1891" w:type="dxa"/>
            <w:tcBorders>
              <w:top w:val="single" w:color="000000" w:sz="4" w:space="0"/>
            </w:tcBorders>
            <w:shd w:val="clear" w:color="auto" w:fill="FFFFFF"/>
            <w:tcMar>
              <w:top w:w="120" w:type="dxa"/>
              <w:left w:w="192" w:type="dxa"/>
              <w:bottom w:w="120" w:type="dxa"/>
              <w:right w:w="0" w:type="dxa"/>
            </w:tcMar>
            <w:vAlign w:val="center"/>
          </w:tcPr>
          <w:p w14:paraId="493EF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针对不同原因导致的老园改造需求</w:t>
            </w:r>
          </w:p>
        </w:tc>
      </w:tr>
      <w:tr w14:paraId="258FB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shd w:val="clear" w:color="auto" w:fill="FFFFFF"/>
            <w:tcMar>
              <w:top w:w="120" w:type="dxa"/>
              <w:left w:w="0" w:type="dxa"/>
              <w:bottom w:w="120" w:type="dxa"/>
              <w:right w:w="192" w:type="dxa"/>
            </w:tcMar>
            <w:vAlign w:val="center"/>
          </w:tcPr>
          <w:p w14:paraId="715DD7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嫁接时间</w:t>
            </w:r>
          </w:p>
        </w:tc>
        <w:tc>
          <w:tcPr>
            <w:tcW w:w="2180" w:type="dxa"/>
            <w:shd w:val="clear" w:color="auto" w:fill="FFFFFF"/>
            <w:tcMar>
              <w:top w:w="120" w:type="dxa"/>
              <w:left w:w="192" w:type="dxa"/>
              <w:bottom w:w="120" w:type="dxa"/>
              <w:right w:w="192" w:type="dxa"/>
            </w:tcMar>
            <w:vAlign w:val="center"/>
          </w:tcPr>
          <w:p w14:paraId="70C1C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2021年3月中旬</w:t>
            </w:r>
          </w:p>
        </w:tc>
        <w:tc>
          <w:tcPr>
            <w:tcW w:w="2020" w:type="dxa"/>
            <w:shd w:val="clear" w:color="auto" w:fill="FFFFFF"/>
            <w:tcMar>
              <w:top w:w="120" w:type="dxa"/>
              <w:left w:w="192" w:type="dxa"/>
              <w:bottom w:w="120" w:type="dxa"/>
              <w:right w:w="192" w:type="dxa"/>
            </w:tcMar>
            <w:vAlign w:val="center"/>
          </w:tcPr>
          <w:p w14:paraId="337043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2022年3月上旬</w:t>
            </w:r>
          </w:p>
        </w:tc>
        <w:tc>
          <w:tcPr>
            <w:tcW w:w="2210" w:type="dxa"/>
            <w:shd w:val="clear" w:color="auto" w:fill="FFFFFF"/>
            <w:tcMar>
              <w:top w:w="120" w:type="dxa"/>
              <w:left w:w="192" w:type="dxa"/>
              <w:bottom w:w="120" w:type="dxa"/>
              <w:right w:w="192" w:type="dxa"/>
            </w:tcMar>
            <w:vAlign w:val="center"/>
          </w:tcPr>
          <w:p w14:paraId="6A8F9F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2022年2月下旬</w:t>
            </w:r>
          </w:p>
        </w:tc>
        <w:tc>
          <w:tcPr>
            <w:tcW w:w="1891" w:type="dxa"/>
            <w:shd w:val="clear" w:color="auto" w:fill="FFFFFF"/>
            <w:tcMar>
              <w:top w:w="120" w:type="dxa"/>
              <w:left w:w="192" w:type="dxa"/>
              <w:bottom w:w="120" w:type="dxa"/>
              <w:right w:w="0" w:type="dxa"/>
            </w:tcMar>
            <w:vAlign w:val="center"/>
          </w:tcPr>
          <w:p w14:paraId="66A3A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最佳时间为春季2-3月</w:t>
            </w:r>
          </w:p>
        </w:tc>
      </w:tr>
      <w:tr w14:paraId="7C8F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shd w:val="clear" w:color="auto" w:fill="FFFFFF"/>
            <w:tcMar>
              <w:top w:w="120" w:type="dxa"/>
              <w:left w:w="0" w:type="dxa"/>
              <w:bottom w:w="120" w:type="dxa"/>
              <w:right w:w="192" w:type="dxa"/>
            </w:tcMar>
            <w:vAlign w:val="center"/>
          </w:tcPr>
          <w:p w14:paraId="4622BE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砧木处理</w:t>
            </w:r>
          </w:p>
        </w:tc>
        <w:tc>
          <w:tcPr>
            <w:tcW w:w="2180" w:type="dxa"/>
            <w:shd w:val="clear" w:color="auto" w:fill="FFFFFF"/>
            <w:tcMar>
              <w:top w:w="120" w:type="dxa"/>
              <w:left w:w="192" w:type="dxa"/>
              <w:bottom w:w="120" w:type="dxa"/>
              <w:right w:w="192" w:type="dxa"/>
            </w:tcMar>
            <w:vAlign w:val="center"/>
          </w:tcPr>
          <w:p w14:paraId="1777E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离地25cm处锯断，削平切口，选择直径2-3cm主干</w:t>
            </w:r>
          </w:p>
        </w:tc>
        <w:tc>
          <w:tcPr>
            <w:tcW w:w="2020" w:type="dxa"/>
            <w:shd w:val="clear" w:color="auto" w:fill="FFFFFF"/>
            <w:tcMar>
              <w:top w:w="120" w:type="dxa"/>
              <w:left w:w="192" w:type="dxa"/>
              <w:bottom w:w="120" w:type="dxa"/>
              <w:right w:w="192" w:type="dxa"/>
            </w:tcMar>
            <w:vAlign w:val="center"/>
          </w:tcPr>
          <w:p w14:paraId="08366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离地30cm处截干，保留部分健康枝条作为营养枝</w:t>
            </w:r>
          </w:p>
        </w:tc>
        <w:tc>
          <w:tcPr>
            <w:tcW w:w="2210" w:type="dxa"/>
            <w:shd w:val="clear" w:color="auto" w:fill="FFFFFF"/>
            <w:tcMar>
              <w:top w:w="120" w:type="dxa"/>
              <w:left w:w="192" w:type="dxa"/>
              <w:bottom w:w="120" w:type="dxa"/>
              <w:right w:w="192" w:type="dxa"/>
            </w:tcMar>
            <w:vAlign w:val="center"/>
          </w:tcPr>
          <w:p w14:paraId="0177D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离地20cm处切干，切口涂封愈合剂防止水分蒸发</w:t>
            </w:r>
          </w:p>
        </w:tc>
        <w:tc>
          <w:tcPr>
            <w:tcW w:w="1891" w:type="dxa"/>
            <w:shd w:val="clear" w:color="auto" w:fill="FFFFFF"/>
            <w:tcMar>
              <w:top w:w="120" w:type="dxa"/>
              <w:left w:w="192" w:type="dxa"/>
              <w:bottom w:w="120" w:type="dxa"/>
              <w:right w:w="0" w:type="dxa"/>
            </w:tcMar>
            <w:vAlign w:val="center"/>
          </w:tcPr>
          <w:p w14:paraId="57694C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截干高度20-30cm，确保切口平整</w:t>
            </w:r>
          </w:p>
        </w:tc>
      </w:tr>
      <w:tr w14:paraId="2CCD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shd w:val="clear" w:color="auto" w:fill="FFFFFF"/>
            <w:tcMar>
              <w:top w:w="120" w:type="dxa"/>
              <w:left w:w="0" w:type="dxa"/>
              <w:bottom w:w="120" w:type="dxa"/>
              <w:right w:w="192" w:type="dxa"/>
            </w:tcMar>
            <w:vAlign w:val="center"/>
          </w:tcPr>
          <w:p w14:paraId="340F8B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接穗品种</w:t>
            </w:r>
          </w:p>
        </w:tc>
        <w:tc>
          <w:tcPr>
            <w:tcW w:w="2180" w:type="dxa"/>
            <w:shd w:val="clear" w:color="auto" w:fill="FFFFFF"/>
            <w:tcMar>
              <w:top w:w="120" w:type="dxa"/>
              <w:left w:w="192" w:type="dxa"/>
              <w:bottom w:w="120" w:type="dxa"/>
              <w:right w:w="192" w:type="dxa"/>
            </w:tcMar>
            <w:vAlign w:val="center"/>
          </w:tcPr>
          <w:p w14:paraId="5973F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优质高产抗锈病品种德热132</w:t>
            </w:r>
          </w:p>
        </w:tc>
        <w:tc>
          <w:tcPr>
            <w:tcW w:w="2020" w:type="dxa"/>
            <w:shd w:val="clear" w:color="auto" w:fill="FFFFFF"/>
            <w:tcMar>
              <w:top w:w="120" w:type="dxa"/>
              <w:left w:w="192" w:type="dxa"/>
              <w:bottom w:w="120" w:type="dxa"/>
              <w:right w:w="192" w:type="dxa"/>
            </w:tcMar>
            <w:vAlign w:val="center"/>
          </w:tcPr>
          <w:p w14:paraId="7C51B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优质高产抗锈病品种德热4号</w:t>
            </w:r>
          </w:p>
        </w:tc>
        <w:tc>
          <w:tcPr>
            <w:tcW w:w="2210" w:type="dxa"/>
            <w:shd w:val="clear" w:color="auto" w:fill="FFFFFF"/>
            <w:tcMar>
              <w:top w:w="120" w:type="dxa"/>
              <w:left w:w="192" w:type="dxa"/>
              <w:bottom w:w="120" w:type="dxa"/>
              <w:right w:w="192" w:type="dxa"/>
            </w:tcMar>
            <w:vAlign w:val="center"/>
          </w:tcPr>
          <w:p w14:paraId="598C5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高品质品种瑰夏</w:t>
            </w:r>
          </w:p>
        </w:tc>
        <w:tc>
          <w:tcPr>
            <w:tcW w:w="1891" w:type="dxa"/>
            <w:shd w:val="clear" w:color="auto" w:fill="FFFFFF"/>
            <w:tcMar>
              <w:top w:w="120" w:type="dxa"/>
              <w:left w:w="192" w:type="dxa"/>
              <w:bottom w:w="120" w:type="dxa"/>
              <w:right w:w="0" w:type="dxa"/>
            </w:tcMar>
            <w:vAlign w:val="center"/>
          </w:tcPr>
          <w:p w14:paraId="3C9BB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根据市场需求和立地条件选择优良品种</w:t>
            </w:r>
          </w:p>
        </w:tc>
      </w:tr>
      <w:tr w14:paraId="06F2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shd w:val="clear" w:color="auto" w:fill="FFFFFF"/>
            <w:tcMar>
              <w:top w:w="120" w:type="dxa"/>
              <w:left w:w="0" w:type="dxa"/>
              <w:bottom w:w="120" w:type="dxa"/>
              <w:right w:w="192" w:type="dxa"/>
            </w:tcMar>
            <w:vAlign w:val="center"/>
          </w:tcPr>
          <w:p w14:paraId="3D728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嫁接方法</w:t>
            </w:r>
          </w:p>
        </w:tc>
        <w:tc>
          <w:tcPr>
            <w:tcW w:w="2180" w:type="dxa"/>
            <w:shd w:val="clear" w:color="auto" w:fill="FFFFFF"/>
            <w:tcMar>
              <w:top w:w="120" w:type="dxa"/>
              <w:left w:w="192" w:type="dxa"/>
              <w:bottom w:w="120" w:type="dxa"/>
              <w:right w:w="192" w:type="dxa"/>
            </w:tcMar>
            <w:vAlign w:val="center"/>
          </w:tcPr>
          <w:p w14:paraId="25A45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采用劈接法，接穗削成楔形，插入砧木劈口</w:t>
            </w:r>
          </w:p>
        </w:tc>
        <w:tc>
          <w:tcPr>
            <w:tcW w:w="2020" w:type="dxa"/>
            <w:shd w:val="clear" w:color="auto" w:fill="FFFFFF"/>
            <w:tcMar>
              <w:top w:w="120" w:type="dxa"/>
              <w:left w:w="192" w:type="dxa"/>
              <w:bottom w:w="120" w:type="dxa"/>
              <w:right w:w="192" w:type="dxa"/>
            </w:tcMar>
            <w:vAlign w:val="center"/>
          </w:tcPr>
          <w:p w14:paraId="6F214D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选用皮接法，在砧木皮层与木质部之间插入接穗</w:t>
            </w:r>
          </w:p>
        </w:tc>
        <w:tc>
          <w:tcPr>
            <w:tcW w:w="2210" w:type="dxa"/>
            <w:shd w:val="clear" w:color="auto" w:fill="FFFFFF"/>
            <w:tcMar>
              <w:top w:w="120" w:type="dxa"/>
              <w:left w:w="192" w:type="dxa"/>
              <w:bottom w:w="120" w:type="dxa"/>
              <w:right w:w="192" w:type="dxa"/>
            </w:tcMar>
            <w:vAlign w:val="center"/>
          </w:tcPr>
          <w:p w14:paraId="70D8BF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使用切接法，砧木和接穗形成层对齐</w:t>
            </w:r>
          </w:p>
        </w:tc>
        <w:tc>
          <w:tcPr>
            <w:tcW w:w="1891" w:type="dxa"/>
            <w:shd w:val="clear" w:color="auto" w:fill="FFFFFF"/>
            <w:tcMar>
              <w:top w:w="120" w:type="dxa"/>
              <w:left w:w="192" w:type="dxa"/>
              <w:bottom w:w="120" w:type="dxa"/>
              <w:right w:w="0" w:type="dxa"/>
            </w:tcMar>
            <w:vAlign w:val="center"/>
          </w:tcPr>
          <w:p w14:paraId="78F4F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不同方法适用不同砧木粗度，成活率均可达85%以上</w:t>
            </w:r>
          </w:p>
        </w:tc>
      </w:tr>
      <w:tr w14:paraId="02EE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shd w:val="clear" w:color="auto" w:fill="FFFFFF"/>
            <w:tcMar>
              <w:top w:w="120" w:type="dxa"/>
              <w:left w:w="0" w:type="dxa"/>
              <w:bottom w:w="120" w:type="dxa"/>
              <w:right w:w="192" w:type="dxa"/>
            </w:tcMar>
            <w:vAlign w:val="center"/>
          </w:tcPr>
          <w:p w14:paraId="66918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成活率</w:t>
            </w:r>
          </w:p>
        </w:tc>
        <w:tc>
          <w:tcPr>
            <w:tcW w:w="2180" w:type="dxa"/>
            <w:shd w:val="clear" w:color="auto" w:fill="FFFFFF"/>
            <w:tcMar>
              <w:top w:w="120" w:type="dxa"/>
              <w:left w:w="192" w:type="dxa"/>
              <w:bottom w:w="120" w:type="dxa"/>
              <w:right w:w="192" w:type="dxa"/>
            </w:tcMar>
            <w:vAlign w:val="center"/>
          </w:tcPr>
          <w:p w14:paraId="5390C8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87.5%（350/400株）</w:t>
            </w:r>
          </w:p>
        </w:tc>
        <w:tc>
          <w:tcPr>
            <w:tcW w:w="2020" w:type="dxa"/>
            <w:shd w:val="clear" w:color="auto" w:fill="FFFFFF"/>
            <w:tcMar>
              <w:top w:w="120" w:type="dxa"/>
              <w:left w:w="192" w:type="dxa"/>
              <w:bottom w:w="120" w:type="dxa"/>
              <w:right w:w="192" w:type="dxa"/>
            </w:tcMar>
            <w:vAlign w:val="center"/>
          </w:tcPr>
          <w:p w14:paraId="6E7527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91.2%（365/400株）</w:t>
            </w:r>
          </w:p>
        </w:tc>
        <w:tc>
          <w:tcPr>
            <w:tcW w:w="2210" w:type="dxa"/>
            <w:shd w:val="clear" w:color="auto" w:fill="FFFFFF"/>
            <w:tcMar>
              <w:top w:w="120" w:type="dxa"/>
              <w:left w:w="192" w:type="dxa"/>
              <w:bottom w:w="120" w:type="dxa"/>
              <w:right w:w="192" w:type="dxa"/>
            </w:tcMar>
            <w:vAlign w:val="center"/>
          </w:tcPr>
          <w:p w14:paraId="60D69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84.3%（337/400株）</w:t>
            </w:r>
          </w:p>
        </w:tc>
        <w:tc>
          <w:tcPr>
            <w:tcW w:w="1891" w:type="dxa"/>
            <w:shd w:val="clear" w:color="auto" w:fill="FFFFFF"/>
            <w:tcMar>
              <w:top w:w="120" w:type="dxa"/>
              <w:left w:w="192" w:type="dxa"/>
              <w:bottom w:w="120" w:type="dxa"/>
              <w:right w:w="0" w:type="dxa"/>
            </w:tcMar>
            <w:vAlign w:val="center"/>
          </w:tcPr>
          <w:p w14:paraId="2747E8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平均成活率87.7%，技术成熟可靠</w:t>
            </w:r>
          </w:p>
        </w:tc>
      </w:tr>
      <w:tr w14:paraId="79F0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shd w:val="clear" w:color="auto" w:fill="FFFFFF"/>
            <w:tcMar>
              <w:top w:w="120" w:type="dxa"/>
              <w:left w:w="0" w:type="dxa"/>
              <w:bottom w:w="120" w:type="dxa"/>
              <w:right w:w="192" w:type="dxa"/>
            </w:tcMar>
            <w:vAlign w:val="center"/>
          </w:tcPr>
          <w:p w14:paraId="122FB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树冠恢复</w:t>
            </w:r>
          </w:p>
        </w:tc>
        <w:tc>
          <w:tcPr>
            <w:tcW w:w="2180" w:type="dxa"/>
            <w:shd w:val="clear" w:color="auto" w:fill="FFFFFF"/>
            <w:tcMar>
              <w:top w:w="120" w:type="dxa"/>
              <w:left w:w="192" w:type="dxa"/>
              <w:bottom w:w="120" w:type="dxa"/>
              <w:right w:w="192" w:type="dxa"/>
            </w:tcMar>
            <w:vAlign w:val="center"/>
          </w:tcPr>
          <w:p w14:paraId="3AF8D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嫁接后6个月新梢长度达80-120cm</w:t>
            </w:r>
          </w:p>
        </w:tc>
        <w:tc>
          <w:tcPr>
            <w:tcW w:w="2020" w:type="dxa"/>
            <w:shd w:val="clear" w:color="auto" w:fill="FFFFFF"/>
            <w:tcMar>
              <w:top w:w="120" w:type="dxa"/>
              <w:left w:w="192" w:type="dxa"/>
              <w:bottom w:w="120" w:type="dxa"/>
              <w:right w:w="192" w:type="dxa"/>
            </w:tcMar>
            <w:vAlign w:val="center"/>
          </w:tcPr>
          <w:p w14:paraId="3BCBA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8个月形成初步树冠，冠幅达60-80cm</w:t>
            </w:r>
          </w:p>
        </w:tc>
        <w:tc>
          <w:tcPr>
            <w:tcW w:w="2210" w:type="dxa"/>
            <w:shd w:val="clear" w:color="auto" w:fill="FFFFFF"/>
            <w:tcMar>
              <w:top w:w="120" w:type="dxa"/>
              <w:left w:w="192" w:type="dxa"/>
              <w:bottom w:w="120" w:type="dxa"/>
              <w:right w:w="192" w:type="dxa"/>
            </w:tcMar>
            <w:vAlign w:val="center"/>
          </w:tcPr>
          <w:p w14:paraId="27F7F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7个月新梢生长量90-150cm</w:t>
            </w:r>
          </w:p>
        </w:tc>
        <w:tc>
          <w:tcPr>
            <w:tcW w:w="1891" w:type="dxa"/>
            <w:shd w:val="clear" w:color="auto" w:fill="FFFFFF"/>
            <w:tcMar>
              <w:top w:w="120" w:type="dxa"/>
              <w:left w:w="192" w:type="dxa"/>
              <w:bottom w:w="120" w:type="dxa"/>
              <w:right w:w="0" w:type="dxa"/>
            </w:tcMar>
            <w:vAlign w:val="center"/>
          </w:tcPr>
          <w:p w14:paraId="0D112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6-8个月即可恢复基本树冠结构</w:t>
            </w:r>
          </w:p>
        </w:tc>
      </w:tr>
      <w:tr w14:paraId="669F6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shd w:val="clear" w:color="auto" w:fill="FFFFFF"/>
            <w:tcMar>
              <w:top w:w="120" w:type="dxa"/>
              <w:left w:w="0" w:type="dxa"/>
              <w:bottom w:w="120" w:type="dxa"/>
              <w:right w:w="192" w:type="dxa"/>
            </w:tcMar>
            <w:vAlign w:val="center"/>
          </w:tcPr>
          <w:p w14:paraId="6F825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投产时间</w:t>
            </w:r>
          </w:p>
        </w:tc>
        <w:tc>
          <w:tcPr>
            <w:tcW w:w="2180" w:type="dxa"/>
            <w:shd w:val="clear" w:color="auto" w:fill="FFFFFF"/>
            <w:tcMar>
              <w:top w:w="120" w:type="dxa"/>
              <w:left w:w="192" w:type="dxa"/>
              <w:bottom w:w="120" w:type="dxa"/>
              <w:right w:w="192" w:type="dxa"/>
            </w:tcMar>
            <w:vAlign w:val="center"/>
          </w:tcPr>
          <w:p w14:paraId="051BE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嫁接后第2年开花结果，亩产鲜果650kg</w:t>
            </w:r>
          </w:p>
        </w:tc>
        <w:tc>
          <w:tcPr>
            <w:tcW w:w="2020" w:type="dxa"/>
            <w:shd w:val="clear" w:color="auto" w:fill="FFFFFF"/>
            <w:tcMar>
              <w:top w:w="120" w:type="dxa"/>
              <w:left w:w="192" w:type="dxa"/>
              <w:bottom w:w="120" w:type="dxa"/>
              <w:right w:w="192" w:type="dxa"/>
            </w:tcMar>
            <w:vAlign w:val="center"/>
          </w:tcPr>
          <w:p w14:paraId="59D4C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第2年进入正常投产期</w:t>
            </w:r>
          </w:p>
        </w:tc>
        <w:tc>
          <w:tcPr>
            <w:tcW w:w="2210" w:type="dxa"/>
            <w:shd w:val="clear" w:color="auto" w:fill="FFFFFF"/>
            <w:tcMar>
              <w:top w:w="120" w:type="dxa"/>
              <w:left w:w="192" w:type="dxa"/>
              <w:bottom w:w="120" w:type="dxa"/>
              <w:right w:w="192" w:type="dxa"/>
            </w:tcMar>
            <w:vAlign w:val="center"/>
          </w:tcPr>
          <w:p w14:paraId="3ED8E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第2年开花结果，亩产鲜果520kg</w:t>
            </w:r>
          </w:p>
        </w:tc>
        <w:tc>
          <w:tcPr>
            <w:tcW w:w="1891" w:type="dxa"/>
            <w:shd w:val="clear" w:color="auto" w:fill="FFFFFF"/>
            <w:tcMar>
              <w:top w:w="120" w:type="dxa"/>
              <w:left w:w="192" w:type="dxa"/>
              <w:bottom w:w="120" w:type="dxa"/>
              <w:right w:w="0" w:type="dxa"/>
            </w:tcMar>
            <w:vAlign w:val="center"/>
          </w:tcPr>
          <w:p w14:paraId="2FF8A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比挖除重栽提前1-2年投产</w:t>
            </w:r>
          </w:p>
        </w:tc>
      </w:tr>
      <w:tr w14:paraId="3D82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bottom w:val="single" w:color="000000" w:sz="12" w:space="0"/>
            </w:tcBorders>
            <w:shd w:val="clear" w:color="auto" w:fill="FFFFFF"/>
            <w:tcMar>
              <w:top w:w="120" w:type="dxa"/>
              <w:left w:w="0" w:type="dxa"/>
              <w:bottom w:w="120" w:type="dxa"/>
              <w:right w:w="192" w:type="dxa"/>
            </w:tcMar>
            <w:vAlign w:val="center"/>
          </w:tcPr>
          <w:p w14:paraId="39007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产量表现</w:t>
            </w:r>
          </w:p>
        </w:tc>
        <w:tc>
          <w:tcPr>
            <w:tcW w:w="2180" w:type="dxa"/>
            <w:tcBorders>
              <w:bottom w:val="single" w:color="000000" w:sz="12" w:space="0"/>
            </w:tcBorders>
            <w:shd w:val="clear" w:color="auto" w:fill="FFFFFF"/>
            <w:tcMar>
              <w:top w:w="120" w:type="dxa"/>
              <w:left w:w="192" w:type="dxa"/>
              <w:bottom w:w="120" w:type="dxa"/>
              <w:right w:w="192" w:type="dxa"/>
            </w:tcMar>
            <w:vAlign w:val="center"/>
          </w:tcPr>
          <w:p w14:paraId="16DCD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第3年亩产鲜果达1000kg，接近盛产期水平</w:t>
            </w:r>
          </w:p>
        </w:tc>
        <w:tc>
          <w:tcPr>
            <w:tcW w:w="2020" w:type="dxa"/>
            <w:tcBorders>
              <w:bottom w:val="single" w:color="000000" w:sz="12" w:space="0"/>
            </w:tcBorders>
            <w:shd w:val="clear" w:color="auto" w:fill="FFFFFF"/>
            <w:tcMar>
              <w:top w:w="120" w:type="dxa"/>
              <w:left w:w="192" w:type="dxa"/>
              <w:bottom w:w="120" w:type="dxa"/>
              <w:right w:w="192" w:type="dxa"/>
            </w:tcMar>
            <w:vAlign w:val="center"/>
          </w:tcPr>
          <w:p w14:paraId="792DB6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第3年亩产稳定在950kg以上</w:t>
            </w:r>
          </w:p>
        </w:tc>
        <w:tc>
          <w:tcPr>
            <w:tcW w:w="2210" w:type="dxa"/>
            <w:tcBorders>
              <w:bottom w:val="single" w:color="000000" w:sz="12" w:space="0"/>
            </w:tcBorders>
            <w:shd w:val="clear" w:color="auto" w:fill="FFFFFF"/>
            <w:tcMar>
              <w:top w:w="120" w:type="dxa"/>
              <w:left w:w="192" w:type="dxa"/>
              <w:bottom w:w="120" w:type="dxa"/>
              <w:right w:w="192" w:type="dxa"/>
            </w:tcMar>
            <w:vAlign w:val="center"/>
          </w:tcPr>
          <w:p w14:paraId="474E1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第3年亩产900kg</w:t>
            </w:r>
          </w:p>
        </w:tc>
        <w:tc>
          <w:tcPr>
            <w:tcW w:w="1891" w:type="dxa"/>
            <w:tcBorders>
              <w:bottom w:val="single" w:color="000000" w:sz="12" w:space="0"/>
            </w:tcBorders>
            <w:shd w:val="clear" w:color="auto" w:fill="FFFFFF"/>
            <w:tcMar>
              <w:top w:w="120" w:type="dxa"/>
              <w:left w:w="192" w:type="dxa"/>
              <w:bottom w:w="120" w:type="dxa"/>
              <w:right w:w="0" w:type="dxa"/>
            </w:tcMar>
            <w:vAlign w:val="center"/>
          </w:tcPr>
          <w:p w14:paraId="244CF4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eastAsia" w:ascii="方正仿宋_GB2312" w:hAnsi="方正仿宋_GB2312" w:eastAsia="方正仿宋_GB2312" w:cs="方正仿宋_GB2312"/>
                <w:b w:val="0"/>
                <w:bCs/>
                <w:color w:val="000000"/>
                <w:kern w:val="0"/>
                <w:sz w:val="18"/>
                <w:szCs w:val="18"/>
                <w:lang w:val="en-US" w:eastAsia="zh-CN" w:bidi="ar"/>
              </w:rPr>
            </w:pPr>
            <w:r>
              <w:rPr>
                <w:rStyle w:val="13"/>
                <w:rFonts w:hint="eastAsia" w:ascii="方正仿宋_GB2312" w:hAnsi="方正仿宋_GB2312" w:eastAsia="方正仿宋_GB2312" w:cs="方正仿宋_GB2312"/>
                <w:b w:val="0"/>
                <w:bCs/>
                <w:color w:val="000000"/>
                <w:kern w:val="0"/>
                <w:sz w:val="18"/>
                <w:szCs w:val="18"/>
                <w:lang w:val="en-US" w:eastAsia="zh-CN" w:bidi="ar"/>
              </w:rPr>
              <w:t>嫁接后2-3年即可达到盛产期产量</w:t>
            </w:r>
          </w:p>
        </w:tc>
      </w:tr>
    </w:tbl>
    <w:p w14:paraId="6E59B3C2">
      <w:pPr>
        <w:spacing w:line="560" w:lineRule="exact"/>
        <w:ind w:firstLine="482" w:firstLineChars="200"/>
        <w:rPr>
          <w:rFonts w:hint="default" w:ascii="Times New Roman" w:hAnsi="Times New Roman" w:eastAsia="仿宋_GB2312" w:cs="Arial"/>
          <w:b/>
          <w:bCs/>
          <w:sz w:val="24"/>
          <w:szCs w:val="32"/>
          <w:lang w:val="en-US" w:eastAsia="zh-CN"/>
        </w:rPr>
      </w:pPr>
      <w:r>
        <w:rPr>
          <w:rFonts w:hint="default" w:ascii="Times New Roman" w:hAnsi="Times New Roman" w:eastAsia="仿宋_GB2312" w:cs="Arial"/>
          <w:b/>
          <w:bCs/>
          <w:sz w:val="24"/>
          <w:szCs w:val="32"/>
          <w:lang w:val="en-US" w:eastAsia="zh-CN"/>
        </w:rPr>
        <w:t>技术关键点验证分析</w:t>
      </w:r>
    </w:p>
    <w:p w14:paraId="35EDC374">
      <w:pPr>
        <w:spacing w:line="560" w:lineRule="exact"/>
        <w:ind w:firstLine="482" w:firstLineChars="200"/>
        <w:rPr>
          <w:rFonts w:hint="default" w:ascii="Times New Roman" w:hAnsi="Times New Roman" w:eastAsia="仿宋_GB2312" w:cs="Arial"/>
          <w:b/>
          <w:bCs/>
          <w:sz w:val="24"/>
          <w:szCs w:val="32"/>
          <w:lang w:val="en-US" w:eastAsia="zh-CN"/>
        </w:rPr>
      </w:pPr>
      <w:r>
        <w:rPr>
          <w:rFonts w:hint="default" w:ascii="Times New Roman" w:hAnsi="Times New Roman" w:eastAsia="仿宋_GB2312" w:cs="Arial"/>
          <w:b/>
          <w:bCs/>
          <w:sz w:val="24"/>
          <w:szCs w:val="32"/>
          <w:lang w:val="en-US" w:eastAsia="zh-CN"/>
        </w:rPr>
        <w:t>1. 嫁接时期选择</w:t>
      </w:r>
    </w:p>
    <w:p w14:paraId="5685837D">
      <w:pPr>
        <w:spacing w:line="560" w:lineRule="exact"/>
        <w:ind w:firstLine="480" w:firstLineChars="200"/>
        <w:rPr>
          <w:rFonts w:hint="default" w:ascii="Times New Roman" w:hAnsi="Times New Roman" w:eastAsia="仿宋_GB2312" w:cs="Arial"/>
          <w:b w:val="0"/>
          <w:bCs w:val="0"/>
          <w:sz w:val="24"/>
          <w:szCs w:val="32"/>
          <w:lang w:val="en-US" w:eastAsia="zh-CN"/>
        </w:rPr>
      </w:pPr>
      <w:r>
        <w:rPr>
          <w:rFonts w:hint="default" w:ascii="Times New Roman" w:hAnsi="Times New Roman" w:eastAsia="仿宋_GB2312" w:cs="Arial"/>
          <w:b w:val="0"/>
          <w:bCs w:val="0"/>
          <w:sz w:val="24"/>
          <w:szCs w:val="32"/>
          <w:lang w:val="en-US" w:eastAsia="zh-CN"/>
        </w:rPr>
        <w:t>实例证明： 三地均选择2-</w:t>
      </w:r>
      <w:r>
        <w:rPr>
          <w:rFonts w:hint="eastAsia" w:eastAsia="仿宋_GB2312" w:cs="Arial"/>
          <w:b w:val="0"/>
          <w:bCs w:val="0"/>
          <w:sz w:val="24"/>
          <w:szCs w:val="32"/>
          <w:lang w:val="en-US" w:eastAsia="zh-CN"/>
        </w:rPr>
        <w:t>3</w:t>
      </w:r>
      <w:r>
        <w:rPr>
          <w:rFonts w:hint="default" w:ascii="Times New Roman" w:hAnsi="Times New Roman" w:eastAsia="仿宋_GB2312" w:cs="Arial"/>
          <w:b w:val="0"/>
          <w:bCs w:val="0"/>
          <w:sz w:val="24"/>
          <w:szCs w:val="32"/>
          <w:lang w:val="en-US" w:eastAsia="zh-CN"/>
        </w:rPr>
        <w:t>月进行嫁接，此时气温适宜，砧木树液开始流动，接穗芽体尚未萌动或刚开始萌动</w:t>
      </w:r>
    </w:p>
    <w:p w14:paraId="0CA1559C">
      <w:pPr>
        <w:spacing w:line="560" w:lineRule="exact"/>
        <w:ind w:firstLine="480" w:firstLineChars="200"/>
        <w:rPr>
          <w:rFonts w:hint="default" w:ascii="Times New Roman" w:hAnsi="Times New Roman" w:eastAsia="仿宋_GB2312" w:cs="Arial"/>
          <w:b w:val="0"/>
          <w:bCs w:val="0"/>
          <w:sz w:val="24"/>
          <w:szCs w:val="32"/>
          <w:lang w:val="en-US" w:eastAsia="zh-CN"/>
        </w:rPr>
      </w:pPr>
      <w:r>
        <w:rPr>
          <w:rFonts w:hint="default" w:ascii="Times New Roman" w:hAnsi="Times New Roman" w:eastAsia="仿宋_GB2312" w:cs="Arial"/>
          <w:b w:val="0"/>
          <w:bCs w:val="0"/>
          <w:sz w:val="24"/>
          <w:szCs w:val="32"/>
          <w:lang w:val="en-US" w:eastAsia="zh-CN"/>
        </w:rPr>
        <w:t>生理基础： 此时期形成层细胞活跃，愈伤组织形成快，有利于接口愈合</w:t>
      </w:r>
    </w:p>
    <w:p w14:paraId="393BE827">
      <w:pPr>
        <w:spacing w:line="560" w:lineRule="exact"/>
        <w:ind w:firstLine="480" w:firstLineChars="200"/>
        <w:rPr>
          <w:rFonts w:hint="default" w:ascii="Times New Roman" w:hAnsi="Times New Roman" w:eastAsia="仿宋_GB2312" w:cs="Arial"/>
          <w:b w:val="0"/>
          <w:bCs w:val="0"/>
          <w:sz w:val="24"/>
          <w:szCs w:val="32"/>
          <w:lang w:val="en-US" w:eastAsia="zh-CN"/>
        </w:rPr>
      </w:pPr>
      <w:r>
        <w:rPr>
          <w:rFonts w:hint="default" w:ascii="Times New Roman" w:hAnsi="Times New Roman" w:eastAsia="仿宋_GB2312" w:cs="Arial"/>
          <w:b w:val="0"/>
          <w:bCs w:val="0"/>
          <w:sz w:val="24"/>
          <w:szCs w:val="32"/>
          <w:lang w:val="en-US" w:eastAsia="zh-CN"/>
        </w:rPr>
        <w:t>成活率影响： 避开雨季高温高湿和冬季低温时期，成活率</w:t>
      </w:r>
      <w:r>
        <w:rPr>
          <w:rFonts w:hint="eastAsia" w:eastAsia="仿宋_GB2312" w:cs="Arial"/>
          <w:b w:val="0"/>
          <w:bCs w:val="0"/>
          <w:sz w:val="24"/>
          <w:szCs w:val="32"/>
          <w:lang w:val="en-US" w:eastAsia="zh-CN"/>
        </w:rPr>
        <w:t>显著</w:t>
      </w:r>
      <w:r>
        <w:rPr>
          <w:rFonts w:hint="default" w:ascii="Times New Roman" w:hAnsi="Times New Roman" w:eastAsia="仿宋_GB2312" w:cs="Arial"/>
          <w:b w:val="0"/>
          <w:bCs w:val="0"/>
          <w:sz w:val="24"/>
          <w:szCs w:val="32"/>
          <w:lang w:val="en-US" w:eastAsia="zh-CN"/>
        </w:rPr>
        <w:t>提高</w:t>
      </w:r>
    </w:p>
    <w:p w14:paraId="54F33164">
      <w:pPr>
        <w:spacing w:line="560" w:lineRule="exact"/>
        <w:ind w:firstLine="482" w:firstLineChars="200"/>
        <w:rPr>
          <w:rFonts w:hint="default" w:ascii="Times New Roman" w:hAnsi="Times New Roman" w:eastAsia="仿宋_GB2312" w:cs="Arial"/>
          <w:b/>
          <w:bCs/>
          <w:sz w:val="24"/>
          <w:szCs w:val="32"/>
          <w:lang w:val="en-US" w:eastAsia="zh-CN"/>
        </w:rPr>
      </w:pPr>
      <w:r>
        <w:rPr>
          <w:rFonts w:hint="default" w:ascii="Times New Roman" w:hAnsi="Times New Roman" w:eastAsia="仿宋_GB2312" w:cs="Arial"/>
          <w:b/>
          <w:bCs/>
          <w:sz w:val="24"/>
          <w:szCs w:val="32"/>
          <w:lang w:val="en-US" w:eastAsia="zh-CN"/>
        </w:rPr>
        <w:t>2. 砧木与接穗亲和性</w:t>
      </w:r>
    </w:p>
    <w:p w14:paraId="6D9DCCB2">
      <w:pPr>
        <w:spacing w:line="560" w:lineRule="exact"/>
        <w:ind w:firstLine="480" w:firstLineChars="200"/>
        <w:rPr>
          <w:rFonts w:hint="default" w:ascii="Times New Roman" w:hAnsi="Times New Roman" w:eastAsia="仿宋_GB2312" w:cs="Arial"/>
          <w:b w:val="0"/>
          <w:bCs w:val="0"/>
          <w:sz w:val="24"/>
          <w:szCs w:val="32"/>
          <w:lang w:val="en-US" w:eastAsia="zh-CN"/>
        </w:rPr>
      </w:pPr>
      <w:r>
        <w:rPr>
          <w:rFonts w:hint="default" w:ascii="Times New Roman" w:hAnsi="Times New Roman" w:eastAsia="仿宋_GB2312" w:cs="Arial"/>
          <w:b w:val="0"/>
          <w:bCs w:val="0"/>
          <w:sz w:val="24"/>
          <w:szCs w:val="32"/>
          <w:lang w:val="en-US" w:eastAsia="zh-CN"/>
        </w:rPr>
        <w:t>验证结果： 小粒种内品种间嫁接亲和性好，德热132、</w:t>
      </w:r>
      <w:r>
        <w:rPr>
          <w:rFonts w:hint="eastAsia" w:eastAsia="仿宋_GB2312" w:cs="Arial"/>
          <w:b w:val="0"/>
          <w:bCs w:val="0"/>
          <w:sz w:val="24"/>
          <w:szCs w:val="32"/>
          <w:lang w:val="en-US" w:eastAsia="zh-CN"/>
        </w:rPr>
        <w:t>德热4</w:t>
      </w:r>
      <w:r>
        <w:rPr>
          <w:rFonts w:hint="default" w:ascii="Times New Roman" w:hAnsi="Times New Roman" w:eastAsia="仿宋_GB2312" w:cs="Arial"/>
          <w:b w:val="0"/>
          <w:bCs w:val="0"/>
          <w:sz w:val="24"/>
          <w:szCs w:val="32"/>
          <w:lang w:val="en-US" w:eastAsia="zh-CN"/>
        </w:rPr>
        <w:t>号等新品种与老品种砧木嫁接后生长协调</w:t>
      </w:r>
    </w:p>
    <w:p w14:paraId="018F53BC">
      <w:pPr>
        <w:spacing w:line="560" w:lineRule="exact"/>
        <w:ind w:firstLine="480" w:firstLineChars="200"/>
        <w:rPr>
          <w:rFonts w:hint="default" w:ascii="Times New Roman" w:hAnsi="Times New Roman" w:eastAsia="仿宋_GB2312" w:cs="Arial"/>
          <w:b w:val="0"/>
          <w:bCs w:val="0"/>
          <w:sz w:val="24"/>
          <w:szCs w:val="32"/>
          <w:lang w:val="en-US" w:eastAsia="zh-CN"/>
        </w:rPr>
      </w:pPr>
      <w:r>
        <w:rPr>
          <w:rFonts w:hint="default" w:ascii="Times New Roman" w:hAnsi="Times New Roman" w:eastAsia="仿宋_GB2312" w:cs="Arial"/>
          <w:b w:val="0"/>
          <w:bCs w:val="0"/>
          <w:sz w:val="24"/>
          <w:szCs w:val="32"/>
          <w:lang w:val="en-US" w:eastAsia="zh-CN"/>
        </w:rPr>
        <w:t>关键技术： 选择健壮、无病虫害的接穗，砧木生长势中等偏上</w:t>
      </w:r>
    </w:p>
    <w:p w14:paraId="1E28EE42">
      <w:pPr>
        <w:spacing w:line="560" w:lineRule="exact"/>
        <w:ind w:firstLine="480" w:firstLineChars="200"/>
        <w:rPr>
          <w:rFonts w:hint="default" w:ascii="Times New Roman" w:hAnsi="Times New Roman" w:eastAsia="仿宋_GB2312" w:cs="Arial"/>
          <w:b w:val="0"/>
          <w:bCs w:val="0"/>
          <w:sz w:val="24"/>
          <w:szCs w:val="32"/>
          <w:lang w:val="en-US" w:eastAsia="zh-CN"/>
        </w:rPr>
      </w:pPr>
      <w:r>
        <w:rPr>
          <w:rFonts w:hint="default" w:ascii="Times New Roman" w:hAnsi="Times New Roman" w:eastAsia="仿宋_GB2312" w:cs="Arial"/>
          <w:b w:val="0"/>
          <w:bCs w:val="0"/>
          <w:sz w:val="24"/>
          <w:szCs w:val="32"/>
          <w:lang w:val="en-US" w:eastAsia="zh-CN"/>
        </w:rPr>
        <w:t>成活表现： 接口愈合良好，无大小脚现象，导管连通顺畅</w:t>
      </w:r>
    </w:p>
    <w:p w14:paraId="0278226B">
      <w:pPr>
        <w:spacing w:line="560" w:lineRule="exact"/>
        <w:ind w:firstLine="482" w:firstLineChars="200"/>
        <w:rPr>
          <w:rFonts w:hint="default" w:ascii="Times New Roman" w:hAnsi="Times New Roman" w:eastAsia="仿宋_GB2312" w:cs="Arial"/>
          <w:b/>
          <w:bCs/>
          <w:sz w:val="24"/>
          <w:szCs w:val="32"/>
          <w:lang w:val="en-US" w:eastAsia="zh-CN"/>
        </w:rPr>
      </w:pPr>
      <w:r>
        <w:rPr>
          <w:rFonts w:hint="default" w:ascii="Times New Roman" w:hAnsi="Times New Roman" w:eastAsia="仿宋_GB2312" w:cs="Arial"/>
          <w:b/>
          <w:bCs/>
          <w:sz w:val="24"/>
          <w:szCs w:val="32"/>
          <w:lang w:val="en-US" w:eastAsia="zh-CN"/>
        </w:rPr>
        <w:t>3. 嫁接后管理</w:t>
      </w:r>
    </w:p>
    <w:p w14:paraId="49BEDF78">
      <w:pPr>
        <w:spacing w:line="560" w:lineRule="exact"/>
        <w:ind w:firstLine="480" w:firstLineChars="200"/>
        <w:rPr>
          <w:rFonts w:hint="default" w:ascii="Times New Roman" w:hAnsi="Times New Roman" w:eastAsia="仿宋_GB2312" w:cs="Arial"/>
          <w:b w:val="0"/>
          <w:bCs w:val="0"/>
          <w:sz w:val="24"/>
          <w:szCs w:val="32"/>
          <w:lang w:val="en-US" w:eastAsia="zh-CN"/>
        </w:rPr>
      </w:pPr>
      <w:r>
        <w:rPr>
          <w:rFonts w:hint="default" w:ascii="Times New Roman" w:hAnsi="Times New Roman" w:eastAsia="仿宋_GB2312" w:cs="Arial"/>
          <w:b w:val="0"/>
          <w:bCs w:val="0"/>
          <w:sz w:val="24"/>
          <w:szCs w:val="32"/>
          <w:lang w:val="en-US" w:eastAsia="zh-CN"/>
        </w:rPr>
        <w:t>保湿措施： 接穗套袋保湿，防止水分蒸发，待新梢生长后逐步去除</w:t>
      </w:r>
    </w:p>
    <w:p w14:paraId="117214C6">
      <w:pPr>
        <w:spacing w:line="560" w:lineRule="exact"/>
        <w:ind w:firstLine="480" w:firstLineChars="200"/>
        <w:rPr>
          <w:rFonts w:hint="default" w:ascii="Times New Roman" w:hAnsi="Times New Roman" w:eastAsia="仿宋_GB2312" w:cs="Arial"/>
          <w:b w:val="0"/>
          <w:bCs w:val="0"/>
          <w:sz w:val="24"/>
          <w:szCs w:val="32"/>
          <w:lang w:val="en-US" w:eastAsia="zh-CN"/>
        </w:rPr>
      </w:pPr>
      <w:r>
        <w:rPr>
          <w:rFonts w:hint="default" w:ascii="Times New Roman" w:hAnsi="Times New Roman" w:eastAsia="仿宋_GB2312" w:cs="Arial"/>
          <w:b w:val="0"/>
          <w:bCs w:val="0"/>
          <w:sz w:val="24"/>
          <w:szCs w:val="32"/>
          <w:lang w:val="en-US" w:eastAsia="zh-CN"/>
        </w:rPr>
        <w:t>除萌管理： 及时去除砧木萌蘖，集中养分供应接穗生长</w:t>
      </w:r>
    </w:p>
    <w:p w14:paraId="3A7B4891">
      <w:pPr>
        <w:spacing w:line="560" w:lineRule="exact"/>
        <w:ind w:firstLine="480" w:firstLineChars="200"/>
        <w:rPr>
          <w:rFonts w:hint="default" w:ascii="Times New Roman" w:hAnsi="Times New Roman" w:eastAsia="仿宋_GB2312" w:cs="Arial"/>
          <w:b w:val="0"/>
          <w:bCs w:val="0"/>
          <w:sz w:val="24"/>
          <w:szCs w:val="32"/>
          <w:lang w:val="en-US" w:eastAsia="zh-CN"/>
        </w:rPr>
      </w:pPr>
      <w:r>
        <w:rPr>
          <w:rFonts w:hint="default" w:ascii="Times New Roman" w:hAnsi="Times New Roman" w:eastAsia="仿宋_GB2312" w:cs="Arial"/>
          <w:b w:val="0"/>
          <w:bCs w:val="0"/>
          <w:sz w:val="24"/>
          <w:szCs w:val="32"/>
          <w:lang w:val="en-US" w:eastAsia="zh-CN"/>
        </w:rPr>
        <w:t>肥水管理： 嫁接后适时追肥，促进新梢生长</w:t>
      </w:r>
    </w:p>
    <w:p w14:paraId="3A0B5FDD">
      <w:pPr>
        <w:spacing w:line="560" w:lineRule="exact"/>
        <w:ind w:firstLine="480" w:firstLineChars="200"/>
        <w:rPr>
          <w:rFonts w:hint="default" w:ascii="Times New Roman" w:hAnsi="Times New Roman" w:eastAsia="仿宋_GB2312" w:cs="Arial"/>
          <w:b w:val="0"/>
          <w:bCs w:val="0"/>
          <w:sz w:val="24"/>
          <w:szCs w:val="32"/>
          <w:lang w:val="en-US" w:eastAsia="zh-CN"/>
        </w:rPr>
      </w:pPr>
      <w:r>
        <w:rPr>
          <w:rFonts w:hint="default" w:ascii="Times New Roman" w:hAnsi="Times New Roman" w:eastAsia="仿宋_GB2312" w:cs="Arial"/>
          <w:b w:val="0"/>
          <w:bCs w:val="0"/>
          <w:sz w:val="24"/>
          <w:szCs w:val="32"/>
          <w:lang w:val="en-US" w:eastAsia="zh-CN"/>
        </w:rPr>
        <w:t>病虫害防治： 重点防治切口感染和新生嫩梢病虫害</w:t>
      </w:r>
    </w:p>
    <w:p w14:paraId="7809AB0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eastAsia="黑体" w:cs="Times New Roman"/>
          <w:bCs/>
          <w:kern w:val="44"/>
          <w:sz w:val="21"/>
          <w:szCs w:val="24"/>
          <w:lang w:val="en-US" w:eastAsia="zh-CN"/>
        </w:rPr>
      </w:pPr>
      <w:r>
        <w:rPr>
          <w:rFonts w:hint="eastAsia" w:eastAsia="黑体" w:cs="Times New Roman"/>
          <w:bCs/>
          <w:kern w:val="44"/>
          <w:sz w:val="21"/>
          <w:szCs w:val="24"/>
          <w:lang w:val="en-US" w:eastAsia="zh-CN"/>
        </w:rPr>
        <w:t xml:space="preserve">表22 </w:t>
      </w:r>
      <w:r>
        <w:rPr>
          <w:rFonts w:hint="default" w:eastAsia="黑体" w:cs="Times New Roman"/>
          <w:bCs/>
          <w:kern w:val="44"/>
          <w:sz w:val="21"/>
          <w:szCs w:val="24"/>
          <w:lang w:val="en-US" w:eastAsia="zh-CN"/>
        </w:rPr>
        <w:t>与传统更新方式对比分析</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5"/>
        <w:gridCol w:w="2750"/>
        <w:gridCol w:w="2680"/>
        <w:gridCol w:w="2070"/>
      </w:tblGrid>
      <w:tr w14:paraId="1095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blHeader/>
        </w:trPr>
        <w:tc>
          <w:tcPr>
            <w:tcW w:w="1325" w:type="dxa"/>
            <w:tcBorders>
              <w:top w:val="single" w:color="000000" w:sz="12" w:space="0"/>
              <w:bottom w:val="single" w:color="000000" w:sz="4" w:space="0"/>
              <w:tl2br w:val="nil"/>
            </w:tcBorders>
            <w:shd w:val="clear" w:color="auto" w:fill="FFFFFF"/>
            <w:tcMar>
              <w:top w:w="120" w:type="dxa"/>
              <w:left w:w="0" w:type="dxa"/>
              <w:bottom w:w="120" w:type="dxa"/>
              <w:right w:w="192" w:type="dxa"/>
            </w:tcMar>
            <w:vAlign w:val="center"/>
          </w:tcPr>
          <w:p w14:paraId="18EDB9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对比指标</w:t>
            </w:r>
          </w:p>
        </w:tc>
        <w:tc>
          <w:tcPr>
            <w:tcW w:w="2750" w:type="dxa"/>
            <w:tcBorders>
              <w:top w:val="single" w:color="000000" w:sz="12" w:space="0"/>
              <w:bottom w:val="single" w:color="000000" w:sz="4" w:space="0"/>
            </w:tcBorders>
            <w:shd w:val="clear" w:color="auto" w:fill="FFFFFF"/>
            <w:tcMar>
              <w:top w:w="120" w:type="dxa"/>
              <w:left w:w="192" w:type="dxa"/>
              <w:bottom w:w="120" w:type="dxa"/>
              <w:right w:w="192" w:type="dxa"/>
            </w:tcMar>
            <w:vAlign w:val="center"/>
          </w:tcPr>
          <w:p w14:paraId="07DCF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嫁接更新</w:t>
            </w:r>
          </w:p>
        </w:tc>
        <w:tc>
          <w:tcPr>
            <w:tcW w:w="2680" w:type="dxa"/>
            <w:tcBorders>
              <w:top w:val="single" w:color="000000" w:sz="12" w:space="0"/>
              <w:bottom w:val="single" w:color="000000" w:sz="4" w:space="0"/>
            </w:tcBorders>
            <w:shd w:val="clear" w:color="auto" w:fill="FFFFFF"/>
            <w:tcMar>
              <w:top w:w="120" w:type="dxa"/>
              <w:left w:w="192" w:type="dxa"/>
              <w:bottom w:w="120" w:type="dxa"/>
              <w:right w:w="192" w:type="dxa"/>
            </w:tcMar>
            <w:vAlign w:val="center"/>
          </w:tcPr>
          <w:p w14:paraId="794084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挖除重栽</w:t>
            </w:r>
          </w:p>
        </w:tc>
        <w:tc>
          <w:tcPr>
            <w:tcW w:w="2070" w:type="dxa"/>
            <w:tcBorders>
              <w:top w:val="single" w:color="000000" w:sz="12" w:space="0"/>
              <w:bottom w:val="single" w:color="000000" w:sz="4" w:space="0"/>
            </w:tcBorders>
            <w:shd w:val="clear" w:color="auto" w:fill="FFFFFF"/>
            <w:tcMar>
              <w:top w:w="120" w:type="dxa"/>
              <w:left w:w="192" w:type="dxa"/>
              <w:bottom w:w="120" w:type="dxa"/>
              <w:right w:w="192" w:type="dxa"/>
            </w:tcMar>
            <w:vAlign w:val="center"/>
          </w:tcPr>
          <w:p w14:paraId="0E02A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优势分析</w:t>
            </w:r>
          </w:p>
        </w:tc>
      </w:tr>
      <w:tr w14:paraId="6F91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1325" w:type="dxa"/>
            <w:tcBorders>
              <w:top w:val="single" w:color="000000" w:sz="4" w:space="0"/>
            </w:tcBorders>
            <w:shd w:val="clear" w:color="auto" w:fill="FFFFFF"/>
            <w:tcMar>
              <w:top w:w="120" w:type="dxa"/>
              <w:left w:w="0" w:type="dxa"/>
              <w:bottom w:w="120" w:type="dxa"/>
              <w:right w:w="192" w:type="dxa"/>
            </w:tcMar>
            <w:vAlign w:val="center"/>
          </w:tcPr>
          <w:p w14:paraId="6D603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投产时间</w:t>
            </w:r>
          </w:p>
        </w:tc>
        <w:tc>
          <w:tcPr>
            <w:tcW w:w="2750" w:type="dxa"/>
            <w:tcBorders>
              <w:top w:val="single" w:color="000000" w:sz="4" w:space="0"/>
            </w:tcBorders>
            <w:shd w:val="clear" w:color="auto" w:fill="FFFFFF"/>
            <w:tcMar>
              <w:top w:w="120" w:type="dxa"/>
              <w:left w:w="192" w:type="dxa"/>
              <w:bottom w:w="120" w:type="dxa"/>
              <w:right w:w="192" w:type="dxa"/>
            </w:tcMar>
            <w:vAlign w:val="center"/>
          </w:tcPr>
          <w:p w14:paraId="3ACC22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2-3年</w:t>
            </w:r>
          </w:p>
        </w:tc>
        <w:tc>
          <w:tcPr>
            <w:tcW w:w="2680" w:type="dxa"/>
            <w:tcBorders>
              <w:top w:val="single" w:color="000000" w:sz="4" w:space="0"/>
            </w:tcBorders>
            <w:shd w:val="clear" w:color="auto" w:fill="FFFFFF"/>
            <w:tcMar>
              <w:top w:w="120" w:type="dxa"/>
              <w:left w:w="192" w:type="dxa"/>
              <w:bottom w:w="120" w:type="dxa"/>
              <w:right w:w="192" w:type="dxa"/>
            </w:tcMar>
            <w:vAlign w:val="center"/>
          </w:tcPr>
          <w:p w14:paraId="54A14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3-4年</w:t>
            </w:r>
          </w:p>
        </w:tc>
        <w:tc>
          <w:tcPr>
            <w:tcW w:w="2070" w:type="dxa"/>
            <w:tcBorders>
              <w:top w:val="single" w:color="000000" w:sz="4" w:space="0"/>
            </w:tcBorders>
            <w:shd w:val="clear" w:color="auto" w:fill="FFFFFF"/>
            <w:tcMar>
              <w:top w:w="120" w:type="dxa"/>
              <w:left w:w="192" w:type="dxa"/>
              <w:bottom w:w="120" w:type="dxa"/>
              <w:right w:w="0" w:type="dxa"/>
            </w:tcMar>
            <w:vAlign w:val="center"/>
          </w:tcPr>
          <w:p w14:paraId="465BD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提前1-2年见效</w:t>
            </w:r>
          </w:p>
        </w:tc>
      </w:tr>
      <w:tr w14:paraId="4D6D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1325" w:type="dxa"/>
            <w:shd w:val="clear" w:color="auto" w:fill="FFFFFF"/>
            <w:tcMar>
              <w:top w:w="120" w:type="dxa"/>
              <w:left w:w="0" w:type="dxa"/>
              <w:bottom w:w="120" w:type="dxa"/>
              <w:right w:w="192" w:type="dxa"/>
            </w:tcMar>
            <w:vAlign w:val="center"/>
          </w:tcPr>
          <w:p w14:paraId="0CE1B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前期投入</w:t>
            </w:r>
          </w:p>
        </w:tc>
        <w:tc>
          <w:tcPr>
            <w:tcW w:w="2750" w:type="dxa"/>
            <w:shd w:val="clear" w:color="auto" w:fill="FFFFFF"/>
            <w:tcMar>
              <w:top w:w="120" w:type="dxa"/>
              <w:left w:w="192" w:type="dxa"/>
              <w:bottom w:w="120" w:type="dxa"/>
              <w:right w:w="192" w:type="dxa"/>
            </w:tcMar>
            <w:vAlign w:val="center"/>
          </w:tcPr>
          <w:p w14:paraId="57E247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每亩800-1500元</w:t>
            </w:r>
          </w:p>
        </w:tc>
        <w:tc>
          <w:tcPr>
            <w:tcW w:w="2680" w:type="dxa"/>
            <w:shd w:val="clear" w:color="auto" w:fill="FFFFFF"/>
            <w:tcMar>
              <w:top w:w="120" w:type="dxa"/>
              <w:left w:w="192" w:type="dxa"/>
              <w:bottom w:w="120" w:type="dxa"/>
              <w:right w:w="192" w:type="dxa"/>
            </w:tcMar>
            <w:vAlign w:val="center"/>
          </w:tcPr>
          <w:p w14:paraId="41CC5A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每亩3000-5000元</w:t>
            </w:r>
          </w:p>
        </w:tc>
        <w:tc>
          <w:tcPr>
            <w:tcW w:w="2070" w:type="dxa"/>
            <w:shd w:val="clear" w:color="auto" w:fill="FFFFFF"/>
            <w:tcMar>
              <w:top w:w="120" w:type="dxa"/>
              <w:left w:w="192" w:type="dxa"/>
              <w:bottom w:w="120" w:type="dxa"/>
              <w:right w:w="0" w:type="dxa"/>
            </w:tcMar>
            <w:vAlign w:val="center"/>
          </w:tcPr>
          <w:p w14:paraId="46359F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节约成本60%以上</w:t>
            </w:r>
          </w:p>
        </w:tc>
      </w:tr>
      <w:tr w14:paraId="6D24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1325" w:type="dxa"/>
            <w:shd w:val="clear" w:color="auto" w:fill="FFFFFF"/>
            <w:tcMar>
              <w:top w:w="120" w:type="dxa"/>
              <w:left w:w="0" w:type="dxa"/>
              <w:bottom w:w="120" w:type="dxa"/>
              <w:right w:w="192" w:type="dxa"/>
            </w:tcMar>
            <w:vAlign w:val="center"/>
          </w:tcPr>
          <w:p w14:paraId="05714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产量恢复</w:t>
            </w:r>
          </w:p>
        </w:tc>
        <w:tc>
          <w:tcPr>
            <w:tcW w:w="2750" w:type="dxa"/>
            <w:shd w:val="clear" w:color="auto" w:fill="FFFFFF"/>
            <w:tcMar>
              <w:top w:w="120" w:type="dxa"/>
              <w:left w:w="192" w:type="dxa"/>
              <w:bottom w:w="120" w:type="dxa"/>
              <w:right w:w="192" w:type="dxa"/>
            </w:tcMar>
            <w:vAlign w:val="center"/>
          </w:tcPr>
          <w:p w14:paraId="06A10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第</w:t>
            </w:r>
            <w:r>
              <w:rPr>
                <w:rStyle w:val="13"/>
                <w:rFonts w:hint="eastAsia" w:ascii="方正仿宋_GB2312" w:hAnsi="方正仿宋_GB2312" w:eastAsia="方正仿宋_GB2312" w:cs="方正仿宋_GB2312"/>
                <w:b w:val="0"/>
                <w:bCs/>
                <w:color w:val="000000"/>
                <w:kern w:val="0"/>
                <w:sz w:val="18"/>
                <w:szCs w:val="18"/>
                <w:lang w:val="en-US" w:eastAsia="zh-CN" w:bidi="ar"/>
              </w:rPr>
              <w:t>2</w:t>
            </w:r>
            <w:r>
              <w:rPr>
                <w:rStyle w:val="13"/>
                <w:rFonts w:hint="default" w:ascii="方正仿宋_GB2312" w:hAnsi="方正仿宋_GB2312" w:eastAsia="方正仿宋_GB2312" w:cs="方正仿宋_GB2312"/>
                <w:b w:val="0"/>
                <w:bCs/>
                <w:color w:val="000000"/>
                <w:kern w:val="0"/>
                <w:sz w:val="18"/>
                <w:szCs w:val="18"/>
                <w:lang w:val="en-US" w:eastAsia="zh-CN" w:bidi="ar"/>
              </w:rPr>
              <w:t>年可达盛产期70%</w:t>
            </w:r>
          </w:p>
        </w:tc>
        <w:tc>
          <w:tcPr>
            <w:tcW w:w="2680" w:type="dxa"/>
            <w:shd w:val="clear" w:color="auto" w:fill="FFFFFF"/>
            <w:tcMar>
              <w:top w:w="120" w:type="dxa"/>
              <w:left w:w="192" w:type="dxa"/>
              <w:bottom w:w="120" w:type="dxa"/>
              <w:right w:w="192" w:type="dxa"/>
            </w:tcMar>
            <w:vAlign w:val="center"/>
          </w:tcPr>
          <w:p w14:paraId="662E53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第</w:t>
            </w:r>
            <w:r>
              <w:rPr>
                <w:rStyle w:val="13"/>
                <w:rFonts w:hint="eastAsia" w:ascii="方正仿宋_GB2312" w:hAnsi="方正仿宋_GB2312" w:eastAsia="方正仿宋_GB2312" w:cs="方正仿宋_GB2312"/>
                <w:b w:val="0"/>
                <w:bCs/>
                <w:color w:val="000000"/>
                <w:kern w:val="0"/>
                <w:sz w:val="18"/>
                <w:szCs w:val="18"/>
                <w:lang w:val="en-US" w:eastAsia="zh-CN" w:bidi="ar"/>
              </w:rPr>
              <w:t>3</w:t>
            </w:r>
            <w:r>
              <w:rPr>
                <w:rStyle w:val="13"/>
                <w:rFonts w:hint="default" w:ascii="方正仿宋_GB2312" w:hAnsi="方正仿宋_GB2312" w:eastAsia="方正仿宋_GB2312" w:cs="方正仿宋_GB2312"/>
                <w:b w:val="0"/>
                <w:bCs/>
                <w:color w:val="000000"/>
                <w:kern w:val="0"/>
                <w:sz w:val="18"/>
                <w:szCs w:val="18"/>
                <w:lang w:val="en-US" w:eastAsia="zh-CN" w:bidi="ar"/>
              </w:rPr>
              <w:t>年达盛产期50%</w:t>
            </w:r>
          </w:p>
        </w:tc>
        <w:tc>
          <w:tcPr>
            <w:tcW w:w="2070" w:type="dxa"/>
            <w:shd w:val="clear" w:color="auto" w:fill="FFFFFF"/>
            <w:tcMar>
              <w:top w:w="120" w:type="dxa"/>
              <w:left w:w="192" w:type="dxa"/>
              <w:bottom w:w="120" w:type="dxa"/>
              <w:right w:w="0" w:type="dxa"/>
            </w:tcMar>
            <w:vAlign w:val="center"/>
          </w:tcPr>
          <w:p w14:paraId="51E52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产量恢复快且稳定</w:t>
            </w:r>
          </w:p>
        </w:tc>
      </w:tr>
      <w:tr w14:paraId="61FD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1325" w:type="dxa"/>
            <w:shd w:val="clear" w:color="auto" w:fill="FFFFFF"/>
            <w:tcMar>
              <w:top w:w="120" w:type="dxa"/>
              <w:left w:w="0" w:type="dxa"/>
              <w:bottom w:w="120" w:type="dxa"/>
              <w:right w:w="192" w:type="dxa"/>
            </w:tcMar>
            <w:vAlign w:val="center"/>
          </w:tcPr>
          <w:p w14:paraId="678F9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生态影响</w:t>
            </w:r>
          </w:p>
        </w:tc>
        <w:tc>
          <w:tcPr>
            <w:tcW w:w="2750" w:type="dxa"/>
            <w:shd w:val="clear" w:color="auto" w:fill="FFFFFF"/>
            <w:tcMar>
              <w:top w:w="120" w:type="dxa"/>
              <w:left w:w="192" w:type="dxa"/>
              <w:bottom w:w="120" w:type="dxa"/>
              <w:right w:w="192" w:type="dxa"/>
            </w:tcMar>
            <w:vAlign w:val="center"/>
          </w:tcPr>
          <w:p w14:paraId="59821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保留原有根系，水土保持好</w:t>
            </w:r>
          </w:p>
        </w:tc>
        <w:tc>
          <w:tcPr>
            <w:tcW w:w="2680" w:type="dxa"/>
            <w:shd w:val="clear" w:color="auto" w:fill="FFFFFF"/>
            <w:tcMar>
              <w:top w:w="120" w:type="dxa"/>
              <w:left w:w="192" w:type="dxa"/>
              <w:bottom w:w="120" w:type="dxa"/>
              <w:right w:w="192" w:type="dxa"/>
            </w:tcMar>
            <w:vAlign w:val="center"/>
          </w:tcPr>
          <w:p w14:paraId="4F521D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全面垦复，水土流失风险大</w:t>
            </w:r>
          </w:p>
        </w:tc>
        <w:tc>
          <w:tcPr>
            <w:tcW w:w="2070" w:type="dxa"/>
            <w:shd w:val="clear" w:color="auto" w:fill="FFFFFF"/>
            <w:tcMar>
              <w:top w:w="120" w:type="dxa"/>
              <w:left w:w="192" w:type="dxa"/>
              <w:bottom w:w="120" w:type="dxa"/>
              <w:right w:w="0" w:type="dxa"/>
            </w:tcMar>
            <w:vAlign w:val="center"/>
          </w:tcPr>
          <w:p w14:paraId="7A2740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生态效益显著</w:t>
            </w:r>
          </w:p>
        </w:tc>
      </w:tr>
      <w:tr w14:paraId="17DE7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exact"/>
        </w:trPr>
        <w:tc>
          <w:tcPr>
            <w:tcW w:w="1325" w:type="dxa"/>
            <w:tcBorders>
              <w:bottom w:val="single" w:color="000000" w:sz="12" w:space="0"/>
            </w:tcBorders>
            <w:shd w:val="clear" w:color="auto" w:fill="FFFFFF"/>
            <w:tcMar>
              <w:top w:w="120" w:type="dxa"/>
              <w:left w:w="0" w:type="dxa"/>
              <w:bottom w:w="120" w:type="dxa"/>
              <w:right w:w="192" w:type="dxa"/>
            </w:tcMar>
            <w:vAlign w:val="center"/>
          </w:tcPr>
          <w:p w14:paraId="0F4C9A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市场风险</w:t>
            </w:r>
          </w:p>
        </w:tc>
        <w:tc>
          <w:tcPr>
            <w:tcW w:w="2750" w:type="dxa"/>
            <w:tcBorders>
              <w:bottom w:val="single" w:color="000000" w:sz="12" w:space="0"/>
            </w:tcBorders>
            <w:shd w:val="clear" w:color="auto" w:fill="FFFFFF"/>
            <w:tcMar>
              <w:top w:w="120" w:type="dxa"/>
              <w:left w:w="192" w:type="dxa"/>
              <w:bottom w:w="120" w:type="dxa"/>
              <w:right w:w="192" w:type="dxa"/>
            </w:tcMar>
            <w:vAlign w:val="center"/>
          </w:tcPr>
          <w:p w14:paraId="700F2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可根据市场变化灵活更换品种</w:t>
            </w:r>
          </w:p>
        </w:tc>
        <w:tc>
          <w:tcPr>
            <w:tcW w:w="2680" w:type="dxa"/>
            <w:tcBorders>
              <w:bottom w:val="single" w:color="000000" w:sz="12" w:space="0"/>
            </w:tcBorders>
            <w:shd w:val="clear" w:color="auto" w:fill="FFFFFF"/>
            <w:tcMar>
              <w:top w:w="120" w:type="dxa"/>
              <w:left w:w="192" w:type="dxa"/>
              <w:bottom w:w="120" w:type="dxa"/>
              <w:right w:w="192" w:type="dxa"/>
            </w:tcMar>
            <w:vAlign w:val="center"/>
          </w:tcPr>
          <w:p w14:paraId="11810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品种选择固定，调整难度大</w:t>
            </w:r>
          </w:p>
        </w:tc>
        <w:tc>
          <w:tcPr>
            <w:tcW w:w="2070" w:type="dxa"/>
            <w:tcBorders>
              <w:bottom w:val="single" w:color="000000" w:sz="12" w:space="0"/>
            </w:tcBorders>
            <w:shd w:val="clear" w:color="auto" w:fill="FFFFFF"/>
            <w:tcMar>
              <w:top w:w="120" w:type="dxa"/>
              <w:left w:w="192" w:type="dxa"/>
              <w:bottom w:w="120" w:type="dxa"/>
              <w:right w:w="0" w:type="dxa"/>
            </w:tcMar>
            <w:vAlign w:val="center"/>
          </w:tcPr>
          <w:p w14:paraId="4D5A32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Style w:val="13"/>
                <w:rFonts w:hint="default" w:ascii="方正仿宋_GB2312" w:hAnsi="方正仿宋_GB2312" w:eastAsia="方正仿宋_GB2312" w:cs="方正仿宋_GB2312"/>
                <w:b w:val="0"/>
                <w:bCs/>
                <w:color w:val="000000"/>
                <w:kern w:val="0"/>
                <w:sz w:val="18"/>
                <w:szCs w:val="18"/>
                <w:lang w:val="en-US" w:eastAsia="zh-CN" w:bidi="ar"/>
              </w:rPr>
            </w:pPr>
            <w:r>
              <w:rPr>
                <w:rStyle w:val="13"/>
                <w:rFonts w:hint="default" w:ascii="方正仿宋_GB2312" w:hAnsi="方正仿宋_GB2312" w:eastAsia="方正仿宋_GB2312" w:cs="方正仿宋_GB2312"/>
                <w:b w:val="0"/>
                <w:bCs/>
                <w:color w:val="000000"/>
                <w:kern w:val="0"/>
                <w:sz w:val="18"/>
                <w:szCs w:val="18"/>
                <w:lang w:val="en-US" w:eastAsia="zh-CN" w:bidi="ar"/>
              </w:rPr>
              <w:t>市场适应性强</w:t>
            </w:r>
          </w:p>
        </w:tc>
      </w:tr>
    </w:tbl>
    <w:p w14:paraId="673B8D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楷体_GB2312"/>
          <w:b/>
          <w:bCs/>
          <w:sz w:val="24"/>
          <w:szCs w:val="32"/>
        </w:rPr>
      </w:pPr>
    </w:p>
    <w:p w14:paraId="4C7BFC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eastAsia="楷体_GB2312"/>
          <w:b/>
          <w:bCs/>
          <w:sz w:val="24"/>
          <w:szCs w:val="32"/>
        </w:rPr>
      </w:pPr>
      <w:r>
        <w:rPr>
          <w:rFonts w:hint="eastAsia" w:eastAsia="楷体_GB2312"/>
          <w:b/>
          <w:bCs/>
          <w:sz w:val="24"/>
          <w:szCs w:val="32"/>
        </w:rPr>
        <w:t>（二）</w:t>
      </w:r>
      <w:r>
        <w:rPr>
          <w:rFonts w:eastAsia="楷体_GB2312"/>
          <w:b/>
          <w:bCs/>
          <w:sz w:val="24"/>
          <w:szCs w:val="32"/>
        </w:rPr>
        <w:t>技术经济论证</w:t>
      </w:r>
      <w:r>
        <w:rPr>
          <w:rFonts w:hint="eastAsia" w:eastAsia="楷体_GB2312"/>
          <w:b/>
          <w:bCs/>
          <w:sz w:val="24"/>
          <w:szCs w:val="32"/>
        </w:rPr>
        <w:t>，</w:t>
      </w:r>
      <w:r>
        <w:rPr>
          <w:rFonts w:eastAsia="楷体_GB2312"/>
          <w:b/>
          <w:bCs/>
          <w:sz w:val="24"/>
          <w:szCs w:val="32"/>
        </w:rPr>
        <w:t>预期的经济效</w:t>
      </w:r>
      <w:r>
        <w:rPr>
          <w:rFonts w:hint="eastAsia" w:eastAsia="楷体_GB2312"/>
          <w:b/>
          <w:bCs/>
          <w:sz w:val="24"/>
          <w:szCs w:val="32"/>
        </w:rPr>
        <w:t>益、社会效益和生态效益</w:t>
      </w:r>
    </w:p>
    <w:p w14:paraId="36E8DFD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Arial"/>
          <w:b/>
          <w:bCs/>
          <w:sz w:val="24"/>
          <w:szCs w:val="32"/>
          <w:lang w:val="en-US" w:eastAsia="zh-CN"/>
        </w:rPr>
      </w:pPr>
      <w:r>
        <w:rPr>
          <w:rFonts w:hint="eastAsia" w:eastAsia="仿宋_GB2312" w:cs="Arial"/>
          <w:b/>
          <w:bCs/>
          <w:sz w:val="24"/>
          <w:szCs w:val="32"/>
          <w:lang w:val="en-US" w:eastAsia="zh-CN"/>
        </w:rPr>
        <w:t>1.</w:t>
      </w:r>
      <w:r>
        <w:rPr>
          <w:rFonts w:hint="eastAsia" w:ascii="Times New Roman" w:hAnsi="Times New Roman" w:eastAsia="仿宋_GB2312" w:cs="Arial"/>
          <w:b/>
          <w:bCs/>
          <w:sz w:val="24"/>
          <w:szCs w:val="32"/>
          <w:lang w:val="en-US" w:eastAsia="zh-CN"/>
        </w:rPr>
        <w:t>经济效益分析</w:t>
      </w:r>
    </w:p>
    <w:p w14:paraId="41CAFC2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Arial"/>
          <w:sz w:val="24"/>
          <w:szCs w:val="32"/>
          <w:lang w:val="en-US" w:eastAsia="zh-CN"/>
        </w:rPr>
      </w:pPr>
      <w:r>
        <w:rPr>
          <w:rFonts w:hint="eastAsia" w:ascii="Times New Roman" w:hAnsi="Times New Roman" w:eastAsia="仿宋_GB2312" w:cs="Arial"/>
          <w:sz w:val="24"/>
          <w:szCs w:val="32"/>
          <w:lang w:val="en-US" w:eastAsia="zh-CN"/>
        </w:rPr>
        <w:t>根据初步估算，完成《咖啡栽培技术规程》（NY/T 922-2004）修订工作并在咖啡种植区推广应用后，预期将带来显著的经济效益。在种植环节，全国138万亩咖啡因产量增加或品质提高，每亩预计可增收100元以上，合计全国年增收额将超过1.38亿元。在初加工环节，由于采用科学的标准化初加工工艺，产品质量明显提升，预计咖啡生豆的单价在原有基础上每公斤可提高3-5元，从而全国年增收约7.25亿元。此外，推广修订完善的小粒种咖啡系列标准后，我国生产的咖啡生豆原料质量将进一步提升，进而推动咖啡产业的精深加工环节在现有基础上取得更高的经济效益。</w:t>
      </w:r>
    </w:p>
    <w:p w14:paraId="2338F83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Arial"/>
          <w:b/>
          <w:bCs/>
          <w:sz w:val="24"/>
          <w:szCs w:val="32"/>
          <w:lang w:val="en-US" w:eastAsia="zh-CN"/>
        </w:rPr>
      </w:pPr>
      <w:r>
        <w:rPr>
          <w:rFonts w:hint="eastAsia" w:eastAsia="仿宋_GB2312" w:cs="Arial"/>
          <w:b/>
          <w:bCs/>
          <w:sz w:val="24"/>
          <w:szCs w:val="32"/>
          <w:lang w:val="en-US" w:eastAsia="zh-CN"/>
        </w:rPr>
        <w:t>2.</w:t>
      </w:r>
      <w:r>
        <w:rPr>
          <w:rFonts w:hint="eastAsia" w:ascii="Times New Roman" w:hAnsi="Times New Roman" w:eastAsia="仿宋_GB2312" w:cs="Arial"/>
          <w:b/>
          <w:bCs/>
          <w:sz w:val="24"/>
          <w:szCs w:val="32"/>
          <w:lang w:val="en-US" w:eastAsia="zh-CN"/>
        </w:rPr>
        <w:t>社会效益分析</w:t>
      </w:r>
    </w:p>
    <w:p w14:paraId="48BBF3C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Arial"/>
          <w:sz w:val="24"/>
          <w:szCs w:val="32"/>
          <w:lang w:val="en-US" w:eastAsia="zh-CN"/>
        </w:rPr>
      </w:pPr>
      <w:r>
        <w:rPr>
          <w:rFonts w:hint="eastAsia" w:ascii="Times New Roman" w:hAnsi="Times New Roman" w:eastAsia="仿宋_GB2312" w:cs="Arial"/>
          <w:sz w:val="24"/>
          <w:szCs w:val="32"/>
          <w:lang w:val="en-US" w:eastAsia="zh-CN"/>
        </w:rPr>
        <w:t>通过修订和完善《咖啡栽培技术规程》（NY/T 922-2004），可以有效提升我省整个咖啡产业链的技术水平和标准化水平。标准化的实施不仅有助于规范咖啡产品的监测和分级管理，还能提高我国咖啡产业的综合竞争力。通过这些规范管理措施，可促进我国咖啡生产和产品进出口的标准化和规范化，进而有效提升我国在国际咖啡市场的竞争力和话语权。此外，标准化的推广应用还将推动技术创新和产业升级，促进农业现代化。通过提高咖啡种植和加工环节的技术含量，能够创造更多的就业机会，增加农民收入，改善农村经济状况，进而带动地方经济的发展。</w:t>
      </w:r>
    </w:p>
    <w:p w14:paraId="233123B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Arial"/>
          <w:b/>
          <w:bCs/>
          <w:sz w:val="24"/>
          <w:szCs w:val="32"/>
          <w:lang w:val="en-US" w:eastAsia="zh-CN"/>
        </w:rPr>
      </w:pPr>
      <w:r>
        <w:rPr>
          <w:rFonts w:hint="eastAsia" w:eastAsia="仿宋_GB2312" w:cs="Arial"/>
          <w:b/>
          <w:bCs/>
          <w:sz w:val="24"/>
          <w:szCs w:val="32"/>
          <w:lang w:val="en-US" w:eastAsia="zh-CN"/>
        </w:rPr>
        <w:t>3.</w:t>
      </w:r>
      <w:r>
        <w:rPr>
          <w:rFonts w:hint="default" w:ascii="Times New Roman" w:hAnsi="Times New Roman" w:eastAsia="仿宋_GB2312" w:cs="Arial"/>
          <w:b/>
          <w:bCs/>
          <w:sz w:val="24"/>
          <w:szCs w:val="32"/>
          <w:lang w:val="en-US" w:eastAsia="zh-CN"/>
        </w:rPr>
        <w:t>生态效益</w:t>
      </w:r>
    </w:p>
    <w:p w14:paraId="47783F8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Arial"/>
          <w:sz w:val="24"/>
          <w:szCs w:val="32"/>
          <w:lang w:val="en-US" w:eastAsia="zh-CN"/>
        </w:rPr>
      </w:pPr>
      <w:r>
        <w:rPr>
          <w:rFonts w:hint="default" w:ascii="Times New Roman" w:hAnsi="Times New Roman" w:eastAsia="仿宋_GB2312" w:cs="Arial"/>
          <w:sz w:val="24"/>
          <w:szCs w:val="32"/>
          <w:lang w:val="en-US" w:eastAsia="zh-CN"/>
        </w:rPr>
        <w:t>保护土壤与水资源： 等高种植、梯地养护、园地覆盖等措施能有效减少水土流失。定量施肥和绿色防控策略将从源头上减少化肥、农药流入环境，保护地下水和土壤健康，符合“绿水青山就是金山银山”的发展理念。维护生物多样性： 种植荫蔽树、保留防护林、采用生物防治等措施，有助于在咖啡园内构建一个相对复杂的生态系统，为鸟类、害虫天敌等提供栖息地，增强园区的自然调控能力。促进农业碳中和： 园地覆盖和增施有机肥可增加土壤有机质含量，提高土壤碳汇能力。减少化肥使用也间接降低了农业生产中的碳排放。实现绿色可持续发展： 本标准通篇贯穿了绿色、生态的栽培理念，引导咖啡产业走资源节约、环境友好的发展道路，实现经济效益与生态效益的统一，保障产业的长期可持续性。</w:t>
      </w:r>
    </w:p>
    <w:p w14:paraId="120CBD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黑体" w:cs="Times New Roman"/>
          <w:bCs/>
          <w:kern w:val="44"/>
          <w:sz w:val="24"/>
          <w:szCs w:val="32"/>
        </w:rPr>
      </w:pPr>
      <w:r>
        <w:rPr>
          <w:rFonts w:hint="eastAsia" w:ascii="Times New Roman" w:hAnsi="Times New Roman" w:eastAsia="黑体" w:cs="Times New Roman"/>
          <w:bCs/>
          <w:kern w:val="44"/>
          <w:sz w:val="24"/>
          <w:szCs w:val="32"/>
        </w:rPr>
        <w:t>四、与国际、国外同类标准技术内容的对比情况，或者与测试的国外样品、样机的有关数据对比情况</w:t>
      </w:r>
    </w:p>
    <w:p w14:paraId="4AF2A77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Arial"/>
          <w:b/>
          <w:bCs/>
          <w:sz w:val="24"/>
          <w:szCs w:val="32"/>
          <w:lang w:val="en-US" w:eastAsia="zh-CN"/>
        </w:rPr>
      </w:pPr>
      <w:r>
        <w:rPr>
          <w:rFonts w:hint="eastAsia" w:ascii="Times New Roman" w:hAnsi="Times New Roman" w:eastAsia="仿宋_GB2312" w:cs="Arial"/>
          <w:b/>
          <w:bCs/>
          <w:sz w:val="24"/>
          <w:szCs w:val="32"/>
          <w:lang w:val="en-US" w:eastAsia="zh-CN"/>
        </w:rPr>
        <w:t>1.</w:t>
      </w:r>
      <w:r>
        <w:rPr>
          <w:rFonts w:hint="default" w:ascii="Times New Roman" w:hAnsi="Times New Roman" w:eastAsia="仿宋_GB2312" w:cs="Arial"/>
          <w:b/>
          <w:bCs/>
          <w:sz w:val="24"/>
          <w:szCs w:val="32"/>
          <w:lang w:val="en-US" w:eastAsia="zh-CN"/>
        </w:rPr>
        <w:t xml:space="preserve"> 对比分析概述</w:t>
      </w:r>
    </w:p>
    <w:p w14:paraId="2F711CE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Arial"/>
          <w:sz w:val="24"/>
          <w:szCs w:val="32"/>
          <w:lang w:val="en-US" w:eastAsia="zh-CN"/>
        </w:rPr>
      </w:pPr>
      <w:r>
        <w:rPr>
          <w:rFonts w:hint="default" w:ascii="Times New Roman" w:hAnsi="Times New Roman" w:eastAsia="仿宋_GB2312" w:cs="Arial"/>
          <w:sz w:val="24"/>
          <w:szCs w:val="32"/>
          <w:lang w:val="en-US" w:eastAsia="zh-CN"/>
        </w:rPr>
        <w:t>目前，国际上并不存在一个全球统一的咖啡栽培技术标准。咖啡生产的技术规范主要由以下体系构成：</w:t>
      </w:r>
    </w:p>
    <w:p w14:paraId="33AA470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Arial"/>
          <w:sz w:val="24"/>
          <w:szCs w:val="32"/>
          <w:lang w:val="en-US" w:eastAsia="zh-CN"/>
        </w:rPr>
      </w:pPr>
      <w:r>
        <w:rPr>
          <w:rFonts w:hint="default" w:ascii="Times New Roman" w:hAnsi="Times New Roman" w:eastAsia="仿宋_GB2312" w:cs="Arial"/>
          <w:sz w:val="24"/>
          <w:szCs w:val="32"/>
          <w:lang w:val="en-US" w:eastAsia="zh-CN"/>
        </w:rPr>
        <w:t>国际性可持续认证标准： 如公平贸易（Fairtrade）、有机农业（如EU Organic, USDA Organic）、雨林联盟（Rainforest Alliance） 和4C（Common Code for the Coffee Community） 等。这些并非纯粹的“技术标准”，而是将技术规范作为其认证的准入门槛，核心关注点在于社会责任、环境保护和经济效益的可持续性。</w:t>
      </w:r>
    </w:p>
    <w:p w14:paraId="501A9BB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Arial"/>
          <w:sz w:val="24"/>
          <w:szCs w:val="32"/>
          <w:lang w:val="en-US" w:eastAsia="zh-CN"/>
        </w:rPr>
      </w:pPr>
      <w:r>
        <w:rPr>
          <w:rFonts w:hint="default" w:ascii="Times New Roman" w:hAnsi="Times New Roman" w:eastAsia="仿宋_GB2312" w:cs="Arial"/>
          <w:sz w:val="24"/>
          <w:szCs w:val="32"/>
          <w:lang w:val="en-US" w:eastAsia="zh-CN"/>
        </w:rPr>
        <w:t>主要咖啡生产国的国家标准或行业最佳实践： 如巴西、哥伦比亚、越南等国家，有其基于多年生产经验形成的成熟技术体系，但多以技术手册、推荐规范等形式存在，并非都以“国家标准（GB）”的严格格式发布。</w:t>
      </w:r>
    </w:p>
    <w:p w14:paraId="13F16DC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Arial"/>
          <w:sz w:val="24"/>
          <w:szCs w:val="32"/>
          <w:lang w:val="en-US" w:eastAsia="zh-CN"/>
        </w:rPr>
      </w:pPr>
      <w:r>
        <w:rPr>
          <w:rFonts w:hint="default" w:ascii="Times New Roman" w:hAnsi="Times New Roman" w:eastAsia="仿宋_GB2312" w:cs="Arial"/>
          <w:sz w:val="24"/>
          <w:szCs w:val="32"/>
          <w:lang w:val="en-US" w:eastAsia="zh-CN"/>
        </w:rPr>
        <w:t>本文件《咖啡栽培技术规程》（以下简称“本标准”） 是中国针对小粒种咖啡制定的农业行业标准。</w:t>
      </w:r>
    </w:p>
    <w:p w14:paraId="2828DA6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Arial"/>
          <w:sz w:val="24"/>
          <w:szCs w:val="32"/>
          <w:lang w:val="en-US" w:eastAsia="zh-CN"/>
        </w:rPr>
      </w:pPr>
      <w:r>
        <w:rPr>
          <w:rFonts w:hint="default" w:ascii="Times New Roman" w:hAnsi="Times New Roman" w:eastAsia="仿宋_GB2312" w:cs="Arial"/>
          <w:sz w:val="24"/>
          <w:szCs w:val="32"/>
          <w:lang w:val="en-US" w:eastAsia="zh-CN"/>
        </w:rPr>
        <w:t>本次对比将主要围绕技术框架的完整性、技术指标的先进性、以及对可持续性发展的侧重程度，将本标准与国际主流认证标准和生产国实践进行横向比较。</w:t>
      </w:r>
    </w:p>
    <w:p w14:paraId="563744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_GB2312" w:cs="Arial"/>
          <w:b/>
          <w:bCs/>
          <w:sz w:val="24"/>
          <w:szCs w:val="32"/>
          <w:lang w:val="en-US" w:eastAsia="zh-CN"/>
        </w:rPr>
      </w:pPr>
      <w:r>
        <w:rPr>
          <w:rFonts w:hint="eastAsia" w:eastAsia="仿宋_GB2312" w:cs="Arial"/>
          <w:b/>
          <w:bCs/>
          <w:sz w:val="24"/>
          <w:szCs w:val="32"/>
          <w:lang w:val="en-US" w:eastAsia="zh-CN"/>
        </w:rPr>
        <w:t>2.</w:t>
      </w:r>
      <w:r>
        <w:rPr>
          <w:rFonts w:hint="default" w:ascii="Times New Roman" w:hAnsi="Times New Roman" w:eastAsia="仿宋_GB2312" w:cs="Arial"/>
          <w:b/>
          <w:bCs/>
          <w:sz w:val="24"/>
          <w:szCs w:val="32"/>
          <w:lang w:val="en-US" w:eastAsia="zh-CN"/>
        </w:rPr>
        <w:t>主要技术内容对比分析</w:t>
      </w:r>
    </w:p>
    <w:tbl>
      <w:tblPr>
        <w:tblStyle w:val="9"/>
        <w:tblW w:w="0" w:type="auto"/>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55"/>
        <w:gridCol w:w="2600"/>
        <w:gridCol w:w="2130"/>
        <w:gridCol w:w="2351"/>
      </w:tblGrid>
      <w:tr w14:paraId="1458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55" w:type="dxa"/>
            <w:tcBorders>
              <w:top w:val="single" w:color="000000" w:sz="12" w:space="0"/>
              <w:left w:val="nil"/>
              <w:bottom w:val="single" w:color="000000" w:sz="4" w:space="0"/>
              <w:right w:val="nil"/>
              <w:tl2br w:val="nil"/>
            </w:tcBorders>
            <w:shd w:val="clear" w:color="auto" w:fill="FFFFFF"/>
            <w:tcMar>
              <w:top w:w="120" w:type="dxa"/>
              <w:left w:w="192" w:type="dxa"/>
              <w:bottom w:w="120" w:type="dxa"/>
              <w:right w:w="192" w:type="dxa"/>
            </w:tcMar>
            <w:vAlign w:val="center"/>
          </w:tcPr>
          <w:p w14:paraId="2728DAC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本修订版标准</w:t>
            </w:r>
          </w:p>
        </w:tc>
        <w:tc>
          <w:tcPr>
            <w:tcW w:w="2600"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4F951B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国际可持续认证标准</w:t>
            </w:r>
          </w:p>
        </w:tc>
        <w:tc>
          <w:tcPr>
            <w:tcW w:w="2130"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6FE349E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主要生产国实践</w:t>
            </w:r>
          </w:p>
        </w:tc>
        <w:tc>
          <w:tcPr>
            <w:tcW w:w="2351"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631498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对比结论与分析</w:t>
            </w:r>
          </w:p>
        </w:tc>
      </w:tr>
      <w:tr w14:paraId="76F87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5"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1D5EE8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覆盖从园地选择、规划、种植、土肥水管理、修剪、病虫害防治到采收、加工、档案追溯的 “全产业链” 技术环节。</w:t>
            </w:r>
          </w:p>
        </w:tc>
        <w:tc>
          <w:tcPr>
            <w:tcW w:w="2600"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786813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框架性要求。侧重于设定原则和底线要求（如禁止毁林、保护水源、限制农药等），并提供一份“禁止使用农药清单”。不提供具体的、量化的栽培技术方案（如株行距、施肥量）。</w:t>
            </w:r>
          </w:p>
        </w:tc>
        <w:tc>
          <w:tcPr>
            <w:tcW w:w="2130"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5441AF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侧重于核心高产技术。其技术推荐通常高度集中于品种、施肥、灌溉、病虫害防治等能直接提升产量的环节，技术内容精炼、实用性强。</w:t>
            </w:r>
          </w:p>
        </w:tc>
        <w:tc>
          <w:tcPr>
            <w:tcW w:w="2351" w:type="dxa"/>
            <w:tcBorders>
              <w:top w:val="single" w:color="000000" w:sz="4" w:space="0"/>
              <w:left w:val="nil"/>
              <w:bottom w:val="nil"/>
              <w:right w:val="nil"/>
            </w:tcBorders>
            <w:shd w:val="clear" w:color="auto" w:fill="FFFFFF"/>
            <w:tcMar>
              <w:top w:w="120" w:type="dxa"/>
              <w:left w:w="192" w:type="dxa"/>
              <w:bottom w:w="120" w:type="dxa"/>
              <w:right w:w="0" w:type="dxa"/>
            </w:tcMar>
            <w:vAlign w:val="center"/>
          </w:tcPr>
          <w:p w14:paraId="4D69D4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本标准在技术体系的系统性和完整性上具有明显优势。它不仅是生产规范，非常适合用于指导规模化、标准化生产，尤其适用于正在发展中的产区和技术水平不均的农户。</w:t>
            </w:r>
          </w:p>
        </w:tc>
      </w:tr>
      <w:tr w14:paraId="65D1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5" w:type="dxa"/>
            <w:tcBorders>
              <w:top w:val="nil"/>
              <w:left w:val="nil"/>
              <w:bottom w:val="nil"/>
              <w:right w:val="nil"/>
            </w:tcBorders>
            <w:shd w:val="clear" w:color="auto" w:fill="FFFFFF"/>
            <w:tcMar>
              <w:top w:w="120" w:type="dxa"/>
              <w:left w:w="192" w:type="dxa"/>
              <w:bottom w:w="120" w:type="dxa"/>
              <w:right w:w="192" w:type="dxa"/>
            </w:tcMar>
            <w:vAlign w:val="center"/>
          </w:tcPr>
          <w:p w14:paraId="263EF0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高度量化和精准化。例如，施肥方案按树龄和预期产量给出了精确的克/株用量；修剪有具体的株高、分枝保留数量指标。</w:t>
            </w:r>
          </w:p>
        </w:tc>
        <w:tc>
          <w:tcPr>
            <w:tcW w:w="2600" w:type="dxa"/>
            <w:tcBorders>
              <w:top w:val="nil"/>
              <w:left w:val="nil"/>
              <w:bottom w:val="nil"/>
              <w:right w:val="nil"/>
            </w:tcBorders>
            <w:shd w:val="clear" w:color="auto" w:fill="FFFFFF"/>
            <w:tcMar>
              <w:top w:w="120" w:type="dxa"/>
              <w:left w:w="192" w:type="dxa"/>
              <w:bottom w:w="120" w:type="dxa"/>
              <w:right w:w="192" w:type="dxa"/>
            </w:tcMar>
            <w:vAlign w:val="center"/>
          </w:tcPr>
          <w:p w14:paraId="02EEDB7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缺乏量化技术指标。关注的是结果（如土壤不被侵蚀、水质不受污染），而非具体操作过程。</w:t>
            </w:r>
          </w:p>
        </w:tc>
        <w:tc>
          <w:tcPr>
            <w:tcW w:w="2130" w:type="dxa"/>
            <w:tcBorders>
              <w:top w:val="nil"/>
              <w:left w:val="nil"/>
              <w:bottom w:val="nil"/>
              <w:right w:val="nil"/>
            </w:tcBorders>
            <w:shd w:val="clear" w:color="auto" w:fill="FFFFFF"/>
            <w:tcMar>
              <w:top w:w="120" w:type="dxa"/>
              <w:left w:w="192" w:type="dxa"/>
              <w:bottom w:w="120" w:type="dxa"/>
              <w:right w:w="192" w:type="dxa"/>
            </w:tcMar>
            <w:vAlign w:val="center"/>
          </w:tcPr>
          <w:p w14:paraId="496810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具有一定量化指标，但更依赖区域化建议。会给出肥料配比和大致用量范围，但需要种植者根据土壤检测结果进行调整，强调因地制宜。</w:t>
            </w:r>
          </w:p>
        </w:tc>
        <w:tc>
          <w:tcPr>
            <w:tcW w:w="2351" w:type="dxa"/>
            <w:tcBorders>
              <w:top w:val="nil"/>
              <w:left w:val="nil"/>
              <w:bottom w:val="nil"/>
              <w:right w:val="nil"/>
            </w:tcBorders>
            <w:shd w:val="clear" w:color="auto" w:fill="FFFFFF"/>
            <w:tcMar>
              <w:top w:w="120" w:type="dxa"/>
              <w:left w:w="192" w:type="dxa"/>
              <w:bottom w:w="120" w:type="dxa"/>
              <w:right w:w="0" w:type="dxa"/>
            </w:tcMar>
            <w:vAlign w:val="center"/>
          </w:tcPr>
          <w:p w14:paraId="498369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本标准在操作的直接指导性上更强。其“食谱式”的量化指标降低了技术推广和应用的难度，有利于快速统一生产标准，但可能需要在不同微气候区域进行本地化校准。</w:t>
            </w:r>
          </w:p>
        </w:tc>
      </w:tr>
      <w:tr w14:paraId="2F2D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55" w:type="dxa"/>
            <w:tcBorders>
              <w:top w:val="nil"/>
              <w:left w:val="nil"/>
              <w:bottom w:val="nil"/>
              <w:right w:val="nil"/>
            </w:tcBorders>
            <w:shd w:val="clear" w:color="auto" w:fill="FFFFFF"/>
            <w:tcMar>
              <w:top w:w="120" w:type="dxa"/>
              <w:left w:w="192" w:type="dxa"/>
              <w:bottom w:w="120" w:type="dxa"/>
              <w:right w:w="192" w:type="dxa"/>
            </w:tcMar>
            <w:vAlign w:val="center"/>
          </w:tcPr>
          <w:p w14:paraId="699B4D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新增了土壤环境质量（GB 15618）、灌溉水质（GB 5084）等强制性国家标准引用；肥料使用直接挂钩绿色食品准则（NY/T 394）；强调生态防护林、荫蔽栽培、生物防治等。</w:t>
            </w:r>
          </w:p>
        </w:tc>
        <w:tc>
          <w:tcPr>
            <w:tcW w:w="2600" w:type="dxa"/>
            <w:tcBorders>
              <w:top w:val="nil"/>
              <w:left w:val="nil"/>
              <w:bottom w:val="nil"/>
              <w:right w:val="nil"/>
            </w:tcBorders>
            <w:shd w:val="clear" w:color="auto" w:fill="FFFFFF"/>
            <w:tcMar>
              <w:top w:w="120" w:type="dxa"/>
              <w:left w:w="192" w:type="dxa"/>
              <w:bottom w:w="120" w:type="dxa"/>
              <w:right w:w="192" w:type="dxa"/>
            </w:tcMar>
            <w:vAlign w:val="center"/>
          </w:tcPr>
          <w:p w14:paraId="39E41C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可持续性（环境保护、生物多样性、农民福祉）是其存在的根本。要求极其严格，且有独立的认证体系。</w:t>
            </w:r>
          </w:p>
        </w:tc>
        <w:tc>
          <w:tcPr>
            <w:tcW w:w="2130" w:type="dxa"/>
            <w:tcBorders>
              <w:top w:val="nil"/>
              <w:left w:val="nil"/>
              <w:bottom w:val="nil"/>
              <w:right w:val="nil"/>
            </w:tcBorders>
            <w:shd w:val="clear" w:color="auto" w:fill="FFFFFF"/>
            <w:tcMar>
              <w:top w:w="120" w:type="dxa"/>
              <w:left w:w="192" w:type="dxa"/>
              <w:bottom w:w="120" w:type="dxa"/>
              <w:right w:w="192" w:type="dxa"/>
            </w:tcMar>
            <w:vAlign w:val="center"/>
          </w:tcPr>
          <w:p w14:paraId="4269747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日益重视，但经济产量仍是首要目标。近年来也在积极推广节水灌溉、综合植保等可持续技术，但其技术体系的出发点仍是保证和提升经济效益。</w:t>
            </w:r>
          </w:p>
        </w:tc>
        <w:tc>
          <w:tcPr>
            <w:tcW w:w="2351" w:type="dxa"/>
            <w:tcBorders>
              <w:top w:val="nil"/>
              <w:left w:val="nil"/>
              <w:bottom w:val="nil"/>
              <w:right w:val="nil"/>
            </w:tcBorders>
            <w:shd w:val="clear" w:color="auto" w:fill="FFFFFF"/>
            <w:tcMar>
              <w:top w:w="120" w:type="dxa"/>
              <w:left w:w="192" w:type="dxa"/>
              <w:bottom w:w="120" w:type="dxa"/>
              <w:right w:w="0" w:type="dxa"/>
            </w:tcMar>
            <w:vAlign w:val="center"/>
          </w:tcPr>
          <w:p w14:paraId="5E9C3F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本标准在可持续性方面已与国际主流理念高度接轨，并将抽象原则转化为具体的技术措施。相较于传统生产国以产量为核心的技术体系，本标准在经济效益与生态效益的平衡上做得更好。</w:t>
            </w:r>
          </w:p>
        </w:tc>
      </w:tr>
      <w:tr w14:paraId="4631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5" w:type="dxa"/>
            <w:tcBorders>
              <w:top w:val="nil"/>
              <w:left w:val="nil"/>
              <w:bottom w:val="nil"/>
              <w:right w:val="nil"/>
            </w:tcBorders>
            <w:shd w:val="clear" w:color="auto" w:fill="FFFFFF"/>
            <w:tcMar>
              <w:top w:w="120" w:type="dxa"/>
              <w:left w:w="192" w:type="dxa"/>
              <w:bottom w:w="120" w:type="dxa"/>
              <w:right w:w="192" w:type="dxa"/>
            </w:tcMar>
            <w:vAlign w:val="center"/>
          </w:tcPr>
          <w:p w14:paraId="4681AB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新增独立章节，体系化要求。强制要求按GB/T 42478建立生产档案，实现从产地到产品的信息追溯。</w:t>
            </w:r>
          </w:p>
        </w:tc>
        <w:tc>
          <w:tcPr>
            <w:tcW w:w="2600" w:type="dxa"/>
            <w:tcBorders>
              <w:top w:val="nil"/>
              <w:left w:val="nil"/>
              <w:bottom w:val="nil"/>
              <w:right w:val="nil"/>
            </w:tcBorders>
            <w:shd w:val="clear" w:color="auto" w:fill="FFFFFF"/>
            <w:tcMar>
              <w:top w:w="120" w:type="dxa"/>
              <w:left w:w="192" w:type="dxa"/>
              <w:bottom w:w="120" w:type="dxa"/>
              <w:right w:w="192" w:type="dxa"/>
            </w:tcMar>
            <w:vAlign w:val="center"/>
          </w:tcPr>
          <w:p w14:paraId="6D1074F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认证的强制性要求。可追溯体系是获得认证的前提条件之一，以确保产品符合其标准。</w:t>
            </w:r>
          </w:p>
        </w:tc>
        <w:tc>
          <w:tcPr>
            <w:tcW w:w="2130" w:type="dxa"/>
            <w:tcBorders>
              <w:top w:val="nil"/>
              <w:left w:val="nil"/>
              <w:bottom w:val="nil"/>
              <w:right w:val="nil"/>
            </w:tcBorders>
            <w:shd w:val="clear" w:color="auto" w:fill="FFFFFF"/>
            <w:tcMar>
              <w:top w:w="120" w:type="dxa"/>
              <w:left w:w="192" w:type="dxa"/>
              <w:bottom w:w="120" w:type="dxa"/>
              <w:right w:w="192" w:type="dxa"/>
            </w:tcMar>
            <w:vAlign w:val="center"/>
          </w:tcPr>
          <w:p w14:paraId="12E967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主要由大型出口商和精品咖啡庄园实施，以满足国际市场（尤其是欧盟）的要求。并非对所有小农户的普遍性要求。</w:t>
            </w:r>
          </w:p>
        </w:tc>
        <w:tc>
          <w:tcPr>
            <w:tcW w:w="2351" w:type="dxa"/>
            <w:tcBorders>
              <w:top w:val="nil"/>
              <w:left w:val="nil"/>
              <w:bottom w:val="nil"/>
              <w:right w:val="nil"/>
            </w:tcBorders>
            <w:shd w:val="clear" w:color="auto" w:fill="FFFFFF"/>
            <w:tcMar>
              <w:top w:w="120" w:type="dxa"/>
              <w:left w:w="192" w:type="dxa"/>
              <w:bottom w:w="120" w:type="dxa"/>
              <w:right w:w="0" w:type="dxa"/>
            </w:tcMar>
            <w:vAlign w:val="center"/>
          </w:tcPr>
          <w:p w14:paraId="104DF5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本标准将可追溯性从市场高端需求提升为行业基础性要求，这与中国市场对食品安全日益增长的需求相匹配，是推动产业现代化的重要一步。</w:t>
            </w:r>
          </w:p>
        </w:tc>
      </w:tr>
      <w:tr w14:paraId="4DB7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5"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113405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隐含于具体技术中。如通过推荐抗病品种、荫蔽栽培（缓冲温度波动）、水分管理（应对干旱）等技术，增强咖啡园的适应性。</w:t>
            </w:r>
          </w:p>
        </w:tc>
        <w:tc>
          <w:tcPr>
            <w:tcW w:w="2600"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7E6746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明确要求。新版的雨林联盟标准等明确要求农场进行气候变化风险评估并制定适应计划。</w:t>
            </w:r>
          </w:p>
        </w:tc>
        <w:tc>
          <w:tcPr>
            <w:tcW w:w="2130"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65C3BC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通过培育和推广抗旱、抗病新品种来实际应对，是实践先行的典范。</w:t>
            </w:r>
          </w:p>
        </w:tc>
        <w:tc>
          <w:tcPr>
            <w:tcW w:w="2351" w:type="dxa"/>
            <w:tcBorders>
              <w:top w:val="nil"/>
              <w:left w:val="nil"/>
              <w:bottom w:val="single" w:color="000000" w:sz="12" w:space="0"/>
              <w:right w:val="nil"/>
            </w:tcBorders>
            <w:shd w:val="clear" w:color="auto" w:fill="FFFFFF"/>
            <w:tcMar>
              <w:top w:w="120" w:type="dxa"/>
              <w:left w:w="192" w:type="dxa"/>
              <w:bottom w:w="120" w:type="dxa"/>
              <w:right w:w="0" w:type="dxa"/>
            </w:tcMar>
            <w:vAlign w:val="center"/>
          </w:tcPr>
          <w:p w14:paraId="36DABC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21"/>
                <w:lang w:val="en-US" w:eastAsia="zh-CN"/>
              </w:rPr>
            </w:pPr>
            <w:r>
              <w:rPr>
                <w:rFonts w:hint="default" w:ascii="Times New Roman" w:hAnsi="Times New Roman" w:eastAsia="仿宋_GB2312" w:cs="Times New Roman"/>
                <w:b w:val="0"/>
                <w:color w:val="000000"/>
                <w:sz w:val="18"/>
                <w:szCs w:val="21"/>
                <w:lang w:val="en-US" w:eastAsia="zh-CN"/>
              </w:rPr>
              <w:t>本标准在气候适应性的“显性化”和“体系化”表述上可进一步加强，但其核心技术措施本身已具备增强气候韧性的功能。</w:t>
            </w:r>
          </w:p>
        </w:tc>
      </w:tr>
    </w:tbl>
    <w:p w14:paraId="182EC21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b/>
          <w:bCs/>
          <w:sz w:val="24"/>
          <w:szCs w:val="32"/>
          <w:lang w:val="en-US" w:eastAsia="zh-CN"/>
        </w:rPr>
      </w:pPr>
      <w:r>
        <w:rPr>
          <w:rFonts w:hint="eastAsia" w:ascii="Times New Roman" w:hAnsi="Times New Roman" w:eastAsia="仿宋_GB2312" w:cs="Times New Roman"/>
          <w:b/>
          <w:bCs/>
          <w:sz w:val="24"/>
          <w:szCs w:val="32"/>
          <w:lang w:val="en-US" w:eastAsia="zh-CN"/>
        </w:rPr>
        <w:t>3.</w:t>
      </w:r>
      <w:r>
        <w:rPr>
          <w:rFonts w:hint="default" w:ascii="Times New Roman" w:hAnsi="Times New Roman" w:eastAsia="仿宋_GB2312" w:cs="Times New Roman"/>
          <w:b/>
          <w:bCs/>
          <w:sz w:val="24"/>
          <w:szCs w:val="32"/>
          <w:lang w:val="en-US" w:eastAsia="zh-CN"/>
        </w:rPr>
        <w:t>总体对比结论</w:t>
      </w:r>
    </w:p>
    <w:p w14:paraId="7F773F3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定位独特，优势互补： 本标准的定位与国际认证标准和主要生产国实践均不同。它兼具了技术手册的详尽性和行业标准的规范性，填补了介于“原则性认证标准”和“经验性技术推荐”之间的空白。</w:t>
      </w:r>
    </w:p>
    <w:p w14:paraId="4753605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技术内容达到国际先进水平： 本标准修订后，在绿色生产技术、质量安全控制、可追溯体系等方面，已经完全与国际先进理念接轨，甚至在技术措施的细化程度上更胜一筹。</w:t>
      </w:r>
    </w:p>
    <w:p w14:paraId="43DEBF0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更具操作性和推广价值： 对于中国乃至其他新兴咖啡产区的政府推广部门、合作社和大型农场而言，本标准提供的系统化、定量化技术方案，比原则性的国际认证标准更具直接的指导意义和可操作性，有利于在区域内快速推广标准化生产，提升整体产业水平。</w:t>
      </w:r>
    </w:p>
    <w:p w14:paraId="0008E15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体现了后发优势： 本标准汲取了世界咖啡生产几十年的经验教训，避免了“先污染后治理”的老路，在一开始就确立了“绿色、优质、高效”的高起点发展路径。总结论： 《咖啡栽培技术规程》修订稿是一部技术内容先进、体系完整、兼具中国特色与国际视野的现代农业技术标准。它不仅完全符合国际咖啡产业可持续发展的潮流，而且在技术的系统性和可操作性上形成了独特的优势，对中国咖啡产业提升国际竞争力、实现高质量发展具有重要的战略指导意义。</w:t>
      </w:r>
    </w:p>
    <w:p w14:paraId="097606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黑体" w:cs="Times New Roman"/>
          <w:bCs/>
          <w:kern w:val="44"/>
          <w:sz w:val="24"/>
          <w:szCs w:val="32"/>
        </w:rPr>
      </w:pPr>
      <w:r>
        <w:rPr>
          <w:rFonts w:hint="eastAsia" w:ascii="Times New Roman" w:hAnsi="Times New Roman" w:eastAsia="黑体" w:cs="Times New Roman"/>
          <w:bCs/>
          <w:kern w:val="44"/>
          <w:sz w:val="24"/>
          <w:szCs w:val="32"/>
        </w:rPr>
        <w:t>五、以国际标准为基础的起草情况，以及是否合规引用或者采用国际国外标准，并说明未采用国际标准的原因</w:t>
      </w:r>
    </w:p>
    <w:p w14:paraId="335D07D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本次《咖啡栽培技术规程》的修订工作，其起草基础首先立足于我国小粒种咖啡产区的具体生产实践、气候土壤条件及产业发展阶段。在此前提下，起草团队充分研究、参考和吸收了国际咖啡栽培的先进理念、科学原理和成功经验。</w:t>
      </w:r>
    </w:p>
    <w:p w14:paraId="0D45243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对待国际标准与国外规范的基本原则是：“参考其理念，消化其原理，但不盲目照搬其具体指标”，最终目标是制定出一部既符合国际现代农业发展趋势，又完全适应中国国情、具有高度可操作性的技术标准。</w:t>
      </w:r>
    </w:p>
    <w:p w14:paraId="175596D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b/>
          <w:bCs/>
          <w:sz w:val="24"/>
          <w:szCs w:val="32"/>
          <w:lang w:val="en-US" w:eastAsia="zh-CN"/>
        </w:rPr>
      </w:pPr>
      <w:r>
        <w:rPr>
          <w:rFonts w:hint="eastAsia" w:eastAsia="仿宋_GB2312" w:cs="Times New Roman"/>
          <w:b/>
          <w:bCs/>
          <w:sz w:val="24"/>
          <w:szCs w:val="32"/>
          <w:lang w:val="en-US" w:eastAsia="zh-CN"/>
        </w:rPr>
        <w:t>1.</w:t>
      </w:r>
      <w:r>
        <w:rPr>
          <w:rFonts w:hint="default" w:ascii="Times New Roman" w:hAnsi="Times New Roman" w:eastAsia="仿宋_GB2312" w:cs="Times New Roman"/>
          <w:b/>
          <w:bCs/>
          <w:sz w:val="24"/>
          <w:szCs w:val="32"/>
          <w:lang w:val="en-US" w:eastAsia="zh-CN"/>
        </w:rPr>
        <w:t xml:space="preserve"> 采用国际标准程度的说明</w:t>
      </w:r>
    </w:p>
    <w:p w14:paraId="3835588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根据《标准化工作指南 第21部分：采用国际标准》（GB/T 20000.21）的规定，采用国际标准（采标）的程度分为等同采用（IDT）、修改采用（MOD）、非等效（NEQ）。</w:t>
      </w:r>
    </w:p>
    <w:p w14:paraId="7BB7E07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经仔细核查与比对，本文件没有直接采用或修改采用任何特定的国际标准或国外标准作为起草的蓝本。因此，从严格意义上讲，本标准不属于“采标”标准。其与国际标准的关系更准确地定义为 “非等效（NEQ）” 或 “参考借鉴”。</w:t>
      </w:r>
    </w:p>
    <w:p w14:paraId="796B0D6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原因在于：国际上并不存在一个在技术内容、结构和目的上与本标准完全对应的、可供直接采用的国际标准。 国际通行的咖啡可持续标准（如雨林联盟、4C）是认证体系，而非中国语境下的生产技术规程。</w:t>
      </w:r>
    </w:p>
    <w:p w14:paraId="5A46B9C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b/>
          <w:bCs/>
          <w:sz w:val="24"/>
          <w:szCs w:val="32"/>
          <w:lang w:val="en-US" w:eastAsia="zh-CN"/>
        </w:rPr>
      </w:pPr>
      <w:r>
        <w:rPr>
          <w:rFonts w:hint="eastAsia" w:eastAsia="仿宋_GB2312" w:cs="Times New Roman"/>
          <w:b/>
          <w:bCs/>
          <w:sz w:val="24"/>
          <w:szCs w:val="32"/>
          <w:lang w:val="en-US" w:eastAsia="zh-CN"/>
        </w:rPr>
        <w:t>2.</w:t>
      </w:r>
      <w:r>
        <w:rPr>
          <w:rFonts w:hint="default" w:ascii="Times New Roman" w:hAnsi="Times New Roman" w:eastAsia="仿宋_GB2312" w:cs="Times New Roman"/>
          <w:b/>
          <w:bCs/>
          <w:sz w:val="24"/>
          <w:szCs w:val="32"/>
          <w:lang w:val="en-US" w:eastAsia="zh-CN"/>
        </w:rPr>
        <w:t>合规引用与间接采用国际先进理念的情况</w:t>
      </w:r>
    </w:p>
    <w:p w14:paraId="7DCC3B5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尽管未直接采标，但本标准在技术内容的确定上，高度合规地引用和间接采用了国际公认的科学原则和先进理念，并已将其转化为适应我国国情的技术要求。这主要体现在：</w:t>
      </w:r>
    </w:p>
    <w:p w14:paraId="485EC2F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对“可持续农业”理念的采纳与转化：</w:t>
      </w:r>
    </w:p>
    <w:p w14:paraId="7F4B39A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国际理念： 保护生态系统、减少化学投入、保障生产者福祉。</w:t>
      </w:r>
    </w:p>
    <w:p w14:paraId="7709AD5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本标准转化： 通过强制引用 GB 15618《土壤环境质量》、GB 5084《农田灌溉水质标准》 等国家级环境标准，将抽象的可持续理念转化为必须遵守的强制性技术指标。将肥料使用准则挂钩 NY/T 394《绿色食品 肥料使用准则》 ，实现了与国际有机/可持续标准相似的管理目标，但路径符合中国农业投入品管理体系。</w:t>
      </w:r>
    </w:p>
    <w:p w14:paraId="72D87E9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对“综合病虫害治理（IPM）”原则的采纳与细化：</w:t>
      </w:r>
    </w:p>
    <w:p w14:paraId="25D2234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国际原则： 优先采用农业、物理、生物防治，化学防治作为最后手段。</w:t>
      </w:r>
    </w:p>
    <w:p w14:paraId="25C85FF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本标准转化： 在“11.1 防治原则”中明确“以农业防治、物理防治和生物防治为主，药物防治为辅”。这完全符合IPM核心思想。同时，本标准提供了远比国际认证标准更具体、更细化的IPM技术措施，如修枝整形、种植荫蔽树、释放天敌、推荐特定生物农药等，使其从原则落地为可操作的技术步骤。</w:t>
      </w:r>
    </w:p>
    <w:p w14:paraId="6CF95DF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eastAsia="仿宋_GB2312" w:cs="Times New Roman"/>
          <w:b/>
          <w:bCs/>
          <w:sz w:val="24"/>
          <w:szCs w:val="32"/>
          <w:lang w:val="en-US" w:eastAsia="zh-CN"/>
        </w:rPr>
      </w:pPr>
      <w:r>
        <w:rPr>
          <w:rFonts w:hint="eastAsia" w:eastAsia="仿宋_GB2312" w:cs="Times New Roman"/>
          <w:b/>
          <w:bCs/>
          <w:sz w:val="24"/>
          <w:szCs w:val="32"/>
          <w:lang w:val="en-US" w:eastAsia="zh-CN"/>
        </w:rPr>
        <w:t>3.</w:t>
      </w:r>
      <w:r>
        <w:rPr>
          <w:rFonts w:hint="default" w:eastAsia="仿宋_GB2312" w:cs="Times New Roman"/>
          <w:b/>
          <w:bCs/>
          <w:sz w:val="24"/>
          <w:szCs w:val="32"/>
          <w:lang w:val="en-US" w:eastAsia="zh-CN"/>
        </w:rPr>
        <w:t>未直接采用国际标准具体技术指标的原因</w:t>
      </w:r>
    </w:p>
    <w:p w14:paraId="1666138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本标准未直接移植国际认证标准中的具体条款，主要基于以下国情适应性的考量：</w:t>
      </w:r>
    </w:p>
    <w:p w14:paraId="03CEB89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国际标准局限： 国际认证标准多为原则性要求，假设生产者已具备较高技术水平，需要自行制定管理计划。这不符合我国当前多数产区的技术推广需求。直接采用会导致标准“悬空”，无法有效落地。</w:t>
      </w:r>
    </w:p>
    <w:p w14:paraId="14A77F9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气候与地理条件差异：</w:t>
      </w:r>
    </w:p>
    <w:p w14:paraId="44CC0F9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国情： 中国咖啡产区（主要是云南）属于热带北缘和亚热带高原气候，与巴西、哥伦比亚等传统热带产区相比，具有冬季低温、季节性干旱更明显等特点。</w:t>
      </w:r>
    </w:p>
    <w:p w14:paraId="4AF88E8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国际经验不适用： 直接套用国外基于纯热带气候的栽培模式（如更低的种植密度、不同的物候期管理）是不科学的。因此，本标准中海拔上限的调整、荫蔽树的强调、水分管理的关键期设定等技术内容，均是针对中国独特气候条件的自主创新和适应性修订。</w:t>
      </w:r>
    </w:p>
    <w:p w14:paraId="1C1457A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农业生产管理体系差异：</w:t>
      </w:r>
    </w:p>
    <w:p w14:paraId="50F76C3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国情： 中国有完善的农技推广体系、特定的农药/肥料登记和管理制度。</w:t>
      </w:r>
    </w:p>
    <w:p w14:paraId="3158F82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国际标准不兼容： 国际认证标准的“禁用农药清单”与中国的农药登记目录可能不完全一致。盲目采用会导致合规性风险。本标准通过引用 GB/T 8321《农药合理使用准则》 等中国国家标准，确保了所有推荐措施都在中国法律法规框架内，具有绝对的合规性和可执行性。</w:t>
      </w:r>
    </w:p>
    <w:p w14:paraId="2F8F67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黑体" w:cs="Times New Roman"/>
          <w:bCs/>
          <w:kern w:val="44"/>
          <w:sz w:val="24"/>
          <w:szCs w:val="32"/>
        </w:rPr>
      </w:pPr>
      <w:r>
        <w:rPr>
          <w:rFonts w:hint="eastAsia" w:ascii="Times New Roman" w:hAnsi="Times New Roman" w:eastAsia="黑体" w:cs="Times New Roman"/>
          <w:bCs/>
          <w:kern w:val="44"/>
          <w:sz w:val="24"/>
          <w:szCs w:val="32"/>
        </w:rPr>
        <w:t>六、与有关法律、行政法规及相关标准的关系</w:t>
      </w:r>
    </w:p>
    <w:p w14:paraId="47128F1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本标准的修订严格遵循国家现行的法律法规，并与最新的国家、行业标准保持紧密衔接和协调，确保其内容合法、合规、先进、统一。</w:t>
      </w:r>
    </w:p>
    <w:p w14:paraId="4C86CF8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b/>
          <w:bCs/>
          <w:sz w:val="24"/>
          <w:szCs w:val="32"/>
          <w:lang w:val="en-US" w:eastAsia="zh-CN"/>
        </w:rPr>
      </w:pPr>
      <w:r>
        <w:rPr>
          <w:rFonts w:hint="eastAsia" w:eastAsia="仿宋_GB2312" w:cs="Times New Roman"/>
          <w:b/>
          <w:bCs/>
          <w:sz w:val="24"/>
          <w:szCs w:val="32"/>
          <w:lang w:val="en-US" w:eastAsia="zh-CN"/>
        </w:rPr>
        <w:t>1.</w:t>
      </w:r>
      <w:r>
        <w:rPr>
          <w:rFonts w:hint="default" w:ascii="Times New Roman" w:hAnsi="Times New Roman" w:eastAsia="仿宋_GB2312" w:cs="Times New Roman"/>
          <w:b/>
          <w:bCs/>
          <w:sz w:val="24"/>
          <w:szCs w:val="32"/>
          <w:lang w:val="en-US" w:eastAsia="zh-CN"/>
        </w:rPr>
        <w:t>与法律、行政法规的衔接协调</w:t>
      </w:r>
    </w:p>
    <w:p w14:paraId="7661DCF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本标准的内容完全符合国家在农业、环境、产品质量安全等方面的法律法规要求，是其在这些法律法规框架下于咖啡栽培专业领域的具体化和技术支撑。</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25"/>
        <w:gridCol w:w="6911"/>
      </w:tblGrid>
      <w:tr w14:paraId="5A6C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blHeader/>
        </w:trPr>
        <w:tc>
          <w:tcPr>
            <w:tcW w:w="2125" w:type="dxa"/>
            <w:tcBorders>
              <w:top w:val="single" w:color="000000" w:sz="12" w:space="0"/>
              <w:left w:val="nil"/>
              <w:bottom w:val="single" w:color="000000" w:sz="4" w:space="0"/>
              <w:right w:val="nil"/>
              <w:tl2br w:val="nil"/>
            </w:tcBorders>
            <w:shd w:val="clear" w:color="auto" w:fill="FFFFFF"/>
            <w:tcMar>
              <w:top w:w="120" w:type="dxa"/>
              <w:left w:w="0" w:type="dxa"/>
              <w:bottom w:w="120" w:type="dxa"/>
              <w:right w:w="192" w:type="dxa"/>
            </w:tcMar>
            <w:vAlign w:val="center"/>
          </w:tcPr>
          <w:p w14:paraId="3FFC8D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var(--dsw-font-markdown-table-h" w:hAnsi="var(--dsw-font-markdown-table-h" w:eastAsia="var(--dsw-font-markdown-table-h" w:cs="var(--dsw-font-markdown-table-h"/>
                <w:b w:val="0"/>
                <w:bCs/>
                <w:color w:val="000000"/>
                <w:sz w:val="18"/>
                <w:szCs w:val="18"/>
              </w:rPr>
            </w:pPr>
            <w:r>
              <w:rPr>
                <w:rFonts w:hint="default" w:ascii="var(--dsw-font-markdown-table-h" w:hAnsi="var(--dsw-font-markdown-table-h" w:eastAsia="var(--dsw-font-markdown-table-h" w:cs="var(--dsw-font-markdown-table-h"/>
                <w:b w:val="0"/>
                <w:bCs/>
                <w:color w:val="000000"/>
                <w:kern w:val="0"/>
                <w:sz w:val="18"/>
                <w:szCs w:val="18"/>
                <w:lang w:val="en-US" w:eastAsia="zh-CN" w:bidi="ar"/>
              </w:rPr>
              <w:t>法律法规名称</w:t>
            </w:r>
          </w:p>
        </w:tc>
        <w:tc>
          <w:tcPr>
            <w:tcW w:w="6911"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3DECE5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var(--dsw-font-markdown-table-h" w:hAnsi="var(--dsw-font-markdown-table-h" w:eastAsia="var(--dsw-font-markdown-table-h" w:cs="var(--dsw-font-markdown-table-h"/>
                <w:b w:val="0"/>
                <w:bCs/>
                <w:color w:val="000000"/>
                <w:sz w:val="18"/>
                <w:szCs w:val="18"/>
              </w:rPr>
            </w:pPr>
            <w:r>
              <w:rPr>
                <w:rFonts w:hint="default" w:ascii="var(--dsw-font-markdown-table-h" w:hAnsi="var(--dsw-font-markdown-table-h" w:eastAsia="var(--dsw-font-markdown-table-h" w:cs="var(--dsw-font-markdown-table-h"/>
                <w:b w:val="0"/>
                <w:bCs/>
                <w:color w:val="000000"/>
                <w:kern w:val="0"/>
                <w:sz w:val="18"/>
                <w:szCs w:val="18"/>
                <w:lang w:val="en-US" w:eastAsia="zh-CN" w:bidi="ar"/>
              </w:rPr>
              <w:t>与本标准的关系说明</w:t>
            </w:r>
          </w:p>
        </w:tc>
      </w:tr>
      <w:tr w14:paraId="3AEC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50" w:hRule="atLeast"/>
        </w:trPr>
        <w:tc>
          <w:tcPr>
            <w:tcW w:w="2125" w:type="dxa"/>
            <w:tcBorders>
              <w:top w:val="single" w:color="000000" w:sz="4" w:space="0"/>
              <w:left w:val="nil"/>
              <w:bottom w:val="nil"/>
              <w:right w:val="nil"/>
            </w:tcBorders>
            <w:shd w:val="clear" w:color="auto" w:fill="FFFFFF"/>
            <w:tcMar>
              <w:top w:w="120" w:type="dxa"/>
              <w:left w:w="0" w:type="dxa"/>
              <w:bottom w:w="120" w:type="dxa"/>
              <w:right w:w="192" w:type="dxa"/>
            </w:tcMar>
            <w:vAlign w:val="center"/>
          </w:tcPr>
          <w:p w14:paraId="4996D6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ascii="var(--dsw-font-markdown-table)" w:hAnsi="var(--dsw-font-markdown-table)" w:eastAsia="var(--dsw-font-markdown-table)" w:cs="var(--dsw-font-markdown-table)"/>
                <w:b w:val="0"/>
                <w:color w:val="000000"/>
                <w:sz w:val="18"/>
                <w:szCs w:val="18"/>
              </w:rPr>
            </w:pPr>
            <w:r>
              <w:rPr>
                <w:rFonts w:hint="default" w:ascii="Times New Roman" w:hAnsi="Times New Roman" w:eastAsia="仿宋_GB2312" w:cs="Times New Roman"/>
                <w:b w:val="0"/>
                <w:color w:val="000000"/>
                <w:sz w:val="18"/>
                <w:szCs w:val="18"/>
                <w:lang w:val="en-US" w:eastAsia="zh-CN"/>
              </w:rPr>
              <w:t>《中华人民共和国农产品质量安全法》</w:t>
            </w:r>
          </w:p>
        </w:tc>
        <w:tc>
          <w:tcPr>
            <w:tcW w:w="6911" w:type="dxa"/>
            <w:tcBorders>
              <w:top w:val="single" w:color="000000" w:sz="4" w:space="0"/>
              <w:left w:val="nil"/>
              <w:bottom w:val="nil"/>
              <w:right w:val="nil"/>
            </w:tcBorders>
            <w:shd w:val="clear" w:color="auto" w:fill="FFFFFF"/>
            <w:tcMar>
              <w:top w:w="120" w:type="dxa"/>
              <w:left w:w="192" w:type="dxa"/>
              <w:bottom w:w="120" w:type="dxa"/>
              <w:right w:w="0" w:type="dxa"/>
            </w:tcMar>
            <w:vAlign w:val="center"/>
          </w:tcPr>
          <w:p w14:paraId="0A10BB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var(--dsw-font-markdown-table)" w:hAnsi="var(--dsw-font-markdown-table)" w:eastAsia="var(--dsw-font-markdown-table)" w:cs="var(--dsw-font-markdown-table)"/>
                <w:b w:val="0"/>
                <w:color w:val="000000"/>
                <w:sz w:val="18"/>
                <w:szCs w:val="18"/>
              </w:rPr>
            </w:pPr>
            <w:r>
              <w:rPr>
                <w:rFonts w:hint="default" w:ascii="Times New Roman" w:hAnsi="Times New Roman" w:eastAsia="仿宋_GB2312" w:cs="Times New Roman"/>
                <w:b w:val="0"/>
                <w:color w:val="000000"/>
                <w:sz w:val="18"/>
                <w:szCs w:val="18"/>
                <w:lang w:val="en-US" w:eastAsia="zh-CN"/>
              </w:rPr>
              <w:t>本标准是此法在咖啡产品生产环节的具体技术落实。标准中关于产地环境要求、农药肥料合理使用、病虫害绿色防控、建立生产记录档案等全部技术内容，均旨在从源头上保障咖啡豆的质量安全，完全符合该法的立法精神与核心要求。</w:t>
            </w:r>
          </w:p>
        </w:tc>
      </w:tr>
      <w:tr w14:paraId="73C09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25" w:type="dxa"/>
            <w:tcBorders>
              <w:top w:val="nil"/>
              <w:left w:val="nil"/>
              <w:bottom w:val="nil"/>
              <w:right w:val="nil"/>
            </w:tcBorders>
            <w:shd w:val="clear" w:color="auto" w:fill="FFFFFF"/>
            <w:tcMar>
              <w:top w:w="120" w:type="dxa"/>
              <w:left w:w="0" w:type="dxa"/>
              <w:bottom w:w="120" w:type="dxa"/>
              <w:right w:w="192" w:type="dxa"/>
            </w:tcMar>
            <w:vAlign w:val="center"/>
          </w:tcPr>
          <w:p w14:paraId="2B4B0E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《中华人民共和国标准化法》</w:t>
            </w:r>
          </w:p>
        </w:tc>
        <w:tc>
          <w:tcPr>
            <w:tcW w:w="6911" w:type="dxa"/>
            <w:tcBorders>
              <w:top w:val="nil"/>
              <w:left w:val="nil"/>
              <w:bottom w:val="nil"/>
              <w:right w:val="nil"/>
            </w:tcBorders>
            <w:shd w:val="clear" w:color="auto" w:fill="FFFFFF"/>
            <w:tcMar>
              <w:top w:w="120" w:type="dxa"/>
              <w:left w:w="192" w:type="dxa"/>
              <w:bottom w:w="120" w:type="dxa"/>
              <w:right w:w="0" w:type="dxa"/>
            </w:tcMar>
            <w:vAlign w:val="center"/>
          </w:tcPr>
          <w:p w14:paraId="7DF59F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var(--dsw-font-markdown-table)" w:hAnsi="var(--dsw-font-markdown-table)" w:eastAsia="var(--dsw-font-markdown-table)" w:cs="var(--dsw-font-markdown-table)"/>
                <w:b w:val="0"/>
                <w:color w:val="000000"/>
                <w:sz w:val="18"/>
                <w:szCs w:val="18"/>
              </w:rPr>
            </w:pPr>
            <w:r>
              <w:rPr>
                <w:rFonts w:hint="default" w:ascii="Times New Roman" w:hAnsi="Times New Roman" w:eastAsia="仿宋_GB2312" w:cs="Times New Roman"/>
                <w:b w:val="0"/>
                <w:color w:val="000000"/>
                <w:sz w:val="18"/>
                <w:szCs w:val="18"/>
                <w:lang w:val="en-US" w:eastAsia="zh-CN"/>
              </w:rPr>
              <w:t>本标准的制定、修订过程及内容均符合该法规定。标准的技术要求符合保障人身健康和生命财产安全、生态环境安全的要求，属于该法规定的需要制定强制性标准范围之外的、适用于行业发展的推荐性农业技术标准。</w:t>
            </w:r>
          </w:p>
        </w:tc>
      </w:tr>
      <w:tr w14:paraId="479D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25" w:type="dxa"/>
            <w:tcBorders>
              <w:top w:val="nil"/>
              <w:left w:val="nil"/>
              <w:bottom w:val="nil"/>
              <w:right w:val="nil"/>
            </w:tcBorders>
            <w:shd w:val="clear" w:color="auto" w:fill="FFFFFF"/>
            <w:tcMar>
              <w:top w:w="120" w:type="dxa"/>
              <w:left w:w="0" w:type="dxa"/>
              <w:bottom w:w="120" w:type="dxa"/>
              <w:right w:w="192" w:type="dxa"/>
            </w:tcMar>
            <w:vAlign w:val="center"/>
          </w:tcPr>
          <w:p w14:paraId="7CD04B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《中华人民共和国环境保护法》</w:t>
            </w:r>
          </w:p>
        </w:tc>
        <w:tc>
          <w:tcPr>
            <w:tcW w:w="6911" w:type="dxa"/>
            <w:tcBorders>
              <w:top w:val="nil"/>
              <w:left w:val="nil"/>
              <w:bottom w:val="nil"/>
              <w:right w:val="nil"/>
            </w:tcBorders>
            <w:shd w:val="clear" w:color="auto" w:fill="FFFFFF"/>
            <w:tcMar>
              <w:top w:w="120" w:type="dxa"/>
              <w:left w:w="192" w:type="dxa"/>
              <w:bottom w:w="120" w:type="dxa"/>
              <w:right w:w="0" w:type="dxa"/>
            </w:tcMar>
            <w:vAlign w:val="center"/>
          </w:tcPr>
          <w:p w14:paraId="7DC561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var(--dsw-font-markdown-table)" w:hAnsi="var(--dsw-font-markdown-table)" w:eastAsia="var(--dsw-font-markdown-table)" w:cs="var(--dsw-font-markdown-table)"/>
                <w:b w:val="0"/>
                <w:color w:val="000000"/>
                <w:sz w:val="18"/>
                <w:szCs w:val="18"/>
              </w:rPr>
            </w:pPr>
            <w:r>
              <w:rPr>
                <w:rFonts w:hint="default" w:ascii="Times New Roman" w:hAnsi="Times New Roman" w:eastAsia="仿宋_GB2312" w:cs="Times New Roman"/>
                <w:b w:val="0"/>
                <w:color w:val="000000"/>
                <w:sz w:val="18"/>
                <w:szCs w:val="18"/>
                <w:lang w:val="en-US" w:eastAsia="zh-CN"/>
              </w:rPr>
              <w:t>标准中关于园地规划（防护林、水土保持）、土壤管理（禁用有害污泥、垃圾）、施肥管理（平衡施肥减量）、病虫害防治（优先非化学措施）等条款，均体现了保护生态环境、防治污染的要求，是环保法在农业种植领域的具体实践。</w:t>
            </w:r>
          </w:p>
        </w:tc>
      </w:tr>
      <w:tr w14:paraId="117F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125" w:type="dxa"/>
            <w:tcBorders>
              <w:top w:val="nil"/>
              <w:left w:val="nil"/>
              <w:bottom w:val="single" w:color="000000" w:sz="12" w:space="0"/>
              <w:right w:val="nil"/>
            </w:tcBorders>
            <w:shd w:val="clear" w:color="auto" w:fill="FFFFFF"/>
            <w:tcMar>
              <w:top w:w="120" w:type="dxa"/>
              <w:left w:w="0" w:type="dxa"/>
              <w:bottom w:w="120" w:type="dxa"/>
              <w:right w:w="192" w:type="dxa"/>
            </w:tcMar>
            <w:vAlign w:val="center"/>
          </w:tcPr>
          <w:p w14:paraId="21F7F0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《农药管理条例》</w:t>
            </w:r>
          </w:p>
        </w:tc>
        <w:tc>
          <w:tcPr>
            <w:tcW w:w="6911" w:type="dxa"/>
            <w:tcBorders>
              <w:top w:val="nil"/>
              <w:left w:val="nil"/>
              <w:bottom w:val="single" w:color="000000" w:sz="12" w:space="0"/>
              <w:right w:val="nil"/>
            </w:tcBorders>
            <w:shd w:val="clear" w:color="auto" w:fill="FFFFFF"/>
            <w:tcMar>
              <w:top w:w="120" w:type="dxa"/>
              <w:left w:w="192" w:type="dxa"/>
              <w:bottom w:w="120" w:type="dxa"/>
              <w:right w:w="0" w:type="dxa"/>
            </w:tcMar>
            <w:vAlign w:val="center"/>
          </w:tcPr>
          <w:p w14:paraId="7536C93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标准第11章“病虫害防治”中严格规定农药使用需符合GB/T 8321和GB 4285，并“禁止使用剧毒、高毒、高残留的农药”，这完全遵循了该条例对农药安全、合理使用的强制性规定。</w:t>
            </w:r>
          </w:p>
        </w:tc>
      </w:tr>
    </w:tbl>
    <w:p w14:paraId="4A410F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_GB2312" w:cs="Times New Roman"/>
          <w:b/>
          <w:bCs/>
          <w:sz w:val="24"/>
          <w:szCs w:val="32"/>
          <w:lang w:val="en-US" w:eastAsia="zh-CN"/>
        </w:rPr>
      </w:pPr>
      <w:r>
        <w:rPr>
          <w:rFonts w:hint="eastAsia" w:eastAsia="仿宋_GB2312" w:cs="Times New Roman"/>
          <w:b/>
          <w:bCs/>
          <w:sz w:val="24"/>
          <w:szCs w:val="32"/>
          <w:lang w:val="en-US" w:eastAsia="zh-CN"/>
        </w:rPr>
        <w:t>2.</w:t>
      </w:r>
      <w:r>
        <w:rPr>
          <w:rFonts w:hint="default" w:ascii="Times New Roman" w:hAnsi="Times New Roman" w:eastAsia="仿宋_GB2312" w:cs="Times New Roman"/>
          <w:b/>
          <w:bCs/>
          <w:sz w:val="24"/>
          <w:szCs w:val="32"/>
          <w:lang w:val="en-US" w:eastAsia="zh-CN"/>
        </w:rPr>
        <w:t>与相关标准的衔接协调</w:t>
      </w:r>
    </w:p>
    <w:p w14:paraId="33532D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本标准与一系列最新的国家、行业标准进行了有效衔接，通过规范性引用和内容协调，共同构成了一个完整、协调的咖啡产业标准体系。</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95"/>
        <w:gridCol w:w="3480"/>
        <w:gridCol w:w="4061"/>
      </w:tblGrid>
      <w:tr w14:paraId="7F6F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1495" w:type="dxa"/>
            <w:tcBorders>
              <w:top w:val="single" w:color="000000" w:sz="12" w:space="0"/>
              <w:left w:val="nil"/>
              <w:bottom w:val="single" w:color="000000" w:sz="4" w:space="0"/>
              <w:right w:val="nil"/>
              <w:tl2br w:val="nil"/>
            </w:tcBorders>
            <w:shd w:val="clear" w:color="auto" w:fill="FFFFFF"/>
            <w:tcMar>
              <w:top w:w="120" w:type="dxa"/>
              <w:left w:w="0" w:type="dxa"/>
              <w:bottom w:w="120" w:type="dxa"/>
              <w:right w:w="192" w:type="dxa"/>
            </w:tcMar>
            <w:vAlign w:val="center"/>
          </w:tcPr>
          <w:p w14:paraId="5ACC585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标准类型</w:t>
            </w:r>
          </w:p>
        </w:tc>
        <w:tc>
          <w:tcPr>
            <w:tcW w:w="3480"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087532A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标准名称及编号</w:t>
            </w:r>
          </w:p>
        </w:tc>
        <w:tc>
          <w:tcPr>
            <w:tcW w:w="4061" w:type="dxa"/>
            <w:tcBorders>
              <w:top w:val="single" w:color="000000" w:sz="12" w:space="0"/>
              <w:left w:val="nil"/>
              <w:bottom w:val="single" w:color="000000" w:sz="4" w:space="0"/>
              <w:right w:val="nil"/>
            </w:tcBorders>
            <w:shd w:val="clear" w:color="auto" w:fill="FFFFFF"/>
            <w:tcMar>
              <w:top w:w="120" w:type="dxa"/>
              <w:left w:w="192" w:type="dxa"/>
              <w:bottom w:w="120" w:type="dxa"/>
              <w:right w:w="192" w:type="dxa"/>
            </w:tcMar>
            <w:vAlign w:val="center"/>
          </w:tcPr>
          <w:p w14:paraId="277304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与本标准的关系说明</w:t>
            </w:r>
          </w:p>
        </w:tc>
      </w:tr>
      <w:tr w14:paraId="37DE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95" w:type="dxa"/>
            <w:tcBorders>
              <w:top w:val="single" w:color="000000" w:sz="4" w:space="0"/>
              <w:left w:val="nil"/>
              <w:bottom w:val="nil"/>
              <w:right w:val="nil"/>
            </w:tcBorders>
            <w:shd w:val="clear" w:color="auto" w:fill="FFFFFF"/>
            <w:tcMar>
              <w:top w:w="120" w:type="dxa"/>
              <w:left w:w="0" w:type="dxa"/>
              <w:bottom w:w="120" w:type="dxa"/>
              <w:right w:w="192" w:type="dxa"/>
            </w:tcMar>
            <w:vAlign w:val="center"/>
          </w:tcPr>
          <w:p w14:paraId="00EAD9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强制性国家标准（直接引用）</w:t>
            </w:r>
          </w:p>
        </w:tc>
        <w:tc>
          <w:tcPr>
            <w:tcW w:w="3480" w:type="dxa"/>
            <w:tcBorders>
              <w:top w:val="single" w:color="000000" w:sz="4" w:space="0"/>
              <w:left w:val="nil"/>
              <w:bottom w:val="nil"/>
              <w:right w:val="nil"/>
            </w:tcBorders>
            <w:shd w:val="clear" w:color="auto" w:fill="FFFFFF"/>
            <w:tcMar>
              <w:top w:w="120" w:type="dxa"/>
              <w:left w:w="192" w:type="dxa"/>
              <w:bottom w:w="120" w:type="dxa"/>
              <w:right w:w="192" w:type="dxa"/>
            </w:tcMar>
            <w:vAlign w:val="center"/>
          </w:tcPr>
          <w:p w14:paraId="591208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GB 15618 土壤环境质量 农用地土壤污染风险管控标准</w:t>
            </w:r>
            <w:r>
              <w:rPr>
                <w:rFonts w:hint="default" w:ascii="Times New Roman" w:hAnsi="Times New Roman" w:eastAsia="仿宋_GB2312" w:cs="Times New Roman"/>
                <w:b w:val="0"/>
                <w:color w:val="000000"/>
                <w:sz w:val="18"/>
                <w:szCs w:val="18"/>
                <w:lang w:val="en-US" w:eastAsia="zh-CN"/>
              </w:rPr>
              <w:br w:type="textWrapping"/>
            </w:r>
            <w:r>
              <w:rPr>
                <w:rFonts w:hint="default" w:ascii="Times New Roman" w:hAnsi="Times New Roman" w:eastAsia="仿宋_GB2312" w:cs="Times New Roman"/>
                <w:b w:val="0"/>
                <w:color w:val="000000"/>
                <w:sz w:val="18"/>
                <w:szCs w:val="18"/>
                <w:lang w:val="en-US" w:eastAsia="zh-CN"/>
              </w:rPr>
              <w:t>GB 5084 农田灌溉水质标准</w:t>
            </w:r>
            <w:r>
              <w:rPr>
                <w:rFonts w:hint="default" w:ascii="Times New Roman" w:hAnsi="Times New Roman" w:eastAsia="仿宋_GB2312" w:cs="Times New Roman"/>
                <w:b w:val="0"/>
                <w:color w:val="000000"/>
                <w:sz w:val="18"/>
                <w:szCs w:val="18"/>
                <w:lang w:val="en-US" w:eastAsia="zh-CN"/>
              </w:rPr>
              <w:br w:type="textWrapping"/>
            </w:r>
            <w:r>
              <w:rPr>
                <w:rFonts w:hint="default" w:ascii="Times New Roman" w:hAnsi="Times New Roman" w:eastAsia="仿宋_GB2312" w:cs="Times New Roman"/>
                <w:b w:val="0"/>
                <w:color w:val="000000"/>
                <w:sz w:val="18"/>
                <w:szCs w:val="18"/>
                <w:lang w:val="en-US" w:eastAsia="zh-CN"/>
              </w:rPr>
              <w:t>GB 3095 环境空气质量标准</w:t>
            </w:r>
          </w:p>
        </w:tc>
        <w:tc>
          <w:tcPr>
            <w:tcW w:w="4061" w:type="dxa"/>
            <w:tcBorders>
              <w:top w:val="single" w:color="000000" w:sz="4" w:space="0"/>
              <w:left w:val="nil"/>
              <w:bottom w:val="nil"/>
              <w:right w:val="nil"/>
            </w:tcBorders>
            <w:shd w:val="clear" w:color="auto" w:fill="FFFFFF"/>
            <w:tcMar>
              <w:top w:w="120" w:type="dxa"/>
              <w:left w:w="192" w:type="dxa"/>
              <w:bottom w:w="120" w:type="dxa"/>
              <w:right w:w="0" w:type="dxa"/>
            </w:tcMar>
            <w:vAlign w:val="center"/>
          </w:tcPr>
          <w:p w14:paraId="6725A1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本标准在“4.4 环境条件”中明确要求园地环境必须符合这些强制性国家标准。这确保了标准从源头上与国家最严格的环境保护要求保持强制性的衔接和协调，是标准合规性的基石。</w:t>
            </w:r>
          </w:p>
        </w:tc>
      </w:tr>
      <w:tr w14:paraId="423B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95" w:type="dxa"/>
            <w:tcBorders>
              <w:top w:val="nil"/>
              <w:left w:val="nil"/>
              <w:bottom w:val="nil"/>
              <w:right w:val="nil"/>
            </w:tcBorders>
            <w:shd w:val="clear" w:color="auto" w:fill="FFFFFF"/>
            <w:tcMar>
              <w:top w:w="120" w:type="dxa"/>
              <w:left w:w="0" w:type="dxa"/>
              <w:bottom w:w="120" w:type="dxa"/>
              <w:right w:w="192" w:type="dxa"/>
            </w:tcMar>
            <w:vAlign w:val="center"/>
          </w:tcPr>
          <w:p w14:paraId="09E4C0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产品标准（引用）</w:t>
            </w:r>
          </w:p>
        </w:tc>
        <w:tc>
          <w:tcPr>
            <w:tcW w:w="3480" w:type="dxa"/>
            <w:tcBorders>
              <w:top w:val="nil"/>
              <w:left w:val="nil"/>
              <w:bottom w:val="nil"/>
              <w:right w:val="nil"/>
            </w:tcBorders>
            <w:shd w:val="clear" w:color="auto" w:fill="FFFFFF"/>
            <w:tcMar>
              <w:top w:w="120" w:type="dxa"/>
              <w:left w:w="192" w:type="dxa"/>
              <w:bottom w:w="120" w:type="dxa"/>
              <w:right w:w="192" w:type="dxa"/>
            </w:tcMar>
            <w:vAlign w:val="center"/>
          </w:tcPr>
          <w:p w14:paraId="7563535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NY/T 358 咖啡 种子种苗</w:t>
            </w:r>
            <w:r>
              <w:rPr>
                <w:rFonts w:hint="default" w:ascii="Times New Roman" w:hAnsi="Times New Roman" w:eastAsia="仿宋_GB2312" w:cs="Times New Roman"/>
                <w:b w:val="0"/>
                <w:color w:val="000000"/>
                <w:sz w:val="18"/>
                <w:szCs w:val="18"/>
                <w:lang w:val="en-US" w:eastAsia="zh-CN"/>
              </w:rPr>
              <w:br w:type="textWrapping"/>
            </w:r>
            <w:r>
              <w:rPr>
                <w:rFonts w:hint="default" w:ascii="Times New Roman" w:hAnsi="Times New Roman" w:eastAsia="仿宋_GB2312" w:cs="Times New Roman"/>
                <w:b w:val="0"/>
                <w:color w:val="000000"/>
                <w:sz w:val="18"/>
                <w:szCs w:val="18"/>
                <w:lang w:val="en-US" w:eastAsia="zh-CN"/>
              </w:rPr>
              <w:t>NY/T 394 绿色食品 肥料使用准则</w:t>
            </w:r>
          </w:p>
        </w:tc>
        <w:tc>
          <w:tcPr>
            <w:tcW w:w="4061" w:type="dxa"/>
            <w:tcBorders>
              <w:top w:val="nil"/>
              <w:left w:val="nil"/>
              <w:bottom w:val="nil"/>
              <w:right w:val="nil"/>
            </w:tcBorders>
            <w:shd w:val="clear" w:color="auto" w:fill="FFFFFF"/>
            <w:tcMar>
              <w:top w:w="120" w:type="dxa"/>
              <w:left w:w="192" w:type="dxa"/>
              <w:bottom w:w="120" w:type="dxa"/>
              <w:right w:w="0" w:type="dxa"/>
            </w:tcMar>
            <w:vAlign w:val="center"/>
          </w:tcPr>
          <w:p w14:paraId="4288A3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本标准在“7.5 苗木选择”和“8.2.1 施肥原则”中分别引用这些标准。这保证了投入品（种苗、肥料）的质量和安全与本标准的技术要求协调一致，形成了从投入到产出的完整标准链。</w:t>
            </w:r>
          </w:p>
        </w:tc>
      </w:tr>
      <w:tr w14:paraId="56BA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95" w:type="dxa"/>
            <w:tcBorders>
              <w:top w:val="nil"/>
              <w:left w:val="nil"/>
              <w:bottom w:val="nil"/>
              <w:right w:val="nil"/>
            </w:tcBorders>
            <w:shd w:val="clear" w:color="auto" w:fill="FFFFFF"/>
            <w:tcMar>
              <w:top w:w="120" w:type="dxa"/>
              <w:left w:w="0" w:type="dxa"/>
              <w:bottom w:w="120" w:type="dxa"/>
              <w:right w:w="192" w:type="dxa"/>
            </w:tcMar>
            <w:vAlign w:val="center"/>
          </w:tcPr>
          <w:p w14:paraId="734DBE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产品与加工标准（引用）</w:t>
            </w:r>
          </w:p>
        </w:tc>
        <w:tc>
          <w:tcPr>
            <w:tcW w:w="3480" w:type="dxa"/>
            <w:tcBorders>
              <w:top w:val="nil"/>
              <w:left w:val="nil"/>
              <w:bottom w:val="nil"/>
              <w:right w:val="nil"/>
            </w:tcBorders>
            <w:shd w:val="clear" w:color="auto" w:fill="FFFFFF"/>
            <w:tcMar>
              <w:top w:w="120" w:type="dxa"/>
              <w:left w:w="192" w:type="dxa"/>
              <w:bottom w:w="120" w:type="dxa"/>
              <w:right w:w="192" w:type="dxa"/>
            </w:tcMar>
            <w:vAlign w:val="center"/>
          </w:tcPr>
          <w:p w14:paraId="23F811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NY/T 604 生咖啡</w:t>
            </w:r>
            <w:r>
              <w:rPr>
                <w:rFonts w:hint="default" w:ascii="Times New Roman" w:hAnsi="Times New Roman" w:eastAsia="仿宋_GB2312" w:cs="Times New Roman"/>
                <w:b w:val="0"/>
                <w:color w:val="000000"/>
                <w:sz w:val="18"/>
                <w:szCs w:val="18"/>
                <w:lang w:val="en-US" w:eastAsia="zh-CN"/>
              </w:rPr>
              <w:br w:type="textWrapping"/>
            </w:r>
            <w:r>
              <w:rPr>
                <w:rFonts w:hint="default" w:ascii="Times New Roman" w:hAnsi="Times New Roman" w:eastAsia="仿宋_GB2312" w:cs="Times New Roman"/>
                <w:b w:val="0"/>
                <w:color w:val="000000"/>
                <w:sz w:val="18"/>
                <w:szCs w:val="18"/>
                <w:lang w:val="en-US" w:eastAsia="zh-CN"/>
              </w:rPr>
              <w:t>NY/T 606 小粒种咖啡初加工技术规范</w:t>
            </w:r>
          </w:p>
        </w:tc>
        <w:tc>
          <w:tcPr>
            <w:tcW w:w="4061" w:type="dxa"/>
            <w:tcBorders>
              <w:top w:val="nil"/>
              <w:left w:val="nil"/>
              <w:bottom w:val="nil"/>
              <w:right w:val="nil"/>
            </w:tcBorders>
            <w:shd w:val="clear" w:color="auto" w:fill="FFFFFF"/>
            <w:tcMar>
              <w:top w:w="120" w:type="dxa"/>
              <w:left w:w="192" w:type="dxa"/>
              <w:bottom w:w="120" w:type="dxa"/>
              <w:right w:w="0" w:type="dxa"/>
            </w:tcMar>
            <w:vAlign w:val="center"/>
          </w:tcPr>
          <w:p w14:paraId="4A51D3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本标准在“12 采收、加工、分级、包装...”中直接引用这些标准。这明确了本标准专注于田间栽培环节，其产出的咖啡鲜果和豆子的后续处理、分级、包装等，遵循已有的专门标准，实现了产业链各环节标准的明确分工和紧密协作。</w:t>
            </w:r>
          </w:p>
        </w:tc>
      </w:tr>
      <w:tr w14:paraId="5A78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95" w:type="dxa"/>
            <w:tcBorders>
              <w:top w:val="nil"/>
              <w:left w:val="nil"/>
              <w:bottom w:val="single" w:color="000000" w:sz="12" w:space="0"/>
              <w:right w:val="nil"/>
            </w:tcBorders>
            <w:shd w:val="clear" w:color="auto" w:fill="FFFFFF"/>
            <w:tcMar>
              <w:top w:w="120" w:type="dxa"/>
              <w:left w:w="0" w:type="dxa"/>
              <w:bottom w:w="120" w:type="dxa"/>
              <w:right w:w="192" w:type="dxa"/>
            </w:tcMar>
            <w:vAlign w:val="center"/>
          </w:tcPr>
          <w:p w14:paraId="7D59F1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协调一致的同类标准</w:t>
            </w:r>
          </w:p>
        </w:tc>
        <w:tc>
          <w:tcPr>
            <w:tcW w:w="3480" w:type="dxa"/>
            <w:tcBorders>
              <w:top w:val="nil"/>
              <w:left w:val="nil"/>
              <w:bottom w:val="single" w:color="000000" w:sz="12" w:space="0"/>
              <w:right w:val="nil"/>
            </w:tcBorders>
            <w:shd w:val="clear" w:color="auto" w:fill="FFFFFF"/>
            <w:tcMar>
              <w:top w:w="120" w:type="dxa"/>
              <w:left w:w="192" w:type="dxa"/>
              <w:bottom w:w="120" w:type="dxa"/>
              <w:right w:w="192" w:type="dxa"/>
            </w:tcMar>
            <w:vAlign w:val="center"/>
          </w:tcPr>
          <w:p w14:paraId="3D8CB7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NY/T 5295 无公害农产品 产地环境评价准则</w:t>
            </w:r>
          </w:p>
        </w:tc>
        <w:tc>
          <w:tcPr>
            <w:tcW w:w="4061" w:type="dxa"/>
            <w:tcBorders>
              <w:top w:val="nil"/>
              <w:left w:val="nil"/>
              <w:bottom w:val="single" w:color="000000" w:sz="12" w:space="0"/>
              <w:right w:val="nil"/>
            </w:tcBorders>
            <w:shd w:val="clear" w:color="auto" w:fill="FFFFFF"/>
            <w:tcMar>
              <w:top w:w="120" w:type="dxa"/>
              <w:left w:w="192" w:type="dxa"/>
              <w:bottom w:w="120" w:type="dxa"/>
              <w:right w:w="0" w:type="dxa"/>
            </w:tcMar>
            <w:vAlign w:val="center"/>
          </w:tcPr>
          <w:p w14:paraId="480B39F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color w:val="000000"/>
                <w:sz w:val="18"/>
                <w:szCs w:val="18"/>
                <w:lang w:val="en-US" w:eastAsia="zh-CN"/>
              </w:rPr>
            </w:pPr>
            <w:r>
              <w:rPr>
                <w:rFonts w:hint="default" w:ascii="Times New Roman" w:hAnsi="Times New Roman" w:eastAsia="仿宋_GB2312" w:cs="Times New Roman"/>
                <w:b w:val="0"/>
                <w:color w:val="000000"/>
                <w:sz w:val="18"/>
                <w:szCs w:val="18"/>
                <w:lang w:val="en-US" w:eastAsia="zh-CN"/>
              </w:rPr>
              <w:t>本标准在环境评价方法上与之协调，共同支撑产地环境的安全性评价。</w:t>
            </w:r>
          </w:p>
        </w:tc>
      </w:tr>
    </w:tbl>
    <w:p w14:paraId="18522D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仿宋_GB2312" w:cs="Times New Roman"/>
          <w:b/>
          <w:bCs/>
          <w:sz w:val="24"/>
          <w:szCs w:val="32"/>
          <w:lang w:val="en-US" w:eastAsia="zh-CN"/>
        </w:rPr>
      </w:pPr>
      <w:r>
        <w:rPr>
          <w:rFonts w:hint="eastAsia" w:eastAsia="仿宋_GB2312" w:cs="Times New Roman"/>
          <w:b/>
          <w:bCs/>
          <w:sz w:val="24"/>
          <w:szCs w:val="32"/>
          <w:lang w:val="en-US" w:eastAsia="zh-CN"/>
        </w:rPr>
        <w:t>3.</w:t>
      </w:r>
      <w:r>
        <w:rPr>
          <w:rFonts w:hint="default" w:eastAsia="仿宋_GB2312" w:cs="Times New Roman"/>
          <w:b/>
          <w:bCs/>
          <w:sz w:val="24"/>
          <w:szCs w:val="32"/>
          <w:lang w:val="en-US" w:eastAsia="zh-CN"/>
        </w:rPr>
        <w:t>协调性结论</w:t>
      </w:r>
    </w:p>
    <w:p w14:paraId="136F500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rPr>
      </w:pPr>
      <w:r>
        <w:rPr>
          <w:rFonts w:hint="default" w:ascii="Times New Roman" w:hAnsi="Times New Roman" w:eastAsia="仿宋_GB2312" w:cs="Times New Roman"/>
          <w:sz w:val="24"/>
          <w:szCs w:val="32"/>
        </w:rPr>
        <w:t>合法性： 本标准所有技术内容均在国家法律法规的框架内制定，无任何与之冲突的条款。</w:t>
      </w:r>
    </w:p>
    <w:p w14:paraId="245D623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rPr>
      </w:pPr>
      <w:r>
        <w:rPr>
          <w:rFonts w:hint="default" w:ascii="Times New Roman" w:hAnsi="Times New Roman" w:eastAsia="仿宋_GB2312" w:cs="Times New Roman"/>
          <w:sz w:val="24"/>
          <w:szCs w:val="32"/>
        </w:rPr>
        <w:t>系统性： 通过规范性引用，本标准与上下游标准（从种苗、肥料到加工、产品）形成了有机的整体，共同构成了支撑咖啡产业高质量发展的标准体系。</w:t>
      </w:r>
    </w:p>
    <w:p w14:paraId="3011E62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rPr>
      </w:pPr>
      <w:r>
        <w:rPr>
          <w:rFonts w:hint="default" w:ascii="Times New Roman" w:hAnsi="Times New Roman" w:eastAsia="仿宋_GB2312" w:cs="Times New Roman"/>
          <w:sz w:val="24"/>
          <w:szCs w:val="32"/>
        </w:rPr>
        <w:t>先进性： 引用的均为现行有效的最新版本标准（如NY/T 394-2023），确保了本标准技术要求的时效性和先进性。</w:t>
      </w:r>
    </w:p>
    <w:p w14:paraId="76D030F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rPr>
      </w:pPr>
      <w:r>
        <w:rPr>
          <w:rFonts w:hint="default" w:ascii="Times New Roman" w:hAnsi="Times New Roman" w:eastAsia="仿宋_GB2312" w:cs="Times New Roman"/>
          <w:sz w:val="24"/>
          <w:szCs w:val="32"/>
        </w:rPr>
        <w:t>互补性： 本标准聚焦于“栽培技术”，与引用的环境标准、产品标准、加工标准等各有侧重，互为补充，避免了交叉重复和潜在矛盾。</w:t>
      </w:r>
    </w:p>
    <w:p w14:paraId="04A92C5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综上所述，《咖啡栽培技术规程》（修订稿）与现行的法律、行政法规及相关标准体系衔接紧密、协调一致，其发布和实施将进一步健全和完善我国咖啡产业的标准体系。</w:t>
      </w:r>
    </w:p>
    <w:p w14:paraId="43E704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黑体" w:cs="Times New Roman"/>
          <w:bCs/>
          <w:kern w:val="44"/>
          <w:sz w:val="24"/>
          <w:szCs w:val="32"/>
        </w:rPr>
      </w:pPr>
      <w:r>
        <w:rPr>
          <w:rFonts w:hint="eastAsia" w:ascii="Times New Roman" w:hAnsi="Times New Roman" w:eastAsia="黑体" w:cs="Times New Roman"/>
          <w:bCs/>
          <w:kern w:val="44"/>
          <w:sz w:val="24"/>
          <w:szCs w:val="32"/>
        </w:rPr>
        <w:t>七、重大分歧意见的处理经过和依据</w:t>
      </w:r>
    </w:p>
    <w:p w14:paraId="42349BA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lang w:eastAsia="zh-CN"/>
        </w:rPr>
      </w:pPr>
      <w:r>
        <w:rPr>
          <w:rFonts w:hint="eastAsia" w:ascii="Times New Roman" w:hAnsi="Times New Roman" w:eastAsia="仿宋_GB2312" w:cs="Times New Roman"/>
          <w:sz w:val="24"/>
          <w:szCs w:val="32"/>
        </w:rPr>
        <w:t>标准起草过程中并未出现显著的争议或需要处理的分歧</w:t>
      </w:r>
      <w:r>
        <w:rPr>
          <w:rFonts w:hint="eastAsia" w:eastAsia="仿宋_GB2312" w:cs="Times New Roman"/>
          <w:sz w:val="24"/>
          <w:szCs w:val="32"/>
          <w:lang w:eastAsia="zh-CN"/>
        </w:rPr>
        <w:t>。</w:t>
      </w:r>
    </w:p>
    <w:p w14:paraId="21EBF7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黑体" w:cs="Times New Roman"/>
          <w:bCs/>
          <w:kern w:val="44"/>
          <w:sz w:val="24"/>
          <w:szCs w:val="32"/>
        </w:rPr>
      </w:pPr>
      <w:r>
        <w:rPr>
          <w:rFonts w:hint="eastAsia" w:ascii="Times New Roman" w:hAnsi="Times New Roman" w:eastAsia="黑体" w:cs="Times New Roman"/>
          <w:bCs/>
          <w:kern w:val="44"/>
          <w:sz w:val="24"/>
          <w:szCs w:val="32"/>
        </w:rPr>
        <w:t>八、涉及专利的有关说明</w:t>
      </w:r>
    </w:p>
    <w:p w14:paraId="0AE84F5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rPr>
      </w:pPr>
      <w:r>
        <w:rPr>
          <w:rFonts w:hint="eastAsia" w:eastAsia="仿宋_GB2312" w:cs="Times New Roman"/>
          <w:sz w:val="24"/>
          <w:szCs w:val="32"/>
          <w:lang w:val="en-US" w:eastAsia="zh-CN"/>
        </w:rPr>
        <w:t>1.</w:t>
      </w:r>
      <w:r>
        <w:rPr>
          <w:rFonts w:hint="default" w:ascii="Times New Roman" w:hAnsi="Times New Roman" w:eastAsia="仿宋_GB2312" w:cs="Times New Roman"/>
          <w:sz w:val="24"/>
          <w:szCs w:val="32"/>
        </w:rPr>
        <w:t>经标准起草工作组充分调查与研判，现就本文件可能涉及专利的情况说明如下：</w:t>
      </w:r>
    </w:p>
    <w:p w14:paraId="594B487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基于目前的调查，未发现本文件的必要技术内容明确涉及已知的有效专利。标准中规定的技术措施，如施肥方法、修剪原则、病虫害综合防治策略等，均属于行业内公开的、普遍适用的农业技术知识和实践经验。</w:t>
      </w:r>
    </w:p>
    <w:p w14:paraId="758B78E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rPr>
      </w:pPr>
      <w:r>
        <w:rPr>
          <w:rFonts w:hint="eastAsia" w:eastAsia="仿宋_GB2312" w:cs="Times New Roman"/>
          <w:sz w:val="24"/>
          <w:szCs w:val="32"/>
          <w:lang w:val="en-US" w:eastAsia="zh-CN"/>
        </w:rPr>
        <w:t>2.</w:t>
      </w:r>
      <w:r>
        <w:rPr>
          <w:rFonts w:hint="default" w:ascii="Times New Roman" w:hAnsi="Times New Roman" w:eastAsia="仿宋_GB2312" w:cs="Times New Roman"/>
          <w:sz w:val="24"/>
          <w:szCs w:val="32"/>
        </w:rPr>
        <w:t>郑重声明</w:t>
      </w:r>
    </w:p>
    <w:p w14:paraId="7007313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尽管已进行初步调查，但本文件的发布机构无法保证本文件的全部内容均不涉及他人的专利或其他知识产权。</w:t>
      </w:r>
    </w:p>
    <w:p w14:paraId="5E593E8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请注意本文件的某些内容可能涉及专利。本文件的发布机构不承担识别专利的责任。</w:t>
      </w:r>
    </w:p>
    <w:p w14:paraId="037BDE7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rPr>
      </w:pPr>
      <w:r>
        <w:rPr>
          <w:rFonts w:hint="eastAsia" w:eastAsia="仿宋_GB2312" w:cs="Times New Roman"/>
          <w:sz w:val="24"/>
          <w:szCs w:val="32"/>
          <w:lang w:val="en-US" w:eastAsia="zh-CN"/>
        </w:rPr>
        <w:t>3.</w:t>
      </w:r>
      <w:r>
        <w:rPr>
          <w:rFonts w:hint="default" w:ascii="Times New Roman" w:hAnsi="Times New Roman" w:eastAsia="仿宋_GB2312" w:cs="Times New Roman"/>
          <w:sz w:val="24"/>
          <w:szCs w:val="32"/>
        </w:rPr>
        <w:t>反馈与承诺</w:t>
      </w:r>
    </w:p>
    <w:p w14:paraId="769FA04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我们郑重邀请社会各界，特别是在标准征求意见阶段，对可能涉及的专利情况予以关注和反馈。</w:t>
      </w:r>
    </w:p>
    <w:p w14:paraId="27C377C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在提交反馈意见时，如您知悉本文件任何部分涉及专利，请务必将您知道的相关专利信息（包括专利号、专利持有人名称、涉及的标准条款等）连同支持性文件一并附上。</w:t>
      </w:r>
    </w:p>
    <w:p w14:paraId="58BE4AD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标准起草工作组承诺，在收到确切的专利信息后，将依据国家标准化管理的相关规定，积极与专利权人进行沟通和协调，妥善处理知识产权问题，以确保本文件的顺利发布和实施不侵犯他人的合法权益。</w:t>
      </w:r>
    </w:p>
    <w:p w14:paraId="4A55907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（标准起草工作组</w:t>
      </w:r>
      <w:r>
        <w:rPr>
          <w:rFonts w:hint="eastAsia" w:eastAsia="仿宋_GB2312" w:cs="Times New Roman"/>
          <w:sz w:val="24"/>
          <w:szCs w:val="32"/>
          <w:lang w:eastAsia="zh-CN"/>
        </w:rPr>
        <w:t>，联系人：王春婷</w:t>
      </w:r>
      <w:r>
        <w:rPr>
          <w:rFonts w:hint="eastAsia" w:eastAsia="仿宋_GB2312" w:cs="Times New Roman"/>
          <w:sz w:val="24"/>
          <w:szCs w:val="32"/>
          <w:lang w:val="en-US" w:eastAsia="zh-CN"/>
        </w:rPr>
        <w:t>18208771030</w:t>
      </w:r>
      <w:r>
        <w:rPr>
          <w:rFonts w:hint="default" w:ascii="Times New Roman" w:hAnsi="Times New Roman" w:eastAsia="仿宋_GB2312" w:cs="Times New Roman"/>
          <w:sz w:val="24"/>
          <w:szCs w:val="32"/>
        </w:rPr>
        <w:t>）</w:t>
      </w:r>
    </w:p>
    <w:p w14:paraId="4391B0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黑体" w:cs="Times New Roman"/>
          <w:bCs/>
          <w:kern w:val="44"/>
          <w:sz w:val="24"/>
          <w:szCs w:val="32"/>
        </w:rPr>
      </w:pPr>
      <w:r>
        <w:rPr>
          <w:rFonts w:hint="eastAsia" w:ascii="Times New Roman" w:hAnsi="Times New Roman" w:eastAsia="黑体" w:cs="Times New Roman"/>
          <w:bCs/>
          <w:kern w:val="44"/>
          <w:sz w:val="24"/>
          <w:szCs w:val="32"/>
        </w:rPr>
        <w:t>九、实施标准的要求，以及组织措施、技术措施、过渡期和实施日期的建议等措施建议</w:t>
      </w:r>
    </w:p>
    <w:p w14:paraId="6F210E2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b/>
          <w:bCs/>
          <w:sz w:val="24"/>
          <w:szCs w:val="32"/>
        </w:rPr>
      </w:pPr>
      <w:r>
        <w:rPr>
          <w:rFonts w:hint="eastAsia" w:ascii="Times New Roman" w:hAnsi="Times New Roman" w:eastAsia="仿宋_GB2312" w:cs="Times New Roman"/>
          <w:b/>
          <w:bCs/>
          <w:sz w:val="24"/>
          <w:szCs w:val="32"/>
        </w:rPr>
        <w:t>1</w:t>
      </w:r>
      <w:r>
        <w:rPr>
          <w:rFonts w:hint="eastAsia" w:ascii="Times New Roman" w:hAnsi="Times New Roman" w:eastAsia="仿宋_GB2312" w:cs="Times New Roman"/>
          <w:b/>
          <w:bCs/>
          <w:sz w:val="24"/>
          <w:szCs w:val="32"/>
          <w:lang w:eastAsia="zh-CN"/>
        </w:rPr>
        <w:t>.</w:t>
      </w:r>
      <w:r>
        <w:rPr>
          <w:rFonts w:hint="eastAsia" w:ascii="Times New Roman" w:hAnsi="Times New Roman" w:eastAsia="仿宋_GB2312" w:cs="Times New Roman"/>
          <w:b/>
          <w:bCs/>
          <w:sz w:val="24"/>
          <w:szCs w:val="32"/>
        </w:rPr>
        <w:t>组织措施</w:t>
      </w:r>
    </w:p>
    <w:p w14:paraId="74FDAE5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rPr>
      </w:pPr>
      <w:r>
        <w:rPr>
          <w:rFonts w:hint="eastAsia" w:ascii="Times New Roman" w:hAnsi="Times New Roman" w:eastAsia="仿宋_GB2312" w:cs="Times New Roman"/>
          <w:sz w:val="24"/>
          <w:szCs w:val="32"/>
        </w:rPr>
        <w:t>成立</w:t>
      </w:r>
      <w:r>
        <w:rPr>
          <w:rFonts w:hint="eastAsia" w:ascii="Times New Roman" w:hAnsi="Times New Roman" w:eastAsia="仿宋_GB2312" w:cs="Times New Roman"/>
          <w:sz w:val="24"/>
          <w:szCs w:val="32"/>
          <w:lang w:eastAsia="zh-CN"/>
        </w:rPr>
        <w:t>标准宣贯小</w:t>
      </w:r>
      <w:r>
        <w:rPr>
          <w:rFonts w:hint="eastAsia" w:ascii="Times New Roman" w:hAnsi="Times New Roman" w:eastAsia="仿宋_GB2312" w:cs="Times New Roman"/>
          <w:sz w:val="24"/>
          <w:szCs w:val="32"/>
        </w:rPr>
        <w:t>组：建立以本标准主编单位为主体的技术服务队伍，</w:t>
      </w:r>
      <w:r>
        <w:rPr>
          <w:rFonts w:hint="eastAsia" w:eastAsia="仿宋_GB2312" w:cs="Times New Roman"/>
          <w:sz w:val="24"/>
          <w:szCs w:val="32"/>
          <w:lang w:eastAsia="zh-CN"/>
        </w:rPr>
        <w:t>联合</w:t>
      </w:r>
      <w:r>
        <w:rPr>
          <w:rFonts w:hint="eastAsia" w:ascii="Times New Roman" w:hAnsi="Times New Roman" w:eastAsia="仿宋_GB2312" w:cs="Times New Roman"/>
          <w:sz w:val="24"/>
          <w:szCs w:val="32"/>
        </w:rPr>
        <w:t>地方</w:t>
      </w:r>
      <w:r>
        <w:rPr>
          <w:rFonts w:hint="eastAsia" w:ascii="Times New Roman" w:hAnsi="Times New Roman" w:eastAsia="仿宋_GB2312" w:cs="Times New Roman"/>
          <w:sz w:val="24"/>
          <w:szCs w:val="32"/>
          <w:lang w:eastAsia="zh-CN"/>
        </w:rPr>
        <w:t>推广部门及种植企业</w:t>
      </w:r>
      <w:r>
        <w:rPr>
          <w:rFonts w:hint="eastAsia" w:ascii="Times New Roman" w:hAnsi="Times New Roman" w:eastAsia="仿宋_GB2312" w:cs="Times New Roman"/>
          <w:sz w:val="24"/>
          <w:szCs w:val="32"/>
        </w:rPr>
        <w:t>代表组成的</w:t>
      </w:r>
      <w:r>
        <w:rPr>
          <w:rFonts w:hint="eastAsia" w:ascii="Times New Roman" w:hAnsi="Times New Roman" w:eastAsia="仿宋_GB2312" w:cs="Times New Roman"/>
          <w:sz w:val="24"/>
          <w:szCs w:val="32"/>
          <w:lang w:eastAsia="zh-CN"/>
        </w:rPr>
        <w:t>标准宣贯小组</w:t>
      </w:r>
      <w:r>
        <w:rPr>
          <w:rFonts w:hint="eastAsia" w:ascii="Times New Roman" w:hAnsi="Times New Roman" w:eastAsia="仿宋_GB2312" w:cs="Times New Roman"/>
          <w:sz w:val="24"/>
          <w:szCs w:val="32"/>
        </w:rPr>
        <w:t>，制定详细的标准</w:t>
      </w:r>
      <w:r>
        <w:rPr>
          <w:rFonts w:hint="eastAsia" w:ascii="Times New Roman" w:hAnsi="Times New Roman" w:eastAsia="仿宋_GB2312" w:cs="Times New Roman"/>
          <w:sz w:val="24"/>
          <w:szCs w:val="32"/>
          <w:lang w:eastAsia="zh-CN"/>
        </w:rPr>
        <w:t>宣贯</w:t>
      </w:r>
      <w:r>
        <w:rPr>
          <w:rFonts w:hint="eastAsia" w:ascii="Times New Roman" w:hAnsi="Times New Roman" w:eastAsia="仿宋_GB2312" w:cs="Times New Roman"/>
          <w:sz w:val="24"/>
          <w:szCs w:val="32"/>
        </w:rPr>
        <w:t>方案，明确各阶段的任务和目标，</w:t>
      </w:r>
      <w:r>
        <w:rPr>
          <w:rFonts w:hint="eastAsia" w:ascii="Times New Roman" w:hAnsi="Times New Roman" w:eastAsia="仿宋_GB2312" w:cs="Times New Roman"/>
          <w:sz w:val="24"/>
          <w:szCs w:val="32"/>
          <w:lang w:eastAsia="zh-CN"/>
        </w:rPr>
        <w:t>并按照方案实施，</w:t>
      </w:r>
      <w:r>
        <w:rPr>
          <w:rFonts w:hint="eastAsia" w:ascii="Times New Roman" w:hAnsi="Times New Roman" w:eastAsia="仿宋_GB2312" w:cs="Times New Roman"/>
          <w:sz w:val="24"/>
          <w:szCs w:val="32"/>
        </w:rPr>
        <w:t>确保标准实施的顺利推进。</w:t>
      </w:r>
    </w:p>
    <w:p w14:paraId="17898ED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b/>
          <w:bCs/>
          <w:sz w:val="24"/>
          <w:szCs w:val="32"/>
        </w:rPr>
      </w:pPr>
      <w:r>
        <w:rPr>
          <w:rFonts w:hint="eastAsia" w:ascii="Times New Roman" w:hAnsi="Times New Roman" w:eastAsia="仿宋_GB2312" w:cs="Times New Roman"/>
          <w:b/>
          <w:bCs/>
          <w:sz w:val="24"/>
          <w:szCs w:val="32"/>
          <w:lang w:val="en-US" w:eastAsia="zh-CN"/>
        </w:rPr>
        <w:t>2.</w:t>
      </w:r>
      <w:r>
        <w:rPr>
          <w:rFonts w:hint="eastAsia" w:ascii="Times New Roman" w:hAnsi="Times New Roman" w:eastAsia="仿宋_GB2312" w:cs="Times New Roman"/>
          <w:b/>
          <w:bCs/>
          <w:sz w:val="24"/>
          <w:szCs w:val="32"/>
        </w:rPr>
        <w:t>技术措施</w:t>
      </w:r>
    </w:p>
    <w:p w14:paraId="3250228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rPr>
      </w:pPr>
      <w:r>
        <w:rPr>
          <w:rFonts w:hint="eastAsia" w:ascii="Times New Roman" w:hAnsi="Times New Roman" w:eastAsia="仿宋_GB2312" w:cs="Times New Roman"/>
          <w:sz w:val="24"/>
          <w:szCs w:val="32"/>
        </w:rPr>
        <w:t>本标准发布后，建议在全国</w:t>
      </w:r>
      <w:r>
        <w:rPr>
          <w:rFonts w:hint="eastAsia" w:ascii="Times New Roman" w:hAnsi="Times New Roman" w:eastAsia="仿宋_GB2312" w:cs="Times New Roman"/>
          <w:sz w:val="24"/>
          <w:szCs w:val="32"/>
          <w:lang w:eastAsia="zh-CN"/>
        </w:rPr>
        <w:t>咖啡</w:t>
      </w:r>
      <w:r>
        <w:rPr>
          <w:rFonts w:hint="eastAsia" w:ascii="Times New Roman" w:hAnsi="Times New Roman" w:eastAsia="仿宋_GB2312" w:cs="Times New Roman"/>
          <w:sz w:val="24"/>
          <w:szCs w:val="32"/>
        </w:rPr>
        <w:t>产区，举办由种植专业户、科技推广人员等有关人员参加的标准宣贯培训班，并将标准在相关网络平台公布，发挥标准对</w:t>
      </w:r>
      <w:r>
        <w:rPr>
          <w:rFonts w:hint="eastAsia" w:ascii="Times New Roman" w:hAnsi="Times New Roman" w:eastAsia="仿宋_GB2312" w:cs="Times New Roman"/>
          <w:sz w:val="24"/>
          <w:szCs w:val="32"/>
          <w:lang w:eastAsia="zh-CN"/>
        </w:rPr>
        <w:t>咖啡种植技术</w:t>
      </w:r>
      <w:r>
        <w:rPr>
          <w:rFonts w:hint="eastAsia" w:ascii="Times New Roman" w:hAnsi="Times New Roman" w:eastAsia="仿宋_GB2312" w:cs="Times New Roman"/>
          <w:sz w:val="24"/>
          <w:szCs w:val="32"/>
        </w:rPr>
        <w:t>的指导作用。</w:t>
      </w:r>
    </w:p>
    <w:p w14:paraId="133916B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rPr>
      </w:pPr>
      <w:r>
        <w:rPr>
          <w:rFonts w:hint="eastAsia" w:ascii="Times New Roman" w:hAnsi="Times New Roman" w:eastAsia="仿宋_GB2312" w:cs="Times New Roman"/>
          <w:sz w:val="24"/>
          <w:szCs w:val="32"/>
        </w:rPr>
        <w:t>建立以本标准主编单位为主体的技术服务队伍，及时解决标准使用过程中出现的各类问题和困难，并在云南各个相关生产单位</w:t>
      </w:r>
      <w:r>
        <w:rPr>
          <w:rFonts w:hint="eastAsia" w:eastAsia="仿宋_GB2312" w:cs="Times New Roman"/>
          <w:sz w:val="24"/>
          <w:szCs w:val="32"/>
          <w:lang w:eastAsia="zh-CN"/>
        </w:rPr>
        <w:t>、种植户</w:t>
      </w:r>
      <w:r>
        <w:rPr>
          <w:rFonts w:hint="eastAsia" w:ascii="Times New Roman" w:hAnsi="Times New Roman" w:eastAsia="仿宋_GB2312" w:cs="Times New Roman"/>
          <w:sz w:val="24"/>
          <w:szCs w:val="32"/>
        </w:rPr>
        <w:t>，提供现场技术指导，帮助种植户理解和掌握新标准的具体操作方法。</w:t>
      </w:r>
    </w:p>
    <w:p w14:paraId="71263F9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rPr>
      </w:pPr>
      <w:r>
        <w:rPr>
          <w:rFonts w:hint="eastAsia" w:ascii="Times New Roman" w:hAnsi="Times New Roman" w:eastAsia="仿宋_GB2312" w:cs="Times New Roman"/>
          <w:sz w:val="24"/>
          <w:szCs w:val="32"/>
        </w:rPr>
        <w:t>建立示范基地</w:t>
      </w:r>
      <w:r>
        <w:rPr>
          <w:rFonts w:hint="eastAsia" w:eastAsia="仿宋_GB2312" w:cs="Times New Roman"/>
          <w:sz w:val="24"/>
          <w:szCs w:val="32"/>
          <w:lang w:eastAsia="zh-CN"/>
        </w:rPr>
        <w:t>，</w:t>
      </w:r>
      <w:r>
        <w:rPr>
          <w:rFonts w:hint="eastAsia" w:ascii="Times New Roman" w:hAnsi="Times New Roman" w:eastAsia="仿宋_GB2312" w:cs="Times New Roman"/>
          <w:sz w:val="24"/>
          <w:szCs w:val="32"/>
        </w:rPr>
        <w:t>在主要咖啡种植区建立标准化示范基地，展示标准实施的具体操作流程和效果，供种植户参观学习。</w:t>
      </w:r>
    </w:p>
    <w:p w14:paraId="7E9A602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b/>
          <w:bCs/>
          <w:sz w:val="24"/>
          <w:szCs w:val="32"/>
          <w:lang w:val="en-US" w:eastAsia="zh-CN"/>
        </w:rPr>
      </w:pPr>
      <w:r>
        <w:rPr>
          <w:rFonts w:hint="eastAsia" w:ascii="Times New Roman" w:hAnsi="Times New Roman" w:eastAsia="仿宋_GB2312" w:cs="Times New Roman"/>
          <w:b/>
          <w:bCs/>
          <w:sz w:val="24"/>
          <w:szCs w:val="32"/>
          <w:lang w:val="en-US" w:eastAsia="zh-CN"/>
        </w:rPr>
        <w:t>3.过渡期安排</w:t>
      </w:r>
    </w:p>
    <w:p w14:paraId="0367A75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rPr>
      </w:pPr>
      <w:r>
        <w:rPr>
          <w:rFonts w:hint="eastAsia" w:ascii="Times New Roman" w:hAnsi="Times New Roman" w:eastAsia="仿宋_GB2312" w:cs="Times New Roman"/>
          <w:sz w:val="24"/>
          <w:szCs w:val="32"/>
        </w:rPr>
        <w:t>过渡期长度：建议设立</w:t>
      </w:r>
      <w:r>
        <w:rPr>
          <w:rFonts w:hint="default" w:ascii="Times New Roman" w:hAnsi="Times New Roman" w:eastAsia="仿宋_GB2312" w:cs="Times New Roman"/>
          <w:sz w:val="24"/>
          <w:szCs w:val="32"/>
          <w:lang w:val="en-US"/>
        </w:rPr>
        <w:t>6</w:t>
      </w:r>
      <w:r>
        <w:rPr>
          <w:rFonts w:hint="eastAsia" w:ascii="Times New Roman" w:hAnsi="Times New Roman" w:eastAsia="仿宋_GB2312" w:cs="Times New Roman"/>
          <w:sz w:val="24"/>
          <w:szCs w:val="32"/>
          <w:lang w:val="en-US" w:eastAsia="zh-CN"/>
        </w:rPr>
        <w:t>个月</w:t>
      </w:r>
      <w:r>
        <w:rPr>
          <w:rFonts w:hint="eastAsia" w:ascii="Times New Roman" w:hAnsi="Times New Roman" w:eastAsia="仿宋_GB2312" w:cs="Times New Roman"/>
          <w:sz w:val="24"/>
          <w:szCs w:val="32"/>
        </w:rPr>
        <w:t>的过渡期，逐步推动标准的全面实施。</w:t>
      </w:r>
    </w:p>
    <w:p w14:paraId="6CDFEF6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b/>
          <w:bCs/>
          <w:sz w:val="24"/>
          <w:szCs w:val="32"/>
          <w:lang w:val="en-US" w:eastAsia="zh-CN"/>
        </w:rPr>
      </w:pPr>
      <w:r>
        <w:rPr>
          <w:rFonts w:hint="eastAsia" w:ascii="Times New Roman" w:hAnsi="Times New Roman" w:eastAsia="仿宋_GB2312" w:cs="Times New Roman"/>
          <w:b/>
          <w:bCs/>
          <w:sz w:val="24"/>
          <w:szCs w:val="32"/>
          <w:lang w:val="en-US" w:eastAsia="zh-CN"/>
        </w:rPr>
        <w:t>4</w:t>
      </w:r>
      <w:r>
        <w:rPr>
          <w:rFonts w:hint="eastAsia" w:eastAsia="仿宋_GB2312" w:cs="Times New Roman"/>
          <w:b/>
          <w:bCs/>
          <w:sz w:val="24"/>
          <w:szCs w:val="32"/>
          <w:lang w:val="en-US" w:eastAsia="zh-CN"/>
        </w:rPr>
        <w:t>.</w:t>
      </w:r>
      <w:r>
        <w:rPr>
          <w:rFonts w:hint="eastAsia" w:ascii="Times New Roman" w:hAnsi="Times New Roman" w:eastAsia="仿宋_GB2312" w:cs="Times New Roman"/>
          <w:b/>
          <w:bCs/>
          <w:sz w:val="24"/>
          <w:szCs w:val="32"/>
          <w:lang w:val="en-US" w:eastAsia="zh-CN"/>
        </w:rPr>
        <w:t>实施日期</w:t>
      </w:r>
    </w:p>
    <w:p w14:paraId="65F1147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rPr>
      </w:pPr>
      <w:r>
        <w:rPr>
          <w:rFonts w:hint="eastAsia" w:ascii="Times New Roman" w:hAnsi="Times New Roman" w:eastAsia="仿宋_GB2312" w:cs="Times New Roman"/>
          <w:sz w:val="24"/>
          <w:szCs w:val="32"/>
        </w:rPr>
        <w:t>实施启动日期：建议在标准发布后的第一个种植季开始实施，具体时间可根据当地的种植周期确定。</w:t>
      </w:r>
    </w:p>
    <w:p w14:paraId="6CAC153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imes New Roman" w:hAnsi="Times New Roman" w:eastAsia="仿宋_GB2312" w:cs="Times New Roman"/>
          <w:sz w:val="24"/>
          <w:szCs w:val="32"/>
        </w:rPr>
      </w:pPr>
      <w:r>
        <w:rPr>
          <w:rFonts w:hint="eastAsia" w:ascii="Times New Roman" w:hAnsi="Times New Roman" w:eastAsia="仿宋_GB2312" w:cs="Times New Roman"/>
          <w:sz w:val="24"/>
          <w:szCs w:val="32"/>
        </w:rPr>
        <w:t>全面实施日期：在过渡期结束后，全面实施新标准。</w:t>
      </w:r>
    </w:p>
    <w:p w14:paraId="5501F7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黑体" w:cs="Times New Roman"/>
          <w:bCs/>
          <w:kern w:val="44"/>
          <w:sz w:val="24"/>
          <w:szCs w:val="32"/>
        </w:rPr>
      </w:pPr>
      <w:r>
        <w:rPr>
          <w:rFonts w:ascii="Times New Roman" w:hAnsi="Times New Roman" w:eastAsia="黑体" w:cs="Times New Roman"/>
          <w:bCs/>
          <w:kern w:val="44"/>
          <w:sz w:val="24"/>
          <w:szCs w:val="32"/>
        </w:rPr>
        <w:t>十、其他应予说明的事项</w:t>
      </w:r>
    </w:p>
    <w:p w14:paraId="4AF701B6">
      <w:pPr>
        <w:spacing w:line="560" w:lineRule="exact"/>
        <w:ind w:firstLine="640" w:firstLineChars="200"/>
        <w:rPr>
          <w:rFonts w:eastAsia="仿宋_GB2312"/>
          <w:sz w:val="32"/>
        </w:rPr>
      </w:pPr>
      <w:r>
        <w:rPr>
          <w:rFonts w:hint="eastAsia" w:eastAsia="仿宋_GB2312"/>
          <w:sz w:val="32"/>
        </w:rPr>
        <w:t xml:space="preserve"> </w:t>
      </w:r>
      <w:r>
        <w:rPr>
          <w:rFonts w:hint="eastAsia" w:ascii="Times New Roman" w:hAnsi="Times New Roman" w:eastAsia="仿宋_GB2312" w:cs="Times New Roman"/>
          <w:sz w:val="24"/>
          <w:szCs w:val="32"/>
          <w:lang w:val="en-US" w:eastAsia="zh-CN"/>
        </w:rPr>
        <w:t>无。</w:t>
      </w:r>
    </w:p>
    <w:p w14:paraId="1CB6D6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黑体" w:cs="Times New Roman"/>
          <w:bCs/>
          <w:kern w:val="44"/>
          <w:sz w:val="24"/>
          <w:szCs w:val="32"/>
          <w:lang w:eastAsia="zh-CN"/>
        </w:rPr>
      </w:pPr>
      <w:r>
        <w:rPr>
          <w:rFonts w:hint="eastAsia" w:ascii="Times New Roman" w:hAnsi="Times New Roman" w:eastAsia="黑体" w:cs="Times New Roman"/>
          <w:bCs/>
          <w:kern w:val="44"/>
          <w:sz w:val="24"/>
          <w:szCs w:val="32"/>
          <w:lang w:eastAsia="zh-CN"/>
        </w:rPr>
        <w:t>参考文献</w:t>
      </w:r>
    </w:p>
    <w:p w14:paraId="4E0E1188">
      <w:pPr>
        <w:numPr>
          <w:ilvl w:val="0"/>
          <w:numId w:val="3"/>
        </w:numPr>
        <w:spacing w:line="560" w:lineRule="exact"/>
        <w:ind w:firstLine="480" w:firstLineChars="200"/>
        <w:rPr>
          <w:rFonts w:hint="eastAsia" w:eastAsia="仿宋_GB2312" w:cs="Times New Roman"/>
          <w:sz w:val="24"/>
          <w:szCs w:val="32"/>
          <w:lang w:val="en-US" w:eastAsia="zh-CN"/>
        </w:rPr>
      </w:pPr>
      <w:r>
        <w:rPr>
          <w:rFonts w:hint="eastAsia" w:eastAsia="仿宋_GB2312" w:cs="Times New Roman"/>
          <w:sz w:val="24"/>
          <w:szCs w:val="32"/>
          <w:lang w:val="en-US" w:eastAsia="zh-CN"/>
        </w:rPr>
        <w:t>马关润,马红英,刘成,等.咖啡锈病发生规律调查及施药适期研究[J].中国森林病虫,2024，43(2):18-24.</w:t>
      </w:r>
    </w:p>
    <w:p w14:paraId="494CEE72">
      <w:pPr>
        <w:numPr>
          <w:ilvl w:val="0"/>
          <w:numId w:val="3"/>
        </w:numPr>
        <w:spacing w:line="560" w:lineRule="exact"/>
        <w:ind w:firstLine="480" w:firstLineChars="200"/>
        <w:rPr>
          <w:rFonts w:hint="default" w:eastAsia="仿宋_GB2312" w:cs="Times New Roman"/>
          <w:sz w:val="24"/>
          <w:szCs w:val="32"/>
          <w:lang w:val="en-US" w:eastAsia="zh-CN"/>
        </w:rPr>
      </w:pPr>
      <w:r>
        <w:rPr>
          <w:rFonts w:hint="eastAsia" w:eastAsia="仿宋_GB2312" w:cs="Times New Roman"/>
          <w:sz w:val="24"/>
          <w:szCs w:val="32"/>
          <w:lang w:val="en-US" w:eastAsia="zh-CN"/>
        </w:rPr>
        <w:t>吴伟怀,陆英,汪全伟,等.咖啡病虫草害识别与防治[M].中国农业科学技术出版社,北京：2023,p102-107.</w:t>
      </w:r>
    </w:p>
    <w:sectPr>
      <w:footerReference r:id="rId3" w:type="default"/>
      <w:footerReference r:id="rId4" w:type="even"/>
      <w:pgSz w:w="11906" w:h="16838"/>
      <w:pgMar w:top="2098" w:right="1474" w:bottom="1985" w:left="1588" w:header="851" w:footer="141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Ubuntu">
    <w:panose1 w:val="020B0504030602030204"/>
    <w:charset w:val="00"/>
    <w:family w:val="auto"/>
    <w:pitch w:val="default"/>
    <w:sig w:usb0="E00002FF" w:usb1="5000205B" w:usb2="00000000" w:usb3="00000000" w:csb0="2000009F" w:csb1="56010000"/>
  </w:font>
  <w:font w:name="var(--dsw-font-markdown-table)">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var(--dsw-font-markdown-table-h">
    <w:altName w:val="C059"/>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rPr>
      <w:id w:val="1520440388"/>
      <w:docPartObj>
        <w:docPartGallery w:val="autotext"/>
      </w:docPartObj>
    </w:sdtPr>
    <w:sdtEndPr>
      <w:rPr>
        <w:rFonts w:ascii="宋体" w:hAnsi="宋体"/>
        <w:sz w:val="28"/>
      </w:rPr>
    </w:sdtEndPr>
    <w:sdtContent>
      <w:p w14:paraId="6D4E6376">
        <w:pPr>
          <w:pStyle w:val="6"/>
          <w:jc w:val="right"/>
          <w:rPr>
            <w:rFonts w:hint="eastAsia"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2</w:t>
        </w:r>
        <w:r>
          <w:rPr>
            <w:rFonts w:ascii="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rPr>
      <w:id w:val="890464221"/>
      <w:docPartObj>
        <w:docPartGallery w:val="autotext"/>
      </w:docPartObj>
    </w:sdtPr>
    <w:sdtEndPr>
      <w:rPr>
        <w:rFonts w:ascii="宋体" w:hAnsi="宋体"/>
        <w:sz w:val="28"/>
      </w:rPr>
    </w:sdtEndPr>
    <w:sdtContent>
      <w:p w14:paraId="4B6B1DE5">
        <w:pPr>
          <w:pStyle w:val="6"/>
          <w:rPr>
            <w:rFonts w:hint="eastAsia"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2</w:t>
        </w:r>
        <w:r>
          <w:rPr>
            <w:rFonts w:ascii="宋体" w:hAnsi="宋体"/>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D5C05"/>
    <w:multiLevelType w:val="singleLevel"/>
    <w:tmpl w:val="D2DD5C05"/>
    <w:lvl w:ilvl="0" w:tentative="0">
      <w:start w:val="1"/>
      <w:numFmt w:val="decimal"/>
      <w:lvlText w:val="[%1]"/>
      <w:lvlJc w:val="left"/>
      <w:pPr>
        <w:tabs>
          <w:tab w:val="left" w:pos="312"/>
        </w:tabs>
      </w:pPr>
    </w:lvl>
  </w:abstractNum>
  <w:abstractNum w:abstractNumId="1">
    <w:nsid w:val="646260FA"/>
    <w:multiLevelType w:val="multilevel"/>
    <w:tmpl w:val="646260FA"/>
    <w:lvl w:ilvl="0" w:tentative="0">
      <w:start w:val="1"/>
      <w:numFmt w:val="decimal"/>
      <w:pStyle w:val="33"/>
      <w:suff w:val="nothing"/>
      <w:lvlText w:val="表%1　"/>
      <w:lvlJc w:val="left"/>
      <w:pPr>
        <w:ind w:left="2310" w:firstLine="0"/>
      </w:pPr>
      <w:rPr>
        <w:rFonts w:hint="eastAsia" w:ascii="黑体" w:hAnsi="Times New Roman" w:eastAsia="黑体"/>
        <w:b w:val="0"/>
        <w:i w:val="0"/>
        <w:sz w:val="21"/>
      </w:rPr>
    </w:lvl>
    <w:lvl w:ilvl="1" w:tentative="0">
      <w:start w:val="1"/>
      <w:numFmt w:val="decimal"/>
      <w:lvlText w:val="%1.%2"/>
      <w:lvlJc w:val="left"/>
      <w:pPr>
        <w:tabs>
          <w:tab w:val="left" w:pos="992"/>
        </w:tabs>
        <w:ind w:left="3302" w:hanging="567"/>
      </w:pPr>
      <w:rPr>
        <w:rFonts w:hint="eastAsia"/>
      </w:rPr>
    </w:lvl>
    <w:lvl w:ilvl="2" w:tentative="0">
      <w:start w:val="1"/>
      <w:numFmt w:val="decimal"/>
      <w:lvlText w:val="%1.%2.%3"/>
      <w:lvlJc w:val="left"/>
      <w:pPr>
        <w:tabs>
          <w:tab w:val="left" w:pos="1418"/>
        </w:tabs>
        <w:ind w:left="3728" w:hanging="567"/>
      </w:pPr>
      <w:rPr>
        <w:rFonts w:hint="eastAsia"/>
      </w:rPr>
    </w:lvl>
    <w:lvl w:ilvl="3" w:tentative="0">
      <w:start w:val="1"/>
      <w:numFmt w:val="decimal"/>
      <w:lvlText w:val="%1.%2.%3.%4"/>
      <w:lvlJc w:val="left"/>
      <w:pPr>
        <w:tabs>
          <w:tab w:val="left" w:pos="1984"/>
        </w:tabs>
        <w:ind w:left="4294" w:hanging="708"/>
      </w:pPr>
      <w:rPr>
        <w:rFonts w:hint="eastAsia"/>
      </w:rPr>
    </w:lvl>
    <w:lvl w:ilvl="4" w:tentative="0">
      <w:start w:val="1"/>
      <w:numFmt w:val="decimal"/>
      <w:lvlText w:val="%1.%2.%3.%4.%5"/>
      <w:lvlJc w:val="left"/>
      <w:pPr>
        <w:tabs>
          <w:tab w:val="left" w:pos="2551"/>
        </w:tabs>
        <w:ind w:left="4861" w:hanging="850"/>
      </w:pPr>
      <w:rPr>
        <w:rFonts w:hint="eastAsia"/>
      </w:rPr>
    </w:lvl>
    <w:lvl w:ilvl="5" w:tentative="0">
      <w:start w:val="1"/>
      <w:numFmt w:val="decimal"/>
      <w:lvlText w:val="%1.%2.%3.%4.%5.%6"/>
      <w:lvlJc w:val="left"/>
      <w:pPr>
        <w:tabs>
          <w:tab w:val="left" w:pos="3260"/>
        </w:tabs>
        <w:ind w:left="5570" w:hanging="1134"/>
      </w:pPr>
      <w:rPr>
        <w:rFonts w:hint="eastAsia"/>
      </w:rPr>
    </w:lvl>
    <w:lvl w:ilvl="6" w:tentative="0">
      <w:start w:val="1"/>
      <w:numFmt w:val="decimal"/>
      <w:lvlText w:val="%1.%2.%3.%4.%5.%6.%7"/>
      <w:lvlJc w:val="left"/>
      <w:pPr>
        <w:tabs>
          <w:tab w:val="left" w:pos="3827"/>
        </w:tabs>
        <w:ind w:left="6137" w:hanging="1276"/>
      </w:pPr>
      <w:rPr>
        <w:rFonts w:hint="eastAsia"/>
      </w:rPr>
    </w:lvl>
    <w:lvl w:ilvl="7" w:tentative="0">
      <w:start w:val="1"/>
      <w:numFmt w:val="decimal"/>
      <w:lvlText w:val="%1.%2.%3.%4.%5.%6.%7.%8"/>
      <w:lvlJc w:val="left"/>
      <w:pPr>
        <w:tabs>
          <w:tab w:val="left" w:pos="4394"/>
        </w:tabs>
        <w:ind w:left="6704" w:hanging="1418"/>
      </w:pPr>
      <w:rPr>
        <w:rFonts w:hint="eastAsia"/>
      </w:rPr>
    </w:lvl>
    <w:lvl w:ilvl="8" w:tentative="0">
      <w:start w:val="1"/>
      <w:numFmt w:val="decimal"/>
      <w:lvlText w:val="%1.%2.%3.%4.%5.%6.%7.%8.%9"/>
      <w:lvlJc w:val="left"/>
      <w:pPr>
        <w:tabs>
          <w:tab w:val="left" w:pos="5102"/>
        </w:tabs>
        <w:ind w:left="7412"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EN.InstantFormat" w:val="&lt;ENInstantFormat&gt;&lt;Enabled&gt;1&lt;/Enabled&gt;&lt;ScanUnformatted&gt;1&lt;/ScanUnformatted&gt;&lt;ScanChanges&gt;1&lt;/ScanChanges&gt;&lt;Suspended&gt;0&lt;/Suspended&gt;&lt;/ENInstantFormat&gt;"/>
    <w:docVar w:name="EN.Layout" w:val="&lt;ENLayout&gt;&lt;Style&gt;Beverage Plant Researc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tex5wzsap5w6evvdhxret05w95prxwrafw&quot;&gt;My EndNote Library&lt;record-ids&gt;&lt;item&gt;934&lt;/item&gt;&lt;item&gt;1915&lt;/item&gt;&lt;item&gt;1916&lt;/item&gt;&lt;item&gt;3971&lt;/item&gt;&lt;item&gt;3972&lt;/item&gt;&lt;item&gt;3977&lt;/item&gt;&lt;/record-ids&gt;&lt;/item&gt;&lt;/Libraries&gt;"/>
  </w:docVars>
  <w:rsids>
    <w:rsidRoot w:val="00DB0952"/>
    <w:rsid w:val="00002F95"/>
    <w:rsid w:val="00004480"/>
    <w:rsid w:val="000048C4"/>
    <w:rsid w:val="000055F1"/>
    <w:rsid w:val="00010F73"/>
    <w:rsid w:val="00011817"/>
    <w:rsid w:val="0001345F"/>
    <w:rsid w:val="000136B1"/>
    <w:rsid w:val="000153A7"/>
    <w:rsid w:val="00017046"/>
    <w:rsid w:val="00021B89"/>
    <w:rsid w:val="000273A7"/>
    <w:rsid w:val="000315EF"/>
    <w:rsid w:val="00031BD1"/>
    <w:rsid w:val="000332AD"/>
    <w:rsid w:val="000334B7"/>
    <w:rsid w:val="0003450B"/>
    <w:rsid w:val="00040B6E"/>
    <w:rsid w:val="00040CA7"/>
    <w:rsid w:val="000419F7"/>
    <w:rsid w:val="00042351"/>
    <w:rsid w:val="00043DBA"/>
    <w:rsid w:val="0004459C"/>
    <w:rsid w:val="0004650D"/>
    <w:rsid w:val="00052831"/>
    <w:rsid w:val="000560F2"/>
    <w:rsid w:val="00060F6C"/>
    <w:rsid w:val="00062A0C"/>
    <w:rsid w:val="0006627A"/>
    <w:rsid w:val="00066A38"/>
    <w:rsid w:val="000714CF"/>
    <w:rsid w:val="000720B3"/>
    <w:rsid w:val="00072582"/>
    <w:rsid w:val="00074310"/>
    <w:rsid w:val="00077D7B"/>
    <w:rsid w:val="00082202"/>
    <w:rsid w:val="0008483C"/>
    <w:rsid w:val="0009035E"/>
    <w:rsid w:val="000A4E45"/>
    <w:rsid w:val="000A73A9"/>
    <w:rsid w:val="000A7AC5"/>
    <w:rsid w:val="000B6A60"/>
    <w:rsid w:val="000C05A4"/>
    <w:rsid w:val="000C2640"/>
    <w:rsid w:val="000D4E4D"/>
    <w:rsid w:val="000D780A"/>
    <w:rsid w:val="000E39F5"/>
    <w:rsid w:val="000E4B40"/>
    <w:rsid w:val="000E7262"/>
    <w:rsid w:val="000F0D86"/>
    <w:rsid w:val="000F3937"/>
    <w:rsid w:val="000F4994"/>
    <w:rsid w:val="000F55B7"/>
    <w:rsid w:val="000F60A1"/>
    <w:rsid w:val="000F65D2"/>
    <w:rsid w:val="001031ED"/>
    <w:rsid w:val="0010397F"/>
    <w:rsid w:val="00103BCF"/>
    <w:rsid w:val="00103C83"/>
    <w:rsid w:val="00104AF3"/>
    <w:rsid w:val="001055FA"/>
    <w:rsid w:val="00106ACF"/>
    <w:rsid w:val="00111A1F"/>
    <w:rsid w:val="001133E8"/>
    <w:rsid w:val="001222C6"/>
    <w:rsid w:val="00125B5A"/>
    <w:rsid w:val="00127A51"/>
    <w:rsid w:val="001376AC"/>
    <w:rsid w:val="001376D3"/>
    <w:rsid w:val="00140218"/>
    <w:rsid w:val="00146230"/>
    <w:rsid w:val="00151AE7"/>
    <w:rsid w:val="001528D8"/>
    <w:rsid w:val="00152F03"/>
    <w:rsid w:val="00155C38"/>
    <w:rsid w:val="00156C63"/>
    <w:rsid w:val="00157E64"/>
    <w:rsid w:val="00160CED"/>
    <w:rsid w:val="001740EF"/>
    <w:rsid w:val="00175020"/>
    <w:rsid w:val="0018018D"/>
    <w:rsid w:val="00180698"/>
    <w:rsid w:val="001835B8"/>
    <w:rsid w:val="00184CDB"/>
    <w:rsid w:val="001853B4"/>
    <w:rsid w:val="00187B1E"/>
    <w:rsid w:val="00187F62"/>
    <w:rsid w:val="00190FBD"/>
    <w:rsid w:val="001A1F2C"/>
    <w:rsid w:val="001A4D59"/>
    <w:rsid w:val="001A50F3"/>
    <w:rsid w:val="001A7EA9"/>
    <w:rsid w:val="001B4442"/>
    <w:rsid w:val="001B4AB8"/>
    <w:rsid w:val="001B4FC6"/>
    <w:rsid w:val="001B5C1E"/>
    <w:rsid w:val="001C7436"/>
    <w:rsid w:val="001E465A"/>
    <w:rsid w:val="001E6A6C"/>
    <w:rsid w:val="001F0D4C"/>
    <w:rsid w:val="001F7C80"/>
    <w:rsid w:val="00205683"/>
    <w:rsid w:val="002145F5"/>
    <w:rsid w:val="002162FD"/>
    <w:rsid w:val="00220E1B"/>
    <w:rsid w:val="002266DE"/>
    <w:rsid w:val="00231524"/>
    <w:rsid w:val="0023199E"/>
    <w:rsid w:val="00233022"/>
    <w:rsid w:val="002347EC"/>
    <w:rsid w:val="00235E37"/>
    <w:rsid w:val="00254099"/>
    <w:rsid w:val="00261EE4"/>
    <w:rsid w:val="00265F2C"/>
    <w:rsid w:val="0027269D"/>
    <w:rsid w:val="0028056F"/>
    <w:rsid w:val="00280FB6"/>
    <w:rsid w:val="00286856"/>
    <w:rsid w:val="00290BEF"/>
    <w:rsid w:val="00291F71"/>
    <w:rsid w:val="002929E1"/>
    <w:rsid w:val="002933C1"/>
    <w:rsid w:val="002A3C4E"/>
    <w:rsid w:val="002A4827"/>
    <w:rsid w:val="002A5A92"/>
    <w:rsid w:val="002A63D1"/>
    <w:rsid w:val="002A7714"/>
    <w:rsid w:val="002B2A76"/>
    <w:rsid w:val="002B3030"/>
    <w:rsid w:val="002B3E9C"/>
    <w:rsid w:val="002B5DD9"/>
    <w:rsid w:val="002B654F"/>
    <w:rsid w:val="002B7E97"/>
    <w:rsid w:val="002C1E96"/>
    <w:rsid w:val="002C4372"/>
    <w:rsid w:val="002C5D83"/>
    <w:rsid w:val="002D4BB4"/>
    <w:rsid w:val="002D4D4F"/>
    <w:rsid w:val="002D6B1E"/>
    <w:rsid w:val="002F0E90"/>
    <w:rsid w:val="002F12E3"/>
    <w:rsid w:val="002F1739"/>
    <w:rsid w:val="002F1FCD"/>
    <w:rsid w:val="002F6F39"/>
    <w:rsid w:val="002F79F9"/>
    <w:rsid w:val="0030353B"/>
    <w:rsid w:val="003108F8"/>
    <w:rsid w:val="003143E9"/>
    <w:rsid w:val="0031670B"/>
    <w:rsid w:val="00316AE6"/>
    <w:rsid w:val="003234B2"/>
    <w:rsid w:val="00325487"/>
    <w:rsid w:val="00331053"/>
    <w:rsid w:val="003330B6"/>
    <w:rsid w:val="00333F33"/>
    <w:rsid w:val="00340741"/>
    <w:rsid w:val="00347C1A"/>
    <w:rsid w:val="00352BE9"/>
    <w:rsid w:val="00354C94"/>
    <w:rsid w:val="00370994"/>
    <w:rsid w:val="003715FC"/>
    <w:rsid w:val="00372BB4"/>
    <w:rsid w:val="00372F63"/>
    <w:rsid w:val="0037300F"/>
    <w:rsid w:val="00374F37"/>
    <w:rsid w:val="00376C1E"/>
    <w:rsid w:val="0038189E"/>
    <w:rsid w:val="0038221B"/>
    <w:rsid w:val="00382853"/>
    <w:rsid w:val="00384CA1"/>
    <w:rsid w:val="0039014A"/>
    <w:rsid w:val="00390746"/>
    <w:rsid w:val="00392A05"/>
    <w:rsid w:val="003958B8"/>
    <w:rsid w:val="00396267"/>
    <w:rsid w:val="003A078E"/>
    <w:rsid w:val="003A1218"/>
    <w:rsid w:val="003B5126"/>
    <w:rsid w:val="003B7C7E"/>
    <w:rsid w:val="003C730C"/>
    <w:rsid w:val="003D11D0"/>
    <w:rsid w:val="003D44E2"/>
    <w:rsid w:val="003E158D"/>
    <w:rsid w:val="003E167F"/>
    <w:rsid w:val="003E237E"/>
    <w:rsid w:val="003E5AEB"/>
    <w:rsid w:val="003F7DA9"/>
    <w:rsid w:val="003F7E66"/>
    <w:rsid w:val="00401426"/>
    <w:rsid w:val="0040385E"/>
    <w:rsid w:val="00404A54"/>
    <w:rsid w:val="00406F67"/>
    <w:rsid w:val="00407035"/>
    <w:rsid w:val="004076A4"/>
    <w:rsid w:val="004149AF"/>
    <w:rsid w:val="0041536D"/>
    <w:rsid w:val="004268B8"/>
    <w:rsid w:val="0042771B"/>
    <w:rsid w:val="004304E0"/>
    <w:rsid w:val="0043166A"/>
    <w:rsid w:val="00432C1F"/>
    <w:rsid w:val="0043447E"/>
    <w:rsid w:val="00445479"/>
    <w:rsid w:val="004543DF"/>
    <w:rsid w:val="0045636E"/>
    <w:rsid w:val="00461582"/>
    <w:rsid w:val="004636BC"/>
    <w:rsid w:val="004668D1"/>
    <w:rsid w:val="00467CD3"/>
    <w:rsid w:val="004702D2"/>
    <w:rsid w:val="00471ED4"/>
    <w:rsid w:val="00472EFA"/>
    <w:rsid w:val="00475C2E"/>
    <w:rsid w:val="00477B39"/>
    <w:rsid w:val="004840E8"/>
    <w:rsid w:val="004845C0"/>
    <w:rsid w:val="00485FD7"/>
    <w:rsid w:val="00497824"/>
    <w:rsid w:val="00497C6A"/>
    <w:rsid w:val="004B3ABB"/>
    <w:rsid w:val="004B3B98"/>
    <w:rsid w:val="004B6267"/>
    <w:rsid w:val="004B6589"/>
    <w:rsid w:val="004C0C3A"/>
    <w:rsid w:val="004C139E"/>
    <w:rsid w:val="004C6F57"/>
    <w:rsid w:val="004D7F70"/>
    <w:rsid w:val="004E1C34"/>
    <w:rsid w:val="004F28CC"/>
    <w:rsid w:val="004F68DD"/>
    <w:rsid w:val="004F7F53"/>
    <w:rsid w:val="005006A7"/>
    <w:rsid w:val="00503F46"/>
    <w:rsid w:val="00504764"/>
    <w:rsid w:val="0050560C"/>
    <w:rsid w:val="005079C5"/>
    <w:rsid w:val="00511DD5"/>
    <w:rsid w:val="00512BE9"/>
    <w:rsid w:val="005156C9"/>
    <w:rsid w:val="00520822"/>
    <w:rsid w:val="00523F56"/>
    <w:rsid w:val="005262A3"/>
    <w:rsid w:val="00530B7E"/>
    <w:rsid w:val="0053123C"/>
    <w:rsid w:val="00541CAB"/>
    <w:rsid w:val="00543FEB"/>
    <w:rsid w:val="005474FD"/>
    <w:rsid w:val="0055024B"/>
    <w:rsid w:val="00553409"/>
    <w:rsid w:val="0055647A"/>
    <w:rsid w:val="00560A89"/>
    <w:rsid w:val="00562E3B"/>
    <w:rsid w:val="005713A3"/>
    <w:rsid w:val="00573528"/>
    <w:rsid w:val="00574368"/>
    <w:rsid w:val="00575F89"/>
    <w:rsid w:val="005775FB"/>
    <w:rsid w:val="00580C87"/>
    <w:rsid w:val="005818D9"/>
    <w:rsid w:val="00585AD3"/>
    <w:rsid w:val="00586B2B"/>
    <w:rsid w:val="00597630"/>
    <w:rsid w:val="005A0E0E"/>
    <w:rsid w:val="005A13A0"/>
    <w:rsid w:val="005A7663"/>
    <w:rsid w:val="005C5A1C"/>
    <w:rsid w:val="005D0017"/>
    <w:rsid w:val="005D08A0"/>
    <w:rsid w:val="005D3603"/>
    <w:rsid w:val="005D3A4C"/>
    <w:rsid w:val="005D3FA0"/>
    <w:rsid w:val="005D482D"/>
    <w:rsid w:val="005E039E"/>
    <w:rsid w:val="005E323A"/>
    <w:rsid w:val="005E600E"/>
    <w:rsid w:val="005E7D86"/>
    <w:rsid w:val="005F07CC"/>
    <w:rsid w:val="005F3CDD"/>
    <w:rsid w:val="005F4E89"/>
    <w:rsid w:val="005F62A1"/>
    <w:rsid w:val="005F6DB3"/>
    <w:rsid w:val="006007F0"/>
    <w:rsid w:val="00607F56"/>
    <w:rsid w:val="00610A8E"/>
    <w:rsid w:val="00610C3C"/>
    <w:rsid w:val="00617181"/>
    <w:rsid w:val="00617B7A"/>
    <w:rsid w:val="00620D54"/>
    <w:rsid w:val="006251C7"/>
    <w:rsid w:val="0063431B"/>
    <w:rsid w:val="00634ABE"/>
    <w:rsid w:val="0064009C"/>
    <w:rsid w:val="006433D6"/>
    <w:rsid w:val="00643F57"/>
    <w:rsid w:val="00644202"/>
    <w:rsid w:val="006468EA"/>
    <w:rsid w:val="0065097B"/>
    <w:rsid w:val="006530F0"/>
    <w:rsid w:val="006532E0"/>
    <w:rsid w:val="00653341"/>
    <w:rsid w:val="00657B22"/>
    <w:rsid w:val="00660F89"/>
    <w:rsid w:val="00662CCC"/>
    <w:rsid w:val="00665C4A"/>
    <w:rsid w:val="00673B3C"/>
    <w:rsid w:val="0068404D"/>
    <w:rsid w:val="006940CD"/>
    <w:rsid w:val="00695E95"/>
    <w:rsid w:val="006970A2"/>
    <w:rsid w:val="006973EA"/>
    <w:rsid w:val="00697405"/>
    <w:rsid w:val="006A6CA9"/>
    <w:rsid w:val="006B3FE4"/>
    <w:rsid w:val="006B5F7F"/>
    <w:rsid w:val="006C169F"/>
    <w:rsid w:val="006C54A1"/>
    <w:rsid w:val="006D55B8"/>
    <w:rsid w:val="006D76F0"/>
    <w:rsid w:val="006E06A1"/>
    <w:rsid w:val="006E1F56"/>
    <w:rsid w:val="006E533E"/>
    <w:rsid w:val="006E5361"/>
    <w:rsid w:val="006F06A5"/>
    <w:rsid w:val="006F09D4"/>
    <w:rsid w:val="006F1094"/>
    <w:rsid w:val="006F2BA6"/>
    <w:rsid w:val="006F32FB"/>
    <w:rsid w:val="006F6C05"/>
    <w:rsid w:val="00700F0A"/>
    <w:rsid w:val="00701057"/>
    <w:rsid w:val="0070143F"/>
    <w:rsid w:val="007056D0"/>
    <w:rsid w:val="00705AFB"/>
    <w:rsid w:val="00713200"/>
    <w:rsid w:val="00724C88"/>
    <w:rsid w:val="007253D7"/>
    <w:rsid w:val="00732150"/>
    <w:rsid w:val="00733015"/>
    <w:rsid w:val="00734F60"/>
    <w:rsid w:val="00742119"/>
    <w:rsid w:val="0074242B"/>
    <w:rsid w:val="0074242C"/>
    <w:rsid w:val="007427CE"/>
    <w:rsid w:val="0074410C"/>
    <w:rsid w:val="00745B45"/>
    <w:rsid w:val="00750983"/>
    <w:rsid w:val="007565C0"/>
    <w:rsid w:val="00757214"/>
    <w:rsid w:val="00760D77"/>
    <w:rsid w:val="00770DD4"/>
    <w:rsid w:val="007753F9"/>
    <w:rsid w:val="0077643C"/>
    <w:rsid w:val="0079052A"/>
    <w:rsid w:val="00791E60"/>
    <w:rsid w:val="007927A1"/>
    <w:rsid w:val="00793AAF"/>
    <w:rsid w:val="007961E8"/>
    <w:rsid w:val="00797B08"/>
    <w:rsid w:val="007A47D7"/>
    <w:rsid w:val="007B123F"/>
    <w:rsid w:val="007B1454"/>
    <w:rsid w:val="007B228C"/>
    <w:rsid w:val="007B4601"/>
    <w:rsid w:val="007B5C08"/>
    <w:rsid w:val="007B6029"/>
    <w:rsid w:val="007B6998"/>
    <w:rsid w:val="007B6AB9"/>
    <w:rsid w:val="007C780F"/>
    <w:rsid w:val="007D7310"/>
    <w:rsid w:val="007D73F4"/>
    <w:rsid w:val="007D7F75"/>
    <w:rsid w:val="007E00DB"/>
    <w:rsid w:val="007E0999"/>
    <w:rsid w:val="007E3FFF"/>
    <w:rsid w:val="007E63F8"/>
    <w:rsid w:val="007E68C9"/>
    <w:rsid w:val="007F0180"/>
    <w:rsid w:val="007F09AA"/>
    <w:rsid w:val="007F13D2"/>
    <w:rsid w:val="007F23A8"/>
    <w:rsid w:val="007F75F9"/>
    <w:rsid w:val="00804E58"/>
    <w:rsid w:val="00805621"/>
    <w:rsid w:val="00806860"/>
    <w:rsid w:val="00806B17"/>
    <w:rsid w:val="0080718D"/>
    <w:rsid w:val="00810141"/>
    <w:rsid w:val="00811EAF"/>
    <w:rsid w:val="008146AA"/>
    <w:rsid w:val="0081706D"/>
    <w:rsid w:val="00827955"/>
    <w:rsid w:val="00830CB7"/>
    <w:rsid w:val="008310BD"/>
    <w:rsid w:val="00842725"/>
    <w:rsid w:val="0084528A"/>
    <w:rsid w:val="00847154"/>
    <w:rsid w:val="0084754A"/>
    <w:rsid w:val="00851BA2"/>
    <w:rsid w:val="00854AD4"/>
    <w:rsid w:val="0085578D"/>
    <w:rsid w:val="00863098"/>
    <w:rsid w:val="0086392B"/>
    <w:rsid w:val="00867EDE"/>
    <w:rsid w:val="00870ABF"/>
    <w:rsid w:val="00871029"/>
    <w:rsid w:val="00871221"/>
    <w:rsid w:val="00871C71"/>
    <w:rsid w:val="00872E5C"/>
    <w:rsid w:val="00875576"/>
    <w:rsid w:val="008834D1"/>
    <w:rsid w:val="0088757F"/>
    <w:rsid w:val="00892F82"/>
    <w:rsid w:val="00895CD3"/>
    <w:rsid w:val="00896381"/>
    <w:rsid w:val="00896795"/>
    <w:rsid w:val="008A043A"/>
    <w:rsid w:val="008A50B5"/>
    <w:rsid w:val="008A5BFF"/>
    <w:rsid w:val="008B068D"/>
    <w:rsid w:val="008B0D2C"/>
    <w:rsid w:val="008B182D"/>
    <w:rsid w:val="008B1B80"/>
    <w:rsid w:val="008B4F5C"/>
    <w:rsid w:val="008B701D"/>
    <w:rsid w:val="008C4C54"/>
    <w:rsid w:val="008D0D24"/>
    <w:rsid w:val="008D0DE5"/>
    <w:rsid w:val="008D156D"/>
    <w:rsid w:val="008D2F42"/>
    <w:rsid w:val="008D3B26"/>
    <w:rsid w:val="008E08D4"/>
    <w:rsid w:val="008E1C90"/>
    <w:rsid w:val="008F0918"/>
    <w:rsid w:val="008F2212"/>
    <w:rsid w:val="008F264C"/>
    <w:rsid w:val="008F31BB"/>
    <w:rsid w:val="008F70D0"/>
    <w:rsid w:val="008F77AC"/>
    <w:rsid w:val="008F7D64"/>
    <w:rsid w:val="00902863"/>
    <w:rsid w:val="00902EF5"/>
    <w:rsid w:val="009067A8"/>
    <w:rsid w:val="00910C14"/>
    <w:rsid w:val="00913627"/>
    <w:rsid w:val="00916E02"/>
    <w:rsid w:val="00920840"/>
    <w:rsid w:val="009226DF"/>
    <w:rsid w:val="0092313C"/>
    <w:rsid w:val="009249C6"/>
    <w:rsid w:val="0092713F"/>
    <w:rsid w:val="0093389E"/>
    <w:rsid w:val="00933AA2"/>
    <w:rsid w:val="00933D56"/>
    <w:rsid w:val="009354DB"/>
    <w:rsid w:val="00936BBC"/>
    <w:rsid w:val="00940113"/>
    <w:rsid w:val="0094511C"/>
    <w:rsid w:val="00950EEB"/>
    <w:rsid w:val="00953E4B"/>
    <w:rsid w:val="0095562E"/>
    <w:rsid w:val="009556DB"/>
    <w:rsid w:val="009557CF"/>
    <w:rsid w:val="00960109"/>
    <w:rsid w:val="00966C97"/>
    <w:rsid w:val="009679BF"/>
    <w:rsid w:val="009743BC"/>
    <w:rsid w:val="009855B0"/>
    <w:rsid w:val="00986489"/>
    <w:rsid w:val="0099166B"/>
    <w:rsid w:val="009A0101"/>
    <w:rsid w:val="009A66B1"/>
    <w:rsid w:val="009A7FE9"/>
    <w:rsid w:val="009B5854"/>
    <w:rsid w:val="009C3665"/>
    <w:rsid w:val="009D5183"/>
    <w:rsid w:val="009E0AA5"/>
    <w:rsid w:val="009E1690"/>
    <w:rsid w:val="009E1944"/>
    <w:rsid w:val="009E310D"/>
    <w:rsid w:val="009E3C9F"/>
    <w:rsid w:val="009E3D44"/>
    <w:rsid w:val="009E442D"/>
    <w:rsid w:val="009E717D"/>
    <w:rsid w:val="009E7378"/>
    <w:rsid w:val="009E7627"/>
    <w:rsid w:val="009F5B23"/>
    <w:rsid w:val="009F699A"/>
    <w:rsid w:val="009F7D44"/>
    <w:rsid w:val="00A05AA2"/>
    <w:rsid w:val="00A05CB6"/>
    <w:rsid w:val="00A06ECC"/>
    <w:rsid w:val="00A072B1"/>
    <w:rsid w:val="00A13661"/>
    <w:rsid w:val="00A13862"/>
    <w:rsid w:val="00A14FC5"/>
    <w:rsid w:val="00A150C0"/>
    <w:rsid w:val="00A21812"/>
    <w:rsid w:val="00A27F78"/>
    <w:rsid w:val="00A31024"/>
    <w:rsid w:val="00A32253"/>
    <w:rsid w:val="00A32934"/>
    <w:rsid w:val="00A33130"/>
    <w:rsid w:val="00A33DB1"/>
    <w:rsid w:val="00A34C5C"/>
    <w:rsid w:val="00A37BA1"/>
    <w:rsid w:val="00A4095D"/>
    <w:rsid w:val="00A70921"/>
    <w:rsid w:val="00A7246C"/>
    <w:rsid w:val="00A76549"/>
    <w:rsid w:val="00A81CBA"/>
    <w:rsid w:val="00A84FF2"/>
    <w:rsid w:val="00A85956"/>
    <w:rsid w:val="00A964D5"/>
    <w:rsid w:val="00AA7412"/>
    <w:rsid w:val="00AA784A"/>
    <w:rsid w:val="00AB0155"/>
    <w:rsid w:val="00AB3E94"/>
    <w:rsid w:val="00AB50FA"/>
    <w:rsid w:val="00AB6435"/>
    <w:rsid w:val="00AC14AF"/>
    <w:rsid w:val="00AC181A"/>
    <w:rsid w:val="00AC2EF5"/>
    <w:rsid w:val="00AC655D"/>
    <w:rsid w:val="00AC68F5"/>
    <w:rsid w:val="00AC786A"/>
    <w:rsid w:val="00AD1C19"/>
    <w:rsid w:val="00AD2454"/>
    <w:rsid w:val="00AD4E69"/>
    <w:rsid w:val="00AD5C9C"/>
    <w:rsid w:val="00AE1DE5"/>
    <w:rsid w:val="00AE2969"/>
    <w:rsid w:val="00AE3D2A"/>
    <w:rsid w:val="00AE616E"/>
    <w:rsid w:val="00AE6421"/>
    <w:rsid w:val="00AF0DFF"/>
    <w:rsid w:val="00AF132A"/>
    <w:rsid w:val="00AF2BA4"/>
    <w:rsid w:val="00AF73DB"/>
    <w:rsid w:val="00AF74F2"/>
    <w:rsid w:val="00B002E5"/>
    <w:rsid w:val="00B0083A"/>
    <w:rsid w:val="00B02310"/>
    <w:rsid w:val="00B04506"/>
    <w:rsid w:val="00B0723A"/>
    <w:rsid w:val="00B077E0"/>
    <w:rsid w:val="00B07EF9"/>
    <w:rsid w:val="00B237D3"/>
    <w:rsid w:val="00B242F7"/>
    <w:rsid w:val="00B42124"/>
    <w:rsid w:val="00B4308A"/>
    <w:rsid w:val="00B50A56"/>
    <w:rsid w:val="00B5259A"/>
    <w:rsid w:val="00B55ED5"/>
    <w:rsid w:val="00B562AF"/>
    <w:rsid w:val="00B57961"/>
    <w:rsid w:val="00B57BE7"/>
    <w:rsid w:val="00B60CA5"/>
    <w:rsid w:val="00B61CA4"/>
    <w:rsid w:val="00B6238C"/>
    <w:rsid w:val="00B623B0"/>
    <w:rsid w:val="00B6255D"/>
    <w:rsid w:val="00B643D4"/>
    <w:rsid w:val="00B6549A"/>
    <w:rsid w:val="00B70228"/>
    <w:rsid w:val="00B72730"/>
    <w:rsid w:val="00B7570A"/>
    <w:rsid w:val="00B920DB"/>
    <w:rsid w:val="00BA2A48"/>
    <w:rsid w:val="00BB4E98"/>
    <w:rsid w:val="00BB5CDD"/>
    <w:rsid w:val="00BC0204"/>
    <w:rsid w:val="00BC7293"/>
    <w:rsid w:val="00BD12F8"/>
    <w:rsid w:val="00BD33B1"/>
    <w:rsid w:val="00BD3D4F"/>
    <w:rsid w:val="00BD65CC"/>
    <w:rsid w:val="00BE0767"/>
    <w:rsid w:val="00BE14EC"/>
    <w:rsid w:val="00BE1CC9"/>
    <w:rsid w:val="00BE70DC"/>
    <w:rsid w:val="00BF0A32"/>
    <w:rsid w:val="00BF1ECE"/>
    <w:rsid w:val="00BF499E"/>
    <w:rsid w:val="00BF57C0"/>
    <w:rsid w:val="00C0222E"/>
    <w:rsid w:val="00C12F27"/>
    <w:rsid w:val="00C1521E"/>
    <w:rsid w:val="00C15968"/>
    <w:rsid w:val="00C16AB1"/>
    <w:rsid w:val="00C243FA"/>
    <w:rsid w:val="00C27542"/>
    <w:rsid w:val="00C30F7C"/>
    <w:rsid w:val="00C310A4"/>
    <w:rsid w:val="00C33EB8"/>
    <w:rsid w:val="00C35AF6"/>
    <w:rsid w:val="00C40792"/>
    <w:rsid w:val="00C4084D"/>
    <w:rsid w:val="00C41B7C"/>
    <w:rsid w:val="00C445BA"/>
    <w:rsid w:val="00C56D06"/>
    <w:rsid w:val="00C6209F"/>
    <w:rsid w:val="00C625AB"/>
    <w:rsid w:val="00C75643"/>
    <w:rsid w:val="00C81673"/>
    <w:rsid w:val="00C83EA7"/>
    <w:rsid w:val="00C86A0F"/>
    <w:rsid w:val="00C87775"/>
    <w:rsid w:val="00C94346"/>
    <w:rsid w:val="00C978C1"/>
    <w:rsid w:val="00C97E6A"/>
    <w:rsid w:val="00CA0A20"/>
    <w:rsid w:val="00CA1F09"/>
    <w:rsid w:val="00CA26EC"/>
    <w:rsid w:val="00CA472F"/>
    <w:rsid w:val="00CA6B3D"/>
    <w:rsid w:val="00CA6B98"/>
    <w:rsid w:val="00CA6CBB"/>
    <w:rsid w:val="00CA75FB"/>
    <w:rsid w:val="00CB1D45"/>
    <w:rsid w:val="00CB22F1"/>
    <w:rsid w:val="00CB354A"/>
    <w:rsid w:val="00CB4656"/>
    <w:rsid w:val="00CB4AFB"/>
    <w:rsid w:val="00CB62E3"/>
    <w:rsid w:val="00CC0BC5"/>
    <w:rsid w:val="00CC26EA"/>
    <w:rsid w:val="00CC5464"/>
    <w:rsid w:val="00CC7E86"/>
    <w:rsid w:val="00CD1838"/>
    <w:rsid w:val="00CD3F16"/>
    <w:rsid w:val="00CE0B37"/>
    <w:rsid w:val="00CE28B8"/>
    <w:rsid w:val="00CE2DEA"/>
    <w:rsid w:val="00CE31FD"/>
    <w:rsid w:val="00CE4529"/>
    <w:rsid w:val="00CE5AD0"/>
    <w:rsid w:val="00CF706D"/>
    <w:rsid w:val="00D01202"/>
    <w:rsid w:val="00D03DA3"/>
    <w:rsid w:val="00D07427"/>
    <w:rsid w:val="00D11F01"/>
    <w:rsid w:val="00D14EE3"/>
    <w:rsid w:val="00D348AA"/>
    <w:rsid w:val="00D40A2E"/>
    <w:rsid w:val="00D46FC3"/>
    <w:rsid w:val="00D50DC9"/>
    <w:rsid w:val="00D56513"/>
    <w:rsid w:val="00D6498E"/>
    <w:rsid w:val="00D708AB"/>
    <w:rsid w:val="00D71CDB"/>
    <w:rsid w:val="00D73EEF"/>
    <w:rsid w:val="00D7724A"/>
    <w:rsid w:val="00D77352"/>
    <w:rsid w:val="00D82C7C"/>
    <w:rsid w:val="00D91450"/>
    <w:rsid w:val="00D9650B"/>
    <w:rsid w:val="00DA2044"/>
    <w:rsid w:val="00DA5513"/>
    <w:rsid w:val="00DB0952"/>
    <w:rsid w:val="00DB7183"/>
    <w:rsid w:val="00DC0CBE"/>
    <w:rsid w:val="00DC348C"/>
    <w:rsid w:val="00DC641B"/>
    <w:rsid w:val="00DD0F52"/>
    <w:rsid w:val="00DD6982"/>
    <w:rsid w:val="00DE0314"/>
    <w:rsid w:val="00DE0935"/>
    <w:rsid w:val="00DE6655"/>
    <w:rsid w:val="00DF50ED"/>
    <w:rsid w:val="00E00087"/>
    <w:rsid w:val="00E035C2"/>
    <w:rsid w:val="00E0719E"/>
    <w:rsid w:val="00E1077F"/>
    <w:rsid w:val="00E14C07"/>
    <w:rsid w:val="00E16E4D"/>
    <w:rsid w:val="00E16EE6"/>
    <w:rsid w:val="00E17B5A"/>
    <w:rsid w:val="00E20AC9"/>
    <w:rsid w:val="00E20BF0"/>
    <w:rsid w:val="00E266D4"/>
    <w:rsid w:val="00E2691C"/>
    <w:rsid w:val="00E31887"/>
    <w:rsid w:val="00E34A21"/>
    <w:rsid w:val="00E36AC3"/>
    <w:rsid w:val="00E376D1"/>
    <w:rsid w:val="00E422D2"/>
    <w:rsid w:val="00E42C62"/>
    <w:rsid w:val="00E42DB3"/>
    <w:rsid w:val="00E43C62"/>
    <w:rsid w:val="00E43E36"/>
    <w:rsid w:val="00E447D8"/>
    <w:rsid w:val="00E4572B"/>
    <w:rsid w:val="00E5497F"/>
    <w:rsid w:val="00E56930"/>
    <w:rsid w:val="00E61351"/>
    <w:rsid w:val="00E6276A"/>
    <w:rsid w:val="00E63BA2"/>
    <w:rsid w:val="00E64020"/>
    <w:rsid w:val="00E64594"/>
    <w:rsid w:val="00E7111E"/>
    <w:rsid w:val="00E73428"/>
    <w:rsid w:val="00E73E87"/>
    <w:rsid w:val="00E73E9F"/>
    <w:rsid w:val="00E75E88"/>
    <w:rsid w:val="00E775A4"/>
    <w:rsid w:val="00E77C18"/>
    <w:rsid w:val="00E804E5"/>
    <w:rsid w:val="00E80DCF"/>
    <w:rsid w:val="00E83B15"/>
    <w:rsid w:val="00E8612A"/>
    <w:rsid w:val="00E90C32"/>
    <w:rsid w:val="00E96EE7"/>
    <w:rsid w:val="00E97BD3"/>
    <w:rsid w:val="00EA479C"/>
    <w:rsid w:val="00EC01BC"/>
    <w:rsid w:val="00EC16AC"/>
    <w:rsid w:val="00EC32AE"/>
    <w:rsid w:val="00EC4938"/>
    <w:rsid w:val="00ED18E8"/>
    <w:rsid w:val="00ED3BE4"/>
    <w:rsid w:val="00EE1AA8"/>
    <w:rsid w:val="00EE2E94"/>
    <w:rsid w:val="00EF0EED"/>
    <w:rsid w:val="00EF3D00"/>
    <w:rsid w:val="00EF4D4B"/>
    <w:rsid w:val="00F01121"/>
    <w:rsid w:val="00F01E9F"/>
    <w:rsid w:val="00F05447"/>
    <w:rsid w:val="00F109B3"/>
    <w:rsid w:val="00F10DFC"/>
    <w:rsid w:val="00F11814"/>
    <w:rsid w:val="00F14474"/>
    <w:rsid w:val="00F17952"/>
    <w:rsid w:val="00F23562"/>
    <w:rsid w:val="00F30CC3"/>
    <w:rsid w:val="00F348C1"/>
    <w:rsid w:val="00F34EA0"/>
    <w:rsid w:val="00F35881"/>
    <w:rsid w:val="00F35EC5"/>
    <w:rsid w:val="00F36A5A"/>
    <w:rsid w:val="00F401DE"/>
    <w:rsid w:val="00F41946"/>
    <w:rsid w:val="00F44D27"/>
    <w:rsid w:val="00F45038"/>
    <w:rsid w:val="00F45833"/>
    <w:rsid w:val="00F4620B"/>
    <w:rsid w:val="00F463E7"/>
    <w:rsid w:val="00F546CB"/>
    <w:rsid w:val="00F55178"/>
    <w:rsid w:val="00F669A9"/>
    <w:rsid w:val="00F71F74"/>
    <w:rsid w:val="00F72F87"/>
    <w:rsid w:val="00F74FA6"/>
    <w:rsid w:val="00F75AF9"/>
    <w:rsid w:val="00F75FD7"/>
    <w:rsid w:val="00F81996"/>
    <w:rsid w:val="00F82E05"/>
    <w:rsid w:val="00F8379F"/>
    <w:rsid w:val="00F91CFC"/>
    <w:rsid w:val="00F92261"/>
    <w:rsid w:val="00F9644E"/>
    <w:rsid w:val="00F97520"/>
    <w:rsid w:val="00FA0AC2"/>
    <w:rsid w:val="00FA1122"/>
    <w:rsid w:val="00FA27DB"/>
    <w:rsid w:val="00FA64C2"/>
    <w:rsid w:val="00FB04F4"/>
    <w:rsid w:val="00FB0B2E"/>
    <w:rsid w:val="00FC1CE3"/>
    <w:rsid w:val="00FC225F"/>
    <w:rsid w:val="00FC29CF"/>
    <w:rsid w:val="00FC77CC"/>
    <w:rsid w:val="00FD0BA3"/>
    <w:rsid w:val="00FD5215"/>
    <w:rsid w:val="00FD617F"/>
    <w:rsid w:val="00FE35EF"/>
    <w:rsid w:val="00FE619B"/>
    <w:rsid w:val="00FE7C25"/>
    <w:rsid w:val="00FF03CD"/>
    <w:rsid w:val="00FF19E3"/>
    <w:rsid w:val="00FF47F7"/>
    <w:rsid w:val="00FF571E"/>
    <w:rsid w:val="025A6EA2"/>
    <w:rsid w:val="049A5E25"/>
    <w:rsid w:val="05461B3B"/>
    <w:rsid w:val="063876A4"/>
    <w:rsid w:val="073C1416"/>
    <w:rsid w:val="07574C7D"/>
    <w:rsid w:val="07E31891"/>
    <w:rsid w:val="092871EB"/>
    <w:rsid w:val="0A595E3B"/>
    <w:rsid w:val="0BBEA0CC"/>
    <w:rsid w:val="10950E90"/>
    <w:rsid w:val="10E87F18"/>
    <w:rsid w:val="12633CFA"/>
    <w:rsid w:val="12DB0E47"/>
    <w:rsid w:val="1A671EFF"/>
    <w:rsid w:val="1B102545"/>
    <w:rsid w:val="1B610FF3"/>
    <w:rsid w:val="1CB447DF"/>
    <w:rsid w:val="1D825911"/>
    <w:rsid w:val="1E7E7E05"/>
    <w:rsid w:val="1E901EC7"/>
    <w:rsid w:val="1FAEB0D3"/>
    <w:rsid w:val="21296906"/>
    <w:rsid w:val="21C615AE"/>
    <w:rsid w:val="273C55E4"/>
    <w:rsid w:val="284E0490"/>
    <w:rsid w:val="29BDC9D3"/>
    <w:rsid w:val="2A2658E2"/>
    <w:rsid w:val="2C1650DD"/>
    <w:rsid w:val="2DC77C2F"/>
    <w:rsid w:val="2DFFC811"/>
    <w:rsid w:val="2F7FE596"/>
    <w:rsid w:val="2FFE9049"/>
    <w:rsid w:val="313B4368"/>
    <w:rsid w:val="31DF0AE4"/>
    <w:rsid w:val="34434269"/>
    <w:rsid w:val="34A044E2"/>
    <w:rsid w:val="38A35F7C"/>
    <w:rsid w:val="393D0758"/>
    <w:rsid w:val="3D17266E"/>
    <w:rsid w:val="3D257C7B"/>
    <w:rsid w:val="3DBDA298"/>
    <w:rsid w:val="3E7DD80A"/>
    <w:rsid w:val="3EBA58E3"/>
    <w:rsid w:val="3FF6AFA4"/>
    <w:rsid w:val="3FF7F3EA"/>
    <w:rsid w:val="3FF974DB"/>
    <w:rsid w:val="41884C08"/>
    <w:rsid w:val="48DF2D1D"/>
    <w:rsid w:val="4A9F28CC"/>
    <w:rsid w:val="4AB04F91"/>
    <w:rsid w:val="4B7324F9"/>
    <w:rsid w:val="4BBF3CB2"/>
    <w:rsid w:val="4D134330"/>
    <w:rsid w:val="4EDB7286"/>
    <w:rsid w:val="4FF589C0"/>
    <w:rsid w:val="52C13B4A"/>
    <w:rsid w:val="55F16B31"/>
    <w:rsid w:val="566A33AF"/>
    <w:rsid w:val="579B811B"/>
    <w:rsid w:val="589B18E6"/>
    <w:rsid w:val="5AFF322B"/>
    <w:rsid w:val="5EB2418F"/>
    <w:rsid w:val="5FBFF681"/>
    <w:rsid w:val="5FFF32F1"/>
    <w:rsid w:val="61F9220F"/>
    <w:rsid w:val="62435AD4"/>
    <w:rsid w:val="63666773"/>
    <w:rsid w:val="65962C14"/>
    <w:rsid w:val="65EB2226"/>
    <w:rsid w:val="663F65A9"/>
    <w:rsid w:val="66E30F07"/>
    <w:rsid w:val="688E327E"/>
    <w:rsid w:val="6A962AC7"/>
    <w:rsid w:val="6BA37623"/>
    <w:rsid w:val="6C367D4A"/>
    <w:rsid w:val="6C598803"/>
    <w:rsid w:val="6D77654F"/>
    <w:rsid w:val="6D7AF204"/>
    <w:rsid w:val="6E5FB9CA"/>
    <w:rsid w:val="6E93A721"/>
    <w:rsid w:val="6F814F27"/>
    <w:rsid w:val="6FDD0C4F"/>
    <w:rsid w:val="6FDFDDBD"/>
    <w:rsid w:val="6FE7F598"/>
    <w:rsid w:val="6FED1187"/>
    <w:rsid w:val="6FF5D377"/>
    <w:rsid w:val="6FFEF85C"/>
    <w:rsid w:val="70BF05E7"/>
    <w:rsid w:val="71F57FBF"/>
    <w:rsid w:val="721D6B97"/>
    <w:rsid w:val="72954837"/>
    <w:rsid w:val="7375558C"/>
    <w:rsid w:val="739C3319"/>
    <w:rsid w:val="756712F3"/>
    <w:rsid w:val="7663EF3D"/>
    <w:rsid w:val="777FD0DE"/>
    <w:rsid w:val="77AF4D41"/>
    <w:rsid w:val="77B0D2B3"/>
    <w:rsid w:val="77B7256F"/>
    <w:rsid w:val="77EF7B3A"/>
    <w:rsid w:val="7ADD0ED5"/>
    <w:rsid w:val="7B7A518E"/>
    <w:rsid w:val="7BE73D72"/>
    <w:rsid w:val="7BEDD0F4"/>
    <w:rsid w:val="7C2BB705"/>
    <w:rsid w:val="7CC79081"/>
    <w:rsid w:val="7CDF2C92"/>
    <w:rsid w:val="7DB65609"/>
    <w:rsid w:val="7DF45F77"/>
    <w:rsid w:val="7DF80F2B"/>
    <w:rsid w:val="7E0822AB"/>
    <w:rsid w:val="7E7F1E85"/>
    <w:rsid w:val="7EAF0A83"/>
    <w:rsid w:val="7EDF3371"/>
    <w:rsid w:val="7EEB3E79"/>
    <w:rsid w:val="7EEFEC61"/>
    <w:rsid w:val="7EFAFE15"/>
    <w:rsid w:val="7EFF08A1"/>
    <w:rsid w:val="7F1F871C"/>
    <w:rsid w:val="7F7F2D07"/>
    <w:rsid w:val="7FAE33EF"/>
    <w:rsid w:val="7FF5CA1C"/>
    <w:rsid w:val="953F6345"/>
    <w:rsid w:val="9E7DCE54"/>
    <w:rsid w:val="9EFD919F"/>
    <w:rsid w:val="AAFABB70"/>
    <w:rsid w:val="AFAB37DB"/>
    <w:rsid w:val="B2FFCDD1"/>
    <w:rsid w:val="B3FFF5B3"/>
    <w:rsid w:val="B7BF2BF2"/>
    <w:rsid w:val="B7D2381D"/>
    <w:rsid w:val="B97D7E16"/>
    <w:rsid w:val="BD7F6350"/>
    <w:rsid w:val="BDFBFC58"/>
    <w:rsid w:val="BE3D8AA5"/>
    <w:rsid w:val="BEED91F0"/>
    <w:rsid w:val="BFD048E2"/>
    <w:rsid w:val="BFFBF9F1"/>
    <w:rsid w:val="C6EFA62D"/>
    <w:rsid w:val="CD6FF63A"/>
    <w:rsid w:val="CDDF5C31"/>
    <w:rsid w:val="D76F21B3"/>
    <w:rsid w:val="D7DF6134"/>
    <w:rsid w:val="DDBF354D"/>
    <w:rsid w:val="DEFFF983"/>
    <w:rsid w:val="E716F3DD"/>
    <w:rsid w:val="EBEF2587"/>
    <w:rsid w:val="EE2F3D55"/>
    <w:rsid w:val="F1DBC980"/>
    <w:rsid w:val="F379A55B"/>
    <w:rsid w:val="F5B89581"/>
    <w:rsid w:val="F7FB325C"/>
    <w:rsid w:val="F7FFCD81"/>
    <w:rsid w:val="F9B69281"/>
    <w:rsid w:val="FAFA6FE6"/>
    <w:rsid w:val="FAFF000D"/>
    <w:rsid w:val="FB75BBA9"/>
    <w:rsid w:val="FB7EFC74"/>
    <w:rsid w:val="FBCF3687"/>
    <w:rsid w:val="FBF9390B"/>
    <w:rsid w:val="FD76B6AD"/>
    <w:rsid w:val="FD7FAFA6"/>
    <w:rsid w:val="FDEE1BFA"/>
    <w:rsid w:val="FDFF2732"/>
    <w:rsid w:val="FE6E067C"/>
    <w:rsid w:val="FEBF55E1"/>
    <w:rsid w:val="FF6AB888"/>
    <w:rsid w:val="FF6F796D"/>
    <w:rsid w:val="FF9EA20E"/>
    <w:rsid w:val="FFBD0D3E"/>
    <w:rsid w:val="FFCD39EC"/>
    <w:rsid w:val="FFE7F4CD"/>
    <w:rsid w:val="FFEFD913"/>
    <w:rsid w:val="FFFEE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rPr>
      <w:szCs w:val="22"/>
    </w:rPr>
  </w:style>
  <w:style w:type="paragraph" w:styleId="5">
    <w:name w:val="Balloon Text"/>
    <w:basedOn w:val="1"/>
    <w:link w:val="16"/>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
    <w:name w:val="Table Simple 1"/>
    <w:basedOn w:val="9"/>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13">
    <w:name w:val="Strong"/>
    <w:basedOn w:val="12"/>
    <w:qFormat/>
    <w:uiPriority w:val="0"/>
    <w:rPr>
      <w:b/>
    </w:rPr>
  </w:style>
  <w:style w:type="character" w:styleId="14">
    <w:name w:val="annotation reference"/>
    <w:qFormat/>
    <w:uiPriority w:val="0"/>
    <w:rPr>
      <w:sz w:val="21"/>
      <w:szCs w:val="21"/>
    </w:rPr>
  </w:style>
  <w:style w:type="character" w:customStyle="1" w:styleId="15">
    <w:name w:val="批注文字 字符"/>
    <w:link w:val="4"/>
    <w:qFormat/>
    <w:uiPriority w:val="0"/>
    <w:rPr>
      <w:kern w:val="2"/>
      <w:sz w:val="21"/>
      <w:szCs w:val="22"/>
    </w:rPr>
  </w:style>
  <w:style w:type="character" w:customStyle="1" w:styleId="16">
    <w:name w:val="批注框文本 字符"/>
    <w:link w:val="5"/>
    <w:qFormat/>
    <w:uiPriority w:val="0"/>
    <w:rPr>
      <w:kern w:val="2"/>
      <w:sz w:val="18"/>
      <w:szCs w:val="18"/>
    </w:rPr>
  </w:style>
  <w:style w:type="character" w:customStyle="1" w:styleId="17">
    <w:name w:val="页脚 字符"/>
    <w:link w:val="6"/>
    <w:qFormat/>
    <w:uiPriority w:val="99"/>
    <w:rPr>
      <w:kern w:val="2"/>
      <w:sz w:val="18"/>
      <w:szCs w:val="18"/>
    </w:rPr>
  </w:style>
  <w:style w:type="character" w:customStyle="1" w:styleId="18">
    <w:name w:val="页眉 字符"/>
    <w:link w:val="7"/>
    <w:qFormat/>
    <w:uiPriority w:val="0"/>
    <w:rPr>
      <w:kern w:val="2"/>
      <w:sz w:val="18"/>
      <w:szCs w:val="18"/>
    </w:rPr>
  </w:style>
  <w:style w:type="character" w:customStyle="1" w:styleId="19">
    <w:name w:val="批注文字 Char1"/>
    <w:qFormat/>
    <w:uiPriority w:val="0"/>
    <w:rPr>
      <w:kern w:val="2"/>
      <w:sz w:val="21"/>
      <w:szCs w:val="24"/>
    </w:rPr>
  </w:style>
  <w:style w:type="paragraph" w:customStyle="1" w:styleId="20">
    <w:name w:val="_Style 14"/>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22">
    <w:name w:val="List Paragraph"/>
    <w:basedOn w:val="1"/>
    <w:unhideWhenUsed/>
    <w:qFormat/>
    <w:uiPriority w:val="99"/>
    <w:pPr>
      <w:ind w:firstLine="420" w:firstLineChars="200"/>
    </w:pPr>
  </w:style>
  <w:style w:type="paragraph" w:customStyle="1" w:styleId="23">
    <w:name w:val="EndNote Bibliography Title"/>
    <w:basedOn w:val="1"/>
    <w:link w:val="24"/>
    <w:qFormat/>
    <w:uiPriority w:val="0"/>
    <w:pPr>
      <w:jc w:val="center"/>
    </w:pPr>
    <w:rPr>
      <w:sz w:val="20"/>
    </w:rPr>
  </w:style>
  <w:style w:type="character" w:customStyle="1" w:styleId="24">
    <w:name w:val="EndNote Bibliography Title 字符"/>
    <w:basedOn w:val="12"/>
    <w:link w:val="23"/>
    <w:qFormat/>
    <w:uiPriority w:val="0"/>
    <w:rPr>
      <w:kern w:val="2"/>
      <w:szCs w:val="24"/>
    </w:rPr>
  </w:style>
  <w:style w:type="paragraph" w:customStyle="1" w:styleId="25">
    <w:name w:val="EndNote Bibliography"/>
    <w:basedOn w:val="1"/>
    <w:link w:val="26"/>
    <w:qFormat/>
    <w:uiPriority w:val="0"/>
    <w:rPr>
      <w:sz w:val="20"/>
    </w:rPr>
  </w:style>
  <w:style w:type="character" w:customStyle="1" w:styleId="26">
    <w:name w:val="EndNote Bibliography 字符"/>
    <w:basedOn w:val="12"/>
    <w:link w:val="25"/>
    <w:qFormat/>
    <w:uiPriority w:val="0"/>
    <w:rPr>
      <w:kern w:val="2"/>
      <w:szCs w:val="24"/>
    </w:rPr>
  </w:style>
  <w:style w:type="paragraph" w:customStyle="1" w:styleId="27">
    <w:name w:val="段落"/>
    <w:qFormat/>
    <w:uiPriority w:val="0"/>
    <w:pPr>
      <w:autoSpaceDE w:val="0"/>
      <w:autoSpaceDN w:val="0"/>
      <w:ind w:firstLine="420" w:firstLineChars="200"/>
    </w:pPr>
    <w:rPr>
      <w:rFonts w:ascii="宋体" w:hAnsi="Times New Roman" w:eastAsia="宋体" w:cs="Times New Roman"/>
      <w:sz w:val="21"/>
      <w:lang w:val="en-US" w:eastAsia="zh-CN" w:bidi="ar-SA"/>
    </w:rPr>
  </w:style>
  <w:style w:type="paragraph" w:customStyle="1" w:styleId="28">
    <w:name w:val="二级条标题"/>
    <w:basedOn w:val="29"/>
    <w:next w:val="30"/>
    <w:qFormat/>
    <w:uiPriority w:val="0"/>
    <w:pPr>
      <w:numPr>
        <w:ilvl w:val="3"/>
        <w:numId w:val="1"/>
      </w:numPr>
      <w:outlineLvl w:val="3"/>
    </w:pPr>
  </w:style>
  <w:style w:type="paragraph" w:customStyle="1" w:styleId="29">
    <w:name w:val="一级条标题"/>
    <w:next w:val="3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正文首行缩进 21"/>
    <w:basedOn w:val="32"/>
    <w:qFormat/>
    <w:uiPriority w:val="0"/>
    <w:pPr>
      <w:widowControl/>
      <w:spacing w:line="300" w:lineRule="auto"/>
      <w:ind w:firstLine="420"/>
      <w:jc w:val="left"/>
      <w:textAlignment w:val="baseline"/>
    </w:pPr>
    <w:rPr>
      <w:rFonts w:ascii="Arial" w:hAnsi="Arial"/>
      <w:color w:val="000000"/>
      <w:sz w:val="22"/>
      <w:lang w:eastAsia="en-US"/>
    </w:rPr>
  </w:style>
  <w:style w:type="paragraph" w:customStyle="1" w:styleId="32">
    <w:name w:val="正文文本缩进1"/>
    <w:basedOn w:val="1"/>
    <w:qFormat/>
    <w:uiPriority w:val="0"/>
    <w:pPr>
      <w:adjustRightInd w:val="0"/>
      <w:snapToGrid w:val="0"/>
      <w:spacing w:line="360" w:lineRule="auto"/>
      <w:ind w:left="1680" w:hanging="990" w:firstLineChars="200"/>
    </w:pPr>
    <w:rPr>
      <w:rFonts w:ascii="仿宋_GB2312" w:hAnsi="Times New Roman" w:eastAsia="仿宋_GB2312" w:cs="仿宋_GB2312"/>
      <w:spacing w:val="-4"/>
      <w:sz w:val="32"/>
      <w:szCs w:val="32"/>
    </w:rPr>
  </w:style>
  <w:style w:type="paragraph" w:customStyle="1" w:styleId="33">
    <w:name w:val="正文表标题"/>
    <w:next w:val="30"/>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DEEPIN</Company>
  <Pages>44</Pages>
  <Words>24416</Words>
  <Characters>27774</Characters>
  <Lines>207</Lines>
  <Paragraphs>58</Paragraphs>
  <TotalTime>1</TotalTime>
  <ScaleCrop>false</ScaleCrop>
  <LinksUpToDate>false</LinksUpToDate>
  <CharactersWithSpaces>28201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2024-11-09T10:23:00Z</dcterms:created>
  <dc:creator>User</dc:creator>
  <cp:lastModifiedBy>HUAWEI</cp:lastModifiedBy>
  <dcterms:modified xsi:type="dcterms:W3CDTF">2025-10-10T14:46:20Z</dcterms:modified>
  <dc:title>附  录  A</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AFD142485880473F8FABE118602CDE88_13</vt:lpwstr>
  </property>
</Properties>
</file>