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pStyle w:val="44"/>
        <w:rPr>
          <w:color w:val="auto"/>
          <w:highlight w:val="none"/>
        </w:rPr>
      </w:pPr>
      <w:bookmarkStart w:id="0" w:name="c5"/>
      <w:r>
        <w:rPr>
          <w:rFonts w:hint="eastAsia"/>
          <w:color w:val="auto"/>
          <w:highlight w:val="none"/>
        </w:rPr>
        <w:t>DBS46</w:t>
      </w:r>
      <w:bookmarkEnd w:id="0"/>
    </w:p>
    <w:p>
      <w:pPr>
        <w:pStyle w:val="46"/>
        <w:rPr>
          <w:rFonts w:ascii="Times New Roman" w:hAnsi="Times New Roman"/>
          <w:color w:val="auto"/>
          <w:sz w:val="52"/>
          <w:highlight w:val="none"/>
        </w:rPr>
      </w:pPr>
      <w:r>
        <w:rPr>
          <w:rFonts w:hint="eastAsia"/>
          <w:color w:val="auto"/>
          <w:sz w:val="52"/>
          <w:highlight w:val="none"/>
        </w:rPr>
        <w:t>海南省食品安全地方标</w:t>
      </w:r>
      <w:r>
        <w:rPr>
          <w:rFonts w:hint="eastAsia" w:ascii="Times New Roman" w:hAnsi="Times New Roman"/>
          <w:color w:val="auto"/>
          <w:sz w:val="52"/>
          <w:highlight w:val="none"/>
        </w:rPr>
        <w:t>准</w:t>
      </w:r>
    </w:p>
    <w:p>
      <w:pPr>
        <w:pStyle w:val="47"/>
        <w:rPr>
          <w:rFonts w:hint="eastAsia"/>
          <w:color w:val="auto"/>
          <w:highlight w:val="none"/>
        </w:rPr>
      </w:pPr>
      <w:r>
        <w:rPr>
          <w:rFonts w:hint="eastAsia" w:ascii="Times New Roman"/>
          <w:color w:val="auto"/>
          <w:highlight w:val="none"/>
        </w:rPr>
        <w:t>DBS46</w:t>
      </w:r>
      <w:bookmarkStart w:id="1" w:name="StdNo0"/>
      <w:r>
        <w:rPr>
          <w:rFonts w:hint="eastAsia" w:ascii="Times New Roman"/>
          <w:color w:val="auto"/>
          <w:highlight w:val="none"/>
        </w:rPr>
        <w:t>/</w:t>
      </w:r>
      <w:bookmarkEnd w:id="1"/>
      <w:r>
        <w:rPr>
          <w:rFonts w:hint="eastAsia" w:ascii="Times New Roman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XXX-XXXX</w:t>
      </w:r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48"/>
              <w:rPr>
                <w:color w:val="auto"/>
                <w:highlight w:val="none"/>
              </w:rPr>
            </w:pPr>
          </w:p>
        </w:tc>
      </w:tr>
    </w:tbl>
    <w:p>
      <w:pPr>
        <w:pStyle w:val="47"/>
        <w:rPr>
          <w:color w:val="auto"/>
          <w:highlight w:val="none"/>
        </w:rPr>
      </w:pPr>
    </w:p>
    <w:p>
      <w:pPr>
        <w:pStyle w:val="47"/>
        <w:rPr>
          <w:color w:val="auto"/>
          <w:highlight w:val="none"/>
        </w:rPr>
      </w:pPr>
    </w:p>
    <w:p>
      <w:pPr>
        <w:pStyle w:val="49"/>
        <w:rPr>
          <w:rFonts w:hint="eastAsia"/>
          <w:color w:val="auto"/>
          <w:highlight w:val="none"/>
        </w:rPr>
      </w:pPr>
      <w:bookmarkStart w:id="2" w:name="YZBS"/>
      <w:r>
        <w:rPr>
          <w:rFonts w:hint="eastAsia"/>
          <w:color w:val="auto"/>
          <w:highlight w:val="none"/>
          <w:lang w:eastAsia="zh-CN"/>
        </w:rPr>
        <w:t>海南</w:t>
      </w:r>
      <w:r>
        <w:rPr>
          <w:rFonts w:hint="eastAsia"/>
          <w:color w:val="auto"/>
          <w:highlight w:val="none"/>
        </w:rPr>
        <w:t>糟粕醋</w:t>
      </w:r>
    </w:p>
    <w:bookmarkEnd w:id="2"/>
    <w:p>
      <w:pPr>
        <w:pStyle w:val="50"/>
        <w:rPr>
          <w:color w:val="auto"/>
          <w:highlight w:val="none"/>
        </w:rPr>
      </w:pPr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2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pict>
                <v:rect id="RQ" o:spid="_x0000_s1026" o:spt="1" style="position:absolute;left:0pt;margin-left:173.3pt;margin-top:337.15pt;height:20pt;width:150pt;z-index:-251655168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 grouping="f" rotation="f" text="f" aspectratio="f"/>
                  <w10:anchorlock/>
                </v:rect>
              </w:pict>
            </w:r>
            <w:r>
              <w:rPr>
                <w:rFonts w:hint="eastAsia"/>
                <w:color w:val="auto"/>
                <w:sz w:val="28"/>
                <w:highlight w:val="none"/>
              </w:rPr>
              <w:t>（</w:t>
            </w:r>
            <w:r>
              <w:rPr>
                <w:rFonts w:hint="eastAsia"/>
                <w:color w:val="auto"/>
                <w:sz w:val="28"/>
                <w:highlight w:val="none"/>
                <w:lang w:val="en-US" w:eastAsia="zh-CN"/>
              </w:rPr>
              <w:t>征求意见</w:t>
            </w:r>
            <w:r>
              <w:rPr>
                <w:rFonts w:hint="eastAsia"/>
                <w:color w:val="auto"/>
                <w:sz w:val="28"/>
                <w:highlight w:val="none"/>
              </w:rPr>
              <w:t>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3"/>
              <w:rPr>
                <w:color w:val="auto"/>
                <w:highlight w:val="none"/>
              </w:rPr>
            </w:pPr>
          </w:p>
        </w:tc>
      </w:tr>
    </w:tbl>
    <w:p>
      <w:pPr>
        <w:pStyle w:val="54"/>
        <w:rPr>
          <w:color w:val="auto"/>
          <w:highlight w:val="none"/>
        </w:rPr>
      </w:pPr>
      <w:r>
        <w:rPr>
          <w:rFonts w:hint="eastAsia" w:ascii="黑体" w:hAnsi="黑体" w:cs="黑体"/>
          <w:color w:val="auto"/>
          <w:highlight w:val="none"/>
        </w:rPr>
        <w:t>XXXX</w:t>
      </w:r>
      <w:r>
        <w:rPr>
          <w:rFonts w:ascii="黑体"/>
          <w:color w:val="auto"/>
          <w:highlight w:val="none"/>
        </w:rPr>
        <w:t>-</w:t>
      </w:r>
      <w:r>
        <w:rPr>
          <w:rFonts w:hint="eastAsia" w:ascii="黑体" w:hAnsi="黑体" w:cs="黑体"/>
          <w:color w:val="auto"/>
          <w:highlight w:val="none"/>
        </w:rPr>
        <w:t>XX</w:t>
      </w:r>
      <w:r>
        <w:rPr>
          <w:rFonts w:ascii="黑体"/>
          <w:color w:val="auto"/>
          <w:highlight w:val="none"/>
        </w:rPr>
        <w:t>-</w:t>
      </w:r>
      <w:r>
        <w:rPr>
          <w:rFonts w:hint="eastAsia" w:ascii="黑体" w:hAnsi="黑体" w:cs="黑体"/>
          <w:color w:val="auto"/>
          <w:highlight w:val="none"/>
        </w:rPr>
        <w:t>XX</w:t>
      </w:r>
      <w:r>
        <w:rPr>
          <w:rFonts w:hint="eastAsia"/>
          <w:color w:val="auto"/>
          <w:highlight w:val="none"/>
        </w:rPr>
        <w:t>发布</w:t>
      </w:r>
      <w:r>
        <w:rPr>
          <w:color w:val="auto"/>
          <w:highlight w:val="none"/>
        </w:rPr>
        <w:pict>
          <v:line id="直线 10" o:spid="_x0000_s1027" o:spt="20" style="position:absolute;left:0pt;margin-left:-0.05pt;margin-top:728.5pt;height:0pt;width:481.9pt;mso-position-vertical-relative:page;z-index:251662336;mso-width-relative:page;mso-height-relative:page;" filled="f" coordsize="21600,21600">
            <v:path arrowok="t"/>
            <v:fill on="f" focussize="0,0"/>
            <v:stroke/>
            <v:imagedata o:title=""/>
            <o:lock v:ext="edit" grouping="f" rotation="f" text="f" aspectratio="f"/>
            <w10:anchorlock/>
          </v:line>
        </w:pict>
      </w:r>
    </w:p>
    <w:p>
      <w:pPr>
        <w:pStyle w:val="56"/>
        <w:rPr>
          <w:color w:val="auto"/>
          <w:highlight w:val="none"/>
        </w:rPr>
      </w:pPr>
      <w:r>
        <w:rPr>
          <w:rFonts w:hint="eastAsia" w:ascii="黑体" w:hAnsi="黑体" w:cs="黑体"/>
          <w:color w:val="auto"/>
          <w:highlight w:val="none"/>
        </w:rPr>
        <w:t>XXXX</w:t>
      </w:r>
      <w:r>
        <w:rPr>
          <w:rFonts w:ascii="黑体"/>
          <w:color w:val="auto"/>
          <w:highlight w:val="none"/>
        </w:rPr>
        <w:t>-</w:t>
      </w:r>
      <w:r>
        <w:rPr>
          <w:rFonts w:hint="eastAsia" w:ascii="黑体" w:hAnsi="黑体" w:cs="黑体"/>
          <w:color w:val="auto"/>
          <w:highlight w:val="none"/>
        </w:rPr>
        <w:t>XX</w:t>
      </w:r>
      <w:r>
        <w:rPr>
          <w:rFonts w:ascii="黑体"/>
          <w:color w:val="auto"/>
          <w:highlight w:val="none"/>
        </w:rPr>
        <w:t>-</w:t>
      </w:r>
      <w:r>
        <w:rPr>
          <w:rFonts w:hint="eastAsia" w:ascii="黑体" w:hAnsi="黑体" w:cs="黑体"/>
          <w:color w:val="auto"/>
          <w:highlight w:val="none"/>
        </w:rPr>
        <w:t>XX</w:t>
      </w:r>
      <w:r>
        <w:rPr>
          <w:rFonts w:hint="eastAsia"/>
          <w:color w:val="auto"/>
          <w:highlight w:val="none"/>
        </w:rPr>
        <w:t>实施</w:t>
      </w:r>
    </w:p>
    <w:p>
      <w:pPr>
        <w:pStyle w:val="58"/>
        <w:framePr w:vAnchor="page" w:hAnchor="page"/>
        <w:rPr>
          <w:color w:val="auto"/>
          <w:highlight w:val="none"/>
        </w:rPr>
      </w:pPr>
      <w:bookmarkStart w:id="3" w:name="fm"/>
      <w:r>
        <w:rPr>
          <w:color w:val="auto"/>
          <w:w w:val="100"/>
          <w:highlight w:val="none"/>
        </w:rPr>
        <w:pict>
          <v:rect id="LB" o:spid="_x0000_s1028" o:spt="1" style="position:absolute;left:0pt;margin-left:142.55pt;margin-top:-310.45pt;height:24pt;width:100pt;z-index:-251656192;mso-width-relative:page;mso-height-relative:page;" stroked="f" coordsize="21600,21600">
            <v:path/>
            <v:fill focussize="0,0"/>
            <v:stroke on="f"/>
            <v:imagedata o:title=""/>
            <o:lock v:ext="edit" grouping="f" rotation="f" text="f" aspectratio="f"/>
          </v:rect>
        </w:pict>
      </w:r>
      <w:r>
        <w:rPr>
          <w:color w:val="auto"/>
          <w:w w:val="100"/>
          <w:highlight w:val="none"/>
        </w:rPr>
        <w:pict>
          <v:rect id="DT" o:spid="_x0000_s1029" o:spt="1" style="position:absolute;left:0pt;margin-left:347.55pt;margin-top:-585.45pt;height:18pt;width:90pt;z-index:-251657216;mso-width-relative:page;mso-height-relative:page;" stroked="f" coordsize="21600,21600">
            <v:path/>
            <v:fill focussize="0,0"/>
            <v:stroke on="f"/>
            <v:imagedata o:title=""/>
            <o:lock v:ext="edit" grouping="f" rotation="f" text="f" aspectratio="f"/>
          </v:rect>
        </w:pict>
      </w:r>
      <w:r>
        <w:rPr>
          <w:color w:val="auto"/>
          <w:w w:val="100"/>
          <w:highlight w:val="none"/>
        </w:rPr>
        <w:pict>
          <v:line id="直线 11" o:spid="_x0000_s1030" o:spt="20" style="position:absolute;left:0pt;margin-left:-36.6pt;margin-top:-552.85pt;height:0pt;width:481.9pt;z-index:251663360;mso-width-relative:page;mso-height-relative:page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bookmarkEnd w:id="3"/>
      <w:r>
        <w:rPr>
          <w:rFonts w:hint="eastAsia"/>
          <w:color w:val="auto"/>
          <w:highlight w:val="none"/>
        </w:rPr>
        <w:t>海南省卫生健康委员会</w:t>
      </w:r>
      <w:r>
        <w:rPr>
          <w:color w:val="auto"/>
          <w:highlight w:val="none"/>
        </w:rPr>
        <w:t>   </w:t>
      </w:r>
      <w:r>
        <w:rPr>
          <w:rStyle w:val="61"/>
          <w:rFonts w:hint="eastAsia"/>
          <w:color w:val="auto"/>
          <w:highlight w:val="none"/>
        </w:rPr>
        <w:t>发布</w:t>
      </w:r>
    </w:p>
    <w:p>
      <w:pPr>
        <w:pStyle w:val="60"/>
        <w:rPr>
          <w:color w:val="auto"/>
          <w:highlight w:val="none"/>
        </w:rPr>
        <w:sectPr>
          <w:pgSz w:w="11906" w:h="16838"/>
          <w:pgMar w:top="567" w:right="850" w:bottom="1134" w:left="1418" w:header="0" w:footer="0" w:gutter="0"/>
          <w:pgNumType w:start="1"/>
          <w:cols w:space="720" w:num="1"/>
          <w:docGrid w:type="lines" w:linePitch="312" w:charSpace="0"/>
        </w:sectPr>
      </w:pPr>
    </w:p>
    <w:p>
      <w:pPr>
        <w:pStyle w:val="6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前</w:t>
      </w:r>
      <w:bookmarkStart w:id="4" w:name="BKQY"/>
      <w:r>
        <w:rPr>
          <w:color w:val="auto"/>
          <w:highlight w:val="none"/>
        </w:rPr>
        <w:t>  </w:t>
      </w:r>
      <w:r>
        <w:rPr>
          <w:rFonts w:hint="eastAsia"/>
          <w:color w:val="auto"/>
          <w:highlight w:val="none"/>
        </w:rPr>
        <w:t>言</w:t>
      </w:r>
      <w:bookmarkEnd w:id="4"/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本标准由海南省卫生健康委员会提出并归口。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标准由海南省疾病预防控制中心、海南大学、大连工业大学、海南省检验检测研究院、海南省粮油科学研究所、定安啊喔哦食品技术有限公司、海南永芳食品有限公司、海南热带海洋学院、海南年百顺国际贸易有限公司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海南惠施食品有限公司</w:t>
      </w:r>
      <w:r>
        <w:rPr>
          <w:rFonts w:hint="eastAsia"/>
          <w:color w:val="auto"/>
          <w:highlight w:val="none"/>
        </w:rPr>
        <w:t>共同起草。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本标准主要起草人：何滨、邢坤、张家超、孙璐、董秀萍、魏静、郑联合、李肖云、叶茂、张素芳、申铉日、黄振华、马永忠、吴维学、王吉晓、孙初阳、陈小妹、吴忠慧、贝雯雯、李烈飞、云奋、赖新梅、</w:t>
      </w:r>
      <w:r>
        <w:rPr>
          <w:rFonts w:hint="eastAsia"/>
          <w:color w:val="auto"/>
          <w:highlight w:val="none"/>
          <w:lang w:val="en-US" w:eastAsia="zh-CN"/>
        </w:rPr>
        <w:t>刘春花、</w:t>
      </w:r>
      <w:r>
        <w:rPr>
          <w:rFonts w:hint="eastAsia"/>
          <w:color w:val="auto"/>
          <w:highlight w:val="none"/>
        </w:rPr>
        <w:t>江苏娟、</w:t>
      </w:r>
      <w:r>
        <w:rPr>
          <w:rFonts w:hint="eastAsia"/>
          <w:color w:val="auto"/>
          <w:highlight w:val="none"/>
          <w:lang w:val="en-US" w:eastAsia="zh-CN"/>
        </w:rPr>
        <w:t>杨汕深、</w:t>
      </w:r>
      <w:r>
        <w:rPr>
          <w:rFonts w:hint="eastAsia"/>
          <w:color w:val="auto"/>
          <w:highlight w:val="none"/>
        </w:rPr>
        <w:t>甘晓婷。</w:t>
      </w:r>
    </w:p>
    <w:p>
      <w:pPr>
        <w:pStyle w:val="60"/>
        <w:rPr>
          <w:rFonts w:hint="eastAsia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  <w:r>
        <w:rPr>
          <w:rFonts w:hint="eastAsia"/>
          <w:color w:val="auto"/>
          <w:highlight w:val="none"/>
        </w:rPr>
        <w:t>本标准为首次发布。</w:t>
      </w:r>
    </w:p>
    <w:p>
      <w:pPr>
        <w:pStyle w:val="49"/>
        <w:framePr w:w="0" w:hRule="auto" w:vAnchor="margin" w:hAnchor="text" w:xAlign="left" w:yAlign="top"/>
        <w:rPr>
          <w:rFonts w:hint="eastAsia"/>
          <w:color w:val="auto"/>
          <w:sz w:val="32"/>
          <w:szCs w:val="32"/>
          <w:highlight w:val="none"/>
        </w:rPr>
      </w:pPr>
    </w:p>
    <w:p>
      <w:pPr>
        <w:pStyle w:val="49"/>
        <w:framePr w:w="0" w:hRule="auto" w:vAnchor="margin" w:hAnchor="text" w:xAlign="left" w:yAlign="top"/>
        <w:rPr>
          <w:rFonts w:hint="eastAsia"/>
          <w:color w:val="auto"/>
          <w:sz w:val="32"/>
          <w:szCs w:val="32"/>
          <w:highlight w:val="none"/>
        </w:rPr>
      </w:pPr>
    </w:p>
    <w:p>
      <w:pPr>
        <w:pStyle w:val="49"/>
        <w:framePr w:w="0" w:hRule="auto" w:vAnchor="margin" w:hAnchor="text" w:xAlign="left" w:yAlign="top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海南</w:t>
      </w:r>
      <w:r>
        <w:rPr>
          <w:rFonts w:hint="eastAsia"/>
          <w:color w:val="auto"/>
          <w:sz w:val="32"/>
          <w:szCs w:val="32"/>
          <w:highlight w:val="none"/>
        </w:rPr>
        <w:t>糟粕醋</w:t>
      </w:r>
    </w:p>
    <w:p>
      <w:pPr>
        <w:pStyle w:val="63"/>
        <w:ind w:left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范围</w:t>
      </w:r>
    </w:p>
    <w:p>
      <w:pPr>
        <w:pStyle w:val="6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本标准规定了海南糟粕醋的</w:t>
      </w:r>
      <w:r>
        <w:rPr>
          <w:rFonts w:hint="eastAsia"/>
          <w:color w:val="auto"/>
          <w:highlight w:val="none"/>
        </w:rPr>
        <w:t>术语和定义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技术要求、生产加工过程中的卫生要求和标签。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本标准</w:t>
      </w:r>
      <w:r>
        <w:rPr>
          <w:color w:val="auto"/>
          <w:highlight w:val="none"/>
        </w:rPr>
        <w:t>适用于</w:t>
      </w:r>
      <w:r>
        <w:rPr>
          <w:rFonts w:hint="eastAsia"/>
          <w:color w:val="auto"/>
          <w:highlight w:val="none"/>
        </w:rPr>
        <w:t>海南</w:t>
      </w:r>
      <w:r>
        <w:rPr>
          <w:color w:val="auto"/>
          <w:highlight w:val="none"/>
        </w:rPr>
        <w:t>省内生产加工的</w:t>
      </w:r>
      <w:r>
        <w:rPr>
          <w:rFonts w:hint="eastAsia"/>
          <w:color w:val="auto"/>
          <w:highlight w:val="none"/>
        </w:rPr>
        <w:t>糟粕醋。</w:t>
      </w:r>
    </w:p>
    <w:p>
      <w:pPr>
        <w:pStyle w:val="63"/>
        <w:ind w:left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规范性引用文件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ind w:firstLine="440" w:firstLineChars="200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GB 2760</w:t>
      </w:r>
      <w:r>
        <w:rPr>
          <w:rFonts w:hint="eastAsia" w:ascii="宋体" w:hAnsi="宋体"/>
          <w:color w:val="auto"/>
          <w:highlight w:val="none"/>
        </w:rPr>
        <w:t xml:space="preserve">  食品安全国家标准</w:t>
      </w:r>
      <w:r>
        <w:rPr>
          <w:rFonts w:ascii="宋体" w:hAnsi="宋体"/>
          <w:color w:val="auto"/>
          <w:highlight w:val="non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食品添加剂使用标准</w:t>
      </w:r>
      <w:r>
        <w:rPr>
          <w:rFonts w:ascii="宋体" w:hAnsi="宋体"/>
          <w:color w:val="auto"/>
          <w:highlight w:val="none"/>
        </w:rPr>
        <w:t xml:space="preserve"> </w:t>
      </w:r>
    </w:p>
    <w:p>
      <w:pPr>
        <w:pStyle w:val="60"/>
        <w:rPr>
          <w:color w:val="auto"/>
          <w:highlight w:val="none"/>
        </w:rPr>
      </w:pPr>
      <w:r>
        <w:rPr>
          <w:color w:val="auto"/>
          <w:highlight w:val="none"/>
        </w:rPr>
        <w:t>GB 4789.</w:t>
      </w:r>
      <w:r>
        <w:rPr>
          <w:rFonts w:hint="eastAsia"/>
          <w:color w:val="auto"/>
          <w:highlight w:val="none"/>
        </w:rPr>
        <w:t>1  食品安全国家标准 食品微生物学检验 总则</w:t>
      </w:r>
    </w:p>
    <w:p>
      <w:pPr>
        <w:pStyle w:val="6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GB 4789.4  </w:t>
      </w:r>
      <w:r>
        <w:rPr>
          <w:color w:val="auto"/>
          <w:highlight w:val="none"/>
        </w:rPr>
        <w:t>食品安全国家标准</w:t>
      </w:r>
      <w:r>
        <w:rPr>
          <w:rFonts w:hint="eastAsia"/>
          <w:color w:val="auto"/>
          <w:highlight w:val="none"/>
        </w:rPr>
        <w:t xml:space="preserve"> 食品微生物学检验 沙门氏菌检验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GB 4789.10  </w:t>
      </w:r>
      <w:r>
        <w:rPr>
          <w:color w:val="auto"/>
          <w:highlight w:val="none"/>
        </w:rPr>
        <w:t>食品安全国家标准</w:t>
      </w:r>
      <w:r>
        <w:rPr>
          <w:rFonts w:hint="eastAsia"/>
          <w:color w:val="auto"/>
          <w:highlight w:val="none"/>
        </w:rPr>
        <w:t xml:space="preserve"> 食品微生物学检验 金黄色葡萄球菌检验</w:t>
      </w:r>
    </w:p>
    <w:p>
      <w:pPr>
        <w:ind w:firstLine="4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GB 4789.22  食品安全国家标准食品 微生物学检验 调味品采样和检样处理</w:t>
      </w:r>
    </w:p>
    <w:p>
      <w:pPr>
        <w:pStyle w:val="60"/>
        <w:rPr>
          <w:rFonts w:hint="eastAsia" w:hAnsi="宋体"/>
          <w:color w:val="auto"/>
          <w:highlight w:val="none"/>
        </w:rPr>
      </w:pPr>
      <w:r>
        <w:rPr>
          <w:rFonts w:hint="eastAsia"/>
          <w:color w:val="auto"/>
          <w:highlight w:val="none"/>
        </w:rPr>
        <w:t>GB 5009.11  食品安全国家标准 食品中总砷及无机砷的测定</w:t>
      </w:r>
    </w:p>
    <w:p>
      <w:pPr>
        <w:ind w:firstLine="440" w:firstLineChars="200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GB 5009.12  </w:t>
      </w:r>
      <w:r>
        <w:rPr>
          <w:rFonts w:hint="eastAsia" w:ascii="宋体" w:hAnsi="宋体"/>
          <w:color w:val="auto"/>
          <w:highlight w:val="none"/>
        </w:rPr>
        <w:t>食品安全国家标准</w:t>
      </w:r>
      <w:r>
        <w:rPr>
          <w:rFonts w:ascii="宋体" w:hAnsi="宋体"/>
          <w:color w:val="auto"/>
          <w:highlight w:val="non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食品中铅的测定</w:t>
      </w:r>
      <w:r>
        <w:rPr>
          <w:rFonts w:ascii="宋体" w:hAnsi="宋体"/>
          <w:color w:val="auto"/>
          <w:highlight w:val="none"/>
        </w:rPr>
        <w:t xml:space="preserve"> </w:t>
      </w:r>
    </w:p>
    <w:p>
      <w:pPr>
        <w:ind w:firstLine="44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GB 5009.227  食品安全国家标准 食品中过氧化值的测定</w:t>
      </w:r>
    </w:p>
    <w:p>
      <w:pPr>
        <w:ind w:firstLine="44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GB 5009.229  食品安全国家标准 食品中酸价的测定</w:t>
      </w:r>
    </w:p>
    <w:p>
      <w:pPr>
        <w:ind w:firstLine="440" w:firstLineChars="200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GB 7718  </w:t>
      </w:r>
      <w:r>
        <w:rPr>
          <w:rFonts w:hint="eastAsia" w:ascii="宋体" w:hAnsi="宋体"/>
          <w:color w:val="auto"/>
          <w:highlight w:val="none"/>
        </w:rPr>
        <w:t>食品安全国家标准</w:t>
      </w:r>
      <w:r>
        <w:rPr>
          <w:rFonts w:ascii="宋体" w:hAnsi="宋体"/>
          <w:color w:val="auto"/>
          <w:highlight w:val="non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预包装食品标签通则</w:t>
      </w:r>
      <w:r>
        <w:rPr>
          <w:rFonts w:ascii="宋体" w:hAnsi="宋体"/>
          <w:color w:val="auto"/>
          <w:highlight w:val="none"/>
        </w:rPr>
        <w:t xml:space="preserve"> 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GB 12456  </w:t>
      </w:r>
      <w:r>
        <w:rPr>
          <w:color w:val="auto"/>
          <w:highlight w:val="none"/>
        </w:rPr>
        <w:t>食品中</w:t>
      </w:r>
      <w:r>
        <w:rPr>
          <w:rFonts w:hint="eastAsia"/>
          <w:color w:val="auto"/>
          <w:highlight w:val="none"/>
        </w:rPr>
        <w:t>总酸</w:t>
      </w:r>
      <w:r>
        <w:rPr>
          <w:color w:val="auto"/>
          <w:highlight w:val="none"/>
        </w:rPr>
        <w:t>的测定</w:t>
      </w:r>
    </w:p>
    <w:p>
      <w:pPr>
        <w:ind w:firstLine="440" w:firstLineChars="200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GB 14881</w:t>
      </w:r>
      <w:r>
        <w:rPr>
          <w:rFonts w:hint="eastAsia" w:ascii="宋体" w:hAnsi="宋体"/>
          <w:color w:val="auto"/>
          <w:highlight w:val="none"/>
        </w:rPr>
        <w:t xml:space="preserve">  食品安全国家标准</w:t>
      </w:r>
      <w:r>
        <w:rPr>
          <w:rFonts w:ascii="宋体" w:hAnsi="宋体"/>
          <w:color w:val="auto"/>
          <w:highlight w:val="non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食品生产通用卫生规范</w:t>
      </w:r>
      <w:r>
        <w:rPr>
          <w:rFonts w:ascii="宋体" w:hAnsi="宋体"/>
          <w:color w:val="auto"/>
          <w:highlight w:val="none"/>
        </w:rPr>
        <w:t xml:space="preserve"> </w:t>
      </w:r>
    </w:p>
    <w:p>
      <w:pPr>
        <w:ind w:firstLine="44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GB 23350 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限制商品过度包装要求 食品和化妆品</w:t>
      </w:r>
    </w:p>
    <w:p>
      <w:pPr>
        <w:ind w:firstLine="44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GB 28050  食品安全国家标准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预包装食品营养标签通则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Ansi="宋体"/>
          <w:color w:val="auto"/>
          <w:szCs w:val="21"/>
          <w:highlight w:val="none"/>
        </w:rPr>
        <w:t>国家市场监督管理总局令第100号</w:t>
      </w:r>
      <w:r>
        <w:rPr>
          <w:rFonts w:hint="eastAsia" w:hAnsi="宋体"/>
          <w:color w:val="auto"/>
          <w:szCs w:val="21"/>
          <w:highlight w:val="none"/>
        </w:rPr>
        <w:t>《</w:t>
      </w:r>
      <w:r>
        <w:rPr>
          <w:rFonts w:hAnsi="宋体"/>
          <w:color w:val="auto"/>
          <w:szCs w:val="21"/>
          <w:highlight w:val="none"/>
        </w:rPr>
        <w:t>食品标识监督管理办法</w:t>
      </w:r>
      <w:r>
        <w:rPr>
          <w:rFonts w:hint="eastAsia" w:hAnsi="宋体"/>
          <w:color w:val="auto"/>
          <w:szCs w:val="21"/>
          <w:highlight w:val="none"/>
        </w:rPr>
        <w:t>》</w:t>
      </w:r>
    </w:p>
    <w:p>
      <w:pPr>
        <w:pStyle w:val="63"/>
        <w:ind w:left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术语和定义</w:t>
      </w:r>
    </w:p>
    <w:p>
      <w:pPr>
        <w:pStyle w:val="60"/>
        <w:numPr>
          <w:ilvl w:val="0"/>
          <w:numId w:val="3"/>
        </w:numPr>
        <w:spacing w:line="288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下列术语和</w:t>
      </w:r>
      <w:r>
        <w:rPr>
          <w:color w:val="auto"/>
          <w:highlight w:val="none"/>
        </w:rPr>
        <w:t>定义</w:t>
      </w:r>
      <w:r>
        <w:rPr>
          <w:rFonts w:hint="eastAsia"/>
          <w:color w:val="auto"/>
          <w:highlight w:val="none"/>
        </w:rPr>
        <w:t>适用于本标准。</w:t>
      </w:r>
    </w:p>
    <w:p>
      <w:pPr>
        <w:pStyle w:val="64"/>
        <w:numPr>
          <w:ilvl w:val="1"/>
          <w:numId w:val="0"/>
        </w:numPr>
        <w:ind w:left="0"/>
        <w:rPr>
          <w:rFonts w:hint="eastAsia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eastAsia" w:hAnsi="Times New Roman" w:cs="Times New Roman"/>
          <w:color w:val="auto"/>
          <w:highlight w:val="none"/>
          <w:lang w:val="en-US" w:eastAsia="zh-CN"/>
        </w:rPr>
        <w:t>3.1</w:t>
      </w:r>
    </w:p>
    <w:p>
      <w:pPr>
        <w:spacing w:line="360" w:lineRule="auto"/>
        <w:ind w:firstLine="440" w:firstLineChars="200"/>
        <w:rPr>
          <w:rFonts w:hint="eastAsia" w:ascii="黑体" w:hAnsi="黑体" w:eastAsia="黑体" w:cs="黑体"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Cs w:val="21"/>
          <w:highlight w:val="none"/>
          <w:lang w:val="en-US" w:eastAsia="zh-CN"/>
        </w:rPr>
        <w:t>海南</w:t>
      </w:r>
      <w:r>
        <w:rPr>
          <w:rFonts w:hint="eastAsia" w:ascii="黑体" w:hAnsi="黑体" w:eastAsia="黑体" w:cs="黑体"/>
          <w:color w:val="auto"/>
          <w:szCs w:val="21"/>
          <w:highlight w:val="none"/>
        </w:rPr>
        <w:t>糟粕醋</w:t>
      </w:r>
    </w:p>
    <w:p>
      <w:pPr>
        <w:ind w:firstLine="440" w:firstLineChars="200"/>
        <w:rPr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highlight w:val="none"/>
        </w:rPr>
        <w:t>以大米为主要原料经酒曲发酵成酒糟，添加水，添加或不添加</w:t>
      </w:r>
      <w:r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  <w:t>蒜头</w:t>
      </w:r>
      <w:r>
        <w:rPr>
          <w:rFonts w:hint="eastAsia" w:ascii="宋体" w:hAnsi="宋体" w:eastAsia="宋体" w:cs="Times New Roman"/>
          <w:color w:val="auto"/>
          <w:highlight w:val="none"/>
        </w:rPr>
        <w:t>、食用盐、白砂糖、味精、鸡精、食用植物油、辣椒、辣椒油、柠檬酸等食品原料，经配料、熬煮、杀菌、包装</w:t>
      </w:r>
      <w:r>
        <w:rPr>
          <w:rFonts w:hint="eastAsia" w:ascii="宋体" w:hAnsi="宋体" w:eastAsia="宋体" w:cs="Times New Roman"/>
          <w:color w:val="auto"/>
          <w:highlight w:val="none"/>
          <w:lang w:eastAsia="zh-CN"/>
        </w:rPr>
        <w:t>；</w:t>
      </w:r>
      <w:r>
        <w:rPr>
          <w:rFonts w:hint="eastAsia" w:ascii="宋体" w:hAnsi="宋体" w:eastAsia="宋体" w:cs="Times New Roman"/>
          <w:color w:val="auto"/>
          <w:highlight w:val="none"/>
        </w:rPr>
        <w:t>或使用酒糟包，</w:t>
      </w:r>
      <w:r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  <w:t>可</w:t>
      </w:r>
      <w:r>
        <w:rPr>
          <w:rFonts w:hint="eastAsia" w:ascii="宋体" w:hAnsi="宋体" w:eastAsia="宋体" w:cs="Times New Roman"/>
          <w:color w:val="auto"/>
          <w:highlight w:val="none"/>
        </w:rPr>
        <w:t>添加或不添加复合调料包、油辣椒包、蒜头油包</w:t>
      </w:r>
      <w:r>
        <w:rPr>
          <w:rFonts w:hint="eastAsia" w:ascii="宋体" w:hAnsi="宋体" w:eastAsia="宋体" w:cs="Times New Roman"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highlight w:val="none"/>
        </w:rPr>
        <w:t>混合包装等生产工艺制成的非即食</w:t>
      </w:r>
      <w:r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  <w:t>复合调味料</w:t>
      </w:r>
      <w:r>
        <w:rPr>
          <w:rFonts w:hint="eastAsia" w:ascii="宋体" w:hAnsi="宋体" w:eastAsia="宋体" w:cs="Times New Roman"/>
          <w:color w:val="auto"/>
          <w:highlight w:val="none"/>
        </w:rPr>
        <w:t>。</w:t>
      </w:r>
    </w:p>
    <w:p>
      <w:pPr>
        <w:pStyle w:val="64"/>
        <w:numPr>
          <w:ilvl w:val="0"/>
          <w:numId w:val="0"/>
        </w:numPr>
        <w:ind w:left="0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3.2</w:t>
      </w:r>
    </w:p>
    <w:p>
      <w:pPr>
        <w:spacing w:line="360" w:lineRule="auto"/>
        <w:ind w:firstLine="44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Cs w:val="21"/>
          <w:highlight w:val="none"/>
        </w:rPr>
        <w:t>酒糟包</w:t>
      </w:r>
    </w:p>
    <w:p>
      <w:pPr>
        <w:ind w:firstLine="44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以大米</w:t>
      </w:r>
      <w:r>
        <w:rPr>
          <w:rFonts w:hint="eastAsia"/>
          <w:color w:val="auto"/>
          <w:highlight w:val="none"/>
          <w:lang w:val="en-US" w:eastAsia="zh-CN"/>
        </w:rPr>
        <w:t>为主要原料经酒曲</w:t>
      </w:r>
      <w:r>
        <w:rPr>
          <w:color w:val="auto"/>
          <w:highlight w:val="none"/>
        </w:rPr>
        <w:t>发酵</w:t>
      </w:r>
      <w:r>
        <w:rPr>
          <w:rFonts w:hint="eastAsia" w:ascii="宋体" w:hAnsi="宋体"/>
          <w:color w:val="auto"/>
          <w:highlight w:val="none"/>
        </w:rPr>
        <w:t>，</w:t>
      </w:r>
      <w:r>
        <w:rPr>
          <w:rFonts w:hint="eastAsia" w:ascii="宋体" w:hAnsi="宋体"/>
          <w:color w:val="auto"/>
          <w:highlight w:val="none"/>
          <w:lang w:val="en-US" w:eastAsia="zh-CN"/>
        </w:rPr>
        <w:t>添加水，经</w:t>
      </w:r>
      <w:r>
        <w:rPr>
          <w:rFonts w:hint="eastAsia" w:ascii="宋体" w:hAnsi="宋体"/>
          <w:color w:val="auto"/>
          <w:highlight w:val="none"/>
        </w:rPr>
        <w:t>调配、杀菌、包装等</w:t>
      </w:r>
      <w:r>
        <w:rPr>
          <w:rFonts w:hint="eastAsia"/>
          <w:color w:val="auto"/>
          <w:highlight w:val="none"/>
        </w:rPr>
        <w:t>生产工艺</w:t>
      </w:r>
      <w:r>
        <w:rPr>
          <w:rFonts w:hint="eastAsia"/>
          <w:color w:val="auto"/>
          <w:highlight w:val="none"/>
          <w:lang w:val="en-US" w:eastAsia="zh-CN"/>
        </w:rPr>
        <w:t>制成的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用于制作海南</w:t>
      </w:r>
      <w:r>
        <w:rPr>
          <w:rFonts w:hint="eastAsia"/>
          <w:color w:val="auto"/>
          <w:highlight w:val="none"/>
        </w:rPr>
        <w:t>糟粕醋</w:t>
      </w:r>
      <w:r>
        <w:rPr>
          <w:rFonts w:hint="eastAsia"/>
          <w:color w:val="auto"/>
          <w:highlight w:val="none"/>
          <w:lang w:val="en-US" w:eastAsia="zh-CN"/>
        </w:rPr>
        <w:t>的</w:t>
      </w:r>
      <w:r>
        <w:rPr>
          <w:rFonts w:hint="eastAsia"/>
          <w:color w:val="auto"/>
          <w:highlight w:val="none"/>
        </w:rPr>
        <w:t>酒糟</w:t>
      </w:r>
      <w:r>
        <w:rPr>
          <w:rFonts w:hint="eastAsia" w:ascii="宋体" w:hAnsi="宋体"/>
          <w:color w:val="auto"/>
          <w:highlight w:val="none"/>
        </w:rPr>
        <w:t>。</w:t>
      </w:r>
    </w:p>
    <w:p>
      <w:pPr>
        <w:pStyle w:val="64"/>
        <w:numPr>
          <w:ilvl w:val="0"/>
          <w:numId w:val="0"/>
        </w:numPr>
        <w:ind w:left="0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3.3</w:t>
      </w:r>
    </w:p>
    <w:p>
      <w:pPr>
        <w:pStyle w:val="64"/>
        <w:numPr>
          <w:ilvl w:val="0"/>
          <w:numId w:val="0"/>
        </w:num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复合调料包</w:t>
      </w:r>
    </w:p>
    <w:p>
      <w:pPr>
        <w:ind w:firstLine="44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以白砂糖、味精、食用盐为主要原料，添加或不添加鸡精调味料、香辛料等其他</w:t>
      </w:r>
      <w:r>
        <w:rPr>
          <w:rFonts w:hint="eastAsia"/>
          <w:color w:val="auto"/>
          <w:highlight w:val="none"/>
          <w:lang w:val="en-US" w:eastAsia="zh-CN"/>
        </w:rPr>
        <w:t>原料</w:t>
      </w:r>
      <w:r>
        <w:rPr>
          <w:rFonts w:hint="eastAsia"/>
          <w:color w:val="auto"/>
          <w:highlight w:val="none"/>
        </w:rPr>
        <w:t>，经粉碎或不粉碎、混合、包装等生产工艺制成</w:t>
      </w:r>
      <w:r>
        <w:rPr>
          <w:rFonts w:hint="eastAsia"/>
          <w:color w:val="auto"/>
          <w:highlight w:val="none"/>
          <w:lang w:val="en-US" w:eastAsia="zh-CN"/>
        </w:rPr>
        <w:t>的，用于制作海南</w:t>
      </w:r>
      <w:r>
        <w:rPr>
          <w:rFonts w:hint="eastAsia"/>
          <w:color w:val="auto"/>
          <w:highlight w:val="none"/>
        </w:rPr>
        <w:t>糟粕醋的复合调料。</w:t>
      </w:r>
    </w:p>
    <w:p>
      <w:pPr>
        <w:pStyle w:val="64"/>
        <w:numPr>
          <w:ilvl w:val="0"/>
          <w:numId w:val="0"/>
        </w:numPr>
        <w:ind w:left="0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3.4</w:t>
      </w:r>
    </w:p>
    <w:p>
      <w:pPr>
        <w:spacing w:line="360" w:lineRule="auto"/>
        <w:ind w:firstLine="440" w:firstLineChars="200"/>
        <w:rPr>
          <w:rFonts w:hint="eastAsia" w:ascii="黑体" w:hAnsi="黑体" w:eastAsia="黑体" w:cs="黑体"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Cs w:val="21"/>
          <w:highlight w:val="none"/>
          <w:lang w:val="en-US" w:eastAsia="zh-CN"/>
        </w:rPr>
        <w:t>油</w:t>
      </w:r>
      <w:r>
        <w:rPr>
          <w:rFonts w:hint="eastAsia" w:ascii="黑体" w:hAnsi="黑体" w:eastAsia="黑体" w:cs="黑体"/>
          <w:color w:val="auto"/>
          <w:szCs w:val="21"/>
          <w:highlight w:val="none"/>
        </w:rPr>
        <w:t>辣椒包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以辣椒</w:t>
      </w:r>
      <w:r>
        <w:rPr>
          <w:rFonts w:hint="eastAsia"/>
          <w:color w:val="auto"/>
          <w:highlight w:val="none"/>
          <w:lang w:val="en-US" w:eastAsia="zh-CN"/>
        </w:rPr>
        <w:t>和食用</w:t>
      </w:r>
      <w:r>
        <w:rPr>
          <w:rFonts w:hint="eastAsia"/>
          <w:color w:val="auto"/>
          <w:highlight w:val="none"/>
        </w:rPr>
        <w:t>植物油为主要原料，添加或不添加食用盐、洋葱、</w:t>
      </w:r>
      <w:r>
        <w:rPr>
          <w:rFonts w:hint="eastAsia"/>
          <w:color w:val="auto"/>
          <w:highlight w:val="none"/>
          <w:lang w:val="en-US" w:eastAsia="zh-CN"/>
        </w:rPr>
        <w:t>蒜头</w:t>
      </w:r>
      <w:r>
        <w:rPr>
          <w:rFonts w:hint="eastAsia"/>
          <w:color w:val="auto"/>
          <w:highlight w:val="none"/>
        </w:rPr>
        <w:t>、生姜等其他</w:t>
      </w:r>
      <w:r>
        <w:rPr>
          <w:rFonts w:hint="eastAsia"/>
          <w:color w:val="auto"/>
          <w:highlight w:val="none"/>
          <w:lang w:val="en-US" w:eastAsia="zh-CN"/>
        </w:rPr>
        <w:t>原料</w:t>
      </w:r>
      <w:r>
        <w:rPr>
          <w:rFonts w:hint="eastAsia"/>
          <w:color w:val="auto"/>
          <w:highlight w:val="none"/>
        </w:rPr>
        <w:t>，经炒制、杀菌、包装等生产工艺制成</w:t>
      </w:r>
      <w:r>
        <w:rPr>
          <w:rFonts w:hint="eastAsia"/>
          <w:color w:val="auto"/>
          <w:highlight w:val="none"/>
          <w:lang w:val="en-US" w:eastAsia="zh-CN"/>
        </w:rPr>
        <w:t>的，用于制作海南</w:t>
      </w:r>
      <w:r>
        <w:rPr>
          <w:rFonts w:hint="eastAsia"/>
          <w:color w:val="auto"/>
          <w:highlight w:val="none"/>
        </w:rPr>
        <w:t>糟粕醋的油辣椒。</w:t>
      </w:r>
    </w:p>
    <w:p>
      <w:pPr>
        <w:pStyle w:val="64"/>
        <w:numPr>
          <w:ilvl w:val="0"/>
          <w:numId w:val="0"/>
        </w:numPr>
        <w:ind w:left="0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3.5</w:t>
      </w:r>
    </w:p>
    <w:p>
      <w:pPr>
        <w:spacing w:line="360" w:lineRule="auto"/>
        <w:ind w:firstLine="440" w:firstLineChars="200"/>
        <w:rPr>
          <w:rFonts w:hint="eastAsia" w:ascii="黑体" w:hAnsi="黑体" w:eastAsia="黑体" w:cs="黑体"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Cs w:val="21"/>
          <w:highlight w:val="none"/>
          <w:lang w:val="en-US" w:eastAsia="zh-CN"/>
        </w:rPr>
        <w:t>蒜头</w:t>
      </w:r>
      <w:r>
        <w:rPr>
          <w:rFonts w:hint="eastAsia" w:ascii="黑体" w:hAnsi="黑体" w:eastAsia="黑体" w:cs="黑体"/>
          <w:color w:val="auto"/>
          <w:szCs w:val="21"/>
          <w:highlight w:val="none"/>
        </w:rPr>
        <w:t>油包</w:t>
      </w:r>
    </w:p>
    <w:p>
      <w:pPr>
        <w:ind w:firstLine="4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以食用植物油、</w:t>
      </w:r>
      <w:r>
        <w:rPr>
          <w:rFonts w:hint="eastAsia"/>
          <w:color w:val="auto"/>
          <w:highlight w:val="none"/>
          <w:lang w:val="en-US" w:eastAsia="zh-CN"/>
        </w:rPr>
        <w:t>蒜头</w:t>
      </w:r>
      <w:r>
        <w:rPr>
          <w:rFonts w:hint="eastAsia"/>
          <w:color w:val="auto"/>
          <w:highlight w:val="none"/>
        </w:rPr>
        <w:t>为</w:t>
      </w:r>
      <w:r>
        <w:rPr>
          <w:rFonts w:hint="eastAsia"/>
          <w:color w:val="auto"/>
          <w:highlight w:val="none"/>
          <w:lang w:val="en-US" w:eastAsia="zh-CN"/>
        </w:rPr>
        <w:t>主要</w:t>
      </w:r>
      <w:r>
        <w:rPr>
          <w:rFonts w:hint="eastAsia"/>
          <w:color w:val="auto"/>
          <w:highlight w:val="none"/>
        </w:rPr>
        <w:t>原料，添加或不添加八角、香菜等香辛料，经前处理、配料、</w:t>
      </w:r>
      <w:r>
        <w:rPr>
          <w:rFonts w:hint="eastAsia"/>
          <w:color w:val="auto"/>
          <w:highlight w:val="none"/>
          <w:lang w:val="en-US" w:eastAsia="zh-CN"/>
        </w:rPr>
        <w:t>粉</w:t>
      </w:r>
      <w:r>
        <w:rPr>
          <w:rFonts w:hint="eastAsia"/>
          <w:color w:val="auto"/>
          <w:highlight w:val="none"/>
        </w:rPr>
        <w:t>碎、油炸、包装等生产工艺制成</w:t>
      </w:r>
      <w:r>
        <w:rPr>
          <w:rFonts w:hint="eastAsia"/>
          <w:color w:val="auto"/>
          <w:highlight w:val="none"/>
          <w:lang w:val="en-US" w:eastAsia="zh-CN"/>
        </w:rPr>
        <w:t>的，用于制作海南</w:t>
      </w:r>
      <w:r>
        <w:rPr>
          <w:rFonts w:hint="eastAsia"/>
          <w:color w:val="auto"/>
          <w:highlight w:val="none"/>
        </w:rPr>
        <w:t>糟粕醋的蒜头油。</w:t>
      </w:r>
    </w:p>
    <w:p>
      <w:pPr>
        <w:pStyle w:val="63"/>
        <w:ind w:left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技术要求</w:t>
      </w:r>
    </w:p>
    <w:p>
      <w:pPr>
        <w:pStyle w:val="64"/>
        <w:ind w:left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原料要求</w:t>
      </w:r>
    </w:p>
    <w:p>
      <w:pPr>
        <w:pStyle w:val="65"/>
        <w:numPr>
          <w:ilvl w:val="0"/>
          <w:numId w:val="0"/>
        </w:numPr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 xml:space="preserve">4.1.1 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发酵菌种：</w:t>
      </w:r>
      <w:r>
        <w:rPr>
          <w:rFonts w:hint="eastAsia" w:hAnsi="宋体" w:cs="宋体"/>
          <w:color w:val="auto"/>
          <w:highlight w:val="none"/>
          <w:lang w:val="en-US" w:eastAsia="zh-CN"/>
        </w:rPr>
        <w:t>酿酒酵母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或其他由国务院卫生行政部门批准使用的菌种</w:t>
      </w:r>
      <w:r>
        <w:rPr>
          <w:rFonts w:hint="eastAsia"/>
          <w:color w:val="auto"/>
          <w:highlight w:val="none"/>
        </w:rPr>
        <w:t>。</w:t>
      </w:r>
    </w:p>
    <w:p>
      <w:pPr>
        <w:pStyle w:val="65"/>
        <w:numPr>
          <w:ilvl w:val="0"/>
          <w:numId w:val="0"/>
        </w:numPr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 xml:space="preserve">4.1.2 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其</w:t>
      </w:r>
      <w:r>
        <w:rPr>
          <w:rFonts w:hint="eastAsia" w:hAnsi="宋体" w:cs="宋体"/>
          <w:color w:val="auto"/>
          <w:highlight w:val="none"/>
          <w:lang w:val="en-US" w:eastAsia="zh-CN"/>
        </w:rPr>
        <w:t>他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原料：</w:t>
      </w:r>
      <w:r>
        <w:rPr>
          <w:rFonts w:hint="eastAsia"/>
          <w:color w:val="auto"/>
          <w:highlight w:val="none"/>
        </w:rPr>
        <w:t>应符合食品安全标准及相关规定的要求</w:t>
      </w:r>
      <w:r>
        <w:rPr>
          <w:rFonts w:hint="eastAsia" w:hAnsi="宋体" w:cs="宋体"/>
          <w:color w:val="auto"/>
          <w:highlight w:val="none"/>
          <w:lang w:val="en-US" w:eastAsia="zh-CN"/>
        </w:rPr>
        <w:t>。</w:t>
      </w:r>
    </w:p>
    <w:p>
      <w:pPr>
        <w:pStyle w:val="64"/>
        <w:ind w:lef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感官要求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应符合表1的要求。</w:t>
      </w:r>
    </w:p>
    <w:p>
      <w:pPr>
        <w:pStyle w:val="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感官要求</w:t>
      </w:r>
    </w:p>
    <w:tbl>
      <w:tblPr>
        <w:tblStyle w:val="1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"/>
        <w:gridCol w:w="5088"/>
        <w:gridCol w:w="27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项    目</w:t>
            </w:r>
          </w:p>
        </w:tc>
        <w:tc>
          <w:tcPr>
            <w:tcW w:w="508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highlight w:val="none"/>
              </w:rPr>
              <w:t>要    求</w:t>
            </w:r>
          </w:p>
        </w:tc>
        <w:tc>
          <w:tcPr>
            <w:tcW w:w="279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highlight w:val="none"/>
              </w:rPr>
              <w:t>检验方法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色  泽</w:t>
            </w:r>
          </w:p>
        </w:tc>
        <w:tc>
          <w:tcPr>
            <w:tcW w:w="508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highlight w:val="none"/>
              </w:rPr>
              <w:t>应具有产品应有的色泽</w:t>
            </w:r>
          </w:p>
        </w:tc>
        <w:tc>
          <w:tcPr>
            <w:tcW w:w="279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取适量试样置于洁净的烧杯（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固液混合状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产品）或洁净的白色搪瓷盘（半固态或固态产品）中，在自然光下观察色泽、性状和杂质，并嗅其气味，用温开水漱口，品其滋味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highlight w:val="none"/>
              </w:rPr>
              <w:t>性  状</w:t>
            </w:r>
          </w:p>
        </w:tc>
        <w:tc>
          <w:tcPr>
            <w:tcW w:w="508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固液混合状、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半固态或固态</w:t>
            </w:r>
            <w:r>
              <w:rPr>
                <w:rFonts w:hint="eastAsia" w:ascii="宋体"/>
                <w:color w:val="auto"/>
                <w:sz w:val="18"/>
                <w:highlight w:val="none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含油型半固态</w:t>
            </w:r>
            <w:r>
              <w:rPr>
                <w:rFonts w:hint="eastAsia" w:ascii="宋体"/>
                <w:color w:val="auto"/>
                <w:sz w:val="18"/>
                <w:highlight w:val="none"/>
              </w:rPr>
              <w:t>久置原料颗粒或细泥沉淀在底部</w:t>
            </w:r>
          </w:p>
        </w:tc>
        <w:tc>
          <w:tcPr>
            <w:tcW w:w="2796" w:type="dxa"/>
            <w:vMerge w:val="continue"/>
            <w:noWrap w:val="0"/>
            <w:vAlign w:val="center"/>
          </w:tcPr>
          <w:p>
            <w:pPr>
              <w:rPr>
                <w:rFonts w:asci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气味与滋味</w:t>
            </w:r>
          </w:p>
        </w:tc>
        <w:tc>
          <w:tcPr>
            <w:tcW w:w="510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highlight w:val="none"/>
              </w:rPr>
              <w:t>具有产品特有的滋味和气味，无异味、无异嗅</w:t>
            </w:r>
          </w:p>
        </w:tc>
        <w:tc>
          <w:tcPr>
            <w:tcW w:w="2796" w:type="dxa"/>
            <w:vMerge w:val="continue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杂  质</w:t>
            </w:r>
          </w:p>
        </w:tc>
        <w:tc>
          <w:tcPr>
            <w:tcW w:w="510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无正常视力可见的外来杂质</w:t>
            </w:r>
          </w:p>
        </w:tc>
        <w:tc>
          <w:tcPr>
            <w:tcW w:w="2796" w:type="dxa"/>
            <w:vMerge w:val="continue"/>
            <w:noWrap w:val="0"/>
            <w:vAlign w:val="center"/>
          </w:tcPr>
          <w:p>
            <w:pPr>
              <w:rPr>
                <w:rFonts w:ascii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pStyle w:val="64"/>
        <w:ind w:lef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理化指标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应符合表2的规定。</w:t>
      </w:r>
    </w:p>
    <w:p>
      <w:pPr>
        <w:pStyle w:val="60"/>
        <w:rPr>
          <w:rFonts w:hint="eastAsia"/>
          <w:color w:val="auto"/>
          <w:highlight w:val="none"/>
        </w:rPr>
      </w:pPr>
    </w:p>
    <w:p>
      <w:pPr>
        <w:pStyle w:val="60"/>
        <w:rPr>
          <w:rFonts w:hint="eastAsia"/>
          <w:color w:val="auto"/>
          <w:highlight w:val="none"/>
        </w:rPr>
      </w:pPr>
    </w:p>
    <w:p>
      <w:pPr>
        <w:pStyle w:val="60"/>
        <w:rPr>
          <w:rFonts w:hint="eastAsia"/>
          <w:color w:val="auto"/>
          <w:highlight w:val="none"/>
        </w:rPr>
      </w:pPr>
    </w:p>
    <w:p>
      <w:pPr>
        <w:pStyle w:val="67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理化指标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2915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项    目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指     标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784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总酸（以乙酸计），g/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100g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≥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GB 12456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78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酸价</w:t>
            </w: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（以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脂肪</w:t>
            </w: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计）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（以KOH计）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，mg/g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≤      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3.0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GB 5009.229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784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过氧化值</w:t>
            </w: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（以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脂肪</w:t>
            </w: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计）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，g/100g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GB 5009.227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铅（以Pb计），mg/kg       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≤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0.8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GB 5009.12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无机砷（以As计），mg/kg   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≤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GB 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注：1、将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酒糟包添加或不添加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复合调料包、油辣椒包、蒜头油包混合后检验。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仅适用于添加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食用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植物油的产品和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油辣椒包、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蒜头油包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的检验。</w:t>
            </w:r>
          </w:p>
        </w:tc>
      </w:tr>
    </w:tbl>
    <w:p>
      <w:pPr>
        <w:pStyle w:val="64"/>
        <w:ind w:lef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微生物限量</w:t>
      </w:r>
    </w:p>
    <w:p>
      <w:pPr>
        <w:pStyle w:val="6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应符合表3的规定。</w:t>
      </w:r>
    </w:p>
    <w:p>
      <w:pPr>
        <w:pStyle w:val="67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微生物限量</w:t>
      </w:r>
    </w:p>
    <w:tbl>
      <w:tblPr>
        <w:tblStyle w:val="1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69"/>
        <w:gridCol w:w="1169"/>
        <w:gridCol w:w="1169"/>
        <w:gridCol w:w="1170"/>
        <w:gridCol w:w="1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项    目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采样方案及限量（若非指定，均以</w:t>
            </w: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/25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g表示）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n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c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9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沙门氏菌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—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GB 4789.4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金黄色葡萄球菌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100CFU/g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10000 CFU/g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GB 4789.10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注：样品的处理及采集按GB 4789.1及GB 4789.2</w:t>
            </w: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执行。</w:t>
            </w:r>
          </w:p>
        </w:tc>
      </w:tr>
    </w:tbl>
    <w:p>
      <w:pPr>
        <w:pStyle w:val="64"/>
        <w:ind w:left="0"/>
        <w:rPr>
          <w:rFonts w:hint="eastAsia"/>
          <w:color w:val="auto"/>
          <w:highlight w:val="none"/>
        </w:rPr>
      </w:pPr>
      <w:bookmarkStart w:id="5" w:name="OLE_LINK1"/>
      <w:r>
        <w:rPr>
          <w:rFonts w:hint="eastAsia"/>
          <w:color w:val="auto"/>
          <w:highlight w:val="none"/>
        </w:rPr>
        <w:t>食品添加剂</w:t>
      </w:r>
    </w:p>
    <w:bookmarkEnd w:id="5"/>
    <w:p>
      <w:pPr>
        <w:pStyle w:val="60"/>
        <w:ind w:left="0" w:leftChars="0"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食品添加剂的使用应符合GB 2760的规定,冰乙酸(又名冰醋酸)、冰乙酸(低压羟基化法)不可用于</w:t>
      </w:r>
      <w:r>
        <w:rPr>
          <w:rFonts w:hint="eastAsia"/>
          <w:color w:val="auto"/>
          <w:highlight w:val="none"/>
          <w:lang w:val="en-US" w:eastAsia="zh-CN"/>
        </w:rPr>
        <w:t>海南糟粕醋</w:t>
      </w:r>
      <w:r>
        <w:rPr>
          <w:rFonts w:hint="eastAsia"/>
          <w:color w:val="auto"/>
          <w:highlight w:val="none"/>
        </w:rPr>
        <w:t>。</w:t>
      </w:r>
    </w:p>
    <w:p>
      <w:pPr>
        <w:pStyle w:val="63"/>
        <w:ind w:left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生产加工过程中的卫生要求</w:t>
      </w:r>
    </w:p>
    <w:p>
      <w:pPr>
        <w:pStyle w:val="60"/>
        <w:rPr>
          <w:rFonts w:hint="eastAsia" w:hAnsi="宋体"/>
          <w:color w:val="auto"/>
          <w:highlight w:val="none"/>
        </w:rPr>
      </w:pPr>
      <w:r>
        <w:rPr>
          <w:rFonts w:hint="eastAsia"/>
          <w:color w:val="auto"/>
          <w:highlight w:val="none"/>
        </w:rPr>
        <w:t>应符合</w:t>
      </w:r>
      <w:r>
        <w:rPr>
          <w:color w:val="auto"/>
          <w:highlight w:val="none"/>
        </w:rPr>
        <w:t>GB 1</w:t>
      </w:r>
      <w:r>
        <w:rPr>
          <w:rFonts w:hint="eastAsia"/>
          <w:color w:val="auto"/>
          <w:highlight w:val="none"/>
        </w:rPr>
        <w:t>4881的要求。</w:t>
      </w:r>
    </w:p>
    <w:p>
      <w:pPr>
        <w:pStyle w:val="63"/>
        <w:ind w:left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标签</w:t>
      </w:r>
    </w:p>
    <w:p>
      <w:pPr>
        <w:pStyle w:val="60"/>
        <w:rPr>
          <w:rFonts w:hint="eastAsia" w:hAnsi="宋体"/>
          <w:color w:val="auto"/>
          <w:highlight w:val="none"/>
        </w:rPr>
      </w:pPr>
      <w:r>
        <w:rPr>
          <w:rFonts w:hint="eastAsia"/>
          <w:color w:val="auto"/>
          <w:highlight w:val="none"/>
        </w:rPr>
        <w:t>应符合</w:t>
      </w:r>
      <w:r>
        <w:rPr>
          <w:color w:val="auto"/>
          <w:highlight w:val="none"/>
        </w:rPr>
        <w:t>GB 7718</w:t>
      </w:r>
      <w:r>
        <w:rPr>
          <w:rFonts w:hint="eastAsia"/>
          <w:color w:val="auto"/>
          <w:highlight w:val="none"/>
        </w:rPr>
        <w:t>、</w:t>
      </w:r>
      <w:r>
        <w:rPr>
          <w:rFonts w:hint="eastAsia" w:ascii="宋体" w:hAnsi="宋体"/>
          <w:color w:val="auto"/>
          <w:highlight w:val="none"/>
        </w:rPr>
        <w:t>GB 23350</w:t>
      </w:r>
      <w:r>
        <w:rPr>
          <w:rFonts w:hint="eastAsia" w:hAnsi="宋体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</w:rPr>
        <w:t>GB 28050和</w:t>
      </w:r>
      <w:r>
        <w:rPr>
          <w:rFonts w:hint="eastAsia" w:hAnsi="宋体"/>
          <w:color w:val="auto"/>
          <w:szCs w:val="21"/>
          <w:highlight w:val="none"/>
        </w:rPr>
        <w:t>《</w:t>
      </w:r>
      <w:r>
        <w:rPr>
          <w:rFonts w:hAnsi="宋体"/>
          <w:color w:val="auto"/>
          <w:szCs w:val="21"/>
          <w:highlight w:val="none"/>
        </w:rPr>
        <w:t>食品标识监督管理办法</w:t>
      </w:r>
      <w:r>
        <w:rPr>
          <w:rFonts w:hint="eastAsia" w:hAnsi="宋体"/>
          <w:color w:val="auto"/>
          <w:szCs w:val="21"/>
          <w:highlight w:val="none"/>
        </w:rPr>
        <w:t>》</w:t>
      </w:r>
      <w:r>
        <w:rPr>
          <w:rFonts w:hint="eastAsia"/>
          <w:color w:val="auto"/>
          <w:highlight w:val="none"/>
        </w:rPr>
        <w:t>的要求和相关规定</w:t>
      </w:r>
      <w:r>
        <w:rPr>
          <w:rFonts w:hAnsi="宋体"/>
          <w:color w:val="auto"/>
          <w:highlight w:val="none"/>
        </w:rPr>
        <w:t>。</w:t>
      </w:r>
    </w:p>
    <w:p>
      <w:pPr>
        <w:pStyle w:val="60"/>
        <w:rPr>
          <w:rFonts w:hint="eastAsia"/>
          <w:color w:val="auto"/>
          <w:highlight w:val="none"/>
        </w:rPr>
      </w:pPr>
    </w:p>
    <w:p>
      <w:pPr>
        <w:pStyle w:val="68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6" w:name="_GoBack"/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474" w:bottom="567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9"/>
    </w:pPr>
    <w:r>
      <w:rPr>
        <w:rFonts w:hint="eastAsia"/>
      </w:rPr>
      <w:t>DBS46</w:t>
    </w:r>
    <w:r>
      <w:t>/</w:t>
    </w:r>
    <w:r>
      <w:rPr>
        <w:rFonts w:hint="eastAsia"/>
      </w:rPr>
      <w:t xml:space="preserve"> </w:t>
    </w:r>
    <w:r>
      <w:t>XX</w:t>
    </w:r>
    <w:r>
      <w:rPr>
        <w:rFonts w:hint="eastAsia"/>
      </w:rPr>
      <w:t>X-</w:t>
    </w:r>
    <w: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3"/>
      <w:suff w:val="nothing"/>
      <w:lvlText w:val="%1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4"/>
      <w:suff w:val="nothing"/>
      <w:lvlText w:val="%1.%2　"/>
      <w:lvlJc w:val="left"/>
      <w:pPr>
        <w:ind w:left="568" w:firstLine="0"/>
      </w:pPr>
    </w:lvl>
    <w:lvl w:ilvl="2" w:tentative="0">
      <w:start w:val="1"/>
      <w:numFmt w:val="decimal"/>
      <w:pStyle w:val="6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oNotHyphenateCaps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iNzFkNDZlZDdiMDE5ZDNmNjVlMjVlMDk1MzUwZmMifQ=="/>
  </w:docVars>
  <w:rsids>
    <w:rsidRoot w:val="004D0226"/>
    <w:rsid w:val="004D0226"/>
    <w:rsid w:val="00671857"/>
    <w:rsid w:val="006A5725"/>
    <w:rsid w:val="00817C2D"/>
    <w:rsid w:val="00E36FB7"/>
    <w:rsid w:val="03023BEF"/>
    <w:rsid w:val="05054599"/>
    <w:rsid w:val="0DB85D99"/>
    <w:rsid w:val="0ED8341E"/>
    <w:rsid w:val="10E53C72"/>
    <w:rsid w:val="113F6919"/>
    <w:rsid w:val="18D32F0A"/>
    <w:rsid w:val="1B304E62"/>
    <w:rsid w:val="2AB17A2F"/>
    <w:rsid w:val="2CE112D3"/>
    <w:rsid w:val="30711DDE"/>
    <w:rsid w:val="34DB5C28"/>
    <w:rsid w:val="3AC65A6B"/>
    <w:rsid w:val="3AD670CD"/>
    <w:rsid w:val="3DF56C11"/>
    <w:rsid w:val="3E7E7795"/>
    <w:rsid w:val="41E65DD2"/>
    <w:rsid w:val="47685B2F"/>
    <w:rsid w:val="49B720A3"/>
    <w:rsid w:val="50114D7B"/>
    <w:rsid w:val="504B7698"/>
    <w:rsid w:val="594F17D4"/>
    <w:rsid w:val="5CFC316D"/>
    <w:rsid w:val="5DF4521E"/>
    <w:rsid w:val="60E17852"/>
    <w:rsid w:val="640C2D85"/>
    <w:rsid w:val="6C14241A"/>
    <w:rsid w:val="6ECF5F1B"/>
    <w:rsid w:val="718562C7"/>
    <w:rsid w:val="74184BBC"/>
    <w:rsid w:val="7A516E11"/>
    <w:rsid w:val="7AB55521"/>
    <w:rsid w:val="7E3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1"/>
    <w:qFormat/>
    <w:uiPriority w:val="9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4"/>
    <w:basedOn w:val="1"/>
    <w:next w:val="1"/>
    <w:link w:val="22"/>
    <w:qFormat/>
    <w:uiPriority w:val="99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3"/>
    <w:qFormat/>
    <w:uiPriority w:val="99"/>
    <w:pPr>
      <w:keepNext/>
      <w:keepLines/>
      <w:spacing w:before="200" w:after="0"/>
      <w:outlineLvl w:val="4"/>
    </w:pPr>
    <w:rPr>
      <w:rFonts w:ascii="Cambria" w:hAnsi="Cambria" w:cs="Cambria"/>
      <w:color w:val="244061"/>
    </w:rPr>
  </w:style>
  <w:style w:type="paragraph" w:styleId="7">
    <w:name w:val="heading 6"/>
    <w:basedOn w:val="1"/>
    <w:next w:val="1"/>
    <w:link w:val="24"/>
    <w:qFormat/>
    <w:uiPriority w:val="99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4061"/>
    </w:rPr>
  </w:style>
  <w:style w:type="paragraph" w:styleId="8">
    <w:name w:val="heading 7"/>
    <w:basedOn w:val="1"/>
    <w:next w:val="1"/>
    <w:link w:val="25"/>
    <w:qFormat/>
    <w:uiPriority w:val="99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9">
    <w:name w:val="heading 8"/>
    <w:basedOn w:val="1"/>
    <w:next w:val="1"/>
    <w:link w:val="26"/>
    <w:qFormat/>
    <w:uiPriority w:val="99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10">
    <w:name w:val="heading 9"/>
    <w:basedOn w:val="1"/>
    <w:next w:val="1"/>
    <w:link w:val="27"/>
    <w:qFormat/>
    <w:uiPriority w:val="99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16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13">
    <w:name w:val="Subtitle"/>
    <w:basedOn w:val="1"/>
    <w:next w:val="1"/>
    <w:link w:val="29"/>
    <w:qFormat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14">
    <w:name w:val="Title"/>
    <w:basedOn w:val="1"/>
    <w:next w:val="1"/>
    <w:link w:val="30"/>
    <w:qFormat/>
    <w:uiPriority w:val="99"/>
    <w:pPr>
      <w:pBdr>
        <w:bottom w:val="single" w:color="4F81BD" w:sz="8" w:space="4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17">
    <w:name w:val="Strong"/>
    <w:basedOn w:val="16"/>
    <w:qFormat/>
    <w:uiPriority w:val="99"/>
    <w:rPr>
      <w:b/>
      <w:bCs/>
    </w:rPr>
  </w:style>
  <w:style w:type="character" w:styleId="18">
    <w:name w:val="Emphasis"/>
    <w:basedOn w:val="16"/>
    <w:qFormat/>
    <w:uiPriority w:val="99"/>
    <w:rPr>
      <w:i/>
      <w:iCs/>
    </w:rPr>
  </w:style>
  <w:style w:type="character" w:customStyle="1" w:styleId="19">
    <w:name w:val="Heading 1 Char"/>
    <w:basedOn w:val="16"/>
    <w:link w:val="2"/>
    <w:qFormat/>
    <w:locked/>
    <w:uiPriority w:val="99"/>
    <w:rPr>
      <w:rFonts w:ascii="Cambria" w:hAnsi="Cambria" w:eastAsia="宋体" w:cs="Cambria"/>
      <w:b/>
      <w:bCs/>
      <w:color w:val="365F91"/>
      <w:sz w:val="28"/>
      <w:szCs w:val="28"/>
    </w:rPr>
  </w:style>
  <w:style w:type="character" w:customStyle="1" w:styleId="20">
    <w:name w:val="Heading 2 Char"/>
    <w:basedOn w:val="16"/>
    <w:link w:val="3"/>
    <w:semiHidden/>
    <w:qFormat/>
    <w:locked/>
    <w:uiPriority w:val="99"/>
    <w:rPr>
      <w:rFonts w:ascii="Cambria" w:hAnsi="Cambria" w:eastAsia="宋体" w:cs="Cambria"/>
      <w:b/>
      <w:bCs/>
      <w:color w:val="4F81BD"/>
      <w:sz w:val="26"/>
      <w:szCs w:val="26"/>
    </w:rPr>
  </w:style>
  <w:style w:type="character" w:customStyle="1" w:styleId="21">
    <w:name w:val="Heading 3 Char"/>
    <w:basedOn w:val="16"/>
    <w:link w:val="4"/>
    <w:qFormat/>
    <w:locked/>
    <w:uiPriority w:val="99"/>
    <w:rPr>
      <w:rFonts w:ascii="Cambria" w:hAnsi="Cambria" w:eastAsia="宋体" w:cs="Cambria"/>
      <w:b/>
      <w:bCs/>
      <w:color w:val="4F81BD"/>
    </w:rPr>
  </w:style>
  <w:style w:type="character" w:customStyle="1" w:styleId="22">
    <w:name w:val="Heading 4 Char"/>
    <w:basedOn w:val="16"/>
    <w:link w:val="5"/>
    <w:qFormat/>
    <w:locked/>
    <w:uiPriority w:val="99"/>
    <w:rPr>
      <w:rFonts w:ascii="Cambria" w:hAnsi="Cambria" w:eastAsia="宋体" w:cs="Cambria"/>
      <w:b/>
      <w:bCs/>
      <w:i/>
      <w:iCs/>
      <w:color w:val="4F81BD"/>
    </w:rPr>
  </w:style>
  <w:style w:type="character" w:customStyle="1" w:styleId="23">
    <w:name w:val="Heading 5 Char"/>
    <w:basedOn w:val="16"/>
    <w:link w:val="6"/>
    <w:qFormat/>
    <w:locked/>
    <w:uiPriority w:val="99"/>
    <w:rPr>
      <w:rFonts w:ascii="Cambria" w:hAnsi="Cambria" w:eastAsia="宋体" w:cs="Cambria"/>
      <w:color w:val="244061"/>
    </w:rPr>
  </w:style>
  <w:style w:type="character" w:customStyle="1" w:styleId="24">
    <w:name w:val="Heading 6 Char"/>
    <w:basedOn w:val="16"/>
    <w:link w:val="7"/>
    <w:qFormat/>
    <w:locked/>
    <w:uiPriority w:val="99"/>
    <w:rPr>
      <w:rFonts w:ascii="Cambria" w:hAnsi="Cambria" w:eastAsia="宋体" w:cs="Cambria"/>
      <w:i/>
      <w:iCs/>
      <w:color w:val="244061"/>
    </w:rPr>
  </w:style>
  <w:style w:type="character" w:customStyle="1" w:styleId="25">
    <w:name w:val="Heading 7 Char"/>
    <w:basedOn w:val="16"/>
    <w:link w:val="8"/>
    <w:qFormat/>
    <w:locked/>
    <w:uiPriority w:val="99"/>
    <w:rPr>
      <w:rFonts w:ascii="Cambria" w:hAnsi="Cambria" w:eastAsia="宋体" w:cs="Cambria"/>
      <w:i/>
      <w:iCs/>
      <w:color w:val="404040"/>
    </w:rPr>
  </w:style>
  <w:style w:type="character" w:customStyle="1" w:styleId="26">
    <w:name w:val="Heading 8 Char"/>
    <w:basedOn w:val="16"/>
    <w:link w:val="9"/>
    <w:qFormat/>
    <w:locked/>
    <w:uiPriority w:val="99"/>
    <w:rPr>
      <w:rFonts w:ascii="Cambria" w:hAnsi="Cambria" w:eastAsia="宋体" w:cs="Cambria"/>
      <w:color w:val="4F81BD"/>
      <w:sz w:val="20"/>
      <w:szCs w:val="20"/>
    </w:rPr>
  </w:style>
  <w:style w:type="character" w:customStyle="1" w:styleId="27">
    <w:name w:val="Heading 9 Char"/>
    <w:basedOn w:val="16"/>
    <w:link w:val="10"/>
    <w:qFormat/>
    <w:locked/>
    <w:uiPriority w:val="99"/>
    <w:rPr>
      <w:rFonts w:ascii="Cambria" w:hAnsi="Cambria" w:eastAsia="宋体" w:cs="Cambria"/>
      <w:i/>
      <w:iCs/>
      <w:color w:val="404040"/>
      <w:sz w:val="20"/>
      <w:szCs w:val="20"/>
    </w:rPr>
  </w:style>
  <w:style w:type="character" w:customStyle="1" w:styleId="28">
    <w:name w:val="Date Char"/>
    <w:basedOn w:val="16"/>
    <w:link w:val="12"/>
    <w:semiHidden/>
    <w:qFormat/>
    <w:locked/>
    <w:uiPriority w:val="99"/>
  </w:style>
  <w:style w:type="character" w:customStyle="1" w:styleId="29">
    <w:name w:val="Subtitle Char"/>
    <w:basedOn w:val="16"/>
    <w:link w:val="13"/>
    <w:qFormat/>
    <w:locked/>
    <w:uiPriority w:val="99"/>
    <w:rPr>
      <w:rFonts w:ascii="Cambria" w:hAnsi="Cambria" w:eastAsia="宋体" w:cs="Cambria"/>
      <w:i/>
      <w:iCs/>
      <w:color w:val="4F81BD"/>
      <w:spacing w:val="15"/>
      <w:sz w:val="24"/>
      <w:szCs w:val="24"/>
    </w:rPr>
  </w:style>
  <w:style w:type="character" w:customStyle="1" w:styleId="30">
    <w:name w:val="Title Char"/>
    <w:basedOn w:val="16"/>
    <w:link w:val="14"/>
    <w:qFormat/>
    <w:locked/>
    <w:uiPriority w:val="99"/>
    <w:rPr>
      <w:rFonts w:ascii="Cambria" w:hAnsi="Cambria" w:eastAsia="宋体" w:cs="Cambria"/>
      <w:color w:val="17365D"/>
      <w:spacing w:val="5"/>
      <w:kern w:val="28"/>
      <w:sz w:val="52"/>
      <w:szCs w:val="52"/>
    </w:rPr>
  </w:style>
  <w:style w:type="paragraph" w:customStyle="1" w:styleId="31">
    <w:name w:val="No Spacing1"/>
    <w:link w:val="36"/>
    <w:qFormat/>
    <w:uiPriority w:val="99"/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customStyle="1" w:styleId="32">
    <w:name w:val="List Paragraph1"/>
    <w:basedOn w:val="1"/>
    <w:qFormat/>
    <w:uiPriority w:val="99"/>
    <w:pPr>
      <w:ind w:left="720"/>
    </w:pPr>
  </w:style>
  <w:style w:type="paragraph" w:customStyle="1" w:styleId="33">
    <w:name w:val="Quote1"/>
    <w:basedOn w:val="1"/>
    <w:next w:val="1"/>
    <w:link w:val="37"/>
    <w:qFormat/>
    <w:uiPriority w:val="99"/>
    <w:rPr>
      <w:i/>
      <w:iCs/>
      <w:color w:val="000000"/>
    </w:rPr>
  </w:style>
  <w:style w:type="paragraph" w:customStyle="1" w:styleId="34">
    <w:name w:val="Intense Quote1"/>
    <w:basedOn w:val="1"/>
    <w:next w:val="1"/>
    <w:link w:val="38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35">
    <w:name w:val="TOC Heading1"/>
    <w:basedOn w:val="2"/>
    <w:next w:val="1"/>
    <w:qFormat/>
    <w:uiPriority w:val="99"/>
    <w:pPr>
      <w:outlineLvl w:val="9"/>
    </w:pPr>
  </w:style>
  <w:style w:type="character" w:customStyle="1" w:styleId="36">
    <w:name w:val="No Spacing Char"/>
    <w:basedOn w:val="16"/>
    <w:link w:val="31"/>
    <w:qFormat/>
    <w:locked/>
    <w:uiPriority w:val="99"/>
    <w:rPr>
      <w:rFonts w:ascii="Calibri" w:hAnsi="Calibri" w:cs="Calibri"/>
      <w:sz w:val="22"/>
      <w:szCs w:val="22"/>
      <w:lang w:val="en-US" w:eastAsia="en-US"/>
    </w:rPr>
  </w:style>
  <w:style w:type="character" w:customStyle="1" w:styleId="37">
    <w:name w:val="Quote Char"/>
    <w:basedOn w:val="16"/>
    <w:link w:val="33"/>
    <w:qFormat/>
    <w:locked/>
    <w:uiPriority w:val="99"/>
    <w:rPr>
      <w:i/>
      <w:iCs/>
      <w:color w:val="000000"/>
    </w:rPr>
  </w:style>
  <w:style w:type="character" w:customStyle="1" w:styleId="38">
    <w:name w:val="Intense Quote Char"/>
    <w:basedOn w:val="16"/>
    <w:link w:val="34"/>
    <w:qFormat/>
    <w:locked/>
    <w:uiPriority w:val="99"/>
    <w:rPr>
      <w:b/>
      <w:bCs/>
      <w:i/>
      <w:iCs/>
      <w:color w:val="4F81BD"/>
    </w:rPr>
  </w:style>
  <w:style w:type="character" w:customStyle="1" w:styleId="39">
    <w:name w:val="Subtle Emphasis1"/>
    <w:basedOn w:val="16"/>
    <w:qFormat/>
    <w:uiPriority w:val="99"/>
    <w:rPr>
      <w:i/>
      <w:iCs/>
      <w:color w:val="auto"/>
    </w:rPr>
  </w:style>
  <w:style w:type="character" w:customStyle="1" w:styleId="40">
    <w:name w:val="Intense Emphasis1"/>
    <w:basedOn w:val="16"/>
    <w:qFormat/>
    <w:uiPriority w:val="99"/>
    <w:rPr>
      <w:b/>
      <w:bCs/>
      <w:i/>
      <w:iCs/>
      <w:color w:val="4F81BD"/>
    </w:rPr>
  </w:style>
  <w:style w:type="character" w:customStyle="1" w:styleId="41">
    <w:name w:val="Subtle Reference1"/>
    <w:basedOn w:val="16"/>
    <w:qFormat/>
    <w:uiPriority w:val="99"/>
    <w:rPr>
      <w:smallCaps/>
      <w:color w:val="auto"/>
      <w:u w:val="single"/>
    </w:rPr>
  </w:style>
  <w:style w:type="character" w:customStyle="1" w:styleId="42">
    <w:name w:val="Intense Reference1"/>
    <w:basedOn w:val="16"/>
    <w:qFormat/>
    <w:uiPriority w:val="99"/>
    <w:rPr>
      <w:b/>
      <w:bCs/>
      <w:smallCaps/>
      <w:color w:val="auto"/>
      <w:spacing w:val="5"/>
      <w:u w:val="single"/>
    </w:rPr>
  </w:style>
  <w:style w:type="character" w:customStyle="1" w:styleId="43">
    <w:name w:val="Book Title1"/>
    <w:basedOn w:val="16"/>
    <w:qFormat/>
    <w:uiPriority w:val="99"/>
    <w:rPr>
      <w:b/>
      <w:bCs/>
      <w:smallCaps/>
      <w:spacing w:val="5"/>
    </w:rPr>
  </w:style>
  <w:style w:type="paragraph" w:customStyle="1" w:styleId="44">
    <w:name w:val="其他标准标志"/>
    <w:basedOn w:val="45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45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4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4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beforeLines="0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8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beforeLines="0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0">
    <w:name w:val="封面一致性程度标识"/>
    <w:basedOn w:val="51"/>
    <w:qFormat/>
    <w:uiPriority w:val="0"/>
    <w:pPr>
      <w:spacing w:before="440" w:beforeLines="0"/>
    </w:pPr>
    <w:rPr>
      <w:rFonts w:ascii="宋体" w:eastAsia="宋体"/>
    </w:rPr>
  </w:style>
  <w:style w:type="paragraph" w:customStyle="1" w:styleId="51">
    <w:name w:val="封面标准英文名称"/>
    <w:basedOn w:val="49"/>
    <w:qFormat/>
    <w:uiPriority w:val="0"/>
    <w:pPr>
      <w:spacing w:before="370" w:beforeLines="0" w:line="400" w:lineRule="exact"/>
    </w:pPr>
    <w:rPr>
      <w:rFonts w:ascii="Times New Roman"/>
      <w:sz w:val="28"/>
      <w:szCs w:val="28"/>
    </w:rPr>
  </w:style>
  <w:style w:type="paragraph" w:customStyle="1" w:styleId="52">
    <w:name w:val="封面标准文稿类别"/>
    <w:basedOn w:val="50"/>
    <w:qFormat/>
    <w:uiPriority w:val="0"/>
    <w:pPr>
      <w:spacing w:after="160" w:afterLines="0" w:line="240" w:lineRule="auto"/>
    </w:pPr>
    <w:rPr>
      <w:sz w:val="24"/>
    </w:rPr>
  </w:style>
  <w:style w:type="paragraph" w:customStyle="1" w:styleId="53">
    <w:name w:val="封面标准文稿编辑信息"/>
    <w:basedOn w:val="52"/>
    <w:qFormat/>
    <w:uiPriority w:val="0"/>
    <w:pPr>
      <w:spacing w:before="180" w:beforeLines="0" w:line="180" w:lineRule="exact"/>
    </w:pPr>
    <w:rPr>
      <w:sz w:val="21"/>
    </w:rPr>
  </w:style>
  <w:style w:type="paragraph" w:customStyle="1" w:styleId="54">
    <w:name w:val="其他发布日期"/>
    <w:basedOn w:val="55"/>
    <w:qFormat/>
    <w:uiPriority w:val="0"/>
    <w:pPr>
      <w:framePr w:vAnchor="page" w:hAnchor="page" w:x="1419"/>
    </w:pPr>
  </w:style>
  <w:style w:type="paragraph" w:customStyle="1" w:styleId="55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6">
    <w:name w:val="其他实施日期"/>
    <w:basedOn w:val="57"/>
    <w:qFormat/>
    <w:uiPriority w:val="0"/>
  </w:style>
  <w:style w:type="paragraph" w:customStyle="1" w:styleId="57">
    <w:name w:val="实施日期"/>
    <w:basedOn w:val="55"/>
    <w:qFormat/>
    <w:uiPriority w:val="0"/>
    <w:pPr>
      <w:framePr w:vAnchor="page" w:hAnchor="page"/>
      <w:jc w:val="right"/>
    </w:pPr>
  </w:style>
  <w:style w:type="paragraph" w:customStyle="1" w:styleId="58">
    <w:name w:val="其他发布部门"/>
    <w:basedOn w:val="59"/>
    <w:qFormat/>
    <w:uiPriority w:val="0"/>
    <w:pPr>
      <w:framePr w:vAnchor="margin" w:hAnchor="text" w:y="15310"/>
      <w:spacing w:line="0" w:lineRule="atLeast"/>
    </w:pPr>
    <w:rPr>
      <w:rFonts w:ascii="黑体" w:eastAsia="黑体"/>
      <w:b w:val="0"/>
    </w:rPr>
  </w:style>
  <w:style w:type="paragraph" w:customStyle="1" w:styleId="59">
    <w:name w:val="发布部门"/>
    <w:next w:val="60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6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1">
    <w:name w:val="发布"/>
    <w:basedOn w:val="1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62">
    <w:name w:val="前言、引言标题"/>
    <w:next w:val="60"/>
    <w:qFormat/>
    <w:uiPriority w:val="0"/>
    <w:pPr>
      <w:keepNext/>
      <w:pageBreakBefore/>
      <w:shd w:val="clear" w:color="FFFFFF" w:fill="FFFFFF"/>
      <w:spacing w:before="640" w:beforeLines="0" w:after="560" w:afterLines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3">
    <w:name w:val="章标题"/>
    <w:next w:val="60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4">
    <w:name w:val="一级条标题"/>
    <w:next w:val="60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5">
    <w:name w:val="二级无"/>
    <w:basedOn w:val="66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66">
    <w:name w:val="二级条标题"/>
    <w:basedOn w:val="64"/>
    <w:next w:val="60"/>
    <w:qFormat/>
    <w:uiPriority w:val="0"/>
    <w:pPr>
      <w:numPr>
        <w:ilvl w:val="2"/>
        <w:numId w:val="1"/>
      </w:numPr>
      <w:spacing w:before="156" w:beforeLines="50" w:after="156" w:afterLines="50"/>
      <w:outlineLvl w:val="3"/>
    </w:pPr>
  </w:style>
  <w:style w:type="paragraph" w:customStyle="1" w:styleId="67">
    <w:name w:val="正文表标题"/>
    <w:next w:val="60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8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6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 w:afterLines="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0">
    <w:name w:val="标准书脚_奇数页"/>
    <w:qFormat/>
    <w:uiPriority w:val="0"/>
    <w:pPr>
      <w:spacing w:before="120" w:beforeLines="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439</Words>
  <Characters>506</Characters>
  <Lines>0</Lines>
  <Paragraphs>0</Paragraphs>
  <TotalTime>2</TotalTime>
  <ScaleCrop>false</ScaleCrop>
  <LinksUpToDate>false</LinksUpToDate>
  <CharactersWithSpaces>633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2017-11-13T23:22:00Z</dcterms:created>
  <dc:creator>dell</dc:creator>
  <cp:lastModifiedBy>郭洪成</cp:lastModifiedBy>
  <cp:lastPrinted>2025-10-17T13:28:00Z</cp:lastPrinted>
  <dcterms:modified xsi:type="dcterms:W3CDTF">2025-10-21T08:07:09Z</dcterms:modified>
  <dc:title>海南省疾病预防控制中心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9ADC2673C6F6451483A7B45EB31F766C</vt:lpwstr>
  </property>
</Properties>
</file>