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2DDC3E">
      <w:pPr>
        <w:widowControl/>
        <w:jc w:val="left"/>
        <w:rPr>
          <w:rFonts w:ascii="Times New Roman" w:hAnsi="Times New Roman" w:eastAsia="仿宋_GB2312" w:cs="Times New Roman"/>
          <w:color w:val="auto"/>
          <w:sz w:val="32"/>
          <w:szCs w:val="32"/>
          <w:highlight w:val="none"/>
        </w:rPr>
      </w:pPr>
      <w:bookmarkStart w:id="0" w:name="_Hlk136614739"/>
      <w:r>
        <w:rPr>
          <w:rFonts w:ascii="Times New Roman" w:hAnsi="Times New Roman" w:eastAsia="仿宋_GB2312" w:cs="Times New Roman"/>
          <w:color w:val="auto"/>
          <w:sz w:val="32"/>
          <w:szCs w:val="32"/>
          <w:highlight w:val="none"/>
        </w:rPr>
        <w:t>附件</w:t>
      </w:r>
      <w:bookmarkEnd w:id="0"/>
    </w:p>
    <w:p w14:paraId="284C3574">
      <w:pPr>
        <w:jc w:val="center"/>
        <w:rPr>
          <w:rFonts w:ascii="Times New Roman" w:hAnsi="Times New Roman" w:eastAsia="黑体" w:cs="Times New Roman"/>
          <w:color w:val="auto"/>
          <w:sz w:val="36"/>
          <w:szCs w:val="36"/>
          <w:highlight w:val="none"/>
        </w:rPr>
      </w:pPr>
      <w:r>
        <w:rPr>
          <w:rFonts w:ascii="Times New Roman" w:hAnsi="Times New Roman" w:eastAsia="黑体" w:cs="Times New Roman"/>
          <w:color w:val="auto"/>
          <w:sz w:val="36"/>
          <w:szCs w:val="36"/>
          <w:highlight w:val="none"/>
        </w:rPr>
        <w:t>2025年交通运输标准化计划项目（第</w:t>
      </w:r>
      <w:r>
        <w:rPr>
          <w:rFonts w:hint="eastAsia" w:ascii="Times New Roman" w:hAnsi="Times New Roman" w:eastAsia="黑体" w:cs="Times New Roman"/>
          <w:color w:val="auto"/>
          <w:sz w:val="36"/>
          <w:szCs w:val="36"/>
          <w:highlight w:val="none"/>
        </w:rPr>
        <w:t>三</w:t>
      </w:r>
      <w:r>
        <w:rPr>
          <w:rFonts w:ascii="Times New Roman" w:hAnsi="Times New Roman" w:eastAsia="黑体" w:cs="Times New Roman"/>
          <w:color w:val="auto"/>
          <w:sz w:val="36"/>
          <w:szCs w:val="36"/>
          <w:highlight w:val="none"/>
        </w:rPr>
        <w:t>批）</w:t>
      </w:r>
      <w:r>
        <w:rPr>
          <w:rFonts w:hint="eastAsia" w:ascii="黑体" w:hAnsi="黑体" w:eastAsia="黑体" w:cs="黑体"/>
          <w:color w:val="auto"/>
          <w:sz w:val="36"/>
          <w:szCs w:val="36"/>
          <w:highlight w:val="none"/>
        </w:rPr>
        <w:t>（征求意见稿）</w:t>
      </w:r>
    </w:p>
    <w:p w14:paraId="31F2CF33">
      <w:pPr>
        <w:jc w:val="center"/>
        <w:rPr>
          <w:rFonts w:ascii="Times New Roman" w:hAnsi="Times New Roman" w:eastAsia="黑体" w:cs="Times New Roman"/>
          <w:color w:val="auto"/>
          <w:sz w:val="36"/>
          <w:szCs w:val="36"/>
          <w:highlight w:val="none"/>
        </w:rPr>
      </w:pPr>
    </w:p>
    <w:p w14:paraId="12BE8CBD">
      <w:pPr>
        <w:spacing w:line="360" w:lineRule="auto"/>
        <w:rPr>
          <w:rFonts w:ascii="Times New Roman" w:hAnsi="Times New Roman" w:eastAsia="黑体" w:cs="Times New Roman"/>
          <w:b/>
          <w:bCs/>
          <w:color w:val="auto"/>
          <w:sz w:val="32"/>
          <w:szCs w:val="32"/>
          <w:highlight w:val="none"/>
        </w:rPr>
      </w:pPr>
      <w:r>
        <w:rPr>
          <w:rFonts w:hint="eastAsia" w:ascii="Times New Roman" w:hAnsi="Times New Roman" w:eastAsia="黑体" w:cs="Times New Roman"/>
          <w:b/>
          <w:bCs/>
          <w:color w:val="auto"/>
          <w:sz w:val="32"/>
          <w:szCs w:val="32"/>
          <w:highlight w:val="none"/>
        </w:rPr>
        <w:t>一</w:t>
      </w:r>
      <w:r>
        <w:rPr>
          <w:rFonts w:ascii="Times New Roman" w:hAnsi="Times New Roman" w:eastAsia="黑体" w:cs="Times New Roman"/>
          <w:b/>
          <w:bCs/>
          <w:color w:val="auto"/>
          <w:sz w:val="32"/>
          <w:szCs w:val="32"/>
          <w:highlight w:val="none"/>
        </w:rPr>
        <w:t>、</w:t>
      </w:r>
      <w:r>
        <w:rPr>
          <w:rFonts w:hint="eastAsia" w:ascii="Times New Roman" w:hAnsi="Times New Roman" w:eastAsia="黑体" w:cs="Times New Roman"/>
          <w:b/>
          <w:bCs/>
          <w:color w:val="auto"/>
          <w:sz w:val="32"/>
          <w:szCs w:val="32"/>
          <w:highlight w:val="none"/>
        </w:rPr>
        <w:t>行业标准</w:t>
      </w:r>
      <w:r>
        <w:rPr>
          <w:rFonts w:ascii="Times New Roman" w:hAnsi="Times New Roman" w:eastAsia="黑体" w:cs="Times New Roman"/>
          <w:b/>
          <w:bCs/>
          <w:color w:val="auto"/>
          <w:sz w:val="32"/>
          <w:szCs w:val="32"/>
          <w:highlight w:val="none"/>
        </w:rPr>
        <w:t>（</w:t>
      </w:r>
      <w:r>
        <w:rPr>
          <w:rFonts w:hint="eastAsia" w:ascii="Times New Roman" w:hAnsi="Times New Roman" w:eastAsia="黑体" w:cs="Times New Roman"/>
          <w:b/>
          <w:bCs/>
          <w:color w:val="auto"/>
          <w:sz w:val="32"/>
          <w:szCs w:val="32"/>
          <w:highlight w:val="none"/>
        </w:rPr>
        <w:t>4</w:t>
      </w:r>
      <w:r>
        <w:rPr>
          <w:rFonts w:hint="eastAsia" w:ascii="Times New Roman" w:hAnsi="Times New Roman" w:eastAsia="黑体" w:cs="Times New Roman"/>
          <w:b/>
          <w:bCs/>
          <w:color w:val="auto"/>
          <w:sz w:val="32"/>
          <w:szCs w:val="32"/>
          <w:highlight w:val="none"/>
          <w:lang w:val="en-US" w:eastAsia="zh-CN"/>
        </w:rPr>
        <w:t>8</w:t>
      </w:r>
      <w:bookmarkStart w:id="5" w:name="_GoBack"/>
      <w:bookmarkEnd w:id="5"/>
      <w:r>
        <w:rPr>
          <w:rFonts w:ascii="Times New Roman" w:hAnsi="Times New Roman" w:eastAsia="黑体" w:cs="Times New Roman"/>
          <w:b/>
          <w:bCs/>
          <w:color w:val="auto"/>
          <w:sz w:val="32"/>
          <w:szCs w:val="32"/>
          <w:highlight w:val="none"/>
        </w:rPr>
        <w:t>项）</w:t>
      </w:r>
    </w:p>
    <w:tbl>
      <w:tblPr>
        <w:tblStyle w:val="8"/>
        <w:tblW w:w="4968" w:type="pct"/>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1872"/>
        <w:gridCol w:w="4794"/>
        <w:gridCol w:w="736"/>
        <w:gridCol w:w="1426"/>
        <w:gridCol w:w="950"/>
        <w:gridCol w:w="1247"/>
        <w:gridCol w:w="3652"/>
      </w:tblGrid>
      <w:tr w14:paraId="1915F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89" w:type="pct"/>
            <w:vAlign w:val="center"/>
          </w:tcPr>
          <w:p w14:paraId="38F24F7D">
            <w:pPr>
              <w:jc w:val="center"/>
              <w:rPr>
                <w:rFonts w:ascii="Times New Roman" w:hAnsi="Times New Roman" w:eastAsia="仿宋_GB2312" w:cs="Times New Roman"/>
                <w:b/>
                <w:bCs/>
                <w:color w:val="auto"/>
                <w:sz w:val="24"/>
                <w:szCs w:val="24"/>
                <w:highlight w:val="none"/>
              </w:rPr>
            </w:pPr>
            <w:r>
              <w:rPr>
                <w:rFonts w:ascii="Times New Roman" w:hAnsi="Times New Roman" w:eastAsia="仿宋_GB2312" w:cs="Times New Roman"/>
                <w:b/>
                <w:bCs/>
                <w:color w:val="auto"/>
                <w:sz w:val="24"/>
                <w:szCs w:val="24"/>
                <w:highlight w:val="none"/>
              </w:rPr>
              <w:t>序号</w:t>
            </w:r>
          </w:p>
        </w:tc>
        <w:tc>
          <w:tcPr>
            <w:tcW w:w="613" w:type="pct"/>
            <w:vAlign w:val="center"/>
          </w:tcPr>
          <w:p w14:paraId="6D3EB531">
            <w:pPr>
              <w:jc w:val="center"/>
              <w:rPr>
                <w:rFonts w:ascii="Times New Roman" w:hAnsi="Times New Roman" w:eastAsia="仿宋_GB2312" w:cs="Times New Roman"/>
                <w:b/>
                <w:bCs/>
                <w:color w:val="auto"/>
                <w:sz w:val="24"/>
                <w:szCs w:val="24"/>
                <w:highlight w:val="none"/>
              </w:rPr>
            </w:pPr>
            <w:r>
              <w:rPr>
                <w:rFonts w:ascii="Times New Roman" w:hAnsi="Times New Roman" w:eastAsia="仿宋_GB2312" w:cs="Times New Roman"/>
                <w:b/>
                <w:bCs/>
                <w:color w:val="auto"/>
                <w:sz w:val="24"/>
                <w:szCs w:val="24"/>
                <w:highlight w:val="none"/>
              </w:rPr>
              <w:t>项目名称</w:t>
            </w:r>
          </w:p>
        </w:tc>
        <w:tc>
          <w:tcPr>
            <w:tcW w:w="1570" w:type="pct"/>
            <w:vAlign w:val="center"/>
          </w:tcPr>
          <w:p w14:paraId="674A9E7B">
            <w:pPr>
              <w:jc w:val="center"/>
              <w:rPr>
                <w:rFonts w:ascii="Times New Roman" w:hAnsi="Times New Roman" w:eastAsia="仿宋_GB2312" w:cs="Times New Roman"/>
                <w:b/>
                <w:bCs/>
                <w:color w:val="auto"/>
                <w:sz w:val="24"/>
                <w:szCs w:val="24"/>
                <w:highlight w:val="none"/>
              </w:rPr>
            </w:pPr>
            <w:r>
              <w:rPr>
                <w:rFonts w:ascii="Times New Roman" w:hAnsi="Times New Roman" w:eastAsia="仿宋_GB2312" w:cs="Times New Roman"/>
                <w:b/>
                <w:bCs/>
                <w:color w:val="auto"/>
                <w:sz w:val="24"/>
                <w:szCs w:val="24"/>
                <w:highlight w:val="none"/>
              </w:rPr>
              <w:t>范围和主要技术内容</w:t>
            </w:r>
          </w:p>
        </w:tc>
        <w:tc>
          <w:tcPr>
            <w:tcW w:w="241" w:type="pct"/>
            <w:vAlign w:val="center"/>
          </w:tcPr>
          <w:p w14:paraId="643F6A36">
            <w:pPr>
              <w:jc w:val="center"/>
              <w:rPr>
                <w:rFonts w:ascii="Times New Roman" w:hAnsi="Times New Roman" w:eastAsia="仿宋_GB2312" w:cs="Times New Roman"/>
                <w:b/>
                <w:bCs/>
                <w:color w:val="auto"/>
                <w:sz w:val="24"/>
                <w:szCs w:val="24"/>
                <w:highlight w:val="none"/>
              </w:rPr>
            </w:pPr>
            <w:r>
              <w:rPr>
                <w:rFonts w:ascii="Times New Roman" w:hAnsi="Times New Roman" w:eastAsia="仿宋_GB2312" w:cs="Times New Roman"/>
                <w:b/>
                <w:bCs/>
                <w:color w:val="auto"/>
                <w:sz w:val="24"/>
                <w:szCs w:val="24"/>
                <w:highlight w:val="none"/>
              </w:rPr>
              <w:t>制修订</w:t>
            </w:r>
          </w:p>
        </w:tc>
        <w:tc>
          <w:tcPr>
            <w:tcW w:w="467" w:type="pct"/>
            <w:vAlign w:val="center"/>
          </w:tcPr>
          <w:p w14:paraId="2757C966">
            <w:pPr>
              <w:jc w:val="center"/>
              <w:rPr>
                <w:rFonts w:ascii="Times New Roman" w:hAnsi="Times New Roman" w:eastAsia="仿宋_GB2312" w:cs="Times New Roman"/>
                <w:b/>
                <w:bCs/>
                <w:color w:val="auto"/>
                <w:sz w:val="24"/>
                <w:szCs w:val="24"/>
                <w:highlight w:val="none"/>
              </w:rPr>
            </w:pPr>
            <w:r>
              <w:rPr>
                <w:rFonts w:hint="eastAsia" w:ascii="Times New Roman" w:hAnsi="Times New Roman" w:eastAsia="仿宋_GB2312" w:cs="Times New Roman"/>
                <w:b/>
                <w:bCs/>
                <w:color w:val="auto"/>
                <w:sz w:val="24"/>
                <w:szCs w:val="24"/>
                <w:highlight w:val="none"/>
              </w:rPr>
              <w:t>代替标准</w:t>
            </w:r>
          </w:p>
        </w:tc>
        <w:tc>
          <w:tcPr>
            <w:tcW w:w="311" w:type="pct"/>
            <w:vAlign w:val="center"/>
          </w:tcPr>
          <w:p w14:paraId="68FED7B2">
            <w:pPr>
              <w:jc w:val="center"/>
              <w:rPr>
                <w:rFonts w:ascii="Times New Roman" w:hAnsi="Times New Roman" w:eastAsia="仿宋_GB2312" w:cs="Times New Roman"/>
                <w:b/>
                <w:bCs/>
                <w:color w:val="auto"/>
                <w:sz w:val="24"/>
                <w:szCs w:val="24"/>
                <w:highlight w:val="none"/>
              </w:rPr>
            </w:pPr>
            <w:r>
              <w:rPr>
                <w:rFonts w:ascii="Times New Roman" w:hAnsi="Times New Roman" w:eastAsia="仿宋_GB2312" w:cs="Times New Roman"/>
                <w:b/>
                <w:bCs/>
                <w:color w:val="auto"/>
                <w:sz w:val="24"/>
                <w:szCs w:val="24"/>
                <w:highlight w:val="none"/>
              </w:rPr>
              <w:t>完成周期(月)</w:t>
            </w:r>
          </w:p>
        </w:tc>
        <w:tc>
          <w:tcPr>
            <w:tcW w:w="409" w:type="pct"/>
            <w:vAlign w:val="center"/>
          </w:tcPr>
          <w:p w14:paraId="135BA457">
            <w:pPr>
              <w:jc w:val="center"/>
              <w:rPr>
                <w:rFonts w:ascii="Times New Roman" w:hAnsi="Times New Roman" w:eastAsia="仿宋_GB2312" w:cs="Times New Roman"/>
                <w:b/>
                <w:bCs/>
                <w:color w:val="auto"/>
                <w:sz w:val="24"/>
                <w:szCs w:val="24"/>
                <w:highlight w:val="none"/>
              </w:rPr>
            </w:pPr>
            <w:r>
              <w:rPr>
                <w:rFonts w:ascii="Times New Roman" w:hAnsi="Times New Roman" w:eastAsia="仿宋_GB2312" w:cs="Times New Roman"/>
                <w:b/>
                <w:bCs/>
                <w:color w:val="auto"/>
                <w:sz w:val="24"/>
                <w:szCs w:val="24"/>
                <w:highlight w:val="none"/>
              </w:rPr>
              <w:t>技术归口单位</w:t>
            </w:r>
          </w:p>
        </w:tc>
        <w:tc>
          <w:tcPr>
            <w:tcW w:w="1196" w:type="pct"/>
            <w:vAlign w:val="center"/>
          </w:tcPr>
          <w:p w14:paraId="5F58B787">
            <w:pPr>
              <w:jc w:val="center"/>
              <w:rPr>
                <w:rFonts w:ascii="Times New Roman" w:hAnsi="Times New Roman" w:eastAsia="仿宋_GB2312" w:cs="Times New Roman"/>
                <w:b/>
                <w:bCs/>
                <w:color w:val="auto"/>
                <w:sz w:val="24"/>
                <w:szCs w:val="24"/>
                <w:highlight w:val="none"/>
              </w:rPr>
            </w:pPr>
            <w:r>
              <w:rPr>
                <w:rFonts w:ascii="Times New Roman" w:hAnsi="Times New Roman" w:eastAsia="仿宋_GB2312" w:cs="Times New Roman"/>
                <w:b/>
                <w:bCs/>
                <w:color w:val="auto"/>
                <w:sz w:val="24"/>
                <w:szCs w:val="24"/>
                <w:highlight w:val="none"/>
              </w:rPr>
              <w:t>主要起草单位</w:t>
            </w:r>
          </w:p>
        </w:tc>
      </w:tr>
      <w:tr w14:paraId="66392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189" w:type="pct"/>
            <w:vAlign w:val="center"/>
          </w:tcPr>
          <w:p w14:paraId="4F85552D">
            <w:pPr>
              <w:pStyle w:val="11"/>
              <w:numPr>
                <w:ilvl w:val="0"/>
                <w:numId w:val="1"/>
              </w:numPr>
              <w:ind w:left="0" w:firstLine="0" w:firstLineChars="0"/>
              <w:jc w:val="center"/>
              <w:rPr>
                <w:rFonts w:ascii="Times New Roman" w:hAnsi="Times New Roman" w:eastAsia="仿宋_GB2312" w:cs="Times New Roman"/>
                <w:bCs/>
                <w:color w:val="auto"/>
                <w:sz w:val="24"/>
                <w:szCs w:val="24"/>
                <w:highlight w:val="none"/>
              </w:rPr>
            </w:pPr>
          </w:p>
        </w:tc>
        <w:tc>
          <w:tcPr>
            <w:tcW w:w="613" w:type="pct"/>
            <w:vAlign w:val="center"/>
          </w:tcPr>
          <w:p w14:paraId="71CD47C0">
            <w:pPr>
              <w:widowControl/>
              <w:jc w:val="left"/>
              <w:textAlignment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kern w:val="0"/>
                <w:sz w:val="24"/>
                <w:szCs w:val="24"/>
                <w:highlight w:val="none"/>
              </w:rPr>
              <w:t>综合交通枢纽城市分级分类</w:t>
            </w:r>
          </w:p>
        </w:tc>
        <w:tc>
          <w:tcPr>
            <w:tcW w:w="1570" w:type="pct"/>
            <w:vAlign w:val="center"/>
          </w:tcPr>
          <w:p w14:paraId="798E7E04">
            <w:pPr>
              <w:widowControl/>
              <w:textAlignment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拟规定综合交通枢纽城市的分级分类。</w:t>
            </w:r>
          </w:p>
          <w:p w14:paraId="3A6DB1CA">
            <w:pPr>
              <w:widowControl/>
              <w:textAlignment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kern w:val="0"/>
                <w:sz w:val="24"/>
                <w:szCs w:val="24"/>
                <w:highlight w:val="none"/>
              </w:rPr>
              <w:t>适用于综合交通枢纽城市的层级与类型划分。</w:t>
            </w:r>
          </w:p>
        </w:tc>
        <w:tc>
          <w:tcPr>
            <w:tcW w:w="241" w:type="pct"/>
            <w:vAlign w:val="center"/>
          </w:tcPr>
          <w:p w14:paraId="1C50CEBE">
            <w:pPr>
              <w:jc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bCs/>
                <w:color w:val="auto"/>
                <w:sz w:val="24"/>
                <w:szCs w:val="24"/>
                <w:highlight w:val="none"/>
              </w:rPr>
              <w:t>制定</w:t>
            </w:r>
          </w:p>
        </w:tc>
        <w:tc>
          <w:tcPr>
            <w:tcW w:w="467" w:type="pct"/>
            <w:vAlign w:val="center"/>
          </w:tcPr>
          <w:p w14:paraId="3FE8838E">
            <w:pPr>
              <w:widowControl/>
              <w:jc w:val="center"/>
              <w:textAlignment w:val="center"/>
              <w:rPr>
                <w:rFonts w:ascii="Times New Roman" w:hAnsi="Times New Roman" w:eastAsia="仿宋_GB2312" w:cs="Times New Roman"/>
                <w:bCs/>
                <w:color w:val="auto"/>
                <w:sz w:val="24"/>
                <w:szCs w:val="24"/>
                <w:highlight w:val="none"/>
              </w:rPr>
            </w:pPr>
          </w:p>
        </w:tc>
        <w:tc>
          <w:tcPr>
            <w:tcW w:w="311" w:type="pct"/>
            <w:shd w:val="clear" w:color="auto" w:fill="auto"/>
            <w:vAlign w:val="center"/>
          </w:tcPr>
          <w:p w14:paraId="1351B06E">
            <w:pPr>
              <w:widowControl/>
              <w:jc w:val="center"/>
              <w:textAlignment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color w:val="auto"/>
                <w:kern w:val="0"/>
                <w:sz w:val="24"/>
                <w:szCs w:val="24"/>
                <w:highlight w:val="none"/>
              </w:rPr>
              <w:t>12</w:t>
            </w:r>
          </w:p>
        </w:tc>
        <w:tc>
          <w:tcPr>
            <w:tcW w:w="409" w:type="pct"/>
            <w:shd w:val="clear" w:color="auto" w:fill="auto"/>
            <w:vAlign w:val="center"/>
          </w:tcPr>
          <w:p w14:paraId="77DE6B96">
            <w:pPr>
              <w:widowControl/>
              <w:jc w:val="center"/>
              <w:textAlignment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color w:val="auto"/>
                <w:kern w:val="0"/>
                <w:sz w:val="24"/>
                <w:szCs w:val="24"/>
                <w:highlight w:val="none"/>
              </w:rPr>
              <w:t>综合运输标委会</w:t>
            </w:r>
          </w:p>
        </w:tc>
        <w:tc>
          <w:tcPr>
            <w:tcW w:w="1196" w:type="pct"/>
            <w:shd w:val="clear" w:color="auto" w:fill="auto"/>
            <w:vAlign w:val="center"/>
          </w:tcPr>
          <w:p w14:paraId="6614DFBE">
            <w:pPr>
              <w:widowControl/>
              <w:textAlignment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color w:val="auto"/>
                <w:kern w:val="0"/>
                <w:sz w:val="24"/>
                <w:szCs w:val="24"/>
                <w:highlight w:val="none"/>
              </w:rPr>
              <w:t>交通运输部规划研究院、中国城市规划设计研究院、清华大学、</w:t>
            </w:r>
            <w:r>
              <w:rPr>
                <w:rFonts w:hint="eastAsia" w:ascii="Times New Roman" w:hAnsi="Times New Roman" w:eastAsia="仿宋_GB2312" w:cs="Times New Roman"/>
                <w:color w:val="auto"/>
                <w:kern w:val="0"/>
                <w:sz w:val="24"/>
                <w:szCs w:val="24"/>
                <w:highlight w:val="none"/>
              </w:rPr>
              <w:t>东南大学、</w:t>
            </w:r>
            <w:r>
              <w:rPr>
                <w:rFonts w:ascii="Times New Roman" w:hAnsi="Times New Roman" w:eastAsia="仿宋_GB2312" w:cs="Times New Roman"/>
                <w:color w:val="auto"/>
                <w:kern w:val="0"/>
                <w:sz w:val="24"/>
                <w:szCs w:val="24"/>
                <w:highlight w:val="none"/>
              </w:rPr>
              <w:t>国家发展和改革委员会城市和小城镇改革发展中心、中国城市发展研究院、交通运输部科学研究院、中铁长江交通设计集团有限公司、深圳市城市交通规划设计研究中心股份有限公司、上海市城乡建设和交通发展研究院</w:t>
            </w:r>
          </w:p>
        </w:tc>
      </w:tr>
      <w:tr w14:paraId="4D0A8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189" w:type="pct"/>
            <w:vAlign w:val="center"/>
          </w:tcPr>
          <w:p w14:paraId="358F91B0">
            <w:pPr>
              <w:pStyle w:val="11"/>
              <w:numPr>
                <w:ilvl w:val="0"/>
                <w:numId w:val="1"/>
              </w:numPr>
              <w:ind w:left="0" w:firstLine="0" w:firstLineChars="0"/>
              <w:jc w:val="center"/>
              <w:rPr>
                <w:rFonts w:ascii="Times New Roman" w:hAnsi="Times New Roman" w:eastAsia="仿宋_GB2312" w:cs="Times New Roman"/>
                <w:bCs/>
                <w:color w:val="auto"/>
                <w:sz w:val="24"/>
                <w:szCs w:val="24"/>
                <w:highlight w:val="none"/>
              </w:rPr>
            </w:pPr>
          </w:p>
        </w:tc>
        <w:tc>
          <w:tcPr>
            <w:tcW w:w="613" w:type="pct"/>
            <w:vAlign w:val="center"/>
          </w:tcPr>
          <w:p w14:paraId="55C374BC">
            <w:pPr>
              <w:widowControl/>
              <w:jc w:val="left"/>
              <w:textAlignment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kern w:val="0"/>
                <w:sz w:val="24"/>
                <w:szCs w:val="24"/>
                <w:highlight w:val="none"/>
              </w:rPr>
              <w:t>多式联运集装箱空轨转运系统技术规范</w:t>
            </w:r>
          </w:p>
        </w:tc>
        <w:tc>
          <w:tcPr>
            <w:tcW w:w="1570" w:type="pct"/>
            <w:vAlign w:val="center"/>
          </w:tcPr>
          <w:p w14:paraId="513B78ED">
            <w:pPr>
              <w:widowControl/>
              <w:textAlignment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拟规定多式联运集装箱空轨转运系统的系统组成和分类、基本规定、设计要求、转运工艺，以及智能化的技术要求。</w:t>
            </w:r>
          </w:p>
          <w:p w14:paraId="15C071E5">
            <w:pPr>
              <w:widowControl/>
              <w:textAlignment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kern w:val="0"/>
                <w:sz w:val="24"/>
                <w:szCs w:val="24"/>
                <w:highlight w:val="none"/>
              </w:rPr>
              <w:t>适用于多式联运集装箱空轨转运系统的新建工程或改建工程。港口、陆港、口岸和物流中心等多式联运枢纽的集装箱及集装单元架空运输和换装转运系统参照使用。</w:t>
            </w:r>
          </w:p>
        </w:tc>
        <w:tc>
          <w:tcPr>
            <w:tcW w:w="241" w:type="pct"/>
            <w:vAlign w:val="center"/>
          </w:tcPr>
          <w:p w14:paraId="2566A199">
            <w:pPr>
              <w:jc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bCs/>
                <w:color w:val="auto"/>
                <w:sz w:val="24"/>
                <w:szCs w:val="24"/>
                <w:highlight w:val="none"/>
              </w:rPr>
              <w:t>制定</w:t>
            </w:r>
          </w:p>
        </w:tc>
        <w:tc>
          <w:tcPr>
            <w:tcW w:w="467" w:type="pct"/>
            <w:vAlign w:val="center"/>
          </w:tcPr>
          <w:p w14:paraId="48FEFF8A">
            <w:pPr>
              <w:widowControl/>
              <w:jc w:val="center"/>
              <w:textAlignment w:val="center"/>
              <w:rPr>
                <w:rFonts w:ascii="Times New Roman" w:hAnsi="Times New Roman" w:eastAsia="仿宋_GB2312" w:cs="Times New Roman"/>
                <w:bCs/>
                <w:color w:val="auto"/>
                <w:sz w:val="24"/>
                <w:szCs w:val="24"/>
                <w:highlight w:val="none"/>
              </w:rPr>
            </w:pPr>
          </w:p>
        </w:tc>
        <w:tc>
          <w:tcPr>
            <w:tcW w:w="311" w:type="pct"/>
            <w:shd w:val="clear" w:color="auto" w:fill="auto"/>
            <w:vAlign w:val="center"/>
          </w:tcPr>
          <w:p w14:paraId="323713A9">
            <w:pPr>
              <w:widowControl/>
              <w:jc w:val="center"/>
              <w:textAlignment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color w:val="auto"/>
                <w:kern w:val="0"/>
                <w:sz w:val="24"/>
                <w:szCs w:val="24"/>
                <w:highlight w:val="none"/>
              </w:rPr>
              <w:t>12</w:t>
            </w:r>
          </w:p>
        </w:tc>
        <w:tc>
          <w:tcPr>
            <w:tcW w:w="409" w:type="pct"/>
            <w:shd w:val="clear" w:color="auto" w:fill="auto"/>
            <w:vAlign w:val="center"/>
          </w:tcPr>
          <w:p w14:paraId="6FA9B36D">
            <w:pPr>
              <w:widowControl/>
              <w:jc w:val="center"/>
              <w:textAlignment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color w:val="auto"/>
                <w:kern w:val="0"/>
                <w:sz w:val="24"/>
                <w:szCs w:val="24"/>
                <w:highlight w:val="none"/>
              </w:rPr>
              <w:t>综合运输标委会</w:t>
            </w:r>
          </w:p>
        </w:tc>
        <w:tc>
          <w:tcPr>
            <w:tcW w:w="1196" w:type="pct"/>
            <w:shd w:val="clear" w:color="auto" w:fill="auto"/>
            <w:vAlign w:val="center"/>
          </w:tcPr>
          <w:p w14:paraId="0766FA8F">
            <w:pPr>
              <w:widowControl/>
              <w:textAlignment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color w:val="auto"/>
                <w:kern w:val="0"/>
                <w:sz w:val="24"/>
                <w:szCs w:val="24"/>
                <w:highlight w:val="none"/>
              </w:rPr>
              <w:t>中车长江运输设备集团有限公司、交通运输部科学研究院、国家铁路局规划与标准研究院、青岛港国际股份有限公司、中铁二院工程集团有限责任公司、交通运输部公路科学研究所、中交第三航务工程勘查设计院有限公司、北部湾港股份有限公司</w:t>
            </w:r>
          </w:p>
        </w:tc>
      </w:tr>
      <w:tr w14:paraId="7D685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189" w:type="pct"/>
            <w:vAlign w:val="center"/>
          </w:tcPr>
          <w:p w14:paraId="39092C6F">
            <w:pPr>
              <w:pStyle w:val="11"/>
              <w:numPr>
                <w:ilvl w:val="0"/>
                <w:numId w:val="1"/>
              </w:numPr>
              <w:ind w:left="0" w:firstLine="0" w:firstLineChars="0"/>
              <w:jc w:val="center"/>
              <w:rPr>
                <w:rFonts w:ascii="Times New Roman" w:hAnsi="Times New Roman" w:eastAsia="仿宋_GB2312" w:cs="Times New Roman"/>
                <w:bCs/>
                <w:color w:val="auto"/>
                <w:sz w:val="24"/>
                <w:szCs w:val="24"/>
                <w:highlight w:val="none"/>
              </w:rPr>
            </w:pPr>
          </w:p>
        </w:tc>
        <w:tc>
          <w:tcPr>
            <w:tcW w:w="613" w:type="pct"/>
            <w:vAlign w:val="center"/>
          </w:tcPr>
          <w:p w14:paraId="1C31F61E">
            <w:pPr>
              <w:widowControl/>
              <w:jc w:val="left"/>
              <w:textAlignment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kern w:val="0"/>
                <w:sz w:val="24"/>
                <w:szCs w:val="24"/>
                <w:highlight w:val="none"/>
              </w:rPr>
              <w:t>独立蓄热式保温集装箱技术规范</w:t>
            </w:r>
          </w:p>
        </w:tc>
        <w:tc>
          <w:tcPr>
            <w:tcW w:w="1570" w:type="pct"/>
            <w:vAlign w:val="center"/>
          </w:tcPr>
          <w:p w14:paraId="7412179D">
            <w:pPr>
              <w:widowControl/>
              <w:textAlignment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拟规定独立蓄热式保温集装箱的分类、标记、尺寸和额定质量、技术要求、试验方法、出厂检验。</w:t>
            </w:r>
          </w:p>
          <w:p w14:paraId="002A08C6">
            <w:pPr>
              <w:widowControl/>
              <w:textAlignment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kern w:val="0"/>
                <w:sz w:val="24"/>
                <w:szCs w:val="24"/>
                <w:highlight w:val="none"/>
              </w:rPr>
              <w:t>适用于独立蓄热式保温集装箱的设计、制造、检验。</w:t>
            </w:r>
          </w:p>
        </w:tc>
        <w:tc>
          <w:tcPr>
            <w:tcW w:w="241" w:type="pct"/>
            <w:vAlign w:val="center"/>
          </w:tcPr>
          <w:p w14:paraId="022CEF75">
            <w:pPr>
              <w:jc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bCs/>
                <w:color w:val="auto"/>
                <w:sz w:val="24"/>
                <w:szCs w:val="24"/>
                <w:highlight w:val="none"/>
              </w:rPr>
              <w:t>制定</w:t>
            </w:r>
          </w:p>
        </w:tc>
        <w:tc>
          <w:tcPr>
            <w:tcW w:w="467" w:type="pct"/>
            <w:vAlign w:val="center"/>
          </w:tcPr>
          <w:p w14:paraId="010ADBDF">
            <w:pPr>
              <w:widowControl/>
              <w:jc w:val="center"/>
              <w:textAlignment w:val="center"/>
              <w:rPr>
                <w:rFonts w:ascii="Times New Roman" w:hAnsi="Times New Roman" w:eastAsia="仿宋_GB2312" w:cs="Times New Roman"/>
                <w:bCs/>
                <w:color w:val="auto"/>
                <w:sz w:val="24"/>
                <w:szCs w:val="24"/>
                <w:highlight w:val="none"/>
              </w:rPr>
            </w:pPr>
          </w:p>
        </w:tc>
        <w:tc>
          <w:tcPr>
            <w:tcW w:w="311" w:type="pct"/>
            <w:shd w:val="clear" w:color="auto" w:fill="auto"/>
            <w:vAlign w:val="center"/>
          </w:tcPr>
          <w:p w14:paraId="774ACD4F">
            <w:pPr>
              <w:widowControl/>
              <w:jc w:val="center"/>
              <w:textAlignment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color w:val="auto"/>
                <w:kern w:val="0"/>
                <w:sz w:val="24"/>
                <w:szCs w:val="24"/>
                <w:highlight w:val="none"/>
              </w:rPr>
              <w:t>12</w:t>
            </w:r>
          </w:p>
        </w:tc>
        <w:tc>
          <w:tcPr>
            <w:tcW w:w="409" w:type="pct"/>
            <w:shd w:val="clear" w:color="auto" w:fill="auto"/>
            <w:vAlign w:val="center"/>
          </w:tcPr>
          <w:p w14:paraId="64DC2B54">
            <w:pPr>
              <w:widowControl/>
              <w:jc w:val="center"/>
              <w:textAlignment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color w:val="auto"/>
                <w:kern w:val="0"/>
                <w:sz w:val="24"/>
                <w:szCs w:val="24"/>
                <w:highlight w:val="none"/>
              </w:rPr>
              <w:t>集装箱标委会</w:t>
            </w:r>
          </w:p>
        </w:tc>
        <w:tc>
          <w:tcPr>
            <w:tcW w:w="1196" w:type="pct"/>
            <w:shd w:val="clear" w:color="auto" w:fill="auto"/>
            <w:vAlign w:val="center"/>
          </w:tcPr>
          <w:p w14:paraId="43B13033">
            <w:pPr>
              <w:widowControl/>
              <w:textAlignment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color w:val="auto"/>
                <w:kern w:val="0"/>
                <w:sz w:val="24"/>
                <w:szCs w:val="24"/>
                <w:highlight w:val="none"/>
              </w:rPr>
              <w:t>交通运输部水运科学研究所</w:t>
            </w:r>
            <w:r>
              <w:rPr>
                <w:rFonts w:hint="eastAsia" w:ascii="Times New Roman" w:hAnsi="Times New Roman" w:eastAsia="仿宋_GB2312" w:cs="Times New Roman"/>
                <w:color w:val="auto"/>
                <w:kern w:val="0"/>
                <w:sz w:val="24"/>
                <w:szCs w:val="24"/>
                <w:highlight w:val="none"/>
              </w:rPr>
              <w:t>、中集集装箱（集团）有限公司</w:t>
            </w:r>
          </w:p>
        </w:tc>
      </w:tr>
      <w:tr w14:paraId="2CDCA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189" w:type="pct"/>
            <w:vAlign w:val="center"/>
          </w:tcPr>
          <w:p w14:paraId="0524412C">
            <w:pPr>
              <w:pStyle w:val="11"/>
              <w:numPr>
                <w:ilvl w:val="0"/>
                <w:numId w:val="1"/>
              </w:numPr>
              <w:ind w:left="0" w:firstLine="0" w:firstLineChars="0"/>
              <w:jc w:val="center"/>
              <w:rPr>
                <w:rFonts w:ascii="Times New Roman" w:hAnsi="Times New Roman" w:eastAsia="仿宋_GB2312" w:cs="Times New Roman"/>
                <w:bCs/>
                <w:color w:val="auto"/>
                <w:sz w:val="24"/>
                <w:szCs w:val="24"/>
                <w:highlight w:val="none"/>
              </w:rPr>
            </w:pPr>
          </w:p>
        </w:tc>
        <w:tc>
          <w:tcPr>
            <w:tcW w:w="613" w:type="pct"/>
            <w:vAlign w:val="center"/>
          </w:tcPr>
          <w:p w14:paraId="66FE2017">
            <w:pPr>
              <w:widowControl/>
              <w:jc w:val="left"/>
              <w:textAlignment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kern w:val="0"/>
                <w:sz w:val="24"/>
                <w:szCs w:val="24"/>
                <w:highlight w:val="none"/>
              </w:rPr>
              <w:t>集装箱底板技术要求</w:t>
            </w:r>
          </w:p>
        </w:tc>
        <w:tc>
          <w:tcPr>
            <w:tcW w:w="1570" w:type="pct"/>
            <w:vAlign w:val="center"/>
          </w:tcPr>
          <w:p w14:paraId="10B22C7F">
            <w:pPr>
              <w:widowControl/>
              <w:textAlignment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拟规定集装箱底板的分类、要求、检验方法、检验规则</w:t>
            </w:r>
            <w:r>
              <w:rPr>
                <w:rFonts w:hint="eastAsia" w:ascii="Times New Roman" w:hAnsi="Times New Roman" w:eastAsia="仿宋_GB2312" w:cs="Times New Roman"/>
                <w:color w:val="auto"/>
                <w:kern w:val="0"/>
                <w:sz w:val="24"/>
                <w:szCs w:val="24"/>
                <w:highlight w:val="none"/>
              </w:rPr>
              <w:t>，</w:t>
            </w:r>
            <w:r>
              <w:rPr>
                <w:rFonts w:ascii="Times New Roman" w:hAnsi="Times New Roman" w:eastAsia="仿宋_GB2312" w:cs="Times New Roman"/>
                <w:color w:val="auto"/>
                <w:kern w:val="0"/>
                <w:sz w:val="24"/>
                <w:szCs w:val="24"/>
                <w:highlight w:val="none"/>
              </w:rPr>
              <w:t>以及标志、包装、运输和贮存。</w:t>
            </w:r>
          </w:p>
          <w:p w14:paraId="60D38DDF">
            <w:pPr>
              <w:widowControl/>
              <w:textAlignment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kern w:val="0"/>
                <w:sz w:val="24"/>
                <w:szCs w:val="24"/>
                <w:highlight w:val="none"/>
              </w:rPr>
              <w:t>适用于通用集装箱底板用木胶合板、竹木复合胶合板和定向刨花板复合胶合板的设计、生产和检验。</w:t>
            </w:r>
          </w:p>
        </w:tc>
        <w:tc>
          <w:tcPr>
            <w:tcW w:w="241" w:type="pct"/>
            <w:vAlign w:val="center"/>
          </w:tcPr>
          <w:p w14:paraId="14CE1605">
            <w:pPr>
              <w:jc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bCs/>
                <w:color w:val="auto"/>
                <w:sz w:val="24"/>
                <w:szCs w:val="24"/>
                <w:highlight w:val="none"/>
              </w:rPr>
              <w:t>制定</w:t>
            </w:r>
          </w:p>
        </w:tc>
        <w:tc>
          <w:tcPr>
            <w:tcW w:w="467" w:type="pct"/>
            <w:vAlign w:val="center"/>
          </w:tcPr>
          <w:p w14:paraId="6ADFB60F">
            <w:pPr>
              <w:widowControl/>
              <w:jc w:val="center"/>
              <w:textAlignment w:val="center"/>
              <w:rPr>
                <w:rFonts w:ascii="Times New Roman" w:hAnsi="Times New Roman" w:eastAsia="仿宋_GB2312" w:cs="Times New Roman"/>
                <w:bCs/>
                <w:color w:val="auto"/>
                <w:sz w:val="24"/>
                <w:szCs w:val="24"/>
                <w:highlight w:val="none"/>
              </w:rPr>
            </w:pPr>
          </w:p>
        </w:tc>
        <w:tc>
          <w:tcPr>
            <w:tcW w:w="311" w:type="pct"/>
            <w:shd w:val="clear" w:color="auto" w:fill="auto"/>
            <w:vAlign w:val="center"/>
          </w:tcPr>
          <w:p w14:paraId="2BC31B64">
            <w:pPr>
              <w:widowControl/>
              <w:jc w:val="center"/>
              <w:textAlignment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color w:val="auto"/>
                <w:kern w:val="0"/>
                <w:sz w:val="24"/>
                <w:szCs w:val="24"/>
                <w:highlight w:val="none"/>
              </w:rPr>
              <w:t>12</w:t>
            </w:r>
          </w:p>
        </w:tc>
        <w:tc>
          <w:tcPr>
            <w:tcW w:w="409" w:type="pct"/>
            <w:shd w:val="clear" w:color="auto" w:fill="auto"/>
            <w:vAlign w:val="center"/>
          </w:tcPr>
          <w:p w14:paraId="4F76BC21">
            <w:pPr>
              <w:widowControl/>
              <w:jc w:val="center"/>
              <w:textAlignment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color w:val="auto"/>
                <w:kern w:val="0"/>
                <w:sz w:val="24"/>
                <w:szCs w:val="24"/>
                <w:highlight w:val="none"/>
              </w:rPr>
              <w:t>集装箱标委会</w:t>
            </w:r>
          </w:p>
        </w:tc>
        <w:tc>
          <w:tcPr>
            <w:tcW w:w="1196" w:type="pct"/>
            <w:shd w:val="clear" w:color="auto" w:fill="auto"/>
            <w:vAlign w:val="center"/>
          </w:tcPr>
          <w:p w14:paraId="39913102">
            <w:pPr>
              <w:widowControl/>
              <w:textAlignment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color w:val="auto"/>
                <w:kern w:val="0"/>
                <w:sz w:val="24"/>
                <w:szCs w:val="24"/>
                <w:highlight w:val="none"/>
              </w:rPr>
              <w:t>交通运输部水运科学研究所、中集集装箱（集团）有限公司</w:t>
            </w:r>
          </w:p>
        </w:tc>
      </w:tr>
      <w:tr w14:paraId="1C451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189" w:type="pct"/>
            <w:vAlign w:val="center"/>
          </w:tcPr>
          <w:p w14:paraId="0C457FF4">
            <w:pPr>
              <w:pStyle w:val="11"/>
              <w:numPr>
                <w:ilvl w:val="0"/>
                <w:numId w:val="1"/>
              </w:numPr>
              <w:ind w:left="0" w:firstLine="0" w:firstLineChars="0"/>
              <w:jc w:val="center"/>
              <w:rPr>
                <w:rFonts w:ascii="Times New Roman" w:hAnsi="Times New Roman" w:eastAsia="仿宋_GB2312" w:cs="Times New Roman"/>
                <w:bCs/>
                <w:color w:val="auto"/>
                <w:sz w:val="24"/>
                <w:szCs w:val="24"/>
                <w:highlight w:val="none"/>
              </w:rPr>
            </w:pPr>
          </w:p>
        </w:tc>
        <w:tc>
          <w:tcPr>
            <w:tcW w:w="613" w:type="pct"/>
            <w:vAlign w:val="center"/>
          </w:tcPr>
          <w:p w14:paraId="1B3BA336">
            <w:pPr>
              <w:widowControl/>
              <w:jc w:val="left"/>
              <w:textAlignment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kern w:val="0"/>
                <w:sz w:val="24"/>
                <w:szCs w:val="24"/>
                <w:highlight w:val="none"/>
              </w:rPr>
              <w:t>海运电子商务平台技术要求</w:t>
            </w:r>
          </w:p>
        </w:tc>
        <w:tc>
          <w:tcPr>
            <w:tcW w:w="1570" w:type="pct"/>
            <w:vAlign w:val="center"/>
          </w:tcPr>
          <w:p w14:paraId="73D6CFD1">
            <w:pPr>
              <w:widowControl/>
              <w:textAlignment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拟规定海运电子商务平台的总体要求、功能要求、数据管理要求、接口与集成规范以及技术保障要求。</w:t>
            </w:r>
          </w:p>
          <w:p w14:paraId="09F3E2A5">
            <w:pPr>
              <w:widowControl/>
              <w:textAlignment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kern w:val="0"/>
                <w:sz w:val="24"/>
                <w:szCs w:val="24"/>
                <w:highlight w:val="none"/>
              </w:rPr>
              <w:t>适用于海运电子商务平台的开发建设及运行保障。</w:t>
            </w:r>
          </w:p>
        </w:tc>
        <w:tc>
          <w:tcPr>
            <w:tcW w:w="241" w:type="pct"/>
            <w:vAlign w:val="center"/>
          </w:tcPr>
          <w:p w14:paraId="3C7BD39E">
            <w:pPr>
              <w:jc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bCs/>
                <w:color w:val="auto"/>
                <w:sz w:val="24"/>
                <w:szCs w:val="24"/>
                <w:highlight w:val="none"/>
              </w:rPr>
              <w:t>制定</w:t>
            </w:r>
          </w:p>
        </w:tc>
        <w:tc>
          <w:tcPr>
            <w:tcW w:w="467" w:type="pct"/>
            <w:vAlign w:val="center"/>
          </w:tcPr>
          <w:p w14:paraId="0495D28D">
            <w:pPr>
              <w:widowControl/>
              <w:jc w:val="center"/>
              <w:textAlignment w:val="center"/>
              <w:rPr>
                <w:rFonts w:ascii="Times New Roman" w:hAnsi="Times New Roman" w:eastAsia="仿宋_GB2312" w:cs="Times New Roman"/>
                <w:bCs/>
                <w:color w:val="auto"/>
                <w:sz w:val="24"/>
                <w:szCs w:val="24"/>
                <w:highlight w:val="none"/>
              </w:rPr>
            </w:pPr>
          </w:p>
        </w:tc>
        <w:tc>
          <w:tcPr>
            <w:tcW w:w="311" w:type="pct"/>
            <w:shd w:val="clear" w:color="auto" w:fill="auto"/>
            <w:vAlign w:val="center"/>
          </w:tcPr>
          <w:p w14:paraId="5D18A39E">
            <w:pPr>
              <w:widowControl/>
              <w:jc w:val="center"/>
              <w:textAlignment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color w:val="auto"/>
                <w:kern w:val="0"/>
                <w:sz w:val="24"/>
                <w:szCs w:val="24"/>
                <w:highlight w:val="none"/>
              </w:rPr>
              <w:t>12</w:t>
            </w:r>
          </w:p>
        </w:tc>
        <w:tc>
          <w:tcPr>
            <w:tcW w:w="409" w:type="pct"/>
            <w:shd w:val="clear" w:color="auto" w:fill="auto"/>
            <w:vAlign w:val="center"/>
          </w:tcPr>
          <w:p w14:paraId="5529B528">
            <w:pPr>
              <w:widowControl/>
              <w:jc w:val="center"/>
              <w:textAlignment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color w:val="auto"/>
                <w:kern w:val="0"/>
                <w:sz w:val="24"/>
                <w:szCs w:val="24"/>
                <w:highlight w:val="none"/>
              </w:rPr>
              <w:t>内河船与水路运输标委会</w:t>
            </w:r>
          </w:p>
        </w:tc>
        <w:tc>
          <w:tcPr>
            <w:tcW w:w="1196" w:type="pct"/>
            <w:shd w:val="clear" w:color="auto" w:fill="auto"/>
            <w:vAlign w:val="center"/>
          </w:tcPr>
          <w:p w14:paraId="1A2790EB">
            <w:pPr>
              <w:widowControl/>
              <w:textAlignment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color w:val="auto"/>
                <w:kern w:val="0"/>
                <w:sz w:val="24"/>
                <w:szCs w:val="24"/>
                <w:highlight w:val="none"/>
              </w:rPr>
              <w:t>方舟智能港航口岸服务（青岛）有限公司、山东港口青岛港集团有限公司、交通运输部水运科学研究所</w:t>
            </w:r>
            <w:r>
              <w:rPr>
                <w:rFonts w:hint="eastAsia" w:ascii="Times New Roman" w:hAnsi="Times New Roman" w:eastAsia="仿宋_GB2312" w:cs="Times New Roman"/>
                <w:color w:val="auto"/>
                <w:kern w:val="0"/>
                <w:sz w:val="24"/>
                <w:szCs w:val="24"/>
                <w:highlight w:val="none"/>
              </w:rPr>
              <w:t>、中远海运散货运输有限公司、中远海运科技股份有限公司、中远海运能源运输股份有限公司</w:t>
            </w:r>
          </w:p>
        </w:tc>
      </w:tr>
      <w:tr w14:paraId="3EB03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189" w:type="pct"/>
            <w:vAlign w:val="center"/>
          </w:tcPr>
          <w:p w14:paraId="1DFACBB7">
            <w:pPr>
              <w:pStyle w:val="11"/>
              <w:numPr>
                <w:ilvl w:val="0"/>
                <w:numId w:val="1"/>
              </w:numPr>
              <w:ind w:left="0" w:firstLine="0" w:firstLineChars="0"/>
              <w:jc w:val="center"/>
              <w:rPr>
                <w:rFonts w:ascii="Times New Roman" w:hAnsi="Times New Roman" w:eastAsia="仿宋_GB2312" w:cs="Times New Roman"/>
                <w:bCs/>
                <w:color w:val="auto"/>
                <w:sz w:val="24"/>
                <w:szCs w:val="24"/>
                <w:highlight w:val="none"/>
              </w:rPr>
            </w:pPr>
          </w:p>
        </w:tc>
        <w:tc>
          <w:tcPr>
            <w:tcW w:w="613" w:type="pct"/>
            <w:vAlign w:val="center"/>
          </w:tcPr>
          <w:p w14:paraId="7BA9DAA9">
            <w:pPr>
              <w:widowControl/>
              <w:jc w:val="left"/>
              <w:textAlignment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kern w:val="0"/>
                <w:sz w:val="24"/>
                <w:szCs w:val="24"/>
                <w:highlight w:val="none"/>
              </w:rPr>
              <w:t>船用电动一体化集成电机推进器通用规范</w:t>
            </w:r>
          </w:p>
        </w:tc>
        <w:tc>
          <w:tcPr>
            <w:tcW w:w="1570" w:type="pct"/>
            <w:vAlign w:val="center"/>
          </w:tcPr>
          <w:p w14:paraId="758F8FC6">
            <w:pPr>
              <w:widowControl/>
              <w:textAlignment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拟规定船用电动一体化集成电机推进器</w:t>
            </w:r>
            <w:r>
              <w:rPr>
                <w:rFonts w:hint="eastAsia" w:ascii="Times New Roman" w:hAnsi="Times New Roman" w:eastAsia="仿宋_GB2312" w:cs="Times New Roman"/>
                <w:color w:val="auto"/>
                <w:kern w:val="0"/>
                <w:sz w:val="24"/>
                <w:szCs w:val="24"/>
                <w:highlight w:val="none"/>
                <w:lang w:eastAsia="zh-CN"/>
              </w:rPr>
              <w:t>的</w:t>
            </w:r>
            <w:r>
              <w:rPr>
                <w:rFonts w:ascii="Times New Roman" w:hAnsi="Times New Roman" w:eastAsia="仿宋_GB2312" w:cs="Times New Roman"/>
                <w:color w:val="auto"/>
                <w:kern w:val="0"/>
                <w:sz w:val="24"/>
                <w:szCs w:val="24"/>
                <w:highlight w:val="none"/>
              </w:rPr>
              <w:t>分类和编码、基本要求、技术要求、试验方法、检验规则、标志和随</w:t>
            </w:r>
            <w:r>
              <w:rPr>
                <w:rFonts w:hint="eastAsia" w:ascii="Times New Roman" w:hAnsi="Times New Roman" w:eastAsia="仿宋_GB2312" w:cs="Times New Roman"/>
                <w:color w:val="auto"/>
                <w:kern w:val="0"/>
                <w:sz w:val="24"/>
                <w:szCs w:val="24"/>
                <w:highlight w:val="none"/>
              </w:rPr>
              <w:t>行</w:t>
            </w:r>
            <w:r>
              <w:rPr>
                <w:rFonts w:ascii="Times New Roman" w:hAnsi="Times New Roman" w:eastAsia="仿宋_GB2312" w:cs="Times New Roman"/>
                <w:color w:val="auto"/>
                <w:kern w:val="0"/>
                <w:sz w:val="24"/>
                <w:szCs w:val="24"/>
                <w:highlight w:val="none"/>
              </w:rPr>
              <w:t>文件、包装、运输与</w:t>
            </w:r>
            <w:r>
              <w:rPr>
                <w:rFonts w:hint="eastAsia" w:ascii="Times New Roman" w:hAnsi="Times New Roman" w:eastAsia="仿宋_GB2312" w:cs="Times New Roman"/>
                <w:color w:val="auto"/>
                <w:kern w:val="0"/>
                <w:sz w:val="24"/>
                <w:szCs w:val="24"/>
                <w:highlight w:val="none"/>
              </w:rPr>
              <w:t>储</w:t>
            </w:r>
            <w:r>
              <w:rPr>
                <w:rFonts w:ascii="Times New Roman" w:hAnsi="Times New Roman" w:eastAsia="仿宋_GB2312" w:cs="Times New Roman"/>
                <w:color w:val="auto"/>
                <w:kern w:val="0"/>
                <w:sz w:val="24"/>
                <w:szCs w:val="24"/>
                <w:highlight w:val="none"/>
              </w:rPr>
              <w:t xml:space="preserve">存。 </w:t>
            </w:r>
          </w:p>
          <w:p w14:paraId="306372CE">
            <w:pPr>
              <w:widowControl/>
              <w:textAlignment w:val="center"/>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kern w:val="0"/>
                <w:sz w:val="24"/>
                <w:szCs w:val="24"/>
                <w:highlight w:val="none"/>
              </w:rPr>
              <w:t>适用于内河小型客船、观光船等使用的电动一体化集成电机推进系统的设计、制造、检验和验收。</w:t>
            </w:r>
          </w:p>
        </w:tc>
        <w:tc>
          <w:tcPr>
            <w:tcW w:w="241" w:type="pct"/>
            <w:vAlign w:val="center"/>
          </w:tcPr>
          <w:p w14:paraId="572828F7">
            <w:pPr>
              <w:jc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bCs/>
                <w:color w:val="auto"/>
                <w:sz w:val="24"/>
                <w:szCs w:val="24"/>
                <w:highlight w:val="none"/>
              </w:rPr>
              <w:t>制定</w:t>
            </w:r>
          </w:p>
        </w:tc>
        <w:tc>
          <w:tcPr>
            <w:tcW w:w="467" w:type="pct"/>
            <w:vAlign w:val="center"/>
          </w:tcPr>
          <w:p w14:paraId="268DE952">
            <w:pPr>
              <w:widowControl/>
              <w:jc w:val="center"/>
              <w:textAlignment w:val="center"/>
              <w:rPr>
                <w:rFonts w:ascii="Times New Roman" w:hAnsi="Times New Roman" w:eastAsia="仿宋_GB2312" w:cs="Times New Roman"/>
                <w:bCs/>
                <w:color w:val="auto"/>
                <w:sz w:val="24"/>
                <w:szCs w:val="24"/>
                <w:highlight w:val="none"/>
              </w:rPr>
            </w:pPr>
          </w:p>
        </w:tc>
        <w:tc>
          <w:tcPr>
            <w:tcW w:w="311" w:type="pct"/>
            <w:shd w:val="clear" w:color="auto" w:fill="auto"/>
            <w:vAlign w:val="center"/>
          </w:tcPr>
          <w:p w14:paraId="6F5BF0D9">
            <w:pPr>
              <w:widowControl/>
              <w:jc w:val="center"/>
              <w:textAlignment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color w:val="auto"/>
                <w:kern w:val="0"/>
                <w:sz w:val="24"/>
                <w:szCs w:val="24"/>
                <w:highlight w:val="none"/>
              </w:rPr>
              <w:t>18</w:t>
            </w:r>
          </w:p>
        </w:tc>
        <w:tc>
          <w:tcPr>
            <w:tcW w:w="409" w:type="pct"/>
            <w:shd w:val="clear" w:color="auto" w:fill="auto"/>
            <w:vAlign w:val="center"/>
          </w:tcPr>
          <w:p w14:paraId="60D267FB">
            <w:pPr>
              <w:widowControl/>
              <w:jc w:val="center"/>
              <w:textAlignment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color w:val="auto"/>
                <w:kern w:val="0"/>
                <w:sz w:val="24"/>
                <w:szCs w:val="24"/>
                <w:highlight w:val="none"/>
              </w:rPr>
              <w:t>内河船与水路运输标委会</w:t>
            </w:r>
          </w:p>
        </w:tc>
        <w:tc>
          <w:tcPr>
            <w:tcW w:w="1196" w:type="pct"/>
            <w:shd w:val="clear" w:color="auto" w:fill="auto"/>
            <w:vAlign w:val="center"/>
          </w:tcPr>
          <w:p w14:paraId="59744DA6">
            <w:pPr>
              <w:widowControl/>
              <w:textAlignment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color w:val="auto"/>
                <w:kern w:val="0"/>
                <w:sz w:val="24"/>
                <w:szCs w:val="24"/>
                <w:highlight w:val="none"/>
              </w:rPr>
              <w:t>天津海事局、天津昊野科技有限公司、天津市船舶检验中心、嘉兴市荣盛救生设备有限公司</w:t>
            </w:r>
            <w:r>
              <w:rPr>
                <w:rFonts w:hint="eastAsia" w:ascii="Times New Roman" w:hAnsi="Times New Roman" w:eastAsia="仿宋_GB2312" w:cs="Times New Roman"/>
                <w:color w:val="auto"/>
                <w:kern w:val="0"/>
                <w:sz w:val="24"/>
                <w:szCs w:val="24"/>
                <w:highlight w:val="none"/>
              </w:rPr>
              <w:t>、中国船级社武汉规范研究所</w:t>
            </w:r>
          </w:p>
        </w:tc>
      </w:tr>
      <w:tr w14:paraId="62569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189" w:type="pct"/>
            <w:vAlign w:val="center"/>
          </w:tcPr>
          <w:p w14:paraId="5BFFCEAF">
            <w:pPr>
              <w:pStyle w:val="11"/>
              <w:numPr>
                <w:ilvl w:val="0"/>
                <w:numId w:val="1"/>
              </w:numPr>
              <w:ind w:left="0" w:firstLine="0" w:firstLineChars="0"/>
              <w:jc w:val="center"/>
              <w:rPr>
                <w:rFonts w:ascii="Times New Roman" w:hAnsi="Times New Roman" w:eastAsia="仿宋_GB2312" w:cs="Times New Roman"/>
                <w:bCs/>
                <w:color w:val="auto"/>
                <w:sz w:val="24"/>
                <w:szCs w:val="24"/>
                <w:highlight w:val="none"/>
              </w:rPr>
            </w:pPr>
          </w:p>
        </w:tc>
        <w:tc>
          <w:tcPr>
            <w:tcW w:w="613" w:type="pct"/>
            <w:vAlign w:val="center"/>
          </w:tcPr>
          <w:p w14:paraId="78E3D2E0">
            <w:pPr>
              <w:widowControl/>
              <w:jc w:val="left"/>
              <w:textAlignment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水路货物运输术语</w:t>
            </w:r>
          </w:p>
        </w:tc>
        <w:tc>
          <w:tcPr>
            <w:tcW w:w="1570" w:type="pct"/>
            <w:vAlign w:val="center"/>
          </w:tcPr>
          <w:p w14:paraId="751ECE77">
            <w:pPr>
              <w:widowControl/>
              <w:textAlignment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拟界定水路货物运输的基本术语</w:t>
            </w:r>
            <w:r>
              <w:rPr>
                <w:rFonts w:hint="eastAsia" w:ascii="Times New Roman" w:hAnsi="Times New Roman" w:eastAsia="仿宋_GB2312" w:cs="Times New Roman"/>
                <w:color w:val="auto"/>
                <w:kern w:val="0"/>
                <w:sz w:val="24"/>
                <w:szCs w:val="24"/>
                <w:highlight w:val="none"/>
              </w:rPr>
              <w:t>和定义</w:t>
            </w:r>
            <w:r>
              <w:rPr>
                <w:rFonts w:ascii="Times New Roman" w:hAnsi="Times New Roman" w:eastAsia="仿宋_GB2312" w:cs="Times New Roman"/>
                <w:color w:val="auto"/>
                <w:kern w:val="0"/>
                <w:sz w:val="24"/>
                <w:szCs w:val="24"/>
                <w:highlight w:val="none"/>
              </w:rPr>
              <w:t xml:space="preserve">，以及货物、运输工具、设施、航线、运输形式、企业与人员、业务、费收与保险、统计调查、服务质量等方面的主要术语和定义。 </w:t>
            </w:r>
          </w:p>
          <w:p w14:paraId="0817DF7B">
            <w:pPr>
              <w:widowControl/>
              <w:textAlignment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kern w:val="0"/>
                <w:sz w:val="24"/>
                <w:szCs w:val="24"/>
                <w:highlight w:val="none"/>
              </w:rPr>
              <w:t>适用于水路货物运输及相关业务的管理和经营。</w:t>
            </w:r>
          </w:p>
        </w:tc>
        <w:tc>
          <w:tcPr>
            <w:tcW w:w="241" w:type="pct"/>
            <w:vAlign w:val="center"/>
          </w:tcPr>
          <w:p w14:paraId="46CF7AAE">
            <w:pPr>
              <w:jc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bCs/>
                <w:color w:val="auto"/>
                <w:sz w:val="24"/>
                <w:szCs w:val="24"/>
                <w:highlight w:val="none"/>
              </w:rPr>
              <w:t>制定</w:t>
            </w:r>
          </w:p>
        </w:tc>
        <w:tc>
          <w:tcPr>
            <w:tcW w:w="467" w:type="pct"/>
            <w:vAlign w:val="center"/>
          </w:tcPr>
          <w:p w14:paraId="3B561691">
            <w:pPr>
              <w:widowControl/>
              <w:jc w:val="center"/>
              <w:rPr>
                <w:rFonts w:ascii="Times New Roman" w:hAnsi="Times New Roman" w:eastAsia="仿宋_GB2312" w:cs="Times New Roman"/>
                <w:bCs/>
                <w:color w:val="auto"/>
                <w:sz w:val="24"/>
                <w:szCs w:val="24"/>
                <w:highlight w:val="none"/>
              </w:rPr>
            </w:pPr>
          </w:p>
        </w:tc>
        <w:tc>
          <w:tcPr>
            <w:tcW w:w="311" w:type="pct"/>
            <w:shd w:val="clear" w:color="auto" w:fill="auto"/>
            <w:vAlign w:val="center"/>
          </w:tcPr>
          <w:p w14:paraId="2B9B5082">
            <w:pPr>
              <w:widowControl/>
              <w:jc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color w:val="auto"/>
                <w:sz w:val="24"/>
                <w:szCs w:val="24"/>
                <w:highlight w:val="none"/>
              </w:rPr>
              <w:t>12</w:t>
            </w:r>
          </w:p>
        </w:tc>
        <w:tc>
          <w:tcPr>
            <w:tcW w:w="409" w:type="pct"/>
            <w:shd w:val="clear" w:color="auto" w:fill="auto"/>
            <w:vAlign w:val="center"/>
          </w:tcPr>
          <w:p w14:paraId="4AF0F955">
            <w:pPr>
              <w:widowControl/>
              <w:jc w:val="center"/>
              <w:textAlignment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内河船与</w:t>
            </w:r>
          </w:p>
          <w:p w14:paraId="42D214DB">
            <w:pPr>
              <w:widowControl/>
              <w:jc w:val="center"/>
              <w:textAlignment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color w:val="auto"/>
                <w:sz w:val="24"/>
                <w:szCs w:val="24"/>
                <w:highlight w:val="none"/>
              </w:rPr>
              <w:t>水路运输标委会</w:t>
            </w:r>
          </w:p>
        </w:tc>
        <w:tc>
          <w:tcPr>
            <w:tcW w:w="1196" w:type="pct"/>
            <w:shd w:val="clear" w:color="auto" w:fill="auto"/>
            <w:vAlign w:val="center"/>
          </w:tcPr>
          <w:p w14:paraId="0B8B653F">
            <w:pPr>
              <w:widowControl/>
              <w:textAlignment w:val="center"/>
              <w:rPr>
                <w:rFonts w:hint="eastAsia" w:ascii="Times New Roman" w:hAnsi="Times New Roman" w:eastAsia="仿宋_GB2312" w:cs="Times New Roman"/>
                <w:bCs/>
                <w:color w:val="auto"/>
                <w:sz w:val="24"/>
                <w:szCs w:val="24"/>
                <w:highlight w:val="none"/>
                <w:lang w:eastAsia="zh-CN"/>
              </w:rPr>
            </w:pPr>
            <w:r>
              <w:rPr>
                <w:rFonts w:ascii="Times New Roman" w:hAnsi="Times New Roman" w:eastAsia="仿宋_GB2312" w:cs="Times New Roman"/>
                <w:color w:val="auto"/>
                <w:kern w:val="0"/>
                <w:sz w:val="24"/>
                <w:szCs w:val="24"/>
                <w:highlight w:val="none"/>
              </w:rPr>
              <w:t>交通运输部水运科学研究所</w:t>
            </w:r>
            <w:r>
              <w:rPr>
                <w:rFonts w:hint="eastAsia" w:ascii="Times New Roman" w:hAnsi="Times New Roman" w:eastAsia="仿宋_GB2312" w:cs="Times New Roman"/>
                <w:color w:val="auto"/>
                <w:kern w:val="0"/>
                <w:sz w:val="24"/>
                <w:szCs w:val="24"/>
                <w:highlight w:val="none"/>
                <w:lang w:eastAsia="zh-CN"/>
              </w:rPr>
              <w:t>、中远海运散货运输有限公司</w:t>
            </w:r>
          </w:p>
        </w:tc>
      </w:tr>
      <w:tr w14:paraId="4D3C5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9" w:type="pct"/>
            <w:vAlign w:val="center"/>
          </w:tcPr>
          <w:p w14:paraId="51C53134">
            <w:pPr>
              <w:pStyle w:val="11"/>
              <w:numPr>
                <w:ilvl w:val="0"/>
                <w:numId w:val="1"/>
              </w:numPr>
              <w:ind w:left="0" w:firstLine="0" w:firstLineChars="0"/>
              <w:jc w:val="center"/>
              <w:rPr>
                <w:rFonts w:ascii="Times New Roman" w:hAnsi="Times New Roman" w:eastAsia="仿宋_GB2312" w:cs="Times New Roman"/>
                <w:bCs/>
                <w:color w:val="auto"/>
                <w:sz w:val="24"/>
                <w:szCs w:val="24"/>
                <w:highlight w:val="none"/>
              </w:rPr>
            </w:pPr>
          </w:p>
        </w:tc>
        <w:tc>
          <w:tcPr>
            <w:tcW w:w="613" w:type="pct"/>
            <w:vAlign w:val="center"/>
          </w:tcPr>
          <w:p w14:paraId="53BC4AF7">
            <w:pPr>
              <w:widowControl/>
              <w:jc w:val="left"/>
              <w:textAlignment w:val="center"/>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沿海及</w:t>
            </w:r>
            <w:r>
              <w:rPr>
                <w:rFonts w:ascii="Times New Roman" w:hAnsi="Times New Roman" w:eastAsia="仿宋_GB2312" w:cs="Times New Roman"/>
                <w:color w:val="auto"/>
                <w:sz w:val="24"/>
                <w:szCs w:val="24"/>
                <w:highlight w:val="none"/>
              </w:rPr>
              <w:t>内河游轮服务规范</w:t>
            </w:r>
          </w:p>
        </w:tc>
        <w:tc>
          <w:tcPr>
            <w:tcW w:w="1570" w:type="pct"/>
            <w:vAlign w:val="center"/>
          </w:tcPr>
          <w:p w14:paraId="7B1F7ABC">
            <w:pPr>
              <w:widowControl/>
              <w:textAlignment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kern w:val="0"/>
                <w:sz w:val="24"/>
                <w:szCs w:val="24"/>
                <w:highlight w:val="none"/>
              </w:rPr>
              <w:t>拟规定</w:t>
            </w:r>
            <w:r>
              <w:rPr>
                <w:rFonts w:hint="eastAsia" w:ascii="Times New Roman" w:hAnsi="Times New Roman" w:eastAsia="仿宋_GB2312" w:cs="Times New Roman"/>
                <w:color w:val="auto"/>
                <w:kern w:val="0"/>
                <w:sz w:val="24"/>
                <w:szCs w:val="24"/>
                <w:highlight w:val="none"/>
              </w:rPr>
              <w:t>沿海及</w:t>
            </w:r>
            <w:r>
              <w:rPr>
                <w:rFonts w:ascii="Times New Roman" w:hAnsi="Times New Roman" w:eastAsia="仿宋_GB2312" w:cs="Times New Roman"/>
                <w:color w:val="auto"/>
                <w:kern w:val="0"/>
                <w:sz w:val="24"/>
                <w:szCs w:val="24"/>
                <w:highlight w:val="none"/>
              </w:rPr>
              <w:t>内河游轮</w:t>
            </w:r>
            <w:r>
              <w:rPr>
                <w:rFonts w:hint="eastAsia" w:ascii="Times New Roman" w:hAnsi="Times New Roman" w:eastAsia="仿宋_GB2312" w:cs="Times New Roman"/>
                <w:color w:val="auto"/>
                <w:kern w:val="0"/>
                <w:sz w:val="24"/>
                <w:szCs w:val="24"/>
                <w:highlight w:val="none"/>
              </w:rPr>
              <w:t>运营</w:t>
            </w:r>
            <w:r>
              <w:rPr>
                <w:rFonts w:ascii="Times New Roman" w:hAnsi="Times New Roman" w:eastAsia="仿宋_GB2312" w:cs="Times New Roman"/>
                <w:color w:val="auto"/>
                <w:kern w:val="0"/>
                <w:sz w:val="24"/>
                <w:szCs w:val="24"/>
                <w:highlight w:val="none"/>
              </w:rPr>
              <w:t>的基本要求、服务要求、码头经营人和船舶承运人的特殊要求及乘客意见处理与反馈要求。</w:t>
            </w:r>
            <w:r>
              <w:rPr>
                <w:rFonts w:ascii="Times New Roman" w:hAnsi="Times New Roman" w:eastAsia="仿宋_GB2312" w:cs="Times New Roman"/>
                <w:color w:val="auto"/>
                <w:kern w:val="0"/>
                <w:sz w:val="24"/>
                <w:szCs w:val="24"/>
                <w:highlight w:val="none"/>
              </w:rPr>
              <w:br w:type="textWrapping"/>
            </w:r>
            <w:r>
              <w:rPr>
                <w:rFonts w:ascii="Times New Roman" w:hAnsi="Times New Roman" w:eastAsia="仿宋_GB2312" w:cs="Times New Roman"/>
                <w:color w:val="auto"/>
                <w:kern w:val="0"/>
                <w:sz w:val="24"/>
                <w:szCs w:val="24"/>
                <w:highlight w:val="none"/>
              </w:rPr>
              <w:t>适用于我国</w:t>
            </w:r>
            <w:r>
              <w:rPr>
                <w:rFonts w:hint="eastAsia" w:ascii="Times New Roman" w:hAnsi="Times New Roman" w:eastAsia="仿宋_GB2312" w:cs="Times New Roman"/>
                <w:color w:val="auto"/>
                <w:kern w:val="0"/>
                <w:sz w:val="24"/>
                <w:szCs w:val="24"/>
                <w:highlight w:val="none"/>
              </w:rPr>
              <w:t>沿海及</w:t>
            </w:r>
            <w:r>
              <w:rPr>
                <w:rFonts w:ascii="Times New Roman" w:hAnsi="Times New Roman" w:eastAsia="仿宋_GB2312" w:cs="Times New Roman"/>
                <w:color w:val="auto"/>
                <w:kern w:val="0"/>
                <w:sz w:val="24"/>
                <w:szCs w:val="24"/>
                <w:highlight w:val="none"/>
              </w:rPr>
              <w:t>内河水域内依法取得水路客运经营资质的</w:t>
            </w:r>
            <w:r>
              <w:rPr>
                <w:rFonts w:hint="eastAsia" w:ascii="Times New Roman" w:hAnsi="Times New Roman" w:eastAsia="仿宋_GB2312" w:cs="Times New Roman"/>
                <w:color w:val="auto"/>
                <w:kern w:val="0"/>
                <w:sz w:val="24"/>
                <w:szCs w:val="24"/>
                <w:highlight w:val="none"/>
              </w:rPr>
              <w:t>沿海及</w:t>
            </w:r>
            <w:r>
              <w:rPr>
                <w:rFonts w:ascii="Times New Roman" w:hAnsi="Times New Roman" w:eastAsia="仿宋_GB2312" w:cs="Times New Roman"/>
                <w:color w:val="auto"/>
                <w:kern w:val="0"/>
                <w:sz w:val="24"/>
                <w:szCs w:val="24"/>
                <w:highlight w:val="none"/>
              </w:rPr>
              <w:t>内河旅游客运服务组织，包括旅游客运承运人、码头经营人的各项服务工作。</w:t>
            </w:r>
          </w:p>
        </w:tc>
        <w:tc>
          <w:tcPr>
            <w:tcW w:w="241" w:type="pct"/>
            <w:vAlign w:val="center"/>
          </w:tcPr>
          <w:p w14:paraId="664B0F21">
            <w:pPr>
              <w:jc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bCs/>
                <w:color w:val="auto"/>
                <w:sz w:val="24"/>
                <w:szCs w:val="24"/>
                <w:highlight w:val="none"/>
              </w:rPr>
              <w:t>制定</w:t>
            </w:r>
          </w:p>
        </w:tc>
        <w:tc>
          <w:tcPr>
            <w:tcW w:w="467" w:type="pct"/>
            <w:vAlign w:val="center"/>
          </w:tcPr>
          <w:p w14:paraId="6DB55FC4">
            <w:pPr>
              <w:widowControl/>
              <w:jc w:val="center"/>
              <w:rPr>
                <w:rFonts w:ascii="Times New Roman" w:hAnsi="Times New Roman" w:eastAsia="仿宋_GB2312" w:cs="Times New Roman"/>
                <w:bCs/>
                <w:color w:val="auto"/>
                <w:sz w:val="24"/>
                <w:szCs w:val="24"/>
                <w:highlight w:val="none"/>
              </w:rPr>
            </w:pPr>
          </w:p>
        </w:tc>
        <w:tc>
          <w:tcPr>
            <w:tcW w:w="311" w:type="pct"/>
            <w:shd w:val="clear" w:color="auto" w:fill="auto"/>
            <w:vAlign w:val="center"/>
          </w:tcPr>
          <w:p w14:paraId="5A4194D2">
            <w:pPr>
              <w:widowControl/>
              <w:jc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color w:val="auto"/>
                <w:sz w:val="24"/>
                <w:szCs w:val="24"/>
                <w:highlight w:val="none"/>
              </w:rPr>
              <w:t>12</w:t>
            </w:r>
          </w:p>
        </w:tc>
        <w:tc>
          <w:tcPr>
            <w:tcW w:w="409" w:type="pct"/>
            <w:shd w:val="clear" w:color="auto" w:fill="auto"/>
            <w:vAlign w:val="center"/>
          </w:tcPr>
          <w:p w14:paraId="4DBB14F7">
            <w:pPr>
              <w:widowControl/>
              <w:jc w:val="center"/>
              <w:textAlignment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内河船与</w:t>
            </w:r>
          </w:p>
          <w:p w14:paraId="24EF04C6">
            <w:pPr>
              <w:widowControl/>
              <w:jc w:val="center"/>
              <w:textAlignment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color w:val="auto"/>
                <w:sz w:val="24"/>
                <w:szCs w:val="24"/>
                <w:highlight w:val="none"/>
              </w:rPr>
              <w:t>水路运输标委会</w:t>
            </w:r>
          </w:p>
        </w:tc>
        <w:tc>
          <w:tcPr>
            <w:tcW w:w="1196" w:type="pct"/>
            <w:shd w:val="clear" w:color="auto" w:fill="auto"/>
            <w:vAlign w:val="center"/>
          </w:tcPr>
          <w:p w14:paraId="761F68C2">
            <w:pPr>
              <w:widowControl/>
              <w:textAlignment w:val="center"/>
              <w:rPr>
                <w:rFonts w:hint="eastAsia" w:ascii="Times New Roman" w:hAnsi="Times New Roman" w:eastAsia="仿宋_GB2312" w:cs="Times New Roman"/>
                <w:bCs/>
                <w:color w:val="auto"/>
                <w:sz w:val="24"/>
                <w:szCs w:val="24"/>
                <w:highlight w:val="none"/>
                <w:lang w:eastAsia="zh-CN"/>
              </w:rPr>
            </w:pPr>
            <w:r>
              <w:rPr>
                <w:rFonts w:ascii="Times New Roman" w:hAnsi="Times New Roman" w:eastAsia="仿宋_GB2312" w:cs="Times New Roman"/>
                <w:color w:val="auto"/>
                <w:kern w:val="0"/>
                <w:sz w:val="24"/>
                <w:szCs w:val="24"/>
                <w:highlight w:val="none"/>
              </w:rPr>
              <w:t>交通运输部水运科学研究所</w:t>
            </w:r>
            <w:r>
              <w:rPr>
                <w:rFonts w:hint="eastAsia" w:ascii="Times New Roman" w:hAnsi="Times New Roman" w:eastAsia="仿宋_GB2312" w:cs="Times New Roman"/>
                <w:color w:val="auto"/>
                <w:kern w:val="0"/>
                <w:sz w:val="24"/>
                <w:szCs w:val="24"/>
                <w:highlight w:val="none"/>
                <w:lang w:eastAsia="zh-CN"/>
              </w:rPr>
              <w:t>、重庆东江实业有限公司</w:t>
            </w:r>
          </w:p>
        </w:tc>
      </w:tr>
      <w:tr w14:paraId="7C6E7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9" w:type="pct"/>
            <w:vAlign w:val="center"/>
          </w:tcPr>
          <w:p w14:paraId="7E4902E3">
            <w:pPr>
              <w:pStyle w:val="11"/>
              <w:numPr>
                <w:ilvl w:val="0"/>
                <w:numId w:val="1"/>
              </w:numPr>
              <w:ind w:left="0" w:firstLine="0" w:firstLineChars="0"/>
              <w:jc w:val="center"/>
              <w:rPr>
                <w:rFonts w:ascii="Times New Roman" w:hAnsi="Times New Roman" w:eastAsia="仿宋_GB2312" w:cs="Times New Roman"/>
                <w:bCs/>
                <w:color w:val="auto"/>
                <w:sz w:val="24"/>
                <w:szCs w:val="24"/>
                <w:highlight w:val="none"/>
              </w:rPr>
            </w:pPr>
          </w:p>
        </w:tc>
        <w:tc>
          <w:tcPr>
            <w:tcW w:w="613" w:type="pct"/>
            <w:vAlign w:val="center"/>
          </w:tcPr>
          <w:p w14:paraId="0DA2201F">
            <w:pPr>
              <w:widowControl/>
              <w:jc w:val="left"/>
              <w:textAlignment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kern w:val="0"/>
                <w:sz w:val="24"/>
                <w:szCs w:val="24"/>
                <w:highlight w:val="none"/>
              </w:rPr>
              <w:t>国际集装箱班轮运输服务规范</w:t>
            </w:r>
          </w:p>
        </w:tc>
        <w:tc>
          <w:tcPr>
            <w:tcW w:w="1570" w:type="pct"/>
            <w:vAlign w:val="center"/>
          </w:tcPr>
          <w:p w14:paraId="6396054C">
            <w:pPr>
              <w:widowControl/>
              <w:textAlignment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 xml:space="preserve">拟规定国际集装箱班轮运输服务的一般要求、服务要求、服务监督管理、服务评价和服务改进。 </w:t>
            </w:r>
          </w:p>
          <w:p w14:paraId="624F067A">
            <w:pPr>
              <w:widowControl/>
              <w:textAlignment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kern w:val="0"/>
                <w:sz w:val="24"/>
                <w:szCs w:val="24"/>
                <w:highlight w:val="none"/>
              </w:rPr>
              <w:t>适用于对国际集装箱班轮运输公司提供的涉及中国大陆港口和中国大陆客户的海运服务开展服务管理与服务质量评价。</w:t>
            </w:r>
          </w:p>
        </w:tc>
        <w:tc>
          <w:tcPr>
            <w:tcW w:w="241" w:type="pct"/>
            <w:vAlign w:val="center"/>
          </w:tcPr>
          <w:p w14:paraId="2EFE8209">
            <w:pPr>
              <w:jc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bCs/>
                <w:color w:val="auto"/>
                <w:sz w:val="24"/>
                <w:szCs w:val="24"/>
                <w:highlight w:val="none"/>
              </w:rPr>
              <w:t>制定</w:t>
            </w:r>
          </w:p>
        </w:tc>
        <w:tc>
          <w:tcPr>
            <w:tcW w:w="467" w:type="pct"/>
            <w:vAlign w:val="center"/>
          </w:tcPr>
          <w:p w14:paraId="7E3DA0B2">
            <w:pPr>
              <w:widowControl/>
              <w:jc w:val="center"/>
              <w:textAlignment w:val="center"/>
              <w:rPr>
                <w:rFonts w:ascii="Times New Roman" w:hAnsi="Times New Roman" w:eastAsia="仿宋_GB2312" w:cs="Times New Roman"/>
                <w:bCs/>
                <w:color w:val="auto"/>
                <w:sz w:val="24"/>
                <w:szCs w:val="24"/>
                <w:highlight w:val="none"/>
              </w:rPr>
            </w:pPr>
          </w:p>
        </w:tc>
        <w:tc>
          <w:tcPr>
            <w:tcW w:w="311" w:type="pct"/>
            <w:shd w:val="clear" w:color="auto" w:fill="auto"/>
            <w:vAlign w:val="center"/>
          </w:tcPr>
          <w:p w14:paraId="2D77DB6E">
            <w:pPr>
              <w:widowControl/>
              <w:jc w:val="center"/>
              <w:textAlignment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color w:val="auto"/>
                <w:kern w:val="0"/>
                <w:sz w:val="24"/>
                <w:szCs w:val="24"/>
                <w:highlight w:val="none"/>
              </w:rPr>
              <w:t>12</w:t>
            </w:r>
          </w:p>
        </w:tc>
        <w:tc>
          <w:tcPr>
            <w:tcW w:w="409" w:type="pct"/>
            <w:shd w:val="clear" w:color="auto" w:fill="auto"/>
            <w:vAlign w:val="center"/>
          </w:tcPr>
          <w:p w14:paraId="22C91CB9">
            <w:pPr>
              <w:widowControl/>
              <w:jc w:val="center"/>
              <w:textAlignment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color w:val="auto"/>
                <w:kern w:val="0"/>
                <w:sz w:val="24"/>
                <w:szCs w:val="24"/>
                <w:highlight w:val="none"/>
              </w:rPr>
              <w:t>内河船与水路运输标委会</w:t>
            </w:r>
          </w:p>
        </w:tc>
        <w:tc>
          <w:tcPr>
            <w:tcW w:w="1196" w:type="pct"/>
            <w:shd w:val="clear" w:color="auto" w:fill="auto"/>
            <w:vAlign w:val="center"/>
          </w:tcPr>
          <w:p w14:paraId="1DC6DA96">
            <w:pPr>
              <w:widowControl/>
              <w:textAlignment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kern w:val="0"/>
                <w:sz w:val="24"/>
                <w:szCs w:val="24"/>
                <w:highlight w:val="none"/>
              </w:rPr>
              <w:t>交通运输部水运科学研究所</w:t>
            </w:r>
            <w:r>
              <w:rPr>
                <w:rFonts w:hint="eastAsia" w:ascii="Times New Roman" w:hAnsi="Times New Roman" w:eastAsia="仿宋_GB2312" w:cs="Times New Roman"/>
                <w:color w:val="auto"/>
                <w:kern w:val="0"/>
                <w:sz w:val="24"/>
                <w:szCs w:val="24"/>
                <w:highlight w:val="none"/>
              </w:rPr>
              <w:t>、中远海运集装箱运输有限公司</w:t>
            </w:r>
          </w:p>
        </w:tc>
      </w:tr>
      <w:tr w14:paraId="3A9F6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89" w:type="pct"/>
            <w:vAlign w:val="center"/>
          </w:tcPr>
          <w:p w14:paraId="7452D1BA">
            <w:pPr>
              <w:pStyle w:val="11"/>
              <w:numPr>
                <w:ilvl w:val="0"/>
                <w:numId w:val="1"/>
              </w:numPr>
              <w:ind w:left="0" w:firstLine="0" w:firstLineChars="0"/>
              <w:jc w:val="center"/>
              <w:rPr>
                <w:rFonts w:ascii="Times New Roman" w:hAnsi="Times New Roman" w:eastAsia="仿宋_GB2312" w:cs="Times New Roman"/>
                <w:bCs/>
                <w:color w:val="auto"/>
                <w:sz w:val="24"/>
                <w:szCs w:val="24"/>
                <w:highlight w:val="none"/>
              </w:rPr>
            </w:pPr>
          </w:p>
        </w:tc>
        <w:tc>
          <w:tcPr>
            <w:tcW w:w="613" w:type="pct"/>
            <w:vAlign w:val="center"/>
          </w:tcPr>
          <w:p w14:paraId="6D453E9F">
            <w:pPr>
              <w:widowControl/>
              <w:jc w:val="left"/>
              <w:textAlignment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kern w:val="0"/>
                <w:sz w:val="24"/>
                <w:szCs w:val="24"/>
                <w:highlight w:val="none"/>
              </w:rPr>
              <w:t>边坡柔性被动防护系统落石冲击试验方法</w:t>
            </w:r>
          </w:p>
        </w:tc>
        <w:tc>
          <w:tcPr>
            <w:tcW w:w="1570" w:type="pct"/>
            <w:vAlign w:val="center"/>
          </w:tcPr>
          <w:p w14:paraId="7B7B731E">
            <w:pPr>
              <w:widowControl/>
              <w:textAlignment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kern w:val="0"/>
                <w:sz w:val="24"/>
                <w:szCs w:val="24"/>
                <w:highlight w:val="none"/>
              </w:rPr>
              <w:t>拟规定边坡柔性被动防护系统落石冲击试验的试验条件、试验平台、试验步骤、试验评价、记录与报告。</w:t>
            </w:r>
            <w:r>
              <w:rPr>
                <w:rFonts w:ascii="Times New Roman" w:hAnsi="Times New Roman" w:eastAsia="仿宋_GB2312" w:cs="Times New Roman"/>
                <w:color w:val="auto"/>
                <w:kern w:val="0"/>
                <w:sz w:val="24"/>
                <w:szCs w:val="24"/>
                <w:highlight w:val="none"/>
              </w:rPr>
              <w:br w:type="textWrapping"/>
            </w:r>
            <w:r>
              <w:rPr>
                <w:rFonts w:ascii="Times New Roman" w:hAnsi="Times New Roman" w:eastAsia="仿宋_GB2312" w:cs="Times New Roman"/>
                <w:color w:val="auto"/>
                <w:kern w:val="0"/>
                <w:sz w:val="24"/>
                <w:szCs w:val="24"/>
                <w:highlight w:val="none"/>
              </w:rPr>
              <w:t>适用于边坡柔性被动防护系统的落石冲击试验。</w:t>
            </w:r>
          </w:p>
        </w:tc>
        <w:tc>
          <w:tcPr>
            <w:tcW w:w="241" w:type="pct"/>
            <w:vAlign w:val="center"/>
          </w:tcPr>
          <w:p w14:paraId="7CC1CC86">
            <w:pPr>
              <w:jc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bCs/>
                <w:color w:val="auto"/>
                <w:sz w:val="24"/>
                <w:szCs w:val="24"/>
                <w:highlight w:val="none"/>
              </w:rPr>
              <w:t>制定</w:t>
            </w:r>
          </w:p>
        </w:tc>
        <w:tc>
          <w:tcPr>
            <w:tcW w:w="467" w:type="pct"/>
            <w:vAlign w:val="center"/>
          </w:tcPr>
          <w:p w14:paraId="7C2E81DB">
            <w:pPr>
              <w:widowControl/>
              <w:jc w:val="center"/>
              <w:textAlignment w:val="center"/>
              <w:rPr>
                <w:rFonts w:ascii="Times New Roman" w:hAnsi="Times New Roman" w:eastAsia="仿宋_GB2312" w:cs="Times New Roman"/>
                <w:bCs/>
                <w:color w:val="auto"/>
                <w:sz w:val="24"/>
                <w:szCs w:val="24"/>
                <w:highlight w:val="none"/>
              </w:rPr>
            </w:pPr>
          </w:p>
        </w:tc>
        <w:tc>
          <w:tcPr>
            <w:tcW w:w="311" w:type="pct"/>
            <w:shd w:val="clear" w:color="auto" w:fill="auto"/>
            <w:vAlign w:val="center"/>
          </w:tcPr>
          <w:p w14:paraId="1323DCDF">
            <w:pPr>
              <w:widowControl/>
              <w:jc w:val="center"/>
              <w:textAlignment w:val="center"/>
              <w:rPr>
                <w:rFonts w:hint="default" w:ascii="Times New Roman" w:hAnsi="Times New Roman" w:eastAsia="仿宋_GB2312" w:cs="Times New Roman"/>
                <w:bCs/>
                <w:color w:val="auto"/>
                <w:sz w:val="24"/>
                <w:szCs w:val="24"/>
                <w:highlight w:val="none"/>
                <w:lang w:val="en-US" w:eastAsia="zh-CN"/>
              </w:rPr>
            </w:pPr>
            <w:r>
              <w:rPr>
                <w:rFonts w:hint="eastAsia" w:ascii="Times New Roman" w:hAnsi="Times New Roman" w:eastAsia="仿宋_GB2312" w:cs="Times New Roman"/>
                <w:color w:val="auto"/>
                <w:kern w:val="0"/>
                <w:sz w:val="24"/>
                <w:szCs w:val="24"/>
                <w:highlight w:val="none"/>
                <w:lang w:eastAsia="zh-CN"/>
              </w:rPr>
              <w:t>1</w:t>
            </w:r>
            <w:r>
              <w:rPr>
                <w:rFonts w:hint="eastAsia" w:ascii="Times New Roman" w:hAnsi="Times New Roman" w:eastAsia="仿宋_GB2312" w:cs="Times New Roman"/>
                <w:color w:val="auto"/>
                <w:kern w:val="0"/>
                <w:sz w:val="24"/>
                <w:szCs w:val="24"/>
                <w:highlight w:val="none"/>
                <w:lang w:val="en-US" w:eastAsia="zh-CN"/>
              </w:rPr>
              <w:t>8</w:t>
            </w:r>
          </w:p>
        </w:tc>
        <w:tc>
          <w:tcPr>
            <w:tcW w:w="409" w:type="pct"/>
            <w:shd w:val="clear" w:color="auto" w:fill="auto"/>
            <w:vAlign w:val="center"/>
          </w:tcPr>
          <w:p w14:paraId="4DBCCF91">
            <w:pPr>
              <w:widowControl/>
              <w:jc w:val="center"/>
              <w:textAlignment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color w:val="auto"/>
                <w:kern w:val="0"/>
                <w:sz w:val="24"/>
                <w:szCs w:val="24"/>
                <w:highlight w:val="none"/>
              </w:rPr>
              <w:t>交通工程标委会</w:t>
            </w:r>
          </w:p>
        </w:tc>
        <w:tc>
          <w:tcPr>
            <w:tcW w:w="1196" w:type="pct"/>
            <w:shd w:val="clear" w:color="auto" w:fill="auto"/>
            <w:vAlign w:val="center"/>
          </w:tcPr>
          <w:p w14:paraId="08D99CDE">
            <w:pPr>
              <w:widowControl/>
              <w:textAlignment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kern w:val="0"/>
                <w:sz w:val="24"/>
                <w:szCs w:val="24"/>
                <w:highlight w:val="none"/>
              </w:rPr>
              <w:t>北京新桥技术发展有限公司、四川奥思特边坡防护工程有限公司、交通运输部公路科学研究所</w:t>
            </w:r>
          </w:p>
        </w:tc>
      </w:tr>
      <w:tr w14:paraId="26575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9" w:type="pct"/>
            <w:vAlign w:val="center"/>
          </w:tcPr>
          <w:p w14:paraId="52357D1B">
            <w:pPr>
              <w:pStyle w:val="11"/>
              <w:numPr>
                <w:ilvl w:val="0"/>
                <w:numId w:val="1"/>
              </w:numPr>
              <w:ind w:left="0" w:firstLine="0" w:firstLineChars="0"/>
              <w:jc w:val="center"/>
              <w:rPr>
                <w:rFonts w:ascii="Times New Roman" w:hAnsi="Times New Roman" w:eastAsia="仿宋_GB2312" w:cs="Times New Roman"/>
                <w:bCs/>
                <w:color w:val="auto"/>
                <w:sz w:val="24"/>
                <w:szCs w:val="24"/>
                <w:highlight w:val="none"/>
              </w:rPr>
            </w:pPr>
          </w:p>
        </w:tc>
        <w:tc>
          <w:tcPr>
            <w:tcW w:w="613" w:type="pct"/>
            <w:vAlign w:val="center"/>
          </w:tcPr>
          <w:p w14:paraId="0D8C1E29">
            <w:pPr>
              <w:widowControl/>
              <w:jc w:val="left"/>
              <w:textAlignment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kern w:val="0"/>
                <w:sz w:val="24"/>
                <w:szCs w:val="24"/>
                <w:highlight w:val="none"/>
              </w:rPr>
              <w:t>钢桥面铺装 第3部分：温拌环氧沥青</w:t>
            </w:r>
          </w:p>
        </w:tc>
        <w:tc>
          <w:tcPr>
            <w:tcW w:w="1570" w:type="pct"/>
            <w:vAlign w:val="center"/>
          </w:tcPr>
          <w:p w14:paraId="068F0298">
            <w:pPr>
              <w:widowControl/>
              <w:textAlignment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kern w:val="0"/>
                <w:sz w:val="24"/>
                <w:szCs w:val="24"/>
                <w:highlight w:val="none"/>
              </w:rPr>
              <w:t>拟规定钢桥面铺装用温拌环氧沥青的技术要求、试验方法、检验规则，以及标志、包装、运输和储存等要求。</w:t>
            </w:r>
            <w:r>
              <w:rPr>
                <w:rFonts w:ascii="Times New Roman" w:hAnsi="Times New Roman" w:eastAsia="仿宋_GB2312" w:cs="Times New Roman"/>
                <w:color w:val="auto"/>
                <w:kern w:val="0"/>
                <w:sz w:val="24"/>
                <w:szCs w:val="24"/>
                <w:highlight w:val="none"/>
              </w:rPr>
              <w:br w:type="textWrapping"/>
            </w:r>
            <w:r>
              <w:rPr>
                <w:rFonts w:ascii="Times New Roman" w:hAnsi="Times New Roman" w:eastAsia="仿宋_GB2312" w:cs="Times New Roman"/>
                <w:color w:val="auto"/>
                <w:kern w:val="0"/>
                <w:sz w:val="24"/>
                <w:szCs w:val="24"/>
                <w:highlight w:val="none"/>
              </w:rPr>
              <w:t>适用于钢桥面铺装用温拌环氧沥青的生产和检验。</w:t>
            </w:r>
          </w:p>
        </w:tc>
        <w:tc>
          <w:tcPr>
            <w:tcW w:w="241" w:type="pct"/>
            <w:vAlign w:val="center"/>
          </w:tcPr>
          <w:p w14:paraId="6FE8707D">
            <w:pPr>
              <w:jc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bCs/>
                <w:color w:val="auto"/>
                <w:sz w:val="24"/>
                <w:szCs w:val="24"/>
                <w:highlight w:val="none"/>
              </w:rPr>
              <w:t>制定</w:t>
            </w:r>
          </w:p>
        </w:tc>
        <w:tc>
          <w:tcPr>
            <w:tcW w:w="467" w:type="pct"/>
            <w:vAlign w:val="center"/>
          </w:tcPr>
          <w:p w14:paraId="7EA55CC7">
            <w:pPr>
              <w:widowControl/>
              <w:jc w:val="center"/>
              <w:textAlignment w:val="center"/>
              <w:rPr>
                <w:rFonts w:ascii="Times New Roman" w:hAnsi="Times New Roman" w:eastAsia="仿宋_GB2312" w:cs="Times New Roman"/>
                <w:bCs/>
                <w:color w:val="auto"/>
                <w:sz w:val="24"/>
                <w:szCs w:val="24"/>
                <w:highlight w:val="none"/>
              </w:rPr>
            </w:pPr>
          </w:p>
        </w:tc>
        <w:tc>
          <w:tcPr>
            <w:tcW w:w="311" w:type="pct"/>
            <w:shd w:val="clear" w:color="auto" w:fill="auto"/>
            <w:vAlign w:val="center"/>
          </w:tcPr>
          <w:p w14:paraId="2AA0D5DA">
            <w:pPr>
              <w:widowControl/>
              <w:jc w:val="center"/>
              <w:textAlignment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color w:val="auto"/>
                <w:kern w:val="0"/>
                <w:sz w:val="24"/>
                <w:szCs w:val="24"/>
                <w:highlight w:val="none"/>
              </w:rPr>
              <w:t>12</w:t>
            </w:r>
          </w:p>
        </w:tc>
        <w:tc>
          <w:tcPr>
            <w:tcW w:w="409" w:type="pct"/>
            <w:shd w:val="clear" w:color="auto" w:fill="auto"/>
            <w:vAlign w:val="center"/>
          </w:tcPr>
          <w:p w14:paraId="51981F32">
            <w:pPr>
              <w:widowControl/>
              <w:jc w:val="center"/>
              <w:textAlignment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color w:val="auto"/>
                <w:kern w:val="0"/>
                <w:sz w:val="24"/>
                <w:szCs w:val="24"/>
                <w:highlight w:val="none"/>
              </w:rPr>
              <w:t>交通工程标委会</w:t>
            </w:r>
          </w:p>
        </w:tc>
        <w:tc>
          <w:tcPr>
            <w:tcW w:w="1196" w:type="pct"/>
            <w:shd w:val="clear" w:color="auto" w:fill="auto"/>
            <w:vAlign w:val="center"/>
          </w:tcPr>
          <w:p w14:paraId="40F5A8F1">
            <w:pPr>
              <w:widowControl/>
              <w:jc w:val="left"/>
              <w:textAlignment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kern w:val="0"/>
                <w:sz w:val="24"/>
                <w:szCs w:val="24"/>
                <w:highlight w:val="none"/>
              </w:rPr>
              <w:t>交通运输部公路科学研究所</w:t>
            </w:r>
            <w:r>
              <w:rPr>
                <w:rFonts w:hint="eastAsia" w:ascii="Times New Roman" w:hAnsi="Times New Roman" w:eastAsia="仿宋_GB2312" w:cs="Times New Roman"/>
                <w:color w:val="auto"/>
                <w:kern w:val="0"/>
                <w:sz w:val="24"/>
                <w:szCs w:val="24"/>
                <w:highlight w:val="none"/>
              </w:rPr>
              <w:t>、邢台路桥建设集团有限公司</w:t>
            </w:r>
          </w:p>
        </w:tc>
      </w:tr>
      <w:tr w14:paraId="64959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9" w:type="pct"/>
            <w:vAlign w:val="center"/>
          </w:tcPr>
          <w:p w14:paraId="7135A0FA">
            <w:pPr>
              <w:pStyle w:val="11"/>
              <w:numPr>
                <w:ilvl w:val="0"/>
                <w:numId w:val="1"/>
              </w:numPr>
              <w:ind w:left="0" w:firstLine="0" w:firstLineChars="0"/>
              <w:jc w:val="center"/>
              <w:rPr>
                <w:rFonts w:ascii="Times New Roman" w:hAnsi="Times New Roman" w:eastAsia="仿宋_GB2312" w:cs="Times New Roman"/>
                <w:bCs/>
                <w:color w:val="auto"/>
                <w:sz w:val="24"/>
                <w:szCs w:val="24"/>
                <w:highlight w:val="none"/>
              </w:rPr>
            </w:pPr>
          </w:p>
        </w:tc>
        <w:tc>
          <w:tcPr>
            <w:tcW w:w="613" w:type="pct"/>
            <w:vAlign w:val="center"/>
          </w:tcPr>
          <w:p w14:paraId="18CCB4C0">
            <w:pPr>
              <w:widowControl/>
              <w:jc w:val="left"/>
              <w:textAlignment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kern w:val="0"/>
                <w:sz w:val="24"/>
                <w:szCs w:val="24"/>
                <w:highlight w:val="none"/>
              </w:rPr>
              <w:t>公路隧道检测车</w:t>
            </w:r>
          </w:p>
        </w:tc>
        <w:tc>
          <w:tcPr>
            <w:tcW w:w="1570" w:type="pct"/>
            <w:vAlign w:val="center"/>
          </w:tcPr>
          <w:p w14:paraId="3CE4BC4D">
            <w:pPr>
              <w:widowControl/>
              <w:textAlignment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拟规定公路隧道检测车车辆组成及功能、技术要求、试验方法</w:t>
            </w:r>
            <w:r>
              <w:rPr>
                <w:rFonts w:hint="eastAsia" w:ascii="Times New Roman" w:hAnsi="Times New Roman" w:eastAsia="仿宋_GB2312" w:cs="Times New Roman"/>
                <w:color w:val="auto"/>
                <w:kern w:val="0"/>
                <w:sz w:val="24"/>
                <w:szCs w:val="24"/>
                <w:highlight w:val="none"/>
              </w:rPr>
              <w:t>、</w:t>
            </w:r>
            <w:r>
              <w:rPr>
                <w:rFonts w:ascii="Times New Roman" w:hAnsi="Times New Roman" w:eastAsia="仿宋_GB2312" w:cs="Times New Roman"/>
                <w:color w:val="auto"/>
                <w:kern w:val="0"/>
                <w:sz w:val="24"/>
                <w:szCs w:val="24"/>
                <w:highlight w:val="none"/>
              </w:rPr>
              <w:t>检验规则，以及标志、包装、运输和</w:t>
            </w:r>
            <w:r>
              <w:rPr>
                <w:rFonts w:hint="eastAsia" w:ascii="Times New Roman" w:hAnsi="Times New Roman" w:eastAsia="仿宋_GB2312" w:cs="Times New Roman"/>
                <w:color w:val="auto"/>
                <w:kern w:val="0"/>
                <w:sz w:val="24"/>
                <w:szCs w:val="24"/>
                <w:highlight w:val="none"/>
              </w:rPr>
              <w:t>储</w:t>
            </w:r>
            <w:r>
              <w:rPr>
                <w:rFonts w:ascii="Times New Roman" w:hAnsi="Times New Roman" w:eastAsia="仿宋_GB2312" w:cs="Times New Roman"/>
                <w:color w:val="auto"/>
                <w:kern w:val="0"/>
                <w:sz w:val="24"/>
                <w:szCs w:val="24"/>
                <w:highlight w:val="none"/>
              </w:rPr>
              <w:t>存</w:t>
            </w:r>
            <w:r>
              <w:rPr>
                <w:rFonts w:hint="eastAsia" w:ascii="Times New Roman" w:hAnsi="Times New Roman" w:eastAsia="仿宋_GB2312" w:cs="Times New Roman"/>
                <w:color w:val="auto"/>
                <w:kern w:val="0"/>
                <w:sz w:val="24"/>
                <w:szCs w:val="24"/>
                <w:highlight w:val="none"/>
              </w:rPr>
              <w:t>等要求</w:t>
            </w:r>
            <w:r>
              <w:rPr>
                <w:rFonts w:ascii="Times New Roman" w:hAnsi="Times New Roman" w:eastAsia="仿宋_GB2312" w:cs="Times New Roman"/>
                <w:color w:val="auto"/>
                <w:kern w:val="0"/>
                <w:sz w:val="24"/>
                <w:szCs w:val="24"/>
                <w:highlight w:val="none"/>
              </w:rPr>
              <w:t xml:space="preserve">。 </w:t>
            </w:r>
          </w:p>
          <w:p w14:paraId="0379CEF0">
            <w:pPr>
              <w:widowControl/>
              <w:textAlignment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kern w:val="0"/>
                <w:sz w:val="24"/>
                <w:szCs w:val="24"/>
                <w:highlight w:val="none"/>
              </w:rPr>
              <w:t>适用于公路隧道检测车的生产和检验。</w:t>
            </w:r>
          </w:p>
        </w:tc>
        <w:tc>
          <w:tcPr>
            <w:tcW w:w="241" w:type="pct"/>
            <w:vAlign w:val="center"/>
          </w:tcPr>
          <w:p w14:paraId="6BA3BF32">
            <w:pPr>
              <w:jc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bCs/>
                <w:color w:val="auto"/>
                <w:sz w:val="24"/>
                <w:szCs w:val="24"/>
                <w:highlight w:val="none"/>
              </w:rPr>
              <w:t>制定</w:t>
            </w:r>
          </w:p>
        </w:tc>
        <w:tc>
          <w:tcPr>
            <w:tcW w:w="467" w:type="pct"/>
            <w:vAlign w:val="center"/>
          </w:tcPr>
          <w:p w14:paraId="199D5A0F">
            <w:pPr>
              <w:widowControl/>
              <w:jc w:val="center"/>
              <w:textAlignment w:val="center"/>
              <w:rPr>
                <w:rFonts w:ascii="Times New Roman" w:hAnsi="Times New Roman" w:eastAsia="仿宋_GB2312" w:cs="Times New Roman"/>
                <w:bCs/>
                <w:color w:val="auto"/>
                <w:sz w:val="24"/>
                <w:szCs w:val="24"/>
                <w:highlight w:val="none"/>
              </w:rPr>
            </w:pPr>
          </w:p>
        </w:tc>
        <w:tc>
          <w:tcPr>
            <w:tcW w:w="311" w:type="pct"/>
            <w:shd w:val="clear" w:color="auto" w:fill="auto"/>
            <w:vAlign w:val="center"/>
          </w:tcPr>
          <w:p w14:paraId="65E9013A">
            <w:pPr>
              <w:widowControl/>
              <w:jc w:val="center"/>
              <w:textAlignment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color w:val="auto"/>
                <w:kern w:val="0"/>
                <w:sz w:val="24"/>
                <w:szCs w:val="24"/>
                <w:highlight w:val="none"/>
              </w:rPr>
              <w:t>18</w:t>
            </w:r>
          </w:p>
        </w:tc>
        <w:tc>
          <w:tcPr>
            <w:tcW w:w="409" w:type="pct"/>
            <w:shd w:val="clear" w:color="auto" w:fill="auto"/>
            <w:vAlign w:val="center"/>
          </w:tcPr>
          <w:p w14:paraId="0BBBE0F8">
            <w:pPr>
              <w:widowControl/>
              <w:jc w:val="center"/>
              <w:textAlignment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color w:val="auto"/>
                <w:kern w:val="0"/>
                <w:sz w:val="24"/>
                <w:szCs w:val="24"/>
                <w:highlight w:val="none"/>
              </w:rPr>
              <w:t>交通工程标委会</w:t>
            </w:r>
          </w:p>
        </w:tc>
        <w:tc>
          <w:tcPr>
            <w:tcW w:w="1196" w:type="pct"/>
            <w:shd w:val="clear" w:color="auto" w:fill="auto"/>
            <w:vAlign w:val="center"/>
          </w:tcPr>
          <w:p w14:paraId="52AE0B72">
            <w:pPr>
              <w:widowControl/>
              <w:textAlignment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kern w:val="0"/>
                <w:sz w:val="24"/>
                <w:szCs w:val="24"/>
                <w:highlight w:val="none"/>
              </w:rPr>
              <w:t>云南武易高速公路有限公司</w:t>
            </w:r>
            <w:r>
              <w:rPr>
                <w:rFonts w:hint="eastAsia" w:ascii="Times New Roman" w:hAnsi="Times New Roman" w:eastAsia="仿宋_GB2312" w:cs="Times New Roman"/>
                <w:color w:val="auto"/>
                <w:kern w:val="0"/>
                <w:sz w:val="24"/>
                <w:szCs w:val="24"/>
                <w:highlight w:val="none"/>
              </w:rPr>
              <w:t>、同济大学、浙江省交通运输科学研究院、云南省交通投资建设集团有限公司</w:t>
            </w:r>
          </w:p>
        </w:tc>
      </w:tr>
      <w:tr w14:paraId="64C86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9" w:type="pct"/>
            <w:vAlign w:val="center"/>
          </w:tcPr>
          <w:p w14:paraId="06BE2210">
            <w:pPr>
              <w:pStyle w:val="11"/>
              <w:numPr>
                <w:ilvl w:val="0"/>
                <w:numId w:val="1"/>
              </w:numPr>
              <w:ind w:left="0" w:firstLine="0" w:firstLineChars="0"/>
              <w:jc w:val="center"/>
              <w:rPr>
                <w:rFonts w:ascii="Times New Roman" w:hAnsi="Times New Roman" w:eastAsia="仿宋_GB2312" w:cs="Times New Roman"/>
                <w:bCs/>
                <w:color w:val="auto"/>
                <w:sz w:val="24"/>
                <w:szCs w:val="24"/>
                <w:highlight w:val="none"/>
              </w:rPr>
            </w:pPr>
          </w:p>
        </w:tc>
        <w:tc>
          <w:tcPr>
            <w:tcW w:w="613" w:type="pct"/>
            <w:vAlign w:val="center"/>
          </w:tcPr>
          <w:p w14:paraId="3B169772">
            <w:pPr>
              <w:widowControl/>
              <w:jc w:val="left"/>
              <w:textAlignment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沥青混合料改性添加剂 第5部分：天然沥青</w:t>
            </w:r>
          </w:p>
        </w:tc>
        <w:tc>
          <w:tcPr>
            <w:tcW w:w="1570" w:type="pct"/>
            <w:vAlign w:val="center"/>
          </w:tcPr>
          <w:p w14:paraId="0E043EE6">
            <w:pPr>
              <w:widowControl/>
              <w:textAlignment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现行标准规定了沥青混合料改性添加剂</w:t>
            </w:r>
            <w:r>
              <w:rPr>
                <w:rFonts w:hint="eastAsia" w:ascii="Times New Roman" w:hAnsi="Times New Roman" w:eastAsia="仿宋_GB2312" w:cs="Times New Roman"/>
                <w:color w:val="auto"/>
                <w:kern w:val="0"/>
                <w:sz w:val="24"/>
                <w:szCs w:val="24"/>
                <w:highlight w:val="none"/>
              </w:rPr>
              <w:t>—</w:t>
            </w:r>
            <w:r>
              <w:rPr>
                <w:rFonts w:ascii="Times New Roman" w:hAnsi="Times New Roman" w:eastAsia="仿宋_GB2312" w:cs="Times New Roman"/>
                <w:color w:val="auto"/>
                <w:kern w:val="0"/>
                <w:sz w:val="24"/>
                <w:szCs w:val="24"/>
                <w:highlight w:val="none"/>
              </w:rPr>
              <w:t>天然沥青的技术要求、试验方法、检验规则及标志、包装、运输和储存。适用于天然沥青的生产</w:t>
            </w:r>
            <w:r>
              <w:rPr>
                <w:rFonts w:hint="eastAsia" w:ascii="Times New Roman" w:hAnsi="Times New Roman" w:eastAsia="仿宋_GB2312" w:cs="Times New Roman"/>
                <w:color w:val="auto"/>
                <w:kern w:val="0"/>
                <w:sz w:val="24"/>
                <w:szCs w:val="24"/>
                <w:highlight w:val="none"/>
              </w:rPr>
              <w:t>、</w:t>
            </w:r>
            <w:r>
              <w:rPr>
                <w:rFonts w:ascii="Times New Roman" w:hAnsi="Times New Roman" w:eastAsia="仿宋_GB2312" w:cs="Times New Roman"/>
                <w:color w:val="auto"/>
                <w:kern w:val="0"/>
                <w:sz w:val="24"/>
                <w:szCs w:val="24"/>
                <w:highlight w:val="none"/>
              </w:rPr>
              <w:t>检验和</w:t>
            </w:r>
            <w:r>
              <w:rPr>
                <w:rFonts w:hint="eastAsia" w:ascii="Times New Roman" w:hAnsi="Times New Roman" w:eastAsia="仿宋_GB2312" w:cs="Times New Roman"/>
                <w:color w:val="auto"/>
                <w:kern w:val="0"/>
                <w:sz w:val="24"/>
                <w:szCs w:val="24"/>
                <w:highlight w:val="none"/>
              </w:rPr>
              <w:t>使用</w:t>
            </w:r>
            <w:r>
              <w:rPr>
                <w:rFonts w:ascii="Times New Roman" w:hAnsi="Times New Roman" w:eastAsia="仿宋_GB2312" w:cs="Times New Roman"/>
                <w:color w:val="auto"/>
                <w:kern w:val="0"/>
                <w:sz w:val="24"/>
                <w:szCs w:val="24"/>
                <w:highlight w:val="none"/>
              </w:rPr>
              <w:t>。</w:t>
            </w:r>
            <w:r>
              <w:rPr>
                <w:rFonts w:ascii="Times New Roman" w:hAnsi="Times New Roman" w:eastAsia="仿宋_GB2312" w:cs="Times New Roman"/>
                <w:color w:val="auto"/>
                <w:kern w:val="0"/>
                <w:sz w:val="24"/>
                <w:szCs w:val="24"/>
                <w:highlight w:val="none"/>
              </w:rPr>
              <w:br w:type="textWrapping"/>
            </w:r>
            <w:r>
              <w:rPr>
                <w:rFonts w:ascii="Times New Roman" w:hAnsi="Times New Roman" w:eastAsia="仿宋_GB2312" w:cs="Times New Roman"/>
                <w:b/>
                <w:bCs/>
                <w:color w:val="auto"/>
                <w:kern w:val="0"/>
                <w:sz w:val="24"/>
                <w:szCs w:val="24"/>
                <w:highlight w:val="none"/>
              </w:rPr>
              <w:t>主要修订内容</w:t>
            </w:r>
            <w:r>
              <w:rPr>
                <w:rFonts w:ascii="Times New Roman" w:hAnsi="Times New Roman" w:eastAsia="仿宋_GB2312" w:cs="Times New Roman"/>
                <w:color w:val="auto"/>
                <w:kern w:val="0"/>
                <w:sz w:val="24"/>
                <w:szCs w:val="24"/>
                <w:highlight w:val="none"/>
              </w:rPr>
              <w:t>：1.更改“岩沥青的相关技术要求”中的不同地区天然沥青灰分最大值要求，将岩沥青、湖沥青按干法、湿法工艺提出相应技术要求，增加相关试验方法；2.增加“天然沥青改性沥青的技术要求”，更改软化点、黏度等技术指标，增加针入度、离析质量差、延度（25℃）等技术指标，并依据针入度进行分级</w:t>
            </w:r>
            <w:r>
              <w:rPr>
                <w:rFonts w:hint="eastAsia" w:ascii="Times New Roman" w:hAnsi="Times New Roman" w:eastAsia="仿宋_GB2312" w:cs="Times New Roman"/>
                <w:color w:val="auto"/>
                <w:kern w:val="0"/>
                <w:sz w:val="24"/>
                <w:szCs w:val="24"/>
                <w:highlight w:val="none"/>
              </w:rPr>
              <w:t>；</w:t>
            </w:r>
            <w:r>
              <w:rPr>
                <w:rFonts w:ascii="Times New Roman" w:hAnsi="Times New Roman" w:eastAsia="仿宋_GB2312" w:cs="Times New Roman"/>
                <w:color w:val="auto"/>
                <w:kern w:val="0"/>
                <w:sz w:val="24"/>
                <w:szCs w:val="24"/>
                <w:highlight w:val="none"/>
              </w:rPr>
              <w:t>3.增加“掺加天然沥青后改性沥青混合料的技术要求”，更改马歇尔稳定度、流值、残留稳定度、冻融劈裂强度比等指标要求，增加孔隙率、低温弯曲应变等指标及相关试验方法。</w:t>
            </w:r>
          </w:p>
        </w:tc>
        <w:tc>
          <w:tcPr>
            <w:tcW w:w="241" w:type="pct"/>
            <w:vAlign w:val="center"/>
          </w:tcPr>
          <w:p w14:paraId="428BA4D8">
            <w:pPr>
              <w:widowControl/>
              <w:jc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color w:val="auto"/>
                <w:kern w:val="0"/>
                <w:sz w:val="24"/>
                <w:szCs w:val="24"/>
                <w:highlight w:val="none"/>
              </w:rPr>
              <w:t>修订</w:t>
            </w:r>
          </w:p>
        </w:tc>
        <w:tc>
          <w:tcPr>
            <w:tcW w:w="467" w:type="pct"/>
            <w:vAlign w:val="center"/>
          </w:tcPr>
          <w:p w14:paraId="58C1FDBE">
            <w:pPr>
              <w:widowControl/>
              <w:jc w:val="center"/>
              <w:textAlignment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color w:val="auto"/>
                <w:kern w:val="0"/>
                <w:sz w:val="24"/>
                <w:szCs w:val="24"/>
                <w:highlight w:val="none"/>
              </w:rPr>
              <w:t>JT/T 860.5</w:t>
            </w:r>
            <w:r>
              <w:rPr>
                <w:rFonts w:ascii="Times New Roman" w:hAnsi="Times New Roman" w:eastAsia="仿宋_GB2312" w:cs="Times New Roman"/>
                <w:color w:val="auto"/>
                <w:sz w:val="24"/>
                <w:szCs w:val="24"/>
                <w:highlight w:val="none"/>
              </w:rPr>
              <w:t>-</w:t>
            </w:r>
            <w:r>
              <w:rPr>
                <w:rFonts w:ascii="Times New Roman" w:hAnsi="Times New Roman" w:eastAsia="仿宋_GB2312" w:cs="Times New Roman"/>
                <w:color w:val="auto"/>
                <w:kern w:val="0"/>
                <w:sz w:val="24"/>
                <w:szCs w:val="24"/>
                <w:highlight w:val="none"/>
              </w:rPr>
              <w:t>2014</w:t>
            </w:r>
          </w:p>
        </w:tc>
        <w:tc>
          <w:tcPr>
            <w:tcW w:w="311" w:type="pct"/>
            <w:shd w:val="clear" w:color="auto" w:fill="auto"/>
            <w:vAlign w:val="center"/>
          </w:tcPr>
          <w:p w14:paraId="3EEE6E61">
            <w:pPr>
              <w:widowControl/>
              <w:jc w:val="center"/>
              <w:textAlignment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color w:val="auto"/>
                <w:kern w:val="0"/>
                <w:sz w:val="24"/>
                <w:szCs w:val="24"/>
                <w:highlight w:val="none"/>
              </w:rPr>
              <w:t>12</w:t>
            </w:r>
          </w:p>
        </w:tc>
        <w:tc>
          <w:tcPr>
            <w:tcW w:w="409" w:type="pct"/>
            <w:shd w:val="clear" w:color="auto" w:fill="auto"/>
            <w:vAlign w:val="center"/>
          </w:tcPr>
          <w:p w14:paraId="29CA7594">
            <w:pPr>
              <w:widowControl/>
              <w:jc w:val="center"/>
              <w:textAlignment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交通工程标委会</w:t>
            </w:r>
          </w:p>
        </w:tc>
        <w:tc>
          <w:tcPr>
            <w:tcW w:w="1196" w:type="pct"/>
            <w:shd w:val="clear" w:color="auto" w:fill="auto"/>
            <w:vAlign w:val="center"/>
          </w:tcPr>
          <w:p w14:paraId="2E019D2B">
            <w:pPr>
              <w:widowControl/>
              <w:textAlignment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交通运输部公路科学研究所、中路高科（北京）公路技术有限公司</w:t>
            </w:r>
          </w:p>
        </w:tc>
      </w:tr>
      <w:tr w14:paraId="71D35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9" w:type="pct"/>
            <w:vAlign w:val="center"/>
          </w:tcPr>
          <w:p w14:paraId="37FD8F2F">
            <w:pPr>
              <w:pStyle w:val="11"/>
              <w:numPr>
                <w:ilvl w:val="0"/>
                <w:numId w:val="1"/>
              </w:numPr>
              <w:ind w:left="0" w:firstLine="0" w:firstLineChars="0"/>
              <w:jc w:val="center"/>
              <w:rPr>
                <w:rFonts w:ascii="Times New Roman" w:hAnsi="Times New Roman" w:eastAsia="仿宋_GB2312" w:cs="Times New Roman"/>
                <w:bCs/>
                <w:color w:val="auto"/>
                <w:sz w:val="24"/>
                <w:szCs w:val="24"/>
                <w:highlight w:val="none"/>
              </w:rPr>
            </w:pPr>
          </w:p>
        </w:tc>
        <w:tc>
          <w:tcPr>
            <w:tcW w:w="613" w:type="pct"/>
            <w:vAlign w:val="center"/>
          </w:tcPr>
          <w:p w14:paraId="1F056381">
            <w:pPr>
              <w:widowControl/>
              <w:jc w:val="left"/>
              <w:textAlignment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kern w:val="0"/>
                <w:sz w:val="24"/>
                <w:szCs w:val="24"/>
                <w:highlight w:val="none"/>
              </w:rPr>
              <w:t>手机信令数据应用于交通出行调查分析技术要求</w:t>
            </w:r>
          </w:p>
        </w:tc>
        <w:tc>
          <w:tcPr>
            <w:tcW w:w="1570" w:type="pct"/>
            <w:vAlign w:val="center"/>
          </w:tcPr>
          <w:p w14:paraId="4E0054C4">
            <w:pPr>
              <w:widowControl/>
              <w:textAlignment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kern w:val="0"/>
                <w:sz w:val="24"/>
                <w:szCs w:val="24"/>
                <w:highlight w:val="none"/>
              </w:rPr>
              <w:t>拟规定手机信令数据应用于交通出行调查分析的总体要求、数据接受要求、交通出行特征识别方法和交通出行分析指标和方法。</w:t>
            </w:r>
            <w:r>
              <w:rPr>
                <w:rFonts w:ascii="Times New Roman" w:hAnsi="Times New Roman" w:eastAsia="仿宋_GB2312" w:cs="Times New Roman"/>
                <w:color w:val="auto"/>
                <w:kern w:val="0"/>
                <w:sz w:val="24"/>
                <w:szCs w:val="24"/>
                <w:highlight w:val="none"/>
              </w:rPr>
              <w:br w:type="textWrapping"/>
            </w:r>
            <w:r>
              <w:rPr>
                <w:rFonts w:ascii="Times New Roman" w:hAnsi="Times New Roman" w:eastAsia="仿宋_GB2312" w:cs="Times New Roman"/>
                <w:color w:val="auto"/>
                <w:kern w:val="0"/>
                <w:sz w:val="24"/>
                <w:szCs w:val="24"/>
                <w:highlight w:val="none"/>
              </w:rPr>
              <w:t>适用于利用手机信令数据开展交通出行调查分析、交通设施服务分析以及交通出行领域其他需要应用手机信令数据的工作。</w:t>
            </w:r>
          </w:p>
        </w:tc>
        <w:tc>
          <w:tcPr>
            <w:tcW w:w="241" w:type="pct"/>
            <w:vAlign w:val="center"/>
          </w:tcPr>
          <w:p w14:paraId="302457BA">
            <w:pPr>
              <w:jc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bCs/>
                <w:color w:val="auto"/>
                <w:sz w:val="24"/>
                <w:szCs w:val="24"/>
                <w:highlight w:val="none"/>
              </w:rPr>
              <w:t>制定</w:t>
            </w:r>
          </w:p>
        </w:tc>
        <w:tc>
          <w:tcPr>
            <w:tcW w:w="467" w:type="pct"/>
            <w:vAlign w:val="center"/>
          </w:tcPr>
          <w:p w14:paraId="4D2E310E">
            <w:pPr>
              <w:widowControl/>
              <w:jc w:val="center"/>
              <w:textAlignment w:val="center"/>
              <w:rPr>
                <w:rFonts w:ascii="Times New Roman" w:hAnsi="Times New Roman" w:eastAsia="仿宋_GB2312" w:cs="Times New Roman"/>
                <w:bCs/>
                <w:color w:val="auto"/>
                <w:sz w:val="24"/>
                <w:szCs w:val="24"/>
                <w:highlight w:val="none"/>
              </w:rPr>
            </w:pPr>
          </w:p>
        </w:tc>
        <w:tc>
          <w:tcPr>
            <w:tcW w:w="311" w:type="pct"/>
            <w:shd w:val="clear" w:color="auto" w:fill="auto"/>
            <w:vAlign w:val="center"/>
          </w:tcPr>
          <w:p w14:paraId="40D24090">
            <w:pPr>
              <w:widowControl/>
              <w:jc w:val="center"/>
              <w:textAlignment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color w:val="auto"/>
                <w:kern w:val="0"/>
                <w:sz w:val="24"/>
                <w:szCs w:val="24"/>
                <w:highlight w:val="none"/>
              </w:rPr>
              <w:t>12</w:t>
            </w:r>
          </w:p>
        </w:tc>
        <w:tc>
          <w:tcPr>
            <w:tcW w:w="409" w:type="pct"/>
            <w:shd w:val="clear" w:color="auto" w:fill="auto"/>
            <w:vAlign w:val="center"/>
          </w:tcPr>
          <w:p w14:paraId="597B53EA">
            <w:pPr>
              <w:widowControl/>
              <w:jc w:val="center"/>
              <w:textAlignment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color w:val="auto"/>
                <w:kern w:val="0"/>
                <w:sz w:val="24"/>
                <w:szCs w:val="24"/>
                <w:highlight w:val="none"/>
              </w:rPr>
              <w:t>智能运输标委会</w:t>
            </w:r>
          </w:p>
        </w:tc>
        <w:tc>
          <w:tcPr>
            <w:tcW w:w="1196" w:type="pct"/>
            <w:shd w:val="clear" w:color="auto" w:fill="auto"/>
            <w:vAlign w:val="center"/>
          </w:tcPr>
          <w:p w14:paraId="58938A72">
            <w:pPr>
              <w:widowControl/>
              <w:textAlignment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kern w:val="0"/>
                <w:sz w:val="24"/>
                <w:szCs w:val="24"/>
                <w:highlight w:val="none"/>
              </w:rPr>
              <w:t>交通运输部规划研究院、中路高科交通科技集团有限公司、交通运输部公路科学研究所、智慧足迹数据科技有限公司、交通运输部科学研究院、北京交通大学</w:t>
            </w:r>
          </w:p>
        </w:tc>
      </w:tr>
      <w:tr w14:paraId="28470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9" w:type="pct"/>
            <w:vAlign w:val="center"/>
          </w:tcPr>
          <w:p w14:paraId="4C6E41DA">
            <w:pPr>
              <w:pStyle w:val="11"/>
              <w:numPr>
                <w:ilvl w:val="0"/>
                <w:numId w:val="1"/>
              </w:numPr>
              <w:ind w:left="0" w:firstLine="0" w:firstLineChars="0"/>
              <w:jc w:val="center"/>
              <w:rPr>
                <w:rFonts w:ascii="Times New Roman" w:hAnsi="Times New Roman" w:eastAsia="仿宋_GB2312" w:cs="Times New Roman"/>
                <w:bCs/>
                <w:color w:val="auto"/>
                <w:sz w:val="24"/>
                <w:szCs w:val="24"/>
                <w:highlight w:val="none"/>
              </w:rPr>
            </w:pPr>
          </w:p>
        </w:tc>
        <w:tc>
          <w:tcPr>
            <w:tcW w:w="613" w:type="pct"/>
            <w:vAlign w:val="center"/>
          </w:tcPr>
          <w:p w14:paraId="4889FF12">
            <w:pPr>
              <w:widowControl/>
              <w:jc w:val="left"/>
              <w:textAlignment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纯电动营运客车能量消耗量限值及测量方法</w:t>
            </w:r>
          </w:p>
        </w:tc>
        <w:tc>
          <w:tcPr>
            <w:tcW w:w="1570" w:type="pct"/>
            <w:vAlign w:val="center"/>
          </w:tcPr>
          <w:p w14:paraId="0B7F5994">
            <w:pPr>
              <w:widowControl/>
              <w:textAlignment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拟规定纯电动营运客车</w:t>
            </w:r>
            <w:r>
              <w:rPr>
                <w:rFonts w:hint="eastAsia" w:ascii="Times New Roman" w:hAnsi="Times New Roman" w:eastAsia="仿宋_GB2312" w:cs="Times New Roman"/>
                <w:color w:val="auto"/>
                <w:kern w:val="0"/>
                <w:sz w:val="24"/>
                <w:szCs w:val="24"/>
                <w:highlight w:val="none"/>
              </w:rPr>
              <w:t>的</w:t>
            </w:r>
            <w:r>
              <w:rPr>
                <w:rFonts w:ascii="Times New Roman" w:hAnsi="Times New Roman" w:eastAsia="仿宋_GB2312" w:cs="Times New Roman"/>
                <w:color w:val="auto"/>
                <w:kern w:val="0"/>
                <w:sz w:val="24"/>
                <w:szCs w:val="24"/>
                <w:highlight w:val="none"/>
              </w:rPr>
              <w:t>能量消耗量及测量方法。</w:t>
            </w:r>
            <w:r>
              <w:rPr>
                <w:rFonts w:ascii="Times New Roman" w:hAnsi="Times New Roman" w:eastAsia="仿宋_GB2312" w:cs="Times New Roman"/>
                <w:color w:val="auto"/>
                <w:kern w:val="0"/>
                <w:sz w:val="24"/>
                <w:szCs w:val="24"/>
                <w:highlight w:val="none"/>
              </w:rPr>
              <w:br w:type="textWrapping"/>
            </w:r>
            <w:r>
              <w:rPr>
                <w:rFonts w:ascii="Times New Roman" w:hAnsi="Times New Roman" w:eastAsia="仿宋_GB2312" w:cs="Times New Roman"/>
                <w:color w:val="auto"/>
                <w:kern w:val="0"/>
                <w:sz w:val="24"/>
                <w:szCs w:val="24"/>
                <w:highlight w:val="none"/>
              </w:rPr>
              <w:t>适用于纯电驱动的且最大总质量超过3500kg的营运客车能量消耗量的测评。</w:t>
            </w:r>
          </w:p>
        </w:tc>
        <w:tc>
          <w:tcPr>
            <w:tcW w:w="241" w:type="pct"/>
            <w:vAlign w:val="center"/>
          </w:tcPr>
          <w:p w14:paraId="24285ECF">
            <w:pPr>
              <w:jc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bCs/>
                <w:color w:val="auto"/>
                <w:sz w:val="24"/>
                <w:szCs w:val="24"/>
                <w:highlight w:val="none"/>
              </w:rPr>
              <w:t>制定</w:t>
            </w:r>
          </w:p>
        </w:tc>
        <w:tc>
          <w:tcPr>
            <w:tcW w:w="467" w:type="pct"/>
            <w:vAlign w:val="center"/>
          </w:tcPr>
          <w:p w14:paraId="5B43DC07">
            <w:pPr>
              <w:widowControl/>
              <w:jc w:val="center"/>
              <w:textAlignment w:val="center"/>
              <w:rPr>
                <w:rFonts w:ascii="Times New Roman" w:hAnsi="Times New Roman" w:eastAsia="仿宋_GB2312" w:cs="Times New Roman"/>
                <w:bCs/>
                <w:color w:val="auto"/>
                <w:sz w:val="24"/>
                <w:szCs w:val="24"/>
                <w:highlight w:val="none"/>
              </w:rPr>
            </w:pPr>
          </w:p>
        </w:tc>
        <w:tc>
          <w:tcPr>
            <w:tcW w:w="311" w:type="pct"/>
            <w:shd w:val="clear" w:color="auto" w:fill="auto"/>
            <w:vAlign w:val="center"/>
          </w:tcPr>
          <w:p w14:paraId="56455DFF">
            <w:pPr>
              <w:widowControl/>
              <w:jc w:val="center"/>
              <w:textAlignment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color w:val="auto"/>
                <w:kern w:val="0"/>
                <w:sz w:val="24"/>
                <w:szCs w:val="24"/>
                <w:highlight w:val="none"/>
              </w:rPr>
              <w:t>12</w:t>
            </w:r>
          </w:p>
        </w:tc>
        <w:tc>
          <w:tcPr>
            <w:tcW w:w="409" w:type="pct"/>
            <w:shd w:val="clear" w:color="auto" w:fill="auto"/>
            <w:vAlign w:val="center"/>
          </w:tcPr>
          <w:p w14:paraId="27D3CB2D">
            <w:pPr>
              <w:widowControl/>
              <w:jc w:val="center"/>
              <w:textAlignment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道路运输标委会</w:t>
            </w:r>
          </w:p>
        </w:tc>
        <w:tc>
          <w:tcPr>
            <w:tcW w:w="1196" w:type="pct"/>
            <w:shd w:val="clear" w:color="auto" w:fill="auto"/>
            <w:vAlign w:val="center"/>
          </w:tcPr>
          <w:p w14:paraId="1EE2FCB0">
            <w:pPr>
              <w:widowControl/>
              <w:textAlignment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交通运输部公路科学研究所</w:t>
            </w:r>
            <w:r>
              <w:rPr>
                <w:rFonts w:hint="eastAsia" w:ascii="Times New Roman" w:hAnsi="Times New Roman" w:eastAsia="仿宋_GB2312" w:cs="Times New Roman"/>
                <w:color w:val="auto"/>
                <w:kern w:val="0"/>
                <w:sz w:val="24"/>
                <w:szCs w:val="24"/>
                <w:highlight w:val="none"/>
              </w:rPr>
              <w:t>、时代骐骥新能源科技（深圳）有限公司</w:t>
            </w:r>
          </w:p>
        </w:tc>
      </w:tr>
      <w:tr w14:paraId="3D7DA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9" w:type="pct"/>
            <w:vAlign w:val="center"/>
          </w:tcPr>
          <w:p w14:paraId="0632B5E8">
            <w:pPr>
              <w:pStyle w:val="11"/>
              <w:numPr>
                <w:ilvl w:val="0"/>
                <w:numId w:val="1"/>
              </w:numPr>
              <w:ind w:left="0" w:firstLine="0" w:firstLineChars="0"/>
              <w:jc w:val="center"/>
              <w:rPr>
                <w:rFonts w:ascii="Times New Roman" w:hAnsi="Times New Roman" w:eastAsia="仿宋_GB2312" w:cs="Times New Roman"/>
                <w:bCs/>
                <w:color w:val="auto"/>
                <w:sz w:val="24"/>
                <w:szCs w:val="24"/>
                <w:highlight w:val="none"/>
              </w:rPr>
            </w:pPr>
          </w:p>
        </w:tc>
        <w:tc>
          <w:tcPr>
            <w:tcW w:w="613" w:type="pct"/>
            <w:vAlign w:val="center"/>
          </w:tcPr>
          <w:p w14:paraId="51AEC551">
            <w:pPr>
              <w:widowControl/>
              <w:jc w:val="left"/>
              <w:textAlignment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kern w:val="0"/>
                <w:sz w:val="24"/>
                <w:szCs w:val="24"/>
                <w:highlight w:val="none"/>
              </w:rPr>
              <w:t>纯电动营运货车能量消耗量限值及测量方法</w:t>
            </w:r>
          </w:p>
        </w:tc>
        <w:tc>
          <w:tcPr>
            <w:tcW w:w="1570" w:type="pct"/>
            <w:vAlign w:val="center"/>
          </w:tcPr>
          <w:p w14:paraId="44FCB88E">
            <w:pPr>
              <w:widowControl/>
              <w:textAlignment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kern w:val="0"/>
                <w:sz w:val="24"/>
                <w:szCs w:val="24"/>
                <w:highlight w:val="none"/>
              </w:rPr>
              <w:t>拟规定营运纯电动货车</w:t>
            </w:r>
            <w:r>
              <w:rPr>
                <w:rFonts w:hint="eastAsia" w:ascii="Times New Roman" w:hAnsi="Times New Roman" w:eastAsia="仿宋_GB2312" w:cs="Times New Roman"/>
                <w:color w:val="auto"/>
                <w:kern w:val="0"/>
                <w:sz w:val="24"/>
                <w:szCs w:val="24"/>
                <w:highlight w:val="none"/>
              </w:rPr>
              <w:t>的</w:t>
            </w:r>
            <w:r>
              <w:rPr>
                <w:rFonts w:ascii="Times New Roman" w:hAnsi="Times New Roman" w:eastAsia="仿宋_GB2312" w:cs="Times New Roman"/>
                <w:color w:val="auto"/>
                <w:kern w:val="0"/>
                <w:sz w:val="24"/>
                <w:szCs w:val="24"/>
                <w:highlight w:val="none"/>
              </w:rPr>
              <w:t>能量消耗量限值及测量方法。</w:t>
            </w:r>
            <w:r>
              <w:rPr>
                <w:rFonts w:ascii="Times New Roman" w:hAnsi="Times New Roman" w:eastAsia="仿宋_GB2312" w:cs="Times New Roman"/>
                <w:color w:val="auto"/>
                <w:kern w:val="0"/>
                <w:sz w:val="24"/>
                <w:szCs w:val="24"/>
                <w:highlight w:val="none"/>
              </w:rPr>
              <w:br w:type="textWrapping"/>
            </w:r>
            <w:r>
              <w:rPr>
                <w:rFonts w:ascii="Times New Roman" w:hAnsi="Times New Roman" w:eastAsia="仿宋_GB2312" w:cs="Times New Roman"/>
                <w:color w:val="auto"/>
                <w:kern w:val="0"/>
                <w:sz w:val="24"/>
                <w:szCs w:val="24"/>
                <w:highlight w:val="none"/>
              </w:rPr>
              <w:t>适用于纯电驱动且最大总质量为3500kg～49000kg的营运纯电动货运车辆能量消耗量的测评。</w:t>
            </w:r>
          </w:p>
        </w:tc>
        <w:tc>
          <w:tcPr>
            <w:tcW w:w="241" w:type="pct"/>
            <w:vAlign w:val="center"/>
          </w:tcPr>
          <w:p w14:paraId="248B6EA6">
            <w:pPr>
              <w:jc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bCs/>
                <w:color w:val="auto"/>
                <w:sz w:val="24"/>
                <w:szCs w:val="24"/>
                <w:highlight w:val="none"/>
              </w:rPr>
              <w:t>制定</w:t>
            </w:r>
          </w:p>
        </w:tc>
        <w:tc>
          <w:tcPr>
            <w:tcW w:w="467" w:type="pct"/>
            <w:vAlign w:val="center"/>
          </w:tcPr>
          <w:p w14:paraId="5521D0C5">
            <w:pPr>
              <w:widowControl/>
              <w:jc w:val="center"/>
              <w:textAlignment w:val="center"/>
              <w:rPr>
                <w:rFonts w:ascii="Times New Roman" w:hAnsi="Times New Roman" w:eastAsia="仿宋_GB2312" w:cs="Times New Roman"/>
                <w:bCs/>
                <w:color w:val="auto"/>
                <w:sz w:val="24"/>
                <w:szCs w:val="24"/>
                <w:highlight w:val="none"/>
              </w:rPr>
            </w:pPr>
          </w:p>
        </w:tc>
        <w:tc>
          <w:tcPr>
            <w:tcW w:w="311" w:type="pct"/>
            <w:shd w:val="clear" w:color="auto" w:fill="auto"/>
            <w:vAlign w:val="center"/>
          </w:tcPr>
          <w:p w14:paraId="66DBDEB9">
            <w:pPr>
              <w:widowControl/>
              <w:jc w:val="center"/>
              <w:textAlignment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color w:val="auto"/>
                <w:kern w:val="0"/>
                <w:sz w:val="24"/>
                <w:szCs w:val="24"/>
                <w:highlight w:val="none"/>
              </w:rPr>
              <w:t>12</w:t>
            </w:r>
          </w:p>
        </w:tc>
        <w:tc>
          <w:tcPr>
            <w:tcW w:w="409" w:type="pct"/>
            <w:shd w:val="clear" w:color="auto" w:fill="auto"/>
            <w:vAlign w:val="center"/>
          </w:tcPr>
          <w:p w14:paraId="40DE3442">
            <w:pPr>
              <w:widowControl/>
              <w:jc w:val="center"/>
              <w:textAlignment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color w:val="auto"/>
                <w:kern w:val="0"/>
                <w:sz w:val="24"/>
                <w:szCs w:val="24"/>
                <w:highlight w:val="none"/>
              </w:rPr>
              <w:t>道路运输标委会</w:t>
            </w:r>
          </w:p>
        </w:tc>
        <w:tc>
          <w:tcPr>
            <w:tcW w:w="1196" w:type="pct"/>
            <w:shd w:val="clear" w:color="auto" w:fill="auto"/>
            <w:vAlign w:val="center"/>
          </w:tcPr>
          <w:p w14:paraId="09B03794">
            <w:pPr>
              <w:widowControl/>
              <w:textAlignment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kern w:val="0"/>
                <w:sz w:val="24"/>
                <w:szCs w:val="24"/>
                <w:highlight w:val="none"/>
              </w:rPr>
              <w:t>交通运输部公路科学研究所</w:t>
            </w:r>
            <w:r>
              <w:rPr>
                <w:rFonts w:hint="eastAsia" w:ascii="Times New Roman" w:hAnsi="Times New Roman" w:eastAsia="仿宋_GB2312" w:cs="Times New Roman"/>
                <w:color w:val="auto"/>
                <w:kern w:val="0"/>
                <w:sz w:val="24"/>
                <w:szCs w:val="24"/>
                <w:highlight w:val="none"/>
              </w:rPr>
              <w:t>、时代骐骥新能源科技（深圳）有限公司</w:t>
            </w:r>
          </w:p>
        </w:tc>
      </w:tr>
      <w:tr w14:paraId="776C0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9" w:type="pct"/>
            <w:vAlign w:val="center"/>
          </w:tcPr>
          <w:p w14:paraId="5E2EBD3D">
            <w:pPr>
              <w:pStyle w:val="11"/>
              <w:numPr>
                <w:ilvl w:val="0"/>
                <w:numId w:val="1"/>
              </w:numPr>
              <w:ind w:left="0" w:firstLine="0" w:firstLineChars="0"/>
              <w:jc w:val="center"/>
              <w:rPr>
                <w:rFonts w:ascii="Times New Roman" w:hAnsi="Times New Roman" w:eastAsia="仿宋_GB2312" w:cs="Times New Roman"/>
                <w:bCs/>
                <w:color w:val="auto"/>
                <w:sz w:val="24"/>
                <w:szCs w:val="24"/>
                <w:highlight w:val="none"/>
              </w:rPr>
            </w:pPr>
          </w:p>
        </w:tc>
        <w:tc>
          <w:tcPr>
            <w:tcW w:w="613" w:type="pct"/>
            <w:vAlign w:val="center"/>
          </w:tcPr>
          <w:p w14:paraId="489547C7">
            <w:pPr>
              <w:widowControl/>
              <w:jc w:val="left"/>
              <w:textAlignment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kern w:val="0"/>
                <w:sz w:val="24"/>
                <w:szCs w:val="24"/>
                <w:highlight w:val="none"/>
              </w:rPr>
              <w:t>在用纯电动营运车辆动力电池健康度检测评估规范</w:t>
            </w:r>
          </w:p>
        </w:tc>
        <w:tc>
          <w:tcPr>
            <w:tcW w:w="1570" w:type="pct"/>
            <w:vAlign w:val="center"/>
          </w:tcPr>
          <w:p w14:paraId="367E6E2B">
            <w:pPr>
              <w:widowControl/>
              <w:textAlignment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kern w:val="0"/>
                <w:sz w:val="24"/>
                <w:szCs w:val="24"/>
                <w:highlight w:val="none"/>
              </w:rPr>
              <w:t>拟规定在用纯电动营运车辆动力电池健康度评估相关</w:t>
            </w:r>
            <w:r>
              <w:rPr>
                <w:rFonts w:hint="eastAsia" w:ascii="Times New Roman" w:hAnsi="Times New Roman" w:eastAsia="仿宋_GB2312" w:cs="Times New Roman"/>
                <w:color w:val="auto"/>
                <w:kern w:val="0"/>
                <w:sz w:val="24"/>
                <w:szCs w:val="24"/>
                <w:highlight w:val="none"/>
              </w:rPr>
              <w:t>技术指标要求、</w:t>
            </w:r>
            <w:r>
              <w:rPr>
                <w:rFonts w:ascii="Times New Roman" w:hAnsi="Times New Roman" w:eastAsia="仿宋_GB2312" w:cs="Times New Roman"/>
                <w:color w:val="auto"/>
                <w:kern w:val="0"/>
                <w:sz w:val="24"/>
                <w:szCs w:val="24"/>
                <w:highlight w:val="none"/>
              </w:rPr>
              <w:t>检验方式及评价方法等有关要求。</w:t>
            </w:r>
            <w:r>
              <w:rPr>
                <w:rFonts w:ascii="Times New Roman" w:hAnsi="Times New Roman" w:eastAsia="仿宋_GB2312" w:cs="Times New Roman"/>
                <w:color w:val="auto"/>
                <w:kern w:val="0"/>
                <w:sz w:val="24"/>
                <w:szCs w:val="24"/>
                <w:highlight w:val="none"/>
              </w:rPr>
              <w:br w:type="textWrapping"/>
            </w:r>
            <w:r>
              <w:rPr>
                <w:rFonts w:ascii="Times New Roman" w:hAnsi="Times New Roman" w:eastAsia="仿宋_GB2312" w:cs="Times New Roman"/>
                <w:color w:val="auto"/>
                <w:kern w:val="0"/>
                <w:sz w:val="24"/>
                <w:szCs w:val="24"/>
                <w:highlight w:val="none"/>
              </w:rPr>
              <w:t>适用于在用纯电动营运车辆动力电池以及换电动力电池健康度检测评估。</w:t>
            </w:r>
          </w:p>
        </w:tc>
        <w:tc>
          <w:tcPr>
            <w:tcW w:w="241" w:type="pct"/>
            <w:vAlign w:val="center"/>
          </w:tcPr>
          <w:p w14:paraId="14A8EC9A">
            <w:pPr>
              <w:jc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bCs/>
                <w:color w:val="auto"/>
                <w:sz w:val="24"/>
                <w:szCs w:val="24"/>
                <w:highlight w:val="none"/>
              </w:rPr>
              <w:t>制定</w:t>
            </w:r>
          </w:p>
        </w:tc>
        <w:tc>
          <w:tcPr>
            <w:tcW w:w="467" w:type="pct"/>
            <w:vAlign w:val="center"/>
          </w:tcPr>
          <w:p w14:paraId="6EC26BC4">
            <w:pPr>
              <w:widowControl/>
              <w:jc w:val="center"/>
              <w:textAlignment w:val="center"/>
              <w:rPr>
                <w:rFonts w:ascii="Times New Roman" w:hAnsi="Times New Roman" w:eastAsia="仿宋_GB2312" w:cs="Times New Roman"/>
                <w:bCs/>
                <w:color w:val="auto"/>
                <w:sz w:val="24"/>
                <w:szCs w:val="24"/>
                <w:highlight w:val="none"/>
              </w:rPr>
            </w:pPr>
          </w:p>
        </w:tc>
        <w:tc>
          <w:tcPr>
            <w:tcW w:w="311" w:type="pct"/>
            <w:shd w:val="clear" w:color="auto" w:fill="auto"/>
            <w:vAlign w:val="center"/>
          </w:tcPr>
          <w:p w14:paraId="6BC66943">
            <w:pPr>
              <w:widowControl/>
              <w:jc w:val="center"/>
              <w:textAlignment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color w:val="auto"/>
                <w:kern w:val="0"/>
                <w:sz w:val="24"/>
                <w:szCs w:val="24"/>
                <w:highlight w:val="none"/>
              </w:rPr>
              <w:t>12</w:t>
            </w:r>
          </w:p>
        </w:tc>
        <w:tc>
          <w:tcPr>
            <w:tcW w:w="409" w:type="pct"/>
            <w:shd w:val="clear" w:color="auto" w:fill="auto"/>
            <w:vAlign w:val="center"/>
          </w:tcPr>
          <w:p w14:paraId="177B2217">
            <w:pPr>
              <w:widowControl/>
              <w:jc w:val="center"/>
              <w:textAlignment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color w:val="auto"/>
                <w:kern w:val="0"/>
                <w:sz w:val="24"/>
                <w:szCs w:val="24"/>
                <w:highlight w:val="none"/>
              </w:rPr>
              <w:t>道路运输标委会</w:t>
            </w:r>
          </w:p>
        </w:tc>
        <w:tc>
          <w:tcPr>
            <w:tcW w:w="1196" w:type="pct"/>
            <w:shd w:val="clear" w:color="auto" w:fill="auto"/>
            <w:vAlign w:val="center"/>
          </w:tcPr>
          <w:p w14:paraId="063EE260">
            <w:pPr>
              <w:widowControl/>
              <w:textAlignment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交通运输部公路科学研究所</w:t>
            </w:r>
            <w:r>
              <w:rPr>
                <w:rFonts w:hint="eastAsia" w:ascii="Times New Roman" w:hAnsi="Times New Roman" w:eastAsia="仿宋_GB2312" w:cs="Times New Roman"/>
                <w:color w:val="auto"/>
                <w:kern w:val="0"/>
                <w:sz w:val="24"/>
                <w:szCs w:val="24"/>
                <w:highlight w:val="none"/>
              </w:rPr>
              <w:t>、南京感动科技有限公司</w:t>
            </w:r>
          </w:p>
        </w:tc>
      </w:tr>
      <w:tr w14:paraId="47250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9" w:type="pct"/>
            <w:vAlign w:val="center"/>
          </w:tcPr>
          <w:p w14:paraId="584772F7">
            <w:pPr>
              <w:pStyle w:val="11"/>
              <w:numPr>
                <w:ilvl w:val="0"/>
                <w:numId w:val="1"/>
              </w:numPr>
              <w:ind w:left="0" w:firstLine="0" w:firstLineChars="0"/>
              <w:jc w:val="center"/>
              <w:rPr>
                <w:rFonts w:ascii="Times New Roman" w:hAnsi="Times New Roman" w:eastAsia="仿宋_GB2312" w:cs="Times New Roman"/>
                <w:bCs/>
                <w:color w:val="auto"/>
                <w:sz w:val="24"/>
                <w:szCs w:val="24"/>
                <w:highlight w:val="none"/>
              </w:rPr>
            </w:pPr>
          </w:p>
        </w:tc>
        <w:tc>
          <w:tcPr>
            <w:tcW w:w="613" w:type="pct"/>
            <w:vAlign w:val="center"/>
          </w:tcPr>
          <w:p w14:paraId="28287E99">
            <w:pPr>
              <w:widowControl/>
              <w:jc w:val="left"/>
              <w:textAlignment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kern w:val="0"/>
                <w:sz w:val="24"/>
                <w:szCs w:val="24"/>
                <w:highlight w:val="none"/>
              </w:rPr>
              <w:t>互联网道路货运平台信息交互技术要求</w:t>
            </w:r>
          </w:p>
        </w:tc>
        <w:tc>
          <w:tcPr>
            <w:tcW w:w="1570" w:type="pct"/>
            <w:vAlign w:val="center"/>
          </w:tcPr>
          <w:p w14:paraId="687CC292">
            <w:pPr>
              <w:widowControl/>
              <w:textAlignment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拟规定互联网道路货运平台信息交互基本要求</w:t>
            </w:r>
            <w:r>
              <w:rPr>
                <w:rFonts w:hint="eastAsia" w:ascii="Times New Roman" w:hAnsi="Times New Roman" w:eastAsia="仿宋_GB2312" w:cs="Times New Roman"/>
                <w:color w:val="auto"/>
                <w:kern w:val="0"/>
                <w:sz w:val="24"/>
                <w:szCs w:val="24"/>
                <w:highlight w:val="none"/>
              </w:rPr>
              <w:t>，</w:t>
            </w:r>
            <w:r>
              <w:rPr>
                <w:rFonts w:ascii="Times New Roman" w:hAnsi="Times New Roman" w:eastAsia="仿宋_GB2312" w:cs="Times New Roman"/>
                <w:color w:val="auto"/>
                <w:kern w:val="0"/>
                <w:sz w:val="24"/>
                <w:szCs w:val="24"/>
                <w:highlight w:val="none"/>
              </w:rPr>
              <w:t>信息交互系统、信息交互接口、网络安全等</w:t>
            </w:r>
            <w:r>
              <w:rPr>
                <w:rFonts w:hint="eastAsia" w:ascii="Times New Roman" w:hAnsi="Times New Roman" w:eastAsia="仿宋_GB2312" w:cs="Times New Roman"/>
                <w:color w:val="auto"/>
                <w:kern w:val="0"/>
                <w:sz w:val="24"/>
                <w:szCs w:val="24"/>
                <w:highlight w:val="none"/>
              </w:rPr>
              <w:t>要求</w:t>
            </w:r>
            <w:r>
              <w:rPr>
                <w:rFonts w:ascii="Times New Roman" w:hAnsi="Times New Roman" w:eastAsia="仿宋_GB2312" w:cs="Times New Roman"/>
                <w:color w:val="auto"/>
                <w:kern w:val="0"/>
                <w:sz w:val="24"/>
                <w:szCs w:val="24"/>
                <w:highlight w:val="none"/>
              </w:rPr>
              <w:t>。</w:t>
            </w:r>
          </w:p>
          <w:p w14:paraId="2732E795">
            <w:pPr>
              <w:widowControl/>
              <w:textAlignment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kern w:val="0"/>
                <w:sz w:val="24"/>
                <w:szCs w:val="24"/>
                <w:highlight w:val="none"/>
              </w:rPr>
              <w:t>适用于互联网道路货运平台与相关方之间的电子信息交互业务。</w:t>
            </w:r>
          </w:p>
        </w:tc>
        <w:tc>
          <w:tcPr>
            <w:tcW w:w="241" w:type="pct"/>
            <w:vAlign w:val="center"/>
          </w:tcPr>
          <w:p w14:paraId="3DE39A1C">
            <w:pPr>
              <w:jc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bCs/>
                <w:color w:val="auto"/>
                <w:sz w:val="24"/>
                <w:szCs w:val="24"/>
                <w:highlight w:val="none"/>
              </w:rPr>
              <w:t>制定</w:t>
            </w:r>
          </w:p>
        </w:tc>
        <w:tc>
          <w:tcPr>
            <w:tcW w:w="467" w:type="pct"/>
            <w:vAlign w:val="center"/>
          </w:tcPr>
          <w:p w14:paraId="3C731FBD">
            <w:pPr>
              <w:widowControl/>
              <w:jc w:val="center"/>
              <w:textAlignment w:val="center"/>
              <w:rPr>
                <w:rFonts w:ascii="Times New Roman" w:hAnsi="Times New Roman" w:eastAsia="仿宋_GB2312" w:cs="Times New Roman"/>
                <w:bCs/>
                <w:color w:val="auto"/>
                <w:sz w:val="24"/>
                <w:szCs w:val="24"/>
                <w:highlight w:val="none"/>
              </w:rPr>
            </w:pPr>
          </w:p>
        </w:tc>
        <w:tc>
          <w:tcPr>
            <w:tcW w:w="311" w:type="pct"/>
            <w:shd w:val="clear" w:color="auto" w:fill="auto"/>
            <w:vAlign w:val="center"/>
          </w:tcPr>
          <w:p w14:paraId="1E5AA5FD">
            <w:pPr>
              <w:widowControl/>
              <w:jc w:val="center"/>
              <w:textAlignment w:val="center"/>
              <w:rPr>
                <w:rFonts w:ascii="Times New Roman" w:hAnsi="Times New Roman" w:eastAsia="仿宋_GB2312" w:cs="Times New Roman"/>
                <w:bCs/>
                <w:color w:val="auto"/>
                <w:sz w:val="24"/>
                <w:szCs w:val="24"/>
                <w:highlight w:val="none"/>
              </w:rPr>
            </w:pPr>
            <w:r>
              <w:rPr>
                <w:rFonts w:hint="eastAsia" w:ascii="Times New Roman" w:hAnsi="Times New Roman" w:eastAsia="仿宋_GB2312" w:cs="Times New Roman"/>
                <w:color w:val="auto"/>
                <w:kern w:val="0"/>
                <w:sz w:val="24"/>
                <w:szCs w:val="24"/>
                <w:highlight w:val="none"/>
              </w:rPr>
              <w:t>12</w:t>
            </w:r>
          </w:p>
        </w:tc>
        <w:tc>
          <w:tcPr>
            <w:tcW w:w="409" w:type="pct"/>
            <w:shd w:val="clear" w:color="auto" w:fill="auto"/>
            <w:vAlign w:val="center"/>
          </w:tcPr>
          <w:p w14:paraId="0BD5FFE5">
            <w:pPr>
              <w:widowControl/>
              <w:jc w:val="center"/>
              <w:textAlignment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color w:val="auto"/>
                <w:kern w:val="0"/>
                <w:sz w:val="24"/>
                <w:szCs w:val="24"/>
                <w:highlight w:val="none"/>
              </w:rPr>
              <w:t>道路运输标委会</w:t>
            </w:r>
          </w:p>
        </w:tc>
        <w:tc>
          <w:tcPr>
            <w:tcW w:w="1196" w:type="pct"/>
            <w:shd w:val="clear" w:color="auto" w:fill="auto"/>
            <w:vAlign w:val="center"/>
          </w:tcPr>
          <w:p w14:paraId="3D891A6F">
            <w:pPr>
              <w:widowControl/>
              <w:jc w:val="left"/>
              <w:textAlignment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交通运输部科学研究院</w:t>
            </w:r>
            <w:r>
              <w:rPr>
                <w:rFonts w:hint="eastAsia" w:ascii="Times New Roman" w:hAnsi="Times New Roman" w:eastAsia="仿宋_GB2312" w:cs="Times New Roman"/>
                <w:color w:val="auto"/>
                <w:kern w:val="0"/>
                <w:sz w:val="24"/>
                <w:szCs w:val="24"/>
                <w:highlight w:val="none"/>
              </w:rPr>
              <w:t>、交科院科技集团有限公司、山东高速物流集团有限公合、天津东疆综合保税区管委会、山西贵恩博信息科技有限公司</w:t>
            </w:r>
          </w:p>
        </w:tc>
      </w:tr>
      <w:tr w14:paraId="347F3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9" w:type="pct"/>
            <w:vAlign w:val="center"/>
          </w:tcPr>
          <w:p w14:paraId="0D1BA477">
            <w:pPr>
              <w:pStyle w:val="11"/>
              <w:numPr>
                <w:ilvl w:val="0"/>
                <w:numId w:val="1"/>
              </w:numPr>
              <w:ind w:left="0" w:firstLine="0" w:firstLineChars="0"/>
              <w:jc w:val="center"/>
              <w:rPr>
                <w:rFonts w:ascii="Times New Roman" w:hAnsi="Times New Roman" w:eastAsia="仿宋_GB2312" w:cs="Times New Roman"/>
                <w:bCs/>
                <w:color w:val="auto"/>
                <w:sz w:val="24"/>
                <w:szCs w:val="24"/>
                <w:highlight w:val="none"/>
              </w:rPr>
            </w:pPr>
          </w:p>
        </w:tc>
        <w:tc>
          <w:tcPr>
            <w:tcW w:w="613" w:type="pct"/>
            <w:vAlign w:val="center"/>
          </w:tcPr>
          <w:p w14:paraId="48B656BB">
            <w:pPr>
              <w:widowControl/>
              <w:jc w:val="left"/>
              <w:textAlignment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kern w:val="0"/>
                <w:sz w:val="24"/>
                <w:szCs w:val="24"/>
                <w:highlight w:val="none"/>
              </w:rPr>
              <w:t>网络货运平台技术要求</w:t>
            </w:r>
          </w:p>
        </w:tc>
        <w:tc>
          <w:tcPr>
            <w:tcW w:w="1570" w:type="pct"/>
            <w:vAlign w:val="center"/>
          </w:tcPr>
          <w:p w14:paraId="39154E70">
            <w:pPr>
              <w:widowControl/>
              <w:textAlignment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拟规定网络货运平台功能要求，包括信息登记、信息发布、组织调度、合同管理、在途管理、装卸货确认、运费结算、在线评价、咨询投诉、查询统计、数据调度等服务功能，驾驶员培训、到期提醒、危险货物品名识别、在途预警、数据上传功能等安全功能；网络货运平台性能</w:t>
            </w:r>
            <w:r>
              <w:rPr>
                <w:rFonts w:hint="eastAsia" w:ascii="Times New Roman" w:hAnsi="Times New Roman" w:eastAsia="仿宋_GB2312" w:cs="Times New Roman"/>
                <w:color w:val="auto"/>
                <w:kern w:val="0"/>
                <w:sz w:val="24"/>
                <w:szCs w:val="24"/>
                <w:highlight w:val="none"/>
              </w:rPr>
              <w:t>要求</w:t>
            </w:r>
            <w:r>
              <w:rPr>
                <w:rFonts w:ascii="Times New Roman" w:hAnsi="Times New Roman" w:eastAsia="仿宋_GB2312" w:cs="Times New Roman"/>
                <w:color w:val="auto"/>
                <w:kern w:val="0"/>
                <w:sz w:val="24"/>
                <w:szCs w:val="24"/>
                <w:highlight w:val="none"/>
              </w:rPr>
              <w:t>，包括系统运行、平台响应时间、数据存储和备份、安全要求等。</w:t>
            </w:r>
          </w:p>
          <w:p w14:paraId="6098BA2B">
            <w:pPr>
              <w:widowControl/>
              <w:textAlignment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kern w:val="0"/>
                <w:sz w:val="24"/>
                <w:szCs w:val="24"/>
                <w:highlight w:val="none"/>
              </w:rPr>
              <w:t>适用于网络货运经营者开发建设</w:t>
            </w:r>
            <w:r>
              <w:rPr>
                <w:rFonts w:hint="eastAsia" w:ascii="Times New Roman" w:hAnsi="Times New Roman" w:eastAsia="仿宋_GB2312" w:cs="Times New Roman"/>
                <w:color w:val="auto"/>
                <w:kern w:val="0"/>
                <w:sz w:val="24"/>
                <w:szCs w:val="24"/>
                <w:highlight w:val="none"/>
              </w:rPr>
              <w:t>，</w:t>
            </w:r>
            <w:r>
              <w:rPr>
                <w:rFonts w:ascii="Times New Roman" w:hAnsi="Times New Roman" w:eastAsia="仿宋_GB2312" w:cs="Times New Roman"/>
                <w:color w:val="auto"/>
                <w:kern w:val="0"/>
                <w:sz w:val="24"/>
                <w:szCs w:val="24"/>
                <w:highlight w:val="none"/>
              </w:rPr>
              <w:t>互联网平台参照使用。</w:t>
            </w:r>
          </w:p>
        </w:tc>
        <w:tc>
          <w:tcPr>
            <w:tcW w:w="241" w:type="pct"/>
            <w:vAlign w:val="center"/>
          </w:tcPr>
          <w:p w14:paraId="29017016">
            <w:pPr>
              <w:jc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bCs/>
                <w:color w:val="auto"/>
                <w:sz w:val="24"/>
                <w:szCs w:val="24"/>
                <w:highlight w:val="none"/>
              </w:rPr>
              <w:t>制定</w:t>
            </w:r>
          </w:p>
        </w:tc>
        <w:tc>
          <w:tcPr>
            <w:tcW w:w="467" w:type="pct"/>
            <w:vAlign w:val="center"/>
          </w:tcPr>
          <w:p w14:paraId="58B82816">
            <w:pPr>
              <w:widowControl/>
              <w:jc w:val="center"/>
              <w:textAlignment w:val="center"/>
              <w:rPr>
                <w:rFonts w:ascii="Times New Roman" w:hAnsi="Times New Roman" w:eastAsia="仿宋_GB2312" w:cs="Times New Roman"/>
                <w:bCs/>
                <w:color w:val="auto"/>
                <w:sz w:val="24"/>
                <w:szCs w:val="24"/>
                <w:highlight w:val="none"/>
              </w:rPr>
            </w:pPr>
          </w:p>
        </w:tc>
        <w:tc>
          <w:tcPr>
            <w:tcW w:w="311" w:type="pct"/>
            <w:shd w:val="clear" w:color="auto" w:fill="auto"/>
            <w:vAlign w:val="center"/>
          </w:tcPr>
          <w:p w14:paraId="3B64CA38">
            <w:pPr>
              <w:widowControl/>
              <w:jc w:val="center"/>
              <w:textAlignment w:val="center"/>
              <w:rPr>
                <w:rFonts w:ascii="Times New Roman" w:hAnsi="Times New Roman" w:eastAsia="仿宋_GB2312" w:cs="Times New Roman"/>
                <w:bCs/>
                <w:color w:val="auto"/>
                <w:sz w:val="24"/>
                <w:szCs w:val="24"/>
                <w:highlight w:val="none"/>
              </w:rPr>
            </w:pPr>
            <w:r>
              <w:rPr>
                <w:rFonts w:hint="eastAsia" w:ascii="Times New Roman" w:hAnsi="Times New Roman" w:eastAsia="仿宋_GB2312" w:cs="Times New Roman"/>
                <w:color w:val="auto"/>
                <w:kern w:val="0"/>
                <w:sz w:val="24"/>
                <w:szCs w:val="24"/>
                <w:highlight w:val="none"/>
              </w:rPr>
              <w:t>12</w:t>
            </w:r>
          </w:p>
        </w:tc>
        <w:tc>
          <w:tcPr>
            <w:tcW w:w="409" w:type="pct"/>
            <w:shd w:val="clear" w:color="auto" w:fill="auto"/>
            <w:vAlign w:val="center"/>
          </w:tcPr>
          <w:p w14:paraId="49FA6FC1">
            <w:pPr>
              <w:widowControl/>
              <w:jc w:val="center"/>
              <w:textAlignment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color w:val="auto"/>
                <w:kern w:val="0"/>
                <w:sz w:val="24"/>
                <w:szCs w:val="24"/>
                <w:highlight w:val="none"/>
              </w:rPr>
              <w:t>道路运输标委会</w:t>
            </w:r>
          </w:p>
        </w:tc>
        <w:tc>
          <w:tcPr>
            <w:tcW w:w="1196" w:type="pct"/>
            <w:shd w:val="clear" w:color="auto" w:fill="auto"/>
            <w:vAlign w:val="center"/>
          </w:tcPr>
          <w:p w14:paraId="3D53C189">
            <w:pPr>
              <w:widowControl/>
              <w:textAlignment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kern w:val="0"/>
                <w:sz w:val="24"/>
                <w:szCs w:val="24"/>
                <w:highlight w:val="none"/>
              </w:rPr>
              <w:t>交通运输部科学研究院、天津东疆综合保税区管理委员会、山西转型综合改革示范区管理委员会、山西贵恩博信息科技有限公司</w:t>
            </w:r>
          </w:p>
        </w:tc>
      </w:tr>
      <w:tr w14:paraId="12D22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9" w:hRule="atLeast"/>
        </w:trPr>
        <w:tc>
          <w:tcPr>
            <w:tcW w:w="189" w:type="pct"/>
            <w:vAlign w:val="center"/>
          </w:tcPr>
          <w:p w14:paraId="2C67BDA1">
            <w:pPr>
              <w:pStyle w:val="11"/>
              <w:numPr>
                <w:ilvl w:val="0"/>
                <w:numId w:val="1"/>
              </w:numPr>
              <w:ind w:left="0" w:firstLine="0" w:firstLineChars="0"/>
              <w:jc w:val="center"/>
              <w:rPr>
                <w:rFonts w:ascii="Times New Roman" w:hAnsi="Times New Roman" w:eastAsia="仿宋_GB2312" w:cs="Times New Roman"/>
                <w:bCs/>
                <w:color w:val="auto"/>
                <w:sz w:val="24"/>
                <w:szCs w:val="24"/>
                <w:highlight w:val="none"/>
              </w:rPr>
            </w:pPr>
          </w:p>
        </w:tc>
        <w:tc>
          <w:tcPr>
            <w:tcW w:w="613" w:type="pct"/>
            <w:vAlign w:val="center"/>
          </w:tcPr>
          <w:p w14:paraId="07236168">
            <w:pPr>
              <w:widowControl/>
              <w:jc w:val="left"/>
              <w:textAlignment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kern w:val="0"/>
                <w:sz w:val="24"/>
                <w:szCs w:val="24"/>
                <w:highlight w:val="none"/>
              </w:rPr>
              <w:t>汽车客运站级别划分和建设要求</w:t>
            </w:r>
          </w:p>
        </w:tc>
        <w:tc>
          <w:tcPr>
            <w:tcW w:w="1570" w:type="pct"/>
            <w:vAlign w:val="center"/>
          </w:tcPr>
          <w:p w14:paraId="60639FDF">
            <w:pPr>
              <w:widowControl/>
              <w:textAlignment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kern w:val="0"/>
                <w:sz w:val="24"/>
                <w:szCs w:val="24"/>
                <w:highlight w:val="none"/>
              </w:rPr>
              <w:t>现行标准规定了汽车客运站类别、级别划分、等级车站站址选择、建设以及站级验收等要求。适用于新建、改建与扩建汽车客运站的规划、设计、建设和站级验收。</w:t>
            </w:r>
            <w:r>
              <w:rPr>
                <w:rFonts w:ascii="Times New Roman" w:hAnsi="Times New Roman" w:eastAsia="仿宋_GB2312" w:cs="Times New Roman"/>
                <w:color w:val="auto"/>
                <w:kern w:val="0"/>
                <w:sz w:val="24"/>
                <w:szCs w:val="24"/>
                <w:highlight w:val="none"/>
              </w:rPr>
              <w:br w:type="textWrapping"/>
            </w:r>
            <w:r>
              <w:rPr>
                <w:rFonts w:ascii="Times New Roman" w:hAnsi="Times New Roman" w:eastAsia="仿宋_GB2312" w:cs="Times New Roman"/>
                <w:b/>
                <w:bCs/>
                <w:color w:val="auto"/>
                <w:kern w:val="0"/>
                <w:sz w:val="24"/>
                <w:szCs w:val="24"/>
                <w:highlight w:val="none"/>
              </w:rPr>
              <w:t>主要修订内容：</w:t>
            </w:r>
            <w:r>
              <w:rPr>
                <w:rFonts w:ascii="Times New Roman" w:hAnsi="Times New Roman" w:eastAsia="仿宋_GB2312" w:cs="Times New Roman"/>
                <w:color w:val="auto"/>
                <w:kern w:val="0"/>
                <w:sz w:val="24"/>
                <w:szCs w:val="24"/>
                <w:highlight w:val="none"/>
              </w:rPr>
              <w:t>1.客运站类别方面，增加停靠点，完善便捷站点体系；2.级别划分方面，降低等级车站级别划分参数值，增加便捷站点（含停靠点）级别划分要求；3.站址选择方面，增加便捷站点的站址选择要求；4.建设要求方面，增加便捷站点的设施配置和设备配置要求；5.修改附录的车站生产规模指标量化方法和设施规模指标量化参数。</w:t>
            </w:r>
          </w:p>
        </w:tc>
        <w:tc>
          <w:tcPr>
            <w:tcW w:w="241" w:type="pct"/>
            <w:vAlign w:val="center"/>
          </w:tcPr>
          <w:p w14:paraId="33AE282C">
            <w:pPr>
              <w:jc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修订</w:t>
            </w:r>
          </w:p>
        </w:tc>
        <w:tc>
          <w:tcPr>
            <w:tcW w:w="467" w:type="pct"/>
            <w:vAlign w:val="center"/>
          </w:tcPr>
          <w:p w14:paraId="12D288FF">
            <w:pPr>
              <w:widowControl/>
              <w:jc w:val="center"/>
              <w:textAlignment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color w:val="auto"/>
                <w:kern w:val="0"/>
                <w:sz w:val="24"/>
                <w:szCs w:val="24"/>
                <w:highlight w:val="none"/>
              </w:rPr>
              <w:t>JT/T 200-2020</w:t>
            </w:r>
          </w:p>
        </w:tc>
        <w:tc>
          <w:tcPr>
            <w:tcW w:w="311" w:type="pct"/>
            <w:shd w:val="clear" w:color="auto" w:fill="auto"/>
            <w:vAlign w:val="center"/>
          </w:tcPr>
          <w:p w14:paraId="5E143F98">
            <w:pPr>
              <w:widowControl/>
              <w:jc w:val="center"/>
              <w:textAlignment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color w:val="auto"/>
                <w:kern w:val="0"/>
                <w:sz w:val="24"/>
                <w:szCs w:val="24"/>
                <w:highlight w:val="none"/>
              </w:rPr>
              <w:t>12</w:t>
            </w:r>
          </w:p>
        </w:tc>
        <w:tc>
          <w:tcPr>
            <w:tcW w:w="409" w:type="pct"/>
            <w:shd w:val="clear" w:color="auto" w:fill="auto"/>
            <w:vAlign w:val="center"/>
          </w:tcPr>
          <w:p w14:paraId="030A0031">
            <w:pPr>
              <w:widowControl/>
              <w:jc w:val="center"/>
              <w:textAlignment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color w:val="auto"/>
                <w:kern w:val="0"/>
                <w:sz w:val="24"/>
                <w:szCs w:val="24"/>
                <w:highlight w:val="none"/>
              </w:rPr>
              <w:t>道路运输标委会</w:t>
            </w:r>
          </w:p>
        </w:tc>
        <w:tc>
          <w:tcPr>
            <w:tcW w:w="1196" w:type="pct"/>
            <w:shd w:val="clear" w:color="auto" w:fill="auto"/>
            <w:vAlign w:val="center"/>
          </w:tcPr>
          <w:p w14:paraId="4265CABB">
            <w:pPr>
              <w:widowControl/>
              <w:textAlignment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kern w:val="0"/>
                <w:sz w:val="24"/>
                <w:szCs w:val="24"/>
                <w:highlight w:val="none"/>
              </w:rPr>
              <w:t>长安大学、陕西城际交通发展有限公司西安城南客运站、交通运输部公路科学研究所、交通运输部科学研究院</w:t>
            </w:r>
          </w:p>
        </w:tc>
      </w:tr>
      <w:tr w14:paraId="40BCA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9" w:type="pct"/>
            <w:vAlign w:val="center"/>
          </w:tcPr>
          <w:p w14:paraId="6CA34917">
            <w:pPr>
              <w:pStyle w:val="11"/>
              <w:numPr>
                <w:ilvl w:val="0"/>
                <w:numId w:val="1"/>
              </w:numPr>
              <w:ind w:left="0" w:firstLine="0" w:firstLineChars="0"/>
              <w:jc w:val="center"/>
              <w:rPr>
                <w:rFonts w:ascii="Times New Roman" w:hAnsi="Times New Roman" w:eastAsia="仿宋_GB2312" w:cs="Times New Roman"/>
                <w:bCs/>
                <w:color w:val="auto"/>
                <w:sz w:val="24"/>
                <w:szCs w:val="24"/>
                <w:highlight w:val="none"/>
              </w:rPr>
            </w:pPr>
          </w:p>
        </w:tc>
        <w:tc>
          <w:tcPr>
            <w:tcW w:w="613" w:type="pct"/>
            <w:vAlign w:val="center"/>
          </w:tcPr>
          <w:p w14:paraId="3DDCE28F">
            <w:pPr>
              <w:widowControl/>
              <w:jc w:val="left"/>
              <w:textAlignment w:val="center"/>
              <w:rPr>
                <w:rFonts w:ascii="Times New Roman" w:hAnsi="Times New Roman" w:eastAsia="仿宋_GB2312" w:cs="Times New Roman"/>
                <w:color w:val="auto"/>
                <w:sz w:val="24"/>
                <w:szCs w:val="24"/>
                <w:highlight w:val="none"/>
              </w:rPr>
            </w:pPr>
            <w:r>
              <w:rPr>
                <w:rFonts w:ascii="Times New Roman" w:hAnsi="Times New Roman" w:eastAsia="仿宋_GB2312"/>
                <w:color w:val="auto"/>
                <w:sz w:val="24"/>
                <w:szCs w:val="24"/>
                <w:highlight w:val="none"/>
              </w:rPr>
              <w:t>汽车驾驶节能操作规范</w:t>
            </w:r>
          </w:p>
        </w:tc>
        <w:tc>
          <w:tcPr>
            <w:tcW w:w="1570" w:type="pct"/>
            <w:vAlign w:val="center"/>
          </w:tcPr>
          <w:p w14:paraId="25FD2833">
            <w:pPr>
              <w:widowControl/>
              <w:textAlignment w:val="center"/>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kern w:val="0"/>
                <w:sz w:val="24"/>
                <w:szCs w:val="24"/>
                <w:highlight w:val="none"/>
              </w:rPr>
              <w:t>现行标准</w:t>
            </w:r>
            <w:r>
              <w:rPr>
                <w:rFonts w:ascii="Times New Roman" w:hAnsi="Times New Roman" w:eastAsia="仿宋_GB2312" w:cs="Times New Roman"/>
                <w:color w:val="auto"/>
                <w:kern w:val="0"/>
                <w:sz w:val="24"/>
                <w:szCs w:val="24"/>
                <w:highlight w:val="none"/>
              </w:rPr>
              <w:t>规定</w:t>
            </w:r>
            <w:r>
              <w:rPr>
                <w:rFonts w:hint="eastAsia" w:ascii="Times New Roman" w:hAnsi="Times New Roman" w:eastAsia="仿宋_GB2312" w:cs="Times New Roman"/>
                <w:color w:val="auto"/>
                <w:kern w:val="0"/>
                <w:sz w:val="24"/>
                <w:szCs w:val="24"/>
                <w:highlight w:val="none"/>
              </w:rPr>
              <w:t>了</w:t>
            </w:r>
            <w:r>
              <w:rPr>
                <w:rFonts w:ascii="Times New Roman" w:hAnsi="Times New Roman" w:eastAsia="仿宋_GB2312" w:cs="Times New Roman"/>
                <w:color w:val="auto"/>
                <w:kern w:val="0"/>
                <w:sz w:val="24"/>
                <w:szCs w:val="24"/>
                <w:highlight w:val="none"/>
              </w:rPr>
              <w:t>汽车驾驶员的行车前准备、驾驶操作以及收车后检查等方法</w:t>
            </w:r>
            <w:r>
              <w:rPr>
                <w:rFonts w:hint="eastAsia" w:ascii="Times New Roman" w:hAnsi="Times New Roman" w:eastAsia="仿宋_GB2312" w:cs="Times New Roman"/>
                <w:color w:val="auto"/>
                <w:kern w:val="0"/>
                <w:sz w:val="24"/>
                <w:szCs w:val="24"/>
                <w:highlight w:val="none"/>
              </w:rPr>
              <w:t>。</w:t>
            </w:r>
            <w:r>
              <w:rPr>
                <w:rFonts w:ascii="Times New Roman" w:hAnsi="Times New Roman" w:eastAsia="仿宋_GB2312" w:cs="Times New Roman"/>
                <w:color w:val="auto"/>
                <w:kern w:val="0"/>
                <w:sz w:val="24"/>
                <w:szCs w:val="24"/>
                <w:highlight w:val="none"/>
              </w:rPr>
              <w:t>适用于电喷汽油发动机汽车、柴油发动机汽车、纯电动汽车和燃气汽车的驾驶节能操作。</w:t>
            </w:r>
            <w:r>
              <w:rPr>
                <w:rFonts w:ascii="Times New Roman" w:hAnsi="Times New Roman" w:eastAsia="仿宋_GB2312" w:cs="Times New Roman"/>
                <w:color w:val="auto"/>
                <w:kern w:val="0"/>
                <w:sz w:val="24"/>
                <w:szCs w:val="24"/>
                <w:highlight w:val="none"/>
              </w:rPr>
              <w:br w:type="textWrapping"/>
            </w:r>
            <w:r>
              <w:rPr>
                <w:rFonts w:ascii="Times New Roman" w:hAnsi="Times New Roman" w:eastAsia="仿宋_GB2312" w:cs="Times New Roman"/>
                <w:b/>
                <w:bCs/>
                <w:color w:val="auto"/>
                <w:kern w:val="0"/>
                <w:sz w:val="24"/>
                <w:szCs w:val="24"/>
                <w:highlight w:val="none"/>
              </w:rPr>
              <w:t>主要修订内容：</w:t>
            </w:r>
            <w:r>
              <w:rPr>
                <w:rFonts w:ascii="Times New Roman" w:hAnsi="Times New Roman" w:eastAsia="仿宋_GB2312" w:cs="Times New Roman"/>
                <w:color w:val="auto"/>
                <w:kern w:val="0"/>
                <w:sz w:val="24"/>
                <w:szCs w:val="24"/>
                <w:highlight w:val="none"/>
              </w:rPr>
              <w:t>1</w:t>
            </w:r>
            <w:r>
              <w:rPr>
                <w:rFonts w:hint="eastAsia" w:ascii="Times New Roman" w:hAnsi="Times New Roman" w:eastAsia="仿宋_GB2312" w:cs="Times New Roman"/>
                <w:color w:val="auto"/>
                <w:kern w:val="0"/>
                <w:sz w:val="24"/>
                <w:szCs w:val="24"/>
                <w:highlight w:val="none"/>
              </w:rPr>
              <w:t>.</w:t>
            </w:r>
            <w:r>
              <w:rPr>
                <w:rFonts w:ascii="Times New Roman" w:hAnsi="Times New Roman" w:eastAsia="仿宋_GB2312" w:cs="Times New Roman"/>
                <w:color w:val="auto"/>
                <w:kern w:val="0"/>
                <w:sz w:val="24"/>
                <w:szCs w:val="24"/>
                <w:highlight w:val="none"/>
              </w:rPr>
              <w:t>更改出车前检查要求，增加纯电动汽车、燃气汽车和客货车辆的检查内容；2</w:t>
            </w:r>
            <w:r>
              <w:rPr>
                <w:rFonts w:hint="eastAsia" w:ascii="Times New Roman" w:hAnsi="Times New Roman" w:eastAsia="仿宋_GB2312" w:cs="Times New Roman"/>
                <w:color w:val="auto"/>
                <w:kern w:val="0"/>
                <w:sz w:val="24"/>
                <w:szCs w:val="24"/>
                <w:highlight w:val="none"/>
              </w:rPr>
              <w:t>.</w:t>
            </w:r>
            <w:r>
              <w:rPr>
                <w:rFonts w:ascii="Times New Roman" w:hAnsi="Times New Roman" w:eastAsia="仿宋_GB2312" w:cs="Times New Roman"/>
                <w:color w:val="auto"/>
                <w:kern w:val="0"/>
                <w:sz w:val="24"/>
                <w:szCs w:val="24"/>
                <w:highlight w:val="none"/>
              </w:rPr>
              <w:t>增加纯电动汽车平路起步、加速操作、减速操作、临时停车挡位使用等要求；3</w:t>
            </w:r>
            <w:r>
              <w:rPr>
                <w:rFonts w:hint="eastAsia" w:ascii="Times New Roman" w:hAnsi="Times New Roman" w:eastAsia="仿宋_GB2312" w:cs="Times New Roman"/>
                <w:color w:val="auto"/>
                <w:kern w:val="0"/>
                <w:sz w:val="24"/>
                <w:szCs w:val="24"/>
                <w:highlight w:val="none"/>
              </w:rPr>
              <w:t>.</w:t>
            </w:r>
            <w:r>
              <w:rPr>
                <w:rFonts w:ascii="Times New Roman" w:hAnsi="Times New Roman" w:eastAsia="仿宋_GB2312" w:cs="Times New Roman"/>
                <w:color w:val="auto"/>
                <w:kern w:val="0"/>
                <w:sz w:val="24"/>
                <w:szCs w:val="24"/>
                <w:highlight w:val="none"/>
              </w:rPr>
              <w:t>更改汽车减速操作要求，增加重载车辆上陡坡操作要求以及汽车通过下坡路段、弯道、泥泞路段、湿滑和冰雪路面的操作要求。</w:t>
            </w:r>
          </w:p>
        </w:tc>
        <w:tc>
          <w:tcPr>
            <w:tcW w:w="241" w:type="pct"/>
            <w:vAlign w:val="center"/>
          </w:tcPr>
          <w:p w14:paraId="62FD4F33">
            <w:pPr>
              <w:jc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修订</w:t>
            </w:r>
          </w:p>
        </w:tc>
        <w:tc>
          <w:tcPr>
            <w:tcW w:w="467" w:type="pct"/>
            <w:vAlign w:val="center"/>
          </w:tcPr>
          <w:p w14:paraId="77406E4D">
            <w:pPr>
              <w:widowControl/>
              <w:jc w:val="center"/>
              <w:rPr>
                <w:rFonts w:ascii="Times New Roman" w:hAnsi="Times New Roman" w:eastAsia="仿宋_GB2312" w:cs="Times New Roman"/>
                <w:bCs/>
                <w:color w:val="auto"/>
                <w:sz w:val="24"/>
                <w:szCs w:val="24"/>
                <w:highlight w:val="none"/>
              </w:rPr>
            </w:pPr>
            <w:r>
              <w:rPr>
                <w:rFonts w:ascii="Times New Roman" w:hAnsi="Times New Roman" w:eastAsia="仿宋_GB2312"/>
                <w:color w:val="auto"/>
                <w:kern w:val="0"/>
                <w:sz w:val="24"/>
                <w:szCs w:val="24"/>
                <w:highlight w:val="none"/>
              </w:rPr>
              <w:t>JT/T 807-2011</w:t>
            </w:r>
          </w:p>
        </w:tc>
        <w:tc>
          <w:tcPr>
            <w:tcW w:w="311" w:type="pct"/>
            <w:shd w:val="clear" w:color="auto" w:fill="auto"/>
            <w:vAlign w:val="center"/>
          </w:tcPr>
          <w:p w14:paraId="623F8E1E">
            <w:pPr>
              <w:widowControl/>
              <w:jc w:val="center"/>
              <w:rPr>
                <w:rFonts w:ascii="Times New Roman" w:hAnsi="Times New Roman" w:eastAsia="仿宋_GB2312" w:cs="Times New Roman"/>
                <w:bCs/>
                <w:color w:val="auto"/>
                <w:sz w:val="24"/>
                <w:szCs w:val="24"/>
                <w:highlight w:val="none"/>
              </w:rPr>
            </w:pPr>
            <w:r>
              <w:rPr>
                <w:rFonts w:ascii="Times New Roman" w:hAnsi="Times New Roman" w:eastAsia="仿宋_GB2312"/>
                <w:color w:val="auto"/>
                <w:sz w:val="24"/>
                <w:szCs w:val="24"/>
                <w:highlight w:val="none"/>
              </w:rPr>
              <w:t>12</w:t>
            </w:r>
          </w:p>
        </w:tc>
        <w:tc>
          <w:tcPr>
            <w:tcW w:w="409" w:type="pct"/>
            <w:shd w:val="clear" w:color="auto" w:fill="auto"/>
            <w:vAlign w:val="center"/>
          </w:tcPr>
          <w:p w14:paraId="7DA97C31">
            <w:pPr>
              <w:widowControl/>
              <w:jc w:val="center"/>
              <w:textAlignment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color w:val="auto"/>
                <w:kern w:val="0"/>
                <w:sz w:val="24"/>
                <w:szCs w:val="24"/>
                <w:highlight w:val="none"/>
              </w:rPr>
              <w:t>道路运输</w:t>
            </w:r>
            <w:r>
              <w:rPr>
                <w:rFonts w:hint="eastAsia" w:ascii="Times New Roman" w:hAnsi="Times New Roman" w:eastAsia="仿宋_GB2312" w:cs="Times New Roman"/>
                <w:color w:val="auto"/>
                <w:kern w:val="0"/>
                <w:sz w:val="24"/>
                <w:szCs w:val="24"/>
                <w:highlight w:val="none"/>
              </w:rPr>
              <w:t>标委会</w:t>
            </w:r>
          </w:p>
        </w:tc>
        <w:tc>
          <w:tcPr>
            <w:tcW w:w="1196" w:type="pct"/>
            <w:shd w:val="clear" w:color="auto" w:fill="auto"/>
            <w:vAlign w:val="center"/>
          </w:tcPr>
          <w:p w14:paraId="6EE2CB20">
            <w:pPr>
              <w:widowControl/>
              <w:jc w:val="left"/>
              <w:textAlignment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kern w:val="0"/>
                <w:sz w:val="24"/>
                <w:szCs w:val="24"/>
                <w:highlight w:val="none"/>
              </w:rPr>
              <w:t>交通运输部公路科学研究所</w:t>
            </w:r>
            <w:r>
              <w:rPr>
                <w:rFonts w:hint="eastAsia" w:ascii="Times New Roman" w:hAnsi="Times New Roman" w:eastAsia="仿宋_GB2312" w:cs="Times New Roman"/>
                <w:color w:val="auto"/>
                <w:kern w:val="0"/>
                <w:sz w:val="24"/>
                <w:szCs w:val="24"/>
                <w:highlight w:val="none"/>
              </w:rPr>
              <w:t>、江苏省交通运输厅运输管理局</w:t>
            </w:r>
          </w:p>
        </w:tc>
      </w:tr>
      <w:tr w14:paraId="5971E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9" w:type="pct"/>
            <w:vAlign w:val="center"/>
          </w:tcPr>
          <w:p w14:paraId="2E6285EF">
            <w:pPr>
              <w:pStyle w:val="11"/>
              <w:numPr>
                <w:ilvl w:val="0"/>
                <w:numId w:val="1"/>
              </w:numPr>
              <w:ind w:left="0" w:firstLine="0" w:firstLineChars="0"/>
              <w:jc w:val="center"/>
              <w:rPr>
                <w:rFonts w:ascii="Times New Roman" w:hAnsi="Times New Roman" w:eastAsia="仿宋_GB2312" w:cs="Times New Roman"/>
                <w:bCs/>
                <w:color w:val="auto"/>
                <w:sz w:val="24"/>
                <w:szCs w:val="24"/>
                <w:highlight w:val="none"/>
              </w:rPr>
            </w:pPr>
          </w:p>
        </w:tc>
        <w:tc>
          <w:tcPr>
            <w:tcW w:w="613" w:type="pct"/>
            <w:vAlign w:val="center"/>
          </w:tcPr>
          <w:p w14:paraId="73EA63F2">
            <w:pPr>
              <w:widowControl/>
              <w:jc w:val="left"/>
              <w:textAlignment w:val="center"/>
              <w:rPr>
                <w:rFonts w:ascii="Times New Roman" w:hAnsi="Times New Roman" w:eastAsia="仿宋_GB2312" w:cs="Times New Roman"/>
                <w:color w:val="auto"/>
                <w:sz w:val="24"/>
                <w:szCs w:val="24"/>
                <w:highlight w:val="none"/>
              </w:rPr>
            </w:pPr>
            <w:r>
              <w:rPr>
                <w:rFonts w:ascii="Times New Roman" w:hAnsi="Times New Roman" w:eastAsia="仿宋_GB2312"/>
                <w:color w:val="auto"/>
                <w:sz w:val="24"/>
                <w:szCs w:val="24"/>
                <w:highlight w:val="none"/>
              </w:rPr>
              <w:t>道路运输驾驶员技能和素质要求 第2部分：货物运输驾驶员</w:t>
            </w:r>
          </w:p>
        </w:tc>
        <w:tc>
          <w:tcPr>
            <w:tcW w:w="1570" w:type="pct"/>
            <w:vAlign w:val="center"/>
          </w:tcPr>
          <w:p w14:paraId="5DA8C570">
            <w:pPr>
              <w:widowControl/>
              <w:jc w:val="left"/>
              <w:textAlignment w:val="center"/>
              <w:rPr>
                <w:rFonts w:ascii="Times New Roman" w:hAnsi="Times New Roman" w:eastAsia="仿宋_GB2312" w:cs="Times New Roman"/>
                <w:color w:val="auto"/>
                <w:sz w:val="24"/>
                <w:szCs w:val="24"/>
                <w:highlight w:val="none"/>
              </w:rPr>
            </w:pPr>
            <w:r>
              <w:rPr>
                <w:rFonts w:ascii="Times New Roman" w:hAnsi="Times New Roman" w:eastAsia="仿宋_GB2312"/>
                <w:color w:val="auto"/>
                <w:sz w:val="24"/>
                <w:szCs w:val="24"/>
                <w:highlight w:val="none"/>
              </w:rPr>
              <w:t>现行标准规定了货物运输驾驶员的基本要求及应具备的专业知识和专业技能要求</w:t>
            </w:r>
            <w:r>
              <w:rPr>
                <w:rFonts w:hint="eastAsia" w:ascii="Times New Roman" w:hAnsi="Times New Roman" w:eastAsia="仿宋_GB2312"/>
                <w:color w:val="auto"/>
                <w:sz w:val="24"/>
                <w:szCs w:val="24"/>
                <w:highlight w:val="none"/>
              </w:rPr>
              <w:t>。</w:t>
            </w:r>
            <w:r>
              <w:rPr>
                <w:rFonts w:ascii="Times New Roman" w:hAnsi="Times New Roman" w:eastAsia="仿宋_GB2312"/>
                <w:color w:val="auto"/>
                <w:sz w:val="24"/>
                <w:szCs w:val="24"/>
                <w:highlight w:val="none"/>
              </w:rPr>
              <w:t>适用于对道路普通货物运输、道路货物专用运输和道路大型物件运输的驾驶员的遴选、准入、管理及评价。</w:t>
            </w:r>
            <w:r>
              <w:rPr>
                <w:rFonts w:ascii="Times New Roman" w:hAnsi="Times New Roman" w:eastAsia="仿宋_GB2312"/>
                <w:color w:val="auto"/>
                <w:sz w:val="24"/>
                <w:szCs w:val="24"/>
                <w:highlight w:val="none"/>
              </w:rPr>
              <w:br w:type="textWrapping"/>
            </w:r>
            <w:r>
              <w:rPr>
                <w:rFonts w:ascii="Times New Roman" w:hAnsi="Times New Roman" w:eastAsia="仿宋_GB2312"/>
                <w:b/>
                <w:bCs/>
                <w:color w:val="auto"/>
                <w:sz w:val="24"/>
                <w:szCs w:val="24"/>
                <w:highlight w:val="none"/>
              </w:rPr>
              <w:t>主要修订内容</w:t>
            </w:r>
            <w:r>
              <w:rPr>
                <w:rFonts w:ascii="Times New Roman" w:hAnsi="Times New Roman" w:eastAsia="仿宋_GB2312"/>
                <w:color w:val="auto"/>
                <w:sz w:val="24"/>
                <w:szCs w:val="24"/>
                <w:highlight w:val="none"/>
              </w:rPr>
              <w:t>：1</w:t>
            </w:r>
            <w:r>
              <w:rPr>
                <w:rFonts w:hint="eastAsia" w:ascii="Times New Roman" w:hAnsi="Times New Roman" w:eastAsia="仿宋_GB2312"/>
                <w:color w:val="auto"/>
                <w:sz w:val="24"/>
                <w:szCs w:val="24"/>
                <w:highlight w:val="none"/>
              </w:rPr>
              <w:t>.更改</w:t>
            </w:r>
            <w:r>
              <w:rPr>
                <w:rFonts w:ascii="Times New Roman" w:hAnsi="Times New Roman" w:eastAsia="仿宋_GB2312"/>
                <w:color w:val="auto"/>
                <w:sz w:val="24"/>
                <w:szCs w:val="24"/>
                <w:highlight w:val="none"/>
              </w:rPr>
              <w:t>驾驶员身体条件要求，增加驾驶员心电图、心率、血压、眼底的要求；2</w:t>
            </w:r>
            <w:r>
              <w:rPr>
                <w:rFonts w:hint="eastAsia" w:ascii="Times New Roman" w:hAnsi="Times New Roman" w:eastAsia="仿宋_GB2312"/>
                <w:color w:val="auto"/>
                <w:sz w:val="24"/>
                <w:szCs w:val="24"/>
                <w:highlight w:val="none"/>
              </w:rPr>
              <w:t>.更改</w:t>
            </w:r>
            <w:r>
              <w:rPr>
                <w:rFonts w:ascii="Times New Roman" w:hAnsi="Times New Roman" w:eastAsia="仿宋_GB2312"/>
                <w:color w:val="auto"/>
                <w:sz w:val="24"/>
                <w:szCs w:val="24"/>
                <w:highlight w:val="none"/>
              </w:rPr>
              <w:t>驾驶员专业知识要求中的车辆管理规定、车辆使用技术、运输经营与服务、危险源辨识与防御性驾驶、事故现场处置的相关要求；</w:t>
            </w:r>
            <w:r>
              <w:rPr>
                <w:rFonts w:hint="eastAsia" w:ascii="Times New Roman" w:hAnsi="Times New Roman" w:eastAsia="仿宋_GB2312"/>
                <w:color w:val="auto"/>
                <w:sz w:val="24"/>
                <w:szCs w:val="24"/>
                <w:highlight w:val="none"/>
              </w:rPr>
              <w:t>3.</w:t>
            </w:r>
            <w:r>
              <w:rPr>
                <w:rFonts w:ascii="Times New Roman" w:hAnsi="Times New Roman" w:eastAsia="仿宋_GB2312"/>
                <w:color w:val="auto"/>
                <w:sz w:val="24"/>
                <w:szCs w:val="24"/>
                <w:highlight w:val="none"/>
              </w:rPr>
              <w:t>增加驾驶员专业知识要求中的应急处置知识相关要求；4</w:t>
            </w:r>
            <w:r>
              <w:rPr>
                <w:rFonts w:hint="eastAsia" w:ascii="Times New Roman" w:hAnsi="Times New Roman" w:eastAsia="仿宋_GB2312"/>
                <w:color w:val="auto"/>
                <w:sz w:val="24"/>
                <w:szCs w:val="24"/>
                <w:highlight w:val="none"/>
              </w:rPr>
              <w:t>.更改</w:t>
            </w:r>
            <w:r>
              <w:rPr>
                <w:rFonts w:ascii="Times New Roman" w:hAnsi="Times New Roman" w:eastAsia="仿宋_GB2312"/>
                <w:color w:val="auto"/>
                <w:sz w:val="24"/>
                <w:szCs w:val="24"/>
                <w:highlight w:val="none"/>
              </w:rPr>
              <w:t>驾驶员专业技能要求中的车辆日常安全检查、安全驾驶技能、紧急情况应急处置能力的相关要求。</w:t>
            </w:r>
          </w:p>
        </w:tc>
        <w:tc>
          <w:tcPr>
            <w:tcW w:w="241" w:type="pct"/>
            <w:vAlign w:val="center"/>
          </w:tcPr>
          <w:p w14:paraId="7AAD36C0">
            <w:pPr>
              <w:jc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修订</w:t>
            </w:r>
          </w:p>
        </w:tc>
        <w:tc>
          <w:tcPr>
            <w:tcW w:w="467" w:type="pct"/>
            <w:vAlign w:val="center"/>
          </w:tcPr>
          <w:p w14:paraId="17BD5E39">
            <w:pPr>
              <w:widowControl/>
              <w:jc w:val="center"/>
              <w:textAlignment w:val="center"/>
              <w:rPr>
                <w:rFonts w:ascii="Times New Roman" w:hAnsi="Times New Roman" w:eastAsia="仿宋_GB2312" w:cs="Times New Roman"/>
                <w:bCs/>
                <w:color w:val="auto"/>
                <w:sz w:val="24"/>
                <w:szCs w:val="24"/>
                <w:highlight w:val="none"/>
              </w:rPr>
            </w:pPr>
            <w:r>
              <w:rPr>
                <w:rFonts w:ascii="Times New Roman" w:hAnsi="Times New Roman" w:eastAsia="仿宋_GB2312"/>
                <w:color w:val="auto"/>
                <w:kern w:val="0"/>
                <w:sz w:val="24"/>
                <w:szCs w:val="24"/>
                <w:highlight w:val="none"/>
              </w:rPr>
              <w:t>JT/T 917.2-2014</w:t>
            </w:r>
          </w:p>
        </w:tc>
        <w:tc>
          <w:tcPr>
            <w:tcW w:w="311" w:type="pct"/>
            <w:shd w:val="clear" w:color="auto" w:fill="auto"/>
            <w:vAlign w:val="center"/>
          </w:tcPr>
          <w:p w14:paraId="492F4BB5">
            <w:pPr>
              <w:widowControl/>
              <w:jc w:val="center"/>
              <w:textAlignment w:val="center"/>
              <w:rPr>
                <w:rFonts w:ascii="Times New Roman" w:hAnsi="Times New Roman" w:eastAsia="仿宋_GB2312" w:cs="Times New Roman"/>
                <w:bCs/>
                <w:color w:val="auto"/>
                <w:sz w:val="24"/>
                <w:szCs w:val="24"/>
                <w:highlight w:val="none"/>
              </w:rPr>
            </w:pPr>
            <w:r>
              <w:rPr>
                <w:rFonts w:hint="eastAsia" w:ascii="Times New Roman" w:hAnsi="Times New Roman" w:eastAsia="仿宋_GB2312"/>
                <w:color w:val="auto"/>
                <w:sz w:val="24"/>
                <w:szCs w:val="24"/>
                <w:highlight w:val="none"/>
              </w:rPr>
              <w:t>12</w:t>
            </w:r>
          </w:p>
        </w:tc>
        <w:tc>
          <w:tcPr>
            <w:tcW w:w="409" w:type="pct"/>
            <w:shd w:val="clear" w:color="auto" w:fill="auto"/>
            <w:vAlign w:val="center"/>
          </w:tcPr>
          <w:p w14:paraId="303A983A">
            <w:pPr>
              <w:widowControl/>
              <w:jc w:val="center"/>
              <w:textAlignment w:val="center"/>
              <w:rPr>
                <w:rFonts w:ascii="Times New Roman" w:hAnsi="Times New Roman" w:eastAsia="仿宋_GB2312" w:cs="Times New Roman"/>
                <w:bCs/>
                <w:color w:val="auto"/>
                <w:sz w:val="24"/>
                <w:szCs w:val="24"/>
                <w:highlight w:val="none"/>
              </w:rPr>
            </w:pPr>
            <w:r>
              <w:rPr>
                <w:rFonts w:ascii="Times New Roman" w:hAnsi="Times New Roman" w:eastAsia="仿宋_GB2312"/>
                <w:color w:val="auto"/>
                <w:sz w:val="24"/>
                <w:szCs w:val="24"/>
                <w:highlight w:val="none"/>
              </w:rPr>
              <w:t>道路运输</w:t>
            </w:r>
            <w:r>
              <w:rPr>
                <w:rFonts w:hint="eastAsia" w:ascii="Times New Roman" w:hAnsi="Times New Roman" w:eastAsia="仿宋_GB2312" w:cs="Times New Roman"/>
                <w:color w:val="auto"/>
                <w:sz w:val="24"/>
                <w:szCs w:val="24"/>
                <w:highlight w:val="none"/>
              </w:rPr>
              <w:t>标委会</w:t>
            </w:r>
          </w:p>
        </w:tc>
        <w:tc>
          <w:tcPr>
            <w:tcW w:w="1196" w:type="pct"/>
            <w:shd w:val="clear" w:color="auto" w:fill="auto"/>
            <w:vAlign w:val="center"/>
          </w:tcPr>
          <w:p w14:paraId="52E0831F">
            <w:pPr>
              <w:widowControl/>
              <w:jc w:val="left"/>
              <w:textAlignment w:val="center"/>
              <w:rPr>
                <w:rFonts w:ascii="Times New Roman" w:hAnsi="Times New Roman" w:eastAsia="仿宋_GB2312" w:cs="Times New Roman"/>
                <w:color w:val="auto"/>
                <w:sz w:val="24"/>
                <w:szCs w:val="24"/>
                <w:highlight w:val="none"/>
              </w:rPr>
            </w:pPr>
            <w:r>
              <w:rPr>
                <w:rFonts w:ascii="Times New Roman" w:hAnsi="Times New Roman" w:eastAsia="仿宋_GB2312"/>
                <w:color w:val="auto"/>
                <w:sz w:val="24"/>
                <w:szCs w:val="24"/>
                <w:highlight w:val="none"/>
              </w:rPr>
              <w:t>交通运输部公路科学研究所</w:t>
            </w:r>
            <w:r>
              <w:rPr>
                <w:rFonts w:ascii="Times New Roman" w:hAnsi="Times New Roman" w:eastAsia="仿宋_GB2312" w:cs="Times New Roman"/>
                <w:color w:val="auto"/>
                <w:kern w:val="0"/>
                <w:sz w:val="24"/>
                <w:szCs w:val="24"/>
                <w:highlight w:val="none"/>
              </w:rPr>
              <w:t>、江苏省交通运输厅运输管理局</w:t>
            </w:r>
          </w:p>
        </w:tc>
      </w:tr>
      <w:tr w14:paraId="5E564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9" w:type="pct"/>
            <w:vAlign w:val="center"/>
          </w:tcPr>
          <w:p w14:paraId="038C41F5">
            <w:pPr>
              <w:pStyle w:val="11"/>
              <w:numPr>
                <w:ilvl w:val="0"/>
                <w:numId w:val="1"/>
              </w:numPr>
              <w:ind w:left="0" w:firstLine="0" w:firstLineChars="0"/>
              <w:jc w:val="center"/>
              <w:rPr>
                <w:rFonts w:ascii="Times New Roman" w:hAnsi="Times New Roman" w:eastAsia="仿宋_GB2312" w:cs="Times New Roman"/>
                <w:bCs/>
                <w:color w:val="auto"/>
                <w:sz w:val="24"/>
                <w:szCs w:val="24"/>
                <w:highlight w:val="none"/>
              </w:rPr>
            </w:pPr>
          </w:p>
        </w:tc>
        <w:tc>
          <w:tcPr>
            <w:tcW w:w="613" w:type="pct"/>
            <w:vAlign w:val="center"/>
          </w:tcPr>
          <w:p w14:paraId="6A690EF9">
            <w:pPr>
              <w:widowControl/>
              <w:jc w:val="left"/>
              <w:textAlignment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kern w:val="0"/>
                <w:sz w:val="24"/>
                <w:szCs w:val="24"/>
                <w:highlight w:val="none"/>
              </w:rPr>
              <w:t>自动化干散货码头设备远程操作规程 第1部分：门座起重机</w:t>
            </w:r>
          </w:p>
        </w:tc>
        <w:tc>
          <w:tcPr>
            <w:tcW w:w="1570" w:type="pct"/>
            <w:vAlign w:val="center"/>
          </w:tcPr>
          <w:p w14:paraId="0BFDCEB9">
            <w:pPr>
              <w:widowControl/>
              <w:textAlignment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拟规定自动化干散货码头门座起重机远程操作的总体要求，以及作业前、作业中、作业后的作业要求。</w:t>
            </w:r>
          </w:p>
          <w:p w14:paraId="7B4F91EF">
            <w:pPr>
              <w:widowControl/>
              <w:textAlignment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kern w:val="0"/>
                <w:sz w:val="24"/>
                <w:szCs w:val="24"/>
                <w:highlight w:val="none"/>
              </w:rPr>
              <w:t>适用于自动化干散货码头门座起重机的远程操作作业。</w:t>
            </w:r>
          </w:p>
        </w:tc>
        <w:tc>
          <w:tcPr>
            <w:tcW w:w="241" w:type="pct"/>
            <w:vAlign w:val="center"/>
          </w:tcPr>
          <w:p w14:paraId="6FFB6F95">
            <w:pPr>
              <w:jc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bCs/>
                <w:color w:val="auto"/>
                <w:sz w:val="24"/>
                <w:szCs w:val="24"/>
                <w:highlight w:val="none"/>
              </w:rPr>
              <w:t>制定</w:t>
            </w:r>
          </w:p>
        </w:tc>
        <w:tc>
          <w:tcPr>
            <w:tcW w:w="467" w:type="pct"/>
            <w:vAlign w:val="center"/>
          </w:tcPr>
          <w:p w14:paraId="479D81FE">
            <w:pPr>
              <w:widowControl/>
              <w:jc w:val="center"/>
              <w:textAlignment w:val="center"/>
              <w:rPr>
                <w:rFonts w:ascii="Times New Roman" w:hAnsi="Times New Roman" w:eastAsia="仿宋_GB2312" w:cs="Times New Roman"/>
                <w:bCs/>
                <w:color w:val="auto"/>
                <w:sz w:val="24"/>
                <w:szCs w:val="24"/>
                <w:highlight w:val="none"/>
              </w:rPr>
            </w:pPr>
          </w:p>
        </w:tc>
        <w:tc>
          <w:tcPr>
            <w:tcW w:w="311" w:type="pct"/>
            <w:shd w:val="clear" w:color="auto" w:fill="auto"/>
            <w:vAlign w:val="center"/>
          </w:tcPr>
          <w:p w14:paraId="5BD44C97">
            <w:pPr>
              <w:widowControl/>
              <w:jc w:val="center"/>
              <w:textAlignment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color w:val="auto"/>
                <w:kern w:val="0"/>
                <w:sz w:val="24"/>
                <w:szCs w:val="24"/>
                <w:highlight w:val="none"/>
              </w:rPr>
              <w:t>12</w:t>
            </w:r>
          </w:p>
        </w:tc>
        <w:tc>
          <w:tcPr>
            <w:tcW w:w="409" w:type="pct"/>
            <w:shd w:val="clear" w:color="auto" w:fill="auto"/>
            <w:vAlign w:val="center"/>
          </w:tcPr>
          <w:p w14:paraId="481163B2">
            <w:pPr>
              <w:widowControl/>
              <w:jc w:val="center"/>
              <w:textAlignment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color w:val="auto"/>
                <w:kern w:val="0"/>
                <w:sz w:val="24"/>
                <w:szCs w:val="24"/>
                <w:highlight w:val="none"/>
              </w:rPr>
              <w:t>港口标委会</w:t>
            </w:r>
          </w:p>
        </w:tc>
        <w:tc>
          <w:tcPr>
            <w:tcW w:w="1196" w:type="pct"/>
            <w:shd w:val="clear" w:color="auto" w:fill="auto"/>
            <w:vAlign w:val="center"/>
          </w:tcPr>
          <w:p w14:paraId="70194344">
            <w:pPr>
              <w:widowControl/>
              <w:textAlignment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kern w:val="0"/>
                <w:sz w:val="24"/>
                <w:szCs w:val="24"/>
                <w:highlight w:val="none"/>
              </w:rPr>
              <w:t>广州港集团有限公司、交通运输部水运科学研究所、国能黄骅港务有限公司</w:t>
            </w:r>
          </w:p>
        </w:tc>
      </w:tr>
      <w:tr w14:paraId="0598C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89" w:type="pct"/>
            <w:vAlign w:val="center"/>
          </w:tcPr>
          <w:p w14:paraId="3D0E0B4C">
            <w:pPr>
              <w:pStyle w:val="11"/>
              <w:numPr>
                <w:ilvl w:val="0"/>
                <w:numId w:val="1"/>
              </w:numPr>
              <w:ind w:left="0" w:firstLine="0" w:firstLineChars="0"/>
              <w:jc w:val="center"/>
              <w:rPr>
                <w:rFonts w:ascii="Times New Roman" w:hAnsi="Times New Roman" w:eastAsia="仿宋_GB2312" w:cs="Times New Roman"/>
                <w:bCs/>
                <w:color w:val="auto"/>
                <w:sz w:val="24"/>
                <w:szCs w:val="24"/>
                <w:highlight w:val="none"/>
              </w:rPr>
            </w:pPr>
          </w:p>
        </w:tc>
        <w:tc>
          <w:tcPr>
            <w:tcW w:w="613" w:type="pct"/>
            <w:vAlign w:val="center"/>
          </w:tcPr>
          <w:p w14:paraId="02A2CA1C">
            <w:pPr>
              <w:widowControl/>
              <w:jc w:val="left"/>
              <w:textAlignment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自动化干散货码头设备远程操作规程 第2部分：斗轮堆取料机</w:t>
            </w:r>
          </w:p>
        </w:tc>
        <w:tc>
          <w:tcPr>
            <w:tcW w:w="1570" w:type="pct"/>
            <w:vAlign w:val="center"/>
          </w:tcPr>
          <w:p w14:paraId="444B4435">
            <w:pPr>
              <w:widowControl/>
              <w:textAlignment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 xml:space="preserve">拟规定自动化干散货码头斗轮堆取料机远程操作的总体要求，以及堆料作业、取料作业的作业要求。 </w:t>
            </w:r>
          </w:p>
          <w:p w14:paraId="11A866D5">
            <w:pPr>
              <w:widowControl/>
              <w:textAlignment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适用于自动化干散货码头斗轮堆取料机的远程操作作业。</w:t>
            </w:r>
          </w:p>
        </w:tc>
        <w:tc>
          <w:tcPr>
            <w:tcW w:w="241" w:type="pct"/>
            <w:vAlign w:val="center"/>
          </w:tcPr>
          <w:p w14:paraId="125BD295">
            <w:pPr>
              <w:jc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bCs/>
                <w:color w:val="auto"/>
                <w:sz w:val="24"/>
                <w:szCs w:val="24"/>
                <w:highlight w:val="none"/>
              </w:rPr>
              <w:t>制定</w:t>
            </w:r>
          </w:p>
        </w:tc>
        <w:tc>
          <w:tcPr>
            <w:tcW w:w="467" w:type="pct"/>
            <w:vAlign w:val="center"/>
          </w:tcPr>
          <w:p w14:paraId="5F1EA17D">
            <w:pPr>
              <w:widowControl/>
              <w:jc w:val="center"/>
              <w:textAlignment w:val="center"/>
              <w:rPr>
                <w:rFonts w:ascii="Times New Roman" w:hAnsi="Times New Roman" w:eastAsia="仿宋_GB2312" w:cs="Times New Roman"/>
                <w:bCs/>
                <w:color w:val="auto"/>
                <w:sz w:val="24"/>
                <w:szCs w:val="24"/>
                <w:highlight w:val="none"/>
              </w:rPr>
            </w:pPr>
          </w:p>
        </w:tc>
        <w:tc>
          <w:tcPr>
            <w:tcW w:w="311" w:type="pct"/>
            <w:shd w:val="clear" w:color="auto" w:fill="auto"/>
            <w:vAlign w:val="center"/>
          </w:tcPr>
          <w:p w14:paraId="3932290C">
            <w:pPr>
              <w:widowControl/>
              <w:jc w:val="center"/>
              <w:textAlignment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color w:val="auto"/>
                <w:kern w:val="0"/>
                <w:sz w:val="24"/>
                <w:szCs w:val="24"/>
                <w:highlight w:val="none"/>
              </w:rPr>
              <w:t>12</w:t>
            </w:r>
          </w:p>
        </w:tc>
        <w:tc>
          <w:tcPr>
            <w:tcW w:w="409" w:type="pct"/>
            <w:shd w:val="clear" w:color="auto" w:fill="auto"/>
            <w:vAlign w:val="center"/>
          </w:tcPr>
          <w:p w14:paraId="7F39A7C9">
            <w:pPr>
              <w:widowControl/>
              <w:jc w:val="center"/>
              <w:textAlignment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港口标委会</w:t>
            </w:r>
          </w:p>
        </w:tc>
        <w:tc>
          <w:tcPr>
            <w:tcW w:w="1196" w:type="pct"/>
            <w:shd w:val="clear" w:color="auto" w:fill="auto"/>
            <w:vAlign w:val="center"/>
          </w:tcPr>
          <w:p w14:paraId="4D475C59">
            <w:pPr>
              <w:widowControl/>
              <w:textAlignment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国能黄骅港务有限责任公司、交通运输部水运科学研究所、宁波舟山港集团有限公司</w:t>
            </w:r>
          </w:p>
        </w:tc>
      </w:tr>
      <w:tr w14:paraId="7CE4C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9" w:type="pct"/>
            <w:vAlign w:val="center"/>
          </w:tcPr>
          <w:p w14:paraId="6E2501D7">
            <w:pPr>
              <w:pStyle w:val="11"/>
              <w:numPr>
                <w:ilvl w:val="0"/>
                <w:numId w:val="1"/>
              </w:numPr>
              <w:ind w:left="0" w:firstLine="0" w:firstLineChars="0"/>
              <w:jc w:val="center"/>
              <w:rPr>
                <w:rFonts w:ascii="Times New Roman" w:hAnsi="Times New Roman" w:eastAsia="仿宋_GB2312" w:cs="Times New Roman"/>
                <w:bCs/>
                <w:color w:val="auto"/>
                <w:sz w:val="24"/>
                <w:szCs w:val="24"/>
                <w:highlight w:val="none"/>
              </w:rPr>
            </w:pPr>
          </w:p>
        </w:tc>
        <w:tc>
          <w:tcPr>
            <w:tcW w:w="613" w:type="pct"/>
            <w:vAlign w:val="center"/>
          </w:tcPr>
          <w:p w14:paraId="125FA35B">
            <w:pPr>
              <w:widowControl/>
              <w:jc w:val="left"/>
              <w:textAlignment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自动化干散货码头设备远程操作规程 第3部分：卸船机</w:t>
            </w:r>
          </w:p>
        </w:tc>
        <w:tc>
          <w:tcPr>
            <w:tcW w:w="1570" w:type="pct"/>
            <w:vAlign w:val="center"/>
          </w:tcPr>
          <w:p w14:paraId="3839CD43">
            <w:pPr>
              <w:widowControl/>
              <w:textAlignment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 xml:space="preserve">拟规定自动化干散货码头卸船机远程操作的总体要求，以及作业前、作业中、作业后的作业要求。 </w:t>
            </w:r>
          </w:p>
          <w:p w14:paraId="67C7B2F5">
            <w:pPr>
              <w:widowControl/>
              <w:textAlignment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适用于自动化干散货码头卸船机的远程操作作业。</w:t>
            </w:r>
          </w:p>
        </w:tc>
        <w:tc>
          <w:tcPr>
            <w:tcW w:w="241" w:type="pct"/>
            <w:vAlign w:val="center"/>
          </w:tcPr>
          <w:p w14:paraId="612D77D3">
            <w:pPr>
              <w:jc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bCs/>
                <w:color w:val="auto"/>
                <w:sz w:val="24"/>
                <w:szCs w:val="24"/>
                <w:highlight w:val="none"/>
              </w:rPr>
              <w:t>制定</w:t>
            </w:r>
          </w:p>
        </w:tc>
        <w:tc>
          <w:tcPr>
            <w:tcW w:w="467" w:type="pct"/>
            <w:vAlign w:val="center"/>
          </w:tcPr>
          <w:p w14:paraId="057C6B0E">
            <w:pPr>
              <w:widowControl/>
              <w:jc w:val="center"/>
              <w:textAlignment w:val="center"/>
              <w:rPr>
                <w:rFonts w:ascii="Times New Roman" w:hAnsi="Times New Roman" w:eastAsia="仿宋_GB2312" w:cs="Times New Roman"/>
                <w:bCs/>
                <w:color w:val="auto"/>
                <w:sz w:val="24"/>
                <w:szCs w:val="24"/>
                <w:highlight w:val="none"/>
              </w:rPr>
            </w:pPr>
          </w:p>
        </w:tc>
        <w:tc>
          <w:tcPr>
            <w:tcW w:w="311" w:type="pct"/>
            <w:shd w:val="clear" w:color="auto" w:fill="auto"/>
            <w:vAlign w:val="center"/>
          </w:tcPr>
          <w:p w14:paraId="4EA49848">
            <w:pPr>
              <w:widowControl/>
              <w:jc w:val="center"/>
              <w:textAlignment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color w:val="auto"/>
                <w:kern w:val="0"/>
                <w:sz w:val="24"/>
                <w:szCs w:val="24"/>
                <w:highlight w:val="none"/>
              </w:rPr>
              <w:t>12</w:t>
            </w:r>
          </w:p>
        </w:tc>
        <w:tc>
          <w:tcPr>
            <w:tcW w:w="409" w:type="pct"/>
            <w:shd w:val="clear" w:color="auto" w:fill="auto"/>
            <w:vAlign w:val="center"/>
          </w:tcPr>
          <w:p w14:paraId="5F279C1F">
            <w:pPr>
              <w:widowControl/>
              <w:jc w:val="center"/>
              <w:textAlignment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港口标委会</w:t>
            </w:r>
          </w:p>
        </w:tc>
        <w:tc>
          <w:tcPr>
            <w:tcW w:w="1196" w:type="pct"/>
            <w:shd w:val="clear" w:color="auto" w:fill="auto"/>
            <w:vAlign w:val="center"/>
          </w:tcPr>
          <w:p w14:paraId="75FBCE93">
            <w:pPr>
              <w:widowControl/>
              <w:textAlignment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广州港集团有限公司、交通运输部水运科学研究所、山东港口青岛港集团有限公司</w:t>
            </w:r>
          </w:p>
        </w:tc>
      </w:tr>
      <w:tr w14:paraId="06AEA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9" w:type="pct"/>
            <w:vAlign w:val="center"/>
          </w:tcPr>
          <w:p w14:paraId="6556BD9C">
            <w:pPr>
              <w:pStyle w:val="11"/>
              <w:numPr>
                <w:ilvl w:val="0"/>
                <w:numId w:val="1"/>
              </w:numPr>
              <w:ind w:left="0" w:firstLine="0" w:firstLineChars="0"/>
              <w:jc w:val="center"/>
              <w:rPr>
                <w:rFonts w:ascii="Times New Roman" w:hAnsi="Times New Roman" w:eastAsia="仿宋_GB2312" w:cs="Times New Roman"/>
                <w:bCs/>
                <w:color w:val="auto"/>
                <w:sz w:val="24"/>
                <w:szCs w:val="24"/>
                <w:highlight w:val="none"/>
              </w:rPr>
            </w:pPr>
          </w:p>
        </w:tc>
        <w:tc>
          <w:tcPr>
            <w:tcW w:w="613" w:type="pct"/>
            <w:vAlign w:val="center"/>
          </w:tcPr>
          <w:p w14:paraId="4C478243">
            <w:pPr>
              <w:widowControl/>
              <w:jc w:val="left"/>
              <w:textAlignment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自动化干散货码头设备远程操作规程 第4部分：装船机</w:t>
            </w:r>
          </w:p>
        </w:tc>
        <w:tc>
          <w:tcPr>
            <w:tcW w:w="1570" w:type="pct"/>
            <w:vAlign w:val="center"/>
          </w:tcPr>
          <w:p w14:paraId="489F15F3">
            <w:pPr>
              <w:widowControl/>
              <w:textAlignment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 xml:space="preserve">拟规定自动化干散货码头装船机远程操作的总体要求，以及作业前、作业中、作业后的作业要求。 </w:t>
            </w:r>
          </w:p>
          <w:p w14:paraId="4BA3FD61">
            <w:pPr>
              <w:widowControl/>
              <w:textAlignment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适用于自动化干散货码头装船机的远程操作作业。</w:t>
            </w:r>
          </w:p>
        </w:tc>
        <w:tc>
          <w:tcPr>
            <w:tcW w:w="241" w:type="pct"/>
            <w:vAlign w:val="center"/>
          </w:tcPr>
          <w:p w14:paraId="49ED111D">
            <w:pPr>
              <w:jc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bCs/>
                <w:color w:val="auto"/>
                <w:sz w:val="24"/>
                <w:szCs w:val="24"/>
                <w:highlight w:val="none"/>
              </w:rPr>
              <w:t>制定</w:t>
            </w:r>
          </w:p>
        </w:tc>
        <w:tc>
          <w:tcPr>
            <w:tcW w:w="467" w:type="pct"/>
            <w:vAlign w:val="center"/>
          </w:tcPr>
          <w:p w14:paraId="5DD9783C">
            <w:pPr>
              <w:widowControl/>
              <w:jc w:val="center"/>
              <w:textAlignment w:val="center"/>
              <w:rPr>
                <w:rFonts w:ascii="Times New Roman" w:hAnsi="Times New Roman" w:eastAsia="仿宋_GB2312" w:cs="Times New Roman"/>
                <w:bCs/>
                <w:color w:val="auto"/>
                <w:sz w:val="24"/>
                <w:szCs w:val="24"/>
                <w:highlight w:val="none"/>
              </w:rPr>
            </w:pPr>
          </w:p>
        </w:tc>
        <w:tc>
          <w:tcPr>
            <w:tcW w:w="311" w:type="pct"/>
            <w:shd w:val="clear" w:color="auto" w:fill="auto"/>
            <w:vAlign w:val="center"/>
          </w:tcPr>
          <w:p w14:paraId="35B06B54">
            <w:pPr>
              <w:widowControl/>
              <w:jc w:val="center"/>
              <w:textAlignment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color w:val="auto"/>
                <w:kern w:val="0"/>
                <w:sz w:val="24"/>
                <w:szCs w:val="24"/>
                <w:highlight w:val="none"/>
              </w:rPr>
              <w:t>12</w:t>
            </w:r>
          </w:p>
        </w:tc>
        <w:tc>
          <w:tcPr>
            <w:tcW w:w="409" w:type="pct"/>
            <w:shd w:val="clear" w:color="auto" w:fill="auto"/>
            <w:vAlign w:val="center"/>
          </w:tcPr>
          <w:p w14:paraId="452A6743">
            <w:pPr>
              <w:widowControl/>
              <w:jc w:val="center"/>
              <w:textAlignment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港口标委会</w:t>
            </w:r>
          </w:p>
        </w:tc>
        <w:tc>
          <w:tcPr>
            <w:tcW w:w="1196" w:type="pct"/>
            <w:shd w:val="clear" w:color="auto" w:fill="auto"/>
            <w:vAlign w:val="center"/>
          </w:tcPr>
          <w:p w14:paraId="09FD2C45">
            <w:pPr>
              <w:widowControl/>
              <w:textAlignment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交通运输部水运科学研究所、国能黄骅港务有限责任公司</w:t>
            </w:r>
          </w:p>
        </w:tc>
      </w:tr>
      <w:tr w14:paraId="7BCA9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89" w:type="pct"/>
            <w:vAlign w:val="center"/>
          </w:tcPr>
          <w:p w14:paraId="186DA15C">
            <w:pPr>
              <w:pStyle w:val="11"/>
              <w:numPr>
                <w:ilvl w:val="0"/>
                <w:numId w:val="1"/>
              </w:numPr>
              <w:ind w:left="0" w:firstLine="0" w:firstLineChars="0"/>
              <w:jc w:val="center"/>
              <w:rPr>
                <w:rFonts w:ascii="Times New Roman" w:hAnsi="Times New Roman" w:eastAsia="仿宋_GB2312" w:cs="Times New Roman"/>
                <w:bCs/>
                <w:color w:val="auto"/>
                <w:sz w:val="24"/>
                <w:szCs w:val="24"/>
                <w:highlight w:val="none"/>
              </w:rPr>
            </w:pPr>
          </w:p>
        </w:tc>
        <w:tc>
          <w:tcPr>
            <w:tcW w:w="613" w:type="pct"/>
            <w:vAlign w:val="center"/>
          </w:tcPr>
          <w:p w14:paraId="6744BE6E">
            <w:pPr>
              <w:widowControl/>
              <w:jc w:val="left"/>
              <w:textAlignment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kern w:val="0"/>
                <w:sz w:val="24"/>
                <w:szCs w:val="24"/>
                <w:highlight w:val="none"/>
              </w:rPr>
              <w:t>自动化干散货码头设备远程操作规程 第5部分：自卸车</w:t>
            </w:r>
          </w:p>
        </w:tc>
        <w:tc>
          <w:tcPr>
            <w:tcW w:w="1570" w:type="pct"/>
            <w:vAlign w:val="center"/>
          </w:tcPr>
          <w:p w14:paraId="6AD8754B">
            <w:pPr>
              <w:widowControl/>
              <w:textAlignment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 xml:space="preserve">拟规定自动化干散货码头自卸车远程操作的总体要求，以及作业前、作业中、作业后的作业要求。 </w:t>
            </w:r>
          </w:p>
          <w:p w14:paraId="01464A29">
            <w:pPr>
              <w:widowControl/>
              <w:textAlignment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kern w:val="0"/>
                <w:sz w:val="24"/>
                <w:szCs w:val="24"/>
                <w:highlight w:val="none"/>
              </w:rPr>
              <w:t>适用于自动化干散货码头自卸车的远程操作作业。</w:t>
            </w:r>
          </w:p>
        </w:tc>
        <w:tc>
          <w:tcPr>
            <w:tcW w:w="241" w:type="pct"/>
            <w:vAlign w:val="center"/>
          </w:tcPr>
          <w:p w14:paraId="7A8FDBC9">
            <w:pPr>
              <w:jc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bCs/>
                <w:color w:val="auto"/>
                <w:sz w:val="24"/>
                <w:szCs w:val="24"/>
                <w:highlight w:val="none"/>
              </w:rPr>
              <w:t>制定</w:t>
            </w:r>
          </w:p>
        </w:tc>
        <w:tc>
          <w:tcPr>
            <w:tcW w:w="467" w:type="pct"/>
            <w:vAlign w:val="center"/>
          </w:tcPr>
          <w:p w14:paraId="05408882">
            <w:pPr>
              <w:widowControl/>
              <w:jc w:val="center"/>
              <w:textAlignment w:val="center"/>
              <w:rPr>
                <w:rFonts w:ascii="Times New Roman" w:hAnsi="Times New Roman" w:eastAsia="仿宋_GB2312" w:cs="Times New Roman"/>
                <w:bCs/>
                <w:color w:val="auto"/>
                <w:sz w:val="24"/>
                <w:szCs w:val="24"/>
                <w:highlight w:val="none"/>
              </w:rPr>
            </w:pPr>
          </w:p>
        </w:tc>
        <w:tc>
          <w:tcPr>
            <w:tcW w:w="311" w:type="pct"/>
            <w:shd w:val="clear" w:color="auto" w:fill="auto"/>
            <w:vAlign w:val="center"/>
          </w:tcPr>
          <w:p w14:paraId="563751C2">
            <w:pPr>
              <w:widowControl/>
              <w:jc w:val="center"/>
              <w:textAlignment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color w:val="auto"/>
                <w:kern w:val="0"/>
                <w:sz w:val="24"/>
                <w:szCs w:val="24"/>
                <w:highlight w:val="none"/>
              </w:rPr>
              <w:t>12</w:t>
            </w:r>
          </w:p>
        </w:tc>
        <w:tc>
          <w:tcPr>
            <w:tcW w:w="409" w:type="pct"/>
            <w:shd w:val="clear" w:color="auto" w:fill="auto"/>
            <w:vAlign w:val="center"/>
          </w:tcPr>
          <w:p w14:paraId="17CFDD07">
            <w:pPr>
              <w:widowControl/>
              <w:jc w:val="center"/>
              <w:textAlignment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color w:val="auto"/>
                <w:kern w:val="0"/>
                <w:sz w:val="24"/>
                <w:szCs w:val="24"/>
                <w:highlight w:val="none"/>
              </w:rPr>
              <w:t>港口标委会</w:t>
            </w:r>
          </w:p>
        </w:tc>
        <w:tc>
          <w:tcPr>
            <w:tcW w:w="1196" w:type="pct"/>
            <w:shd w:val="clear" w:color="auto" w:fill="auto"/>
            <w:vAlign w:val="center"/>
          </w:tcPr>
          <w:p w14:paraId="1EC8C2C7">
            <w:pPr>
              <w:widowControl/>
              <w:textAlignment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kern w:val="0"/>
                <w:sz w:val="24"/>
                <w:szCs w:val="24"/>
                <w:highlight w:val="none"/>
              </w:rPr>
              <w:t>交通运输部水运科学研究所、山东省港口集团有限公司、山东朝辉自动化科技有限责任公司</w:t>
            </w:r>
          </w:p>
        </w:tc>
      </w:tr>
      <w:tr w14:paraId="2E179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9" w:type="pct"/>
            <w:vAlign w:val="center"/>
          </w:tcPr>
          <w:p w14:paraId="655602A9">
            <w:pPr>
              <w:pStyle w:val="11"/>
              <w:numPr>
                <w:ilvl w:val="0"/>
                <w:numId w:val="1"/>
              </w:numPr>
              <w:ind w:left="0" w:firstLine="0" w:firstLineChars="0"/>
              <w:jc w:val="center"/>
              <w:rPr>
                <w:rFonts w:ascii="Times New Roman" w:hAnsi="Times New Roman" w:eastAsia="仿宋_GB2312" w:cs="Times New Roman"/>
                <w:bCs/>
                <w:color w:val="auto"/>
                <w:sz w:val="24"/>
                <w:szCs w:val="24"/>
                <w:highlight w:val="none"/>
              </w:rPr>
            </w:pPr>
          </w:p>
        </w:tc>
        <w:tc>
          <w:tcPr>
            <w:tcW w:w="613" w:type="pct"/>
            <w:vAlign w:val="center"/>
          </w:tcPr>
          <w:p w14:paraId="78207BAC">
            <w:pPr>
              <w:widowControl/>
              <w:jc w:val="left"/>
              <w:textAlignment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kern w:val="0"/>
                <w:sz w:val="24"/>
                <w:szCs w:val="24"/>
                <w:highlight w:val="none"/>
              </w:rPr>
              <w:t>港口能耗和碳排放监测管理系统技术要求</w:t>
            </w:r>
          </w:p>
        </w:tc>
        <w:tc>
          <w:tcPr>
            <w:tcW w:w="1570" w:type="pct"/>
            <w:vAlign w:val="center"/>
          </w:tcPr>
          <w:p w14:paraId="0BAB6DD3">
            <w:pPr>
              <w:widowControl/>
              <w:textAlignment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现行标准规定了港口能耗在线监测系统的系统架构，以及功能、性能、质量和安全等的技术要求。适用于港口能耗在线监测系统的设计、开发和建设。</w:t>
            </w:r>
          </w:p>
          <w:p w14:paraId="6C4148FD">
            <w:pPr>
              <w:widowControl/>
              <w:textAlignment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b/>
                <w:bCs/>
                <w:color w:val="auto"/>
                <w:kern w:val="0"/>
                <w:sz w:val="24"/>
                <w:szCs w:val="24"/>
                <w:highlight w:val="none"/>
              </w:rPr>
              <w:t>主要修订内容：</w:t>
            </w:r>
            <w:r>
              <w:rPr>
                <w:rFonts w:ascii="Times New Roman" w:hAnsi="Times New Roman" w:eastAsia="仿宋_GB2312" w:cs="Times New Roman"/>
                <w:color w:val="auto"/>
                <w:kern w:val="0"/>
                <w:sz w:val="24"/>
                <w:szCs w:val="24"/>
                <w:highlight w:val="none"/>
              </w:rPr>
              <w:t>1.增加碳计量和碳排放直接测量计量器具的定义；2.增加碳排放计量器具配备的要求；3.更改能耗和碳排放数据采集系统的数据采集功能要求；4.增加港口能耗在线监测系统对能耗数据、碳排放数据采集的内容；5.增加港口能耗和碳排放监测管理系统应用软件在碳排放数据、可再生能源发电及消纳数据、电力调度数据、碳抵消数据采集及化石能源消费预算管理、碳排放交易管理等功能要求；6.增加分项碳排放计量和分项碳排放统计分析的内容要求；7.更改分项能耗和碳排放子项划分等。</w:t>
            </w:r>
          </w:p>
        </w:tc>
        <w:tc>
          <w:tcPr>
            <w:tcW w:w="241" w:type="pct"/>
            <w:vAlign w:val="center"/>
          </w:tcPr>
          <w:p w14:paraId="5B78E2A2">
            <w:pPr>
              <w:jc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修订</w:t>
            </w:r>
          </w:p>
        </w:tc>
        <w:tc>
          <w:tcPr>
            <w:tcW w:w="467" w:type="pct"/>
            <w:vAlign w:val="center"/>
          </w:tcPr>
          <w:p w14:paraId="1C387303">
            <w:pPr>
              <w:widowControl/>
              <w:jc w:val="center"/>
              <w:textAlignment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color w:val="auto"/>
                <w:kern w:val="0"/>
                <w:sz w:val="24"/>
                <w:szCs w:val="24"/>
                <w:highlight w:val="none"/>
              </w:rPr>
              <w:t>JT/T 1277-2019</w:t>
            </w:r>
          </w:p>
        </w:tc>
        <w:tc>
          <w:tcPr>
            <w:tcW w:w="311" w:type="pct"/>
            <w:shd w:val="clear" w:color="auto" w:fill="auto"/>
            <w:vAlign w:val="center"/>
          </w:tcPr>
          <w:p w14:paraId="415D307C">
            <w:pPr>
              <w:widowControl/>
              <w:jc w:val="center"/>
              <w:textAlignment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color w:val="auto"/>
                <w:kern w:val="0"/>
                <w:sz w:val="24"/>
                <w:szCs w:val="24"/>
                <w:highlight w:val="none"/>
              </w:rPr>
              <w:t>12</w:t>
            </w:r>
          </w:p>
        </w:tc>
        <w:tc>
          <w:tcPr>
            <w:tcW w:w="409" w:type="pct"/>
            <w:shd w:val="clear" w:color="auto" w:fill="auto"/>
            <w:vAlign w:val="center"/>
          </w:tcPr>
          <w:p w14:paraId="03F0C4B4">
            <w:pPr>
              <w:widowControl/>
              <w:jc w:val="center"/>
              <w:textAlignment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color w:val="auto"/>
                <w:kern w:val="0"/>
                <w:sz w:val="24"/>
                <w:szCs w:val="24"/>
                <w:highlight w:val="none"/>
              </w:rPr>
              <w:t>港口标委会</w:t>
            </w:r>
          </w:p>
        </w:tc>
        <w:tc>
          <w:tcPr>
            <w:tcW w:w="1196" w:type="pct"/>
            <w:shd w:val="clear" w:color="auto" w:fill="auto"/>
            <w:vAlign w:val="center"/>
          </w:tcPr>
          <w:p w14:paraId="1FE2BAF3">
            <w:pPr>
              <w:widowControl/>
              <w:textAlignment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kern w:val="0"/>
                <w:sz w:val="24"/>
                <w:szCs w:val="24"/>
                <w:highlight w:val="none"/>
              </w:rPr>
              <w:t>交通运输部水运科学研究所</w:t>
            </w:r>
            <w:r>
              <w:rPr>
                <w:rFonts w:hint="eastAsia" w:ascii="Times New Roman" w:hAnsi="Times New Roman" w:eastAsia="仿宋_GB2312" w:cs="Times New Roman"/>
                <w:color w:val="auto"/>
                <w:kern w:val="0"/>
                <w:sz w:val="24"/>
                <w:szCs w:val="24"/>
                <w:highlight w:val="none"/>
              </w:rPr>
              <w:t>、国能黄骅港务有限责任公司、日照港集团有限公司、宁波北仑第三集装箱码头有限公司</w:t>
            </w:r>
          </w:p>
        </w:tc>
      </w:tr>
      <w:tr w14:paraId="36256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9" w:type="pct"/>
            <w:vAlign w:val="center"/>
          </w:tcPr>
          <w:p w14:paraId="6A9EBF97">
            <w:pPr>
              <w:pStyle w:val="11"/>
              <w:numPr>
                <w:ilvl w:val="0"/>
                <w:numId w:val="1"/>
              </w:numPr>
              <w:ind w:left="0" w:firstLine="0" w:firstLineChars="0"/>
              <w:jc w:val="center"/>
              <w:rPr>
                <w:rFonts w:ascii="Times New Roman" w:hAnsi="Times New Roman" w:eastAsia="仿宋_GB2312" w:cs="Times New Roman"/>
                <w:bCs/>
                <w:color w:val="auto"/>
                <w:sz w:val="24"/>
                <w:szCs w:val="24"/>
                <w:highlight w:val="none"/>
              </w:rPr>
            </w:pPr>
          </w:p>
        </w:tc>
        <w:tc>
          <w:tcPr>
            <w:tcW w:w="613" w:type="pct"/>
            <w:vAlign w:val="center"/>
          </w:tcPr>
          <w:p w14:paraId="1E7C6001">
            <w:pPr>
              <w:widowControl/>
              <w:jc w:val="left"/>
              <w:textAlignment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kern w:val="0"/>
                <w:sz w:val="24"/>
                <w:szCs w:val="24"/>
                <w:highlight w:val="none"/>
              </w:rPr>
              <w:t>中国港口代码</w:t>
            </w:r>
          </w:p>
        </w:tc>
        <w:tc>
          <w:tcPr>
            <w:tcW w:w="1570" w:type="pct"/>
            <w:vAlign w:val="center"/>
          </w:tcPr>
          <w:p w14:paraId="3AE981EA">
            <w:pPr>
              <w:widowControl/>
              <w:textAlignment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 xml:space="preserve">现行标准规定了我国港口代码的编码规则、新增港口编码要求，以及沿海、内河港口的代码表。适用于我国沿海和内河港口统计、数据库以及相关管理信息系统、电子数据交换等的规范设计与开发应用。 </w:t>
            </w:r>
          </w:p>
          <w:p w14:paraId="78D17E91">
            <w:pPr>
              <w:widowControl/>
              <w:textAlignment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b/>
                <w:bCs/>
                <w:color w:val="auto"/>
                <w:kern w:val="0"/>
                <w:sz w:val="24"/>
                <w:szCs w:val="24"/>
                <w:highlight w:val="none"/>
              </w:rPr>
              <w:t>主要修订内容：</w:t>
            </w:r>
            <w:r>
              <w:rPr>
                <w:rFonts w:ascii="Times New Roman" w:hAnsi="Times New Roman" w:eastAsia="仿宋_GB2312" w:cs="Times New Roman"/>
                <w:color w:val="auto"/>
                <w:kern w:val="0"/>
                <w:sz w:val="24"/>
                <w:szCs w:val="24"/>
                <w:highlight w:val="none"/>
              </w:rPr>
              <w:t>1.</w:t>
            </w:r>
            <w:r>
              <w:rPr>
                <w:rFonts w:hint="eastAsia" w:ascii="Times New Roman" w:hAnsi="Times New Roman" w:eastAsia="仿宋_GB2312" w:cs="Times New Roman"/>
                <w:color w:val="auto"/>
                <w:kern w:val="0"/>
                <w:sz w:val="24"/>
                <w:szCs w:val="24"/>
                <w:highlight w:val="none"/>
              </w:rPr>
              <w:t>更改</w:t>
            </w:r>
            <w:r>
              <w:rPr>
                <w:rFonts w:ascii="Times New Roman" w:hAnsi="Times New Roman" w:eastAsia="仿宋_GB2312" w:cs="Times New Roman"/>
                <w:color w:val="auto"/>
                <w:kern w:val="0"/>
                <w:sz w:val="24"/>
                <w:szCs w:val="24"/>
                <w:highlight w:val="none"/>
              </w:rPr>
              <w:t>沿海港口代码表、内河港口代码表；2.增加本标准与JT/T 24</w:t>
            </w:r>
            <w:r>
              <w:rPr>
                <w:rFonts w:hint="eastAsia" w:ascii="Times New Roman" w:hAnsi="Times New Roman" w:eastAsia="仿宋_GB2312" w:cs="Times New Roman"/>
                <w:color w:val="auto"/>
                <w:kern w:val="0"/>
                <w:sz w:val="24"/>
                <w:szCs w:val="24"/>
                <w:highlight w:val="none"/>
              </w:rPr>
              <w:t>-</w:t>
            </w:r>
            <w:r>
              <w:rPr>
                <w:rFonts w:ascii="Times New Roman" w:hAnsi="Times New Roman" w:eastAsia="仿宋_GB2312" w:cs="Times New Roman"/>
                <w:color w:val="auto"/>
                <w:kern w:val="0"/>
                <w:sz w:val="24"/>
                <w:szCs w:val="24"/>
                <w:highlight w:val="none"/>
              </w:rPr>
              <w:t>2015及GB/T 7407</w:t>
            </w:r>
            <w:r>
              <w:rPr>
                <w:rFonts w:hint="eastAsia" w:ascii="Times New Roman" w:hAnsi="Times New Roman" w:eastAsia="仿宋_GB2312" w:cs="Times New Roman"/>
                <w:color w:val="auto"/>
                <w:kern w:val="0"/>
                <w:sz w:val="24"/>
                <w:szCs w:val="24"/>
                <w:highlight w:val="none"/>
              </w:rPr>
              <w:t>-</w:t>
            </w:r>
            <w:r>
              <w:rPr>
                <w:rFonts w:ascii="Times New Roman" w:hAnsi="Times New Roman" w:eastAsia="仿宋_GB2312" w:cs="Times New Roman"/>
                <w:color w:val="auto"/>
                <w:kern w:val="0"/>
                <w:sz w:val="24"/>
                <w:szCs w:val="24"/>
                <w:highlight w:val="none"/>
              </w:rPr>
              <w:t>2024的港口代码对照表；3.增</w:t>
            </w:r>
            <w:r>
              <w:rPr>
                <w:rFonts w:hint="eastAsia" w:ascii="Times New Roman" w:hAnsi="Times New Roman" w:eastAsia="仿宋_GB2312" w:cs="Times New Roman"/>
                <w:color w:val="auto"/>
                <w:kern w:val="0"/>
                <w:sz w:val="24"/>
                <w:szCs w:val="24"/>
                <w:highlight w:val="none"/>
              </w:rPr>
              <w:t>加</w:t>
            </w:r>
            <w:r>
              <w:rPr>
                <w:rFonts w:ascii="Times New Roman" w:hAnsi="Times New Roman" w:eastAsia="仿宋_GB2312" w:cs="Times New Roman"/>
                <w:color w:val="auto"/>
                <w:kern w:val="0"/>
                <w:sz w:val="24"/>
                <w:szCs w:val="24"/>
                <w:highlight w:val="none"/>
              </w:rPr>
              <w:t>港口代码49个，</w:t>
            </w:r>
            <w:r>
              <w:rPr>
                <w:rFonts w:hint="eastAsia" w:ascii="Times New Roman" w:hAnsi="Times New Roman" w:eastAsia="仿宋_GB2312" w:cs="Times New Roman"/>
                <w:color w:val="auto"/>
                <w:kern w:val="0"/>
                <w:sz w:val="24"/>
                <w:szCs w:val="24"/>
                <w:highlight w:val="none"/>
              </w:rPr>
              <w:t>更改</w:t>
            </w:r>
            <w:r>
              <w:rPr>
                <w:rFonts w:ascii="Times New Roman" w:hAnsi="Times New Roman" w:eastAsia="仿宋_GB2312" w:cs="Times New Roman"/>
                <w:color w:val="auto"/>
                <w:kern w:val="0"/>
                <w:sz w:val="24"/>
                <w:szCs w:val="24"/>
                <w:highlight w:val="none"/>
              </w:rPr>
              <w:t>港口代码6个，合并或者减少港口代码114个。</w:t>
            </w:r>
          </w:p>
        </w:tc>
        <w:tc>
          <w:tcPr>
            <w:tcW w:w="241" w:type="pct"/>
            <w:vAlign w:val="center"/>
          </w:tcPr>
          <w:p w14:paraId="729432AA">
            <w:pPr>
              <w:jc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修订</w:t>
            </w:r>
          </w:p>
        </w:tc>
        <w:tc>
          <w:tcPr>
            <w:tcW w:w="467" w:type="pct"/>
            <w:vAlign w:val="center"/>
          </w:tcPr>
          <w:p w14:paraId="2654D0BA">
            <w:pPr>
              <w:widowControl/>
              <w:jc w:val="center"/>
              <w:textAlignment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color w:val="auto"/>
                <w:kern w:val="0"/>
                <w:sz w:val="24"/>
                <w:szCs w:val="24"/>
                <w:highlight w:val="none"/>
              </w:rPr>
              <w:t>JT/T 24</w:t>
            </w:r>
            <w:r>
              <w:rPr>
                <w:rFonts w:hint="eastAsia" w:ascii="Times New Roman" w:hAnsi="Times New Roman" w:eastAsia="仿宋_GB2312" w:cs="Times New Roman"/>
                <w:color w:val="auto"/>
                <w:kern w:val="0"/>
                <w:sz w:val="24"/>
                <w:szCs w:val="24"/>
                <w:highlight w:val="none"/>
              </w:rPr>
              <w:t>-</w:t>
            </w:r>
            <w:r>
              <w:rPr>
                <w:rFonts w:ascii="Times New Roman" w:hAnsi="Times New Roman" w:eastAsia="仿宋_GB2312" w:cs="Times New Roman"/>
                <w:color w:val="auto"/>
                <w:kern w:val="0"/>
                <w:sz w:val="24"/>
                <w:szCs w:val="24"/>
                <w:highlight w:val="none"/>
              </w:rPr>
              <w:t>2015</w:t>
            </w:r>
          </w:p>
        </w:tc>
        <w:tc>
          <w:tcPr>
            <w:tcW w:w="311" w:type="pct"/>
            <w:shd w:val="clear" w:color="auto" w:fill="auto"/>
            <w:vAlign w:val="center"/>
          </w:tcPr>
          <w:p w14:paraId="1653D160">
            <w:pPr>
              <w:widowControl/>
              <w:jc w:val="center"/>
              <w:textAlignment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color w:val="auto"/>
                <w:kern w:val="0"/>
                <w:sz w:val="24"/>
                <w:szCs w:val="24"/>
                <w:highlight w:val="none"/>
              </w:rPr>
              <w:t>12</w:t>
            </w:r>
          </w:p>
        </w:tc>
        <w:tc>
          <w:tcPr>
            <w:tcW w:w="409" w:type="pct"/>
            <w:shd w:val="clear" w:color="auto" w:fill="auto"/>
            <w:vAlign w:val="center"/>
          </w:tcPr>
          <w:p w14:paraId="61B63568">
            <w:pPr>
              <w:widowControl/>
              <w:jc w:val="center"/>
              <w:textAlignment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color w:val="auto"/>
                <w:kern w:val="0"/>
                <w:sz w:val="24"/>
                <w:szCs w:val="24"/>
                <w:highlight w:val="none"/>
              </w:rPr>
              <w:t>港口</w:t>
            </w:r>
            <w:r>
              <w:rPr>
                <w:rFonts w:hint="eastAsia" w:ascii="Times New Roman" w:hAnsi="Times New Roman" w:eastAsia="仿宋_GB2312" w:cs="Times New Roman"/>
                <w:color w:val="auto"/>
                <w:sz w:val="24"/>
                <w:szCs w:val="24"/>
                <w:highlight w:val="none"/>
              </w:rPr>
              <w:t>标委会</w:t>
            </w:r>
          </w:p>
        </w:tc>
        <w:tc>
          <w:tcPr>
            <w:tcW w:w="1196" w:type="pct"/>
            <w:shd w:val="clear" w:color="auto" w:fill="auto"/>
            <w:vAlign w:val="center"/>
          </w:tcPr>
          <w:p w14:paraId="5EEEAFC7">
            <w:pPr>
              <w:widowControl/>
              <w:textAlignment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kern w:val="0"/>
                <w:sz w:val="24"/>
                <w:szCs w:val="24"/>
                <w:highlight w:val="none"/>
              </w:rPr>
              <w:t>交通运输部科学研究院、港联航人工智能科技（上海）有限公司、河北港口集团有限公司</w:t>
            </w:r>
          </w:p>
        </w:tc>
      </w:tr>
      <w:tr w14:paraId="25D8B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9" w:type="pct"/>
            <w:vAlign w:val="center"/>
          </w:tcPr>
          <w:p w14:paraId="7619B5DF">
            <w:pPr>
              <w:pStyle w:val="11"/>
              <w:numPr>
                <w:ilvl w:val="0"/>
                <w:numId w:val="1"/>
              </w:numPr>
              <w:ind w:left="0" w:firstLine="0" w:firstLineChars="0"/>
              <w:jc w:val="center"/>
              <w:rPr>
                <w:rFonts w:ascii="Times New Roman" w:hAnsi="Times New Roman" w:eastAsia="仿宋_GB2312" w:cs="Times New Roman"/>
                <w:bCs/>
                <w:color w:val="auto"/>
                <w:sz w:val="24"/>
                <w:szCs w:val="24"/>
                <w:highlight w:val="none"/>
              </w:rPr>
            </w:pPr>
          </w:p>
        </w:tc>
        <w:tc>
          <w:tcPr>
            <w:tcW w:w="613" w:type="pct"/>
            <w:vAlign w:val="center"/>
          </w:tcPr>
          <w:p w14:paraId="430E1B5A">
            <w:pPr>
              <w:widowControl/>
              <w:jc w:val="left"/>
              <w:textAlignment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kern w:val="0"/>
                <w:sz w:val="24"/>
                <w:szCs w:val="24"/>
                <w:highlight w:val="none"/>
              </w:rPr>
              <w:t>公共汽车类型划分及等级评定</w:t>
            </w:r>
          </w:p>
        </w:tc>
        <w:tc>
          <w:tcPr>
            <w:tcW w:w="1570" w:type="pct"/>
            <w:vAlign w:val="center"/>
          </w:tcPr>
          <w:p w14:paraId="2ECBF84D">
            <w:pPr>
              <w:widowControl/>
              <w:textAlignment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kern w:val="0"/>
                <w:sz w:val="24"/>
                <w:szCs w:val="24"/>
                <w:highlight w:val="none"/>
              </w:rPr>
              <w:t>现行标准规定了公共汽车类型、等级划分及评定内容、规则和要求。适用于公共汽车的等级评定。</w:t>
            </w:r>
            <w:r>
              <w:rPr>
                <w:rFonts w:ascii="Times New Roman" w:hAnsi="Times New Roman" w:eastAsia="仿宋_GB2312" w:cs="Times New Roman"/>
                <w:color w:val="auto"/>
                <w:kern w:val="0"/>
                <w:sz w:val="24"/>
                <w:szCs w:val="24"/>
                <w:highlight w:val="none"/>
              </w:rPr>
              <w:br w:type="textWrapping"/>
            </w:r>
            <w:r>
              <w:rPr>
                <w:rFonts w:ascii="Times New Roman" w:hAnsi="Times New Roman" w:eastAsia="仿宋_GB2312" w:cs="Times New Roman"/>
                <w:b/>
                <w:bCs/>
                <w:color w:val="auto"/>
                <w:kern w:val="0"/>
                <w:sz w:val="24"/>
                <w:szCs w:val="24"/>
                <w:highlight w:val="none"/>
              </w:rPr>
              <w:t>主要修订内容：</w:t>
            </w:r>
            <w:r>
              <w:rPr>
                <w:rFonts w:ascii="Times New Roman" w:hAnsi="Times New Roman" w:eastAsia="仿宋_GB2312" w:cs="Times New Roman"/>
                <w:color w:val="auto"/>
                <w:kern w:val="0"/>
                <w:sz w:val="24"/>
                <w:szCs w:val="24"/>
                <w:highlight w:val="none"/>
              </w:rPr>
              <w:t>1.增加客车车内噪声限值的要求；2.增加乘客门应急控制器的抑制功能；3.增加无站立公共汽车的座椅及其固定件强度要求；4.增加无站立公共汽车的座椅安全带及其固定点的要求；5.增加无站立公共汽车安全带提醒标识和未佩戴安全带的信号报警要求；6.增加电子制动系统（EBS）的设置。</w:t>
            </w:r>
          </w:p>
        </w:tc>
        <w:tc>
          <w:tcPr>
            <w:tcW w:w="241" w:type="pct"/>
            <w:vAlign w:val="center"/>
          </w:tcPr>
          <w:p w14:paraId="341AFA52">
            <w:pPr>
              <w:jc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修订</w:t>
            </w:r>
          </w:p>
        </w:tc>
        <w:tc>
          <w:tcPr>
            <w:tcW w:w="467" w:type="pct"/>
            <w:vAlign w:val="center"/>
          </w:tcPr>
          <w:p w14:paraId="5445E2BD">
            <w:pPr>
              <w:widowControl/>
              <w:jc w:val="center"/>
              <w:textAlignment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color w:val="auto"/>
                <w:kern w:val="0"/>
                <w:sz w:val="24"/>
                <w:szCs w:val="24"/>
                <w:highlight w:val="none"/>
              </w:rPr>
              <w:t>JT/T 888-2020</w:t>
            </w:r>
          </w:p>
        </w:tc>
        <w:tc>
          <w:tcPr>
            <w:tcW w:w="311" w:type="pct"/>
            <w:shd w:val="clear" w:color="auto" w:fill="auto"/>
            <w:vAlign w:val="center"/>
          </w:tcPr>
          <w:p w14:paraId="433C2753">
            <w:pPr>
              <w:widowControl/>
              <w:jc w:val="center"/>
              <w:textAlignment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color w:val="auto"/>
                <w:kern w:val="0"/>
                <w:sz w:val="24"/>
                <w:szCs w:val="24"/>
                <w:highlight w:val="none"/>
              </w:rPr>
              <w:t>12</w:t>
            </w:r>
          </w:p>
        </w:tc>
        <w:tc>
          <w:tcPr>
            <w:tcW w:w="409" w:type="pct"/>
            <w:shd w:val="clear" w:color="auto" w:fill="auto"/>
            <w:vAlign w:val="center"/>
          </w:tcPr>
          <w:p w14:paraId="0C79FD7F">
            <w:pPr>
              <w:widowControl/>
              <w:jc w:val="center"/>
              <w:textAlignment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color w:val="auto"/>
                <w:kern w:val="0"/>
                <w:sz w:val="24"/>
                <w:szCs w:val="24"/>
                <w:highlight w:val="none"/>
              </w:rPr>
              <w:t>客车分委会</w:t>
            </w:r>
          </w:p>
        </w:tc>
        <w:tc>
          <w:tcPr>
            <w:tcW w:w="1196" w:type="pct"/>
            <w:shd w:val="clear" w:color="auto" w:fill="auto"/>
            <w:vAlign w:val="center"/>
          </w:tcPr>
          <w:p w14:paraId="47A570BB">
            <w:pPr>
              <w:widowControl/>
              <w:textAlignment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kern w:val="0"/>
                <w:sz w:val="24"/>
                <w:szCs w:val="24"/>
                <w:highlight w:val="none"/>
              </w:rPr>
              <w:t>中国公路车辆机械有限公司</w:t>
            </w:r>
            <w:r>
              <w:rPr>
                <w:rFonts w:hint="eastAsia" w:ascii="Times New Roman" w:hAnsi="Times New Roman" w:eastAsia="仿宋_GB2312" w:cs="Times New Roman"/>
                <w:color w:val="auto"/>
                <w:kern w:val="0"/>
                <w:sz w:val="24"/>
                <w:szCs w:val="24"/>
                <w:highlight w:val="none"/>
              </w:rPr>
              <w:t>、宇通客车股份有限公司、厦门金龙旅行车有限公司</w:t>
            </w:r>
          </w:p>
        </w:tc>
      </w:tr>
      <w:tr w14:paraId="14940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9" w:type="pct"/>
            <w:vAlign w:val="center"/>
          </w:tcPr>
          <w:p w14:paraId="5E04B64E">
            <w:pPr>
              <w:pStyle w:val="11"/>
              <w:numPr>
                <w:ilvl w:val="0"/>
                <w:numId w:val="1"/>
              </w:numPr>
              <w:ind w:left="0" w:firstLine="0" w:firstLineChars="0"/>
              <w:jc w:val="center"/>
              <w:rPr>
                <w:rFonts w:ascii="Times New Roman" w:hAnsi="Times New Roman" w:eastAsia="仿宋_GB2312" w:cs="Times New Roman"/>
                <w:bCs/>
                <w:color w:val="auto"/>
                <w:sz w:val="24"/>
                <w:szCs w:val="24"/>
                <w:highlight w:val="none"/>
              </w:rPr>
            </w:pPr>
          </w:p>
        </w:tc>
        <w:tc>
          <w:tcPr>
            <w:tcW w:w="613" w:type="pct"/>
            <w:vAlign w:val="center"/>
          </w:tcPr>
          <w:p w14:paraId="41F9AC7C">
            <w:pPr>
              <w:widowControl/>
              <w:jc w:val="left"/>
              <w:textAlignment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kern w:val="0"/>
                <w:sz w:val="24"/>
                <w:szCs w:val="24"/>
                <w:highlight w:val="none"/>
              </w:rPr>
              <w:t>燃料电池客车技术规范</w:t>
            </w:r>
          </w:p>
        </w:tc>
        <w:tc>
          <w:tcPr>
            <w:tcW w:w="1570" w:type="pct"/>
            <w:vAlign w:val="center"/>
          </w:tcPr>
          <w:p w14:paraId="6505FCBC">
            <w:pPr>
              <w:widowControl/>
              <w:textAlignment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kern w:val="0"/>
                <w:sz w:val="24"/>
                <w:szCs w:val="24"/>
                <w:highlight w:val="none"/>
              </w:rPr>
              <w:t>现行标准规定了燃料电池客车的技术要求、试验方法、标志、运输及储存。适用于M</w:t>
            </w:r>
            <w:r>
              <w:rPr>
                <w:rFonts w:ascii="Times New Roman" w:hAnsi="Times New Roman" w:eastAsia="仿宋_GB2312" w:cs="Times New Roman"/>
                <w:color w:val="auto"/>
                <w:kern w:val="0"/>
                <w:sz w:val="24"/>
                <w:szCs w:val="24"/>
                <w:highlight w:val="none"/>
                <w:vertAlign w:val="subscript"/>
              </w:rPr>
              <w:t>2</w:t>
            </w:r>
            <w:r>
              <w:rPr>
                <w:rFonts w:ascii="Times New Roman" w:hAnsi="Times New Roman" w:eastAsia="仿宋_GB2312" w:cs="Times New Roman"/>
                <w:color w:val="auto"/>
                <w:kern w:val="0"/>
                <w:sz w:val="24"/>
                <w:szCs w:val="24"/>
                <w:highlight w:val="none"/>
              </w:rPr>
              <w:t>、M</w:t>
            </w:r>
            <w:r>
              <w:rPr>
                <w:rFonts w:ascii="Times New Roman" w:hAnsi="Times New Roman" w:eastAsia="仿宋_GB2312" w:cs="Times New Roman"/>
                <w:color w:val="auto"/>
                <w:kern w:val="0"/>
                <w:sz w:val="24"/>
                <w:szCs w:val="24"/>
                <w:highlight w:val="none"/>
                <w:vertAlign w:val="subscript"/>
              </w:rPr>
              <w:t>3</w:t>
            </w:r>
            <w:r>
              <w:rPr>
                <w:rFonts w:ascii="Times New Roman" w:hAnsi="Times New Roman" w:eastAsia="仿宋_GB2312" w:cs="Times New Roman"/>
                <w:color w:val="auto"/>
                <w:kern w:val="0"/>
                <w:sz w:val="24"/>
                <w:szCs w:val="24"/>
                <w:highlight w:val="none"/>
              </w:rPr>
              <w:t>类氢燃料电池客车。</w:t>
            </w:r>
            <w:r>
              <w:rPr>
                <w:rFonts w:ascii="Times New Roman" w:hAnsi="Times New Roman" w:eastAsia="仿宋_GB2312" w:cs="Times New Roman"/>
                <w:color w:val="auto"/>
                <w:kern w:val="0"/>
                <w:sz w:val="24"/>
                <w:szCs w:val="24"/>
                <w:highlight w:val="none"/>
              </w:rPr>
              <w:br w:type="textWrapping"/>
            </w:r>
            <w:r>
              <w:rPr>
                <w:rFonts w:ascii="Times New Roman" w:hAnsi="Times New Roman" w:eastAsia="仿宋_GB2312" w:cs="Times New Roman"/>
                <w:b/>
                <w:bCs/>
                <w:color w:val="auto"/>
                <w:kern w:val="0"/>
                <w:sz w:val="24"/>
                <w:szCs w:val="24"/>
                <w:highlight w:val="none"/>
              </w:rPr>
              <w:t>主要修订内容：</w:t>
            </w:r>
            <w:r>
              <w:rPr>
                <w:rFonts w:ascii="Times New Roman" w:hAnsi="Times New Roman" w:eastAsia="仿宋_GB2312" w:cs="Times New Roman"/>
                <w:color w:val="auto"/>
                <w:kern w:val="0"/>
                <w:sz w:val="24"/>
                <w:szCs w:val="24"/>
                <w:highlight w:val="none"/>
              </w:rPr>
              <w:t>1.更改M</w:t>
            </w:r>
            <w:r>
              <w:rPr>
                <w:rFonts w:ascii="Times New Roman" w:hAnsi="Times New Roman" w:eastAsia="仿宋_GB2312" w:cs="Times New Roman"/>
                <w:color w:val="auto"/>
                <w:kern w:val="0"/>
                <w:sz w:val="24"/>
                <w:szCs w:val="24"/>
                <w:highlight w:val="none"/>
                <w:vertAlign w:val="subscript"/>
              </w:rPr>
              <w:t>2</w:t>
            </w:r>
            <w:r>
              <w:rPr>
                <w:rFonts w:ascii="Times New Roman" w:hAnsi="Times New Roman" w:eastAsia="仿宋_GB2312" w:cs="Times New Roman"/>
                <w:color w:val="auto"/>
                <w:kern w:val="0"/>
                <w:sz w:val="24"/>
                <w:szCs w:val="24"/>
                <w:highlight w:val="none"/>
              </w:rPr>
              <w:t>、M</w:t>
            </w:r>
            <w:r>
              <w:rPr>
                <w:rFonts w:ascii="Times New Roman" w:hAnsi="Times New Roman" w:eastAsia="仿宋_GB2312" w:cs="Times New Roman"/>
                <w:color w:val="auto"/>
                <w:kern w:val="0"/>
                <w:sz w:val="24"/>
                <w:szCs w:val="24"/>
                <w:highlight w:val="none"/>
                <w:vertAlign w:val="subscript"/>
              </w:rPr>
              <w:t>3</w:t>
            </w:r>
            <w:r>
              <w:rPr>
                <w:rFonts w:ascii="Times New Roman" w:hAnsi="Times New Roman" w:eastAsia="仿宋_GB2312" w:cs="Times New Roman"/>
                <w:color w:val="auto"/>
                <w:kern w:val="0"/>
                <w:sz w:val="24"/>
                <w:szCs w:val="24"/>
                <w:highlight w:val="none"/>
              </w:rPr>
              <w:t>中的B级、Ⅱ级、Ⅲ级客车最大爬坡度的要求；2.增加纯氢续驶里程测试方法及数据处理方法；3.更改燃料电池系统额定功率要求，增加燃料电池最低启动温度要求；4.增加高压警告标志要求；5.增加燃料电池系统空压机电压要求。</w:t>
            </w:r>
          </w:p>
        </w:tc>
        <w:tc>
          <w:tcPr>
            <w:tcW w:w="241" w:type="pct"/>
            <w:vAlign w:val="center"/>
          </w:tcPr>
          <w:p w14:paraId="4A032AB2">
            <w:pPr>
              <w:jc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修订</w:t>
            </w:r>
          </w:p>
        </w:tc>
        <w:tc>
          <w:tcPr>
            <w:tcW w:w="467" w:type="pct"/>
            <w:vAlign w:val="center"/>
          </w:tcPr>
          <w:p w14:paraId="3F42A9BD">
            <w:pPr>
              <w:widowControl/>
              <w:jc w:val="center"/>
              <w:textAlignment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color w:val="auto"/>
                <w:kern w:val="0"/>
                <w:sz w:val="24"/>
                <w:szCs w:val="24"/>
                <w:highlight w:val="none"/>
              </w:rPr>
              <w:t>JT/T 1342-2020</w:t>
            </w:r>
          </w:p>
        </w:tc>
        <w:tc>
          <w:tcPr>
            <w:tcW w:w="311" w:type="pct"/>
            <w:shd w:val="clear" w:color="auto" w:fill="auto"/>
            <w:vAlign w:val="center"/>
          </w:tcPr>
          <w:p w14:paraId="2737E6F6">
            <w:pPr>
              <w:widowControl/>
              <w:jc w:val="center"/>
              <w:textAlignment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color w:val="auto"/>
                <w:kern w:val="0"/>
                <w:sz w:val="24"/>
                <w:szCs w:val="24"/>
                <w:highlight w:val="none"/>
              </w:rPr>
              <w:t>12</w:t>
            </w:r>
          </w:p>
        </w:tc>
        <w:tc>
          <w:tcPr>
            <w:tcW w:w="409" w:type="pct"/>
            <w:shd w:val="clear" w:color="auto" w:fill="auto"/>
            <w:vAlign w:val="center"/>
          </w:tcPr>
          <w:p w14:paraId="6C8D5184">
            <w:pPr>
              <w:widowControl/>
              <w:jc w:val="center"/>
              <w:textAlignment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color w:val="auto"/>
                <w:kern w:val="0"/>
                <w:sz w:val="24"/>
                <w:szCs w:val="24"/>
                <w:highlight w:val="none"/>
              </w:rPr>
              <w:t>客车分委会</w:t>
            </w:r>
          </w:p>
        </w:tc>
        <w:tc>
          <w:tcPr>
            <w:tcW w:w="1196" w:type="pct"/>
            <w:shd w:val="clear" w:color="auto" w:fill="auto"/>
            <w:vAlign w:val="center"/>
          </w:tcPr>
          <w:p w14:paraId="0D8E60CE">
            <w:pPr>
              <w:widowControl/>
              <w:textAlignment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kern w:val="0"/>
                <w:sz w:val="24"/>
                <w:szCs w:val="24"/>
                <w:highlight w:val="none"/>
              </w:rPr>
              <w:t>北京福田欧辉新能源汽车有限公司</w:t>
            </w:r>
            <w:r>
              <w:rPr>
                <w:rFonts w:hint="eastAsia" w:ascii="Times New Roman" w:hAnsi="Times New Roman" w:eastAsia="仿宋_GB2312" w:cs="Times New Roman"/>
                <w:color w:val="auto"/>
                <w:kern w:val="0"/>
                <w:sz w:val="24"/>
                <w:szCs w:val="24"/>
                <w:highlight w:val="none"/>
              </w:rPr>
              <w:t>、中国公路车辆机械有限公司、宇通客车股份有限公司</w:t>
            </w:r>
          </w:p>
        </w:tc>
      </w:tr>
      <w:tr w14:paraId="43E11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9" w:type="pct"/>
            <w:vAlign w:val="center"/>
          </w:tcPr>
          <w:p w14:paraId="76D730AF">
            <w:pPr>
              <w:pStyle w:val="11"/>
              <w:numPr>
                <w:ilvl w:val="0"/>
                <w:numId w:val="1"/>
              </w:numPr>
              <w:ind w:left="0" w:firstLine="0" w:firstLineChars="0"/>
              <w:jc w:val="center"/>
              <w:rPr>
                <w:rFonts w:ascii="Times New Roman" w:hAnsi="Times New Roman" w:eastAsia="仿宋_GB2312" w:cs="Times New Roman"/>
                <w:bCs/>
                <w:color w:val="auto"/>
                <w:sz w:val="24"/>
                <w:szCs w:val="24"/>
                <w:highlight w:val="none"/>
              </w:rPr>
            </w:pPr>
          </w:p>
        </w:tc>
        <w:tc>
          <w:tcPr>
            <w:tcW w:w="613" w:type="pct"/>
            <w:vAlign w:val="center"/>
          </w:tcPr>
          <w:p w14:paraId="7EA96550">
            <w:pPr>
              <w:widowControl/>
              <w:jc w:val="left"/>
              <w:textAlignment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sz w:val="24"/>
                <w:szCs w:val="24"/>
                <w:highlight w:val="none"/>
              </w:rPr>
              <w:t>冷链运输便携式智能温湿度记录仪技术规范</w:t>
            </w:r>
          </w:p>
        </w:tc>
        <w:tc>
          <w:tcPr>
            <w:tcW w:w="1570" w:type="pct"/>
            <w:vAlign w:val="center"/>
          </w:tcPr>
          <w:p w14:paraId="03A93AA1">
            <w:pPr>
              <w:widowControl/>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拟规定冷链运输便携式智能温湿度记录仪的分类和构成、基本要求、功能要求、性能要求、使用要求和检验方法。</w:t>
            </w:r>
          </w:p>
          <w:p w14:paraId="4DA30A7D">
            <w:pPr>
              <w:widowControl/>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适用于冷链运输便携式智能温湿度记录仪的设计、生产与使用。</w:t>
            </w:r>
          </w:p>
        </w:tc>
        <w:tc>
          <w:tcPr>
            <w:tcW w:w="241" w:type="pct"/>
            <w:vAlign w:val="center"/>
          </w:tcPr>
          <w:p w14:paraId="716075E8">
            <w:pPr>
              <w:jc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bCs/>
                <w:color w:val="auto"/>
                <w:sz w:val="24"/>
                <w:szCs w:val="24"/>
                <w:highlight w:val="none"/>
              </w:rPr>
              <w:t>制定</w:t>
            </w:r>
          </w:p>
        </w:tc>
        <w:tc>
          <w:tcPr>
            <w:tcW w:w="467" w:type="pct"/>
            <w:vAlign w:val="center"/>
          </w:tcPr>
          <w:p w14:paraId="4BEC2DD1">
            <w:pPr>
              <w:widowControl/>
              <w:jc w:val="center"/>
              <w:rPr>
                <w:rFonts w:ascii="Times New Roman" w:hAnsi="Times New Roman" w:eastAsia="仿宋_GB2312" w:cs="Times New Roman"/>
                <w:bCs/>
                <w:color w:val="auto"/>
                <w:sz w:val="24"/>
                <w:szCs w:val="24"/>
                <w:highlight w:val="none"/>
              </w:rPr>
            </w:pPr>
          </w:p>
        </w:tc>
        <w:tc>
          <w:tcPr>
            <w:tcW w:w="311" w:type="pct"/>
            <w:shd w:val="clear" w:color="auto" w:fill="auto"/>
            <w:vAlign w:val="center"/>
          </w:tcPr>
          <w:p w14:paraId="666DD539">
            <w:pPr>
              <w:widowControl/>
              <w:jc w:val="center"/>
              <w:rPr>
                <w:rFonts w:ascii="Times New Roman" w:hAnsi="Times New Roman" w:eastAsia="仿宋_GB2312" w:cs="Times New Roman"/>
                <w:bCs/>
                <w:color w:val="auto"/>
                <w:sz w:val="24"/>
                <w:szCs w:val="24"/>
                <w:highlight w:val="none"/>
              </w:rPr>
            </w:pPr>
            <w:r>
              <w:rPr>
                <w:rFonts w:hint="eastAsia" w:ascii="Times New Roman" w:hAnsi="Times New Roman" w:eastAsia="仿宋_GB2312" w:cs="Times New Roman"/>
                <w:color w:val="auto"/>
                <w:sz w:val="24"/>
                <w:szCs w:val="24"/>
                <w:highlight w:val="none"/>
              </w:rPr>
              <w:t>12</w:t>
            </w:r>
          </w:p>
        </w:tc>
        <w:tc>
          <w:tcPr>
            <w:tcW w:w="409" w:type="pct"/>
            <w:shd w:val="clear" w:color="auto" w:fill="auto"/>
            <w:vAlign w:val="center"/>
          </w:tcPr>
          <w:p w14:paraId="6F7BABA9">
            <w:pPr>
              <w:widowControl/>
              <w:jc w:val="center"/>
              <w:textAlignment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sz w:val="24"/>
                <w:szCs w:val="24"/>
                <w:highlight w:val="none"/>
              </w:rPr>
              <w:t>智慧物流分委会</w:t>
            </w:r>
          </w:p>
        </w:tc>
        <w:tc>
          <w:tcPr>
            <w:tcW w:w="1196" w:type="pct"/>
            <w:shd w:val="clear" w:color="auto" w:fill="auto"/>
            <w:vAlign w:val="center"/>
          </w:tcPr>
          <w:p w14:paraId="13F39CCD">
            <w:pPr>
              <w:widowControl/>
              <w:textAlignment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交通运输部公路科学研究所、深圳市易流科技股份有限公司、深圳市博实结科技股份有限公司</w:t>
            </w:r>
          </w:p>
        </w:tc>
      </w:tr>
      <w:tr w14:paraId="0277E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89" w:type="pct"/>
            <w:vAlign w:val="center"/>
          </w:tcPr>
          <w:p w14:paraId="53050DA9">
            <w:pPr>
              <w:pStyle w:val="11"/>
              <w:numPr>
                <w:ilvl w:val="0"/>
                <w:numId w:val="1"/>
              </w:numPr>
              <w:ind w:left="0" w:firstLine="0" w:firstLineChars="0"/>
              <w:jc w:val="center"/>
              <w:rPr>
                <w:rFonts w:ascii="Times New Roman" w:hAnsi="Times New Roman" w:eastAsia="仿宋_GB2312" w:cs="Times New Roman"/>
                <w:bCs/>
                <w:color w:val="auto"/>
                <w:sz w:val="24"/>
                <w:szCs w:val="24"/>
                <w:highlight w:val="none"/>
              </w:rPr>
            </w:pPr>
          </w:p>
        </w:tc>
        <w:tc>
          <w:tcPr>
            <w:tcW w:w="613" w:type="pct"/>
            <w:vAlign w:val="center"/>
          </w:tcPr>
          <w:p w14:paraId="7B67F226">
            <w:pPr>
              <w:widowControl/>
              <w:jc w:val="left"/>
              <w:textAlignment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耙吸挖泥船高压冲水系统设计要求</w:t>
            </w:r>
          </w:p>
        </w:tc>
        <w:tc>
          <w:tcPr>
            <w:tcW w:w="1570" w:type="pct"/>
            <w:vAlign w:val="center"/>
          </w:tcPr>
          <w:p w14:paraId="5D8F5D85">
            <w:pPr>
              <w:widowControl/>
              <w:textAlignment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拟规定耙吸挖泥船高压冲水系统的系统组成与功能、设计要求、试验与检验等。</w:t>
            </w:r>
          </w:p>
          <w:p w14:paraId="17312D6A">
            <w:pPr>
              <w:widowControl/>
              <w:textAlignment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适用于耙吸挖泥船高压冲水系统的设计，制造及维修参照使用；具有高压冲水系统的冲吸式挖泥船、泥驳等参照使用。</w:t>
            </w:r>
          </w:p>
        </w:tc>
        <w:tc>
          <w:tcPr>
            <w:tcW w:w="241" w:type="pct"/>
            <w:vAlign w:val="center"/>
          </w:tcPr>
          <w:p w14:paraId="4164063F">
            <w:pPr>
              <w:jc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bCs/>
                <w:color w:val="auto"/>
                <w:sz w:val="24"/>
                <w:szCs w:val="24"/>
                <w:highlight w:val="none"/>
              </w:rPr>
              <w:t>制定</w:t>
            </w:r>
          </w:p>
        </w:tc>
        <w:tc>
          <w:tcPr>
            <w:tcW w:w="467" w:type="pct"/>
            <w:vAlign w:val="center"/>
          </w:tcPr>
          <w:p w14:paraId="11EA86F8">
            <w:pPr>
              <w:widowControl/>
              <w:jc w:val="center"/>
              <w:textAlignment w:val="center"/>
              <w:rPr>
                <w:rFonts w:ascii="Times New Roman" w:hAnsi="Times New Roman" w:eastAsia="仿宋_GB2312" w:cs="Times New Roman"/>
                <w:bCs/>
                <w:color w:val="auto"/>
                <w:sz w:val="24"/>
                <w:szCs w:val="24"/>
                <w:highlight w:val="none"/>
              </w:rPr>
            </w:pPr>
          </w:p>
        </w:tc>
        <w:tc>
          <w:tcPr>
            <w:tcW w:w="311" w:type="pct"/>
            <w:shd w:val="clear" w:color="auto" w:fill="auto"/>
            <w:vAlign w:val="center"/>
          </w:tcPr>
          <w:p w14:paraId="0FD479AD">
            <w:pPr>
              <w:widowControl/>
              <w:jc w:val="center"/>
              <w:textAlignment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color w:val="auto"/>
                <w:kern w:val="0"/>
                <w:sz w:val="24"/>
                <w:szCs w:val="24"/>
                <w:highlight w:val="none"/>
              </w:rPr>
              <w:t>18</w:t>
            </w:r>
          </w:p>
        </w:tc>
        <w:tc>
          <w:tcPr>
            <w:tcW w:w="409" w:type="pct"/>
            <w:shd w:val="clear" w:color="auto" w:fill="auto"/>
            <w:vAlign w:val="center"/>
          </w:tcPr>
          <w:p w14:paraId="2472A52E">
            <w:pPr>
              <w:widowControl/>
              <w:jc w:val="center"/>
              <w:textAlignment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疏浚分委会</w:t>
            </w:r>
          </w:p>
        </w:tc>
        <w:tc>
          <w:tcPr>
            <w:tcW w:w="1196" w:type="pct"/>
            <w:shd w:val="clear" w:color="auto" w:fill="auto"/>
            <w:vAlign w:val="center"/>
          </w:tcPr>
          <w:p w14:paraId="318639D0">
            <w:pPr>
              <w:widowControl/>
              <w:textAlignment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中交上海航道局有限公司、中交疏浚技术装备国家工程研究中心有限公司、中国交通建设股份有限公司、中交广州航道局有限公司、中交天津航道局有限公司</w:t>
            </w:r>
          </w:p>
        </w:tc>
      </w:tr>
      <w:tr w14:paraId="75AB0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89" w:type="pct"/>
            <w:vAlign w:val="center"/>
          </w:tcPr>
          <w:p w14:paraId="63FF8A53">
            <w:pPr>
              <w:pStyle w:val="11"/>
              <w:numPr>
                <w:ilvl w:val="0"/>
                <w:numId w:val="1"/>
              </w:numPr>
              <w:ind w:left="0" w:firstLine="0" w:firstLineChars="0"/>
              <w:jc w:val="center"/>
              <w:rPr>
                <w:rFonts w:ascii="Times New Roman" w:hAnsi="Times New Roman" w:eastAsia="仿宋_GB2312" w:cs="Times New Roman"/>
                <w:bCs/>
                <w:color w:val="auto"/>
                <w:sz w:val="24"/>
                <w:szCs w:val="24"/>
                <w:highlight w:val="none"/>
              </w:rPr>
            </w:pPr>
          </w:p>
        </w:tc>
        <w:tc>
          <w:tcPr>
            <w:tcW w:w="613" w:type="pct"/>
            <w:vAlign w:val="center"/>
          </w:tcPr>
          <w:p w14:paraId="48E16B53">
            <w:pPr>
              <w:widowControl/>
              <w:jc w:val="left"/>
              <w:textAlignment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耙吸挖泥船复合驱动系统试验规程</w:t>
            </w:r>
          </w:p>
        </w:tc>
        <w:tc>
          <w:tcPr>
            <w:tcW w:w="1570" w:type="pct"/>
            <w:vAlign w:val="center"/>
          </w:tcPr>
          <w:p w14:paraId="0B8B22DC">
            <w:pPr>
              <w:widowControl/>
              <w:textAlignment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拟规定耙吸挖泥船一拖三复合驱动系统组成、试验准备、试验项目、试验程序、试验报告等。</w:t>
            </w:r>
          </w:p>
          <w:p w14:paraId="28B135BC">
            <w:pPr>
              <w:widowControl/>
              <w:textAlignment w:val="center"/>
              <w:rPr>
                <w:rFonts w:ascii="Times New Roman" w:hAnsi="Times New Roman" w:eastAsia="仿宋_GB2312" w:cs="Times New Roman"/>
                <w:b/>
                <w:bCs/>
                <w:color w:val="auto"/>
                <w:kern w:val="0"/>
                <w:sz w:val="24"/>
                <w:szCs w:val="24"/>
                <w:highlight w:val="none"/>
              </w:rPr>
            </w:pPr>
            <w:r>
              <w:rPr>
                <w:rFonts w:ascii="Times New Roman" w:hAnsi="Times New Roman" w:eastAsia="仿宋_GB2312" w:cs="Times New Roman"/>
                <w:color w:val="auto"/>
                <w:kern w:val="0"/>
                <w:sz w:val="24"/>
                <w:szCs w:val="24"/>
                <w:highlight w:val="none"/>
              </w:rPr>
              <w:t>适用于耙吸挖泥船复合驱动系统试验指导。</w:t>
            </w:r>
          </w:p>
        </w:tc>
        <w:tc>
          <w:tcPr>
            <w:tcW w:w="241" w:type="pct"/>
            <w:vAlign w:val="center"/>
          </w:tcPr>
          <w:p w14:paraId="34D58A4F">
            <w:pPr>
              <w:jc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bCs/>
                <w:color w:val="auto"/>
                <w:sz w:val="24"/>
                <w:szCs w:val="24"/>
                <w:highlight w:val="none"/>
              </w:rPr>
              <w:t>制定</w:t>
            </w:r>
          </w:p>
        </w:tc>
        <w:tc>
          <w:tcPr>
            <w:tcW w:w="467" w:type="pct"/>
            <w:vAlign w:val="center"/>
          </w:tcPr>
          <w:p w14:paraId="545B7C68">
            <w:pPr>
              <w:widowControl/>
              <w:jc w:val="center"/>
              <w:textAlignment w:val="center"/>
              <w:rPr>
                <w:rFonts w:ascii="Times New Roman" w:hAnsi="Times New Roman" w:eastAsia="仿宋_GB2312" w:cs="Times New Roman"/>
                <w:color w:val="auto"/>
                <w:kern w:val="0"/>
                <w:sz w:val="24"/>
                <w:szCs w:val="24"/>
                <w:highlight w:val="none"/>
              </w:rPr>
            </w:pPr>
          </w:p>
        </w:tc>
        <w:tc>
          <w:tcPr>
            <w:tcW w:w="311" w:type="pct"/>
            <w:shd w:val="clear" w:color="auto" w:fill="auto"/>
            <w:vAlign w:val="center"/>
          </w:tcPr>
          <w:p w14:paraId="4600FB03">
            <w:pPr>
              <w:widowControl/>
              <w:jc w:val="center"/>
              <w:textAlignment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18</w:t>
            </w:r>
          </w:p>
        </w:tc>
        <w:tc>
          <w:tcPr>
            <w:tcW w:w="409" w:type="pct"/>
            <w:shd w:val="clear" w:color="auto" w:fill="auto"/>
            <w:vAlign w:val="center"/>
          </w:tcPr>
          <w:p w14:paraId="1EAFF784">
            <w:pPr>
              <w:widowControl/>
              <w:jc w:val="center"/>
              <w:textAlignment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疏浚分委会</w:t>
            </w:r>
          </w:p>
        </w:tc>
        <w:tc>
          <w:tcPr>
            <w:tcW w:w="1196" w:type="pct"/>
            <w:shd w:val="clear" w:color="auto" w:fill="auto"/>
            <w:vAlign w:val="center"/>
          </w:tcPr>
          <w:p w14:paraId="2175764C">
            <w:pPr>
              <w:widowControl/>
              <w:textAlignment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中船黄埔文冲船舶有限公司</w:t>
            </w:r>
            <w:r>
              <w:rPr>
                <w:rFonts w:hint="eastAsia" w:ascii="Times New Roman" w:hAnsi="Times New Roman" w:eastAsia="仿宋_GB2312" w:cs="Times New Roman"/>
                <w:color w:val="auto"/>
                <w:kern w:val="0"/>
                <w:sz w:val="24"/>
                <w:szCs w:val="24"/>
                <w:highlight w:val="none"/>
              </w:rPr>
              <w:t>、广州文冲船厂有限责任公司、中交天津航道局有限公司、中交上海航道局有限公司、中交广州航道局有限公司</w:t>
            </w:r>
          </w:p>
        </w:tc>
      </w:tr>
      <w:tr w14:paraId="45372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9" w:type="pct"/>
            <w:vAlign w:val="center"/>
          </w:tcPr>
          <w:p w14:paraId="56AB4036">
            <w:pPr>
              <w:pStyle w:val="11"/>
              <w:numPr>
                <w:ilvl w:val="0"/>
                <w:numId w:val="1"/>
              </w:numPr>
              <w:ind w:left="0" w:firstLine="0" w:firstLineChars="0"/>
              <w:jc w:val="center"/>
              <w:rPr>
                <w:rFonts w:ascii="Times New Roman" w:hAnsi="Times New Roman" w:eastAsia="仿宋_GB2312" w:cs="Times New Roman"/>
                <w:bCs/>
                <w:color w:val="auto"/>
                <w:sz w:val="24"/>
                <w:szCs w:val="24"/>
                <w:highlight w:val="none"/>
              </w:rPr>
            </w:pPr>
          </w:p>
        </w:tc>
        <w:tc>
          <w:tcPr>
            <w:tcW w:w="613" w:type="pct"/>
            <w:vAlign w:val="center"/>
          </w:tcPr>
          <w:p w14:paraId="4E2E08F6">
            <w:pPr>
              <w:widowControl/>
              <w:jc w:val="left"/>
              <w:textAlignment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船舶油耗计量仪表配备技术要求 第2部分：燃油舱测量系统</w:t>
            </w:r>
          </w:p>
        </w:tc>
        <w:tc>
          <w:tcPr>
            <w:tcW w:w="1570" w:type="pct"/>
            <w:vAlign w:val="center"/>
          </w:tcPr>
          <w:p w14:paraId="2E3A6E12">
            <w:pPr>
              <w:widowControl/>
              <w:textAlignment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 xml:space="preserve">拟规定船舶配备的油耗计量仪表（基于船舶燃油舱测量法）的性能要求、安装位置、安装要求、使用和维护要求等。 </w:t>
            </w:r>
          </w:p>
          <w:p w14:paraId="54A2251C">
            <w:pPr>
              <w:widowControl/>
              <w:textAlignment w:val="center"/>
              <w:rPr>
                <w:rFonts w:ascii="Times New Roman" w:hAnsi="Times New Roman" w:eastAsia="仿宋_GB2312" w:cs="Times New Roman"/>
                <w:b/>
                <w:bCs/>
                <w:color w:val="auto"/>
                <w:kern w:val="0"/>
                <w:sz w:val="24"/>
                <w:szCs w:val="24"/>
                <w:highlight w:val="none"/>
              </w:rPr>
            </w:pPr>
            <w:r>
              <w:rPr>
                <w:rFonts w:ascii="Times New Roman" w:hAnsi="Times New Roman" w:eastAsia="仿宋_GB2312" w:cs="Times New Roman"/>
                <w:color w:val="auto"/>
                <w:kern w:val="0"/>
                <w:sz w:val="24"/>
                <w:szCs w:val="24"/>
                <w:highlight w:val="none"/>
              </w:rPr>
              <w:t>适用于400总吨以上或主推进动力装置750千瓦以上且采用燃油发动机作为动力源的船舶，其他船舶参照</w:t>
            </w:r>
            <w:r>
              <w:rPr>
                <w:rFonts w:hint="eastAsia" w:ascii="Times New Roman" w:hAnsi="Times New Roman" w:eastAsia="仿宋_GB2312" w:cs="Times New Roman"/>
                <w:color w:val="auto"/>
                <w:kern w:val="0"/>
                <w:sz w:val="24"/>
                <w:szCs w:val="24"/>
                <w:highlight w:val="none"/>
              </w:rPr>
              <w:t>使用</w:t>
            </w:r>
            <w:r>
              <w:rPr>
                <w:rFonts w:ascii="Times New Roman" w:hAnsi="Times New Roman" w:eastAsia="仿宋_GB2312" w:cs="Times New Roman"/>
                <w:color w:val="auto"/>
                <w:kern w:val="0"/>
                <w:sz w:val="24"/>
                <w:szCs w:val="24"/>
                <w:highlight w:val="none"/>
              </w:rPr>
              <w:t>。</w:t>
            </w:r>
          </w:p>
        </w:tc>
        <w:tc>
          <w:tcPr>
            <w:tcW w:w="241" w:type="pct"/>
            <w:vAlign w:val="center"/>
          </w:tcPr>
          <w:p w14:paraId="2B4AAF55">
            <w:pPr>
              <w:jc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bCs/>
                <w:color w:val="auto"/>
                <w:sz w:val="24"/>
                <w:szCs w:val="24"/>
                <w:highlight w:val="none"/>
              </w:rPr>
              <w:t>制定</w:t>
            </w:r>
          </w:p>
        </w:tc>
        <w:tc>
          <w:tcPr>
            <w:tcW w:w="467" w:type="pct"/>
            <w:vAlign w:val="center"/>
          </w:tcPr>
          <w:p w14:paraId="6317D229">
            <w:pPr>
              <w:widowControl/>
              <w:jc w:val="center"/>
              <w:textAlignment w:val="center"/>
              <w:rPr>
                <w:rFonts w:ascii="Times New Roman" w:hAnsi="Times New Roman" w:eastAsia="仿宋_GB2312" w:cs="Times New Roman"/>
                <w:color w:val="auto"/>
                <w:kern w:val="0"/>
                <w:sz w:val="24"/>
                <w:szCs w:val="24"/>
                <w:highlight w:val="none"/>
              </w:rPr>
            </w:pPr>
          </w:p>
        </w:tc>
        <w:tc>
          <w:tcPr>
            <w:tcW w:w="311" w:type="pct"/>
            <w:shd w:val="clear" w:color="auto" w:fill="auto"/>
            <w:vAlign w:val="center"/>
          </w:tcPr>
          <w:p w14:paraId="5B828BC7">
            <w:pPr>
              <w:widowControl/>
              <w:jc w:val="center"/>
              <w:textAlignment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12</w:t>
            </w:r>
          </w:p>
        </w:tc>
        <w:tc>
          <w:tcPr>
            <w:tcW w:w="409" w:type="pct"/>
            <w:shd w:val="clear" w:color="auto" w:fill="auto"/>
            <w:vAlign w:val="center"/>
          </w:tcPr>
          <w:p w14:paraId="075B4833">
            <w:pPr>
              <w:widowControl/>
              <w:jc w:val="center"/>
              <w:textAlignment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航海安全标委会</w:t>
            </w:r>
          </w:p>
        </w:tc>
        <w:tc>
          <w:tcPr>
            <w:tcW w:w="1196" w:type="pct"/>
            <w:shd w:val="clear" w:color="auto" w:fill="auto"/>
            <w:vAlign w:val="center"/>
          </w:tcPr>
          <w:p w14:paraId="22738F3E">
            <w:pPr>
              <w:widowControl/>
              <w:textAlignment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交通运输部科学研究院</w:t>
            </w:r>
            <w:r>
              <w:rPr>
                <w:rFonts w:hint="eastAsia" w:ascii="Times New Roman" w:hAnsi="Times New Roman" w:eastAsia="仿宋_GB2312" w:cs="Times New Roman"/>
                <w:color w:val="auto"/>
                <w:kern w:val="0"/>
                <w:sz w:val="24"/>
                <w:szCs w:val="24"/>
                <w:highlight w:val="none"/>
              </w:rPr>
              <w:t>、中远海运能源运输股份有限公司</w:t>
            </w:r>
          </w:p>
        </w:tc>
      </w:tr>
      <w:tr w14:paraId="59761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9" w:type="pct"/>
            <w:vAlign w:val="center"/>
          </w:tcPr>
          <w:p w14:paraId="535C799D">
            <w:pPr>
              <w:pStyle w:val="11"/>
              <w:numPr>
                <w:ilvl w:val="0"/>
                <w:numId w:val="1"/>
              </w:numPr>
              <w:ind w:left="0" w:firstLine="0" w:firstLineChars="0"/>
              <w:jc w:val="center"/>
              <w:rPr>
                <w:rFonts w:ascii="Times New Roman" w:hAnsi="Times New Roman" w:eastAsia="仿宋_GB2312" w:cs="Times New Roman"/>
                <w:bCs/>
                <w:color w:val="auto"/>
                <w:sz w:val="24"/>
                <w:szCs w:val="24"/>
                <w:highlight w:val="none"/>
              </w:rPr>
            </w:pPr>
          </w:p>
        </w:tc>
        <w:tc>
          <w:tcPr>
            <w:tcW w:w="613" w:type="pct"/>
            <w:vAlign w:val="center"/>
          </w:tcPr>
          <w:p w14:paraId="00B4A2C5">
            <w:pPr>
              <w:widowControl/>
              <w:jc w:val="left"/>
              <w:textAlignment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kern w:val="0"/>
                <w:sz w:val="24"/>
                <w:szCs w:val="24"/>
                <w:highlight w:val="none"/>
              </w:rPr>
              <w:t>海上搜救应急演练评估要求</w:t>
            </w:r>
          </w:p>
        </w:tc>
        <w:tc>
          <w:tcPr>
            <w:tcW w:w="1570" w:type="pct"/>
            <w:vAlign w:val="center"/>
          </w:tcPr>
          <w:p w14:paraId="5EBB7D44">
            <w:pPr>
              <w:widowControl/>
              <w:textAlignment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拟</w:t>
            </w:r>
            <w:r>
              <w:rPr>
                <w:rFonts w:hint="eastAsia" w:ascii="Times New Roman" w:hAnsi="Times New Roman" w:eastAsia="仿宋_GB2312" w:cs="Times New Roman"/>
                <w:color w:val="auto"/>
                <w:kern w:val="0"/>
                <w:sz w:val="24"/>
                <w:szCs w:val="24"/>
                <w:highlight w:val="none"/>
              </w:rPr>
              <w:t>规定</w:t>
            </w:r>
            <w:r>
              <w:rPr>
                <w:rFonts w:ascii="Times New Roman" w:hAnsi="Times New Roman" w:eastAsia="仿宋_GB2312" w:cs="Times New Roman"/>
                <w:color w:val="auto"/>
                <w:kern w:val="0"/>
                <w:sz w:val="24"/>
                <w:szCs w:val="24"/>
                <w:highlight w:val="none"/>
              </w:rPr>
              <w:t>海上搜救应急演练评估的流程，提出演练评估的方法和工具。</w:t>
            </w:r>
          </w:p>
          <w:p w14:paraId="0ECF9966">
            <w:pPr>
              <w:widowControl/>
              <w:textAlignment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kern w:val="0"/>
                <w:sz w:val="24"/>
                <w:szCs w:val="24"/>
                <w:highlight w:val="none"/>
              </w:rPr>
              <w:t>适用于海上搜救机构、救捞系统、海事系统以及航运企业、港口企业、第三方评价机构等进行海上搜救应急演练</w:t>
            </w:r>
            <w:r>
              <w:rPr>
                <w:rFonts w:hint="eastAsia" w:ascii="Times New Roman" w:hAnsi="Times New Roman" w:eastAsia="仿宋_GB2312" w:cs="Times New Roman"/>
                <w:color w:val="auto"/>
                <w:kern w:val="0"/>
                <w:sz w:val="24"/>
                <w:szCs w:val="24"/>
                <w:highlight w:val="none"/>
              </w:rPr>
              <w:t>的</w:t>
            </w:r>
            <w:r>
              <w:rPr>
                <w:rFonts w:ascii="Times New Roman" w:hAnsi="Times New Roman" w:eastAsia="仿宋_GB2312" w:cs="Times New Roman"/>
                <w:color w:val="auto"/>
                <w:kern w:val="0"/>
                <w:sz w:val="24"/>
                <w:szCs w:val="24"/>
                <w:highlight w:val="none"/>
              </w:rPr>
              <w:t>评估。</w:t>
            </w:r>
          </w:p>
        </w:tc>
        <w:tc>
          <w:tcPr>
            <w:tcW w:w="241" w:type="pct"/>
            <w:vAlign w:val="center"/>
          </w:tcPr>
          <w:p w14:paraId="2B860F14">
            <w:pPr>
              <w:jc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bCs/>
                <w:color w:val="auto"/>
                <w:sz w:val="24"/>
                <w:szCs w:val="24"/>
                <w:highlight w:val="none"/>
              </w:rPr>
              <w:t>制定</w:t>
            </w:r>
          </w:p>
        </w:tc>
        <w:tc>
          <w:tcPr>
            <w:tcW w:w="467" w:type="pct"/>
            <w:vAlign w:val="center"/>
          </w:tcPr>
          <w:p w14:paraId="5B7FAC98">
            <w:pPr>
              <w:widowControl/>
              <w:jc w:val="center"/>
              <w:textAlignment w:val="center"/>
              <w:rPr>
                <w:rFonts w:ascii="Times New Roman" w:hAnsi="Times New Roman" w:eastAsia="仿宋_GB2312" w:cs="Times New Roman"/>
                <w:bCs/>
                <w:color w:val="auto"/>
                <w:sz w:val="24"/>
                <w:szCs w:val="24"/>
                <w:highlight w:val="none"/>
              </w:rPr>
            </w:pPr>
          </w:p>
        </w:tc>
        <w:tc>
          <w:tcPr>
            <w:tcW w:w="311" w:type="pct"/>
            <w:shd w:val="clear" w:color="auto" w:fill="auto"/>
            <w:vAlign w:val="center"/>
          </w:tcPr>
          <w:p w14:paraId="58FAD2D9">
            <w:pPr>
              <w:widowControl/>
              <w:jc w:val="center"/>
              <w:textAlignment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color w:val="auto"/>
                <w:kern w:val="0"/>
                <w:sz w:val="24"/>
                <w:szCs w:val="24"/>
                <w:highlight w:val="none"/>
              </w:rPr>
              <w:t>12</w:t>
            </w:r>
          </w:p>
        </w:tc>
        <w:tc>
          <w:tcPr>
            <w:tcW w:w="409" w:type="pct"/>
            <w:shd w:val="clear" w:color="auto" w:fill="auto"/>
            <w:vAlign w:val="center"/>
          </w:tcPr>
          <w:p w14:paraId="0E0FCBE9">
            <w:pPr>
              <w:widowControl/>
              <w:jc w:val="center"/>
              <w:textAlignment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color w:val="auto"/>
                <w:kern w:val="0"/>
                <w:sz w:val="24"/>
                <w:szCs w:val="24"/>
                <w:highlight w:val="none"/>
              </w:rPr>
              <w:t>航海安全</w:t>
            </w:r>
            <w:r>
              <w:rPr>
                <w:rFonts w:hint="eastAsia" w:ascii="Times New Roman" w:hAnsi="Times New Roman" w:eastAsia="仿宋_GB2312" w:cs="Times New Roman"/>
                <w:color w:val="auto"/>
                <w:kern w:val="0"/>
                <w:sz w:val="24"/>
                <w:szCs w:val="24"/>
                <w:highlight w:val="none"/>
              </w:rPr>
              <w:t>标委会</w:t>
            </w:r>
          </w:p>
        </w:tc>
        <w:tc>
          <w:tcPr>
            <w:tcW w:w="1196" w:type="pct"/>
            <w:shd w:val="clear" w:color="auto" w:fill="auto"/>
            <w:vAlign w:val="center"/>
          </w:tcPr>
          <w:p w14:paraId="709A13CD">
            <w:pPr>
              <w:widowControl/>
              <w:textAlignment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kern w:val="0"/>
                <w:sz w:val="24"/>
                <w:szCs w:val="24"/>
                <w:highlight w:val="none"/>
              </w:rPr>
              <w:t>交通运输部科学研究院</w:t>
            </w:r>
            <w:r>
              <w:rPr>
                <w:rFonts w:hint="eastAsia" w:ascii="Times New Roman" w:hAnsi="Times New Roman" w:eastAsia="仿宋_GB2312" w:cs="Times New Roman"/>
                <w:color w:val="auto"/>
                <w:kern w:val="0"/>
                <w:sz w:val="24"/>
                <w:szCs w:val="24"/>
                <w:highlight w:val="none"/>
              </w:rPr>
              <w:t>、辽宁海事局、海南海事局</w:t>
            </w:r>
          </w:p>
        </w:tc>
      </w:tr>
      <w:tr w14:paraId="1F0E6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9" w:type="pct"/>
            <w:vAlign w:val="center"/>
          </w:tcPr>
          <w:p w14:paraId="39E2D905">
            <w:pPr>
              <w:pStyle w:val="11"/>
              <w:numPr>
                <w:ilvl w:val="0"/>
                <w:numId w:val="1"/>
              </w:numPr>
              <w:ind w:left="0" w:firstLine="0" w:firstLineChars="0"/>
              <w:jc w:val="center"/>
              <w:rPr>
                <w:rFonts w:ascii="Times New Roman" w:hAnsi="Times New Roman" w:eastAsia="仿宋_GB2312" w:cs="Times New Roman"/>
                <w:bCs/>
                <w:color w:val="auto"/>
                <w:sz w:val="24"/>
                <w:szCs w:val="24"/>
                <w:highlight w:val="none"/>
              </w:rPr>
            </w:pPr>
          </w:p>
        </w:tc>
        <w:tc>
          <w:tcPr>
            <w:tcW w:w="613" w:type="pct"/>
            <w:vAlign w:val="center"/>
          </w:tcPr>
          <w:p w14:paraId="0AB6AB6A">
            <w:pPr>
              <w:widowControl/>
              <w:jc w:val="left"/>
              <w:textAlignment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kern w:val="0"/>
                <w:sz w:val="24"/>
                <w:szCs w:val="24"/>
                <w:highlight w:val="none"/>
              </w:rPr>
              <w:t>海船船员培训模拟器技术要求 第2部分：轮机模拟器</w:t>
            </w:r>
          </w:p>
        </w:tc>
        <w:tc>
          <w:tcPr>
            <w:tcW w:w="1570" w:type="pct"/>
            <w:vAlign w:val="center"/>
          </w:tcPr>
          <w:p w14:paraId="42EBAFF1">
            <w:pPr>
              <w:widowControl/>
              <w:textAlignment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现行标准规定</w:t>
            </w:r>
            <w:r>
              <w:rPr>
                <w:rFonts w:hint="eastAsia" w:ascii="Times New Roman" w:hAnsi="Times New Roman" w:eastAsia="仿宋_GB2312" w:cs="Times New Roman"/>
                <w:color w:val="auto"/>
                <w:kern w:val="0"/>
                <w:sz w:val="24"/>
                <w:szCs w:val="24"/>
                <w:highlight w:val="none"/>
              </w:rPr>
              <w:t>了轮机模拟器的分级及总体要求，以及物理真实感、行为真实感、环境真实感、教练站设备配备和功能等要求。适用于海船船员适任培训及适任能力保持所需的轮机模拟器</w:t>
            </w:r>
            <w:r>
              <w:rPr>
                <w:rFonts w:ascii="Times New Roman" w:hAnsi="Times New Roman" w:eastAsia="仿宋_GB2312" w:cs="Times New Roman"/>
                <w:color w:val="auto"/>
                <w:kern w:val="0"/>
                <w:sz w:val="24"/>
                <w:szCs w:val="24"/>
                <w:highlight w:val="none"/>
              </w:rPr>
              <w:t>。</w:t>
            </w:r>
          </w:p>
          <w:p w14:paraId="587B0504">
            <w:pPr>
              <w:widowControl/>
              <w:textAlignment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b/>
                <w:bCs/>
                <w:color w:val="auto"/>
                <w:kern w:val="0"/>
                <w:sz w:val="24"/>
                <w:szCs w:val="24"/>
                <w:highlight w:val="none"/>
              </w:rPr>
              <w:t>主要修订内容：</w:t>
            </w:r>
            <w:r>
              <w:rPr>
                <w:rFonts w:ascii="Times New Roman" w:hAnsi="Times New Roman" w:eastAsia="仿宋_GB2312" w:cs="Times New Roman"/>
                <w:color w:val="auto"/>
                <w:kern w:val="0"/>
                <w:sz w:val="24"/>
                <w:szCs w:val="24"/>
                <w:highlight w:val="none"/>
              </w:rPr>
              <w:t>1.针对零碳/低碳燃料船舶，增加零碳/低碳燃料加注，储存，驳运与供给，主推进发动机，主发电原动机和锅炉等对零碳/低碳燃料的运用与运维技术要求，包括换代后的主机遥控系统，监测报警系统，配电系统和安全系统，船舶防污染设备与减排装置等；2.对现有商船根据主推进形式进行分类，给出不同主推进形式的轮机模拟器技术要求，包括低速发动机推进，中高速发动机推进，蒸汽轮机推进，电力推进等内容；3.</w:t>
            </w:r>
            <w:r>
              <w:rPr>
                <w:rFonts w:hint="eastAsia" w:ascii="Times New Roman" w:hAnsi="Times New Roman" w:eastAsia="仿宋_GB2312" w:cs="Times New Roman"/>
                <w:color w:val="auto"/>
                <w:kern w:val="0"/>
                <w:sz w:val="24"/>
                <w:szCs w:val="24"/>
                <w:highlight w:val="none"/>
              </w:rPr>
              <w:t>更改</w:t>
            </w:r>
            <w:r>
              <w:rPr>
                <w:rFonts w:ascii="Times New Roman" w:hAnsi="Times New Roman" w:eastAsia="仿宋_GB2312" w:cs="Times New Roman"/>
                <w:color w:val="auto"/>
                <w:kern w:val="0"/>
                <w:sz w:val="24"/>
                <w:szCs w:val="24"/>
                <w:highlight w:val="none"/>
              </w:rPr>
              <w:t>轮机模拟器的分级；4.</w:t>
            </w:r>
            <w:r>
              <w:rPr>
                <w:rFonts w:hint="eastAsia" w:ascii="Times New Roman" w:hAnsi="Times New Roman" w:eastAsia="仿宋_GB2312" w:cs="Times New Roman"/>
                <w:color w:val="auto"/>
                <w:kern w:val="0"/>
                <w:sz w:val="24"/>
                <w:szCs w:val="24"/>
                <w:highlight w:val="none"/>
              </w:rPr>
              <w:t>更改</w:t>
            </w:r>
            <w:r>
              <w:rPr>
                <w:rFonts w:ascii="Times New Roman" w:hAnsi="Times New Roman" w:eastAsia="仿宋_GB2312" w:cs="Times New Roman"/>
                <w:color w:val="auto"/>
                <w:kern w:val="0"/>
                <w:sz w:val="24"/>
                <w:szCs w:val="24"/>
                <w:highlight w:val="none"/>
              </w:rPr>
              <w:t>触摸型轮机模拟器</w:t>
            </w:r>
            <w:r>
              <w:rPr>
                <w:rFonts w:hint="eastAsia" w:ascii="Times New Roman" w:hAnsi="Times New Roman" w:eastAsia="仿宋_GB2312" w:cs="Times New Roman"/>
                <w:color w:val="auto"/>
                <w:kern w:val="0"/>
                <w:sz w:val="24"/>
                <w:szCs w:val="24"/>
                <w:highlight w:val="none"/>
              </w:rPr>
              <w:t>的技术要求</w:t>
            </w:r>
            <w:r>
              <w:rPr>
                <w:rFonts w:ascii="Times New Roman" w:hAnsi="Times New Roman" w:eastAsia="仿宋_GB2312" w:cs="Times New Roman"/>
                <w:color w:val="auto"/>
                <w:kern w:val="0"/>
                <w:sz w:val="24"/>
                <w:szCs w:val="24"/>
                <w:highlight w:val="none"/>
              </w:rPr>
              <w:t>。</w:t>
            </w:r>
          </w:p>
        </w:tc>
        <w:tc>
          <w:tcPr>
            <w:tcW w:w="241" w:type="pct"/>
            <w:vAlign w:val="center"/>
          </w:tcPr>
          <w:p w14:paraId="65C95F00">
            <w:pPr>
              <w:jc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修订</w:t>
            </w:r>
          </w:p>
        </w:tc>
        <w:tc>
          <w:tcPr>
            <w:tcW w:w="467" w:type="pct"/>
            <w:vAlign w:val="center"/>
          </w:tcPr>
          <w:p w14:paraId="6D329C60">
            <w:pPr>
              <w:widowControl/>
              <w:jc w:val="center"/>
              <w:textAlignment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color w:val="auto"/>
                <w:kern w:val="0"/>
                <w:sz w:val="24"/>
                <w:szCs w:val="24"/>
                <w:highlight w:val="none"/>
              </w:rPr>
              <w:t>JT/T 1379.2-2021</w:t>
            </w:r>
          </w:p>
        </w:tc>
        <w:tc>
          <w:tcPr>
            <w:tcW w:w="311" w:type="pct"/>
            <w:shd w:val="clear" w:color="auto" w:fill="auto"/>
            <w:vAlign w:val="center"/>
          </w:tcPr>
          <w:p w14:paraId="318F909F">
            <w:pPr>
              <w:widowControl/>
              <w:jc w:val="center"/>
              <w:textAlignment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color w:val="auto"/>
                <w:kern w:val="0"/>
                <w:sz w:val="24"/>
                <w:szCs w:val="24"/>
                <w:highlight w:val="none"/>
              </w:rPr>
              <w:t>12</w:t>
            </w:r>
          </w:p>
        </w:tc>
        <w:tc>
          <w:tcPr>
            <w:tcW w:w="409" w:type="pct"/>
            <w:shd w:val="clear" w:color="auto" w:fill="auto"/>
            <w:vAlign w:val="center"/>
          </w:tcPr>
          <w:p w14:paraId="738F34F3">
            <w:pPr>
              <w:widowControl/>
              <w:jc w:val="center"/>
              <w:textAlignment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color w:val="auto"/>
                <w:kern w:val="0"/>
                <w:sz w:val="24"/>
                <w:szCs w:val="24"/>
                <w:highlight w:val="none"/>
              </w:rPr>
              <w:t>航海安全</w:t>
            </w:r>
            <w:r>
              <w:rPr>
                <w:rFonts w:hint="eastAsia" w:ascii="Times New Roman" w:hAnsi="Times New Roman" w:eastAsia="仿宋_GB2312" w:cs="Times New Roman"/>
                <w:color w:val="auto"/>
                <w:sz w:val="24"/>
                <w:szCs w:val="24"/>
                <w:highlight w:val="none"/>
              </w:rPr>
              <w:t>标委会</w:t>
            </w:r>
          </w:p>
        </w:tc>
        <w:tc>
          <w:tcPr>
            <w:tcW w:w="1196" w:type="pct"/>
            <w:shd w:val="clear" w:color="auto" w:fill="auto"/>
            <w:vAlign w:val="center"/>
          </w:tcPr>
          <w:p w14:paraId="38F33E5C">
            <w:pPr>
              <w:widowControl/>
              <w:textAlignment w:val="center"/>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kern w:val="0"/>
                <w:sz w:val="24"/>
                <w:szCs w:val="24"/>
                <w:highlight w:val="none"/>
              </w:rPr>
              <w:t>大连海事大学、</w:t>
            </w:r>
            <w:r>
              <w:rPr>
                <w:rFonts w:ascii="Times New Roman" w:hAnsi="Times New Roman" w:eastAsia="仿宋_GB2312" w:cs="Times New Roman"/>
                <w:color w:val="auto"/>
                <w:kern w:val="0"/>
                <w:sz w:val="24"/>
                <w:szCs w:val="24"/>
                <w:highlight w:val="none"/>
              </w:rPr>
              <w:t>辽宁海事局</w:t>
            </w:r>
          </w:p>
        </w:tc>
      </w:tr>
      <w:tr w14:paraId="7E1ED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9" w:type="pct"/>
            <w:vAlign w:val="center"/>
          </w:tcPr>
          <w:p w14:paraId="6955B354">
            <w:pPr>
              <w:pStyle w:val="11"/>
              <w:numPr>
                <w:ilvl w:val="0"/>
                <w:numId w:val="1"/>
              </w:numPr>
              <w:ind w:left="0" w:firstLine="0" w:firstLineChars="0"/>
              <w:jc w:val="center"/>
              <w:rPr>
                <w:rFonts w:ascii="Times New Roman" w:hAnsi="Times New Roman" w:eastAsia="仿宋_GB2312" w:cs="Times New Roman"/>
                <w:bCs/>
                <w:color w:val="auto"/>
                <w:sz w:val="24"/>
                <w:szCs w:val="24"/>
                <w:highlight w:val="none"/>
              </w:rPr>
            </w:pPr>
          </w:p>
        </w:tc>
        <w:tc>
          <w:tcPr>
            <w:tcW w:w="613" w:type="pct"/>
            <w:vAlign w:val="center"/>
          </w:tcPr>
          <w:p w14:paraId="0870F474">
            <w:pPr>
              <w:widowControl/>
              <w:jc w:val="left"/>
              <w:textAlignment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kern w:val="0"/>
                <w:sz w:val="24"/>
                <w:szCs w:val="24"/>
                <w:highlight w:val="none"/>
              </w:rPr>
              <w:t>海船船员培训模拟器训练要求 第2部分：轮机模拟器</w:t>
            </w:r>
          </w:p>
        </w:tc>
        <w:tc>
          <w:tcPr>
            <w:tcW w:w="1570" w:type="pct"/>
            <w:vAlign w:val="center"/>
          </w:tcPr>
          <w:p w14:paraId="330731F8">
            <w:pPr>
              <w:widowControl/>
              <w:textAlignment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现行标准规定</w:t>
            </w:r>
            <w:r>
              <w:rPr>
                <w:rFonts w:hint="eastAsia" w:ascii="Times New Roman" w:hAnsi="Times New Roman" w:eastAsia="仿宋_GB2312" w:cs="Times New Roman"/>
                <w:color w:val="auto"/>
                <w:kern w:val="0"/>
                <w:sz w:val="24"/>
                <w:szCs w:val="24"/>
                <w:highlight w:val="none"/>
              </w:rPr>
              <w:t>了海船船员轮机模拟器的训练对象，训练目标，训练内容，训练方案，训练计划，训练程序，学员和教员配置，教员要求，场地、设施和设备，教学文件等。适用于规范海船船员轮机模拟器训练。</w:t>
            </w:r>
          </w:p>
          <w:p w14:paraId="38F1CB49">
            <w:pPr>
              <w:widowControl/>
              <w:textAlignment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b/>
                <w:bCs/>
                <w:color w:val="auto"/>
                <w:kern w:val="0"/>
                <w:sz w:val="24"/>
                <w:szCs w:val="24"/>
                <w:highlight w:val="none"/>
              </w:rPr>
              <w:t>主要修订内容：</w:t>
            </w:r>
            <w:r>
              <w:rPr>
                <w:rFonts w:ascii="Times New Roman" w:hAnsi="Times New Roman" w:eastAsia="仿宋_GB2312" w:cs="Times New Roman"/>
                <w:color w:val="auto"/>
                <w:kern w:val="0"/>
                <w:sz w:val="24"/>
                <w:szCs w:val="24"/>
                <w:highlight w:val="none"/>
              </w:rPr>
              <w:t>1.针对零碳/低碳燃料船舶，增加零碳/低碳燃料加注，储存，驳运与供给等训练内容，以及换代后的主机遥控系统，监测报警系统，配电系统和安全系统，船舶防污染设备与减排装置等相关操作内容；2.明确相关训练内容应该达到的训练目标，制定相应的训练方案、训练计划、训练程序。</w:t>
            </w:r>
          </w:p>
        </w:tc>
        <w:tc>
          <w:tcPr>
            <w:tcW w:w="241" w:type="pct"/>
            <w:vAlign w:val="center"/>
          </w:tcPr>
          <w:p w14:paraId="587D4B02">
            <w:pPr>
              <w:jc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修订</w:t>
            </w:r>
          </w:p>
        </w:tc>
        <w:tc>
          <w:tcPr>
            <w:tcW w:w="467" w:type="pct"/>
            <w:vAlign w:val="center"/>
          </w:tcPr>
          <w:p w14:paraId="04822EE3">
            <w:pPr>
              <w:widowControl/>
              <w:jc w:val="center"/>
              <w:textAlignment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color w:val="auto"/>
                <w:kern w:val="0"/>
                <w:sz w:val="24"/>
                <w:szCs w:val="24"/>
                <w:highlight w:val="none"/>
              </w:rPr>
              <w:t>JT/T 1380.2-2021</w:t>
            </w:r>
          </w:p>
        </w:tc>
        <w:tc>
          <w:tcPr>
            <w:tcW w:w="311" w:type="pct"/>
            <w:shd w:val="clear" w:color="auto" w:fill="auto"/>
            <w:vAlign w:val="center"/>
          </w:tcPr>
          <w:p w14:paraId="534874E7">
            <w:pPr>
              <w:widowControl/>
              <w:jc w:val="center"/>
              <w:textAlignment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color w:val="auto"/>
                <w:kern w:val="0"/>
                <w:sz w:val="24"/>
                <w:szCs w:val="24"/>
                <w:highlight w:val="none"/>
              </w:rPr>
              <w:t>12</w:t>
            </w:r>
          </w:p>
        </w:tc>
        <w:tc>
          <w:tcPr>
            <w:tcW w:w="409" w:type="pct"/>
            <w:shd w:val="clear" w:color="auto" w:fill="auto"/>
            <w:vAlign w:val="center"/>
          </w:tcPr>
          <w:p w14:paraId="1C518B3F">
            <w:pPr>
              <w:widowControl/>
              <w:jc w:val="center"/>
              <w:textAlignment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color w:val="auto"/>
                <w:kern w:val="0"/>
                <w:sz w:val="24"/>
                <w:szCs w:val="24"/>
                <w:highlight w:val="none"/>
              </w:rPr>
              <w:t>航海安全</w:t>
            </w:r>
            <w:r>
              <w:rPr>
                <w:rFonts w:hint="eastAsia" w:ascii="Times New Roman" w:hAnsi="Times New Roman" w:eastAsia="仿宋_GB2312" w:cs="Times New Roman"/>
                <w:color w:val="auto"/>
                <w:sz w:val="24"/>
                <w:szCs w:val="24"/>
                <w:highlight w:val="none"/>
              </w:rPr>
              <w:t>标委会</w:t>
            </w:r>
          </w:p>
        </w:tc>
        <w:tc>
          <w:tcPr>
            <w:tcW w:w="1196" w:type="pct"/>
            <w:shd w:val="clear" w:color="auto" w:fill="auto"/>
            <w:vAlign w:val="center"/>
          </w:tcPr>
          <w:p w14:paraId="176D5B14">
            <w:pPr>
              <w:widowControl/>
              <w:textAlignment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kern w:val="0"/>
                <w:sz w:val="24"/>
                <w:szCs w:val="24"/>
                <w:highlight w:val="none"/>
              </w:rPr>
              <w:t>青岛远洋船员职业学院</w:t>
            </w:r>
            <w:r>
              <w:rPr>
                <w:rFonts w:hint="eastAsia" w:ascii="Times New Roman" w:hAnsi="Times New Roman" w:eastAsia="仿宋_GB2312" w:cs="Times New Roman"/>
                <w:color w:val="auto"/>
                <w:kern w:val="0"/>
                <w:sz w:val="24"/>
                <w:szCs w:val="24"/>
                <w:highlight w:val="none"/>
              </w:rPr>
              <w:t>、</w:t>
            </w:r>
            <w:r>
              <w:rPr>
                <w:rFonts w:ascii="Times New Roman" w:hAnsi="Times New Roman" w:eastAsia="仿宋_GB2312" w:cs="Times New Roman"/>
                <w:color w:val="auto"/>
                <w:kern w:val="0"/>
                <w:sz w:val="24"/>
                <w:szCs w:val="24"/>
                <w:highlight w:val="none"/>
              </w:rPr>
              <w:t>山东海事局</w:t>
            </w:r>
          </w:p>
        </w:tc>
      </w:tr>
      <w:tr w14:paraId="382FD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9" w:type="pct"/>
            <w:vAlign w:val="center"/>
          </w:tcPr>
          <w:p w14:paraId="32B0422E">
            <w:pPr>
              <w:pStyle w:val="11"/>
              <w:numPr>
                <w:ilvl w:val="0"/>
                <w:numId w:val="1"/>
              </w:numPr>
              <w:ind w:left="0" w:firstLine="0" w:firstLineChars="0"/>
              <w:jc w:val="center"/>
              <w:rPr>
                <w:rFonts w:ascii="Times New Roman" w:hAnsi="Times New Roman" w:eastAsia="仿宋_GB2312" w:cs="Times New Roman"/>
                <w:bCs/>
                <w:color w:val="auto"/>
                <w:sz w:val="24"/>
                <w:szCs w:val="24"/>
                <w:highlight w:val="none"/>
              </w:rPr>
            </w:pPr>
          </w:p>
        </w:tc>
        <w:tc>
          <w:tcPr>
            <w:tcW w:w="613" w:type="pct"/>
            <w:vAlign w:val="center"/>
          </w:tcPr>
          <w:p w14:paraId="07DADA89">
            <w:pPr>
              <w:widowControl/>
              <w:jc w:val="left"/>
              <w:textAlignment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kern w:val="0"/>
                <w:sz w:val="24"/>
                <w:szCs w:val="24"/>
                <w:highlight w:val="none"/>
              </w:rPr>
              <w:t>交通运输安全应急视频设备位置信息数据规范</w:t>
            </w:r>
          </w:p>
        </w:tc>
        <w:tc>
          <w:tcPr>
            <w:tcW w:w="1570" w:type="pct"/>
            <w:vAlign w:val="center"/>
          </w:tcPr>
          <w:p w14:paraId="72EB72BF">
            <w:pPr>
              <w:widowControl/>
              <w:textAlignment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拟规定交通运输安全应急视频设备的位置信息数据的总体技术、位置信息采集与场景分类编码、数据交换和软硬件接口要求。</w:t>
            </w:r>
          </w:p>
          <w:p w14:paraId="5284E9A9">
            <w:pPr>
              <w:widowControl/>
              <w:textAlignment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kern w:val="0"/>
                <w:sz w:val="24"/>
                <w:szCs w:val="24"/>
                <w:highlight w:val="none"/>
              </w:rPr>
              <w:t>适用于交通运输领域中部署于不同道路场景下的视频监控设备，在应对不同应急场景中的位置信息数据标准化应用，为数据交换、共享和应急指挥调度提供统一的数据基础。</w:t>
            </w:r>
          </w:p>
        </w:tc>
        <w:tc>
          <w:tcPr>
            <w:tcW w:w="241" w:type="pct"/>
            <w:vAlign w:val="center"/>
          </w:tcPr>
          <w:p w14:paraId="05812701">
            <w:pPr>
              <w:jc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bCs/>
                <w:color w:val="auto"/>
                <w:sz w:val="24"/>
                <w:szCs w:val="24"/>
                <w:highlight w:val="none"/>
              </w:rPr>
              <w:t>制定</w:t>
            </w:r>
          </w:p>
        </w:tc>
        <w:tc>
          <w:tcPr>
            <w:tcW w:w="467" w:type="pct"/>
            <w:vAlign w:val="center"/>
          </w:tcPr>
          <w:p w14:paraId="7D0904EC">
            <w:pPr>
              <w:widowControl/>
              <w:jc w:val="center"/>
              <w:textAlignment w:val="center"/>
              <w:rPr>
                <w:rFonts w:ascii="Times New Roman" w:hAnsi="Times New Roman" w:eastAsia="仿宋_GB2312" w:cs="Times New Roman"/>
                <w:bCs/>
                <w:color w:val="auto"/>
                <w:sz w:val="24"/>
                <w:szCs w:val="24"/>
                <w:highlight w:val="none"/>
              </w:rPr>
            </w:pPr>
          </w:p>
        </w:tc>
        <w:tc>
          <w:tcPr>
            <w:tcW w:w="311" w:type="pct"/>
            <w:shd w:val="clear" w:color="auto" w:fill="auto"/>
            <w:vAlign w:val="center"/>
          </w:tcPr>
          <w:p w14:paraId="387295BF">
            <w:pPr>
              <w:widowControl/>
              <w:jc w:val="center"/>
              <w:textAlignment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color w:val="auto"/>
                <w:kern w:val="0"/>
                <w:sz w:val="24"/>
                <w:szCs w:val="24"/>
                <w:highlight w:val="none"/>
              </w:rPr>
              <w:t>12</w:t>
            </w:r>
          </w:p>
        </w:tc>
        <w:tc>
          <w:tcPr>
            <w:tcW w:w="409" w:type="pct"/>
            <w:shd w:val="clear" w:color="auto" w:fill="auto"/>
            <w:vAlign w:val="center"/>
          </w:tcPr>
          <w:p w14:paraId="5D766DB9">
            <w:pPr>
              <w:widowControl/>
              <w:jc w:val="center"/>
              <w:textAlignment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color w:val="auto"/>
                <w:kern w:val="0"/>
                <w:sz w:val="24"/>
                <w:szCs w:val="24"/>
                <w:highlight w:val="none"/>
              </w:rPr>
              <w:t>信息通导标委会</w:t>
            </w:r>
          </w:p>
        </w:tc>
        <w:tc>
          <w:tcPr>
            <w:tcW w:w="1196" w:type="pct"/>
            <w:shd w:val="clear" w:color="auto" w:fill="auto"/>
            <w:vAlign w:val="center"/>
          </w:tcPr>
          <w:p w14:paraId="4AFA9822">
            <w:pPr>
              <w:widowControl/>
              <w:textAlignment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kern w:val="0"/>
                <w:sz w:val="24"/>
                <w:szCs w:val="24"/>
                <w:highlight w:val="none"/>
              </w:rPr>
              <w:t>长安大学</w:t>
            </w:r>
            <w:r>
              <w:rPr>
                <w:rFonts w:hint="eastAsia" w:ascii="Times New Roman" w:hAnsi="Times New Roman" w:eastAsia="仿宋_GB2312" w:cs="Times New Roman"/>
                <w:color w:val="auto"/>
                <w:kern w:val="0"/>
                <w:sz w:val="24"/>
                <w:szCs w:val="24"/>
                <w:highlight w:val="none"/>
              </w:rPr>
              <w:t>、浙江省交通集团技术研究总院有限责任公司、浙江大华技术股份有限公司、武汉大学</w:t>
            </w:r>
          </w:p>
        </w:tc>
      </w:tr>
      <w:tr w14:paraId="51163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9" w:type="pct"/>
            <w:vAlign w:val="center"/>
          </w:tcPr>
          <w:p w14:paraId="7FBD0E48">
            <w:pPr>
              <w:pStyle w:val="11"/>
              <w:numPr>
                <w:ilvl w:val="0"/>
                <w:numId w:val="1"/>
              </w:numPr>
              <w:ind w:left="0" w:firstLine="0" w:firstLineChars="0"/>
              <w:jc w:val="center"/>
              <w:rPr>
                <w:rFonts w:ascii="Times New Roman" w:hAnsi="Times New Roman" w:eastAsia="仿宋_GB2312" w:cs="Times New Roman"/>
                <w:bCs/>
                <w:color w:val="auto"/>
                <w:sz w:val="24"/>
                <w:szCs w:val="24"/>
                <w:highlight w:val="none"/>
              </w:rPr>
            </w:pPr>
          </w:p>
        </w:tc>
        <w:tc>
          <w:tcPr>
            <w:tcW w:w="613" w:type="pct"/>
            <w:vAlign w:val="center"/>
          </w:tcPr>
          <w:p w14:paraId="4143CA41">
            <w:pPr>
              <w:widowControl/>
              <w:jc w:val="left"/>
              <w:textAlignment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kern w:val="0"/>
                <w:sz w:val="24"/>
                <w:szCs w:val="24"/>
                <w:highlight w:val="none"/>
              </w:rPr>
              <w:t>国家综合交通运输信息平台视频会议系统接入技术要求</w:t>
            </w:r>
          </w:p>
        </w:tc>
        <w:tc>
          <w:tcPr>
            <w:tcW w:w="1570" w:type="pct"/>
            <w:vAlign w:val="center"/>
          </w:tcPr>
          <w:p w14:paraId="29AD0541">
            <w:pPr>
              <w:widowControl/>
              <w:textAlignment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拟规定国家综合交通运输信息平台视频会议系统接入的总体架构、总体要求、网络要求、技术要求、安全要求和应急措施要求。</w:t>
            </w:r>
          </w:p>
          <w:p w14:paraId="21F4CA56">
            <w:pPr>
              <w:widowControl/>
              <w:textAlignment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kern w:val="0"/>
                <w:sz w:val="24"/>
                <w:szCs w:val="24"/>
                <w:highlight w:val="none"/>
              </w:rPr>
              <w:t>适用于国家综合交通运输信息平台部级视频会议系统与行业各级视频会议系统互联的设计、研发、生产与运行。</w:t>
            </w:r>
          </w:p>
        </w:tc>
        <w:tc>
          <w:tcPr>
            <w:tcW w:w="241" w:type="pct"/>
            <w:vAlign w:val="center"/>
          </w:tcPr>
          <w:p w14:paraId="23B35DA0">
            <w:pPr>
              <w:jc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bCs/>
                <w:color w:val="auto"/>
                <w:sz w:val="24"/>
                <w:szCs w:val="24"/>
                <w:highlight w:val="none"/>
              </w:rPr>
              <w:t>制定</w:t>
            </w:r>
          </w:p>
        </w:tc>
        <w:tc>
          <w:tcPr>
            <w:tcW w:w="467" w:type="pct"/>
            <w:vAlign w:val="center"/>
          </w:tcPr>
          <w:p w14:paraId="227EB2B9">
            <w:pPr>
              <w:widowControl/>
              <w:jc w:val="center"/>
              <w:textAlignment w:val="center"/>
              <w:rPr>
                <w:rFonts w:ascii="Times New Roman" w:hAnsi="Times New Roman" w:eastAsia="仿宋_GB2312" w:cs="Times New Roman"/>
                <w:bCs/>
                <w:color w:val="auto"/>
                <w:sz w:val="24"/>
                <w:szCs w:val="24"/>
                <w:highlight w:val="none"/>
              </w:rPr>
            </w:pPr>
          </w:p>
        </w:tc>
        <w:tc>
          <w:tcPr>
            <w:tcW w:w="311" w:type="pct"/>
            <w:shd w:val="clear" w:color="auto" w:fill="auto"/>
            <w:vAlign w:val="center"/>
          </w:tcPr>
          <w:p w14:paraId="428B531A">
            <w:pPr>
              <w:widowControl/>
              <w:jc w:val="center"/>
              <w:textAlignment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color w:val="auto"/>
                <w:kern w:val="0"/>
                <w:sz w:val="24"/>
                <w:szCs w:val="24"/>
                <w:highlight w:val="none"/>
              </w:rPr>
              <w:t>12</w:t>
            </w:r>
          </w:p>
        </w:tc>
        <w:tc>
          <w:tcPr>
            <w:tcW w:w="409" w:type="pct"/>
            <w:shd w:val="clear" w:color="auto" w:fill="auto"/>
            <w:vAlign w:val="center"/>
          </w:tcPr>
          <w:p w14:paraId="598999D5">
            <w:pPr>
              <w:widowControl/>
              <w:jc w:val="center"/>
              <w:textAlignment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color w:val="auto"/>
                <w:kern w:val="0"/>
                <w:sz w:val="24"/>
                <w:szCs w:val="24"/>
                <w:highlight w:val="none"/>
              </w:rPr>
              <w:t>信息通导标委会</w:t>
            </w:r>
          </w:p>
        </w:tc>
        <w:tc>
          <w:tcPr>
            <w:tcW w:w="1196" w:type="pct"/>
            <w:shd w:val="clear" w:color="auto" w:fill="auto"/>
            <w:vAlign w:val="center"/>
          </w:tcPr>
          <w:p w14:paraId="6F54856B">
            <w:pPr>
              <w:widowControl/>
              <w:textAlignment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kern w:val="0"/>
                <w:sz w:val="24"/>
                <w:szCs w:val="24"/>
                <w:highlight w:val="none"/>
              </w:rPr>
              <w:t>中国交通通信信息中心</w:t>
            </w:r>
            <w:r>
              <w:rPr>
                <w:rFonts w:hint="eastAsia" w:ascii="Times New Roman" w:hAnsi="Times New Roman" w:eastAsia="仿宋_GB2312" w:cs="Times New Roman"/>
                <w:color w:val="auto"/>
                <w:kern w:val="0"/>
                <w:sz w:val="24"/>
                <w:szCs w:val="24"/>
                <w:highlight w:val="none"/>
              </w:rPr>
              <w:t>、北京小鱼易连科技有限公司、中国交通信息科技集团有限公司</w:t>
            </w:r>
          </w:p>
        </w:tc>
      </w:tr>
      <w:tr w14:paraId="72922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89" w:type="pct"/>
            <w:vAlign w:val="center"/>
          </w:tcPr>
          <w:p w14:paraId="67EE2945">
            <w:pPr>
              <w:pStyle w:val="11"/>
              <w:numPr>
                <w:ilvl w:val="0"/>
                <w:numId w:val="1"/>
              </w:numPr>
              <w:ind w:left="0" w:firstLine="0" w:firstLineChars="0"/>
              <w:jc w:val="center"/>
              <w:rPr>
                <w:rFonts w:ascii="Times New Roman" w:hAnsi="Times New Roman" w:eastAsia="仿宋_GB2312" w:cs="Times New Roman"/>
                <w:bCs/>
                <w:color w:val="auto"/>
                <w:sz w:val="24"/>
                <w:szCs w:val="24"/>
                <w:highlight w:val="none"/>
              </w:rPr>
            </w:pPr>
          </w:p>
        </w:tc>
        <w:tc>
          <w:tcPr>
            <w:tcW w:w="613" w:type="pct"/>
            <w:vAlign w:val="center"/>
          </w:tcPr>
          <w:p w14:paraId="7D0EA0FB">
            <w:pPr>
              <w:widowControl/>
              <w:jc w:val="left"/>
              <w:textAlignment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国家综合交通运输信息平台网络接入</w:t>
            </w:r>
            <w:r>
              <w:rPr>
                <w:rFonts w:hint="eastAsia" w:ascii="Times New Roman" w:hAnsi="Times New Roman" w:eastAsia="仿宋_GB2312" w:cs="Times New Roman"/>
                <w:color w:val="auto"/>
                <w:kern w:val="0"/>
                <w:sz w:val="24"/>
                <w:szCs w:val="24"/>
                <w:highlight w:val="none"/>
              </w:rPr>
              <w:t>和管理</w:t>
            </w:r>
            <w:r>
              <w:rPr>
                <w:rFonts w:ascii="Times New Roman" w:hAnsi="Times New Roman" w:eastAsia="仿宋_GB2312" w:cs="Times New Roman"/>
                <w:color w:val="auto"/>
                <w:kern w:val="0"/>
                <w:sz w:val="24"/>
                <w:szCs w:val="24"/>
                <w:highlight w:val="none"/>
              </w:rPr>
              <w:t>要求</w:t>
            </w:r>
          </w:p>
        </w:tc>
        <w:tc>
          <w:tcPr>
            <w:tcW w:w="1570" w:type="pct"/>
            <w:vAlign w:val="center"/>
          </w:tcPr>
          <w:p w14:paraId="476A8BB5">
            <w:pPr>
              <w:widowControl/>
              <w:textAlignment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拟规定国家综合交通运输信息平台网络接入的总体要求、</w:t>
            </w:r>
            <w:r>
              <w:rPr>
                <w:rFonts w:hint="eastAsia" w:ascii="Times New Roman" w:hAnsi="Times New Roman" w:eastAsia="仿宋_GB2312" w:cs="Times New Roman"/>
                <w:color w:val="auto"/>
                <w:kern w:val="0"/>
                <w:sz w:val="24"/>
                <w:szCs w:val="24"/>
                <w:highlight w:val="none"/>
              </w:rPr>
              <w:t>职责和分工</w:t>
            </w:r>
            <w:r>
              <w:rPr>
                <w:rFonts w:ascii="Times New Roman" w:hAnsi="Times New Roman" w:eastAsia="仿宋_GB2312" w:cs="Times New Roman"/>
                <w:color w:val="auto"/>
                <w:kern w:val="0"/>
                <w:sz w:val="24"/>
                <w:szCs w:val="24"/>
                <w:highlight w:val="none"/>
              </w:rPr>
              <w:t>、分级管理、接入管理和安全管理。</w:t>
            </w:r>
            <w:r>
              <w:rPr>
                <w:rFonts w:ascii="Times New Roman" w:hAnsi="Times New Roman" w:eastAsia="仿宋_GB2312" w:cs="Times New Roman"/>
                <w:color w:val="auto"/>
                <w:kern w:val="0"/>
                <w:sz w:val="24"/>
                <w:szCs w:val="24"/>
                <w:highlight w:val="none"/>
              </w:rPr>
              <w:br w:type="textWrapping"/>
            </w:r>
            <w:r>
              <w:rPr>
                <w:rFonts w:ascii="Times New Roman" w:hAnsi="Times New Roman" w:eastAsia="仿宋_GB2312" w:cs="Times New Roman"/>
                <w:color w:val="auto"/>
                <w:kern w:val="0"/>
                <w:sz w:val="24"/>
                <w:szCs w:val="24"/>
                <w:highlight w:val="none"/>
              </w:rPr>
              <w:t>适用于国家综合交通运输信息平台网络与各省（自治区、直辖市）、新疆生产建设兵团及计划单列市交通运输主管部门，部属各单位，有关中央交通运输企业以及交通运输行业关键信息基础设施运营单位通过专用线路、国家电子政务外网或虚拟专用网络方式互联的设计、研发、生产与使用。</w:t>
            </w:r>
          </w:p>
        </w:tc>
        <w:tc>
          <w:tcPr>
            <w:tcW w:w="241" w:type="pct"/>
            <w:vAlign w:val="center"/>
          </w:tcPr>
          <w:p w14:paraId="4E31A56B">
            <w:pPr>
              <w:jc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bCs/>
                <w:color w:val="auto"/>
                <w:sz w:val="24"/>
                <w:szCs w:val="24"/>
                <w:highlight w:val="none"/>
              </w:rPr>
              <w:t>制定</w:t>
            </w:r>
          </w:p>
        </w:tc>
        <w:tc>
          <w:tcPr>
            <w:tcW w:w="467" w:type="pct"/>
            <w:vAlign w:val="center"/>
          </w:tcPr>
          <w:p w14:paraId="1FB80AF1">
            <w:pPr>
              <w:widowControl/>
              <w:jc w:val="center"/>
              <w:textAlignment w:val="center"/>
              <w:rPr>
                <w:rFonts w:ascii="Times New Roman" w:hAnsi="Times New Roman" w:eastAsia="仿宋_GB2312" w:cs="Times New Roman"/>
                <w:bCs/>
                <w:color w:val="auto"/>
                <w:sz w:val="24"/>
                <w:szCs w:val="24"/>
                <w:highlight w:val="none"/>
              </w:rPr>
            </w:pPr>
          </w:p>
        </w:tc>
        <w:tc>
          <w:tcPr>
            <w:tcW w:w="311" w:type="pct"/>
            <w:shd w:val="clear" w:color="auto" w:fill="auto"/>
            <w:vAlign w:val="center"/>
          </w:tcPr>
          <w:p w14:paraId="7D4479F3">
            <w:pPr>
              <w:widowControl/>
              <w:jc w:val="center"/>
              <w:textAlignment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color w:val="auto"/>
                <w:kern w:val="0"/>
                <w:sz w:val="24"/>
                <w:szCs w:val="24"/>
                <w:highlight w:val="none"/>
              </w:rPr>
              <w:t>12</w:t>
            </w:r>
          </w:p>
        </w:tc>
        <w:tc>
          <w:tcPr>
            <w:tcW w:w="409" w:type="pct"/>
            <w:shd w:val="clear" w:color="auto" w:fill="auto"/>
            <w:vAlign w:val="center"/>
          </w:tcPr>
          <w:p w14:paraId="0E094D62">
            <w:pPr>
              <w:widowControl/>
              <w:jc w:val="center"/>
              <w:textAlignment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信息通导标委会</w:t>
            </w:r>
          </w:p>
        </w:tc>
        <w:tc>
          <w:tcPr>
            <w:tcW w:w="1196" w:type="pct"/>
            <w:shd w:val="clear" w:color="auto" w:fill="auto"/>
            <w:vAlign w:val="center"/>
          </w:tcPr>
          <w:p w14:paraId="76AA4D8A">
            <w:pPr>
              <w:widowControl/>
              <w:textAlignment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中国交通通信信息中心</w:t>
            </w:r>
            <w:r>
              <w:rPr>
                <w:rFonts w:hint="eastAsia" w:ascii="Times New Roman" w:hAnsi="Times New Roman" w:eastAsia="仿宋_GB2312" w:cs="Times New Roman"/>
                <w:color w:val="auto"/>
                <w:kern w:val="0"/>
                <w:sz w:val="24"/>
                <w:szCs w:val="24"/>
                <w:highlight w:val="none"/>
              </w:rPr>
              <w:t>、杭州安恒信息技术股份公司、中国交通信息科技集团有限公司</w:t>
            </w:r>
          </w:p>
        </w:tc>
      </w:tr>
      <w:tr w14:paraId="0CC0A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9" w:type="pct"/>
            <w:vAlign w:val="center"/>
          </w:tcPr>
          <w:p w14:paraId="04928956">
            <w:pPr>
              <w:pStyle w:val="11"/>
              <w:numPr>
                <w:ilvl w:val="0"/>
                <w:numId w:val="1"/>
              </w:numPr>
              <w:ind w:left="0" w:firstLine="0" w:firstLineChars="0"/>
              <w:jc w:val="center"/>
              <w:rPr>
                <w:rFonts w:ascii="Times New Roman" w:hAnsi="Times New Roman" w:eastAsia="仿宋_GB2312" w:cs="Times New Roman"/>
                <w:bCs/>
                <w:color w:val="auto"/>
                <w:sz w:val="24"/>
                <w:szCs w:val="24"/>
                <w:highlight w:val="none"/>
              </w:rPr>
            </w:pPr>
          </w:p>
        </w:tc>
        <w:tc>
          <w:tcPr>
            <w:tcW w:w="613" w:type="pct"/>
            <w:vAlign w:val="center"/>
          </w:tcPr>
          <w:p w14:paraId="1EE6DE77">
            <w:pPr>
              <w:widowControl/>
              <w:jc w:val="left"/>
              <w:textAlignment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kern w:val="0"/>
                <w:sz w:val="24"/>
                <w:szCs w:val="24"/>
                <w:highlight w:val="none"/>
              </w:rPr>
              <w:t>航运区块链架构与数据规范</w:t>
            </w:r>
          </w:p>
        </w:tc>
        <w:tc>
          <w:tcPr>
            <w:tcW w:w="1570" w:type="pct"/>
            <w:vAlign w:val="center"/>
          </w:tcPr>
          <w:p w14:paraId="7D5DD687">
            <w:pPr>
              <w:widowControl/>
              <w:textAlignment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拟规定航运区块链的参考架构、相关用户视图和功能视图、实施部署方式以及基于航运区块链共享的航运数据规范，包括数据项表示、基础数据和管理数据、数据管理与维护。</w:t>
            </w:r>
          </w:p>
          <w:p w14:paraId="7E01F346">
            <w:pPr>
              <w:widowControl/>
              <w:textAlignment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kern w:val="0"/>
                <w:sz w:val="24"/>
                <w:szCs w:val="24"/>
                <w:highlight w:val="none"/>
              </w:rPr>
              <w:t>适用于使用区块链技术组织建设航运协作共享系统，指导航运区块链的网络规划、设计建设、数据应用等工作，指导航运相关方接入和使用航运区块链。</w:t>
            </w:r>
          </w:p>
        </w:tc>
        <w:tc>
          <w:tcPr>
            <w:tcW w:w="241" w:type="pct"/>
            <w:vAlign w:val="center"/>
          </w:tcPr>
          <w:p w14:paraId="3854BAAB">
            <w:pPr>
              <w:jc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bCs/>
                <w:color w:val="auto"/>
                <w:sz w:val="24"/>
                <w:szCs w:val="24"/>
                <w:highlight w:val="none"/>
              </w:rPr>
              <w:t>制定</w:t>
            </w:r>
          </w:p>
        </w:tc>
        <w:tc>
          <w:tcPr>
            <w:tcW w:w="467" w:type="pct"/>
            <w:vAlign w:val="center"/>
          </w:tcPr>
          <w:p w14:paraId="4ABFA1CA">
            <w:pPr>
              <w:widowControl/>
              <w:jc w:val="center"/>
              <w:textAlignment w:val="center"/>
              <w:rPr>
                <w:rFonts w:ascii="Times New Roman" w:hAnsi="Times New Roman" w:eastAsia="仿宋_GB2312" w:cs="Times New Roman"/>
                <w:bCs/>
                <w:color w:val="auto"/>
                <w:sz w:val="24"/>
                <w:szCs w:val="24"/>
                <w:highlight w:val="none"/>
              </w:rPr>
            </w:pPr>
          </w:p>
        </w:tc>
        <w:tc>
          <w:tcPr>
            <w:tcW w:w="311" w:type="pct"/>
            <w:shd w:val="clear" w:color="auto" w:fill="auto"/>
            <w:vAlign w:val="center"/>
          </w:tcPr>
          <w:p w14:paraId="553C7461">
            <w:pPr>
              <w:widowControl/>
              <w:jc w:val="center"/>
              <w:textAlignment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color w:val="auto"/>
                <w:kern w:val="0"/>
                <w:sz w:val="24"/>
                <w:szCs w:val="24"/>
                <w:highlight w:val="none"/>
              </w:rPr>
              <w:t>12</w:t>
            </w:r>
          </w:p>
        </w:tc>
        <w:tc>
          <w:tcPr>
            <w:tcW w:w="409" w:type="pct"/>
            <w:shd w:val="clear" w:color="auto" w:fill="auto"/>
            <w:vAlign w:val="center"/>
          </w:tcPr>
          <w:p w14:paraId="6C42F879">
            <w:pPr>
              <w:widowControl/>
              <w:jc w:val="center"/>
              <w:textAlignment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color w:val="auto"/>
                <w:kern w:val="0"/>
                <w:sz w:val="24"/>
                <w:szCs w:val="24"/>
                <w:highlight w:val="none"/>
              </w:rPr>
              <w:t>信息通导标委会</w:t>
            </w:r>
          </w:p>
        </w:tc>
        <w:tc>
          <w:tcPr>
            <w:tcW w:w="1196" w:type="pct"/>
            <w:shd w:val="clear" w:color="auto" w:fill="auto"/>
            <w:vAlign w:val="center"/>
          </w:tcPr>
          <w:p w14:paraId="2B51027C">
            <w:pPr>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kern w:val="0"/>
                <w:sz w:val="24"/>
                <w:szCs w:val="24"/>
                <w:highlight w:val="none"/>
              </w:rPr>
              <w:t>长江水上交通监测与应急处置中心、杭州趣链科技有限公司、北京数字认证股份有限公司</w:t>
            </w:r>
          </w:p>
        </w:tc>
      </w:tr>
      <w:tr w14:paraId="38148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3" w:hRule="atLeast"/>
        </w:trPr>
        <w:tc>
          <w:tcPr>
            <w:tcW w:w="189" w:type="pct"/>
            <w:vAlign w:val="center"/>
          </w:tcPr>
          <w:p w14:paraId="1225D752">
            <w:pPr>
              <w:pStyle w:val="11"/>
              <w:numPr>
                <w:ilvl w:val="0"/>
                <w:numId w:val="1"/>
              </w:numPr>
              <w:ind w:left="0" w:firstLine="0" w:firstLineChars="0"/>
              <w:jc w:val="center"/>
              <w:rPr>
                <w:rFonts w:ascii="Times New Roman" w:hAnsi="Times New Roman" w:eastAsia="仿宋_GB2312" w:cs="Times New Roman"/>
                <w:bCs/>
                <w:color w:val="auto"/>
                <w:sz w:val="24"/>
                <w:szCs w:val="24"/>
                <w:highlight w:val="none"/>
              </w:rPr>
            </w:pPr>
          </w:p>
        </w:tc>
        <w:tc>
          <w:tcPr>
            <w:tcW w:w="613" w:type="pct"/>
            <w:vAlign w:val="center"/>
          </w:tcPr>
          <w:p w14:paraId="003FF3E1">
            <w:pPr>
              <w:widowControl/>
              <w:jc w:val="left"/>
              <w:textAlignment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kern w:val="0"/>
                <w:sz w:val="24"/>
                <w:szCs w:val="24"/>
                <w:highlight w:val="none"/>
              </w:rPr>
              <w:t>交通运输行业高质量数据集建设导则</w:t>
            </w:r>
          </w:p>
        </w:tc>
        <w:tc>
          <w:tcPr>
            <w:tcW w:w="1570" w:type="pct"/>
            <w:vAlign w:val="center"/>
          </w:tcPr>
          <w:p w14:paraId="6AC06412">
            <w:pPr>
              <w:widowControl/>
              <w:textAlignment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kern w:val="0"/>
                <w:sz w:val="24"/>
                <w:szCs w:val="24"/>
                <w:highlight w:val="none"/>
              </w:rPr>
              <w:t>拟规定交通运输行业高质量数据集建设的总体要求、数据集分类及构成和数据采集、处理、标注、评测和发布以及安全要求。</w:t>
            </w:r>
            <w:r>
              <w:rPr>
                <w:rFonts w:ascii="Times New Roman" w:hAnsi="Times New Roman" w:eastAsia="仿宋_GB2312" w:cs="Times New Roman"/>
                <w:color w:val="auto"/>
                <w:kern w:val="0"/>
                <w:sz w:val="24"/>
                <w:szCs w:val="24"/>
                <w:highlight w:val="none"/>
              </w:rPr>
              <w:br w:type="textWrapping"/>
            </w:r>
            <w:r>
              <w:rPr>
                <w:rFonts w:ascii="Times New Roman" w:hAnsi="Times New Roman" w:eastAsia="仿宋_GB2312" w:cs="Times New Roman"/>
                <w:color w:val="auto"/>
                <w:kern w:val="0"/>
                <w:sz w:val="24"/>
                <w:szCs w:val="24"/>
                <w:highlight w:val="none"/>
              </w:rPr>
              <w:t>适用于交通运输行业管理部门、企事业单位、高等院校、科研机构、行业组织及社会公众开展重点领域高质量数据集的建设。</w:t>
            </w:r>
          </w:p>
        </w:tc>
        <w:tc>
          <w:tcPr>
            <w:tcW w:w="241" w:type="pct"/>
            <w:vAlign w:val="center"/>
          </w:tcPr>
          <w:p w14:paraId="2D167359">
            <w:pPr>
              <w:jc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bCs/>
                <w:color w:val="auto"/>
                <w:sz w:val="24"/>
                <w:szCs w:val="24"/>
                <w:highlight w:val="none"/>
              </w:rPr>
              <w:t>制定</w:t>
            </w:r>
          </w:p>
        </w:tc>
        <w:tc>
          <w:tcPr>
            <w:tcW w:w="467" w:type="pct"/>
            <w:vAlign w:val="center"/>
          </w:tcPr>
          <w:p w14:paraId="325F07D2">
            <w:pPr>
              <w:widowControl/>
              <w:jc w:val="center"/>
              <w:textAlignment w:val="center"/>
              <w:rPr>
                <w:rFonts w:ascii="Times New Roman" w:hAnsi="Times New Roman" w:eastAsia="仿宋_GB2312" w:cs="Times New Roman"/>
                <w:bCs/>
                <w:color w:val="auto"/>
                <w:sz w:val="24"/>
                <w:szCs w:val="24"/>
                <w:highlight w:val="none"/>
              </w:rPr>
            </w:pPr>
          </w:p>
        </w:tc>
        <w:tc>
          <w:tcPr>
            <w:tcW w:w="311" w:type="pct"/>
            <w:shd w:val="clear" w:color="auto" w:fill="auto"/>
            <w:vAlign w:val="center"/>
          </w:tcPr>
          <w:p w14:paraId="5230A735">
            <w:pPr>
              <w:widowControl/>
              <w:jc w:val="center"/>
              <w:textAlignment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color w:val="auto"/>
                <w:kern w:val="0"/>
                <w:sz w:val="24"/>
                <w:szCs w:val="24"/>
                <w:highlight w:val="none"/>
              </w:rPr>
              <w:t>12</w:t>
            </w:r>
          </w:p>
        </w:tc>
        <w:tc>
          <w:tcPr>
            <w:tcW w:w="409" w:type="pct"/>
            <w:shd w:val="clear" w:color="auto" w:fill="auto"/>
            <w:vAlign w:val="center"/>
          </w:tcPr>
          <w:p w14:paraId="3BD6619D">
            <w:pPr>
              <w:widowControl/>
              <w:jc w:val="center"/>
              <w:textAlignment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color w:val="auto"/>
                <w:kern w:val="0"/>
                <w:sz w:val="24"/>
                <w:szCs w:val="24"/>
                <w:highlight w:val="none"/>
              </w:rPr>
              <w:t>信息通导标委会</w:t>
            </w:r>
          </w:p>
        </w:tc>
        <w:tc>
          <w:tcPr>
            <w:tcW w:w="1196" w:type="pct"/>
            <w:shd w:val="clear" w:color="auto" w:fill="auto"/>
            <w:vAlign w:val="center"/>
          </w:tcPr>
          <w:p w14:paraId="2528D2F1">
            <w:pPr>
              <w:widowControl/>
              <w:textAlignment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kern w:val="0"/>
                <w:sz w:val="24"/>
                <w:szCs w:val="24"/>
                <w:highlight w:val="none"/>
              </w:rPr>
              <w:t>中国交通信息科技集团有限公司、交通运输部规划研究院、</w:t>
            </w:r>
            <w:r>
              <w:rPr>
                <w:rFonts w:hint="eastAsia" w:ascii="Times New Roman" w:hAnsi="Times New Roman" w:eastAsia="仿宋_GB2312" w:cs="Times New Roman"/>
                <w:color w:val="auto"/>
                <w:kern w:val="0"/>
                <w:sz w:val="24"/>
                <w:szCs w:val="24"/>
                <w:highlight w:val="none"/>
              </w:rPr>
              <w:t>上海库帕思科技有限公司、数据堂</w:t>
            </w:r>
            <w:r>
              <w:rPr>
                <w:rFonts w:ascii="Times New Roman" w:hAnsi="Times New Roman" w:eastAsia="仿宋_GB2312" w:cs="Times New Roman"/>
                <w:color w:val="auto"/>
                <w:kern w:val="0"/>
                <w:sz w:val="24"/>
                <w:szCs w:val="24"/>
                <w:highlight w:val="none"/>
              </w:rPr>
              <w:t>（</w:t>
            </w:r>
            <w:r>
              <w:rPr>
                <w:rFonts w:hint="eastAsia" w:ascii="Times New Roman" w:hAnsi="Times New Roman" w:eastAsia="仿宋_GB2312" w:cs="Times New Roman"/>
                <w:color w:val="auto"/>
                <w:kern w:val="0"/>
                <w:sz w:val="24"/>
                <w:szCs w:val="24"/>
                <w:highlight w:val="none"/>
              </w:rPr>
              <w:t>北京）科技股份有限公司、深圳市城市交通规划设计研究中心股份有限公司</w:t>
            </w:r>
            <w:r>
              <w:rPr>
                <w:rFonts w:ascii="Times New Roman" w:hAnsi="Times New Roman" w:eastAsia="仿宋_GB2312" w:cs="Times New Roman"/>
                <w:color w:val="auto"/>
                <w:kern w:val="0"/>
                <w:sz w:val="24"/>
                <w:szCs w:val="24"/>
                <w:highlight w:val="none"/>
              </w:rPr>
              <w:t>、人民交通出版社股份有限公司、中交星宇科技有限公司、支付宝（杭州）信息技术有限公司、佳都科技集团股份有限公司</w:t>
            </w:r>
          </w:p>
        </w:tc>
      </w:tr>
      <w:tr w14:paraId="70C1E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9" w:type="pct"/>
            <w:vAlign w:val="center"/>
          </w:tcPr>
          <w:p w14:paraId="01D764A2">
            <w:pPr>
              <w:pStyle w:val="11"/>
              <w:numPr>
                <w:ilvl w:val="0"/>
                <w:numId w:val="1"/>
              </w:numPr>
              <w:ind w:left="0" w:firstLine="0" w:firstLineChars="0"/>
              <w:jc w:val="center"/>
              <w:rPr>
                <w:rFonts w:ascii="Times New Roman" w:hAnsi="Times New Roman" w:eastAsia="仿宋_GB2312" w:cs="Times New Roman"/>
                <w:bCs/>
                <w:color w:val="auto"/>
                <w:sz w:val="24"/>
                <w:szCs w:val="24"/>
                <w:highlight w:val="none"/>
              </w:rPr>
            </w:pPr>
          </w:p>
        </w:tc>
        <w:tc>
          <w:tcPr>
            <w:tcW w:w="613" w:type="pct"/>
            <w:vAlign w:val="center"/>
          </w:tcPr>
          <w:p w14:paraId="64892D10">
            <w:pPr>
              <w:widowControl/>
              <w:jc w:val="left"/>
              <w:textAlignment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kern w:val="0"/>
                <w:sz w:val="24"/>
                <w:szCs w:val="24"/>
                <w:highlight w:val="none"/>
              </w:rPr>
              <w:t>沥青混凝土单位产品能源消耗限额</w:t>
            </w:r>
          </w:p>
        </w:tc>
        <w:tc>
          <w:tcPr>
            <w:tcW w:w="1570" w:type="pct"/>
            <w:vAlign w:val="center"/>
          </w:tcPr>
          <w:p w14:paraId="30C1C17B">
            <w:pPr>
              <w:widowControl/>
              <w:textAlignment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kern w:val="0"/>
                <w:sz w:val="24"/>
                <w:szCs w:val="24"/>
                <w:highlight w:val="none"/>
              </w:rPr>
              <w:t>拟规定沥青混合料单位产品能源消耗的限额要求，提出了统计方法、计算方法、节能管理措施和技术措施。</w:t>
            </w:r>
            <w:r>
              <w:rPr>
                <w:rFonts w:ascii="Times New Roman" w:hAnsi="Times New Roman" w:eastAsia="仿宋_GB2312" w:cs="Times New Roman"/>
                <w:color w:val="auto"/>
                <w:kern w:val="0"/>
                <w:sz w:val="24"/>
                <w:szCs w:val="24"/>
                <w:highlight w:val="none"/>
              </w:rPr>
              <w:br w:type="textWrapping"/>
            </w:r>
            <w:r>
              <w:rPr>
                <w:rFonts w:ascii="Times New Roman" w:hAnsi="Times New Roman" w:eastAsia="仿宋_GB2312" w:cs="Times New Roman"/>
                <w:color w:val="auto"/>
                <w:kern w:val="0"/>
                <w:sz w:val="24"/>
                <w:szCs w:val="24"/>
                <w:highlight w:val="none"/>
              </w:rPr>
              <w:t>适用于沥青混合料生产企业单位产品能源消耗的计算、管理、评价和监管。</w:t>
            </w:r>
          </w:p>
        </w:tc>
        <w:tc>
          <w:tcPr>
            <w:tcW w:w="241" w:type="pct"/>
            <w:vAlign w:val="center"/>
          </w:tcPr>
          <w:p w14:paraId="18687C32">
            <w:pPr>
              <w:jc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bCs/>
                <w:color w:val="auto"/>
                <w:sz w:val="24"/>
                <w:szCs w:val="24"/>
                <w:highlight w:val="none"/>
              </w:rPr>
              <w:t>制定</w:t>
            </w:r>
          </w:p>
        </w:tc>
        <w:tc>
          <w:tcPr>
            <w:tcW w:w="467" w:type="pct"/>
            <w:vAlign w:val="center"/>
          </w:tcPr>
          <w:p w14:paraId="6D83BE56">
            <w:pPr>
              <w:widowControl/>
              <w:jc w:val="center"/>
              <w:textAlignment w:val="center"/>
              <w:rPr>
                <w:rFonts w:ascii="Times New Roman" w:hAnsi="Times New Roman" w:eastAsia="仿宋_GB2312" w:cs="Times New Roman"/>
                <w:bCs/>
                <w:color w:val="auto"/>
                <w:sz w:val="24"/>
                <w:szCs w:val="24"/>
                <w:highlight w:val="none"/>
              </w:rPr>
            </w:pPr>
          </w:p>
        </w:tc>
        <w:tc>
          <w:tcPr>
            <w:tcW w:w="311" w:type="pct"/>
            <w:shd w:val="clear" w:color="auto" w:fill="auto"/>
            <w:vAlign w:val="center"/>
          </w:tcPr>
          <w:p w14:paraId="7A65DE15">
            <w:pPr>
              <w:widowControl/>
              <w:jc w:val="center"/>
              <w:textAlignment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color w:val="auto"/>
                <w:kern w:val="0"/>
                <w:sz w:val="24"/>
                <w:szCs w:val="24"/>
                <w:highlight w:val="none"/>
              </w:rPr>
              <w:t>12</w:t>
            </w:r>
          </w:p>
        </w:tc>
        <w:tc>
          <w:tcPr>
            <w:tcW w:w="409" w:type="pct"/>
            <w:shd w:val="clear" w:color="auto" w:fill="auto"/>
            <w:vAlign w:val="center"/>
          </w:tcPr>
          <w:p w14:paraId="6DF09E55">
            <w:pPr>
              <w:widowControl/>
              <w:jc w:val="center"/>
              <w:textAlignment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kern w:val="0"/>
                <w:sz w:val="24"/>
                <w:szCs w:val="24"/>
                <w:highlight w:val="none"/>
              </w:rPr>
              <w:t>环保标委会</w:t>
            </w:r>
          </w:p>
        </w:tc>
        <w:tc>
          <w:tcPr>
            <w:tcW w:w="1196" w:type="pct"/>
            <w:shd w:val="clear" w:color="auto" w:fill="auto"/>
            <w:vAlign w:val="center"/>
          </w:tcPr>
          <w:p w14:paraId="715CE8BD">
            <w:pPr>
              <w:widowControl/>
              <w:textAlignment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kern w:val="0"/>
                <w:sz w:val="24"/>
                <w:szCs w:val="24"/>
                <w:highlight w:val="none"/>
              </w:rPr>
              <w:t>北京建筑大学、北京市道路工程质量监督站、交通运输部公路科学研究所、中交公路规划设计院有限公司、北京市政路桥建材集团有限公司、哈尔滨工业大学、北京交通大学、北京中天路业科技有限公司、广西交投科技有限公司</w:t>
            </w:r>
          </w:p>
        </w:tc>
      </w:tr>
      <w:tr w14:paraId="13CAB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9" w:type="pct"/>
            <w:vAlign w:val="center"/>
          </w:tcPr>
          <w:p w14:paraId="74930B03">
            <w:pPr>
              <w:pStyle w:val="11"/>
              <w:numPr>
                <w:ilvl w:val="0"/>
                <w:numId w:val="1"/>
              </w:numPr>
              <w:ind w:left="0" w:firstLine="0" w:firstLineChars="0"/>
              <w:jc w:val="center"/>
              <w:rPr>
                <w:rFonts w:ascii="Times New Roman" w:hAnsi="Times New Roman" w:eastAsia="仿宋_GB2312" w:cs="Times New Roman"/>
                <w:bCs/>
                <w:color w:val="auto"/>
                <w:sz w:val="24"/>
                <w:szCs w:val="24"/>
                <w:highlight w:val="none"/>
              </w:rPr>
            </w:pPr>
          </w:p>
        </w:tc>
        <w:tc>
          <w:tcPr>
            <w:tcW w:w="613" w:type="pct"/>
            <w:vAlign w:val="center"/>
          </w:tcPr>
          <w:p w14:paraId="1519ABCE">
            <w:pPr>
              <w:widowControl/>
              <w:jc w:val="left"/>
              <w:textAlignment w:val="center"/>
              <w:rPr>
                <w:rFonts w:ascii="Times New Roman" w:hAnsi="Times New Roman" w:eastAsia="仿宋_GB2312" w:cs="Times New Roman"/>
                <w:color w:val="auto"/>
                <w:sz w:val="24"/>
                <w:szCs w:val="24"/>
                <w:highlight w:val="none"/>
              </w:rPr>
            </w:pPr>
            <w:r>
              <w:rPr>
                <w:rFonts w:ascii="Times New Roman" w:hAnsi="Times New Roman" w:eastAsia="仿宋_GB2312"/>
                <w:color w:val="auto"/>
                <w:sz w:val="24"/>
                <w:szCs w:val="24"/>
                <w:highlight w:val="none"/>
              </w:rPr>
              <w:t>交通运输环境保护统计 第1部分：主要污染物统计指标及核算方法</w:t>
            </w:r>
          </w:p>
        </w:tc>
        <w:tc>
          <w:tcPr>
            <w:tcW w:w="1570" w:type="pct"/>
            <w:vAlign w:val="center"/>
          </w:tcPr>
          <w:p w14:paraId="6C25E2C3">
            <w:pPr>
              <w:widowControl/>
              <w:jc w:val="left"/>
              <w:textAlignment w:val="center"/>
              <w:rPr>
                <w:rFonts w:ascii="Times New Roman" w:hAnsi="Times New Roman" w:eastAsia="仿宋_GB2312" w:cs="Times New Roman"/>
                <w:color w:val="auto"/>
                <w:sz w:val="24"/>
                <w:szCs w:val="24"/>
                <w:highlight w:val="none"/>
              </w:rPr>
            </w:pPr>
            <w:r>
              <w:rPr>
                <w:rFonts w:ascii="Times New Roman" w:hAnsi="Times New Roman" w:eastAsia="仿宋_GB2312"/>
                <w:color w:val="auto"/>
                <w:sz w:val="24"/>
                <w:szCs w:val="24"/>
                <w:highlight w:val="none"/>
              </w:rPr>
              <w:t>现行规定了交通运输行业公路水路主要污染物统计分类及指标，以及污水、废气的处理与排放、固体废物产生与处理指标的统计方法</w:t>
            </w:r>
            <w:r>
              <w:rPr>
                <w:rFonts w:hint="eastAsia" w:ascii="Times New Roman" w:hAnsi="Times New Roman" w:eastAsia="仿宋_GB2312"/>
                <w:color w:val="auto"/>
                <w:sz w:val="24"/>
                <w:szCs w:val="24"/>
                <w:highlight w:val="none"/>
              </w:rPr>
              <w:t>。</w:t>
            </w:r>
            <w:r>
              <w:rPr>
                <w:rFonts w:ascii="Times New Roman" w:hAnsi="Times New Roman" w:eastAsia="仿宋_GB2312"/>
                <w:color w:val="auto"/>
                <w:sz w:val="24"/>
                <w:szCs w:val="24"/>
                <w:highlight w:val="none"/>
              </w:rPr>
              <w:t xml:space="preserve">适用于全国二级以上公路、规模以上港口的环境统计报表。 </w:t>
            </w:r>
            <w:r>
              <w:rPr>
                <w:rFonts w:ascii="Times New Roman" w:hAnsi="Times New Roman" w:eastAsia="仿宋_GB2312"/>
                <w:color w:val="auto"/>
                <w:sz w:val="24"/>
                <w:szCs w:val="24"/>
                <w:highlight w:val="none"/>
              </w:rPr>
              <w:br w:type="textWrapping"/>
            </w:r>
            <w:r>
              <w:rPr>
                <w:rFonts w:ascii="Times New Roman" w:hAnsi="Times New Roman" w:eastAsia="仿宋_GB2312"/>
                <w:b/>
                <w:bCs/>
                <w:color w:val="auto"/>
                <w:sz w:val="24"/>
                <w:szCs w:val="24"/>
                <w:highlight w:val="none"/>
              </w:rPr>
              <w:t>主要修订内容：</w:t>
            </w:r>
            <w:r>
              <w:rPr>
                <w:rFonts w:ascii="Times New Roman" w:hAnsi="Times New Roman" w:eastAsia="仿宋_GB2312"/>
                <w:color w:val="auto"/>
                <w:sz w:val="24"/>
                <w:szCs w:val="24"/>
                <w:highlight w:val="none"/>
              </w:rPr>
              <w:t>1.合理划分港口污染物与船舶污染物的核算范围；2.依据国际公约及我国船舶压载水、洗舱水的处置政策、法规，确定船舶压载水、洗舱水的核算范围；3.明确界定港口的核算范围，将装卸站、修造船厂从港口范畴中调出；4.调整相关污染物产生量、处理量、排放量的核算方法和产污系数；5.将近年来国家、交通运输部发布的相关污染物监测、评价技术标准、规范，作为规范性引用文件。</w:t>
            </w:r>
          </w:p>
        </w:tc>
        <w:tc>
          <w:tcPr>
            <w:tcW w:w="241" w:type="pct"/>
            <w:vAlign w:val="center"/>
          </w:tcPr>
          <w:p w14:paraId="73A0064A">
            <w:pPr>
              <w:jc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color w:val="auto"/>
                <w:sz w:val="24"/>
                <w:szCs w:val="24"/>
                <w:highlight w:val="none"/>
              </w:rPr>
              <w:t>修订</w:t>
            </w:r>
          </w:p>
        </w:tc>
        <w:tc>
          <w:tcPr>
            <w:tcW w:w="467" w:type="pct"/>
            <w:vAlign w:val="center"/>
          </w:tcPr>
          <w:p w14:paraId="3E0A4828">
            <w:pPr>
              <w:widowControl/>
              <w:jc w:val="center"/>
              <w:textAlignment w:val="center"/>
              <w:rPr>
                <w:rFonts w:ascii="Times New Roman" w:hAnsi="Times New Roman" w:eastAsia="仿宋_GB2312" w:cs="Times New Roman"/>
                <w:bCs/>
                <w:color w:val="auto"/>
                <w:sz w:val="24"/>
                <w:szCs w:val="24"/>
                <w:highlight w:val="none"/>
              </w:rPr>
            </w:pPr>
            <w:r>
              <w:rPr>
                <w:rFonts w:ascii="Times New Roman" w:hAnsi="Times New Roman" w:eastAsia="仿宋_GB2312"/>
                <w:color w:val="auto"/>
                <w:kern w:val="0"/>
                <w:sz w:val="24"/>
                <w:szCs w:val="24"/>
                <w:highlight w:val="none"/>
              </w:rPr>
              <w:t>JT/T 1176.1-2017</w:t>
            </w:r>
          </w:p>
        </w:tc>
        <w:tc>
          <w:tcPr>
            <w:tcW w:w="311" w:type="pct"/>
            <w:shd w:val="clear" w:color="auto" w:fill="auto"/>
            <w:vAlign w:val="center"/>
          </w:tcPr>
          <w:p w14:paraId="660A645F">
            <w:pPr>
              <w:widowControl/>
              <w:jc w:val="center"/>
              <w:textAlignment w:val="center"/>
              <w:rPr>
                <w:rFonts w:ascii="Times New Roman" w:hAnsi="Times New Roman" w:eastAsia="仿宋_GB2312" w:cs="Times New Roman"/>
                <w:bCs/>
                <w:color w:val="auto"/>
                <w:sz w:val="24"/>
                <w:szCs w:val="24"/>
                <w:highlight w:val="none"/>
              </w:rPr>
            </w:pPr>
            <w:r>
              <w:rPr>
                <w:rFonts w:hint="eastAsia" w:ascii="Times New Roman" w:hAnsi="Times New Roman" w:eastAsia="仿宋_GB2312"/>
                <w:color w:val="auto"/>
                <w:sz w:val="24"/>
                <w:szCs w:val="24"/>
                <w:highlight w:val="none"/>
              </w:rPr>
              <w:t>12</w:t>
            </w:r>
          </w:p>
        </w:tc>
        <w:tc>
          <w:tcPr>
            <w:tcW w:w="409" w:type="pct"/>
            <w:shd w:val="clear" w:color="auto" w:fill="auto"/>
            <w:vAlign w:val="center"/>
          </w:tcPr>
          <w:p w14:paraId="2FCE591F">
            <w:pPr>
              <w:widowControl/>
              <w:jc w:val="center"/>
              <w:textAlignment w:val="center"/>
              <w:rPr>
                <w:rFonts w:ascii="Times New Roman" w:hAnsi="Times New Roman" w:eastAsia="仿宋_GB2312" w:cs="Times New Roman"/>
                <w:color w:val="auto"/>
                <w:sz w:val="24"/>
                <w:szCs w:val="24"/>
                <w:highlight w:val="none"/>
              </w:rPr>
            </w:pPr>
            <w:r>
              <w:rPr>
                <w:rFonts w:ascii="Times New Roman" w:hAnsi="Times New Roman" w:eastAsia="仿宋_GB2312"/>
                <w:color w:val="auto"/>
                <w:sz w:val="24"/>
                <w:szCs w:val="24"/>
                <w:highlight w:val="none"/>
              </w:rPr>
              <w:t>环保</w:t>
            </w:r>
            <w:r>
              <w:rPr>
                <w:rFonts w:hint="eastAsia" w:ascii="Times New Roman" w:hAnsi="Times New Roman" w:eastAsia="仿宋_GB2312" w:cs="Times New Roman"/>
                <w:color w:val="auto"/>
                <w:sz w:val="24"/>
                <w:szCs w:val="24"/>
                <w:highlight w:val="none"/>
              </w:rPr>
              <w:t>标委会</w:t>
            </w:r>
          </w:p>
        </w:tc>
        <w:tc>
          <w:tcPr>
            <w:tcW w:w="1196" w:type="pct"/>
            <w:shd w:val="clear" w:color="auto" w:fill="auto"/>
            <w:vAlign w:val="center"/>
          </w:tcPr>
          <w:p w14:paraId="6AC94A67">
            <w:pPr>
              <w:widowControl/>
              <w:jc w:val="left"/>
              <w:textAlignment w:val="center"/>
              <w:rPr>
                <w:rFonts w:ascii="Times New Roman" w:hAnsi="Times New Roman" w:eastAsia="仿宋_GB2312" w:cs="Times New Roman"/>
                <w:color w:val="auto"/>
                <w:sz w:val="24"/>
                <w:szCs w:val="24"/>
                <w:highlight w:val="none"/>
              </w:rPr>
            </w:pPr>
            <w:r>
              <w:rPr>
                <w:rFonts w:ascii="Times New Roman" w:hAnsi="Times New Roman" w:eastAsia="仿宋_GB2312"/>
                <w:color w:val="auto"/>
                <w:sz w:val="24"/>
                <w:szCs w:val="24"/>
                <w:highlight w:val="none"/>
              </w:rPr>
              <w:t>交通运输部环境保护中心</w:t>
            </w:r>
            <w:r>
              <w:rPr>
                <w:rFonts w:hint="eastAsia" w:ascii="Times New Roman" w:hAnsi="Times New Roman" w:eastAsia="仿宋_GB2312"/>
                <w:color w:val="auto"/>
                <w:sz w:val="24"/>
                <w:szCs w:val="24"/>
                <w:highlight w:val="none"/>
              </w:rPr>
              <w:t>、交通运输部公路科学研究所</w:t>
            </w:r>
          </w:p>
        </w:tc>
      </w:tr>
      <w:tr w14:paraId="33218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9" w:type="pct"/>
            <w:vAlign w:val="center"/>
          </w:tcPr>
          <w:p w14:paraId="4DA3E2E8">
            <w:pPr>
              <w:pStyle w:val="11"/>
              <w:numPr>
                <w:ilvl w:val="0"/>
                <w:numId w:val="1"/>
              </w:numPr>
              <w:ind w:left="0" w:firstLine="0" w:firstLineChars="0"/>
              <w:jc w:val="center"/>
              <w:rPr>
                <w:rFonts w:ascii="Times New Roman" w:hAnsi="Times New Roman" w:eastAsia="仿宋_GB2312" w:cs="Times New Roman"/>
                <w:bCs/>
                <w:color w:val="auto"/>
                <w:sz w:val="24"/>
                <w:szCs w:val="24"/>
                <w:highlight w:val="none"/>
              </w:rPr>
            </w:pPr>
          </w:p>
        </w:tc>
        <w:tc>
          <w:tcPr>
            <w:tcW w:w="613" w:type="pct"/>
            <w:vAlign w:val="center"/>
          </w:tcPr>
          <w:p w14:paraId="21973F1F">
            <w:pPr>
              <w:widowControl/>
              <w:jc w:val="left"/>
              <w:textAlignment w:val="center"/>
              <w:rPr>
                <w:rFonts w:ascii="Times New Roman" w:hAnsi="Times New Roman" w:eastAsia="仿宋_GB2312" w:cs="Times New Roman"/>
                <w:color w:val="auto"/>
                <w:sz w:val="24"/>
                <w:szCs w:val="24"/>
                <w:highlight w:val="none"/>
              </w:rPr>
            </w:pPr>
            <w:r>
              <w:rPr>
                <w:rFonts w:ascii="Times New Roman" w:hAnsi="Times New Roman" w:eastAsia="仿宋_GB2312"/>
                <w:color w:val="auto"/>
                <w:sz w:val="24"/>
                <w:szCs w:val="24"/>
                <w:highlight w:val="none"/>
              </w:rPr>
              <w:t>交通运输生态环境保护术语 第1部分：公路</w:t>
            </w:r>
          </w:p>
        </w:tc>
        <w:tc>
          <w:tcPr>
            <w:tcW w:w="1570" w:type="pct"/>
            <w:vAlign w:val="center"/>
          </w:tcPr>
          <w:p w14:paraId="4DC2DFA6">
            <w:pPr>
              <w:widowControl/>
              <w:jc w:val="left"/>
              <w:textAlignment w:val="center"/>
              <w:rPr>
                <w:rFonts w:ascii="Times New Roman" w:hAnsi="Times New Roman" w:eastAsia="仿宋_GB2312" w:cs="Times New Roman"/>
                <w:color w:val="auto"/>
                <w:sz w:val="24"/>
                <w:szCs w:val="24"/>
                <w:highlight w:val="none"/>
              </w:rPr>
            </w:pPr>
            <w:r>
              <w:rPr>
                <w:rFonts w:ascii="Times New Roman" w:hAnsi="Times New Roman" w:eastAsia="仿宋_GB2312"/>
                <w:color w:val="auto"/>
                <w:sz w:val="24"/>
                <w:szCs w:val="24"/>
                <w:highlight w:val="none"/>
              </w:rPr>
              <w:t>现行标准规定了公路环境保护领域的常用术语及其定义</w:t>
            </w:r>
            <w:r>
              <w:rPr>
                <w:rFonts w:hint="eastAsia" w:ascii="Times New Roman" w:hAnsi="Times New Roman" w:eastAsia="仿宋_GB2312"/>
                <w:color w:val="auto"/>
                <w:sz w:val="24"/>
                <w:szCs w:val="24"/>
                <w:highlight w:val="none"/>
              </w:rPr>
              <w:t>。</w:t>
            </w:r>
            <w:r>
              <w:rPr>
                <w:rFonts w:ascii="Times New Roman" w:hAnsi="Times New Roman" w:eastAsia="仿宋_GB2312"/>
                <w:color w:val="auto"/>
                <w:sz w:val="24"/>
                <w:szCs w:val="24"/>
                <w:highlight w:val="none"/>
              </w:rPr>
              <w:t>适用于公路交通行业规划、建设、运营和管理等阶段的环境保护工作。</w:t>
            </w:r>
            <w:r>
              <w:rPr>
                <w:rFonts w:ascii="Times New Roman" w:hAnsi="Times New Roman" w:eastAsia="仿宋_GB2312"/>
                <w:color w:val="auto"/>
                <w:sz w:val="24"/>
                <w:szCs w:val="24"/>
                <w:highlight w:val="none"/>
              </w:rPr>
              <w:br w:type="textWrapping"/>
            </w:r>
            <w:r>
              <w:rPr>
                <w:rFonts w:ascii="Times New Roman" w:hAnsi="Times New Roman" w:eastAsia="仿宋_GB2312"/>
                <w:b/>
                <w:bCs/>
                <w:color w:val="auto"/>
                <w:sz w:val="24"/>
                <w:szCs w:val="24"/>
                <w:highlight w:val="none"/>
              </w:rPr>
              <w:t>主要修订内容</w:t>
            </w:r>
            <w:r>
              <w:rPr>
                <w:rFonts w:ascii="Times New Roman" w:hAnsi="Times New Roman" w:eastAsia="仿宋_GB2312"/>
                <w:color w:val="auto"/>
                <w:sz w:val="24"/>
                <w:szCs w:val="24"/>
                <w:highlight w:val="none"/>
              </w:rPr>
              <w:t>：增加“资源综合利用”、“生态修复”、“野生动物通道”、“绿色公路”、“方案环境比选”、“环境监测”等术语</w:t>
            </w:r>
            <w:r>
              <w:rPr>
                <w:rFonts w:hint="eastAsia" w:ascii="Times New Roman" w:hAnsi="Times New Roman" w:eastAsia="仿宋_GB2312"/>
                <w:color w:val="auto"/>
                <w:sz w:val="24"/>
                <w:szCs w:val="24"/>
                <w:highlight w:val="none"/>
              </w:rPr>
              <w:t>和定义</w:t>
            </w:r>
            <w:r>
              <w:rPr>
                <w:rFonts w:ascii="Times New Roman" w:hAnsi="Times New Roman" w:eastAsia="仿宋_GB2312"/>
                <w:color w:val="auto"/>
                <w:sz w:val="24"/>
                <w:szCs w:val="24"/>
                <w:highlight w:val="none"/>
              </w:rPr>
              <w:t>。</w:t>
            </w:r>
          </w:p>
        </w:tc>
        <w:tc>
          <w:tcPr>
            <w:tcW w:w="241" w:type="pct"/>
            <w:vAlign w:val="center"/>
          </w:tcPr>
          <w:p w14:paraId="281D3614">
            <w:pPr>
              <w:jc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color w:val="auto"/>
                <w:sz w:val="24"/>
                <w:szCs w:val="24"/>
                <w:highlight w:val="none"/>
              </w:rPr>
              <w:t>修订</w:t>
            </w:r>
          </w:p>
        </w:tc>
        <w:tc>
          <w:tcPr>
            <w:tcW w:w="467" w:type="pct"/>
            <w:vAlign w:val="center"/>
          </w:tcPr>
          <w:p w14:paraId="41790995">
            <w:pPr>
              <w:widowControl/>
              <w:jc w:val="center"/>
              <w:textAlignment w:val="center"/>
              <w:rPr>
                <w:rFonts w:ascii="Times New Roman" w:hAnsi="Times New Roman" w:eastAsia="仿宋_GB2312" w:cs="Times New Roman"/>
                <w:bCs/>
                <w:color w:val="auto"/>
                <w:sz w:val="24"/>
                <w:szCs w:val="24"/>
                <w:highlight w:val="none"/>
              </w:rPr>
            </w:pPr>
            <w:r>
              <w:rPr>
                <w:rFonts w:ascii="Times New Roman" w:hAnsi="Times New Roman" w:eastAsia="仿宋_GB2312"/>
                <w:color w:val="auto"/>
                <w:kern w:val="0"/>
                <w:sz w:val="24"/>
                <w:szCs w:val="24"/>
                <w:highlight w:val="none"/>
              </w:rPr>
              <w:t>JT/T 643.1-2016</w:t>
            </w:r>
          </w:p>
        </w:tc>
        <w:tc>
          <w:tcPr>
            <w:tcW w:w="311" w:type="pct"/>
            <w:shd w:val="clear" w:color="auto" w:fill="auto"/>
            <w:vAlign w:val="center"/>
          </w:tcPr>
          <w:p w14:paraId="1211FE7D">
            <w:pPr>
              <w:widowControl/>
              <w:jc w:val="center"/>
              <w:textAlignment w:val="center"/>
              <w:rPr>
                <w:rFonts w:ascii="Times New Roman" w:hAnsi="Times New Roman" w:eastAsia="仿宋_GB2312" w:cs="Times New Roman"/>
                <w:bCs/>
                <w:color w:val="auto"/>
                <w:sz w:val="24"/>
                <w:szCs w:val="24"/>
                <w:highlight w:val="none"/>
              </w:rPr>
            </w:pPr>
            <w:r>
              <w:rPr>
                <w:rFonts w:hint="eastAsia" w:ascii="Times New Roman" w:hAnsi="Times New Roman" w:eastAsia="仿宋_GB2312"/>
                <w:color w:val="auto"/>
                <w:sz w:val="24"/>
                <w:szCs w:val="24"/>
                <w:highlight w:val="none"/>
              </w:rPr>
              <w:t>12</w:t>
            </w:r>
          </w:p>
        </w:tc>
        <w:tc>
          <w:tcPr>
            <w:tcW w:w="409" w:type="pct"/>
            <w:shd w:val="clear" w:color="auto" w:fill="auto"/>
            <w:vAlign w:val="center"/>
          </w:tcPr>
          <w:p w14:paraId="3BE2749E">
            <w:pPr>
              <w:widowControl/>
              <w:jc w:val="center"/>
              <w:textAlignment w:val="center"/>
              <w:rPr>
                <w:rFonts w:ascii="Times New Roman" w:hAnsi="Times New Roman" w:eastAsia="仿宋_GB2312" w:cs="Times New Roman"/>
                <w:bCs/>
                <w:color w:val="auto"/>
                <w:sz w:val="24"/>
                <w:szCs w:val="24"/>
                <w:highlight w:val="none"/>
              </w:rPr>
            </w:pPr>
            <w:r>
              <w:rPr>
                <w:rFonts w:ascii="Times New Roman" w:hAnsi="Times New Roman" w:eastAsia="仿宋_GB2312"/>
                <w:color w:val="auto"/>
                <w:sz w:val="24"/>
                <w:szCs w:val="24"/>
                <w:highlight w:val="none"/>
              </w:rPr>
              <w:t>环保</w:t>
            </w:r>
            <w:r>
              <w:rPr>
                <w:rFonts w:hint="eastAsia" w:ascii="Times New Roman" w:hAnsi="Times New Roman" w:eastAsia="仿宋_GB2312" w:cs="Times New Roman"/>
                <w:color w:val="auto"/>
                <w:sz w:val="24"/>
                <w:szCs w:val="24"/>
                <w:highlight w:val="none"/>
              </w:rPr>
              <w:t>标委会</w:t>
            </w:r>
          </w:p>
        </w:tc>
        <w:tc>
          <w:tcPr>
            <w:tcW w:w="1196" w:type="pct"/>
            <w:shd w:val="clear" w:color="auto" w:fill="auto"/>
            <w:vAlign w:val="center"/>
          </w:tcPr>
          <w:p w14:paraId="0EB9C80D">
            <w:pPr>
              <w:widowControl/>
              <w:jc w:val="left"/>
              <w:textAlignment w:val="center"/>
              <w:rPr>
                <w:rFonts w:ascii="Times New Roman" w:hAnsi="Times New Roman" w:eastAsia="仿宋_GB2312" w:cs="Times New Roman"/>
                <w:color w:val="auto"/>
                <w:sz w:val="24"/>
                <w:szCs w:val="24"/>
                <w:highlight w:val="none"/>
              </w:rPr>
            </w:pPr>
            <w:r>
              <w:rPr>
                <w:rFonts w:ascii="Times New Roman" w:hAnsi="Times New Roman" w:eastAsia="仿宋_GB2312"/>
                <w:color w:val="auto"/>
                <w:sz w:val="24"/>
                <w:szCs w:val="24"/>
                <w:highlight w:val="none"/>
              </w:rPr>
              <w:t>交通运输部公路科学研究所、中路高科交通科技集团有限公司</w:t>
            </w:r>
          </w:p>
        </w:tc>
      </w:tr>
      <w:tr w14:paraId="6B23B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9" w:type="pct"/>
            <w:vAlign w:val="center"/>
          </w:tcPr>
          <w:p w14:paraId="2931C3F2">
            <w:pPr>
              <w:pStyle w:val="11"/>
              <w:numPr>
                <w:ilvl w:val="0"/>
                <w:numId w:val="1"/>
              </w:numPr>
              <w:ind w:left="0" w:firstLine="0" w:firstLineChars="0"/>
              <w:jc w:val="center"/>
              <w:rPr>
                <w:rFonts w:ascii="Times New Roman" w:hAnsi="Times New Roman" w:eastAsia="仿宋_GB2312" w:cs="Times New Roman"/>
                <w:bCs/>
                <w:color w:val="auto"/>
                <w:sz w:val="24"/>
                <w:szCs w:val="24"/>
                <w:highlight w:val="none"/>
              </w:rPr>
            </w:pPr>
          </w:p>
        </w:tc>
        <w:tc>
          <w:tcPr>
            <w:tcW w:w="613" w:type="pct"/>
            <w:vAlign w:val="center"/>
          </w:tcPr>
          <w:p w14:paraId="3675A897">
            <w:pPr>
              <w:widowControl/>
              <w:jc w:val="left"/>
              <w:textAlignment w:val="center"/>
              <w:rPr>
                <w:rFonts w:ascii="Times New Roman" w:hAnsi="Times New Roman" w:eastAsia="仿宋_GB2312" w:cs="Times New Roman"/>
                <w:color w:val="auto"/>
                <w:sz w:val="24"/>
                <w:szCs w:val="24"/>
                <w:highlight w:val="none"/>
              </w:rPr>
            </w:pPr>
            <w:r>
              <w:rPr>
                <w:rFonts w:ascii="Times New Roman" w:hAnsi="Times New Roman" w:eastAsia="仿宋_GB2312"/>
                <w:color w:val="auto"/>
                <w:sz w:val="24"/>
                <w:szCs w:val="24"/>
                <w:highlight w:val="none"/>
              </w:rPr>
              <w:t>交通运输生态环境保护术语 第2部分：水路</w:t>
            </w:r>
          </w:p>
        </w:tc>
        <w:tc>
          <w:tcPr>
            <w:tcW w:w="1570" w:type="pct"/>
            <w:vAlign w:val="center"/>
          </w:tcPr>
          <w:p w14:paraId="25EF2DAC">
            <w:pPr>
              <w:widowControl/>
              <w:jc w:val="left"/>
              <w:textAlignment w:val="center"/>
              <w:rPr>
                <w:rFonts w:ascii="Times New Roman" w:hAnsi="Times New Roman" w:eastAsia="仿宋_GB2312" w:cs="Times New Roman"/>
                <w:color w:val="auto"/>
                <w:sz w:val="24"/>
                <w:szCs w:val="24"/>
                <w:highlight w:val="none"/>
              </w:rPr>
            </w:pPr>
            <w:r>
              <w:rPr>
                <w:rFonts w:ascii="Times New Roman" w:hAnsi="Times New Roman" w:eastAsia="仿宋_GB2312"/>
                <w:color w:val="auto"/>
                <w:sz w:val="24"/>
                <w:szCs w:val="24"/>
                <w:highlight w:val="none"/>
              </w:rPr>
              <w:t>现行标准规定了水路环境保护的术语和定义</w:t>
            </w:r>
            <w:r>
              <w:rPr>
                <w:rFonts w:hint="eastAsia" w:ascii="Times New Roman" w:hAnsi="Times New Roman" w:eastAsia="仿宋_GB2312"/>
                <w:color w:val="auto"/>
                <w:sz w:val="24"/>
                <w:szCs w:val="24"/>
                <w:highlight w:val="none"/>
              </w:rPr>
              <w:t>。</w:t>
            </w:r>
            <w:r>
              <w:rPr>
                <w:rFonts w:ascii="Times New Roman" w:hAnsi="Times New Roman" w:eastAsia="仿宋_GB2312"/>
                <w:color w:val="auto"/>
                <w:sz w:val="24"/>
                <w:szCs w:val="24"/>
                <w:highlight w:val="none"/>
              </w:rPr>
              <w:t xml:space="preserve">适用于港口、码头、航道、船舶等水路交通的环境保护。 </w:t>
            </w:r>
            <w:r>
              <w:rPr>
                <w:rFonts w:ascii="Times New Roman" w:hAnsi="Times New Roman" w:eastAsia="仿宋_GB2312"/>
                <w:color w:val="auto"/>
                <w:sz w:val="24"/>
                <w:szCs w:val="24"/>
                <w:highlight w:val="none"/>
              </w:rPr>
              <w:br w:type="textWrapping"/>
            </w:r>
            <w:r>
              <w:rPr>
                <w:rFonts w:ascii="Times New Roman" w:hAnsi="Times New Roman" w:eastAsia="仿宋_GB2312"/>
                <w:b/>
                <w:bCs/>
                <w:color w:val="auto"/>
                <w:sz w:val="24"/>
                <w:szCs w:val="24"/>
                <w:highlight w:val="none"/>
              </w:rPr>
              <w:t>主要修订内容：</w:t>
            </w:r>
            <w:r>
              <w:rPr>
                <w:rFonts w:ascii="Times New Roman" w:hAnsi="Times New Roman" w:eastAsia="仿宋_GB2312"/>
                <w:color w:val="auto"/>
                <w:sz w:val="24"/>
                <w:szCs w:val="24"/>
                <w:highlight w:val="none"/>
              </w:rPr>
              <w:t>1.更改“绿色港口”“船舶污染物接收设施”的术语和定义；2.增加“港口码头污水资源化利用”、“疏浚土生态资源化利用”、“船舶大气污染物排放清单”、“船舶水污染物排放清单”、“绿色航道”、“绿色水上服务区”、“绿色船舶”、“近零碳港区”、“压载水和沉积物接收设施”、“淡水压载水接收回用系统”、“船舶生物污垢”、“溢油生态损害”、“港口环境在线监测”、“生态保护红线”、“生态修复”、“水资源循环利用”、“资源化利用”、“环境监测”、“环境监理”、“生态敏感期避让”等术语和定义。</w:t>
            </w:r>
          </w:p>
        </w:tc>
        <w:tc>
          <w:tcPr>
            <w:tcW w:w="241" w:type="pct"/>
            <w:vAlign w:val="center"/>
          </w:tcPr>
          <w:p w14:paraId="551D97CB">
            <w:pPr>
              <w:jc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color w:val="auto"/>
                <w:sz w:val="24"/>
                <w:szCs w:val="24"/>
                <w:highlight w:val="none"/>
              </w:rPr>
              <w:t>修订</w:t>
            </w:r>
          </w:p>
        </w:tc>
        <w:tc>
          <w:tcPr>
            <w:tcW w:w="467" w:type="pct"/>
            <w:vAlign w:val="center"/>
          </w:tcPr>
          <w:p w14:paraId="04144527">
            <w:pPr>
              <w:widowControl/>
              <w:jc w:val="center"/>
              <w:textAlignment w:val="center"/>
              <w:rPr>
                <w:rFonts w:ascii="Times New Roman" w:hAnsi="Times New Roman" w:eastAsia="仿宋_GB2312" w:cs="Times New Roman"/>
                <w:bCs/>
                <w:color w:val="auto"/>
                <w:sz w:val="24"/>
                <w:szCs w:val="24"/>
                <w:highlight w:val="none"/>
              </w:rPr>
            </w:pPr>
            <w:r>
              <w:rPr>
                <w:rFonts w:ascii="Times New Roman" w:hAnsi="Times New Roman" w:eastAsia="仿宋_GB2312"/>
                <w:color w:val="auto"/>
                <w:kern w:val="0"/>
                <w:sz w:val="24"/>
                <w:szCs w:val="24"/>
                <w:highlight w:val="none"/>
              </w:rPr>
              <w:t>JT/T 643.2-2016</w:t>
            </w:r>
          </w:p>
        </w:tc>
        <w:tc>
          <w:tcPr>
            <w:tcW w:w="311" w:type="pct"/>
            <w:shd w:val="clear" w:color="auto" w:fill="auto"/>
            <w:vAlign w:val="center"/>
          </w:tcPr>
          <w:p w14:paraId="5B02B76C">
            <w:pPr>
              <w:widowControl/>
              <w:jc w:val="center"/>
              <w:textAlignment w:val="center"/>
              <w:rPr>
                <w:rFonts w:ascii="Times New Roman" w:hAnsi="Times New Roman" w:eastAsia="仿宋_GB2312" w:cs="Times New Roman"/>
                <w:bCs/>
                <w:color w:val="auto"/>
                <w:sz w:val="24"/>
                <w:szCs w:val="24"/>
                <w:highlight w:val="none"/>
              </w:rPr>
            </w:pPr>
            <w:r>
              <w:rPr>
                <w:rFonts w:hint="eastAsia" w:ascii="Times New Roman" w:hAnsi="Times New Roman" w:eastAsia="仿宋_GB2312"/>
                <w:color w:val="auto"/>
                <w:sz w:val="24"/>
                <w:szCs w:val="24"/>
                <w:highlight w:val="none"/>
              </w:rPr>
              <w:t>12</w:t>
            </w:r>
          </w:p>
        </w:tc>
        <w:tc>
          <w:tcPr>
            <w:tcW w:w="409" w:type="pct"/>
            <w:shd w:val="clear" w:color="auto" w:fill="auto"/>
            <w:vAlign w:val="center"/>
          </w:tcPr>
          <w:p w14:paraId="69736549">
            <w:pPr>
              <w:widowControl/>
              <w:jc w:val="center"/>
              <w:textAlignment w:val="center"/>
              <w:rPr>
                <w:rFonts w:ascii="Times New Roman" w:hAnsi="Times New Roman" w:eastAsia="仿宋_GB2312" w:cs="Times New Roman"/>
                <w:bCs/>
                <w:color w:val="auto"/>
                <w:sz w:val="24"/>
                <w:szCs w:val="24"/>
                <w:highlight w:val="none"/>
              </w:rPr>
            </w:pPr>
            <w:r>
              <w:rPr>
                <w:rFonts w:ascii="Times New Roman" w:hAnsi="Times New Roman" w:eastAsia="仿宋_GB2312"/>
                <w:color w:val="auto"/>
                <w:sz w:val="24"/>
                <w:szCs w:val="24"/>
                <w:highlight w:val="none"/>
              </w:rPr>
              <w:t>环</w:t>
            </w:r>
            <w:r>
              <w:rPr>
                <w:rFonts w:hint="eastAsia" w:ascii="Times New Roman" w:hAnsi="Times New Roman" w:eastAsia="仿宋_GB2312"/>
                <w:color w:val="auto"/>
                <w:sz w:val="24"/>
                <w:szCs w:val="24"/>
                <w:highlight w:val="none"/>
              </w:rPr>
              <w:t>保</w:t>
            </w:r>
            <w:r>
              <w:rPr>
                <w:rFonts w:hint="eastAsia" w:ascii="Times New Roman" w:hAnsi="Times New Roman" w:eastAsia="仿宋_GB2312" w:cs="Times New Roman"/>
                <w:color w:val="auto"/>
                <w:sz w:val="24"/>
                <w:szCs w:val="24"/>
                <w:highlight w:val="none"/>
              </w:rPr>
              <w:t>标委会</w:t>
            </w:r>
          </w:p>
        </w:tc>
        <w:tc>
          <w:tcPr>
            <w:tcW w:w="1196" w:type="pct"/>
            <w:shd w:val="clear" w:color="auto" w:fill="auto"/>
            <w:vAlign w:val="center"/>
          </w:tcPr>
          <w:p w14:paraId="48F70064">
            <w:pPr>
              <w:widowControl/>
              <w:jc w:val="left"/>
              <w:textAlignment w:val="center"/>
              <w:rPr>
                <w:rFonts w:ascii="Times New Roman" w:hAnsi="Times New Roman" w:eastAsia="仿宋_GB2312" w:cs="Times New Roman"/>
                <w:color w:val="auto"/>
                <w:sz w:val="24"/>
                <w:szCs w:val="24"/>
                <w:highlight w:val="none"/>
              </w:rPr>
            </w:pPr>
            <w:r>
              <w:rPr>
                <w:rFonts w:ascii="Times New Roman" w:hAnsi="Times New Roman" w:eastAsia="仿宋_GB2312"/>
                <w:color w:val="auto"/>
                <w:sz w:val="24"/>
                <w:szCs w:val="24"/>
                <w:highlight w:val="none"/>
              </w:rPr>
              <w:t>交通运输部天津水运工程科学研究所</w:t>
            </w:r>
            <w:r>
              <w:rPr>
                <w:rFonts w:hint="eastAsia" w:ascii="Times New Roman" w:hAnsi="Times New Roman" w:eastAsia="仿宋_GB2312"/>
                <w:color w:val="auto"/>
                <w:sz w:val="24"/>
                <w:szCs w:val="24"/>
                <w:highlight w:val="none"/>
              </w:rPr>
              <w:t>、交通运输部公路科学研究所</w:t>
            </w:r>
          </w:p>
        </w:tc>
      </w:tr>
      <w:tr w14:paraId="6A063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9" w:type="pct"/>
            <w:vAlign w:val="center"/>
          </w:tcPr>
          <w:p w14:paraId="2CDFD5CB">
            <w:pPr>
              <w:pStyle w:val="11"/>
              <w:numPr>
                <w:ilvl w:val="0"/>
                <w:numId w:val="1"/>
              </w:numPr>
              <w:ind w:left="0" w:firstLine="0" w:firstLineChars="0"/>
              <w:jc w:val="center"/>
              <w:rPr>
                <w:rFonts w:ascii="Times New Roman" w:hAnsi="Times New Roman" w:eastAsia="仿宋_GB2312" w:cs="Times New Roman"/>
                <w:bCs/>
                <w:color w:val="auto"/>
                <w:sz w:val="24"/>
                <w:szCs w:val="24"/>
                <w:highlight w:val="none"/>
              </w:rPr>
            </w:pPr>
          </w:p>
        </w:tc>
        <w:tc>
          <w:tcPr>
            <w:tcW w:w="613" w:type="pct"/>
            <w:vAlign w:val="center"/>
          </w:tcPr>
          <w:p w14:paraId="3E9865B6">
            <w:pPr>
              <w:widowControl/>
              <w:jc w:val="left"/>
              <w:textAlignment w:val="center"/>
              <w:rPr>
                <w:rFonts w:ascii="Times New Roman" w:hAnsi="Times New Roman" w:eastAsia="仿宋_GB2312" w:cs="Times New Roman"/>
                <w:color w:val="auto"/>
                <w:sz w:val="24"/>
                <w:szCs w:val="24"/>
                <w:highlight w:val="none"/>
              </w:rPr>
            </w:pPr>
            <w:r>
              <w:rPr>
                <w:rFonts w:ascii="Times New Roman" w:hAnsi="Times New Roman" w:eastAsia="仿宋_GB2312"/>
                <w:color w:val="auto"/>
                <w:sz w:val="24"/>
                <w:szCs w:val="24"/>
                <w:highlight w:val="none"/>
              </w:rPr>
              <w:t>交通运输专项规划环境影响评价技术规范 第1部分：公路网规划</w:t>
            </w:r>
          </w:p>
        </w:tc>
        <w:tc>
          <w:tcPr>
            <w:tcW w:w="1570" w:type="pct"/>
            <w:vAlign w:val="center"/>
          </w:tcPr>
          <w:p w14:paraId="75D6512B">
            <w:pPr>
              <w:widowControl/>
              <w:jc w:val="left"/>
              <w:textAlignment w:val="center"/>
              <w:rPr>
                <w:rFonts w:ascii="Times New Roman" w:hAnsi="Times New Roman" w:eastAsia="仿宋_GB2312" w:cs="Times New Roman"/>
                <w:color w:val="auto"/>
                <w:sz w:val="24"/>
                <w:szCs w:val="24"/>
                <w:highlight w:val="none"/>
              </w:rPr>
            </w:pPr>
            <w:r>
              <w:rPr>
                <w:rFonts w:ascii="Times New Roman" w:hAnsi="Times New Roman" w:eastAsia="仿宋_GB2312"/>
                <w:color w:val="auto"/>
                <w:sz w:val="24"/>
                <w:szCs w:val="24"/>
                <w:highlight w:val="none"/>
              </w:rPr>
              <w:t>现行标准规定了公路网规划环境影响评价的规划分析、现状调查与评价、环境影响识别与评价指标体系构建、环境影响预测与评价、规划方案综合论证和优化调整建议、环境影响减缓对策和措施、环境影响跟踪评价、公众参与等内容和要求。适用于公路网规划的环境影响评价。</w:t>
            </w:r>
            <w:r>
              <w:rPr>
                <w:rFonts w:ascii="Times New Roman" w:hAnsi="Times New Roman" w:eastAsia="仿宋_GB2312"/>
                <w:color w:val="auto"/>
                <w:sz w:val="24"/>
                <w:szCs w:val="24"/>
                <w:highlight w:val="none"/>
              </w:rPr>
              <w:br w:type="textWrapping"/>
            </w:r>
            <w:r>
              <w:rPr>
                <w:rFonts w:ascii="Times New Roman" w:hAnsi="Times New Roman" w:eastAsia="仿宋_GB2312"/>
                <w:b/>
                <w:bCs/>
                <w:color w:val="auto"/>
                <w:sz w:val="24"/>
                <w:szCs w:val="24"/>
                <w:highlight w:val="none"/>
              </w:rPr>
              <w:t>主要修订内容：</w:t>
            </w:r>
            <w:r>
              <w:rPr>
                <w:rFonts w:ascii="Times New Roman" w:hAnsi="Times New Roman" w:eastAsia="仿宋_GB2312"/>
                <w:color w:val="auto"/>
                <w:sz w:val="24"/>
                <w:szCs w:val="24"/>
                <w:highlight w:val="none"/>
              </w:rPr>
              <w:t>1</w:t>
            </w:r>
            <w:r>
              <w:rPr>
                <w:rFonts w:hint="eastAsia" w:ascii="Times New Roman" w:hAnsi="Times New Roman" w:eastAsia="仿宋_GB2312"/>
                <w:color w:val="auto"/>
                <w:sz w:val="24"/>
                <w:szCs w:val="24"/>
                <w:highlight w:val="none"/>
              </w:rPr>
              <w:t>.</w:t>
            </w:r>
            <w:r>
              <w:rPr>
                <w:rFonts w:ascii="Times New Roman" w:hAnsi="Times New Roman" w:eastAsia="仿宋_GB2312"/>
                <w:color w:val="auto"/>
                <w:sz w:val="24"/>
                <w:szCs w:val="24"/>
                <w:highlight w:val="none"/>
              </w:rPr>
              <w:t>增加与“三线一单”和空间管控政策相关的术语和定义，删除“规划不确定性”等原有术语</w:t>
            </w:r>
            <w:r>
              <w:rPr>
                <w:rFonts w:hint="eastAsia" w:ascii="Times New Roman" w:hAnsi="Times New Roman" w:eastAsia="仿宋_GB2312"/>
                <w:color w:val="auto"/>
                <w:sz w:val="24"/>
                <w:szCs w:val="24"/>
                <w:highlight w:val="none"/>
              </w:rPr>
              <w:t>；</w:t>
            </w:r>
            <w:r>
              <w:rPr>
                <w:rFonts w:ascii="Times New Roman" w:hAnsi="Times New Roman" w:eastAsia="仿宋_GB2312"/>
                <w:color w:val="auto"/>
                <w:sz w:val="24"/>
                <w:szCs w:val="24"/>
                <w:highlight w:val="none"/>
              </w:rPr>
              <w:t>2</w:t>
            </w:r>
            <w:r>
              <w:rPr>
                <w:rFonts w:hint="eastAsia" w:ascii="Times New Roman" w:hAnsi="Times New Roman" w:eastAsia="仿宋_GB2312"/>
                <w:color w:val="auto"/>
                <w:sz w:val="24"/>
                <w:szCs w:val="24"/>
                <w:highlight w:val="none"/>
              </w:rPr>
              <w:t>.</w:t>
            </w:r>
            <w:r>
              <w:rPr>
                <w:rFonts w:ascii="Times New Roman" w:hAnsi="Times New Roman" w:eastAsia="仿宋_GB2312"/>
                <w:color w:val="auto"/>
                <w:sz w:val="24"/>
                <w:szCs w:val="24"/>
                <w:highlight w:val="none"/>
              </w:rPr>
              <w:t>规划分析章节，增加预测情景设置内容，删除规划不确定性分析内容</w:t>
            </w:r>
            <w:r>
              <w:rPr>
                <w:rFonts w:hint="eastAsia" w:ascii="Times New Roman" w:hAnsi="Times New Roman" w:eastAsia="仿宋_GB2312"/>
                <w:color w:val="auto"/>
                <w:sz w:val="24"/>
                <w:szCs w:val="24"/>
                <w:highlight w:val="none"/>
              </w:rPr>
              <w:t>；</w:t>
            </w:r>
            <w:r>
              <w:rPr>
                <w:rFonts w:ascii="Times New Roman" w:hAnsi="Times New Roman" w:eastAsia="仿宋_GB2312"/>
                <w:color w:val="auto"/>
                <w:sz w:val="24"/>
                <w:szCs w:val="24"/>
                <w:highlight w:val="none"/>
              </w:rPr>
              <w:t>3</w:t>
            </w:r>
            <w:r>
              <w:rPr>
                <w:rFonts w:hint="eastAsia" w:ascii="Times New Roman" w:hAnsi="Times New Roman" w:eastAsia="仿宋_GB2312"/>
                <w:color w:val="auto"/>
                <w:sz w:val="24"/>
                <w:szCs w:val="24"/>
                <w:highlight w:val="none"/>
              </w:rPr>
              <w:t>.</w:t>
            </w:r>
            <w:r>
              <w:rPr>
                <w:rFonts w:ascii="Times New Roman" w:hAnsi="Times New Roman" w:eastAsia="仿宋_GB2312"/>
                <w:color w:val="auto"/>
                <w:sz w:val="24"/>
                <w:szCs w:val="24"/>
                <w:highlight w:val="none"/>
              </w:rPr>
              <w:t>现状调查与评价章节，增加分析区域“三线一单”的相关内容，进一步完善现状调查内容与要求</w:t>
            </w:r>
            <w:r>
              <w:rPr>
                <w:rFonts w:hint="eastAsia" w:ascii="Times New Roman" w:hAnsi="Times New Roman" w:eastAsia="仿宋_GB2312"/>
                <w:color w:val="auto"/>
                <w:sz w:val="24"/>
                <w:szCs w:val="24"/>
                <w:highlight w:val="none"/>
              </w:rPr>
              <w:t>；</w:t>
            </w:r>
            <w:r>
              <w:rPr>
                <w:rFonts w:ascii="Times New Roman" w:hAnsi="Times New Roman" w:eastAsia="仿宋_GB2312"/>
                <w:color w:val="auto"/>
                <w:sz w:val="24"/>
                <w:szCs w:val="24"/>
                <w:highlight w:val="none"/>
              </w:rPr>
              <w:t>4</w:t>
            </w:r>
            <w:r>
              <w:rPr>
                <w:rFonts w:hint="eastAsia" w:ascii="Times New Roman" w:hAnsi="Times New Roman" w:eastAsia="仿宋_GB2312"/>
                <w:color w:val="auto"/>
                <w:sz w:val="24"/>
                <w:szCs w:val="24"/>
                <w:highlight w:val="none"/>
              </w:rPr>
              <w:t>.</w:t>
            </w:r>
            <w:r>
              <w:rPr>
                <w:rFonts w:ascii="Times New Roman" w:hAnsi="Times New Roman" w:eastAsia="仿宋_GB2312"/>
                <w:color w:val="auto"/>
                <w:sz w:val="24"/>
                <w:szCs w:val="24"/>
                <w:highlight w:val="none"/>
              </w:rPr>
              <w:t>影响预测与评价章节，强化结合情景方案开展预测与评价，补充预测分析规划实施是否满足“三线一单”空间管控要求内容</w:t>
            </w:r>
            <w:r>
              <w:rPr>
                <w:rFonts w:hint="eastAsia" w:ascii="Times New Roman" w:hAnsi="Times New Roman" w:eastAsia="仿宋_GB2312"/>
                <w:color w:val="auto"/>
                <w:sz w:val="24"/>
                <w:szCs w:val="24"/>
                <w:highlight w:val="none"/>
              </w:rPr>
              <w:t>；5.</w:t>
            </w:r>
            <w:r>
              <w:rPr>
                <w:rFonts w:ascii="Times New Roman" w:hAnsi="Times New Roman" w:eastAsia="仿宋_GB2312"/>
                <w:color w:val="auto"/>
                <w:sz w:val="24"/>
                <w:szCs w:val="24"/>
                <w:highlight w:val="none"/>
              </w:rPr>
              <w:t>细化规划所包含建设项目的环评简化要求及关注重点等内容。</w:t>
            </w:r>
          </w:p>
        </w:tc>
        <w:tc>
          <w:tcPr>
            <w:tcW w:w="241" w:type="pct"/>
            <w:vAlign w:val="center"/>
          </w:tcPr>
          <w:p w14:paraId="75E5C1AB">
            <w:pPr>
              <w:jc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color w:val="auto"/>
                <w:sz w:val="24"/>
                <w:szCs w:val="24"/>
                <w:highlight w:val="none"/>
              </w:rPr>
              <w:t>修订</w:t>
            </w:r>
          </w:p>
        </w:tc>
        <w:tc>
          <w:tcPr>
            <w:tcW w:w="467" w:type="pct"/>
            <w:vAlign w:val="center"/>
          </w:tcPr>
          <w:p w14:paraId="1C4F784F">
            <w:pPr>
              <w:widowControl/>
              <w:jc w:val="center"/>
              <w:textAlignment w:val="center"/>
              <w:rPr>
                <w:rFonts w:ascii="Times New Roman" w:hAnsi="Times New Roman" w:eastAsia="仿宋_GB2312" w:cs="Times New Roman"/>
                <w:bCs/>
                <w:color w:val="auto"/>
                <w:sz w:val="24"/>
                <w:szCs w:val="24"/>
                <w:highlight w:val="none"/>
              </w:rPr>
            </w:pPr>
            <w:r>
              <w:rPr>
                <w:rFonts w:ascii="Times New Roman" w:hAnsi="Times New Roman" w:eastAsia="仿宋_GB2312"/>
                <w:color w:val="auto"/>
                <w:kern w:val="0"/>
                <w:sz w:val="24"/>
                <w:szCs w:val="24"/>
                <w:highlight w:val="none"/>
              </w:rPr>
              <w:t>JT/T 1146.1-2017</w:t>
            </w:r>
          </w:p>
        </w:tc>
        <w:tc>
          <w:tcPr>
            <w:tcW w:w="311" w:type="pct"/>
            <w:shd w:val="clear" w:color="auto" w:fill="auto"/>
            <w:vAlign w:val="center"/>
          </w:tcPr>
          <w:p w14:paraId="0E8EFABD">
            <w:pPr>
              <w:widowControl/>
              <w:jc w:val="center"/>
              <w:textAlignment w:val="center"/>
              <w:rPr>
                <w:rFonts w:ascii="Times New Roman" w:hAnsi="Times New Roman" w:eastAsia="仿宋_GB2312" w:cs="Times New Roman"/>
                <w:bCs/>
                <w:color w:val="auto"/>
                <w:sz w:val="24"/>
                <w:szCs w:val="24"/>
                <w:highlight w:val="none"/>
              </w:rPr>
            </w:pPr>
            <w:r>
              <w:rPr>
                <w:rFonts w:hint="eastAsia" w:ascii="Times New Roman" w:hAnsi="Times New Roman" w:eastAsia="仿宋_GB2312"/>
                <w:color w:val="auto"/>
                <w:sz w:val="24"/>
                <w:szCs w:val="24"/>
                <w:highlight w:val="none"/>
              </w:rPr>
              <w:t>12</w:t>
            </w:r>
          </w:p>
        </w:tc>
        <w:tc>
          <w:tcPr>
            <w:tcW w:w="409" w:type="pct"/>
            <w:shd w:val="clear" w:color="auto" w:fill="auto"/>
            <w:vAlign w:val="center"/>
          </w:tcPr>
          <w:p w14:paraId="66EC91D5">
            <w:pPr>
              <w:widowControl/>
              <w:jc w:val="center"/>
              <w:textAlignment w:val="center"/>
              <w:rPr>
                <w:rFonts w:ascii="Times New Roman" w:hAnsi="Times New Roman" w:eastAsia="仿宋_GB2312" w:cs="Times New Roman"/>
                <w:color w:val="auto"/>
                <w:sz w:val="24"/>
                <w:szCs w:val="24"/>
                <w:highlight w:val="none"/>
              </w:rPr>
            </w:pPr>
            <w:r>
              <w:rPr>
                <w:rFonts w:ascii="Times New Roman" w:hAnsi="Times New Roman" w:eastAsia="仿宋_GB2312"/>
                <w:color w:val="auto"/>
                <w:sz w:val="24"/>
                <w:szCs w:val="24"/>
                <w:highlight w:val="none"/>
              </w:rPr>
              <w:t>环保</w:t>
            </w:r>
            <w:r>
              <w:rPr>
                <w:rFonts w:hint="eastAsia" w:ascii="Times New Roman" w:hAnsi="Times New Roman" w:eastAsia="仿宋_GB2312"/>
                <w:color w:val="auto"/>
                <w:sz w:val="24"/>
                <w:szCs w:val="24"/>
                <w:highlight w:val="none"/>
              </w:rPr>
              <w:t>标委会</w:t>
            </w:r>
          </w:p>
        </w:tc>
        <w:tc>
          <w:tcPr>
            <w:tcW w:w="1196" w:type="pct"/>
            <w:shd w:val="clear" w:color="auto" w:fill="auto"/>
            <w:vAlign w:val="center"/>
          </w:tcPr>
          <w:p w14:paraId="59B5DC6D">
            <w:pPr>
              <w:widowControl/>
              <w:jc w:val="left"/>
              <w:textAlignment w:val="center"/>
              <w:rPr>
                <w:rFonts w:ascii="Times New Roman" w:hAnsi="Times New Roman" w:eastAsia="仿宋_GB2312" w:cs="Times New Roman"/>
                <w:color w:val="auto"/>
                <w:sz w:val="24"/>
                <w:szCs w:val="24"/>
                <w:highlight w:val="none"/>
              </w:rPr>
            </w:pPr>
            <w:r>
              <w:rPr>
                <w:rFonts w:ascii="Times New Roman" w:hAnsi="Times New Roman" w:eastAsia="仿宋_GB2312"/>
                <w:color w:val="auto"/>
                <w:sz w:val="24"/>
                <w:szCs w:val="24"/>
                <w:highlight w:val="none"/>
              </w:rPr>
              <w:t>交通运输部公路科学研究所、中路高科交通科技集团有限公司、湖南省交通运输厅规划与项目办公室、交通运输部规划研究院</w:t>
            </w:r>
          </w:p>
        </w:tc>
      </w:tr>
    </w:tbl>
    <w:p w14:paraId="3F1CCBFC">
      <w:pPr>
        <w:widowControl/>
        <w:jc w:val="left"/>
        <w:rPr>
          <w:rFonts w:ascii="Times New Roman" w:hAnsi="Times New Roman" w:eastAsia="黑体" w:cs="Times New Roman"/>
          <w:b/>
          <w:bCs/>
          <w:color w:val="auto"/>
          <w:sz w:val="32"/>
          <w:szCs w:val="32"/>
          <w:highlight w:val="none"/>
        </w:rPr>
      </w:pPr>
      <w:r>
        <w:rPr>
          <w:rFonts w:ascii="Times New Roman" w:hAnsi="Times New Roman" w:eastAsia="黑体" w:cs="Times New Roman"/>
          <w:b/>
          <w:bCs/>
          <w:color w:val="auto"/>
          <w:sz w:val="32"/>
          <w:szCs w:val="32"/>
          <w:highlight w:val="none"/>
        </w:rPr>
        <w:br w:type="page"/>
      </w:r>
    </w:p>
    <w:p w14:paraId="52FC009E">
      <w:pPr>
        <w:spacing w:line="360" w:lineRule="auto"/>
        <w:rPr>
          <w:rFonts w:ascii="Times New Roman" w:hAnsi="Times New Roman" w:eastAsia="黑体" w:cs="Times New Roman"/>
          <w:b/>
          <w:bCs/>
          <w:color w:val="auto"/>
          <w:sz w:val="32"/>
          <w:szCs w:val="32"/>
          <w:highlight w:val="none"/>
        </w:rPr>
      </w:pPr>
      <w:r>
        <w:rPr>
          <w:rFonts w:hint="eastAsia" w:ascii="Times New Roman" w:hAnsi="Times New Roman" w:eastAsia="黑体" w:cs="Times New Roman"/>
          <w:b/>
          <w:bCs/>
          <w:color w:val="auto"/>
          <w:sz w:val="32"/>
          <w:szCs w:val="32"/>
          <w:highlight w:val="none"/>
        </w:rPr>
        <w:t>二</w:t>
      </w:r>
      <w:r>
        <w:rPr>
          <w:rFonts w:ascii="Times New Roman" w:hAnsi="Times New Roman" w:eastAsia="黑体" w:cs="Times New Roman"/>
          <w:b/>
          <w:bCs/>
          <w:color w:val="auto"/>
          <w:sz w:val="32"/>
          <w:szCs w:val="32"/>
          <w:highlight w:val="none"/>
        </w:rPr>
        <w:t>、</w:t>
      </w:r>
      <w:r>
        <w:rPr>
          <w:rFonts w:hint="eastAsia" w:ascii="Times New Roman" w:hAnsi="Times New Roman" w:eastAsia="黑体" w:cs="Times New Roman"/>
          <w:b/>
          <w:bCs/>
          <w:color w:val="auto"/>
          <w:sz w:val="32"/>
          <w:szCs w:val="32"/>
          <w:highlight w:val="none"/>
        </w:rPr>
        <w:t>部门计量检定规程</w:t>
      </w:r>
      <w:r>
        <w:rPr>
          <w:rFonts w:ascii="Times New Roman" w:hAnsi="Times New Roman" w:eastAsia="黑体" w:cs="Times New Roman"/>
          <w:b/>
          <w:bCs/>
          <w:color w:val="auto"/>
          <w:sz w:val="32"/>
          <w:szCs w:val="32"/>
          <w:highlight w:val="none"/>
        </w:rPr>
        <w:t>（</w:t>
      </w:r>
      <w:r>
        <w:rPr>
          <w:rFonts w:hint="eastAsia" w:ascii="Times New Roman" w:hAnsi="Times New Roman" w:eastAsia="黑体" w:cs="Times New Roman"/>
          <w:b/>
          <w:bCs/>
          <w:color w:val="auto"/>
          <w:sz w:val="32"/>
          <w:szCs w:val="32"/>
          <w:highlight w:val="none"/>
        </w:rPr>
        <w:t>10</w:t>
      </w:r>
      <w:r>
        <w:rPr>
          <w:rFonts w:ascii="Times New Roman" w:hAnsi="Times New Roman" w:eastAsia="黑体" w:cs="Times New Roman"/>
          <w:b/>
          <w:bCs/>
          <w:color w:val="auto"/>
          <w:sz w:val="32"/>
          <w:szCs w:val="32"/>
          <w:highlight w:val="none"/>
        </w:rPr>
        <w:t>项）</w:t>
      </w:r>
    </w:p>
    <w:tbl>
      <w:tblPr>
        <w:tblStyle w:val="8"/>
        <w:tblW w:w="502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91"/>
        <w:gridCol w:w="2123"/>
        <w:gridCol w:w="5119"/>
        <w:gridCol w:w="708"/>
        <w:gridCol w:w="851"/>
        <w:gridCol w:w="851"/>
        <w:gridCol w:w="1185"/>
        <w:gridCol w:w="3838"/>
      </w:tblGrid>
      <w:tr w14:paraId="10C43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tblHeader/>
        </w:trPr>
        <w:tc>
          <w:tcPr>
            <w:tcW w:w="193" w:type="pct"/>
            <w:vAlign w:val="center"/>
          </w:tcPr>
          <w:p w14:paraId="0DA5F02A">
            <w:pPr>
              <w:jc w:val="center"/>
              <w:rPr>
                <w:rFonts w:ascii="Times New Roman" w:hAnsi="Times New Roman" w:eastAsia="仿宋_GB2312" w:cs="Times New Roman"/>
                <w:b/>
                <w:bCs/>
                <w:color w:val="auto"/>
                <w:sz w:val="24"/>
                <w:szCs w:val="24"/>
                <w:highlight w:val="none"/>
              </w:rPr>
            </w:pPr>
            <w:r>
              <w:rPr>
                <w:rFonts w:ascii="Times New Roman" w:hAnsi="Times New Roman" w:eastAsia="仿宋_GB2312" w:cs="Times New Roman"/>
                <w:b/>
                <w:bCs/>
                <w:color w:val="auto"/>
                <w:sz w:val="24"/>
                <w:szCs w:val="24"/>
                <w:highlight w:val="none"/>
              </w:rPr>
              <w:t>序号</w:t>
            </w:r>
          </w:p>
        </w:tc>
        <w:tc>
          <w:tcPr>
            <w:tcW w:w="695" w:type="pct"/>
            <w:vAlign w:val="center"/>
          </w:tcPr>
          <w:p w14:paraId="12CBE7B0">
            <w:pPr>
              <w:jc w:val="center"/>
              <w:rPr>
                <w:rFonts w:ascii="Times New Roman" w:hAnsi="Times New Roman" w:eastAsia="仿宋_GB2312" w:cs="Times New Roman"/>
                <w:b/>
                <w:bCs/>
                <w:color w:val="auto"/>
                <w:sz w:val="24"/>
                <w:szCs w:val="24"/>
                <w:highlight w:val="none"/>
              </w:rPr>
            </w:pPr>
            <w:r>
              <w:rPr>
                <w:rFonts w:ascii="Times New Roman" w:hAnsi="Times New Roman" w:eastAsia="仿宋_GB2312" w:cs="Times New Roman"/>
                <w:b/>
                <w:bCs/>
                <w:color w:val="auto"/>
                <w:sz w:val="24"/>
                <w:szCs w:val="24"/>
                <w:highlight w:val="none"/>
              </w:rPr>
              <w:t>项目名称</w:t>
            </w:r>
          </w:p>
        </w:tc>
        <w:tc>
          <w:tcPr>
            <w:tcW w:w="1676" w:type="pct"/>
            <w:vAlign w:val="center"/>
          </w:tcPr>
          <w:p w14:paraId="612359BD">
            <w:pPr>
              <w:jc w:val="center"/>
              <w:rPr>
                <w:rFonts w:ascii="Times New Roman" w:hAnsi="Times New Roman" w:eastAsia="仿宋_GB2312" w:cs="Times New Roman"/>
                <w:b/>
                <w:bCs/>
                <w:color w:val="auto"/>
                <w:sz w:val="24"/>
                <w:szCs w:val="24"/>
                <w:highlight w:val="none"/>
              </w:rPr>
            </w:pPr>
            <w:r>
              <w:rPr>
                <w:rFonts w:ascii="Times New Roman" w:hAnsi="Times New Roman" w:eastAsia="仿宋_GB2312" w:cs="Times New Roman"/>
                <w:b/>
                <w:bCs/>
                <w:color w:val="auto"/>
                <w:sz w:val="24"/>
                <w:szCs w:val="24"/>
                <w:highlight w:val="none"/>
              </w:rPr>
              <w:t>范围和主要技术内容</w:t>
            </w:r>
          </w:p>
        </w:tc>
        <w:tc>
          <w:tcPr>
            <w:tcW w:w="231" w:type="pct"/>
            <w:vAlign w:val="center"/>
          </w:tcPr>
          <w:p w14:paraId="3BDE0D72">
            <w:pPr>
              <w:jc w:val="center"/>
              <w:rPr>
                <w:rFonts w:ascii="Times New Roman" w:hAnsi="Times New Roman" w:eastAsia="仿宋_GB2312" w:cs="Times New Roman"/>
                <w:b/>
                <w:bCs/>
                <w:color w:val="auto"/>
                <w:sz w:val="24"/>
                <w:szCs w:val="24"/>
                <w:highlight w:val="none"/>
              </w:rPr>
            </w:pPr>
            <w:r>
              <w:rPr>
                <w:rFonts w:ascii="Times New Roman" w:hAnsi="Times New Roman" w:eastAsia="仿宋_GB2312" w:cs="Times New Roman"/>
                <w:b/>
                <w:bCs/>
                <w:color w:val="auto"/>
                <w:sz w:val="24"/>
                <w:szCs w:val="24"/>
                <w:highlight w:val="none"/>
              </w:rPr>
              <w:t>制修订</w:t>
            </w:r>
          </w:p>
        </w:tc>
        <w:tc>
          <w:tcPr>
            <w:tcW w:w="278" w:type="pct"/>
            <w:vAlign w:val="center"/>
          </w:tcPr>
          <w:p w14:paraId="0C445561">
            <w:pPr>
              <w:jc w:val="center"/>
              <w:rPr>
                <w:rFonts w:ascii="Times New Roman" w:hAnsi="Times New Roman" w:eastAsia="仿宋_GB2312" w:cs="Times New Roman"/>
                <w:b/>
                <w:bCs/>
                <w:color w:val="auto"/>
                <w:sz w:val="24"/>
                <w:szCs w:val="24"/>
                <w:highlight w:val="none"/>
              </w:rPr>
            </w:pPr>
            <w:r>
              <w:rPr>
                <w:rFonts w:hint="eastAsia" w:ascii="Times New Roman" w:hAnsi="Times New Roman" w:eastAsia="仿宋_GB2312" w:cs="Times New Roman"/>
                <w:b/>
                <w:bCs/>
                <w:color w:val="auto"/>
                <w:sz w:val="24"/>
                <w:szCs w:val="24"/>
                <w:highlight w:val="none"/>
              </w:rPr>
              <w:t>代替</w:t>
            </w:r>
          </w:p>
          <w:p w14:paraId="75BFE78C">
            <w:pPr>
              <w:jc w:val="center"/>
              <w:rPr>
                <w:rFonts w:ascii="Times New Roman" w:hAnsi="Times New Roman" w:eastAsia="仿宋_GB2312" w:cs="Times New Roman"/>
                <w:b/>
                <w:bCs/>
                <w:color w:val="auto"/>
                <w:sz w:val="24"/>
                <w:szCs w:val="24"/>
                <w:highlight w:val="none"/>
              </w:rPr>
            </w:pPr>
            <w:r>
              <w:rPr>
                <w:rFonts w:hint="eastAsia" w:ascii="Times New Roman" w:hAnsi="Times New Roman" w:eastAsia="仿宋_GB2312" w:cs="Times New Roman"/>
                <w:b/>
                <w:bCs/>
                <w:color w:val="auto"/>
                <w:sz w:val="24"/>
                <w:szCs w:val="24"/>
                <w:highlight w:val="none"/>
              </w:rPr>
              <w:t>规程</w:t>
            </w:r>
          </w:p>
        </w:tc>
        <w:tc>
          <w:tcPr>
            <w:tcW w:w="278" w:type="pct"/>
            <w:vAlign w:val="center"/>
          </w:tcPr>
          <w:p w14:paraId="732E32C7">
            <w:pPr>
              <w:jc w:val="center"/>
              <w:rPr>
                <w:rFonts w:ascii="Times New Roman" w:hAnsi="Times New Roman" w:eastAsia="仿宋_GB2312" w:cs="Times New Roman"/>
                <w:b/>
                <w:bCs/>
                <w:color w:val="auto"/>
                <w:sz w:val="24"/>
                <w:szCs w:val="24"/>
                <w:highlight w:val="none"/>
              </w:rPr>
            </w:pPr>
            <w:r>
              <w:rPr>
                <w:rFonts w:ascii="Times New Roman" w:hAnsi="Times New Roman" w:eastAsia="仿宋_GB2312" w:cs="Times New Roman"/>
                <w:b/>
                <w:bCs/>
                <w:color w:val="auto"/>
                <w:sz w:val="24"/>
                <w:szCs w:val="24"/>
                <w:highlight w:val="none"/>
              </w:rPr>
              <w:t>完成周期(月)</w:t>
            </w:r>
          </w:p>
        </w:tc>
        <w:tc>
          <w:tcPr>
            <w:tcW w:w="388" w:type="pct"/>
            <w:vAlign w:val="center"/>
          </w:tcPr>
          <w:p w14:paraId="0BD93D63">
            <w:pPr>
              <w:jc w:val="center"/>
              <w:rPr>
                <w:rFonts w:ascii="Times New Roman" w:hAnsi="Times New Roman" w:eastAsia="仿宋_GB2312" w:cs="Times New Roman"/>
                <w:b/>
                <w:bCs/>
                <w:color w:val="auto"/>
                <w:sz w:val="24"/>
                <w:szCs w:val="24"/>
                <w:highlight w:val="none"/>
              </w:rPr>
            </w:pPr>
            <w:r>
              <w:rPr>
                <w:rFonts w:ascii="Times New Roman" w:hAnsi="Times New Roman" w:eastAsia="仿宋_GB2312" w:cs="Times New Roman"/>
                <w:b/>
                <w:bCs/>
                <w:color w:val="auto"/>
                <w:sz w:val="24"/>
                <w:szCs w:val="24"/>
                <w:highlight w:val="none"/>
              </w:rPr>
              <w:t>技术归口单位</w:t>
            </w:r>
          </w:p>
        </w:tc>
        <w:tc>
          <w:tcPr>
            <w:tcW w:w="1257" w:type="pct"/>
            <w:vAlign w:val="center"/>
          </w:tcPr>
          <w:p w14:paraId="36AF676D">
            <w:pPr>
              <w:jc w:val="center"/>
              <w:rPr>
                <w:rFonts w:ascii="Times New Roman" w:hAnsi="Times New Roman" w:eastAsia="仿宋_GB2312" w:cs="Times New Roman"/>
                <w:b/>
                <w:bCs/>
                <w:color w:val="auto"/>
                <w:sz w:val="24"/>
                <w:szCs w:val="24"/>
                <w:highlight w:val="none"/>
              </w:rPr>
            </w:pPr>
            <w:r>
              <w:rPr>
                <w:rFonts w:ascii="Times New Roman" w:hAnsi="Times New Roman" w:eastAsia="仿宋_GB2312" w:cs="Times New Roman"/>
                <w:b/>
                <w:bCs/>
                <w:color w:val="auto"/>
                <w:sz w:val="24"/>
                <w:szCs w:val="24"/>
                <w:highlight w:val="none"/>
              </w:rPr>
              <w:t>主要起草单位</w:t>
            </w:r>
          </w:p>
        </w:tc>
      </w:tr>
      <w:tr w14:paraId="7452B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trPr>
        <w:tc>
          <w:tcPr>
            <w:tcW w:w="193" w:type="pct"/>
            <w:vAlign w:val="center"/>
          </w:tcPr>
          <w:p w14:paraId="447B3249">
            <w:pPr>
              <w:jc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bCs/>
                <w:color w:val="auto"/>
                <w:sz w:val="24"/>
                <w:szCs w:val="24"/>
                <w:highlight w:val="none"/>
              </w:rPr>
              <w:t>1</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A8364">
            <w:pPr>
              <w:widowControl/>
              <w:jc w:val="left"/>
              <w:textAlignment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kern w:val="0"/>
                <w:sz w:val="24"/>
                <w:szCs w:val="24"/>
                <w:highlight w:val="none"/>
              </w:rPr>
              <w:t>摇筛机</w:t>
            </w:r>
          </w:p>
        </w:tc>
        <w:tc>
          <w:tcPr>
            <w:tcW w:w="1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80458">
            <w:pPr>
              <w:widowControl/>
              <w:textAlignment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kern w:val="0"/>
                <w:sz w:val="24"/>
                <w:szCs w:val="24"/>
                <w:highlight w:val="none"/>
              </w:rPr>
              <w:t>拟规定摇筛机的计量性能要求、通用技术要求、计量器具控制、检定方法、检定结果处理和检定周期等内容。</w:t>
            </w:r>
            <w:r>
              <w:rPr>
                <w:rFonts w:ascii="Times New Roman" w:hAnsi="Times New Roman" w:eastAsia="仿宋_GB2312" w:cs="Times New Roman"/>
                <w:color w:val="auto"/>
                <w:kern w:val="0"/>
                <w:sz w:val="24"/>
                <w:szCs w:val="24"/>
                <w:highlight w:val="none"/>
              </w:rPr>
              <w:br w:type="textWrapping"/>
            </w:r>
            <w:r>
              <w:rPr>
                <w:rFonts w:ascii="Times New Roman" w:hAnsi="Times New Roman" w:eastAsia="仿宋_GB2312" w:cs="Times New Roman"/>
                <w:color w:val="auto"/>
                <w:kern w:val="0"/>
                <w:sz w:val="24"/>
                <w:szCs w:val="24"/>
                <w:highlight w:val="none"/>
              </w:rPr>
              <w:t>适用于摇筛机的首次检定、后续检定和使用中检查。</w:t>
            </w:r>
          </w:p>
        </w:tc>
        <w:tc>
          <w:tcPr>
            <w:tcW w:w="231" w:type="pct"/>
            <w:vAlign w:val="center"/>
          </w:tcPr>
          <w:p w14:paraId="117120B4">
            <w:pPr>
              <w:jc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bCs/>
                <w:color w:val="auto"/>
                <w:sz w:val="24"/>
                <w:szCs w:val="24"/>
                <w:highlight w:val="none"/>
              </w:rPr>
              <w:t>制定</w:t>
            </w:r>
          </w:p>
        </w:tc>
        <w:tc>
          <w:tcPr>
            <w:tcW w:w="278" w:type="pct"/>
            <w:vAlign w:val="center"/>
          </w:tcPr>
          <w:p w14:paraId="0A08B2EF">
            <w:pPr>
              <w:widowControl/>
              <w:jc w:val="center"/>
              <w:textAlignment w:val="center"/>
              <w:rPr>
                <w:rFonts w:ascii="Times New Roman" w:hAnsi="Times New Roman" w:eastAsia="仿宋_GB2312" w:cs="Times New Roman"/>
                <w:bCs/>
                <w:color w:val="auto"/>
                <w:sz w:val="24"/>
                <w:szCs w:val="24"/>
                <w:highlight w:val="none"/>
              </w:rPr>
            </w:pPr>
          </w:p>
        </w:tc>
        <w:tc>
          <w:tcPr>
            <w:tcW w:w="278" w:type="pct"/>
            <w:shd w:val="clear" w:color="auto" w:fill="auto"/>
            <w:vAlign w:val="center"/>
          </w:tcPr>
          <w:p w14:paraId="7C1CF1F8">
            <w:pPr>
              <w:widowControl/>
              <w:jc w:val="center"/>
              <w:textAlignment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color w:val="auto"/>
                <w:kern w:val="0"/>
                <w:sz w:val="24"/>
                <w:szCs w:val="24"/>
                <w:highlight w:val="none"/>
              </w:rPr>
              <w:t>12</w:t>
            </w:r>
          </w:p>
        </w:tc>
        <w:tc>
          <w:tcPr>
            <w:tcW w:w="388" w:type="pct"/>
            <w:shd w:val="clear" w:color="auto" w:fill="auto"/>
            <w:vAlign w:val="center"/>
          </w:tcPr>
          <w:p w14:paraId="226EB89D">
            <w:pPr>
              <w:jc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bCs/>
                <w:color w:val="auto"/>
                <w:sz w:val="24"/>
                <w:szCs w:val="24"/>
                <w:highlight w:val="none"/>
              </w:rPr>
              <w:t>公路计量委员会</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CE950">
            <w:pPr>
              <w:widowControl/>
              <w:textAlignment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color w:val="auto"/>
                <w:kern w:val="0"/>
                <w:sz w:val="24"/>
                <w:szCs w:val="24"/>
                <w:highlight w:val="none"/>
              </w:rPr>
              <w:t>广东华路交通科技有限公司、交通运输部公路科学研究所、福建省交通科研院有限公司</w:t>
            </w:r>
          </w:p>
        </w:tc>
      </w:tr>
      <w:tr w14:paraId="72D78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trPr>
        <w:tc>
          <w:tcPr>
            <w:tcW w:w="193" w:type="pct"/>
            <w:vAlign w:val="center"/>
          </w:tcPr>
          <w:p w14:paraId="77132EB1">
            <w:pPr>
              <w:jc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bCs/>
                <w:color w:val="auto"/>
                <w:sz w:val="24"/>
                <w:szCs w:val="24"/>
                <w:highlight w:val="none"/>
              </w:rPr>
              <w:t>2</w:t>
            </w:r>
          </w:p>
        </w:tc>
        <w:tc>
          <w:tcPr>
            <w:tcW w:w="695" w:type="pct"/>
            <w:tcBorders>
              <w:top w:val="nil"/>
              <w:left w:val="single" w:color="000000" w:sz="4" w:space="0"/>
              <w:bottom w:val="single" w:color="000000" w:sz="4" w:space="0"/>
              <w:right w:val="single" w:color="000000" w:sz="4" w:space="0"/>
            </w:tcBorders>
            <w:shd w:val="clear" w:color="auto" w:fill="auto"/>
            <w:vAlign w:val="center"/>
          </w:tcPr>
          <w:p w14:paraId="145BF43B">
            <w:pPr>
              <w:widowControl/>
              <w:jc w:val="left"/>
              <w:textAlignment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kern w:val="0"/>
                <w:sz w:val="24"/>
                <w:szCs w:val="24"/>
                <w:highlight w:val="none"/>
              </w:rPr>
              <w:t>突起路标逆反射器抗冲击性能测试仪</w:t>
            </w:r>
          </w:p>
        </w:tc>
        <w:tc>
          <w:tcPr>
            <w:tcW w:w="1676" w:type="pct"/>
            <w:tcBorders>
              <w:top w:val="nil"/>
              <w:left w:val="single" w:color="000000" w:sz="4" w:space="0"/>
              <w:bottom w:val="single" w:color="000000" w:sz="4" w:space="0"/>
              <w:right w:val="single" w:color="000000" w:sz="4" w:space="0"/>
            </w:tcBorders>
            <w:shd w:val="clear" w:color="auto" w:fill="auto"/>
            <w:vAlign w:val="center"/>
          </w:tcPr>
          <w:p w14:paraId="66CABE5D">
            <w:pPr>
              <w:widowControl/>
              <w:textAlignment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kern w:val="0"/>
                <w:sz w:val="24"/>
                <w:szCs w:val="24"/>
                <w:highlight w:val="none"/>
              </w:rPr>
              <w:t>拟规定突起路标逆反射器抗冲击性能测试仪的计量性能要求、通用技术要求、计量器具控制、检定方法、检定结果处理和检定周期等内容。</w:t>
            </w:r>
            <w:r>
              <w:rPr>
                <w:rFonts w:ascii="Times New Roman" w:hAnsi="Times New Roman" w:eastAsia="仿宋_GB2312" w:cs="Times New Roman"/>
                <w:color w:val="auto"/>
                <w:kern w:val="0"/>
                <w:sz w:val="24"/>
                <w:szCs w:val="24"/>
                <w:highlight w:val="none"/>
              </w:rPr>
              <w:br w:type="textWrapping"/>
            </w:r>
            <w:r>
              <w:rPr>
                <w:rFonts w:ascii="Times New Roman" w:hAnsi="Times New Roman" w:eastAsia="仿宋_GB2312" w:cs="Times New Roman"/>
                <w:color w:val="auto"/>
                <w:kern w:val="0"/>
                <w:sz w:val="24"/>
                <w:szCs w:val="24"/>
                <w:highlight w:val="none"/>
              </w:rPr>
              <w:t>适用于突起路标逆反射器抗冲击性能测试仪的首次检定、后续检定和使用中检查。</w:t>
            </w:r>
          </w:p>
        </w:tc>
        <w:tc>
          <w:tcPr>
            <w:tcW w:w="231" w:type="pct"/>
            <w:vAlign w:val="center"/>
          </w:tcPr>
          <w:p w14:paraId="3262E666">
            <w:pPr>
              <w:widowControl/>
              <w:jc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bCs/>
                <w:color w:val="auto"/>
                <w:sz w:val="24"/>
                <w:szCs w:val="24"/>
                <w:highlight w:val="none"/>
              </w:rPr>
              <w:t>制定</w:t>
            </w:r>
          </w:p>
        </w:tc>
        <w:tc>
          <w:tcPr>
            <w:tcW w:w="278" w:type="pct"/>
            <w:vAlign w:val="center"/>
          </w:tcPr>
          <w:p w14:paraId="7D125F1F">
            <w:pPr>
              <w:widowControl/>
              <w:jc w:val="center"/>
              <w:textAlignment w:val="center"/>
              <w:rPr>
                <w:rFonts w:ascii="Times New Roman" w:hAnsi="Times New Roman" w:eastAsia="仿宋_GB2312" w:cs="Times New Roman"/>
                <w:color w:val="auto"/>
                <w:sz w:val="24"/>
                <w:szCs w:val="24"/>
                <w:highlight w:val="none"/>
              </w:rPr>
            </w:pPr>
          </w:p>
        </w:tc>
        <w:tc>
          <w:tcPr>
            <w:tcW w:w="278" w:type="pct"/>
            <w:shd w:val="clear" w:color="auto" w:fill="auto"/>
            <w:vAlign w:val="center"/>
          </w:tcPr>
          <w:p w14:paraId="250F06C0">
            <w:pPr>
              <w:widowControl/>
              <w:jc w:val="center"/>
              <w:textAlignment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kern w:val="0"/>
                <w:sz w:val="24"/>
                <w:szCs w:val="24"/>
                <w:highlight w:val="none"/>
              </w:rPr>
              <w:t>12</w:t>
            </w:r>
          </w:p>
        </w:tc>
        <w:tc>
          <w:tcPr>
            <w:tcW w:w="388" w:type="pct"/>
            <w:shd w:val="clear" w:color="auto" w:fill="auto"/>
            <w:vAlign w:val="center"/>
          </w:tcPr>
          <w:p w14:paraId="79E227A4">
            <w:pPr>
              <w:jc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bCs/>
                <w:color w:val="auto"/>
                <w:sz w:val="24"/>
                <w:szCs w:val="24"/>
                <w:highlight w:val="none"/>
              </w:rPr>
              <w:t>公路计量委员会</w:t>
            </w:r>
          </w:p>
        </w:tc>
        <w:tc>
          <w:tcPr>
            <w:tcW w:w="1257" w:type="pct"/>
            <w:tcBorders>
              <w:top w:val="nil"/>
              <w:left w:val="single" w:color="000000" w:sz="4" w:space="0"/>
              <w:bottom w:val="single" w:color="000000" w:sz="4" w:space="0"/>
              <w:right w:val="single" w:color="000000" w:sz="4" w:space="0"/>
            </w:tcBorders>
            <w:shd w:val="clear" w:color="auto" w:fill="auto"/>
            <w:vAlign w:val="center"/>
          </w:tcPr>
          <w:p w14:paraId="5F12B0B7">
            <w:pPr>
              <w:widowControl/>
              <w:textAlignment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kern w:val="0"/>
                <w:sz w:val="24"/>
                <w:szCs w:val="24"/>
                <w:highlight w:val="none"/>
              </w:rPr>
              <w:t>广东华路交通科技有限公司、中路高科交通检测检验认证有限公司、交通运输部公路科学研究所</w:t>
            </w:r>
          </w:p>
        </w:tc>
      </w:tr>
      <w:tr w14:paraId="0B449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trPr>
        <w:tc>
          <w:tcPr>
            <w:tcW w:w="193" w:type="pct"/>
            <w:vAlign w:val="center"/>
          </w:tcPr>
          <w:p w14:paraId="4F79B752">
            <w:pPr>
              <w:jc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bCs/>
                <w:color w:val="auto"/>
                <w:sz w:val="24"/>
                <w:szCs w:val="24"/>
                <w:highlight w:val="none"/>
              </w:rPr>
              <w:t>3</w:t>
            </w:r>
          </w:p>
        </w:tc>
        <w:tc>
          <w:tcPr>
            <w:tcW w:w="695" w:type="pct"/>
            <w:tcBorders>
              <w:top w:val="nil"/>
              <w:left w:val="single" w:color="000000" w:sz="4" w:space="0"/>
              <w:bottom w:val="single" w:color="000000" w:sz="4" w:space="0"/>
              <w:right w:val="single" w:color="000000" w:sz="4" w:space="0"/>
            </w:tcBorders>
            <w:shd w:val="clear" w:color="auto" w:fill="auto"/>
            <w:vAlign w:val="center"/>
          </w:tcPr>
          <w:p w14:paraId="3580305C">
            <w:pPr>
              <w:widowControl/>
              <w:jc w:val="left"/>
              <w:textAlignment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kern w:val="0"/>
                <w:sz w:val="24"/>
                <w:szCs w:val="24"/>
                <w:highlight w:val="none"/>
              </w:rPr>
              <w:t>标准贯入仪</w:t>
            </w:r>
          </w:p>
        </w:tc>
        <w:tc>
          <w:tcPr>
            <w:tcW w:w="1676" w:type="pct"/>
            <w:tcBorders>
              <w:top w:val="nil"/>
              <w:left w:val="single" w:color="000000" w:sz="4" w:space="0"/>
              <w:bottom w:val="single" w:color="000000" w:sz="4" w:space="0"/>
              <w:right w:val="single" w:color="000000" w:sz="4" w:space="0"/>
            </w:tcBorders>
            <w:shd w:val="clear" w:color="auto" w:fill="auto"/>
            <w:vAlign w:val="center"/>
          </w:tcPr>
          <w:p w14:paraId="369BF479">
            <w:pPr>
              <w:widowControl/>
              <w:textAlignment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kern w:val="0"/>
                <w:sz w:val="24"/>
                <w:szCs w:val="24"/>
                <w:highlight w:val="none"/>
              </w:rPr>
              <w:t>拟规定标准贯入仪的计量性能要求、通用技术要求、计量器具控制、检定方法、检定结果处理和检定周期等内容。</w:t>
            </w:r>
            <w:r>
              <w:rPr>
                <w:rFonts w:ascii="Times New Roman" w:hAnsi="Times New Roman" w:eastAsia="仿宋_GB2312" w:cs="Times New Roman"/>
                <w:color w:val="auto"/>
                <w:kern w:val="0"/>
                <w:sz w:val="24"/>
                <w:szCs w:val="24"/>
                <w:highlight w:val="none"/>
              </w:rPr>
              <w:br w:type="textWrapping"/>
            </w:r>
            <w:r>
              <w:rPr>
                <w:rFonts w:ascii="Times New Roman" w:hAnsi="Times New Roman" w:eastAsia="仿宋_GB2312" w:cs="Times New Roman"/>
                <w:color w:val="auto"/>
                <w:kern w:val="0"/>
                <w:sz w:val="24"/>
                <w:szCs w:val="24"/>
                <w:highlight w:val="none"/>
              </w:rPr>
              <w:t>适用于标准贯入仪的首次检定、后续检定和使用中检查。</w:t>
            </w:r>
          </w:p>
        </w:tc>
        <w:tc>
          <w:tcPr>
            <w:tcW w:w="231" w:type="pct"/>
            <w:vAlign w:val="center"/>
          </w:tcPr>
          <w:p w14:paraId="49D95F1D">
            <w:pPr>
              <w:jc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bCs/>
                <w:color w:val="auto"/>
                <w:sz w:val="24"/>
                <w:szCs w:val="24"/>
                <w:highlight w:val="none"/>
              </w:rPr>
              <w:t>制定</w:t>
            </w:r>
          </w:p>
        </w:tc>
        <w:tc>
          <w:tcPr>
            <w:tcW w:w="278" w:type="pct"/>
            <w:vAlign w:val="center"/>
          </w:tcPr>
          <w:p w14:paraId="1844B7D6">
            <w:pPr>
              <w:widowControl/>
              <w:jc w:val="center"/>
              <w:textAlignment w:val="center"/>
              <w:rPr>
                <w:rFonts w:ascii="Times New Roman" w:hAnsi="Times New Roman" w:eastAsia="仿宋_GB2312" w:cs="Times New Roman"/>
                <w:bCs/>
                <w:color w:val="auto"/>
                <w:sz w:val="24"/>
                <w:szCs w:val="24"/>
                <w:highlight w:val="none"/>
              </w:rPr>
            </w:pPr>
          </w:p>
        </w:tc>
        <w:tc>
          <w:tcPr>
            <w:tcW w:w="278" w:type="pct"/>
            <w:shd w:val="clear" w:color="auto" w:fill="auto"/>
            <w:vAlign w:val="center"/>
          </w:tcPr>
          <w:p w14:paraId="5D8BE1E1">
            <w:pPr>
              <w:widowControl/>
              <w:jc w:val="center"/>
              <w:textAlignment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color w:val="auto"/>
                <w:kern w:val="0"/>
                <w:sz w:val="24"/>
                <w:szCs w:val="24"/>
                <w:highlight w:val="none"/>
              </w:rPr>
              <w:t>18</w:t>
            </w:r>
          </w:p>
        </w:tc>
        <w:tc>
          <w:tcPr>
            <w:tcW w:w="388" w:type="pct"/>
            <w:shd w:val="clear" w:color="auto" w:fill="auto"/>
            <w:vAlign w:val="center"/>
          </w:tcPr>
          <w:p w14:paraId="6544A4FF">
            <w:pPr>
              <w:jc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bCs/>
                <w:color w:val="auto"/>
                <w:sz w:val="24"/>
                <w:szCs w:val="24"/>
                <w:highlight w:val="none"/>
              </w:rPr>
              <w:t>公路计量委员会</w:t>
            </w:r>
          </w:p>
        </w:tc>
        <w:tc>
          <w:tcPr>
            <w:tcW w:w="1257" w:type="pct"/>
            <w:tcBorders>
              <w:top w:val="nil"/>
              <w:left w:val="single" w:color="000000" w:sz="4" w:space="0"/>
              <w:bottom w:val="single" w:color="000000" w:sz="4" w:space="0"/>
              <w:right w:val="single" w:color="000000" w:sz="4" w:space="0"/>
            </w:tcBorders>
            <w:shd w:val="clear" w:color="auto" w:fill="auto"/>
            <w:vAlign w:val="center"/>
          </w:tcPr>
          <w:p w14:paraId="4070AE55">
            <w:pPr>
              <w:widowControl/>
              <w:textAlignment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color w:val="auto"/>
                <w:kern w:val="0"/>
                <w:sz w:val="24"/>
                <w:szCs w:val="24"/>
                <w:highlight w:val="none"/>
              </w:rPr>
              <w:t>重庆市交通规划和技术发展中心、交通运输部公路科学研究所、中路高科交通检测检验认证有限公司、中路高科交通科技集团有限公司</w:t>
            </w:r>
          </w:p>
        </w:tc>
      </w:tr>
      <w:tr w14:paraId="1841F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trPr>
        <w:tc>
          <w:tcPr>
            <w:tcW w:w="193" w:type="pct"/>
            <w:vAlign w:val="center"/>
          </w:tcPr>
          <w:p w14:paraId="27CBFB20">
            <w:pPr>
              <w:jc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bCs/>
                <w:color w:val="auto"/>
                <w:sz w:val="24"/>
                <w:szCs w:val="24"/>
                <w:highlight w:val="none"/>
              </w:rPr>
              <w:t>4</w:t>
            </w:r>
          </w:p>
        </w:tc>
        <w:tc>
          <w:tcPr>
            <w:tcW w:w="695" w:type="pct"/>
            <w:tcBorders>
              <w:top w:val="nil"/>
              <w:left w:val="single" w:color="000000" w:sz="4" w:space="0"/>
              <w:bottom w:val="single" w:color="000000" w:sz="4" w:space="0"/>
              <w:right w:val="single" w:color="000000" w:sz="4" w:space="0"/>
            </w:tcBorders>
            <w:shd w:val="clear" w:color="auto" w:fill="auto"/>
            <w:vAlign w:val="center"/>
          </w:tcPr>
          <w:p w14:paraId="4B84DC44">
            <w:pPr>
              <w:widowControl/>
              <w:jc w:val="left"/>
              <w:textAlignment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kern w:val="0"/>
                <w:sz w:val="24"/>
                <w:szCs w:val="24"/>
                <w:highlight w:val="none"/>
              </w:rPr>
              <w:t>混凝土施工冷缝缺陷检测仪</w:t>
            </w:r>
          </w:p>
        </w:tc>
        <w:tc>
          <w:tcPr>
            <w:tcW w:w="1676" w:type="pct"/>
            <w:tcBorders>
              <w:top w:val="nil"/>
              <w:left w:val="single" w:color="000000" w:sz="4" w:space="0"/>
              <w:bottom w:val="single" w:color="000000" w:sz="4" w:space="0"/>
              <w:right w:val="single" w:color="000000" w:sz="4" w:space="0"/>
            </w:tcBorders>
            <w:shd w:val="clear" w:color="auto" w:fill="auto"/>
            <w:vAlign w:val="center"/>
          </w:tcPr>
          <w:p w14:paraId="0B3EF6B4">
            <w:pPr>
              <w:widowControl/>
              <w:textAlignment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kern w:val="0"/>
                <w:sz w:val="24"/>
                <w:szCs w:val="24"/>
                <w:highlight w:val="none"/>
              </w:rPr>
              <w:t>拟规定混凝土施工冷缝缺陷检测仪的计量性能要求、通用技术要求、计量器具控制、检定方法、检定结果处理和检定周期等内容。</w:t>
            </w:r>
            <w:r>
              <w:rPr>
                <w:rFonts w:ascii="Times New Roman" w:hAnsi="Times New Roman" w:eastAsia="仿宋_GB2312" w:cs="Times New Roman"/>
                <w:color w:val="auto"/>
                <w:kern w:val="0"/>
                <w:sz w:val="24"/>
                <w:szCs w:val="24"/>
                <w:highlight w:val="none"/>
              </w:rPr>
              <w:br w:type="textWrapping"/>
            </w:r>
            <w:r>
              <w:rPr>
                <w:rFonts w:ascii="Times New Roman" w:hAnsi="Times New Roman" w:eastAsia="仿宋_GB2312" w:cs="Times New Roman"/>
                <w:color w:val="auto"/>
                <w:kern w:val="0"/>
                <w:sz w:val="24"/>
                <w:szCs w:val="24"/>
                <w:highlight w:val="none"/>
              </w:rPr>
              <w:t>适用于混凝土施工冷缝缺陷检测仪的首次检定、后续检定和使用中检查。</w:t>
            </w:r>
          </w:p>
        </w:tc>
        <w:tc>
          <w:tcPr>
            <w:tcW w:w="231" w:type="pct"/>
            <w:vAlign w:val="center"/>
          </w:tcPr>
          <w:p w14:paraId="487D6FB5">
            <w:pPr>
              <w:jc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bCs/>
                <w:color w:val="auto"/>
                <w:sz w:val="24"/>
                <w:szCs w:val="24"/>
                <w:highlight w:val="none"/>
              </w:rPr>
              <w:t>制定</w:t>
            </w:r>
          </w:p>
        </w:tc>
        <w:tc>
          <w:tcPr>
            <w:tcW w:w="278" w:type="pct"/>
            <w:vAlign w:val="center"/>
          </w:tcPr>
          <w:p w14:paraId="70F1F576">
            <w:pPr>
              <w:widowControl/>
              <w:jc w:val="center"/>
              <w:textAlignment w:val="center"/>
              <w:rPr>
                <w:rFonts w:ascii="Times New Roman" w:hAnsi="Times New Roman" w:eastAsia="仿宋_GB2312" w:cs="Times New Roman"/>
                <w:bCs/>
                <w:color w:val="auto"/>
                <w:sz w:val="24"/>
                <w:szCs w:val="24"/>
                <w:highlight w:val="none"/>
              </w:rPr>
            </w:pPr>
          </w:p>
        </w:tc>
        <w:tc>
          <w:tcPr>
            <w:tcW w:w="278" w:type="pct"/>
            <w:shd w:val="clear" w:color="auto" w:fill="auto"/>
            <w:vAlign w:val="center"/>
          </w:tcPr>
          <w:p w14:paraId="28F0571A">
            <w:pPr>
              <w:widowControl/>
              <w:jc w:val="center"/>
              <w:textAlignment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color w:val="auto"/>
                <w:kern w:val="0"/>
                <w:sz w:val="24"/>
                <w:szCs w:val="24"/>
                <w:highlight w:val="none"/>
              </w:rPr>
              <w:t>18</w:t>
            </w:r>
          </w:p>
        </w:tc>
        <w:tc>
          <w:tcPr>
            <w:tcW w:w="388" w:type="pct"/>
            <w:shd w:val="clear" w:color="auto" w:fill="auto"/>
            <w:vAlign w:val="center"/>
          </w:tcPr>
          <w:p w14:paraId="1E42D81A">
            <w:pPr>
              <w:jc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bCs/>
                <w:color w:val="auto"/>
                <w:sz w:val="24"/>
                <w:szCs w:val="24"/>
                <w:highlight w:val="none"/>
              </w:rPr>
              <w:t>公路计量委员会</w:t>
            </w:r>
          </w:p>
        </w:tc>
        <w:tc>
          <w:tcPr>
            <w:tcW w:w="1257" w:type="pct"/>
            <w:tcBorders>
              <w:top w:val="nil"/>
              <w:left w:val="single" w:color="000000" w:sz="4" w:space="0"/>
              <w:bottom w:val="single" w:color="000000" w:sz="4" w:space="0"/>
              <w:right w:val="single" w:color="000000" w:sz="4" w:space="0"/>
            </w:tcBorders>
            <w:shd w:val="clear" w:color="auto" w:fill="auto"/>
            <w:vAlign w:val="center"/>
          </w:tcPr>
          <w:p w14:paraId="6392DD3D">
            <w:pPr>
              <w:widowControl/>
              <w:textAlignment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color w:val="auto"/>
                <w:kern w:val="0"/>
                <w:sz w:val="24"/>
                <w:szCs w:val="24"/>
                <w:highlight w:val="none"/>
              </w:rPr>
              <w:t>中路高科交通科技集团有限公司、交通运输部公路科学研究所、四川升拓检测技术股份有限公司、重庆市交通规划和技术发展中心</w:t>
            </w:r>
          </w:p>
        </w:tc>
      </w:tr>
      <w:tr w14:paraId="1119F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trPr>
        <w:tc>
          <w:tcPr>
            <w:tcW w:w="193" w:type="pct"/>
            <w:vAlign w:val="center"/>
          </w:tcPr>
          <w:p w14:paraId="01FC8077">
            <w:pPr>
              <w:jc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bCs/>
                <w:color w:val="auto"/>
                <w:sz w:val="24"/>
                <w:szCs w:val="24"/>
                <w:highlight w:val="none"/>
              </w:rPr>
              <w:t>5</w:t>
            </w:r>
          </w:p>
        </w:tc>
        <w:tc>
          <w:tcPr>
            <w:tcW w:w="695" w:type="pct"/>
            <w:tcBorders>
              <w:top w:val="nil"/>
              <w:left w:val="single" w:color="000000" w:sz="4" w:space="0"/>
              <w:bottom w:val="single" w:color="000000" w:sz="4" w:space="0"/>
              <w:right w:val="single" w:color="000000" w:sz="4" w:space="0"/>
            </w:tcBorders>
            <w:shd w:val="clear" w:color="auto" w:fill="auto"/>
            <w:vAlign w:val="center"/>
          </w:tcPr>
          <w:p w14:paraId="7B06F963">
            <w:pPr>
              <w:widowControl/>
              <w:jc w:val="left"/>
              <w:textAlignment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kern w:val="0"/>
                <w:sz w:val="24"/>
                <w:szCs w:val="24"/>
                <w:highlight w:val="none"/>
                <w:lang w:bidi="ar"/>
              </w:rPr>
              <w:t>隧道衬砌表观损坏快速检测系统</w:t>
            </w:r>
          </w:p>
        </w:tc>
        <w:tc>
          <w:tcPr>
            <w:tcW w:w="1676" w:type="pct"/>
            <w:tcBorders>
              <w:top w:val="nil"/>
              <w:left w:val="single" w:color="000000" w:sz="4" w:space="0"/>
              <w:bottom w:val="single" w:color="000000" w:sz="4" w:space="0"/>
              <w:right w:val="single" w:color="000000" w:sz="4" w:space="0"/>
            </w:tcBorders>
            <w:shd w:val="clear" w:color="auto" w:fill="auto"/>
            <w:vAlign w:val="center"/>
          </w:tcPr>
          <w:p w14:paraId="39576017">
            <w:pPr>
              <w:widowControl/>
              <w:jc w:val="left"/>
              <w:textAlignment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kern w:val="0"/>
                <w:sz w:val="24"/>
                <w:szCs w:val="24"/>
                <w:highlight w:val="none"/>
                <w:lang w:bidi="ar"/>
              </w:rPr>
              <w:t>拟规定隧道衬砌表观损坏快速检测系统主要的计量性能要求、通用技术要求、计量器具控制、检定方法、检定结果处理和检定周期等内容。</w:t>
            </w:r>
            <w:r>
              <w:rPr>
                <w:rFonts w:ascii="Times New Roman" w:hAnsi="Times New Roman" w:eastAsia="仿宋_GB2312" w:cs="Times New Roman"/>
                <w:color w:val="auto"/>
                <w:kern w:val="0"/>
                <w:sz w:val="24"/>
                <w:szCs w:val="24"/>
                <w:highlight w:val="none"/>
                <w:lang w:bidi="ar"/>
              </w:rPr>
              <w:br w:type="textWrapping"/>
            </w:r>
            <w:r>
              <w:rPr>
                <w:rFonts w:ascii="Times New Roman" w:hAnsi="Times New Roman" w:eastAsia="仿宋_GB2312" w:cs="Times New Roman"/>
                <w:color w:val="auto"/>
                <w:kern w:val="0"/>
                <w:sz w:val="24"/>
                <w:szCs w:val="24"/>
                <w:highlight w:val="none"/>
                <w:lang w:bidi="ar"/>
              </w:rPr>
              <w:t>适用于隧道衬砌表观损坏快速检测系统的首次检定、后续检定和使用中检查。</w:t>
            </w:r>
          </w:p>
        </w:tc>
        <w:tc>
          <w:tcPr>
            <w:tcW w:w="231" w:type="pct"/>
            <w:vAlign w:val="center"/>
          </w:tcPr>
          <w:p w14:paraId="19117E2A">
            <w:pPr>
              <w:widowControl/>
              <w:jc w:val="center"/>
              <w:textAlignment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color w:val="auto"/>
                <w:kern w:val="0"/>
                <w:sz w:val="24"/>
                <w:szCs w:val="24"/>
                <w:highlight w:val="none"/>
                <w:lang w:bidi="ar"/>
              </w:rPr>
              <w:t>制定</w:t>
            </w:r>
          </w:p>
        </w:tc>
        <w:tc>
          <w:tcPr>
            <w:tcW w:w="278" w:type="pct"/>
            <w:vAlign w:val="center"/>
          </w:tcPr>
          <w:p w14:paraId="541754A8">
            <w:pPr>
              <w:widowControl/>
              <w:jc w:val="center"/>
              <w:textAlignment w:val="center"/>
              <w:rPr>
                <w:rFonts w:ascii="Times New Roman" w:hAnsi="Times New Roman" w:eastAsia="仿宋_GB2312" w:cs="Times New Roman"/>
                <w:bCs/>
                <w:color w:val="auto"/>
                <w:sz w:val="24"/>
                <w:szCs w:val="24"/>
                <w:highlight w:val="none"/>
              </w:rPr>
            </w:pPr>
            <w:bookmarkStart w:id="1" w:name="OLE_LINK102"/>
            <w:bookmarkStart w:id="2" w:name="OLE_LINK101"/>
          </w:p>
          <w:bookmarkEnd w:id="1"/>
          <w:bookmarkEnd w:id="2"/>
        </w:tc>
        <w:tc>
          <w:tcPr>
            <w:tcW w:w="278" w:type="pct"/>
            <w:shd w:val="clear" w:color="auto" w:fill="auto"/>
            <w:vAlign w:val="center"/>
          </w:tcPr>
          <w:p w14:paraId="28710CB6">
            <w:pPr>
              <w:widowControl/>
              <w:jc w:val="center"/>
              <w:textAlignment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color w:val="auto"/>
                <w:kern w:val="0"/>
                <w:sz w:val="24"/>
                <w:szCs w:val="24"/>
                <w:highlight w:val="none"/>
                <w:lang w:bidi="ar"/>
              </w:rPr>
              <w:t>18</w:t>
            </w:r>
          </w:p>
        </w:tc>
        <w:tc>
          <w:tcPr>
            <w:tcW w:w="388" w:type="pct"/>
            <w:shd w:val="clear" w:color="auto" w:fill="auto"/>
            <w:vAlign w:val="center"/>
          </w:tcPr>
          <w:p w14:paraId="6E54456D">
            <w:pPr>
              <w:widowControl/>
              <w:jc w:val="center"/>
              <w:textAlignment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color w:val="auto"/>
                <w:kern w:val="0"/>
                <w:sz w:val="24"/>
                <w:szCs w:val="24"/>
                <w:highlight w:val="none"/>
                <w:lang w:bidi="ar"/>
              </w:rPr>
              <w:t>公路计量委员会</w:t>
            </w:r>
          </w:p>
        </w:tc>
        <w:tc>
          <w:tcPr>
            <w:tcW w:w="1257" w:type="pct"/>
            <w:tcBorders>
              <w:top w:val="nil"/>
              <w:left w:val="single" w:color="000000" w:sz="4" w:space="0"/>
              <w:bottom w:val="single" w:color="000000" w:sz="4" w:space="0"/>
              <w:right w:val="single" w:color="000000" w:sz="4" w:space="0"/>
            </w:tcBorders>
            <w:shd w:val="clear" w:color="auto" w:fill="auto"/>
            <w:vAlign w:val="center"/>
          </w:tcPr>
          <w:p w14:paraId="1F4ED575">
            <w:pPr>
              <w:widowControl/>
              <w:jc w:val="left"/>
              <w:textAlignment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color w:val="auto"/>
                <w:kern w:val="0"/>
                <w:sz w:val="24"/>
                <w:szCs w:val="24"/>
                <w:highlight w:val="none"/>
                <w:lang w:bidi="ar"/>
              </w:rPr>
              <w:t>交通运输部公路科学研究所</w:t>
            </w:r>
            <w:r>
              <w:rPr>
                <w:rFonts w:hint="eastAsia" w:ascii="Times New Roman" w:hAnsi="Times New Roman" w:eastAsia="仿宋_GB2312" w:cs="Times New Roman"/>
                <w:color w:val="auto"/>
                <w:kern w:val="0"/>
                <w:sz w:val="24"/>
                <w:szCs w:val="24"/>
                <w:highlight w:val="none"/>
                <w:lang w:bidi="ar"/>
              </w:rPr>
              <w:t>、</w:t>
            </w:r>
            <w:r>
              <w:rPr>
                <w:rFonts w:ascii="Times New Roman" w:hAnsi="Times New Roman" w:eastAsia="仿宋_GB2312" w:cs="Times New Roman"/>
                <w:color w:val="auto"/>
                <w:kern w:val="0"/>
                <w:sz w:val="24"/>
                <w:szCs w:val="24"/>
                <w:highlight w:val="none"/>
                <w:lang w:bidi="ar"/>
              </w:rPr>
              <w:t>中路高科交通科技集团有限公司</w:t>
            </w:r>
            <w:r>
              <w:rPr>
                <w:rFonts w:hint="eastAsia" w:ascii="Times New Roman" w:hAnsi="Times New Roman" w:eastAsia="仿宋_GB2312" w:cs="Times New Roman"/>
                <w:color w:val="auto"/>
                <w:kern w:val="0"/>
                <w:sz w:val="24"/>
                <w:szCs w:val="24"/>
                <w:highlight w:val="none"/>
                <w:lang w:bidi="ar"/>
              </w:rPr>
              <w:t>、</w:t>
            </w:r>
            <w:r>
              <w:rPr>
                <w:rFonts w:ascii="Times New Roman" w:hAnsi="Times New Roman" w:eastAsia="仿宋_GB2312" w:cs="Times New Roman"/>
                <w:color w:val="auto"/>
                <w:kern w:val="0"/>
                <w:sz w:val="24"/>
                <w:szCs w:val="24"/>
                <w:highlight w:val="none"/>
                <w:lang w:bidi="ar"/>
              </w:rPr>
              <w:t>重庆市交通规划和技术发展中心</w:t>
            </w:r>
            <w:r>
              <w:rPr>
                <w:rFonts w:hint="eastAsia" w:ascii="Times New Roman" w:hAnsi="Times New Roman" w:eastAsia="仿宋_GB2312" w:cs="Times New Roman"/>
                <w:color w:val="auto"/>
                <w:kern w:val="0"/>
                <w:sz w:val="24"/>
                <w:szCs w:val="24"/>
                <w:highlight w:val="none"/>
                <w:lang w:bidi="ar"/>
              </w:rPr>
              <w:t>、</w:t>
            </w:r>
            <w:r>
              <w:rPr>
                <w:rFonts w:ascii="Times New Roman" w:hAnsi="Times New Roman" w:eastAsia="仿宋_GB2312" w:cs="Times New Roman"/>
                <w:color w:val="auto"/>
                <w:kern w:val="0"/>
                <w:sz w:val="24"/>
                <w:szCs w:val="24"/>
                <w:highlight w:val="none"/>
                <w:lang w:bidi="ar"/>
              </w:rPr>
              <w:t>武汉光谷卓越科技股份有限公司</w:t>
            </w:r>
            <w:r>
              <w:rPr>
                <w:rFonts w:hint="eastAsia" w:ascii="Times New Roman" w:hAnsi="Times New Roman" w:eastAsia="仿宋_GB2312" w:cs="Times New Roman"/>
                <w:color w:val="auto"/>
                <w:kern w:val="0"/>
                <w:sz w:val="24"/>
                <w:szCs w:val="24"/>
                <w:highlight w:val="none"/>
                <w:lang w:bidi="ar"/>
              </w:rPr>
              <w:t>、</w:t>
            </w:r>
            <w:r>
              <w:rPr>
                <w:rFonts w:ascii="Times New Roman" w:hAnsi="Times New Roman" w:eastAsia="仿宋_GB2312" w:cs="Times New Roman"/>
                <w:color w:val="auto"/>
                <w:kern w:val="0"/>
                <w:sz w:val="24"/>
                <w:szCs w:val="24"/>
                <w:highlight w:val="none"/>
                <w:lang w:bidi="ar"/>
              </w:rPr>
              <w:t>宁波市交通建设工程试验检测中心有限公司</w:t>
            </w:r>
            <w:r>
              <w:rPr>
                <w:rFonts w:hint="eastAsia" w:ascii="Times New Roman" w:hAnsi="Times New Roman" w:eastAsia="仿宋_GB2312" w:cs="Times New Roman"/>
                <w:color w:val="auto"/>
                <w:kern w:val="0"/>
                <w:sz w:val="24"/>
                <w:szCs w:val="24"/>
                <w:highlight w:val="none"/>
                <w:lang w:bidi="ar"/>
              </w:rPr>
              <w:t>、</w:t>
            </w:r>
            <w:r>
              <w:rPr>
                <w:rFonts w:ascii="Times New Roman" w:hAnsi="Times New Roman" w:eastAsia="仿宋_GB2312" w:cs="Times New Roman"/>
                <w:color w:val="auto"/>
                <w:kern w:val="0"/>
                <w:sz w:val="24"/>
                <w:szCs w:val="24"/>
                <w:highlight w:val="none"/>
                <w:lang w:bidi="ar"/>
              </w:rPr>
              <w:t>中路高科交通检测检验认证有限公司</w:t>
            </w:r>
          </w:p>
        </w:tc>
      </w:tr>
      <w:tr w14:paraId="13BD6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trPr>
        <w:tc>
          <w:tcPr>
            <w:tcW w:w="193" w:type="pct"/>
            <w:tcBorders>
              <w:bottom w:val="single" w:color="auto" w:sz="4" w:space="0"/>
            </w:tcBorders>
            <w:vAlign w:val="center"/>
          </w:tcPr>
          <w:p w14:paraId="7AC46FFD">
            <w:pPr>
              <w:jc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bCs/>
                <w:color w:val="auto"/>
                <w:sz w:val="24"/>
                <w:szCs w:val="24"/>
                <w:highlight w:val="none"/>
              </w:rPr>
              <w:t>6</w:t>
            </w:r>
          </w:p>
        </w:tc>
        <w:tc>
          <w:tcPr>
            <w:tcW w:w="695" w:type="pct"/>
            <w:tcBorders>
              <w:top w:val="nil"/>
              <w:left w:val="single" w:color="000000" w:sz="4" w:space="0"/>
              <w:bottom w:val="single" w:color="auto" w:sz="4" w:space="0"/>
              <w:right w:val="single" w:color="000000" w:sz="4" w:space="0"/>
            </w:tcBorders>
            <w:shd w:val="clear" w:color="auto" w:fill="auto"/>
            <w:vAlign w:val="center"/>
          </w:tcPr>
          <w:p w14:paraId="55F54D96">
            <w:pPr>
              <w:widowControl/>
              <w:jc w:val="left"/>
              <w:textAlignment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kern w:val="0"/>
                <w:sz w:val="24"/>
                <w:szCs w:val="24"/>
                <w:highlight w:val="none"/>
              </w:rPr>
              <w:t>位移计及采集系统</w:t>
            </w:r>
          </w:p>
        </w:tc>
        <w:tc>
          <w:tcPr>
            <w:tcW w:w="1676" w:type="pct"/>
            <w:tcBorders>
              <w:top w:val="nil"/>
              <w:left w:val="single" w:color="000000" w:sz="4" w:space="0"/>
              <w:bottom w:val="single" w:color="auto" w:sz="4" w:space="0"/>
              <w:right w:val="single" w:color="000000" w:sz="4" w:space="0"/>
            </w:tcBorders>
            <w:shd w:val="clear" w:color="auto" w:fill="auto"/>
            <w:vAlign w:val="center"/>
          </w:tcPr>
          <w:p w14:paraId="0C6C3641">
            <w:pPr>
              <w:widowControl/>
              <w:textAlignment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kern w:val="0"/>
                <w:sz w:val="24"/>
                <w:szCs w:val="24"/>
                <w:highlight w:val="none"/>
              </w:rPr>
              <w:t>拟规定位移计及采集系统的计量性能要求、通用技术要求、计量器具控制、检定方法、检定结果处理和检定周期等内容。</w:t>
            </w:r>
            <w:r>
              <w:rPr>
                <w:rFonts w:ascii="Times New Roman" w:hAnsi="Times New Roman" w:eastAsia="仿宋_GB2312" w:cs="Times New Roman"/>
                <w:color w:val="auto"/>
                <w:kern w:val="0"/>
                <w:sz w:val="24"/>
                <w:szCs w:val="24"/>
                <w:highlight w:val="none"/>
              </w:rPr>
              <w:br w:type="textWrapping"/>
            </w:r>
            <w:r>
              <w:rPr>
                <w:rFonts w:ascii="Times New Roman" w:hAnsi="Times New Roman" w:eastAsia="仿宋_GB2312" w:cs="Times New Roman"/>
                <w:color w:val="auto"/>
                <w:kern w:val="0"/>
                <w:sz w:val="24"/>
                <w:szCs w:val="24"/>
                <w:highlight w:val="none"/>
              </w:rPr>
              <w:t>适用于位移计及采集系统的首次检定、后续检定和使用中检查。</w:t>
            </w:r>
          </w:p>
        </w:tc>
        <w:tc>
          <w:tcPr>
            <w:tcW w:w="231" w:type="pct"/>
            <w:tcBorders>
              <w:bottom w:val="single" w:color="auto" w:sz="4" w:space="0"/>
            </w:tcBorders>
            <w:vAlign w:val="center"/>
          </w:tcPr>
          <w:p w14:paraId="2C782006">
            <w:pPr>
              <w:jc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bCs/>
                <w:color w:val="auto"/>
                <w:sz w:val="24"/>
                <w:szCs w:val="24"/>
                <w:highlight w:val="none"/>
              </w:rPr>
              <w:t>制定</w:t>
            </w:r>
          </w:p>
        </w:tc>
        <w:tc>
          <w:tcPr>
            <w:tcW w:w="278" w:type="pct"/>
            <w:tcBorders>
              <w:bottom w:val="single" w:color="auto" w:sz="4" w:space="0"/>
            </w:tcBorders>
            <w:vAlign w:val="center"/>
          </w:tcPr>
          <w:p w14:paraId="0DCDFD61">
            <w:pPr>
              <w:widowControl/>
              <w:jc w:val="center"/>
              <w:textAlignment w:val="center"/>
              <w:rPr>
                <w:rFonts w:ascii="Times New Roman" w:hAnsi="Times New Roman" w:eastAsia="仿宋_GB2312" w:cs="Times New Roman"/>
                <w:bCs/>
                <w:color w:val="auto"/>
                <w:sz w:val="24"/>
                <w:szCs w:val="24"/>
                <w:highlight w:val="none"/>
              </w:rPr>
            </w:pPr>
          </w:p>
        </w:tc>
        <w:tc>
          <w:tcPr>
            <w:tcW w:w="278" w:type="pct"/>
            <w:tcBorders>
              <w:bottom w:val="single" w:color="auto" w:sz="4" w:space="0"/>
            </w:tcBorders>
            <w:shd w:val="clear" w:color="auto" w:fill="auto"/>
            <w:vAlign w:val="center"/>
          </w:tcPr>
          <w:p w14:paraId="0D2FBFCC">
            <w:pPr>
              <w:widowControl/>
              <w:jc w:val="center"/>
              <w:textAlignment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color w:val="auto"/>
                <w:kern w:val="0"/>
                <w:sz w:val="24"/>
                <w:szCs w:val="24"/>
                <w:highlight w:val="none"/>
              </w:rPr>
              <w:t>18</w:t>
            </w:r>
          </w:p>
        </w:tc>
        <w:tc>
          <w:tcPr>
            <w:tcW w:w="388" w:type="pct"/>
            <w:tcBorders>
              <w:bottom w:val="single" w:color="auto" w:sz="4" w:space="0"/>
            </w:tcBorders>
            <w:shd w:val="clear" w:color="auto" w:fill="auto"/>
            <w:vAlign w:val="center"/>
          </w:tcPr>
          <w:p w14:paraId="3ECD9B1C">
            <w:pPr>
              <w:jc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bCs/>
                <w:color w:val="auto"/>
                <w:sz w:val="24"/>
                <w:szCs w:val="24"/>
                <w:highlight w:val="none"/>
              </w:rPr>
              <w:t>公路计量委员会</w:t>
            </w:r>
          </w:p>
        </w:tc>
        <w:tc>
          <w:tcPr>
            <w:tcW w:w="1257" w:type="pct"/>
            <w:tcBorders>
              <w:top w:val="nil"/>
              <w:left w:val="single" w:color="000000" w:sz="4" w:space="0"/>
              <w:bottom w:val="single" w:color="auto" w:sz="4" w:space="0"/>
              <w:right w:val="single" w:color="000000" w:sz="4" w:space="0"/>
            </w:tcBorders>
            <w:shd w:val="clear" w:color="auto" w:fill="auto"/>
            <w:vAlign w:val="center"/>
          </w:tcPr>
          <w:p w14:paraId="664B578C">
            <w:pPr>
              <w:widowControl/>
              <w:textAlignment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color w:val="auto"/>
                <w:kern w:val="0"/>
                <w:sz w:val="24"/>
                <w:szCs w:val="24"/>
                <w:highlight w:val="none"/>
              </w:rPr>
              <w:t>交通运输部公路科学研究所、中国计量科学研究院、北京市建筑工程研究院有限责任公司、北京信息科技大学、北京工业大学</w:t>
            </w:r>
          </w:p>
        </w:tc>
      </w:tr>
      <w:tr w14:paraId="45153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trPr>
        <w:tc>
          <w:tcPr>
            <w:tcW w:w="193" w:type="pct"/>
            <w:tcBorders>
              <w:top w:val="single" w:color="auto" w:sz="4" w:space="0"/>
              <w:bottom w:val="single" w:color="auto" w:sz="4" w:space="0"/>
              <w:right w:val="single" w:color="auto" w:sz="4" w:space="0"/>
            </w:tcBorders>
            <w:vAlign w:val="center"/>
          </w:tcPr>
          <w:p w14:paraId="3872C083">
            <w:pPr>
              <w:jc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bCs/>
                <w:color w:val="auto"/>
                <w:sz w:val="24"/>
                <w:szCs w:val="24"/>
                <w:highlight w:val="none"/>
              </w:rPr>
              <w:t>7</w:t>
            </w:r>
          </w:p>
        </w:tc>
        <w:tc>
          <w:tcPr>
            <w:tcW w:w="695" w:type="pct"/>
            <w:tcBorders>
              <w:top w:val="single" w:color="auto" w:sz="4" w:space="0"/>
              <w:left w:val="single" w:color="auto" w:sz="4" w:space="0"/>
              <w:bottom w:val="single" w:color="auto" w:sz="4" w:space="0"/>
              <w:right w:val="single" w:color="auto" w:sz="4" w:space="0"/>
            </w:tcBorders>
            <w:shd w:val="clear" w:color="auto" w:fill="auto"/>
            <w:vAlign w:val="center"/>
          </w:tcPr>
          <w:p w14:paraId="12917420">
            <w:pPr>
              <w:widowControl/>
              <w:jc w:val="left"/>
              <w:textAlignment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kern w:val="0"/>
                <w:sz w:val="24"/>
                <w:szCs w:val="24"/>
                <w:highlight w:val="none"/>
              </w:rPr>
              <w:t>隧道照明灯具眩光测试系统</w:t>
            </w:r>
          </w:p>
        </w:tc>
        <w:tc>
          <w:tcPr>
            <w:tcW w:w="1676" w:type="pct"/>
            <w:tcBorders>
              <w:top w:val="single" w:color="auto" w:sz="4" w:space="0"/>
              <w:left w:val="single" w:color="auto" w:sz="4" w:space="0"/>
              <w:bottom w:val="single" w:color="auto" w:sz="4" w:space="0"/>
              <w:right w:val="single" w:color="auto" w:sz="4" w:space="0"/>
            </w:tcBorders>
            <w:shd w:val="clear" w:color="auto" w:fill="auto"/>
            <w:vAlign w:val="center"/>
          </w:tcPr>
          <w:p w14:paraId="1B4A2DB7">
            <w:pPr>
              <w:widowControl/>
              <w:textAlignment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kern w:val="0"/>
                <w:sz w:val="24"/>
                <w:szCs w:val="24"/>
                <w:highlight w:val="none"/>
              </w:rPr>
              <w:t>拟规定隧道照明灯具眩光测试系统</w:t>
            </w:r>
            <w:r>
              <w:rPr>
                <w:rFonts w:hint="eastAsia" w:ascii="Times New Roman" w:hAnsi="Times New Roman" w:eastAsia="仿宋_GB2312" w:cs="Times New Roman"/>
                <w:color w:val="auto"/>
                <w:kern w:val="0"/>
                <w:sz w:val="24"/>
                <w:szCs w:val="24"/>
                <w:highlight w:val="none"/>
              </w:rPr>
              <w:t>的</w:t>
            </w:r>
            <w:r>
              <w:rPr>
                <w:rFonts w:ascii="Times New Roman" w:hAnsi="Times New Roman" w:eastAsia="仿宋_GB2312" w:cs="Times New Roman"/>
                <w:color w:val="auto"/>
                <w:kern w:val="0"/>
                <w:sz w:val="24"/>
                <w:szCs w:val="24"/>
                <w:highlight w:val="none"/>
              </w:rPr>
              <w:t xml:space="preserve">计量性能要求、通用技术要求、检定条件、检定项目、检定方法、检定结果的处理和检定周期等内容。 </w:t>
            </w:r>
            <w:r>
              <w:rPr>
                <w:rFonts w:ascii="Times New Roman" w:hAnsi="Times New Roman" w:eastAsia="仿宋_GB2312" w:cs="Times New Roman"/>
                <w:color w:val="auto"/>
                <w:kern w:val="0"/>
                <w:sz w:val="24"/>
                <w:szCs w:val="24"/>
                <w:highlight w:val="none"/>
              </w:rPr>
              <w:br w:type="textWrapping"/>
            </w:r>
            <w:r>
              <w:rPr>
                <w:rFonts w:ascii="Times New Roman" w:hAnsi="Times New Roman" w:eastAsia="仿宋_GB2312" w:cs="Times New Roman"/>
                <w:color w:val="auto"/>
                <w:kern w:val="0"/>
                <w:sz w:val="24"/>
                <w:szCs w:val="24"/>
                <w:highlight w:val="none"/>
              </w:rPr>
              <w:t>适用于隧道照明灯具眩光测试系统的首次检定、后续检定和使用中检查。</w:t>
            </w:r>
          </w:p>
        </w:tc>
        <w:tc>
          <w:tcPr>
            <w:tcW w:w="231" w:type="pct"/>
            <w:tcBorders>
              <w:top w:val="single" w:color="auto" w:sz="4" w:space="0"/>
              <w:left w:val="single" w:color="auto" w:sz="4" w:space="0"/>
              <w:bottom w:val="single" w:color="auto" w:sz="4" w:space="0"/>
              <w:right w:val="single" w:color="auto" w:sz="4" w:space="0"/>
            </w:tcBorders>
            <w:vAlign w:val="center"/>
          </w:tcPr>
          <w:p w14:paraId="14186922">
            <w:pPr>
              <w:jc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bCs/>
                <w:color w:val="auto"/>
                <w:sz w:val="24"/>
                <w:szCs w:val="24"/>
                <w:highlight w:val="none"/>
              </w:rPr>
              <w:t>制定</w:t>
            </w:r>
          </w:p>
        </w:tc>
        <w:tc>
          <w:tcPr>
            <w:tcW w:w="278" w:type="pct"/>
            <w:tcBorders>
              <w:top w:val="single" w:color="auto" w:sz="4" w:space="0"/>
              <w:left w:val="single" w:color="auto" w:sz="4" w:space="0"/>
              <w:bottom w:val="single" w:color="auto" w:sz="4" w:space="0"/>
              <w:right w:val="single" w:color="auto" w:sz="4" w:space="0"/>
            </w:tcBorders>
            <w:vAlign w:val="center"/>
          </w:tcPr>
          <w:p w14:paraId="32AF14C7">
            <w:pPr>
              <w:widowControl/>
              <w:jc w:val="center"/>
              <w:textAlignment w:val="center"/>
              <w:rPr>
                <w:rFonts w:ascii="Times New Roman" w:hAnsi="Times New Roman" w:eastAsia="仿宋_GB2312" w:cs="Times New Roman"/>
                <w:bCs/>
                <w:color w:val="auto"/>
                <w:sz w:val="24"/>
                <w:szCs w:val="24"/>
                <w:highlight w:val="none"/>
              </w:rPr>
            </w:pPr>
          </w:p>
        </w:tc>
        <w:tc>
          <w:tcPr>
            <w:tcW w:w="278" w:type="pct"/>
            <w:tcBorders>
              <w:top w:val="single" w:color="auto" w:sz="4" w:space="0"/>
              <w:left w:val="single" w:color="auto" w:sz="4" w:space="0"/>
              <w:bottom w:val="single" w:color="auto" w:sz="4" w:space="0"/>
              <w:right w:val="single" w:color="auto" w:sz="4" w:space="0"/>
            </w:tcBorders>
            <w:shd w:val="clear" w:color="auto" w:fill="auto"/>
            <w:vAlign w:val="center"/>
          </w:tcPr>
          <w:p w14:paraId="09CB7FD9">
            <w:pPr>
              <w:widowControl/>
              <w:jc w:val="center"/>
              <w:textAlignment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color w:val="auto"/>
                <w:kern w:val="0"/>
                <w:sz w:val="24"/>
                <w:szCs w:val="24"/>
                <w:highlight w:val="none"/>
              </w:rPr>
              <w:t>18</w:t>
            </w:r>
          </w:p>
        </w:tc>
        <w:tc>
          <w:tcPr>
            <w:tcW w:w="388" w:type="pct"/>
            <w:tcBorders>
              <w:top w:val="single" w:color="auto" w:sz="4" w:space="0"/>
              <w:left w:val="single" w:color="auto" w:sz="4" w:space="0"/>
              <w:bottom w:val="single" w:color="auto" w:sz="4" w:space="0"/>
              <w:right w:val="single" w:color="auto" w:sz="4" w:space="0"/>
            </w:tcBorders>
            <w:shd w:val="clear" w:color="auto" w:fill="auto"/>
            <w:vAlign w:val="center"/>
          </w:tcPr>
          <w:p w14:paraId="3DD7F394">
            <w:pPr>
              <w:jc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bCs/>
                <w:color w:val="auto"/>
                <w:sz w:val="24"/>
                <w:szCs w:val="24"/>
                <w:highlight w:val="none"/>
              </w:rPr>
              <w:t>公路计量委员会</w:t>
            </w:r>
          </w:p>
        </w:tc>
        <w:tc>
          <w:tcPr>
            <w:tcW w:w="1257" w:type="pct"/>
            <w:tcBorders>
              <w:top w:val="single" w:color="auto" w:sz="4" w:space="0"/>
              <w:left w:val="single" w:color="auto" w:sz="4" w:space="0"/>
              <w:bottom w:val="single" w:color="auto" w:sz="4" w:space="0"/>
              <w:right w:val="single" w:color="auto" w:sz="4" w:space="0"/>
            </w:tcBorders>
            <w:shd w:val="clear" w:color="auto" w:fill="auto"/>
            <w:vAlign w:val="center"/>
          </w:tcPr>
          <w:p w14:paraId="24A848DF">
            <w:pPr>
              <w:widowControl/>
              <w:textAlignment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color w:val="auto"/>
                <w:kern w:val="0"/>
                <w:sz w:val="24"/>
                <w:szCs w:val="24"/>
                <w:highlight w:val="none"/>
              </w:rPr>
              <w:t>交通运输部公路科学研究所、西安理工大学、重庆市交通规划和技术发展中心、北京中交国通智能交通系统技术有限公司</w:t>
            </w:r>
          </w:p>
        </w:tc>
      </w:tr>
      <w:tr w14:paraId="3899A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trPr>
        <w:tc>
          <w:tcPr>
            <w:tcW w:w="193" w:type="pct"/>
            <w:tcBorders>
              <w:top w:val="single" w:color="auto" w:sz="4" w:space="0"/>
              <w:bottom w:val="single" w:color="auto" w:sz="4" w:space="0"/>
            </w:tcBorders>
            <w:vAlign w:val="center"/>
          </w:tcPr>
          <w:p w14:paraId="60383CFA">
            <w:pPr>
              <w:jc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bCs/>
                <w:color w:val="auto"/>
                <w:sz w:val="24"/>
                <w:szCs w:val="24"/>
                <w:highlight w:val="none"/>
              </w:rPr>
              <w:t>8</w:t>
            </w:r>
          </w:p>
        </w:tc>
        <w:tc>
          <w:tcPr>
            <w:tcW w:w="695" w:type="pct"/>
            <w:tcBorders>
              <w:top w:val="single" w:color="auto" w:sz="4" w:space="0"/>
              <w:left w:val="single" w:color="000000" w:sz="4" w:space="0"/>
              <w:bottom w:val="single" w:color="auto" w:sz="4" w:space="0"/>
              <w:right w:val="single" w:color="000000" w:sz="4" w:space="0"/>
            </w:tcBorders>
            <w:shd w:val="clear" w:color="auto" w:fill="auto"/>
            <w:vAlign w:val="center"/>
          </w:tcPr>
          <w:p w14:paraId="14D3AA4A">
            <w:pPr>
              <w:widowControl/>
              <w:jc w:val="left"/>
              <w:textAlignment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kern w:val="0"/>
                <w:sz w:val="24"/>
                <w:szCs w:val="24"/>
                <w:highlight w:val="none"/>
              </w:rPr>
              <w:t>小型重力式波浪测量仪</w:t>
            </w:r>
          </w:p>
        </w:tc>
        <w:tc>
          <w:tcPr>
            <w:tcW w:w="1676" w:type="pct"/>
            <w:tcBorders>
              <w:top w:val="single" w:color="auto" w:sz="4" w:space="0"/>
              <w:left w:val="single" w:color="000000" w:sz="4" w:space="0"/>
              <w:bottom w:val="single" w:color="auto" w:sz="4" w:space="0"/>
              <w:right w:val="single" w:color="000000" w:sz="4" w:space="0"/>
            </w:tcBorders>
            <w:shd w:val="clear" w:color="auto" w:fill="auto"/>
            <w:vAlign w:val="center"/>
          </w:tcPr>
          <w:p w14:paraId="0BBC2FDA">
            <w:pPr>
              <w:widowControl/>
              <w:textAlignment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拟规定小型重力式波浪观测仪的计量性能要求、通用技术要求和计量器具控制。</w:t>
            </w:r>
          </w:p>
          <w:p w14:paraId="155127D4">
            <w:pPr>
              <w:widowControl/>
              <w:textAlignment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kern w:val="0"/>
                <w:sz w:val="24"/>
                <w:szCs w:val="24"/>
                <w:highlight w:val="none"/>
              </w:rPr>
              <w:t>适用于小型重力式波浪测量仪的首次检定、后续检定和使用中检查。</w:t>
            </w:r>
          </w:p>
        </w:tc>
        <w:tc>
          <w:tcPr>
            <w:tcW w:w="231" w:type="pct"/>
            <w:tcBorders>
              <w:top w:val="single" w:color="auto" w:sz="4" w:space="0"/>
              <w:bottom w:val="single" w:color="auto" w:sz="4" w:space="0"/>
            </w:tcBorders>
            <w:vAlign w:val="center"/>
          </w:tcPr>
          <w:p w14:paraId="495C97E2">
            <w:pPr>
              <w:jc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bCs/>
                <w:color w:val="auto"/>
                <w:sz w:val="24"/>
                <w:szCs w:val="24"/>
                <w:highlight w:val="none"/>
              </w:rPr>
              <w:t>制定</w:t>
            </w:r>
          </w:p>
        </w:tc>
        <w:tc>
          <w:tcPr>
            <w:tcW w:w="278" w:type="pct"/>
            <w:tcBorders>
              <w:top w:val="single" w:color="auto" w:sz="4" w:space="0"/>
              <w:bottom w:val="single" w:color="auto" w:sz="4" w:space="0"/>
            </w:tcBorders>
            <w:vAlign w:val="center"/>
          </w:tcPr>
          <w:p w14:paraId="7705A51C">
            <w:pPr>
              <w:widowControl/>
              <w:jc w:val="center"/>
              <w:textAlignment w:val="center"/>
              <w:rPr>
                <w:rFonts w:ascii="Times New Roman" w:hAnsi="Times New Roman" w:eastAsia="仿宋_GB2312" w:cs="Times New Roman"/>
                <w:bCs/>
                <w:color w:val="auto"/>
                <w:sz w:val="24"/>
                <w:szCs w:val="24"/>
                <w:highlight w:val="none"/>
              </w:rPr>
            </w:pPr>
          </w:p>
        </w:tc>
        <w:tc>
          <w:tcPr>
            <w:tcW w:w="278" w:type="pct"/>
            <w:tcBorders>
              <w:top w:val="single" w:color="auto" w:sz="4" w:space="0"/>
              <w:bottom w:val="single" w:color="auto" w:sz="4" w:space="0"/>
            </w:tcBorders>
            <w:shd w:val="clear" w:color="auto" w:fill="auto"/>
            <w:vAlign w:val="center"/>
          </w:tcPr>
          <w:p w14:paraId="06DD7FBC">
            <w:pPr>
              <w:widowControl/>
              <w:jc w:val="center"/>
              <w:textAlignment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color w:val="auto"/>
                <w:kern w:val="0"/>
                <w:sz w:val="24"/>
                <w:szCs w:val="24"/>
                <w:highlight w:val="none"/>
              </w:rPr>
              <w:t>12</w:t>
            </w:r>
          </w:p>
        </w:tc>
        <w:tc>
          <w:tcPr>
            <w:tcW w:w="388" w:type="pct"/>
            <w:tcBorders>
              <w:top w:val="single" w:color="auto" w:sz="4" w:space="0"/>
              <w:bottom w:val="single" w:color="auto" w:sz="4" w:space="0"/>
            </w:tcBorders>
            <w:shd w:val="clear" w:color="auto" w:fill="auto"/>
            <w:vAlign w:val="center"/>
          </w:tcPr>
          <w:p w14:paraId="0F20C2BB">
            <w:pPr>
              <w:jc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bCs/>
                <w:color w:val="auto"/>
                <w:sz w:val="24"/>
                <w:szCs w:val="24"/>
                <w:highlight w:val="none"/>
              </w:rPr>
              <w:t>水运计量委员会</w:t>
            </w:r>
          </w:p>
        </w:tc>
        <w:tc>
          <w:tcPr>
            <w:tcW w:w="1257" w:type="pct"/>
            <w:tcBorders>
              <w:top w:val="single" w:color="auto" w:sz="4" w:space="0"/>
              <w:left w:val="single" w:color="000000" w:sz="4" w:space="0"/>
              <w:bottom w:val="single" w:color="auto" w:sz="4" w:space="0"/>
              <w:right w:val="single" w:color="000000" w:sz="4" w:space="0"/>
            </w:tcBorders>
            <w:shd w:val="clear" w:color="auto" w:fill="auto"/>
            <w:vAlign w:val="center"/>
          </w:tcPr>
          <w:p w14:paraId="53682333">
            <w:pPr>
              <w:widowControl/>
              <w:textAlignment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color w:val="auto"/>
                <w:kern w:val="0"/>
                <w:sz w:val="24"/>
                <w:szCs w:val="24"/>
                <w:highlight w:val="none"/>
              </w:rPr>
              <w:t>交通运输部天津水运工程科学研究所、自然资源部南海调查中心、中国科学院南海海洋研究所、宁波上航测绘股份有限公司</w:t>
            </w:r>
          </w:p>
        </w:tc>
      </w:tr>
      <w:tr w14:paraId="7C503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trPr>
        <w:tc>
          <w:tcPr>
            <w:tcW w:w="193" w:type="pct"/>
            <w:tcBorders>
              <w:top w:val="single" w:color="auto" w:sz="4" w:space="0"/>
              <w:bottom w:val="single" w:color="auto" w:sz="4" w:space="0"/>
            </w:tcBorders>
            <w:vAlign w:val="center"/>
          </w:tcPr>
          <w:p w14:paraId="7E279BF1">
            <w:pPr>
              <w:jc w:val="center"/>
              <w:rPr>
                <w:rFonts w:ascii="Times New Roman" w:hAnsi="Times New Roman" w:eastAsia="仿宋_GB2312" w:cs="Times New Roman"/>
                <w:bCs/>
                <w:color w:val="auto"/>
                <w:sz w:val="24"/>
                <w:szCs w:val="24"/>
                <w:highlight w:val="none"/>
              </w:rPr>
            </w:pPr>
            <w:r>
              <w:rPr>
                <w:rFonts w:hint="eastAsia" w:ascii="Times New Roman" w:hAnsi="Times New Roman" w:eastAsia="仿宋_GB2312" w:cs="Times New Roman"/>
                <w:bCs/>
                <w:color w:val="auto"/>
                <w:sz w:val="24"/>
                <w:szCs w:val="24"/>
                <w:highlight w:val="none"/>
              </w:rPr>
              <w:t>9</w:t>
            </w:r>
          </w:p>
        </w:tc>
        <w:tc>
          <w:tcPr>
            <w:tcW w:w="695" w:type="pct"/>
            <w:tcBorders>
              <w:top w:val="single" w:color="auto" w:sz="4" w:space="0"/>
              <w:left w:val="single" w:color="000000" w:sz="4" w:space="0"/>
              <w:bottom w:val="single" w:color="auto" w:sz="4" w:space="0"/>
              <w:right w:val="single" w:color="000000" w:sz="4" w:space="0"/>
            </w:tcBorders>
            <w:shd w:val="clear" w:color="auto" w:fill="auto"/>
            <w:vAlign w:val="center"/>
          </w:tcPr>
          <w:p w14:paraId="4AE9A152">
            <w:pPr>
              <w:widowControl/>
              <w:jc w:val="left"/>
              <w:textAlignment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kern w:val="0"/>
                <w:sz w:val="24"/>
                <w:szCs w:val="24"/>
                <w:highlight w:val="none"/>
              </w:rPr>
              <w:t>非金属声波检测仪</w:t>
            </w:r>
          </w:p>
        </w:tc>
        <w:tc>
          <w:tcPr>
            <w:tcW w:w="1676" w:type="pct"/>
            <w:tcBorders>
              <w:top w:val="single" w:color="auto" w:sz="4" w:space="0"/>
              <w:left w:val="single" w:color="000000" w:sz="4" w:space="0"/>
              <w:bottom w:val="single" w:color="auto" w:sz="4" w:space="0"/>
              <w:right w:val="single" w:color="000000" w:sz="4" w:space="0"/>
            </w:tcBorders>
            <w:shd w:val="clear" w:color="auto" w:fill="auto"/>
            <w:vAlign w:val="center"/>
          </w:tcPr>
          <w:p w14:paraId="4CC4E635">
            <w:pPr>
              <w:widowControl/>
              <w:textAlignment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现行规程规定了非金属声波检测仪的计量性能要求、通用技术要求和计量器具控制。适用于具有单通道、双通道及多通道收发功能的非金属声波检测仪的首次检定、后续检定和使用中检查。</w:t>
            </w:r>
          </w:p>
          <w:p w14:paraId="5A3600BB">
            <w:pPr>
              <w:widowControl/>
              <w:textAlignment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b/>
                <w:bCs/>
                <w:color w:val="auto"/>
                <w:kern w:val="0"/>
                <w:sz w:val="24"/>
                <w:szCs w:val="24"/>
                <w:highlight w:val="none"/>
              </w:rPr>
              <w:t>主要修订内容：</w:t>
            </w:r>
            <w:r>
              <w:rPr>
                <w:rFonts w:ascii="Times New Roman" w:hAnsi="Times New Roman" w:eastAsia="仿宋_GB2312" w:cs="Times New Roman"/>
                <w:color w:val="auto"/>
                <w:kern w:val="0"/>
                <w:sz w:val="24"/>
                <w:szCs w:val="24"/>
                <w:highlight w:val="none"/>
              </w:rPr>
              <w:t>1.删除引用文件和术语章节；2.</w:t>
            </w:r>
            <w:r>
              <w:rPr>
                <w:rFonts w:hint="eastAsia" w:ascii="Times New Roman" w:hAnsi="Times New Roman" w:eastAsia="仿宋_GB2312" w:cs="Times New Roman"/>
                <w:color w:val="auto"/>
                <w:kern w:val="0"/>
                <w:sz w:val="24"/>
                <w:szCs w:val="24"/>
                <w:highlight w:val="none"/>
              </w:rPr>
              <w:t>更改</w:t>
            </w:r>
            <w:r>
              <w:rPr>
                <w:rFonts w:ascii="Times New Roman" w:hAnsi="Times New Roman" w:eastAsia="仿宋_GB2312" w:cs="Times New Roman"/>
                <w:color w:val="auto"/>
                <w:kern w:val="0"/>
                <w:sz w:val="24"/>
                <w:szCs w:val="24"/>
                <w:highlight w:val="none"/>
              </w:rPr>
              <w:t>计量性能要求中的参数和指标；3.</w:t>
            </w:r>
            <w:r>
              <w:rPr>
                <w:rFonts w:hint="eastAsia" w:ascii="Times New Roman" w:hAnsi="Times New Roman" w:eastAsia="仿宋_GB2312" w:cs="Times New Roman"/>
                <w:color w:val="auto"/>
                <w:kern w:val="0"/>
                <w:sz w:val="24"/>
                <w:szCs w:val="24"/>
                <w:highlight w:val="none"/>
              </w:rPr>
              <w:t>更改</w:t>
            </w:r>
            <w:r>
              <w:rPr>
                <w:rFonts w:ascii="Times New Roman" w:hAnsi="Times New Roman" w:eastAsia="仿宋_GB2312" w:cs="Times New Roman"/>
                <w:color w:val="auto"/>
                <w:kern w:val="0"/>
                <w:sz w:val="24"/>
                <w:szCs w:val="24"/>
                <w:highlight w:val="none"/>
              </w:rPr>
              <w:t>计量器具控制中的检定方法。</w:t>
            </w:r>
          </w:p>
        </w:tc>
        <w:tc>
          <w:tcPr>
            <w:tcW w:w="231" w:type="pct"/>
            <w:tcBorders>
              <w:top w:val="single" w:color="auto" w:sz="4" w:space="0"/>
              <w:bottom w:val="single" w:color="auto" w:sz="4" w:space="0"/>
            </w:tcBorders>
            <w:vAlign w:val="center"/>
          </w:tcPr>
          <w:p w14:paraId="5406652E">
            <w:pPr>
              <w:jc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color w:val="auto"/>
                <w:sz w:val="24"/>
                <w:szCs w:val="24"/>
                <w:highlight w:val="none"/>
              </w:rPr>
              <w:t>修订</w:t>
            </w:r>
          </w:p>
        </w:tc>
        <w:tc>
          <w:tcPr>
            <w:tcW w:w="278" w:type="pct"/>
            <w:tcBorders>
              <w:top w:val="single" w:color="auto" w:sz="4" w:space="0"/>
              <w:bottom w:val="single" w:color="auto" w:sz="4" w:space="0"/>
            </w:tcBorders>
            <w:shd w:val="clear" w:color="auto" w:fill="auto"/>
            <w:vAlign w:val="center"/>
          </w:tcPr>
          <w:p w14:paraId="3C7395F0">
            <w:pPr>
              <w:jc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color w:val="auto"/>
                <w:sz w:val="24"/>
                <w:szCs w:val="24"/>
                <w:highlight w:val="none"/>
              </w:rPr>
              <w:t>JJG(交通) 027-2015</w:t>
            </w:r>
          </w:p>
        </w:tc>
        <w:tc>
          <w:tcPr>
            <w:tcW w:w="278" w:type="pct"/>
            <w:tcBorders>
              <w:top w:val="single" w:color="auto" w:sz="4" w:space="0"/>
              <w:bottom w:val="single" w:color="auto" w:sz="4" w:space="0"/>
            </w:tcBorders>
            <w:shd w:val="clear" w:color="auto" w:fill="auto"/>
            <w:vAlign w:val="center"/>
          </w:tcPr>
          <w:p w14:paraId="795AA628">
            <w:pPr>
              <w:jc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color w:val="auto"/>
                <w:sz w:val="24"/>
                <w:szCs w:val="24"/>
                <w:highlight w:val="none"/>
              </w:rPr>
              <w:t>12</w:t>
            </w:r>
          </w:p>
        </w:tc>
        <w:tc>
          <w:tcPr>
            <w:tcW w:w="388" w:type="pct"/>
            <w:tcBorders>
              <w:top w:val="single" w:color="auto" w:sz="4" w:space="0"/>
              <w:bottom w:val="single" w:color="auto" w:sz="4" w:space="0"/>
            </w:tcBorders>
            <w:shd w:val="clear" w:color="auto" w:fill="auto"/>
            <w:vAlign w:val="center"/>
          </w:tcPr>
          <w:p w14:paraId="6880D83C">
            <w:pPr>
              <w:jc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color w:val="auto"/>
                <w:sz w:val="24"/>
                <w:szCs w:val="24"/>
                <w:highlight w:val="none"/>
              </w:rPr>
              <w:t>水运计量委员会</w:t>
            </w:r>
          </w:p>
        </w:tc>
        <w:tc>
          <w:tcPr>
            <w:tcW w:w="1257" w:type="pct"/>
            <w:tcBorders>
              <w:top w:val="single" w:color="auto" w:sz="4" w:space="0"/>
              <w:left w:val="single" w:color="000000" w:sz="4" w:space="0"/>
              <w:bottom w:val="single" w:color="auto" w:sz="4" w:space="0"/>
              <w:right w:val="single" w:color="000000" w:sz="4" w:space="0"/>
            </w:tcBorders>
            <w:shd w:val="clear" w:color="auto" w:fill="auto"/>
            <w:vAlign w:val="center"/>
          </w:tcPr>
          <w:p w14:paraId="25A57B3D">
            <w:pPr>
              <w:widowControl/>
              <w:textAlignment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kern w:val="0"/>
                <w:sz w:val="24"/>
                <w:szCs w:val="24"/>
                <w:highlight w:val="none"/>
              </w:rPr>
              <w:t>交通运输部天津水运工程科学研究所</w:t>
            </w:r>
            <w:r>
              <w:rPr>
                <w:rFonts w:hint="eastAsia" w:ascii="Times New Roman" w:hAnsi="Times New Roman" w:eastAsia="仿宋_GB2312" w:cs="Times New Roman"/>
                <w:color w:val="auto"/>
                <w:kern w:val="0"/>
                <w:sz w:val="24"/>
                <w:szCs w:val="24"/>
                <w:highlight w:val="none"/>
              </w:rPr>
              <w:t>、平陆运河集团有限公司、交通运输部公路科学研究所</w:t>
            </w:r>
          </w:p>
        </w:tc>
      </w:tr>
      <w:tr w14:paraId="11D25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trPr>
        <w:tc>
          <w:tcPr>
            <w:tcW w:w="193" w:type="pct"/>
            <w:tcBorders>
              <w:top w:val="single" w:color="auto" w:sz="4" w:space="0"/>
            </w:tcBorders>
            <w:vAlign w:val="center"/>
          </w:tcPr>
          <w:p w14:paraId="146949FA">
            <w:pPr>
              <w:jc w:val="center"/>
              <w:rPr>
                <w:rFonts w:ascii="Times New Roman" w:hAnsi="Times New Roman" w:eastAsia="仿宋_GB2312" w:cs="Times New Roman"/>
                <w:bCs/>
                <w:color w:val="auto"/>
                <w:sz w:val="24"/>
                <w:szCs w:val="24"/>
                <w:highlight w:val="none"/>
              </w:rPr>
            </w:pPr>
            <w:r>
              <w:rPr>
                <w:rFonts w:hint="eastAsia" w:ascii="Times New Roman" w:hAnsi="Times New Roman" w:eastAsia="仿宋_GB2312" w:cs="Times New Roman"/>
                <w:bCs/>
                <w:color w:val="auto"/>
                <w:sz w:val="24"/>
                <w:szCs w:val="24"/>
                <w:highlight w:val="none"/>
              </w:rPr>
              <w:t>10</w:t>
            </w:r>
          </w:p>
        </w:tc>
        <w:tc>
          <w:tcPr>
            <w:tcW w:w="695" w:type="pct"/>
            <w:tcBorders>
              <w:top w:val="single" w:color="auto" w:sz="4" w:space="0"/>
              <w:left w:val="single" w:color="000000" w:sz="4" w:space="0"/>
              <w:bottom w:val="single" w:color="000000" w:sz="4" w:space="0"/>
              <w:right w:val="single" w:color="000000" w:sz="4" w:space="0"/>
            </w:tcBorders>
            <w:shd w:val="clear" w:color="auto" w:fill="auto"/>
            <w:vAlign w:val="center"/>
          </w:tcPr>
          <w:p w14:paraId="235FC640">
            <w:pPr>
              <w:widowControl/>
              <w:jc w:val="left"/>
              <w:textAlignment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kern w:val="0"/>
                <w:sz w:val="24"/>
                <w:szCs w:val="24"/>
                <w:highlight w:val="none"/>
              </w:rPr>
              <w:t>声速剖面仪</w:t>
            </w:r>
          </w:p>
        </w:tc>
        <w:tc>
          <w:tcPr>
            <w:tcW w:w="1676" w:type="pct"/>
            <w:tcBorders>
              <w:top w:val="single" w:color="auto" w:sz="4" w:space="0"/>
              <w:left w:val="single" w:color="000000" w:sz="4" w:space="0"/>
              <w:bottom w:val="single" w:color="000000" w:sz="4" w:space="0"/>
              <w:right w:val="single" w:color="000000" w:sz="4" w:space="0"/>
            </w:tcBorders>
            <w:shd w:val="clear" w:color="auto" w:fill="auto"/>
            <w:vAlign w:val="center"/>
          </w:tcPr>
          <w:p w14:paraId="039881E5">
            <w:pPr>
              <w:widowControl/>
              <w:textAlignment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现行规程规定了声速剖面仪的概述、计量性能要求、通用技术要求、计量器具控制等。适用于声速剖面仪的首次检定、后续检定和使用中检查。</w:t>
            </w:r>
          </w:p>
          <w:p w14:paraId="42F22054">
            <w:pPr>
              <w:widowControl/>
              <w:textAlignment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b/>
                <w:bCs/>
                <w:color w:val="auto"/>
                <w:kern w:val="0"/>
                <w:sz w:val="24"/>
                <w:szCs w:val="24"/>
                <w:highlight w:val="none"/>
              </w:rPr>
              <w:t>主要修订内容：</w:t>
            </w:r>
            <w:r>
              <w:rPr>
                <w:rFonts w:ascii="Times New Roman" w:hAnsi="Times New Roman" w:eastAsia="仿宋_GB2312" w:cs="Times New Roman"/>
                <w:color w:val="auto"/>
                <w:kern w:val="0"/>
                <w:sz w:val="24"/>
                <w:szCs w:val="24"/>
                <w:highlight w:val="none"/>
              </w:rPr>
              <w:t>1.</w:t>
            </w:r>
            <w:r>
              <w:rPr>
                <w:rFonts w:hint="eastAsia" w:ascii="Times New Roman" w:hAnsi="Times New Roman" w:eastAsia="仿宋_GB2312" w:cs="Times New Roman"/>
                <w:color w:val="auto"/>
                <w:kern w:val="0"/>
                <w:sz w:val="24"/>
                <w:szCs w:val="24"/>
                <w:highlight w:val="none"/>
              </w:rPr>
              <w:t>更</w:t>
            </w:r>
            <w:r>
              <w:rPr>
                <w:rFonts w:ascii="Times New Roman" w:hAnsi="Times New Roman" w:eastAsia="仿宋_GB2312" w:cs="Times New Roman"/>
                <w:color w:val="auto"/>
                <w:kern w:val="0"/>
                <w:sz w:val="24"/>
                <w:szCs w:val="24"/>
                <w:highlight w:val="none"/>
              </w:rPr>
              <w:t>改概述中声速剖面仪的原理与用途；2.删除声速剖面仪测量范围；3.删除声速剖面仪整机结构、显示与记录的要求；4.</w:t>
            </w:r>
            <w:r>
              <w:rPr>
                <w:rFonts w:hint="eastAsia" w:ascii="Times New Roman" w:hAnsi="Times New Roman" w:eastAsia="仿宋_GB2312" w:cs="Times New Roman"/>
                <w:color w:val="auto"/>
                <w:kern w:val="0"/>
                <w:sz w:val="24"/>
                <w:szCs w:val="24"/>
                <w:highlight w:val="none"/>
              </w:rPr>
              <w:t>更</w:t>
            </w:r>
            <w:r>
              <w:rPr>
                <w:rFonts w:ascii="Times New Roman" w:hAnsi="Times New Roman" w:eastAsia="仿宋_GB2312" w:cs="Times New Roman"/>
                <w:color w:val="auto"/>
                <w:kern w:val="0"/>
                <w:sz w:val="24"/>
                <w:szCs w:val="24"/>
                <w:highlight w:val="none"/>
              </w:rPr>
              <w:t>改环境条件中室温和水温的要求；5.</w:t>
            </w:r>
            <w:r>
              <w:rPr>
                <w:rFonts w:hint="eastAsia" w:ascii="Times New Roman" w:hAnsi="Times New Roman" w:eastAsia="仿宋_GB2312" w:cs="Times New Roman"/>
                <w:color w:val="auto"/>
                <w:kern w:val="0"/>
                <w:sz w:val="24"/>
                <w:szCs w:val="24"/>
                <w:highlight w:val="none"/>
              </w:rPr>
              <w:t>更</w:t>
            </w:r>
            <w:r>
              <w:rPr>
                <w:rFonts w:ascii="Times New Roman" w:hAnsi="Times New Roman" w:eastAsia="仿宋_GB2312" w:cs="Times New Roman"/>
                <w:color w:val="auto"/>
                <w:kern w:val="0"/>
                <w:sz w:val="24"/>
                <w:szCs w:val="24"/>
                <w:highlight w:val="none"/>
              </w:rPr>
              <w:t>改电测设备和压力容器的要求；6.增加铭牌与防护要求的检定步骤；7.</w:t>
            </w:r>
            <w:r>
              <w:rPr>
                <w:rFonts w:hint="eastAsia" w:ascii="Times New Roman" w:hAnsi="Times New Roman" w:eastAsia="仿宋_GB2312" w:cs="Times New Roman"/>
                <w:color w:val="auto"/>
                <w:kern w:val="0"/>
                <w:sz w:val="24"/>
                <w:szCs w:val="24"/>
                <w:highlight w:val="none"/>
              </w:rPr>
              <w:t>更</w:t>
            </w:r>
            <w:r>
              <w:rPr>
                <w:rFonts w:ascii="Times New Roman" w:hAnsi="Times New Roman" w:eastAsia="仿宋_GB2312" w:cs="Times New Roman"/>
                <w:color w:val="auto"/>
                <w:kern w:val="0"/>
                <w:sz w:val="24"/>
                <w:szCs w:val="24"/>
                <w:highlight w:val="none"/>
              </w:rPr>
              <w:t>改声速示值误差与水深示值误差的检定步骤；8.删除国际温标纯水密度值表。</w:t>
            </w:r>
          </w:p>
        </w:tc>
        <w:tc>
          <w:tcPr>
            <w:tcW w:w="231" w:type="pct"/>
            <w:tcBorders>
              <w:top w:val="single" w:color="auto" w:sz="4" w:space="0"/>
            </w:tcBorders>
            <w:vAlign w:val="center"/>
          </w:tcPr>
          <w:p w14:paraId="1416669E">
            <w:pPr>
              <w:jc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修订</w:t>
            </w:r>
          </w:p>
        </w:tc>
        <w:tc>
          <w:tcPr>
            <w:tcW w:w="278" w:type="pct"/>
            <w:tcBorders>
              <w:top w:val="single" w:color="auto" w:sz="4" w:space="0"/>
            </w:tcBorders>
            <w:shd w:val="clear" w:color="auto" w:fill="auto"/>
            <w:vAlign w:val="center"/>
          </w:tcPr>
          <w:p w14:paraId="56697A4B">
            <w:pPr>
              <w:jc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JJG(交通) 122-2015</w:t>
            </w:r>
          </w:p>
        </w:tc>
        <w:tc>
          <w:tcPr>
            <w:tcW w:w="278" w:type="pct"/>
            <w:tcBorders>
              <w:top w:val="single" w:color="auto" w:sz="4" w:space="0"/>
            </w:tcBorders>
            <w:shd w:val="clear" w:color="auto" w:fill="auto"/>
            <w:vAlign w:val="center"/>
          </w:tcPr>
          <w:p w14:paraId="0CAB9A82">
            <w:pPr>
              <w:jc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12</w:t>
            </w:r>
          </w:p>
        </w:tc>
        <w:tc>
          <w:tcPr>
            <w:tcW w:w="388" w:type="pct"/>
            <w:tcBorders>
              <w:top w:val="single" w:color="auto" w:sz="4" w:space="0"/>
            </w:tcBorders>
            <w:shd w:val="clear" w:color="auto" w:fill="auto"/>
            <w:vAlign w:val="center"/>
          </w:tcPr>
          <w:p w14:paraId="2767690C">
            <w:pPr>
              <w:jc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水运计量委员会</w:t>
            </w:r>
          </w:p>
        </w:tc>
        <w:tc>
          <w:tcPr>
            <w:tcW w:w="1257" w:type="pct"/>
            <w:tcBorders>
              <w:top w:val="single" w:color="auto" w:sz="4" w:space="0"/>
              <w:left w:val="single" w:color="000000" w:sz="4" w:space="0"/>
              <w:bottom w:val="single" w:color="000000" w:sz="4" w:space="0"/>
              <w:right w:val="single" w:color="000000" w:sz="4" w:space="0"/>
            </w:tcBorders>
            <w:shd w:val="clear" w:color="auto" w:fill="auto"/>
            <w:vAlign w:val="center"/>
          </w:tcPr>
          <w:p w14:paraId="27FDAEE3">
            <w:pPr>
              <w:widowControl/>
              <w:textAlignment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kern w:val="0"/>
                <w:sz w:val="24"/>
                <w:szCs w:val="24"/>
                <w:highlight w:val="none"/>
              </w:rPr>
              <w:t>交通运输部天津水运工程科学研究所、同济大学、天津理工大学</w:t>
            </w:r>
          </w:p>
        </w:tc>
      </w:tr>
    </w:tbl>
    <w:p w14:paraId="0C5BE22D">
      <w:pPr>
        <w:rPr>
          <w:rFonts w:ascii="Times New Roman" w:hAnsi="Times New Roman" w:eastAsia="仿宋_GB2312" w:cs="Times New Roman"/>
          <w:color w:val="auto"/>
          <w:sz w:val="30"/>
          <w:szCs w:val="30"/>
          <w:highlight w:val="none"/>
        </w:rPr>
      </w:pPr>
    </w:p>
    <w:p w14:paraId="0A15CADD">
      <w:pPr>
        <w:rPr>
          <w:rFonts w:ascii="Times New Roman" w:hAnsi="Times New Roman" w:eastAsia="仿宋_GB2312" w:cs="Times New Roman"/>
          <w:color w:val="auto"/>
          <w:sz w:val="30"/>
          <w:szCs w:val="30"/>
          <w:highlight w:val="none"/>
        </w:rPr>
      </w:pPr>
      <w:r>
        <w:rPr>
          <w:rFonts w:ascii="Times New Roman" w:hAnsi="Times New Roman" w:eastAsia="仿宋_GB2312" w:cs="Times New Roman"/>
          <w:color w:val="auto"/>
          <w:sz w:val="30"/>
          <w:szCs w:val="30"/>
          <w:highlight w:val="none"/>
        </w:rPr>
        <w:br w:type="page"/>
      </w:r>
    </w:p>
    <w:p w14:paraId="567D5177">
      <w:pPr>
        <w:spacing w:line="360" w:lineRule="auto"/>
        <w:rPr>
          <w:rFonts w:ascii="Times New Roman" w:hAnsi="Times New Roman" w:eastAsia="黑体" w:cs="Times New Roman"/>
          <w:b/>
          <w:bCs/>
          <w:color w:val="auto"/>
          <w:sz w:val="32"/>
          <w:szCs w:val="32"/>
          <w:highlight w:val="none"/>
        </w:rPr>
      </w:pPr>
      <w:r>
        <w:rPr>
          <w:rFonts w:hint="eastAsia" w:ascii="Times New Roman" w:hAnsi="Times New Roman" w:eastAsia="黑体" w:cs="Times New Roman"/>
          <w:b/>
          <w:bCs/>
          <w:color w:val="auto"/>
          <w:sz w:val="32"/>
          <w:szCs w:val="32"/>
          <w:highlight w:val="none"/>
        </w:rPr>
        <w:t>三</w:t>
      </w:r>
      <w:r>
        <w:rPr>
          <w:rFonts w:ascii="Times New Roman" w:hAnsi="Times New Roman" w:eastAsia="黑体" w:cs="Times New Roman"/>
          <w:b/>
          <w:bCs/>
          <w:color w:val="auto"/>
          <w:sz w:val="32"/>
          <w:szCs w:val="32"/>
          <w:highlight w:val="none"/>
        </w:rPr>
        <w:t>、</w:t>
      </w:r>
      <w:r>
        <w:rPr>
          <w:rFonts w:hint="eastAsia" w:ascii="Times New Roman" w:hAnsi="Times New Roman" w:eastAsia="黑体" w:cs="Times New Roman"/>
          <w:b/>
          <w:bCs/>
          <w:color w:val="auto"/>
          <w:sz w:val="32"/>
          <w:szCs w:val="32"/>
          <w:highlight w:val="none"/>
        </w:rPr>
        <w:t>行业标准外文版</w:t>
      </w:r>
      <w:r>
        <w:rPr>
          <w:rFonts w:ascii="Times New Roman" w:hAnsi="Times New Roman" w:eastAsia="黑体" w:cs="Times New Roman"/>
          <w:b/>
          <w:bCs/>
          <w:color w:val="auto"/>
          <w:sz w:val="32"/>
          <w:szCs w:val="32"/>
          <w:highlight w:val="none"/>
        </w:rPr>
        <w:t>（</w:t>
      </w:r>
      <w:r>
        <w:rPr>
          <w:rFonts w:hint="eastAsia" w:ascii="Times New Roman" w:hAnsi="Times New Roman" w:eastAsia="黑体" w:cs="Times New Roman"/>
          <w:b/>
          <w:bCs/>
          <w:color w:val="auto"/>
          <w:sz w:val="32"/>
          <w:szCs w:val="32"/>
          <w:highlight w:val="none"/>
        </w:rPr>
        <w:t>1</w:t>
      </w:r>
      <w:r>
        <w:rPr>
          <w:rFonts w:ascii="Times New Roman" w:hAnsi="Times New Roman" w:eastAsia="黑体" w:cs="Times New Roman"/>
          <w:b/>
          <w:bCs/>
          <w:color w:val="auto"/>
          <w:sz w:val="32"/>
          <w:szCs w:val="32"/>
          <w:highlight w:val="none"/>
        </w:rPr>
        <w:t>项）</w:t>
      </w:r>
    </w:p>
    <w:tbl>
      <w:tblPr>
        <w:tblStyle w:val="8"/>
        <w:tblW w:w="50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668"/>
        <w:gridCol w:w="4129"/>
        <w:gridCol w:w="1954"/>
        <w:gridCol w:w="1259"/>
        <w:gridCol w:w="1326"/>
        <w:gridCol w:w="1970"/>
        <w:gridCol w:w="4003"/>
      </w:tblGrid>
      <w:tr w14:paraId="47118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571" w:hRule="atLeast"/>
          <w:tblHeader/>
        </w:trPr>
        <w:tc>
          <w:tcPr>
            <w:tcW w:w="218" w:type="pct"/>
            <w:vAlign w:val="center"/>
          </w:tcPr>
          <w:p w14:paraId="798A33DA">
            <w:pPr>
              <w:jc w:val="center"/>
              <w:rPr>
                <w:rFonts w:ascii="Times New Roman" w:hAnsi="Times New Roman" w:eastAsia="仿宋" w:cs="Times New Roman"/>
                <w:b/>
                <w:bCs/>
                <w:color w:val="auto"/>
                <w:sz w:val="24"/>
                <w:szCs w:val="24"/>
                <w:highlight w:val="none"/>
              </w:rPr>
            </w:pPr>
            <w:r>
              <w:rPr>
                <w:rFonts w:ascii="Times New Roman" w:hAnsi="Times New Roman" w:eastAsia="仿宋" w:cs="Times New Roman"/>
                <w:b/>
                <w:bCs/>
                <w:color w:val="auto"/>
                <w:sz w:val="24"/>
                <w:szCs w:val="24"/>
                <w:highlight w:val="none"/>
              </w:rPr>
              <w:t>序号</w:t>
            </w:r>
          </w:p>
        </w:tc>
        <w:tc>
          <w:tcPr>
            <w:tcW w:w="1348" w:type="pct"/>
            <w:vAlign w:val="center"/>
          </w:tcPr>
          <w:p w14:paraId="0CC9254D">
            <w:pPr>
              <w:jc w:val="center"/>
              <w:rPr>
                <w:rFonts w:ascii="Times New Roman" w:hAnsi="Times New Roman" w:eastAsia="仿宋" w:cs="Times New Roman"/>
                <w:b/>
                <w:bCs/>
                <w:color w:val="auto"/>
                <w:sz w:val="24"/>
                <w:szCs w:val="24"/>
                <w:highlight w:val="none"/>
              </w:rPr>
            </w:pPr>
            <w:r>
              <w:rPr>
                <w:rFonts w:ascii="Times New Roman" w:hAnsi="Times New Roman" w:eastAsia="仿宋" w:cs="Times New Roman"/>
                <w:b/>
                <w:bCs/>
                <w:color w:val="auto"/>
                <w:sz w:val="24"/>
                <w:szCs w:val="24"/>
                <w:highlight w:val="none"/>
              </w:rPr>
              <w:t>标准名称</w:t>
            </w:r>
          </w:p>
        </w:tc>
        <w:tc>
          <w:tcPr>
            <w:tcW w:w="638" w:type="pct"/>
            <w:vAlign w:val="center"/>
          </w:tcPr>
          <w:p w14:paraId="05A8D09E">
            <w:pPr>
              <w:jc w:val="center"/>
              <w:rPr>
                <w:rFonts w:ascii="Times New Roman" w:hAnsi="Times New Roman" w:eastAsia="仿宋" w:cs="Times New Roman"/>
                <w:b/>
                <w:bCs/>
                <w:color w:val="auto"/>
                <w:sz w:val="24"/>
                <w:szCs w:val="24"/>
                <w:highlight w:val="none"/>
              </w:rPr>
            </w:pPr>
            <w:r>
              <w:rPr>
                <w:rFonts w:hint="eastAsia" w:ascii="Times New Roman" w:hAnsi="Times New Roman" w:eastAsia="仿宋" w:cs="Times New Roman"/>
                <w:b/>
                <w:bCs/>
                <w:color w:val="auto"/>
                <w:sz w:val="24"/>
                <w:szCs w:val="24"/>
                <w:highlight w:val="none"/>
              </w:rPr>
              <w:t>计划编号</w:t>
            </w:r>
          </w:p>
        </w:tc>
        <w:tc>
          <w:tcPr>
            <w:tcW w:w="411" w:type="pct"/>
            <w:vAlign w:val="center"/>
          </w:tcPr>
          <w:p w14:paraId="384076E5">
            <w:pPr>
              <w:jc w:val="center"/>
              <w:rPr>
                <w:rFonts w:ascii="Times New Roman" w:hAnsi="Times New Roman" w:eastAsia="仿宋" w:cs="Times New Roman"/>
                <w:b/>
                <w:bCs/>
                <w:color w:val="auto"/>
                <w:sz w:val="24"/>
                <w:szCs w:val="24"/>
                <w:highlight w:val="none"/>
              </w:rPr>
            </w:pPr>
            <w:r>
              <w:rPr>
                <w:rFonts w:ascii="Times New Roman" w:hAnsi="Times New Roman" w:eastAsia="仿宋" w:cs="Times New Roman"/>
                <w:b/>
                <w:bCs/>
                <w:color w:val="auto"/>
                <w:sz w:val="24"/>
                <w:szCs w:val="24"/>
                <w:highlight w:val="none"/>
              </w:rPr>
              <w:t>语种</w:t>
            </w:r>
          </w:p>
        </w:tc>
        <w:tc>
          <w:tcPr>
            <w:tcW w:w="433" w:type="pct"/>
            <w:vAlign w:val="center"/>
          </w:tcPr>
          <w:p w14:paraId="767FBA4E">
            <w:pPr>
              <w:jc w:val="center"/>
              <w:rPr>
                <w:rFonts w:ascii="Times New Roman" w:hAnsi="Times New Roman" w:eastAsia="仿宋" w:cs="Times New Roman"/>
                <w:b/>
                <w:bCs/>
                <w:color w:val="auto"/>
                <w:sz w:val="24"/>
                <w:szCs w:val="24"/>
                <w:highlight w:val="none"/>
              </w:rPr>
            </w:pPr>
            <w:r>
              <w:rPr>
                <w:rFonts w:ascii="Times New Roman" w:hAnsi="Times New Roman" w:eastAsia="仿宋" w:cs="Times New Roman"/>
                <w:b/>
                <w:bCs/>
                <w:color w:val="auto"/>
                <w:sz w:val="24"/>
                <w:szCs w:val="24"/>
                <w:highlight w:val="none"/>
              </w:rPr>
              <w:t>完成周期(月)</w:t>
            </w:r>
          </w:p>
        </w:tc>
        <w:tc>
          <w:tcPr>
            <w:tcW w:w="643" w:type="pct"/>
            <w:vAlign w:val="center"/>
          </w:tcPr>
          <w:p w14:paraId="6F099833">
            <w:pPr>
              <w:jc w:val="center"/>
              <w:rPr>
                <w:rFonts w:ascii="Times New Roman" w:hAnsi="Times New Roman" w:eastAsia="仿宋" w:cs="Times New Roman"/>
                <w:b/>
                <w:bCs/>
                <w:color w:val="auto"/>
                <w:sz w:val="24"/>
                <w:szCs w:val="24"/>
                <w:highlight w:val="none"/>
              </w:rPr>
            </w:pPr>
            <w:r>
              <w:rPr>
                <w:rFonts w:ascii="Times New Roman" w:hAnsi="Times New Roman" w:eastAsia="仿宋" w:cs="Times New Roman"/>
                <w:b/>
                <w:bCs/>
                <w:color w:val="auto"/>
                <w:sz w:val="24"/>
                <w:szCs w:val="24"/>
                <w:highlight w:val="none"/>
              </w:rPr>
              <w:t>技术归口单位</w:t>
            </w:r>
          </w:p>
        </w:tc>
        <w:tc>
          <w:tcPr>
            <w:tcW w:w="1307" w:type="pct"/>
            <w:vAlign w:val="center"/>
          </w:tcPr>
          <w:p w14:paraId="35060D4E">
            <w:pPr>
              <w:jc w:val="center"/>
              <w:rPr>
                <w:rFonts w:ascii="Times New Roman" w:hAnsi="Times New Roman" w:eastAsia="仿宋" w:cs="Times New Roman"/>
                <w:b/>
                <w:bCs/>
                <w:color w:val="auto"/>
                <w:sz w:val="24"/>
                <w:szCs w:val="24"/>
                <w:highlight w:val="none"/>
              </w:rPr>
            </w:pPr>
            <w:r>
              <w:rPr>
                <w:rFonts w:ascii="Times New Roman" w:hAnsi="Times New Roman" w:eastAsia="仿宋" w:cs="Times New Roman"/>
                <w:b/>
                <w:bCs/>
                <w:color w:val="auto"/>
                <w:sz w:val="24"/>
                <w:szCs w:val="24"/>
                <w:highlight w:val="none"/>
              </w:rPr>
              <w:t>翻译主要承担单位</w:t>
            </w:r>
          </w:p>
        </w:tc>
      </w:tr>
      <w:tr w14:paraId="5918F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571" w:hRule="atLeast"/>
        </w:trPr>
        <w:tc>
          <w:tcPr>
            <w:tcW w:w="218" w:type="pct"/>
            <w:vAlign w:val="center"/>
          </w:tcPr>
          <w:p w14:paraId="3D00457A">
            <w:pPr>
              <w:pStyle w:val="11"/>
              <w:numPr>
                <w:ilvl w:val="0"/>
                <w:numId w:val="2"/>
              </w:numPr>
              <w:ind w:firstLineChars="0"/>
              <w:jc w:val="center"/>
              <w:rPr>
                <w:rFonts w:ascii="Times New Roman" w:hAnsi="Times New Roman" w:eastAsia="仿宋" w:cs="Times New Roman"/>
                <w:bCs/>
                <w:color w:val="auto"/>
                <w:sz w:val="24"/>
                <w:szCs w:val="24"/>
                <w:highlight w:val="none"/>
              </w:rPr>
            </w:pPr>
          </w:p>
        </w:tc>
        <w:tc>
          <w:tcPr>
            <w:tcW w:w="1348" w:type="pct"/>
            <w:vAlign w:val="center"/>
          </w:tcPr>
          <w:p w14:paraId="338AF7C4">
            <w:pP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港口散杂货车辆集疏港电子计划单</w:t>
            </w:r>
          </w:p>
        </w:tc>
        <w:tc>
          <w:tcPr>
            <w:tcW w:w="638" w:type="pct"/>
            <w:vAlign w:val="center"/>
          </w:tcPr>
          <w:p w14:paraId="5CADA802">
            <w:pPr>
              <w:widowControl/>
              <w:jc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JT 2025-16</w:t>
            </w:r>
          </w:p>
        </w:tc>
        <w:tc>
          <w:tcPr>
            <w:tcW w:w="411" w:type="pct"/>
            <w:vAlign w:val="center"/>
          </w:tcPr>
          <w:p w14:paraId="25661D5F">
            <w:pPr>
              <w:jc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bCs/>
                <w:color w:val="auto"/>
                <w:sz w:val="24"/>
                <w:szCs w:val="24"/>
                <w:highlight w:val="none"/>
              </w:rPr>
              <w:t>英文</w:t>
            </w:r>
          </w:p>
        </w:tc>
        <w:tc>
          <w:tcPr>
            <w:tcW w:w="433" w:type="pct"/>
            <w:vAlign w:val="center"/>
          </w:tcPr>
          <w:p w14:paraId="11BEC117">
            <w:pPr>
              <w:jc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bCs/>
                <w:color w:val="auto"/>
                <w:sz w:val="24"/>
                <w:szCs w:val="24"/>
                <w:highlight w:val="none"/>
              </w:rPr>
              <w:t>12</w:t>
            </w:r>
          </w:p>
        </w:tc>
        <w:tc>
          <w:tcPr>
            <w:tcW w:w="643" w:type="pct"/>
            <w:vAlign w:val="center"/>
          </w:tcPr>
          <w:p w14:paraId="568C1CB1">
            <w:pPr>
              <w:jc w:val="center"/>
              <w:rPr>
                <w:rFonts w:ascii="Times New Roman" w:hAnsi="Times New Roman" w:eastAsia="仿宋_GB2312" w:cs="Times New Roman"/>
                <w:bCs/>
                <w:color w:val="auto"/>
                <w:sz w:val="24"/>
                <w:szCs w:val="24"/>
                <w:highlight w:val="none"/>
              </w:rPr>
            </w:pPr>
            <w:r>
              <w:rPr>
                <w:rFonts w:ascii="Times New Roman" w:hAnsi="Times New Roman" w:eastAsia="仿宋_GB2312" w:cs="Times New Roman"/>
                <w:color w:val="auto"/>
                <w:kern w:val="0"/>
                <w:sz w:val="24"/>
                <w:szCs w:val="24"/>
                <w:highlight w:val="none"/>
              </w:rPr>
              <w:t>港口标委会</w:t>
            </w:r>
          </w:p>
        </w:tc>
        <w:tc>
          <w:tcPr>
            <w:tcW w:w="1307" w:type="pct"/>
            <w:vAlign w:val="center"/>
          </w:tcPr>
          <w:p w14:paraId="04EDBD48">
            <w:pPr>
              <w:rPr>
                <w:rFonts w:ascii="Times New Roman" w:hAnsi="Times New Roman" w:eastAsia="等线" w:cs="Times New Roman"/>
                <w:color w:val="auto"/>
                <w:szCs w:val="21"/>
                <w:highlight w:val="none"/>
              </w:rPr>
            </w:pPr>
            <w:r>
              <w:rPr>
                <w:rFonts w:ascii="Times New Roman" w:hAnsi="Times New Roman" w:eastAsia="仿宋_GB2312" w:cs="Times New Roman"/>
                <w:color w:val="auto"/>
                <w:kern w:val="0"/>
                <w:sz w:val="24"/>
                <w:szCs w:val="24"/>
                <w:highlight w:val="none"/>
                <w:lang w:bidi="ar"/>
              </w:rPr>
              <w:t>交通运输部水运科学研究所</w:t>
            </w:r>
          </w:p>
        </w:tc>
      </w:tr>
    </w:tbl>
    <w:p w14:paraId="0E8D8E1D">
      <w:pPr>
        <w:rPr>
          <w:rFonts w:ascii="Times New Roman" w:hAnsi="Times New Roman" w:cs="Times New Roman"/>
          <w:color w:val="auto"/>
          <w:highlight w:val="none"/>
        </w:rPr>
      </w:pPr>
    </w:p>
    <w:p w14:paraId="7D54A7F3">
      <w:pPr>
        <w:rPr>
          <w:rFonts w:ascii="Times New Roman" w:hAnsi="Times New Roman" w:eastAsia="仿宋_GB2312" w:cs="Times New Roman"/>
          <w:color w:val="auto"/>
          <w:sz w:val="30"/>
          <w:szCs w:val="30"/>
          <w:highlight w:val="none"/>
        </w:rPr>
      </w:pPr>
    </w:p>
    <w:p w14:paraId="271C414B">
      <w:pPr>
        <w:rPr>
          <w:rFonts w:ascii="Times New Roman" w:hAnsi="Times New Roman" w:eastAsia="仿宋_GB2312" w:cs="Times New Roman"/>
          <w:color w:val="auto"/>
          <w:sz w:val="30"/>
          <w:szCs w:val="30"/>
          <w:highlight w:val="none"/>
        </w:rPr>
      </w:pPr>
    </w:p>
    <w:p w14:paraId="3906F00B">
      <w:pPr>
        <w:rPr>
          <w:rFonts w:ascii="Times New Roman" w:hAnsi="Times New Roman" w:eastAsia="仿宋_GB2312" w:cs="Times New Roman"/>
          <w:color w:val="auto"/>
          <w:sz w:val="30"/>
          <w:szCs w:val="30"/>
          <w:highlight w:val="none"/>
        </w:rPr>
      </w:pPr>
    </w:p>
    <w:p w14:paraId="6CC96169">
      <w:pPr>
        <w:widowControl/>
        <w:jc w:val="left"/>
        <w:rPr>
          <w:rFonts w:ascii="Times New Roman" w:hAnsi="Times New Roman" w:eastAsia="仿宋_GB2312" w:cs="Times New Roman"/>
          <w:color w:val="auto"/>
          <w:sz w:val="30"/>
          <w:szCs w:val="30"/>
          <w:highlight w:val="none"/>
        </w:rPr>
      </w:pPr>
      <w:r>
        <w:rPr>
          <w:rFonts w:ascii="Times New Roman" w:hAnsi="Times New Roman" w:eastAsia="仿宋_GB2312" w:cs="Times New Roman"/>
          <w:color w:val="auto"/>
          <w:sz w:val="30"/>
          <w:szCs w:val="30"/>
          <w:highlight w:val="none"/>
        </w:rPr>
        <w:br w:type="page"/>
      </w:r>
    </w:p>
    <w:p w14:paraId="3E4E96C3">
      <w:pPr>
        <w:rPr>
          <w:rFonts w:ascii="Times New Roman" w:hAnsi="Times New Roman" w:eastAsia="仿宋_GB2312" w:cs="Times New Roman"/>
          <w:color w:val="auto"/>
          <w:sz w:val="30"/>
          <w:szCs w:val="30"/>
          <w:highlight w:val="none"/>
        </w:rPr>
      </w:pPr>
      <w:r>
        <w:rPr>
          <w:rFonts w:ascii="Times New Roman" w:hAnsi="Times New Roman" w:eastAsia="仿宋_GB2312" w:cs="Times New Roman"/>
          <w:color w:val="auto"/>
          <w:sz w:val="30"/>
          <w:szCs w:val="30"/>
          <w:highlight w:val="none"/>
        </w:rPr>
        <w:t>注：技术归口单位列仅列出了简称，其全称如下所示。</w:t>
      </w:r>
    </w:p>
    <w:tbl>
      <w:tblPr>
        <w:tblStyle w:val="7"/>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
      <w:tblGrid>
        <w:gridCol w:w="1127"/>
        <w:gridCol w:w="3688"/>
        <w:gridCol w:w="5670"/>
      </w:tblGrid>
      <w:tr w14:paraId="6B0AC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454" w:hRule="atLeast"/>
          <w:tblHeader/>
        </w:trPr>
        <w:tc>
          <w:tcPr>
            <w:tcW w:w="1127" w:type="dxa"/>
            <w:vAlign w:val="center"/>
          </w:tcPr>
          <w:p w14:paraId="74464E87">
            <w:pPr>
              <w:autoSpaceDN w:val="0"/>
              <w:spacing w:line="400" w:lineRule="exact"/>
              <w:jc w:val="center"/>
              <w:textAlignment w:val="center"/>
              <w:rPr>
                <w:rFonts w:ascii="Times New Roman" w:hAnsi="Times New Roman" w:eastAsia="仿宋_GB2312" w:cs="Times New Roman"/>
                <w:b/>
                <w:color w:val="auto"/>
                <w:sz w:val="24"/>
                <w:szCs w:val="24"/>
                <w:highlight w:val="none"/>
              </w:rPr>
            </w:pPr>
            <w:r>
              <w:rPr>
                <w:rFonts w:ascii="Times New Roman" w:hAnsi="Times New Roman" w:eastAsia="仿宋_GB2312" w:cs="Times New Roman"/>
                <w:b/>
                <w:color w:val="auto"/>
                <w:sz w:val="24"/>
                <w:szCs w:val="24"/>
                <w:highlight w:val="none"/>
              </w:rPr>
              <w:t>序号</w:t>
            </w:r>
          </w:p>
        </w:tc>
        <w:tc>
          <w:tcPr>
            <w:tcW w:w="3688" w:type="dxa"/>
            <w:vAlign w:val="center"/>
          </w:tcPr>
          <w:p w14:paraId="47E43EEB">
            <w:pPr>
              <w:autoSpaceDN w:val="0"/>
              <w:spacing w:line="400" w:lineRule="exact"/>
              <w:jc w:val="center"/>
              <w:textAlignment w:val="center"/>
              <w:rPr>
                <w:rFonts w:ascii="Times New Roman" w:hAnsi="Times New Roman" w:eastAsia="仿宋_GB2312" w:cs="Times New Roman"/>
                <w:b/>
                <w:color w:val="auto"/>
                <w:sz w:val="24"/>
                <w:szCs w:val="24"/>
                <w:highlight w:val="none"/>
              </w:rPr>
            </w:pPr>
            <w:r>
              <w:rPr>
                <w:rFonts w:ascii="Times New Roman" w:hAnsi="Times New Roman" w:eastAsia="仿宋_GB2312" w:cs="Times New Roman"/>
                <w:b/>
                <w:color w:val="auto"/>
                <w:sz w:val="24"/>
                <w:szCs w:val="24"/>
                <w:highlight w:val="none"/>
              </w:rPr>
              <w:t>简称</w:t>
            </w:r>
          </w:p>
        </w:tc>
        <w:tc>
          <w:tcPr>
            <w:tcW w:w="5670" w:type="dxa"/>
            <w:vAlign w:val="center"/>
          </w:tcPr>
          <w:p w14:paraId="46CD070F">
            <w:pPr>
              <w:autoSpaceDN w:val="0"/>
              <w:spacing w:line="400" w:lineRule="exact"/>
              <w:jc w:val="center"/>
              <w:textAlignment w:val="center"/>
              <w:rPr>
                <w:rFonts w:ascii="Times New Roman" w:hAnsi="Times New Roman" w:eastAsia="仿宋_GB2312" w:cs="Times New Roman"/>
                <w:b/>
                <w:color w:val="auto"/>
                <w:sz w:val="24"/>
                <w:szCs w:val="24"/>
                <w:highlight w:val="none"/>
              </w:rPr>
            </w:pPr>
            <w:r>
              <w:rPr>
                <w:rFonts w:ascii="Times New Roman" w:hAnsi="Times New Roman" w:eastAsia="仿宋_GB2312" w:cs="Times New Roman"/>
                <w:b/>
                <w:color w:val="auto"/>
                <w:sz w:val="24"/>
                <w:szCs w:val="24"/>
                <w:highlight w:val="none"/>
              </w:rPr>
              <w:t>全称</w:t>
            </w:r>
          </w:p>
        </w:tc>
      </w:tr>
      <w:tr w14:paraId="2E420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454" w:hRule="atLeast"/>
        </w:trPr>
        <w:tc>
          <w:tcPr>
            <w:tcW w:w="1127" w:type="dxa"/>
            <w:vAlign w:val="center"/>
          </w:tcPr>
          <w:p w14:paraId="4E4DC7B5">
            <w:pPr>
              <w:autoSpaceDN w:val="0"/>
              <w:spacing w:line="400" w:lineRule="exact"/>
              <w:jc w:val="center"/>
              <w:textAlignment w:val="center"/>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1</w:t>
            </w:r>
          </w:p>
        </w:tc>
        <w:tc>
          <w:tcPr>
            <w:tcW w:w="3688" w:type="dxa"/>
            <w:vAlign w:val="center"/>
          </w:tcPr>
          <w:p w14:paraId="2E735D97">
            <w:pPr>
              <w:autoSpaceDN w:val="0"/>
              <w:spacing w:line="400" w:lineRule="exact"/>
              <w:jc w:val="center"/>
              <w:textAlignment w:val="center"/>
              <w:rPr>
                <w:rFonts w:ascii="仿宋_GB2312" w:eastAsia="仿宋_GB2312"/>
                <w:color w:val="auto"/>
                <w:sz w:val="24"/>
                <w:highlight w:val="none"/>
              </w:rPr>
            </w:pPr>
            <w:r>
              <w:rPr>
                <w:rFonts w:hint="eastAsia" w:ascii="仿宋_GB2312" w:eastAsia="仿宋_GB2312"/>
                <w:color w:val="auto"/>
                <w:sz w:val="24"/>
                <w:highlight w:val="none"/>
              </w:rPr>
              <w:t>综合运输标委会</w:t>
            </w:r>
          </w:p>
        </w:tc>
        <w:tc>
          <w:tcPr>
            <w:tcW w:w="5670" w:type="dxa"/>
          </w:tcPr>
          <w:p w14:paraId="21D1723B">
            <w:pPr>
              <w:autoSpaceDN w:val="0"/>
              <w:spacing w:line="400" w:lineRule="exact"/>
              <w:ind w:firstLine="120" w:firstLineChars="50"/>
              <w:jc w:val="left"/>
              <w:textAlignment w:val="center"/>
              <w:rPr>
                <w:rFonts w:ascii="仿宋_GB2312" w:eastAsia="仿宋_GB2312"/>
                <w:color w:val="auto"/>
                <w:sz w:val="24"/>
                <w:highlight w:val="none"/>
              </w:rPr>
            </w:pPr>
            <w:r>
              <w:rPr>
                <w:rFonts w:hint="eastAsia" w:ascii="仿宋_GB2312" w:eastAsia="仿宋_GB2312"/>
                <w:color w:val="auto"/>
                <w:sz w:val="24"/>
                <w:highlight w:val="none"/>
              </w:rPr>
              <w:t>全国综合交通运输标准化技术委员会</w:t>
            </w:r>
          </w:p>
        </w:tc>
      </w:tr>
      <w:tr w14:paraId="2F69A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454" w:hRule="atLeast"/>
        </w:trPr>
        <w:tc>
          <w:tcPr>
            <w:tcW w:w="1127" w:type="dxa"/>
            <w:vAlign w:val="center"/>
          </w:tcPr>
          <w:p w14:paraId="71AF0F08">
            <w:pPr>
              <w:autoSpaceDN w:val="0"/>
              <w:spacing w:line="400" w:lineRule="exact"/>
              <w:jc w:val="center"/>
              <w:textAlignment w:val="center"/>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2</w:t>
            </w:r>
          </w:p>
        </w:tc>
        <w:tc>
          <w:tcPr>
            <w:tcW w:w="3688" w:type="dxa"/>
            <w:vAlign w:val="center"/>
          </w:tcPr>
          <w:p w14:paraId="358BAACB">
            <w:pPr>
              <w:autoSpaceDN w:val="0"/>
              <w:spacing w:line="400" w:lineRule="exact"/>
              <w:jc w:val="center"/>
              <w:textAlignment w:val="center"/>
              <w:rPr>
                <w:rFonts w:ascii="仿宋_GB2312" w:eastAsia="仿宋_GB2312"/>
                <w:color w:val="auto"/>
                <w:sz w:val="24"/>
                <w:highlight w:val="none"/>
              </w:rPr>
            </w:pPr>
            <w:r>
              <w:rPr>
                <w:rFonts w:hint="eastAsia" w:ascii="仿宋_GB2312" w:eastAsia="仿宋_GB2312"/>
                <w:color w:val="auto"/>
                <w:sz w:val="24"/>
                <w:highlight w:val="none"/>
              </w:rPr>
              <w:t>集装箱标委会</w:t>
            </w:r>
          </w:p>
        </w:tc>
        <w:tc>
          <w:tcPr>
            <w:tcW w:w="5670" w:type="dxa"/>
          </w:tcPr>
          <w:p w14:paraId="7A5BDB3D">
            <w:pPr>
              <w:autoSpaceDN w:val="0"/>
              <w:spacing w:line="400" w:lineRule="exact"/>
              <w:ind w:firstLine="120" w:firstLineChars="50"/>
              <w:jc w:val="left"/>
              <w:textAlignment w:val="center"/>
              <w:rPr>
                <w:rFonts w:ascii="仿宋_GB2312" w:eastAsia="仿宋_GB2312"/>
                <w:color w:val="auto"/>
                <w:sz w:val="24"/>
                <w:highlight w:val="none"/>
              </w:rPr>
            </w:pPr>
            <w:r>
              <w:rPr>
                <w:rFonts w:hint="eastAsia" w:ascii="仿宋_GB2312" w:eastAsia="仿宋_GB2312"/>
                <w:color w:val="auto"/>
                <w:sz w:val="24"/>
                <w:highlight w:val="none"/>
              </w:rPr>
              <w:t>全国集装箱标准化技术委员会</w:t>
            </w:r>
          </w:p>
        </w:tc>
      </w:tr>
      <w:tr w14:paraId="6544A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454" w:hRule="atLeast"/>
        </w:trPr>
        <w:tc>
          <w:tcPr>
            <w:tcW w:w="1127" w:type="dxa"/>
            <w:vAlign w:val="center"/>
          </w:tcPr>
          <w:p w14:paraId="0EF373F5">
            <w:pPr>
              <w:autoSpaceDN w:val="0"/>
              <w:spacing w:line="400" w:lineRule="exact"/>
              <w:jc w:val="center"/>
              <w:textAlignment w:val="center"/>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3</w:t>
            </w:r>
          </w:p>
        </w:tc>
        <w:tc>
          <w:tcPr>
            <w:tcW w:w="3688" w:type="dxa"/>
            <w:vAlign w:val="center"/>
          </w:tcPr>
          <w:p w14:paraId="690EBAD4">
            <w:pPr>
              <w:autoSpaceDN w:val="0"/>
              <w:spacing w:line="400" w:lineRule="exact"/>
              <w:jc w:val="center"/>
              <w:textAlignment w:val="center"/>
              <w:rPr>
                <w:rFonts w:ascii="仿宋_GB2312" w:eastAsia="仿宋_GB2312"/>
                <w:color w:val="auto"/>
                <w:sz w:val="24"/>
                <w:highlight w:val="none"/>
              </w:rPr>
            </w:pPr>
            <w:r>
              <w:rPr>
                <w:rFonts w:hint="eastAsia" w:ascii="仿宋_GB2312" w:eastAsia="仿宋_GB2312"/>
                <w:color w:val="auto"/>
                <w:sz w:val="24"/>
                <w:highlight w:val="none"/>
              </w:rPr>
              <w:t>内河船与水路运输标委会</w:t>
            </w:r>
          </w:p>
        </w:tc>
        <w:tc>
          <w:tcPr>
            <w:tcW w:w="5670" w:type="dxa"/>
            <w:vAlign w:val="center"/>
          </w:tcPr>
          <w:p w14:paraId="63CD52F1">
            <w:pPr>
              <w:autoSpaceDN w:val="0"/>
              <w:spacing w:line="400" w:lineRule="exact"/>
              <w:ind w:firstLine="120" w:firstLineChars="50"/>
              <w:jc w:val="left"/>
              <w:textAlignment w:val="center"/>
              <w:rPr>
                <w:rFonts w:ascii="仿宋_GB2312" w:eastAsia="仿宋_GB2312"/>
                <w:color w:val="auto"/>
                <w:sz w:val="24"/>
                <w:highlight w:val="none"/>
              </w:rPr>
            </w:pPr>
            <w:r>
              <w:rPr>
                <w:rFonts w:hint="eastAsia" w:ascii="仿宋_GB2312" w:eastAsia="仿宋_GB2312"/>
                <w:color w:val="auto"/>
                <w:sz w:val="24"/>
                <w:highlight w:val="none"/>
              </w:rPr>
              <w:t>全国内河船与水路运输标准化技术委员会</w:t>
            </w:r>
          </w:p>
        </w:tc>
      </w:tr>
      <w:tr w14:paraId="52DFD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454" w:hRule="atLeast"/>
        </w:trPr>
        <w:tc>
          <w:tcPr>
            <w:tcW w:w="1127" w:type="dxa"/>
            <w:vAlign w:val="center"/>
          </w:tcPr>
          <w:p w14:paraId="789AFFB9">
            <w:pPr>
              <w:autoSpaceDN w:val="0"/>
              <w:spacing w:line="400" w:lineRule="exact"/>
              <w:jc w:val="center"/>
              <w:textAlignment w:val="center"/>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4</w:t>
            </w:r>
          </w:p>
        </w:tc>
        <w:tc>
          <w:tcPr>
            <w:tcW w:w="3688" w:type="dxa"/>
            <w:vAlign w:val="center"/>
          </w:tcPr>
          <w:p w14:paraId="07F0B3BE">
            <w:pPr>
              <w:autoSpaceDN w:val="0"/>
              <w:spacing w:line="400" w:lineRule="exact"/>
              <w:jc w:val="center"/>
              <w:textAlignment w:val="center"/>
              <w:rPr>
                <w:rFonts w:ascii="仿宋_GB2312" w:eastAsia="仿宋_GB2312"/>
                <w:color w:val="auto"/>
                <w:sz w:val="24"/>
                <w:highlight w:val="none"/>
              </w:rPr>
            </w:pPr>
            <w:r>
              <w:rPr>
                <w:rFonts w:hint="eastAsia" w:ascii="仿宋_GB2312" w:hAnsi="微软雅黑" w:eastAsia="仿宋_GB2312" w:cs="宋体"/>
                <w:color w:val="auto"/>
                <w:kern w:val="0"/>
                <w:sz w:val="24"/>
                <w:szCs w:val="24"/>
                <w:highlight w:val="none"/>
              </w:rPr>
              <w:t>交通工程标委会</w:t>
            </w:r>
          </w:p>
        </w:tc>
        <w:tc>
          <w:tcPr>
            <w:tcW w:w="5670" w:type="dxa"/>
            <w:vAlign w:val="center"/>
          </w:tcPr>
          <w:p w14:paraId="3198FBAA">
            <w:pPr>
              <w:autoSpaceDN w:val="0"/>
              <w:spacing w:line="400" w:lineRule="exact"/>
              <w:ind w:firstLine="120" w:firstLineChars="50"/>
              <w:jc w:val="left"/>
              <w:textAlignment w:val="center"/>
              <w:rPr>
                <w:rFonts w:ascii="仿宋_GB2312" w:eastAsia="仿宋_GB2312"/>
                <w:color w:val="auto"/>
                <w:sz w:val="24"/>
                <w:highlight w:val="none"/>
              </w:rPr>
            </w:pPr>
            <w:r>
              <w:rPr>
                <w:rFonts w:hint="eastAsia" w:ascii="仿宋_GB2312" w:eastAsia="仿宋_GB2312"/>
                <w:color w:val="auto"/>
                <w:sz w:val="24"/>
                <w:highlight w:val="none"/>
              </w:rPr>
              <w:t>全国</w:t>
            </w:r>
            <w:r>
              <w:rPr>
                <w:rFonts w:ascii="仿宋_GB2312" w:eastAsia="仿宋_GB2312"/>
                <w:color w:val="auto"/>
                <w:sz w:val="24"/>
                <w:highlight w:val="none"/>
              </w:rPr>
              <w:t>交通工程设施（公路）</w:t>
            </w:r>
            <w:r>
              <w:rPr>
                <w:rFonts w:hint="eastAsia" w:ascii="仿宋_GB2312" w:eastAsia="仿宋_GB2312"/>
                <w:color w:val="auto"/>
                <w:sz w:val="24"/>
                <w:highlight w:val="none"/>
              </w:rPr>
              <w:t>标准化技术委员会</w:t>
            </w:r>
          </w:p>
        </w:tc>
      </w:tr>
      <w:tr w14:paraId="02780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454" w:hRule="atLeast"/>
        </w:trPr>
        <w:tc>
          <w:tcPr>
            <w:tcW w:w="1127" w:type="dxa"/>
            <w:vAlign w:val="center"/>
          </w:tcPr>
          <w:p w14:paraId="09ADDFCE">
            <w:pPr>
              <w:autoSpaceDN w:val="0"/>
              <w:spacing w:line="400" w:lineRule="exact"/>
              <w:jc w:val="center"/>
              <w:textAlignment w:val="center"/>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5</w:t>
            </w:r>
          </w:p>
        </w:tc>
        <w:tc>
          <w:tcPr>
            <w:tcW w:w="3688" w:type="dxa"/>
            <w:vAlign w:val="center"/>
          </w:tcPr>
          <w:p w14:paraId="22E87285">
            <w:pPr>
              <w:autoSpaceDN w:val="0"/>
              <w:spacing w:line="400" w:lineRule="exact"/>
              <w:jc w:val="center"/>
              <w:textAlignment w:val="center"/>
              <w:rPr>
                <w:rFonts w:ascii="仿宋_GB2312" w:eastAsia="仿宋_GB2312"/>
                <w:color w:val="auto"/>
                <w:sz w:val="24"/>
                <w:highlight w:val="none"/>
              </w:rPr>
            </w:pPr>
            <w:r>
              <w:rPr>
                <w:rFonts w:hint="eastAsia" w:ascii="仿宋_GB2312" w:eastAsia="仿宋_GB2312"/>
                <w:color w:val="auto"/>
                <w:sz w:val="24"/>
                <w:highlight w:val="none"/>
              </w:rPr>
              <w:t>智能运输标委会</w:t>
            </w:r>
          </w:p>
        </w:tc>
        <w:tc>
          <w:tcPr>
            <w:tcW w:w="5670" w:type="dxa"/>
            <w:vAlign w:val="center"/>
          </w:tcPr>
          <w:p w14:paraId="0587BD03">
            <w:pPr>
              <w:autoSpaceDN w:val="0"/>
              <w:spacing w:line="400" w:lineRule="exact"/>
              <w:ind w:firstLine="120" w:firstLineChars="50"/>
              <w:jc w:val="left"/>
              <w:textAlignment w:val="center"/>
              <w:rPr>
                <w:rFonts w:ascii="仿宋_GB2312" w:eastAsia="仿宋_GB2312"/>
                <w:color w:val="auto"/>
                <w:sz w:val="24"/>
                <w:highlight w:val="none"/>
              </w:rPr>
            </w:pPr>
            <w:r>
              <w:rPr>
                <w:rFonts w:hint="eastAsia" w:ascii="仿宋_GB2312" w:eastAsia="仿宋_GB2312"/>
                <w:color w:val="auto"/>
                <w:sz w:val="24"/>
                <w:highlight w:val="none"/>
              </w:rPr>
              <w:t>全国智能运输系统标准化技术委员会</w:t>
            </w:r>
          </w:p>
        </w:tc>
      </w:tr>
      <w:tr w14:paraId="30433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454" w:hRule="atLeast"/>
        </w:trPr>
        <w:tc>
          <w:tcPr>
            <w:tcW w:w="1127" w:type="dxa"/>
            <w:vAlign w:val="center"/>
          </w:tcPr>
          <w:p w14:paraId="4407427F">
            <w:pPr>
              <w:autoSpaceDN w:val="0"/>
              <w:spacing w:line="400" w:lineRule="exact"/>
              <w:jc w:val="center"/>
              <w:textAlignment w:val="center"/>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6</w:t>
            </w:r>
          </w:p>
        </w:tc>
        <w:tc>
          <w:tcPr>
            <w:tcW w:w="3688" w:type="dxa"/>
            <w:vAlign w:val="center"/>
          </w:tcPr>
          <w:p w14:paraId="15C56316">
            <w:pPr>
              <w:autoSpaceDN w:val="0"/>
              <w:spacing w:line="400" w:lineRule="exact"/>
              <w:jc w:val="center"/>
              <w:textAlignment w:val="center"/>
              <w:rPr>
                <w:rFonts w:ascii="仿宋_GB2312" w:eastAsia="仿宋_GB2312"/>
                <w:color w:val="auto"/>
                <w:sz w:val="24"/>
                <w:highlight w:val="none"/>
              </w:rPr>
            </w:pPr>
            <w:r>
              <w:rPr>
                <w:rFonts w:hint="eastAsia" w:ascii="仿宋_GB2312" w:eastAsia="仿宋_GB2312"/>
                <w:color w:val="auto"/>
                <w:sz w:val="24"/>
                <w:highlight w:val="none"/>
              </w:rPr>
              <w:t>道路运输标委会</w:t>
            </w:r>
          </w:p>
        </w:tc>
        <w:tc>
          <w:tcPr>
            <w:tcW w:w="5670" w:type="dxa"/>
            <w:vAlign w:val="center"/>
          </w:tcPr>
          <w:p w14:paraId="40C47ED2">
            <w:pPr>
              <w:autoSpaceDN w:val="0"/>
              <w:spacing w:line="400" w:lineRule="exact"/>
              <w:ind w:firstLine="120" w:firstLineChars="50"/>
              <w:jc w:val="left"/>
              <w:textAlignment w:val="center"/>
              <w:rPr>
                <w:rFonts w:ascii="仿宋_GB2312" w:eastAsia="仿宋_GB2312"/>
                <w:color w:val="auto"/>
                <w:sz w:val="24"/>
                <w:highlight w:val="none"/>
              </w:rPr>
            </w:pPr>
            <w:r>
              <w:rPr>
                <w:rFonts w:hint="eastAsia" w:ascii="仿宋_GB2312" w:eastAsia="仿宋_GB2312"/>
                <w:color w:val="auto"/>
                <w:sz w:val="24"/>
                <w:highlight w:val="none"/>
              </w:rPr>
              <w:t>全国道路运输标准化技术委员会</w:t>
            </w:r>
          </w:p>
        </w:tc>
      </w:tr>
      <w:tr w14:paraId="7761E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454" w:hRule="atLeast"/>
        </w:trPr>
        <w:tc>
          <w:tcPr>
            <w:tcW w:w="1127" w:type="dxa"/>
            <w:vAlign w:val="center"/>
          </w:tcPr>
          <w:p w14:paraId="4E819D67">
            <w:pPr>
              <w:autoSpaceDN w:val="0"/>
              <w:spacing w:line="400" w:lineRule="exact"/>
              <w:jc w:val="center"/>
              <w:textAlignment w:val="center"/>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7</w:t>
            </w:r>
          </w:p>
        </w:tc>
        <w:tc>
          <w:tcPr>
            <w:tcW w:w="3688" w:type="dxa"/>
            <w:vAlign w:val="center"/>
          </w:tcPr>
          <w:p w14:paraId="50135546">
            <w:pPr>
              <w:autoSpaceDN w:val="0"/>
              <w:spacing w:line="400" w:lineRule="exact"/>
              <w:jc w:val="center"/>
              <w:textAlignment w:val="center"/>
              <w:rPr>
                <w:rFonts w:ascii="仿宋_GB2312" w:eastAsia="仿宋_GB2312"/>
                <w:color w:val="auto"/>
                <w:sz w:val="24"/>
                <w:highlight w:val="none"/>
              </w:rPr>
            </w:pPr>
            <w:r>
              <w:rPr>
                <w:rFonts w:hint="eastAsia" w:ascii="仿宋_GB2312" w:eastAsia="仿宋_GB2312"/>
                <w:color w:val="auto"/>
                <w:sz w:val="24"/>
                <w:highlight w:val="none"/>
              </w:rPr>
              <w:t>港口标委会</w:t>
            </w:r>
          </w:p>
        </w:tc>
        <w:tc>
          <w:tcPr>
            <w:tcW w:w="5670" w:type="dxa"/>
            <w:vAlign w:val="center"/>
          </w:tcPr>
          <w:p w14:paraId="606B68E1">
            <w:pPr>
              <w:autoSpaceDN w:val="0"/>
              <w:spacing w:line="400" w:lineRule="exact"/>
              <w:ind w:firstLine="120" w:firstLineChars="50"/>
              <w:jc w:val="left"/>
              <w:textAlignment w:val="center"/>
              <w:rPr>
                <w:rFonts w:ascii="仿宋_GB2312" w:eastAsia="仿宋_GB2312"/>
                <w:color w:val="auto"/>
                <w:sz w:val="24"/>
                <w:highlight w:val="none"/>
              </w:rPr>
            </w:pPr>
            <w:r>
              <w:rPr>
                <w:rFonts w:hint="eastAsia" w:ascii="仿宋_GB2312" w:eastAsia="仿宋_GB2312"/>
                <w:color w:val="auto"/>
                <w:sz w:val="24"/>
                <w:highlight w:val="none"/>
              </w:rPr>
              <w:t>全国港口标准化技术委员会</w:t>
            </w:r>
          </w:p>
        </w:tc>
      </w:tr>
      <w:tr w14:paraId="77018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454" w:hRule="atLeast"/>
        </w:trPr>
        <w:tc>
          <w:tcPr>
            <w:tcW w:w="1127" w:type="dxa"/>
            <w:vAlign w:val="center"/>
          </w:tcPr>
          <w:p w14:paraId="2BC51549">
            <w:pPr>
              <w:autoSpaceDN w:val="0"/>
              <w:spacing w:line="400" w:lineRule="exact"/>
              <w:jc w:val="center"/>
              <w:textAlignment w:val="center"/>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8</w:t>
            </w:r>
          </w:p>
        </w:tc>
        <w:tc>
          <w:tcPr>
            <w:tcW w:w="3688" w:type="dxa"/>
            <w:vAlign w:val="center"/>
          </w:tcPr>
          <w:p w14:paraId="34414147">
            <w:pPr>
              <w:autoSpaceDN w:val="0"/>
              <w:spacing w:line="400" w:lineRule="exact"/>
              <w:jc w:val="center"/>
              <w:textAlignment w:val="center"/>
              <w:rPr>
                <w:rFonts w:ascii="仿宋_GB2312" w:eastAsia="仿宋_GB2312"/>
                <w:color w:val="auto"/>
                <w:sz w:val="24"/>
                <w:highlight w:val="none"/>
              </w:rPr>
            </w:pPr>
            <w:r>
              <w:rPr>
                <w:rFonts w:hint="eastAsia" w:ascii="仿宋_GB2312" w:hAnsi="微软雅黑" w:eastAsia="仿宋_GB2312" w:cs="宋体"/>
                <w:color w:val="auto"/>
                <w:kern w:val="0"/>
                <w:sz w:val="24"/>
                <w:szCs w:val="24"/>
                <w:highlight w:val="none"/>
              </w:rPr>
              <w:t>客车分委会</w:t>
            </w:r>
          </w:p>
        </w:tc>
        <w:tc>
          <w:tcPr>
            <w:tcW w:w="5670" w:type="dxa"/>
            <w:vAlign w:val="center"/>
          </w:tcPr>
          <w:p w14:paraId="1CC2D2F2">
            <w:pPr>
              <w:autoSpaceDN w:val="0"/>
              <w:spacing w:line="400" w:lineRule="exact"/>
              <w:ind w:firstLine="120" w:firstLineChars="50"/>
              <w:jc w:val="left"/>
              <w:textAlignment w:val="center"/>
              <w:rPr>
                <w:rFonts w:ascii="仿宋_GB2312" w:eastAsia="仿宋_GB2312"/>
                <w:color w:val="auto"/>
                <w:sz w:val="24"/>
                <w:highlight w:val="none"/>
              </w:rPr>
            </w:pPr>
            <w:r>
              <w:rPr>
                <w:rFonts w:hint="eastAsia" w:ascii="仿宋_GB2312" w:eastAsia="仿宋_GB2312"/>
                <w:color w:val="auto"/>
                <w:sz w:val="24"/>
                <w:highlight w:val="none"/>
              </w:rPr>
              <w:t>全国汽车标准化技术委员会客车分技术委员会</w:t>
            </w:r>
          </w:p>
        </w:tc>
      </w:tr>
      <w:tr w14:paraId="7C415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454" w:hRule="atLeast"/>
        </w:trPr>
        <w:tc>
          <w:tcPr>
            <w:tcW w:w="1127" w:type="dxa"/>
            <w:vAlign w:val="center"/>
          </w:tcPr>
          <w:p w14:paraId="0C6AFE5D">
            <w:pPr>
              <w:autoSpaceDN w:val="0"/>
              <w:spacing w:line="400" w:lineRule="exact"/>
              <w:jc w:val="center"/>
              <w:textAlignment w:val="center"/>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9</w:t>
            </w:r>
          </w:p>
        </w:tc>
        <w:tc>
          <w:tcPr>
            <w:tcW w:w="3688" w:type="dxa"/>
            <w:vAlign w:val="center"/>
          </w:tcPr>
          <w:p w14:paraId="440E7A69">
            <w:pPr>
              <w:autoSpaceDN w:val="0"/>
              <w:spacing w:line="400" w:lineRule="exact"/>
              <w:jc w:val="center"/>
              <w:textAlignment w:val="center"/>
              <w:rPr>
                <w:rFonts w:ascii="仿宋_GB2312" w:eastAsia="仿宋_GB2312"/>
                <w:color w:val="auto"/>
                <w:sz w:val="24"/>
                <w:highlight w:val="none"/>
              </w:rPr>
            </w:pPr>
            <w:r>
              <w:rPr>
                <w:rFonts w:hint="eastAsia" w:ascii="仿宋_GB2312" w:eastAsia="仿宋_GB2312"/>
                <w:color w:val="auto"/>
                <w:sz w:val="24"/>
                <w:highlight w:val="none"/>
              </w:rPr>
              <w:t>智慧物流分委会</w:t>
            </w:r>
          </w:p>
        </w:tc>
        <w:tc>
          <w:tcPr>
            <w:tcW w:w="5670" w:type="dxa"/>
            <w:vAlign w:val="center"/>
          </w:tcPr>
          <w:p w14:paraId="1B59AD8D">
            <w:pPr>
              <w:autoSpaceDN w:val="0"/>
              <w:ind w:firstLine="120" w:firstLineChars="50"/>
              <w:jc w:val="left"/>
              <w:textAlignment w:val="center"/>
              <w:rPr>
                <w:rFonts w:ascii="仿宋_GB2312" w:eastAsia="仿宋_GB2312"/>
                <w:color w:val="auto"/>
                <w:sz w:val="24"/>
                <w:highlight w:val="none"/>
              </w:rPr>
            </w:pPr>
            <w:r>
              <w:rPr>
                <w:rFonts w:hint="eastAsia" w:ascii="仿宋_GB2312" w:eastAsia="仿宋_GB2312"/>
                <w:color w:val="auto"/>
                <w:sz w:val="24"/>
                <w:highlight w:val="none"/>
              </w:rPr>
              <w:t>全国智能运输系统标准化技术委员会智慧交通物流分技术委员会</w:t>
            </w:r>
          </w:p>
        </w:tc>
      </w:tr>
      <w:tr w14:paraId="0D5C1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454" w:hRule="atLeast"/>
        </w:trPr>
        <w:tc>
          <w:tcPr>
            <w:tcW w:w="1127" w:type="dxa"/>
            <w:vAlign w:val="center"/>
          </w:tcPr>
          <w:p w14:paraId="4F7DB010">
            <w:pPr>
              <w:autoSpaceDN w:val="0"/>
              <w:spacing w:line="400" w:lineRule="exact"/>
              <w:jc w:val="center"/>
              <w:textAlignment w:val="center"/>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10</w:t>
            </w:r>
          </w:p>
        </w:tc>
        <w:tc>
          <w:tcPr>
            <w:tcW w:w="3688" w:type="dxa"/>
            <w:vAlign w:val="center"/>
          </w:tcPr>
          <w:p w14:paraId="7F4A90CA">
            <w:pPr>
              <w:autoSpaceDN w:val="0"/>
              <w:spacing w:line="400" w:lineRule="exact"/>
              <w:jc w:val="center"/>
              <w:textAlignment w:val="center"/>
              <w:rPr>
                <w:rFonts w:ascii="仿宋_GB2312" w:eastAsia="仿宋_GB2312"/>
                <w:color w:val="auto"/>
                <w:sz w:val="24"/>
                <w:highlight w:val="none"/>
              </w:rPr>
            </w:pPr>
            <w:r>
              <w:rPr>
                <w:rFonts w:hint="eastAsia" w:ascii="仿宋_GB2312" w:eastAsia="仿宋_GB2312"/>
                <w:color w:val="auto"/>
                <w:sz w:val="24"/>
                <w:highlight w:val="none"/>
              </w:rPr>
              <w:t>疏浚分委会</w:t>
            </w:r>
          </w:p>
        </w:tc>
        <w:tc>
          <w:tcPr>
            <w:tcW w:w="5670" w:type="dxa"/>
            <w:vAlign w:val="center"/>
          </w:tcPr>
          <w:p w14:paraId="7CEE4762">
            <w:pPr>
              <w:autoSpaceDN w:val="0"/>
              <w:spacing w:line="400" w:lineRule="exact"/>
              <w:ind w:firstLine="120" w:firstLineChars="50"/>
              <w:jc w:val="left"/>
              <w:textAlignment w:val="center"/>
              <w:rPr>
                <w:rFonts w:ascii="仿宋_GB2312" w:eastAsia="仿宋_GB2312"/>
                <w:color w:val="auto"/>
                <w:sz w:val="24"/>
                <w:highlight w:val="none"/>
              </w:rPr>
            </w:pPr>
            <w:r>
              <w:rPr>
                <w:rFonts w:ascii="仿宋_GB2312" w:eastAsia="仿宋_GB2312"/>
                <w:color w:val="auto"/>
                <w:sz w:val="24"/>
                <w:highlight w:val="none"/>
              </w:rPr>
              <w:t>全国港口标准化技术委员会疏浚装备分技术委员会</w:t>
            </w:r>
          </w:p>
        </w:tc>
      </w:tr>
      <w:tr w14:paraId="58C6F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454" w:hRule="atLeast"/>
        </w:trPr>
        <w:tc>
          <w:tcPr>
            <w:tcW w:w="1127" w:type="dxa"/>
            <w:vAlign w:val="center"/>
          </w:tcPr>
          <w:p w14:paraId="6122B36C">
            <w:pPr>
              <w:autoSpaceDN w:val="0"/>
              <w:spacing w:line="400" w:lineRule="exact"/>
              <w:jc w:val="center"/>
              <w:textAlignment w:val="center"/>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11</w:t>
            </w:r>
          </w:p>
        </w:tc>
        <w:tc>
          <w:tcPr>
            <w:tcW w:w="3688" w:type="dxa"/>
            <w:vAlign w:val="center"/>
          </w:tcPr>
          <w:p w14:paraId="5B21D031">
            <w:pPr>
              <w:autoSpaceDN w:val="0"/>
              <w:spacing w:line="400" w:lineRule="exact"/>
              <w:jc w:val="center"/>
              <w:textAlignment w:val="center"/>
              <w:rPr>
                <w:rFonts w:ascii="仿宋_GB2312" w:eastAsia="仿宋_GB2312"/>
                <w:color w:val="auto"/>
                <w:sz w:val="24"/>
                <w:highlight w:val="none"/>
              </w:rPr>
            </w:pPr>
            <w:bookmarkStart w:id="3" w:name="OLE_LINK106"/>
            <w:bookmarkStart w:id="4" w:name="OLE_LINK105"/>
            <w:r>
              <w:rPr>
                <w:rFonts w:hint="eastAsia" w:ascii="仿宋_GB2312" w:eastAsia="仿宋_GB2312"/>
                <w:color w:val="auto"/>
                <w:sz w:val="24"/>
                <w:highlight w:val="none"/>
              </w:rPr>
              <w:t>航海安全</w:t>
            </w:r>
            <w:bookmarkEnd w:id="3"/>
            <w:bookmarkEnd w:id="4"/>
            <w:r>
              <w:rPr>
                <w:rFonts w:hint="eastAsia" w:ascii="仿宋_GB2312" w:eastAsia="仿宋_GB2312"/>
                <w:color w:val="auto"/>
                <w:sz w:val="24"/>
                <w:highlight w:val="none"/>
              </w:rPr>
              <w:t>标委会</w:t>
            </w:r>
          </w:p>
        </w:tc>
        <w:tc>
          <w:tcPr>
            <w:tcW w:w="5670" w:type="dxa"/>
            <w:vAlign w:val="center"/>
          </w:tcPr>
          <w:p w14:paraId="09EADEA0">
            <w:pPr>
              <w:autoSpaceDN w:val="0"/>
              <w:spacing w:line="400" w:lineRule="exact"/>
              <w:ind w:firstLine="120" w:firstLineChars="50"/>
              <w:jc w:val="left"/>
              <w:textAlignment w:val="center"/>
              <w:rPr>
                <w:rFonts w:ascii="仿宋_GB2312" w:eastAsia="仿宋_GB2312"/>
                <w:color w:val="auto"/>
                <w:sz w:val="24"/>
                <w:highlight w:val="none"/>
              </w:rPr>
            </w:pPr>
            <w:r>
              <w:rPr>
                <w:rFonts w:hint="eastAsia" w:ascii="仿宋_GB2312" w:eastAsia="仿宋_GB2312"/>
                <w:color w:val="auto"/>
                <w:sz w:val="24"/>
                <w:highlight w:val="none"/>
              </w:rPr>
              <w:t>交通运输航海安全标准化技术委员会</w:t>
            </w:r>
          </w:p>
        </w:tc>
      </w:tr>
      <w:tr w14:paraId="44267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454" w:hRule="atLeast"/>
        </w:trPr>
        <w:tc>
          <w:tcPr>
            <w:tcW w:w="1127" w:type="dxa"/>
            <w:vAlign w:val="center"/>
          </w:tcPr>
          <w:p w14:paraId="5C1B7BC2">
            <w:pPr>
              <w:autoSpaceDN w:val="0"/>
              <w:spacing w:line="400" w:lineRule="exact"/>
              <w:jc w:val="center"/>
              <w:textAlignment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1</w:t>
            </w:r>
            <w:r>
              <w:rPr>
                <w:rFonts w:hint="eastAsia" w:ascii="Times New Roman" w:hAnsi="Times New Roman" w:eastAsia="仿宋_GB2312" w:cs="Times New Roman"/>
                <w:color w:val="auto"/>
                <w:sz w:val="24"/>
                <w:szCs w:val="24"/>
                <w:highlight w:val="none"/>
              </w:rPr>
              <w:t>2</w:t>
            </w:r>
          </w:p>
        </w:tc>
        <w:tc>
          <w:tcPr>
            <w:tcW w:w="3688" w:type="dxa"/>
            <w:vAlign w:val="center"/>
          </w:tcPr>
          <w:p w14:paraId="33C30A73">
            <w:pPr>
              <w:autoSpaceDN w:val="0"/>
              <w:spacing w:line="400" w:lineRule="exact"/>
              <w:jc w:val="center"/>
              <w:textAlignment w:val="center"/>
              <w:rPr>
                <w:rFonts w:ascii="仿宋_GB2312" w:eastAsia="仿宋_GB2312"/>
                <w:color w:val="auto"/>
                <w:sz w:val="24"/>
                <w:highlight w:val="none"/>
              </w:rPr>
            </w:pPr>
            <w:r>
              <w:rPr>
                <w:rFonts w:hint="eastAsia" w:ascii="仿宋_GB2312" w:eastAsia="仿宋_GB2312"/>
                <w:color w:val="auto"/>
                <w:sz w:val="24"/>
                <w:highlight w:val="none"/>
              </w:rPr>
              <w:t>信息通导标委会</w:t>
            </w:r>
          </w:p>
        </w:tc>
        <w:tc>
          <w:tcPr>
            <w:tcW w:w="5670" w:type="dxa"/>
            <w:vAlign w:val="center"/>
          </w:tcPr>
          <w:p w14:paraId="6F11442C">
            <w:pPr>
              <w:autoSpaceDN w:val="0"/>
              <w:spacing w:line="400" w:lineRule="exact"/>
              <w:ind w:firstLine="120" w:firstLineChars="50"/>
              <w:jc w:val="left"/>
              <w:textAlignment w:val="center"/>
              <w:rPr>
                <w:rFonts w:ascii="仿宋_GB2312" w:eastAsia="仿宋_GB2312"/>
                <w:color w:val="auto"/>
                <w:sz w:val="24"/>
                <w:highlight w:val="none"/>
              </w:rPr>
            </w:pPr>
            <w:r>
              <w:rPr>
                <w:rFonts w:ascii="仿宋_GB2312" w:eastAsia="仿宋_GB2312"/>
                <w:color w:val="auto"/>
                <w:sz w:val="24"/>
                <w:highlight w:val="none"/>
              </w:rPr>
              <w:t>交通运输信息通信及导航标准化技术委员会</w:t>
            </w:r>
          </w:p>
        </w:tc>
      </w:tr>
      <w:tr w14:paraId="3363D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454" w:hRule="atLeast"/>
        </w:trPr>
        <w:tc>
          <w:tcPr>
            <w:tcW w:w="1127" w:type="dxa"/>
            <w:vAlign w:val="center"/>
          </w:tcPr>
          <w:p w14:paraId="4B8CF0D1">
            <w:pPr>
              <w:autoSpaceDN w:val="0"/>
              <w:spacing w:line="400" w:lineRule="exact"/>
              <w:jc w:val="center"/>
              <w:textAlignment w:val="center"/>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13</w:t>
            </w:r>
          </w:p>
        </w:tc>
        <w:tc>
          <w:tcPr>
            <w:tcW w:w="3688" w:type="dxa"/>
            <w:vAlign w:val="center"/>
          </w:tcPr>
          <w:p w14:paraId="42A21292">
            <w:pPr>
              <w:autoSpaceDN w:val="0"/>
              <w:spacing w:line="400" w:lineRule="exact"/>
              <w:jc w:val="center"/>
              <w:textAlignment w:val="center"/>
              <w:rPr>
                <w:rFonts w:ascii="仿宋_GB2312" w:eastAsia="仿宋_GB2312"/>
                <w:color w:val="auto"/>
                <w:sz w:val="24"/>
                <w:highlight w:val="none"/>
              </w:rPr>
            </w:pPr>
            <w:r>
              <w:rPr>
                <w:rFonts w:hint="eastAsia" w:ascii="仿宋_GB2312" w:eastAsia="仿宋_GB2312"/>
                <w:color w:val="auto"/>
                <w:sz w:val="24"/>
                <w:highlight w:val="none"/>
              </w:rPr>
              <w:t>环保标委会</w:t>
            </w:r>
          </w:p>
        </w:tc>
        <w:tc>
          <w:tcPr>
            <w:tcW w:w="5670" w:type="dxa"/>
            <w:vAlign w:val="center"/>
          </w:tcPr>
          <w:p w14:paraId="3892D8D9">
            <w:pPr>
              <w:autoSpaceDN w:val="0"/>
              <w:spacing w:line="400" w:lineRule="exact"/>
              <w:ind w:firstLine="120" w:firstLineChars="50"/>
              <w:jc w:val="left"/>
              <w:textAlignment w:val="center"/>
              <w:rPr>
                <w:rFonts w:ascii="仿宋_GB2312" w:eastAsia="仿宋_GB2312"/>
                <w:color w:val="auto"/>
                <w:sz w:val="24"/>
                <w:highlight w:val="none"/>
              </w:rPr>
            </w:pPr>
            <w:r>
              <w:rPr>
                <w:rFonts w:hint="eastAsia" w:ascii="仿宋_GB2312" w:eastAsia="仿宋_GB2312"/>
                <w:color w:val="auto"/>
                <w:sz w:val="24"/>
                <w:highlight w:val="none"/>
              </w:rPr>
              <w:t>交通运输环境保护标准化技术委员会</w:t>
            </w:r>
          </w:p>
        </w:tc>
      </w:tr>
      <w:tr w14:paraId="4EF92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454" w:hRule="atLeast"/>
        </w:trPr>
        <w:tc>
          <w:tcPr>
            <w:tcW w:w="1127" w:type="dxa"/>
            <w:vAlign w:val="center"/>
          </w:tcPr>
          <w:p w14:paraId="1141C0A8">
            <w:pPr>
              <w:autoSpaceDN w:val="0"/>
              <w:spacing w:line="400" w:lineRule="exact"/>
              <w:jc w:val="center"/>
              <w:textAlignment w:val="center"/>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14</w:t>
            </w:r>
          </w:p>
        </w:tc>
        <w:tc>
          <w:tcPr>
            <w:tcW w:w="3688" w:type="dxa"/>
            <w:vAlign w:val="center"/>
          </w:tcPr>
          <w:p w14:paraId="6019FF9B">
            <w:pPr>
              <w:autoSpaceDN w:val="0"/>
              <w:spacing w:line="400" w:lineRule="exact"/>
              <w:jc w:val="center"/>
              <w:textAlignment w:val="center"/>
              <w:rPr>
                <w:rFonts w:ascii="仿宋_GB2312" w:eastAsia="仿宋_GB2312"/>
                <w:color w:val="auto"/>
                <w:sz w:val="24"/>
                <w:highlight w:val="none"/>
              </w:rPr>
            </w:pPr>
            <w:r>
              <w:rPr>
                <w:rFonts w:hint="eastAsia" w:ascii="仿宋_GB2312" w:eastAsia="仿宋_GB2312"/>
                <w:color w:val="auto"/>
                <w:sz w:val="24"/>
                <w:highlight w:val="none"/>
              </w:rPr>
              <w:t>公路计量委员会</w:t>
            </w:r>
          </w:p>
        </w:tc>
        <w:tc>
          <w:tcPr>
            <w:tcW w:w="5670" w:type="dxa"/>
            <w:vAlign w:val="center"/>
          </w:tcPr>
          <w:p w14:paraId="63BDD24B">
            <w:pPr>
              <w:autoSpaceDN w:val="0"/>
              <w:spacing w:line="400" w:lineRule="exact"/>
              <w:ind w:firstLine="120" w:firstLineChars="50"/>
              <w:jc w:val="left"/>
              <w:textAlignment w:val="center"/>
              <w:rPr>
                <w:rFonts w:ascii="仿宋_GB2312" w:eastAsia="仿宋_GB2312"/>
                <w:color w:val="auto"/>
                <w:sz w:val="24"/>
                <w:highlight w:val="none"/>
              </w:rPr>
            </w:pPr>
            <w:r>
              <w:rPr>
                <w:rFonts w:hint="eastAsia" w:ascii="仿宋_GB2312" w:eastAsia="仿宋_GB2312"/>
                <w:color w:val="auto"/>
                <w:sz w:val="24"/>
                <w:highlight w:val="none"/>
              </w:rPr>
              <w:t>全国公路专用计量器具计量技术委员会</w:t>
            </w:r>
          </w:p>
        </w:tc>
      </w:tr>
      <w:tr w14:paraId="033CB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454" w:hRule="atLeast"/>
        </w:trPr>
        <w:tc>
          <w:tcPr>
            <w:tcW w:w="1127" w:type="dxa"/>
            <w:vAlign w:val="center"/>
          </w:tcPr>
          <w:p w14:paraId="5F024452">
            <w:pPr>
              <w:autoSpaceDN w:val="0"/>
              <w:spacing w:line="400" w:lineRule="exact"/>
              <w:jc w:val="center"/>
              <w:textAlignment w:val="center"/>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15</w:t>
            </w:r>
          </w:p>
        </w:tc>
        <w:tc>
          <w:tcPr>
            <w:tcW w:w="3688" w:type="dxa"/>
            <w:vAlign w:val="center"/>
          </w:tcPr>
          <w:p w14:paraId="44AFA536">
            <w:pPr>
              <w:autoSpaceDN w:val="0"/>
              <w:spacing w:line="400" w:lineRule="exact"/>
              <w:jc w:val="center"/>
              <w:textAlignment w:val="center"/>
              <w:rPr>
                <w:rFonts w:ascii="仿宋_GB2312" w:eastAsia="仿宋_GB2312"/>
                <w:color w:val="auto"/>
                <w:sz w:val="24"/>
                <w:highlight w:val="none"/>
              </w:rPr>
            </w:pPr>
            <w:r>
              <w:rPr>
                <w:rFonts w:hint="eastAsia" w:ascii="仿宋_GB2312" w:eastAsia="仿宋_GB2312"/>
                <w:color w:val="auto"/>
                <w:sz w:val="24"/>
                <w:highlight w:val="none"/>
              </w:rPr>
              <w:t>水运计量委员会</w:t>
            </w:r>
          </w:p>
        </w:tc>
        <w:tc>
          <w:tcPr>
            <w:tcW w:w="5670" w:type="dxa"/>
            <w:vAlign w:val="center"/>
          </w:tcPr>
          <w:p w14:paraId="635E589F">
            <w:pPr>
              <w:autoSpaceDN w:val="0"/>
              <w:spacing w:line="400" w:lineRule="exact"/>
              <w:ind w:firstLine="120" w:firstLineChars="50"/>
              <w:jc w:val="left"/>
              <w:textAlignment w:val="center"/>
              <w:rPr>
                <w:rFonts w:ascii="仿宋_GB2312" w:eastAsia="仿宋_GB2312"/>
                <w:color w:val="auto"/>
                <w:sz w:val="24"/>
                <w:highlight w:val="none"/>
              </w:rPr>
            </w:pPr>
            <w:r>
              <w:rPr>
                <w:rFonts w:hint="eastAsia" w:ascii="仿宋_GB2312" w:eastAsia="仿宋_GB2312"/>
                <w:color w:val="auto"/>
                <w:sz w:val="24"/>
                <w:highlight w:val="none"/>
              </w:rPr>
              <w:t>全国水运专用计量器具计量技术委员会</w:t>
            </w:r>
          </w:p>
        </w:tc>
      </w:tr>
    </w:tbl>
    <w:p w14:paraId="0B1FE7DF">
      <w:pPr>
        <w:rPr>
          <w:rFonts w:ascii="Times New Roman" w:hAnsi="Times New Roman" w:eastAsia="仿宋_GB2312" w:cs="Times New Roman"/>
          <w:color w:val="auto"/>
          <w:sz w:val="30"/>
          <w:szCs w:val="30"/>
          <w:highlight w:val="none"/>
        </w:rPr>
      </w:pPr>
    </w:p>
    <w:p w14:paraId="2D8EFEE4">
      <w:pPr>
        <w:rPr>
          <w:rFonts w:ascii="Times New Roman" w:hAnsi="Times New Roman" w:eastAsia="仿宋_GB2312" w:cs="Times New Roman"/>
          <w:color w:val="auto"/>
          <w:sz w:val="30"/>
          <w:szCs w:val="30"/>
          <w:highlight w:val="none"/>
        </w:rPr>
      </w:pPr>
    </w:p>
    <w:p w14:paraId="403CA958">
      <w:pPr>
        <w:rPr>
          <w:color w:val="auto"/>
          <w:highlight w:val="none"/>
        </w:rPr>
      </w:pPr>
    </w:p>
    <w:sectPr>
      <w:pgSz w:w="16838" w:h="11906" w:orient="landscape"/>
      <w:pgMar w:top="851" w:right="851" w:bottom="851" w:left="851" w:header="851" w:footer="992" w:gutter="0"/>
      <w:pgNumType w:fmt="numberInDash"/>
      <w:cols w:space="425"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DA0296"/>
    <w:multiLevelType w:val="multilevel"/>
    <w:tmpl w:val="2BDA0296"/>
    <w:lvl w:ilvl="0" w:tentative="0">
      <w:start w:val="1"/>
      <w:numFmt w:val="decimal"/>
      <w:lvlText w:val="%1"/>
      <w:lvlJc w:val="left"/>
      <w:pPr>
        <w:ind w:left="650" w:hanging="440"/>
      </w:pPr>
      <w:rPr>
        <w:rFonts w:hint="eastAsia" w:eastAsia="微软雅黑"/>
      </w:rPr>
    </w:lvl>
    <w:lvl w:ilvl="1" w:tentative="0">
      <w:start w:val="1"/>
      <w:numFmt w:val="lowerLetter"/>
      <w:lvlText w:val="%2)"/>
      <w:lvlJc w:val="left"/>
      <w:pPr>
        <w:ind w:left="1090" w:hanging="440"/>
      </w:pPr>
    </w:lvl>
    <w:lvl w:ilvl="2" w:tentative="0">
      <w:start w:val="1"/>
      <w:numFmt w:val="lowerRoman"/>
      <w:lvlText w:val="%3."/>
      <w:lvlJc w:val="right"/>
      <w:pPr>
        <w:ind w:left="1530" w:hanging="440"/>
      </w:pPr>
    </w:lvl>
    <w:lvl w:ilvl="3" w:tentative="0">
      <w:start w:val="1"/>
      <w:numFmt w:val="decimal"/>
      <w:lvlText w:val="%4."/>
      <w:lvlJc w:val="left"/>
      <w:pPr>
        <w:ind w:left="1970" w:hanging="440"/>
      </w:pPr>
    </w:lvl>
    <w:lvl w:ilvl="4" w:tentative="0">
      <w:start w:val="1"/>
      <w:numFmt w:val="lowerLetter"/>
      <w:lvlText w:val="%5)"/>
      <w:lvlJc w:val="left"/>
      <w:pPr>
        <w:ind w:left="2410" w:hanging="440"/>
      </w:pPr>
    </w:lvl>
    <w:lvl w:ilvl="5" w:tentative="0">
      <w:start w:val="1"/>
      <w:numFmt w:val="lowerRoman"/>
      <w:lvlText w:val="%6."/>
      <w:lvlJc w:val="right"/>
      <w:pPr>
        <w:ind w:left="2850" w:hanging="440"/>
      </w:pPr>
    </w:lvl>
    <w:lvl w:ilvl="6" w:tentative="0">
      <w:start w:val="1"/>
      <w:numFmt w:val="decimal"/>
      <w:lvlText w:val="%7."/>
      <w:lvlJc w:val="left"/>
      <w:pPr>
        <w:ind w:left="3290" w:hanging="440"/>
      </w:pPr>
    </w:lvl>
    <w:lvl w:ilvl="7" w:tentative="0">
      <w:start w:val="1"/>
      <w:numFmt w:val="lowerLetter"/>
      <w:lvlText w:val="%8)"/>
      <w:lvlJc w:val="left"/>
      <w:pPr>
        <w:ind w:left="3730" w:hanging="440"/>
      </w:pPr>
    </w:lvl>
    <w:lvl w:ilvl="8" w:tentative="0">
      <w:start w:val="1"/>
      <w:numFmt w:val="lowerRoman"/>
      <w:lvlText w:val="%9."/>
      <w:lvlJc w:val="right"/>
      <w:pPr>
        <w:ind w:left="4170" w:hanging="440"/>
      </w:pPr>
    </w:lvl>
  </w:abstractNum>
  <w:abstractNum w:abstractNumId="1">
    <w:nsid w:val="351F3648"/>
    <w:multiLevelType w:val="multilevel"/>
    <w:tmpl w:val="351F3648"/>
    <w:lvl w:ilvl="0" w:tentative="0">
      <w:start w:val="1"/>
      <w:numFmt w:val="decimal"/>
      <w:lvlText w:val="%1"/>
      <w:lvlJc w:val="left"/>
      <w:pPr>
        <w:ind w:left="650" w:hanging="440"/>
      </w:pPr>
      <w:rPr>
        <w:rFonts w:hint="eastAsia" w:eastAsia="微软雅黑"/>
      </w:rPr>
    </w:lvl>
    <w:lvl w:ilvl="1" w:tentative="0">
      <w:start w:val="1"/>
      <w:numFmt w:val="lowerLetter"/>
      <w:lvlText w:val="%2)"/>
      <w:lvlJc w:val="left"/>
      <w:pPr>
        <w:ind w:left="1090" w:hanging="440"/>
      </w:pPr>
    </w:lvl>
    <w:lvl w:ilvl="2" w:tentative="0">
      <w:start w:val="1"/>
      <w:numFmt w:val="lowerRoman"/>
      <w:lvlText w:val="%3."/>
      <w:lvlJc w:val="right"/>
      <w:pPr>
        <w:ind w:left="1530" w:hanging="440"/>
      </w:pPr>
    </w:lvl>
    <w:lvl w:ilvl="3" w:tentative="0">
      <w:start w:val="1"/>
      <w:numFmt w:val="decimal"/>
      <w:lvlText w:val="%4."/>
      <w:lvlJc w:val="left"/>
      <w:pPr>
        <w:ind w:left="1970" w:hanging="440"/>
      </w:pPr>
    </w:lvl>
    <w:lvl w:ilvl="4" w:tentative="0">
      <w:start w:val="1"/>
      <w:numFmt w:val="lowerLetter"/>
      <w:lvlText w:val="%5)"/>
      <w:lvlJc w:val="left"/>
      <w:pPr>
        <w:ind w:left="2410" w:hanging="440"/>
      </w:pPr>
    </w:lvl>
    <w:lvl w:ilvl="5" w:tentative="0">
      <w:start w:val="1"/>
      <w:numFmt w:val="lowerRoman"/>
      <w:lvlText w:val="%6."/>
      <w:lvlJc w:val="right"/>
      <w:pPr>
        <w:ind w:left="2850" w:hanging="440"/>
      </w:pPr>
    </w:lvl>
    <w:lvl w:ilvl="6" w:tentative="0">
      <w:start w:val="1"/>
      <w:numFmt w:val="decimal"/>
      <w:lvlText w:val="%7."/>
      <w:lvlJc w:val="left"/>
      <w:pPr>
        <w:ind w:left="3290" w:hanging="440"/>
      </w:pPr>
    </w:lvl>
    <w:lvl w:ilvl="7" w:tentative="0">
      <w:start w:val="1"/>
      <w:numFmt w:val="lowerLetter"/>
      <w:lvlText w:val="%8)"/>
      <w:lvlJc w:val="left"/>
      <w:pPr>
        <w:ind w:left="3730" w:hanging="440"/>
      </w:pPr>
    </w:lvl>
    <w:lvl w:ilvl="8" w:tentative="0">
      <w:start w:val="1"/>
      <w:numFmt w:val="lowerRoman"/>
      <w:lvlText w:val="%9."/>
      <w:lvlJc w:val="right"/>
      <w:pPr>
        <w:ind w:left="417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6AB722A"/>
    <w:rsid w:val="001625BA"/>
    <w:rsid w:val="002C1A16"/>
    <w:rsid w:val="005A658F"/>
    <w:rsid w:val="007C6D8F"/>
    <w:rsid w:val="00A33379"/>
    <w:rsid w:val="00D21C43"/>
    <w:rsid w:val="00F8045F"/>
    <w:rsid w:val="00FD56E3"/>
    <w:rsid w:val="023B34A8"/>
    <w:rsid w:val="06057C33"/>
    <w:rsid w:val="06AB722A"/>
    <w:rsid w:val="17BE7761"/>
    <w:rsid w:val="274E2916"/>
    <w:rsid w:val="2DB24B7D"/>
    <w:rsid w:val="36D355F8"/>
    <w:rsid w:val="39630EB6"/>
    <w:rsid w:val="3A395142"/>
    <w:rsid w:val="44EF4F50"/>
    <w:rsid w:val="497A3160"/>
    <w:rsid w:val="49E4194A"/>
    <w:rsid w:val="561D0730"/>
    <w:rsid w:val="5D9456E4"/>
    <w:rsid w:val="68135458"/>
    <w:rsid w:val="68841A84"/>
    <w:rsid w:val="69912E82"/>
    <w:rsid w:val="6B433C92"/>
    <w:rsid w:val="776E53EA"/>
    <w:rsid w:val="7E7C07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qFormat/>
    <w:uiPriority w:val="0"/>
    <w:pPr>
      <w:jc w:val="left"/>
    </w:pPr>
  </w:style>
  <w:style w:type="paragraph" w:styleId="3">
    <w:name w:val="Balloon Text"/>
    <w:basedOn w:val="1"/>
    <w:link w:val="14"/>
    <w:qFormat/>
    <w:uiPriority w:val="0"/>
    <w:rPr>
      <w:sz w:val="18"/>
      <w:szCs w:val="18"/>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qFormat/>
    <w:uiPriority w:val="0"/>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qFormat/>
    <w:uiPriority w:val="0"/>
    <w:rPr>
      <w:sz w:val="21"/>
      <w:szCs w:val="21"/>
    </w:rPr>
  </w:style>
  <w:style w:type="paragraph" w:styleId="11">
    <w:name w:val="List Paragraph"/>
    <w:basedOn w:val="1"/>
    <w:qFormat/>
    <w:uiPriority w:val="34"/>
    <w:pPr>
      <w:ind w:firstLine="420" w:firstLineChars="200"/>
    </w:pPr>
  </w:style>
  <w:style w:type="character" w:customStyle="1" w:styleId="12">
    <w:name w:val="15"/>
    <w:basedOn w:val="9"/>
    <w:qFormat/>
    <w:uiPriority w:val="0"/>
    <w:rPr>
      <w:rFonts w:hint="eastAsia" w:ascii="仿宋_GB2312" w:eastAsia="仿宋_GB2312"/>
      <w:color w:val="000000"/>
      <w:sz w:val="24"/>
      <w:szCs w:val="24"/>
    </w:rPr>
  </w:style>
  <w:style w:type="character" w:customStyle="1" w:styleId="13">
    <w:name w:val="16"/>
    <w:basedOn w:val="9"/>
    <w:qFormat/>
    <w:uiPriority w:val="0"/>
    <w:rPr>
      <w:rFonts w:hint="default" w:ascii="Times New Roman" w:hAnsi="Times New Roman" w:cs="Times New Roman"/>
      <w:color w:val="000000"/>
      <w:sz w:val="24"/>
      <w:szCs w:val="24"/>
    </w:rPr>
  </w:style>
  <w:style w:type="character" w:customStyle="1" w:styleId="14">
    <w:name w:val="批注框文本 字符"/>
    <w:basedOn w:val="9"/>
    <w:link w:val="3"/>
    <w:qFormat/>
    <w:uiPriority w:val="0"/>
    <w:rPr>
      <w:rFonts w:asciiTheme="minorHAnsi" w:hAnsiTheme="minorHAnsi" w:eastAsiaTheme="minorEastAsia" w:cstheme="minorBidi"/>
      <w:kern w:val="2"/>
      <w:sz w:val="18"/>
      <w:szCs w:val="18"/>
    </w:rPr>
  </w:style>
  <w:style w:type="character" w:customStyle="1" w:styleId="15">
    <w:name w:val="批注文字 字符"/>
    <w:basedOn w:val="9"/>
    <w:link w:val="2"/>
    <w:qFormat/>
    <w:uiPriority w:val="0"/>
    <w:rPr>
      <w:rFonts w:asciiTheme="minorHAnsi" w:hAnsiTheme="minorHAnsi" w:eastAsiaTheme="minorEastAsia" w:cstheme="minorBidi"/>
      <w:kern w:val="2"/>
      <w:sz w:val="21"/>
      <w:szCs w:val="22"/>
    </w:rPr>
  </w:style>
  <w:style w:type="character" w:customStyle="1" w:styleId="16">
    <w:name w:val="批注主题 字符"/>
    <w:basedOn w:val="15"/>
    <w:link w:val="6"/>
    <w:qFormat/>
    <w:uiPriority w:val="0"/>
    <w:rPr>
      <w:rFonts w:asciiTheme="minorHAnsi" w:hAnsiTheme="minorHAnsi" w:eastAsiaTheme="minorEastAsia" w:cstheme="minorBidi"/>
      <w:b/>
      <w:bCs/>
      <w:kern w:val="2"/>
      <w:sz w:val="21"/>
      <w:szCs w:val="22"/>
    </w:rPr>
  </w:style>
  <w:style w:type="paragraph" w:customStyle="1" w:styleId="17">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9426</Words>
  <Characters>9726</Characters>
  <Lines>97</Lines>
  <Paragraphs>27</Paragraphs>
  <TotalTime>7</TotalTime>
  <ScaleCrop>false</ScaleCrop>
  <LinksUpToDate>false</LinksUpToDate>
  <CharactersWithSpaces>9767</CharactersWithSpaces>
  <Application>WPS Office_12.1.0.23539_F1E327BC-269C-435d-A152-05C5408002CA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2025-11-21T07:41:00Z</dcterms:created>
  <dc:creator>faye</dc:creator>
  <cp:lastModifiedBy>faye</cp:lastModifiedBy>
  <dcterms:modified xsi:type="dcterms:W3CDTF">2025-12-02T09:07:28Z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2052-12.1.0.23539</vt:lpwstr>
  </property>
  <property fmtid="{D5CDD505-2E9C-101B-9397-08002B2CF9AE}" pid="3" name="ICV">
    <vt:lpwstr>3C156A5696FE4B7383520299837467A9_13</vt:lpwstr>
  </property>
  <property fmtid="{D5CDD505-2E9C-101B-9397-08002B2CF9AE}" pid="4" name="KSOTemplateDocerSaveRecord">
    <vt:lpwstr>eyJoZGlkIjoiODVhYjNiNTRlM2VlOThlNjZkMTM1Y2RjZTQ0NTE0MjciLCJ1c2VySWQiOiIzODk3NjQ2OTYifQ==</vt:lpwstr>
  </property>
</Properties>
</file>