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C9136">
      <w:pPr>
        <w:adjustRightInd w:val="0"/>
        <w:snapToGrid w:val="0"/>
        <w:spacing w:line="560" w:lineRule="exact"/>
        <w:ind w:firstLine="600" w:firstLineChars="0"/>
        <w:rPr>
          <w:rFonts w:ascii="宋体"/>
          <w:color w:val="000000"/>
          <w:sz w:val="30"/>
        </w:rPr>
      </w:pPr>
    </w:p>
    <w:p w14:paraId="1E6D53CE">
      <w:pPr>
        <w:adjustRightInd w:val="0"/>
        <w:snapToGrid w:val="0"/>
        <w:spacing w:line="560" w:lineRule="exact"/>
        <w:ind w:firstLine="0" w:firstLineChars="0"/>
        <w:jc w:val="center"/>
        <w:rPr>
          <w:rFonts w:ascii="宋体"/>
          <w:b/>
          <w:bCs/>
          <w:color w:val="000000"/>
          <w:sz w:val="44"/>
        </w:rPr>
      </w:pPr>
    </w:p>
    <w:p w14:paraId="6334D9C1">
      <w:pPr>
        <w:adjustRightInd w:val="0"/>
        <w:snapToGrid w:val="0"/>
        <w:spacing w:line="560" w:lineRule="exact"/>
        <w:ind w:firstLine="562" w:firstLineChars="0"/>
        <w:rPr>
          <w:rFonts w:ascii="宋体"/>
          <w:b/>
          <w:bCs/>
          <w:color w:val="000000"/>
          <w:sz w:val="21"/>
        </w:rPr>
      </w:pPr>
    </w:p>
    <w:p w14:paraId="7D92ABBC">
      <w:pPr>
        <w:adjustRightInd w:val="0"/>
        <w:snapToGrid w:val="0"/>
        <w:spacing w:line="560" w:lineRule="exact"/>
        <w:ind w:firstLine="562" w:firstLineChars="0"/>
        <w:rPr>
          <w:rFonts w:ascii="宋体"/>
          <w:b/>
          <w:bCs/>
          <w:color w:val="000000"/>
          <w:sz w:val="21"/>
        </w:rPr>
      </w:pPr>
    </w:p>
    <w:p w14:paraId="635DA80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Times New Roman" w:cs="Times New Roman"/>
          <w:b/>
          <w:bCs/>
          <w:color w:val="000000"/>
          <w:sz w:val="44"/>
        </w:rPr>
      </w:pPr>
      <w:r>
        <w:rPr>
          <w:rFonts w:hint="eastAsia" w:ascii="宋体" w:hAnsi="Times New Roman" w:cs="Times New Roman"/>
          <w:b/>
          <w:bCs/>
          <w:color w:val="000000"/>
          <w:sz w:val="44"/>
        </w:rPr>
        <w:t>国家计量</w:t>
      </w:r>
      <w:r>
        <w:rPr>
          <w:rFonts w:hint="eastAsia" w:ascii="宋体" w:hAnsi="Times New Roman" w:cs="Times New Roman"/>
          <w:b/>
          <w:bCs/>
          <w:color w:val="000000"/>
          <w:sz w:val="44"/>
          <w:lang w:val="en-US" w:eastAsia="zh-CN"/>
        </w:rPr>
        <w:t>技术规范</w:t>
      </w:r>
    </w:p>
    <w:p w14:paraId="6ED7F55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Times New Roman" w:cs="Times New Roman"/>
          <w:b/>
          <w:bCs/>
          <w:color w:val="000000"/>
          <w:sz w:val="44"/>
        </w:rPr>
      </w:pPr>
      <w:r>
        <w:rPr>
          <w:rFonts w:hint="eastAsia" w:ascii="宋体" w:hAnsi="Times New Roman" w:cs="Times New Roman"/>
          <w:b/>
          <w:bCs/>
          <w:color w:val="000000"/>
          <w:sz w:val="44"/>
        </w:rPr>
        <w:t>《大口径饮用冷水水表在线校准规范》</w:t>
      </w:r>
    </w:p>
    <w:p w14:paraId="3A913AA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Times New Roman" w:cs="Times New Roman"/>
          <w:b/>
          <w:bCs/>
          <w:color w:val="000000"/>
          <w:sz w:val="44"/>
        </w:rPr>
      </w:pPr>
      <w:r>
        <w:rPr>
          <w:rFonts w:hint="eastAsia" w:ascii="宋体" w:hAnsi="Times New Roman" w:cs="Times New Roman"/>
          <w:b/>
          <w:bCs/>
          <w:color w:val="000000"/>
          <w:sz w:val="44"/>
          <w:lang w:val="en-US" w:eastAsia="zh-CN"/>
        </w:rPr>
        <w:t>编制</w:t>
      </w:r>
      <w:r>
        <w:rPr>
          <w:rFonts w:hint="eastAsia" w:ascii="宋体" w:hAnsi="Times New Roman" w:cs="Times New Roman"/>
          <w:b/>
          <w:bCs/>
          <w:color w:val="000000"/>
          <w:sz w:val="44"/>
        </w:rPr>
        <w:t>说明</w:t>
      </w:r>
    </w:p>
    <w:p w14:paraId="2617768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Times New Roman" w:cs="Times New Roman"/>
          <w:b/>
          <w:bCs/>
          <w:color w:val="000000"/>
          <w:sz w:val="44"/>
        </w:rPr>
      </w:pPr>
    </w:p>
    <w:p w14:paraId="152903A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Times New Roman" w:cs="Times New Roman"/>
          <w:b/>
          <w:bCs/>
          <w:color w:val="000000"/>
          <w:sz w:val="36"/>
          <w:szCs w:val="21"/>
        </w:rPr>
      </w:pPr>
      <w:r>
        <w:rPr>
          <w:rFonts w:hint="eastAsia" w:ascii="宋体" w:hAnsi="Times New Roman" w:cs="Times New Roman"/>
          <w:b/>
          <w:bCs/>
          <w:color w:val="000000"/>
          <w:sz w:val="36"/>
          <w:szCs w:val="21"/>
        </w:rPr>
        <w:t>（征求意见稿）</w:t>
      </w:r>
    </w:p>
    <w:p w14:paraId="12C0620F">
      <w:pPr>
        <w:spacing w:line="560" w:lineRule="exact"/>
        <w:rPr>
          <w:rFonts w:eastAsia="黑体"/>
          <w:sz w:val="28"/>
          <w:szCs w:val="28"/>
        </w:rPr>
      </w:pPr>
    </w:p>
    <w:p w14:paraId="1FAA8B4F">
      <w:pPr>
        <w:spacing w:line="560" w:lineRule="exact"/>
        <w:ind w:left="1399" w:hanging="280"/>
        <w:rPr>
          <w:rFonts w:ascii="黑体" w:eastAsia="黑体"/>
          <w:sz w:val="28"/>
          <w:szCs w:val="28"/>
        </w:rPr>
      </w:pPr>
    </w:p>
    <w:p w14:paraId="61C76C4A">
      <w:pPr>
        <w:spacing w:line="560" w:lineRule="exact"/>
        <w:ind w:left="1399" w:hanging="280"/>
        <w:rPr>
          <w:rFonts w:ascii="黑体" w:eastAsia="黑体"/>
          <w:sz w:val="28"/>
          <w:szCs w:val="28"/>
        </w:rPr>
      </w:pPr>
    </w:p>
    <w:p w14:paraId="26F5C4EF">
      <w:pPr>
        <w:spacing w:line="560" w:lineRule="exact"/>
        <w:ind w:left="1399" w:hanging="280"/>
        <w:rPr>
          <w:rFonts w:ascii="黑体" w:eastAsia="黑体"/>
          <w:sz w:val="28"/>
          <w:szCs w:val="28"/>
        </w:rPr>
      </w:pPr>
    </w:p>
    <w:p w14:paraId="05CD2FDA">
      <w:pPr>
        <w:spacing w:line="560" w:lineRule="exact"/>
        <w:ind w:left="1399" w:hanging="280"/>
        <w:rPr>
          <w:rFonts w:ascii="黑体" w:eastAsia="黑体"/>
          <w:sz w:val="28"/>
          <w:szCs w:val="28"/>
        </w:rPr>
      </w:pPr>
    </w:p>
    <w:p w14:paraId="213E78DD">
      <w:pPr>
        <w:spacing w:line="560" w:lineRule="exact"/>
        <w:ind w:left="1399" w:hanging="280"/>
        <w:rPr>
          <w:rFonts w:ascii="黑体" w:eastAsia="黑体"/>
          <w:sz w:val="28"/>
          <w:szCs w:val="28"/>
        </w:rPr>
      </w:pPr>
    </w:p>
    <w:p w14:paraId="5F4F7217">
      <w:pPr>
        <w:spacing w:line="560" w:lineRule="exact"/>
        <w:ind w:left="1399" w:hanging="280"/>
        <w:rPr>
          <w:rFonts w:ascii="黑体" w:eastAsia="黑体"/>
          <w:sz w:val="28"/>
          <w:szCs w:val="28"/>
        </w:rPr>
      </w:pPr>
    </w:p>
    <w:p w14:paraId="77CBB4D4">
      <w:pPr>
        <w:spacing w:line="560" w:lineRule="exact"/>
        <w:ind w:left="1399" w:hanging="280"/>
        <w:rPr>
          <w:rFonts w:ascii="黑体" w:eastAsia="黑体"/>
          <w:sz w:val="28"/>
          <w:szCs w:val="28"/>
        </w:rPr>
      </w:pPr>
    </w:p>
    <w:p w14:paraId="216F4835">
      <w:pPr>
        <w:spacing w:line="560" w:lineRule="exact"/>
        <w:rPr>
          <w:rFonts w:ascii="黑体" w:eastAsia="黑体"/>
          <w:sz w:val="28"/>
          <w:szCs w:val="28"/>
        </w:rPr>
      </w:pPr>
    </w:p>
    <w:p w14:paraId="6FB24896">
      <w:pPr>
        <w:spacing w:line="560" w:lineRule="exact"/>
        <w:ind w:firstLine="4000" w:firstLineChars="1250"/>
        <w:rPr>
          <w:rFonts w:eastAsia="黑体"/>
          <w:sz w:val="32"/>
          <w:szCs w:val="32"/>
        </w:rPr>
      </w:pPr>
    </w:p>
    <w:p w14:paraId="28BF2CFB">
      <w:pPr>
        <w:spacing w:line="560" w:lineRule="exact"/>
        <w:ind w:firstLine="4000" w:firstLineChars="1250"/>
        <w:rPr>
          <w:rFonts w:eastAsia="黑体"/>
          <w:sz w:val="32"/>
          <w:szCs w:val="32"/>
        </w:rPr>
      </w:pPr>
    </w:p>
    <w:p w14:paraId="2032B4F2">
      <w:pPr>
        <w:spacing w:line="560" w:lineRule="exact"/>
        <w:jc w:val="center"/>
        <w:rPr>
          <w:rFonts w:eastAsia="黑体"/>
          <w:b/>
          <w:sz w:val="28"/>
          <w:szCs w:val="28"/>
        </w:rPr>
      </w:pPr>
      <w:r>
        <w:rPr>
          <w:rFonts w:hint="eastAsia" w:ascii="宋体" w:hAnsi="宋体"/>
          <w:b/>
          <w:sz w:val="28"/>
          <w:szCs w:val="28"/>
          <w:lang w:val="en-US" w:eastAsia="zh-CN"/>
        </w:rPr>
        <w:t>规范</w:t>
      </w:r>
      <w:r>
        <w:rPr>
          <w:rFonts w:hint="eastAsia" w:ascii="宋体" w:hAnsi="宋体"/>
          <w:b/>
          <w:sz w:val="28"/>
          <w:szCs w:val="28"/>
        </w:rPr>
        <w:t>起草</w:t>
      </w:r>
      <w:r>
        <w:rPr>
          <w:rFonts w:hint="eastAsia" w:ascii="宋体" w:hAnsi="宋体"/>
          <w:b/>
          <w:sz w:val="28"/>
          <w:szCs w:val="28"/>
          <w:lang w:val="en-US" w:eastAsia="zh-CN"/>
        </w:rPr>
        <w:t>工作</w:t>
      </w:r>
      <w:r>
        <w:rPr>
          <w:rFonts w:hint="eastAsia" w:ascii="宋体" w:hAnsi="宋体"/>
          <w:b/>
          <w:sz w:val="28"/>
          <w:szCs w:val="28"/>
        </w:rPr>
        <w:t>组</w:t>
      </w:r>
    </w:p>
    <w:p w14:paraId="2D6125B5">
      <w:pPr>
        <w:spacing w:line="560" w:lineRule="exact"/>
        <w:jc w:val="center"/>
        <w:rPr>
          <w:rFonts w:ascii="宋体" w:hAnsi="宋体"/>
          <w:b/>
          <w:sz w:val="28"/>
          <w:szCs w:val="28"/>
        </w:rPr>
      </w:pPr>
      <w:r>
        <w:rPr>
          <w:rFonts w:ascii="宋体" w:hAnsi="宋体"/>
          <w:b/>
          <w:sz w:val="28"/>
          <w:szCs w:val="28"/>
        </w:rPr>
        <w:t>202</w:t>
      </w:r>
      <w:r>
        <w:rPr>
          <w:rFonts w:hint="eastAsia" w:ascii="宋体" w:hAnsi="宋体"/>
          <w:b/>
          <w:sz w:val="28"/>
          <w:szCs w:val="28"/>
          <w:lang w:val="en-US" w:eastAsia="zh-CN"/>
        </w:rPr>
        <w:t>5</w:t>
      </w:r>
      <w:r>
        <w:rPr>
          <w:rFonts w:ascii="宋体" w:hAnsi="宋体"/>
          <w:b/>
          <w:sz w:val="28"/>
          <w:szCs w:val="28"/>
        </w:rPr>
        <w:t>年</w:t>
      </w:r>
      <w:r>
        <w:rPr>
          <w:rFonts w:hint="eastAsia" w:ascii="宋体" w:hAnsi="宋体"/>
          <w:b/>
          <w:sz w:val="28"/>
          <w:szCs w:val="28"/>
          <w:lang w:val="en-US" w:eastAsia="zh-CN"/>
        </w:rPr>
        <w:t>2</w:t>
      </w:r>
      <w:r>
        <w:rPr>
          <w:rFonts w:ascii="宋体" w:hAnsi="宋体"/>
          <w:b/>
          <w:sz w:val="28"/>
          <w:szCs w:val="28"/>
        </w:rPr>
        <w:t>月</w:t>
      </w:r>
    </w:p>
    <w:p w14:paraId="23615E1E">
      <w:pPr>
        <w:spacing w:line="560" w:lineRule="exact"/>
        <w:rPr>
          <w:rFonts w:ascii="宋体" w:hAnsi="宋体"/>
          <w:sz w:val="28"/>
          <w:szCs w:val="28"/>
        </w:rPr>
        <w:sectPr>
          <w:footerReference r:id="rId8" w:type="first"/>
          <w:headerReference r:id="rId5" w:type="default"/>
          <w:footerReference r:id="rId6" w:type="default"/>
          <w:footerReference r:id="rId7" w:type="even"/>
          <w:pgSz w:w="11906" w:h="16838"/>
          <w:pgMar w:top="1134" w:right="1134" w:bottom="1077" w:left="1191" w:header="851" w:footer="992" w:gutter="0"/>
          <w:pgNumType w:fmt="decimal" w:start="1" w:chapStyle="1"/>
          <w:cols w:space="425" w:num="1"/>
          <w:titlePg/>
          <w:docGrid w:type="linesAndChars" w:linePitch="468" w:charSpace="0"/>
        </w:sectPr>
      </w:pPr>
    </w:p>
    <w:p w14:paraId="1A0FA2CC">
      <w:pPr>
        <w:pStyle w:val="7"/>
        <w:adjustRightInd w:val="0"/>
        <w:snapToGrid w:val="0"/>
        <w:spacing w:line="560" w:lineRule="exact"/>
        <w:ind w:firstLine="0" w:firstLineChars="0"/>
        <w:rPr>
          <w:rFonts w:hint="eastAsia" w:ascii="宋体" w:hAnsi="宋体" w:cs="宋体"/>
          <w:color w:val="000000"/>
          <w:lang w:val="en-US" w:eastAsia="zh-CN"/>
        </w:rPr>
      </w:pPr>
      <w:r>
        <w:rPr>
          <w:rFonts w:hint="eastAsia" w:ascii="宋体" w:hAnsi="宋体" w:cs="宋体"/>
          <w:color w:val="000000"/>
          <w:lang w:val="en-US" w:eastAsia="zh-CN"/>
        </w:rPr>
        <w:t>国家计量技术规范</w:t>
      </w:r>
    </w:p>
    <w:p w14:paraId="7CFD2523">
      <w:pPr>
        <w:pStyle w:val="7"/>
        <w:adjustRightInd w:val="0"/>
        <w:snapToGrid w:val="0"/>
        <w:spacing w:line="560" w:lineRule="exact"/>
        <w:ind w:firstLine="0" w:firstLineChars="0"/>
        <w:rPr>
          <w:rFonts w:hint="eastAsia" w:ascii="宋体" w:hAnsi="宋体" w:cs="宋体"/>
          <w:color w:val="000000"/>
        </w:rPr>
      </w:pPr>
      <w:r>
        <w:rPr>
          <w:rFonts w:hint="eastAsia" w:ascii="宋体" w:hAnsi="宋体" w:cs="宋体"/>
          <w:color w:val="000000"/>
        </w:rPr>
        <w:t>《大口径饮用冷水水表在线校准规范》编制说明</w:t>
      </w:r>
    </w:p>
    <w:p w14:paraId="1686B52A">
      <w:pPr>
        <w:pStyle w:val="2"/>
        <w:keepNext/>
        <w:keepLines/>
        <w:pageBreakBefore w:val="0"/>
        <w:widowControl w:val="0"/>
        <w:numPr>
          <w:ilvl w:val="255"/>
          <w:numId w:val="0"/>
        </w:numPr>
        <w:kinsoku/>
        <w:wordWrap/>
        <w:overflowPunct/>
        <w:topLinePunct w:val="0"/>
        <w:autoSpaceDE/>
        <w:autoSpaceDN/>
        <w:bidi w:val="0"/>
        <w:adjustRightInd w:val="0"/>
        <w:snapToGrid w:val="0"/>
        <w:spacing w:before="0" w:after="0" w:line="360" w:lineRule="auto"/>
        <w:textAlignment w:val="auto"/>
        <w:rPr>
          <w:rFonts w:ascii="宋体"/>
          <w:color w:val="000000"/>
        </w:rPr>
      </w:pPr>
      <w:r>
        <w:rPr>
          <w:rFonts w:hint="eastAsia" w:ascii="宋体" w:hAnsi="宋体" w:cs="宋体"/>
          <w:color w:val="000000"/>
        </w:rPr>
        <w:t>一、任务来源</w:t>
      </w:r>
    </w:p>
    <w:p w14:paraId="0ECF2FCF">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bookmarkStart w:id="0" w:name="_Hlk149420113"/>
      <w:r>
        <w:rPr>
          <w:rFonts w:hint="eastAsia" w:ascii="宋体" w:hAnsi="宋体" w:cs="宋体"/>
          <w:color w:val="000000"/>
        </w:rPr>
        <w:t>根据国家市场监督管理总局</w:t>
      </w:r>
      <w:r>
        <w:rPr>
          <w:rFonts w:hint="eastAsia" w:ascii="宋体" w:hAnsi="宋体" w:cs="宋体"/>
          <w:color w:val="000000"/>
          <w:lang w:val="en-US" w:eastAsia="zh-CN"/>
        </w:rPr>
        <w:t>《市场监管总局办公厅关于印发2024年国家计量技术规范制定、修订及宣贯计划的通知》（市监计量发〔</w:t>
      </w:r>
      <w:r>
        <w:rPr>
          <w:rFonts w:hint="default" w:ascii="宋体" w:hAnsi="宋体" w:cs="宋体"/>
          <w:color w:val="000000"/>
          <w:lang w:val="en-US" w:eastAsia="zh-CN"/>
        </w:rPr>
        <w:t>2024〕40</w:t>
      </w:r>
      <w:r>
        <w:rPr>
          <w:rFonts w:hint="eastAsia" w:ascii="宋体" w:hAnsi="宋体" w:cs="宋体"/>
          <w:color w:val="000000"/>
          <w:lang w:val="en-US" w:eastAsia="zh-CN"/>
        </w:rPr>
        <w:t>号），由全国流量计量技术委员会液体流量分技术委员会（MTC3/SC1）组织制定《大口径电子式水表在线校准规范》（</w:t>
      </w:r>
      <w:r>
        <w:rPr>
          <w:rFonts w:hint="eastAsia" w:ascii="宋体" w:hAnsi="宋体" w:cs="宋体"/>
          <w:color w:val="000000"/>
        </w:rPr>
        <w:t>计划项目编号：MTC3/SC</w:t>
      </w:r>
      <w:r>
        <w:rPr>
          <w:rFonts w:hint="eastAsia" w:ascii="宋体" w:hAnsi="宋体" w:cs="宋体"/>
          <w:color w:val="000000"/>
          <w:lang w:val="en-US" w:eastAsia="zh-CN"/>
        </w:rPr>
        <w:t>1</w:t>
      </w:r>
      <w:r>
        <w:rPr>
          <w:rFonts w:hint="eastAsia" w:ascii="宋体" w:hAnsi="宋体" w:cs="宋体"/>
          <w:color w:val="000000"/>
        </w:rPr>
        <w:t>-2024-0</w:t>
      </w:r>
      <w:r>
        <w:rPr>
          <w:rFonts w:hint="eastAsia" w:ascii="宋体" w:hAnsi="宋体" w:cs="宋体"/>
          <w:color w:val="000000"/>
          <w:lang w:val="en-US" w:eastAsia="zh-CN"/>
        </w:rPr>
        <w:t>2）</w:t>
      </w:r>
      <w:r>
        <w:rPr>
          <w:rFonts w:hint="eastAsia" w:ascii="宋体" w:hAnsi="宋体" w:cs="宋体"/>
          <w:color w:val="000000"/>
        </w:rPr>
        <w:t>。</w:t>
      </w:r>
      <w:bookmarkEnd w:id="0"/>
    </w:p>
    <w:p w14:paraId="465C391A">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lang w:val="en-US" w:eastAsia="zh-CN"/>
        </w:rPr>
        <w:t>规范起草工作组</w:t>
      </w:r>
      <w:r>
        <w:rPr>
          <w:rFonts w:hint="eastAsia" w:ascii="宋体" w:hAnsi="宋体" w:cs="宋体"/>
          <w:color w:val="000000"/>
        </w:rPr>
        <w:t>由</w:t>
      </w:r>
      <w:r>
        <w:rPr>
          <w:rFonts w:hint="eastAsia" w:ascii="宋体" w:hAnsi="宋体" w:cs="宋体"/>
          <w:color w:val="000000"/>
          <w:lang w:val="en-US" w:eastAsia="zh-CN"/>
        </w:rPr>
        <w:t>上海市供水水表强制检定站有限公司、上海市计量测试技术研究院、河南省计量测试科学研究院、深圳市计量质量检测研究院、中国计量大学、深圳市水务（集团）有限公司等单位组成</w:t>
      </w:r>
      <w:r>
        <w:rPr>
          <w:rFonts w:hint="eastAsia" w:ascii="宋体" w:hAnsi="宋体" w:cs="宋体"/>
          <w:color w:val="000000"/>
        </w:rPr>
        <w:t>。</w:t>
      </w:r>
    </w:p>
    <w:p w14:paraId="763592BF">
      <w:pPr>
        <w:pStyle w:val="2"/>
        <w:keepNext/>
        <w:keepLines/>
        <w:pageBreakBefore w:val="0"/>
        <w:widowControl w:val="0"/>
        <w:numPr>
          <w:ilvl w:val="255"/>
          <w:numId w:val="0"/>
        </w:numPr>
        <w:kinsoku/>
        <w:wordWrap/>
        <w:overflowPunct/>
        <w:topLinePunct w:val="0"/>
        <w:autoSpaceDE/>
        <w:autoSpaceDN/>
        <w:bidi w:val="0"/>
        <w:adjustRightInd w:val="0"/>
        <w:snapToGrid w:val="0"/>
        <w:spacing w:before="0" w:after="0" w:line="360" w:lineRule="auto"/>
        <w:textAlignment w:val="auto"/>
        <w:rPr>
          <w:rFonts w:hint="eastAsia" w:ascii="宋体" w:hAnsi="宋体" w:cs="宋体"/>
          <w:color w:val="000000"/>
        </w:rPr>
      </w:pPr>
      <w:r>
        <w:rPr>
          <w:rFonts w:hint="eastAsia" w:ascii="宋体" w:hAnsi="宋体" w:cs="宋体"/>
          <w:color w:val="000000"/>
          <w:lang w:val="en-US" w:eastAsia="zh-CN"/>
        </w:rPr>
        <w:t>二、</w:t>
      </w:r>
      <w:r>
        <w:rPr>
          <w:rFonts w:hint="eastAsia" w:ascii="宋体" w:hAnsi="宋体" w:cs="宋体"/>
          <w:color w:val="000000"/>
        </w:rPr>
        <w:t>制定的必要性</w:t>
      </w:r>
    </w:p>
    <w:p w14:paraId="0295AA53">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rPr>
        <w:t>近年来，在我国一系列水资源管理政策的推动和水务行业数字化转型的背景下，</w:t>
      </w:r>
      <w:r>
        <w:rPr>
          <w:rFonts w:hint="eastAsia" w:ascii="宋体" w:hAnsi="宋体" w:cs="宋体"/>
          <w:color w:val="000000"/>
          <w:lang w:val="en-US" w:eastAsia="zh-CN"/>
        </w:rPr>
        <w:t>大口径</w:t>
      </w:r>
      <w:r>
        <w:rPr>
          <w:rFonts w:hint="eastAsia" w:ascii="宋体" w:hAnsi="宋体" w:cs="宋体"/>
          <w:color w:val="000000"/>
        </w:rPr>
        <w:t>水表</w:t>
      </w:r>
      <w:r>
        <w:rPr>
          <w:rFonts w:hint="eastAsia" w:ascii="宋体" w:hAnsi="宋体" w:cs="宋体"/>
          <w:color w:val="000000"/>
          <w:lang w:val="en-US" w:eastAsia="zh-CN"/>
        </w:rPr>
        <w:t>尤其是大口径电子式水表</w:t>
      </w:r>
      <w:r>
        <w:rPr>
          <w:rFonts w:hint="eastAsia" w:ascii="宋体" w:hAnsi="宋体" w:cs="宋体"/>
          <w:color w:val="000000"/>
        </w:rPr>
        <w:t>的应用增长迅速。根据JJG162—2019《饮用冷水水表》，标称口径超过DN50或常用流量Q</w:t>
      </w:r>
      <w:r>
        <w:rPr>
          <w:rFonts w:hint="eastAsia" w:ascii="宋体" w:hAnsi="宋体" w:cs="宋体"/>
          <w:color w:val="000000"/>
          <w:vertAlign w:val="subscript"/>
        </w:rPr>
        <w:t>3</w:t>
      </w:r>
      <w:r>
        <w:rPr>
          <w:rFonts w:hint="eastAsia" w:ascii="宋体" w:hAnsi="宋体" w:cs="宋体"/>
          <w:color w:val="000000"/>
        </w:rPr>
        <w:t>超过16</w:t>
      </w:r>
      <w:r>
        <w:rPr>
          <w:rFonts w:hint="eastAsia" w:ascii="宋体" w:hAnsi="宋体" w:cs="宋体"/>
          <w:color w:val="000000"/>
          <w:lang w:val="en-US" w:eastAsia="zh-CN"/>
        </w:rPr>
        <w:t xml:space="preserve"> </w:t>
      </w:r>
      <w:r>
        <w:rPr>
          <w:rFonts w:hint="eastAsia" w:ascii="宋体" w:hAnsi="宋体" w:cs="宋体"/>
          <w:color w:val="000000"/>
        </w:rPr>
        <w:t>m</w:t>
      </w:r>
      <w:r>
        <w:rPr>
          <w:rFonts w:hint="eastAsia" w:ascii="宋体" w:hAnsi="宋体" w:cs="宋体"/>
          <w:color w:val="000000"/>
          <w:vertAlign w:val="superscript"/>
        </w:rPr>
        <w:t>3</w:t>
      </w:r>
      <w:r>
        <w:rPr>
          <w:rFonts w:hint="eastAsia" w:ascii="宋体" w:hAnsi="宋体" w:cs="宋体"/>
          <w:color w:val="000000"/>
        </w:rPr>
        <w:t>/h的水表，检定周期一般为2年。在实际应用中，DN50</w:t>
      </w:r>
      <w:r>
        <w:rPr>
          <w:rFonts w:hint="eastAsia" w:ascii="宋体" w:hAnsi="宋体" w:cs="宋体"/>
          <w:color w:val="000000"/>
          <w:lang w:val="en-US" w:eastAsia="zh-CN"/>
        </w:rPr>
        <w:t>及</w:t>
      </w:r>
      <w:r>
        <w:rPr>
          <w:rFonts w:hint="eastAsia" w:ascii="宋体" w:hAnsi="宋体" w:cs="宋体"/>
          <w:color w:val="000000"/>
        </w:rPr>
        <w:t>以上水表</w:t>
      </w:r>
      <w:r>
        <w:rPr>
          <w:rFonts w:hint="eastAsia" w:ascii="宋体" w:hAnsi="宋体" w:cs="宋体"/>
          <w:color w:val="000000"/>
          <w:lang w:val="en-US" w:eastAsia="zh-CN"/>
        </w:rPr>
        <w:t>需</w:t>
      </w:r>
      <w:r>
        <w:rPr>
          <w:rFonts w:hint="eastAsia" w:ascii="宋体" w:hAnsi="宋体" w:cs="宋体"/>
          <w:color w:val="000000"/>
        </w:rPr>
        <w:t>拆回实验室检定</w:t>
      </w:r>
      <w:r>
        <w:rPr>
          <w:rFonts w:hint="eastAsia" w:ascii="宋体" w:hAnsi="宋体" w:cs="宋体"/>
          <w:color w:val="000000"/>
          <w:lang w:eastAsia="zh-CN"/>
        </w:rPr>
        <w:t>，</w:t>
      </w:r>
      <w:r>
        <w:rPr>
          <w:rFonts w:hint="eastAsia" w:ascii="宋体" w:hAnsi="宋体" w:cs="宋体"/>
          <w:color w:val="000000"/>
        </w:rPr>
        <w:t>存在操作不便、成本较高且影响用户正常生产生活等问题</w:t>
      </w:r>
      <w:r>
        <w:rPr>
          <w:rFonts w:hint="eastAsia" w:ascii="宋体" w:hAnsi="宋体" w:cs="宋体"/>
          <w:color w:val="000000"/>
          <w:lang w:eastAsia="zh-CN"/>
        </w:rPr>
        <w:t>。</w:t>
      </w:r>
      <w:r>
        <w:rPr>
          <w:rFonts w:hint="eastAsia" w:ascii="宋体" w:hAnsi="宋体" w:cs="宋体"/>
          <w:color w:val="000000"/>
          <w:lang w:val="en-US" w:eastAsia="zh-CN"/>
        </w:rPr>
        <w:t>虽然国内多个地区推广采用在线校准的方式确认使用中水表的计量性能</w:t>
      </w:r>
      <w:r>
        <w:rPr>
          <w:rFonts w:hint="eastAsia" w:ascii="宋体" w:hAnsi="宋体" w:cs="宋体"/>
          <w:color w:val="000000"/>
          <w:lang w:eastAsia="zh-CN"/>
        </w:rPr>
        <w:t>，</w:t>
      </w:r>
      <w:r>
        <w:rPr>
          <w:rFonts w:hint="eastAsia" w:ascii="宋体" w:hAnsi="宋体" w:cs="宋体"/>
          <w:color w:val="000000"/>
          <w:lang w:val="en-US" w:eastAsia="zh-CN"/>
        </w:rPr>
        <w:t>但目前</w:t>
      </w:r>
      <w:r>
        <w:rPr>
          <w:rFonts w:hint="eastAsia" w:ascii="宋体" w:hAnsi="宋体" w:cs="宋体"/>
          <w:color w:val="000000"/>
        </w:rPr>
        <w:t>针对水表在线校准的计量技术规范尚处于空白</w:t>
      </w:r>
      <w:r>
        <w:rPr>
          <w:rFonts w:hint="eastAsia" w:ascii="宋体" w:hAnsi="宋体" w:cs="宋体"/>
          <w:color w:val="000000"/>
          <w:lang w:val="en-US" w:eastAsia="zh-CN"/>
        </w:rPr>
        <w:t>状态。</w:t>
      </w:r>
      <w:r>
        <w:rPr>
          <w:rFonts w:hint="eastAsia" w:ascii="宋体" w:hAnsi="宋体" w:cs="宋体"/>
          <w:color w:val="000000"/>
        </w:rPr>
        <w:t>为解决</w:t>
      </w:r>
      <w:r>
        <w:rPr>
          <w:rFonts w:hint="eastAsia" w:ascii="宋体" w:hAnsi="宋体" w:cs="宋体"/>
          <w:color w:val="000000"/>
          <w:lang w:val="en-US" w:eastAsia="zh-CN"/>
        </w:rPr>
        <w:t>大口径</w:t>
      </w:r>
      <w:r>
        <w:rPr>
          <w:rFonts w:hint="eastAsia" w:ascii="宋体" w:hAnsi="宋体" w:cs="宋体"/>
          <w:color w:val="000000"/>
        </w:rPr>
        <w:t>水表使用中</w:t>
      </w:r>
      <w:r>
        <w:rPr>
          <w:rFonts w:hint="eastAsia" w:ascii="宋体" w:hAnsi="宋体" w:cs="宋体"/>
          <w:color w:val="000000"/>
          <w:lang w:val="en-US" w:eastAsia="zh-CN"/>
        </w:rPr>
        <w:t>在线计量</w:t>
      </w:r>
      <w:r>
        <w:rPr>
          <w:rFonts w:hint="eastAsia" w:ascii="宋体" w:hAnsi="宋体" w:cs="宋体"/>
          <w:color w:val="000000"/>
        </w:rPr>
        <w:t>的实际问题，迫切需要制定相应的技术文件来</w:t>
      </w:r>
      <w:r>
        <w:rPr>
          <w:rFonts w:hint="eastAsia" w:ascii="宋体" w:hAnsi="宋体" w:cs="宋体"/>
          <w:color w:val="000000"/>
          <w:lang w:val="en-US" w:eastAsia="zh-CN"/>
        </w:rPr>
        <w:t>指导和</w:t>
      </w:r>
      <w:r>
        <w:rPr>
          <w:rFonts w:hint="eastAsia" w:ascii="宋体" w:hAnsi="宋体" w:cs="宋体"/>
          <w:color w:val="000000"/>
        </w:rPr>
        <w:t>规范</w:t>
      </w:r>
      <w:r>
        <w:rPr>
          <w:rFonts w:hint="eastAsia" w:ascii="宋体" w:hAnsi="宋体" w:cs="宋体"/>
          <w:color w:val="000000"/>
          <w:lang w:val="en-US" w:eastAsia="zh-CN"/>
        </w:rPr>
        <w:t>在线</w:t>
      </w:r>
      <w:r>
        <w:rPr>
          <w:rFonts w:hint="eastAsia" w:ascii="宋体" w:hAnsi="宋体" w:cs="宋体"/>
          <w:color w:val="000000"/>
        </w:rPr>
        <w:t>校准工作，以保障量值</w:t>
      </w:r>
      <w:r>
        <w:rPr>
          <w:rFonts w:hint="eastAsia" w:ascii="宋体" w:hAnsi="宋体" w:cs="宋体"/>
          <w:color w:val="000000"/>
          <w:lang w:val="en-US" w:eastAsia="zh-CN"/>
        </w:rPr>
        <w:t>传递</w:t>
      </w:r>
      <w:r>
        <w:rPr>
          <w:rFonts w:hint="eastAsia" w:ascii="宋体" w:hAnsi="宋体" w:cs="宋体"/>
          <w:color w:val="000000"/>
        </w:rPr>
        <w:t>的准确和统一，推动</w:t>
      </w:r>
      <w:r>
        <w:rPr>
          <w:rFonts w:hint="eastAsia" w:ascii="宋体" w:hAnsi="宋体" w:cs="宋体"/>
          <w:color w:val="000000"/>
          <w:lang w:val="en-US" w:eastAsia="zh-CN"/>
        </w:rPr>
        <w:t>大口径</w:t>
      </w:r>
      <w:r>
        <w:rPr>
          <w:rFonts w:hint="eastAsia" w:ascii="宋体" w:hAnsi="宋体" w:cs="宋体"/>
          <w:color w:val="000000"/>
        </w:rPr>
        <w:t>水表的应用满足法制计量监管和实际生产管理需求。</w:t>
      </w:r>
    </w:p>
    <w:p w14:paraId="4D0357EF">
      <w:pPr>
        <w:pStyle w:val="2"/>
        <w:keepNext/>
        <w:keepLines/>
        <w:pageBreakBefore w:val="0"/>
        <w:widowControl w:val="0"/>
        <w:numPr>
          <w:ilvl w:val="255"/>
          <w:numId w:val="0"/>
        </w:numPr>
        <w:kinsoku/>
        <w:wordWrap/>
        <w:overflowPunct/>
        <w:topLinePunct w:val="0"/>
        <w:autoSpaceDE/>
        <w:autoSpaceDN/>
        <w:bidi w:val="0"/>
        <w:adjustRightInd w:val="0"/>
        <w:snapToGrid w:val="0"/>
        <w:spacing w:before="0" w:after="0" w:line="360" w:lineRule="auto"/>
        <w:textAlignment w:val="auto"/>
        <w:rPr>
          <w:rFonts w:hint="eastAsia" w:ascii="宋体" w:hAnsi="宋体" w:cs="宋体"/>
          <w:color w:val="000000"/>
          <w:lang w:val="en-US" w:eastAsia="zh-CN"/>
        </w:rPr>
      </w:pPr>
      <w:r>
        <w:rPr>
          <w:rFonts w:hint="eastAsia" w:ascii="宋体" w:hAnsi="宋体" w:cs="宋体"/>
          <w:color w:val="000000"/>
          <w:lang w:val="en-US" w:eastAsia="zh-CN"/>
        </w:rPr>
        <w:t>三、主要技术依据</w:t>
      </w:r>
    </w:p>
    <w:p w14:paraId="3C041BD9">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rPr>
        <w:t>本规范制定以国内实际情况为出发点，体现科学性、合理性、先进性、实用性</w:t>
      </w:r>
      <w:r>
        <w:rPr>
          <w:rFonts w:hint="eastAsia" w:ascii="宋体" w:hAnsi="宋体" w:cs="宋体"/>
          <w:color w:val="000000"/>
          <w:lang w:eastAsia="zh-CN"/>
        </w:rPr>
        <w:t>，</w:t>
      </w:r>
      <w:r>
        <w:rPr>
          <w:rFonts w:hint="eastAsia" w:ascii="宋体" w:hAnsi="宋体" w:cs="宋体"/>
          <w:color w:val="000000"/>
          <w:lang w:val="en-US" w:eastAsia="zh-CN"/>
        </w:rPr>
        <w:t>力争</w:t>
      </w:r>
      <w:r>
        <w:rPr>
          <w:rFonts w:hint="eastAsia" w:ascii="宋体" w:hAnsi="宋体" w:cs="宋体"/>
          <w:color w:val="000000"/>
        </w:rPr>
        <w:t>使规范</w:t>
      </w:r>
      <w:r>
        <w:rPr>
          <w:rFonts w:hint="eastAsia" w:ascii="宋体" w:hAnsi="宋体" w:cs="宋体"/>
          <w:color w:val="000000"/>
          <w:lang w:val="en-US" w:eastAsia="zh-CN"/>
        </w:rPr>
        <w:t>的</w:t>
      </w:r>
      <w:r>
        <w:rPr>
          <w:rFonts w:hint="eastAsia" w:ascii="宋体" w:hAnsi="宋体" w:cs="宋体"/>
          <w:color w:val="000000"/>
        </w:rPr>
        <w:t>校准项目、技术要求及校准方法与国际建议和国家（行业）标准、技术规范相</w:t>
      </w:r>
      <w:r>
        <w:rPr>
          <w:rFonts w:hint="eastAsia" w:ascii="宋体" w:hAnsi="宋体" w:cs="宋体"/>
          <w:color w:val="000000"/>
          <w:lang w:val="en-US" w:eastAsia="zh-CN"/>
        </w:rPr>
        <w:t>协调</w:t>
      </w:r>
      <w:r>
        <w:rPr>
          <w:rFonts w:hint="eastAsia" w:ascii="宋体" w:hAnsi="宋体" w:cs="宋体"/>
          <w:color w:val="000000"/>
        </w:rPr>
        <w:t>。</w:t>
      </w:r>
    </w:p>
    <w:p w14:paraId="0D737D1E">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rPr>
        <w:t>本规范制定主要依据及参考了以下文件：</w:t>
      </w:r>
    </w:p>
    <w:p w14:paraId="4BD2EED8">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cs="宋体"/>
          <w:color w:val="000000"/>
        </w:rPr>
      </w:pPr>
      <w:r>
        <w:rPr>
          <w:rFonts w:ascii="宋体" w:hAnsi="宋体" w:cs="宋体"/>
          <w:color w:val="000000"/>
        </w:rPr>
        <w:t>JJF1001-2011</w:t>
      </w:r>
      <w:r>
        <w:rPr>
          <w:rFonts w:hint="eastAsia" w:ascii="宋体" w:hAnsi="宋体" w:cs="宋体"/>
          <w:color w:val="000000"/>
        </w:rPr>
        <w:t xml:space="preserve">  通用计量术语及定义</w:t>
      </w:r>
    </w:p>
    <w:p w14:paraId="375A5764">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cs="宋体"/>
          <w:color w:val="000000"/>
        </w:rPr>
      </w:pPr>
      <w:r>
        <w:rPr>
          <w:rFonts w:ascii="宋体" w:hAnsi="宋体" w:cs="宋体"/>
          <w:color w:val="000000"/>
        </w:rPr>
        <w:t>J</w:t>
      </w:r>
      <w:r>
        <w:rPr>
          <w:rFonts w:hint="eastAsia" w:ascii="宋体" w:hAnsi="宋体" w:cs="宋体"/>
          <w:color w:val="000000"/>
        </w:rPr>
        <w:t xml:space="preserve">JF1002-2010 </w:t>
      </w:r>
      <w:r>
        <w:rPr>
          <w:rFonts w:ascii="宋体" w:hAnsi="宋体" w:cs="宋体"/>
          <w:color w:val="000000"/>
        </w:rPr>
        <w:t xml:space="preserve"> </w:t>
      </w:r>
      <w:r>
        <w:rPr>
          <w:rFonts w:hint="eastAsia" w:ascii="宋体" w:hAnsi="宋体" w:cs="宋体"/>
          <w:color w:val="000000"/>
        </w:rPr>
        <w:t>国家计量检定规程编写规则</w:t>
      </w:r>
    </w:p>
    <w:p w14:paraId="2668A986">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cs="宋体"/>
          <w:color w:val="000000"/>
        </w:rPr>
      </w:pPr>
      <w:r>
        <w:rPr>
          <w:rFonts w:ascii="宋体" w:hAnsi="宋体" w:cs="宋体"/>
          <w:color w:val="000000"/>
        </w:rPr>
        <w:t>JJF1059.1</w:t>
      </w:r>
      <w:r>
        <w:rPr>
          <w:rFonts w:hint="eastAsia" w:ascii="宋体" w:hAnsi="宋体" w:cs="宋体"/>
          <w:color w:val="000000"/>
          <w:lang w:val="en-US" w:eastAsia="zh-CN"/>
        </w:rPr>
        <w:t>-2012</w:t>
      </w:r>
      <w:r>
        <w:rPr>
          <w:rFonts w:ascii="宋体" w:hAnsi="宋体" w:cs="宋体"/>
          <w:color w:val="000000"/>
        </w:rPr>
        <w:t xml:space="preserve">  测量不确定度评定与表示</w:t>
      </w:r>
    </w:p>
    <w:p w14:paraId="58CE1AA3">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cs="宋体"/>
          <w:color w:val="000000"/>
        </w:rPr>
      </w:pPr>
      <w:r>
        <w:rPr>
          <w:rFonts w:ascii="宋体" w:hAnsi="宋体" w:cs="宋体"/>
          <w:color w:val="000000"/>
        </w:rPr>
        <w:t>JJF1004-2004</w:t>
      </w:r>
      <w:r>
        <w:rPr>
          <w:rFonts w:hint="eastAsia" w:ascii="宋体" w:hAnsi="宋体" w:cs="宋体"/>
          <w:color w:val="000000"/>
        </w:rPr>
        <w:t xml:space="preserve">  流量计量名词术语及定义</w:t>
      </w:r>
    </w:p>
    <w:p w14:paraId="7679C546">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ascii="宋体" w:hAnsi="宋体" w:cs="宋体"/>
          <w:color w:val="000000"/>
        </w:rPr>
        <w:t>JJG16</w:t>
      </w:r>
      <w:r>
        <w:rPr>
          <w:rFonts w:hint="eastAsia" w:ascii="宋体" w:hAnsi="宋体" w:cs="宋体"/>
          <w:color w:val="000000"/>
          <w:lang w:val="en-US" w:eastAsia="zh-CN"/>
        </w:rPr>
        <w:t>2-2019</w:t>
      </w:r>
      <w:r>
        <w:rPr>
          <w:rFonts w:ascii="宋体" w:hAnsi="宋体" w:cs="宋体"/>
          <w:color w:val="000000"/>
        </w:rPr>
        <w:t xml:space="preserve">  </w:t>
      </w:r>
      <w:r>
        <w:rPr>
          <w:rFonts w:hint="eastAsia" w:ascii="宋体" w:hAnsi="宋体" w:cs="宋体"/>
          <w:color w:val="000000"/>
          <w:lang w:val="en-US" w:eastAsia="zh-CN"/>
        </w:rPr>
        <w:t>饮用冷水水表</w:t>
      </w:r>
    </w:p>
    <w:p w14:paraId="2EE49489">
      <w:pPr>
        <w:pStyle w:val="2"/>
        <w:keepNext/>
        <w:keepLines/>
        <w:pageBreakBefore w:val="0"/>
        <w:widowControl w:val="0"/>
        <w:numPr>
          <w:ilvl w:val="255"/>
          <w:numId w:val="0"/>
        </w:numPr>
        <w:kinsoku/>
        <w:wordWrap/>
        <w:overflowPunct/>
        <w:topLinePunct w:val="0"/>
        <w:autoSpaceDE/>
        <w:autoSpaceDN/>
        <w:bidi w:val="0"/>
        <w:adjustRightInd w:val="0"/>
        <w:snapToGrid w:val="0"/>
        <w:spacing w:before="0" w:after="0" w:line="360" w:lineRule="auto"/>
        <w:textAlignment w:val="auto"/>
        <w:rPr>
          <w:rFonts w:hint="eastAsia" w:ascii="宋体" w:hAnsi="宋体" w:cs="宋体"/>
          <w:color w:val="000000"/>
          <w:lang w:val="en-US" w:eastAsia="zh-CN"/>
        </w:rPr>
      </w:pPr>
      <w:r>
        <w:rPr>
          <w:rFonts w:hint="eastAsia" w:ascii="宋体" w:hAnsi="宋体" w:cs="宋体"/>
          <w:color w:val="000000"/>
          <w:lang w:val="en-US" w:eastAsia="zh-CN"/>
        </w:rPr>
        <w:t>四、制定过程</w:t>
      </w:r>
    </w:p>
    <w:p w14:paraId="29185452">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eastAsia="zh-CN"/>
        </w:rPr>
      </w:pPr>
      <w:r>
        <w:rPr>
          <w:rFonts w:hint="eastAsia" w:ascii="宋体" w:hAnsi="宋体" w:cs="宋体"/>
          <w:color w:val="000000"/>
        </w:rPr>
        <w:t>2024年</w:t>
      </w:r>
      <w:r>
        <w:rPr>
          <w:rFonts w:hint="eastAsia" w:ascii="宋体" w:hAnsi="宋体" w:cs="宋体"/>
          <w:color w:val="000000"/>
          <w:lang w:val="en-US" w:eastAsia="zh-CN"/>
        </w:rPr>
        <w:t>1</w:t>
      </w:r>
      <w:r>
        <w:rPr>
          <w:rFonts w:hint="eastAsia" w:ascii="宋体" w:hAnsi="宋体" w:cs="宋体"/>
          <w:color w:val="000000"/>
        </w:rPr>
        <w:t>月～</w:t>
      </w:r>
      <w:r>
        <w:rPr>
          <w:rFonts w:hint="eastAsia" w:ascii="宋体" w:hAnsi="宋体" w:cs="宋体"/>
          <w:color w:val="000000"/>
          <w:lang w:val="en-US" w:eastAsia="zh-CN"/>
        </w:rPr>
        <w:t>5</w:t>
      </w:r>
      <w:r>
        <w:rPr>
          <w:rFonts w:hint="eastAsia" w:ascii="宋体" w:hAnsi="宋体" w:cs="宋体"/>
          <w:color w:val="000000"/>
        </w:rPr>
        <w:t>月，开展技术调研和研讨，收集相关资料，</w:t>
      </w:r>
      <w:r>
        <w:rPr>
          <w:rFonts w:hint="eastAsia" w:ascii="宋体" w:hAnsi="宋体" w:cs="宋体"/>
          <w:color w:val="000000"/>
          <w:lang w:val="en-US" w:eastAsia="zh-CN"/>
        </w:rPr>
        <w:t>制定规范起草工作</w:t>
      </w:r>
      <w:r>
        <w:rPr>
          <w:rFonts w:hint="eastAsia" w:ascii="宋体" w:hAnsi="宋体" w:cs="宋体"/>
          <w:color w:val="000000"/>
        </w:rPr>
        <w:t>大纲</w:t>
      </w:r>
      <w:r>
        <w:rPr>
          <w:rFonts w:hint="eastAsia" w:ascii="宋体" w:hAnsi="宋体" w:cs="宋体"/>
          <w:color w:val="000000"/>
          <w:lang w:val="en-US" w:eastAsia="zh-CN"/>
        </w:rPr>
        <w:t>和规范初稿。</w:t>
      </w:r>
    </w:p>
    <w:p w14:paraId="1FE6AD95">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rPr>
        <w:t>202</w:t>
      </w:r>
      <w:r>
        <w:rPr>
          <w:rFonts w:hint="eastAsia" w:ascii="宋体" w:hAnsi="宋体" w:cs="宋体"/>
          <w:color w:val="000000"/>
          <w:lang w:val="en-US" w:eastAsia="zh-CN"/>
        </w:rPr>
        <w:t>4</w:t>
      </w:r>
      <w:r>
        <w:rPr>
          <w:rFonts w:hint="eastAsia" w:ascii="宋体" w:hAnsi="宋体" w:cs="宋体"/>
          <w:color w:val="000000"/>
        </w:rPr>
        <w:t>年</w:t>
      </w:r>
      <w:r>
        <w:rPr>
          <w:rFonts w:hint="eastAsia" w:ascii="宋体" w:hAnsi="宋体" w:cs="宋体"/>
          <w:color w:val="000000"/>
          <w:lang w:val="en-US" w:eastAsia="zh-CN"/>
        </w:rPr>
        <w:t>6</w:t>
      </w:r>
      <w:r>
        <w:rPr>
          <w:rFonts w:hint="eastAsia" w:ascii="宋体" w:hAnsi="宋体" w:cs="宋体"/>
          <w:color w:val="000000"/>
        </w:rPr>
        <w:t>月</w:t>
      </w:r>
      <w:r>
        <w:rPr>
          <w:rFonts w:hint="eastAsia" w:ascii="宋体" w:hAnsi="宋体" w:cs="宋体"/>
          <w:color w:val="000000"/>
          <w:lang w:eastAsia="zh-CN"/>
        </w:rPr>
        <w:t>，</w:t>
      </w:r>
      <w:r>
        <w:rPr>
          <w:rFonts w:hint="eastAsia" w:ascii="宋体" w:hAnsi="宋体" w:cs="宋体"/>
          <w:color w:val="000000"/>
          <w:lang w:val="en-US" w:eastAsia="zh-CN"/>
        </w:rPr>
        <w:t>制定</w:t>
      </w:r>
      <w:r>
        <w:rPr>
          <w:rFonts w:hint="eastAsia" w:ascii="宋体" w:hAnsi="宋体" w:cs="宋体"/>
          <w:color w:val="000000"/>
        </w:rPr>
        <w:t>任务下达，经前期调研与讨论</w:t>
      </w:r>
      <w:r>
        <w:rPr>
          <w:rFonts w:hint="eastAsia" w:ascii="宋体" w:hAnsi="宋体" w:cs="宋体"/>
          <w:color w:val="000000"/>
          <w:lang w:eastAsia="zh-CN"/>
        </w:rPr>
        <w:t>，</w:t>
      </w:r>
      <w:r>
        <w:rPr>
          <w:rFonts w:hint="eastAsia" w:ascii="宋体" w:hAnsi="宋体" w:cs="宋体"/>
          <w:color w:val="000000"/>
          <w:lang w:val="en-US" w:eastAsia="zh-CN"/>
        </w:rPr>
        <w:t>由上海市供水水表强制检定站有限公司公司牵头</w:t>
      </w:r>
      <w:r>
        <w:rPr>
          <w:rFonts w:hint="eastAsia" w:ascii="宋体" w:hAnsi="宋体" w:cs="宋体"/>
          <w:color w:val="000000"/>
        </w:rPr>
        <w:t>成立</w:t>
      </w:r>
      <w:r>
        <w:rPr>
          <w:rFonts w:hint="eastAsia" w:ascii="宋体" w:hAnsi="宋体" w:cs="宋体"/>
          <w:color w:val="000000"/>
          <w:lang w:val="en-US" w:eastAsia="zh-CN"/>
        </w:rPr>
        <w:t>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eastAsia="zh-CN"/>
        </w:rPr>
        <w:t>。</w:t>
      </w:r>
    </w:p>
    <w:p w14:paraId="25D75C29">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000000"/>
          <w:lang w:eastAsia="zh-CN"/>
        </w:rPr>
      </w:pPr>
      <w:r>
        <w:rPr>
          <w:rFonts w:hint="eastAsia" w:ascii="宋体" w:hAnsi="宋体" w:cs="宋体"/>
          <w:color w:val="000000"/>
        </w:rPr>
        <w:t>2024年</w:t>
      </w:r>
      <w:r>
        <w:rPr>
          <w:rFonts w:hint="eastAsia" w:ascii="宋体" w:hAnsi="宋体" w:cs="宋体"/>
          <w:color w:val="000000"/>
          <w:lang w:val="en-US" w:eastAsia="zh-CN"/>
        </w:rPr>
        <w:t>6</w:t>
      </w:r>
      <w:r>
        <w:rPr>
          <w:rFonts w:hint="eastAsia" w:ascii="宋体" w:hAnsi="宋体" w:cs="宋体"/>
          <w:color w:val="000000"/>
        </w:rPr>
        <w:t>月</w:t>
      </w:r>
      <w:r>
        <w:rPr>
          <w:rFonts w:hint="eastAsia" w:ascii="宋体" w:hAnsi="宋体" w:cs="宋体"/>
          <w:color w:val="000000"/>
          <w:lang w:val="en-US" w:eastAsia="zh-CN"/>
        </w:rPr>
        <w:t>14</w:t>
      </w:r>
      <w:r>
        <w:rPr>
          <w:rFonts w:hint="eastAsia" w:ascii="宋体" w:hAnsi="宋体" w:cs="宋体"/>
          <w:color w:val="000000"/>
        </w:rPr>
        <w:t>日，</w:t>
      </w:r>
      <w:r>
        <w:rPr>
          <w:rFonts w:hint="eastAsia" w:ascii="宋体" w:hAnsi="宋体" w:cs="宋体"/>
          <w:color w:val="000000"/>
          <w:lang w:val="en-US" w:eastAsia="zh-CN"/>
        </w:rPr>
        <w:t>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val="en-US" w:eastAsia="zh-CN"/>
        </w:rPr>
        <w:t>以线上会议的形式</w:t>
      </w:r>
      <w:r>
        <w:rPr>
          <w:rFonts w:hint="eastAsia" w:ascii="宋体" w:hAnsi="宋体" w:cs="宋体"/>
          <w:color w:val="000000"/>
        </w:rPr>
        <w:t>召开</w:t>
      </w:r>
      <w:r>
        <w:rPr>
          <w:rFonts w:hint="eastAsia" w:ascii="宋体" w:hAnsi="宋体" w:cs="宋体"/>
          <w:color w:val="000000"/>
          <w:lang w:val="en-US" w:eastAsia="zh-CN"/>
        </w:rPr>
        <w:t>起草工作筹备</w:t>
      </w:r>
      <w:r>
        <w:rPr>
          <w:rFonts w:hint="eastAsia" w:ascii="宋体" w:hAnsi="宋体" w:cs="宋体"/>
          <w:color w:val="000000"/>
        </w:rPr>
        <w:t>会议，就</w:t>
      </w:r>
      <w:r>
        <w:rPr>
          <w:rFonts w:hint="eastAsia" w:ascii="宋体" w:hAnsi="宋体" w:cs="宋体"/>
          <w:color w:val="000000"/>
          <w:lang w:val="en-US" w:eastAsia="zh-CN"/>
        </w:rPr>
        <w:t>规范制定工作计划与分工、制定</w:t>
      </w:r>
      <w:r>
        <w:rPr>
          <w:rFonts w:hint="eastAsia" w:ascii="宋体" w:hAnsi="宋体" w:cs="宋体"/>
          <w:color w:val="000000"/>
        </w:rPr>
        <w:t>原则、</w:t>
      </w:r>
      <w:r>
        <w:rPr>
          <w:rFonts w:hint="eastAsia" w:ascii="宋体" w:hAnsi="宋体" w:cs="宋体"/>
          <w:color w:val="000000"/>
          <w:lang w:val="en-US" w:eastAsia="zh-CN"/>
        </w:rPr>
        <w:t>标准</w:t>
      </w:r>
      <w:r>
        <w:rPr>
          <w:rFonts w:hint="eastAsia" w:ascii="宋体" w:hAnsi="宋体" w:cs="宋体"/>
          <w:color w:val="000000"/>
        </w:rPr>
        <w:t>大纲</w:t>
      </w:r>
      <w:r>
        <w:rPr>
          <w:rFonts w:hint="eastAsia" w:ascii="宋体" w:hAnsi="宋体" w:cs="宋体"/>
          <w:color w:val="000000"/>
          <w:lang w:val="en-US" w:eastAsia="zh-CN"/>
        </w:rPr>
        <w:t>及文本架构</w:t>
      </w:r>
      <w:r>
        <w:rPr>
          <w:rFonts w:hint="eastAsia" w:ascii="宋体" w:hAnsi="宋体" w:cs="宋体"/>
          <w:color w:val="000000"/>
        </w:rPr>
        <w:t>等</w:t>
      </w:r>
      <w:r>
        <w:rPr>
          <w:rFonts w:hint="eastAsia" w:ascii="宋体" w:hAnsi="宋体" w:cs="宋体"/>
          <w:color w:val="000000"/>
          <w:lang w:val="en-US" w:eastAsia="zh-CN"/>
        </w:rPr>
        <w:t>内容</w:t>
      </w:r>
      <w:r>
        <w:rPr>
          <w:rFonts w:hint="eastAsia" w:ascii="宋体" w:hAnsi="宋体" w:cs="宋体"/>
          <w:color w:val="000000"/>
        </w:rPr>
        <w:t>进行了讨论</w:t>
      </w:r>
      <w:r>
        <w:rPr>
          <w:rFonts w:hint="eastAsia" w:ascii="宋体" w:hAnsi="宋体" w:cs="宋体"/>
          <w:color w:val="000000"/>
          <w:lang w:eastAsia="zh-CN"/>
        </w:rPr>
        <w:t>。</w:t>
      </w:r>
    </w:p>
    <w:p w14:paraId="14DA2466">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eastAsia="zh-CN"/>
        </w:rPr>
      </w:pPr>
      <w:r>
        <w:rPr>
          <w:rFonts w:hint="eastAsia" w:ascii="宋体" w:hAnsi="宋体" w:cs="宋体"/>
          <w:color w:val="000000"/>
        </w:rPr>
        <w:t>2024年</w:t>
      </w:r>
      <w:r>
        <w:rPr>
          <w:rFonts w:hint="eastAsia" w:ascii="宋体" w:hAnsi="宋体" w:cs="宋体"/>
          <w:color w:val="000000"/>
          <w:lang w:val="en-US" w:eastAsia="zh-CN"/>
        </w:rPr>
        <w:t>7</w:t>
      </w:r>
      <w:r>
        <w:rPr>
          <w:rFonts w:hint="eastAsia" w:ascii="宋体" w:hAnsi="宋体" w:cs="宋体"/>
          <w:color w:val="000000"/>
        </w:rPr>
        <w:t>月</w:t>
      </w:r>
      <w:r>
        <w:rPr>
          <w:rFonts w:hint="eastAsia" w:ascii="宋体" w:hAnsi="宋体" w:cs="宋体"/>
          <w:color w:val="000000"/>
          <w:lang w:val="en-US" w:eastAsia="zh-CN"/>
        </w:rPr>
        <w:t>6</w:t>
      </w:r>
      <w:r>
        <w:rPr>
          <w:rFonts w:hint="eastAsia" w:ascii="宋体" w:hAnsi="宋体" w:cs="宋体"/>
          <w:color w:val="000000"/>
        </w:rPr>
        <w:t>日，</w:t>
      </w:r>
      <w:r>
        <w:rPr>
          <w:rFonts w:hint="eastAsia" w:ascii="宋体" w:hAnsi="宋体" w:cs="宋体"/>
          <w:color w:val="000000"/>
          <w:lang w:val="en-US" w:eastAsia="zh-CN"/>
        </w:rPr>
        <w:t>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val="en-US" w:eastAsia="zh-CN"/>
        </w:rPr>
        <w:t>在上海</w:t>
      </w:r>
      <w:r>
        <w:rPr>
          <w:rFonts w:hint="eastAsia" w:ascii="宋体" w:hAnsi="宋体" w:cs="宋体"/>
          <w:color w:val="000000"/>
        </w:rPr>
        <w:t>召开第</w:t>
      </w:r>
      <w:r>
        <w:rPr>
          <w:rFonts w:hint="eastAsia" w:ascii="宋体" w:hAnsi="宋体" w:cs="宋体"/>
          <w:color w:val="000000"/>
          <w:lang w:val="en-US" w:eastAsia="zh-CN"/>
        </w:rPr>
        <w:t>一</w:t>
      </w:r>
      <w:r>
        <w:rPr>
          <w:rFonts w:hint="eastAsia" w:ascii="宋体" w:hAnsi="宋体" w:cs="宋体"/>
          <w:color w:val="000000"/>
        </w:rPr>
        <w:t>次工作组会议，就</w:t>
      </w:r>
      <w:r>
        <w:rPr>
          <w:rFonts w:hint="eastAsia" w:ascii="宋体" w:hAnsi="宋体" w:cs="宋体"/>
          <w:color w:val="000000"/>
          <w:lang w:val="en-US" w:eastAsia="zh-CN"/>
        </w:rPr>
        <w:t>规范制定工作实施方案、规范初稿、试验验证方案及计划等</w:t>
      </w:r>
      <w:r>
        <w:rPr>
          <w:rFonts w:hint="eastAsia" w:ascii="宋体" w:hAnsi="宋体" w:cs="宋体"/>
          <w:color w:val="000000"/>
        </w:rPr>
        <w:t>进行了讨论</w:t>
      </w:r>
      <w:r>
        <w:rPr>
          <w:rFonts w:hint="eastAsia" w:ascii="宋体" w:hAnsi="宋体" w:cs="宋体"/>
          <w:color w:val="000000"/>
          <w:lang w:eastAsia="zh-CN"/>
        </w:rPr>
        <w:t>。</w:t>
      </w:r>
    </w:p>
    <w:p w14:paraId="4D0E8634">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rPr>
        <w:t>2024年7月～</w:t>
      </w:r>
      <w:r>
        <w:rPr>
          <w:rFonts w:hint="eastAsia" w:ascii="宋体" w:hAnsi="宋体" w:cs="宋体"/>
          <w:color w:val="000000"/>
          <w:lang w:val="en-US" w:eastAsia="zh-CN"/>
        </w:rPr>
        <w:t>11</w:t>
      </w:r>
      <w:r>
        <w:rPr>
          <w:rFonts w:hint="eastAsia" w:ascii="宋体" w:hAnsi="宋体" w:cs="宋体"/>
          <w:color w:val="000000"/>
        </w:rPr>
        <w:t>月，</w:t>
      </w:r>
      <w:r>
        <w:rPr>
          <w:rFonts w:hint="eastAsia" w:ascii="宋体" w:hAnsi="宋体" w:cs="宋体"/>
          <w:color w:val="000000"/>
          <w:lang w:val="en-US" w:eastAsia="zh-CN"/>
        </w:rPr>
        <w:t>规范起草工作组根据外部专家及内部讨论意见完善规范初稿，形成规范初稿修改稿；同步</w:t>
      </w:r>
      <w:r>
        <w:rPr>
          <w:rFonts w:hint="eastAsia" w:ascii="宋体" w:hAnsi="宋体" w:cs="宋体"/>
          <w:color w:val="000000"/>
        </w:rPr>
        <w:t>开展试验验证，</w:t>
      </w:r>
      <w:r>
        <w:rPr>
          <w:rFonts w:hint="eastAsia" w:ascii="宋体" w:hAnsi="宋体" w:cs="宋体"/>
          <w:color w:val="000000"/>
          <w:lang w:val="en-US" w:eastAsia="zh-CN"/>
        </w:rPr>
        <w:t>分为上海、河南、深圳三个小组分别独立开展试验验证工作，试验数据汇总分析后形成试验验证报告。</w:t>
      </w:r>
    </w:p>
    <w:p w14:paraId="54BCC0B5">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lang w:val="en-US" w:eastAsia="zh-CN"/>
        </w:rPr>
      </w:pPr>
      <w:r>
        <w:rPr>
          <w:rFonts w:hint="eastAsia" w:ascii="宋体" w:hAnsi="宋体" w:cs="宋体"/>
          <w:color w:val="000000"/>
        </w:rPr>
        <w:t>2024年</w:t>
      </w:r>
      <w:r>
        <w:rPr>
          <w:rFonts w:hint="eastAsia" w:ascii="宋体" w:hAnsi="宋体" w:cs="宋体"/>
          <w:color w:val="000000"/>
          <w:lang w:val="en-US" w:eastAsia="zh-CN"/>
        </w:rPr>
        <w:t>9</w:t>
      </w:r>
      <w:r>
        <w:rPr>
          <w:rFonts w:hint="eastAsia" w:ascii="宋体" w:hAnsi="宋体" w:cs="宋体"/>
          <w:color w:val="000000"/>
        </w:rPr>
        <w:t>月</w:t>
      </w:r>
      <w:r>
        <w:rPr>
          <w:rFonts w:hint="eastAsia" w:ascii="宋体" w:hAnsi="宋体" w:cs="宋体"/>
          <w:color w:val="000000"/>
          <w:lang w:val="en-US" w:eastAsia="zh-CN"/>
        </w:rPr>
        <w:t>12</w:t>
      </w:r>
      <w:r>
        <w:rPr>
          <w:rFonts w:hint="eastAsia" w:ascii="宋体" w:hAnsi="宋体" w:cs="宋体"/>
          <w:color w:val="000000"/>
        </w:rPr>
        <w:t>日，</w:t>
      </w:r>
      <w:r>
        <w:rPr>
          <w:rFonts w:hint="eastAsia" w:ascii="宋体" w:hAnsi="宋体" w:cs="宋体"/>
          <w:color w:val="000000"/>
          <w:lang w:val="en-US" w:eastAsia="zh-CN"/>
        </w:rPr>
        <w:t>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val="en-US" w:eastAsia="zh-CN"/>
        </w:rPr>
        <w:t>以线上会议的形式</w:t>
      </w:r>
      <w:r>
        <w:rPr>
          <w:rFonts w:hint="eastAsia" w:ascii="宋体" w:hAnsi="宋体" w:cs="宋体"/>
          <w:color w:val="000000"/>
        </w:rPr>
        <w:t>召开</w:t>
      </w:r>
      <w:r>
        <w:rPr>
          <w:rFonts w:hint="eastAsia" w:ascii="宋体" w:hAnsi="宋体" w:cs="宋体"/>
          <w:color w:val="000000"/>
          <w:lang w:val="en-US" w:eastAsia="zh-CN"/>
        </w:rPr>
        <w:t>起草</w:t>
      </w:r>
      <w:r>
        <w:rPr>
          <w:rFonts w:hint="eastAsia" w:ascii="宋体" w:hAnsi="宋体" w:cs="宋体"/>
          <w:color w:val="000000"/>
        </w:rPr>
        <w:t>工作会议</w:t>
      </w:r>
      <w:r>
        <w:rPr>
          <w:rFonts w:hint="eastAsia" w:ascii="宋体" w:hAnsi="宋体" w:cs="宋体"/>
          <w:color w:val="000000"/>
          <w:lang w:eastAsia="zh-CN"/>
        </w:rPr>
        <w:t>，</w:t>
      </w:r>
      <w:r>
        <w:rPr>
          <w:rFonts w:hint="eastAsia" w:ascii="宋体" w:hAnsi="宋体" w:cs="宋体"/>
          <w:color w:val="000000"/>
          <w:lang w:val="en-US" w:eastAsia="zh-CN"/>
        </w:rPr>
        <w:t>各起草人按照工作分工介绍了阶段性工作成果，并围绕规范初稿修改、试验验证等工作中的具体内容进行了深入讨论。</w:t>
      </w:r>
    </w:p>
    <w:p w14:paraId="02DE76B7">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rPr>
        <w:t>2024年</w:t>
      </w:r>
      <w:r>
        <w:rPr>
          <w:rFonts w:hint="eastAsia" w:ascii="宋体" w:hAnsi="宋体" w:cs="宋体"/>
          <w:color w:val="000000"/>
          <w:lang w:val="en-US" w:eastAsia="zh-CN"/>
        </w:rPr>
        <w:t>11</w:t>
      </w:r>
      <w:r>
        <w:rPr>
          <w:rFonts w:hint="eastAsia" w:ascii="宋体" w:hAnsi="宋体" w:cs="宋体"/>
          <w:color w:val="000000"/>
        </w:rPr>
        <w:t>月</w:t>
      </w:r>
      <w:r>
        <w:rPr>
          <w:rFonts w:hint="eastAsia" w:ascii="宋体" w:hAnsi="宋体" w:cs="宋体"/>
          <w:color w:val="000000"/>
          <w:lang w:val="en-US" w:eastAsia="zh-CN"/>
        </w:rPr>
        <w:t>21</w:t>
      </w:r>
      <w:r>
        <w:rPr>
          <w:rFonts w:hint="eastAsia" w:ascii="宋体" w:hAnsi="宋体" w:cs="宋体"/>
          <w:color w:val="000000"/>
        </w:rPr>
        <w:t>日，</w:t>
      </w:r>
      <w:r>
        <w:rPr>
          <w:rFonts w:hint="eastAsia" w:ascii="宋体" w:hAnsi="宋体" w:cs="宋体"/>
          <w:color w:val="000000"/>
          <w:lang w:val="en-US" w:eastAsia="zh-CN"/>
        </w:rPr>
        <w:t>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val="en-US" w:eastAsia="zh-CN"/>
        </w:rPr>
        <w:t>在深圳</w:t>
      </w:r>
      <w:r>
        <w:rPr>
          <w:rFonts w:hint="eastAsia" w:ascii="宋体" w:hAnsi="宋体" w:cs="宋体"/>
          <w:color w:val="000000"/>
        </w:rPr>
        <w:t>召开第</w:t>
      </w:r>
      <w:r>
        <w:rPr>
          <w:rFonts w:hint="eastAsia" w:ascii="宋体" w:hAnsi="宋体" w:cs="宋体"/>
          <w:color w:val="000000"/>
          <w:lang w:val="en-US" w:eastAsia="zh-CN"/>
        </w:rPr>
        <w:t>二</w:t>
      </w:r>
      <w:r>
        <w:rPr>
          <w:rFonts w:hint="eastAsia" w:ascii="宋体" w:hAnsi="宋体" w:cs="宋体"/>
          <w:color w:val="000000"/>
        </w:rPr>
        <w:t>次工作组会议</w:t>
      </w:r>
      <w:r>
        <w:rPr>
          <w:rFonts w:hint="eastAsia" w:ascii="宋体" w:hAnsi="宋体" w:cs="宋体"/>
          <w:color w:val="000000"/>
          <w:lang w:eastAsia="zh-CN"/>
        </w:rPr>
        <w:t>，</w:t>
      </w:r>
      <w:r>
        <w:rPr>
          <w:rFonts w:hint="eastAsia" w:ascii="宋体" w:hAnsi="宋体" w:cs="宋体"/>
          <w:color w:val="000000"/>
        </w:rPr>
        <w:t>进一步讨论了规范</w:t>
      </w:r>
      <w:r>
        <w:rPr>
          <w:rFonts w:hint="eastAsia" w:ascii="宋体" w:hAnsi="宋体" w:cs="宋体"/>
          <w:color w:val="000000"/>
          <w:lang w:val="en-US" w:eastAsia="zh-CN"/>
        </w:rPr>
        <w:t>初稿并进行了修订</w:t>
      </w:r>
      <w:r>
        <w:rPr>
          <w:rFonts w:hint="eastAsia" w:ascii="宋体" w:hAnsi="宋体" w:cs="宋体"/>
          <w:color w:val="000000"/>
        </w:rPr>
        <w:t>，</w:t>
      </w:r>
      <w:r>
        <w:rPr>
          <w:rFonts w:hint="eastAsia" w:ascii="宋体" w:hAnsi="宋体" w:cs="宋体"/>
          <w:color w:val="000000"/>
          <w:lang w:val="en-US" w:eastAsia="zh-CN"/>
        </w:rPr>
        <w:t>总结了</w:t>
      </w:r>
      <w:r>
        <w:rPr>
          <w:rFonts w:hint="eastAsia" w:ascii="宋体" w:hAnsi="宋体" w:cs="宋体"/>
          <w:color w:val="000000"/>
        </w:rPr>
        <w:t>试验验证</w:t>
      </w:r>
      <w:r>
        <w:rPr>
          <w:rFonts w:hint="eastAsia" w:ascii="宋体" w:hAnsi="宋体" w:cs="宋体"/>
          <w:color w:val="000000"/>
          <w:lang w:val="en-US" w:eastAsia="zh-CN"/>
        </w:rPr>
        <w:t>情况，讨论了下阶段工作重点。</w:t>
      </w:r>
    </w:p>
    <w:p w14:paraId="320121CB">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lang w:val="en-US" w:eastAsia="zh-CN"/>
        </w:rPr>
        <w:t>2024年11月-12月，规范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val="en-US" w:eastAsia="zh-CN"/>
        </w:rPr>
        <w:t>按照工作组第二次会议研讨成果对规范初稿文本进一步完善，</w:t>
      </w:r>
      <w:r>
        <w:rPr>
          <w:rFonts w:hint="eastAsia" w:ascii="宋体" w:hAnsi="宋体" w:cs="宋体"/>
          <w:color w:val="000000"/>
        </w:rPr>
        <w:t>形成征求意见稿</w:t>
      </w:r>
      <w:r>
        <w:rPr>
          <w:rFonts w:hint="eastAsia" w:ascii="宋体" w:hAnsi="宋体" w:cs="宋体"/>
          <w:color w:val="000000"/>
          <w:lang w:eastAsia="zh-CN"/>
        </w:rPr>
        <w:t>（</w:t>
      </w:r>
      <w:r>
        <w:rPr>
          <w:rFonts w:hint="eastAsia" w:ascii="宋体" w:hAnsi="宋体" w:cs="宋体"/>
          <w:color w:val="000000"/>
          <w:lang w:val="en-US" w:eastAsia="zh-CN"/>
        </w:rPr>
        <w:t>初稿</w:t>
      </w:r>
      <w:r>
        <w:rPr>
          <w:rFonts w:hint="eastAsia" w:ascii="宋体" w:hAnsi="宋体" w:cs="宋体"/>
          <w:color w:val="000000"/>
          <w:lang w:eastAsia="zh-CN"/>
        </w:rPr>
        <w:t>）</w:t>
      </w:r>
      <w:r>
        <w:rPr>
          <w:rFonts w:hint="eastAsia" w:ascii="宋体" w:hAnsi="宋体" w:cs="宋体"/>
          <w:color w:val="000000"/>
        </w:rPr>
        <w:t>。</w:t>
      </w:r>
    </w:p>
    <w:p w14:paraId="3A476083">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lang w:val="en-US" w:eastAsia="zh-CN"/>
        </w:rPr>
        <w:t>2024年12月26日，规范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val="en-US" w:eastAsia="zh-CN"/>
        </w:rPr>
        <w:t>在上海召开专家研讨会，邀请了来自全国不同地区的5位专家对规范</w:t>
      </w:r>
      <w:r>
        <w:rPr>
          <w:rFonts w:hint="eastAsia" w:ascii="宋体" w:hAnsi="宋体" w:cs="宋体"/>
          <w:color w:val="000000"/>
        </w:rPr>
        <w:t>征求意见稿</w:t>
      </w:r>
      <w:r>
        <w:rPr>
          <w:rFonts w:hint="eastAsia" w:ascii="宋体" w:hAnsi="宋体" w:cs="宋体"/>
          <w:color w:val="000000"/>
          <w:lang w:val="en-US" w:eastAsia="zh-CN"/>
        </w:rPr>
        <w:t>进行预审。</w:t>
      </w:r>
    </w:p>
    <w:p w14:paraId="56D3A81F">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lang w:val="en-US" w:eastAsia="zh-CN"/>
        </w:rPr>
        <w:t>2024年12月-2025年2月，规范</w:t>
      </w:r>
      <w:r>
        <w:rPr>
          <w:rFonts w:hint="eastAsia" w:ascii="宋体" w:hAnsi="宋体" w:cs="宋体"/>
          <w:color w:val="000000"/>
        </w:rPr>
        <w:t>起草</w:t>
      </w:r>
      <w:r>
        <w:rPr>
          <w:rFonts w:hint="eastAsia" w:ascii="宋体" w:hAnsi="宋体" w:cs="宋体"/>
          <w:color w:val="000000"/>
          <w:lang w:val="en-US" w:eastAsia="zh-CN"/>
        </w:rPr>
        <w:t>工作</w:t>
      </w:r>
      <w:r>
        <w:rPr>
          <w:rFonts w:hint="eastAsia" w:ascii="宋体" w:hAnsi="宋体" w:cs="宋体"/>
          <w:color w:val="000000"/>
        </w:rPr>
        <w:t>组</w:t>
      </w:r>
      <w:r>
        <w:rPr>
          <w:rFonts w:hint="eastAsia" w:ascii="宋体" w:hAnsi="宋体" w:cs="宋体"/>
          <w:color w:val="000000"/>
          <w:lang w:val="en-US" w:eastAsia="zh-CN"/>
        </w:rPr>
        <w:t>根据专家预审意见，进一步修订完善，形成</w:t>
      </w:r>
      <w:r>
        <w:rPr>
          <w:rFonts w:hint="eastAsia" w:ascii="宋体" w:hAnsi="宋体" w:cs="宋体"/>
          <w:color w:val="000000"/>
        </w:rPr>
        <w:t>征求意见稿。</w:t>
      </w:r>
    </w:p>
    <w:p w14:paraId="46ED4AFD">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lang w:val="en-US" w:eastAsia="zh-CN"/>
        </w:rPr>
      </w:pPr>
      <w:r>
        <w:rPr>
          <w:rFonts w:hint="eastAsia" w:ascii="宋体" w:hAnsi="宋体" w:cs="宋体"/>
          <w:color w:val="000000"/>
          <w:lang w:val="en-US" w:eastAsia="zh-CN"/>
        </w:rPr>
        <w:t>2025年2月-XXX，向全国广泛征求意见。</w:t>
      </w:r>
    </w:p>
    <w:p w14:paraId="2E98F2A1">
      <w:pPr>
        <w:pStyle w:val="2"/>
        <w:keepNext/>
        <w:keepLines/>
        <w:pageBreakBefore w:val="0"/>
        <w:widowControl w:val="0"/>
        <w:numPr>
          <w:ilvl w:val="255"/>
          <w:numId w:val="0"/>
        </w:numPr>
        <w:kinsoku/>
        <w:wordWrap/>
        <w:overflowPunct/>
        <w:topLinePunct w:val="0"/>
        <w:autoSpaceDE/>
        <w:autoSpaceDN/>
        <w:bidi w:val="0"/>
        <w:adjustRightInd w:val="0"/>
        <w:snapToGrid w:val="0"/>
        <w:spacing w:before="0" w:after="0" w:line="360" w:lineRule="auto"/>
        <w:textAlignment w:val="auto"/>
        <w:rPr>
          <w:rFonts w:hint="default" w:ascii="宋体" w:hAnsi="宋体" w:cs="宋体"/>
          <w:color w:val="000000"/>
          <w:lang w:val="en-US" w:eastAsia="zh-CN"/>
        </w:rPr>
      </w:pPr>
      <w:r>
        <w:rPr>
          <w:rFonts w:hint="eastAsia" w:ascii="宋体" w:hAnsi="宋体" w:cs="宋体"/>
          <w:color w:val="000000"/>
          <w:lang w:val="en-US" w:eastAsia="zh-CN"/>
        </w:rPr>
        <w:t>五、主要技术内容说明</w:t>
      </w:r>
    </w:p>
    <w:p w14:paraId="12D54D5A">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lang w:val="en-US" w:eastAsia="zh-CN"/>
        </w:rPr>
        <w:t>1.规范名称</w:t>
      </w:r>
    </w:p>
    <w:p w14:paraId="15715681">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lang w:val="en-US" w:eastAsia="zh-CN"/>
        </w:rPr>
      </w:pPr>
      <w:r>
        <w:rPr>
          <w:rFonts w:hint="eastAsia" w:ascii="宋体" w:hAnsi="宋体" w:cs="宋体"/>
          <w:color w:val="000000"/>
          <w:lang w:val="en-US" w:eastAsia="zh-CN"/>
        </w:rPr>
        <w:t>本项目申请及批准立项的草案名称为《大口径电子式水表在线校准规范》，主要是考虑到大口径电子水表的价格较高、应用量日益增多，对在线校准的需求较为强烈。在前期的立项技术评审及现状调研中，相关单位及专家建议将规范名称调整为《大口径饮用冷水水表在线校准规范》，在确保技术可靠的前提下扩大适用范围，解决生产生活的实际需求。起草工作组在汇集多方意见并深入讨论的基础上，对规范名称进行了调整，并按相关程序进行变更。</w:t>
      </w:r>
    </w:p>
    <w:p w14:paraId="68081A37">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lang w:val="en-US" w:eastAsia="zh-CN"/>
        </w:rPr>
        <w:t>2</w:t>
      </w:r>
      <w:r>
        <w:rPr>
          <w:rFonts w:hint="eastAsia" w:ascii="宋体" w:hAnsi="宋体" w:cs="宋体"/>
          <w:color w:val="000000"/>
        </w:rPr>
        <w:t>. 范围</w:t>
      </w:r>
    </w:p>
    <w:p w14:paraId="12A06557">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eastAsia="zh-CN"/>
        </w:rPr>
      </w:pPr>
      <w:r>
        <w:rPr>
          <w:rFonts w:hint="eastAsia" w:ascii="宋体" w:hAnsi="宋体" w:cs="宋体"/>
          <w:color w:val="000000"/>
        </w:rPr>
        <w:t>本规范适用于公称通径</w:t>
      </w:r>
      <w:r>
        <w:rPr>
          <w:rFonts w:hint="eastAsia" w:ascii="宋体" w:hAnsi="宋体"/>
          <w:szCs w:val="24"/>
        </w:rPr>
        <w:t>DN50</w:t>
      </w:r>
      <w:r>
        <w:rPr>
          <w:rFonts w:hint="default" w:ascii="Times New Roman" w:hAnsi="Times New Roman"/>
          <w:szCs w:val="24"/>
          <w:lang w:val="en-US" w:eastAsia="zh-CN"/>
        </w:rPr>
        <w:t>~</w:t>
      </w:r>
      <w:r>
        <w:rPr>
          <w:rFonts w:hint="eastAsia" w:ascii="宋体" w:hAnsi="宋体"/>
          <w:szCs w:val="24"/>
          <w:lang w:val="en-US" w:eastAsia="zh-CN"/>
        </w:rPr>
        <w:t>DN500</w:t>
      </w:r>
      <w:r>
        <w:rPr>
          <w:rFonts w:hint="eastAsia" w:ascii="宋体" w:hAnsi="宋体" w:cs="宋体"/>
          <w:color w:val="000000"/>
        </w:rPr>
        <w:t>饮用冷水水表的在线校准</w:t>
      </w:r>
      <w:r>
        <w:rPr>
          <w:rFonts w:hint="eastAsia" w:ascii="宋体" w:hAnsi="宋体" w:cs="宋体"/>
          <w:color w:val="000000"/>
          <w:lang w:eastAsia="zh-CN"/>
        </w:rPr>
        <w:t>。</w:t>
      </w:r>
    </w:p>
    <w:p w14:paraId="2442066B">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lang w:val="en-US" w:eastAsia="zh-CN"/>
        </w:rPr>
        <w:t>3.在线校准方法</w:t>
      </w:r>
    </w:p>
    <w:p w14:paraId="405F2478">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rPr>
        <w:t>主要参考JJG 162—2019《饮用冷水水表》的水表使用中检查方法</w:t>
      </w:r>
      <w:r>
        <w:rPr>
          <w:rFonts w:hint="eastAsia" w:ascii="宋体" w:hAnsi="宋体" w:cs="宋体"/>
          <w:color w:val="000000"/>
          <w:lang w:eastAsia="zh-CN"/>
        </w:rPr>
        <w:t>，</w:t>
      </w:r>
      <w:r>
        <w:rPr>
          <w:rFonts w:hint="eastAsia" w:ascii="宋体" w:hAnsi="宋体" w:cs="宋体"/>
          <w:color w:val="000000"/>
          <w:lang w:val="en-US" w:eastAsia="zh-CN"/>
        </w:rPr>
        <w:t>考虑到</w:t>
      </w:r>
      <w:r>
        <w:rPr>
          <w:rFonts w:hint="eastAsia" w:ascii="宋体" w:hAnsi="宋体"/>
          <w:szCs w:val="24"/>
        </w:rPr>
        <w:t>DN50</w:t>
      </w:r>
      <w:r>
        <w:rPr>
          <w:rFonts w:hint="default" w:ascii="Times New Roman" w:hAnsi="Times New Roman"/>
          <w:szCs w:val="24"/>
          <w:lang w:val="en-US" w:eastAsia="zh-CN"/>
        </w:rPr>
        <w:t>~</w:t>
      </w:r>
      <w:r>
        <w:rPr>
          <w:rFonts w:hint="eastAsia" w:ascii="宋体" w:hAnsi="宋体"/>
          <w:szCs w:val="24"/>
          <w:lang w:val="en-US" w:eastAsia="zh-CN"/>
        </w:rPr>
        <w:t>DN500</w:t>
      </w:r>
      <w:r>
        <w:rPr>
          <w:rFonts w:hint="eastAsia" w:ascii="宋体" w:hAnsi="宋体" w:cs="宋体"/>
          <w:color w:val="000000"/>
          <w:lang w:val="en-US" w:eastAsia="zh-CN"/>
        </w:rPr>
        <w:t>水表的实际使用流量较大，采用收集法进行在线校准操作不易实现，本规范采用标准表法进行校准，</w:t>
      </w:r>
      <w:r>
        <w:rPr>
          <w:rFonts w:hint="eastAsia" w:ascii="宋体" w:hAnsi="宋体" w:cs="宋体"/>
          <w:color w:val="000000"/>
        </w:rPr>
        <w:t>以标准表为参考测量标准，使流体在相同时间间隔内连续通过标准表和</w:t>
      </w:r>
      <w:r>
        <w:rPr>
          <w:rFonts w:hint="eastAsia" w:ascii="宋体" w:hAnsi="宋体" w:cs="宋体"/>
          <w:color w:val="000000"/>
          <w:lang w:val="en-US" w:eastAsia="zh-CN"/>
        </w:rPr>
        <w:t>被校</w:t>
      </w:r>
      <w:r>
        <w:rPr>
          <w:rFonts w:hint="eastAsia" w:ascii="宋体" w:hAnsi="宋体" w:cs="宋体"/>
          <w:color w:val="000000"/>
        </w:rPr>
        <w:t>水表，比较两者的指示量值，从而确定水表示值误差。</w:t>
      </w:r>
    </w:p>
    <w:p w14:paraId="69437822">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lang w:val="en-US" w:eastAsia="zh-CN"/>
        </w:rPr>
        <w:t>水表的主要功能是计量累积流量，结合国内大口径电子式水表的应用现状，如使用模式下的实际采样频率等，采用瞬时流量法进行在线校准存在一定的风险。综合可靠性、经济性、实用性等因素，本规范确定以累积流量法作为校准测量方法，不推荐</w:t>
      </w:r>
      <w:bookmarkStart w:id="3" w:name="_GoBack"/>
      <w:bookmarkEnd w:id="3"/>
      <w:bookmarkStart w:id="1" w:name="OLE_LINK14"/>
      <w:r>
        <w:rPr>
          <w:rFonts w:hint="eastAsia" w:ascii="宋体" w:hAnsi="宋体" w:cs="宋体"/>
          <w:color w:val="000000"/>
          <w:lang w:val="en-US" w:eastAsia="zh-CN"/>
        </w:rPr>
        <w:t>瞬时流量法</w:t>
      </w:r>
      <w:bookmarkEnd w:id="1"/>
      <w:r>
        <w:rPr>
          <w:rFonts w:hint="eastAsia" w:ascii="宋体" w:hAnsi="宋体" w:cs="宋体"/>
          <w:color w:val="000000"/>
          <w:lang w:val="en-US" w:eastAsia="zh-CN"/>
        </w:rPr>
        <w:t>。</w:t>
      </w:r>
    </w:p>
    <w:p w14:paraId="249E3217">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lang w:val="en-US" w:eastAsia="zh-CN"/>
        </w:rPr>
        <w:t>4.水表计量特性</w:t>
      </w:r>
    </w:p>
    <w:p w14:paraId="3E2EFC2D">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lang w:val="en-US" w:eastAsia="zh-CN"/>
        </w:rPr>
        <w:t>本规范引用</w:t>
      </w:r>
      <w:r>
        <w:rPr>
          <w:rFonts w:hint="eastAsia" w:ascii="宋体" w:hAnsi="宋体" w:cs="宋体"/>
          <w:color w:val="000000"/>
        </w:rPr>
        <w:t>JJG 162—2019《饮用冷水水表》的水表计量性能要求，与JJG 162—2019《饮用冷水水表》保持一致。</w:t>
      </w:r>
    </w:p>
    <w:p w14:paraId="49C959F5">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lang w:val="en-US" w:eastAsia="zh-CN"/>
        </w:rPr>
        <w:t>5.</w:t>
      </w:r>
      <w:r>
        <w:rPr>
          <w:rFonts w:hint="eastAsia" w:ascii="宋体" w:hAnsi="宋体" w:cs="Times New Roman"/>
          <w:i w:val="0"/>
          <w:iCs w:val="0"/>
          <w:kern w:val="2"/>
          <w:sz w:val="24"/>
          <w:szCs w:val="24"/>
          <w:lang w:val="en-US" w:eastAsia="zh-CN" w:bidi="ar-SA"/>
        </w:rPr>
        <w:t>测量标准</w:t>
      </w:r>
      <w:r>
        <w:rPr>
          <w:rFonts w:hint="eastAsia" w:ascii="宋体" w:hAnsi="宋体" w:eastAsia="宋体" w:cs="Times New Roman"/>
          <w:i w:val="0"/>
          <w:iCs w:val="0"/>
          <w:kern w:val="2"/>
          <w:sz w:val="24"/>
          <w:szCs w:val="24"/>
          <w:lang w:val="en-US" w:eastAsia="zh-CN" w:bidi="ar-SA"/>
        </w:rPr>
        <w:t>及</w:t>
      </w:r>
      <w:r>
        <w:rPr>
          <w:rFonts w:hint="eastAsia" w:ascii="宋体" w:hAnsi="宋体" w:cs="Times New Roman"/>
          <w:i w:val="0"/>
          <w:iCs w:val="0"/>
          <w:kern w:val="2"/>
          <w:sz w:val="24"/>
          <w:szCs w:val="24"/>
          <w:lang w:val="en-US" w:eastAsia="zh-CN" w:bidi="ar-SA"/>
        </w:rPr>
        <w:t>其他</w:t>
      </w:r>
      <w:r>
        <w:rPr>
          <w:rFonts w:hint="eastAsia" w:ascii="宋体" w:hAnsi="宋体" w:eastAsia="宋体" w:cs="Times New Roman"/>
          <w:i w:val="0"/>
          <w:iCs w:val="0"/>
          <w:kern w:val="2"/>
          <w:sz w:val="24"/>
          <w:szCs w:val="24"/>
          <w:lang w:val="en-US" w:eastAsia="zh-CN" w:bidi="ar-SA"/>
        </w:rPr>
        <w:t>设备</w:t>
      </w:r>
    </w:p>
    <w:p w14:paraId="4C87EF0D">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000000"/>
          <w:lang w:eastAsia="zh-CN"/>
        </w:rPr>
      </w:pPr>
      <w:r>
        <w:rPr>
          <w:rFonts w:hint="eastAsia" w:ascii="宋体" w:hAnsi="宋体" w:cs="宋体"/>
          <w:color w:val="000000"/>
          <w:lang w:val="en-US" w:eastAsia="zh-CN"/>
        </w:rPr>
        <w:t>测量标准</w:t>
      </w:r>
      <w:r>
        <w:rPr>
          <w:rFonts w:hint="eastAsia" w:ascii="宋体" w:hAnsi="宋体" w:cs="宋体"/>
          <w:color w:val="000000"/>
        </w:rPr>
        <w:t>采用外夹式超声流量计</w:t>
      </w:r>
      <w:r>
        <w:rPr>
          <w:rFonts w:hint="eastAsia" w:ascii="宋体" w:hAnsi="宋体" w:cs="宋体"/>
          <w:color w:val="000000"/>
          <w:lang w:eastAsia="zh-CN"/>
        </w:rPr>
        <w:t>，</w:t>
      </w:r>
      <w:r>
        <w:rPr>
          <w:rFonts w:hint="eastAsia" w:ascii="宋体" w:hAnsi="宋体" w:cs="宋体"/>
          <w:color w:val="000000"/>
          <w:lang w:val="en-US" w:eastAsia="zh-CN"/>
        </w:rPr>
        <w:t>需</w:t>
      </w:r>
      <w:r>
        <w:rPr>
          <w:rFonts w:hint="eastAsia" w:ascii="宋体" w:hAnsi="宋体" w:cs="宋体"/>
          <w:color w:val="000000"/>
        </w:rPr>
        <w:t>应经有效量值溯源，</w:t>
      </w:r>
      <w:r>
        <w:rPr>
          <w:rFonts w:hint="eastAsia" w:ascii="Times New Roman" w:hAnsi="Times New Roman" w:cs="Times New Roman"/>
          <w:sz w:val="24"/>
        </w:rPr>
        <w:t>溯源的管道通径</w:t>
      </w:r>
      <w:r>
        <w:rPr>
          <w:rFonts w:hint="eastAsia" w:cs="Times New Roman"/>
          <w:sz w:val="24"/>
          <w:lang w:val="en-US" w:eastAsia="zh-CN"/>
        </w:rPr>
        <w:t>应与被校水表的通径一致，且溯源的</w:t>
      </w:r>
      <w:r>
        <w:rPr>
          <w:rFonts w:hint="eastAsia" w:ascii="Times New Roman" w:hAnsi="Times New Roman" w:cs="Times New Roman"/>
          <w:sz w:val="24"/>
        </w:rPr>
        <w:t>流速范围应覆盖被校水表现场校准的流速范围</w:t>
      </w:r>
      <w:r>
        <w:rPr>
          <w:rFonts w:hint="eastAsia" w:cs="Times New Roman"/>
          <w:sz w:val="24"/>
          <w:lang w:eastAsia="zh-CN"/>
        </w:rPr>
        <w:t>。</w:t>
      </w:r>
    </w:p>
    <w:p w14:paraId="426A82CE">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lang w:val="en-US" w:eastAsia="zh-CN"/>
        </w:rPr>
        <w:t>其他设备包括</w:t>
      </w:r>
      <w:r>
        <w:rPr>
          <w:rFonts w:hint="eastAsia" w:ascii="宋体" w:hAnsi="宋体"/>
          <w:szCs w:val="21"/>
        </w:rPr>
        <w:t>超声波测厚仪</w:t>
      </w:r>
      <w:r>
        <w:rPr>
          <w:rFonts w:hint="eastAsia" w:ascii="宋体" w:hAnsi="宋体"/>
          <w:szCs w:val="21"/>
          <w:lang w:eastAsia="zh-CN"/>
        </w:rPr>
        <w:t>、</w:t>
      </w:r>
      <w:r>
        <w:rPr>
          <w:rFonts w:hint="eastAsia" w:ascii="宋体" w:hAnsi="宋体" w:cs="宋体"/>
          <w:color w:val="000000"/>
        </w:rPr>
        <w:t>π尺</w:t>
      </w:r>
      <w:r>
        <w:rPr>
          <w:rFonts w:hint="eastAsia" w:ascii="宋体" w:hAnsi="宋体" w:cs="宋体"/>
          <w:color w:val="000000"/>
          <w:lang w:eastAsia="zh-CN"/>
        </w:rPr>
        <w:t>、</w:t>
      </w:r>
      <w:r>
        <w:rPr>
          <w:rFonts w:hint="eastAsia" w:ascii="宋体" w:hAnsi="宋体" w:cs="宋体"/>
          <w:color w:val="000000"/>
          <w:lang w:val="en-US" w:eastAsia="zh-CN"/>
        </w:rPr>
        <w:t>钢</w:t>
      </w:r>
      <w:r>
        <w:rPr>
          <w:rFonts w:hint="eastAsia" w:ascii="宋体" w:hAnsi="宋体" w:cs="宋体"/>
          <w:color w:val="000000"/>
        </w:rPr>
        <w:t>卷尺</w:t>
      </w:r>
      <w:r>
        <w:rPr>
          <w:rFonts w:hint="eastAsia" w:ascii="宋体" w:hAnsi="宋体" w:cs="宋体"/>
          <w:color w:val="000000"/>
          <w:lang w:eastAsia="zh-CN"/>
        </w:rPr>
        <w:t>、</w:t>
      </w:r>
      <w:r>
        <w:rPr>
          <w:rFonts w:hint="eastAsia" w:ascii="宋体" w:hAnsi="宋体" w:cs="宋体"/>
          <w:color w:val="000000"/>
          <w:lang w:val="en-US" w:eastAsia="zh-CN"/>
        </w:rPr>
        <w:t>秒表、</w:t>
      </w:r>
      <w:r>
        <w:rPr>
          <w:rFonts w:hint="eastAsia" w:ascii="宋体" w:hAnsi="宋体"/>
          <w:szCs w:val="21"/>
          <w:lang w:val="en-US" w:eastAsia="zh-CN"/>
        </w:rPr>
        <w:t>表面温度计、数字式</w:t>
      </w:r>
      <w:r>
        <w:rPr>
          <w:rFonts w:hint="eastAsia" w:ascii="宋体" w:hAnsi="宋体"/>
          <w:szCs w:val="21"/>
        </w:rPr>
        <w:t>温湿度计</w:t>
      </w:r>
      <w:r>
        <w:rPr>
          <w:rFonts w:hint="eastAsia" w:ascii="宋体" w:hAnsi="宋体" w:cs="宋体"/>
          <w:color w:val="000000"/>
          <w:lang w:val="en-US" w:eastAsia="zh-CN"/>
        </w:rPr>
        <w:t>。其中，</w:t>
      </w:r>
      <w:r>
        <w:rPr>
          <w:rFonts w:hint="eastAsia" w:ascii="宋体" w:hAnsi="宋体"/>
          <w:szCs w:val="21"/>
        </w:rPr>
        <w:t>超声波测厚仪</w:t>
      </w:r>
      <w:r>
        <w:rPr>
          <w:rFonts w:hint="eastAsia" w:ascii="宋体" w:hAnsi="宋体"/>
          <w:szCs w:val="21"/>
          <w:lang w:val="en-US" w:eastAsia="zh-CN"/>
        </w:rPr>
        <w:t>用于测量管道壁厚；</w:t>
      </w:r>
      <w:r>
        <w:rPr>
          <w:rFonts w:hint="eastAsia" w:ascii="宋体" w:hAnsi="宋体" w:cs="宋体"/>
          <w:color w:val="000000"/>
        </w:rPr>
        <w:t>π尺</w:t>
      </w:r>
      <w:r>
        <w:rPr>
          <w:rFonts w:hint="eastAsia" w:ascii="宋体" w:hAnsi="宋体" w:cs="宋体"/>
          <w:color w:val="000000"/>
          <w:lang w:val="en-US" w:eastAsia="zh-CN"/>
        </w:rPr>
        <w:t>用于测量管道外径；钢卷尺用于测量管道前后直管段长度；秒表用于现场测量计时；</w:t>
      </w:r>
      <w:r>
        <w:rPr>
          <w:rFonts w:hint="eastAsia" w:ascii="宋体" w:hAnsi="宋体"/>
          <w:szCs w:val="21"/>
          <w:lang w:val="en-US" w:eastAsia="zh-CN"/>
        </w:rPr>
        <w:t>表面温度计用于测量介质（水）温度，或在做好</w:t>
      </w:r>
      <w:r>
        <w:rPr>
          <w:rFonts w:hint="eastAsia" w:ascii="宋体" w:hAnsi="宋体"/>
          <w:sz w:val="24"/>
          <w:szCs w:val="20"/>
          <w:lang w:val="en-US" w:eastAsia="zh-CN"/>
        </w:rPr>
        <w:t>遮阳、防风等保温措施的条件下测量管壁温度以近似等效为介质（水）温度</w:t>
      </w:r>
      <w:r>
        <w:rPr>
          <w:rFonts w:hint="eastAsia" w:ascii="宋体" w:hAnsi="宋体" w:cs="宋体"/>
          <w:color w:val="000000"/>
          <w:lang w:val="en-US" w:eastAsia="zh-CN"/>
        </w:rPr>
        <w:t>。</w:t>
      </w:r>
    </w:p>
    <w:p w14:paraId="524A11F4">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rPr>
      </w:pPr>
      <w:r>
        <w:rPr>
          <w:rFonts w:hint="eastAsia" w:ascii="宋体" w:hAnsi="宋体" w:cs="宋体"/>
          <w:color w:val="000000"/>
          <w:lang w:val="en-US" w:eastAsia="zh-CN"/>
        </w:rPr>
        <w:t>6.</w:t>
      </w:r>
      <w:r>
        <w:rPr>
          <w:rFonts w:hint="eastAsia" w:ascii="宋体" w:hAnsi="宋体" w:cs="宋体"/>
          <w:color w:val="000000"/>
        </w:rPr>
        <w:t>校准流量点选取</w:t>
      </w:r>
    </w:p>
    <w:p w14:paraId="48895130">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eastAsia="zh-CN"/>
        </w:rPr>
      </w:pPr>
      <w:r>
        <w:rPr>
          <w:rFonts w:hint="eastAsia" w:ascii="宋体" w:hAnsi="宋体" w:cs="宋体"/>
          <w:color w:val="000000"/>
        </w:rPr>
        <w:t>根据现场实际情况选择确定校准流量点。</w:t>
      </w:r>
      <w:r>
        <w:rPr>
          <w:rFonts w:hint="eastAsia" w:ascii="宋体" w:hAnsi="宋体" w:cs="宋体"/>
          <w:color w:val="000000"/>
          <w:lang w:val="en-US" w:eastAsia="zh-CN"/>
        </w:rPr>
        <w:t>为贴近用户需求，建议</w:t>
      </w:r>
      <w:r>
        <w:rPr>
          <w:rFonts w:hint="eastAsia" w:ascii="宋体" w:hAnsi="宋体" w:cs="宋体"/>
          <w:color w:val="000000"/>
        </w:rPr>
        <w:t>校准流量点</w:t>
      </w:r>
      <w:r>
        <w:rPr>
          <w:rFonts w:hint="eastAsia" w:ascii="宋体" w:hAnsi="宋体" w:cs="宋体"/>
          <w:color w:val="000000"/>
          <w:lang w:val="en-US" w:eastAsia="zh-CN"/>
        </w:rPr>
        <w:t>选取</w:t>
      </w:r>
      <w:r>
        <w:rPr>
          <w:rFonts w:hint="eastAsia" w:ascii="宋体" w:hAnsi="宋体" w:cs="宋体"/>
          <w:color w:val="000000"/>
        </w:rPr>
        <w:t>被校水表实际工作条件下经常使用的流量点；如果现场条件允许，可增加被校水表实际工作条件下经常使用的流量范围的上限和下限作为校准流量点</w:t>
      </w:r>
      <w:r>
        <w:rPr>
          <w:rFonts w:hint="eastAsia" w:ascii="宋体" w:hAnsi="宋体" w:cs="宋体"/>
          <w:color w:val="000000"/>
          <w:lang w:eastAsia="zh-CN"/>
        </w:rPr>
        <w:t>。</w:t>
      </w:r>
    </w:p>
    <w:p w14:paraId="27B6E82A">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bookmarkStart w:id="2" w:name="_Toc173595336"/>
      <w:r>
        <w:rPr>
          <w:rFonts w:hint="eastAsia" w:ascii="宋体" w:hAnsi="宋体" w:cs="宋体"/>
          <w:color w:val="000000"/>
          <w:lang w:val="en-US" w:eastAsia="zh-CN"/>
        </w:rPr>
        <w:t>7.复校时间间隔</w:t>
      </w:r>
      <w:bookmarkEnd w:id="2"/>
    </w:p>
    <w:p w14:paraId="3BCD0EA1">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lang w:val="en-US" w:eastAsia="zh-CN"/>
        </w:rPr>
      </w:pPr>
      <w:r>
        <w:rPr>
          <w:rFonts w:hint="eastAsia" w:ascii="宋体" w:hAnsi="宋体" w:cs="宋体"/>
          <w:color w:val="000000"/>
        </w:rPr>
        <w:t>复校时间间隔由水表的使用状况、使用者、仪器本身质量等诸因素决定</w:t>
      </w:r>
      <w:r>
        <w:rPr>
          <w:rFonts w:hint="eastAsia" w:ascii="宋体" w:hAnsi="宋体" w:cs="宋体"/>
          <w:color w:val="000000"/>
          <w:lang w:eastAsia="zh-CN"/>
        </w:rPr>
        <w:t>。</w:t>
      </w:r>
      <w:r>
        <w:rPr>
          <w:rFonts w:hint="eastAsia" w:ascii="宋体" w:hAnsi="宋体" w:cs="宋体"/>
          <w:color w:val="000000"/>
          <w:lang w:val="en-US" w:eastAsia="zh-CN"/>
        </w:rPr>
        <w:t>根据</w:t>
      </w:r>
      <w:r>
        <w:rPr>
          <w:rFonts w:hint="eastAsia" w:ascii="宋体" w:hAnsi="宋体" w:cs="宋体"/>
          <w:color w:val="000000"/>
        </w:rPr>
        <w:t>JJG 162—2019《饮用冷水水表》</w:t>
      </w:r>
      <w:r>
        <w:rPr>
          <w:rFonts w:hint="eastAsia" w:ascii="宋体" w:hAnsi="宋体" w:cs="宋体"/>
          <w:color w:val="000000"/>
          <w:lang w:eastAsia="zh-CN"/>
        </w:rPr>
        <w:t>，</w:t>
      </w:r>
      <w:r>
        <w:rPr>
          <w:rFonts w:hint="eastAsia" w:ascii="宋体" w:hAnsi="宋体" w:cs="宋体"/>
          <w:color w:val="000000"/>
          <w:lang w:val="en-US" w:eastAsia="zh-CN"/>
        </w:rPr>
        <w:t>大口径水表的</w:t>
      </w:r>
      <w:r>
        <w:rPr>
          <w:rFonts w:hint="eastAsia" w:ascii="宋体" w:hAnsi="宋体" w:cs="宋体"/>
          <w:color w:val="000000"/>
        </w:rPr>
        <w:t>检定周期一般为2年</w:t>
      </w:r>
      <w:r>
        <w:rPr>
          <w:rFonts w:hint="eastAsia" w:ascii="宋体" w:hAnsi="宋体" w:cs="宋体"/>
          <w:color w:val="000000"/>
          <w:lang w:eastAsia="zh-CN"/>
        </w:rPr>
        <w:t>，</w:t>
      </w:r>
      <w:r>
        <w:rPr>
          <w:rFonts w:hint="eastAsia" w:ascii="宋体" w:hAnsi="宋体" w:cs="宋体"/>
          <w:color w:val="000000"/>
          <w:lang w:val="en-US" w:eastAsia="zh-CN"/>
        </w:rPr>
        <w:t>建议在线校准的复校时间间隔不超过1年；</w:t>
      </w:r>
      <w:r>
        <w:rPr>
          <w:rFonts w:hint="eastAsia" w:ascii="宋体" w:hAnsi="宋体" w:cs="宋体"/>
          <w:color w:val="000000"/>
        </w:rPr>
        <w:t>用户</w:t>
      </w:r>
      <w:r>
        <w:rPr>
          <w:rFonts w:hint="eastAsia" w:ascii="宋体" w:hAnsi="宋体" w:cs="宋体"/>
          <w:color w:val="000000"/>
          <w:lang w:val="en-US" w:eastAsia="zh-CN"/>
        </w:rPr>
        <w:t>也</w:t>
      </w:r>
      <w:r>
        <w:rPr>
          <w:rFonts w:hint="eastAsia" w:ascii="宋体" w:hAnsi="宋体" w:cs="宋体"/>
          <w:color w:val="000000"/>
        </w:rPr>
        <w:t>可根据水表的实际使用情况自行决定复校时间间隔。</w:t>
      </w:r>
    </w:p>
    <w:sectPr>
      <w:footerReference r:id="rId9" w:type="default"/>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C02B9">
    <w:pPr>
      <w:pStyle w:val="5"/>
      <w:jc w:val="center"/>
    </w:pPr>
    <w:r>
      <w:rPr>
        <w:lang w:val="en-US"/>
      </w:rPr>
      <w:pict>
        <v:shape id="_x0000_s4098" o:spid="_x0000_s4098" o:spt="202" type="#_x0000_t202" style="position:absolute;left:0pt;margin-top:10.55pt;height:144pt;width:16.45pt;mso-position-horizontal:center;mso-position-horizontal-relative:margin;z-index:251659264;mso-width-relative:page;mso-height-relative:page;" filled="f" stroked="f" coordsize="21600,21600" o:gfxdata="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U1oNUAAAAGAQAADwAAAAAAAAABACAAAAAiAAAAZHJzL2Rvd25yZXYueG1sUEsB&#10;AhQAFAAAAAgAh07iQBuNpCgxAgAAVgQAAA4AAAAAAAAAAQAgAAAAJAEAAGRycy9lMm9Eb2MueG1s&#10;UEsFBgAAAAAGAAYAWQEAAMcFAAAAAA==&#10;">
          <v:path/>
          <v:fill on="f" focussize="0,0"/>
          <v:stroke on="f" weight="0.5pt"/>
          <v:imagedata o:title=""/>
          <o:lock v:ext="edit" aspectratio="f"/>
          <v:textbox inset="0mm,0mm,0mm,0mm" style="mso-fit-shape-to-text:t;">
            <w:txbxContent>
              <w:p w14:paraId="0C46DDC5">
                <w:pPr>
                  <w:pStyle w:val="5"/>
                  <w:jc w:val="center"/>
                </w:pPr>
                <w:r>
                  <w:fldChar w:fldCharType="begin"/>
                </w:r>
                <w:r>
                  <w:instrText xml:space="preserve"> PAGE   \* MERGEFORMAT </w:instrText>
                </w:r>
                <w:r>
                  <w:fldChar w:fldCharType="separate"/>
                </w:r>
                <w:r>
                  <w:t>5</w:t>
                </w:r>
                <w:r>
                  <w:fldChar w:fldCharType="end"/>
                </w:r>
              </w:p>
            </w:txbxContent>
          </v:textbox>
        </v:shape>
      </w:pict>
    </w:r>
  </w:p>
  <w:p w14:paraId="16252F61">
    <w:pPr>
      <w:pStyle w:val="5"/>
      <w:jc w:val="center"/>
    </w:pPr>
  </w:p>
  <w:p w14:paraId="3A0750F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2B85E">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p w14:paraId="135FAE6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845C5">
    <w:pPr>
      <w:pStyle w:val="5"/>
      <w:jc w:val="center"/>
    </w:pPr>
    <w:r>
      <w:rPr>
        <w:lang w:val="en-US"/>
      </w:rPr>
      <w:pict>
        <v:shape id="_x0000_s4097" o:spid="_x0000_s4097" o:spt="202" type="#_x0000_t202" style="position:absolute;left:0pt;margin-top:10.55pt;height:144pt;width:144pt;mso-position-horizontal:center;mso-position-horizontal-relative:margin;mso-wrap-style:none;z-index:251660288;mso-width-relative:page;mso-height-relative:page;" filled="f" stroked="f" coordsize="21600,21600" o:gfxdata="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POM351AAAAAcBAAAPAAAAAAAAAAEAIAAAACIAAABkcnMvZG93bnJldi54bWxQSwECFAAUAAAA&#10;CACHTuJABWGMPysCAABVBAAADgAAAAAAAAABACAAAAAjAQAAZHJzL2Uyb0RvYy54bWxQSwUGAAAA&#10;AAYABgBZAQAAwAUAAAAA&#10;">
          <v:path/>
          <v:fill on="f" focussize="0,0"/>
          <v:stroke on="f" weight="0.5pt"/>
          <v:imagedata o:title=""/>
          <o:lock v:ext="edit" aspectratio="f"/>
          <v:textbox inset="0mm,0mm,0mm,0mm" style="mso-fit-shape-to-text:t;">
            <w:txbxContent>
              <w:p w14:paraId="52A2946E">
                <w:pPr>
                  <w:pStyle w:val="5"/>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BFC53">
    <w:pPr>
      <w:pStyle w:val="5"/>
      <w:ind w:firstLine="360"/>
      <w:jc w:val="center"/>
    </w:pPr>
    <w:r>
      <w:fldChar w:fldCharType="begin"/>
    </w:r>
    <w:r>
      <w:instrText xml:space="preserve">PAGE   \* MERGEFORMAT</w:instrText>
    </w:r>
    <w:r>
      <w:fldChar w:fldCharType="separate"/>
    </w:r>
    <w:r>
      <w:rPr>
        <w:lang w:val="zh-CN"/>
      </w:rPr>
      <w:t>8</w:t>
    </w:r>
    <w:r>
      <w:rPr>
        <w:lang w:val="zh-CN"/>
      </w:rPr>
      <w:fldChar w:fldCharType="end"/>
    </w:r>
  </w:p>
  <w:p w14:paraId="5B088213">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80" w:lineRule="auto"/>
        <w:ind w:firstLine="480"/>
      </w:pPr>
      <w:r>
        <w:separator/>
      </w:r>
    </w:p>
  </w:footnote>
  <w:footnote w:type="continuationSeparator" w:id="1">
    <w:p>
      <w:pPr>
        <w:spacing w:line="48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394C3">
    <w:pPr>
      <w:pStyle w:val="6"/>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k0MWM5YWFjNzQ4MTAwZTg4MDExZTkwNTE3ZmM3NTUifQ=="/>
    <w:docVar w:name="KSO_WPS_MARK_KEY" w:val="6aaad4df-6f7f-4a65-b7e3-41a4ad08bbc2"/>
  </w:docVars>
  <w:rsids>
    <w:rsidRoot w:val="00EC257E"/>
    <w:rsid w:val="00002A36"/>
    <w:rsid w:val="000216F1"/>
    <w:rsid w:val="00033C83"/>
    <w:rsid w:val="00034BBC"/>
    <w:rsid w:val="00041BF7"/>
    <w:rsid w:val="00046455"/>
    <w:rsid w:val="0005294E"/>
    <w:rsid w:val="00054A05"/>
    <w:rsid w:val="000553A5"/>
    <w:rsid w:val="00056C14"/>
    <w:rsid w:val="000843FF"/>
    <w:rsid w:val="00087B47"/>
    <w:rsid w:val="00093162"/>
    <w:rsid w:val="000975D9"/>
    <w:rsid w:val="000B471F"/>
    <w:rsid w:val="000B5227"/>
    <w:rsid w:val="000C408F"/>
    <w:rsid w:val="000D1B18"/>
    <w:rsid w:val="000E299E"/>
    <w:rsid w:val="000F0635"/>
    <w:rsid w:val="001124AE"/>
    <w:rsid w:val="0011273E"/>
    <w:rsid w:val="001127EF"/>
    <w:rsid w:val="001205C4"/>
    <w:rsid w:val="00121B5F"/>
    <w:rsid w:val="00123680"/>
    <w:rsid w:val="00132275"/>
    <w:rsid w:val="00134598"/>
    <w:rsid w:val="00135E21"/>
    <w:rsid w:val="00140437"/>
    <w:rsid w:val="00142A81"/>
    <w:rsid w:val="00143697"/>
    <w:rsid w:val="00144871"/>
    <w:rsid w:val="00144CAC"/>
    <w:rsid w:val="00160346"/>
    <w:rsid w:val="0016161C"/>
    <w:rsid w:val="0017794E"/>
    <w:rsid w:val="001918E0"/>
    <w:rsid w:val="001964FD"/>
    <w:rsid w:val="001D067D"/>
    <w:rsid w:val="001E2CCC"/>
    <w:rsid w:val="001E321F"/>
    <w:rsid w:val="001E6275"/>
    <w:rsid w:val="001F25B3"/>
    <w:rsid w:val="001F2772"/>
    <w:rsid w:val="001F6EB0"/>
    <w:rsid w:val="00211E0C"/>
    <w:rsid w:val="002220C0"/>
    <w:rsid w:val="00223D15"/>
    <w:rsid w:val="00232324"/>
    <w:rsid w:val="00243C6D"/>
    <w:rsid w:val="00246AA5"/>
    <w:rsid w:val="002631B7"/>
    <w:rsid w:val="00267E3D"/>
    <w:rsid w:val="00272E6B"/>
    <w:rsid w:val="0028143C"/>
    <w:rsid w:val="00283F36"/>
    <w:rsid w:val="00286F7D"/>
    <w:rsid w:val="002949F6"/>
    <w:rsid w:val="002A0FA4"/>
    <w:rsid w:val="002B0017"/>
    <w:rsid w:val="002B2A5B"/>
    <w:rsid w:val="002E1CE6"/>
    <w:rsid w:val="002E4A35"/>
    <w:rsid w:val="002F0E41"/>
    <w:rsid w:val="002F108E"/>
    <w:rsid w:val="002F47E1"/>
    <w:rsid w:val="00312F1F"/>
    <w:rsid w:val="00314D80"/>
    <w:rsid w:val="00315F9E"/>
    <w:rsid w:val="0032417F"/>
    <w:rsid w:val="003341CB"/>
    <w:rsid w:val="003453FC"/>
    <w:rsid w:val="00361A19"/>
    <w:rsid w:val="00361C5E"/>
    <w:rsid w:val="003723C5"/>
    <w:rsid w:val="00377B37"/>
    <w:rsid w:val="003A58DE"/>
    <w:rsid w:val="003C2DA2"/>
    <w:rsid w:val="003C4220"/>
    <w:rsid w:val="003C5BF7"/>
    <w:rsid w:val="003E6C62"/>
    <w:rsid w:val="003F36AF"/>
    <w:rsid w:val="0040129D"/>
    <w:rsid w:val="004056A5"/>
    <w:rsid w:val="00407E17"/>
    <w:rsid w:val="00432E19"/>
    <w:rsid w:val="00435331"/>
    <w:rsid w:val="0043572E"/>
    <w:rsid w:val="00436DD3"/>
    <w:rsid w:val="004639EF"/>
    <w:rsid w:val="00480411"/>
    <w:rsid w:val="00480524"/>
    <w:rsid w:val="00490E1C"/>
    <w:rsid w:val="00497843"/>
    <w:rsid w:val="004A45F2"/>
    <w:rsid w:val="004B0BCA"/>
    <w:rsid w:val="004B30C8"/>
    <w:rsid w:val="004C3883"/>
    <w:rsid w:val="004D02F1"/>
    <w:rsid w:val="004D3A80"/>
    <w:rsid w:val="004E51AA"/>
    <w:rsid w:val="004E61A5"/>
    <w:rsid w:val="004F0170"/>
    <w:rsid w:val="004F55C4"/>
    <w:rsid w:val="005208D4"/>
    <w:rsid w:val="00524E03"/>
    <w:rsid w:val="00541AC9"/>
    <w:rsid w:val="00550467"/>
    <w:rsid w:val="00556F2E"/>
    <w:rsid w:val="00562B10"/>
    <w:rsid w:val="005670B1"/>
    <w:rsid w:val="00593DE8"/>
    <w:rsid w:val="005957D9"/>
    <w:rsid w:val="005A2E89"/>
    <w:rsid w:val="005A5AC4"/>
    <w:rsid w:val="005D0B6F"/>
    <w:rsid w:val="005D5DFD"/>
    <w:rsid w:val="005F4339"/>
    <w:rsid w:val="005F6E15"/>
    <w:rsid w:val="00607368"/>
    <w:rsid w:val="00614895"/>
    <w:rsid w:val="00616366"/>
    <w:rsid w:val="0064034D"/>
    <w:rsid w:val="00640392"/>
    <w:rsid w:val="00641982"/>
    <w:rsid w:val="00644AF2"/>
    <w:rsid w:val="0064575E"/>
    <w:rsid w:val="00660070"/>
    <w:rsid w:val="00676AD0"/>
    <w:rsid w:val="006841E7"/>
    <w:rsid w:val="00690475"/>
    <w:rsid w:val="006A2D14"/>
    <w:rsid w:val="006A3F1E"/>
    <w:rsid w:val="006A7E26"/>
    <w:rsid w:val="006B6CFA"/>
    <w:rsid w:val="006B7D8B"/>
    <w:rsid w:val="006D0CE7"/>
    <w:rsid w:val="006D4DC2"/>
    <w:rsid w:val="006E637D"/>
    <w:rsid w:val="006F0BF3"/>
    <w:rsid w:val="006F55ED"/>
    <w:rsid w:val="007117AB"/>
    <w:rsid w:val="00714CE5"/>
    <w:rsid w:val="007367D2"/>
    <w:rsid w:val="007471AC"/>
    <w:rsid w:val="00750248"/>
    <w:rsid w:val="007674C4"/>
    <w:rsid w:val="00774066"/>
    <w:rsid w:val="0077562E"/>
    <w:rsid w:val="00783C24"/>
    <w:rsid w:val="00791578"/>
    <w:rsid w:val="00791D3F"/>
    <w:rsid w:val="007A440E"/>
    <w:rsid w:val="007A66EC"/>
    <w:rsid w:val="007B2AB8"/>
    <w:rsid w:val="007B2F97"/>
    <w:rsid w:val="007B79D4"/>
    <w:rsid w:val="007C5B0A"/>
    <w:rsid w:val="007C6CEC"/>
    <w:rsid w:val="007C7ECA"/>
    <w:rsid w:val="007D0015"/>
    <w:rsid w:val="007D1BD3"/>
    <w:rsid w:val="007D352A"/>
    <w:rsid w:val="007D5A22"/>
    <w:rsid w:val="007D64E3"/>
    <w:rsid w:val="007E3007"/>
    <w:rsid w:val="007E3282"/>
    <w:rsid w:val="007F42C9"/>
    <w:rsid w:val="0080195D"/>
    <w:rsid w:val="00806718"/>
    <w:rsid w:val="00806A8A"/>
    <w:rsid w:val="00811882"/>
    <w:rsid w:val="00815188"/>
    <w:rsid w:val="008157A3"/>
    <w:rsid w:val="00827432"/>
    <w:rsid w:val="00827AE1"/>
    <w:rsid w:val="008324A1"/>
    <w:rsid w:val="00832E1D"/>
    <w:rsid w:val="008339BD"/>
    <w:rsid w:val="00842A29"/>
    <w:rsid w:val="00847720"/>
    <w:rsid w:val="00852492"/>
    <w:rsid w:val="00853CDF"/>
    <w:rsid w:val="00855E1B"/>
    <w:rsid w:val="00863B82"/>
    <w:rsid w:val="00885E2E"/>
    <w:rsid w:val="008A365F"/>
    <w:rsid w:val="008A7711"/>
    <w:rsid w:val="008D3AE9"/>
    <w:rsid w:val="008D43C5"/>
    <w:rsid w:val="008D5E55"/>
    <w:rsid w:val="008F5C51"/>
    <w:rsid w:val="00900746"/>
    <w:rsid w:val="00900AE8"/>
    <w:rsid w:val="009057DA"/>
    <w:rsid w:val="00905DA1"/>
    <w:rsid w:val="0093522E"/>
    <w:rsid w:val="00941E4F"/>
    <w:rsid w:val="00946F06"/>
    <w:rsid w:val="009527B4"/>
    <w:rsid w:val="00962B76"/>
    <w:rsid w:val="009740A6"/>
    <w:rsid w:val="009770B2"/>
    <w:rsid w:val="00994A3E"/>
    <w:rsid w:val="00997269"/>
    <w:rsid w:val="009B32F9"/>
    <w:rsid w:val="009B7B39"/>
    <w:rsid w:val="009C5998"/>
    <w:rsid w:val="009D00CC"/>
    <w:rsid w:val="009D09E3"/>
    <w:rsid w:val="009E5268"/>
    <w:rsid w:val="009F1B12"/>
    <w:rsid w:val="009F5F8F"/>
    <w:rsid w:val="009F6F60"/>
    <w:rsid w:val="00A02012"/>
    <w:rsid w:val="00A02E42"/>
    <w:rsid w:val="00A037D0"/>
    <w:rsid w:val="00A04901"/>
    <w:rsid w:val="00A1649F"/>
    <w:rsid w:val="00A21AE0"/>
    <w:rsid w:val="00A22E2E"/>
    <w:rsid w:val="00A2456E"/>
    <w:rsid w:val="00A254B6"/>
    <w:rsid w:val="00A4496F"/>
    <w:rsid w:val="00A51754"/>
    <w:rsid w:val="00A5205F"/>
    <w:rsid w:val="00A54897"/>
    <w:rsid w:val="00A710DE"/>
    <w:rsid w:val="00A8265B"/>
    <w:rsid w:val="00A96D36"/>
    <w:rsid w:val="00AB02DE"/>
    <w:rsid w:val="00AB45CF"/>
    <w:rsid w:val="00AB7FD6"/>
    <w:rsid w:val="00AC180F"/>
    <w:rsid w:val="00AC267B"/>
    <w:rsid w:val="00AD52CE"/>
    <w:rsid w:val="00AD6A2A"/>
    <w:rsid w:val="00AD75C2"/>
    <w:rsid w:val="00AE17A7"/>
    <w:rsid w:val="00AE37A1"/>
    <w:rsid w:val="00AF0704"/>
    <w:rsid w:val="00B2345A"/>
    <w:rsid w:val="00B36D1A"/>
    <w:rsid w:val="00B43358"/>
    <w:rsid w:val="00B43EF0"/>
    <w:rsid w:val="00B554EA"/>
    <w:rsid w:val="00B70DC3"/>
    <w:rsid w:val="00B726FC"/>
    <w:rsid w:val="00B771AF"/>
    <w:rsid w:val="00B87C02"/>
    <w:rsid w:val="00B90DF3"/>
    <w:rsid w:val="00B96982"/>
    <w:rsid w:val="00BA0AB3"/>
    <w:rsid w:val="00BB6998"/>
    <w:rsid w:val="00BB6CCC"/>
    <w:rsid w:val="00BC0CFE"/>
    <w:rsid w:val="00BC2AB9"/>
    <w:rsid w:val="00BC3FBD"/>
    <w:rsid w:val="00BD336A"/>
    <w:rsid w:val="00BD565C"/>
    <w:rsid w:val="00BE2CD1"/>
    <w:rsid w:val="00BE3CCC"/>
    <w:rsid w:val="00C0322C"/>
    <w:rsid w:val="00C15A3F"/>
    <w:rsid w:val="00C63B56"/>
    <w:rsid w:val="00C72BCC"/>
    <w:rsid w:val="00C81BCA"/>
    <w:rsid w:val="00C96D81"/>
    <w:rsid w:val="00CA012F"/>
    <w:rsid w:val="00CA0680"/>
    <w:rsid w:val="00CA119E"/>
    <w:rsid w:val="00CB1CC9"/>
    <w:rsid w:val="00CB1E95"/>
    <w:rsid w:val="00CB36FF"/>
    <w:rsid w:val="00CC09A4"/>
    <w:rsid w:val="00CC322E"/>
    <w:rsid w:val="00CC3394"/>
    <w:rsid w:val="00CD0EE5"/>
    <w:rsid w:val="00CD613B"/>
    <w:rsid w:val="00CE453D"/>
    <w:rsid w:val="00CF01F7"/>
    <w:rsid w:val="00CF0B8C"/>
    <w:rsid w:val="00CF526A"/>
    <w:rsid w:val="00D019BC"/>
    <w:rsid w:val="00D11A18"/>
    <w:rsid w:val="00D1505A"/>
    <w:rsid w:val="00D243B7"/>
    <w:rsid w:val="00D25319"/>
    <w:rsid w:val="00D515A3"/>
    <w:rsid w:val="00D57C3A"/>
    <w:rsid w:val="00D57CB3"/>
    <w:rsid w:val="00D61107"/>
    <w:rsid w:val="00D73B6F"/>
    <w:rsid w:val="00D759B5"/>
    <w:rsid w:val="00D75CA9"/>
    <w:rsid w:val="00D76B2D"/>
    <w:rsid w:val="00D8046B"/>
    <w:rsid w:val="00D8215E"/>
    <w:rsid w:val="00D93619"/>
    <w:rsid w:val="00DA540C"/>
    <w:rsid w:val="00DB5B6C"/>
    <w:rsid w:val="00DC1C08"/>
    <w:rsid w:val="00DD37EF"/>
    <w:rsid w:val="00DF0F81"/>
    <w:rsid w:val="00E079A9"/>
    <w:rsid w:val="00E120BD"/>
    <w:rsid w:val="00E23445"/>
    <w:rsid w:val="00E25A4E"/>
    <w:rsid w:val="00E25F8F"/>
    <w:rsid w:val="00E31189"/>
    <w:rsid w:val="00E33E90"/>
    <w:rsid w:val="00E41EE2"/>
    <w:rsid w:val="00E552A2"/>
    <w:rsid w:val="00E55768"/>
    <w:rsid w:val="00E62FCF"/>
    <w:rsid w:val="00E704E0"/>
    <w:rsid w:val="00E725CC"/>
    <w:rsid w:val="00E767FE"/>
    <w:rsid w:val="00EA0217"/>
    <w:rsid w:val="00EA4585"/>
    <w:rsid w:val="00EA536D"/>
    <w:rsid w:val="00EB290F"/>
    <w:rsid w:val="00EC257E"/>
    <w:rsid w:val="00EC5BE0"/>
    <w:rsid w:val="00EE4B83"/>
    <w:rsid w:val="00EF66E8"/>
    <w:rsid w:val="00F00DBC"/>
    <w:rsid w:val="00F02331"/>
    <w:rsid w:val="00F0442D"/>
    <w:rsid w:val="00F120D1"/>
    <w:rsid w:val="00F13D0D"/>
    <w:rsid w:val="00F17F8C"/>
    <w:rsid w:val="00F306E4"/>
    <w:rsid w:val="00F34A6E"/>
    <w:rsid w:val="00F5140C"/>
    <w:rsid w:val="00F53290"/>
    <w:rsid w:val="00F65B03"/>
    <w:rsid w:val="00F71FF3"/>
    <w:rsid w:val="00F72882"/>
    <w:rsid w:val="00F73092"/>
    <w:rsid w:val="00F85109"/>
    <w:rsid w:val="00F86E6C"/>
    <w:rsid w:val="00FB1F2B"/>
    <w:rsid w:val="00FB4D25"/>
    <w:rsid w:val="00FC29AD"/>
    <w:rsid w:val="00FC36A2"/>
    <w:rsid w:val="00FC5CDA"/>
    <w:rsid w:val="00FD1F52"/>
    <w:rsid w:val="00FE0235"/>
    <w:rsid w:val="00FE04CF"/>
    <w:rsid w:val="00FE4FC3"/>
    <w:rsid w:val="00FE6DC1"/>
    <w:rsid w:val="00FF4FA4"/>
    <w:rsid w:val="00FF7EEE"/>
    <w:rsid w:val="010377BE"/>
    <w:rsid w:val="013B4944"/>
    <w:rsid w:val="01EE279F"/>
    <w:rsid w:val="02D54924"/>
    <w:rsid w:val="02FB6FC9"/>
    <w:rsid w:val="042E2113"/>
    <w:rsid w:val="045301F6"/>
    <w:rsid w:val="0492029D"/>
    <w:rsid w:val="04E31F70"/>
    <w:rsid w:val="058532A5"/>
    <w:rsid w:val="05BF56A4"/>
    <w:rsid w:val="05CE7F14"/>
    <w:rsid w:val="06AA696E"/>
    <w:rsid w:val="07124399"/>
    <w:rsid w:val="071D4AEC"/>
    <w:rsid w:val="078828AD"/>
    <w:rsid w:val="08096ED2"/>
    <w:rsid w:val="089B36E6"/>
    <w:rsid w:val="08DD29D1"/>
    <w:rsid w:val="099278CE"/>
    <w:rsid w:val="0A21320D"/>
    <w:rsid w:val="0B8B296C"/>
    <w:rsid w:val="0C2F4957"/>
    <w:rsid w:val="0D972C38"/>
    <w:rsid w:val="0DBF4AA0"/>
    <w:rsid w:val="0E083E00"/>
    <w:rsid w:val="0EEC1973"/>
    <w:rsid w:val="0F7F1D24"/>
    <w:rsid w:val="0FBC420B"/>
    <w:rsid w:val="107033EA"/>
    <w:rsid w:val="10893CE9"/>
    <w:rsid w:val="118F3020"/>
    <w:rsid w:val="11C1207B"/>
    <w:rsid w:val="11E005FB"/>
    <w:rsid w:val="11F76665"/>
    <w:rsid w:val="120B0362"/>
    <w:rsid w:val="124F1421"/>
    <w:rsid w:val="134D0507"/>
    <w:rsid w:val="142D6648"/>
    <w:rsid w:val="1437132D"/>
    <w:rsid w:val="14BF2DE2"/>
    <w:rsid w:val="14E17B0C"/>
    <w:rsid w:val="165322D8"/>
    <w:rsid w:val="171B2DF6"/>
    <w:rsid w:val="173667FE"/>
    <w:rsid w:val="17DD3D91"/>
    <w:rsid w:val="19006747"/>
    <w:rsid w:val="19CC6629"/>
    <w:rsid w:val="1A6807FE"/>
    <w:rsid w:val="1AA82813"/>
    <w:rsid w:val="1AE053CA"/>
    <w:rsid w:val="1B10322D"/>
    <w:rsid w:val="1B3426D8"/>
    <w:rsid w:val="1B5918F8"/>
    <w:rsid w:val="1B7D7ACF"/>
    <w:rsid w:val="1CE93133"/>
    <w:rsid w:val="1E427C49"/>
    <w:rsid w:val="1EAA2D36"/>
    <w:rsid w:val="1EB63404"/>
    <w:rsid w:val="1EBA2292"/>
    <w:rsid w:val="1EDA2D7F"/>
    <w:rsid w:val="1EDD3DC1"/>
    <w:rsid w:val="1F0E7C82"/>
    <w:rsid w:val="1F9264D4"/>
    <w:rsid w:val="1FFB58A2"/>
    <w:rsid w:val="20453A52"/>
    <w:rsid w:val="21E707D6"/>
    <w:rsid w:val="22156954"/>
    <w:rsid w:val="22A940C6"/>
    <w:rsid w:val="22C27589"/>
    <w:rsid w:val="22E449E3"/>
    <w:rsid w:val="233D407A"/>
    <w:rsid w:val="23974F16"/>
    <w:rsid w:val="239C706C"/>
    <w:rsid w:val="247E6D58"/>
    <w:rsid w:val="25140E84"/>
    <w:rsid w:val="259437E7"/>
    <w:rsid w:val="25DB72A9"/>
    <w:rsid w:val="25DD571A"/>
    <w:rsid w:val="26C81BEE"/>
    <w:rsid w:val="26D11723"/>
    <w:rsid w:val="26E05A50"/>
    <w:rsid w:val="286E1C57"/>
    <w:rsid w:val="292813D7"/>
    <w:rsid w:val="2992393F"/>
    <w:rsid w:val="29D664A0"/>
    <w:rsid w:val="2A4D0FDC"/>
    <w:rsid w:val="2A6813C6"/>
    <w:rsid w:val="2A6B3B83"/>
    <w:rsid w:val="2B0A5597"/>
    <w:rsid w:val="2C1D4AC2"/>
    <w:rsid w:val="2C8042C9"/>
    <w:rsid w:val="2CC96EDA"/>
    <w:rsid w:val="2D6C3F53"/>
    <w:rsid w:val="2DB9081B"/>
    <w:rsid w:val="2E267445"/>
    <w:rsid w:val="2FB20D08"/>
    <w:rsid w:val="310D6797"/>
    <w:rsid w:val="312A0363"/>
    <w:rsid w:val="314E571E"/>
    <w:rsid w:val="31593193"/>
    <w:rsid w:val="318051D6"/>
    <w:rsid w:val="3228659E"/>
    <w:rsid w:val="327411B4"/>
    <w:rsid w:val="32BA306B"/>
    <w:rsid w:val="33641229"/>
    <w:rsid w:val="33A27285"/>
    <w:rsid w:val="33EC192C"/>
    <w:rsid w:val="355A6D87"/>
    <w:rsid w:val="35C81485"/>
    <w:rsid w:val="36455341"/>
    <w:rsid w:val="3675792C"/>
    <w:rsid w:val="36B15DDE"/>
    <w:rsid w:val="37472539"/>
    <w:rsid w:val="37757799"/>
    <w:rsid w:val="38441D21"/>
    <w:rsid w:val="39872BD4"/>
    <w:rsid w:val="3A125076"/>
    <w:rsid w:val="3A52002D"/>
    <w:rsid w:val="3AB605BC"/>
    <w:rsid w:val="3ACC18C8"/>
    <w:rsid w:val="3BF83046"/>
    <w:rsid w:val="3C1852A6"/>
    <w:rsid w:val="3C25241D"/>
    <w:rsid w:val="3C430575"/>
    <w:rsid w:val="3C596BFD"/>
    <w:rsid w:val="3C795D45"/>
    <w:rsid w:val="3C8918A9"/>
    <w:rsid w:val="3DA21757"/>
    <w:rsid w:val="3E98464E"/>
    <w:rsid w:val="3EAB0654"/>
    <w:rsid w:val="3EDA6843"/>
    <w:rsid w:val="3EF33C37"/>
    <w:rsid w:val="3F95733A"/>
    <w:rsid w:val="3F9B5FD2"/>
    <w:rsid w:val="40512B35"/>
    <w:rsid w:val="40D3481B"/>
    <w:rsid w:val="40D90E5C"/>
    <w:rsid w:val="40FE0F0E"/>
    <w:rsid w:val="42C82E64"/>
    <w:rsid w:val="43493212"/>
    <w:rsid w:val="437805A5"/>
    <w:rsid w:val="440804B0"/>
    <w:rsid w:val="44804A6A"/>
    <w:rsid w:val="44A326CE"/>
    <w:rsid w:val="44EA30F8"/>
    <w:rsid w:val="4578184B"/>
    <w:rsid w:val="45C562E9"/>
    <w:rsid w:val="46C71A07"/>
    <w:rsid w:val="476B6BD2"/>
    <w:rsid w:val="47A60B70"/>
    <w:rsid w:val="482254E2"/>
    <w:rsid w:val="48A028AB"/>
    <w:rsid w:val="48C81442"/>
    <w:rsid w:val="495B6D06"/>
    <w:rsid w:val="497B4275"/>
    <w:rsid w:val="49B77234"/>
    <w:rsid w:val="49FC64D8"/>
    <w:rsid w:val="4A7754C1"/>
    <w:rsid w:val="4AB9081B"/>
    <w:rsid w:val="4B473CC1"/>
    <w:rsid w:val="4CEF2D57"/>
    <w:rsid w:val="4D275349"/>
    <w:rsid w:val="4D3161C8"/>
    <w:rsid w:val="4EC866B8"/>
    <w:rsid w:val="4EE01C53"/>
    <w:rsid w:val="4EFE7C51"/>
    <w:rsid w:val="503B1CCC"/>
    <w:rsid w:val="50DE21C3"/>
    <w:rsid w:val="514E6932"/>
    <w:rsid w:val="51525C62"/>
    <w:rsid w:val="517130F9"/>
    <w:rsid w:val="5184720E"/>
    <w:rsid w:val="51A5108F"/>
    <w:rsid w:val="51DE5BF4"/>
    <w:rsid w:val="51E11C68"/>
    <w:rsid w:val="52825B1B"/>
    <w:rsid w:val="528C1D86"/>
    <w:rsid w:val="52953715"/>
    <w:rsid w:val="52CE5A94"/>
    <w:rsid w:val="52FD636E"/>
    <w:rsid w:val="54654EC2"/>
    <w:rsid w:val="547E3F73"/>
    <w:rsid w:val="54C03B2D"/>
    <w:rsid w:val="550C634C"/>
    <w:rsid w:val="556A0F60"/>
    <w:rsid w:val="560A5808"/>
    <w:rsid w:val="567F06FA"/>
    <w:rsid w:val="5724623B"/>
    <w:rsid w:val="577A031F"/>
    <w:rsid w:val="579F1294"/>
    <w:rsid w:val="57C02622"/>
    <w:rsid w:val="58481F6B"/>
    <w:rsid w:val="58947A57"/>
    <w:rsid w:val="59C16AE2"/>
    <w:rsid w:val="5A386B59"/>
    <w:rsid w:val="5A3C2E1B"/>
    <w:rsid w:val="5B697FE1"/>
    <w:rsid w:val="5C58551F"/>
    <w:rsid w:val="5D6410B1"/>
    <w:rsid w:val="5EF10CA2"/>
    <w:rsid w:val="5FB962D5"/>
    <w:rsid w:val="60237BF2"/>
    <w:rsid w:val="606D5EAE"/>
    <w:rsid w:val="60844B35"/>
    <w:rsid w:val="60870181"/>
    <w:rsid w:val="60DC6F0C"/>
    <w:rsid w:val="62A57002"/>
    <w:rsid w:val="63606AE6"/>
    <w:rsid w:val="63EB0A27"/>
    <w:rsid w:val="64304A89"/>
    <w:rsid w:val="64D025D1"/>
    <w:rsid w:val="64E738E4"/>
    <w:rsid w:val="64F97880"/>
    <w:rsid w:val="65697C18"/>
    <w:rsid w:val="65D2499B"/>
    <w:rsid w:val="661645F0"/>
    <w:rsid w:val="66555595"/>
    <w:rsid w:val="66B90F72"/>
    <w:rsid w:val="677F5967"/>
    <w:rsid w:val="67852F40"/>
    <w:rsid w:val="68F27202"/>
    <w:rsid w:val="691813E2"/>
    <w:rsid w:val="691C796B"/>
    <w:rsid w:val="69272501"/>
    <w:rsid w:val="69ED6F02"/>
    <w:rsid w:val="6A0513AD"/>
    <w:rsid w:val="6A6654A2"/>
    <w:rsid w:val="6A77474D"/>
    <w:rsid w:val="6B8573D3"/>
    <w:rsid w:val="6D68758C"/>
    <w:rsid w:val="6D9B4E2E"/>
    <w:rsid w:val="6E014107"/>
    <w:rsid w:val="6EDF6362"/>
    <w:rsid w:val="6F9036CD"/>
    <w:rsid w:val="6FEA072C"/>
    <w:rsid w:val="7011724C"/>
    <w:rsid w:val="70F90596"/>
    <w:rsid w:val="71347EB1"/>
    <w:rsid w:val="71AC3935"/>
    <w:rsid w:val="72966949"/>
    <w:rsid w:val="72CF01E1"/>
    <w:rsid w:val="72F773E8"/>
    <w:rsid w:val="73206699"/>
    <w:rsid w:val="73634A7D"/>
    <w:rsid w:val="739F399D"/>
    <w:rsid w:val="73AB48E0"/>
    <w:rsid w:val="73C17937"/>
    <w:rsid w:val="73C20C76"/>
    <w:rsid w:val="73C75EE7"/>
    <w:rsid w:val="74A07EDD"/>
    <w:rsid w:val="74CB05FA"/>
    <w:rsid w:val="75DA14E0"/>
    <w:rsid w:val="75FB6A88"/>
    <w:rsid w:val="76EE465E"/>
    <w:rsid w:val="77097F07"/>
    <w:rsid w:val="77242776"/>
    <w:rsid w:val="7761127E"/>
    <w:rsid w:val="776808B4"/>
    <w:rsid w:val="77C90C27"/>
    <w:rsid w:val="77DA63E1"/>
    <w:rsid w:val="788F3C53"/>
    <w:rsid w:val="790A3AAB"/>
    <w:rsid w:val="792B43CE"/>
    <w:rsid w:val="79AC4BDC"/>
    <w:rsid w:val="7A0D129F"/>
    <w:rsid w:val="7A705B32"/>
    <w:rsid w:val="7ADE0E8D"/>
    <w:rsid w:val="7B0A1C83"/>
    <w:rsid w:val="7B24133B"/>
    <w:rsid w:val="7C291FAB"/>
    <w:rsid w:val="7CD460A4"/>
    <w:rsid w:val="7CE617E7"/>
    <w:rsid w:val="7E494961"/>
    <w:rsid w:val="7EBB576E"/>
    <w:rsid w:val="7F936EBC"/>
    <w:rsid w:val="7FB55BCC"/>
    <w:rsid w:val="7FF13528"/>
    <w:rsid w:val="7FFB360C"/>
    <w:rsid w:val="91FC55D4"/>
    <w:rsid w:val="CBA72C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99"/>
    <w:pPr>
      <w:keepNext/>
      <w:keepLines/>
      <w:spacing w:before="340" w:after="330" w:line="578" w:lineRule="auto"/>
      <w:ind w:firstLine="0" w:firstLineChars="0"/>
      <w:outlineLvl w:val="0"/>
    </w:pPr>
    <w:rPr>
      <w:b/>
      <w:bCs/>
      <w:kern w:val="44"/>
    </w:rPr>
  </w:style>
  <w:style w:type="paragraph" w:styleId="3">
    <w:name w:val="heading 2"/>
    <w:basedOn w:val="1"/>
    <w:next w:val="1"/>
    <w:link w:val="25"/>
    <w:semiHidden/>
    <w:unhideWhenUsed/>
    <w:qFormat/>
    <w:locked/>
    <w:uiPriority w:val="0"/>
    <w:pPr>
      <w:keepNext/>
      <w:keepLines/>
      <w:spacing w:before="260" w:after="260" w:line="416" w:lineRule="auto"/>
      <w:outlineLvl w:val="1"/>
    </w:pPr>
    <w:rPr>
      <w:rFonts w:ascii="Cambria" w:hAnsi="Cambria"/>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qFormat/>
    <w:uiPriority w:val="99"/>
    <w:pPr>
      <w:spacing w:line="240" w:lineRule="auto"/>
    </w:pPr>
    <w:rPr>
      <w:sz w:val="18"/>
      <w:szCs w:val="18"/>
    </w:rPr>
  </w:style>
  <w:style w:type="paragraph" w:styleId="5">
    <w:name w:val="footer"/>
    <w:basedOn w:val="1"/>
    <w:link w:val="13"/>
    <w:qFormat/>
    <w:uiPriority w:val="99"/>
    <w:pPr>
      <w:tabs>
        <w:tab w:val="center" w:pos="4153"/>
        <w:tab w:val="right" w:pos="8306"/>
      </w:tabs>
      <w:snapToGrid w:val="0"/>
      <w:spacing w:line="240" w:lineRule="auto"/>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Title"/>
    <w:basedOn w:val="1"/>
    <w:next w:val="1"/>
    <w:link w:val="15"/>
    <w:qFormat/>
    <w:uiPriority w:val="99"/>
    <w:pPr>
      <w:spacing w:before="240" w:after="60"/>
      <w:jc w:val="center"/>
      <w:outlineLvl w:val="0"/>
    </w:pPr>
    <w:rPr>
      <w:rFonts w:ascii="Cambria" w:hAnsi="Cambria" w:cs="Cambria"/>
      <w:b/>
      <w:bCs/>
      <w:sz w:val="32"/>
      <w:szCs w:val="32"/>
    </w:rPr>
  </w:style>
  <w:style w:type="character" w:styleId="10">
    <w:name w:val="page number"/>
    <w:basedOn w:val="9"/>
    <w:qFormat/>
    <w:uiPriority w:val="0"/>
  </w:style>
  <w:style w:type="character" w:customStyle="1" w:styleId="11">
    <w:name w:val="标题 1 字符"/>
    <w:link w:val="2"/>
    <w:qFormat/>
    <w:locked/>
    <w:uiPriority w:val="99"/>
    <w:rPr>
      <w:rFonts w:ascii="Times New Roman" w:hAnsi="Times New Roman" w:cs="Times New Roman"/>
      <w:b/>
      <w:bCs/>
      <w:kern w:val="44"/>
      <w:sz w:val="44"/>
      <w:szCs w:val="44"/>
    </w:rPr>
  </w:style>
  <w:style w:type="character" w:customStyle="1" w:styleId="12">
    <w:name w:val="批注框文本 字符"/>
    <w:link w:val="4"/>
    <w:semiHidden/>
    <w:qFormat/>
    <w:locked/>
    <w:uiPriority w:val="99"/>
    <w:rPr>
      <w:rFonts w:ascii="Times New Roman" w:hAnsi="Times New Roman" w:cs="Times New Roman"/>
      <w:kern w:val="2"/>
      <w:sz w:val="18"/>
      <w:szCs w:val="18"/>
    </w:rPr>
  </w:style>
  <w:style w:type="character" w:customStyle="1" w:styleId="13">
    <w:name w:val="页脚 字符"/>
    <w:link w:val="5"/>
    <w:qFormat/>
    <w:locked/>
    <w:uiPriority w:val="99"/>
    <w:rPr>
      <w:rFonts w:ascii="Times New Roman" w:hAnsi="Times New Roman" w:cs="Times New Roman"/>
      <w:sz w:val="18"/>
      <w:szCs w:val="18"/>
    </w:rPr>
  </w:style>
  <w:style w:type="character" w:customStyle="1" w:styleId="14">
    <w:name w:val="页眉 字符"/>
    <w:link w:val="6"/>
    <w:qFormat/>
    <w:locked/>
    <w:uiPriority w:val="99"/>
    <w:rPr>
      <w:rFonts w:ascii="Times New Roman" w:hAnsi="Times New Roman" w:cs="Times New Roman"/>
      <w:sz w:val="18"/>
      <w:szCs w:val="18"/>
    </w:rPr>
  </w:style>
  <w:style w:type="character" w:customStyle="1" w:styleId="15">
    <w:name w:val="标题 字符"/>
    <w:link w:val="7"/>
    <w:qFormat/>
    <w:locked/>
    <w:uiPriority w:val="99"/>
    <w:rPr>
      <w:rFonts w:ascii="Cambria" w:hAnsi="Cambria" w:eastAsia="宋体" w:cs="Cambria"/>
      <w:b/>
      <w:bCs/>
      <w:sz w:val="32"/>
      <w:szCs w:val="32"/>
    </w:rPr>
  </w:style>
  <w:style w:type="character" w:customStyle="1" w:styleId="16">
    <w:name w:val="Body text|1_"/>
    <w:link w:val="17"/>
    <w:qFormat/>
    <w:locked/>
    <w:uiPriority w:val="99"/>
    <w:rPr>
      <w:rFonts w:ascii="宋体" w:hAnsi="宋体" w:eastAsia="宋体" w:cs="宋体"/>
      <w:sz w:val="22"/>
      <w:szCs w:val="22"/>
      <w:lang w:val="zh-TW" w:eastAsia="zh-TW"/>
    </w:rPr>
  </w:style>
  <w:style w:type="paragraph" w:customStyle="1" w:styleId="17">
    <w:name w:val="Body text|1"/>
    <w:basedOn w:val="1"/>
    <w:link w:val="16"/>
    <w:qFormat/>
    <w:uiPriority w:val="99"/>
    <w:pPr>
      <w:spacing w:line="348" w:lineRule="auto"/>
      <w:ind w:firstLine="400" w:firstLineChars="0"/>
      <w:jc w:val="left"/>
    </w:pPr>
    <w:rPr>
      <w:rFonts w:ascii="宋体" w:hAnsi="宋体" w:cs="宋体"/>
      <w:sz w:val="22"/>
      <w:szCs w:val="22"/>
      <w:lang w:val="zh-TW" w:eastAsia="zh-TW"/>
    </w:rPr>
  </w:style>
  <w:style w:type="paragraph" w:customStyle="1" w:styleId="18">
    <w:name w:val="修订1"/>
    <w:hidden/>
    <w:qFormat/>
    <w:uiPriority w:val="99"/>
    <w:rPr>
      <w:rFonts w:ascii="Times New Roman" w:hAnsi="Times New Roman" w:eastAsia="宋体" w:cs="Times New Roman"/>
      <w:kern w:val="2"/>
      <w:sz w:val="24"/>
      <w:szCs w:val="24"/>
      <w:lang w:val="en-US" w:eastAsia="zh-CN" w:bidi="ar-SA"/>
    </w:rPr>
  </w:style>
  <w:style w:type="paragraph" w:styleId="19">
    <w:name w:val="List Paragraph"/>
    <w:basedOn w:val="1"/>
    <w:link w:val="24"/>
    <w:qFormat/>
    <w:uiPriority w:val="99"/>
    <w:pPr>
      <w:ind w:firstLine="420"/>
    </w:pPr>
  </w:style>
  <w:style w:type="paragraph" w:customStyle="1" w:styleId="20">
    <w:name w:val="段"/>
    <w:link w:val="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1">
    <w:name w:val="段 Char"/>
    <w:link w:val="20"/>
    <w:qFormat/>
    <w:uiPriority w:val="0"/>
    <w:rPr>
      <w:rFonts w:ascii="宋体" w:hAnsi="Times New Roman"/>
      <w:sz w:val="21"/>
      <w:lang w:val="en-US" w:eastAsia="zh-CN" w:bidi="ar-SA"/>
    </w:rPr>
  </w:style>
  <w:style w:type="character" w:customStyle="1" w:styleId="22">
    <w:name w:val="正文文本_"/>
    <w:link w:val="23"/>
    <w:qFormat/>
    <w:uiPriority w:val="0"/>
    <w:rPr>
      <w:rFonts w:ascii="宋体" w:hAnsi="宋体" w:cs="宋体"/>
      <w:sz w:val="22"/>
      <w:szCs w:val="22"/>
      <w:lang w:val="zh-CN" w:bidi="zh-CN"/>
    </w:rPr>
  </w:style>
  <w:style w:type="paragraph" w:customStyle="1" w:styleId="23">
    <w:name w:val="正文文本1"/>
    <w:basedOn w:val="1"/>
    <w:link w:val="22"/>
    <w:qFormat/>
    <w:uiPriority w:val="0"/>
    <w:pPr>
      <w:spacing w:line="262" w:lineRule="auto"/>
      <w:ind w:firstLine="380" w:firstLineChars="0"/>
      <w:jc w:val="left"/>
    </w:pPr>
    <w:rPr>
      <w:rFonts w:ascii="宋体" w:hAnsi="宋体" w:cs="宋体"/>
      <w:kern w:val="0"/>
      <w:sz w:val="22"/>
      <w:szCs w:val="22"/>
      <w:lang w:val="zh-CN" w:bidi="zh-CN"/>
    </w:rPr>
  </w:style>
  <w:style w:type="character" w:customStyle="1" w:styleId="24">
    <w:name w:val="列表段落 字符"/>
    <w:link w:val="19"/>
    <w:qFormat/>
    <w:uiPriority w:val="99"/>
    <w:rPr>
      <w:rFonts w:ascii="Times New Roman" w:hAnsi="Times New Roman"/>
      <w:kern w:val="2"/>
      <w:sz w:val="24"/>
      <w:szCs w:val="24"/>
    </w:rPr>
  </w:style>
  <w:style w:type="character" w:customStyle="1" w:styleId="25">
    <w:name w:val="标题 2 字符"/>
    <w:link w:val="3"/>
    <w:semiHidden/>
    <w:qFormat/>
    <w:uiPriority w:val="0"/>
    <w:rPr>
      <w:rFonts w:ascii="Cambria" w:hAnsi="Cambria" w:eastAsia="宋体" w:cs="Times New Roman"/>
      <w:b/>
      <w:bCs/>
      <w:kern w:val="2"/>
      <w:sz w:val="32"/>
      <w:szCs w:val="32"/>
    </w:rPr>
  </w:style>
  <w:style w:type="paragraph" w:customStyle="1" w:styleId="26">
    <w:name w:val="样式 一般正文 + 首行缩进:  2 字符"/>
    <w:basedOn w:val="1"/>
    <w:qFormat/>
    <w:uiPriority w:val="0"/>
    <w:pPr>
      <w:spacing w:line="360" w:lineRule="auto"/>
      <w:ind w:firstLine="480"/>
    </w:pPr>
    <w:rPr>
      <w:szCs w:val="20"/>
    </w:rPr>
  </w:style>
  <w:style w:type="paragraph" w:customStyle="1" w:styleId="27">
    <w:name w:val="修订2"/>
    <w:hidden/>
    <w:unhideWhenUsed/>
    <w:qFormat/>
    <w:uiPriority w:val="99"/>
    <w:rPr>
      <w:rFonts w:ascii="Times New Roman" w:hAnsi="Times New Roman" w:eastAsia="宋体" w:cs="Times New Roman"/>
      <w:kern w:val="2"/>
      <w:sz w:val="24"/>
      <w:szCs w:val="24"/>
      <w:lang w:val="en-US" w:eastAsia="zh-CN" w:bidi="ar-SA"/>
    </w:rPr>
  </w:style>
  <w:style w:type="paragraph" w:customStyle="1" w:styleId="28">
    <w:name w:val="Revision"/>
    <w:hidden/>
    <w:unhideWhenUsed/>
    <w:qFormat/>
    <w:uiPriority w:val="99"/>
    <w:rPr>
      <w:rFonts w:ascii="Times New Roman" w:hAnsi="Times New Roman" w:eastAsia="宋体" w:cs="Times New Roman"/>
      <w:kern w:val="2"/>
      <w:sz w:val="24"/>
      <w:szCs w:val="24"/>
      <w:lang w:val="en-US" w:eastAsia="zh-CN" w:bidi="ar-SA"/>
    </w:rPr>
  </w:style>
  <w:style w:type="paragraph" w:customStyle="1" w:styleId="29">
    <w:name w:val="mainbody"/>
    <w:autoRedefine/>
    <w:qFormat/>
    <w:uiPriority w:val="0"/>
    <w:pPr>
      <w:widowControl w:val="0"/>
      <w:adjustRightInd w:val="0"/>
      <w:snapToGrid w:val="0"/>
      <w:spacing w:line="360" w:lineRule="auto"/>
      <w:ind w:firstLine="480" w:firstLineChars="200"/>
      <w:jc w:val="both"/>
    </w:pPr>
    <w:rPr>
      <w:rFonts w:ascii="Times New Roman" w:hAnsi="Times New Roman" w:eastAsia="宋体" w:cs="宋体"/>
      <w:sz w:val="24"/>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HaseeComputer</Company>
  <Pages>5</Pages>
  <Words>2396</Words>
  <Characters>2607</Characters>
  <Lines>20</Lines>
  <Paragraphs>5</Paragraphs>
  <TotalTime>8</TotalTime>
  <ScaleCrop>false</ScaleCrop>
  <LinksUpToDate>false</LinksUpToDate>
  <CharactersWithSpaces>2623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2022-06-09T08:57:00Z</dcterms:created>
  <dc:creator>hasee</dc:creator>
  <cp:lastModifiedBy>白金超</cp:lastModifiedBy>
  <dcterms:modified xsi:type="dcterms:W3CDTF">2025-02-13T00:30:05Z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E77798C737DA4812B3F5D9F420370B7C</vt:lpwstr>
  </property>
  <property fmtid="{D5CDD505-2E9C-101B-9397-08002B2CF9AE}" pid="4" name="KSOTemplateDocerSaveRecord">
    <vt:lpwstr>eyJoZGlkIjoiMzk0MWM5YWFjNzQ4MTAwZTg4MDExZTkwNTE3ZmM3NTUiLCJ1c2VySWQiOiI0ODA0NTUwNjkifQ==</vt:lpwstr>
  </property>
</Properties>
</file>