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7D42B">
      <w:pPr>
        <w:pStyle w:val="4"/>
        <w:ind w:left="271"/>
        <w:rPr>
          <w:rFonts w:ascii="Times New Roman"/>
          <w:sz w:val="20"/>
        </w:rPr>
      </w:pPr>
      <w:r>
        <w:rPr>
          <w:rFonts w:ascii="Times New Roman"/>
          <w:sz w:val="20"/>
        </w:rPr>
        <w:drawing>
          <wp:inline distT="0" distB="0" distL="0" distR="0">
            <wp:extent cx="1326515" cy="927100"/>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1" cstate="print"/>
                    <a:stretch>
                      <a:fillRect/>
                    </a:stretch>
                  </pic:blipFill>
                  <pic:spPr>
                    <a:xfrm>
                      <a:off x="0" y="0"/>
                      <a:ext cx="1327086" cy="927258"/>
                    </a:xfrm>
                    <a:prstGeom prst="rect">
                      <a:avLst/>
                    </a:prstGeom>
                  </pic:spPr>
                </pic:pic>
              </a:graphicData>
            </a:graphic>
          </wp:inline>
        </w:drawing>
      </w:r>
    </w:p>
    <w:p w14:paraId="2A8361AB">
      <w:pPr>
        <w:pStyle w:val="4"/>
        <w:spacing w:before="1"/>
        <w:rPr>
          <w:rFonts w:ascii="Times New Roman"/>
          <w:sz w:val="9"/>
        </w:rPr>
      </w:pPr>
    </w:p>
    <w:p w14:paraId="0D46B444">
      <w:pPr>
        <w:pStyle w:val="4"/>
        <w:spacing w:before="94" w:line="278" w:lineRule="auto"/>
        <w:ind w:left="5913" w:right="680" w:firstLine="588"/>
      </w:pPr>
      <w:r>
        <w:t>To: Member Associations (FOR ACTION) Subscribers to the Code and other Stakeholders</w:t>
      </w:r>
    </w:p>
    <w:p w14:paraId="6C7E51B1">
      <w:pPr>
        <w:pStyle w:val="4"/>
        <w:spacing w:before="2"/>
        <w:rPr>
          <w:sz w:val="17"/>
        </w:rPr>
      </w:pPr>
    </w:p>
    <w:p w14:paraId="4D848CB0">
      <w:pPr>
        <w:rPr>
          <w:sz w:val="17"/>
        </w:rPr>
        <w:sectPr>
          <w:footerReference r:id="rId5" w:type="first"/>
          <w:footerReference r:id="rId3" w:type="default"/>
          <w:footerReference r:id="rId4" w:type="even"/>
          <w:type w:val="continuous"/>
          <w:pgSz w:w="11910" w:h="16840"/>
          <w:pgMar w:top="540" w:right="20" w:bottom="880" w:left="580" w:header="720" w:footer="690" w:gutter="0"/>
          <w:cols w:space="720" w:num="1"/>
        </w:sectPr>
      </w:pPr>
    </w:p>
    <w:p w14:paraId="3585B72E">
      <w:pPr>
        <w:pStyle w:val="4"/>
        <w:rPr>
          <w:sz w:val="24"/>
        </w:rPr>
      </w:pPr>
    </w:p>
    <w:p w14:paraId="65D13E1E">
      <w:pPr>
        <w:pStyle w:val="4"/>
        <w:rPr>
          <w:sz w:val="24"/>
        </w:rPr>
      </w:pPr>
    </w:p>
    <w:p w14:paraId="27490002">
      <w:pPr>
        <w:pStyle w:val="4"/>
        <w:rPr>
          <w:sz w:val="24"/>
        </w:rPr>
      </w:pPr>
    </w:p>
    <w:p w14:paraId="369210EA">
      <w:pPr>
        <w:pStyle w:val="4"/>
        <w:spacing w:before="144"/>
        <w:ind w:left="140"/>
      </w:pPr>
      <w:r>
        <w:t>June 30, 2023</w:t>
      </w:r>
    </w:p>
    <w:p w14:paraId="1C9F9FBA">
      <w:pPr>
        <w:pStyle w:val="4"/>
        <w:spacing w:before="7"/>
        <w:rPr>
          <w:sz w:val="21"/>
        </w:rPr>
      </w:pPr>
    </w:p>
    <w:p w14:paraId="32BF5752">
      <w:pPr>
        <w:pStyle w:val="2"/>
        <w:ind w:left="140" w:firstLine="0"/>
        <w:rPr>
          <w:lang w:eastAsia="zh-CN"/>
        </w:rPr>
      </w:pPr>
      <w:r>
        <w:rPr>
          <w:lang w:eastAsia="zh-CN"/>
        </w:rPr>
        <w:t xml:space="preserve">IFRA </w:t>
      </w:r>
      <w:r>
        <w:rPr>
          <w:rFonts w:hint="eastAsia" w:ascii="宋体" w:hAnsi="宋体" w:eastAsia="宋体" w:cs="宋体"/>
          <w:lang w:eastAsia="zh-CN"/>
        </w:rPr>
        <w:t>标准第</w:t>
      </w:r>
      <w:r>
        <w:rPr>
          <w:rFonts w:hint="eastAsia"/>
          <w:lang w:eastAsia="zh-CN"/>
        </w:rPr>
        <w:t xml:space="preserve"> </w:t>
      </w:r>
      <w:r>
        <w:rPr>
          <w:rFonts w:hint="eastAsia" w:eastAsiaTheme="minorEastAsia"/>
          <w:lang w:eastAsia="zh-CN"/>
        </w:rPr>
        <w:t>51</w:t>
      </w:r>
      <w:r>
        <w:rPr>
          <w:lang w:eastAsia="zh-CN"/>
        </w:rPr>
        <w:t xml:space="preserve"> </w:t>
      </w:r>
      <w:r>
        <w:rPr>
          <w:rFonts w:hint="eastAsia" w:ascii="宋体" w:hAnsi="宋体" w:eastAsia="宋体" w:cs="宋体"/>
          <w:lang w:eastAsia="zh-CN"/>
        </w:rPr>
        <w:t>次修订的通知</w:t>
      </w:r>
    </w:p>
    <w:p w14:paraId="7185B9D4">
      <w:pPr>
        <w:pStyle w:val="4"/>
        <w:spacing w:before="4"/>
        <w:rPr>
          <w:b/>
          <w:sz w:val="27"/>
          <w:lang w:eastAsia="zh-CN"/>
        </w:rPr>
      </w:pPr>
    </w:p>
    <w:p w14:paraId="32370070">
      <w:pPr>
        <w:pStyle w:val="4"/>
        <w:ind w:left="140"/>
      </w:pPr>
      <w:r>
        <w:rPr>
          <w:rFonts w:hint="eastAsia" w:ascii="宋体" w:hAnsi="宋体" w:eastAsia="宋体" w:cs="宋体"/>
          <w:lang w:eastAsia="zh-CN"/>
        </w:rPr>
        <w:t>各位同事</w:t>
      </w:r>
      <w:r>
        <w:t>,</w:t>
      </w:r>
    </w:p>
    <w:p w14:paraId="03189D6F">
      <w:pPr>
        <w:pStyle w:val="4"/>
        <w:spacing w:before="94"/>
        <w:ind w:left="725"/>
      </w:pPr>
      <w:r>
        <w:br w:type="column"/>
      </w:r>
      <w:r>
        <w:t>Cc: RMTF,</w:t>
      </w:r>
      <w:r>
        <w:rPr>
          <w:spacing w:val="-4"/>
        </w:rPr>
        <w:t xml:space="preserve"> </w:t>
      </w:r>
      <w:r>
        <w:t>RIFM</w:t>
      </w:r>
    </w:p>
    <w:p w14:paraId="625C6F82">
      <w:pPr>
        <w:pStyle w:val="4"/>
        <w:spacing w:before="40" w:line="278" w:lineRule="auto"/>
        <w:ind w:left="370" w:hanging="231"/>
      </w:pPr>
      <w:r>
        <w:t xml:space="preserve">Customer </w:t>
      </w:r>
      <w:r>
        <w:rPr>
          <w:spacing w:val="-3"/>
        </w:rPr>
        <w:t xml:space="preserve">Associations </w:t>
      </w:r>
      <w:r>
        <w:t>Members of the</w:t>
      </w:r>
      <w:r>
        <w:rPr>
          <w:spacing w:val="3"/>
        </w:rPr>
        <w:t xml:space="preserve"> </w:t>
      </w:r>
      <w:r>
        <w:rPr>
          <w:spacing w:val="-6"/>
        </w:rPr>
        <w:t>JAG</w:t>
      </w:r>
    </w:p>
    <w:p w14:paraId="5DA402A1">
      <w:pPr>
        <w:spacing w:line="278" w:lineRule="auto"/>
        <w:sectPr>
          <w:type w:val="continuous"/>
          <w:pgSz w:w="11910" w:h="16840"/>
          <w:pgMar w:top="540" w:right="20" w:bottom="880" w:left="580" w:header="720" w:footer="720" w:gutter="0"/>
          <w:cols w:equalWidth="0" w:num="2">
            <w:col w:w="6186" w:space="2036"/>
            <w:col w:w="3088"/>
          </w:cols>
        </w:sectPr>
      </w:pPr>
    </w:p>
    <w:p w14:paraId="0DA1A975">
      <w:pPr>
        <w:pStyle w:val="4"/>
        <w:spacing w:before="10"/>
        <w:rPr>
          <w:sz w:val="23"/>
        </w:rPr>
      </w:pPr>
    </w:p>
    <w:p w14:paraId="0DEE931F">
      <w:pPr>
        <w:pStyle w:val="4"/>
        <w:spacing w:before="94"/>
        <w:ind w:left="140"/>
        <w:jc w:val="both"/>
        <w:rPr>
          <w:rFonts w:eastAsiaTheme="minorEastAsia"/>
          <w:lang w:eastAsia="zh-CN"/>
        </w:rPr>
      </w:pPr>
      <w:r>
        <w:rPr>
          <w:rFonts w:eastAsia="宋体" w:asciiTheme="minorBidi" w:hAnsiTheme="minorBidi" w:cstheme="minorBidi"/>
          <w:color w:val="000000"/>
          <w:lang w:eastAsia="zh-CN"/>
        </w:rPr>
        <w:t>IFRA</w:t>
      </w:r>
      <w:r>
        <w:rPr>
          <w:rFonts w:hint="eastAsia" w:ascii="宋体" w:hAnsi="宋体" w:eastAsia="宋体" w:cs="宋体"/>
          <w:color w:val="000000"/>
          <w:lang w:eastAsia="zh-CN"/>
        </w:rPr>
        <w:t>在此宣布关于</w:t>
      </w:r>
      <w:r>
        <w:rPr>
          <w:rFonts w:hint="eastAsia"/>
          <w:color w:val="000000"/>
          <w:lang w:eastAsia="zh-CN"/>
        </w:rPr>
        <w:t xml:space="preserve"> </w:t>
      </w:r>
      <w:r>
        <w:rPr>
          <w:color w:val="000000"/>
          <w:lang w:eastAsia="zh-CN"/>
        </w:rPr>
        <w:t xml:space="preserve">IFRA </w:t>
      </w:r>
      <w:r>
        <w:rPr>
          <w:rFonts w:hint="eastAsia" w:ascii="宋体" w:hAnsi="宋体" w:eastAsia="宋体" w:cs="宋体"/>
          <w:color w:val="000000"/>
          <w:lang w:eastAsia="zh-CN"/>
        </w:rPr>
        <w:t>标准第</w:t>
      </w:r>
      <w:r>
        <w:rPr>
          <w:rFonts w:hint="eastAsia"/>
          <w:color w:val="000000"/>
          <w:lang w:eastAsia="zh-CN"/>
        </w:rPr>
        <w:t xml:space="preserve"> </w:t>
      </w:r>
      <w:r>
        <w:rPr>
          <w:rFonts w:hint="eastAsia" w:eastAsiaTheme="minorEastAsia"/>
          <w:color w:val="000000"/>
          <w:lang w:eastAsia="zh-CN"/>
        </w:rPr>
        <w:t>51</w:t>
      </w:r>
      <w:r>
        <w:rPr>
          <w:color w:val="000000"/>
          <w:lang w:eastAsia="zh-CN"/>
        </w:rPr>
        <w:t xml:space="preserve"> </w:t>
      </w:r>
      <w:r>
        <w:rPr>
          <w:rFonts w:hint="eastAsia" w:ascii="宋体" w:hAnsi="宋体" w:eastAsia="宋体" w:cs="宋体"/>
          <w:color w:val="000000"/>
          <w:lang w:eastAsia="zh-CN"/>
        </w:rPr>
        <w:t>次修订的通知</w:t>
      </w:r>
      <w:r>
        <w:rPr>
          <w:rFonts w:hint="eastAsia" w:ascii="宋体" w:hAnsi="宋体" w:eastAsia="宋体" w:cs="宋体"/>
          <w:lang w:eastAsia="zh-CN"/>
        </w:rPr>
        <w:t>。</w:t>
      </w:r>
    </w:p>
    <w:p w14:paraId="148EC6C9">
      <w:pPr>
        <w:pStyle w:val="4"/>
        <w:spacing w:before="9"/>
        <w:rPr>
          <w:sz w:val="31"/>
          <w:lang w:eastAsia="zh-CN"/>
        </w:rPr>
      </w:pPr>
    </w:p>
    <w:p w14:paraId="446CBB2D">
      <w:pPr>
        <w:pStyle w:val="4"/>
        <w:ind w:left="140"/>
        <w:jc w:val="both"/>
        <w:rPr>
          <w:lang w:eastAsia="zh-CN"/>
        </w:rPr>
      </w:pPr>
      <w:r>
        <w:rPr>
          <w:rFonts w:hint="eastAsia" w:eastAsiaTheme="minorEastAsia"/>
          <w:lang w:eastAsia="zh-CN"/>
        </w:rPr>
        <w:t>IFRA标准第</w:t>
      </w:r>
      <w:r>
        <w:rPr>
          <w:rFonts w:hint="eastAsia" w:eastAsiaTheme="minorEastAsia"/>
          <w:lang w:val="en-US" w:eastAsia="zh-CN"/>
        </w:rPr>
        <w:t xml:space="preserve"> </w:t>
      </w:r>
      <w:r>
        <w:rPr>
          <w:rFonts w:hint="eastAsia" w:eastAsiaTheme="minorEastAsia"/>
          <w:lang w:eastAsia="zh-CN"/>
        </w:rPr>
        <w:t>51</w:t>
      </w:r>
      <w:r>
        <w:rPr>
          <w:rFonts w:hint="eastAsia" w:eastAsiaTheme="minorEastAsia"/>
          <w:lang w:val="en-US" w:eastAsia="zh-CN"/>
        </w:rPr>
        <w:t xml:space="preserve"> </w:t>
      </w:r>
      <w:r>
        <w:rPr>
          <w:rFonts w:hint="eastAsia" w:eastAsiaTheme="minorEastAsia"/>
          <w:lang w:eastAsia="zh-CN"/>
        </w:rPr>
        <w:t>次修订包括：</w:t>
      </w:r>
    </w:p>
    <w:p w14:paraId="1A5582FE">
      <w:pPr>
        <w:pStyle w:val="14"/>
        <w:numPr>
          <w:ilvl w:val="0"/>
          <w:numId w:val="1"/>
        </w:numPr>
        <w:tabs>
          <w:tab w:val="left" w:pos="861"/>
        </w:tabs>
        <w:spacing w:before="62"/>
        <w:jc w:val="both"/>
        <w:rPr>
          <w:lang w:eastAsia="zh-CN"/>
        </w:rPr>
      </w:pPr>
      <w:r>
        <w:rPr>
          <w:rFonts w:hint="eastAsia" w:eastAsiaTheme="minorEastAsia"/>
          <w:lang w:eastAsia="zh-CN"/>
        </w:rPr>
        <w:t>IFRA标准的使用指</w:t>
      </w:r>
      <w:r>
        <w:rPr>
          <w:rFonts w:hint="eastAsia" w:eastAsiaTheme="minorEastAsia"/>
          <w:lang w:val="en-US" w:eastAsia="zh-CN"/>
        </w:rPr>
        <w:t>南</w:t>
      </w:r>
      <w:r>
        <w:rPr>
          <w:rFonts w:hint="eastAsia" w:eastAsiaTheme="minorEastAsia"/>
          <w:lang w:eastAsia="zh-CN"/>
        </w:rPr>
        <w:t>文件的更新</w:t>
      </w:r>
    </w:p>
    <w:p w14:paraId="5D8F155A">
      <w:pPr>
        <w:pStyle w:val="14"/>
        <w:numPr>
          <w:ilvl w:val="0"/>
          <w:numId w:val="1"/>
        </w:numPr>
        <w:tabs>
          <w:tab w:val="left" w:pos="861"/>
        </w:tabs>
        <w:spacing w:before="59"/>
        <w:jc w:val="both"/>
        <w:rPr>
          <w:lang w:eastAsia="zh-CN"/>
        </w:rPr>
      </w:pPr>
      <w:r>
        <w:rPr>
          <w:rFonts w:eastAsia="宋体" w:asciiTheme="minorBidi" w:hAnsiTheme="minorBidi" w:cstheme="minorBidi"/>
          <w:lang w:eastAsia="zh-CN"/>
        </w:rPr>
        <w:t>IFRA</w:t>
      </w:r>
      <w:r>
        <w:rPr>
          <w:rFonts w:hint="eastAsia" w:ascii="宋体" w:hAnsi="宋体" w:eastAsia="宋体" w:cs="宋体"/>
          <w:lang w:eastAsia="zh-CN"/>
        </w:rPr>
        <w:t>标准详见下文</w:t>
      </w:r>
    </w:p>
    <w:p w14:paraId="5532F7AF">
      <w:pPr>
        <w:pStyle w:val="14"/>
        <w:numPr>
          <w:ilvl w:val="0"/>
          <w:numId w:val="1"/>
        </w:numPr>
        <w:tabs>
          <w:tab w:val="left" w:pos="861"/>
        </w:tabs>
        <w:rPr>
          <w:lang w:eastAsia="zh-CN"/>
        </w:rPr>
      </w:pPr>
      <w:r>
        <w:rPr>
          <w:rFonts w:hint="eastAsia" w:ascii="宋体" w:hAnsi="宋体" w:eastAsia="宋体" w:cs="宋体"/>
          <w:lang w:eastAsia="zh-CN"/>
        </w:rPr>
        <w:t>对</w:t>
      </w:r>
      <w:r>
        <w:rPr>
          <w:rFonts w:hint="default" w:eastAsia="宋体" w:asciiTheme="minorBidi" w:hAnsiTheme="minorBidi" w:cstheme="minorBidi"/>
          <w:lang w:eastAsia="zh-CN"/>
        </w:rPr>
        <w:t>IFRA</w:t>
      </w:r>
      <w:r>
        <w:rPr>
          <w:rFonts w:hint="eastAsia" w:ascii="宋体" w:hAnsi="宋体" w:eastAsia="宋体" w:cs="宋体"/>
          <w:lang w:eastAsia="zh-CN"/>
        </w:rPr>
        <w:t>标准有贡献的其他资源附件如下-其中结合了（如适用）-天然贡献（原附件</w:t>
      </w:r>
      <w:r>
        <w:rPr>
          <w:rFonts w:ascii="宋体" w:hAnsi="宋体" w:eastAsia="宋体" w:cs="宋体"/>
          <w:lang w:eastAsia="zh-CN"/>
        </w:rPr>
        <w:t xml:space="preserve"> I</w:t>
      </w:r>
      <w:r>
        <w:rPr>
          <w:rFonts w:hint="eastAsia" w:ascii="宋体" w:hAnsi="宋体" w:eastAsia="宋体" w:cs="宋体"/>
          <w:lang w:eastAsia="zh-CN"/>
        </w:rPr>
        <w:t>）以及席夫碱（原附件</w:t>
      </w:r>
      <w:r>
        <w:rPr>
          <w:rFonts w:ascii="宋体" w:hAnsi="宋体" w:eastAsia="宋体" w:cs="宋体"/>
          <w:lang w:eastAsia="zh-CN"/>
        </w:rPr>
        <w:t xml:space="preserve"> II</w:t>
      </w:r>
      <w:r>
        <w:rPr>
          <w:rFonts w:hint="eastAsia" w:ascii="宋体" w:hAnsi="宋体" w:eastAsia="宋体" w:cs="宋体"/>
          <w:lang w:eastAsia="zh-CN"/>
        </w:rPr>
        <w:t>）的信息</w:t>
      </w:r>
      <w:r>
        <w:rPr>
          <w:lang w:eastAsia="zh-CN"/>
        </w:rPr>
        <w:t>.</w:t>
      </w:r>
    </w:p>
    <w:p w14:paraId="145CE039">
      <w:pPr>
        <w:pStyle w:val="4"/>
        <w:spacing w:before="4"/>
        <w:rPr>
          <w:sz w:val="32"/>
          <w:lang w:eastAsia="zh-CN"/>
        </w:rPr>
      </w:pPr>
    </w:p>
    <w:p w14:paraId="4A12B9AE">
      <w:pPr>
        <w:pStyle w:val="4"/>
        <w:ind w:left="140" w:right="692"/>
        <w:jc w:val="both"/>
        <w:rPr>
          <w:lang w:eastAsia="zh-CN"/>
        </w:rPr>
      </w:pPr>
      <w:r>
        <w:rPr>
          <w:rFonts w:hint="eastAsia" w:ascii="宋体" w:hAnsi="宋体" w:eastAsia="宋体" w:cs="宋体"/>
          <w:lang w:eastAsia="zh-CN"/>
        </w:rPr>
        <w:t>与之前的修订一样，</w:t>
      </w:r>
      <w:r>
        <w:rPr>
          <w:lang w:eastAsia="zh-CN"/>
        </w:rPr>
        <w:t xml:space="preserve"> IFRA </w:t>
      </w:r>
      <w:r>
        <w:rPr>
          <w:rFonts w:hint="eastAsia" w:ascii="宋体" w:hAnsi="宋体" w:eastAsia="宋体" w:cs="宋体"/>
          <w:lang w:eastAsia="zh-CN"/>
        </w:rPr>
        <w:t>标准以香料安全</w:t>
      </w:r>
      <w:r>
        <w:rPr>
          <w:rFonts w:hint="eastAsia" w:ascii="宋体" w:hAnsi="宋体" w:eastAsia="宋体" w:cs="宋体"/>
          <w:lang w:val="en-US" w:eastAsia="zh-CN"/>
        </w:rPr>
        <w:t>性</w:t>
      </w:r>
      <w:r>
        <w:rPr>
          <w:rFonts w:hint="eastAsia" w:ascii="宋体" w:hAnsi="宋体" w:eastAsia="宋体" w:cs="宋体"/>
          <w:lang w:eastAsia="zh-CN"/>
        </w:rPr>
        <w:t>专家</w:t>
      </w:r>
      <w:r>
        <w:rPr>
          <w:rFonts w:hint="eastAsia" w:ascii="宋体" w:hAnsi="宋体" w:eastAsia="宋体" w:cs="宋体"/>
          <w:lang w:val="en-US" w:eastAsia="zh-CN"/>
        </w:rPr>
        <w:t>小组</w:t>
      </w:r>
      <w:r>
        <w:rPr>
          <w:lang w:eastAsia="zh-CN"/>
        </w:rPr>
        <w:t xml:space="preserve"> (</w:t>
      </w:r>
      <w:r>
        <w:fldChar w:fldCharType="begin"/>
      </w:r>
      <w:r>
        <w:instrText xml:space="preserve"> HYPERLINK "http://fragrancesafetypanel.org/" \h </w:instrText>
      </w:r>
      <w:r>
        <w:fldChar w:fldCharType="separate"/>
      </w:r>
      <w:r>
        <w:rPr>
          <w:color w:val="0000FF"/>
          <w:u w:val="single" w:color="0000FF"/>
          <w:lang w:eastAsia="zh-CN"/>
        </w:rPr>
        <w:t>http://fragrancesafetypanel.org</w:t>
      </w:r>
      <w:r>
        <w:rPr>
          <w:color w:val="0000FF"/>
          <w:u w:val="single" w:color="0000FF"/>
          <w:lang w:eastAsia="zh-CN"/>
        </w:rPr>
        <w:fldChar w:fldCharType="end"/>
      </w:r>
      <w:r>
        <w:rPr>
          <w:lang w:eastAsia="zh-CN"/>
        </w:rPr>
        <w:t xml:space="preserve">) </w:t>
      </w:r>
      <w:r>
        <w:rPr>
          <w:rFonts w:hint="eastAsia" w:ascii="宋体" w:hAnsi="宋体" w:eastAsia="宋体" w:cs="宋体"/>
          <w:lang w:eastAsia="zh-CN"/>
        </w:rPr>
        <w:t>的结论为基础，这些结论包含在日用香精研究所</w:t>
      </w:r>
      <w:r>
        <w:rPr>
          <w:lang w:eastAsia="zh-CN"/>
        </w:rPr>
        <w:t xml:space="preserve"> (RIFM) </w:t>
      </w:r>
      <w:r>
        <w:rPr>
          <w:rFonts w:hint="eastAsia" w:ascii="宋体" w:hAnsi="宋体" w:eastAsia="宋体" w:cs="宋体"/>
          <w:lang w:eastAsia="zh-CN"/>
        </w:rPr>
        <w:t>的安全评估中，可在日用香料安全资源网站上</w:t>
      </w:r>
      <w:r>
        <w:rPr>
          <w:lang w:eastAsia="zh-CN"/>
        </w:rPr>
        <w:t>(</w:t>
      </w:r>
      <w:r>
        <w:fldChar w:fldCharType="begin"/>
      </w:r>
      <w:r>
        <w:instrText xml:space="preserve"> HYPERLINK "http://fragrancematerialsafetyresource.elsevier.com/" \h </w:instrText>
      </w:r>
      <w:r>
        <w:fldChar w:fldCharType="separate"/>
      </w:r>
      <w:r>
        <w:rPr>
          <w:color w:val="0000FF"/>
          <w:u w:val="single" w:color="0000FF"/>
          <w:lang w:eastAsia="zh-CN"/>
        </w:rPr>
        <w:t>RIFM Home | FCT</w:t>
      </w:r>
      <w:r>
        <w:rPr>
          <w:color w:val="0000FF"/>
          <w:spacing w:val="-2"/>
          <w:u w:val="single" w:color="0000FF"/>
          <w:lang w:eastAsia="zh-CN"/>
        </w:rPr>
        <w:t xml:space="preserve"> </w:t>
      </w:r>
      <w:r>
        <w:rPr>
          <w:color w:val="0000FF"/>
          <w:u w:val="single" w:color="0000FF"/>
          <w:lang w:eastAsia="zh-CN"/>
        </w:rPr>
        <w:t>(elsevier.com)</w:t>
      </w:r>
      <w:r>
        <w:rPr>
          <w:color w:val="0000FF"/>
          <w:u w:val="single" w:color="0000FF"/>
          <w:lang w:eastAsia="zh-CN"/>
        </w:rPr>
        <w:fldChar w:fldCharType="end"/>
      </w:r>
      <w:r>
        <w:rPr>
          <w:lang w:eastAsia="zh-CN"/>
        </w:rPr>
        <w:t>)</w:t>
      </w:r>
      <w:r>
        <w:rPr>
          <w:rFonts w:hint="eastAsia" w:ascii="宋体" w:hAnsi="宋体" w:eastAsia="宋体" w:cs="宋体"/>
          <w:lang w:eastAsia="zh-CN"/>
        </w:rPr>
        <w:t>公开查阅</w:t>
      </w:r>
    </w:p>
    <w:p w14:paraId="4B6A3348">
      <w:pPr>
        <w:pStyle w:val="4"/>
        <w:spacing w:before="5"/>
        <w:rPr>
          <w:lang w:eastAsia="zh-CN"/>
        </w:rPr>
      </w:pPr>
    </w:p>
    <w:p w14:paraId="443E40A6">
      <w:pPr>
        <w:pStyle w:val="4"/>
        <w:spacing w:before="93"/>
        <w:ind w:left="140" w:right="680"/>
        <w:rPr>
          <w:lang w:eastAsia="zh-CN"/>
        </w:rPr>
      </w:pPr>
      <w:r>
        <w:rPr>
          <w:rFonts w:hint="eastAsia" w:ascii="宋体" w:hAnsi="宋体" w:eastAsia="宋体" w:cs="宋体"/>
          <w:lang w:eastAsia="zh-CN"/>
        </w:rPr>
        <w:t>所有文件将在专用</w:t>
      </w:r>
      <w:r>
        <w:rPr>
          <w:lang w:eastAsia="zh-CN"/>
        </w:rPr>
        <w:t xml:space="preserve"> SharePoint </w:t>
      </w:r>
      <w:r>
        <w:rPr>
          <w:rFonts w:hint="eastAsia" w:ascii="宋体" w:hAnsi="宋体" w:eastAsia="宋体" w:cs="宋体"/>
          <w:lang w:eastAsia="zh-CN"/>
        </w:rPr>
        <w:t>网站上提供数月，并将在通知日期后一周内公布在</w:t>
      </w:r>
      <w:r>
        <w:rPr>
          <w:lang w:eastAsia="zh-CN"/>
        </w:rPr>
        <w:t xml:space="preserve"> IFRA </w:t>
      </w:r>
      <w:r>
        <w:rPr>
          <w:rFonts w:hint="eastAsia" w:ascii="宋体" w:hAnsi="宋体" w:eastAsia="宋体" w:cs="宋体"/>
          <w:lang w:eastAsia="zh-CN"/>
        </w:rPr>
        <w:t>网站上。</w:t>
      </w:r>
    </w:p>
    <w:p w14:paraId="234304EF">
      <w:pPr>
        <w:pStyle w:val="4"/>
        <w:spacing w:before="5"/>
        <w:rPr>
          <w:sz w:val="32"/>
          <w:lang w:eastAsia="zh-CN"/>
        </w:rPr>
      </w:pPr>
    </w:p>
    <w:p w14:paraId="5D211C7D">
      <w:pPr>
        <w:pStyle w:val="4"/>
        <w:ind w:left="140" w:right="680"/>
        <w:rPr>
          <w:lang w:eastAsia="zh-CN"/>
        </w:rPr>
      </w:pPr>
      <w:r>
        <w:rPr>
          <w:rFonts w:hint="eastAsia" w:ascii="宋体" w:hAnsi="宋体" w:eastAsia="宋体" w:cs="宋体"/>
          <w:lang w:eastAsia="zh-CN"/>
        </w:rPr>
        <w:t>如咨询结束函末尾所述，根据咨询期间收到的反馈意见，对限制</w:t>
      </w:r>
      <w:r>
        <w:rPr>
          <w:lang w:eastAsia="zh-CN"/>
        </w:rPr>
        <w:t>/</w:t>
      </w:r>
      <w:r>
        <w:rPr>
          <w:rFonts w:hint="eastAsia" w:ascii="宋体" w:hAnsi="宋体" w:eastAsia="宋体" w:cs="宋体"/>
          <w:lang w:eastAsia="zh-CN"/>
        </w:rPr>
        <w:t>质量规格标准的实施时间已经稍作修改，如下所示：</w:t>
      </w:r>
    </w:p>
    <w:p w14:paraId="5A4ED52E">
      <w:pPr>
        <w:pStyle w:val="4"/>
        <w:spacing w:before="10"/>
        <w:rPr>
          <w:sz w:val="6"/>
          <w:lang w:eastAsia="zh-CN"/>
        </w:rPr>
      </w:pPr>
    </w:p>
    <w:tbl>
      <w:tblPr>
        <w:tblStyle w:val="13"/>
        <w:tblW w:w="4693" w:type="pct"/>
        <w:tblCellSpacing w:w="9" w:type="dxa"/>
        <w:tblInd w:w="0" w:type="dxa"/>
        <w:tblLayout w:type="autofit"/>
        <w:tblCellMar>
          <w:top w:w="0" w:type="dxa"/>
          <w:left w:w="0" w:type="dxa"/>
          <w:bottom w:w="0" w:type="dxa"/>
          <w:right w:w="0" w:type="dxa"/>
        </w:tblCellMar>
      </w:tblPr>
      <w:tblGrid>
        <w:gridCol w:w="2713"/>
        <w:gridCol w:w="3541"/>
        <w:gridCol w:w="4395"/>
      </w:tblGrid>
      <w:tr w14:paraId="35809C1A">
        <w:tblPrEx>
          <w:tblCellMar>
            <w:top w:w="0" w:type="dxa"/>
            <w:left w:w="0" w:type="dxa"/>
            <w:bottom w:w="0" w:type="dxa"/>
            <w:right w:w="0" w:type="dxa"/>
          </w:tblCellMar>
        </w:tblPrEx>
        <w:trPr>
          <w:trHeight w:val="717" w:hRule="atLeast"/>
          <w:tblCellSpacing w:w="9" w:type="dxa"/>
        </w:trPr>
        <w:tc>
          <w:tcPr>
            <w:tcW w:w="1261" w:type="pct"/>
            <w:tcBorders>
              <w:top w:val="nil"/>
              <w:left w:val="nil"/>
            </w:tcBorders>
            <w:shd w:val="clear" w:color="auto" w:fill="B4C6E7"/>
          </w:tcPr>
          <w:p w14:paraId="1D552386">
            <w:pPr>
              <w:pStyle w:val="15"/>
              <w:ind w:left="0"/>
              <w:rPr>
                <w:rFonts w:ascii="Times New Roman"/>
                <w:sz w:val="20"/>
                <w:lang w:eastAsia="zh-CN"/>
              </w:rPr>
            </w:pPr>
          </w:p>
        </w:tc>
        <w:tc>
          <w:tcPr>
            <w:tcW w:w="1654" w:type="pct"/>
            <w:tcBorders>
              <w:top w:val="nil"/>
            </w:tcBorders>
            <w:shd w:val="clear" w:color="auto" w:fill="B4C6E7"/>
          </w:tcPr>
          <w:p w14:paraId="66408F0A">
            <w:pPr>
              <w:pStyle w:val="15"/>
              <w:spacing w:before="123"/>
              <w:ind w:left="663" w:hanging="392"/>
              <w:rPr>
                <w:b/>
                <w:lang w:eastAsia="zh-CN"/>
              </w:rPr>
            </w:pPr>
            <w:r>
              <w:rPr>
                <w:rFonts w:hint="eastAsia" w:ascii="宋体" w:hAnsi="宋体" w:eastAsia="宋体" w:cs="宋体"/>
                <w:b/>
                <w:bCs/>
                <w:color w:val="000000"/>
                <w:sz w:val="20"/>
                <w:szCs w:val="20"/>
                <w:lang w:eastAsia="zh-CN"/>
              </w:rPr>
              <w:t>标准对于新产品的生效日期</w:t>
            </w:r>
          </w:p>
        </w:tc>
        <w:tc>
          <w:tcPr>
            <w:tcW w:w="2051" w:type="pct"/>
            <w:tcBorders>
              <w:top w:val="nil"/>
              <w:right w:val="nil"/>
            </w:tcBorders>
            <w:shd w:val="clear" w:color="auto" w:fill="B4C6E7"/>
          </w:tcPr>
          <w:p w14:paraId="55BC57C9">
            <w:pPr>
              <w:pStyle w:val="15"/>
              <w:spacing w:before="123"/>
              <w:ind w:left="531" w:right="339" w:hanging="192"/>
              <w:rPr>
                <w:b/>
                <w:lang w:eastAsia="zh-CN"/>
              </w:rPr>
            </w:pPr>
            <w:r>
              <w:rPr>
                <w:rFonts w:hint="eastAsia" w:ascii="宋体" w:hAnsi="宋体" w:eastAsia="宋体" w:cs="宋体"/>
                <w:b/>
                <w:bCs/>
                <w:color w:val="000000"/>
                <w:sz w:val="20"/>
                <w:szCs w:val="20"/>
                <w:lang w:eastAsia="zh-CN"/>
              </w:rPr>
              <w:t>标准对于现有产品的生效日期</w:t>
            </w:r>
          </w:p>
        </w:tc>
      </w:tr>
      <w:tr w14:paraId="6C6713E5">
        <w:tblPrEx>
          <w:tblCellMar>
            <w:top w:w="0" w:type="dxa"/>
            <w:left w:w="0" w:type="dxa"/>
            <w:bottom w:w="0" w:type="dxa"/>
            <w:right w:w="0" w:type="dxa"/>
          </w:tblCellMar>
        </w:tblPrEx>
        <w:trPr>
          <w:trHeight w:val="654" w:hRule="atLeast"/>
          <w:tblCellSpacing w:w="9" w:type="dxa"/>
        </w:trPr>
        <w:tc>
          <w:tcPr>
            <w:tcW w:w="1261" w:type="pct"/>
            <w:tcBorders>
              <w:left w:val="nil"/>
            </w:tcBorders>
            <w:shd w:val="clear" w:color="auto" w:fill="B4C6E7"/>
          </w:tcPr>
          <w:p w14:paraId="21F1625F">
            <w:pPr>
              <w:pStyle w:val="15"/>
              <w:spacing w:before="91"/>
              <w:ind w:left="98" w:right="377"/>
            </w:pPr>
            <w:r>
              <w:t xml:space="preserve">IFRA </w:t>
            </w:r>
            <w:r>
              <w:rPr>
                <w:rFonts w:hint="eastAsia" w:ascii="宋体" w:hAnsi="宋体" w:eastAsia="宋体" w:cs="宋体"/>
              </w:rPr>
              <w:t>标准禁止使用</w:t>
            </w:r>
            <w:r>
              <w:rPr>
                <w:rFonts w:hint="eastAsia" w:ascii="宋体" w:hAnsi="宋体" w:eastAsia="宋体" w:cs="宋体"/>
                <w:lang w:eastAsia="zh-CN"/>
              </w:rPr>
              <w:t>的</w:t>
            </w:r>
            <w:r>
              <w:rPr>
                <w:rFonts w:hint="eastAsia" w:ascii="宋体" w:hAnsi="宋体" w:eastAsia="宋体" w:cs="宋体"/>
              </w:rPr>
              <w:t>成分</w:t>
            </w:r>
          </w:p>
        </w:tc>
        <w:tc>
          <w:tcPr>
            <w:tcW w:w="1654" w:type="pct"/>
            <w:shd w:val="clear" w:color="auto" w:fill="E9EBF5"/>
          </w:tcPr>
          <w:p w14:paraId="44579095">
            <w:pPr>
              <w:pStyle w:val="15"/>
              <w:spacing w:before="91"/>
              <w:ind w:left="205" w:firstLine="151"/>
              <w:rPr>
                <w:lang w:eastAsia="zh-CN"/>
              </w:rPr>
            </w:pPr>
            <w:r>
              <w:rPr>
                <w:rFonts w:hint="eastAsia" w:ascii="宋体" w:hAnsi="宋体" w:eastAsia="宋体" w:cs="宋体"/>
                <w:b/>
                <w:lang w:eastAsia="zh-CN"/>
              </w:rPr>
              <w:t>通知后</w:t>
            </w:r>
            <w:r>
              <w:rPr>
                <w:b/>
                <w:lang w:eastAsia="zh-CN"/>
              </w:rPr>
              <w:t xml:space="preserve"> 2 </w:t>
            </w:r>
            <w:r>
              <w:rPr>
                <w:rFonts w:hint="eastAsia" w:ascii="宋体" w:hAnsi="宋体" w:eastAsia="宋体" w:cs="宋体"/>
                <w:b/>
                <w:lang w:eastAsia="zh-CN"/>
              </w:rPr>
              <w:t>个月（即</w:t>
            </w:r>
            <w:r>
              <w:rPr>
                <w:b/>
                <w:lang w:eastAsia="zh-CN"/>
              </w:rPr>
              <w:t xml:space="preserve"> 2023 </w:t>
            </w:r>
            <w:r>
              <w:rPr>
                <w:rFonts w:hint="eastAsia" w:ascii="宋体" w:hAnsi="宋体" w:eastAsia="宋体" w:cs="宋体"/>
                <w:b/>
                <w:lang w:eastAsia="zh-CN"/>
              </w:rPr>
              <w:t>年</w:t>
            </w:r>
            <w:r>
              <w:rPr>
                <w:b/>
                <w:lang w:eastAsia="zh-CN"/>
              </w:rPr>
              <w:t xml:space="preserve"> 8 </w:t>
            </w:r>
            <w:r>
              <w:rPr>
                <w:rFonts w:hint="eastAsia" w:ascii="宋体" w:hAnsi="宋体" w:eastAsia="宋体" w:cs="宋体"/>
                <w:b/>
                <w:lang w:eastAsia="zh-CN"/>
              </w:rPr>
              <w:t>月</w:t>
            </w:r>
            <w:r>
              <w:rPr>
                <w:b/>
                <w:lang w:eastAsia="zh-CN"/>
              </w:rPr>
              <w:t xml:space="preserve"> 30 </w:t>
            </w:r>
            <w:r>
              <w:rPr>
                <w:rFonts w:hint="eastAsia" w:ascii="宋体" w:hAnsi="宋体" w:eastAsia="宋体" w:cs="宋体"/>
                <w:b/>
                <w:lang w:eastAsia="zh-CN"/>
              </w:rPr>
              <w:t>日）</w:t>
            </w:r>
          </w:p>
        </w:tc>
        <w:tc>
          <w:tcPr>
            <w:tcW w:w="2051" w:type="pct"/>
            <w:tcBorders>
              <w:right w:val="nil"/>
            </w:tcBorders>
            <w:shd w:val="clear" w:color="auto" w:fill="E9EBF5"/>
          </w:tcPr>
          <w:p w14:paraId="6E527533">
            <w:pPr>
              <w:pStyle w:val="15"/>
              <w:spacing w:before="91"/>
              <w:ind w:left="390" w:right="361" w:hanging="24"/>
              <w:rPr>
                <w:lang w:eastAsia="zh-CN"/>
              </w:rPr>
            </w:pPr>
            <w:r>
              <w:rPr>
                <w:rFonts w:hint="eastAsia" w:ascii="宋体" w:hAnsi="宋体" w:eastAsia="宋体" w:cs="宋体"/>
                <w:b/>
                <w:lang w:eastAsia="zh-CN"/>
              </w:rPr>
              <w:t>通知后</w:t>
            </w:r>
            <w:r>
              <w:rPr>
                <w:b/>
                <w:lang w:eastAsia="zh-CN"/>
              </w:rPr>
              <w:t xml:space="preserve"> 13 </w:t>
            </w:r>
            <w:r>
              <w:rPr>
                <w:rFonts w:hint="eastAsia" w:ascii="宋体" w:hAnsi="宋体" w:eastAsia="宋体" w:cs="宋体"/>
                <w:b/>
                <w:lang w:eastAsia="zh-CN"/>
              </w:rPr>
              <w:t>个月（即</w:t>
            </w:r>
            <w:r>
              <w:rPr>
                <w:b/>
                <w:lang w:eastAsia="zh-CN"/>
              </w:rPr>
              <w:t xml:space="preserve"> 2024 </w:t>
            </w:r>
            <w:r>
              <w:rPr>
                <w:rFonts w:hint="eastAsia" w:ascii="宋体" w:hAnsi="宋体" w:eastAsia="宋体" w:cs="宋体"/>
                <w:b/>
                <w:lang w:eastAsia="zh-CN"/>
              </w:rPr>
              <w:t>年</w:t>
            </w:r>
            <w:r>
              <w:rPr>
                <w:b/>
                <w:lang w:eastAsia="zh-CN"/>
              </w:rPr>
              <w:t xml:space="preserve"> 7 </w:t>
            </w:r>
            <w:r>
              <w:rPr>
                <w:rFonts w:hint="eastAsia" w:ascii="宋体" w:hAnsi="宋体" w:eastAsia="宋体" w:cs="宋体"/>
                <w:b/>
                <w:lang w:eastAsia="zh-CN"/>
              </w:rPr>
              <w:t>月</w:t>
            </w:r>
            <w:r>
              <w:rPr>
                <w:b/>
                <w:lang w:eastAsia="zh-CN"/>
              </w:rPr>
              <w:t xml:space="preserve"> 30 </w:t>
            </w:r>
            <w:r>
              <w:rPr>
                <w:rFonts w:hint="eastAsia" w:ascii="宋体" w:hAnsi="宋体" w:eastAsia="宋体" w:cs="宋体"/>
                <w:b/>
                <w:lang w:eastAsia="zh-CN"/>
              </w:rPr>
              <w:t>日）</w:t>
            </w:r>
          </w:p>
        </w:tc>
      </w:tr>
      <w:tr w14:paraId="05A2D9A4">
        <w:tblPrEx>
          <w:tblCellMar>
            <w:top w:w="0" w:type="dxa"/>
            <w:left w:w="0" w:type="dxa"/>
            <w:bottom w:w="0" w:type="dxa"/>
            <w:right w:w="0" w:type="dxa"/>
          </w:tblCellMar>
        </w:tblPrEx>
        <w:trPr>
          <w:trHeight w:val="875" w:hRule="atLeast"/>
          <w:tblCellSpacing w:w="9" w:type="dxa"/>
        </w:trPr>
        <w:tc>
          <w:tcPr>
            <w:tcW w:w="1261" w:type="pct"/>
            <w:tcBorders>
              <w:left w:val="nil"/>
              <w:bottom w:val="nil"/>
            </w:tcBorders>
            <w:shd w:val="clear" w:color="auto" w:fill="B4C6E7"/>
          </w:tcPr>
          <w:p w14:paraId="49732776">
            <w:pPr>
              <w:pStyle w:val="15"/>
              <w:spacing w:before="76"/>
              <w:ind w:left="98" w:right="455"/>
              <w:jc w:val="both"/>
              <w:rPr>
                <w:lang w:eastAsia="zh-CN"/>
              </w:rPr>
            </w:pPr>
            <w:r>
              <w:rPr>
                <w:lang w:eastAsia="zh-CN"/>
              </w:rPr>
              <w:t xml:space="preserve">IFRA </w:t>
            </w:r>
            <w:r>
              <w:rPr>
                <w:rFonts w:hint="eastAsia" w:ascii="宋体" w:hAnsi="宋体" w:eastAsia="宋体" w:cs="宋体"/>
                <w:lang w:eastAsia="zh-CN"/>
              </w:rPr>
              <w:t>标准限制使用或设定质量规格的成分</w:t>
            </w:r>
          </w:p>
        </w:tc>
        <w:tc>
          <w:tcPr>
            <w:tcW w:w="1654" w:type="pct"/>
            <w:tcBorders>
              <w:bottom w:val="nil"/>
            </w:tcBorders>
            <w:shd w:val="clear" w:color="auto" w:fill="E9EBF5"/>
          </w:tcPr>
          <w:p w14:paraId="61BDA9AA">
            <w:pPr>
              <w:pStyle w:val="15"/>
              <w:spacing w:before="203"/>
              <w:ind w:left="243" w:firstLine="112"/>
              <w:rPr>
                <w:lang w:eastAsia="zh-CN"/>
              </w:rPr>
            </w:pPr>
            <w:r>
              <w:rPr>
                <w:rFonts w:hint="eastAsia" w:ascii="宋体" w:hAnsi="宋体" w:eastAsia="宋体" w:cs="宋体"/>
                <w:b/>
                <w:lang w:eastAsia="zh-CN"/>
              </w:rPr>
              <w:t>通知后</w:t>
            </w:r>
            <w:r>
              <w:rPr>
                <w:b/>
                <w:lang w:eastAsia="zh-CN"/>
              </w:rPr>
              <w:t xml:space="preserve"> 9 </w:t>
            </w:r>
            <w:r>
              <w:rPr>
                <w:rFonts w:hint="eastAsia" w:ascii="宋体" w:hAnsi="宋体" w:eastAsia="宋体" w:cs="宋体"/>
                <w:b/>
                <w:lang w:eastAsia="zh-CN"/>
              </w:rPr>
              <w:t>个月（即</w:t>
            </w:r>
            <w:r>
              <w:rPr>
                <w:b/>
                <w:lang w:eastAsia="zh-CN"/>
              </w:rPr>
              <w:t xml:space="preserve"> 2024 </w:t>
            </w:r>
            <w:r>
              <w:rPr>
                <w:rFonts w:hint="eastAsia" w:ascii="宋体" w:hAnsi="宋体" w:eastAsia="宋体" w:cs="宋体"/>
                <w:b/>
                <w:lang w:eastAsia="zh-CN"/>
              </w:rPr>
              <w:t>年</w:t>
            </w:r>
            <w:r>
              <w:rPr>
                <w:b/>
                <w:lang w:eastAsia="zh-CN"/>
              </w:rPr>
              <w:t xml:space="preserve"> 3 </w:t>
            </w:r>
            <w:r>
              <w:rPr>
                <w:rFonts w:hint="eastAsia" w:ascii="宋体" w:hAnsi="宋体" w:eastAsia="宋体" w:cs="宋体"/>
                <w:b/>
                <w:lang w:eastAsia="zh-CN"/>
              </w:rPr>
              <w:t>月</w:t>
            </w:r>
            <w:r>
              <w:rPr>
                <w:b/>
                <w:lang w:eastAsia="zh-CN"/>
              </w:rPr>
              <w:t xml:space="preserve"> 30 </w:t>
            </w:r>
            <w:r>
              <w:rPr>
                <w:rFonts w:hint="eastAsia" w:ascii="宋体" w:hAnsi="宋体" w:eastAsia="宋体" w:cs="宋体"/>
                <w:b/>
                <w:lang w:eastAsia="zh-CN"/>
              </w:rPr>
              <w:t>日）</w:t>
            </w:r>
          </w:p>
        </w:tc>
        <w:tc>
          <w:tcPr>
            <w:tcW w:w="2051" w:type="pct"/>
            <w:tcBorders>
              <w:bottom w:val="nil"/>
              <w:right w:val="nil"/>
            </w:tcBorders>
            <w:shd w:val="clear" w:color="auto" w:fill="E9EBF5"/>
          </w:tcPr>
          <w:p w14:paraId="4422C9C1">
            <w:pPr>
              <w:pStyle w:val="15"/>
              <w:spacing w:before="203"/>
              <w:ind w:left="224" w:right="222" w:firstLine="141"/>
              <w:rPr>
                <w:lang w:eastAsia="zh-CN"/>
              </w:rPr>
            </w:pPr>
            <w:r>
              <w:rPr>
                <w:rFonts w:hint="eastAsia" w:ascii="宋体" w:hAnsi="宋体" w:eastAsia="宋体" w:cs="宋体"/>
                <w:b/>
                <w:lang w:eastAsia="zh-CN"/>
              </w:rPr>
              <w:t>通知后</w:t>
            </w:r>
            <w:r>
              <w:rPr>
                <w:b/>
                <w:lang w:eastAsia="zh-CN"/>
              </w:rPr>
              <w:t xml:space="preserve">28 </w:t>
            </w:r>
            <w:r>
              <w:rPr>
                <w:rFonts w:hint="eastAsia" w:ascii="宋体" w:hAnsi="宋体" w:eastAsia="宋体" w:cs="宋体"/>
                <w:b/>
                <w:lang w:eastAsia="zh-CN"/>
              </w:rPr>
              <w:t>个月（即</w:t>
            </w:r>
            <w:r>
              <w:rPr>
                <w:b/>
                <w:lang w:eastAsia="zh-CN"/>
              </w:rPr>
              <w:t xml:space="preserve"> 2025 </w:t>
            </w:r>
            <w:r>
              <w:rPr>
                <w:rFonts w:hint="eastAsia" w:ascii="宋体" w:hAnsi="宋体" w:eastAsia="宋体" w:cs="宋体"/>
                <w:b/>
                <w:lang w:eastAsia="zh-CN"/>
              </w:rPr>
              <w:t>年</w:t>
            </w:r>
            <w:r>
              <w:rPr>
                <w:b/>
                <w:lang w:eastAsia="zh-CN"/>
              </w:rPr>
              <w:t xml:space="preserve"> 10 </w:t>
            </w:r>
            <w:r>
              <w:rPr>
                <w:rFonts w:hint="eastAsia" w:ascii="宋体" w:hAnsi="宋体" w:eastAsia="宋体" w:cs="宋体"/>
                <w:b/>
                <w:lang w:eastAsia="zh-CN"/>
              </w:rPr>
              <w:t>月</w:t>
            </w:r>
            <w:r>
              <w:rPr>
                <w:b/>
                <w:lang w:eastAsia="zh-CN"/>
              </w:rPr>
              <w:t xml:space="preserve"> 30 </w:t>
            </w:r>
            <w:r>
              <w:rPr>
                <w:rFonts w:hint="eastAsia" w:ascii="宋体" w:hAnsi="宋体" w:eastAsia="宋体" w:cs="宋体"/>
                <w:b/>
                <w:lang w:eastAsia="zh-CN"/>
              </w:rPr>
              <w:t>日）</w:t>
            </w:r>
          </w:p>
        </w:tc>
      </w:tr>
    </w:tbl>
    <w:p w14:paraId="53842AF7">
      <w:pPr>
        <w:pStyle w:val="4"/>
        <w:rPr>
          <w:sz w:val="20"/>
          <w:lang w:eastAsia="zh-CN"/>
        </w:rPr>
      </w:pPr>
    </w:p>
    <w:p w14:paraId="10711D06">
      <w:pPr>
        <w:pStyle w:val="4"/>
        <w:rPr>
          <w:sz w:val="20"/>
          <w:lang w:eastAsia="zh-CN"/>
        </w:rPr>
      </w:pPr>
    </w:p>
    <w:p w14:paraId="5E733A1B">
      <w:pPr>
        <w:pStyle w:val="4"/>
        <w:rPr>
          <w:rFonts w:eastAsiaTheme="minorEastAsia"/>
          <w:sz w:val="20"/>
          <w:lang w:eastAsia="zh-CN"/>
        </w:rPr>
      </w:pPr>
    </w:p>
    <w:p w14:paraId="0589103A">
      <w:pPr>
        <w:pStyle w:val="4"/>
        <w:spacing w:before="11"/>
        <w:rPr>
          <w:sz w:val="17"/>
          <w:lang w:eastAsia="zh-CN"/>
        </w:rPr>
      </w:pPr>
      <w:r>
        <mc:AlternateContent>
          <mc:Choice Requires="wps">
            <w:drawing>
              <wp:anchor distT="0" distB="0" distL="0" distR="0" simplePos="0" relativeHeight="251665408" behindDoc="1" locked="0" layoutInCell="1" allowOverlap="1">
                <wp:simplePos x="0" y="0"/>
                <wp:positionH relativeFrom="page">
                  <wp:posOffset>438785</wp:posOffset>
                </wp:positionH>
                <wp:positionV relativeFrom="paragraph">
                  <wp:posOffset>159385</wp:posOffset>
                </wp:positionV>
                <wp:extent cx="6685915" cy="1270"/>
                <wp:effectExtent l="0" t="0" r="0" b="0"/>
                <wp:wrapTopAndBottom/>
                <wp:docPr id="812043221" name="Freeform 4"/>
                <wp:cNvGraphicFramePr/>
                <a:graphic xmlns:a="http://schemas.openxmlformats.org/drawingml/2006/main">
                  <a:graphicData uri="http://schemas.microsoft.com/office/word/2010/wordprocessingShape">
                    <wps:wsp>
                      <wps:cNvSpPr/>
                      <wps:spPr bwMode="auto">
                        <a:xfrm>
                          <a:off x="0" y="0"/>
                          <a:ext cx="6685915" cy="1270"/>
                        </a:xfrm>
                        <a:custGeom>
                          <a:avLst/>
                          <a:gdLst>
                            <a:gd name="T0" fmla="+- 0 691 691"/>
                            <a:gd name="T1" fmla="*/ T0 w 10529"/>
                            <a:gd name="T2" fmla="+- 0 11220 691"/>
                            <a:gd name="T3" fmla="*/ T2 w 10529"/>
                          </a:gdLst>
                          <a:ahLst/>
                          <a:cxnLst>
                            <a:cxn ang="0">
                              <a:pos x="T1" y="0"/>
                            </a:cxn>
                            <a:cxn ang="0">
                              <a:pos x="T3" y="0"/>
                            </a:cxn>
                          </a:cxnLst>
                          <a:rect l="0" t="0" r="r" b="b"/>
                          <a:pathLst>
                            <a:path w="10529">
                              <a:moveTo>
                                <a:pt x="0" y="0"/>
                              </a:moveTo>
                              <a:lnTo>
                                <a:pt x="10529" y="0"/>
                              </a:lnTo>
                            </a:path>
                          </a:pathLst>
                        </a:custGeom>
                        <a:noFill/>
                        <a:ln w="6096">
                          <a:solidFill>
                            <a:srgbClr val="7374A8"/>
                          </a:solidFill>
                          <a:round/>
                        </a:ln>
                      </wps:spPr>
                      <wps:bodyPr rot="0" vert="horz" wrap="square" lIns="91440" tIns="45720" rIns="91440" bIns="45720" anchor="t" anchorCtr="0" upright="1">
                        <a:noAutofit/>
                      </wps:bodyPr>
                    </wps:wsp>
                  </a:graphicData>
                </a:graphic>
              </wp:anchor>
            </w:drawing>
          </mc:Choice>
          <mc:Fallback>
            <w:pict>
              <v:shape id="Freeform 4" o:spid="_x0000_s1026" o:spt="100" style="position:absolute;left:0pt;margin-left:34.55pt;margin-top:12.55pt;height:0.1pt;width:526.45pt;mso-position-horizontal-relative:page;mso-wrap-distance-bottom:0pt;mso-wrap-distance-top:0pt;z-index:-251651072;mso-width-relative:page;mso-height-relative:page;" filled="f" stroked="t" coordsize="10529,1" o:gfxdata="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" path="m0,0l10529,0e">
                <v:path o:connectlocs="0,0;6685915,0" o:connectangles="0,0"/>
                <v:fill on="f" focussize="0,0"/>
                <v:stroke weight="0.48pt" color="#7374A8" joinstyle="round"/>
                <v:imagedata o:title=""/>
                <o:lock v:ext="edit" aspectratio="f"/>
                <w10:wrap type="topAndBottom"/>
              </v:shape>
            </w:pict>
          </mc:Fallback>
        </mc:AlternateContent>
      </w:r>
    </w:p>
    <w:p w14:paraId="7640428E">
      <w:pPr>
        <w:spacing w:before="184"/>
        <w:ind w:left="140"/>
        <w:rPr>
          <w:rFonts w:ascii="Century Gothic"/>
          <w:b/>
          <w:sz w:val="16"/>
        </w:rPr>
      </w:pPr>
      <w:r>
        <w:rPr>
          <w:rFonts w:ascii="Century Gothic"/>
          <w:b/>
          <w:color w:val="7473A9"/>
          <w:sz w:val="16"/>
        </w:rPr>
        <w:t xml:space="preserve">IFRA </w:t>
      </w:r>
      <w:r>
        <w:rPr>
          <w:rFonts w:ascii="Century Gothic"/>
          <w:color w:val="5E5E5E"/>
          <w:sz w:val="16"/>
        </w:rPr>
        <w:t xml:space="preserve">| </w:t>
      </w:r>
      <w:r>
        <w:rPr>
          <w:rFonts w:ascii="Century Gothic"/>
          <w:b/>
          <w:color w:val="7473A9"/>
          <w:sz w:val="16"/>
        </w:rPr>
        <w:t>THE INTERNATIONAL FRAGRANCE ASSOCIATION</w:t>
      </w:r>
    </w:p>
    <w:p w14:paraId="1A46385A">
      <w:pPr>
        <w:tabs>
          <w:tab w:val="left" w:pos="2300"/>
        </w:tabs>
        <w:spacing w:before="118"/>
        <w:ind w:left="140" w:right="4994"/>
        <w:rPr>
          <w:rFonts w:ascii="Century Gothic" w:hAnsi="Century Gothic"/>
          <w:sz w:val="16"/>
        </w:rPr>
      </w:pPr>
      <w:r>
        <w:rPr>
          <w:rFonts w:ascii="Century Gothic" w:hAnsi="Century Gothic"/>
          <w:color w:val="5E5E5E"/>
          <w:sz w:val="16"/>
        </w:rPr>
        <w:t>IFRA</w:t>
      </w:r>
      <w:r>
        <w:rPr>
          <w:rFonts w:ascii="Century Gothic" w:hAnsi="Century Gothic"/>
          <w:color w:val="5E5E5E"/>
          <w:spacing w:val="-3"/>
          <w:sz w:val="16"/>
        </w:rPr>
        <w:t xml:space="preserve"> </w:t>
      </w:r>
      <w:r>
        <w:rPr>
          <w:rFonts w:ascii="Century Gothic" w:hAnsi="Century Gothic"/>
          <w:color w:val="5E5E5E"/>
          <w:sz w:val="16"/>
        </w:rPr>
        <w:t>Headquarters</w:t>
      </w:r>
      <w:r>
        <w:rPr>
          <w:rFonts w:ascii="Century Gothic" w:hAnsi="Century Gothic"/>
          <w:color w:val="5E5E5E"/>
          <w:sz w:val="16"/>
        </w:rPr>
        <w:tab/>
      </w:r>
      <w:r>
        <w:rPr>
          <w:rFonts w:ascii="Century Gothic" w:hAnsi="Century Gothic"/>
          <w:color w:val="5E5E5E"/>
          <w:sz w:val="16"/>
        </w:rPr>
        <w:t>Rue de la Croix d’Or 3 | 1204 Geneva | Switzerland IFRA Operations</w:t>
      </w:r>
      <w:r>
        <w:rPr>
          <w:rFonts w:ascii="Century Gothic" w:hAnsi="Century Gothic"/>
          <w:color w:val="5E5E5E"/>
          <w:sz w:val="16"/>
        </w:rPr>
        <w:tab/>
      </w:r>
      <w:r>
        <w:rPr>
          <w:rFonts w:ascii="Century Gothic" w:hAnsi="Century Gothic"/>
          <w:color w:val="5E5E5E"/>
          <w:sz w:val="16"/>
        </w:rPr>
        <w:t>Avenue des Arts 6 | 1210 Brussels |</w:t>
      </w:r>
      <w:r>
        <w:rPr>
          <w:rFonts w:ascii="Century Gothic" w:hAnsi="Century Gothic"/>
          <w:color w:val="5E5E5E"/>
          <w:spacing w:val="-14"/>
          <w:sz w:val="16"/>
        </w:rPr>
        <w:t xml:space="preserve"> </w:t>
      </w:r>
      <w:r>
        <w:rPr>
          <w:rFonts w:ascii="Century Gothic" w:hAnsi="Century Gothic"/>
          <w:color w:val="5E5E5E"/>
          <w:sz w:val="16"/>
        </w:rPr>
        <w:t>Belgium</w:t>
      </w:r>
    </w:p>
    <w:p w14:paraId="6FF423BA">
      <w:pPr>
        <w:rPr>
          <w:rFonts w:ascii="Century Gothic" w:hAnsi="Century Gothic"/>
          <w:sz w:val="16"/>
        </w:rPr>
        <w:sectPr>
          <w:type w:val="continuous"/>
          <w:pgSz w:w="11910" w:h="16840"/>
          <w:pgMar w:top="540" w:right="20" w:bottom="880" w:left="580" w:header="720" w:footer="720" w:gutter="0"/>
          <w:cols w:space="720" w:num="1"/>
        </w:sectPr>
      </w:pPr>
    </w:p>
    <w:p w14:paraId="16A11820">
      <w:pPr>
        <w:pStyle w:val="4"/>
        <w:rPr>
          <w:rFonts w:ascii="Century Gothic"/>
          <w:sz w:val="20"/>
        </w:rPr>
      </w:pPr>
    </w:p>
    <w:p w14:paraId="3D2744E3">
      <w:pPr>
        <w:pStyle w:val="4"/>
        <w:spacing w:before="9"/>
        <w:rPr>
          <w:rFonts w:ascii="Century Gothic"/>
          <w:sz w:val="20"/>
        </w:rPr>
      </w:pPr>
    </w:p>
    <w:p w14:paraId="268A9A53">
      <w:pPr>
        <w:pStyle w:val="4"/>
        <w:spacing w:before="98" w:line="235" w:lineRule="auto"/>
        <w:ind w:left="140" w:right="694"/>
        <w:jc w:val="both"/>
        <w:rPr>
          <w:lang w:eastAsia="zh-CN"/>
        </w:rPr>
      </w:pPr>
      <w:r>
        <w:rPr>
          <w:rFonts w:hint="eastAsia" w:ascii="宋体" w:hAnsi="宋体" w:eastAsia="宋体" w:cs="宋体"/>
          <w:lang w:eastAsia="zh-CN"/>
        </w:rPr>
        <w:t>下面的计划直观地显示了第</w:t>
      </w:r>
      <w:r>
        <w:rPr>
          <w:lang w:eastAsia="zh-CN"/>
        </w:rPr>
        <w:t xml:space="preserve"> 51 </w:t>
      </w:r>
      <w:r>
        <w:rPr>
          <w:rFonts w:hint="eastAsia" w:ascii="宋体" w:hAnsi="宋体" w:eastAsia="宋体" w:cs="宋体"/>
          <w:lang w:eastAsia="zh-CN"/>
        </w:rPr>
        <w:t>次修订范围内的限制</w:t>
      </w:r>
      <w:r>
        <w:rPr>
          <w:lang w:eastAsia="zh-CN"/>
        </w:rPr>
        <w:t>/</w:t>
      </w:r>
      <w:r>
        <w:rPr>
          <w:rFonts w:hint="eastAsia" w:ascii="宋体" w:hAnsi="宋体" w:eastAsia="宋体" w:cs="宋体"/>
          <w:lang w:eastAsia="zh-CN"/>
        </w:rPr>
        <w:t>规范标准的总体实施时间安排：</w:t>
      </w:r>
    </w:p>
    <w:p w14:paraId="2E4F1E2C">
      <w:pPr>
        <w:pStyle w:val="4"/>
        <w:rPr>
          <w:sz w:val="20"/>
          <w:lang w:eastAsia="zh-CN"/>
        </w:rPr>
      </w:pPr>
    </w:p>
    <w:p w14:paraId="2C45446B">
      <w:pPr>
        <w:pStyle w:val="4"/>
        <w:spacing w:before="5"/>
        <w:rPr>
          <w:sz w:val="15"/>
          <w:lang w:eastAsia="zh-CN"/>
        </w:rPr>
      </w:pPr>
      <w:r>
        <w:drawing>
          <wp:anchor distT="0" distB="0" distL="114300" distR="114300" simplePos="0" relativeHeight="251668480" behindDoc="0" locked="0" layoutInCell="1" allowOverlap="1">
            <wp:simplePos x="0" y="0"/>
            <wp:positionH relativeFrom="column">
              <wp:posOffset>174625</wp:posOffset>
            </wp:positionH>
            <wp:positionV relativeFrom="paragraph">
              <wp:posOffset>101600</wp:posOffset>
            </wp:positionV>
            <wp:extent cx="6757670" cy="3890010"/>
            <wp:effectExtent l="0" t="0" r="0" b="0"/>
            <wp:wrapNone/>
            <wp:docPr id="41443458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434587"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l="2292" r="-1"/>
                    <a:stretch>
                      <a:fillRect/>
                    </a:stretch>
                  </pic:blipFill>
                  <pic:spPr>
                    <a:xfrm>
                      <a:off x="0" y="0"/>
                      <a:ext cx="6757583" cy="3890294"/>
                    </a:xfrm>
                    <a:prstGeom prst="rect">
                      <a:avLst/>
                    </a:prstGeom>
                    <a:noFill/>
                    <a:ln>
                      <a:noFill/>
                    </a:ln>
                  </pic:spPr>
                </pic:pic>
              </a:graphicData>
            </a:graphic>
          </wp:anchor>
        </w:drawing>
      </w:r>
      <w:r>
        <w:drawing>
          <wp:anchor distT="0" distB="0" distL="0" distR="0" simplePos="0" relativeHeight="251664384" behindDoc="0" locked="0" layoutInCell="1" allowOverlap="1">
            <wp:simplePos x="0" y="0"/>
            <wp:positionH relativeFrom="page">
              <wp:posOffset>667385</wp:posOffset>
            </wp:positionH>
            <wp:positionV relativeFrom="paragraph">
              <wp:posOffset>137795</wp:posOffset>
            </wp:positionV>
            <wp:extent cx="6180455" cy="3867150"/>
            <wp:effectExtent l="0" t="0" r="0" b="0"/>
            <wp:wrapTopAndBottom/>
            <wp:docPr id="5" name="image2.jpeg" descr="A screenshot of a calendar  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jpeg" descr="A screenshot of a calendar  Description automatically generated with medium confidence"/>
                    <pic:cNvPicPr>
                      <a:picLocks noChangeAspect="1"/>
                    </pic:cNvPicPr>
                  </pic:nvPicPr>
                  <pic:blipFill>
                    <a:blip r:embed="rId13" cstate="print"/>
                    <a:stretch>
                      <a:fillRect/>
                    </a:stretch>
                  </pic:blipFill>
                  <pic:spPr>
                    <a:xfrm>
                      <a:off x="0" y="0"/>
                      <a:ext cx="6180344" cy="3867150"/>
                    </a:xfrm>
                    <a:prstGeom prst="rect">
                      <a:avLst/>
                    </a:prstGeom>
                  </pic:spPr>
                </pic:pic>
              </a:graphicData>
            </a:graphic>
          </wp:anchor>
        </w:drawing>
      </w:r>
    </w:p>
    <w:p w14:paraId="785E8CD1">
      <w:pPr>
        <w:pStyle w:val="4"/>
        <w:spacing w:before="11"/>
        <w:rPr>
          <w:sz w:val="31"/>
          <w:lang w:eastAsia="zh-CN"/>
        </w:rPr>
      </w:pPr>
    </w:p>
    <w:p w14:paraId="5E4D26DC">
      <w:pPr>
        <w:pStyle w:val="4"/>
        <w:spacing w:line="300" w:lineRule="auto"/>
        <w:ind w:left="142" w:right="695"/>
        <w:jc w:val="both"/>
        <w:rPr>
          <w:lang w:eastAsia="zh-CN"/>
        </w:rPr>
      </w:pPr>
      <w:r>
        <w:rPr>
          <w:rFonts w:hint="eastAsia" w:ascii="宋体" w:hAnsi="宋体" w:eastAsia="宋体" w:cs="宋体"/>
          <w:lang w:eastAsia="zh-CN"/>
        </w:rPr>
        <w:t>但是实施时间表并不适用于那些范围和/或最大可接受浓度水平没有变化，只是在格式上发生变化或增加了说明的标准。这些标准将仅以更新后的格式在网站上公布，但适用日期不变。</w:t>
      </w:r>
    </w:p>
    <w:p w14:paraId="50D8A65B">
      <w:pPr>
        <w:pStyle w:val="4"/>
        <w:spacing w:before="59" w:line="300" w:lineRule="auto"/>
        <w:ind w:left="142" w:right="693"/>
        <w:jc w:val="both"/>
        <w:rPr>
          <w:lang w:eastAsia="zh-CN"/>
        </w:rPr>
      </w:pPr>
      <w:r>
        <w:rPr>
          <w:rFonts w:hint="eastAsia" w:ascii="宋体" w:hAnsi="宋体" w:eastAsia="宋体" w:cs="宋体"/>
          <w:lang w:eastAsia="zh-CN"/>
        </w:rPr>
        <w:t>请注意，适用某个日用香精的一个标准，其影响不仅取决于浓度上限的变化（直接或间接地通过存在于其他来源中，如相应附件中所列的其他来源的贡献），而且还可能由于加香产品类型的转换而产生影响。</w:t>
      </w:r>
    </w:p>
    <w:p w14:paraId="2272C222">
      <w:pPr>
        <w:pStyle w:val="4"/>
        <w:spacing w:before="62" w:line="300" w:lineRule="auto"/>
        <w:ind w:left="142" w:right="692"/>
        <w:jc w:val="both"/>
        <w:rPr>
          <w:lang w:eastAsia="zh-CN"/>
        </w:rPr>
      </w:pPr>
      <w:r>
        <w:rPr>
          <w:rFonts w:hint="eastAsia" w:ascii="宋体" w:hAnsi="宋体" w:eastAsia="宋体" w:cs="宋体"/>
          <w:lang w:eastAsia="zh-CN"/>
        </w:rPr>
        <w:t>在此，我们想指出，由于香料安全</w:t>
      </w:r>
      <w:r>
        <w:rPr>
          <w:rFonts w:hint="eastAsia" w:ascii="宋体" w:hAnsi="宋体" w:eastAsia="宋体" w:cs="宋体"/>
          <w:lang w:val="en-US" w:eastAsia="zh-CN"/>
        </w:rPr>
        <w:t>性</w:t>
      </w:r>
      <w:r>
        <w:rPr>
          <w:rFonts w:hint="eastAsia" w:ascii="宋体" w:hAnsi="宋体" w:eastAsia="宋体" w:cs="宋体"/>
          <w:lang w:eastAsia="zh-CN"/>
        </w:rPr>
        <w:t>专家小组最近的一项决定，有两种材料在第</w:t>
      </w:r>
      <w:r>
        <w:rPr>
          <w:lang w:eastAsia="zh-CN"/>
        </w:rPr>
        <w:t>6</w:t>
      </w:r>
      <w:r>
        <w:rPr>
          <w:rFonts w:hint="eastAsia" w:ascii="宋体" w:hAnsi="宋体" w:eastAsia="宋体" w:cs="宋体"/>
          <w:lang w:eastAsia="zh-CN"/>
        </w:rPr>
        <w:t>类中获得了更高的允许使用量。一种材料是</w:t>
      </w:r>
      <w:r>
        <w:rPr>
          <w:lang w:eastAsia="zh-CN"/>
        </w:rPr>
        <w:t>2-</w:t>
      </w:r>
      <w:r>
        <w:rPr>
          <w:rFonts w:hint="eastAsia"/>
          <w:lang w:eastAsia="zh-CN"/>
        </w:rPr>
        <w:t>（</w:t>
      </w:r>
      <w:r>
        <w:rPr>
          <w:rFonts w:hint="eastAsia" w:ascii="宋体" w:hAnsi="宋体" w:eastAsia="宋体" w:cs="宋体"/>
          <w:lang w:eastAsia="zh-CN"/>
        </w:rPr>
        <w:t>甲氨基）苯甲酸甲酯（</w:t>
      </w:r>
      <w:r>
        <w:rPr>
          <w:lang w:eastAsia="zh-CN"/>
        </w:rPr>
        <w:t>CAS 85-91-6</w:t>
      </w:r>
      <w:r>
        <w:rPr>
          <w:rFonts w:hint="eastAsia" w:ascii="宋体" w:hAnsi="宋体" w:eastAsia="宋体" w:cs="宋体"/>
          <w:lang w:eastAsia="zh-CN"/>
        </w:rPr>
        <w:t>），是修订标准咨询的一部分，将根据结果实施修订部分。至于另一种受影响的材料，即孔雀草和小万寿菊精油和净油，鉴于现行标准的变化实际上只是增加了一个类别（第</w:t>
      </w:r>
      <w:r>
        <w:rPr>
          <w:lang w:eastAsia="zh-CN"/>
        </w:rPr>
        <w:t>6</w:t>
      </w:r>
      <w:r>
        <w:rPr>
          <w:rFonts w:hint="eastAsia" w:ascii="宋体" w:hAnsi="宋体" w:eastAsia="宋体" w:cs="宋体"/>
          <w:lang w:eastAsia="zh-CN"/>
        </w:rPr>
        <w:t>类）的允许使用量，因此没有为这种材料提供新的实施时间表，以防混淆。更多详情见第</w:t>
      </w:r>
      <w:r>
        <w:rPr>
          <w:lang w:eastAsia="zh-CN"/>
        </w:rPr>
        <w:t>2.6</w:t>
      </w:r>
      <w:r>
        <w:rPr>
          <w:rFonts w:hint="eastAsia" w:ascii="宋体" w:hAnsi="宋体" w:eastAsia="宋体" w:cs="宋体"/>
          <w:lang w:eastAsia="zh-CN"/>
        </w:rPr>
        <w:t>节和第</w:t>
      </w:r>
      <w:r>
        <w:rPr>
          <w:lang w:eastAsia="zh-CN"/>
        </w:rPr>
        <w:t>3.6</w:t>
      </w:r>
      <w:r>
        <w:rPr>
          <w:rFonts w:hint="eastAsia" w:ascii="宋体" w:hAnsi="宋体" w:eastAsia="宋体" w:cs="宋体"/>
          <w:lang w:eastAsia="zh-CN"/>
        </w:rPr>
        <w:t>节。</w:t>
      </w:r>
    </w:p>
    <w:p w14:paraId="278E5A5C">
      <w:pPr>
        <w:pStyle w:val="4"/>
        <w:spacing w:before="58" w:line="300" w:lineRule="auto"/>
        <w:ind w:left="142" w:right="698"/>
        <w:jc w:val="both"/>
        <w:rPr>
          <w:lang w:eastAsia="zh-CN"/>
        </w:rPr>
      </w:pPr>
      <w:r>
        <w:rPr>
          <w:rFonts w:hint="eastAsia" w:ascii="宋体" w:hAnsi="宋体" w:eastAsia="宋体" w:cs="宋体"/>
          <w:lang w:eastAsia="zh-CN"/>
        </w:rPr>
        <w:t>本信各部分将酌情详细说明实施时间表。</w:t>
      </w:r>
    </w:p>
    <w:p w14:paraId="1B2D4441">
      <w:pPr>
        <w:pStyle w:val="4"/>
        <w:spacing w:before="60" w:line="300" w:lineRule="auto"/>
        <w:ind w:left="142" w:right="699"/>
        <w:jc w:val="both"/>
        <w:rPr>
          <w:lang w:eastAsia="zh-CN"/>
        </w:rPr>
      </w:pPr>
      <w:r>
        <w:rPr>
          <w:rFonts w:hint="eastAsia" w:ascii="宋体" w:hAnsi="宋体" w:eastAsia="宋体" w:cs="宋体"/>
          <w:lang w:eastAsia="zh-CN"/>
        </w:rPr>
        <w:t>现有日用香精是指目前已销售的香精，或已在规定消费品中进行过性能评估的香精。允许遵守新标准或修订标准的期限仅适用于该化合物在该规定消费品中的使用。</w:t>
      </w:r>
    </w:p>
    <w:p w14:paraId="32A03A5F">
      <w:pPr>
        <w:pStyle w:val="4"/>
        <w:spacing w:before="60" w:line="300" w:lineRule="auto"/>
        <w:ind w:left="142" w:right="696"/>
        <w:jc w:val="both"/>
        <w:rPr>
          <w:lang w:eastAsia="zh-CN"/>
        </w:rPr>
      </w:pPr>
      <w:r>
        <w:rPr>
          <w:rFonts w:hint="eastAsia" w:ascii="宋体" w:hAnsi="宋体" w:eastAsia="宋体" w:cs="宋体"/>
          <w:lang w:eastAsia="zh-CN"/>
        </w:rPr>
        <w:t>新日用香精的定义是，在整个供应链信息交流期（即更新信息技术系统、香精商之间的双边信息交流以及香精商与客户之间的信息交流共</w:t>
      </w:r>
      <w:r>
        <w:rPr>
          <w:lang w:eastAsia="zh-CN"/>
        </w:rPr>
        <w:t xml:space="preserve"> 7 </w:t>
      </w:r>
      <w:r>
        <w:rPr>
          <w:rFonts w:hint="eastAsia" w:ascii="宋体" w:hAnsi="宋体" w:eastAsia="宋体" w:cs="宋体"/>
          <w:lang w:eastAsia="zh-CN"/>
        </w:rPr>
        <w:t>个月）结束后，已发布简要说明的任何日用香精。</w:t>
      </w:r>
    </w:p>
    <w:p w14:paraId="66079E82">
      <w:pPr>
        <w:jc w:val="both"/>
        <w:rPr>
          <w:lang w:eastAsia="zh-CN"/>
        </w:rPr>
        <w:sectPr>
          <w:footerReference r:id="rId9" w:type="first"/>
          <w:headerReference r:id="rId6" w:type="default"/>
          <w:footerReference r:id="rId7" w:type="default"/>
          <w:footerReference r:id="rId8" w:type="even"/>
          <w:pgSz w:w="11910" w:h="16840"/>
          <w:pgMar w:top="1500" w:right="20" w:bottom="980" w:left="580" w:header="432" w:footer="781" w:gutter="0"/>
          <w:pgNumType w:start="2"/>
          <w:cols w:space="720" w:num="1"/>
        </w:sectPr>
      </w:pPr>
    </w:p>
    <w:p w14:paraId="463A1FE1">
      <w:pPr>
        <w:pStyle w:val="4"/>
        <w:spacing w:before="3"/>
        <w:rPr>
          <w:sz w:val="16"/>
          <w:lang w:eastAsia="zh-CN"/>
        </w:rPr>
      </w:pPr>
    </w:p>
    <w:p w14:paraId="3EE5E6A3">
      <w:pPr>
        <w:pStyle w:val="4"/>
        <w:spacing w:before="4"/>
        <w:rPr>
          <w:sz w:val="32"/>
          <w:lang w:eastAsia="zh-CN"/>
        </w:rPr>
      </w:pPr>
    </w:p>
    <w:p w14:paraId="14CDC446">
      <w:pPr>
        <w:pStyle w:val="4"/>
        <w:spacing w:line="300" w:lineRule="auto"/>
        <w:ind w:left="140" w:right="694"/>
        <w:jc w:val="both"/>
        <w:rPr>
          <w:lang w:eastAsia="zh-CN"/>
        </w:rPr>
      </w:pPr>
      <w:r>
        <w:rPr>
          <w:rFonts w:hint="eastAsia" w:ascii="宋体" w:hAnsi="宋体" w:eastAsia="宋体" w:cs="宋体"/>
          <w:lang w:eastAsia="zh-CN"/>
        </w:rPr>
        <w:t>符合</w:t>
      </w:r>
      <w:r>
        <w:rPr>
          <w:lang w:eastAsia="zh-CN"/>
        </w:rPr>
        <w:t xml:space="preserve"> IFRA </w:t>
      </w:r>
      <w:r>
        <w:rPr>
          <w:rFonts w:hint="eastAsia" w:ascii="宋体" w:hAnsi="宋体" w:eastAsia="宋体" w:cs="宋体"/>
          <w:lang w:eastAsia="zh-CN"/>
        </w:rPr>
        <w:t>修订案的日期与香精投放市场的日期一致，即离开香精</w:t>
      </w:r>
      <w:r>
        <w:rPr>
          <w:rFonts w:hint="eastAsia" w:ascii="宋体" w:hAnsi="宋体" w:eastAsia="宋体" w:cs="宋体"/>
          <w:lang w:val="en-US" w:eastAsia="zh-CN"/>
        </w:rPr>
        <w:t>商</w:t>
      </w:r>
      <w:r>
        <w:rPr>
          <w:rFonts w:hint="eastAsia" w:ascii="宋体" w:hAnsi="宋体" w:eastAsia="宋体" w:cs="宋体"/>
          <w:lang w:eastAsia="zh-CN"/>
        </w:rPr>
        <w:t>的日期。从文件的角度来看，以下日期应被视为最早日期：发货日期或开发票日期。</w:t>
      </w:r>
    </w:p>
    <w:p w14:paraId="34EF68BA">
      <w:pPr>
        <w:pStyle w:val="4"/>
        <w:spacing w:before="4" w:line="300" w:lineRule="auto"/>
        <w:rPr>
          <w:sz w:val="32"/>
          <w:lang w:eastAsia="zh-CN"/>
        </w:rPr>
      </w:pPr>
    </w:p>
    <w:p w14:paraId="5F91835B">
      <w:pPr>
        <w:pStyle w:val="2"/>
        <w:spacing w:line="300" w:lineRule="auto"/>
        <w:ind w:left="140" w:right="698" w:firstLine="0"/>
        <w:jc w:val="both"/>
        <w:rPr>
          <w:b w:val="0"/>
        </w:rPr>
      </w:pPr>
      <w:r>
        <w:rPr>
          <w:rFonts w:hint="eastAsia" w:ascii="宋体" w:hAnsi="宋体" w:eastAsia="宋体" w:cs="宋体"/>
          <w:lang w:eastAsia="zh-CN"/>
        </w:rPr>
        <w:t>请</w:t>
      </w:r>
      <w:r>
        <w:rPr>
          <w:lang w:eastAsia="zh-CN"/>
        </w:rPr>
        <w:t xml:space="preserve"> IFRA </w:t>
      </w:r>
      <w:r>
        <w:rPr>
          <w:rFonts w:hint="eastAsia" w:ascii="宋体" w:hAnsi="宋体" w:eastAsia="宋体" w:cs="宋体"/>
          <w:lang w:eastAsia="zh-CN"/>
        </w:rPr>
        <w:t>成员协会立即将此信息分发给各自的会员。</w:t>
      </w:r>
    </w:p>
    <w:p w14:paraId="6C692774">
      <w:pPr>
        <w:pStyle w:val="4"/>
        <w:spacing w:before="8" w:line="620" w:lineRule="atLeast"/>
        <w:ind w:left="140" w:right="7078"/>
        <w:rPr>
          <w:rFonts w:hint="eastAsia" w:ascii="宋体" w:hAnsi="宋体" w:eastAsia="宋体" w:cs="宋体"/>
          <w:lang w:eastAsia="zh-CN"/>
        </w:rPr>
      </w:pPr>
      <w:r>
        <w:rPr>
          <w:rFonts w:hint="eastAsia" w:ascii="宋体" w:hAnsi="宋体" w:eastAsia="宋体" w:cs="宋体"/>
          <w:lang w:eastAsia="zh-CN"/>
        </w:rPr>
        <w:t>非常感谢你们的协助</w:t>
      </w:r>
    </w:p>
    <w:p w14:paraId="191B6E7A">
      <w:pPr>
        <w:pStyle w:val="4"/>
        <w:spacing w:before="8" w:line="620" w:lineRule="atLeast"/>
        <w:ind w:left="140" w:right="7078"/>
      </w:pPr>
      <w:r>
        <w:t xml:space="preserve"> Dr. Matthias Vey</w:t>
      </w:r>
    </w:p>
    <w:p w14:paraId="4C69EFFF">
      <w:pPr>
        <w:pStyle w:val="4"/>
        <w:spacing w:before="66"/>
        <w:ind w:left="140"/>
      </w:pPr>
      <w:r>
        <w:t>IFRA VP Scientific Affairs</w:t>
      </w:r>
      <w:r>
        <w:rPr>
          <w:rFonts w:hint="eastAsia" w:ascii="宋体" w:hAnsi="宋体" w:eastAsia="宋体" w:cs="宋体"/>
          <w:lang w:eastAsia="zh-CN"/>
        </w:rPr>
        <w:t>科学事务副总裁</w:t>
      </w:r>
    </w:p>
    <w:p w14:paraId="1C292FFB">
      <w:pPr>
        <w:sectPr>
          <w:pgSz w:w="11910" w:h="16840"/>
          <w:pgMar w:top="1500" w:right="20" w:bottom="980" w:left="580" w:header="432" w:footer="781" w:gutter="0"/>
          <w:cols w:space="720" w:num="1"/>
        </w:sectPr>
      </w:pPr>
    </w:p>
    <w:p w14:paraId="192114AC">
      <w:pPr>
        <w:pStyle w:val="4"/>
        <w:spacing w:before="3"/>
        <w:rPr>
          <w:sz w:val="16"/>
        </w:rPr>
      </w:pPr>
    </w:p>
    <w:p w14:paraId="2522CFB8">
      <w:pPr>
        <w:pStyle w:val="2"/>
        <w:spacing w:before="94"/>
        <w:ind w:left="140" w:firstLine="0"/>
      </w:pPr>
      <w:r>
        <w:rPr>
          <w:rFonts w:hint="eastAsia" w:ascii="宋体" w:hAnsi="宋体" w:eastAsia="宋体" w:cs="宋体"/>
          <w:lang w:eastAsia="zh-CN"/>
        </w:rPr>
        <w:t>目录</w:t>
      </w:r>
    </w:p>
    <w:sdt>
      <w:sdtPr>
        <w:id w:val="816537222"/>
        <w:docPartObj>
          <w:docPartGallery w:val="Table of Contents"/>
          <w:docPartUnique/>
        </w:docPartObj>
      </w:sdtPr>
      <w:sdtContent>
        <w:p w14:paraId="43879964">
          <w:pPr>
            <w:pStyle w:val="8"/>
            <w:numPr>
              <w:ilvl w:val="0"/>
              <w:numId w:val="2"/>
            </w:numPr>
            <w:tabs>
              <w:tab w:val="left" w:pos="579"/>
              <w:tab w:val="left" w:pos="580"/>
              <w:tab w:val="left" w:leader="dot" w:pos="10478"/>
            </w:tabs>
            <w:spacing w:before="40"/>
          </w:pPr>
          <w:r>
            <w:fldChar w:fldCharType="begin"/>
          </w:r>
          <w:r>
            <w:instrText xml:space="preserve"> HYPERLINK \l "_bookmark0" </w:instrText>
          </w:r>
          <w:r>
            <w:fldChar w:fldCharType="separate"/>
          </w:r>
          <w:r>
            <w:rPr>
              <w:rFonts w:hint="eastAsia" w:ascii="宋体" w:hAnsi="宋体" w:eastAsia="宋体" w:cs="宋体"/>
              <w:lang w:eastAsia="zh-CN"/>
            </w:rPr>
            <w:t>概况</w:t>
          </w:r>
          <w:r>
            <w:rPr>
              <w:lang w:eastAsia="zh-CN"/>
            </w:rPr>
            <w:tab/>
          </w:r>
          <w:r>
            <w:rPr>
              <w:lang w:eastAsia="zh-CN"/>
            </w:rPr>
            <w:t>5</w:t>
          </w:r>
          <w:r>
            <w:rPr>
              <w:lang w:eastAsia="zh-CN"/>
            </w:rPr>
            <w:fldChar w:fldCharType="end"/>
          </w:r>
        </w:p>
        <w:p w14:paraId="4414591C">
          <w:pPr>
            <w:pStyle w:val="8"/>
            <w:numPr>
              <w:ilvl w:val="0"/>
              <w:numId w:val="2"/>
            </w:numPr>
            <w:tabs>
              <w:tab w:val="left" w:pos="579"/>
              <w:tab w:val="left" w:pos="580"/>
              <w:tab w:val="left" w:leader="dot" w:pos="10478"/>
            </w:tabs>
            <w:rPr>
              <w:lang w:eastAsia="zh-CN"/>
            </w:rPr>
          </w:pPr>
          <w:r>
            <w:rPr>
              <w:lang w:eastAsia="zh-CN"/>
            </w:rPr>
            <w:t>IFRA</w:t>
          </w:r>
          <w:r>
            <w:rPr>
              <w:rFonts w:hint="eastAsia" w:ascii="宋体" w:hAnsi="宋体" w:eastAsia="宋体" w:cs="宋体"/>
              <w:lang w:eastAsia="zh-CN"/>
            </w:rPr>
            <w:t>标准使用指南的相关变化</w:t>
          </w:r>
          <w:r>
            <w:fldChar w:fldCharType="begin"/>
          </w:r>
          <w:r>
            <w:instrText xml:space="preserve"> HYPERLINK \l "_bookmark1" </w:instrText>
          </w:r>
          <w:r>
            <w:fldChar w:fldCharType="separate"/>
          </w:r>
          <w:r>
            <w:rPr>
              <w:lang w:eastAsia="zh-CN"/>
            </w:rPr>
            <w:tab/>
          </w:r>
          <w:r>
            <w:rPr>
              <w:lang w:eastAsia="zh-CN"/>
            </w:rPr>
            <w:t>5</w:t>
          </w:r>
          <w:r>
            <w:rPr>
              <w:lang w:eastAsia="zh-CN"/>
            </w:rPr>
            <w:fldChar w:fldCharType="end"/>
          </w:r>
        </w:p>
        <w:p w14:paraId="5BAB6176">
          <w:pPr>
            <w:pStyle w:val="9"/>
            <w:numPr>
              <w:ilvl w:val="0"/>
              <w:numId w:val="2"/>
            </w:numPr>
            <w:tabs>
              <w:tab w:val="left" w:pos="579"/>
              <w:tab w:val="left" w:pos="580"/>
              <w:tab w:val="left" w:leader="dot" w:pos="10478"/>
            </w:tabs>
            <w:ind w:left="140" w:firstLine="0"/>
            <w:rPr>
              <w:lang w:eastAsia="zh-CN"/>
            </w:rPr>
          </w:pPr>
          <w:r>
            <w:rPr>
              <w:rFonts w:hint="eastAsia"/>
            </w:rPr>
            <w:fldChar w:fldCharType="begin"/>
          </w:r>
          <w:r>
            <w:rPr>
              <w:lang w:eastAsia="zh-CN"/>
            </w:rPr>
            <w:instrText xml:space="preserve"> HYPERLINK \l "_bookmark2" </w:instrText>
          </w:r>
          <w:r>
            <w:rPr>
              <w:rFonts w:hint="eastAsia"/>
            </w:rPr>
            <w:fldChar w:fldCharType="separate"/>
          </w:r>
          <w:r>
            <w:rPr>
              <w:rFonts w:hint="eastAsia" w:ascii="宋体" w:hAnsi="宋体" w:eastAsia="宋体" w:cs="宋体"/>
              <w:lang w:eastAsia="zh-CN"/>
            </w:rPr>
            <w:t>作为咨询一部分的材料，将发布与咨询内容不同的标准，或没有新标准或修订标准发布的情况</w:t>
          </w:r>
          <w:r>
            <w:rPr>
              <w:rFonts w:hint="eastAsia" w:ascii="宋体" w:hAnsi="宋体" w:eastAsia="宋体" w:cs="宋体"/>
              <w:lang w:eastAsia="zh-CN"/>
            </w:rPr>
            <w:fldChar w:fldCharType="end"/>
          </w:r>
          <w:r>
            <w:fldChar w:fldCharType="begin"/>
          </w:r>
          <w:r>
            <w:instrText xml:space="preserve"> HYPERLINK \l "_bookmark2" </w:instrText>
          </w:r>
          <w:r>
            <w:fldChar w:fldCharType="separate"/>
          </w:r>
          <w:r>
            <w:rPr>
              <w:lang w:eastAsia="zh-CN"/>
            </w:rPr>
            <w:tab/>
          </w:r>
          <w:r>
            <w:rPr>
              <w:spacing w:val="-17"/>
              <w:lang w:eastAsia="zh-CN"/>
            </w:rPr>
            <w:t>7</w:t>
          </w:r>
          <w:r>
            <w:rPr>
              <w:spacing w:val="-17"/>
              <w:lang w:eastAsia="zh-CN"/>
            </w:rPr>
            <w:fldChar w:fldCharType="end"/>
          </w:r>
        </w:p>
        <w:p w14:paraId="58C6C0FC">
          <w:pPr>
            <w:pStyle w:val="8"/>
            <w:numPr>
              <w:ilvl w:val="0"/>
              <w:numId w:val="2"/>
            </w:numPr>
            <w:tabs>
              <w:tab w:val="left" w:pos="579"/>
              <w:tab w:val="left" w:pos="580"/>
              <w:tab w:val="left" w:leader="dot" w:pos="10478"/>
            </w:tabs>
            <w:spacing w:before="94"/>
            <w:rPr>
              <w:lang w:eastAsia="zh-CN"/>
            </w:rPr>
          </w:pPr>
          <w:r>
            <w:fldChar w:fldCharType="begin"/>
          </w:r>
          <w:r>
            <w:instrText xml:space="preserve"> HYPERLINK \l "_bookmark3" </w:instrText>
          </w:r>
          <w:r>
            <w:fldChar w:fldCharType="separate"/>
          </w:r>
          <w:r>
            <w:rPr>
              <w:rFonts w:hint="eastAsia" w:ascii="宋体" w:hAnsi="宋体" w:eastAsia="宋体" w:cs="宋体"/>
              <w:lang w:eastAsia="zh-CN"/>
            </w:rPr>
            <w:t>第</w:t>
          </w:r>
          <w:r>
            <w:rPr>
              <w:lang w:eastAsia="zh-CN"/>
            </w:rPr>
            <w:t xml:space="preserve"> 51 </w:t>
          </w:r>
          <w:r>
            <w:rPr>
              <w:rFonts w:hint="eastAsia" w:ascii="宋体" w:hAnsi="宋体" w:eastAsia="宋体" w:cs="宋体"/>
              <w:lang w:eastAsia="zh-CN"/>
            </w:rPr>
            <w:t>次修订通知的新标准清单</w:t>
          </w:r>
          <w:r>
            <w:rPr>
              <w:lang w:eastAsia="zh-CN"/>
            </w:rPr>
            <w:tab/>
          </w:r>
          <w:r>
            <w:rPr>
              <w:lang w:eastAsia="zh-CN"/>
            </w:rPr>
            <w:t>8</w:t>
          </w:r>
          <w:r>
            <w:rPr>
              <w:lang w:eastAsia="zh-CN"/>
            </w:rPr>
            <w:fldChar w:fldCharType="end"/>
          </w:r>
        </w:p>
        <w:p w14:paraId="5BE66A92">
          <w:pPr>
            <w:pStyle w:val="5"/>
            <w:numPr>
              <w:ilvl w:val="1"/>
              <w:numId w:val="2"/>
            </w:numPr>
            <w:tabs>
              <w:tab w:val="left" w:pos="1239"/>
              <w:tab w:val="left" w:pos="1240"/>
              <w:tab w:val="left" w:leader="dot" w:pos="10478"/>
            </w:tabs>
            <w:rPr>
              <w:lang w:eastAsia="zh-CN"/>
            </w:rPr>
          </w:pPr>
          <w:r>
            <w:fldChar w:fldCharType="begin"/>
          </w:r>
          <w:r>
            <w:instrText xml:space="preserve"> HYPERLINK \l "_bookmark4" </w:instrText>
          </w:r>
          <w:r>
            <w:fldChar w:fldCharType="separate"/>
          </w:r>
          <w:r>
            <w:rPr>
              <w:lang w:eastAsia="zh-CN"/>
            </w:rPr>
            <w:t>1</w:t>
          </w:r>
          <w:r>
            <w:rPr>
              <w:rFonts w:hint="eastAsia" w:ascii="宋体" w:hAnsi="宋体" w:eastAsia="宋体" w:cs="宋体"/>
              <w:lang w:eastAsia="zh-CN"/>
            </w:rPr>
            <w:t>项新的</w:t>
          </w:r>
          <w:r>
            <w:rPr>
              <w:lang w:eastAsia="zh-CN"/>
            </w:rPr>
            <w:t xml:space="preserve"> IFRA </w:t>
          </w:r>
          <w:r>
            <w:rPr>
              <w:rFonts w:hint="eastAsia" w:ascii="宋体" w:hAnsi="宋体" w:eastAsia="宋体" w:cs="宋体"/>
              <w:lang w:eastAsia="zh-CN"/>
            </w:rPr>
            <w:t>限制规格标准</w:t>
          </w:r>
          <w:r>
            <w:rPr>
              <w:lang w:eastAsia="zh-CN"/>
            </w:rPr>
            <w:tab/>
          </w:r>
          <w:r>
            <w:rPr>
              <w:lang w:eastAsia="zh-CN"/>
            </w:rPr>
            <w:t>8</w:t>
          </w:r>
          <w:r>
            <w:rPr>
              <w:lang w:eastAsia="zh-CN"/>
            </w:rPr>
            <w:fldChar w:fldCharType="end"/>
          </w:r>
        </w:p>
        <w:p w14:paraId="319359E0">
          <w:pPr>
            <w:pStyle w:val="5"/>
            <w:numPr>
              <w:ilvl w:val="1"/>
              <w:numId w:val="2"/>
            </w:numPr>
            <w:tabs>
              <w:tab w:val="left" w:pos="1239"/>
              <w:tab w:val="left" w:pos="1240"/>
              <w:tab w:val="left" w:leader="dot" w:pos="10478"/>
            </w:tabs>
            <w:rPr>
              <w:lang w:eastAsia="zh-CN"/>
            </w:rPr>
          </w:pPr>
          <w:r>
            <w:fldChar w:fldCharType="begin"/>
          </w:r>
          <w:r>
            <w:instrText xml:space="preserve"> HYPERLINK \l "_bookmark5" </w:instrText>
          </w:r>
          <w:r>
            <w:fldChar w:fldCharType="separate"/>
          </w:r>
          <w:r>
            <w:rPr>
              <w:lang w:eastAsia="zh-CN"/>
            </w:rPr>
            <w:t>32</w:t>
          </w:r>
          <w:r>
            <w:rPr>
              <w:rFonts w:hint="eastAsia" w:ascii="宋体" w:hAnsi="宋体" w:eastAsia="宋体" w:cs="宋体"/>
              <w:lang w:eastAsia="zh-CN"/>
            </w:rPr>
            <w:t>项新的基于皮肤致敏和全身毒性的</w:t>
          </w:r>
          <w:r>
            <w:rPr>
              <w:lang w:eastAsia="zh-CN"/>
            </w:rPr>
            <w:t xml:space="preserve">IFRA </w:t>
          </w:r>
          <w:r>
            <w:rPr>
              <w:rFonts w:hint="eastAsia" w:ascii="宋体" w:hAnsi="宋体" w:eastAsia="宋体" w:cs="宋体"/>
              <w:lang w:eastAsia="zh-CN"/>
            </w:rPr>
            <w:t>限制标准</w:t>
          </w:r>
          <w:r>
            <w:rPr>
              <w:lang w:eastAsia="zh-CN"/>
            </w:rPr>
            <w:tab/>
          </w:r>
          <w:r>
            <w:rPr>
              <w:lang w:eastAsia="zh-CN"/>
            </w:rPr>
            <w:t>8</w:t>
          </w:r>
          <w:r>
            <w:rPr>
              <w:lang w:eastAsia="zh-CN"/>
            </w:rPr>
            <w:fldChar w:fldCharType="end"/>
          </w:r>
        </w:p>
        <w:p w14:paraId="7CEBC35C">
          <w:pPr>
            <w:pStyle w:val="5"/>
            <w:numPr>
              <w:ilvl w:val="1"/>
              <w:numId w:val="2"/>
            </w:numPr>
            <w:tabs>
              <w:tab w:val="left" w:pos="1239"/>
              <w:tab w:val="left" w:pos="1240"/>
              <w:tab w:val="left" w:leader="dot" w:pos="10356"/>
            </w:tabs>
            <w:spacing w:before="102"/>
            <w:ind w:left="800" w:right="696" w:firstLine="0"/>
            <w:rPr>
              <w:lang w:eastAsia="zh-CN"/>
            </w:rPr>
          </w:pPr>
          <w:r>
            <w:fldChar w:fldCharType="begin"/>
          </w:r>
          <w:r>
            <w:instrText xml:space="preserve"> HYPERLINK \l "_bookmark6" </w:instrText>
          </w:r>
          <w:r>
            <w:fldChar w:fldCharType="separate"/>
          </w:r>
          <w:r>
            <w:rPr>
              <w:lang w:eastAsia="zh-CN"/>
            </w:rPr>
            <w:t>11</w:t>
          </w:r>
          <w:r>
            <w:rPr>
              <w:rFonts w:hint="eastAsia" w:ascii="宋体" w:hAnsi="宋体" w:eastAsia="宋体" w:cs="宋体"/>
              <w:lang w:eastAsia="zh-CN"/>
            </w:rPr>
            <w:t>项新的完全基于</w:t>
          </w:r>
          <w:r>
            <w:rPr>
              <w:lang w:eastAsia="zh-CN"/>
            </w:rPr>
            <w:t xml:space="preserve"> QRA2 </w:t>
          </w:r>
          <w:r>
            <w:rPr>
              <w:rFonts w:hint="eastAsia" w:ascii="宋体" w:hAnsi="宋体" w:eastAsia="宋体" w:cs="宋体"/>
              <w:lang w:eastAsia="zh-CN"/>
            </w:rPr>
            <w:t>来控制潜在的皮肤致敏效应的</w:t>
          </w:r>
          <w:r>
            <w:rPr>
              <w:lang w:eastAsia="zh-CN"/>
            </w:rPr>
            <w:t>IFRA</w:t>
          </w:r>
          <w:r>
            <w:rPr>
              <w:rFonts w:hint="eastAsia" w:ascii="宋体" w:hAnsi="宋体" w:eastAsia="宋体" w:cs="宋体"/>
              <w:lang w:eastAsia="zh-CN"/>
            </w:rPr>
            <w:t>限制标准</w:t>
          </w:r>
          <w:r>
            <w:rPr>
              <w:rFonts w:hint="eastAsia" w:ascii="宋体" w:hAnsi="宋体" w:eastAsia="宋体" w:cs="宋体"/>
              <w:lang w:eastAsia="zh-CN"/>
            </w:rPr>
            <w:fldChar w:fldCharType="end"/>
          </w:r>
          <w:r>
            <w:fldChar w:fldCharType="begin"/>
          </w:r>
          <w:r>
            <w:instrText xml:space="preserve"> HYPERLINK \l "_bookmark6" </w:instrText>
          </w:r>
          <w:r>
            <w:fldChar w:fldCharType="separate"/>
          </w:r>
          <w:r>
            <w:rPr>
              <w:lang w:eastAsia="zh-CN"/>
            </w:rPr>
            <w:tab/>
          </w:r>
          <w:r>
            <w:rPr>
              <w:lang w:eastAsia="zh-CN"/>
            </w:rPr>
            <w:t>10</w:t>
          </w:r>
          <w:r>
            <w:rPr>
              <w:lang w:eastAsia="zh-CN"/>
            </w:rPr>
            <w:fldChar w:fldCharType="end"/>
          </w:r>
        </w:p>
        <w:p w14:paraId="7BB28A38">
          <w:pPr>
            <w:pStyle w:val="5"/>
            <w:numPr>
              <w:ilvl w:val="1"/>
              <w:numId w:val="2"/>
            </w:numPr>
            <w:tabs>
              <w:tab w:val="left" w:pos="1239"/>
              <w:tab w:val="left" w:pos="1240"/>
              <w:tab w:val="left" w:leader="dot" w:pos="10356"/>
            </w:tabs>
            <w:rPr>
              <w:lang w:eastAsia="zh-CN"/>
            </w:rPr>
          </w:pPr>
          <w:r>
            <w:fldChar w:fldCharType="begin"/>
          </w:r>
          <w:r>
            <w:instrText xml:space="preserve"> HYPERLINK \l "_bookmark7" </w:instrText>
          </w:r>
          <w:r>
            <w:fldChar w:fldCharType="separate"/>
          </w:r>
          <w:r>
            <w:rPr>
              <w:lang w:eastAsia="zh-CN"/>
            </w:rPr>
            <w:t>2</w:t>
          </w:r>
          <w:r>
            <w:rPr>
              <w:rFonts w:hint="eastAsia" w:ascii="宋体" w:hAnsi="宋体" w:eastAsia="宋体" w:cs="宋体"/>
              <w:lang w:eastAsia="zh-CN"/>
            </w:rPr>
            <w:t>项新的基于毒理学关注阈值（</w:t>
          </w:r>
          <w:r>
            <w:rPr>
              <w:rFonts w:hint="default" w:ascii="Arial" w:hAnsi="Arial" w:eastAsia="Arial" w:cs="Arial"/>
              <w:lang w:eastAsia="zh-CN"/>
            </w:rPr>
            <w:t>TTC</w:t>
          </w:r>
          <w:r>
            <w:rPr>
              <w:rFonts w:hint="eastAsia" w:ascii="宋体" w:hAnsi="宋体" w:eastAsia="宋体" w:cs="宋体"/>
              <w:lang w:eastAsia="zh-CN"/>
            </w:rPr>
            <w:t>）进行风险管理的</w:t>
          </w:r>
          <w:r>
            <w:rPr>
              <w:lang w:eastAsia="zh-CN"/>
            </w:rPr>
            <w:t>IFRA</w:t>
          </w:r>
          <w:r>
            <w:rPr>
              <w:rFonts w:hint="eastAsia" w:ascii="宋体" w:hAnsi="宋体" w:eastAsia="宋体" w:cs="宋体"/>
              <w:lang w:eastAsia="zh-CN"/>
            </w:rPr>
            <w:t>限制标准</w:t>
          </w:r>
          <w:r>
            <w:rPr>
              <w:lang w:eastAsia="zh-CN"/>
            </w:rPr>
            <w:tab/>
          </w:r>
          <w:r>
            <w:rPr>
              <w:lang w:eastAsia="zh-CN"/>
            </w:rPr>
            <w:t>10</w:t>
          </w:r>
          <w:r>
            <w:rPr>
              <w:lang w:eastAsia="zh-CN"/>
            </w:rPr>
            <w:fldChar w:fldCharType="end"/>
          </w:r>
        </w:p>
        <w:p w14:paraId="0B6D7278">
          <w:pPr>
            <w:pStyle w:val="5"/>
            <w:numPr>
              <w:ilvl w:val="1"/>
              <w:numId w:val="2"/>
            </w:numPr>
            <w:tabs>
              <w:tab w:val="left" w:pos="1239"/>
              <w:tab w:val="left" w:pos="1240"/>
              <w:tab w:val="left" w:leader="dot" w:pos="10356"/>
            </w:tabs>
            <w:spacing w:before="99"/>
            <w:rPr>
              <w:lang w:eastAsia="zh-CN"/>
            </w:rPr>
          </w:pPr>
          <w:r>
            <w:fldChar w:fldCharType="begin"/>
          </w:r>
          <w:r>
            <w:rPr>
              <w:lang w:eastAsia="zh-CN"/>
            </w:rPr>
            <w:instrText xml:space="preserve"> HYPERLINK \l "_bookmark8" </w:instrText>
          </w:r>
          <w:r>
            <w:fldChar w:fldCharType="separate"/>
          </w:r>
          <w:r>
            <w:rPr>
              <w:lang w:eastAsia="zh-CN"/>
            </w:rPr>
            <w:t>1</w:t>
          </w:r>
          <w:r>
            <w:rPr>
              <w:rFonts w:hint="eastAsia" w:ascii="宋体" w:hAnsi="宋体" w:eastAsia="宋体" w:cs="宋体"/>
              <w:lang w:eastAsia="zh-CN"/>
            </w:rPr>
            <w:t>项新的可能导致皮肤脱色的</w:t>
          </w:r>
          <w:r>
            <w:rPr>
              <w:lang w:eastAsia="zh-CN"/>
            </w:rPr>
            <w:t>IFRA</w:t>
          </w:r>
          <w:r>
            <w:rPr>
              <w:rFonts w:hint="eastAsia" w:ascii="宋体" w:hAnsi="宋体" w:eastAsia="宋体" w:cs="宋体"/>
              <w:lang w:eastAsia="zh-CN"/>
            </w:rPr>
            <w:t>限制标准</w:t>
          </w:r>
          <w:r>
            <w:rPr>
              <w:lang w:eastAsia="zh-CN"/>
            </w:rPr>
            <w:tab/>
          </w:r>
          <w:r>
            <w:rPr>
              <w:lang w:eastAsia="zh-CN"/>
            </w:rPr>
            <w:t>10</w:t>
          </w:r>
          <w:r>
            <w:rPr>
              <w:lang w:eastAsia="zh-CN"/>
            </w:rPr>
            <w:fldChar w:fldCharType="end"/>
          </w:r>
        </w:p>
        <w:p w14:paraId="00CD1D45">
          <w:pPr>
            <w:pStyle w:val="5"/>
            <w:numPr>
              <w:ilvl w:val="1"/>
              <w:numId w:val="2"/>
            </w:numPr>
            <w:tabs>
              <w:tab w:val="left" w:pos="1239"/>
              <w:tab w:val="left" w:pos="1240"/>
              <w:tab w:val="left" w:leader="dot" w:pos="10356"/>
            </w:tabs>
            <w:rPr>
              <w:lang w:eastAsia="zh-CN"/>
            </w:rPr>
          </w:pPr>
          <w:r>
            <w:fldChar w:fldCharType="begin"/>
          </w:r>
          <w:r>
            <w:instrText xml:space="preserve"> HYPERLINK \l "_bookmark9" </w:instrText>
          </w:r>
          <w:r>
            <w:fldChar w:fldCharType="separate"/>
          </w:r>
          <w:r>
            <w:rPr>
              <w:lang w:eastAsia="zh-CN"/>
            </w:rPr>
            <w:t>1</w:t>
          </w:r>
          <w:r>
            <w:rPr>
              <w:rFonts w:hint="eastAsia" w:ascii="宋体" w:hAnsi="宋体" w:eastAsia="宋体" w:cs="宋体"/>
              <w:lang w:eastAsia="zh-CN"/>
            </w:rPr>
            <w:t>项新的由于潜在的遗传毒性影响的</w:t>
          </w:r>
          <w:r>
            <w:rPr>
              <w:lang w:eastAsia="zh-CN"/>
            </w:rPr>
            <w:t>IFRA</w:t>
          </w:r>
          <w:r>
            <w:rPr>
              <w:rFonts w:hint="eastAsia" w:ascii="宋体" w:hAnsi="宋体" w:eastAsia="宋体" w:cs="宋体"/>
              <w:lang w:eastAsia="zh-CN"/>
            </w:rPr>
            <w:t>禁用标准</w:t>
          </w:r>
          <w:r>
            <w:rPr>
              <w:lang w:eastAsia="zh-CN"/>
            </w:rPr>
            <w:tab/>
          </w:r>
          <w:r>
            <w:rPr>
              <w:lang w:eastAsia="zh-CN"/>
            </w:rPr>
            <w:t>11</w:t>
          </w:r>
          <w:r>
            <w:rPr>
              <w:lang w:eastAsia="zh-CN"/>
            </w:rPr>
            <w:fldChar w:fldCharType="end"/>
          </w:r>
        </w:p>
        <w:p w14:paraId="57E891F8">
          <w:pPr>
            <w:pStyle w:val="8"/>
            <w:numPr>
              <w:ilvl w:val="0"/>
              <w:numId w:val="2"/>
            </w:numPr>
            <w:tabs>
              <w:tab w:val="left" w:pos="579"/>
              <w:tab w:val="left" w:pos="580"/>
              <w:tab w:val="left" w:leader="dot" w:pos="10356"/>
            </w:tabs>
            <w:spacing w:before="95"/>
            <w:rPr>
              <w:lang w:eastAsia="zh-CN"/>
            </w:rPr>
          </w:pPr>
          <w:r>
            <w:fldChar w:fldCharType="begin"/>
          </w:r>
          <w:r>
            <w:instrText xml:space="preserve"> HYPERLINK \l "_bookmark10" </w:instrText>
          </w:r>
          <w:r>
            <w:fldChar w:fldCharType="separate"/>
          </w:r>
          <w:r>
            <w:rPr>
              <w:rFonts w:hint="eastAsia" w:ascii="宋体" w:hAnsi="宋体" w:eastAsia="宋体" w:cs="宋体"/>
              <w:lang w:eastAsia="zh-CN"/>
            </w:rPr>
            <w:t>第</w:t>
          </w:r>
          <w:r>
            <w:rPr>
              <w:lang w:eastAsia="zh-CN"/>
            </w:rPr>
            <w:t xml:space="preserve"> 51 </w:t>
          </w:r>
          <w:r>
            <w:rPr>
              <w:rFonts w:hint="eastAsia" w:ascii="宋体" w:hAnsi="宋体" w:eastAsia="宋体" w:cs="宋体"/>
              <w:lang w:eastAsia="zh-CN"/>
            </w:rPr>
            <w:t>次修订的修订标准清单</w:t>
          </w:r>
          <w:r>
            <w:rPr>
              <w:lang w:eastAsia="zh-CN"/>
            </w:rPr>
            <w:tab/>
          </w:r>
          <w:r>
            <w:rPr>
              <w:lang w:eastAsia="zh-CN"/>
            </w:rPr>
            <w:t>11</w:t>
          </w:r>
          <w:r>
            <w:rPr>
              <w:lang w:eastAsia="zh-CN"/>
            </w:rPr>
            <w:fldChar w:fldCharType="end"/>
          </w:r>
        </w:p>
        <w:p w14:paraId="1034AFE3">
          <w:pPr>
            <w:pStyle w:val="5"/>
            <w:numPr>
              <w:ilvl w:val="1"/>
              <w:numId w:val="2"/>
            </w:numPr>
            <w:tabs>
              <w:tab w:val="left" w:pos="1239"/>
              <w:tab w:val="left" w:pos="1240"/>
              <w:tab w:val="left" w:leader="dot" w:pos="10356"/>
            </w:tabs>
            <w:ind w:left="800" w:right="695" w:firstLine="0"/>
            <w:rPr>
              <w:lang w:eastAsia="zh-CN"/>
            </w:rPr>
          </w:pPr>
          <w:r>
            <w:fldChar w:fldCharType="begin"/>
          </w:r>
          <w:r>
            <w:rPr>
              <w:lang w:eastAsia="zh-CN"/>
            </w:rPr>
            <w:instrText xml:space="preserve">HYPERLINK \l "_bookmark11"</w:instrText>
          </w:r>
          <w:r>
            <w:fldChar w:fldCharType="separate"/>
          </w:r>
          <w:r>
            <w:rPr>
              <w:lang w:eastAsia="zh-CN"/>
            </w:rPr>
            <w:tab/>
          </w:r>
          <w:r>
            <w:rPr>
              <w:rFonts w:hint="eastAsia" w:ascii="宋体" w:hAnsi="宋体" w:eastAsia="宋体" w:cs="宋体"/>
              <w:lang w:eastAsia="zh-CN"/>
            </w:rPr>
            <w:t>修订了</w:t>
          </w:r>
          <w:r>
            <w:rPr>
              <w:lang w:eastAsia="zh-CN"/>
            </w:rPr>
            <w:t>7</w:t>
          </w:r>
          <w:r>
            <w:rPr>
              <w:rFonts w:hint="eastAsia" w:ascii="宋体" w:hAnsi="宋体" w:eastAsia="宋体" w:cs="宋体"/>
              <w:lang w:eastAsia="zh-CN"/>
            </w:rPr>
            <w:t>项控制潜在皮肤致敏作用的</w:t>
          </w:r>
          <w:r>
            <w:rPr>
              <w:lang w:eastAsia="zh-CN"/>
            </w:rPr>
            <w:t xml:space="preserve">IFRA </w:t>
          </w:r>
          <w:r>
            <w:rPr>
              <w:rFonts w:hint="eastAsia" w:ascii="宋体" w:hAnsi="宋体" w:eastAsia="宋体" w:cs="宋体"/>
              <w:lang w:eastAsia="zh-CN"/>
            </w:rPr>
            <w:t>限制标准，目前已对系统毒性终点进行了评估</w:t>
          </w:r>
          <w:r>
            <w:rPr>
              <w:rFonts w:ascii="宋体" w:hAnsi="宋体" w:eastAsia="宋体" w:cs="宋体"/>
              <w:lang w:eastAsia="zh-CN"/>
            </w:rPr>
            <w:fldChar w:fldCharType="end"/>
          </w:r>
          <w:r>
            <w:fldChar w:fldCharType="begin"/>
          </w:r>
          <w:r>
            <w:instrText xml:space="preserve"> HYPERLINK \l "_bookmark11" </w:instrText>
          </w:r>
          <w:r>
            <w:fldChar w:fldCharType="separate"/>
          </w:r>
          <w:r>
            <w:rPr>
              <w:lang w:eastAsia="zh-CN"/>
            </w:rPr>
            <w:tab/>
          </w:r>
          <w:r>
            <w:rPr>
              <w:lang w:eastAsia="zh-CN"/>
            </w:rPr>
            <w:t>11</w:t>
          </w:r>
          <w:r>
            <w:rPr>
              <w:lang w:eastAsia="zh-CN"/>
            </w:rPr>
            <w:fldChar w:fldCharType="end"/>
          </w:r>
        </w:p>
        <w:p w14:paraId="504C5FC5">
          <w:pPr>
            <w:pStyle w:val="5"/>
            <w:numPr>
              <w:ilvl w:val="1"/>
              <w:numId w:val="2"/>
            </w:numPr>
            <w:tabs>
              <w:tab w:val="left" w:pos="1239"/>
              <w:tab w:val="left" w:pos="1240"/>
              <w:tab w:val="left" w:leader="dot" w:pos="10356"/>
            </w:tabs>
            <w:spacing w:before="101"/>
            <w:rPr>
              <w:lang w:eastAsia="zh-CN"/>
            </w:rPr>
          </w:pPr>
          <w:r>
            <w:fldChar w:fldCharType="begin"/>
          </w:r>
          <w:r>
            <w:instrText xml:space="preserve"> HYPERLINK \l "_bookmark12" </w:instrText>
          </w:r>
          <w:r>
            <w:fldChar w:fldCharType="separate"/>
          </w:r>
          <w:r>
            <w:rPr>
              <w:lang w:eastAsia="zh-CN"/>
            </w:rPr>
            <w:t>1</w:t>
          </w:r>
          <w:r>
            <w:rPr>
              <w:rFonts w:hint="eastAsia" w:ascii="宋体" w:hAnsi="宋体" w:eastAsia="宋体" w:cs="宋体"/>
              <w:lang w:eastAsia="zh-CN"/>
            </w:rPr>
            <w:t>项根据新的皮肤致敏数据修订的</w:t>
          </w:r>
          <w:r>
            <w:rPr>
              <w:lang w:eastAsia="zh-CN"/>
            </w:rPr>
            <w:t xml:space="preserve"> IFRA </w:t>
          </w:r>
          <w:r>
            <w:rPr>
              <w:rFonts w:hint="eastAsia" w:ascii="宋体" w:hAnsi="宋体" w:eastAsia="宋体" w:cs="宋体"/>
              <w:lang w:eastAsia="zh-CN"/>
            </w:rPr>
            <w:t>限制标准</w:t>
          </w:r>
          <w:r>
            <w:rPr>
              <w:lang w:eastAsia="zh-CN"/>
            </w:rPr>
            <w:tab/>
          </w:r>
          <w:r>
            <w:rPr>
              <w:lang w:eastAsia="zh-CN"/>
            </w:rPr>
            <w:t>11</w:t>
          </w:r>
          <w:r>
            <w:rPr>
              <w:lang w:eastAsia="zh-CN"/>
            </w:rPr>
            <w:fldChar w:fldCharType="end"/>
          </w:r>
        </w:p>
        <w:p w14:paraId="1D02ED46">
          <w:pPr>
            <w:pStyle w:val="5"/>
            <w:numPr>
              <w:ilvl w:val="1"/>
              <w:numId w:val="2"/>
            </w:numPr>
            <w:tabs>
              <w:tab w:val="left" w:pos="1239"/>
              <w:tab w:val="left" w:pos="1240"/>
              <w:tab w:val="left" w:leader="dot" w:pos="10356"/>
            </w:tabs>
            <w:ind w:left="800" w:right="697" w:firstLine="0"/>
            <w:rPr>
              <w:lang w:eastAsia="zh-CN"/>
            </w:rPr>
          </w:pPr>
          <w:r>
            <w:fldChar w:fldCharType="begin"/>
          </w:r>
          <w:r>
            <w:instrText xml:space="preserve"> HYPERLINK \l "_bookmark13" </w:instrText>
          </w:r>
          <w:r>
            <w:fldChar w:fldCharType="separate"/>
          </w:r>
          <w:r>
            <w:rPr>
              <w:lang w:eastAsia="zh-CN"/>
            </w:rPr>
            <w:t>1</w:t>
          </w:r>
          <w:r>
            <w:rPr>
              <w:rFonts w:hint="eastAsia" w:ascii="宋体" w:hAnsi="宋体" w:eastAsia="宋体" w:cs="宋体"/>
              <w:spacing w:val="-8"/>
              <w:lang w:eastAsia="zh-CN"/>
            </w:rPr>
            <w:t>项基于光毒性和系统毒性的</w:t>
          </w:r>
          <w:r>
            <w:rPr>
              <w:spacing w:val="-8"/>
              <w:lang w:eastAsia="zh-CN"/>
            </w:rPr>
            <w:t xml:space="preserve"> IFRA </w:t>
          </w:r>
          <w:r>
            <w:rPr>
              <w:rFonts w:hint="eastAsia" w:ascii="宋体" w:hAnsi="宋体" w:eastAsia="宋体" w:cs="宋体"/>
              <w:spacing w:val="-8"/>
              <w:lang w:eastAsia="zh-CN"/>
            </w:rPr>
            <w:t>限制标准修订版（以及</w:t>
          </w:r>
          <w:r>
            <w:rPr>
              <w:spacing w:val="-8"/>
              <w:lang w:eastAsia="zh-CN"/>
            </w:rPr>
            <w:t xml:space="preserve"> 1 </w:t>
          </w:r>
          <w:r>
            <w:rPr>
              <w:rFonts w:hint="eastAsia" w:ascii="宋体" w:hAnsi="宋体" w:eastAsia="宋体" w:cs="宋体"/>
              <w:spacing w:val="-8"/>
              <w:lang w:eastAsia="zh-CN"/>
            </w:rPr>
            <w:t>项关于第</w:t>
          </w:r>
          <w:r>
            <w:rPr>
              <w:spacing w:val="-8"/>
              <w:lang w:eastAsia="zh-CN"/>
            </w:rPr>
            <w:t xml:space="preserve"> 6 </w:t>
          </w:r>
          <w:r>
            <w:rPr>
              <w:rFonts w:hint="eastAsia" w:ascii="宋体" w:hAnsi="宋体" w:eastAsia="宋体" w:cs="宋体"/>
              <w:spacing w:val="-8"/>
              <w:lang w:eastAsia="zh-CN"/>
            </w:rPr>
            <w:t>类最大可接受浓度的更新标准）</w:t>
          </w:r>
          <w:r>
            <w:rPr>
              <w:rFonts w:hint="eastAsia" w:ascii="宋体" w:hAnsi="宋体" w:eastAsia="宋体" w:cs="宋体"/>
              <w:spacing w:val="-8"/>
              <w:lang w:eastAsia="zh-CN"/>
            </w:rPr>
            <w:fldChar w:fldCharType="end"/>
          </w:r>
          <w:r>
            <w:fldChar w:fldCharType="begin"/>
          </w:r>
          <w:r>
            <w:instrText xml:space="preserve"> HYPERLINK \l "_bookmark13" </w:instrText>
          </w:r>
          <w:r>
            <w:fldChar w:fldCharType="separate"/>
          </w:r>
          <w:r>
            <w:rPr>
              <w:lang w:eastAsia="zh-CN"/>
            </w:rPr>
            <w:t xml:space="preserve"> </w:t>
          </w:r>
          <w:r>
            <w:rPr>
              <w:lang w:eastAsia="zh-CN"/>
            </w:rPr>
            <w:tab/>
          </w:r>
          <w:r>
            <w:rPr>
              <w:lang w:eastAsia="zh-CN"/>
            </w:rPr>
            <w:t>11</w:t>
          </w:r>
          <w:r>
            <w:rPr>
              <w:lang w:eastAsia="zh-CN"/>
            </w:rPr>
            <w:fldChar w:fldCharType="end"/>
          </w:r>
        </w:p>
        <w:p w14:paraId="14554EB4">
          <w:pPr>
            <w:pStyle w:val="5"/>
            <w:numPr>
              <w:ilvl w:val="1"/>
              <w:numId w:val="2"/>
            </w:numPr>
            <w:tabs>
              <w:tab w:val="left" w:pos="1239"/>
              <w:tab w:val="left" w:pos="1240"/>
              <w:tab w:val="left" w:leader="dot" w:pos="10356"/>
            </w:tabs>
            <w:spacing w:before="99"/>
            <w:rPr>
              <w:lang w:eastAsia="zh-CN"/>
            </w:rPr>
          </w:pPr>
          <w:r>
            <w:fldChar w:fldCharType="begin"/>
          </w:r>
          <w:r>
            <w:instrText xml:space="preserve"> HYPERLINK \l "_bookmark14" </w:instrText>
          </w:r>
          <w:r>
            <w:fldChar w:fldCharType="separate"/>
          </w:r>
          <w:r>
            <w:rPr>
              <w:lang w:eastAsia="zh-CN"/>
            </w:rPr>
            <w:tab/>
          </w:r>
          <w:r>
            <w:rPr>
              <w:rFonts w:hint="eastAsia" w:ascii="宋体" w:hAnsi="宋体" w:eastAsia="宋体" w:cs="宋体"/>
              <w:lang w:eastAsia="zh-CN"/>
            </w:rPr>
            <w:t>基于系统毒性修订的</w:t>
          </w:r>
          <w:r>
            <w:rPr>
              <w:lang w:eastAsia="zh-CN"/>
            </w:rPr>
            <w:t>2</w:t>
          </w:r>
          <w:r>
            <w:rPr>
              <w:rFonts w:hint="eastAsia" w:ascii="宋体" w:hAnsi="宋体" w:eastAsia="宋体" w:cs="宋体"/>
              <w:lang w:eastAsia="zh-CN"/>
            </w:rPr>
            <w:t>项</w:t>
          </w:r>
          <w:r>
            <w:rPr>
              <w:lang w:eastAsia="zh-CN"/>
            </w:rPr>
            <w:t>IFRA</w:t>
          </w:r>
          <w:r>
            <w:rPr>
              <w:rFonts w:hint="eastAsia" w:ascii="宋体" w:hAnsi="宋体" w:eastAsia="宋体" w:cs="宋体"/>
              <w:lang w:eastAsia="zh-CN"/>
            </w:rPr>
            <w:t>限制标准</w:t>
          </w:r>
          <w:r>
            <w:rPr>
              <w:lang w:eastAsia="zh-CN"/>
            </w:rPr>
            <w:tab/>
          </w:r>
          <w:r>
            <w:rPr>
              <w:lang w:eastAsia="zh-CN"/>
            </w:rPr>
            <w:t>12</w:t>
          </w:r>
          <w:r>
            <w:rPr>
              <w:lang w:eastAsia="zh-CN"/>
            </w:rPr>
            <w:fldChar w:fldCharType="end"/>
          </w:r>
        </w:p>
        <w:p w14:paraId="27B912AE">
          <w:pPr>
            <w:pStyle w:val="8"/>
            <w:numPr>
              <w:ilvl w:val="0"/>
              <w:numId w:val="2"/>
            </w:numPr>
            <w:tabs>
              <w:tab w:val="left" w:pos="579"/>
              <w:tab w:val="left" w:pos="580"/>
              <w:tab w:val="left" w:leader="dot" w:pos="10356"/>
            </w:tabs>
            <w:rPr>
              <w:lang w:eastAsia="zh-CN"/>
            </w:rPr>
          </w:pPr>
          <w:r>
            <w:fldChar w:fldCharType="begin"/>
          </w:r>
          <w:r>
            <w:instrText xml:space="preserve"> HYPERLINK \l "_bookmark15" </w:instrText>
          </w:r>
          <w:r>
            <w:fldChar w:fldCharType="separate"/>
          </w:r>
          <w:r>
            <w:rPr>
              <w:rFonts w:hint="eastAsia" w:ascii="宋体" w:hAnsi="宋体" w:eastAsia="宋体" w:cs="宋体"/>
              <w:lang w:eastAsia="zh-CN"/>
            </w:rPr>
            <w:t>对现有标准的微小更新和格式更改</w:t>
          </w:r>
          <w:r>
            <w:rPr>
              <w:lang w:eastAsia="zh-CN"/>
            </w:rPr>
            <w:tab/>
          </w:r>
          <w:r>
            <w:rPr>
              <w:lang w:eastAsia="zh-CN"/>
            </w:rPr>
            <w:t>12</w:t>
          </w:r>
          <w:r>
            <w:rPr>
              <w:lang w:eastAsia="zh-CN"/>
            </w:rPr>
            <w:fldChar w:fldCharType="end"/>
          </w:r>
        </w:p>
      </w:sdtContent>
    </w:sdt>
    <w:p w14:paraId="1A755158">
      <w:pPr>
        <w:rPr>
          <w:lang w:eastAsia="zh-CN"/>
        </w:rPr>
        <w:sectPr>
          <w:pgSz w:w="11910" w:h="16840"/>
          <w:pgMar w:top="1500" w:right="20" w:bottom="980" w:left="580" w:header="432" w:footer="781" w:gutter="0"/>
          <w:cols w:space="720" w:num="1"/>
        </w:sectPr>
      </w:pPr>
    </w:p>
    <w:p w14:paraId="7AE0FA1B">
      <w:pPr>
        <w:pStyle w:val="4"/>
        <w:spacing w:before="5"/>
        <w:rPr>
          <w:sz w:val="24"/>
          <w:lang w:eastAsia="zh-CN"/>
        </w:rPr>
      </w:pPr>
    </w:p>
    <w:p w14:paraId="23E7D4B9">
      <w:pPr>
        <w:pStyle w:val="2"/>
        <w:numPr>
          <w:ilvl w:val="0"/>
          <w:numId w:val="3"/>
        </w:numPr>
        <w:tabs>
          <w:tab w:val="left" w:pos="500"/>
        </w:tabs>
        <w:spacing w:line="300" w:lineRule="auto"/>
        <w:jc w:val="both"/>
      </w:pPr>
      <w:bookmarkStart w:id="0" w:name="_bookmark0"/>
      <w:bookmarkEnd w:id="0"/>
      <w:r>
        <w:rPr>
          <w:rFonts w:hint="eastAsia" w:ascii="宋体" w:hAnsi="宋体" w:eastAsia="宋体" w:cs="宋体"/>
          <w:u w:val="thick"/>
          <w:lang w:eastAsia="zh-CN"/>
        </w:rPr>
        <w:t>概况</w:t>
      </w:r>
    </w:p>
    <w:p w14:paraId="0FD891CE">
      <w:pPr>
        <w:pStyle w:val="4"/>
        <w:spacing w:before="7" w:line="300" w:lineRule="auto"/>
        <w:rPr>
          <w:lang w:eastAsia="zh-CN"/>
        </w:rPr>
      </w:pPr>
      <w:r>
        <w:rPr>
          <w:rFonts w:hint="eastAsia" w:ascii="宋体" w:hAnsi="宋体" w:eastAsia="宋体" w:cs="宋体"/>
          <w:lang w:eastAsia="zh-CN"/>
        </w:rPr>
        <w:t>正如咨询和咨询结束函所述，第</w:t>
      </w:r>
      <w:r>
        <w:rPr>
          <w:lang w:eastAsia="zh-CN"/>
        </w:rPr>
        <w:t xml:space="preserve"> 51 </w:t>
      </w:r>
      <w:r>
        <w:rPr>
          <w:rFonts w:hint="eastAsia" w:ascii="宋体" w:hAnsi="宋体" w:eastAsia="宋体" w:cs="宋体"/>
          <w:lang w:eastAsia="zh-CN"/>
        </w:rPr>
        <w:t>次修订对</w:t>
      </w:r>
      <w:r>
        <w:rPr>
          <w:lang w:eastAsia="zh-CN"/>
        </w:rPr>
        <w:t xml:space="preserve"> IFRA </w:t>
      </w:r>
      <w:r>
        <w:rPr>
          <w:rFonts w:hint="eastAsia" w:ascii="宋体" w:hAnsi="宋体" w:eastAsia="宋体" w:cs="宋体"/>
          <w:lang w:eastAsia="zh-CN"/>
        </w:rPr>
        <w:t>标准进行了一系列格式更新。</w:t>
      </w:r>
    </w:p>
    <w:p w14:paraId="025E4217">
      <w:pPr>
        <w:pStyle w:val="4"/>
        <w:spacing w:before="7" w:line="300" w:lineRule="auto"/>
        <w:rPr>
          <w:lang w:eastAsia="zh-CN"/>
        </w:rPr>
      </w:pPr>
      <w:r>
        <w:rPr>
          <w:rFonts w:hint="eastAsia" w:ascii="宋体" w:hAnsi="宋体" w:eastAsia="宋体" w:cs="宋体"/>
          <w:lang w:eastAsia="zh-CN"/>
        </w:rPr>
        <w:t>最明显的内容是，我们将不再在标准格式中包含化学结构和经验公式。</w:t>
      </w:r>
    </w:p>
    <w:p w14:paraId="751A0CF2">
      <w:pPr>
        <w:pStyle w:val="4"/>
        <w:spacing w:before="61" w:line="300" w:lineRule="auto"/>
        <w:ind w:left="140" w:right="694"/>
        <w:jc w:val="both"/>
        <w:rPr>
          <w:rFonts w:eastAsia="宋体"/>
          <w:lang w:eastAsia="zh-CN"/>
        </w:rPr>
      </w:pPr>
      <w:r>
        <w:rPr>
          <w:rFonts w:eastAsia="宋体"/>
          <w:lang w:eastAsia="zh-CN"/>
        </w:rPr>
        <w:t>此外，在适用的情况下，标准曾提及附件</w:t>
      </w:r>
      <w:r>
        <w:rPr>
          <w:rFonts w:hint="eastAsia" w:eastAsia="宋体"/>
          <w:lang w:eastAsia="zh-CN"/>
        </w:rPr>
        <w:t>I</w:t>
      </w:r>
      <w:r>
        <w:rPr>
          <w:rFonts w:eastAsia="宋体"/>
          <w:lang w:eastAsia="zh-CN"/>
        </w:rPr>
        <w:t>关于天然复合物</w:t>
      </w:r>
      <w:r>
        <w:rPr>
          <w:rFonts w:hint="eastAsia" w:eastAsia="宋体"/>
          <w:lang w:eastAsia="zh-CN"/>
        </w:rPr>
        <w:t>（NCS）</w:t>
      </w:r>
      <w:r>
        <w:rPr>
          <w:rFonts w:eastAsia="宋体"/>
          <w:lang w:eastAsia="zh-CN"/>
        </w:rPr>
        <w:t>中受限制成分的存在，以及附件</w:t>
      </w:r>
      <w:r>
        <w:rPr>
          <w:rFonts w:hint="eastAsia" w:eastAsia="宋体"/>
          <w:lang w:eastAsia="zh-CN"/>
        </w:rPr>
        <w:t>II</w:t>
      </w:r>
      <w:r>
        <w:rPr>
          <w:rFonts w:eastAsia="宋体"/>
          <w:lang w:eastAsia="zh-CN"/>
        </w:rPr>
        <w:t>关于</w:t>
      </w:r>
      <w:r>
        <w:rPr>
          <w:rFonts w:hint="eastAsia" w:eastAsia="宋体"/>
          <w:lang w:eastAsia="zh-CN"/>
        </w:rPr>
        <w:t>席</w:t>
      </w:r>
      <w:r>
        <w:rPr>
          <w:rFonts w:eastAsia="宋体"/>
          <w:lang w:eastAsia="zh-CN"/>
        </w:rPr>
        <w:t>夫碱的贡献。在第 51 次修订中，我们将这些信息合并到一个附件中，命名为 "其他来源的贡献"，并只提及该附件。此外，第 49 次修订时引入标准的详细信息将不再包括在内，从而避免了每次附件发生变化时 我们都重新发布标准的情况。</w:t>
      </w:r>
    </w:p>
    <w:p w14:paraId="036FA0A6">
      <w:pPr>
        <w:pStyle w:val="4"/>
        <w:spacing w:before="61" w:line="300" w:lineRule="auto"/>
        <w:ind w:left="140" w:right="694"/>
        <w:jc w:val="both"/>
        <w:rPr>
          <w:rFonts w:eastAsia="宋体"/>
          <w:lang w:eastAsia="zh-CN"/>
        </w:rPr>
      </w:pPr>
      <w:r>
        <w:rPr>
          <w:rFonts w:eastAsia="宋体"/>
          <w:lang w:eastAsia="zh-CN"/>
        </w:rPr>
        <w:t>这些变化不仅适用于作为第 51 次修订的一部分的所有新标准和修订标准的格式，也适用于 IFRA 网站上的所有现有标准，作为第 51 次修订的一部分。</w:t>
      </w:r>
    </w:p>
    <w:p w14:paraId="6C72A6BE">
      <w:pPr>
        <w:pStyle w:val="2"/>
        <w:numPr>
          <w:ilvl w:val="0"/>
          <w:numId w:val="3"/>
        </w:numPr>
        <w:tabs>
          <w:tab w:val="left" w:pos="500"/>
        </w:tabs>
        <w:spacing w:line="300" w:lineRule="auto"/>
        <w:jc w:val="both"/>
        <w:rPr>
          <w:lang w:eastAsia="zh-CN"/>
        </w:rPr>
      </w:pPr>
      <w:bookmarkStart w:id="1" w:name="_bookmark1"/>
      <w:bookmarkEnd w:id="1"/>
      <w:r>
        <w:rPr>
          <w:rFonts w:hint="default" w:ascii="Arial" w:hAnsi="Arial" w:eastAsia="Arial" w:cs="Arial"/>
          <w:b/>
          <w:bCs/>
          <w:u w:val="single"/>
          <w:lang w:eastAsia="zh-CN"/>
        </w:rPr>
        <w:t>IFRA</w:t>
      </w:r>
      <w:r>
        <w:rPr>
          <w:rFonts w:hint="eastAsia" w:ascii="宋体" w:hAnsi="宋体" w:eastAsia="宋体" w:cs="宋体"/>
          <w:u w:val="thick"/>
          <w:lang w:eastAsia="zh-CN"/>
        </w:rPr>
        <w:t>标准使用指南的相关改变</w:t>
      </w:r>
    </w:p>
    <w:p w14:paraId="0573A7D6">
      <w:pPr>
        <w:pStyle w:val="4"/>
        <w:spacing w:before="4" w:line="300" w:lineRule="auto"/>
        <w:rPr>
          <w:b/>
          <w:sz w:val="24"/>
          <w:lang w:eastAsia="zh-CN"/>
        </w:rPr>
      </w:pPr>
    </w:p>
    <w:p w14:paraId="40FA63EE">
      <w:pPr>
        <w:pStyle w:val="14"/>
        <w:numPr>
          <w:ilvl w:val="1"/>
          <w:numId w:val="3"/>
        </w:numPr>
        <w:tabs>
          <w:tab w:val="left" w:pos="510"/>
        </w:tabs>
        <w:spacing w:before="93" w:line="300" w:lineRule="auto"/>
        <w:jc w:val="both"/>
        <w:rPr>
          <w:b/>
        </w:rPr>
      </w:pPr>
      <w:r>
        <w:rPr>
          <w:rFonts w:hint="eastAsia" w:ascii="宋体" w:hAnsi="宋体" w:eastAsia="宋体" w:cs="宋体"/>
          <w:b/>
          <w:lang w:eastAsia="zh-CN"/>
        </w:rPr>
        <w:t>关于纸制品的说明</w:t>
      </w:r>
    </w:p>
    <w:p w14:paraId="60D87B39">
      <w:pPr>
        <w:pStyle w:val="4"/>
        <w:spacing w:before="61" w:line="300" w:lineRule="auto"/>
        <w:ind w:left="140" w:right="694"/>
        <w:jc w:val="both"/>
        <w:rPr>
          <w:rFonts w:hint="eastAsia" w:ascii="宋体" w:hAnsi="宋体" w:eastAsia="宋体" w:cs="宋体"/>
          <w:lang w:eastAsia="zh-CN"/>
        </w:rPr>
      </w:pPr>
      <w:r>
        <w:rPr>
          <w:rFonts w:hint="eastAsia" w:ascii="宋体" w:hAnsi="宋体" w:eastAsia="宋体" w:cs="宋体"/>
          <w:lang w:eastAsia="zh-CN"/>
        </w:rPr>
        <w:t>我们在内部发现，在计算成品中的香料成分浓度时，需要更明确地说明如何将</w:t>
      </w:r>
      <w:r>
        <w:rPr>
          <w:lang w:eastAsia="zh-CN"/>
        </w:rPr>
        <w:t xml:space="preserve"> IFRA </w:t>
      </w:r>
      <w:r>
        <w:rPr>
          <w:rFonts w:hint="eastAsia" w:ascii="宋体" w:hAnsi="宋体" w:eastAsia="宋体" w:cs="宋体"/>
          <w:lang w:eastAsia="zh-CN"/>
        </w:rPr>
        <w:t>标准应用于纸制品。这一说明现已成为作为第</w:t>
      </w:r>
      <w:r>
        <w:rPr>
          <w:lang w:eastAsia="zh-CN"/>
        </w:rPr>
        <w:t xml:space="preserve"> 51 </w:t>
      </w:r>
      <w:r>
        <w:rPr>
          <w:rFonts w:hint="eastAsia" w:ascii="宋体" w:hAnsi="宋体" w:eastAsia="宋体" w:cs="宋体"/>
          <w:lang w:eastAsia="zh-CN"/>
        </w:rPr>
        <w:t>次修订通知分发的指导文件的一部分。</w:t>
      </w:r>
    </w:p>
    <w:p w14:paraId="6BFC2AC5">
      <w:pPr>
        <w:pStyle w:val="4"/>
        <w:spacing w:before="61" w:line="300" w:lineRule="auto"/>
        <w:ind w:left="140" w:right="694"/>
        <w:jc w:val="both"/>
        <w:rPr>
          <w:rFonts w:eastAsiaTheme="minorEastAsia"/>
          <w:lang w:eastAsia="zh-CN"/>
        </w:rPr>
      </w:pPr>
      <w:r>
        <w:rPr>
          <w:rFonts w:hint="eastAsia" w:ascii="宋体" w:hAnsi="宋体" w:eastAsia="宋体" w:cs="宋体"/>
          <w:lang w:eastAsia="zh-CN"/>
        </w:rPr>
        <w:t>内容如下：</w:t>
      </w:r>
    </w:p>
    <w:p w14:paraId="4401CB71">
      <w:pPr>
        <w:pStyle w:val="14"/>
        <w:numPr>
          <w:ilvl w:val="2"/>
          <w:numId w:val="4"/>
        </w:numPr>
        <w:tabs>
          <w:tab w:val="left" w:pos="1310"/>
        </w:tabs>
        <w:spacing w:before="65" w:line="300" w:lineRule="auto"/>
        <w:ind w:right="1657" w:firstLine="0"/>
        <w:jc w:val="both"/>
        <w:rPr>
          <w:lang w:eastAsia="zh-CN"/>
        </w:rPr>
      </w:pPr>
      <w:r>
        <w:rPr>
          <w:rFonts w:hint="eastAsia" w:ascii="宋体" w:hAnsi="宋体" w:eastAsia="宋体" w:cs="宋体"/>
          <w:lang w:eastAsia="zh-CN"/>
        </w:rPr>
        <w:t>婴儿尿布、女性传统卫生巾、卫生护垫、新型卫生垫、卫生棉条、失禁裤</w:t>
      </w:r>
      <w:r>
        <w:rPr>
          <w:lang w:eastAsia="zh-CN"/>
        </w:rPr>
        <w:t>/</w:t>
      </w:r>
      <w:r>
        <w:rPr>
          <w:rFonts w:hint="eastAsia" w:ascii="宋体" w:hAnsi="宋体" w:eastAsia="宋体" w:cs="宋体"/>
          <w:lang w:eastAsia="zh-CN"/>
        </w:rPr>
        <w:t>垫、清洁湿巾、婴儿湿巾、烘干纸和湿厕纸</w:t>
      </w:r>
    </w:p>
    <w:p w14:paraId="13E67BE7">
      <w:pPr>
        <w:pStyle w:val="4"/>
        <w:spacing w:before="58" w:line="300" w:lineRule="auto"/>
        <w:ind w:left="572"/>
        <w:jc w:val="both"/>
        <w:rPr>
          <w:rFonts w:eastAsiaTheme="minorEastAsia"/>
          <w:lang w:eastAsia="zh-CN"/>
        </w:rPr>
      </w:pPr>
      <w:r>
        <w:rPr>
          <w:rFonts w:hint="eastAsia" w:ascii="宋体" w:hAnsi="宋体" w:eastAsia="宋体" w:cs="宋体"/>
          <w:lang w:eastAsia="zh-CN"/>
        </w:rPr>
        <w:t>关于组装产品，需要考虑两种情况：</w:t>
      </w:r>
    </w:p>
    <w:p w14:paraId="0C2C1C32">
      <w:pPr>
        <w:pStyle w:val="14"/>
        <w:numPr>
          <w:ilvl w:val="3"/>
          <w:numId w:val="4"/>
        </w:numPr>
        <w:tabs>
          <w:tab w:val="left" w:pos="1221"/>
        </w:tabs>
        <w:spacing w:before="61" w:line="300" w:lineRule="auto"/>
        <w:ind w:right="1000"/>
        <w:jc w:val="left"/>
        <w:rPr>
          <w:lang w:eastAsia="zh-CN"/>
        </w:rPr>
      </w:pPr>
      <w:r>
        <w:rPr>
          <w:rFonts w:hint="eastAsia" w:ascii="宋体" w:hAnsi="宋体" w:eastAsia="宋体" w:cs="宋体"/>
          <w:lang w:eastAsia="zh-CN"/>
        </w:rPr>
        <w:t>适用最大可接受浓度水平（</w:t>
      </w:r>
      <w:r>
        <w:rPr>
          <w:rFonts w:hint="default" w:ascii="Arial" w:hAnsi="Arial" w:eastAsia="Arial" w:cs="Arial"/>
          <w:lang w:eastAsia="zh-CN"/>
        </w:rPr>
        <w:t>MAC</w:t>
      </w:r>
      <w:r>
        <w:rPr>
          <w:rFonts w:hint="eastAsia" w:ascii="宋体" w:hAnsi="宋体" w:eastAsia="宋体" w:cs="宋体"/>
          <w:lang w:eastAsia="zh-CN"/>
        </w:rPr>
        <w:t>）消费成品的产品类型。这包括婴儿尿布、女性传统卫生巾、护垫、新型卫生垫、卫生棉条和失禁裤</w:t>
      </w:r>
      <w:r>
        <w:rPr>
          <w:lang w:eastAsia="zh-CN"/>
        </w:rPr>
        <w:t>/</w:t>
      </w:r>
      <w:r>
        <w:rPr>
          <w:rFonts w:hint="eastAsia" w:ascii="宋体" w:hAnsi="宋体" w:eastAsia="宋体" w:cs="宋体"/>
          <w:lang w:eastAsia="zh-CN"/>
        </w:rPr>
        <w:t>垫。</w:t>
      </w:r>
    </w:p>
    <w:p w14:paraId="13426463">
      <w:pPr>
        <w:pStyle w:val="4"/>
        <w:spacing w:line="300" w:lineRule="auto"/>
        <w:ind w:left="1220" w:right="916"/>
        <w:jc w:val="both"/>
        <w:rPr>
          <w:lang w:eastAsia="zh-CN"/>
        </w:rPr>
      </w:pPr>
      <w:r>
        <w:rPr>
          <w:rFonts w:hint="eastAsia" w:ascii="宋体" w:hAnsi="宋体" w:eastAsia="宋体" w:cs="宋体"/>
          <w:lang w:eastAsia="zh-CN"/>
        </w:rPr>
        <w:t>在这些情况下，日用香精通常是根据重量而不是浓度百分比（如配方产品）计入成品中的。因此，最大允许浓度浓度反映了香料成分重量与产品重量的比率。</w:t>
      </w:r>
    </w:p>
    <w:p w14:paraId="7511E29C">
      <w:pPr>
        <w:pStyle w:val="14"/>
        <w:numPr>
          <w:ilvl w:val="3"/>
          <w:numId w:val="4"/>
        </w:numPr>
        <w:tabs>
          <w:tab w:val="left" w:pos="1221"/>
        </w:tabs>
        <w:spacing w:before="59" w:line="300" w:lineRule="auto"/>
        <w:ind w:right="827"/>
        <w:jc w:val="both"/>
        <w:rPr>
          <w:lang w:eastAsia="zh-CN"/>
        </w:rPr>
      </w:pPr>
      <w:r>
        <w:rPr>
          <w:rFonts w:hint="eastAsia" w:ascii="宋体" w:hAnsi="宋体" w:eastAsia="宋体" w:cs="宋体"/>
          <w:lang w:eastAsia="zh-CN"/>
        </w:rPr>
        <w:t>最大允许浓度适用于乳液</w:t>
      </w:r>
      <w:r>
        <w:rPr>
          <w:lang w:eastAsia="zh-CN"/>
        </w:rPr>
        <w:t>/</w:t>
      </w:r>
      <w:r>
        <w:rPr>
          <w:rFonts w:hint="eastAsia" w:ascii="宋体" w:hAnsi="宋体" w:eastAsia="宋体" w:cs="宋体"/>
          <w:lang w:eastAsia="zh-CN"/>
        </w:rPr>
        <w:t>配方载体的产品类型，该乳液载体随后被添加到消费成品中。这包括清洁湿巾（如马桶座圈湿巾和家用清洁产品中的湿巾）、婴儿湿巾、烘干纸和湿卫生纸。这是因为香料混合物是乳液</w:t>
      </w:r>
      <w:r>
        <w:rPr>
          <w:lang w:eastAsia="zh-CN"/>
        </w:rPr>
        <w:t>/</w:t>
      </w:r>
      <w:r>
        <w:rPr>
          <w:rFonts w:hint="eastAsia" w:ascii="宋体" w:hAnsi="宋体" w:eastAsia="宋体" w:cs="宋体"/>
          <w:lang w:eastAsia="zh-CN"/>
        </w:rPr>
        <w:t>载体配方的一部分，然后被添加到成品中。因此，最大允许浓度水平反映的是乳液</w:t>
      </w:r>
      <w:r>
        <w:rPr>
          <w:lang w:eastAsia="zh-CN"/>
        </w:rPr>
        <w:t>/</w:t>
      </w:r>
      <w:r>
        <w:rPr>
          <w:rFonts w:hint="eastAsia" w:ascii="宋体" w:hAnsi="宋体" w:eastAsia="宋体" w:cs="宋体"/>
          <w:lang w:eastAsia="zh-CN"/>
        </w:rPr>
        <w:t>载体配方中香料成分的浓度百分比，而不是成品中的浓度百分比。</w:t>
      </w:r>
    </w:p>
    <w:p w14:paraId="4A2F60CD">
      <w:pPr>
        <w:pStyle w:val="4"/>
        <w:spacing w:before="6" w:line="300" w:lineRule="auto"/>
        <w:rPr>
          <w:sz w:val="32"/>
          <w:lang w:eastAsia="zh-CN"/>
        </w:rPr>
      </w:pPr>
    </w:p>
    <w:p w14:paraId="16A16221">
      <w:pPr>
        <w:pStyle w:val="2"/>
        <w:numPr>
          <w:ilvl w:val="1"/>
          <w:numId w:val="3"/>
        </w:numPr>
        <w:tabs>
          <w:tab w:val="left" w:pos="500"/>
        </w:tabs>
        <w:spacing w:line="300" w:lineRule="auto"/>
        <w:ind w:left="500" w:hanging="360"/>
        <w:jc w:val="both"/>
        <w:rPr>
          <w:lang w:eastAsia="zh-CN"/>
        </w:rPr>
      </w:pPr>
      <w:r>
        <w:rPr>
          <w:rFonts w:hint="eastAsia" w:ascii="宋体" w:hAnsi="宋体" w:eastAsia="宋体" w:cs="宋体"/>
          <w:lang w:eastAsia="zh-CN"/>
        </w:rPr>
        <w:t>织物柔顺片、烘干机片和干洗套装的分类说明</w:t>
      </w:r>
    </w:p>
    <w:p w14:paraId="483E54AB">
      <w:pPr>
        <w:pStyle w:val="4"/>
        <w:spacing w:before="61" w:line="300" w:lineRule="auto"/>
        <w:ind w:left="140" w:right="694"/>
        <w:jc w:val="both"/>
        <w:rPr>
          <w:lang w:eastAsia="zh-CN"/>
        </w:rPr>
      </w:pPr>
      <w:r>
        <w:rPr>
          <w:rFonts w:hint="eastAsia" w:ascii="宋体" w:hAnsi="宋体" w:eastAsia="宋体" w:cs="宋体"/>
          <w:lang w:eastAsia="zh-CN"/>
        </w:rPr>
        <w:t>咨询活动指出有必要对烘衣机用吸毛纸（现为第</w:t>
      </w:r>
      <w:r>
        <w:rPr>
          <w:lang w:eastAsia="zh-CN"/>
        </w:rPr>
        <w:t>12</w:t>
      </w:r>
      <w:r>
        <w:rPr>
          <w:rFonts w:hint="eastAsia" w:ascii="宋体" w:hAnsi="宋体" w:eastAsia="宋体" w:cs="宋体"/>
          <w:lang w:eastAsia="zh-CN"/>
        </w:rPr>
        <w:t>类）进行澄清。提出的问题是，这些产品原则上是否与织物柔顺薄片（仍属</w:t>
      </w:r>
      <w:r>
        <w:rPr>
          <w:lang w:eastAsia="zh-CN"/>
        </w:rPr>
        <w:t>10A</w:t>
      </w:r>
      <w:r>
        <w:rPr>
          <w:rFonts w:hint="eastAsia" w:ascii="宋体" w:hAnsi="宋体" w:eastAsia="宋体" w:cs="宋体"/>
          <w:lang w:eastAsia="zh-CN"/>
        </w:rPr>
        <w:t>类）是同一种产品。此外，我们还需要更好地理解干洗套装（第</w:t>
      </w:r>
      <w:r>
        <w:rPr>
          <w:lang w:eastAsia="zh-CN"/>
        </w:rPr>
        <w:t>12</w:t>
      </w:r>
      <w:r>
        <w:rPr>
          <w:rFonts w:hint="eastAsia" w:ascii="宋体" w:hAnsi="宋体" w:eastAsia="宋体" w:cs="宋体"/>
          <w:lang w:eastAsia="zh-CN"/>
        </w:rPr>
        <w:t>类），以及它是否可以合并入干洗剂中。</w:t>
      </w:r>
    </w:p>
    <w:p w14:paraId="1A43054E">
      <w:pPr>
        <w:pStyle w:val="4"/>
        <w:spacing w:before="61" w:line="300" w:lineRule="auto"/>
        <w:ind w:left="140" w:right="694"/>
        <w:jc w:val="both"/>
        <w:rPr>
          <w:lang w:eastAsia="zh-CN"/>
        </w:rPr>
      </w:pPr>
      <w:r>
        <w:rPr>
          <w:rFonts w:hint="eastAsia" w:ascii="宋体" w:hAnsi="宋体" w:eastAsia="宋体" w:cs="宋体"/>
          <w:lang w:eastAsia="zh-CN"/>
        </w:rPr>
        <w:t>根据专家的判断，我们得出结论，织物柔顺薄片和烘衣机用吸毛纸一视同仁，应在第</w:t>
      </w:r>
      <w:r>
        <w:rPr>
          <w:lang w:eastAsia="zh-CN"/>
        </w:rPr>
        <w:t>12</w:t>
      </w:r>
      <w:r>
        <w:rPr>
          <w:rFonts w:hint="eastAsia" w:ascii="宋体" w:hAnsi="宋体" w:eastAsia="宋体" w:cs="宋体"/>
          <w:lang w:eastAsia="zh-CN"/>
        </w:rPr>
        <w:t>类的同一条目中提及。</w:t>
      </w:r>
    </w:p>
    <w:p w14:paraId="182F4B5E">
      <w:pPr>
        <w:pStyle w:val="4"/>
        <w:spacing w:before="61" w:line="300" w:lineRule="auto"/>
        <w:ind w:left="140" w:right="694"/>
        <w:jc w:val="both"/>
        <w:rPr>
          <w:lang w:eastAsia="zh-CN"/>
        </w:rPr>
      </w:pPr>
      <w:r>
        <w:rPr>
          <w:rFonts w:hint="eastAsia" w:ascii="宋体" w:hAnsi="宋体" w:eastAsia="宋体" w:cs="宋体"/>
          <w:lang w:eastAsia="zh-CN"/>
        </w:rPr>
        <w:t>干洗套装有两种类型：一种是放在烘干机中的，因此与皮肤的接触有限，也可以归入第</w:t>
      </w:r>
      <w:r>
        <w:rPr>
          <w:lang w:eastAsia="zh-CN"/>
        </w:rPr>
        <w:t>12</w:t>
      </w:r>
      <w:r>
        <w:rPr>
          <w:rFonts w:hint="eastAsia" w:ascii="宋体" w:hAnsi="宋体" w:eastAsia="宋体" w:cs="宋体"/>
          <w:lang w:eastAsia="zh-CN"/>
        </w:rPr>
        <w:t>类；另一种是需要手工使用的（在衣服上主动摩擦），因此由于与皮肤有一定的接触，最好归入第</w:t>
      </w:r>
      <w:r>
        <w:rPr>
          <w:lang w:eastAsia="zh-CN"/>
        </w:rPr>
        <w:t>10A</w:t>
      </w:r>
      <w:r>
        <w:rPr>
          <w:rFonts w:hint="eastAsia" w:ascii="宋体" w:hAnsi="宋体" w:eastAsia="宋体" w:cs="宋体"/>
          <w:lang w:eastAsia="zh-CN"/>
        </w:rPr>
        <w:t>类。与本通知一起发布的指导文件包括了相应的措辞。</w:t>
      </w:r>
    </w:p>
    <w:p w14:paraId="53731584">
      <w:pPr>
        <w:jc w:val="both"/>
        <w:rPr>
          <w:lang w:eastAsia="zh-CN"/>
        </w:rPr>
        <w:sectPr>
          <w:pgSz w:w="11910" w:h="16840"/>
          <w:pgMar w:top="1500" w:right="20" w:bottom="980" w:left="580" w:header="432" w:footer="781" w:gutter="0"/>
          <w:cols w:space="720" w:num="1"/>
        </w:sectPr>
      </w:pPr>
    </w:p>
    <w:p w14:paraId="4CDD1547">
      <w:pPr>
        <w:pStyle w:val="4"/>
        <w:spacing w:before="4"/>
        <w:rPr>
          <w:rFonts w:eastAsiaTheme="minorEastAsia"/>
          <w:sz w:val="21"/>
          <w:lang w:eastAsia="zh-CN"/>
        </w:rPr>
      </w:pPr>
    </w:p>
    <w:p w14:paraId="588610B2">
      <w:pPr>
        <w:pStyle w:val="2"/>
        <w:numPr>
          <w:ilvl w:val="1"/>
          <w:numId w:val="3"/>
        </w:numPr>
        <w:tabs>
          <w:tab w:val="left" w:pos="500"/>
        </w:tabs>
        <w:spacing w:before="93" w:line="300" w:lineRule="auto"/>
        <w:ind w:left="500" w:hanging="360"/>
        <w:jc w:val="both"/>
      </w:pPr>
      <w:r>
        <w:rPr>
          <w:rFonts w:hint="eastAsia" w:ascii="宋体" w:hAnsi="宋体" w:eastAsia="宋体" w:cs="宋体"/>
        </w:rPr>
        <w:t>枕头喷雾</w:t>
      </w:r>
      <w:r>
        <w:rPr>
          <w:rFonts w:hint="eastAsia" w:ascii="宋体" w:hAnsi="宋体" w:eastAsia="宋体" w:cs="宋体"/>
          <w:lang w:eastAsia="zh-CN"/>
        </w:rPr>
        <w:t>剂</w:t>
      </w:r>
      <w:r>
        <w:rPr>
          <w:rFonts w:hint="eastAsia" w:ascii="宋体" w:hAnsi="宋体" w:eastAsia="宋体" w:cs="宋体"/>
        </w:rPr>
        <w:t>的分类</w:t>
      </w:r>
    </w:p>
    <w:p w14:paraId="2A3B5694">
      <w:pPr>
        <w:pStyle w:val="4"/>
        <w:spacing w:before="61" w:line="300" w:lineRule="auto"/>
        <w:ind w:left="140" w:right="694"/>
        <w:jc w:val="both"/>
        <w:rPr>
          <w:rFonts w:eastAsia="宋体"/>
          <w:lang w:eastAsia="zh-CN"/>
        </w:rPr>
      </w:pPr>
      <w:r>
        <w:rPr>
          <w:rFonts w:hint="eastAsia" w:eastAsia="宋体"/>
          <w:lang w:eastAsia="zh-CN"/>
        </w:rPr>
        <w:t>对</w:t>
      </w:r>
      <w:r>
        <w:rPr>
          <w:rFonts w:eastAsia="宋体"/>
          <w:lang w:eastAsia="zh-CN"/>
        </w:rPr>
        <w:t>枕头喷雾</w:t>
      </w:r>
      <w:r>
        <w:rPr>
          <w:rFonts w:hint="eastAsia" w:eastAsia="宋体"/>
          <w:lang w:eastAsia="zh-CN"/>
        </w:rPr>
        <w:t>剂</w:t>
      </w:r>
      <w:r>
        <w:rPr>
          <w:rFonts w:eastAsia="宋体"/>
          <w:lang w:eastAsia="zh-CN"/>
        </w:rPr>
        <w:t>属于 11B 类</w:t>
      </w:r>
      <w:r>
        <w:rPr>
          <w:rFonts w:hint="eastAsia" w:eastAsia="宋体"/>
          <w:lang w:eastAsia="zh-CN"/>
        </w:rPr>
        <w:t>，</w:t>
      </w:r>
      <w:r>
        <w:rPr>
          <w:rFonts w:eastAsia="宋体"/>
          <w:lang w:eastAsia="zh-CN"/>
        </w:rPr>
        <w:t>要</w:t>
      </w:r>
      <w:r>
        <w:rPr>
          <w:rFonts w:hint="eastAsia" w:eastAsia="宋体"/>
          <w:lang w:eastAsia="zh-CN"/>
        </w:rPr>
        <w:t>求加以</w:t>
      </w:r>
      <w:r>
        <w:rPr>
          <w:rFonts w:eastAsia="宋体"/>
          <w:lang w:eastAsia="zh-CN"/>
        </w:rPr>
        <w:t>说明。建议将 5B 类作为备选类别，因为虽然枕头喷雾</w:t>
      </w:r>
      <w:r>
        <w:rPr>
          <w:rFonts w:hint="eastAsia" w:eastAsia="宋体"/>
          <w:lang w:eastAsia="zh-CN"/>
        </w:rPr>
        <w:t>剂</w:t>
      </w:r>
      <w:r>
        <w:rPr>
          <w:rFonts w:eastAsia="宋体"/>
          <w:lang w:eastAsia="zh-CN"/>
        </w:rPr>
        <w:t>不用手使用，但在长时间睡眠时会直接接触和渗入脸部和头发。另外，也可考虑将其归入 10A 类。</w:t>
      </w:r>
    </w:p>
    <w:p w14:paraId="41754468">
      <w:pPr>
        <w:pStyle w:val="4"/>
        <w:spacing w:before="61" w:line="300" w:lineRule="auto"/>
        <w:ind w:left="140" w:right="694"/>
        <w:jc w:val="both"/>
        <w:rPr>
          <w:rFonts w:eastAsia="宋体"/>
          <w:lang w:eastAsia="zh-CN"/>
        </w:rPr>
      </w:pPr>
      <w:r>
        <w:rPr>
          <w:rFonts w:eastAsia="宋体"/>
          <w:lang w:eastAsia="zh-CN"/>
        </w:rPr>
        <w:t>RMTF 在咨询香料研究所专家后对证据进行了审查。将枕头喷雾</w:t>
      </w:r>
      <w:r>
        <w:rPr>
          <w:rFonts w:hint="eastAsia" w:eastAsia="宋体"/>
          <w:lang w:eastAsia="zh-CN"/>
        </w:rPr>
        <w:t>剂</w:t>
      </w:r>
      <w:r>
        <w:rPr>
          <w:rFonts w:eastAsia="宋体"/>
          <w:lang w:eastAsia="zh-CN"/>
        </w:rPr>
        <w:t>列入 11B 类的主要原因是对皮肤</w:t>
      </w:r>
      <w:r>
        <w:rPr>
          <w:rFonts w:hint="eastAsia" w:eastAsia="宋体"/>
          <w:lang w:eastAsia="zh-CN"/>
        </w:rPr>
        <w:t>致</w:t>
      </w:r>
      <w:r>
        <w:rPr>
          <w:rFonts w:eastAsia="宋体"/>
          <w:lang w:eastAsia="zh-CN"/>
        </w:rPr>
        <w:t>敏的担忧以及产品可能从枕头转移到皮肤上。</w:t>
      </w:r>
    </w:p>
    <w:p w14:paraId="4ACE1F0D">
      <w:pPr>
        <w:pStyle w:val="4"/>
        <w:spacing w:before="61" w:line="300" w:lineRule="auto"/>
        <w:ind w:left="140" w:right="694"/>
        <w:jc w:val="both"/>
        <w:rPr>
          <w:rFonts w:eastAsia="宋体"/>
          <w:lang w:eastAsia="zh-CN"/>
        </w:rPr>
      </w:pPr>
      <w:r>
        <w:rPr>
          <w:rFonts w:eastAsia="宋体"/>
          <w:lang w:eastAsia="zh-CN"/>
        </w:rPr>
        <w:t>分类表中提供的消费者须知没有说明枕头表面应待干燥后再躺在上面。据推测，产品会喷洒在枕头的表面，消费者会在面料干透之前把脸放在枕头上，而且把脸放在枕头上时还会有</w:t>
      </w:r>
      <w:r>
        <w:rPr>
          <w:rFonts w:hint="eastAsia" w:eastAsia="宋体"/>
          <w:lang w:eastAsia="zh-CN"/>
        </w:rPr>
        <w:t>遮挡</w:t>
      </w:r>
      <w:r>
        <w:rPr>
          <w:rFonts w:eastAsia="宋体"/>
          <w:lang w:eastAsia="zh-CN"/>
        </w:rPr>
        <w:t>的情况。假设 100%转移到皮肤上过于保守。</w:t>
      </w:r>
      <w:r>
        <w:rPr>
          <w:rFonts w:hint="eastAsia" w:eastAsia="宋体"/>
          <w:lang w:eastAsia="zh-CN"/>
        </w:rPr>
        <w:t>替</w:t>
      </w:r>
      <w:r>
        <w:rPr>
          <w:rFonts w:eastAsia="宋体"/>
          <w:lang w:eastAsia="zh-CN"/>
        </w:rPr>
        <w:t>代方法是用湿巾擦脸，假设皮肤上残留的产品量为 20%。因此，假设皮肤上残留 20% 的产品，在没有更精细的暴露信息的情况下，第 11 类是合适的。这一说明已纳入更新的指导文件中。</w:t>
      </w:r>
    </w:p>
    <w:p w14:paraId="608A0452">
      <w:pPr>
        <w:pStyle w:val="4"/>
        <w:spacing w:before="61" w:line="300" w:lineRule="auto"/>
        <w:ind w:left="140" w:right="694"/>
        <w:jc w:val="both"/>
        <w:rPr>
          <w:rFonts w:eastAsia="宋体"/>
          <w:lang w:eastAsia="zh-CN"/>
        </w:rPr>
      </w:pPr>
    </w:p>
    <w:p w14:paraId="29D4AC63">
      <w:pPr>
        <w:pStyle w:val="2"/>
        <w:numPr>
          <w:ilvl w:val="1"/>
          <w:numId w:val="3"/>
        </w:numPr>
        <w:tabs>
          <w:tab w:val="left" w:pos="500"/>
        </w:tabs>
        <w:spacing w:line="300" w:lineRule="auto"/>
        <w:ind w:left="500" w:hanging="360"/>
      </w:pPr>
      <w:r>
        <w:rPr>
          <w:rFonts w:hint="eastAsia" w:ascii="宋体" w:hAnsi="宋体" w:eastAsia="宋体" w:cs="宋体"/>
          <w:lang w:eastAsia="zh-CN"/>
        </w:rPr>
        <w:t>藤条香薰器的分类</w:t>
      </w:r>
    </w:p>
    <w:p w14:paraId="5EE60956">
      <w:pPr>
        <w:pStyle w:val="4"/>
        <w:spacing w:before="62" w:line="300" w:lineRule="auto"/>
        <w:ind w:left="140" w:right="632"/>
        <w:jc w:val="both"/>
        <w:rPr>
          <w:lang w:eastAsia="zh-CN"/>
        </w:rPr>
      </w:pPr>
      <w:r>
        <w:rPr>
          <w:rFonts w:hint="eastAsia" w:ascii="宋体" w:hAnsi="宋体" w:eastAsia="宋体" w:cs="宋体"/>
          <w:lang w:eastAsia="zh-CN"/>
        </w:rPr>
        <w:t>在咨询期间，两个修订标准中</w:t>
      </w:r>
      <w:r>
        <w:rPr>
          <w:lang w:eastAsia="zh-CN"/>
        </w:rPr>
        <w:t>10A</w:t>
      </w:r>
      <w:r>
        <w:rPr>
          <w:rFonts w:hint="eastAsia" w:ascii="宋体" w:hAnsi="宋体" w:eastAsia="宋体" w:cs="宋体"/>
          <w:lang w:eastAsia="zh-CN"/>
        </w:rPr>
        <w:t>类最大可接受浓度水平的一些影响性变化引起了</w:t>
      </w:r>
      <w:r>
        <w:rPr>
          <w:lang w:eastAsia="zh-CN"/>
        </w:rPr>
        <w:t>IFRA</w:t>
      </w:r>
      <w:r>
        <w:rPr>
          <w:rFonts w:hint="eastAsia" w:ascii="宋体" w:hAnsi="宋体" w:eastAsia="宋体" w:cs="宋体"/>
          <w:lang w:eastAsia="zh-CN"/>
        </w:rPr>
        <w:t>的注意，并对藤条香薰器产生了潜在影响。</w:t>
      </w:r>
    </w:p>
    <w:p w14:paraId="3A010B00">
      <w:pPr>
        <w:pStyle w:val="4"/>
        <w:spacing w:before="62" w:line="300" w:lineRule="auto"/>
        <w:ind w:left="140" w:right="632"/>
        <w:jc w:val="both"/>
        <w:rPr>
          <w:lang w:eastAsia="zh-CN"/>
        </w:rPr>
      </w:pPr>
      <w:r>
        <w:rPr>
          <w:rFonts w:hint="eastAsia" w:ascii="宋体" w:hAnsi="宋体" w:eastAsia="宋体" w:cs="宋体"/>
          <w:lang w:eastAsia="zh-CN"/>
        </w:rPr>
        <w:t>对藤条香薰器进行分类的理由已通过</w:t>
      </w:r>
      <w:r>
        <w:rPr>
          <w:lang w:eastAsia="zh-CN"/>
        </w:rPr>
        <w:t>IFRA IL1107</w:t>
      </w:r>
      <w:r>
        <w:rPr>
          <w:rFonts w:hint="eastAsia" w:ascii="宋体" w:hAnsi="宋体" w:eastAsia="宋体" w:cs="宋体"/>
          <w:lang w:eastAsia="zh-CN"/>
        </w:rPr>
        <w:t>进行了分享，并已纳入本第</w:t>
      </w:r>
      <w:r>
        <w:rPr>
          <w:lang w:eastAsia="zh-CN"/>
        </w:rPr>
        <w:t>51</w:t>
      </w:r>
      <w:r>
        <w:rPr>
          <w:rFonts w:hint="eastAsia" w:ascii="宋体" w:hAnsi="宋体" w:eastAsia="宋体" w:cs="宋体"/>
          <w:lang w:eastAsia="zh-CN"/>
        </w:rPr>
        <w:t>次修订通知所附的指导文件中。</w:t>
      </w:r>
    </w:p>
    <w:p w14:paraId="550FC1E9">
      <w:pPr>
        <w:pStyle w:val="4"/>
        <w:spacing w:before="62" w:line="300" w:lineRule="auto"/>
        <w:ind w:left="140" w:right="632"/>
        <w:jc w:val="both"/>
        <w:rPr>
          <w:lang w:eastAsia="zh-CN"/>
        </w:rPr>
      </w:pPr>
      <w:r>
        <w:rPr>
          <w:rFonts w:hint="eastAsia" w:ascii="宋体" w:hAnsi="宋体" w:eastAsia="宋体" w:cs="宋体"/>
          <w:lang w:eastAsia="zh-CN"/>
        </w:rPr>
        <w:t>作为第</w:t>
      </w:r>
      <w:r>
        <w:rPr>
          <w:lang w:eastAsia="zh-CN"/>
        </w:rPr>
        <w:t>52</w:t>
      </w:r>
      <w:r>
        <w:rPr>
          <w:rFonts w:hint="eastAsia" w:ascii="宋体" w:hAnsi="宋体" w:eastAsia="宋体" w:cs="宋体"/>
          <w:lang w:eastAsia="zh-CN"/>
        </w:rPr>
        <w:t>次修正案准备工作的一部分，预计将对第</w:t>
      </w:r>
      <w:r>
        <w:rPr>
          <w:lang w:eastAsia="zh-CN"/>
        </w:rPr>
        <w:t>10</w:t>
      </w:r>
      <w:r>
        <w:rPr>
          <w:rFonts w:hint="eastAsia" w:ascii="宋体" w:hAnsi="宋体" w:eastAsia="宋体" w:cs="宋体"/>
          <w:lang w:eastAsia="zh-CN"/>
        </w:rPr>
        <w:t>、</w:t>
      </w:r>
      <w:r>
        <w:rPr>
          <w:lang w:eastAsia="zh-CN"/>
        </w:rPr>
        <w:t>11</w:t>
      </w:r>
      <w:r>
        <w:rPr>
          <w:rFonts w:hint="eastAsia" w:ascii="宋体" w:hAnsi="宋体" w:eastAsia="宋体" w:cs="宋体"/>
          <w:lang w:eastAsia="zh-CN"/>
        </w:rPr>
        <w:t>和</w:t>
      </w:r>
      <w:r>
        <w:rPr>
          <w:lang w:eastAsia="zh-CN"/>
        </w:rPr>
        <w:t>12</w:t>
      </w:r>
      <w:r>
        <w:rPr>
          <w:rFonts w:hint="eastAsia" w:ascii="宋体" w:hAnsi="宋体" w:eastAsia="宋体" w:cs="宋体"/>
          <w:lang w:eastAsia="zh-CN"/>
        </w:rPr>
        <w:t>类加香产品类型进行全面审查。</w:t>
      </w:r>
    </w:p>
    <w:p w14:paraId="588EE95A">
      <w:pPr>
        <w:pStyle w:val="4"/>
        <w:spacing w:before="6" w:line="300" w:lineRule="auto"/>
        <w:rPr>
          <w:sz w:val="32"/>
          <w:lang w:eastAsia="zh-CN"/>
        </w:rPr>
      </w:pPr>
    </w:p>
    <w:p w14:paraId="7D9AF623">
      <w:pPr>
        <w:pStyle w:val="2"/>
        <w:numPr>
          <w:ilvl w:val="1"/>
          <w:numId w:val="3"/>
        </w:numPr>
        <w:tabs>
          <w:tab w:val="left" w:pos="500"/>
        </w:tabs>
        <w:spacing w:line="300" w:lineRule="auto"/>
        <w:ind w:left="500" w:hanging="360"/>
        <w:jc w:val="both"/>
      </w:pPr>
      <w:r>
        <w:rPr>
          <w:rFonts w:hint="eastAsia" w:ascii="宋体" w:hAnsi="宋体" w:eastAsia="宋体" w:cs="宋体"/>
          <w:lang w:eastAsia="zh-CN"/>
        </w:rPr>
        <w:t>痕量管理</w:t>
      </w:r>
    </w:p>
    <w:p w14:paraId="3CE191C1">
      <w:pPr>
        <w:pStyle w:val="4"/>
        <w:spacing w:before="62" w:line="300" w:lineRule="auto"/>
        <w:ind w:left="140" w:right="693"/>
        <w:jc w:val="both"/>
      </w:pPr>
      <w:r>
        <w:rPr>
          <w:rFonts w:hint="eastAsia" w:ascii="宋体" w:hAnsi="宋体" w:eastAsia="宋体" w:cs="宋体"/>
          <w:lang w:eastAsia="zh-CN"/>
        </w:rPr>
        <w:t>如咨询结束</w:t>
      </w:r>
      <w:r>
        <w:rPr>
          <w:rFonts w:hint="eastAsia" w:ascii="宋体" w:hAnsi="宋体" w:eastAsia="宋体" w:cs="宋体"/>
          <w:lang w:val="en-US" w:eastAsia="zh-CN"/>
        </w:rPr>
        <w:t>函</w:t>
      </w:r>
      <w:r>
        <w:rPr>
          <w:rFonts w:hint="eastAsia" w:ascii="宋体" w:hAnsi="宋体" w:eastAsia="宋体" w:cs="宋体"/>
          <w:lang w:eastAsia="zh-CN"/>
        </w:rPr>
        <w:t>所述，咨询期间收到了关于技术上无法避免的痕</w:t>
      </w:r>
      <w:r>
        <w:rPr>
          <w:rFonts w:hint="eastAsia" w:ascii="宋体" w:hAnsi="宋体" w:eastAsia="宋体" w:cs="宋体"/>
          <w:lang w:val="en-US" w:eastAsia="zh-CN"/>
        </w:rPr>
        <w:t>量香料</w:t>
      </w:r>
      <w:r>
        <w:rPr>
          <w:rFonts w:hint="eastAsia" w:ascii="宋体" w:hAnsi="宋体" w:eastAsia="宋体" w:cs="宋体"/>
          <w:lang w:eastAsia="zh-CN"/>
        </w:rPr>
        <w:t>管理的意见。因此，</w:t>
      </w:r>
      <w:r>
        <w:rPr>
          <w:lang w:eastAsia="zh-CN"/>
        </w:rPr>
        <w:t>RMTF</w:t>
      </w:r>
      <w:r>
        <w:rPr>
          <w:rFonts w:hint="eastAsia" w:ascii="宋体" w:hAnsi="宋体" w:eastAsia="宋体" w:cs="宋体"/>
          <w:lang w:eastAsia="zh-CN"/>
        </w:rPr>
        <w:t>重新审视了指导文件中建议的措辞，但认为目前的文本足以说明供应链中交换信息的作用和责任，是负责任地管理消费成品中的痕量香料的基础。</w:t>
      </w:r>
      <w:r>
        <w:t>.</w:t>
      </w:r>
    </w:p>
    <w:p w14:paraId="34A16877">
      <w:pPr>
        <w:pStyle w:val="4"/>
        <w:spacing w:before="3" w:line="300" w:lineRule="auto"/>
        <w:rPr>
          <w:sz w:val="32"/>
        </w:rPr>
      </w:pPr>
    </w:p>
    <w:p w14:paraId="2F315E6B">
      <w:pPr>
        <w:pStyle w:val="2"/>
        <w:numPr>
          <w:ilvl w:val="1"/>
          <w:numId w:val="3"/>
        </w:numPr>
        <w:tabs>
          <w:tab w:val="left" w:pos="500"/>
        </w:tabs>
        <w:spacing w:before="1" w:line="300" w:lineRule="auto"/>
        <w:ind w:left="500" w:hanging="360"/>
        <w:jc w:val="both"/>
        <w:rPr>
          <w:lang w:eastAsia="zh-CN"/>
        </w:rPr>
      </w:pPr>
      <w:r>
        <w:rPr>
          <w:rFonts w:hint="eastAsia" w:ascii="宋体" w:hAnsi="宋体" w:eastAsia="宋体" w:cs="宋体"/>
          <w:lang w:eastAsia="zh-CN"/>
        </w:rPr>
        <w:t>第</w:t>
      </w:r>
      <w:r>
        <w:rPr>
          <w:lang w:eastAsia="zh-CN"/>
        </w:rPr>
        <w:t>6</w:t>
      </w:r>
      <w:r>
        <w:rPr>
          <w:rFonts w:hint="eastAsia" w:ascii="宋体" w:hAnsi="宋体" w:eastAsia="宋体" w:cs="宋体"/>
          <w:lang w:eastAsia="zh-CN"/>
        </w:rPr>
        <w:t>类产品中光毒性的考虑</w:t>
      </w:r>
    </w:p>
    <w:p w14:paraId="140009C3">
      <w:pPr>
        <w:pStyle w:val="4"/>
        <w:spacing w:before="59" w:line="300" w:lineRule="auto"/>
        <w:ind w:left="140" w:right="692"/>
        <w:jc w:val="both"/>
        <w:rPr>
          <w:lang w:eastAsia="zh-CN"/>
        </w:rPr>
      </w:pPr>
      <w:r>
        <w:rPr>
          <w:rFonts w:hint="eastAsia" w:ascii="宋体" w:hAnsi="宋体" w:eastAsia="宋体" w:cs="宋体"/>
          <w:lang w:eastAsia="zh-CN"/>
        </w:rPr>
        <w:t>有人要求说明将有光毒性的</w:t>
      </w:r>
      <w:r>
        <w:rPr>
          <w:rFonts w:hint="eastAsia" w:ascii="宋体" w:hAnsi="宋体" w:eastAsia="宋体" w:cs="宋体"/>
          <w:lang w:val="en-US" w:eastAsia="zh-CN"/>
        </w:rPr>
        <w:t>驻留</w:t>
      </w:r>
      <w:r>
        <w:rPr>
          <w:rFonts w:hint="eastAsia" w:ascii="宋体" w:hAnsi="宋体" w:eastAsia="宋体" w:cs="宋体"/>
          <w:lang w:eastAsia="zh-CN"/>
        </w:rPr>
        <w:t>型产品放入第六类产品的理由。管理评审小组（</w:t>
      </w:r>
      <w:r>
        <w:rPr>
          <w:rFonts w:hint="eastAsia" w:ascii="Arial" w:hAnsi="Arial" w:eastAsia="Arial" w:cs="Arial"/>
          <w:lang w:eastAsia="zh-CN"/>
        </w:rPr>
        <w:t>RMTI</w:t>
      </w:r>
      <w:r>
        <w:rPr>
          <w:rFonts w:hint="eastAsia" w:ascii="宋体" w:hAnsi="宋体" w:eastAsia="宋体" w:cs="宋体"/>
          <w:lang w:eastAsia="zh-CN"/>
        </w:rPr>
        <w:t>）一致认为，这种做法非常保守，因为唇部接触是</w:t>
      </w:r>
      <w:r>
        <w:rPr>
          <w:lang w:eastAsia="zh-CN"/>
        </w:rPr>
        <w:t>"</w:t>
      </w:r>
      <w:r>
        <w:rPr>
          <w:rFonts w:hint="eastAsia" w:ascii="宋体" w:hAnsi="宋体" w:eastAsia="宋体" w:cs="宋体"/>
          <w:lang w:eastAsia="zh-CN"/>
        </w:rPr>
        <w:t>偶然的</w:t>
      </w:r>
      <w:r>
        <w:rPr>
          <w:lang w:eastAsia="zh-CN"/>
        </w:rPr>
        <w:t>"</w:t>
      </w:r>
      <w:r>
        <w:rPr>
          <w:rFonts w:hint="eastAsia" w:ascii="宋体" w:hAnsi="宋体" w:eastAsia="宋体" w:cs="宋体"/>
          <w:lang w:eastAsia="zh-CN"/>
        </w:rPr>
        <w:t>，主要应用部位是口腔，暴露在阳光下的时间并不多。</w:t>
      </w:r>
    </w:p>
    <w:p w14:paraId="60833DFA">
      <w:pPr>
        <w:pStyle w:val="4"/>
        <w:spacing w:before="59" w:line="300" w:lineRule="auto"/>
        <w:ind w:left="140" w:right="692"/>
        <w:jc w:val="both"/>
        <w:rPr>
          <w:lang w:eastAsia="zh-CN"/>
        </w:rPr>
      </w:pPr>
      <w:r>
        <w:rPr>
          <w:rFonts w:hint="eastAsia" w:ascii="宋体" w:hAnsi="宋体" w:eastAsia="宋体" w:cs="宋体"/>
          <w:lang w:eastAsia="zh-CN"/>
        </w:rPr>
        <w:t>由于这个问题是风险评估的固有问题，因此通过香料研究所征询了香料安全</w:t>
      </w:r>
      <w:r>
        <w:rPr>
          <w:rFonts w:hint="eastAsia" w:ascii="宋体" w:hAnsi="宋体" w:eastAsia="宋体" w:cs="宋体"/>
          <w:lang w:val="en-US" w:eastAsia="zh-CN"/>
        </w:rPr>
        <w:t>性</w:t>
      </w:r>
      <w:r>
        <w:rPr>
          <w:rFonts w:hint="eastAsia" w:ascii="宋体" w:hAnsi="宋体" w:eastAsia="宋体" w:cs="宋体"/>
          <w:lang w:eastAsia="zh-CN"/>
        </w:rPr>
        <w:t>专家小组的意见。专家小组认为，对于普通人来说，牙膏和漱口水是冲洗型的，但也有其他类型，如口腔喷雾剂，可能会有一些</w:t>
      </w:r>
      <w:r>
        <w:rPr>
          <w:rFonts w:hint="eastAsia" w:ascii="宋体" w:hAnsi="宋体" w:eastAsia="宋体" w:cs="宋体"/>
          <w:lang w:val="en-US" w:eastAsia="zh-CN"/>
        </w:rPr>
        <w:t>驻</w:t>
      </w:r>
      <w:r>
        <w:rPr>
          <w:rFonts w:hint="eastAsia" w:ascii="宋体" w:hAnsi="宋体" w:eastAsia="宋体" w:cs="宋体"/>
          <w:lang w:eastAsia="zh-CN"/>
        </w:rPr>
        <w:t>留的成分。至于在嘴唇和邻近皮肤部位涂抹是否会产生更多潜在的补救措施，是否有理由考虑</w:t>
      </w:r>
      <w:r>
        <w:rPr>
          <w:rFonts w:hint="eastAsia" w:ascii="宋体" w:hAnsi="宋体" w:eastAsia="宋体" w:cs="宋体"/>
          <w:lang w:val="en-US" w:eastAsia="zh-CN"/>
        </w:rPr>
        <w:t>驻留</w:t>
      </w:r>
      <w:r>
        <w:rPr>
          <w:rFonts w:hint="eastAsia" w:ascii="宋体" w:hAnsi="宋体" w:eastAsia="宋体" w:cs="宋体"/>
          <w:lang w:eastAsia="zh-CN"/>
        </w:rPr>
        <w:t>光毒性，这一点值得怀疑，而且从临床角度来看，没有迹象表明患者因使用漱口水等而产生光毒性影响。</w:t>
      </w:r>
    </w:p>
    <w:p w14:paraId="25ED8C3E">
      <w:pPr>
        <w:pStyle w:val="4"/>
        <w:spacing w:before="59" w:line="300" w:lineRule="auto"/>
        <w:ind w:left="140" w:right="692"/>
        <w:jc w:val="both"/>
        <w:rPr>
          <w:lang w:eastAsia="zh-CN"/>
        </w:rPr>
      </w:pPr>
      <w:r>
        <w:rPr>
          <w:rFonts w:hint="eastAsia" w:ascii="宋体" w:hAnsi="宋体" w:eastAsia="宋体" w:cs="宋体"/>
          <w:lang w:eastAsia="zh-CN"/>
        </w:rPr>
        <w:t>因此，香料安全专家小组得出结论，就光毒性而言，第</w:t>
      </w:r>
      <w:r>
        <w:rPr>
          <w:lang w:eastAsia="zh-CN"/>
        </w:rPr>
        <w:t>6</w:t>
      </w:r>
      <w:r>
        <w:rPr>
          <w:rFonts w:hint="eastAsia" w:ascii="宋体" w:hAnsi="宋体" w:eastAsia="宋体" w:cs="宋体"/>
          <w:lang w:eastAsia="zh-CN"/>
        </w:rPr>
        <w:t>类产品可视为冲洗型产品。因此，对标准的指导文件进行了更新，并在本通知书中多次强调了这一变化对个别标准的影响。</w:t>
      </w:r>
    </w:p>
    <w:p w14:paraId="2529F9FF">
      <w:pPr>
        <w:pStyle w:val="4"/>
        <w:spacing w:before="6" w:line="300" w:lineRule="auto"/>
        <w:rPr>
          <w:sz w:val="32"/>
          <w:lang w:eastAsia="zh-CN"/>
        </w:rPr>
      </w:pPr>
    </w:p>
    <w:p w14:paraId="56686C73">
      <w:pPr>
        <w:pStyle w:val="2"/>
        <w:numPr>
          <w:ilvl w:val="1"/>
          <w:numId w:val="3"/>
        </w:numPr>
        <w:tabs>
          <w:tab w:val="left" w:pos="500"/>
        </w:tabs>
        <w:spacing w:line="300" w:lineRule="auto"/>
        <w:ind w:left="500" w:hanging="360"/>
        <w:jc w:val="both"/>
        <w:rPr>
          <w:lang w:eastAsia="zh-CN"/>
        </w:rPr>
      </w:pPr>
      <w:r>
        <w:rPr>
          <w:rFonts w:hint="eastAsia" w:ascii="宋体" w:hAnsi="宋体" w:eastAsia="宋体" w:cs="宋体"/>
          <w:lang w:eastAsia="zh-CN"/>
        </w:rPr>
        <w:t>指南中删除</w:t>
      </w:r>
      <w:r>
        <w:rPr>
          <w:lang w:eastAsia="zh-CN"/>
        </w:rPr>
        <w:t xml:space="preserve"> "</w:t>
      </w:r>
      <w:r>
        <w:rPr>
          <w:rFonts w:hint="eastAsia" w:ascii="宋体" w:hAnsi="宋体" w:eastAsia="宋体" w:cs="宋体"/>
          <w:lang w:eastAsia="zh-CN"/>
        </w:rPr>
        <w:t>防晒霜</w:t>
      </w:r>
      <w:r>
        <w:rPr>
          <w:lang w:eastAsia="zh-CN"/>
        </w:rPr>
        <w:t xml:space="preserve"> </w:t>
      </w:r>
      <w:r>
        <w:rPr>
          <w:rFonts w:hint="default" w:ascii="Arial" w:hAnsi="Arial" w:eastAsia="Arial" w:cs="Arial"/>
          <w:bCs w:val="0"/>
          <w:lang w:eastAsia="zh-CN"/>
        </w:rPr>
        <w:t>（</w:t>
      </w:r>
      <w:r>
        <w:rPr>
          <w:rFonts w:hint="default" w:ascii="Arial" w:hAnsi="Arial" w:eastAsia="Arial" w:cs="Arial"/>
          <w:b/>
          <w:bCs w:val="0"/>
          <w:lang w:eastAsia="zh-CN"/>
        </w:rPr>
        <w:t>sunblock</w:t>
      </w:r>
      <w:r>
        <w:rPr>
          <w:rFonts w:hint="default" w:ascii="Arial" w:hAnsi="Arial" w:eastAsia="Arial" w:cs="Arial"/>
          <w:bCs w:val="0"/>
          <w:lang w:eastAsia="zh-CN"/>
        </w:rPr>
        <w:t>）</w:t>
      </w:r>
      <w:r>
        <w:rPr>
          <w:lang w:eastAsia="zh-CN"/>
        </w:rPr>
        <w:t>"</w:t>
      </w:r>
      <w:r>
        <w:rPr>
          <w:rFonts w:hint="eastAsia" w:ascii="宋体" w:hAnsi="宋体" w:eastAsia="宋体" w:cs="宋体"/>
          <w:lang w:eastAsia="zh-CN"/>
        </w:rPr>
        <w:t>术语</w:t>
      </w:r>
    </w:p>
    <w:p w14:paraId="407E1606">
      <w:pPr>
        <w:jc w:val="both"/>
        <w:rPr>
          <w:lang w:eastAsia="zh-CN"/>
        </w:rPr>
        <w:sectPr>
          <w:pgSz w:w="11910" w:h="16840"/>
          <w:pgMar w:top="1500" w:right="20" w:bottom="980" w:left="580" w:header="432" w:footer="781" w:gutter="0"/>
          <w:cols w:space="720" w:num="1"/>
        </w:sectPr>
      </w:pPr>
    </w:p>
    <w:p w14:paraId="7098442E">
      <w:pPr>
        <w:pStyle w:val="4"/>
        <w:spacing w:before="3"/>
        <w:rPr>
          <w:b/>
          <w:sz w:val="16"/>
          <w:lang w:eastAsia="zh-CN"/>
        </w:rPr>
      </w:pPr>
    </w:p>
    <w:p w14:paraId="1C7C8356">
      <w:pPr>
        <w:pStyle w:val="4"/>
        <w:spacing w:before="94" w:line="300" w:lineRule="auto"/>
        <w:ind w:left="140" w:right="690"/>
        <w:jc w:val="both"/>
        <w:rPr>
          <w:lang w:eastAsia="zh-CN"/>
        </w:rPr>
      </w:pPr>
      <w:r>
        <w:rPr>
          <w:rFonts w:hint="eastAsia" w:ascii="宋体" w:hAnsi="宋体" w:eastAsia="宋体" w:cs="宋体"/>
          <w:lang w:eastAsia="zh-CN"/>
        </w:rPr>
        <w:t>指南中</w:t>
      </w:r>
      <w:r>
        <w:rPr>
          <w:lang w:eastAsia="zh-CN"/>
        </w:rPr>
        <w:t xml:space="preserve"> "</w:t>
      </w:r>
      <w:r>
        <w:rPr>
          <w:rFonts w:hint="eastAsia" w:ascii="宋体" w:hAnsi="宋体" w:eastAsia="宋体" w:cs="宋体"/>
          <w:lang w:eastAsia="zh-CN"/>
        </w:rPr>
        <w:t>防晒霜</w:t>
      </w:r>
      <w:r>
        <w:rPr>
          <w:lang w:eastAsia="zh-CN"/>
        </w:rPr>
        <w:t xml:space="preserve"> "</w:t>
      </w:r>
      <w:r>
        <w:rPr>
          <w:rFonts w:hint="eastAsia" w:ascii="宋体" w:hAnsi="宋体" w:eastAsia="宋体" w:cs="宋体"/>
          <w:lang w:eastAsia="zh-CN"/>
        </w:rPr>
        <w:t>一词的方式已经过时，建议改用</w:t>
      </w:r>
      <w:r>
        <w:rPr>
          <w:lang w:eastAsia="zh-CN"/>
        </w:rPr>
        <w:t xml:space="preserve"> "</w:t>
      </w:r>
      <w:r>
        <w:rPr>
          <w:rFonts w:hint="eastAsia" w:ascii="宋体" w:hAnsi="宋体" w:eastAsia="宋体" w:cs="宋体"/>
          <w:lang w:eastAsia="zh-CN"/>
        </w:rPr>
        <w:t>紫外线过滤剂</w:t>
      </w:r>
      <w:r>
        <w:rPr>
          <w:lang w:eastAsia="zh-CN"/>
        </w:rPr>
        <w:t xml:space="preserve"> </w:t>
      </w:r>
      <w:r>
        <w:rPr>
          <w:rFonts w:hint="default" w:eastAsia="Arial"/>
          <w:b w:val="0"/>
          <w:bCs w:val="0"/>
          <w:lang w:eastAsia="zh-CN"/>
        </w:rPr>
        <w:t>（UV filters）</w:t>
      </w:r>
      <w:r>
        <w:rPr>
          <w:lang w:eastAsia="zh-CN"/>
        </w:rPr>
        <w:t>"</w:t>
      </w:r>
      <w:r>
        <w:rPr>
          <w:rFonts w:hint="eastAsia" w:ascii="宋体" w:hAnsi="宋体" w:eastAsia="宋体" w:cs="宋体"/>
          <w:lang w:eastAsia="zh-CN"/>
        </w:rPr>
        <w:t>一词。</w:t>
      </w:r>
      <w:r>
        <w:rPr>
          <w:lang w:eastAsia="zh-CN"/>
        </w:rPr>
        <w:t xml:space="preserve">RMTF </w:t>
      </w:r>
      <w:r>
        <w:rPr>
          <w:rFonts w:hint="eastAsia" w:ascii="宋体" w:hAnsi="宋体" w:eastAsia="宋体" w:cs="宋体"/>
          <w:lang w:eastAsia="zh-CN"/>
        </w:rPr>
        <w:t>对此表示同意，并对指导文件进行了相应的更新。</w:t>
      </w:r>
    </w:p>
    <w:p w14:paraId="6FC73FFF">
      <w:pPr>
        <w:pStyle w:val="4"/>
        <w:spacing w:before="3" w:line="300" w:lineRule="auto"/>
        <w:rPr>
          <w:sz w:val="32"/>
          <w:lang w:eastAsia="zh-CN"/>
        </w:rPr>
      </w:pPr>
    </w:p>
    <w:p w14:paraId="49EF1DF6">
      <w:pPr>
        <w:pStyle w:val="2"/>
        <w:numPr>
          <w:ilvl w:val="1"/>
          <w:numId w:val="3"/>
        </w:numPr>
        <w:tabs>
          <w:tab w:val="left" w:pos="500"/>
        </w:tabs>
        <w:spacing w:line="300" w:lineRule="auto"/>
        <w:ind w:left="500" w:hanging="360"/>
        <w:jc w:val="both"/>
        <w:rPr>
          <w:lang w:eastAsia="zh-CN"/>
        </w:rPr>
      </w:pPr>
      <w:r>
        <w:rPr>
          <w:rFonts w:hint="eastAsia" w:ascii="宋体" w:hAnsi="宋体" w:eastAsia="宋体" w:cs="宋体"/>
          <w:lang w:eastAsia="zh-CN"/>
        </w:rPr>
        <w:t>脸部和眼部卸妆液也包括可能接触嘴唇的卸妆液的说明</w:t>
      </w:r>
    </w:p>
    <w:p w14:paraId="755D37D0">
      <w:pPr>
        <w:pStyle w:val="4"/>
        <w:spacing w:before="62" w:line="300" w:lineRule="auto"/>
        <w:ind w:left="140" w:right="690"/>
        <w:jc w:val="both"/>
        <w:rPr>
          <w:lang w:eastAsia="zh-CN"/>
        </w:rPr>
      </w:pPr>
      <w:r>
        <w:rPr>
          <w:rFonts w:hint="eastAsia" w:ascii="宋体" w:hAnsi="宋体" w:eastAsia="宋体" w:cs="宋体"/>
          <w:lang w:eastAsia="zh-CN"/>
        </w:rPr>
        <w:t>咨询期间提出的问题应可通过</w:t>
      </w:r>
      <w:r>
        <w:rPr>
          <w:lang w:eastAsia="zh-CN"/>
        </w:rPr>
        <w:t>IFRA IL1107</w:t>
      </w:r>
      <w:r>
        <w:rPr>
          <w:rFonts w:hint="eastAsia" w:ascii="宋体" w:hAnsi="宋体" w:eastAsia="宋体" w:cs="宋体"/>
          <w:lang w:eastAsia="zh-CN"/>
        </w:rPr>
        <w:t>得到充分解答，相关信息已纳入指导文件第</w:t>
      </w:r>
      <w:r>
        <w:rPr>
          <w:lang w:eastAsia="zh-CN"/>
        </w:rPr>
        <w:t>1.6.2.2</w:t>
      </w:r>
      <w:r>
        <w:rPr>
          <w:rFonts w:hint="eastAsia" w:ascii="宋体" w:hAnsi="宋体" w:eastAsia="宋体" w:cs="宋体"/>
          <w:lang w:eastAsia="zh-CN"/>
        </w:rPr>
        <w:t>节的多用途产品中，包括与嘴唇接触的产品。此外，指导文件表</w:t>
      </w:r>
      <w:r>
        <w:rPr>
          <w:lang w:eastAsia="zh-CN"/>
        </w:rPr>
        <w:t>11</w:t>
      </w:r>
      <w:r>
        <w:rPr>
          <w:rFonts w:hint="eastAsia" w:ascii="宋体" w:hAnsi="宋体" w:eastAsia="宋体" w:cs="宋体"/>
          <w:lang w:eastAsia="zh-CN"/>
        </w:rPr>
        <w:t>中还添加了一个脚注。</w:t>
      </w:r>
    </w:p>
    <w:p w14:paraId="1433116A">
      <w:pPr>
        <w:pStyle w:val="4"/>
        <w:spacing w:before="5" w:line="300" w:lineRule="auto"/>
        <w:rPr>
          <w:sz w:val="32"/>
          <w:lang w:eastAsia="zh-CN"/>
        </w:rPr>
      </w:pPr>
    </w:p>
    <w:p w14:paraId="062FC3E3">
      <w:pPr>
        <w:pStyle w:val="2"/>
        <w:numPr>
          <w:ilvl w:val="1"/>
          <w:numId w:val="3"/>
        </w:numPr>
        <w:tabs>
          <w:tab w:val="left" w:pos="500"/>
        </w:tabs>
        <w:spacing w:line="300" w:lineRule="auto"/>
        <w:ind w:left="500" w:hanging="360"/>
        <w:jc w:val="both"/>
        <w:rPr>
          <w:lang w:eastAsia="zh-CN"/>
        </w:rPr>
      </w:pPr>
      <w:r>
        <w:rPr>
          <w:rFonts w:hint="eastAsia" w:ascii="宋体" w:hAnsi="宋体" w:eastAsia="宋体" w:cs="宋体"/>
          <w:lang w:eastAsia="zh-CN"/>
        </w:rPr>
        <w:t>关于第</w:t>
      </w:r>
      <w:r>
        <w:rPr>
          <w:lang w:eastAsia="zh-CN"/>
        </w:rPr>
        <w:t>4</w:t>
      </w:r>
      <w:r>
        <w:rPr>
          <w:rFonts w:hint="eastAsia" w:ascii="宋体" w:hAnsi="宋体" w:eastAsia="宋体" w:cs="宋体"/>
          <w:lang w:eastAsia="zh-CN"/>
        </w:rPr>
        <w:t>类中</w:t>
      </w:r>
      <w:r>
        <w:rPr>
          <w:lang w:eastAsia="zh-CN"/>
        </w:rPr>
        <w:t>"</w:t>
      </w:r>
      <w:r>
        <w:rPr>
          <w:rFonts w:hint="eastAsia" w:ascii="宋体" w:hAnsi="宋体" w:eastAsia="宋体" w:cs="宋体"/>
          <w:lang w:eastAsia="zh-CN"/>
        </w:rPr>
        <w:t>所有类型的须后水</w:t>
      </w:r>
      <w:r>
        <w:rPr>
          <w:lang w:eastAsia="zh-CN"/>
        </w:rPr>
        <w:t>"</w:t>
      </w:r>
      <w:r>
        <w:rPr>
          <w:rFonts w:hint="eastAsia" w:ascii="宋体" w:hAnsi="宋体" w:eastAsia="宋体" w:cs="宋体"/>
          <w:lang w:eastAsia="zh-CN"/>
        </w:rPr>
        <w:t>的说明</w:t>
      </w:r>
    </w:p>
    <w:p w14:paraId="717A8DAA">
      <w:pPr>
        <w:pStyle w:val="4"/>
        <w:spacing w:before="61" w:line="300" w:lineRule="auto"/>
        <w:ind w:left="140" w:right="692"/>
        <w:jc w:val="both"/>
        <w:rPr>
          <w:lang w:eastAsia="zh-CN"/>
        </w:rPr>
      </w:pPr>
      <w:r>
        <w:rPr>
          <w:rFonts w:hint="eastAsia" w:ascii="宋体" w:hAnsi="宋体" w:eastAsia="宋体" w:cs="宋体"/>
          <w:lang w:eastAsia="zh-CN"/>
        </w:rPr>
        <w:t>作为咨询的一部分，在指导文件的表</w:t>
      </w:r>
      <w:r>
        <w:rPr>
          <w:lang w:eastAsia="zh-CN"/>
        </w:rPr>
        <w:t xml:space="preserve"> 11 </w:t>
      </w:r>
      <w:r>
        <w:rPr>
          <w:rFonts w:hint="eastAsia" w:ascii="宋体" w:hAnsi="宋体" w:eastAsia="宋体" w:cs="宋体"/>
          <w:lang w:eastAsia="zh-CN"/>
        </w:rPr>
        <w:t>中指出，</w:t>
      </w:r>
      <w:r>
        <w:rPr>
          <w:lang w:eastAsia="zh-CN"/>
        </w:rPr>
        <w:t>"</w:t>
      </w:r>
      <w:r>
        <w:rPr>
          <w:rFonts w:hint="eastAsia" w:ascii="宋体" w:hAnsi="宋体" w:eastAsia="宋体" w:cs="宋体"/>
          <w:lang w:eastAsia="zh-CN"/>
        </w:rPr>
        <w:t>所有类型的须后水</w:t>
      </w:r>
      <w:r>
        <w:rPr>
          <w:lang w:eastAsia="zh-CN"/>
        </w:rPr>
        <w:t xml:space="preserve"> "</w:t>
      </w:r>
      <w:r>
        <w:rPr>
          <w:rFonts w:hint="eastAsia" w:ascii="宋体" w:hAnsi="宋体" w:eastAsia="宋体" w:cs="宋体"/>
          <w:lang w:eastAsia="zh-CN"/>
        </w:rPr>
        <w:t>被归入第</w:t>
      </w:r>
      <w:r>
        <w:rPr>
          <w:lang w:eastAsia="zh-CN"/>
        </w:rPr>
        <w:t xml:space="preserve"> 4 </w:t>
      </w:r>
      <w:r>
        <w:rPr>
          <w:rFonts w:hint="eastAsia" w:ascii="宋体" w:hAnsi="宋体" w:eastAsia="宋体" w:cs="宋体"/>
          <w:lang w:eastAsia="zh-CN"/>
        </w:rPr>
        <w:t>类，而在指导文件的其他部分，一些须后水是乳霜和乳液产品，可归入第</w:t>
      </w:r>
      <w:r>
        <w:rPr>
          <w:lang w:eastAsia="zh-CN"/>
        </w:rPr>
        <w:t xml:space="preserve"> 5B </w:t>
      </w:r>
      <w:r>
        <w:rPr>
          <w:rFonts w:hint="eastAsia" w:ascii="宋体" w:hAnsi="宋体" w:eastAsia="宋体" w:cs="宋体"/>
          <w:lang w:eastAsia="zh-CN"/>
        </w:rPr>
        <w:t>类面部保湿剂。因此，建议在表</w:t>
      </w:r>
      <w:r>
        <w:rPr>
          <w:lang w:eastAsia="zh-CN"/>
        </w:rPr>
        <w:t xml:space="preserve"> 11 </w:t>
      </w:r>
      <w:r>
        <w:rPr>
          <w:rFonts w:hint="eastAsia" w:ascii="宋体" w:hAnsi="宋体" w:eastAsia="宋体" w:cs="宋体"/>
          <w:lang w:eastAsia="zh-CN"/>
        </w:rPr>
        <w:t>中更准确地描述第</w:t>
      </w:r>
      <w:r>
        <w:rPr>
          <w:lang w:eastAsia="zh-CN"/>
        </w:rPr>
        <w:t xml:space="preserve"> 4 </w:t>
      </w:r>
      <w:r>
        <w:rPr>
          <w:rFonts w:hint="eastAsia" w:ascii="宋体" w:hAnsi="宋体" w:eastAsia="宋体" w:cs="宋体"/>
          <w:lang w:eastAsia="zh-CN"/>
        </w:rPr>
        <w:t>类。</w:t>
      </w:r>
    </w:p>
    <w:p w14:paraId="0599A76D">
      <w:pPr>
        <w:pStyle w:val="4"/>
        <w:spacing w:before="61" w:line="300" w:lineRule="auto"/>
        <w:ind w:left="140" w:right="692"/>
        <w:jc w:val="both"/>
        <w:rPr>
          <w:lang w:eastAsia="zh-CN"/>
        </w:rPr>
      </w:pPr>
      <w:r>
        <w:rPr>
          <w:lang w:eastAsia="zh-CN"/>
        </w:rPr>
        <w:t xml:space="preserve">IFRA RMTF </w:t>
      </w:r>
      <w:r>
        <w:rPr>
          <w:rFonts w:hint="eastAsia" w:ascii="宋体" w:hAnsi="宋体" w:eastAsia="宋体" w:cs="宋体"/>
          <w:lang w:eastAsia="zh-CN"/>
        </w:rPr>
        <w:t>同意这一建议，并对指南中的措辞进行了相应修改。此外，由于市场上也有不含酒精的产品，因此不再使用</w:t>
      </w:r>
      <w:r>
        <w:rPr>
          <w:lang w:eastAsia="zh-CN"/>
        </w:rPr>
        <w:t xml:space="preserve"> "</w:t>
      </w:r>
      <w:r>
        <w:rPr>
          <w:rFonts w:hint="eastAsia" w:ascii="宋体" w:hAnsi="宋体" w:eastAsia="宋体" w:cs="宋体"/>
          <w:lang w:eastAsia="zh-CN"/>
        </w:rPr>
        <w:t>水醇</w:t>
      </w:r>
      <w:r>
        <w:rPr>
          <w:rFonts w:hint="eastAsia" w:eastAsiaTheme="minorEastAsia"/>
          <w:lang w:eastAsia="zh-CN"/>
        </w:rPr>
        <w:t>（hydroalcoholic）</w:t>
      </w:r>
      <w:r>
        <w:rPr>
          <w:lang w:eastAsia="zh-CN"/>
        </w:rPr>
        <w:t>"</w:t>
      </w:r>
      <w:r>
        <w:rPr>
          <w:rFonts w:hint="eastAsia" w:ascii="宋体" w:hAnsi="宋体" w:eastAsia="宋体" w:cs="宋体"/>
          <w:lang w:eastAsia="zh-CN"/>
        </w:rPr>
        <w:t>一词来描述这类产品。指导文件中的新描述如下：</w:t>
      </w:r>
      <w:r>
        <w:rPr>
          <w:lang w:eastAsia="zh-CN"/>
        </w:rPr>
        <w:t>"</w:t>
      </w:r>
      <w:r>
        <w:rPr>
          <w:rFonts w:hint="eastAsia" w:ascii="宋体" w:hAnsi="宋体" w:eastAsia="宋体" w:cs="宋体"/>
          <w:lang w:eastAsia="zh-CN"/>
        </w:rPr>
        <w:t>所有类型的须后水（霜和</w:t>
      </w:r>
      <w:r>
        <w:rPr>
          <w:rFonts w:hint="eastAsia" w:ascii="宋体" w:hAnsi="宋体" w:eastAsia="宋体" w:cs="宋体"/>
          <w:lang w:val="en-US" w:eastAsia="zh-CN"/>
        </w:rPr>
        <w:t>唇</w:t>
      </w:r>
      <w:r>
        <w:rPr>
          <w:rFonts w:hint="eastAsia" w:ascii="宋体" w:hAnsi="宋体" w:eastAsia="宋体" w:cs="宋体"/>
          <w:lang w:eastAsia="zh-CN"/>
        </w:rPr>
        <w:t>膏除外）</w:t>
      </w:r>
      <w:r>
        <w:rPr>
          <w:lang w:eastAsia="zh-CN"/>
        </w:rPr>
        <w:t>"</w:t>
      </w:r>
      <w:r>
        <w:rPr>
          <w:rFonts w:hint="eastAsia" w:ascii="宋体" w:hAnsi="宋体" w:eastAsia="宋体" w:cs="宋体"/>
          <w:lang w:eastAsia="zh-CN"/>
        </w:rPr>
        <w:t>。</w:t>
      </w:r>
    </w:p>
    <w:p w14:paraId="72B8AD07">
      <w:pPr>
        <w:pStyle w:val="4"/>
        <w:spacing w:before="5" w:line="300" w:lineRule="auto"/>
        <w:rPr>
          <w:sz w:val="32"/>
          <w:lang w:eastAsia="zh-CN"/>
        </w:rPr>
      </w:pPr>
    </w:p>
    <w:p w14:paraId="31D2DABB">
      <w:pPr>
        <w:pStyle w:val="2"/>
        <w:numPr>
          <w:ilvl w:val="3"/>
          <w:numId w:val="4"/>
        </w:numPr>
        <w:tabs>
          <w:tab w:val="left" w:pos="500"/>
        </w:tabs>
        <w:spacing w:line="300" w:lineRule="auto"/>
        <w:ind w:left="500" w:right="693"/>
        <w:jc w:val="left"/>
        <w:rPr>
          <w:lang w:eastAsia="zh-CN"/>
        </w:rPr>
      </w:pPr>
      <w:bookmarkStart w:id="2" w:name="_bookmark2"/>
      <w:bookmarkEnd w:id="2"/>
      <w:r>
        <w:rPr>
          <w:rFonts w:hint="eastAsia" w:ascii="宋体" w:hAnsi="宋体" w:eastAsia="宋体" w:cs="宋体"/>
          <w:u w:val="thick"/>
          <w:lang w:eastAsia="zh-CN"/>
        </w:rPr>
        <w:t>作为咨询一部分的材料，将发布衍生自咨询内容的标准，或将不告知有新的或修订的标准</w:t>
      </w:r>
    </w:p>
    <w:p w14:paraId="011E1513">
      <w:pPr>
        <w:pStyle w:val="4"/>
        <w:spacing w:before="3" w:line="300" w:lineRule="auto"/>
        <w:rPr>
          <w:b/>
          <w:sz w:val="24"/>
          <w:lang w:eastAsia="zh-CN"/>
        </w:rPr>
      </w:pPr>
    </w:p>
    <w:p w14:paraId="7A1B24E8">
      <w:pPr>
        <w:spacing w:before="94" w:line="300" w:lineRule="auto"/>
        <w:ind w:left="140"/>
        <w:jc w:val="both"/>
        <w:rPr>
          <w:b/>
          <w:lang w:eastAsia="zh-CN"/>
        </w:rPr>
      </w:pPr>
      <w:r>
        <w:rPr>
          <w:b/>
          <w:lang w:eastAsia="zh-CN"/>
        </w:rPr>
        <w:t xml:space="preserve">3.1 </w:t>
      </w:r>
      <w:r>
        <w:rPr>
          <w:rFonts w:hint="eastAsia" w:ascii="宋体" w:hAnsi="宋体" w:eastAsia="宋体" w:cs="宋体"/>
          <w:b/>
          <w:lang w:eastAsia="zh-CN"/>
        </w:rPr>
        <w:t>香芹酮</w:t>
      </w:r>
      <w:r>
        <w:rPr>
          <w:b/>
          <w:lang w:eastAsia="zh-CN"/>
        </w:rPr>
        <w:t xml:space="preserve"> (CAS 99-49-0, 2244-16-8, 6485-40-1)</w:t>
      </w:r>
    </w:p>
    <w:p w14:paraId="7E63E286">
      <w:pPr>
        <w:spacing w:before="56" w:line="300" w:lineRule="auto"/>
        <w:ind w:left="140" w:right="693"/>
        <w:jc w:val="both"/>
        <w:rPr>
          <w:lang w:eastAsia="zh-CN"/>
        </w:rPr>
      </w:pPr>
      <w:r>
        <w:rPr>
          <w:rFonts w:hint="eastAsia" w:ascii="宋体" w:hAnsi="宋体" w:eastAsia="宋体" w:cs="宋体"/>
          <w:lang w:eastAsia="zh-CN"/>
        </w:rPr>
        <w:t>咨询中提出这样的一些问题：与现行标准相比，各种产品类别中的最大可接受浓度水平都有所降低。修订后的标准仅由系统毒性驱动。在考虑系统毒性时，最大可接受浓度水平的分布是由各个类别中报告的暴露量决定的。根据咨询反馈，</w:t>
      </w:r>
      <w:r>
        <w:rPr>
          <w:lang w:eastAsia="zh-CN"/>
        </w:rPr>
        <w:t xml:space="preserve">RIFM </w:t>
      </w:r>
      <w:r>
        <w:rPr>
          <w:rFonts w:hint="eastAsia" w:ascii="宋体" w:hAnsi="宋体" w:eastAsia="宋体" w:cs="宋体"/>
          <w:lang w:eastAsia="zh-CN"/>
        </w:rPr>
        <w:t>和专家小组一直在根据原始研究报告调查是否可以修订（增加）无可见有害作用水平。在发出通知时，调查尚未结束，但表明无可见有害作用水平可能会提高，从而导致修订后的最大可接受浓度水平提高，并修订</w:t>
      </w:r>
      <w:r>
        <w:rPr>
          <w:lang w:eastAsia="zh-CN"/>
        </w:rPr>
        <w:t xml:space="preserve"> RIFM </w:t>
      </w:r>
      <w:r>
        <w:rPr>
          <w:rFonts w:hint="eastAsia" w:ascii="宋体" w:hAnsi="宋体" w:eastAsia="宋体" w:cs="宋体"/>
          <w:lang w:eastAsia="zh-CN"/>
        </w:rPr>
        <w:t>安全评估。因此，</w:t>
      </w:r>
      <w:r>
        <w:rPr>
          <w:lang w:eastAsia="zh-CN"/>
        </w:rPr>
        <w:t xml:space="preserve">RMTF </w:t>
      </w:r>
      <w:r>
        <w:rPr>
          <w:rFonts w:hint="eastAsia" w:ascii="宋体" w:hAnsi="宋体" w:eastAsia="宋体" w:cs="宋体"/>
          <w:lang w:eastAsia="zh-CN"/>
        </w:rPr>
        <w:t>决定将香芹酮从第</w:t>
      </w:r>
      <w:r>
        <w:rPr>
          <w:lang w:eastAsia="zh-CN"/>
        </w:rPr>
        <w:t xml:space="preserve"> 51 </w:t>
      </w:r>
      <w:r>
        <w:rPr>
          <w:rFonts w:hint="eastAsia" w:ascii="宋体" w:hAnsi="宋体" w:eastAsia="宋体" w:cs="宋体"/>
          <w:lang w:eastAsia="zh-CN"/>
        </w:rPr>
        <w:t>项修正案的范围中删除，并根据最新的安全评估结果将其纳入下一次修订中。</w:t>
      </w:r>
    </w:p>
    <w:p w14:paraId="58F61900">
      <w:pPr>
        <w:spacing w:before="56" w:line="300" w:lineRule="auto"/>
        <w:ind w:left="140" w:right="693"/>
        <w:jc w:val="both"/>
      </w:pPr>
      <w:r>
        <w:rPr>
          <w:rFonts w:hint="eastAsia" w:ascii="宋体" w:hAnsi="宋体" w:eastAsia="宋体" w:cs="宋体"/>
        </w:rPr>
        <w:t>工作组进一步指出，在关于其他来源所含成分的附件中，姜草（报告含有</w:t>
      </w:r>
      <w:r>
        <w:t>4%</w:t>
      </w:r>
      <w:r>
        <w:rPr>
          <w:rFonts w:hint="eastAsia" w:ascii="宋体" w:hAnsi="宋体" w:eastAsia="宋体" w:cs="宋体"/>
        </w:rPr>
        <w:t>的香芹酮）的植物学名称不是</w:t>
      </w:r>
      <w:r>
        <w:rPr>
          <w:i/>
          <w:iCs/>
        </w:rPr>
        <w:t>Cymbopogon winterianus Jowitt</w:t>
      </w:r>
      <w:r>
        <w:rPr>
          <w:rFonts w:hint="eastAsia" w:ascii="宋体" w:hAnsi="宋体" w:eastAsia="宋体" w:cs="宋体"/>
        </w:rPr>
        <w:t>，而是</w:t>
      </w:r>
      <w:r>
        <w:rPr>
          <w:i/>
          <w:iCs/>
        </w:rPr>
        <w:t>Cymbopogon martinii var.sofia</w:t>
      </w:r>
      <w:r>
        <w:t xml:space="preserve">. IFRA NCS TF </w:t>
      </w:r>
      <w:r>
        <w:rPr>
          <w:rFonts w:hint="eastAsia" w:ascii="宋体" w:hAnsi="宋体" w:eastAsia="宋体" w:cs="宋体"/>
          <w:lang w:eastAsia="zh-CN"/>
        </w:rPr>
        <w:t>核</w:t>
      </w:r>
      <w:r>
        <w:rPr>
          <w:rFonts w:hint="eastAsia" w:ascii="宋体" w:hAnsi="宋体" w:eastAsia="宋体" w:cs="宋体"/>
        </w:rPr>
        <w:t>查并同意该植物名称不正确，并用</w:t>
      </w:r>
      <w:r>
        <w:rPr>
          <w:i/>
          <w:iCs/>
        </w:rPr>
        <w:t>Cymbopogon martini sofia</w:t>
      </w:r>
      <w:r>
        <w:rPr>
          <w:rFonts w:hint="eastAsia" w:ascii="宋体" w:hAnsi="宋体" w:eastAsia="宋体" w:cs="宋体"/>
        </w:rPr>
        <w:t>代替。</w:t>
      </w:r>
    </w:p>
    <w:p w14:paraId="742A0B9C">
      <w:pPr>
        <w:pStyle w:val="4"/>
        <w:spacing w:before="5" w:line="300" w:lineRule="auto"/>
        <w:rPr>
          <w:i/>
          <w:sz w:val="32"/>
        </w:rPr>
      </w:pPr>
    </w:p>
    <w:p w14:paraId="0C0C4E1F">
      <w:pPr>
        <w:pStyle w:val="2"/>
        <w:spacing w:line="300" w:lineRule="auto"/>
        <w:ind w:left="140" w:firstLine="0"/>
        <w:jc w:val="both"/>
        <w:rPr>
          <w:lang w:eastAsia="zh-CN"/>
        </w:rPr>
      </w:pPr>
      <w:r>
        <w:rPr>
          <w:lang w:eastAsia="zh-CN"/>
        </w:rPr>
        <w:t xml:space="preserve">3.2 </w:t>
      </w:r>
      <w:r>
        <w:rPr>
          <w:rFonts w:hint="eastAsia" w:ascii="宋体" w:hAnsi="宋体" w:eastAsia="宋体" w:cs="宋体"/>
          <w:lang w:eastAsia="zh-CN"/>
        </w:rPr>
        <w:t xml:space="preserve">甲酚类 </w:t>
      </w:r>
      <w:r>
        <w:rPr>
          <w:lang w:eastAsia="zh-CN"/>
        </w:rPr>
        <w:t>(CAS 1319-77-3, 108-39-4, 95-48-7, 106-44-5)</w:t>
      </w:r>
    </w:p>
    <w:p w14:paraId="4F1DA4D9">
      <w:pPr>
        <w:pStyle w:val="4"/>
        <w:spacing w:before="62" w:line="300" w:lineRule="auto"/>
        <w:ind w:left="140" w:right="696"/>
        <w:jc w:val="both"/>
        <w:rPr>
          <w:lang w:eastAsia="zh-CN"/>
        </w:rPr>
      </w:pPr>
      <w:r>
        <w:rPr>
          <w:rFonts w:hint="eastAsia" w:ascii="宋体" w:hAnsi="宋体" w:eastAsia="宋体" w:cs="宋体"/>
          <w:lang w:eastAsia="zh-CN"/>
        </w:rPr>
        <w:t>根据咨询中的反馈，澄清了限制标准不应涵盖邻甲酚（</w:t>
      </w:r>
      <w:r>
        <w:rPr>
          <w:lang w:eastAsia="zh-CN"/>
        </w:rPr>
        <w:t>CAS 95-48-7</w:t>
      </w:r>
      <w:r>
        <w:rPr>
          <w:rFonts w:hint="eastAsia" w:ascii="宋体" w:hAnsi="宋体" w:eastAsia="宋体" w:cs="宋体"/>
          <w:lang w:eastAsia="zh-CN"/>
        </w:rPr>
        <w:t>）和间甲酚（</w:t>
      </w:r>
      <w:r>
        <w:rPr>
          <w:lang w:eastAsia="zh-CN"/>
        </w:rPr>
        <w:t>CAS 108-39-4</w:t>
      </w:r>
      <w:r>
        <w:rPr>
          <w:rFonts w:hint="eastAsia" w:ascii="宋体" w:hAnsi="宋体" w:eastAsia="宋体" w:cs="宋体"/>
          <w:lang w:eastAsia="zh-CN"/>
        </w:rPr>
        <w:t>），因为</w:t>
      </w:r>
      <w:r>
        <w:rPr>
          <w:lang w:eastAsia="zh-CN"/>
        </w:rPr>
        <w:t xml:space="preserve"> RIFM SA </w:t>
      </w:r>
      <w:r>
        <w:rPr>
          <w:rFonts w:hint="eastAsia" w:ascii="宋体" w:hAnsi="宋体" w:eastAsia="宋体" w:cs="宋体"/>
          <w:lang w:eastAsia="zh-CN"/>
        </w:rPr>
        <w:t>中确定的有关潜在脱色影响的安全问题仅适用于当前使用水平下的对位异构体。</w:t>
      </w:r>
    </w:p>
    <w:p w14:paraId="3F49EB67">
      <w:pPr>
        <w:pStyle w:val="4"/>
        <w:spacing w:before="62" w:line="300" w:lineRule="auto"/>
        <w:ind w:left="140" w:right="696"/>
        <w:jc w:val="both"/>
        <w:rPr>
          <w:lang w:eastAsia="zh-CN"/>
        </w:rPr>
      </w:pPr>
      <w:r>
        <w:rPr>
          <w:rFonts w:hint="eastAsia" w:ascii="宋体" w:hAnsi="宋体" w:eastAsia="宋体" w:cs="宋体"/>
          <w:lang w:eastAsia="zh-CN"/>
        </w:rPr>
        <w:t>因此，该标准的重点是对甲酚和含有对甲酚的混合物，作为本通知书一部分的标准也作了相应的修改。</w:t>
      </w:r>
    </w:p>
    <w:p w14:paraId="11D8AEB4">
      <w:pPr>
        <w:pStyle w:val="4"/>
        <w:spacing w:before="5" w:line="300" w:lineRule="auto"/>
        <w:rPr>
          <w:sz w:val="32"/>
          <w:lang w:eastAsia="zh-CN"/>
        </w:rPr>
      </w:pPr>
    </w:p>
    <w:p w14:paraId="40B2F287">
      <w:pPr>
        <w:pStyle w:val="2"/>
        <w:numPr>
          <w:ilvl w:val="1"/>
          <w:numId w:val="0"/>
        </w:numPr>
        <w:tabs>
          <w:tab w:val="left" w:pos="500"/>
        </w:tabs>
        <w:autoSpaceDE/>
        <w:autoSpaceDN/>
        <w:spacing w:line="300" w:lineRule="auto"/>
        <w:ind w:left="142" w:leftChars="0" w:firstLine="0" w:firstLineChars="0"/>
        <w:jc w:val="both"/>
      </w:pPr>
      <w:r>
        <w:rPr>
          <w:rFonts w:hint="default" w:ascii="Arial" w:hAnsi="Arial" w:eastAsia="Arial" w:cs="Arial"/>
          <w:b/>
          <w:bCs/>
          <w:w w:val="100"/>
          <w:sz w:val="22"/>
          <w:szCs w:val="22"/>
          <w:lang w:val="en-US" w:eastAsia="zh-CN" w:bidi="en-US"/>
        </w:rPr>
        <w:t>3.3</w:t>
      </w:r>
      <w:r>
        <w:rPr>
          <w:rFonts w:hint="eastAsia" w:cs="Arial"/>
          <w:b/>
          <w:bCs/>
          <w:w w:val="100"/>
          <w:sz w:val="22"/>
          <w:szCs w:val="22"/>
          <w:lang w:val="en-US" w:eastAsia="zh-CN" w:bidi="en-US"/>
        </w:rPr>
        <w:t xml:space="preserve">  </w:t>
      </w:r>
      <w:r>
        <w:rPr>
          <w:rFonts w:hint="eastAsia" w:eastAsiaTheme="minorEastAsia"/>
          <w:lang w:eastAsia="zh-CN"/>
        </w:rPr>
        <w:t>2-叔丁基环己酮</w:t>
      </w:r>
      <w:r>
        <w:t>(CAS</w:t>
      </w:r>
      <w:r>
        <w:rPr>
          <w:spacing w:val="-1"/>
        </w:rPr>
        <w:t xml:space="preserve"> </w:t>
      </w:r>
      <w:r>
        <w:t>1728-46-7)</w:t>
      </w:r>
    </w:p>
    <w:p w14:paraId="2C0EF54B">
      <w:pPr>
        <w:pStyle w:val="4"/>
        <w:spacing w:before="61" w:line="300" w:lineRule="auto"/>
        <w:ind w:left="140" w:right="692"/>
        <w:jc w:val="both"/>
        <w:rPr>
          <w:sz w:val="14"/>
          <w:lang w:eastAsia="zh-CN"/>
        </w:rPr>
      </w:pPr>
      <w:r>
        <w:rPr>
          <w:rFonts w:hint="eastAsia" w:ascii="宋体" w:hAnsi="宋体" w:eastAsia="宋体" w:cs="宋体"/>
          <w:lang w:eastAsia="zh-CN"/>
        </w:rPr>
        <w:t>有人指出，这种成分是另一种广泛使用的日用香料的副产物，作为商品，后者有多种质量规格。这使人担心根据现有浓度调查进行的暴露评估是否正确。因此，同意从第</w:t>
      </w:r>
      <w:r>
        <w:rPr>
          <w:lang w:eastAsia="zh-CN"/>
        </w:rPr>
        <w:t xml:space="preserve"> 51 </w:t>
      </w:r>
      <w:r>
        <w:rPr>
          <w:rFonts w:hint="eastAsia" w:ascii="宋体" w:hAnsi="宋体" w:eastAsia="宋体" w:cs="宋体"/>
          <w:lang w:eastAsia="zh-CN"/>
        </w:rPr>
        <w:t>届会议上撤回该标准。</w:t>
      </w:r>
    </w:p>
    <w:p w14:paraId="09FD31DF">
      <w:pPr>
        <w:spacing w:line="237" w:lineRule="auto"/>
        <w:jc w:val="both"/>
        <w:rPr>
          <w:sz w:val="14"/>
          <w:lang w:eastAsia="zh-CN"/>
        </w:rPr>
        <w:sectPr>
          <w:pgSz w:w="11910" w:h="16840"/>
          <w:pgMar w:top="1500" w:right="20" w:bottom="980" w:left="580" w:header="432" w:footer="781" w:gutter="0"/>
          <w:cols w:space="720" w:num="1"/>
        </w:sectPr>
      </w:pPr>
    </w:p>
    <w:p w14:paraId="71309450">
      <w:pPr>
        <w:pStyle w:val="4"/>
        <w:spacing w:before="3"/>
        <w:rPr>
          <w:rFonts w:hint="default"/>
          <w:sz w:val="16"/>
          <w:lang w:val="en-US" w:eastAsia="zh-CN"/>
        </w:rPr>
      </w:pPr>
    </w:p>
    <w:p w14:paraId="6FB6AC0F">
      <w:pPr>
        <w:pStyle w:val="4"/>
        <w:spacing w:before="94" w:line="300" w:lineRule="auto"/>
        <w:ind w:left="140" w:right="697"/>
        <w:jc w:val="both"/>
        <w:rPr>
          <w:lang w:eastAsia="zh-CN"/>
        </w:rPr>
      </w:pPr>
      <w:r>
        <w:rPr>
          <w:rFonts w:hint="eastAsia" w:ascii="宋体" w:hAnsi="宋体" w:eastAsia="宋体" w:cs="宋体"/>
          <w:lang w:eastAsia="zh-CN"/>
        </w:rPr>
        <w:t>并在下一次</w:t>
      </w:r>
      <w:r>
        <w:rPr>
          <w:lang w:eastAsia="zh-CN"/>
        </w:rPr>
        <w:t xml:space="preserve"> RIFM </w:t>
      </w:r>
      <w:r>
        <w:rPr>
          <w:rFonts w:hint="eastAsia" w:ascii="宋体" w:hAnsi="宋体" w:eastAsia="宋体" w:cs="宋体"/>
          <w:lang w:eastAsia="zh-CN"/>
        </w:rPr>
        <w:t>浓度调查中重新进行调查，除了调查它在其他香料中的含量外，还将调查其作为日用香料的使用情况。</w:t>
      </w:r>
    </w:p>
    <w:p w14:paraId="4DF3A3F9">
      <w:pPr>
        <w:pStyle w:val="4"/>
        <w:spacing w:before="4" w:line="300" w:lineRule="auto"/>
        <w:rPr>
          <w:sz w:val="32"/>
          <w:lang w:eastAsia="zh-CN"/>
        </w:rPr>
      </w:pPr>
    </w:p>
    <w:p w14:paraId="16E67049">
      <w:pPr>
        <w:pStyle w:val="2"/>
        <w:numPr>
          <w:ilvl w:val="1"/>
          <w:numId w:val="0"/>
        </w:numPr>
        <w:tabs>
          <w:tab w:val="left" w:pos="500"/>
        </w:tabs>
        <w:autoSpaceDE/>
        <w:autoSpaceDN/>
        <w:spacing w:line="300" w:lineRule="auto"/>
        <w:ind w:left="142"/>
        <w:jc w:val="both"/>
      </w:pPr>
      <w:r>
        <w:rPr>
          <w:rFonts w:hint="default" w:ascii="Arial" w:hAnsi="Arial" w:eastAsia="Arial" w:cs="Arial"/>
          <w:b/>
          <w:bCs/>
          <w:w w:val="100"/>
          <w:sz w:val="22"/>
          <w:szCs w:val="22"/>
          <w:lang w:val="en-US" w:eastAsia="en-US" w:bidi="en-US"/>
        </w:rPr>
        <w:t>3.4</w:t>
      </w:r>
      <w:r>
        <w:rPr>
          <w:rFonts w:hint="eastAsia" w:eastAsia="宋体" w:cs="Arial"/>
          <w:b/>
          <w:bCs/>
          <w:w w:val="100"/>
          <w:sz w:val="22"/>
          <w:szCs w:val="22"/>
          <w:lang w:val="en-US" w:eastAsia="zh-CN" w:bidi="en-US"/>
        </w:rPr>
        <w:t xml:space="preserve">  </w:t>
      </w:r>
      <w:r>
        <w:rPr>
          <w:rFonts w:hint="eastAsia" w:ascii="Arial" w:hAnsi="Arial" w:eastAsia="Arial" w:cs="Arial"/>
          <w:lang w:eastAsia="zh-CN"/>
        </w:rPr>
        <w:t>3-</w:t>
      </w:r>
      <w:r>
        <w:rPr>
          <w:rFonts w:hint="eastAsia" w:ascii="宋体" w:hAnsi="宋体" w:eastAsia="宋体" w:cs="宋体"/>
          <w:lang w:eastAsia="zh-CN"/>
        </w:rPr>
        <w:t>环己基丙酸烯丙酯</w:t>
      </w:r>
      <w:r>
        <w:t xml:space="preserve"> (CAS</w:t>
      </w:r>
      <w:r>
        <w:rPr>
          <w:spacing w:val="-6"/>
        </w:rPr>
        <w:t xml:space="preserve"> </w:t>
      </w:r>
      <w:r>
        <w:t>2705-87-5)</w:t>
      </w:r>
    </w:p>
    <w:p w14:paraId="216E586B">
      <w:pPr>
        <w:pStyle w:val="4"/>
        <w:spacing w:before="59" w:line="300" w:lineRule="auto"/>
        <w:ind w:left="140" w:right="697"/>
        <w:jc w:val="both"/>
        <w:rPr>
          <w:lang w:eastAsia="zh-CN"/>
        </w:rPr>
      </w:pPr>
      <w:r>
        <w:rPr>
          <w:rFonts w:hint="eastAsia" w:ascii="宋体" w:hAnsi="宋体" w:eastAsia="宋体" w:cs="宋体"/>
          <w:lang w:eastAsia="zh-CN"/>
        </w:rPr>
        <w:t>在咨询过程中，有人指出这种成分也是一种烯丙基酯，因此</w:t>
      </w:r>
      <w:r>
        <w:rPr>
          <w:rFonts w:hint="eastAsia" w:ascii="宋体" w:hAnsi="宋体" w:eastAsia="宋体" w:cs="宋体"/>
          <w:lang w:val="en-US" w:eastAsia="zh-CN"/>
        </w:rPr>
        <w:t>它的质量</w:t>
      </w:r>
      <w:r>
        <w:rPr>
          <w:rFonts w:hint="eastAsia" w:ascii="宋体" w:hAnsi="宋体" w:eastAsia="宋体" w:cs="宋体"/>
          <w:lang w:eastAsia="zh-CN"/>
        </w:rPr>
        <w:t>规格已被纳入标准。</w:t>
      </w:r>
      <w:r>
        <w:rPr>
          <w:lang w:eastAsia="zh-CN"/>
        </w:rPr>
        <w:t>.</w:t>
      </w:r>
    </w:p>
    <w:p w14:paraId="2142C7AE">
      <w:pPr>
        <w:pStyle w:val="4"/>
        <w:spacing w:before="5" w:line="300" w:lineRule="auto"/>
        <w:rPr>
          <w:sz w:val="32"/>
          <w:lang w:eastAsia="zh-CN"/>
        </w:rPr>
      </w:pPr>
    </w:p>
    <w:p w14:paraId="19F32AA4">
      <w:pPr>
        <w:pStyle w:val="2"/>
        <w:spacing w:line="300" w:lineRule="auto"/>
        <w:ind w:left="140" w:firstLine="0"/>
        <w:jc w:val="both"/>
        <w:rPr>
          <w:lang w:eastAsia="zh-CN"/>
        </w:rPr>
      </w:pPr>
      <w:r>
        <w:rPr>
          <w:lang w:eastAsia="zh-CN"/>
        </w:rPr>
        <w:t xml:space="preserve">3.5 </w:t>
      </w:r>
      <w:r>
        <w:rPr>
          <w:rFonts w:hint="eastAsia" w:eastAsiaTheme="minorEastAsia"/>
          <w:lang w:eastAsia="zh-CN"/>
        </w:rPr>
        <w:t xml:space="preserve"> </w:t>
      </w:r>
      <w:r>
        <w:rPr>
          <w:lang w:eastAsia="zh-CN"/>
        </w:rPr>
        <w:t>5,6,7-</w:t>
      </w:r>
      <w:r>
        <w:rPr>
          <w:rFonts w:hint="eastAsia" w:ascii="宋体" w:hAnsi="宋体" w:eastAsia="宋体" w:cs="宋体"/>
          <w:lang w:eastAsia="zh-CN"/>
        </w:rPr>
        <w:t>三甲基</w:t>
      </w:r>
      <w:r>
        <w:rPr>
          <w:lang w:eastAsia="zh-CN"/>
        </w:rPr>
        <w:t>-2,5-</w:t>
      </w:r>
      <w:r>
        <w:rPr>
          <w:rFonts w:hint="eastAsia" w:ascii="宋体" w:hAnsi="宋体" w:eastAsia="宋体" w:cs="宋体"/>
          <w:lang w:eastAsia="zh-CN"/>
        </w:rPr>
        <w:t>辛二烯</w:t>
      </w:r>
      <w:r>
        <w:rPr>
          <w:lang w:eastAsia="zh-CN"/>
        </w:rPr>
        <w:t>-4-</w:t>
      </w:r>
      <w:r>
        <w:rPr>
          <w:rFonts w:hint="eastAsia" w:ascii="宋体" w:hAnsi="宋体" w:eastAsia="宋体" w:cs="宋体"/>
          <w:lang w:eastAsia="zh-CN"/>
        </w:rPr>
        <w:t xml:space="preserve">酮 </w:t>
      </w:r>
      <w:r>
        <w:rPr>
          <w:lang w:eastAsia="zh-CN"/>
        </w:rPr>
        <w:t>(CAS 358331-95-0, 357650-26-1, 847144-75-6)</w:t>
      </w:r>
    </w:p>
    <w:p w14:paraId="20B7938C">
      <w:pPr>
        <w:pStyle w:val="4"/>
        <w:spacing w:before="61" w:line="300" w:lineRule="auto"/>
        <w:ind w:left="140" w:right="694"/>
        <w:jc w:val="both"/>
        <w:rPr>
          <w:lang w:eastAsia="zh-CN"/>
        </w:rPr>
      </w:pPr>
      <w:r>
        <w:rPr>
          <w:rFonts w:hint="eastAsia" w:ascii="宋体" w:hAnsi="宋体" w:eastAsia="宋体" w:cs="宋体"/>
          <w:lang w:eastAsia="zh-CN"/>
        </w:rPr>
        <w:t>有人对该标准的名称表示关注，因为它应包括异构体的详细信息。这一点得到了</w:t>
      </w:r>
      <w:r>
        <w:rPr>
          <w:lang w:eastAsia="zh-CN"/>
        </w:rPr>
        <w:t xml:space="preserve"> RMTF</w:t>
      </w:r>
      <w:r>
        <w:rPr>
          <w:rFonts w:hint="eastAsia" w:ascii="宋体" w:hAnsi="宋体" w:eastAsia="宋体" w:cs="宋体"/>
          <w:lang w:eastAsia="zh-CN"/>
        </w:rPr>
        <w:t>的确认，标准名称已修改如下：</w:t>
      </w:r>
      <w:r>
        <w:rPr>
          <w:rFonts w:hint="default" w:ascii="Arial" w:hAnsi="Arial" w:eastAsia="Arial" w:cs="Arial"/>
          <w:lang w:val="en-US" w:eastAsia="zh-CN"/>
        </w:rPr>
        <w:t>5,6,7-三甲基-2(E),5-辛二烯-4-</w:t>
      </w:r>
      <w:r>
        <w:rPr>
          <w:rFonts w:hint="eastAsia" w:ascii="宋体" w:hAnsi="宋体" w:eastAsia="宋体" w:cs="宋体"/>
          <w:lang w:val="en-US" w:eastAsia="zh-CN"/>
        </w:rPr>
        <w:t>酮。</w:t>
      </w:r>
    </w:p>
    <w:p w14:paraId="3DA41DA7">
      <w:pPr>
        <w:pStyle w:val="4"/>
        <w:spacing w:before="4" w:line="300" w:lineRule="auto"/>
        <w:rPr>
          <w:sz w:val="32"/>
          <w:lang w:eastAsia="zh-CN"/>
        </w:rPr>
      </w:pPr>
    </w:p>
    <w:p w14:paraId="5C12678F">
      <w:pPr>
        <w:pStyle w:val="2"/>
        <w:spacing w:line="300" w:lineRule="auto"/>
        <w:ind w:left="140" w:firstLine="0"/>
        <w:jc w:val="both"/>
        <w:rPr>
          <w:lang w:eastAsia="zh-CN"/>
        </w:rPr>
      </w:pPr>
      <w:r>
        <w:rPr>
          <w:lang w:eastAsia="zh-CN"/>
        </w:rPr>
        <w:t>3.6</w:t>
      </w:r>
      <w:r>
        <w:rPr>
          <w:rFonts w:hint="eastAsia" w:eastAsiaTheme="minorEastAsia"/>
          <w:lang w:eastAsia="zh-CN"/>
        </w:rPr>
        <w:t xml:space="preserve"> </w:t>
      </w:r>
      <w:r>
        <w:rPr>
          <w:lang w:eastAsia="zh-CN"/>
        </w:rPr>
        <w:t xml:space="preserve"> 2-(</w:t>
      </w:r>
      <w:r>
        <w:rPr>
          <w:rFonts w:hint="eastAsia" w:ascii="宋体" w:hAnsi="宋体" w:eastAsia="宋体" w:cs="宋体"/>
          <w:lang w:eastAsia="zh-CN"/>
        </w:rPr>
        <w:t>甲氨基</w:t>
      </w:r>
      <w:r>
        <w:rPr>
          <w:lang w:eastAsia="zh-CN"/>
        </w:rPr>
        <w:t>)</w:t>
      </w:r>
      <w:r>
        <w:rPr>
          <w:rFonts w:hint="eastAsia" w:ascii="宋体" w:hAnsi="宋体" w:eastAsia="宋体" w:cs="宋体"/>
          <w:lang w:eastAsia="zh-CN"/>
        </w:rPr>
        <w:t>苯甲酸甲酯和孔雀草和小万寿菊</w:t>
      </w:r>
      <w:r>
        <w:rPr>
          <w:rFonts w:hint="eastAsia" w:ascii="宋体" w:hAnsi="宋体" w:eastAsia="宋体" w:cs="宋体"/>
          <w:lang w:val="en-US" w:eastAsia="zh-CN"/>
        </w:rPr>
        <w:t>精油及</w:t>
      </w:r>
      <w:r>
        <w:rPr>
          <w:rFonts w:hint="eastAsia" w:ascii="宋体" w:hAnsi="宋体" w:eastAsia="宋体" w:cs="宋体"/>
          <w:lang w:eastAsia="zh-CN"/>
        </w:rPr>
        <w:t>净油</w:t>
      </w:r>
    </w:p>
    <w:p w14:paraId="491BB543">
      <w:pPr>
        <w:pStyle w:val="4"/>
        <w:spacing w:before="61" w:line="300" w:lineRule="auto"/>
        <w:ind w:left="140" w:right="693"/>
        <w:jc w:val="both"/>
        <w:rPr>
          <w:lang w:eastAsia="zh-CN"/>
        </w:rPr>
      </w:pPr>
      <w:r>
        <w:rPr>
          <w:rFonts w:hint="eastAsia" w:ascii="宋体" w:hAnsi="宋体" w:eastAsia="宋体" w:cs="宋体"/>
          <w:lang w:eastAsia="zh-CN"/>
        </w:rPr>
        <w:t>修订后的</w:t>
      </w:r>
      <w:r>
        <w:rPr>
          <w:lang w:eastAsia="zh-CN"/>
        </w:rPr>
        <w:t>2-(</w:t>
      </w:r>
      <w:r>
        <w:rPr>
          <w:rFonts w:hint="eastAsia" w:ascii="宋体" w:hAnsi="宋体" w:eastAsia="宋体" w:cs="宋体"/>
          <w:lang w:eastAsia="zh-CN"/>
        </w:rPr>
        <w:t>甲氨基</w:t>
      </w:r>
      <w:r>
        <w:rPr>
          <w:lang w:eastAsia="zh-CN"/>
        </w:rPr>
        <w:t>)</w:t>
      </w:r>
      <w:r>
        <w:rPr>
          <w:rFonts w:hint="eastAsia" w:ascii="宋体" w:hAnsi="宋体" w:eastAsia="宋体" w:cs="宋体"/>
          <w:lang w:eastAsia="zh-CN"/>
        </w:rPr>
        <w:t>苯甲酸甲酯标准已成为咨询的一部分，该标准采用了指导文件第</w:t>
      </w:r>
      <w:r>
        <w:rPr>
          <w:lang w:eastAsia="zh-CN"/>
        </w:rPr>
        <w:t xml:space="preserve"> 1.6.1.1 </w:t>
      </w:r>
      <w:r>
        <w:rPr>
          <w:rFonts w:hint="eastAsia" w:ascii="宋体" w:hAnsi="宋体" w:eastAsia="宋体" w:cs="宋体"/>
          <w:lang w:eastAsia="zh-CN"/>
        </w:rPr>
        <w:t>节所述的光毒性成分新方法。如第</w:t>
      </w:r>
      <w:r>
        <w:rPr>
          <w:lang w:eastAsia="zh-CN"/>
        </w:rPr>
        <w:t xml:space="preserve"> 2.6 </w:t>
      </w:r>
      <w:r>
        <w:rPr>
          <w:rFonts w:hint="eastAsia" w:ascii="宋体" w:hAnsi="宋体" w:eastAsia="宋体" w:cs="宋体"/>
          <w:lang w:eastAsia="zh-CN"/>
        </w:rPr>
        <w:t>项所述，经香料安全专家小组评估后，</w:t>
      </w:r>
      <w:r>
        <w:rPr>
          <w:lang w:eastAsia="zh-CN"/>
        </w:rPr>
        <w:t xml:space="preserve">IFRA </w:t>
      </w:r>
      <w:r>
        <w:rPr>
          <w:rFonts w:hint="eastAsia" w:ascii="宋体" w:hAnsi="宋体" w:eastAsia="宋体" w:cs="宋体"/>
          <w:lang w:eastAsia="zh-CN"/>
        </w:rPr>
        <w:t>第</w:t>
      </w:r>
      <w:r>
        <w:rPr>
          <w:lang w:eastAsia="zh-CN"/>
        </w:rPr>
        <w:t xml:space="preserve"> 6 </w:t>
      </w:r>
      <w:r>
        <w:rPr>
          <w:rFonts w:hint="eastAsia" w:ascii="宋体" w:hAnsi="宋体" w:eastAsia="宋体" w:cs="宋体"/>
          <w:lang w:eastAsia="zh-CN"/>
        </w:rPr>
        <w:t>类产品从现在起将被视为冲洗型产品。为了逐步实施对光毒性材料的总体修订方法，这意味着对</w:t>
      </w:r>
      <w:r>
        <w:rPr>
          <w:lang w:eastAsia="zh-CN"/>
        </w:rPr>
        <w:t>2-(</w:t>
      </w:r>
      <w:r>
        <w:rPr>
          <w:rFonts w:hint="eastAsia" w:ascii="宋体" w:hAnsi="宋体" w:eastAsia="宋体" w:cs="宋体"/>
          <w:lang w:eastAsia="zh-CN"/>
        </w:rPr>
        <w:t>甲氨基</w:t>
      </w:r>
      <w:r>
        <w:rPr>
          <w:lang w:eastAsia="zh-CN"/>
        </w:rPr>
        <w:t>)</w:t>
      </w:r>
      <w:r>
        <w:rPr>
          <w:rFonts w:hint="eastAsia" w:ascii="宋体" w:hAnsi="宋体" w:eastAsia="宋体" w:cs="宋体"/>
          <w:lang w:eastAsia="zh-CN"/>
        </w:rPr>
        <w:t>苯甲酸甲酯标准进行了修改，以显示最大可接受浓度为</w:t>
      </w:r>
      <w:r>
        <w:rPr>
          <w:lang w:eastAsia="zh-CN"/>
        </w:rPr>
        <w:t xml:space="preserve"> 0.5%</w:t>
      </w:r>
      <w:r>
        <w:rPr>
          <w:rFonts w:hint="eastAsia" w:ascii="宋体" w:hAnsi="宋体" w:eastAsia="宋体" w:cs="宋体"/>
          <w:lang w:eastAsia="zh-CN"/>
        </w:rPr>
        <w:t>，而不是</w:t>
      </w:r>
      <w:r>
        <w:rPr>
          <w:lang w:eastAsia="zh-CN"/>
        </w:rPr>
        <w:t xml:space="preserve"> 0.1%</w:t>
      </w:r>
      <w:r>
        <w:rPr>
          <w:rFonts w:hint="eastAsia" w:ascii="宋体" w:hAnsi="宋体" w:eastAsia="宋体" w:cs="宋体"/>
          <w:lang w:eastAsia="zh-CN"/>
        </w:rPr>
        <w:t>。</w:t>
      </w:r>
    </w:p>
    <w:p w14:paraId="47059CC9">
      <w:pPr>
        <w:pStyle w:val="4"/>
        <w:spacing w:before="61" w:line="300" w:lineRule="auto"/>
        <w:ind w:left="140" w:right="693"/>
        <w:jc w:val="both"/>
        <w:rPr>
          <w:lang w:eastAsia="zh-CN"/>
        </w:rPr>
      </w:pPr>
      <w:r>
        <w:rPr>
          <w:rFonts w:hint="eastAsia" w:ascii="宋体" w:hAnsi="宋体" w:eastAsia="宋体" w:cs="宋体"/>
          <w:lang w:eastAsia="zh-CN"/>
        </w:rPr>
        <w:t>此外，这一变化还与孔雀草和</w:t>
      </w:r>
      <w:r>
        <w:rPr>
          <w:rFonts w:hint="eastAsia" w:ascii="宋体" w:hAnsi="宋体" w:eastAsia="宋体" w:cs="宋体"/>
          <w:lang w:val="en-US" w:eastAsia="zh-CN"/>
        </w:rPr>
        <w:t>小</w:t>
      </w:r>
      <w:r>
        <w:rPr>
          <w:rFonts w:hint="eastAsia" w:ascii="宋体" w:hAnsi="宋体" w:eastAsia="宋体" w:cs="宋体"/>
          <w:lang w:eastAsia="zh-CN"/>
        </w:rPr>
        <w:t>万寿菊精油及净油产品标准有关，该标准是根据第</w:t>
      </w:r>
      <w:r>
        <w:rPr>
          <w:lang w:eastAsia="zh-CN"/>
        </w:rPr>
        <w:t xml:space="preserve"> 49 </w:t>
      </w:r>
      <w:r>
        <w:rPr>
          <w:rFonts w:hint="eastAsia" w:ascii="宋体" w:hAnsi="宋体" w:eastAsia="宋体" w:cs="宋体"/>
          <w:lang w:eastAsia="zh-CN"/>
        </w:rPr>
        <w:t>次修正案中的修订方案发布的。修订后的标准第</w:t>
      </w:r>
      <w:r>
        <w:rPr>
          <w:lang w:eastAsia="zh-CN"/>
        </w:rPr>
        <w:t xml:space="preserve"> 6 </w:t>
      </w:r>
      <w:r>
        <w:rPr>
          <w:rFonts w:hint="eastAsia" w:ascii="宋体" w:hAnsi="宋体" w:eastAsia="宋体" w:cs="宋体"/>
          <w:lang w:eastAsia="zh-CN"/>
        </w:rPr>
        <w:t>类产品最大可接受浓度从</w:t>
      </w:r>
      <w:r>
        <w:rPr>
          <w:lang w:eastAsia="zh-CN"/>
        </w:rPr>
        <w:t xml:space="preserve"> 0.01%</w:t>
      </w:r>
      <w:r>
        <w:rPr>
          <w:rFonts w:hint="eastAsia" w:ascii="宋体" w:hAnsi="宋体" w:eastAsia="宋体" w:cs="宋体"/>
          <w:lang w:eastAsia="zh-CN"/>
        </w:rPr>
        <w:t>提高到</w:t>
      </w:r>
      <w:r>
        <w:rPr>
          <w:lang w:eastAsia="zh-CN"/>
        </w:rPr>
        <w:t xml:space="preserve"> 0.1%</w:t>
      </w:r>
      <w:r>
        <w:rPr>
          <w:rFonts w:hint="eastAsia" w:ascii="宋体" w:hAnsi="宋体" w:eastAsia="宋体" w:cs="宋体"/>
          <w:lang w:eastAsia="zh-CN"/>
        </w:rPr>
        <w:t>，是第</w:t>
      </w:r>
      <w:r>
        <w:rPr>
          <w:lang w:eastAsia="zh-CN"/>
        </w:rPr>
        <w:t xml:space="preserve"> 51 </w:t>
      </w:r>
      <w:r>
        <w:rPr>
          <w:rFonts w:hint="eastAsia" w:ascii="宋体" w:hAnsi="宋体" w:eastAsia="宋体" w:cs="宋体"/>
          <w:lang w:eastAsia="zh-CN"/>
        </w:rPr>
        <w:t>次修正案的一部分。鉴于最大可接受浓度只增加了一个类别，因此该标准没有新的实施时间表。</w:t>
      </w:r>
    </w:p>
    <w:p w14:paraId="3D5CB5DE">
      <w:pPr>
        <w:pStyle w:val="4"/>
        <w:spacing w:before="10" w:line="300" w:lineRule="auto"/>
        <w:rPr>
          <w:sz w:val="31"/>
          <w:lang w:eastAsia="zh-CN"/>
        </w:rPr>
      </w:pPr>
    </w:p>
    <w:p w14:paraId="28B9E03D">
      <w:pPr>
        <w:pStyle w:val="2"/>
        <w:numPr>
          <w:ilvl w:val="3"/>
          <w:numId w:val="4"/>
        </w:numPr>
        <w:tabs>
          <w:tab w:val="left" w:pos="500"/>
        </w:tabs>
        <w:spacing w:line="300" w:lineRule="auto"/>
        <w:ind w:left="500"/>
        <w:jc w:val="left"/>
        <w:rPr>
          <w:lang w:eastAsia="zh-CN"/>
        </w:rPr>
      </w:pPr>
      <w:r>
        <mc:AlternateContent>
          <mc:Choice Requires="wps">
            <w:drawing>
              <wp:anchor distT="0" distB="0" distL="114300" distR="114300" simplePos="0" relativeHeight="251666432" behindDoc="0" locked="0" layoutInCell="1" allowOverlap="1">
                <wp:simplePos x="0" y="0"/>
                <wp:positionH relativeFrom="page">
                  <wp:posOffset>685800</wp:posOffset>
                </wp:positionH>
                <wp:positionV relativeFrom="paragraph">
                  <wp:posOffset>156845</wp:posOffset>
                </wp:positionV>
                <wp:extent cx="2202180" cy="0"/>
                <wp:effectExtent l="0" t="0" r="0" b="0"/>
                <wp:wrapNone/>
                <wp:docPr id="1706209505" name="Line 3"/>
                <wp:cNvGraphicFramePr/>
                <a:graphic xmlns:a="http://schemas.openxmlformats.org/drawingml/2006/main">
                  <a:graphicData uri="http://schemas.microsoft.com/office/word/2010/wordprocessingShape">
                    <wps:wsp>
                      <wps:cNvCnPr>
                        <a:cxnSpLocks noChangeShapeType="1"/>
                      </wps:cNvCnPr>
                      <wps:spPr bwMode="auto">
                        <a:xfrm>
                          <a:off x="0" y="0"/>
                          <a:ext cx="2202180" cy="0"/>
                        </a:xfrm>
                        <a:prstGeom prst="line">
                          <a:avLst/>
                        </a:prstGeom>
                        <a:noFill/>
                        <a:ln w="15240">
                          <a:solidFill>
                            <a:srgbClr val="000000"/>
                          </a:solidFill>
                          <a:round/>
                        </a:ln>
                      </wps:spPr>
                      <wps:bodyPr/>
                    </wps:wsp>
                  </a:graphicData>
                </a:graphic>
              </wp:anchor>
            </w:drawing>
          </mc:Choice>
          <mc:Fallback>
            <w:pict>
              <v:line id="Line 3" o:spid="_x0000_s1026" o:spt="20" style="position:absolute;left:0pt;margin-left:54pt;margin-top:12.35pt;height:0pt;width:173.4pt;mso-position-horizontal-relative:page;z-index:251666432;mso-width-relative:page;mso-height-relative:page;" filled="f" stroked="t" coordsize="21600,21600" o:gfxdata="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l3D0utUAAAAJAQAADwAAAAAAAAABACAAAAAiAAAA&#10;ZHJzL2Rvd25yZXYueG1sUEsBAhQAFAAAAAgAh07iQONrdLnRAQAAqQMAAA4AAAAAAAAAAQAgAAAA&#10;JAEAAGRycy9lMm9Eb2MueG1sUEsFBgAAAAAGAAYAWQEAAGcFAAAAAA==&#10;">
                <v:fill on="f" focussize="0,0"/>
                <v:stroke weight="1.2pt" color="#000000" joinstyle="round"/>
                <v:imagedata o:title=""/>
                <o:lock v:ext="edit" aspectratio="f"/>
              </v:line>
            </w:pict>
          </mc:Fallback>
        </mc:AlternateContent>
      </w:r>
      <w:bookmarkStart w:id="3" w:name="_bookmark3"/>
      <w:bookmarkEnd w:id="3"/>
      <w:r>
        <w:rPr>
          <w:rFonts w:hint="eastAsia" w:ascii="宋体" w:hAnsi="宋体" w:eastAsia="宋体" w:cs="宋体"/>
          <w:lang w:eastAsia="zh-CN"/>
        </w:rPr>
        <w:t>第</w:t>
      </w:r>
      <w:r>
        <w:rPr>
          <w:lang w:eastAsia="zh-CN"/>
        </w:rPr>
        <w:t xml:space="preserve"> 51 </w:t>
      </w:r>
      <w:r>
        <w:rPr>
          <w:rFonts w:hint="eastAsia" w:ascii="宋体" w:hAnsi="宋体" w:eastAsia="宋体" w:cs="宋体"/>
          <w:lang w:eastAsia="zh-CN"/>
        </w:rPr>
        <w:t>项修</w:t>
      </w:r>
      <w:r>
        <w:rPr>
          <w:rFonts w:hint="eastAsia" w:ascii="宋体" w:hAnsi="宋体" w:eastAsia="宋体" w:cs="宋体"/>
          <w:lang w:val="en-US" w:eastAsia="zh-CN"/>
        </w:rPr>
        <w:t>订</w:t>
      </w:r>
      <w:r>
        <w:rPr>
          <w:rFonts w:hint="eastAsia" w:ascii="宋体" w:hAnsi="宋体" w:eastAsia="宋体" w:cs="宋体"/>
          <w:lang w:eastAsia="zh-CN"/>
        </w:rPr>
        <w:t>案所通知的新标准清单</w:t>
      </w:r>
    </w:p>
    <w:p w14:paraId="7DDC4EC9">
      <w:pPr>
        <w:pStyle w:val="4"/>
        <w:spacing w:before="65" w:line="300" w:lineRule="auto"/>
        <w:ind w:left="140" w:right="696"/>
        <w:jc w:val="both"/>
        <w:rPr>
          <w:lang w:eastAsia="zh-CN"/>
        </w:rPr>
      </w:pPr>
      <w:r>
        <w:rPr>
          <w:rFonts w:hint="eastAsia" w:ascii="宋体" w:hAnsi="宋体" w:eastAsia="宋体" w:cs="宋体"/>
          <w:lang w:eastAsia="zh-CN"/>
        </w:rPr>
        <w:t>根据上述意见，下文列出了第</w:t>
      </w:r>
      <w:r>
        <w:rPr>
          <w:lang w:eastAsia="zh-CN"/>
        </w:rPr>
        <w:t xml:space="preserve"> 51 </w:t>
      </w:r>
      <w:r>
        <w:rPr>
          <w:rFonts w:hint="eastAsia" w:ascii="宋体" w:hAnsi="宋体" w:eastAsia="宋体" w:cs="宋体"/>
          <w:lang w:eastAsia="zh-CN"/>
        </w:rPr>
        <w:t>项修</w:t>
      </w:r>
      <w:r>
        <w:rPr>
          <w:rFonts w:hint="eastAsia" w:ascii="宋体" w:hAnsi="宋体" w:eastAsia="宋体" w:cs="宋体"/>
          <w:lang w:val="en-US" w:eastAsia="zh-CN"/>
        </w:rPr>
        <w:t>订</w:t>
      </w:r>
      <w:r>
        <w:rPr>
          <w:rFonts w:hint="eastAsia" w:ascii="宋体" w:hAnsi="宋体" w:eastAsia="宋体" w:cs="宋体"/>
          <w:lang w:eastAsia="zh-CN"/>
        </w:rPr>
        <w:t>案通知中的标准清单。</w:t>
      </w:r>
    </w:p>
    <w:p w14:paraId="07C771EE">
      <w:pPr>
        <w:pStyle w:val="4"/>
        <w:spacing w:before="6"/>
        <w:rPr>
          <w:sz w:val="32"/>
          <w:lang w:eastAsia="zh-CN"/>
        </w:rPr>
      </w:pPr>
    </w:p>
    <w:p w14:paraId="096A6326">
      <w:pPr>
        <w:pStyle w:val="2"/>
        <w:numPr>
          <w:ilvl w:val="4"/>
          <w:numId w:val="4"/>
        </w:numPr>
        <w:tabs>
          <w:tab w:val="left" w:pos="717"/>
        </w:tabs>
        <w:spacing w:after="40"/>
        <w:rPr>
          <w:sz w:val="20"/>
          <w:lang w:eastAsia="zh-CN"/>
        </w:rPr>
      </w:pPr>
      <w:bookmarkStart w:id="4" w:name="_bookmark4"/>
      <w:bookmarkEnd w:id="4"/>
      <w:r>
        <w:rPr>
          <w:lang w:eastAsia="zh-CN"/>
        </w:rPr>
        <w:t>1</w:t>
      </w:r>
      <w:r>
        <w:rPr>
          <w:rFonts w:hint="eastAsia" w:ascii="宋体" w:hAnsi="宋体" w:eastAsia="宋体" w:cs="宋体"/>
          <w:lang w:eastAsia="zh-CN"/>
        </w:rPr>
        <w:t>项新的</w:t>
      </w:r>
      <w:r>
        <w:rPr>
          <w:lang w:eastAsia="zh-CN"/>
        </w:rPr>
        <w:t xml:space="preserve"> IFRA </w:t>
      </w:r>
      <w:r>
        <w:rPr>
          <w:rFonts w:hint="eastAsia" w:ascii="宋体" w:hAnsi="宋体" w:eastAsia="宋体" w:cs="宋体"/>
          <w:lang w:eastAsia="zh-CN"/>
        </w:rPr>
        <w:t>限制规格标准</w:t>
      </w:r>
    </w:p>
    <w:tbl>
      <w:tblPr>
        <w:tblStyle w:val="13"/>
        <w:tblW w:w="0" w:type="auto"/>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96"/>
        <w:gridCol w:w="6021"/>
        <w:gridCol w:w="2471"/>
      </w:tblGrid>
      <w:tr w14:paraId="45E4AE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96" w:type="dxa"/>
            <w:shd w:val="clear" w:color="auto" w:fill="D9D9D9"/>
          </w:tcPr>
          <w:p w14:paraId="516A584F">
            <w:pPr>
              <w:pStyle w:val="15"/>
              <w:spacing w:line="234" w:lineRule="exact"/>
              <w:rPr>
                <w:b/>
              </w:rPr>
            </w:pPr>
            <w:r>
              <w:rPr>
                <w:b/>
              </w:rPr>
              <w:t>CAS</w:t>
            </w:r>
            <w:r>
              <w:rPr>
                <w:rFonts w:hint="eastAsia" w:ascii="宋体" w:hAnsi="宋体" w:eastAsia="宋体" w:cs="宋体"/>
                <w:b/>
                <w:lang w:eastAsia="zh-CN"/>
              </w:rPr>
              <w:t>号</w:t>
            </w:r>
          </w:p>
        </w:tc>
        <w:tc>
          <w:tcPr>
            <w:tcW w:w="6021" w:type="dxa"/>
            <w:shd w:val="clear" w:color="auto" w:fill="D9D9D9"/>
          </w:tcPr>
          <w:p w14:paraId="77CAAEAE">
            <w:pPr>
              <w:pStyle w:val="15"/>
              <w:spacing w:line="234" w:lineRule="exact"/>
              <w:rPr>
                <w:rFonts w:eastAsiaTheme="minorEastAsia"/>
                <w:b/>
                <w:lang w:eastAsia="zh-CN"/>
              </w:rPr>
            </w:pPr>
            <w:r>
              <w:rPr>
                <w:rFonts w:hint="eastAsia" w:asciiTheme="minorEastAsia" w:hAnsiTheme="minorEastAsia" w:eastAsiaTheme="minorEastAsia"/>
                <w:b/>
                <w:lang w:eastAsia="zh-CN"/>
              </w:rPr>
              <w:t>名称</w:t>
            </w:r>
          </w:p>
        </w:tc>
        <w:tc>
          <w:tcPr>
            <w:tcW w:w="2471" w:type="dxa"/>
            <w:shd w:val="clear" w:color="auto" w:fill="D9D9D9"/>
          </w:tcPr>
          <w:p w14:paraId="359C3D33">
            <w:pPr>
              <w:pStyle w:val="15"/>
              <w:spacing w:line="234" w:lineRule="exact"/>
              <w:ind w:left="106"/>
              <w:rPr>
                <w:rFonts w:eastAsiaTheme="minorEastAsia"/>
                <w:b/>
                <w:lang w:eastAsia="zh-CN"/>
              </w:rPr>
            </w:pPr>
            <w:r>
              <w:rPr>
                <w:rFonts w:hint="eastAsia" w:eastAsiaTheme="minorEastAsia"/>
                <w:b/>
                <w:lang w:eastAsia="zh-CN"/>
              </w:rPr>
              <w:t>状况</w:t>
            </w:r>
          </w:p>
        </w:tc>
      </w:tr>
      <w:tr w14:paraId="190C69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39" w:hRule="atLeast"/>
        </w:trPr>
        <w:tc>
          <w:tcPr>
            <w:tcW w:w="1796" w:type="dxa"/>
            <w:vAlign w:val="center"/>
          </w:tcPr>
          <w:p w14:paraId="604CC32A">
            <w:pPr>
              <w:pStyle w:val="15"/>
              <w:spacing w:before="206"/>
              <w:ind w:left="108"/>
              <w:jc w:val="left"/>
            </w:pPr>
            <w:r>
              <w:t>2705-87-5</w:t>
            </w:r>
          </w:p>
        </w:tc>
        <w:tc>
          <w:tcPr>
            <w:tcW w:w="6021" w:type="dxa"/>
            <w:vAlign w:val="center"/>
          </w:tcPr>
          <w:p w14:paraId="0FDE6451">
            <w:pPr>
              <w:pStyle w:val="15"/>
              <w:spacing w:before="206"/>
              <w:ind w:left="108"/>
            </w:pPr>
            <w:r>
              <w:t>3-</w:t>
            </w:r>
            <w:r>
              <w:rPr>
                <w:rFonts w:hint="eastAsia" w:ascii="宋体" w:hAnsi="宋体" w:eastAsia="宋体" w:cs="宋体"/>
              </w:rPr>
              <w:t>环己基丙酸烯丙酯</w:t>
            </w:r>
          </w:p>
        </w:tc>
        <w:tc>
          <w:tcPr>
            <w:tcW w:w="2471" w:type="dxa"/>
            <w:vAlign w:val="center"/>
          </w:tcPr>
          <w:p w14:paraId="59CC98BD">
            <w:pPr>
              <w:pStyle w:val="15"/>
              <w:spacing w:line="234" w:lineRule="exact"/>
              <w:ind w:left="108"/>
              <w:rPr>
                <w:lang w:eastAsia="zh-CN"/>
              </w:rPr>
            </w:pPr>
            <w:r>
              <w:rPr>
                <w:rFonts w:hint="eastAsia" w:ascii="宋体" w:hAnsi="宋体" w:eastAsia="宋体" w:cs="宋体"/>
                <w:lang w:eastAsia="zh-CN"/>
              </w:rPr>
              <w:t>新的限制性质量规格标准（基于皮肤致敏和系统毒性）</w:t>
            </w:r>
          </w:p>
        </w:tc>
      </w:tr>
    </w:tbl>
    <w:p w14:paraId="0C3EAB40">
      <w:pPr>
        <w:pStyle w:val="4"/>
        <w:rPr>
          <w:b/>
          <w:sz w:val="29"/>
          <w:lang w:eastAsia="zh-CN"/>
        </w:rPr>
      </w:pPr>
    </w:p>
    <w:p w14:paraId="5B3C7FD4">
      <w:pPr>
        <w:pStyle w:val="2"/>
        <w:numPr>
          <w:ilvl w:val="4"/>
          <w:numId w:val="4"/>
        </w:numPr>
        <w:tabs>
          <w:tab w:val="left" w:pos="717"/>
        </w:tabs>
        <w:spacing w:after="40"/>
        <w:rPr>
          <w:sz w:val="20"/>
          <w:lang w:eastAsia="zh-CN"/>
        </w:rPr>
      </w:pPr>
      <w:bookmarkStart w:id="5" w:name="_bookmark5"/>
      <w:bookmarkEnd w:id="5"/>
      <w:r>
        <w:rPr>
          <w:lang w:eastAsia="zh-CN"/>
        </w:rPr>
        <w:t>32</w:t>
      </w:r>
      <w:bookmarkStart w:id="6" w:name="_Hlk165046081"/>
      <w:r>
        <w:rPr>
          <w:rFonts w:hint="eastAsia" w:ascii="宋体" w:hAnsi="宋体" w:eastAsia="宋体" w:cs="宋体"/>
          <w:lang w:eastAsia="zh-CN"/>
        </w:rPr>
        <w:t>项新的基于皮肤致敏和系统毒性的</w:t>
      </w:r>
      <w:r>
        <w:rPr>
          <w:lang w:eastAsia="zh-CN"/>
        </w:rPr>
        <w:t xml:space="preserve">IFRA </w:t>
      </w:r>
      <w:r>
        <w:rPr>
          <w:rFonts w:hint="eastAsia" w:ascii="宋体" w:hAnsi="宋体" w:eastAsia="宋体" w:cs="宋体"/>
          <w:lang w:eastAsia="zh-CN"/>
        </w:rPr>
        <w:t>限制标准</w:t>
      </w:r>
      <w:bookmarkEnd w:id="6"/>
    </w:p>
    <w:tbl>
      <w:tblPr>
        <w:tblStyle w:val="13"/>
        <w:tblW w:w="0" w:type="auto"/>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96"/>
        <w:gridCol w:w="6021"/>
        <w:gridCol w:w="2471"/>
      </w:tblGrid>
      <w:tr w14:paraId="12C8A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96" w:type="dxa"/>
            <w:shd w:val="clear" w:color="auto" w:fill="D9D9D9"/>
          </w:tcPr>
          <w:p w14:paraId="3B00D017">
            <w:pPr>
              <w:pStyle w:val="15"/>
              <w:spacing w:line="232" w:lineRule="exact"/>
              <w:rPr>
                <w:b/>
              </w:rPr>
            </w:pPr>
            <w:r>
              <w:rPr>
                <w:b/>
              </w:rPr>
              <w:t>CAS</w:t>
            </w:r>
            <w:r>
              <w:rPr>
                <w:rFonts w:hint="eastAsia" w:ascii="宋体" w:hAnsi="宋体" w:eastAsia="宋体" w:cs="宋体"/>
                <w:b/>
                <w:lang w:eastAsia="zh-CN"/>
              </w:rPr>
              <w:t>号</w:t>
            </w:r>
          </w:p>
        </w:tc>
        <w:tc>
          <w:tcPr>
            <w:tcW w:w="6021" w:type="dxa"/>
            <w:shd w:val="clear" w:color="auto" w:fill="D9D9D9"/>
          </w:tcPr>
          <w:p w14:paraId="293BE7A9">
            <w:pPr>
              <w:pStyle w:val="15"/>
              <w:spacing w:line="232" w:lineRule="exact"/>
              <w:rPr>
                <w:rFonts w:eastAsiaTheme="minorEastAsia"/>
                <w:b/>
                <w:lang w:eastAsia="zh-CN"/>
              </w:rPr>
            </w:pPr>
            <w:r>
              <w:rPr>
                <w:rFonts w:hint="eastAsia" w:ascii="宋体" w:hAnsi="宋体" w:eastAsia="宋体" w:cs="宋体"/>
                <w:b/>
                <w:lang w:eastAsia="zh-CN"/>
              </w:rPr>
              <w:t>名称</w:t>
            </w:r>
          </w:p>
        </w:tc>
        <w:tc>
          <w:tcPr>
            <w:tcW w:w="2471" w:type="dxa"/>
            <w:shd w:val="clear" w:color="auto" w:fill="D9D9D9"/>
          </w:tcPr>
          <w:p w14:paraId="7A33080C">
            <w:pPr>
              <w:pStyle w:val="15"/>
              <w:spacing w:line="232" w:lineRule="exact"/>
              <w:ind w:left="106"/>
              <w:rPr>
                <w:b/>
              </w:rPr>
            </w:pPr>
            <w:r>
              <w:rPr>
                <w:rFonts w:hint="eastAsia" w:ascii="宋体" w:hAnsi="宋体" w:eastAsia="宋体" w:cs="宋体"/>
                <w:b/>
                <w:lang w:eastAsia="zh-CN"/>
              </w:rPr>
              <w:t>状况</w:t>
            </w:r>
          </w:p>
        </w:tc>
      </w:tr>
      <w:tr w14:paraId="298DA1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9" w:hRule="atLeast"/>
        </w:trPr>
        <w:tc>
          <w:tcPr>
            <w:tcW w:w="1796" w:type="dxa"/>
            <w:vAlign w:val="center"/>
          </w:tcPr>
          <w:p w14:paraId="363187C0">
            <w:pPr>
              <w:pStyle w:val="15"/>
              <w:spacing w:line="234" w:lineRule="exact"/>
            </w:pPr>
            <w:r>
              <w:t>98-53-3</w:t>
            </w:r>
          </w:p>
        </w:tc>
        <w:tc>
          <w:tcPr>
            <w:tcW w:w="6021" w:type="dxa"/>
            <w:vAlign w:val="center"/>
          </w:tcPr>
          <w:p w14:paraId="2531A8B8">
            <w:pPr>
              <w:pStyle w:val="15"/>
              <w:spacing w:line="234" w:lineRule="exact"/>
            </w:pPr>
            <w:r>
              <w:t>4-</w:t>
            </w:r>
            <w:r>
              <w:rPr>
                <w:rFonts w:hint="eastAsia" w:ascii="宋体" w:hAnsi="宋体" w:eastAsia="宋体" w:cs="宋体"/>
              </w:rPr>
              <w:t>叔丁基环己酮</w:t>
            </w:r>
          </w:p>
        </w:tc>
        <w:tc>
          <w:tcPr>
            <w:tcW w:w="2471" w:type="dxa"/>
            <w:vMerge w:val="restart"/>
            <w:vAlign w:val="center"/>
          </w:tcPr>
          <w:p w14:paraId="7B75362E">
            <w:pPr>
              <w:pStyle w:val="15"/>
              <w:spacing w:line="223" w:lineRule="exact"/>
              <w:ind w:left="106"/>
            </w:pPr>
            <w:r>
              <w:rPr>
                <w:rFonts w:hint="eastAsia" w:ascii="宋体" w:hAnsi="宋体" w:eastAsia="宋体" w:cs="宋体"/>
                <w:lang w:eastAsia="zh-CN"/>
              </w:rPr>
              <w:t>新的限制标准（基于皮肤致敏和系统毒性）</w:t>
            </w:r>
          </w:p>
        </w:tc>
      </w:tr>
      <w:tr w14:paraId="17B39D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6" w:hRule="atLeast"/>
        </w:trPr>
        <w:tc>
          <w:tcPr>
            <w:tcW w:w="1796" w:type="dxa"/>
            <w:vAlign w:val="center"/>
          </w:tcPr>
          <w:p w14:paraId="396CB37B">
            <w:pPr>
              <w:pStyle w:val="15"/>
              <w:spacing w:line="232" w:lineRule="exact"/>
            </w:pPr>
            <w:r>
              <w:t>139504-68-0</w:t>
            </w:r>
          </w:p>
        </w:tc>
        <w:tc>
          <w:tcPr>
            <w:tcW w:w="6021" w:type="dxa"/>
            <w:vAlign w:val="center"/>
          </w:tcPr>
          <w:p w14:paraId="1A2E4CC1">
            <w:pPr>
              <w:pStyle w:val="15"/>
              <w:spacing w:line="232" w:lineRule="exact"/>
            </w:pPr>
            <w:r>
              <w:t>1-(2-</w:t>
            </w:r>
            <w:r>
              <w:rPr>
                <w:rFonts w:hint="eastAsia" w:ascii="宋体" w:hAnsi="宋体" w:eastAsia="宋体" w:cs="宋体"/>
              </w:rPr>
              <w:t>叔丁基环己氧基</w:t>
            </w:r>
            <w:r>
              <w:t>)-2-</w:t>
            </w:r>
            <w:r>
              <w:rPr>
                <w:rFonts w:hint="eastAsia" w:ascii="宋体" w:hAnsi="宋体" w:eastAsia="宋体" w:cs="宋体"/>
              </w:rPr>
              <w:t>丁醇</w:t>
            </w:r>
          </w:p>
        </w:tc>
        <w:tc>
          <w:tcPr>
            <w:tcW w:w="2471" w:type="dxa"/>
            <w:vMerge w:val="continue"/>
            <w:vAlign w:val="center"/>
          </w:tcPr>
          <w:p w14:paraId="4061CBFB">
            <w:pPr>
              <w:pStyle w:val="15"/>
              <w:spacing w:line="223" w:lineRule="exact"/>
              <w:ind w:left="106"/>
            </w:pPr>
          </w:p>
        </w:tc>
      </w:tr>
      <w:tr w14:paraId="2993E6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 w:hRule="atLeast"/>
        </w:trPr>
        <w:tc>
          <w:tcPr>
            <w:tcW w:w="1796" w:type="dxa"/>
            <w:tcBorders>
              <w:bottom w:val="nil"/>
            </w:tcBorders>
            <w:vAlign w:val="center"/>
          </w:tcPr>
          <w:p w14:paraId="609FE1B7">
            <w:pPr>
              <w:pStyle w:val="15"/>
              <w:ind w:left="0"/>
              <w:rPr>
                <w:rFonts w:ascii="Times New Roman"/>
                <w:sz w:val="2"/>
                <w:lang w:eastAsia="zh-CN"/>
              </w:rPr>
            </w:pPr>
          </w:p>
        </w:tc>
        <w:tc>
          <w:tcPr>
            <w:tcW w:w="6021" w:type="dxa"/>
            <w:vMerge w:val="restart"/>
            <w:vAlign w:val="center"/>
          </w:tcPr>
          <w:p w14:paraId="70A30471">
            <w:pPr>
              <w:pStyle w:val="15"/>
              <w:spacing w:line="232" w:lineRule="exact"/>
            </w:pPr>
            <w:r>
              <w:fldChar w:fldCharType="begin"/>
            </w:r>
            <w:r>
              <w:instrText xml:space="preserve"> HYPERLINK "https://www.chembk.com/cn/chem/%E9%A6%99%E8%8A%B9%E8%96%84%E8%8D%B7%E9%85%AE" </w:instrText>
            </w:r>
            <w:r>
              <w:fldChar w:fldCharType="separate"/>
            </w:r>
            <w:r>
              <w:rPr>
                <w:rFonts w:hint="eastAsia" w:ascii="宋体" w:hAnsi="宋体" w:eastAsia="宋体" w:cs="宋体"/>
              </w:rPr>
              <w:t>香芹薄荷酮</w:t>
            </w:r>
            <w:r>
              <w:rPr>
                <w:rFonts w:hint="eastAsia" w:ascii="宋体" w:hAnsi="宋体" w:eastAsia="宋体" w:cs="宋体"/>
              </w:rPr>
              <w:fldChar w:fldCharType="end"/>
            </w:r>
          </w:p>
        </w:tc>
        <w:tc>
          <w:tcPr>
            <w:tcW w:w="2471" w:type="dxa"/>
            <w:vMerge w:val="continue"/>
            <w:vAlign w:val="center"/>
          </w:tcPr>
          <w:p w14:paraId="38EE5086">
            <w:pPr>
              <w:rPr>
                <w:sz w:val="2"/>
                <w:szCs w:val="2"/>
              </w:rPr>
            </w:pPr>
          </w:p>
        </w:tc>
      </w:tr>
      <w:tr w14:paraId="6CE31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0" w:hRule="atLeast"/>
        </w:trPr>
        <w:tc>
          <w:tcPr>
            <w:tcW w:w="1796" w:type="dxa"/>
            <w:tcBorders>
              <w:top w:val="nil"/>
              <w:bottom w:val="nil"/>
            </w:tcBorders>
            <w:vAlign w:val="center"/>
          </w:tcPr>
          <w:p w14:paraId="2A05EF1E">
            <w:pPr>
              <w:pStyle w:val="15"/>
              <w:spacing w:line="200" w:lineRule="exact"/>
            </w:pPr>
            <w:r>
              <w:t>499-70-7,</w:t>
            </w:r>
          </w:p>
        </w:tc>
        <w:tc>
          <w:tcPr>
            <w:tcW w:w="6021" w:type="dxa"/>
            <w:vMerge w:val="continue"/>
            <w:tcBorders>
              <w:top w:val="nil"/>
            </w:tcBorders>
            <w:vAlign w:val="center"/>
          </w:tcPr>
          <w:p w14:paraId="40B30B12">
            <w:pPr>
              <w:rPr>
                <w:sz w:val="2"/>
                <w:szCs w:val="2"/>
              </w:rPr>
            </w:pPr>
          </w:p>
        </w:tc>
        <w:tc>
          <w:tcPr>
            <w:tcW w:w="2471" w:type="dxa"/>
            <w:vMerge w:val="continue"/>
            <w:vAlign w:val="center"/>
          </w:tcPr>
          <w:p w14:paraId="2FBC7BB8">
            <w:pPr>
              <w:pStyle w:val="15"/>
              <w:spacing w:line="200" w:lineRule="exact"/>
              <w:ind w:left="106"/>
              <w:rPr>
                <w:lang w:eastAsia="zh-CN"/>
              </w:rPr>
            </w:pPr>
          </w:p>
        </w:tc>
      </w:tr>
      <w:tr w14:paraId="46B59A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 w:hRule="atLeast"/>
        </w:trPr>
        <w:tc>
          <w:tcPr>
            <w:tcW w:w="1796" w:type="dxa"/>
            <w:tcBorders>
              <w:top w:val="nil"/>
            </w:tcBorders>
            <w:vAlign w:val="center"/>
          </w:tcPr>
          <w:p w14:paraId="5EA725E2">
            <w:pPr>
              <w:pStyle w:val="15"/>
              <w:spacing w:line="223" w:lineRule="exact"/>
            </w:pPr>
            <w:r>
              <w:t>59471-80-6</w:t>
            </w:r>
          </w:p>
        </w:tc>
        <w:tc>
          <w:tcPr>
            <w:tcW w:w="6021" w:type="dxa"/>
            <w:vMerge w:val="continue"/>
            <w:tcBorders>
              <w:top w:val="nil"/>
            </w:tcBorders>
            <w:vAlign w:val="center"/>
          </w:tcPr>
          <w:p w14:paraId="4D65421E">
            <w:pPr>
              <w:rPr>
                <w:sz w:val="2"/>
                <w:szCs w:val="2"/>
              </w:rPr>
            </w:pPr>
          </w:p>
        </w:tc>
        <w:tc>
          <w:tcPr>
            <w:tcW w:w="2471" w:type="dxa"/>
            <w:vMerge w:val="continue"/>
            <w:vAlign w:val="center"/>
          </w:tcPr>
          <w:p w14:paraId="40A64BC5">
            <w:pPr>
              <w:pStyle w:val="15"/>
              <w:spacing w:line="223" w:lineRule="exact"/>
              <w:ind w:left="106"/>
            </w:pPr>
          </w:p>
        </w:tc>
      </w:tr>
      <w:tr w14:paraId="48690B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96" w:type="dxa"/>
            <w:tcBorders>
              <w:bottom w:val="nil"/>
            </w:tcBorders>
            <w:vAlign w:val="center"/>
          </w:tcPr>
          <w:p w14:paraId="3FEF9470">
            <w:pPr>
              <w:pStyle w:val="15"/>
              <w:spacing w:before="2" w:line="231" w:lineRule="exact"/>
            </w:pPr>
            <w:r>
              <w:t>150-84-5,</w:t>
            </w:r>
          </w:p>
        </w:tc>
        <w:tc>
          <w:tcPr>
            <w:tcW w:w="6021" w:type="dxa"/>
            <w:tcBorders>
              <w:bottom w:val="nil"/>
            </w:tcBorders>
            <w:vAlign w:val="center"/>
          </w:tcPr>
          <w:p w14:paraId="651E5E6F">
            <w:pPr>
              <w:pStyle w:val="15"/>
              <w:ind w:left="0"/>
              <w:rPr>
                <w:rFonts w:ascii="Times New Roman"/>
                <w:sz w:val="18"/>
              </w:rPr>
            </w:pPr>
          </w:p>
        </w:tc>
        <w:tc>
          <w:tcPr>
            <w:tcW w:w="2471" w:type="dxa"/>
            <w:vMerge w:val="continue"/>
            <w:vAlign w:val="center"/>
          </w:tcPr>
          <w:p w14:paraId="5919A8AE">
            <w:pPr>
              <w:pStyle w:val="15"/>
              <w:spacing w:line="233" w:lineRule="exact"/>
              <w:ind w:left="106"/>
            </w:pPr>
          </w:p>
        </w:tc>
      </w:tr>
      <w:tr w14:paraId="2A7AB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 w:hRule="atLeast"/>
        </w:trPr>
        <w:tc>
          <w:tcPr>
            <w:tcW w:w="1796" w:type="dxa"/>
            <w:tcBorders>
              <w:top w:val="nil"/>
              <w:bottom w:val="nil"/>
            </w:tcBorders>
            <w:vAlign w:val="center"/>
          </w:tcPr>
          <w:p w14:paraId="00F1DE58">
            <w:pPr>
              <w:pStyle w:val="15"/>
              <w:spacing w:before="1" w:line="231" w:lineRule="exact"/>
            </w:pPr>
            <w:r>
              <w:t>67601-05-2,</w:t>
            </w:r>
          </w:p>
        </w:tc>
        <w:tc>
          <w:tcPr>
            <w:tcW w:w="6021" w:type="dxa"/>
            <w:tcBorders>
              <w:top w:val="nil"/>
              <w:bottom w:val="nil"/>
            </w:tcBorders>
            <w:vAlign w:val="center"/>
          </w:tcPr>
          <w:p w14:paraId="59EB780F">
            <w:pPr>
              <w:pStyle w:val="15"/>
              <w:spacing w:before="1" w:line="231" w:lineRule="exact"/>
            </w:pPr>
            <w:r>
              <w:rPr>
                <w:rFonts w:hint="eastAsia" w:ascii="宋体" w:hAnsi="宋体" w:eastAsia="宋体" w:cs="宋体"/>
              </w:rPr>
              <w:t>乙酸香茅酯</w:t>
            </w:r>
          </w:p>
        </w:tc>
        <w:tc>
          <w:tcPr>
            <w:tcW w:w="2471" w:type="dxa"/>
            <w:vMerge w:val="continue"/>
            <w:vAlign w:val="center"/>
          </w:tcPr>
          <w:p w14:paraId="3969CA17">
            <w:pPr>
              <w:pStyle w:val="15"/>
              <w:spacing w:line="232" w:lineRule="exact"/>
              <w:ind w:left="106"/>
            </w:pPr>
          </w:p>
        </w:tc>
      </w:tr>
      <w:tr w14:paraId="7F0CA7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5" w:hRule="atLeast"/>
        </w:trPr>
        <w:tc>
          <w:tcPr>
            <w:tcW w:w="1796" w:type="dxa"/>
            <w:tcBorders>
              <w:top w:val="nil"/>
            </w:tcBorders>
            <w:vAlign w:val="center"/>
          </w:tcPr>
          <w:p w14:paraId="40AD1800">
            <w:pPr>
              <w:pStyle w:val="15"/>
              <w:spacing w:before="1" w:line="234" w:lineRule="exact"/>
            </w:pPr>
            <w:r>
              <w:t>141-11-7</w:t>
            </w:r>
          </w:p>
        </w:tc>
        <w:tc>
          <w:tcPr>
            <w:tcW w:w="6021" w:type="dxa"/>
            <w:tcBorders>
              <w:top w:val="nil"/>
            </w:tcBorders>
            <w:vAlign w:val="center"/>
          </w:tcPr>
          <w:p w14:paraId="4B7E7E6F">
            <w:pPr>
              <w:pStyle w:val="15"/>
              <w:ind w:left="0"/>
              <w:rPr>
                <w:rFonts w:ascii="Times New Roman"/>
                <w:sz w:val="18"/>
              </w:rPr>
            </w:pPr>
          </w:p>
        </w:tc>
        <w:tc>
          <w:tcPr>
            <w:tcW w:w="2471" w:type="dxa"/>
            <w:vMerge w:val="continue"/>
            <w:vAlign w:val="center"/>
          </w:tcPr>
          <w:p w14:paraId="4EC53846">
            <w:pPr>
              <w:pStyle w:val="15"/>
              <w:spacing w:line="235" w:lineRule="exact"/>
              <w:ind w:left="106"/>
              <w:rPr>
                <w:rFonts w:eastAsiaTheme="minorEastAsia"/>
                <w:lang w:eastAsia="zh-CN"/>
              </w:rPr>
            </w:pPr>
          </w:p>
        </w:tc>
      </w:tr>
      <w:tr w14:paraId="62A8F8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9" w:hRule="atLeast"/>
        </w:trPr>
        <w:tc>
          <w:tcPr>
            <w:tcW w:w="1796" w:type="dxa"/>
            <w:vAlign w:val="center"/>
          </w:tcPr>
          <w:p w14:paraId="2395E849">
            <w:pPr>
              <w:pStyle w:val="15"/>
              <w:spacing w:line="232" w:lineRule="exact"/>
            </w:pPr>
            <w:r>
              <w:t>2550-52-9</w:t>
            </w:r>
          </w:p>
        </w:tc>
        <w:tc>
          <w:tcPr>
            <w:tcW w:w="6021" w:type="dxa"/>
            <w:vAlign w:val="center"/>
          </w:tcPr>
          <w:p w14:paraId="48FCFBBB">
            <w:pPr>
              <w:pStyle w:val="15"/>
              <w:spacing w:line="232" w:lineRule="exact"/>
            </w:pPr>
            <w:r>
              <w:rPr>
                <w:rFonts w:hint="eastAsia" w:ascii="宋体" w:hAnsi="宋体" w:eastAsia="宋体" w:cs="宋体"/>
              </w:rPr>
              <w:t>环十六酮</w:t>
            </w:r>
          </w:p>
        </w:tc>
        <w:tc>
          <w:tcPr>
            <w:tcW w:w="2471" w:type="dxa"/>
            <w:vMerge w:val="continue"/>
            <w:vAlign w:val="center"/>
          </w:tcPr>
          <w:p w14:paraId="2C520C27">
            <w:pPr>
              <w:pStyle w:val="15"/>
              <w:ind w:left="0"/>
              <w:rPr>
                <w:rFonts w:ascii="Times New Roman"/>
                <w:sz w:val="18"/>
              </w:rPr>
            </w:pPr>
          </w:p>
        </w:tc>
      </w:tr>
    </w:tbl>
    <w:p w14:paraId="66FA59B6">
      <w:pPr>
        <w:rPr>
          <w:rFonts w:ascii="Times New Roman"/>
          <w:sz w:val="18"/>
        </w:rPr>
        <w:sectPr>
          <w:pgSz w:w="11910" w:h="16840"/>
          <w:pgMar w:top="1500" w:right="20" w:bottom="980" w:left="580" w:header="432" w:footer="781" w:gutter="0"/>
          <w:cols w:space="720" w:num="1"/>
        </w:sectPr>
      </w:pPr>
    </w:p>
    <w:p w14:paraId="51153E5F">
      <w:pPr>
        <w:pStyle w:val="4"/>
        <w:spacing w:before="5"/>
        <w:rPr>
          <w:b/>
          <w:sz w:val="24"/>
        </w:rPr>
      </w:pPr>
    </w:p>
    <w:tbl>
      <w:tblPr>
        <w:tblStyle w:val="13"/>
        <w:tblW w:w="0" w:type="auto"/>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96"/>
        <w:gridCol w:w="6021"/>
        <w:gridCol w:w="2471"/>
      </w:tblGrid>
      <w:tr w14:paraId="2515D9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51" w:hRule="atLeast"/>
        </w:trPr>
        <w:tc>
          <w:tcPr>
            <w:tcW w:w="1796" w:type="dxa"/>
            <w:shd w:val="clear" w:color="auto" w:fill="D9D9D9"/>
          </w:tcPr>
          <w:p w14:paraId="3706966F">
            <w:pPr>
              <w:pStyle w:val="15"/>
              <w:spacing w:line="232" w:lineRule="exact"/>
              <w:rPr>
                <w:b/>
              </w:rPr>
            </w:pPr>
            <w:r>
              <w:rPr>
                <w:b/>
              </w:rPr>
              <w:t>CAS</w:t>
            </w:r>
            <w:r>
              <w:rPr>
                <w:rFonts w:hint="eastAsia" w:ascii="宋体" w:hAnsi="宋体" w:eastAsia="宋体" w:cs="宋体"/>
                <w:b/>
                <w:lang w:eastAsia="zh-CN"/>
              </w:rPr>
              <w:t>号</w:t>
            </w:r>
          </w:p>
        </w:tc>
        <w:tc>
          <w:tcPr>
            <w:tcW w:w="6021" w:type="dxa"/>
            <w:shd w:val="clear" w:color="auto" w:fill="D9D9D9"/>
          </w:tcPr>
          <w:p w14:paraId="12C5E496">
            <w:pPr>
              <w:pStyle w:val="15"/>
              <w:spacing w:line="232" w:lineRule="exact"/>
              <w:rPr>
                <w:rFonts w:eastAsiaTheme="minorEastAsia"/>
                <w:b/>
                <w:lang w:eastAsia="zh-CN"/>
              </w:rPr>
            </w:pPr>
            <w:r>
              <w:rPr>
                <w:rFonts w:hint="eastAsia" w:ascii="宋体" w:hAnsi="宋体" w:eastAsia="宋体" w:cs="宋体"/>
                <w:b/>
                <w:lang w:eastAsia="zh-CN"/>
              </w:rPr>
              <w:t>名称</w:t>
            </w:r>
          </w:p>
        </w:tc>
        <w:tc>
          <w:tcPr>
            <w:tcW w:w="2471" w:type="dxa"/>
            <w:shd w:val="clear" w:color="auto" w:fill="D9D9D9"/>
          </w:tcPr>
          <w:p w14:paraId="4CDF142D">
            <w:pPr>
              <w:pStyle w:val="15"/>
              <w:spacing w:line="232" w:lineRule="exact"/>
              <w:ind w:left="106"/>
              <w:rPr>
                <w:b/>
              </w:rPr>
            </w:pPr>
            <w:r>
              <w:rPr>
                <w:rFonts w:hint="eastAsia" w:ascii="宋体" w:hAnsi="宋体" w:eastAsia="宋体" w:cs="宋体"/>
                <w:b/>
                <w:lang w:eastAsia="zh-CN"/>
              </w:rPr>
              <w:t>状况</w:t>
            </w:r>
          </w:p>
        </w:tc>
      </w:tr>
      <w:tr w14:paraId="54E46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96" w:type="dxa"/>
            <w:tcBorders>
              <w:bottom w:val="nil"/>
            </w:tcBorders>
          </w:tcPr>
          <w:p w14:paraId="523FB406">
            <w:pPr>
              <w:pStyle w:val="15"/>
              <w:spacing w:line="232" w:lineRule="exact"/>
            </w:pPr>
            <w:r>
              <w:t>88642-03-9,</w:t>
            </w:r>
          </w:p>
        </w:tc>
        <w:tc>
          <w:tcPr>
            <w:tcW w:w="6021" w:type="dxa"/>
            <w:tcBorders>
              <w:bottom w:val="nil"/>
            </w:tcBorders>
          </w:tcPr>
          <w:p w14:paraId="70EA26B7">
            <w:pPr>
              <w:pStyle w:val="15"/>
              <w:ind w:left="0"/>
              <w:rPr>
                <w:rFonts w:ascii="Times New Roman"/>
                <w:sz w:val="18"/>
              </w:rPr>
            </w:pPr>
          </w:p>
        </w:tc>
        <w:tc>
          <w:tcPr>
            <w:tcW w:w="2471" w:type="dxa"/>
            <w:vMerge w:val="restart"/>
          </w:tcPr>
          <w:p w14:paraId="61DC20D5">
            <w:pPr>
              <w:pStyle w:val="15"/>
              <w:ind w:left="0"/>
              <w:rPr>
                <w:rFonts w:ascii="Times New Roman"/>
                <w:sz w:val="20"/>
              </w:rPr>
            </w:pPr>
          </w:p>
        </w:tc>
      </w:tr>
      <w:tr w14:paraId="7EBA5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3" w:hRule="atLeast"/>
        </w:trPr>
        <w:tc>
          <w:tcPr>
            <w:tcW w:w="1796" w:type="dxa"/>
            <w:tcBorders>
              <w:top w:val="nil"/>
              <w:bottom w:val="nil"/>
            </w:tcBorders>
          </w:tcPr>
          <w:p w14:paraId="59C3DEBD">
            <w:pPr>
              <w:pStyle w:val="15"/>
              <w:spacing w:line="223" w:lineRule="exact"/>
            </w:pPr>
            <w:r>
              <w:t>5365-06-0,</w:t>
            </w:r>
          </w:p>
        </w:tc>
        <w:tc>
          <w:tcPr>
            <w:tcW w:w="6021" w:type="dxa"/>
            <w:tcBorders>
              <w:top w:val="nil"/>
              <w:bottom w:val="nil"/>
            </w:tcBorders>
          </w:tcPr>
          <w:p w14:paraId="4A44D6D8">
            <w:pPr>
              <w:pStyle w:val="15"/>
              <w:ind w:left="0"/>
              <w:rPr>
                <w:rFonts w:ascii="Times New Roman"/>
                <w:sz w:val="16"/>
              </w:rPr>
            </w:pPr>
          </w:p>
        </w:tc>
        <w:tc>
          <w:tcPr>
            <w:tcW w:w="2471" w:type="dxa"/>
            <w:vMerge w:val="continue"/>
            <w:tcBorders>
              <w:top w:val="nil"/>
            </w:tcBorders>
          </w:tcPr>
          <w:p w14:paraId="4DF302AC">
            <w:pPr>
              <w:rPr>
                <w:sz w:val="2"/>
                <w:szCs w:val="2"/>
              </w:rPr>
            </w:pPr>
          </w:p>
        </w:tc>
      </w:tr>
      <w:tr w14:paraId="7353F3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3" w:hRule="atLeast"/>
        </w:trPr>
        <w:tc>
          <w:tcPr>
            <w:tcW w:w="1796" w:type="dxa"/>
            <w:tcBorders>
              <w:top w:val="nil"/>
              <w:bottom w:val="nil"/>
            </w:tcBorders>
          </w:tcPr>
          <w:p w14:paraId="4CC383DC">
            <w:pPr>
              <w:pStyle w:val="15"/>
              <w:spacing w:line="223" w:lineRule="exact"/>
            </w:pPr>
            <w:r>
              <w:t>2550-59-6,</w:t>
            </w:r>
          </w:p>
        </w:tc>
        <w:tc>
          <w:tcPr>
            <w:tcW w:w="6021" w:type="dxa"/>
            <w:tcBorders>
              <w:top w:val="nil"/>
              <w:bottom w:val="nil"/>
            </w:tcBorders>
          </w:tcPr>
          <w:p w14:paraId="03A674C1">
            <w:pPr>
              <w:pStyle w:val="15"/>
              <w:ind w:left="0"/>
              <w:rPr>
                <w:rFonts w:ascii="Times New Roman"/>
                <w:sz w:val="16"/>
              </w:rPr>
            </w:pPr>
          </w:p>
        </w:tc>
        <w:tc>
          <w:tcPr>
            <w:tcW w:w="2471" w:type="dxa"/>
            <w:vMerge w:val="continue"/>
            <w:tcBorders>
              <w:top w:val="nil"/>
            </w:tcBorders>
          </w:tcPr>
          <w:p w14:paraId="23D9BDD2">
            <w:pPr>
              <w:rPr>
                <w:sz w:val="2"/>
                <w:szCs w:val="2"/>
              </w:rPr>
            </w:pPr>
          </w:p>
        </w:tc>
      </w:tr>
      <w:tr w14:paraId="7A7BAB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3" w:hRule="atLeast"/>
        </w:trPr>
        <w:tc>
          <w:tcPr>
            <w:tcW w:w="1796" w:type="dxa"/>
            <w:tcBorders>
              <w:top w:val="nil"/>
              <w:bottom w:val="nil"/>
            </w:tcBorders>
          </w:tcPr>
          <w:p w14:paraId="76B0BFD9">
            <w:pPr>
              <w:pStyle w:val="15"/>
              <w:spacing w:line="223" w:lineRule="exact"/>
            </w:pPr>
            <w:r>
              <w:t>3100-36-5,</w:t>
            </w:r>
          </w:p>
        </w:tc>
        <w:tc>
          <w:tcPr>
            <w:tcW w:w="6021" w:type="dxa"/>
            <w:tcBorders>
              <w:top w:val="nil"/>
              <w:bottom w:val="nil"/>
            </w:tcBorders>
          </w:tcPr>
          <w:p w14:paraId="75BCE5EF">
            <w:pPr>
              <w:pStyle w:val="15"/>
              <w:spacing w:line="223" w:lineRule="exact"/>
            </w:pPr>
            <w:r>
              <w:rPr>
                <w:rFonts w:hint="eastAsia" w:ascii="宋体" w:hAnsi="宋体" w:eastAsia="宋体" w:cs="宋体"/>
              </w:rPr>
              <w:t>环十六烯酮</w:t>
            </w:r>
          </w:p>
        </w:tc>
        <w:tc>
          <w:tcPr>
            <w:tcW w:w="2471" w:type="dxa"/>
            <w:vMerge w:val="continue"/>
            <w:tcBorders>
              <w:top w:val="nil"/>
            </w:tcBorders>
          </w:tcPr>
          <w:p w14:paraId="6ACDF6A3">
            <w:pPr>
              <w:rPr>
                <w:sz w:val="2"/>
                <w:szCs w:val="2"/>
              </w:rPr>
            </w:pPr>
          </w:p>
        </w:tc>
      </w:tr>
      <w:tr w14:paraId="2AD1B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 w:hRule="atLeast"/>
        </w:trPr>
        <w:tc>
          <w:tcPr>
            <w:tcW w:w="1796" w:type="dxa"/>
            <w:tcBorders>
              <w:top w:val="nil"/>
              <w:bottom w:val="nil"/>
            </w:tcBorders>
          </w:tcPr>
          <w:p w14:paraId="75804FEF">
            <w:pPr>
              <w:pStyle w:val="15"/>
              <w:spacing w:line="222" w:lineRule="exact"/>
            </w:pPr>
            <w:r>
              <w:t>5120-20-7,</w:t>
            </w:r>
          </w:p>
        </w:tc>
        <w:tc>
          <w:tcPr>
            <w:tcW w:w="6021" w:type="dxa"/>
            <w:tcBorders>
              <w:top w:val="nil"/>
              <w:bottom w:val="nil"/>
            </w:tcBorders>
          </w:tcPr>
          <w:p w14:paraId="568768C0">
            <w:pPr>
              <w:pStyle w:val="15"/>
              <w:ind w:left="0"/>
              <w:rPr>
                <w:rFonts w:ascii="Times New Roman"/>
                <w:sz w:val="16"/>
              </w:rPr>
            </w:pPr>
          </w:p>
        </w:tc>
        <w:tc>
          <w:tcPr>
            <w:tcW w:w="2471" w:type="dxa"/>
            <w:vMerge w:val="continue"/>
            <w:tcBorders>
              <w:top w:val="nil"/>
            </w:tcBorders>
          </w:tcPr>
          <w:p w14:paraId="23CA815E">
            <w:pPr>
              <w:rPr>
                <w:sz w:val="2"/>
                <w:szCs w:val="2"/>
              </w:rPr>
            </w:pPr>
          </w:p>
        </w:tc>
      </w:tr>
      <w:tr w14:paraId="2CDCA7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3" w:hRule="atLeast"/>
        </w:trPr>
        <w:tc>
          <w:tcPr>
            <w:tcW w:w="1796" w:type="dxa"/>
            <w:tcBorders>
              <w:top w:val="nil"/>
              <w:bottom w:val="nil"/>
            </w:tcBorders>
          </w:tcPr>
          <w:p w14:paraId="4981A7D2">
            <w:pPr>
              <w:pStyle w:val="15"/>
              <w:spacing w:line="223" w:lineRule="exact"/>
            </w:pPr>
            <w:r>
              <w:t>854373-71-0,</w:t>
            </w:r>
          </w:p>
        </w:tc>
        <w:tc>
          <w:tcPr>
            <w:tcW w:w="6021" w:type="dxa"/>
            <w:tcBorders>
              <w:top w:val="nil"/>
              <w:bottom w:val="nil"/>
            </w:tcBorders>
          </w:tcPr>
          <w:p w14:paraId="0E0FFF4E">
            <w:pPr>
              <w:pStyle w:val="15"/>
              <w:ind w:left="0"/>
              <w:rPr>
                <w:rFonts w:ascii="Times New Roman"/>
                <w:sz w:val="16"/>
              </w:rPr>
            </w:pPr>
          </w:p>
        </w:tc>
        <w:tc>
          <w:tcPr>
            <w:tcW w:w="2471" w:type="dxa"/>
            <w:vMerge w:val="continue"/>
            <w:tcBorders>
              <w:top w:val="nil"/>
            </w:tcBorders>
          </w:tcPr>
          <w:p w14:paraId="16C208EA">
            <w:pPr>
              <w:rPr>
                <w:sz w:val="2"/>
                <w:szCs w:val="2"/>
              </w:rPr>
            </w:pPr>
          </w:p>
        </w:tc>
      </w:tr>
      <w:tr w14:paraId="488C54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4" w:hRule="atLeast"/>
        </w:trPr>
        <w:tc>
          <w:tcPr>
            <w:tcW w:w="1796" w:type="dxa"/>
            <w:tcBorders>
              <w:top w:val="nil"/>
            </w:tcBorders>
          </w:tcPr>
          <w:p w14:paraId="28170B20">
            <w:pPr>
              <w:pStyle w:val="15"/>
              <w:spacing w:line="224" w:lineRule="exact"/>
            </w:pPr>
            <w:r>
              <w:t>854373-70-9</w:t>
            </w:r>
          </w:p>
        </w:tc>
        <w:tc>
          <w:tcPr>
            <w:tcW w:w="6021" w:type="dxa"/>
            <w:tcBorders>
              <w:top w:val="nil"/>
            </w:tcBorders>
          </w:tcPr>
          <w:p w14:paraId="1712A358">
            <w:pPr>
              <w:pStyle w:val="15"/>
              <w:ind w:left="0"/>
              <w:rPr>
                <w:rFonts w:ascii="Times New Roman"/>
                <w:sz w:val="16"/>
              </w:rPr>
            </w:pPr>
          </w:p>
        </w:tc>
        <w:tc>
          <w:tcPr>
            <w:tcW w:w="2471" w:type="dxa"/>
            <w:vMerge w:val="continue"/>
            <w:tcBorders>
              <w:top w:val="nil"/>
            </w:tcBorders>
          </w:tcPr>
          <w:p w14:paraId="41111CD8">
            <w:pPr>
              <w:rPr>
                <w:sz w:val="2"/>
                <w:szCs w:val="2"/>
              </w:rPr>
            </w:pPr>
          </w:p>
        </w:tc>
      </w:tr>
      <w:tr w14:paraId="21E185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1796" w:type="dxa"/>
          </w:tcPr>
          <w:p w14:paraId="4AA3B6E2">
            <w:pPr>
              <w:pStyle w:val="15"/>
              <w:spacing w:line="234" w:lineRule="exact"/>
            </w:pPr>
            <w:r>
              <w:t>10461-98-0</w:t>
            </w:r>
          </w:p>
        </w:tc>
        <w:tc>
          <w:tcPr>
            <w:tcW w:w="6021" w:type="dxa"/>
          </w:tcPr>
          <w:p w14:paraId="05ABD652">
            <w:pPr>
              <w:pStyle w:val="15"/>
              <w:spacing w:line="234" w:lineRule="exact"/>
            </w:pPr>
            <w:r>
              <w:t>2-</w:t>
            </w:r>
            <w:r>
              <w:rPr>
                <w:rFonts w:hint="eastAsia" w:ascii="宋体" w:hAnsi="宋体" w:eastAsia="宋体" w:cs="宋体"/>
              </w:rPr>
              <w:t>环亚己基</w:t>
            </w:r>
            <w:r>
              <w:t>-2-</w:t>
            </w:r>
            <w:r>
              <w:rPr>
                <w:rFonts w:hint="eastAsia" w:ascii="宋体" w:hAnsi="宋体" w:eastAsia="宋体" w:cs="宋体"/>
              </w:rPr>
              <w:t>苯基乙腈</w:t>
            </w:r>
          </w:p>
        </w:tc>
        <w:tc>
          <w:tcPr>
            <w:tcW w:w="2471" w:type="dxa"/>
            <w:vMerge w:val="continue"/>
            <w:tcBorders>
              <w:top w:val="nil"/>
            </w:tcBorders>
          </w:tcPr>
          <w:p w14:paraId="2C49AF94">
            <w:pPr>
              <w:rPr>
                <w:sz w:val="2"/>
                <w:szCs w:val="2"/>
              </w:rPr>
            </w:pPr>
          </w:p>
        </w:tc>
      </w:tr>
      <w:tr w14:paraId="710B7D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96" w:type="dxa"/>
          </w:tcPr>
          <w:p w14:paraId="63CD4252">
            <w:pPr>
              <w:pStyle w:val="15"/>
              <w:spacing w:line="232" w:lineRule="exact"/>
            </w:pPr>
            <w:r>
              <w:t>916887-53-1</w:t>
            </w:r>
          </w:p>
        </w:tc>
        <w:tc>
          <w:tcPr>
            <w:tcW w:w="6021" w:type="dxa"/>
          </w:tcPr>
          <w:p w14:paraId="5476244C">
            <w:pPr>
              <w:pStyle w:val="15"/>
              <w:spacing w:line="232" w:lineRule="exact"/>
              <w:rPr>
                <w:lang w:eastAsia="zh-CN"/>
              </w:rPr>
            </w:pPr>
            <w:r>
              <w:rPr>
                <w:lang w:eastAsia="zh-CN"/>
              </w:rPr>
              <w:t>2-</w:t>
            </w:r>
            <w:r>
              <w:rPr>
                <w:rFonts w:hint="eastAsia" w:ascii="宋体" w:hAnsi="宋体" w:eastAsia="宋体" w:cs="宋体"/>
                <w:lang w:eastAsia="zh-CN"/>
              </w:rPr>
              <w:t>环亚己基</w:t>
            </w:r>
            <w:r>
              <w:rPr>
                <w:lang w:eastAsia="zh-CN"/>
              </w:rPr>
              <w:t>-2-</w:t>
            </w:r>
            <w:r>
              <w:rPr>
                <w:rFonts w:hint="eastAsia" w:ascii="宋体" w:hAnsi="宋体" w:eastAsia="宋体" w:cs="宋体"/>
                <w:lang w:eastAsia="zh-CN"/>
              </w:rPr>
              <w:t>邻甲苯基乙腈</w:t>
            </w:r>
          </w:p>
        </w:tc>
        <w:tc>
          <w:tcPr>
            <w:tcW w:w="2471" w:type="dxa"/>
            <w:vMerge w:val="continue"/>
            <w:tcBorders>
              <w:top w:val="nil"/>
            </w:tcBorders>
          </w:tcPr>
          <w:p w14:paraId="535B4FA6">
            <w:pPr>
              <w:rPr>
                <w:sz w:val="2"/>
                <w:szCs w:val="2"/>
                <w:lang w:eastAsia="zh-CN"/>
              </w:rPr>
            </w:pPr>
          </w:p>
        </w:tc>
      </w:tr>
      <w:tr w14:paraId="4C90F4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1796" w:type="dxa"/>
          </w:tcPr>
          <w:p w14:paraId="60DC79CA">
            <w:pPr>
              <w:pStyle w:val="15"/>
              <w:spacing w:line="234" w:lineRule="exact"/>
            </w:pPr>
            <w:r>
              <w:t>2550-11-0</w:t>
            </w:r>
          </w:p>
        </w:tc>
        <w:tc>
          <w:tcPr>
            <w:tcW w:w="6021" w:type="dxa"/>
          </w:tcPr>
          <w:p w14:paraId="0539260F">
            <w:pPr>
              <w:pStyle w:val="15"/>
              <w:spacing w:line="234" w:lineRule="exact"/>
            </w:pPr>
            <w:r>
              <w:rPr>
                <w:rFonts w:hint="eastAsia" w:ascii="宋体" w:hAnsi="宋体" w:eastAsia="宋体" w:cs="宋体"/>
              </w:rPr>
              <w:t>二甲基辛烯酮</w:t>
            </w:r>
          </w:p>
        </w:tc>
        <w:tc>
          <w:tcPr>
            <w:tcW w:w="2471" w:type="dxa"/>
            <w:vMerge w:val="continue"/>
            <w:tcBorders>
              <w:top w:val="nil"/>
            </w:tcBorders>
          </w:tcPr>
          <w:p w14:paraId="7C75C199">
            <w:pPr>
              <w:rPr>
                <w:sz w:val="2"/>
                <w:szCs w:val="2"/>
              </w:rPr>
            </w:pPr>
          </w:p>
        </w:tc>
      </w:tr>
      <w:tr w14:paraId="6D0E06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 w:hRule="atLeast"/>
        </w:trPr>
        <w:tc>
          <w:tcPr>
            <w:tcW w:w="1796" w:type="dxa"/>
          </w:tcPr>
          <w:p w14:paraId="7004B90B">
            <w:pPr>
              <w:pStyle w:val="15"/>
              <w:spacing w:line="232" w:lineRule="exact"/>
            </w:pPr>
            <w:r>
              <w:t>58567-11-6</w:t>
            </w:r>
          </w:p>
        </w:tc>
        <w:tc>
          <w:tcPr>
            <w:tcW w:w="6021" w:type="dxa"/>
          </w:tcPr>
          <w:p w14:paraId="003BD9EE">
            <w:pPr>
              <w:pStyle w:val="15"/>
              <w:spacing w:line="232" w:lineRule="exact"/>
              <w:rPr>
                <w:lang w:eastAsia="zh-CN"/>
              </w:rPr>
            </w:pPr>
            <w:r>
              <w:rPr>
                <w:rFonts w:hint="eastAsia" w:ascii="宋体" w:hAnsi="宋体" w:eastAsia="宋体" w:cs="宋体"/>
                <w:lang w:eastAsia="zh-CN"/>
              </w:rPr>
              <w:t>乙氧基甲氧基环十一烷</w:t>
            </w:r>
          </w:p>
        </w:tc>
        <w:tc>
          <w:tcPr>
            <w:tcW w:w="2471" w:type="dxa"/>
            <w:vMerge w:val="continue"/>
            <w:tcBorders>
              <w:top w:val="nil"/>
            </w:tcBorders>
          </w:tcPr>
          <w:p w14:paraId="1324278D">
            <w:pPr>
              <w:rPr>
                <w:sz w:val="2"/>
                <w:szCs w:val="2"/>
                <w:lang w:eastAsia="zh-CN"/>
              </w:rPr>
            </w:pPr>
          </w:p>
        </w:tc>
      </w:tr>
      <w:tr w14:paraId="31AA50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96" w:type="dxa"/>
            <w:tcBorders>
              <w:bottom w:val="nil"/>
            </w:tcBorders>
          </w:tcPr>
          <w:p w14:paraId="4E1CEA4C">
            <w:pPr>
              <w:pStyle w:val="15"/>
              <w:spacing w:before="2" w:line="231" w:lineRule="exact"/>
            </w:pPr>
            <w:r>
              <w:t>27538-09-6,</w:t>
            </w:r>
          </w:p>
        </w:tc>
        <w:tc>
          <w:tcPr>
            <w:tcW w:w="6021" w:type="dxa"/>
            <w:vMerge w:val="restart"/>
          </w:tcPr>
          <w:p w14:paraId="46554AB0">
            <w:pPr>
              <w:pStyle w:val="15"/>
              <w:spacing w:before="127"/>
              <w:rPr>
                <w:rFonts w:hint="default"/>
                <w:lang w:val="en-US" w:eastAsia="zh-CN"/>
              </w:rPr>
            </w:pPr>
            <w:r>
              <w:rPr>
                <w:rFonts w:hint="eastAsia" w:ascii="宋体" w:hAnsi="宋体" w:eastAsia="宋体" w:cs="宋体"/>
                <w:lang w:eastAsia="zh-CN"/>
              </w:rPr>
              <w:t>酱油酮</w:t>
            </w:r>
            <w:r>
              <w:rPr>
                <w:rFonts w:hint="eastAsia" w:ascii="Arial" w:hAnsi="Arial" w:eastAsia="Arial" w:cs="Arial"/>
                <w:lang w:val="en-US" w:eastAsia="en-US"/>
              </w:rPr>
              <w:t>(</w:t>
            </w:r>
            <w:r>
              <w:rPr>
                <w:rFonts w:hint="eastAsia" w:ascii="Arial" w:hAnsi="Arial" w:eastAsia="Arial" w:cs="Arial"/>
                <w:lang w:eastAsia="en-US"/>
              </w:rPr>
              <w:t>5-乙基-4-羟基-2-甲基-3(2H</w:t>
            </w:r>
            <w:r>
              <w:rPr>
                <w:rFonts w:hint="eastAsia" w:eastAsia="Arial" w:cs="Arial"/>
                <w:lang w:val="en-US" w:eastAsia="en-US"/>
              </w:rPr>
              <w:t>)</w:t>
            </w:r>
            <w:r>
              <w:rPr>
                <w:rFonts w:hint="eastAsia" w:ascii="Arial" w:hAnsi="Arial" w:eastAsia="Arial" w:cs="Arial"/>
                <w:lang w:eastAsia="en-US"/>
              </w:rPr>
              <w:t>-呋喃酮和2-乙基-4-羟基-5-甲基-3(2H)-呋喃酮</w:t>
            </w:r>
            <w:r>
              <w:rPr>
                <w:rFonts w:hint="eastAsia" w:ascii="Arial" w:hAnsi="Arial" w:eastAsia="Arial" w:cs="Arial"/>
                <w:lang w:val="en-US" w:eastAsia="en-US"/>
              </w:rPr>
              <w:t>)</w:t>
            </w:r>
          </w:p>
        </w:tc>
        <w:tc>
          <w:tcPr>
            <w:tcW w:w="2471" w:type="dxa"/>
            <w:vMerge w:val="continue"/>
            <w:tcBorders>
              <w:top w:val="nil"/>
            </w:tcBorders>
          </w:tcPr>
          <w:p w14:paraId="511F1D0D">
            <w:pPr>
              <w:rPr>
                <w:sz w:val="2"/>
                <w:szCs w:val="2"/>
                <w:lang w:eastAsia="zh-CN"/>
              </w:rPr>
            </w:pPr>
          </w:p>
        </w:tc>
      </w:tr>
      <w:tr w14:paraId="069E21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 w:hRule="atLeast"/>
        </w:trPr>
        <w:tc>
          <w:tcPr>
            <w:tcW w:w="1796" w:type="dxa"/>
            <w:tcBorders>
              <w:top w:val="nil"/>
            </w:tcBorders>
          </w:tcPr>
          <w:p w14:paraId="6DE94F42">
            <w:pPr>
              <w:pStyle w:val="15"/>
              <w:spacing w:line="223" w:lineRule="exact"/>
            </w:pPr>
            <w:r>
              <w:t>27538-10-9</w:t>
            </w:r>
          </w:p>
        </w:tc>
        <w:tc>
          <w:tcPr>
            <w:tcW w:w="6021" w:type="dxa"/>
            <w:vMerge w:val="continue"/>
            <w:tcBorders>
              <w:top w:val="nil"/>
            </w:tcBorders>
          </w:tcPr>
          <w:p w14:paraId="2A9291EF">
            <w:pPr>
              <w:rPr>
                <w:sz w:val="2"/>
                <w:szCs w:val="2"/>
              </w:rPr>
            </w:pPr>
          </w:p>
        </w:tc>
        <w:tc>
          <w:tcPr>
            <w:tcW w:w="2471" w:type="dxa"/>
            <w:vMerge w:val="continue"/>
            <w:tcBorders>
              <w:top w:val="nil"/>
            </w:tcBorders>
          </w:tcPr>
          <w:p w14:paraId="53F55A82">
            <w:pPr>
              <w:rPr>
                <w:sz w:val="2"/>
                <w:szCs w:val="2"/>
              </w:rPr>
            </w:pPr>
          </w:p>
        </w:tc>
      </w:tr>
      <w:tr w14:paraId="429EA3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96" w:type="dxa"/>
            <w:tcBorders>
              <w:bottom w:val="nil"/>
            </w:tcBorders>
          </w:tcPr>
          <w:p w14:paraId="7B789B31">
            <w:pPr>
              <w:pStyle w:val="15"/>
              <w:spacing w:before="2" w:line="231" w:lineRule="exact"/>
            </w:pPr>
            <w:r>
              <w:t>116044-44-1,</w:t>
            </w:r>
          </w:p>
        </w:tc>
        <w:tc>
          <w:tcPr>
            <w:tcW w:w="6021" w:type="dxa"/>
            <w:vMerge w:val="restart"/>
          </w:tcPr>
          <w:p w14:paraId="5CE6A9A0">
            <w:pPr>
              <w:pStyle w:val="15"/>
              <w:spacing w:before="127"/>
              <w:rPr>
                <w:rFonts w:hint="default"/>
                <w:lang w:val="en-US" w:eastAsia="zh-CN"/>
              </w:rPr>
            </w:pPr>
            <w:r>
              <w:rPr>
                <w:rFonts w:hint="eastAsia" w:ascii="宋体" w:hAnsi="宋体" w:eastAsia="宋体" w:cs="宋体"/>
                <w:lang w:val="en-US" w:eastAsia="zh-CN"/>
              </w:rPr>
              <w:t>香波酯(</w:t>
            </w:r>
            <w:r>
              <w:rPr>
                <w:rFonts w:hint="eastAsia" w:ascii="Arial" w:hAnsi="Arial" w:eastAsia="Arial" w:cs="Arial"/>
                <w:lang w:eastAsia="en-US"/>
              </w:rPr>
              <w:t>3-</w:t>
            </w:r>
            <w:r>
              <w:rPr>
                <w:rFonts w:hint="eastAsia" w:ascii="宋体" w:hAnsi="宋体" w:eastAsia="宋体" w:cs="宋体"/>
                <w:lang w:eastAsia="en-US"/>
              </w:rPr>
              <w:t>异丙基</w:t>
            </w:r>
            <w:r>
              <w:rPr>
                <w:rFonts w:hint="eastAsia" w:ascii="Arial" w:hAnsi="Arial" w:eastAsia="Arial" w:cs="Arial"/>
                <w:lang w:eastAsia="en-US"/>
              </w:rPr>
              <w:t>-</w:t>
            </w:r>
            <w:r>
              <w:rPr>
                <w:rFonts w:hint="eastAsia" w:ascii="宋体" w:hAnsi="宋体" w:eastAsia="宋体" w:cs="宋体"/>
                <w:lang w:eastAsia="en-US"/>
              </w:rPr>
              <w:t>双环</w:t>
            </w:r>
            <w:r>
              <w:rPr>
                <w:rFonts w:hint="eastAsia" w:ascii="Arial" w:hAnsi="Arial" w:eastAsia="Arial" w:cs="Arial"/>
                <w:lang w:eastAsia="en-US"/>
              </w:rPr>
              <w:t>[2,2,1]-</w:t>
            </w:r>
            <w:r>
              <w:rPr>
                <w:rFonts w:hint="eastAsia" w:ascii="宋体" w:hAnsi="宋体" w:eastAsia="宋体" w:cs="宋体"/>
                <w:lang w:eastAsia="en-US"/>
              </w:rPr>
              <w:t>庚</w:t>
            </w:r>
            <w:r>
              <w:rPr>
                <w:rFonts w:hint="eastAsia" w:ascii="Arial" w:hAnsi="Arial" w:eastAsia="Arial" w:cs="Arial"/>
                <w:lang w:eastAsia="en-US"/>
              </w:rPr>
              <w:t>-5-</w:t>
            </w:r>
            <w:r>
              <w:rPr>
                <w:rFonts w:hint="eastAsia" w:ascii="宋体" w:hAnsi="宋体" w:eastAsia="宋体" w:cs="宋体"/>
                <w:lang w:eastAsia="en-US"/>
              </w:rPr>
              <w:t>烯</w:t>
            </w:r>
            <w:r>
              <w:rPr>
                <w:rFonts w:hint="eastAsia" w:ascii="Arial" w:hAnsi="Arial" w:eastAsia="Arial" w:cs="Arial"/>
                <w:lang w:eastAsia="en-US"/>
              </w:rPr>
              <w:t>-2-</w:t>
            </w:r>
            <w:r>
              <w:rPr>
                <w:rFonts w:hint="eastAsia" w:ascii="宋体" w:hAnsi="宋体" w:eastAsia="宋体" w:cs="宋体"/>
                <w:lang w:eastAsia="zh-CN"/>
              </w:rPr>
              <w:t>甲酸乙酯</w:t>
            </w:r>
            <w:r>
              <w:rPr>
                <w:rFonts w:hint="eastAsia" w:ascii="宋体" w:hAnsi="宋体" w:eastAsia="宋体" w:cs="宋体"/>
                <w:lang w:val="en-US" w:eastAsia="zh-CN"/>
              </w:rPr>
              <w:t>)</w:t>
            </w:r>
          </w:p>
        </w:tc>
        <w:tc>
          <w:tcPr>
            <w:tcW w:w="2471" w:type="dxa"/>
            <w:vMerge w:val="continue"/>
            <w:tcBorders>
              <w:top w:val="nil"/>
            </w:tcBorders>
          </w:tcPr>
          <w:p w14:paraId="18063EA9">
            <w:pPr>
              <w:rPr>
                <w:sz w:val="2"/>
                <w:szCs w:val="2"/>
                <w:lang w:eastAsia="zh-CN"/>
              </w:rPr>
            </w:pPr>
          </w:p>
        </w:tc>
      </w:tr>
      <w:tr w14:paraId="1A31F2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 w:hRule="atLeast"/>
        </w:trPr>
        <w:tc>
          <w:tcPr>
            <w:tcW w:w="1796" w:type="dxa"/>
            <w:tcBorders>
              <w:top w:val="nil"/>
            </w:tcBorders>
          </w:tcPr>
          <w:p w14:paraId="5AF6117F">
            <w:pPr>
              <w:pStyle w:val="15"/>
              <w:spacing w:line="223" w:lineRule="exact"/>
            </w:pPr>
            <w:r>
              <w:t>116126-82-0</w:t>
            </w:r>
          </w:p>
        </w:tc>
        <w:tc>
          <w:tcPr>
            <w:tcW w:w="6021" w:type="dxa"/>
            <w:vMerge w:val="continue"/>
            <w:tcBorders>
              <w:top w:val="nil"/>
            </w:tcBorders>
          </w:tcPr>
          <w:p w14:paraId="2D0A1FD6">
            <w:pPr>
              <w:rPr>
                <w:sz w:val="2"/>
                <w:szCs w:val="2"/>
              </w:rPr>
            </w:pPr>
          </w:p>
        </w:tc>
        <w:tc>
          <w:tcPr>
            <w:tcW w:w="2471" w:type="dxa"/>
            <w:vMerge w:val="continue"/>
            <w:tcBorders>
              <w:top w:val="nil"/>
            </w:tcBorders>
          </w:tcPr>
          <w:p w14:paraId="78742164">
            <w:pPr>
              <w:rPr>
                <w:sz w:val="2"/>
                <w:szCs w:val="2"/>
              </w:rPr>
            </w:pPr>
          </w:p>
        </w:tc>
      </w:tr>
      <w:tr w14:paraId="71B121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1796" w:type="dxa"/>
          </w:tcPr>
          <w:p w14:paraId="09335442">
            <w:pPr>
              <w:pStyle w:val="15"/>
              <w:spacing w:before="2" w:line="232" w:lineRule="exact"/>
            </w:pPr>
            <w:r>
              <w:t>1576-78-9</w:t>
            </w:r>
          </w:p>
        </w:tc>
        <w:tc>
          <w:tcPr>
            <w:tcW w:w="6021" w:type="dxa"/>
          </w:tcPr>
          <w:p w14:paraId="11342891">
            <w:pPr>
              <w:pStyle w:val="15"/>
              <w:spacing w:before="2" w:line="232" w:lineRule="exact"/>
            </w:pPr>
            <w:r>
              <w:rPr>
                <w:rFonts w:hint="eastAsia" w:ascii="宋体" w:hAnsi="宋体" w:eastAsia="宋体" w:cs="宋体"/>
              </w:rPr>
              <w:t>顺</w:t>
            </w:r>
            <w:r>
              <w:t>-3-</w:t>
            </w:r>
            <w:r>
              <w:rPr>
                <w:rFonts w:hint="eastAsia" w:ascii="宋体" w:hAnsi="宋体" w:eastAsia="宋体" w:cs="宋体"/>
              </w:rPr>
              <w:t>庚烯</w:t>
            </w:r>
            <w:r>
              <w:rPr>
                <w:rFonts w:hint="eastAsia" w:ascii="宋体" w:hAnsi="宋体" w:eastAsia="宋体" w:cs="宋体"/>
                <w:lang w:eastAsia="zh-CN"/>
              </w:rPr>
              <w:t>醇</w:t>
            </w:r>
            <w:r>
              <w:rPr>
                <w:rFonts w:hint="eastAsia" w:ascii="宋体" w:hAnsi="宋体" w:eastAsia="宋体" w:cs="宋体"/>
              </w:rPr>
              <w:t>乙酸酯</w:t>
            </w:r>
          </w:p>
        </w:tc>
        <w:tc>
          <w:tcPr>
            <w:tcW w:w="2471" w:type="dxa"/>
            <w:vMerge w:val="continue"/>
            <w:tcBorders>
              <w:top w:val="nil"/>
            </w:tcBorders>
          </w:tcPr>
          <w:p w14:paraId="19050C2F">
            <w:pPr>
              <w:rPr>
                <w:sz w:val="2"/>
                <w:szCs w:val="2"/>
              </w:rPr>
            </w:pPr>
          </w:p>
        </w:tc>
      </w:tr>
      <w:tr w14:paraId="74F1B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96" w:type="dxa"/>
          </w:tcPr>
          <w:p w14:paraId="336B385A">
            <w:pPr>
              <w:pStyle w:val="15"/>
              <w:spacing w:line="234" w:lineRule="exact"/>
            </w:pPr>
            <w:r>
              <w:t>35154-45-1</w:t>
            </w:r>
          </w:p>
        </w:tc>
        <w:tc>
          <w:tcPr>
            <w:tcW w:w="6021" w:type="dxa"/>
          </w:tcPr>
          <w:p w14:paraId="335D9E0D">
            <w:pPr>
              <w:pStyle w:val="15"/>
              <w:spacing w:line="234" w:lineRule="exact"/>
            </w:pPr>
            <w:r>
              <w:rPr>
                <w:rFonts w:hint="eastAsia" w:ascii="宋体" w:hAnsi="宋体" w:eastAsia="宋体" w:cs="宋体"/>
              </w:rPr>
              <w:t>顺</w:t>
            </w:r>
            <w:r>
              <w:t>-3-</w:t>
            </w:r>
            <w:r>
              <w:rPr>
                <w:rFonts w:hint="eastAsia" w:ascii="宋体" w:hAnsi="宋体" w:eastAsia="宋体" w:cs="宋体"/>
              </w:rPr>
              <w:t>己烯</w:t>
            </w:r>
            <w:r>
              <w:rPr>
                <w:rFonts w:hint="eastAsia" w:ascii="宋体" w:hAnsi="宋体" w:eastAsia="宋体" w:cs="宋体"/>
                <w:lang w:eastAsia="zh-CN"/>
              </w:rPr>
              <w:t>醇</w:t>
            </w:r>
            <w:r>
              <w:rPr>
                <w:rFonts w:hint="eastAsia" w:ascii="宋体" w:hAnsi="宋体" w:eastAsia="宋体" w:cs="宋体"/>
              </w:rPr>
              <w:t>异戊酸酯</w:t>
            </w:r>
          </w:p>
        </w:tc>
        <w:tc>
          <w:tcPr>
            <w:tcW w:w="2471" w:type="dxa"/>
            <w:vMerge w:val="continue"/>
            <w:tcBorders>
              <w:top w:val="nil"/>
            </w:tcBorders>
          </w:tcPr>
          <w:p w14:paraId="29852BE5">
            <w:pPr>
              <w:rPr>
                <w:sz w:val="2"/>
                <w:szCs w:val="2"/>
              </w:rPr>
            </w:pPr>
          </w:p>
        </w:tc>
      </w:tr>
      <w:tr w14:paraId="61232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96" w:type="dxa"/>
          </w:tcPr>
          <w:p w14:paraId="78B2BFAA">
            <w:pPr>
              <w:pStyle w:val="15"/>
              <w:spacing w:line="232" w:lineRule="exact"/>
            </w:pPr>
            <w:r>
              <w:t>67633-96-9</w:t>
            </w:r>
          </w:p>
        </w:tc>
        <w:tc>
          <w:tcPr>
            <w:tcW w:w="6021" w:type="dxa"/>
          </w:tcPr>
          <w:p w14:paraId="7C6FD65D">
            <w:pPr>
              <w:pStyle w:val="15"/>
              <w:spacing w:line="232" w:lineRule="exact"/>
            </w:pPr>
            <w:r>
              <w:rPr>
                <w:rFonts w:hint="eastAsia" w:ascii="宋体" w:hAnsi="宋体" w:eastAsia="宋体" w:cs="宋体"/>
              </w:rPr>
              <w:t>顺</w:t>
            </w:r>
            <w:r>
              <w:t>-3-</w:t>
            </w:r>
            <w:r>
              <w:rPr>
                <w:rFonts w:hint="eastAsia" w:ascii="宋体" w:hAnsi="宋体" w:eastAsia="宋体" w:cs="宋体"/>
              </w:rPr>
              <w:t>己烯</w:t>
            </w:r>
            <w:r>
              <w:rPr>
                <w:rFonts w:hint="eastAsia" w:ascii="宋体" w:hAnsi="宋体" w:eastAsia="宋体" w:cs="宋体"/>
                <w:lang w:eastAsia="zh-CN"/>
              </w:rPr>
              <w:t>醇甲醇</w:t>
            </w:r>
            <w:r>
              <w:rPr>
                <w:rFonts w:hint="eastAsia" w:ascii="宋体" w:hAnsi="宋体" w:eastAsia="宋体" w:cs="宋体"/>
              </w:rPr>
              <w:t>碳酸酯</w:t>
            </w:r>
          </w:p>
        </w:tc>
        <w:tc>
          <w:tcPr>
            <w:tcW w:w="2471" w:type="dxa"/>
            <w:vMerge w:val="continue"/>
            <w:tcBorders>
              <w:top w:val="nil"/>
            </w:tcBorders>
          </w:tcPr>
          <w:p w14:paraId="697FA67E">
            <w:pPr>
              <w:rPr>
                <w:sz w:val="2"/>
                <w:szCs w:val="2"/>
              </w:rPr>
            </w:pPr>
          </w:p>
        </w:tc>
      </w:tr>
      <w:tr w14:paraId="09FA88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96" w:type="dxa"/>
          </w:tcPr>
          <w:p w14:paraId="1BCC7453">
            <w:pPr>
              <w:pStyle w:val="15"/>
              <w:spacing w:line="234" w:lineRule="exact"/>
            </w:pPr>
            <w:r>
              <w:t>62439-42-3</w:t>
            </w:r>
          </w:p>
        </w:tc>
        <w:tc>
          <w:tcPr>
            <w:tcW w:w="6021" w:type="dxa"/>
          </w:tcPr>
          <w:p w14:paraId="0D975F29">
            <w:pPr>
              <w:pStyle w:val="15"/>
              <w:spacing w:line="234" w:lineRule="exact"/>
            </w:pPr>
            <w:r>
              <w:t>6-</w:t>
            </w:r>
            <w:r>
              <w:rPr>
                <w:rFonts w:hint="eastAsia" w:ascii="宋体" w:hAnsi="宋体" w:eastAsia="宋体" w:cs="宋体"/>
              </w:rPr>
              <w:t>羟基</w:t>
            </w:r>
            <w:r>
              <w:t>-2,6-</w:t>
            </w:r>
            <w:r>
              <w:rPr>
                <w:rFonts w:hint="eastAsia" w:ascii="宋体" w:hAnsi="宋体" w:eastAsia="宋体" w:cs="宋体"/>
              </w:rPr>
              <w:t>二甲基庚醛</w:t>
            </w:r>
          </w:p>
        </w:tc>
        <w:tc>
          <w:tcPr>
            <w:tcW w:w="2471" w:type="dxa"/>
            <w:vMerge w:val="continue"/>
            <w:tcBorders>
              <w:top w:val="nil"/>
            </w:tcBorders>
          </w:tcPr>
          <w:p w14:paraId="032A548E">
            <w:pPr>
              <w:rPr>
                <w:sz w:val="2"/>
                <w:szCs w:val="2"/>
              </w:rPr>
            </w:pPr>
          </w:p>
        </w:tc>
      </w:tr>
      <w:tr w14:paraId="149162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96" w:type="dxa"/>
          </w:tcPr>
          <w:p w14:paraId="6B64C96A">
            <w:pPr>
              <w:pStyle w:val="15"/>
              <w:spacing w:line="232" w:lineRule="exact"/>
            </w:pPr>
            <w:r>
              <w:t>122-67-8</w:t>
            </w:r>
          </w:p>
        </w:tc>
        <w:tc>
          <w:tcPr>
            <w:tcW w:w="6021" w:type="dxa"/>
          </w:tcPr>
          <w:p w14:paraId="148FD100">
            <w:pPr>
              <w:pStyle w:val="15"/>
              <w:spacing w:line="232" w:lineRule="exact"/>
            </w:pPr>
            <w:r>
              <w:rPr>
                <w:rFonts w:hint="eastAsia" w:ascii="宋体" w:hAnsi="宋体" w:eastAsia="宋体" w:cs="宋体"/>
              </w:rPr>
              <w:t>肉桂酸异丁酯</w:t>
            </w:r>
          </w:p>
        </w:tc>
        <w:tc>
          <w:tcPr>
            <w:tcW w:w="2471" w:type="dxa"/>
            <w:vMerge w:val="continue"/>
            <w:tcBorders>
              <w:top w:val="nil"/>
            </w:tcBorders>
          </w:tcPr>
          <w:p w14:paraId="6C51AE1C">
            <w:pPr>
              <w:rPr>
                <w:sz w:val="2"/>
                <w:szCs w:val="2"/>
              </w:rPr>
            </w:pPr>
          </w:p>
        </w:tc>
      </w:tr>
      <w:tr w14:paraId="1C66A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96" w:type="dxa"/>
          </w:tcPr>
          <w:p w14:paraId="287AE6C4">
            <w:pPr>
              <w:pStyle w:val="15"/>
              <w:spacing w:line="234" w:lineRule="exact"/>
            </w:pPr>
            <w:r>
              <w:t>93-29-8</w:t>
            </w:r>
          </w:p>
        </w:tc>
        <w:tc>
          <w:tcPr>
            <w:tcW w:w="6021" w:type="dxa"/>
          </w:tcPr>
          <w:p w14:paraId="0DF3B2E4">
            <w:pPr>
              <w:pStyle w:val="15"/>
              <w:spacing w:line="234" w:lineRule="exact"/>
            </w:pPr>
            <w:r>
              <w:rPr>
                <w:rFonts w:hint="eastAsia" w:ascii="宋体" w:hAnsi="宋体" w:eastAsia="宋体" w:cs="宋体"/>
                <w:lang w:eastAsia="zh-CN"/>
              </w:rPr>
              <w:t>乙酸异丁香酚酯</w:t>
            </w:r>
          </w:p>
        </w:tc>
        <w:tc>
          <w:tcPr>
            <w:tcW w:w="2471" w:type="dxa"/>
            <w:vMerge w:val="continue"/>
            <w:tcBorders>
              <w:top w:val="nil"/>
            </w:tcBorders>
          </w:tcPr>
          <w:p w14:paraId="59228575">
            <w:pPr>
              <w:rPr>
                <w:sz w:val="2"/>
                <w:szCs w:val="2"/>
              </w:rPr>
            </w:pPr>
          </w:p>
        </w:tc>
      </w:tr>
      <w:tr w14:paraId="72437E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96" w:type="dxa"/>
          </w:tcPr>
          <w:p w14:paraId="2A517046">
            <w:pPr>
              <w:pStyle w:val="15"/>
              <w:spacing w:line="232" w:lineRule="exact"/>
            </w:pPr>
            <w:r>
              <w:t>16587-71-6</w:t>
            </w:r>
          </w:p>
        </w:tc>
        <w:tc>
          <w:tcPr>
            <w:tcW w:w="6021" w:type="dxa"/>
          </w:tcPr>
          <w:p w14:paraId="114CED6C">
            <w:pPr>
              <w:pStyle w:val="15"/>
              <w:spacing w:line="232" w:lineRule="exact"/>
            </w:pPr>
            <w:r>
              <w:rPr>
                <w:rFonts w:hint="eastAsia" w:ascii="宋体" w:hAnsi="宋体" w:eastAsia="宋体" w:cs="宋体"/>
              </w:rPr>
              <w:t>异戊基环己酮</w:t>
            </w:r>
          </w:p>
        </w:tc>
        <w:tc>
          <w:tcPr>
            <w:tcW w:w="2471" w:type="dxa"/>
            <w:vMerge w:val="continue"/>
            <w:tcBorders>
              <w:top w:val="nil"/>
            </w:tcBorders>
          </w:tcPr>
          <w:p w14:paraId="4F3D005B">
            <w:pPr>
              <w:rPr>
                <w:sz w:val="2"/>
                <w:szCs w:val="2"/>
              </w:rPr>
            </w:pPr>
          </w:p>
        </w:tc>
      </w:tr>
      <w:tr w14:paraId="446942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96" w:type="dxa"/>
          </w:tcPr>
          <w:p w14:paraId="226331FF">
            <w:pPr>
              <w:pStyle w:val="15"/>
              <w:spacing w:before="2" w:line="232" w:lineRule="exact"/>
            </w:pPr>
            <w:r>
              <w:t>623-36-9</w:t>
            </w:r>
          </w:p>
        </w:tc>
        <w:tc>
          <w:tcPr>
            <w:tcW w:w="6021" w:type="dxa"/>
          </w:tcPr>
          <w:p w14:paraId="5281C2CD">
            <w:pPr>
              <w:pStyle w:val="15"/>
              <w:spacing w:before="2" w:line="232" w:lineRule="exact"/>
            </w:pPr>
            <w:r>
              <w:t>2-</w:t>
            </w:r>
            <w:r>
              <w:rPr>
                <w:rFonts w:hint="eastAsia" w:ascii="宋体" w:hAnsi="宋体" w:eastAsia="宋体" w:cs="宋体"/>
              </w:rPr>
              <w:t>甲基</w:t>
            </w:r>
            <w:r>
              <w:t>-2-</w:t>
            </w:r>
            <w:r>
              <w:rPr>
                <w:rFonts w:hint="eastAsia" w:ascii="宋体" w:hAnsi="宋体" w:eastAsia="宋体" w:cs="宋体"/>
              </w:rPr>
              <w:t>戊烯醛</w:t>
            </w:r>
          </w:p>
        </w:tc>
        <w:tc>
          <w:tcPr>
            <w:tcW w:w="2471" w:type="dxa"/>
            <w:vMerge w:val="continue"/>
            <w:tcBorders>
              <w:top w:val="nil"/>
            </w:tcBorders>
          </w:tcPr>
          <w:p w14:paraId="571B1108">
            <w:pPr>
              <w:rPr>
                <w:sz w:val="2"/>
                <w:szCs w:val="2"/>
              </w:rPr>
            </w:pPr>
          </w:p>
        </w:tc>
      </w:tr>
      <w:tr w14:paraId="5DFB92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 w:hRule="atLeast"/>
        </w:trPr>
        <w:tc>
          <w:tcPr>
            <w:tcW w:w="1796" w:type="dxa"/>
            <w:tcBorders>
              <w:bottom w:val="nil"/>
            </w:tcBorders>
          </w:tcPr>
          <w:p w14:paraId="152C56CD">
            <w:pPr>
              <w:pStyle w:val="15"/>
              <w:spacing w:line="232" w:lineRule="exact"/>
            </w:pPr>
            <w:r>
              <w:t>93893-89-1,</w:t>
            </w:r>
          </w:p>
        </w:tc>
        <w:tc>
          <w:tcPr>
            <w:tcW w:w="6021" w:type="dxa"/>
            <w:tcBorders>
              <w:bottom w:val="nil"/>
            </w:tcBorders>
          </w:tcPr>
          <w:p w14:paraId="610AB5EF">
            <w:pPr>
              <w:pStyle w:val="15"/>
              <w:ind w:left="0"/>
              <w:rPr>
                <w:rFonts w:ascii="Times New Roman"/>
                <w:sz w:val="18"/>
              </w:rPr>
            </w:pPr>
          </w:p>
        </w:tc>
        <w:tc>
          <w:tcPr>
            <w:tcW w:w="2471" w:type="dxa"/>
            <w:vMerge w:val="continue"/>
            <w:tcBorders>
              <w:top w:val="nil"/>
            </w:tcBorders>
          </w:tcPr>
          <w:p w14:paraId="72F28C41">
            <w:pPr>
              <w:rPr>
                <w:sz w:val="2"/>
                <w:szCs w:val="2"/>
              </w:rPr>
            </w:pPr>
          </w:p>
        </w:tc>
      </w:tr>
      <w:tr w14:paraId="2F7679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3" w:hRule="atLeast"/>
        </w:trPr>
        <w:tc>
          <w:tcPr>
            <w:tcW w:w="1796" w:type="dxa"/>
            <w:tcBorders>
              <w:top w:val="nil"/>
              <w:bottom w:val="nil"/>
            </w:tcBorders>
          </w:tcPr>
          <w:p w14:paraId="172385DE">
            <w:pPr>
              <w:pStyle w:val="15"/>
              <w:spacing w:line="223" w:lineRule="exact"/>
            </w:pPr>
            <w:r>
              <w:t>53243-59-7,</w:t>
            </w:r>
          </w:p>
        </w:tc>
        <w:tc>
          <w:tcPr>
            <w:tcW w:w="6021" w:type="dxa"/>
            <w:tcBorders>
              <w:top w:val="nil"/>
              <w:bottom w:val="nil"/>
            </w:tcBorders>
          </w:tcPr>
          <w:p w14:paraId="48D34DFF">
            <w:pPr>
              <w:pStyle w:val="15"/>
              <w:spacing w:line="223" w:lineRule="exact"/>
            </w:pPr>
            <w:r>
              <w:rPr>
                <w:rFonts w:hint="eastAsia" w:asciiTheme="minorEastAsia" w:hAnsiTheme="minorEastAsia" w:eastAsiaTheme="minorEastAsia"/>
                <w:lang w:eastAsia="zh-CN"/>
              </w:rPr>
              <w:t>柑桔腈</w:t>
            </w:r>
          </w:p>
        </w:tc>
        <w:tc>
          <w:tcPr>
            <w:tcW w:w="2471" w:type="dxa"/>
            <w:vMerge w:val="continue"/>
            <w:tcBorders>
              <w:top w:val="nil"/>
            </w:tcBorders>
          </w:tcPr>
          <w:p w14:paraId="6D63F9E3">
            <w:pPr>
              <w:rPr>
                <w:sz w:val="2"/>
                <w:szCs w:val="2"/>
              </w:rPr>
            </w:pPr>
          </w:p>
        </w:tc>
      </w:tr>
      <w:tr w14:paraId="386256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 w:hRule="atLeast"/>
        </w:trPr>
        <w:tc>
          <w:tcPr>
            <w:tcW w:w="1796" w:type="dxa"/>
            <w:tcBorders>
              <w:top w:val="nil"/>
            </w:tcBorders>
          </w:tcPr>
          <w:p w14:paraId="6F2F068D">
            <w:pPr>
              <w:pStyle w:val="15"/>
              <w:spacing w:line="223" w:lineRule="exact"/>
            </w:pPr>
            <w:r>
              <w:t>53243-60-0</w:t>
            </w:r>
          </w:p>
        </w:tc>
        <w:tc>
          <w:tcPr>
            <w:tcW w:w="6021" w:type="dxa"/>
            <w:tcBorders>
              <w:top w:val="nil"/>
            </w:tcBorders>
          </w:tcPr>
          <w:p w14:paraId="7A1B508C">
            <w:pPr>
              <w:pStyle w:val="15"/>
              <w:ind w:left="0"/>
              <w:rPr>
                <w:rFonts w:ascii="Times New Roman"/>
                <w:sz w:val="16"/>
              </w:rPr>
            </w:pPr>
          </w:p>
        </w:tc>
        <w:tc>
          <w:tcPr>
            <w:tcW w:w="2471" w:type="dxa"/>
            <w:vMerge w:val="continue"/>
            <w:tcBorders>
              <w:top w:val="nil"/>
            </w:tcBorders>
          </w:tcPr>
          <w:p w14:paraId="04EDF87C">
            <w:pPr>
              <w:rPr>
                <w:sz w:val="2"/>
                <w:szCs w:val="2"/>
              </w:rPr>
            </w:pPr>
          </w:p>
        </w:tc>
      </w:tr>
      <w:tr w14:paraId="364BF9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796" w:type="dxa"/>
          </w:tcPr>
          <w:p w14:paraId="2FA2576D">
            <w:pPr>
              <w:pStyle w:val="15"/>
              <w:spacing w:before="127"/>
            </w:pPr>
            <w:r>
              <w:t>68966-86-9</w:t>
            </w:r>
          </w:p>
        </w:tc>
        <w:tc>
          <w:tcPr>
            <w:tcW w:w="6021" w:type="dxa"/>
            <w:vAlign w:val="center"/>
          </w:tcPr>
          <w:p w14:paraId="0200AA85">
            <w:pPr>
              <w:pStyle w:val="15"/>
              <w:spacing w:before="2" w:line="231" w:lineRule="exact"/>
            </w:pPr>
            <w:r>
              <w:rPr>
                <w:color w:val="222222"/>
                <w:sz w:val="20"/>
                <w:szCs w:val="20"/>
                <w:shd w:val="clear" w:color="auto" w:fill="FFFFFF"/>
                <w:lang w:eastAsia="zh-CN"/>
              </w:rPr>
              <w:t>4-</w:t>
            </w:r>
            <w:r>
              <w:rPr>
                <w:rFonts w:hint="eastAsia" w:ascii="宋体" w:hAnsi="宋体" w:eastAsia="宋体" w:cs="宋体"/>
                <w:color w:val="222222"/>
                <w:sz w:val="20"/>
                <w:szCs w:val="20"/>
                <w:shd w:val="clear" w:color="auto" w:fill="FFFFFF"/>
                <w:lang w:eastAsia="zh-CN"/>
              </w:rPr>
              <w:t>甲基</w:t>
            </w:r>
            <w:r>
              <w:rPr>
                <w:color w:val="222222"/>
                <w:sz w:val="20"/>
                <w:szCs w:val="20"/>
                <w:shd w:val="clear" w:color="auto" w:fill="FFFFFF"/>
                <w:lang w:eastAsia="zh-CN"/>
              </w:rPr>
              <w:t>-1-(1-</w:t>
            </w:r>
            <w:r>
              <w:rPr>
                <w:rFonts w:hint="eastAsia" w:ascii="宋体" w:hAnsi="宋体" w:eastAsia="宋体" w:cs="宋体"/>
                <w:color w:val="222222"/>
                <w:sz w:val="20"/>
                <w:szCs w:val="20"/>
                <w:shd w:val="clear" w:color="auto" w:fill="FFFFFF"/>
                <w:lang w:eastAsia="zh-CN"/>
              </w:rPr>
              <w:t>甲基乙基</w:t>
            </w:r>
            <w:r>
              <w:rPr>
                <w:color w:val="222222"/>
                <w:sz w:val="20"/>
                <w:szCs w:val="20"/>
                <w:shd w:val="clear" w:color="auto" w:fill="FFFFFF"/>
                <w:lang w:eastAsia="zh-CN"/>
              </w:rPr>
              <w:t>)-</w:t>
            </w:r>
            <w:r>
              <w:rPr>
                <w:rFonts w:hint="eastAsia" w:ascii="宋体" w:hAnsi="宋体" w:eastAsia="宋体" w:cs="宋体"/>
                <w:color w:val="222222"/>
                <w:sz w:val="20"/>
                <w:szCs w:val="20"/>
                <w:shd w:val="clear" w:color="auto" w:fill="FFFFFF"/>
                <w:lang w:eastAsia="zh-CN"/>
              </w:rPr>
              <w:t>二环</w:t>
            </w:r>
            <w:r>
              <w:rPr>
                <w:color w:val="222222"/>
                <w:sz w:val="20"/>
                <w:szCs w:val="20"/>
                <w:shd w:val="clear" w:color="auto" w:fill="FFFFFF"/>
                <w:lang w:eastAsia="zh-CN"/>
              </w:rPr>
              <w:t>[2.2.2]</w:t>
            </w:r>
            <w:r>
              <w:rPr>
                <w:rFonts w:hint="eastAsia" w:ascii="宋体" w:hAnsi="宋体" w:eastAsia="宋体" w:cs="宋体"/>
                <w:color w:val="222222"/>
                <w:sz w:val="20"/>
                <w:szCs w:val="20"/>
                <w:shd w:val="clear" w:color="auto" w:fill="FFFFFF"/>
                <w:lang w:eastAsia="zh-CN"/>
              </w:rPr>
              <w:t>辛</w:t>
            </w:r>
            <w:r>
              <w:rPr>
                <w:color w:val="222222"/>
                <w:sz w:val="20"/>
                <w:szCs w:val="20"/>
                <w:shd w:val="clear" w:color="auto" w:fill="FFFFFF"/>
                <w:lang w:eastAsia="zh-CN"/>
              </w:rPr>
              <w:t>-5-</w:t>
            </w:r>
            <w:r>
              <w:rPr>
                <w:rFonts w:hint="eastAsia" w:ascii="宋体" w:hAnsi="宋体" w:eastAsia="宋体" w:cs="宋体"/>
                <w:color w:val="222222"/>
                <w:sz w:val="20"/>
                <w:szCs w:val="20"/>
                <w:shd w:val="clear" w:color="auto" w:fill="FFFFFF"/>
                <w:lang w:eastAsia="zh-CN"/>
              </w:rPr>
              <w:t>烯</w:t>
            </w:r>
            <w:r>
              <w:rPr>
                <w:color w:val="222222"/>
                <w:sz w:val="20"/>
                <w:szCs w:val="20"/>
                <w:shd w:val="clear" w:color="auto" w:fill="FFFFFF"/>
                <w:lang w:eastAsia="zh-CN"/>
              </w:rPr>
              <w:t>-2-</w:t>
            </w:r>
            <w:r>
              <w:rPr>
                <w:rFonts w:hint="eastAsia" w:ascii="宋体" w:hAnsi="宋体" w:eastAsia="宋体" w:cs="宋体"/>
                <w:color w:val="222222"/>
                <w:sz w:val="20"/>
                <w:szCs w:val="20"/>
                <w:shd w:val="clear" w:color="auto" w:fill="FFFFFF"/>
                <w:lang w:eastAsia="zh-CN"/>
              </w:rPr>
              <w:t>羧酸甲酯</w:t>
            </w:r>
          </w:p>
        </w:tc>
        <w:tc>
          <w:tcPr>
            <w:tcW w:w="2471" w:type="dxa"/>
            <w:vMerge w:val="continue"/>
            <w:tcBorders>
              <w:top w:val="nil"/>
            </w:tcBorders>
          </w:tcPr>
          <w:p w14:paraId="6E9A7373">
            <w:pPr>
              <w:rPr>
                <w:sz w:val="2"/>
                <w:szCs w:val="2"/>
                <w:lang w:eastAsia="zh-CN"/>
              </w:rPr>
            </w:pPr>
          </w:p>
        </w:tc>
      </w:tr>
      <w:tr w14:paraId="79F8E5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1796" w:type="dxa"/>
          </w:tcPr>
          <w:p w14:paraId="7545DDA1">
            <w:pPr>
              <w:pStyle w:val="15"/>
              <w:spacing w:before="2" w:line="232" w:lineRule="exact"/>
            </w:pPr>
            <w:r>
              <w:t>5533-03-9</w:t>
            </w:r>
          </w:p>
        </w:tc>
        <w:tc>
          <w:tcPr>
            <w:tcW w:w="6021" w:type="dxa"/>
            <w:vAlign w:val="center"/>
          </w:tcPr>
          <w:p w14:paraId="14546B44">
            <w:pPr>
              <w:pStyle w:val="15"/>
              <w:spacing w:before="2" w:line="232" w:lineRule="exact"/>
            </w:pPr>
            <w:r>
              <w:rPr>
                <w:rFonts w:hint="eastAsia" w:ascii="宋体" w:hAnsi="宋体" w:eastAsia="宋体" w:cs="宋体"/>
              </w:rPr>
              <w:t>香草醇甲醚</w:t>
            </w:r>
          </w:p>
        </w:tc>
        <w:tc>
          <w:tcPr>
            <w:tcW w:w="2471" w:type="dxa"/>
            <w:vMerge w:val="continue"/>
            <w:tcBorders>
              <w:top w:val="nil"/>
            </w:tcBorders>
          </w:tcPr>
          <w:p w14:paraId="05A3DA43">
            <w:pPr>
              <w:rPr>
                <w:sz w:val="2"/>
                <w:szCs w:val="2"/>
              </w:rPr>
            </w:pPr>
          </w:p>
        </w:tc>
      </w:tr>
      <w:tr w14:paraId="39E05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1796" w:type="dxa"/>
          </w:tcPr>
          <w:p w14:paraId="5C8B2850">
            <w:pPr>
              <w:pStyle w:val="15"/>
              <w:spacing w:line="234" w:lineRule="exact"/>
            </w:pPr>
            <w:r>
              <w:t>13049-88-2</w:t>
            </w:r>
          </w:p>
        </w:tc>
        <w:tc>
          <w:tcPr>
            <w:tcW w:w="6021" w:type="dxa"/>
          </w:tcPr>
          <w:p w14:paraId="61967A06">
            <w:pPr>
              <w:pStyle w:val="15"/>
              <w:spacing w:line="234" w:lineRule="exact"/>
            </w:pPr>
            <w:r>
              <w:rPr>
                <w:rFonts w:hint="eastAsia" w:ascii="宋体" w:hAnsi="宋体" w:eastAsia="宋体" w:cs="宋体"/>
              </w:rPr>
              <w:t>顺</w:t>
            </w:r>
            <w:r>
              <w:t>-3-</w:t>
            </w:r>
            <w:r>
              <w:rPr>
                <w:rFonts w:hint="eastAsia" w:ascii="宋体" w:hAnsi="宋体" w:eastAsia="宋体" w:cs="宋体"/>
              </w:rPr>
              <w:t>壬烯</w:t>
            </w:r>
            <w:r>
              <w:rPr>
                <w:rFonts w:hint="eastAsia" w:ascii="宋体" w:hAnsi="宋体" w:eastAsia="宋体" w:cs="宋体"/>
                <w:lang w:eastAsia="zh-CN"/>
              </w:rPr>
              <w:t>醇</w:t>
            </w:r>
            <w:r>
              <w:rPr>
                <w:rFonts w:hint="eastAsia" w:ascii="宋体" w:hAnsi="宋体" w:eastAsia="宋体" w:cs="宋体"/>
              </w:rPr>
              <w:t>乙酸酯</w:t>
            </w:r>
          </w:p>
        </w:tc>
        <w:tc>
          <w:tcPr>
            <w:tcW w:w="2471" w:type="dxa"/>
            <w:vMerge w:val="continue"/>
            <w:tcBorders>
              <w:top w:val="nil"/>
            </w:tcBorders>
          </w:tcPr>
          <w:p w14:paraId="64D426C6">
            <w:pPr>
              <w:rPr>
                <w:sz w:val="2"/>
                <w:szCs w:val="2"/>
              </w:rPr>
            </w:pPr>
          </w:p>
        </w:tc>
      </w:tr>
      <w:tr w14:paraId="4DFB94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796" w:type="dxa"/>
            <w:tcBorders>
              <w:bottom w:val="nil"/>
            </w:tcBorders>
          </w:tcPr>
          <w:p w14:paraId="6E8FF783">
            <w:pPr>
              <w:pStyle w:val="15"/>
              <w:spacing w:line="231" w:lineRule="exact"/>
            </w:pPr>
            <w:r>
              <w:t>81786-75-6,</w:t>
            </w:r>
          </w:p>
        </w:tc>
        <w:tc>
          <w:tcPr>
            <w:tcW w:w="6021" w:type="dxa"/>
            <w:tcBorders>
              <w:bottom w:val="nil"/>
            </w:tcBorders>
          </w:tcPr>
          <w:p w14:paraId="241745DE">
            <w:pPr>
              <w:pStyle w:val="15"/>
              <w:ind w:left="0"/>
              <w:rPr>
                <w:rFonts w:ascii="Times New Roman"/>
                <w:sz w:val="18"/>
              </w:rPr>
            </w:pPr>
          </w:p>
        </w:tc>
        <w:tc>
          <w:tcPr>
            <w:tcW w:w="2471" w:type="dxa"/>
            <w:vMerge w:val="continue"/>
            <w:tcBorders>
              <w:top w:val="nil"/>
            </w:tcBorders>
          </w:tcPr>
          <w:p w14:paraId="2BE01111">
            <w:pPr>
              <w:rPr>
                <w:sz w:val="2"/>
                <w:szCs w:val="2"/>
              </w:rPr>
            </w:pPr>
          </w:p>
        </w:tc>
      </w:tr>
      <w:tr w14:paraId="30557C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6" w:hRule="atLeast"/>
        </w:trPr>
        <w:tc>
          <w:tcPr>
            <w:tcW w:w="1796" w:type="dxa"/>
            <w:tcBorders>
              <w:top w:val="nil"/>
              <w:bottom w:val="nil"/>
            </w:tcBorders>
          </w:tcPr>
          <w:p w14:paraId="47802F69">
            <w:pPr>
              <w:pStyle w:val="15"/>
              <w:spacing w:line="244" w:lineRule="exact"/>
            </w:pPr>
            <w:r>
              <w:t>81786-73-4,</w:t>
            </w:r>
          </w:p>
          <w:p w14:paraId="1BA79EB9">
            <w:pPr>
              <w:pStyle w:val="15"/>
              <w:spacing w:before="1" w:line="231" w:lineRule="exact"/>
            </w:pPr>
            <w:r>
              <w:t>86115-11-9,</w:t>
            </w:r>
          </w:p>
        </w:tc>
        <w:tc>
          <w:tcPr>
            <w:tcW w:w="6021" w:type="dxa"/>
            <w:tcBorders>
              <w:top w:val="nil"/>
              <w:bottom w:val="nil"/>
            </w:tcBorders>
          </w:tcPr>
          <w:p w14:paraId="0880CEF1">
            <w:pPr>
              <w:pStyle w:val="15"/>
              <w:spacing w:before="118"/>
            </w:pPr>
            <w:r>
              <w:t>3,4,5,6,6-</w:t>
            </w:r>
            <w:r>
              <w:rPr>
                <w:rFonts w:hint="eastAsia" w:ascii="宋体" w:hAnsi="宋体" w:eastAsia="宋体" w:cs="宋体"/>
              </w:rPr>
              <w:t>五甲基</w:t>
            </w:r>
            <w:r>
              <w:t>-3-</w:t>
            </w:r>
            <w:r>
              <w:rPr>
                <w:rFonts w:hint="eastAsia" w:ascii="宋体" w:hAnsi="宋体" w:eastAsia="宋体" w:cs="宋体"/>
              </w:rPr>
              <w:t>庚烯</w:t>
            </w:r>
            <w:r>
              <w:t>-2-</w:t>
            </w:r>
            <w:r>
              <w:rPr>
                <w:rFonts w:hint="eastAsia" w:ascii="宋体" w:hAnsi="宋体" w:eastAsia="宋体" w:cs="宋体"/>
              </w:rPr>
              <w:t>酮</w:t>
            </w:r>
          </w:p>
        </w:tc>
        <w:tc>
          <w:tcPr>
            <w:tcW w:w="2471" w:type="dxa"/>
            <w:vMerge w:val="continue"/>
            <w:tcBorders>
              <w:top w:val="nil"/>
            </w:tcBorders>
          </w:tcPr>
          <w:p w14:paraId="508F9BB6">
            <w:pPr>
              <w:rPr>
                <w:sz w:val="2"/>
                <w:szCs w:val="2"/>
              </w:rPr>
            </w:pPr>
          </w:p>
        </w:tc>
      </w:tr>
      <w:tr w14:paraId="0A734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 w:hRule="atLeast"/>
        </w:trPr>
        <w:tc>
          <w:tcPr>
            <w:tcW w:w="1796" w:type="dxa"/>
            <w:tcBorders>
              <w:top w:val="nil"/>
            </w:tcBorders>
          </w:tcPr>
          <w:p w14:paraId="5A9F66E1">
            <w:pPr>
              <w:pStyle w:val="15"/>
              <w:spacing w:line="223" w:lineRule="exact"/>
            </w:pPr>
            <w:r>
              <w:t>81786-74-5</w:t>
            </w:r>
          </w:p>
        </w:tc>
        <w:tc>
          <w:tcPr>
            <w:tcW w:w="6021" w:type="dxa"/>
            <w:tcBorders>
              <w:top w:val="nil"/>
            </w:tcBorders>
          </w:tcPr>
          <w:p w14:paraId="303AA81F">
            <w:pPr>
              <w:pStyle w:val="15"/>
              <w:ind w:left="0"/>
              <w:rPr>
                <w:rFonts w:ascii="Times New Roman"/>
                <w:sz w:val="16"/>
              </w:rPr>
            </w:pPr>
          </w:p>
        </w:tc>
        <w:tc>
          <w:tcPr>
            <w:tcW w:w="2471" w:type="dxa"/>
            <w:vMerge w:val="continue"/>
            <w:tcBorders>
              <w:top w:val="nil"/>
            </w:tcBorders>
          </w:tcPr>
          <w:p w14:paraId="555073B1">
            <w:pPr>
              <w:rPr>
                <w:sz w:val="2"/>
                <w:szCs w:val="2"/>
              </w:rPr>
            </w:pPr>
          </w:p>
        </w:tc>
      </w:tr>
      <w:tr w14:paraId="2A5686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1796" w:type="dxa"/>
          </w:tcPr>
          <w:p w14:paraId="02F5B09C">
            <w:pPr>
              <w:pStyle w:val="15"/>
              <w:spacing w:before="2" w:line="232" w:lineRule="exact"/>
            </w:pPr>
            <w:r>
              <w:t>2120-70-9</w:t>
            </w:r>
          </w:p>
        </w:tc>
        <w:tc>
          <w:tcPr>
            <w:tcW w:w="6021" w:type="dxa"/>
          </w:tcPr>
          <w:p w14:paraId="26850A98">
            <w:pPr>
              <w:pStyle w:val="15"/>
              <w:spacing w:before="2" w:line="232" w:lineRule="exact"/>
            </w:pPr>
            <w:r>
              <w:rPr>
                <w:rFonts w:hint="eastAsia" w:ascii="宋体" w:hAnsi="宋体" w:eastAsia="宋体" w:cs="宋体"/>
              </w:rPr>
              <w:t>苯氧基乙醛</w:t>
            </w:r>
          </w:p>
        </w:tc>
        <w:tc>
          <w:tcPr>
            <w:tcW w:w="2471" w:type="dxa"/>
            <w:vMerge w:val="continue"/>
            <w:tcBorders>
              <w:top w:val="nil"/>
            </w:tcBorders>
          </w:tcPr>
          <w:p w14:paraId="58F42C5B">
            <w:pPr>
              <w:rPr>
                <w:sz w:val="2"/>
                <w:szCs w:val="2"/>
              </w:rPr>
            </w:pPr>
          </w:p>
        </w:tc>
      </w:tr>
      <w:tr w14:paraId="3DC823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96" w:type="dxa"/>
          </w:tcPr>
          <w:p w14:paraId="546B6A14">
            <w:pPr>
              <w:pStyle w:val="15"/>
              <w:spacing w:line="232" w:lineRule="exact"/>
            </w:pPr>
            <w:r>
              <w:t>33885-52-8</w:t>
            </w:r>
          </w:p>
        </w:tc>
        <w:tc>
          <w:tcPr>
            <w:tcW w:w="6021" w:type="dxa"/>
          </w:tcPr>
          <w:p w14:paraId="37D151E4">
            <w:pPr>
              <w:pStyle w:val="15"/>
              <w:spacing w:line="232" w:lineRule="exact"/>
              <w:rPr>
                <w:lang w:eastAsia="zh-CN"/>
              </w:rPr>
            </w:pPr>
            <w:r>
              <w:rPr>
                <w:rFonts w:hint="eastAsia" w:ascii="Arial" w:hAnsi="Arial" w:eastAsia="Arial" w:cs="Arial"/>
                <w:lang w:eastAsia="en-US"/>
              </w:rPr>
              <w:t>α,α</w:t>
            </w:r>
            <w:r>
              <w:rPr>
                <w:rFonts w:hint="eastAsia" w:eastAsia="宋体" w:cs="Arial"/>
                <w:lang w:val="en-US" w:eastAsia="zh-CN"/>
              </w:rPr>
              <w:t>,</w:t>
            </w:r>
            <w:r>
              <w:rPr>
                <w:rFonts w:hint="eastAsia" w:ascii="Arial" w:hAnsi="Arial" w:eastAsia="Arial" w:cs="Arial"/>
                <w:lang w:eastAsia="en-US"/>
              </w:rPr>
              <w:t>6,6-</w:t>
            </w:r>
            <w:r>
              <w:rPr>
                <w:rFonts w:hint="eastAsia" w:ascii="宋体" w:hAnsi="宋体" w:eastAsia="宋体" w:cs="宋体"/>
                <w:lang w:eastAsia="zh-CN"/>
              </w:rPr>
              <w:t>四甲基</w:t>
            </w:r>
            <w:r>
              <w:rPr>
                <w:rFonts w:hint="eastAsia" w:ascii="Arial" w:hAnsi="Arial" w:eastAsia="Arial" w:cs="Arial"/>
                <w:lang w:eastAsia="en-US"/>
              </w:rPr>
              <w:t>-</w:t>
            </w:r>
            <w:r>
              <w:rPr>
                <w:rFonts w:hint="eastAsia" w:ascii="宋体" w:hAnsi="宋体" w:eastAsia="宋体" w:cs="宋体"/>
                <w:lang w:eastAsia="zh-CN"/>
              </w:rPr>
              <w:t>双环</w:t>
            </w:r>
            <w:r>
              <w:rPr>
                <w:rFonts w:hint="eastAsia" w:ascii="Arial" w:hAnsi="Arial" w:eastAsia="Arial" w:cs="Arial"/>
                <w:lang w:eastAsia="en-US"/>
              </w:rPr>
              <w:t>[3,1,1]-</w:t>
            </w:r>
            <w:r>
              <w:rPr>
                <w:rFonts w:hint="eastAsia" w:ascii="宋体" w:hAnsi="宋体" w:eastAsia="宋体" w:cs="宋体"/>
                <w:lang w:eastAsia="zh-CN"/>
              </w:rPr>
              <w:t>庚</w:t>
            </w:r>
            <w:r>
              <w:rPr>
                <w:rFonts w:hint="eastAsia" w:ascii="Arial" w:hAnsi="Arial" w:eastAsia="Arial" w:cs="Arial"/>
                <w:lang w:eastAsia="en-US"/>
              </w:rPr>
              <w:t>-2</w:t>
            </w:r>
            <w:r>
              <w:rPr>
                <w:rFonts w:hint="eastAsia" w:eastAsia="宋体" w:cs="Arial"/>
                <w:lang w:val="en-US" w:eastAsia="zh-CN"/>
              </w:rPr>
              <w:t>-烯-2</w:t>
            </w:r>
            <w:r>
              <w:rPr>
                <w:rFonts w:hint="eastAsia" w:ascii="Arial" w:hAnsi="Arial" w:eastAsia="Arial" w:cs="Arial"/>
                <w:lang w:eastAsia="en-US"/>
              </w:rPr>
              <w:t>-</w:t>
            </w:r>
            <w:r>
              <w:rPr>
                <w:rFonts w:hint="eastAsia" w:ascii="宋体" w:hAnsi="宋体" w:eastAsia="宋体" w:cs="宋体"/>
                <w:lang w:eastAsia="zh-CN"/>
              </w:rPr>
              <w:t>丙醛</w:t>
            </w:r>
          </w:p>
        </w:tc>
        <w:tc>
          <w:tcPr>
            <w:tcW w:w="2471" w:type="dxa"/>
            <w:vMerge w:val="continue"/>
            <w:tcBorders>
              <w:top w:val="nil"/>
            </w:tcBorders>
          </w:tcPr>
          <w:p w14:paraId="743F5C62">
            <w:pPr>
              <w:rPr>
                <w:sz w:val="2"/>
                <w:szCs w:val="2"/>
                <w:lang w:eastAsia="zh-CN"/>
              </w:rPr>
            </w:pPr>
          </w:p>
        </w:tc>
      </w:tr>
      <w:tr w14:paraId="75F22B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1796" w:type="dxa"/>
          </w:tcPr>
          <w:p w14:paraId="42079256">
            <w:pPr>
              <w:pStyle w:val="15"/>
              <w:spacing w:before="3" w:line="232" w:lineRule="exact"/>
            </w:pPr>
            <w:r>
              <w:t>74338-72-0</w:t>
            </w:r>
          </w:p>
        </w:tc>
        <w:tc>
          <w:tcPr>
            <w:tcW w:w="6021" w:type="dxa"/>
          </w:tcPr>
          <w:p w14:paraId="3785D219">
            <w:pPr>
              <w:pStyle w:val="15"/>
              <w:spacing w:before="3" w:line="232" w:lineRule="exact"/>
            </w:pPr>
            <w:r>
              <w:t>2,4,4,7-</w:t>
            </w:r>
            <w:r>
              <w:rPr>
                <w:rFonts w:hint="eastAsia" w:ascii="宋体" w:hAnsi="宋体" w:eastAsia="宋体" w:cs="宋体"/>
              </w:rPr>
              <w:t>四甲基</w:t>
            </w:r>
            <w:r>
              <w:t>-6-</w:t>
            </w:r>
            <w:r>
              <w:rPr>
                <w:rFonts w:hint="eastAsia" w:ascii="宋体" w:hAnsi="宋体" w:eastAsia="宋体" w:cs="宋体"/>
              </w:rPr>
              <w:t>辛烯</w:t>
            </w:r>
            <w:r>
              <w:t>-3-</w:t>
            </w:r>
            <w:r>
              <w:rPr>
                <w:rFonts w:hint="eastAsia" w:ascii="宋体" w:hAnsi="宋体" w:eastAsia="宋体" w:cs="宋体"/>
              </w:rPr>
              <w:t>酮</w:t>
            </w:r>
          </w:p>
        </w:tc>
        <w:tc>
          <w:tcPr>
            <w:tcW w:w="2471" w:type="dxa"/>
            <w:vMerge w:val="continue"/>
            <w:tcBorders>
              <w:top w:val="nil"/>
            </w:tcBorders>
          </w:tcPr>
          <w:p w14:paraId="23D9CF4B">
            <w:pPr>
              <w:rPr>
                <w:sz w:val="2"/>
                <w:szCs w:val="2"/>
              </w:rPr>
            </w:pPr>
          </w:p>
        </w:tc>
      </w:tr>
      <w:tr w14:paraId="0EBE4A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1796" w:type="dxa"/>
          </w:tcPr>
          <w:p w14:paraId="667394D1">
            <w:pPr>
              <w:pStyle w:val="15"/>
              <w:spacing w:line="234" w:lineRule="exact"/>
            </w:pPr>
            <w:r>
              <w:t>70788-30-6</w:t>
            </w:r>
          </w:p>
        </w:tc>
        <w:tc>
          <w:tcPr>
            <w:tcW w:w="6021" w:type="dxa"/>
          </w:tcPr>
          <w:p w14:paraId="7B20F528">
            <w:pPr>
              <w:pStyle w:val="15"/>
              <w:spacing w:line="234" w:lineRule="exact"/>
            </w:pPr>
            <w:r>
              <w:t>1-(2,2,6-</w:t>
            </w:r>
            <w:r>
              <w:rPr>
                <w:rFonts w:hint="eastAsia" w:ascii="宋体" w:hAnsi="宋体" w:eastAsia="宋体" w:cs="宋体"/>
              </w:rPr>
              <w:t>三甲基环己基</w:t>
            </w:r>
            <w:r>
              <w:t>)-3-</w:t>
            </w:r>
            <w:r>
              <w:rPr>
                <w:rFonts w:hint="eastAsia" w:ascii="宋体" w:hAnsi="宋体" w:eastAsia="宋体" w:cs="宋体"/>
              </w:rPr>
              <w:t>己醇</w:t>
            </w:r>
          </w:p>
        </w:tc>
        <w:tc>
          <w:tcPr>
            <w:tcW w:w="2471" w:type="dxa"/>
            <w:vMerge w:val="continue"/>
            <w:tcBorders>
              <w:top w:val="nil"/>
            </w:tcBorders>
          </w:tcPr>
          <w:p w14:paraId="3A69FA90">
            <w:pPr>
              <w:rPr>
                <w:sz w:val="2"/>
                <w:szCs w:val="2"/>
              </w:rPr>
            </w:pPr>
          </w:p>
        </w:tc>
      </w:tr>
      <w:tr w14:paraId="60C56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796" w:type="dxa"/>
            <w:tcBorders>
              <w:bottom w:val="nil"/>
            </w:tcBorders>
          </w:tcPr>
          <w:p w14:paraId="352B58C5">
            <w:pPr>
              <w:pStyle w:val="15"/>
              <w:spacing w:line="231" w:lineRule="exact"/>
            </w:pPr>
            <w:r>
              <w:t>60241-52-3,</w:t>
            </w:r>
          </w:p>
        </w:tc>
        <w:tc>
          <w:tcPr>
            <w:tcW w:w="6021" w:type="dxa"/>
            <w:vMerge w:val="restart"/>
          </w:tcPr>
          <w:p w14:paraId="5AF95010">
            <w:pPr>
              <w:pStyle w:val="15"/>
              <w:spacing w:before="127"/>
            </w:pPr>
            <w:r>
              <w:t>1-(2,2,6-</w:t>
            </w:r>
            <w:r>
              <w:rPr>
                <w:rFonts w:hint="eastAsia" w:ascii="宋体" w:hAnsi="宋体" w:eastAsia="宋体" w:cs="宋体"/>
              </w:rPr>
              <w:t>三甲基环己基</w:t>
            </w:r>
            <w:r>
              <w:t>)-3-</w:t>
            </w:r>
            <w:r>
              <w:rPr>
                <w:rFonts w:hint="eastAsia" w:ascii="宋体" w:hAnsi="宋体" w:eastAsia="宋体" w:cs="宋体"/>
              </w:rPr>
              <w:t>戊醇</w:t>
            </w:r>
          </w:p>
        </w:tc>
        <w:tc>
          <w:tcPr>
            <w:tcW w:w="2471" w:type="dxa"/>
            <w:vMerge w:val="continue"/>
            <w:tcBorders>
              <w:top w:val="nil"/>
            </w:tcBorders>
          </w:tcPr>
          <w:p w14:paraId="29814F21">
            <w:pPr>
              <w:rPr>
                <w:sz w:val="2"/>
                <w:szCs w:val="2"/>
              </w:rPr>
            </w:pPr>
          </w:p>
        </w:tc>
      </w:tr>
      <w:tr w14:paraId="504782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796" w:type="dxa"/>
            <w:tcBorders>
              <w:top w:val="nil"/>
            </w:tcBorders>
          </w:tcPr>
          <w:p w14:paraId="10D67CC3">
            <w:pPr>
              <w:pStyle w:val="15"/>
              <w:spacing w:line="225" w:lineRule="exact"/>
            </w:pPr>
            <w:r>
              <w:t>60241-53-4</w:t>
            </w:r>
          </w:p>
        </w:tc>
        <w:tc>
          <w:tcPr>
            <w:tcW w:w="6021" w:type="dxa"/>
            <w:vMerge w:val="continue"/>
            <w:tcBorders>
              <w:top w:val="nil"/>
            </w:tcBorders>
          </w:tcPr>
          <w:p w14:paraId="0F7D1072">
            <w:pPr>
              <w:rPr>
                <w:sz w:val="2"/>
                <w:szCs w:val="2"/>
              </w:rPr>
            </w:pPr>
          </w:p>
        </w:tc>
        <w:tc>
          <w:tcPr>
            <w:tcW w:w="2471" w:type="dxa"/>
            <w:vMerge w:val="continue"/>
            <w:tcBorders>
              <w:top w:val="nil"/>
            </w:tcBorders>
          </w:tcPr>
          <w:p w14:paraId="4BECA374">
            <w:pPr>
              <w:rPr>
                <w:sz w:val="2"/>
                <w:szCs w:val="2"/>
              </w:rPr>
            </w:pPr>
          </w:p>
        </w:tc>
      </w:tr>
      <w:tr w14:paraId="16F7C9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96" w:type="dxa"/>
          </w:tcPr>
          <w:p w14:paraId="625D3E79">
            <w:pPr>
              <w:pStyle w:val="15"/>
              <w:spacing w:line="232" w:lineRule="exact"/>
            </w:pPr>
            <w:r>
              <w:t>1891-67-4</w:t>
            </w:r>
          </w:p>
        </w:tc>
        <w:tc>
          <w:tcPr>
            <w:tcW w:w="6021" w:type="dxa"/>
          </w:tcPr>
          <w:p w14:paraId="2E3284A5">
            <w:pPr>
              <w:pStyle w:val="15"/>
              <w:spacing w:line="232" w:lineRule="exact"/>
            </w:pPr>
            <w:r>
              <w:t>3,6,7-</w:t>
            </w:r>
            <w:r>
              <w:rPr>
                <w:rFonts w:hint="eastAsia" w:ascii="宋体" w:hAnsi="宋体" w:eastAsia="宋体" w:cs="宋体"/>
              </w:rPr>
              <w:t>三甲基</w:t>
            </w:r>
            <w:r>
              <w:t>-2,6-</w:t>
            </w:r>
            <w:r>
              <w:rPr>
                <w:rFonts w:hint="eastAsia" w:ascii="宋体" w:hAnsi="宋体" w:eastAsia="宋体" w:cs="宋体"/>
              </w:rPr>
              <w:t>辛二烯醛</w:t>
            </w:r>
          </w:p>
        </w:tc>
        <w:tc>
          <w:tcPr>
            <w:tcW w:w="2471" w:type="dxa"/>
            <w:vMerge w:val="continue"/>
            <w:tcBorders>
              <w:top w:val="nil"/>
            </w:tcBorders>
          </w:tcPr>
          <w:p w14:paraId="63177BDD">
            <w:pPr>
              <w:rPr>
                <w:sz w:val="2"/>
                <w:szCs w:val="2"/>
              </w:rPr>
            </w:pPr>
          </w:p>
        </w:tc>
      </w:tr>
      <w:tr w14:paraId="7C47F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96" w:type="dxa"/>
            <w:tcBorders>
              <w:bottom w:val="nil"/>
            </w:tcBorders>
          </w:tcPr>
          <w:p w14:paraId="3B090C4A">
            <w:pPr>
              <w:pStyle w:val="15"/>
              <w:spacing w:line="232" w:lineRule="exact"/>
            </w:pPr>
            <w:r>
              <w:t>338735-71-0,</w:t>
            </w:r>
          </w:p>
        </w:tc>
        <w:tc>
          <w:tcPr>
            <w:tcW w:w="6021" w:type="dxa"/>
            <w:vMerge w:val="restart"/>
          </w:tcPr>
          <w:p w14:paraId="65295244">
            <w:pPr>
              <w:pStyle w:val="15"/>
              <w:spacing w:before="127"/>
            </w:pPr>
            <w:r>
              <w:rPr>
                <w:rFonts w:hint="eastAsia" w:ascii="宋体" w:hAnsi="宋体" w:eastAsia="宋体" w:cs="宋体"/>
                <w:lang w:eastAsia="zh-CN"/>
              </w:rPr>
              <w:t>环戊基氢化苯并呋喃</w:t>
            </w:r>
          </w:p>
        </w:tc>
        <w:tc>
          <w:tcPr>
            <w:tcW w:w="2471" w:type="dxa"/>
            <w:vMerge w:val="continue"/>
            <w:tcBorders>
              <w:top w:val="nil"/>
            </w:tcBorders>
          </w:tcPr>
          <w:p w14:paraId="7D45DD4E">
            <w:pPr>
              <w:rPr>
                <w:sz w:val="2"/>
                <w:szCs w:val="2"/>
              </w:rPr>
            </w:pPr>
          </w:p>
        </w:tc>
      </w:tr>
      <w:tr w14:paraId="68E3F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4" w:hRule="atLeast"/>
        </w:trPr>
        <w:tc>
          <w:tcPr>
            <w:tcW w:w="1796" w:type="dxa"/>
            <w:tcBorders>
              <w:top w:val="nil"/>
            </w:tcBorders>
          </w:tcPr>
          <w:p w14:paraId="7076724A">
            <w:pPr>
              <w:pStyle w:val="15"/>
              <w:spacing w:line="224" w:lineRule="exact"/>
            </w:pPr>
            <w:r>
              <w:t>351343-77-6</w:t>
            </w:r>
          </w:p>
        </w:tc>
        <w:tc>
          <w:tcPr>
            <w:tcW w:w="6021" w:type="dxa"/>
            <w:vMerge w:val="continue"/>
            <w:tcBorders>
              <w:top w:val="nil"/>
            </w:tcBorders>
          </w:tcPr>
          <w:p w14:paraId="0B0B81FD">
            <w:pPr>
              <w:rPr>
                <w:sz w:val="2"/>
                <w:szCs w:val="2"/>
              </w:rPr>
            </w:pPr>
          </w:p>
        </w:tc>
        <w:tc>
          <w:tcPr>
            <w:tcW w:w="2471" w:type="dxa"/>
            <w:vMerge w:val="continue"/>
            <w:tcBorders>
              <w:top w:val="nil"/>
            </w:tcBorders>
          </w:tcPr>
          <w:p w14:paraId="53867930">
            <w:pPr>
              <w:rPr>
                <w:sz w:val="2"/>
                <w:szCs w:val="2"/>
              </w:rPr>
            </w:pPr>
          </w:p>
        </w:tc>
      </w:tr>
    </w:tbl>
    <w:p w14:paraId="0D3C1D5B">
      <w:pPr>
        <w:pStyle w:val="4"/>
        <w:spacing w:before="41" w:line="300" w:lineRule="auto"/>
        <w:ind w:left="142" w:right="697"/>
        <w:jc w:val="both"/>
        <w:rPr>
          <w:lang w:eastAsia="zh-CN"/>
        </w:rPr>
      </w:pPr>
      <w:r>
        <w:rPr>
          <w:rFonts w:hint="eastAsia" w:ascii="宋体" w:hAnsi="宋体" w:eastAsia="宋体" w:cs="宋体"/>
          <w:lang w:eastAsia="zh-CN"/>
        </w:rPr>
        <w:t>上述</w:t>
      </w:r>
      <w:r>
        <w:rPr>
          <w:lang w:eastAsia="zh-CN"/>
        </w:rPr>
        <w:t xml:space="preserve"> IFRA </w:t>
      </w:r>
      <w:r>
        <w:rPr>
          <w:rFonts w:hint="eastAsia" w:ascii="宋体" w:hAnsi="宋体" w:eastAsia="宋体" w:cs="宋体"/>
          <w:lang w:eastAsia="zh-CN"/>
        </w:rPr>
        <w:t>标准由皮肤致敏终点驱动。此外，还对系统毒性终点进行了评估，上述标准中报告的最大浓度水平是皮肤致敏和系统毒性评估得出的较低浓度水平。</w:t>
      </w:r>
    </w:p>
    <w:p w14:paraId="032A4BD1">
      <w:pPr>
        <w:jc w:val="both"/>
        <w:rPr>
          <w:lang w:eastAsia="zh-CN"/>
        </w:rPr>
        <w:sectPr>
          <w:pgSz w:w="11910" w:h="16840"/>
          <w:pgMar w:top="1500" w:right="20" w:bottom="980" w:left="580" w:header="432" w:footer="781" w:gutter="0"/>
          <w:cols w:space="720" w:num="1"/>
        </w:sectPr>
      </w:pPr>
    </w:p>
    <w:p w14:paraId="482E989E">
      <w:pPr>
        <w:pStyle w:val="4"/>
        <w:spacing w:before="3"/>
        <w:rPr>
          <w:sz w:val="16"/>
          <w:lang w:eastAsia="zh-CN"/>
        </w:rPr>
      </w:pPr>
    </w:p>
    <w:p w14:paraId="3EA1C828">
      <w:pPr>
        <w:pStyle w:val="2"/>
        <w:numPr>
          <w:ilvl w:val="4"/>
          <w:numId w:val="4"/>
        </w:numPr>
        <w:tabs>
          <w:tab w:val="left" w:pos="717"/>
        </w:tabs>
        <w:spacing w:before="94" w:after="39"/>
        <w:ind w:right="696"/>
        <w:rPr>
          <w:sz w:val="20"/>
          <w:lang w:eastAsia="zh-CN"/>
        </w:rPr>
      </w:pPr>
      <w:bookmarkStart w:id="7" w:name="_bookmark6"/>
      <w:bookmarkEnd w:id="7"/>
      <w:r>
        <w:rPr>
          <w:lang w:eastAsia="zh-CN"/>
        </w:rPr>
        <w:t>11</w:t>
      </w:r>
      <w:bookmarkStart w:id="8" w:name="_Hlk165046132"/>
      <w:r>
        <w:rPr>
          <w:rFonts w:hint="eastAsia" w:ascii="宋体" w:hAnsi="宋体" w:eastAsia="宋体" w:cs="宋体"/>
          <w:lang w:eastAsia="zh-CN"/>
        </w:rPr>
        <w:t>项</w:t>
      </w:r>
      <w:r>
        <w:rPr>
          <w:rFonts w:hint="eastAsia" w:ascii="宋体" w:hAnsi="宋体" w:eastAsia="宋体" w:cs="宋体"/>
          <w:spacing w:val="-14"/>
          <w:lang w:eastAsia="zh-CN"/>
        </w:rPr>
        <w:t>新的</w:t>
      </w:r>
      <w:r>
        <w:rPr>
          <w:rFonts w:hint="eastAsia" w:ascii="宋体" w:hAnsi="宋体" w:eastAsia="宋体" w:cs="宋体"/>
          <w:lang w:eastAsia="zh-CN"/>
        </w:rPr>
        <w:t>完全基于</w:t>
      </w:r>
      <w:r>
        <w:rPr>
          <w:lang w:eastAsia="zh-CN"/>
        </w:rPr>
        <w:t xml:space="preserve"> QRA</w:t>
      </w:r>
      <w:r>
        <w:rPr>
          <w:rFonts w:hint="eastAsia" w:eastAsiaTheme="minorEastAsia"/>
          <w:lang w:eastAsia="zh-CN"/>
        </w:rPr>
        <w:t>2</w:t>
      </w:r>
      <w:r>
        <w:rPr>
          <w:lang w:eastAsia="zh-CN"/>
        </w:rPr>
        <w:t xml:space="preserve"> </w:t>
      </w:r>
      <w:r>
        <w:rPr>
          <w:rFonts w:hint="eastAsia" w:ascii="宋体" w:hAnsi="宋体" w:eastAsia="宋体" w:cs="宋体"/>
          <w:lang w:eastAsia="zh-CN"/>
        </w:rPr>
        <w:t>来控制潜在的皮肤致敏作用的</w:t>
      </w:r>
      <w:r>
        <w:rPr>
          <w:rFonts w:ascii="宋体" w:hAnsi="宋体" w:eastAsia="宋体" w:cs="宋体"/>
          <w:lang w:eastAsia="zh-CN"/>
        </w:rPr>
        <w:t>IFRA</w:t>
      </w:r>
      <w:r>
        <w:rPr>
          <w:rFonts w:hint="eastAsia" w:ascii="宋体" w:hAnsi="宋体" w:eastAsia="宋体" w:cs="宋体"/>
          <w:lang w:eastAsia="zh-CN"/>
        </w:rPr>
        <w:t>限制标准</w:t>
      </w:r>
      <w:bookmarkEnd w:id="8"/>
    </w:p>
    <w:tbl>
      <w:tblPr>
        <w:tblStyle w:val="13"/>
        <w:tblW w:w="0" w:type="auto"/>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96"/>
        <w:gridCol w:w="5857"/>
        <w:gridCol w:w="2734"/>
      </w:tblGrid>
      <w:tr w14:paraId="293717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1796" w:type="dxa"/>
            <w:shd w:val="clear" w:color="auto" w:fill="D9D9D9"/>
          </w:tcPr>
          <w:p w14:paraId="5F886971">
            <w:pPr>
              <w:pStyle w:val="15"/>
              <w:spacing w:line="234" w:lineRule="exact"/>
              <w:rPr>
                <w:rFonts w:eastAsiaTheme="minorEastAsia"/>
                <w:b/>
                <w:lang w:eastAsia="zh-CN"/>
              </w:rPr>
            </w:pPr>
            <w:r>
              <w:rPr>
                <w:b/>
              </w:rPr>
              <w:t>CAS</w:t>
            </w:r>
            <w:r>
              <w:rPr>
                <w:rFonts w:hint="eastAsia" w:ascii="宋体" w:hAnsi="宋体" w:eastAsia="宋体" w:cs="宋体"/>
                <w:b/>
                <w:lang w:eastAsia="zh-CN"/>
              </w:rPr>
              <w:t>号</w:t>
            </w:r>
          </w:p>
        </w:tc>
        <w:tc>
          <w:tcPr>
            <w:tcW w:w="5857" w:type="dxa"/>
            <w:shd w:val="clear" w:color="auto" w:fill="D9D9D9"/>
          </w:tcPr>
          <w:p w14:paraId="0F41F5C3">
            <w:pPr>
              <w:pStyle w:val="15"/>
              <w:spacing w:line="234" w:lineRule="exact"/>
              <w:rPr>
                <w:rFonts w:eastAsiaTheme="minorEastAsia"/>
                <w:b/>
                <w:lang w:eastAsia="zh-CN"/>
              </w:rPr>
            </w:pPr>
            <w:r>
              <w:rPr>
                <w:rFonts w:hint="eastAsia" w:ascii="宋体" w:hAnsi="宋体" w:eastAsia="宋体" w:cs="宋体"/>
                <w:b/>
                <w:lang w:eastAsia="zh-CN"/>
              </w:rPr>
              <w:t>名称</w:t>
            </w:r>
          </w:p>
        </w:tc>
        <w:tc>
          <w:tcPr>
            <w:tcW w:w="2734" w:type="dxa"/>
            <w:tcBorders>
              <w:bottom w:val="nil"/>
            </w:tcBorders>
            <w:shd w:val="clear" w:color="auto" w:fill="D9D9D9"/>
          </w:tcPr>
          <w:p w14:paraId="707DE7EB">
            <w:pPr>
              <w:pStyle w:val="15"/>
              <w:spacing w:line="234" w:lineRule="exact"/>
              <w:rPr>
                <w:rFonts w:eastAsiaTheme="minorEastAsia"/>
                <w:b/>
                <w:lang w:eastAsia="zh-CN"/>
              </w:rPr>
            </w:pPr>
            <w:r>
              <w:rPr>
                <w:rFonts w:hint="eastAsia" w:ascii="宋体" w:hAnsi="宋体" w:eastAsia="宋体" w:cs="宋体"/>
                <w:b/>
                <w:lang w:eastAsia="zh-CN"/>
              </w:rPr>
              <w:t>状况</w:t>
            </w:r>
          </w:p>
        </w:tc>
      </w:tr>
      <w:tr w14:paraId="7781A9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96" w:type="dxa"/>
          </w:tcPr>
          <w:p w14:paraId="4189E67E">
            <w:pPr>
              <w:pStyle w:val="15"/>
              <w:spacing w:line="232" w:lineRule="exact"/>
            </w:pPr>
            <w:r>
              <w:t>60763-41-9</w:t>
            </w:r>
          </w:p>
        </w:tc>
        <w:tc>
          <w:tcPr>
            <w:tcW w:w="5857" w:type="dxa"/>
          </w:tcPr>
          <w:p w14:paraId="625C5753">
            <w:pPr>
              <w:pStyle w:val="15"/>
              <w:spacing w:line="234" w:lineRule="exact"/>
              <w:rPr>
                <w:rFonts w:hint="eastAsia" w:ascii="宋体" w:hAnsi="宋体" w:eastAsia="宋体" w:cs="宋体"/>
                <w:lang w:eastAsia="zh-CN"/>
              </w:rPr>
            </w:pPr>
            <w:r>
              <w:rPr>
                <w:rFonts w:hint="eastAsia" w:ascii="Arial" w:hAnsi="Arial" w:eastAsia="Arial" w:cs="Arial"/>
                <w:lang w:eastAsia="en-US"/>
              </w:rPr>
              <w:t>α</w:t>
            </w:r>
            <w:r>
              <w:t>-</w:t>
            </w:r>
            <w:r>
              <w:rPr>
                <w:rFonts w:ascii="宋体" w:hAnsi="宋体" w:eastAsia="宋体" w:cs="宋体"/>
                <w:lang w:eastAsia="zh-CN"/>
              </w:rPr>
              <w:t>戊基肉桂醛二</w:t>
            </w:r>
            <w:r>
              <w:rPr>
                <w:rFonts w:hint="eastAsia" w:ascii="宋体" w:hAnsi="宋体" w:eastAsia="宋体" w:cs="宋体"/>
                <w:lang w:eastAsia="zh-CN"/>
              </w:rPr>
              <w:t>乙</w:t>
            </w:r>
            <w:r>
              <w:rPr>
                <w:rFonts w:ascii="宋体" w:hAnsi="宋体" w:eastAsia="宋体" w:cs="宋体"/>
                <w:lang w:eastAsia="zh-CN"/>
              </w:rPr>
              <w:t>缩醛</w:t>
            </w:r>
          </w:p>
        </w:tc>
        <w:tc>
          <w:tcPr>
            <w:tcW w:w="2734" w:type="dxa"/>
            <w:vMerge w:val="restart"/>
            <w:tcBorders>
              <w:top w:val="nil"/>
            </w:tcBorders>
          </w:tcPr>
          <w:p w14:paraId="0B8EE60B">
            <w:pPr>
              <w:pStyle w:val="15"/>
              <w:ind w:left="0"/>
              <w:rPr>
                <w:b/>
                <w:sz w:val="24"/>
                <w:lang w:eastAsia="zh-CN"/>
              </w:rPr>
            </w:pPr>
          </w:p>
          <w:p w14:paraId="041BF424">
            <w:pPr>
              <w:pStyle w:val="15"/>
              <w:ind w:left="0"/>
              <w:rPr>
                <w:b/>
                <w:sz w:val="24"/>
                <w:lang w:eastAsia="zh-CN"/>
              </w:rPr>
            </w:pPr>
          </w:p>
          <w:p w14:paraId="3F71A8C6">
            <w:pPr>
              <w:pStyle w:val="15"/>
              <w:ind w:left="0"/>
              <w:rPr>
                <w:b/>
                <w:sz w:val="24"/>
                <w:lang w:eastAsia="zh-CN"/>
              </w:rPr>
            </w:pPr>
          </w:p>
          <w:p w14:paraId="06648767">
            <w:pPr>
              <w:pStyle w:val="15"/>
              <w:ind w:left="0"/>
              <w:rPr>
                <w:b/>
                <w:sz w:val="24"/>
                <w:lang w:eastAsia="zh-CN"/>
              </w:rPr>
            </w:pPr>
          </w:p>
          <w:p w14:paraId="59AB3B3B">
            <w:pPr>
              <w:pStyle w:val="15"/>
              <w:ind w:left="0"/>
              <w:rPr>
                <w:b/>
                <w:sz w:val="24"/>
                <w:lang w:eastAsia="zh-CN"/>
              </w:rPr>
            </w:pPr>
          </w:p>
          <w:p w14:paraId="190C24D9">
            <w:pPr>
              <w:pStyle w:val="15"/>
              <w:ind w:left="0"/>
              <w:rPr>
                <w:b/>
                <w:sz w:val="24"/>
                <w:lang w:eastAsia="zh-CN"/>
              </w:rPr>
            </w:pPr>
          </w:p>
          <w:p w14:paraId="01EE4737">
            <w:pPr>
              <w:pStyle w:val="15"/>
              <w:spacing w:before="2"/>
              <w:ind w:left="0"/>
              <w:rPr>
                <w:b/>
                <w:sz w:val="25"/>
                <w:lang w:eastAsia="zh-CN"/>
              </w:rPr>
            </w:pPr>
          </w:p>
          <w:p w14:paraId="2D2ECD2B">
            <w:pPr>
              <w:pStyle w:val="15"/>
              <w:spacing w:before="1"/>
              <w:ind w:right="127"/>
              <w:rPr>
                <w:lang w:eastAsia="zh-CN"/>
              </w:rPr>
            </w:pPr>
            <w:r>
              <w:rPr>
                <w:rFonts w:hint="eastAsia" w:ascii="宋体" w:hAnsi="宋体" w:eastAsia="宋体" w:cs="宋体"/>
                <w:lang w:eastAsia="zh-CN"/>
              </w:rPr>
              <w:t>基于皮肤致敏的新限制标准（</w:t>
            </w:r>
            <w:r>
              <w:rPr>
                <w:lang w:eastAsia="zh-CN"/>
              </w:rPr>
              <w:t>QRA2</w:t>
            </w:r>
            <w:r>
              <w:rPr>
                <w:rFonts w:hint="eastAsia" w:ascii="宋体" w:hAnsi="宋体" w:eastAsia="宋体" w:cs="宋体"/>
                <w:lang w:eastAsia="zh-CN"/>
              </w:rPr>
              <w:t>）</w:t>
            </w:r>
          </w:p>
        </w:tc>
      </w:tr>
      <w:tr w14:paraId="446B39B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96" w:type="dxa"/>
          </w:tcPr>
          <w:p w14:paraId="444A3A5C">
            <w:pPr>
              <w:pStyle w:val="15"/>
              <w:spacing w:line="234" w:lineRule="exact"/>
            </w:pPr>
            <w:r>
              <w:t>91-87-2</w:t>
            </w:r>
          </w:p>
        </w:tc>
        <w:tc>
          <w:tcPr>
            <w:tcW w:w="5857" w:type="dxa"/>
          </w:tcPr>
          <w:p w14:paraId="6EADA779">
            <w:pPr>
              <w:pStyle w:val="15"/>
              <w:spacing w:line="234" w:lineRule="exact"/>
              <w:rPr>
                <w:rFonts w:hint="eastAsia" w:ascii="宋体" w:hAnsi="宋体" w:eastAsia="宋体" w:cs="宋体"/>
                <w:lang w:eastAsia="zh-CN"/>
              </w:rPr>
            </w:pPr>
            <w:r>
              <w:rPr>
                <w:rFonts w:hint="eastAsia" w:ascii="Arial" w:hAnsi="Arial" w:eastAsia="Arial" w:cs="Arial"/>
                <w:lang w:eastAsia="en-US"/>
              </w:rPr>
              <w:t>α</w:t>
            </w:r>
            <w:r>
              <w:t>-</w:t>
            </w:r>
            <w:r>
              <w:rPr>
                <w:rFonts w:ascii="宋体" w:hAnsi="宋体" w:eastAsia="宋体" w:cs="宋体"/>
                <w:lang w:eastAsia="zh-CN"/>
              </w:rPr>
              <w:t>戊基肉桂醛二甲缩醛</w:t>
            </w:r>
          </w:p>
        </w:tc>
        <w:tc>
          <w:tcPr>
            <w:tcW w:w="2734" w:type="dxa"/>
            <w:vMerge w:val="continue"/>
            <w:tcBorders>
              <w:top w:val="nil"/>
            </w:tcBorders>
          </w:tcPr>
          <w:p w14:paraId="16FEB4CF">
            <w:pPr>
              <w:rPr>
                <w:sz w:val="2"/>
                <w:szCs w:val="2"/>
                <w:lang w:eastAsia="zh-CN"/>
              </w:rPr>
            </w:pPr>
          </w:p>
        </w:tc>
      </w:tr>
      <w:tr w14:paraId="4436BE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796" w:type="dxa"/>
            <w:tcBorders>
              <w:bottom w:val="nil"/>
            </w:tcBorders>
          </w:tcPr>
          <w:p w14:paraId="60933857">
            <w:pPr>
              <w:pStyle w:val="15"/>
              <w:spacing w:line="231" w:lineRule="exact"/>
            </w:pPr>
            <w:r>
              <w:t>97-42-7,</w:t>
            </w:r>
          </w:p>
        </w:tc>
        <w:tc>
          <w:tcPr>
            <w:tcW w:w="5857" w:type="dxa"/>
            <w:tcBorders>
              <w:bottom w:val="nil"/>
            </w:tcBorders>
          </w:tcPr>
          <w:p w14:paraId="0AE54749">
            <w:pPr>
              <w:pStyle w:val="15"/>
              <w:ind w:left="0"/>
              <w:rPr>
                <w:rFonts w:ascii="Times New Roman"/>
                <w:sz w:val="18"/>
              </w:rPr>
            </w:pPr>
          </w:p>
        </w:tc>
        <w:tc>
          <w:tcPr>
            <w:tcW w:w="2734" w:type="dxa"/>
            <w:vMerge w:val="continue"/>
            <w:tcBorders>
              <w:top w:val="nil"/>
            </w:tcBorders>
          </w:tcPr>
          <w:p w14:paraId="18EC81A8">
            <w:pPr>
              <w:rPr>
                <w:sz w:val="2"/>
                <w:szCs w:val="2"/>
              </w:rPr>
            </w:pPr>
          </w:p>
        </w:tc>
      </w:tr>
      <w:tr w14:paraId="2D8B25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3" w:hRule="atLeast"/>
        </w:trPr>
        <w:tc>
          <w:tcPr>
            <w:tcW w:w="1796" w:type="dxa"/>
            <w:tcBorders>
              <w:top w:val="nil"/>
              <w:bottom w:val="nil"/>
            </w:tcBorders>
          </w:tcPr>
          <w:p w14:paraId="0327F4DE">
            <w:pPr>
              <w:pStyle w:val="15"/>
              <w:spacing w:line="223" w:lineRule="exact"/>
            </w:pPr>
            <w:r>
              <w:t>1205-42-1,</w:t>
            </w:r>
          </w:p>
        </w:tc>
        <w:tc>
          <w:tcPr>
            <w:tcW w:w="5857" w:type="dxa"/>
            <w:tcBorders>
              <w:top w:val="nil"/>
              <w:bottom w:val="nil"/>
            </w:tcBorders>
          </w:tcPr>
          <w:p w14:paraId="2EE9A112">
            <w:pPr>
              <w:pStyle w:val="15"/>
              <w:spacing w:line="223" w:lineRule="exact"/>
            </w:pPr>
            <w:r>
              <w:rPr>
                <w:rFonts w:hint="eastAsia" w:ascii="宋体" w:hAnsi="宋体" w:eastAsia="宋体" w:cs="宋体"/>
              </w:rPr>
              <w:t>乙酸香芹酯</w:t>
            </w:r>
          </w:p>
        </w:tc>
        <w:tc>
          <w:tcPr>
            <w:tcW w:w="2734" w:type="dxa"/>
            <w:vMerge w:val="continue"/>
            <w:tcBorders>
              <w:top w:val="nil"/>
            </w:tcBorders>
          </w:tcPr>
          <w:p w14:paraId="53D500C3">
            <w:pPr>
              <w:rPr>
                <w:sz w:val="2"/>
                <w:szCs w:val="2"/>
              </w:rPr>
            </w:pPr>
          </w:p>
        </w:tc>
      </w:tr>
      <w:tr w14:paraId="5A5917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4" w:hRule="atLeast"/>
        </w:trPr>
        <w:tc>
          <w:tcPr>
            <w:tcW w:w="1796" w:type="dxa"/>
            <w:tcBorders>
              <w:top w:val="nil"/>
            </w:tcBorders>
          </w:tcPr>
          <w:p w14:paraId="4E356DE7">
            <w:pPr>
              <w:pStyle w:val="15"/>
              <w:spacing w:line="224" w:lineRule="exact"/>
            </w:pPr>
            <w:r>
              <w:t>1134-95-8</w:t>
            </w:r>
          </w:p>
        </w:tc>
        <w:tc>
          <w:tcPr>
            <w:tcW w:w="5857" w:type="dxa"/>
            <w:tcBorders>
              <w:top w:val="nil"/>
            </w:tcBorders>
          </w:tcPr>
          <w:p w14:paraId="72C6279B">
            <w:pPr>
              <w:pStyle w:val="15"/>
              <w:ind w:left="0"/>
              <w:rPr>
                <w:rFonts w:ascii="Times New Roman"/>
                <w:sz w:val="16"/>
              </w:rPr>
            </w:pPr>
          </w:p>
        </w:tc>
        <w:tc>
          <w:tcPr>
            <w:tcW w:w="2734" w:type="dxa"/>
            <w:vMerge w:val="continue"/>
            <w:tcBorders>
              <w:top w:val="nil"/>
            </w:tcBorders>
          </w:tcPr>
          <w:p w14:paraId="36EA6CB4">
            <w:pPr>
              <w:rPr>
                <w:sz w:val="2"/>
                <w:szCs w:val="2"/>
              </w:rPr>
            </w:pPr>
          </w:p>
        </w:tc>
      </w:tr>
      <w:tr w14:paraId="45EC11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1796" w:type="dxa"/>
          </w:tcPr>
          <w:p w14:paraId="26F78D1B">
            <w:pPr>
              <w:pStyle w:val="15"/>
              <w:spacing w:line="234" w:lineRule="exact"/>
            </w:pPr>
            <w:r>
              <w:t>155514-23-1</w:t>
            </w:r>
          </w:p>
        </w:tc>
        <w:tc>
          <w:tcPr>
            <w:tcW w:w="5857" w:type="dxa"/>
          </w:tcPr>
          <w:p w14:paraId="01ED0C85">
            <w:pPr>
              <w:pStyle w:val="15"/>
              <w:spacing w:line="234" w:lineRule="exact"/>
            </w:pPr>
            <w:r>
              <w:t>2-</w:t>
            </w:r>
            <w:r>
              <w:rPr>
                <w:rFonts w:hint="eastAsia" w:ascii="宋体" w:hAnsi="宋体" w:eastAsia="宋体" w:cs="宋体"/>
              </w:rPr>
              <w:t>甲基丁酸</w:t>
            </w:r>
            <w:r>
              <w:t xml:space="preserve"> 5-</w:t>
            </w:r>
            <w:r>
              <w:rPr>
                <w:rFonts w:hint="eastAsia" w:ascii="宋体" w:hAnsi="宋体" w:eastAsia="宋体" w:cs="宋体"/>
              </w:rPr>
              <w:t>己烯</w:t>
            </w:r>
            <w:r>
              <w:t>-1-</w:t>
            </w:r>
            <w:r>
              <w:rPr>
                <w:rFonts w:hint="eastAsia" w:ascii="宋体" w:hAnsi="宋体" w:eastAsia="宋体" w:cs="宋体"/>
                <w:lang w:eastAsia="zh-CN"/>
              </w:rPr>
              <w:t>醇</w:t>
            </w:r>
            <w:r>
              <w:rPr>
                <w:rFonts w:hint="eastAsia" w:ascii="宋体" w:hAnsi="宋体" w:eastAsia="宋体" w:cs="宋体"/>
              </w:rPr>
              <w:t>酯</w:t>
            </w:r>
          </w:p>
        </w:tc>
        <w:tc>
          <w:tcPr>
            <w:tcW w:w="2734" w:type="dxa"/>
            <w:vMerge w:val="continue"/>
            <w:tcBorders>
              <w:top w:val="nil"/>
            </w:tcBorders>
          </w:tcPr>
          <w:p w14:paraId="7E05F745">
            <w:pPr>
              <w:rPr>
                <w:sz w:val="2"/>
                <w:szCs w:val="2"/>
              </w:rPr>
            </w:pPr>
          </w:p>
        </w:tc>
      </w:tr>
      <w:tr w14:paraId="54066F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96" w:type="dxa"/>
          </w:tcPr>
          <w:p w14:paraId="0C6ECAC8">
            <w:pPr>
              <w:pStyle w:val="15"/>
              <w:spacing w:line="232" w:lineRule="exact"/>
            </w:pPr>
            <w:r>
              <w:t>16429-07-5</w:t>
            </w:r>
          </w:p>
        </w:tc>
        <w:tc>
          <w:tcPr>
            <w:tcW w:w="5857" w:type="dxa"/>
          </w:tcPr>
          <w:p w14:paraId="1165FF39">
            <w:pPr>
              <w:pStyle w:val="15"/>
              <w:spacing w:line="232" w:lineRule="exact"/>
              <w:rPr>
                <w:rFonts w:hint="eastAsia"/>
              </w:rPr>
            </w:pPr>
            <w:r>
              <w:t>2-</w:t>
            </w:r>
            <w:r>
              <w:rPr>
                <w:rFonts w:hint="eastAsia" w:ascii="宋体" w:hAnsi="宋体" w:eastAsia="宋体" w:cs="宋体"/>
                <w:lang w:eastAsia="zh-CN"/>
              </w:rPr>
              <w:t>亚</w:t>
            </w:r>
            <w:r>
              <w:rPr>
                <w:rFonts w:hint="eastAsia" w:ascii="宋体" w:hAnsi="宋体" w:eastAsia="宋体" w:cs="宋体"/>
                <w:lang w:val="en-US" w:eastAsia="zh-CN"/>
              </w:rPr>
              <w:t>己</w:t>
            </w:r>
            <w:r>
              <w:rPr>
                <w:rFonts w:hint="eastAsia" w:ascii="宋体" w:hAnsi="宋体" w:eastAsia="宋体" w:cs="宋体"/>
                <w:lang w:eastAsia="zh-CN"/>
              </w:rPr>
              <w:t>基环己</w:t>
            </w:r>
            <w:r>
              <w:rPr>
                <w:rFonts w:hint="eastAsia" w:ascii="Arial" w:hAnsi="Arial" w:eastAsia="Arial" w:cs="Arial"/>
                <w:lang w:eastAsia="en-US"/>
              </w:rPr>
              <w:t>-1-</w:t>
            </w:r>
            <w:r>
              <w:rPr>
                <w:rFonts w:hint="eastAsia" w:ascii="宋体" w:hAnsi="宋体" w:eastAsia="宋体" w:cs="宋体"/>
                <w:lang w:eastAsia="zh-CN"/>
              </w:rPr>
              <w:t>酮</w:t>
            </w:r>
          </w:p>
        </w:tc>
        <w:tc>
          <w:tcPr>
            <w:tcW w:w="2734" w:type="dxa"/>
            <w:vMerge w:val="continue"/>
            <w:tcBorders>
              <w:top w:val="nil"/>
            </w:tcBorders>
          </w:tcPr>
          <w:p w14:paraId="10FCF9C3">
            <w:pPr>
              <w:rPr>
                <w:sz w:val="2"/>
                <w:szCs w:val="2"/>
              </w:rPr>
            </w:pPr>
          </w:p>
        </w:tc>
      </w:tr>
      <w:tr w14:paraId="6F7C68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2" w:hRule="atLeast"/>
        </w:trPr>
        <w:tc>
          <w:tcPr>
            <w:tcW w:w="1796" w:type="dxa"/>
            <w:tcBorders>
              <w:bottom w:val="nil"/>
            </w:tcBorders>
          </w:tcPr>
          <w:p w14:paraId="15E9B9EB">
            <w:pPr>
              <w:pStyle w:val="15"/>
              <w:spacing w:line="232" w:lineRule="exact"/>
            </w:pPr>
            <w:r>
              <w:t>67801-33-6,</w:t>
            </w:r>
          </w:p>
        </w:tc>
        <w:tc>
          <w:tcPr>
            <w:tcW w:w="5857" w:type="dxa"/>
            <w:vMerge w:val="restart"/>
          </w:tcPr>
          <w:p w14:paraId="60D60019">
            <w:pPr>
              <w:pStyle w:val="15"/>
              <w:autoSpaceDE/>
              <w:autoSpaceDN/>
              <w:spacing w:before="127"/>
              <w:ind w:left="40" w:leftChars="18"/>
            </w:pPr>
            <w:r>
              <w:rPr>
                <w:rFonts w:hint="eastAsia" w:ascii="宋体" w:hAnsi="宋体" w:eastAsia="宋体" w:cs="宋体"/>
              </w:rPr>
              <w:t>甲基薰衣草酮</w:t>
            </w:r>
          </w:p>
        </w:tc>
        <w:tc>
          <w:tcPr>
            <w:tcW w:w="2734" w:type="dxa"/>
            <w:vMerge w:val="continue"/>
            <w:tcBorders>
              <w:top w:val="nil"/>
            </w:tcBorders>
          </w:tcPr>
          <w:p w14:paraId="0CCEAAD5">
            <w:pPr>
              <w:rPr>
                <w:sz w:val="2"/>
                <w:szCs w:val="2"/>
              </w:rPr>
            </w:pPr>
          </w:p>
        </w:tc>
      </w:tr>
      <w:tr w14:paraId="64CD4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4" w:hRule="atLeast"/>
        </w:trPr>
        <w:tc>
          <w:tcPr>
            <w:tcW w:w="1796" w:type="dxa"/>
            <w:tcBorders>
              <w:top w:val="nil"/>
            </w:tcBorders>
          </w:tcPr>
          <w:p w14:paraId="12C1B60B">
            <w:pPr>
              <w:pStyle w:val="15"/>
              <w:spacing w:line="224" w:lineRule="exact"/>
            </w:pPr>
            <w:r>
              <w:t>67633-95-8</w:t>
            </w:r>
          </w:p>
        </w:tc>
        <w:tc>
          <w:tcPr>
            <w:tcW w:w="5857" w:type="dxa"/>
            <w:vMerge w:val="continue"/>
            <w:tcBorders>
              <w:top w:val="nil"/>
            </w:tcBorders>
          </w:tcPr>
          <w:p w14:paraId="2C7178AC">
            <w:pPr>
              <w:rPr>
                <w:sz w:val="2"/>
                <w:szCs w:val="2"/>
              </w:rPr>
            </w:pPr>
          </w:p>
        </w:tc>
        <w:tc>
          <w:tcPr>
            <w:tcW w:w="2734" w:type="dxa"/>
            <w:vMerge w:val="continue"/>
            <w:tcBorders>
              <w:top w:val="nil"/>
            </w:tcBorders>
          </w:tcPr>
          <w:p w14:paraId="182F2C90">
            <w:pPr>
              <w:rPr>
                <w:sz w:val="2"/>
                <w:szCs w:val="2"/>
              </w:rPr>
            </w:pPr>
          </w:p>
        </w:tc>
      </w:tr>
      <w:tr w14:paraId="632305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96" w:type="dxa"/>
          </w:tcPr>
          <w:p w14:paraId="333B1C35">
            <w:pPr>
              <w:pStyle w:val="15"/>
              <w:spacing w:line="234" w:lineRule="exact"/>
            </w:pPr>
            <w:r>
              <w:t>72403-67-9</w:t>
            </w:r>
          </w:p>
        </w:tc>
        <w:tc>
          <w:tcPr>
            <w:tcW w:w="5857" w:type="dxa"/>
          </w:tcPr>
          <w:p w14:paraId="7DB5FD62">
            <w:pPr>
              <w:pStyle w:val="15"/>
              <w:spacing w:line="234" w:lineRule="exact"/>
            </w:pPr>
            <w:r>
              <w:rPr>
                <w:rFonts w:hint="eastAsia" w:ascii="宋体" w:hAnsi="宋体" w:eastAsia="宋体" w:cs="宋体"/>
              </w:rPr>
              <w:t>乙酸</w:t>
            </w:r>
            <w:r>
              <w:rPr>
                <w:rFonts w:hint="eastAsia" w:ascii="宋体" w:hAnsi="宋体" w:eastAsia="宋体" w:cs="宋体"/>
                <w:lang w:eastAsia="zh-CN"/>
              </w:rPr>
              <w:t>柑青酯</w:t>
            </w:r>
          </w:p>
        </w:tc>
        <w:tc>
          <w:tcPr>
            <w:tcW w:w="2734" w:type="dxa"/>
            <w:vMerge w:val="continue"/>
            <w:tcBorders>
              <w:top w:val="nil"/>
            </w:tcBorders>
          </w:tcPr>
          <w:p w14:paraId="49C69A87">
            <w:pPr>
              <w:rPr>
                <w:sz w:val="2"/>
                <w:szCs w:val="2"/>
              </w:rPr>
            </w:pPr>
          </w:p>
        </w:tc>
      </w:tr>
      <w:tr w14:paraId="3AE465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96" w:type="dxa"/>
          </w:tcPr>
          <w:p w14:paraId="519DDFD8">
            <w:pPr>
              <w:pStyle w:val="15"/>
              <w:spacing w:line="232" w:lineRule="exact"/>
            </w:pPr>
            <w:r>
              <w:t>4643-27-0</w:t>
            </w:r>
          </w:p>
        </w:tc>
        <w:tc>
          <w:tcPr>
            <w:tcW w:w="5857" w:type="dxa"/>
          </w:tcPr>
          <w:p w14:paraId="30A13012">
            <w:pPr>
              <w:pStyle w:val="15"/>
              <w:spacing w:line="232" w:lineRule="exact"/>
            </w:pPr>
            <w:r>
              <w:t>2-</w:t>
            </w:r>
            <w:r>
              <w:rPr>
                <w:rFonts w:hint="eastAsia" w:ascii="宋体" w:hAnsi="宋体" w:eastAsia="宋体" w:cs="宋体"/>
              </w:rPr>
              <w:t>辛烯</w:t>
            </w:r>
            <w:r>
              <w:t>-4-</w:t>
            </w:r>
            <w:r>
              <w:rPr>
                <w:rFonts w:hint="eastAsia" w:ascii="宋体" w:hAnsi="宋体" w:eastAsia="宋体" w:cs="宋体"/>
              </w:rPr>
              <w:t>酮</w:t>
            </w:r>
          </w:p>
        </w:tc>
        <w:tc>
          <w:tcPr>
            <w:tcW w:w="2734" w:type="dxa"/>
            <w:vMerge w:val="continue"/>
            <w:tcBorders>
              <w:top w:val="nil"/>
            </w:tcBorders>
          </w:tcPr>
          <w:p w14:paraId="32BDEAC5">
            <w:pPr>
              <w:rPr>
                <w:sz w:val="2"/>
                <w:szCs w:val="2"/>
              </w:rPr>
            </w:pPr>
          </w:p>
        </w:tc>
      </w:tr>
      <w:tr w14:paraId="11A46B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96" w:type="dxa"/>
          </w:tcPr>
          <w:p w14:paraId="670F1DBA">
            <w:pPr>
              <w:pStyle w:val="15"/>
              <w:spacing w:before="2" w:line="232" w:lineRule="exact"/>
            </w:pPr>
            <w:r>
              <w:t>1669-44-9</w:t>
            </w:r>
          </w:p>
        </w:tc>
        <w:tc>
          <w:tcPr>
            <w:tcW w:w="5857" w:type="dxa"/>
          </w:tcPr>
          <w:p w14:paraId="49F451D8">
            <w:pPr>
              <w:pStyle w:val="15"/>
              <w:spacing w:before="2" w:line="232" w:lineRule="exact"/>
            </w:pPr>
            <w:r>
              <w:t>3-</w:t>
            </w:r>
            <w:r>
              <w:rPr>
                <w:rFonts w:hint="eastAsia" w:ascii="宋体" w:hAnsi="宋体" w:eastAsia="宋体" w:cs="宋体"/>
              </w:rPr>
              <w:t>辛烯</w:t>
            </w:r>
            <w:r>
              <w:t>-2-</w:t>
            </w:r>
            <w:r>
              <w:rPr>
                <w:rFonts w:hint="eastAsia" w:ascii="宋体" w:hAnsi="宋体" w:eastAsia="宋体" w:cs="宋体"/>
              </w:rPr>
              <w:t>酮</w:t>
            </w:r>
          </w:p>
        </w:tc>
        <w:tc>
          <w:tcPr>
            <w:tcW w:w="2734" w:type="dxa"/>
            <w:vMerge w:val="continue"/>
            <w:tcBorders>
              <w:top w:val="nil"/>
            </w:tcBorders>
          </w:tcPr>
          <w:p w14:paraId="3CF4AD2D">
            <w:pPr>
              <w:rPr>
                <w:sz w:val="2"/>
                <w:szCs w:val="2"/>
              </w:rPr>
            </w:pPr>
          </w:p>
        </w:tc>
      </w:tr>
      <w:tr w14:paraId="11E554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96" w:type="dxa"/>
            <w:tcBorders>
              <w:bottom w:val="nil"/>
            </w:tcBorders>
          </w:tcPr>
          <w:p w14:paraId="6BC8196B">
            <w:pPr>
              <w:pStyle w:val="15"/>
              <w:spacing w:line="232" w:lineRule="exact"/>
            </w:pPr>
            <w:r>
              <w:t>68738-94-3,</w:t>
            </w:r>
          </w:p>
        </w:tc>
        <w:tc>
          <w:tcPr>
            <w:tcW w:w="5857" w:type="dxa"/>
            <w:tcBorders>
              <w:bottom w:val="nil"/>
            </w:tcBorders>
          </w:tcPr>
          <w:p w14:paraId="7684136E">
            <w:pPr>
              <w:pStyle w:val="15"/>
              <w:ind w:left="0"/>
              <w:rPr>
                <w:rFonts w:ascii="Times New Roman"/>
                <w:sz w:val="18"/>
              </w:rPr>
            </w:pPr>
          </w:p>
        </w:tc>
        <w:tc>
          <w:tcPr>
            <w:tcW w:w="2734" w:type="dxa"/>
            <w:vMerge w:val="continue"/>
            <w:tcBorders>
              <w:top w:val="nil"/>
            </w:tcBorders>
          </w:tcPr>
          <w:p w14:paraId="43EA6303">
            <w:pPr>
              <w:rPr>
                <w:sz w:val="2"/>
                <w:szCs w:val="2"/>
              </w:rPr>
            </w:pPr>
          </w:p>
        </w:tc>
      </w:tr>
      <w:tr w14:paraId="648CEC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3" w:hRule="atLeast"/>
        </w:trPr>
        <w:tc>
          <w:tcPr>
            <w:tcW w:w="1796" w:type="dxa"/>
            <w:tcBorders>
              <w:top w:val="nil"/>
              <w:bottom w:val="nil"/>
            </w:tcBorders>
          </w:tcPr>
          <w:p w14:paraId="25DE76F1">
            <w:pPr>
              <w:pStyle w:val="15"/>
              <w:spacing w:line="223" w:lineRule="exact"/>
            </w:pPr>
            <w:r>
              <w:t>68738-96-5,</w:t>
            </w:r>
          </w:p>
        </w:tc>
        <w:tc>
          <w:tcPr>
            <w:tcW w:w="5857" w:type="dxa"/>
            <w:tcBorders>
              <w:top w:val="nil"/>
              <w:bottom w:val="nil"/>
            </w:tcBorders>
          </w:tcPr>
          <w:p w14:paraId="6285C4E7">
            <w:pPr>
              <w:pStyle w:val="15"/>
              <w:spacing w:line="223" w:lineRule="exact"/>
              <w:rPr>
                <w:lang w:eastAsia="zh-CN"/>
              </w:rPr>
            </w:pPr>
            <w:r>
              <w:rPr>
                <w:rFonts w:hint="eastAsia" w:ascii="宋体" w:hAnsi="宋体" w:eastAsia="宋体" w:cs="宋体"/>
                <w:lang w:eastAsia="zh-CN"/>
              </w:rPr>
              <w:t>八氢二甲基萘</w:t>
            </w:r>
            <w:r>
              <w:rPr>
                <w:lang w:eastAsia="zh-CN"/>
              </w:rPr>
              <w:t>-2-</w:t>
            </w:r>
            <w:r>
              <w:rPr>
                <w:rFonts w:hint="eastAsia" w:ascii="宋体" w:hAnsi="宋体" w:eastAsia="宋体" w:cs="宋体"/>
                <w:lang w:eastAsia="zh-CN"/>
              </w:rPr>
              <w:t>甲醛（混合异构体）</w:t>
            </w:r>
          </w:p>
        </w:tc>
        <w:tc>
          <w:tcPr>
            <w:tcW w:w="2734" w:type="dxa"/>
            <w:vMerge w:val="continue"/>
            <w:tcBorders>
              <w:top w:val="nil"/>
            </w:tcBorders>
          </w:tcPr>
          <w:p w14:paraId="40DFCB74">
            <w:pPr>
              <w:rPr>
                <w:sz w:val="2"/>
                <w:szCs w:val="2"/>
                <w:lang w:eastAsia="zh-CN"/>
              </w:rPr>
            </w:pPr>
          </w:p>
        </w:tc>
      </w:tr>
      <w:tr w14:paraId="4F64F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 w:hRule="atLeast"/>
        </w:trPr>
        <w:tc>
          <w:tcPr>
            <w:tcW w:w="1796" w:type="dxa"/>
            <w:tcBorders>
              <w:top w:val="nil"/>
              <w:bottom w:val="nil"/>
            </w:tcBorders>
          </w:tcPr>
          <w:p w14:paraId="0D5799F3">
            <w:pPr>
              <w:pStyle w:val="15"/>
              <w:spacing w:line="222" w:lineRule="exact"/>
            </w:pPr>
            <w:r>
              <w:t>68991-96-8,</w:t>
            </w:r>
          </w:p>
        </w:tc>
        <w:tc>
          <w:tcPr>
            <w:tcW w:w="5857" w:type="dxa"/>
            <w:tcBorders>
              <w:top w:val="nil"/>
              <w:bottom w:val="nil"/>
            </w:tcBorders>
          </w:tcPr>
          <w:p w14:paraId="74B9AC28">
            <w:pPr>
              <w:pStyle w:val="15"/>
              <w:spacing w:line="222" w:lineRule="exact"/>
              <w:ind w:left="0"/>
            </w:pPr>
          </w:p>
        </w:tc>
        <w:tc>
          <w:tcPr>
            <w:tcW w:w="2734" w:type="dxa"/>
            <w:vMerge w:val="continue"/>
            <w:tcBorders>
              <w:top w:val="nil"/>
            </w:tcBorders>
          </w:tcPr>
          <w:p w14:paraId="120E732B">
            <w:pPr>
              <w:rPr>
                <w:sz w:val="2"/>
                <w:szCs w:val="2"/>
              </w:rPr>
            </w:pPr>
          </w:p>
        </w:tc>
      </w:tr>
      <w:tr w14:paraId="5B99CE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796" w:type="dxa"/>
            <w:tcBorders>
              <w:top w:val="nil"/>
            </w:tcBorders>
          </w:tcPr>
          <w:p w14:paraId="7051AF44">
            <w:pPr>
              <w:pStyle w:val="15"/>
              <w:spacing w:line="225" w:lineRule="exact"/>
            </w:pPr>
            <w:r>
              <w:t>68991-97-9</w:t>
            </w:r>
          </w:p>
        </w:tc>
        <w:tc>
          <w:tcPr>
            <w:tcW w:w="5857" w:type="dxa"/>
            <w:tcBorders>
              <w:top w:val="nil"/>
            </w:tcBorders>
          </w:tcPr>
          <w:p w14:paraId="08BDB094">
            <w:pPr>
              <w:pStyle w:val="15"/>
              <w:ind w:left="0"/>
              <w:rPr>
                <w:rFonts w:ascii="Times New Roman"/>
                <w:sz w:val="16"/>
              </w:rPr>
            </w:pPr>
          </w:p>
        </w:tc>
        <w:tc>
          <w:tcPr>
            <w:tcW w:w="2734" w:type="dxa"/>
            <w:vMerge w:val="continue"/>
            <w:tcBorders>
              <w:top w:val="nil"/>
            </w:tcBorders>
          </w:tcPr>
          <w:p w14:paraId="702BCE64">
            <w:pPr>
              <w:rPr>
                <w:sz w:val="2"/>
                <w:szCs w:val="2"/>
              </w:rPr>
            </w:pPr>
          </w:p>
        </w:tc>
      </w:tr>
      <w:tr w14:paraId="1A8C44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0" w:hRule="atLeast"/>
        </w:trPr>
        <w:tc>
          <w:tcPr>
            <w:tcW w:w="1796" w:type="dxa"/>
            <w:tcBorders>
              <w:bottom w:val="nil"/>
            </w:tcBorders>
          </w:tcPr>
          <w:p w14:paraId="3684E4B6">
            <w:pPr>
              <w:pStyle w:val="15"/>
              <w:spacing w:line="231" w:lineRule="exact"/>
            </w:pPr>
            <w:r>
              <w:t>358331-95-0,</w:t>
            </w:r>
          </w:p>
        </w:tc>
        <w:tc>
          <w:tcPr>
            <w:tcW w:w="5857" w:type="dxa"/>
            <w:tcBorders>
              <w:bottom w:val="nil"/>
            </w:tcBorders>
          </w:tcPr>
          <w:p w14:paraId="2346DA1C">
            <w:pPr>
              <w:pStyle w:val="15"/>
              <w:ind w:left="0"/>
              <w:rPr>
                <w:rFonts w:ascii="Times New Roman"/>
                <w:sz w:val="18"/>
              </w:rPr>
            </w:pPr>
          </w:p>
        </w:tc>
        <w:tc>
          <w:tcPr>
            <w:tcW w:w="2734" w:type="dxa"/>
            <w:vMerge w:val="continue"/>
            <w:tcBorders>
              <w:top w:val="nil"/>
            </w:tcBorders>
          </w:tcPr>
          <w:p w14:paraId="702A1C4A">
            <w:pPr>
              <w:rPr>
                <w:sz w:val="2"/>
                <w:szCs w:val="2"/>
              </w:rPr>
            </w:pPr>
          </w:p>
        </w:tc>
      </w:tr>
      <w:tr w14:paraId="5F49F5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3" w:hRule="atLeast"/>
        </w:trPr>
        <w:tc>
          <w:tcPr>
            <w:tcW w:w="1796" w:type="dxa"/>
            <w:tcBorders>
              <w:top w:val="nil"/>
              <w:bottom w:val="nil"/>
            </w:tcBorders>
          </w:tcPr>
          <w:p w14:paraId="123E516F">
            <w:pPr>
              <w:pStyle w:val="15"/>
              <w:spacing w:line="223" w:lineRule="exact"/>
            </w:pPr>
            <w:r>
              <w:t>357650-26-1,</w:t>
            </w:r>
          </w:p>
        </w:tc>
        <w:tc>
          <w:tcPr>
            <w:tcW w:w="5857" w:type="dxa"/>
            <w:tcBorders>
              <w:top w:val="nil"/>
              <w:bottom w:val="nil"/>
            </w:tcBorders>
          </w:tcPr>
          <w:p w14:paraId="7BC6CE69">
            <w:pPr>
              <w:pStyle w:val="15"/>
              <w:spacing w:line="223" w:lineRule="exact"/>
            </w:pPr>
            <w:r>
              <w:t>2,5-</w:t>
            </w:r>
            <w:r>
              <w:rPr>
                <w:rFonts w:hint="eastAsia" w:ascii="宋体" w:hAnsi="宋体" w:eastAsia="宋体" w:cs="宋体"/>
              </w:rPr>
              <w:t>辛二烯</w:t>
            </w:r>
            <w:r>
              <w:t>-4-</w:t>
            </w:r>
            <w:r>
              <w:rPr>
                <w:rFonts w:hint="eastAsia" w:ascii="宋体" w:hAnsi="宋体" w:eastAsia="宋体" w:cs="宋体"/>
              </w:rPr>
              <w:t>酮，</w:t>
            </w:r>
            <w:r>
              <w:t>5,6,7-</w:t>
            </w:r>
            <w:r>
              <w:rPr>
                <w:rFonts w:hint="eastAsia" w:ascii="宋体" w:hAnsi="宋体" w:eastAsia="宋体" w:cs="宋体"/>
              </w:rPr>
              <w:t>三甲基</w:t>
            </w:r>
            <w:r>
              <w:t>-</w:t>
            </w:r>
            <w:r>
              <w:rPr>
                <w:rFonts w:hint="eastAsia" w:ascii="宋体" w:hAnsi="宋体" w:eastAsia="宋体" w:cs="宋体"/>
              </w:rPr>
              <w:t>，</w:t>
            </w:r>
            <w:r>
              <w:t>(2E)-*</w:t>
            </w:r>
          </w:p>
        </w:tc>
        <w:tc>
          <w:tcPr>
            <w:tcW w:w="2734" w:type="dxa"/>
            <w:vMerge w:val="continue"/>
            <w:tcBorders>
              <w:top w:val="nil"/>
            </w:tcBorders>
          </w:tcPr>
          <w:p w14:paraId="14E9901A">
            <w:pPr>
              <w:rPr>
                <w:sz w:val="2"/>
                <w:szCs w:val="2"/>
              </w:rPr>
            </w:pPr>
          </w:p>
        </w:tc>
      </w:tr>
      <w:tr w14:paraId="5D34C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4" w:hRule="atLeast"/>
        </w:trPr>
        <w:tc>
          <w:tcPr>
            <w:tcW w:w="1796" w:type="dxa"/>
            <w:tcBorders>
              <w:top w:val="nil"/>
            </w:tcBorders>
          </w:tcPr>
          <w:p w14:paraId="336DA0E8">
            <w:pPr>
              <w:pStyle w:val="15"/>
              <w:spacing w:line="224" w:lineRule="exact"/>
            </w:pPr>
            <w:r>
              <w:t>847144-75-6</w:t>
            </w:r>
          </w:p>
        </w:tc>
        <w:tc>
          <w:tcPr>
            <w:tcW w:w="5857" w:type="dxa"/>
            <w:tcBorders>
              <w:top w:val="nil"/>
            </w:tcBorders>
          </w:tcPr>
          <w:p w14:paraId="0FC2A326">
            <w:pPr>
              <w:pStyle w:val="15"/>
              <w:ind w:left="0"/>
              <w:rPr>
                <w:rFonts w:ascii="Times New Roman"/>
                <w:sz w:val="16"/>
              </w:rPr>
            </w:pPr>
          </w:p>
        </w:tc>
        <w:tc>
          <w:tcPr>
            <w:tcW w:w="2734" w:type="dxa"/>
            <w:vMerge w:val="continue"/>
            <w:tcBorders>
              <w:top w:val="nil"/>
            </w:tcBorders>
          </w:tcPr>
          <w:p w14:paraId="38F9AB7E">
            <w:pPr>
              <w:rPr>
                <w:sz w:val="2"/>
                <w:szCs w:val="2"/>
              </w:rPr>
            </w:pPr>
          </w:p>
        </w:tc>
      </w:tr>
    </w:tbl>
    <w:p w14:paraId="4DBF6136">
      <w:pPr>
        <w:pStyle w:val="4"/>
        <w:spacing w:before="41" w:line="300" w:lineRule="auto"/>
        <w:ind w:left="142" w:right="692"/>
        <w:jc w:val="both"/>
        <w:rPr>
          <w:lang w:eastAsia="zh-CN"/>
        </w:rPr>
      </w:pPr>
      <w:r>
        <w:rPr>
          <w:lang w:eastAsia="zh-CN"/>
        </w:rPr>
        <w:t>*</w:t>
      </w:r>
      <w:r>
        <w:rPr>
          <w:rFonts w:hint="eastAsia" w:ascii="宋体" w:hAnsi="宋体" w:eastAsia="宋体" w:cs="宋体"/>
          <w:lang w:eastAsia="zh-CN"/>
        </w:rPr>
        <w:t>日用香料研究所安全性评估可从香料研究所数据库中获取，但尚未在《食品与化学品毒物学》上发表，因此目前无法在日用香料安全资源中心网站中找到。不过，预计很快就会发表。在此期间，可向</w:t>
      </w:r>
      <w:r>
        <w:rPr>
          <w:lang w:eastAsia="zh-CN"/>
        </w:rPr>
        <w:t xml:space="preserve"> IFRA</w:t>
      </w:r>
      <w:r>
        <w:rPr>
          <w:rFonts w:hint="eastAsia" w:ascii="宋体" w:hAnsi="宋体" w:eastAsia="宋体" w:cs="宋体"/>
          <w:lang w:eastAsia="zh-CN"/>
        </w:rPr>
        <w:t>（</w:t>
      </w:r>
      <w:r>
        <w:fldChar w:fldCharType="begin"/>
      </w:r>
      <w:r>
        <w:instrText xml:space="preserve"> HYPERLINK "mailto:mvey@ifrafragrance.org" \h </w:instrText>
      </w:r>
      <w:r>
        <w:fldChar w:fldCharType="separate"/>
      </w:r>
      <w:r>
        <w:rPr>
          <w:color w:val="0000FF"/>
          <w:u w:val="single" w:color="0000FF"/>
          <w:lang w:eastAsia="zh-CN"/>
        </w:rPr>
        <w:t>mvey@ifrafragrance.org</w:t>
      </w:r>
      <w:r>
        <w:rPr>
          <w:color w:val="0000FF"/>
          <w:u w:val="single" w:color="0000FF"/>
          <w:lang w:eastAsia="zh-CN"/>
        </w:rPr>
        <w:fldChar w:fldCharType="end"/>
      </w:r>
      <w:r>
        <w:rPr>
          <w:rFonts w:hint="eastAsia" w:ascii="宋体" w:hAnsi="宋体" w:eastAsia="宋体" w:cs="宋体"/>
          <w:lang w:eastAsia="zh-CN"/>
        </w:rPr>
        <w:t>）索取出版物草案，与感兴趣的利益相关者分享。</w:t>
      </w:r>
    </w:p>
    <w:p w14:paraId="4201222B">
      <w:pPr>
        <w:pStyle w:val="4"/>
        <w:spacing w:before="41" w:line="300" w:lineRule="auto"/>
        <w:ind w:left="142" w:right="692"/>
        <w:jc w:val="both"/>
        <w:rPr>
          <w:rFonts w:eastAsiaTheme="minorEastAsia"/>
          <w:lang w:eastAsia="zh-CN"/>
        </w:rPr>
      </w:pPr>
      <w:r>
        <w:rPr>
          <w:rFonts w:hint="eastAsia" w:ascii="宋体" w:hAnsi="宋体" w:eastAsia="宋体" w:cs="宋体"/>
          <w:lang w:eastAsia="zh-CN"/>
        </w:rPr>
        <w:t>上述</w:t>
      </w:r>
      <w:r>
        <w:rPr>
          <w:lang w:eastAsia="zh-CN"/>
        </w:rPr>
        <w:t xml:space="preserve"> IFRA </w:t>
      </w:r>
      <w:r>
        <w:rPr>
          <w:rFonts w:hint="eastAsia" w:ascii="宋体" w:hAnsi="宋体" w:eastAsia="宋体" w:cs="宋体"/>
          <w:lang w:eastAsia="zh-CN"/>
        </w:rPr>
        <w:t>标准由皮肤致敏终点驱动。系统毒性终点也已通过毒理学关注阈值（</w:t>
      </w:r>
      <w:r>
        <w:rPr>
          <w:lang w:eastAsia="zh-CN"/>
        </w:rPr>
        <w:t>TTC</w:t>
      </w:r>
      <w:r>
        <w:rPr>
          <w:rFonts w:hint="eastAsia" w:ascii="宋体" w:hAnsi="宋体" w:eastAsia="宋体" w:cs="宋体"/>
          <w:lang w:eastAsia="zh-CN"/>
        </w:rPr>
        <w:t>）的评估和批准，但在审查上述标准的最大浓度水平时并未将其考虑在内。</w:t>
      </w:r>
      <w:r>
        <w:rPr>
          <w:rFonts w:hint="eastAsia" w:ascii="宋体" w:hAnsi="宋体" w:eastAsia="宋体" w:cs="宋体"/>
        </w:rPr>
        <w:t>因此，最大浓度水平只是应用</w:t>
      </w:r>
      <w:r>
        <w:t>QRA2</w:t>
      </w:r>
      <w:r>
        <w:rPr>
          <w:rFonts w:hint="eastAsia" w:ascii="宋体" w:hAnsi="宋体" w:eastAsia="宋体" w:cs="宋体"/>
        </w:rPr>
        <w:t>的结果。</w:t>
      </w:r>
    </w:p>
    <w:p w14:paraId="4088A563">
      <w:pPr>
        <w:pStyle w:val="4"/>
        <w:spacing w:before="1"/>
        <w:rPr>
          <w:sz w:val="29"/>
          <w:lang w:eastAsia="zh-CN"/>
        </w:rPr>
      </w:pPr>
    </w:p>
    <w:p w14:paraId="553D91AB">
      <w:pPr>
        <w:pStyle w:val="2"/>
        <w:numPr>
          <w:ilvl w:val="4"/>
          <w:numId w:val="4"/>
        </w:numPr>
        <w:tabs>
          <w:tab w:val="left" w:pos="717"/>
        </w:tabs>
        <w:spacing w:after="40"/>
        <w:rPr>
          <w:sz w:val="20"/>
          <w:lang w:eastAsia="zh-CN"/>
        </w:rPr>
      </w:pPr>
      <w:bookmarkStart w:id="9" w:name="_bookmark7"/>
      <w:bookmarkEnd w:id="9"/>
      <w:r>
        <w:rPr>
          <w:lang w:eastAsia="zh-CN"/>
        </w:rPr>
        <w:t>2</w:t>
      </w:r>
      <w:r>
        <w:rPr>
          <w:rFonts w:hint="eastAsia" w:ascii="宋体" w:hAnsi="宋体" w:eastAsia="宋体" w:cs="宋体"/>
          <w:lang w:eastAsia="zh-CN"/>
        </w:rPr>
        <w:t>项新的基于毒理学关注阈值（TTC）进行风险管理的</w:t>
      </w:r>
      <w:r>
        <w:rPr>
          <w:lang w:eastAsia="zh-CN"/>
        </w:rPr>
        <w:t>IFRA</w:t>
      </w:r>
      <w:r>
        <w:rPr>
          <w:rFonts w:hint="eastAsia" w:ascii="宋体" w:hAnsi="宋体" w:eastAsia="宋体" w:cs="宋体"/>
          <w:lang w:eastAsia="zh-CN"/>
        </w:rPr>
        <w:t>限制标准</w:t>
      </w:r>
    </w:p>
    <w:tbl>
      <w:tblPr>
        <w:tblStyle w:val="13"/>
        <w:tblW w:w="0" w:type="auto"/>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59"/>
        <w:gridCol w:w="5094"/>
        <w:gridCol w:w="2734"/>
      </w:tblGrid>
      <w:tr w14:paraId="192D8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2559" w:type="dxa"/>
            <w:shd w:val="clear" w:color="auto" w:fill="D9D9D9"/>
          </w:tcPr>
          <w:p w14:paraId="360A2AA2">
            <w:pPr>
              <w:pStyle w:val="15"/>
              <w:spacing w:line="232" w:lineRule="exact"/>
              <w:rPr>
                <w:b/>
              </w:rPr>
            </w:pPr>
            <w:r>
              <w:rPr>
                <w:b/>
              </w:rPr>
              <w:t>CAS</w:t>
            </w:r>
            <w:r>
              <w:rPr>
                <w:rFonts w:hint="eastAsia" w:ascii="宋体" w:hAnsi="宋体" w:eastAsia="宋体" w:cs="宋体"/>
                <w:b/>
                <w:lang w:eastAsia="zh-CN"/>
              </w:rPr>
              <w:t>号</w:t>
            </w:r>
          </w:p>
        </w:tc>
        <w:tc>
          <w:tcPr>
            <w:tcW w:w="5094" w:type="dxa"/>
            <w:shd w:val="clear" w:color="auto" w:fill="D9D9D9"/>
          </w:tcPr>
          <w:p w14:paraId="3F1256B4">
            <w:pPr>
              <w:pStyle w:val="15"/>
              <w:spacing w:line="232" w:lineRule="exact"/>
              <w:rPr>
                <w:b/>
              </w:rPr>
            </w:pPr>
            <w:r>
              <w:rPr>
                <w:rFonts w:hint="eastAsia" w:ascii="宋体" w:hAnsi="宋体" w:eastAsia="宋体" w:cs="宋体"/>
                <w:b/>
                <w:lang w:eastAsia="zh-CN"/>
              </w:rPr>
              <w:t>名称</w:t>
            </w:r>
          </w:p>
        </w:tc>
        <w:tc>
          <w:tcPr>
            <w:tcW w:w="2734" w:type="dxa"/>
            <w:shd w:val="clear" w:color="auto" w:fill="D9D9D9"/>
          </w:tcPr>
          <w:p w14:paraId="3D9506AA">
            <w:pPr>
              <w:pStyle w:val="15"/>
              <w:spacing w:line="232" w:lineRule="exact"/>
              <w:rPr>
                <w:b/>
              </w:rPr>
            </w:pPr>
            <w:r>
              <w:rPr>
                <w:rFonts w:hint="eastAsia" w:ascii="宋体" w:hAnsi="宋体" w:eastAsia="宋体" w:cs="宋体"/>
                <w:b/>
                <w:lang w:eastAsia="zh-CN"/>
              </w:rPr>
              <w:t>状况</w:t>
            </w:r>
          </w:p>
        </w:tc>
      </w:tr>
      <w:tr w14:paraId="29CB79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2559" w:type="dxa"/>
          </w:tcPr>
          <w:p w14:paraId="02D4509E">
            <w:pPr>
              <w:pStyle w:val="15"/>
              <w:spacing w:before="139"/>
            </w:pPr>
            <w:r>
              <w:t>2986-54-1</w:t>
            </w:r>
          </w:p>
        </w:tc>
        <w:tc>
          <w:tcPr>
            <w:tcW w:w="5094" w:type="dxa"/>
          </w:tcPr>
          <w:p w14:paraId="26257D2A">
            <w:pPr>
              <w:pStyle w:val="15"/>
              <w:spacing w:before="139"/>
            </w:pPr>
            <w:r>
              <w:rPr>
                <w:rFonts w:hint="eastAsia" w:ascii="宋体" w:hAnsi="宋体" w:eastAsia="宋体" w:cs="宋体"/>
              </w:rPr>
              <w:t>甲氧基环十二烷</w:t>
            </w:r>
          </w:p>
        </w:tc>
        <w:tc>
          <w:tcPr>
            <w:tcW w:w="2734" w:type="dxa"/>
            <w:vMerge w:val="restart"/>
          </w:tcPr>
          <w:p w14:paraId="073F7DD8">
            <w:pPr>
              <w:pStyle w:val="15"/>
              <w:spacing w:before="45"/>
              <w:ind w:right="188"/>
              <w:rPr>
                <w:lang w:eastAsia="zh-CN"/>
              </w:rPr>
            </w:pPr>
            <w:r>
              <w:rPr>
                <w:rFonts w:hint="eastAsia" w:ascii="宋体" w:hAnsi="宋体" w:eastAsia="宋体" w:cs="宋体"/>
                <w:lang w:eastAsia="zh-CN"/>
              </w:rPr>
              <w:t>新限制标准基于系统毒性（</w:t>
            </w:r>
            <w:r>
              <w:rPr>
                <w:rFonts w:hint="default" w:ascii="Arial" w:hAnsi="Arial" w:eastAsia="Arial" w:cs="Arial"/>
                <w:lang w:eastAsia="zh-CN"/>
              </w:rPr>
              <w:t>TTC</w:t>
            </w:r>
            <w:r>
              <w:rPr>
                <w:rFonts w:hint="eastAsia" w:ascii="宋体" w:hAnsi="宋体" w:eastAsia="宋体" w:cs="宋体"/>
                <w:lang w:eastAsia="zh-CN"/>
              </w:rPr>
              <w:t>）</w:t>
            </w:r>
          </w:p>
        </w:tc>
      </w:tr>
      <w:tr w14:paraId="41C42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2559" w:type="dxa"/>
          </w:tcPr>
          <w:p w14:paraId="7E0D4986">
            <w:pPr>
              <w:pStyle w:val="15"/>
              <w:spacing w:before="154"/>
            </w:pPr>
            <w:r>
              <w:t>53767-86-5</w:t>
            </w:r>
          </w:p>
        </w:tc>
        <w:tc>
          <w:tcPr>
            <w:tcW w:w="5094" w:type="dxa"/>
          </w:tcPr>
          <w:p w14:paraId="5ECA8A85">
            <w:pPr>
              <w:pStyle w:val="15"/>
              <w:spacing w:before="154"/>
            </w:pPr>
            <w:r>
              <w:t>7-</w:t>
            </w:r>
            <w:r>
              <w:rPr>
                <w:rFonts w:hint="eastAsia" w:ascii="宋体" w:hAnsi="宋体" w:eastAsia="宋体" w:cs="宋体"/>
              </w:rPr>
              <w:t>甲氧基</w:t>
            </w:r>
            <w:r>
              <w:t>-3,7-</w:t>
            </w:r>
            <w:r>
              <w:rPr>
                <w:rFonts w:hint="eastAsia" w:ascii="宋体" w:hAnsi="宋体" w:eastAsia="宋体" w:cs="宋体"/>
              </w:rPr>
              <w:t>二甲基</w:t>
            </w:r>
            <w:r>
              <w:t>-1-</w:t>
            </w:r>
            <w:r>
              <w:rPr>
                <w:rFonts w:hint="eastAsia" w:ascii="宋体" w:hAnsi="宋体" w:eastAsia="宋体" w:cs="宋体"/>
              </w:rPr>
              <w:t>辛烯</w:t>
            </w:r>
          </w:p>
        </w:tc>
        <w:tc>
          <w:tcPr>
            <w:tcW w:w="2734" w:type="dxa"/>
            <w:vMerge w:val="continue"/>
            <w:tcBorders>
              <w:top w:val="nil"/>
            </w:tcBorders>
          </w:tcPr>
          <w:p w14:paraId="1B30FF70">
            <w:pPr>
              <w:rPr>
                <w:sz w:val="2"/>
                <w:szCs w:val="2"/>
              </w:rPr>
            </w:pPr>
          </w:p>
        </w:tc>
      </w:tr>
    </w:tbl>
    <w:p w14:paraId="1E11673B">
      <w:pPr>
        <w:pStyle w:val="4"/>
        <w:spacing w:before="41" w:line="300" w:lineRule="auto"/>
        <w:ind w:left="142" w:right="697"/>
        <w:jc w:val="both"/>
        <w:rPr>
          <w:rFonts w:eastAsiaTheme="minorEastAsia"/>
          <w:lang w:eastAsia="zh-CN"/>
        </w:rPr>
      </w:pPr>
      <w:r>
        <w:rPr>
          <w:rFonts w:hint="eastAsia" w:ascii="宋体" w:hAnsi="宋体" w:eastAsia="宋体" w:cs="宋体"/>
          <w:lang w:eastAsia="zh-CN"/>
        </w:rPr>
        <w:t>正如</w:t>
      </w:r>
      <w:r>
        <w:rPr>
          <w:lang w:eastAsia="zh-CN"/>
        </w:rPr>
        <w:t xml:space="preserve"> IFRA </w:t>
      </w:r>
      <w:r>
        <w:rPr>
          <w:rFonts w:hint="eastAsia" w:ascii="宋体" w:hAnsi="宋体" w:eastAsia="宋体" w:cs="宋体"/>
          <w:lang w:eastAsia="zh-CN"/>
        </w:rPr>
        <w:t>标准制定过程中概述的一般情况，当日用香料研究所安全性评估基于毒理学关注阈值（</w:t>
      </w:r>
      <w:r>
        <w:rPr>
          <w:rFonts w:hint="default" w:ascii="Arial" w:hAnsi="Arial" w:eastAsia="宋体" w:cs="Arial"/>
          <w:lang w:eastAsia="zh-CN"/>
        </w:rPr>
        <w:t>TTC</w:t>
      </w:r>
      <w:r>
        <w:rPr>
          <w:rFonts w:hint="eastAsia" w:ascii="宋体" w:hAnsi="宋体" w:eastAsia="宋体" w:cs="宋体"/>
          <w:lang w:eastAsia="zh-CN"/>
        </w:rPr>
        <w:t>）和/或皮肤致敏阈值的应用来支持当前使用水平时，只要暴露量不超过这些阈值，就不会制定</w:t>
      </w:r>
      <w:r>
        <w:rPr>
          <w:lang w:eastAsia="zh-CN"/>
        </w:rPr>
        <w:t xml:space="preserve"> IFRA </w:t>
      </w:r>
      <w:r>
        <w:rPr>
          <w:rFonts w:hint="eastAsia" w:ascii="宋体" w:hAnsi="宋体" w:eastAsia="宋体" w:cs="宋体"/>
          <w:lang w:eastAsia="zh-CN"/>
        </w:rPr>
        <w:t>标准（例如，适用于上文</w:t>
      </w:r>
      <w:r>
        <w:rPr>
          <w:lang w:eastAsia="zh-CN"/>
        </w:rPr>
        <w:t xml:space="preserve"> </w:t>
      </w:r>
      <w:r>
        <w:rPr>
          <w:rFonts w:hint="eastAsia" w:eastAsiaTheme="minorEastAsia"/>
          <w:lang w:eastAsia="zh-CN"/>
        </w:rPr>
        <w:t>3</w:t>
      </w:r>
      <w:r>
        <w:rPr>
          <w:lang w:eastAsia="zh-CN"/>
        </w:rPr>
        <w:t xml:space="preserve"> </w:t>
      </w:r>
      <w:r>
        <w:rPr>
          <w:rFonts w:hint="eastAsia" w:ascii="宋体" w:hAnsi="宋体" w:eastAsia="宋体" w:cs="宋体"/>
          <w:lang w:eastAsia="zh-CN"/>
        </w:rPr>
        <w:t>项所列的新标准）。更多信息请参见</w:t>
      </w:r>
      <w:r>
        <w:rPr>
          <w:lang w:eastAsia="zh-CN"/>
        </w:rPr>
        <w:t xml:space="preserve"> 2021 </w:t>
      </w:r>
      <w:r>
        <w:rPr>
          <w:rFonts w:hint="eastAsia" w:ascii="宋体" w:hAnsi="宋体" w:eastAsia="宋体" w:cs="宋体"/>
          <w:lang w:eastAsia="zh-CN"/>
        </w:rPr>
        <w:t>年</w:t>
      </w:r>
      <w:r>
        <w:rPr>
          <w:lang w:eastAsia="zh-CN"/>
        </w:rPr>
        <w:t xml:space="preserve"> 9 </w:t>
      </w:r>
      <w:r>
        <w:rPr>
          <w:rFonts w:hint="eastAsia" w:ascii="宋体" w:hAnsi="宋体" w:eastAsia="宋体" w:cs="宋体"/>
          <w:lang w:eastAsia="zh-CN"/>
        </w:rPr>
        <w:t>月</w:t>
      </w:r>
      <w:r>
        <w:rPr>
          <w:lang w:eastAsia="zh-CN"/>
        </w:rPr>
        <w:t xml:space="preserve"> 28 </w:t>
      </w:r>
      <w:r>
        <w:rPr>
          <w:rFonts w:hint="eastAsia" w:ascii="宋体" w:hAnsi="宋体" w:eastAsia="宋体" w:cs="宋体"/>
          <w:lang w:eastAsia="zh-CN"/>
        </w:rPr>
        <w:t>日</w:t>
      </w:r>
      <w:r>
        <w:rPr>
          <w:lang w:eastAsia="zh-CN"/>
        </w:rPr>
        <w:t xml:space="preserve"> IFRA IL 1128 </w:t>
      </w:r>
      <w:r>
        <w:rPr>
          <w:rFonts w:hint="eastAsia" w:ascii="宋体" w:hAnsi="宋体" w:eastAsia="宋体" w:cs="宋体"/>
          <w:lang w:eastAsia="zh-CN"/>
        </w:rPr>
        <w:t>号文件。</w:t>
      </w:r>
    </w:p>
    <w:p w14:paraId="1CB207F8">
      <w:pPr>
        <w:pStyle w:val="4"/>
        <w:spacing w:before="11"/>
        <w:rPr>
          <w:sz w:val="28"/>
          <w:lang w:eastAsia="zh-CN"/>
        </w:rPr>
      </w:pPr>
    </w:p>
    <w:p w14:paraId="74E87E25">
      <w:pPr>
        <w:pStyle w:val="2"/>
        <w:numPr>
          <w:ilvl w:val="4"/>
          <w:numId w:val="4"/>
        </w:numPr>
        <w:tabs>
          <w:tab w:val="left" w:pos="717"/>
        </w:tabs>
        <w:spacing w:after="40"/>
        <w:rPr>
          <w:sz w:val="20"/>
          <w:lang w:eastAsia="zh-CN"/>
        </w:rPr>
      </w:pPr>
      <w:bookmarkStart w:id="10" w:name="_bookmark8"/>
      <w:bookmarkEnd w:id="10"/>
      <w:r>
        <w:rPr>
          <w:lang w:eastAsia="zh-CN"/>
        </w:rPr>
        <w:t>1</w:t>
      </w:r>
      <w:r>
        <w:rPr>
          <w:rFonts w:hint="eastAsia" w:ascii="宋体" w:hAnsi="宋体" w:eastAsia="宋体" w:cs="宋体"/>
          <w:lang w:eastAsia="zh-CN"/>
        </w:rPr>
        <w:t>项新的可能导致皮肤脱色的</w:t>
      </w:r>
      <w:r>
        <w:rPr>
          <w:rFonts w:ascii="宋体" w:hAnsi="宋体" w:eastAsia="宋体" w:cs="宋体"/>
          <w:lang w:eastAsia="zh-CN"/>
        </w:rPr>
        <w:t>IFRA</w:t>
      </w:r>
      <w:r>
        <w:rPr>
          <w:rFonts w:hint="eastAsia" w:ascii="宋体" w:hAnsi="宋体" w:eastAsia="宋体" w:cs="宋体"/>
          <w:lang w:eastAsia="zh-CN"/>
        </w:rPr>
        <w:t>限制标准</w:t>
      </w:r>
    </w:p>
    <w:tbl>
      <w:tblPr>
        <w:tblStyle w:val="13"/>
        <w:tblW w:w="0" w:type="auto"/>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3"/>
        <w:gridCol w:w="4323"/>
        <w:gridCol w:w="3490"/>
      </w:tblGrid>
      <w:tr w14:paraId="70E38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2573" w:type="dxa"/>
            <w:shd w:val="clear" w:color="auto" w:fill="D9D9D9"/>
          </w:tcPr>
          <w:p w14:paraId="163C5578">
            <w:pPr>
              <w:pStyle w:val="15"/>
              <w:spacing w:line="234" w:lineRule="exact"/>
              <w:rPr>
                <w:b/>
              </w:rPr>
            </w:pPr>
            <w:r>
              <w:rPr>
                <w:b/>
              </w:rPr>
              <w:t>CAS</w:t>
            </w:r>
            <w:r>
              <w:rPr>
                <w:rFonts w:hint="eastAsia" w:ascii="宋体" w:hAnsi="宋体" w:eastAsia="宋体" w:cs="宋体"/>
                <w:b/>
                <w:lang w:eastAsia="zh-CN"/>
              </w:rPr>
              <w:t>号</w:t>
            </w:r>
          </w:p>
        </w:tc>
        <w:tc>
          <w:tcPr>
            <w:tcW w:w="4323" w:type="dxa"/>
            <w:shd w:val="clear" w:color="auto" w:fill="D9D9D9"/>
          </w:tcPr>
          <w:p w14:paraId="23A7922B">
            <w:pPr>
              <w:pStyle w:val="15"/>
              <w:spacing w:line="234" w:lineRule="exact"/>
              <w:ind w:left="108"/>
              <w:rPr>
                <w:b/>
              </w:rPr>
            </w:pPr>
            <w:r>
              <w:rPr>
                <w:rFonts w:hint="eastAsia" w:ascii="宋体" w:hAnsi="宋体" w:eastAsia="宋体" w:cs="宋体"/>
                <w:b/>
                <w:lang w:eastAsia="zh-CN"/>
              </w:rPr>
              <w:t>名称</w:t>
            </w:r>
          </w:p>
        </w:tc>
        <w:tc>
          <w:tcPr>
            <w:tcW w:w="3490" w:type="dxa"/>
            <w:shd w:val="clear" w:color="auto" w:fill="D9D9D9"/>
          </w:tcPr>
          <w:p w14:paraId="6E9F5096">
            <w:pPr>
              <w:pStyle w:val="15"/>
              <w:spacing w:line="234" w:lineRule="exact"/>
              <w:ind w:left="108"/>
              <w:rPr>
                <w:b/>
              </w:rPr>
            </w:pPr>
            <w:r>
              <w:rPr>
                <w:rFonts w:hint="eastAsia" w:ascii="宋体" w:hAnsi="宋体" w:eastAsia="宋体" w:cs="宋体"/>
                <w:b/>
                <w:lang w:eastAsia="zh-CN"/>
              </w:rPr>
              <w:t>状况</w:t>
            </w:r>
          </w:p>
        </w:tc>
      </w:tr>
      <w:tr w14:paraId="796DC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8" w:hRule="atLeast"/>
        </w:trPr>
        <w:tc>
          <w:tcPr>
            <w:tcW w:w="2573" w:type="dxa"/>
          </w:tcPr>
          <w:p w14:paraId="642FE1B4">
            <w:pPr>
              <w:pStyle w:val="15"/>
              <w:spacing w:before="124"/>
            </w:pPr>
            <w:r>
              <w:t>1319-77-3,</w:t>
            </w:r>
          </w:p>
          <w:p w14:paraId="1BF299AC">
            <w:pPr>
              <w:pStyle w:val="15"/>
              <w:spacing w:before="2"/>
            </w:pPr>
            <w:r>
              <w:t>106-44-5</w:t>
            </w:r>
          </w:p>
        </w:tc>
        <w:tc>
          <w:tcPr>
            <w:tcW w:w="4323" w:type="dxa"/>
          </w:tcPr>
          <w:p w14:paraId="44FE28CF">
            <w:pPr>
              <w:pStyle w:val="15"/>
              <w:spacing w:before="10"/>
              <w:ind w:left="0"/>
              <w:rPr>
                <w:b/>
                <w:sz w:val="21"/>
              </w:rPr>
            </w:pPr>
          </w:p>
          <w:p w14:paraId="6570786B">
            <w:pPr>
              <w:pStyle w:val="15"/>
              <w:ind w:left="108"/>
              <w:rPr>
                <w:rFonts w:eastAsiaTheme="minorEastAsia"/>
                <w:lang w:eastAsia="zh-CN"/>
              </w:rPr>
            </w:pPr>
            <w:r>
              <w:rPr>
                <w:rFonts w:hint="eastAsia" w:ascii="宋体" w:hAnsi="宋体" w:eastAsia="宋体" w:cs="宋体"/>
                <w:lang w:eastAsia="zh-CN"/>
              </w:rPr>
              <w:t>对甲酚</w:t>
            </w:r>
          </w:p>
        </w:tc>
        <w:tc>
          <w:tcPr>
            <w:tcW w:w="3490" w:type="dxa"/>
            <w:vAlign w:val="center"/>
          </w:tcPr>
          <w:p w14:paraId="26C89E4E">
            <w:pPr>
              <w:pStyle w:val="15"/>
              <w:spacing w:line="232" w:lineRule="exact"/>
              <w:ind w:left="108"/>
              <w:rPr>
                <w:lang w:eastAsia="zh-CN"/>
              </w:rPr>
            </w:pPr>
            <w:r>
              <w:rPr>
                <w:rFonts w:hint="eastAsia" w:ascii="宋体" w:hAnsi="宋体" w:eastAsia="宋体" w:cs="宋体"/>
                <w:lang w:eastAsia="zh-CN"/>
              </w:rPr>
              <w:t>基于皮肤脱色的新限制标准</w:t>
            </w:r>
          </w:p>
        </w:tc>
      </w:tr>
    </w:tbl>
    <w:p w14:paraId="0445BDD7">
      <w:pPr>
        <w:pStyle w:val="4"/>
        <w:spacing w:before="41"/>
        <w:ind w:left="140" w:right="694"/>
        <w:jc w:val="both"/>
        <w:rPr>
          <w:lang w:eastAsia="zh-CN"/>
        </w:rPr>
      </w:pPr>
      <w:r>
        <w:rPr>
          <w:rFonts w:hint="eastAsia" w:ascii="宋体" w:hAnsi="宋体" w:eastAsia="宋体" w:cs="宋体"/>
          <w:lang w:eastAsia="zh-CN"/>
        </w:rPr>
        <w:t>对甲酚的标准是基于其导致</w:t>
      </w:r>
      <w:r>
        <w:rPr>
          <w:rFonts w:hint="eastAsia" w:ascii="宋体" w:hAnsi="宋体" w:eastAsia="宋体" w:cs="宋体"/>
          <w:lang w:val="en-US" w:eastAsia="zh-CN"/>
        </w:rPr>
        <w:t>皮肤脱色</w:t>
      </w:r>
      <w:r>
        <w:rPr>
          <w:rFonts w:hint="eastAsia" w:ascii="宋体" w:hAnsi="宋体" w:eastAsia="宋体" w:cs="宋体"/>
          <w:lang w:eastAsia="zh-CN"/>
        </w:rPr>
        <w:t>的可能性。据报道，对甲苯酚存在于自然界中。</w:t>
      </w:r>
    </w:p>
    <w:p w14:paraId="6465EB72">
      <w:pPr>
        <w:jc w:val="both"/>
        <w:rPr>
          <w:lang w:eastAsia="zh-CN"/>
        </w:rPr>
        <w:sectPr>
          <w:pgSz w:w="11910" w:h="16840"/>
          <w:pgMar w:top="1500" w:right="20" w:bottom="980" w:left="580" w:header="432" w:footer="781" w:gutter="0"/>
          <w:cols w:space="720" w:num="1"/>
        </w:sectPr>
      </w:pPr>
    </w:p>
    <w:p w14:paraId="018F5390">
      <w:pPr>
        <w:pStyle w:val="4"/>
        <w:spacing w:before="3"/>
        <w:rPr>
          <w:sz w:val="16"/>
          <w:lang w:eastAsia="zh-CN"/>
        </w:rPr>
      </w:pPr>
      <w:bookmarkStart w:id="11" w:name="_bookmark9"/>
      <w:bookmarkEnd w:id="11"/>
    </w:p>
    <w:p w14:paraId="72855C0E">
      <w:pPr>
        <w:pStyle w:val="2"/>
        <w:numPr>
          <w:ilvl w:val="4"/>
          <w:numId w:val="4"/>
        </w:numPr>
        <w:tabs>
          <w:tab w:val="left" w:pos="717"/>
        </w:tabs>
        <w:spacing w:before="94" w:after="40"/>
        <w:rPr>
          <w:sz w:val="20"/>
          <w:lang w:eastAsia="zh-CN"/>
        </w:rPr>
      </w:pPr>
      <w:r>
        <w:rPr>
          <w:lang w:eastAsia="zh-CN"/>
        </w:rPr>
        <w:t>1</w:t>
      </w:r>
      <w:r>
        <w:rPr>
          <w:rFonts w:hint="eastAsia" w:ascii="宋体" w:hAnsi="宋体" w:eastAsia="宋体" w:cs="宋体"/>
          <w:lang w:eastAsia="zh-CN"/>
        </w:rPr>
        <w:t>项新的由于潜在的遗传毒性作用的</w:t>
      </w:r>
      <w:r>
        <w:rPr>
          <w:rFonts w:ascii="宋体" w:hAnsi="宋体" w:eastAsia="宋体" w:cs="宋体"/>
          <w:lang w:eastAsia="zh-CN"/>
        </w:rPr>
        <w:t>IFRA</w:t>
      </w:r>
      <w:r>
        <w:rPr>
          <w:rFonts w:hint="eastAsia" w:ascii="宋体" w:hAnsi="宋体" w:eastAsia="宋体" w:cs="宋体"/>
          <w:lang w:eastAsia="zh-CN"/>
        </w:rPr>
        <w:t>禁用标准</w:t>
      </w:r>
    </w:p>
    <w:tbl>
      <w:tblPr>
        <w:tblStyle w:val="13"/>
        <w:tblW w:w="0" w:type="auto"/>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1"/>
        <w:gridCol w:w="4338"/>
        <w:gridCol w:w="3478"/>
      </w:tblGrid>
      <w:tr w14:paraId="1391AC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2571" w:type="dxa"/>
            <w:shd w:val="clear" w:color="auto" w:fill="D9D9D9"/>
          </w:tcPr>
          <w:p w14:paraId="01298463">
            <w:pPr>
              <w:pStyle w:val="15"/>
              <w:spacing w:line="232" w:lineRule="exact"/>
              <w:rPr>
                <w:b/>
              </w:rPr>
            </w:pPr>
            <w:r>
              <w:rPr>
                <w:b/>
              </w:rPr>
              <w:t>CAS</w:t>
            </w:r>
            <w:r>
              <w:rPr>
                <w:rFonts w:hint="eastAsia" w:ascii="宋体" w:hAnsi="宋体" w:eastAsia="宋体" w:cs="宋体"/>
                <w:b/>
                <w:lang w:eastAsia="zh-CN"/>
              </w:rPr>
              <w:t>号</w:t>
            </w:r>
          </w:p>
        </w:tc>
        <w:tc>
          <w:tcPr>
            <w:tcW w:w="4338" w:type="dxa"/>
            <w:shd w:val="clear" w:color="auto" w:fill="D9D9D9"/>
          </w:tcPr>
          <w:p w14:paraId="30C881A3">
            <w:pPr>
              <w:pStyle w:val="15"/>
              <w:spacing w:line="232" w:lineRule="exact"/>
              <w:rPr>
                <w:rFonts w:eastAsiaTheme="minorEastAsia"/>
                <w:b/>
                <w:lang w:eastAsia="zh-CN"/>
              </w:rPr>
            </w:pPr>
            <w:r>
              <w:rPr>
                <w:rFonts w:hint="eastAsia" w:ascii="宋体" w:hAnsi="宋体" w:eastAsia="宋体" w:cs="宋体"/>
                <w:b/>
                <w:lang w:eastAsia="zh-CN"/>
              </w:rPr>
              <w:t>名称</w:t>
            </w:r>
          </w:p>
        </w:tc>
        <w:tc>
          <w:tcPr>
            <w:tcW w:w="3478" w:type="dxa"/>
            <w:shd w:val="clear" w:color="auto" w:fill="D9D9D9"/>
          </w:tcPr>
          <w:p w14:paraId="1722227C">
            <w:pPr>
              <w:pStyle w:val="15"/>
              <w:spacing w:line="232" w:lineRule="exact"/>
              <w:rPr>
                <w:rFonts w:eastAsiaTheme="minorEastAsia"/>
                <w:b/>
                <w:lang w:eastAsia="zh-CN"/>
              </w:rPr>
            </w:pPr>
            <w:r>
              <w:rPr>
                <w:rFonts w:hint="eastAsia" w:ascii="宋体" w:hAnsi="宋体" w:eastAsia="宋体" w:cs="宋体"/>
                <w:b/>
                <w:lang w:eastAsia="zh-CN"/>
              </w:rPr>
              <w:t>状况</w:t>
            </w:r>
          </w:p>
        </w:tc>
      </w:tr>
      <w:tr w14:paraId="167A7D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2571" w:type="dxa"/>
          </w:tcPr>
          <w:p w14:paraId="56A5BE4F">
            <w:pPr>
              <w:pStyle w:val="15"/>
              <w:spacing w:before="1"/>
              <w:ind w:left="0"/>
              <w:rPr>
                <w:b/>
              </w:rPr>
            </w:pPr>
          </w:p>
          <w:p w14:paraId="2F82C9D5">
            <w:pPr>
              <w:pStyle w:val="15"/>
            </w:pPr>
            <w:r>
              <w:t>10599-70-9</w:t>
            </w:r>
          </w:p>
        </w:tc>
        <w:tc>
          <w:tcPr>
            <w:tcW w:w="4338" w:type="dxa"/>
            <w:vAlign w:val="center"/>
          </w:tcPr>
          <w:p w14:paraId="4785CC8A">
            <w:pPr>
              <w:pStyle w:val="15"/>
            </w:pPr>
            <w:r>
              <w:rPr>
                <w:lang w:eastAsia="zh-CN"/>
              </w:rPr>
              <w:t>3-</w:t>
            </w:r>
            <w:r>
              <w:rPr>
                <w:rFonts w:hint="eastAsia" w:ascii="宋体" w:hAnsi="宋体" w:eastAsia="宋体" w:cs="宋体"/>
                <w:lang w:eastAsia="zh-CN"/>
              </w:rPr>
              <w:t>乙酰基</w:t>
            </w:r>
            <w:r>
              <w:rPr>
                <w:lang w:eastAsia="zh-CN"/>
              </w:rPr>
              <w:t>-2,5-</w:t>
            </w:r>
            <w:r>
              <w:rPr>
                <w:rFonts w:hint="eastAsia" w:ascii="宋体" w:hAnsi="宋体" w:eastAsia="宋体" w:cs="宋体"/>
                <w:lang w:eastAsia="zh-CN"/>
              </w:rPr>
              <w:t>二甲基呋喃</w:t>
            </w:r>
          </w:p>
        </w:tc>
        <w:tc>
          <w:tcPr>
            <w:tcW w:w="3478" w:type="dxa"/>
            <w:vAlign w:val="center"/>
          </w:tcPr>
          <w:p w14:paraId="7304B401">
            <w:pPr>
              <w:pStyle w:val="15"/>
              <w:spacing w:before="6" w:line="252" w:lineRule="exact"/>
              <w:ind w:right="932"/>
              <w:rPr>
                <w:lang w:eastAsia="zh-CN"/>
              </w:rPr>
            </w:pPr>
            <w:r>
              <w:rPr>
                <w:rFonts w:hint="eastAsia" w:ascii="宋体" w:hAnsi="宋体" w:eastAsia="宋体" w:cs="宋体"/>
                <w:lang w:eastAsia="zh-CN"/>
              </w:rPr>
              <w:t>新禁用标准，基于基因毒性</w:t>
            </w:r>
          </w:p>
        </w:tc>
      </w:tr>
    </w:tbl>
    <w:p w14:paraId="742BA4FA">
      <w:pPr>
        <w:pStyle w:val="4"/>
        <w:spacing w:before="41" w:line="300" w:lineRule="auto"/>
        <w:ind w:left="142" w:right="692"/>
        <w:jc w:val="both"/>
        <w:rPr>
          <w:lang w:eastAsia="zh-CN"/>
        </w:rPr>
      </w:pPr>
      <w:r>
        <w:rPr>
          <w:rFonts w:hint="eastAsia" w:ascii="宋体" w:hAnsi="宋体" w:eastAsia="宋体" w:cs="宋体"/>
          <w:lang w:eastAsia="zh-CN"/>
        </w:rPr>
        <w:t>日用香料安全性专家小组审查了</w:t>
      </w:r>
      <w:r>
        <w:rPr>
          <w:lang w:eastAsia="zh-CN"/>
        </w:rPr>
        <w:t>3-</w:t>
      </w:r>
      <w:r>
        <w:rPr>
          <w:rFonts w:hint="eastAsia" w:ascii="宋体" w:hAnsi="宋体" w:eastAsia="宋体" w:cs="宋体"/>
          <w:lang w:eastAsia="zh-CN"/>
        </w:rPr>
        <w:t>乙酰基</w:t>
      </w:r>
      <w:r>
        <w:rPr>
          <w:lang w:eastAsia="zh-CN"/>
        </w:rPr>
        <w:t>-2,5-</w:t>
      </w:r>
      <w:r>
        <w:rPr>
          <w:rFonts w:hint="eastAsia" w:ascii="宋体" w:hAnsi="宋体" w:eastAsia="宋体" w:cs="宋体"/>
          <w:lang w:eastAsia="zh-CN"/>
        </w:rPr>
        <w:t>二甲基呋喃（</w:t>
      </w:r>
      <w:r>
        <w:rPr>
          <w:lang w:eastAsia="zh-CN"/>
        </w:rPr>
        <w:t>ADF</w:t>
      </w:r>
      <w:r>
        <w:rPr>
          <w:rFonts w:hint="eastAsia" w:ascii="宋体" w:hAnsi="宋体" w:eastAsia="宋体" w:cs="宋体"/>
          <w:lang w:eastAsia="zh-CN"/>
        </w:rPr>
        <w:t>）的现有遗传毒性信息，发现它在</w:t>
      </w:r>
      <w:r>
        <w:rPr>
          <w:rFonts w:hint="default" w:ascii="Arial" w:hAnsi="Arial" w:eastAsia="Arial" w:cs="Arial"/>
          <w:lang w:eastAsia="zh-CN"/>
        </w:rPr>
        <w:t>Ames</w:t>
      </w:r>
      <w:r>
        <w:rPr>
          <w:rFonts w:hint="eastAsia" w:ascii="宋体" w:hAnsi="宋体" w:eastAsia="宋体" w:cs="宋体"/>
          <w:lang w:eastAsia="zh-CN"/>
        </w:rPr>
        <w:t>试验中具有诱变性。在多个电脑预测模型中，它也被预测为阳性</w:t>
      </w:r>
      <w:r>
        <w:rPr>
          <w:lang w:eastAsia="zh-CN"/>
        </w:rPr>
        <w:t>/</w:t>
      </w:r>
      <w:r>
        <w:rPr>
          <w:rFonts w:hint="eastAsia" w:ascii="宋体" w:hAnsi="宋体" w:eastAsia="宋体" w:cs="宋体"/>
          <w:lang w:eastAsia="zh-CN"/>
        </w:rPr>
        <w:t>等效。此外，在大鼠体内进行的遗传毒性和致癌性试验表明，大鼠肝脏中的</w:t>
      </w:r>
      <w:r>
        <w:rPr>
          <w:lang w:eastAsia="zh-CN"/>
        </w:rPr>
        <w:t>gpt</w:t>
      </w:r>
      <w:r>
        <w:rPr>
          <w:rFonts w:hint="eastAsia" w:ascii="宋体" w:hAnsi="宋体" w:eastAsia="宋体" w:cs="宋体"/>
          <w:lang w:eastAsia="zh-CN"/>
        </w:rPr>
        <w:t>突变频率显著增加，</w:t>
      </w:r>
      <w:r>
        <w:rPr>
          <w:lang w:eastAsia="zh-CN"/>
        </w:rPr>
        <w:t>GST-P</w:t>
      </w:r>
      <w:r>
        <w:rPr>
          <w:rFonts w:hint="eastAsia" w:ascii="宋体" w:hAnsi="宋体" w:eastAsia="宋体" w:cs="宋体"/>
          <w:lang w:eastAsia="zh-CN"/>
        </w:rPr>
        <w:t>病灶的面积和数量也有所增加。这些结果表明，</w:t>
      </w:r>
      <w:r>
        <w:rPr>
          <w:lang w:eastAsia="zh-CN"/>
        </w:rPr>
        <w:t>ADF</w:t>
      </w:r>
      <w:r>
        <w:rPr>
          <w:rFonts w:hint="eastAsia" w:ascii="宋体" w:hAnsi="宋体" w:eastAsia="宋体" w:cs="宋体"/>
          <w:lang w:eastAsia="zh-CN"/>
        </w:rPr>
        <w:t>在大鼠肝脏中具有诱变和致癌潜力。根据</w:t>
      </w:r>
      <w:r>
        <w:rPr>
          <w:lang w:eastAsia="zh-CN"/>
        </w:rPr>
        <w:t>IFRA</w:t>
      </w:r>
      <w:r>
        <w:rPr>
          <w:rFonts w:hint="eastAsia" w:ascii="宋体" w:hAnsi="宋体" w:eastAsia="宋体" w:cs="宋体"/>
          <w:lang w:eastAsia="zh-CN"/>
        </w:rPr>
        <w:t>标准制定程序，该材料禁止用作香料成分。</w:t>
      </w:r>
    </w:p>
    <w:p w14:paraId="496502DB">
      <w:pPr>
        <w:pStyle w:val="4"/>
        <w:spacing w:before="5"/>
        <w:rPr>
          <w:sz w:val="28"/>
          <w:lang w:eastAsia="zh-CN"/>
        </w:rPr>
      </w:pPr>
    </w:p>
    <w:p w14:paraId="432B6519">
      <w:pPr>
        <w:pStyle w:val="2"/>
        <w:numPr>
          <w:ilvl w:val="3"/>
          <w:numId w:val="4"/>
        </w:numPr>
        <w:tabs>
          <w:tab w:val="left" w:pos="500"/>
        </w:tabs>
        <w:ind w:left="500"/>
        <w:jc w:val="left"/>
        <w:rPr>
          <w:lang w:eastAsia="zh-CN"/>
        </w:rPr>
      </w:pPr>
      <w:r>
        <mc:AlternateContent>
          <mc:Choice Requires="wps">
            <w:drawing>
              <wp:anchor distT="0" distB="0" distL="114300" distR="114300" simplePos="0" relativeHeight="251667456" behindDoc="0" locked="0" layoutInCell="1" allowOverlap="1">
                <wp:simplePos x="0" y="0"/>
                <wp:positionH relativeFrom="page">
                  <wp:posOffset>685800</wp:posOffset>
                </wp:positionH>
                <wp:positionV relativeFrom="paragraph">
                  <wp:posOffset>156845</wp:posOffset>
                </wp:positionV>
                <wp:extent cx="1920875" cy="0"/>
                <wp:effectExtent l="0" t="0" r="0" b="0"/>
                <wp:wrapNone/>
                <wp:docPr id="1204419388" name="Line 2"/>
                <wp:cNvGraphicFramePr/>
                <a:graphic xmlns:a="http://schemas.openxmlformats.org/drawingml/2006/main">
                  <a:graphicData uri="http://schemas.microsoft.com/office/word/2010/wordprocessingShape">
                    <wps:wsp>
                      <wps:cNvCnPr>
                        <a:cxnSpLocks noChangeShapeType="1"/>
                      </wps:cNvCnPr>
                      <wps:spPr bwMode="auto">
                        <a:xfrm>
                          <a:off x="0" y="0"/>
                          <a:ext cx="1920875" cy="0"/>
                        </a:xfrm>
                        <a:prstGeom prst="line">
                          <a:avLst/>
                        </a:prstGeom>
                        <a:noFill/>
                        <a:ln w="15240">
                          <a:solidFill>
                            <a:srgbClr val="000000"/>
                          </a:solidFill>
                          <a:round/>
                        </a:ln>
                      </wps:spPr>
                      <wps:bodyPr/>
                    </wps:wsp>
                  </a:graphicData>
                </a:graphic>
              </wp:anchor>
            </w:drawing>
          </mc:Choice>
          <mc:Fallback>
            <w:pict>
              <v:line id="Line 2" o:spid="_x0000_s1026" o:spt="20" style="position:absolute;left:0pt;margin-left:54pt;margin-top:12.35pt;height:0pt;width:151.25pt;mso-position-horizontal-relative:page;z-index:251667456;mso-width-relative:page;mso-height-relative:page;" filled="f" stroked="t" coordsize="21600,21600" o:gfxdata="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xAAibWAAAACQEAAA8AAAAAAAAAAQAgAAAAIgAA&#10;AGRycy9kb3ducmV2LnhtbFBLAQIUABQAAAAIAIdO4kASIe+O0QEAAKkDAAAOAAAAAAAAAAEAIAAA&#10;ACUBAABkcnMvZTJvRG9jLnhtbFBLBQYAAAAABgAGAFkBAABoBQAAAAA=&#10;">
                <v:fill on="f" focussize="0,0"/>
                <v:stroke weight="1.2pt" color="#000000" joinstyle="round"/>
                <v:imagedata o:title=""/>
                <o:lock v:ext="edit" aspectratio="f"/>
              </v:line>
            </w:pict>
          </mc:Fallback>
        </mc:AlternateContent>
      </w:r>
      <w:r>
        <w:rPr>
          <w:rFonts w:hint="eastAsia" w:ascii="宋体" w:hAnsi="宋体" w:eastAsia="宋体" w:cs="宋体"/>
          <w:lang w:eastAsia="zh-CN"/>
        </w:rPr>
        <w:t>第</w:t>
      </w:r>
      <w:r>
        <w:rPr>
          <w:lang w:eastAsia="zh-CN"/>
        </w:rPr>
        <w:t xml:space="preserve"> 51 </w:t>
      </w:r>
      <w:r>
        <w:rPr>
          <w:rFonts w:hint="eastAsia" w:ascii="宋体" w:hAnsi="宋体" w:eastAsia="宋体" w:cs="宋体"/>
          <w:lang w:eastAsia="zh-CN"/>
        </w:rPr>
        <w:t>次修订的标准清单</w:t>
      </w:r>
      <w:bookmarkStart w:id="12" w:name="_bookmark10"/>
      <w:bookmarkEnd w:id="12"/>
    </w:p>
    <w:p w14:paraId="72D24C3E">
      <w:pPr>
        <w:pStyle w:val="4"/>
        <w:rPr>
          <w:b/>
          <w:sz w:val="21"/>
          <w:lang w:eastAsia="zh-CN"/>
        </w:rPr>
      </w:pPr>
    </w:p>
    <w:p w14:paraId="08C3D067">
      <w:pPr>
        <w:pStyle w:val="2"/>
        <w:numPr>
          <w:ilvl w:val="4"/>
          <w:numId w:val="4"/>
        </w:numPr>
        <w:tabs>
          <w:tab w:val="left" w:pos="717"/>
        </w:tabs>
        <w:spacing w:before="93" w:after="39"/>
        <w:ind w:right="696"/>
        <w:rPr>
          <w:sz w:val="20"/>
          <w:lang w:eastAsia="zh-CN"/>
        </w:rPr>
      </w:pPr>
      <w:bookmarkStart w:id="13" w:name="_bookmark11"/>
      <w:bookmarkEnd w:id="13"/>
      <w:r>
        <w:rPr>
          <w:rFonts w:hint="eastAsia" w:ascii="宋体" w:hAnsi="宋体" w:eastAsia="宋体" w:cs="宋体"/>
          <w:lang w:eastAsia="zh-CN"/>
        </w:rPr>
        <w:t>修订了</w:t>
      </w:r>
      <w:r>
        <w:rPr>
          <w:lang w:eastAsia="zh-CN"/>
        </w:rPr>
        <w:t>7</w:t>
      </w:r>
      <w:r>
        <w:rPr>
          <w:rFonts w:hint="eastAsia" w:ascii="宋体" w:hAnsi="宋体" w:eastAsia="宋体" w:cs="宋体"/>
          <w:lang w:eastAsia="zh-CN"/>
        </w:rPr>
        <w:t>项控制潜在的皮肤致敏作用的</w:t>
      </w:r>
      <w:r>
        <w:rPr>
          <w:lang w:eastAsia="zh-CN"/>
        </w:rPr>
        <w:t xml:space="preserve">IFRA </w:t>
      </w:r>
      <w:r>
        <w:rPr>
          <w:rFonts w:hint="eastAsia" w:ascii="宋体" w:hAnsi="宋体" w:eastAsia="宋体" w:cs="宋体"/>
          <w:lang w:eastAsia="zh-CN"/>
        </w:rPr>
        <w:t>限制标准，现在还对这些效应的系统毒性终点进行了评估</w:t>
      </w:r>
    </w:p>
    <w:tbl>
      <w:tblPr>
        <w:tblStyle w:val="13"/>
        <w:tblW w:w="0" w:type="auto"/>
        <w:tblInd w:w="1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07"/>
        <w:gridCol w:w="5197"/>
        <w:gridCol w:w="3483"/>
      </w:tblGrid>
      <w:tr w14:paraId="0A6A1E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07" w:type="dxa"/>
            <w:shd w:val="clear" w:color="auto" w:fill="D9D9D9"/>
          </w:tcPr>
          <w:p w14:paraId="5B1EA5DB">
            <w:pPr>
              <w:pStyle w:val="15"/>
              <w:spacing w:line="232" w:lineRule="exact"/>
              <w:rPr>
                <w:b/>
              </w:rPr>
            </w:pPr>
            <w:r>
              <w:rPr>
                <w:b/>
              </w:rPr>
              <w:t>CAS</w:t>
            </w:r>
            <w:r>
              <w:rPr>
                <w:rFonts w:hint="eastAsia" w:ascii="宋体" w:hAnsi="宋体" w:eastAsia="宋体" w:cs="宋体"/>
                <w:b/>
                <w:lang w:eastAsia="zh-CN"/>
              </w:rPr>
              <w:t>号</w:t>
            </w:r>
          </w:p>
        </w:tc>
        <w:tc>
          <w:tcPr>
            <w:tcW w:w="5197" w:type="dxa"/>
            <w:shd w:val="clear" w:color="auto" w:fill="D9D9D9"/>
          </w:tcPr>
          <w:p w14:paraId="41CDA35E">
            <w:pPr>
              <w:pStyle w:val="15"/>
              <w:spacing w:line="232" w:lineRule="exact"/>
              <w:rPr>
                <w:b/>
              </w:rPr>
            </w:pPr>
            <w:r>
              <w:rPr>
                <w:rFonts w:hint="eastAsia" w:ascii="宋体" w:hAnsi="宋体" w:eastAsia="宋体" w:cs="宋体"/>
                <w:b/>
              </w:rPr>
              <w:t>名称</w:t>
            </w:r>
          </w:p>
        </w:tc>
        <w:tc>
          <w:tcPr>
            <w:tcW w:w="3483" w:type="dxa"/>
            <w:shd w:val="clear" w:color="auto" w:fill="D9D9D9"/>
          </w:tcPr>
          <w:p w14:paraId="09011AB4">
            <w:pPr>
              <w:pStyle w:val="15"/>
              <w:spacing w:line="232" w:lineRule="exact"/>
              <w:rPr>
                <w:b/>
              </w:rPr>
            </w:pPr>
            <w:r>
              <w:rPr>
                <w:rFonts w:hint="eastAsia" w:ascii="宋体" w:hAnsi="宋体" w:eastAsia="宋体" w:cs="宋体"/>
                <w:b/>
              </w:rPr>
              <w:t>状况</w:t>
            </w:r>
          </w:p>
        </w:tc>
      </w:tr>
      <w:tr w14:paraId="6781F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07" w:type="dxa"/>
          </w:tcPr>
          <w:p w14:paraId="242C1C74">
            <w:pPr>
              <w:pStyle w:val="15"/>
              <w:spacing w:line="234" w:lineRule="exact"/>
            </w:pPr>
            <w:r>
              <w:t>119-84-6</w:t>
            </w:r>
          </w:p>
        </w:tc>
        <w:tc>
          <w:tcPr>
            <w:tcW w:w="5197" w:type="dxa"/>
          </w:tcPr>
          <w:p w14:paraId="4B4C454A">
            <w:pPr>
              <w:pStyle w:val="15"/>
              <w:spacing w:line="234" w:lineRule="exact"/>
            </w:pPr>
            <w:r>
              <w:rPr>
                <w:rFonts w:hint="eastAsia" w:ascii="宋体" w:hAnsi="宋体" w:eastAsia="宋体" w:cs="宋体"/>
              </w:rPr>
              <w:t>二氢香豆素</w:t>
            </w:r>
          </w:p>
        </w:tc>
        <w:tc>
          <w:tcPr>
            <w:tcW w:w="3483" w:type="dxa"/>
            <w:tcBorders>
              <w:bottom w:val="nil"/>
            </w:tcBorders>
          </w:tcPr>
          <w:p w14:paraId="480AF5BC">
            <w:pPr>
              <w:pStyle w:val="15"/>
              <w:ind w:left="0"/>
              <w:rPr>
                <w:rFonts w:ascii="Times New Roman"/>
                <w:sz w:val="18"/>
              </w:rPr>
            </w:pPr>
          </w:p>
        </w:tc>
      </w:tr>
      <w:tr w14:paraId="09A4A3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07" w:type="dxa"/>
          </w:tcPr>
          <w:p w14:paraId="00C34DA0">
            <w:pPr>
              <w:pStyle w:val="15"/>
              <w:spacing w:line="232" w:lineRule="exact"/>
            </w:pPr>
            <w:r>
              <w:t>97-53-0</w:t>
            </w:r>
          </w:p>
        </w:tc>
        <w:tc>
          <w:tcPr>
            <w:tcW w:w="5197" w:type="dxa"/>
          </w:tcPr>
          <w:p w14:paraId="5F85ABC5">
            <w:pPr>
              <w:pStyle w:val="15"/>
              <w:spacing w:line="232" w:lineRule="exact"/>
            </w:pPr>
            <w:r>
              <w:rPr>
                <w:rFonts w:hint="eastAsia" w:ascii="宋体" w:hAnsi="宋体" w:eastAsia="宋体" w:cs="宋体"/>
              </w:rPr>
              <w:t>丁香酚</w:t>
            </w:r>
          </w:p>
        </w:tc>
        <w:tc>
          <w:tcPr>
            <w:tcW w:w="3483" w:type="dxa"/>
            <w:tcBorders>
              <w:top w:val="nil"/>
              <w:bottom w:val="nil"/>
            </w:tcBorders>
          </w:tcPr>
          <w:p w14:paraId="261B8AB2">
            <w:pPr>
              <w:pStyle w:val="15"/>
              <w:ind w:left="0"/>
              <w:rPr>
                <w:rFonts w:ascii="Times New Roman"/>
                <w:sz w:val="18"/>
              </w:rPr>
            </w:pPr>
          </w:p>
        </w:tc>
      </w:tr>
      <w:tr w14:paraId="7FF7EF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07" w:type="dxa"/>
          </w:tcPr>
          <w:p w14:paraId="0C2936D1">
            <w:pPr>
              <w:pStyle w:val="15"/>
              <w:spacing w:before="2" w:line="232" w:lineRule="exact"/>
            </w:pPr>
            <w:r>
              <w:t>106-24-1</w:t>
            </w:r>
          </w:p>
        </w:tc>
        <w:tc>
          <w:tcPr>
            <w:tcW w:w="5197" w:type="dxa"/>
          </w:tcPr>
          <w:p w14:paraId="24289E29">
            <w:pPr>
              <w:pStyle w:val="15"/>
              <w:spacing w:before="2" w:line="232" w:lineRule="exact"/>
            </w:pPr>
            <w:r>
              <w:rPr>
                <w:rFonts w:hint="eastAsia" w:ascii="宋体" w:hAnsi="宋体" w:eastAsia="宋体" w:cs="宋体"/>
              </w:rPr>
              <w:t>香叶醇</w:t>
            </w:r>
          </w:p>
        </w:tc>
        <w:tc>
          <w:tcPr>
            <w:tcW w:w="3483" w:type="dxa"/>
            <w:tcBorders>
              <w:top w:val="nil"/>
              <w:bottom w:val="nil"/>
            </w:tcBorders>
          </w:tcPr>
          <w:p w14:paraId="45484125">
            <w:pPr>
              <w:pStyle w:val="15"/>
              <w:ind w:left="0"/>
              <w:rPr>
                <w:rFonts w:ascii="Times New Roman"/>
                <w:sz w:val="18"/>
              </w:rPr>
            </w:pPr>
          </w:p>
        </w:tc>
      </w:tr>
      <w:tr w14:paraId="65F1F6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9" w:hRule="atLeast"/>
        </w:trPr>
        <w:tc>
          <w:tcPr>
            <w:tcW w:w="1707" w:type="dxa"/>
            <w:tcBorders>
              <w:bottom w:val="nil"/>
            </w:tcBorders>
          </w:tcPr>
          <w:p w14:paraId="65A7F66B">
            <w:pPr>
              <w:pStyle w:val="15"/>
              <w:spacing w:line="239" w:lineRule="exact"/>
            </w:pPr>
            <w:r>
              <w:t>6728-26-3,</w:t>
            </w:r>
          </w:p>
        </w:tc>
        <w:tc>
          <w:tcPr>
            <w:tcW w:w="5197" w:type="dxa"/>
            <w:tcBorders>
              <w:bottom w:val="nil"/>
            </w:tcBorders>
          </w:tcPr>
          <w:p w14:paraId="77A5431B">
            <w:pPr>
              <w:pStyle w:val="15"/>
              <w:ind w:left="0"/>
              <w:rPr>
                <w:rFonts w:ascii="Times New Roman"/>
                <w:sz w:val="18"/>
              </w:rPr>
            </w:pPr>
          </w:p>
        </w:tc>
        <w:tc>
          <w:tcPr>
            <w:tcW w:w="3483" w:type="dxa"/>
            <w:tcBorders>
              <w:top w:val="nil"/>
              <w:bottom w:val="nil"/>
            </w:tcBorders>
          </w:tcPr>
          <w:p w14:paraId="1A0C53A7">
            <w:pPr>
              <w:pStyle w:val="15"/>
              <w:spacing w:before="4" w:line="235" w:lineRule="exact"/>
              <w:rPr>
                <w:lang w:eastAsia="zh-CN"/>
              </w:rPr>
            </w:pPr>
            <w:r>
              <w:rPr>
                <w:rFonts w:hint="eastAsia" w:ascii="宋体" w:hAnsi="宋体" w:eastAsia="宋体" w:cs="宋体"/>
                <w:lang w:eastAsia="zh-CN"/>
              </w:rPr>
              <w:t>修订后的限制标准</w:t>
            </w:r>
          </w:p>
        </w:tc>
      </w:tr>
      <w:tr w14:paraId="35F1ED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07" w:type="dxa"/>
            <w:tcBorders>
              <w:top w:val="nil"/>
              <w:bottom w:val="nil"/>
            </w:tcBorders>
          </w:tcPr>
          <w:p w14:paraId="0E877563">
            <w:pPr>
              <w:pStyle w:val="15"/>
              <w:spacing w:line="233" w:lineRule="exact"/>
            </w:pPr>
            <w:r>
              <w:t>505-57-7,</w:t>
            </w:r>
          </w:p>
        </w:tc>
        <w:tc>
          <w:tcPr>
            <w:tcW w:w="5197" w:type="dxa"/>
            <w:tcBorders>
              <w:top w:val="nil"/>
              <w:bottom w:val="nil"/>
            </w:tcBorders>
          </w:tcPr>
          <w:p w14:paraId="7DAF1CDF">
            <w:pPr>
              <w:pStyle w:val="15"/>
              <w:spacing w:line="233" w:lineRule="exact"/>
            </w:pPr>
            <w:r>
              <w:t>2-</w:t>
            </w:r>
            <w:r>
              <w:rPr>
                <w:rFonts w:hint="eastAsia" w:ascii="宋体" w:hAnsi="宋体" w:eastAsia="宋体" w:cs="宋体"/>
              </w:rPr>
              <w:t>己烯醛</w:t>
            </w:r>
          </w:p>
        </w:tc>
        <w:tc>
          <w:tcPr>
            <w:tcW w:w="3483" w:type="dxa"/>
            <w:tcBorders>
              <w:top w:val="nil"/>
              <w:bottom w:val="nil"/>
            </w:tcBorders>
          </w:tcPr>
          <w:p w14:paraId="41F382E9">
            <w:pPr>
              <w:pStyle w:val="15"/>
              <w:spacing w:line="233" w:lineRule="exact"/>
            </w:pPr>
            <w:r>
              <w:rPr>
                <w:rFonts w:hint="eastAsia" w:ascii="宋体" w:hAnsi="宋体" w:eastAsia="宋体" w:cs="宋体"/>
                <w:lang w:eastAsia="zh-CN"/>
              </w:rPr>
              <w:t>（基于皮肤致敏和</w:t>
            </w:r>
          </w:p>
        </w:tc>
      </w:tr>
      <w:tr w14:paraId="690C83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5" w:hRule="atLeast"/>
        </w:trPr>
        <w:tc>
          <w:tcPr>
            <w:tcW w:w="1707" w:type="dxa"/>
            <w:tcBorders>
              <w:top w:val="nil"/>
            </w:tcBorders>
          </w:tcPr>
          <w:p w14:paraId="1D38C9B1">
            <w:pPr>
              <w:pStyle w:val="15"/>
              <w:spacing w:line="226" w:lineRule="exact"/>
            </w:pPr>
            <w:r>
              <w:t>16635-54-4</w:t>
            </w:r>
          </w:p>
        </w:tc>
        <w:tc>
          <w:tcPr>
            <w:tcW w:w="5197" w:type="dxa"/>
            <w:tcBorders>
              <w:top w:val="nil"/>
            </w:tcBorders>
          </w:tcPr>
          <w:p w14:paraId="269E40BA">
            <w:pPr>
              <w:pStyle w:val="15"/>
              <w:ind w:left="0"/>
              <w:rPr>
                <w:rFonts w:ascii="Times New Roman"/>
                <w:sz w:val="16"/>
              </w:rPr>
            </w:pPr>
          </w:p>
        </w:tc>
        <w:tc>
          <w:tcPr>
            <w:tcW w:w="3483" w:type="dxa"/>
            <w:tcBorders>
              <w:top w:val="nil"/>
              <w:bottom w:val="nil"/>
            </w:tcBorders>
          </w:tcPr>
          <w:p w14:paraId="2025E69B">
            <w:pPr>
              <w:pStyle w:val="15"/>
              <w:spacing w:line="226" w:lineRule="exact"/>
            </w:pPr>
            <w:r>
              <w:rPr>
                <w:rFonts w:hint="eastAsia" w:ascii="宋体" w:hAnsi="宋体" w:eastAsia="宋体" w:cs="宋体"/>
                <w:lang w:eastAsia="zh-CN"/>
              </w:rPr>
              <w:t>系统毒性）</w:t>
            </w:r>
          </w:p>
        </w:tc>
      </w:tr>
      <w:tr w14:paraId="35C75D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4" w:hRule="atLeast"/>
        </w:trPr>
        <w:tc>
          <w:tcPr>
            <w:tcW w:w="1707" w:type="dxa"/>
          </w:tcPr>
          <w:p w14:paraId="201512C3">
            <w:pPr>
              <w:pStyle w:val="15"/>
              <w:spacing w:before="2" w:line="232" w:lineRule="exact"/>
            </w:pPr>
            <w:r>
              <w:t>107-75-5</w:t>
            </w:r>
          </w:p>
        </w:tc>
        <w:tc>
          <w:tcPr>
            <w:tcW w:w="5197" w:type="dxa"/>
          </w:tcPr>
          <w:p w14:paraId="637D7FC1">
            <w:pPr>
              <w:pStyle w:val="15"/>
              <w:spacing w:before="2" w:line="232" w:lineRule="exact"/>
            </w:pPr>
            <w:r>
              <w:rPr>
                <w:rFonts w:hint="eastAsia" w:ascii="宋体" w:hAnsi="宋体" w:eastAsia="宋体" w:cs="宋体"/>
              </w:rPr>
              <w:t>羟基香茅醛</w:t>
            </w:r>
          </w:p>
        </w:tc>
        <w:tc>
          <w:tcPr>
            <w:tcW w:w="3483" w:type="dxa"/>
            <w:tcBorders>
              <w:top w:val="nil"/>
              <w:bottom w:val="nil"/>
            </w:tcBorders>
          </w:tcPr>
          <w:p w14:paraId="609B02CD">
            <w:pPr>
              <w:pStyle w:val="15"/>
              <w:spacing w:line="233" w:lineRule="exact"/>
            </w:pPr>
          </w:p>
        </w:tc>
      </w:tr>
      <w:tr w14:paraId="6B80F9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 w:hRule="atLeast"/>
        </w:trPr>
        <w:tc>
          <w:tcPr>
            <w:tcW w:w="1707" w:type="dxa"/>
          </w:tcPr>
          <w:p w14:paraId="3C624CBB">
            <w:pPr>
              <w:pStyle w:val="15"/>
              <w:spacing w:line="234" w:lineRule="exact"/>
            </w:pPr>
            <w:r>
              <w:t>123-11-5</w:t>
            </w:r>
          </w:p>
        </w:tc>
        <w:tc>
          <w:tcPr>
            <w:tcW w:w="5197" w:type="dxa"/>
          </w:tcPr>
          <w:p w14:paraId="22267E53">
            <w:pPr>
              <w:pStyle w:val="15"/>
              <w:spacing w:line="234" w:lineRule="exact"/>
            </w:pPr>
            <w:r>
              <w:rPr>
                <w:rFonts w:hint="eastAsia" w:ascii="宋体" w:hAnsi="宋体" w:eastAsia="宋体" w:cs="宋体"/>
              </w:rPr>
              <w:t>对甲氧基苯甲醛</w:t>
            </w:r>
          </w:p>
        </w:tc>
        <w:tc>
          <w:tcPr>
            <w:tcW w:w="3483" w:type="dxa"/>
            <w:tcBorders>
              <w:top w:val="nil"/>
              <w:bottom w:val="nil"/>
            </w:tcBorders>
          </w:tcPr>
          <w:p w14:paraId="39C8E835">
            <w:pPr>
              <w:pStyle w:val="15"/>
              <w:ind w:left="0"/>
              <w:rPr>
                <w:rFonts w:ascii="Times New Roman"/>
                <w:sz w:val="18"/>
              </w:rPr>
            </w:pPr>
          </w:p>
        </w:tc>
      </w:tr>
      <w:tr w14:paraId="115257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1707" w:type="dxa"/>
          </w:tcPr>
          <w:p w14:paraId="4DF4FD5C">
            <w:pPr>
              <w:pStyle w:val="15"/>
              <w:spacing w:line="232" w:lineRule="exact"/>
            </w:pPr>
            <w:r>
              <w:t>5462-06-6</w:t>
            </w:r>
          </w:p>
        </w:tc>
        <w:tc>
          <w:tcPr>
            <w:tcW w:w="5197" w:type="dxa"/>
          </w:tcPr>
          <w:p w14:paraId="4AA8A00B">
            <w:pPr>
              <w:pStyle w:val="15"/>
              <w:spacing w:line="232" w:lineRule="exact"/>
            </w:pPr>
            <w:r>
              <w:rPr>
                <w:rFonts w:hint="eastAsia" w:eastAsia="Arial"/>
                <w:lang w:eastAsia="en-US"/>
              </w:rPr>
              <w:t>α</w:t>
            </w:r>
            <w:r>
              <w:t>-</w:t>
            </w:r>
            <w:r>
              <w:rPr>
                <w:rFonts w:hint="eastAsia" w:ascii="宋体" w:hAnsi="宋体" w:eastAsia="宋体" w:cs="宋体"/>
              </w:rPr>
              <w:t>甲基</w:t>
            </w:r>
            <w:r>
              <w:t>-4-</w:t>
            </w:r>
            <w:r>
              <w:rPr>
                <w:rFonts w:hint="eastAsia" w:ascii="宋体" w:hAnsi="宋体" w:eastAsia="宋体" w:cs="宋体"/>
              </w:rPr>
              <w:t>甲氧基苯基丙醛</w:t>
            </w:r>
          </w:p>
        </w:tc>
        <w:tc>
          <w:tcPr>
            <w:tcW w:w="3483" w:type="dxa"/>
            <w:tcBorders>
              <w:top w:val="nil"/>
              <w:bottom w:val="nil"/>
            </w:tcBorders>
          </w:tcPr>
          <w:p w14:paraId="421095DF">
            <w:pPr>
              <w:pStyle w:val="15"/>
              <w:ind w:left="0"/>
              <w:rPr>
                <w:rFonts w:ascii="Times New Roman"/>
                <w:sz w:val="18"/>
              </w:rPr>
            </w:pPr>
          </w:p>
        </w:tc>
      </w:tr>
    </w:tbl>
    <w:p w14:paraId="41B6AF9A">
      <w:pPr>
        <w:pStyle w:val="4"/>
        <w:rPr>
          <w:b/>
          <w:sz w:val="29"/>
        </w:rPr>
      </w:pPr>
    </w:p>
    <w:p w14:paraId="187B7D31">
      <w:pPr>
        <w:pStyle w:val="2"/>
        <w:numPr>
          <w:ilvl w:val="4"/>
          <w:numId w:val="4"/>
        </w:numPr>
        <w:tabs>
          <w:tab w:val="left" w:pos="717"/>
        </w:tabs>
        <w:spacing w:after="40"/>
        <w:rPr>
          <w:sz w:val="20"/>
          <w:lang w:eastAsia="zh-CN"/>
        </w:rPr>
      </w:pPr>
      <w:bookmarkStart w:id="14" w:name="_bookmark12"/>
      <w:bookmarkEnd w:id="14"/>
      <w:r>
        <w:rPr>
          <w:lang w:eastAsia="zh-CN"/>
        </w:rPr>
        <w:t>1</w:t>
      </w:r>
      <w:r>
        <w:rPr>
          <w:rFonts w:hint="eastAsia" w:ascii="宋体" w:hAnsi="宋体" w:eastAsia="宋体" w:cs="宋体"/>
          <w:lang w:eastAsia="zh-CN"/>
        </w:rPr>
        <w:t>项根据新的皮肤致敏数据修订的</w:t>
      </w:r>
      <w:r>
        <w:rPr>
          <w:lang w:eastAsia="zh-CN"/>
        </w:rPr>
        <w:t xml:space="preserve"> IFRA </w:t>
      </w:r>
      <w:r>
        <w:rPr>
          <w:rFonts w:hint="eastAsia" w:ascii="宋体" w:hAnsi="宋体" w:eastAsia="宋体" w:cs="宋体"/>
          <w:lang w:eastAsia="zh-CN"/>
        </w:rPr>
        <w:t>限制标准</w:t>
      </w:r>
    </w:p>
    <w:tbl>
      <w:tblPr>
        <w:tblStyle w:val="13"/>
        <w:tblW w:w="0" w:type="auto"/>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6"/>
        <w:gridCol w:w="4329"/>
        <w:gridCol w:w="3484"/>
      </w:tblGrid>
      <w:tr w14:paraId="6570F0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2576" w:type="dxa"/>
            <w:shd w:val="clear" w:color="auto" w:fill="D9D9D9"/>
          </w:tcPr>
          <w:p w14:paraId="547E76E6">
            <w:pPr>
              <w:pStyle w:val="15"/>
              <w:spacing w:line="232" w:lineRule="exact"/>
              <w:rPr>
                <w:b/>
              </w:rPr>
            </w:pPr>
            <w:r>
              <w:rPr>
                <w:b/>
              </w:rPr>
              <w:t>CAS</w:t>
            </w:r>
            <w:r>
              <w:rPr>
                <w:rFonts w:hint="eastAsia" w:ascii="宋体" w:hAnsi="宋体" w:eastAsia="宋体" w:cs="宋体"/>
                <w:b/>
                <w:lang w:eastAsia="zh-CN"/>
              </w:rPr>
              <w:t>号</w:t>
            </w:r>
          </w:p>
        </w:tc>
        <w:tc>
          <w:tcPr>
            <w:tcW w:w="4329" w:type="dxa"/>
            <w:shd w:val="clear" w:color="auto" w:fill="D9D9D9"/>
          </w:tcPr>
          <w:p w14:paraId="12A434F1">
            <w:pPr>
              <w:pStyle w:val="15"/>
              <w:spacing w:line="232" w:lineRule="exact"/>
              <w:rPr>
                <w:b/>
              </w:rPr>
            </w:pPr>
            <w:r>
              <w:rPr>
                <w:rFonts w:hint="eastAsia" w:ascii="宋体" w:hAnsi="宋体" w:eastAsia="宋体" w:cs="宋体"/>
                <w:b/>
              </w:rPr>
              <w:t>名称</w:t>
            </w:r>
          </w:p>
        </w:tc>
        <w:tc>
          <w:tcPr>
            <w:tcW w:w="3484" w:type="dxa"/>
            <w:shd w:val="clear" w:color="auto" w:fill="D9D9D9"/>
          </w:tcPr>
          <w:p w14:paraId="408FBDCB">
            <w:pPr>
              <w:pStyle w:val="15"/>
              <w:spacing w:line="232" w:lineRule="exact"/>
              <w:ind w:left="104"/>
              <w:rPr>
                <w:b/>
              </w:rPr>
            </w:pPr>
            <w:r>
              <w:rPr>
                <w:rFonts w:hint="eastAsia" w:ascii="宋体" w:hAnsi="宋体" w:eastAsia="宋体" w:cs="宋体"/>
                <w:b/>
              </w:rPr>
              <w:t>状况</w:t>
            </w:r>
          </w:p>
        </w:tc>
      </w:tr>
      <w:tr w14:paraId="1E1038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2576" w:type="dxa"/>
            <w:vAlign w:val="center"/>
          </w:tcPr>
          <w:p w14:paraId="690EE475">
            <w:pPr>
              <w:pStyle w:val="15"/>
              <w:autoSpaceDE/>
              <w:autoSpaceDN/>
              <w:ind w:left="108"/>
              <w:jc w:val="both"/>
            </w:pPr>
            <w:r>
              <w:t>17369-59-4</w:t>
            </w:r>
          </w:p>
        </w:tc>
        <w:tc>
          <w:tcPr>
            <w:tcW w:w="4329" w:type="dxa"/>
            <w:vAlign w:val="center"/>
          </w:tcPr>
          <w:p w14:paraId="7B5F5895">
            <w:pPr>
              <w:pStyle w:val="15"/>
              <w:spacing w:before="0"/>
              <w:ind w:left="108"/>
              <w:rPr>
                <w:rFonts w:eastAsiaTheme="minorEastAsia"/>
                <w:b/>
                <w:lang w:eastAsia="zh-CN"/>
              </w:rPr>
            </w:pPr>
            <w:r>
              <w:t>3-</w:t>
            </w:r>
            <w:r>
              <w:rPr>
                <w:rFonts w:hint="eastAsia" w:ascii="宋体" w:hAnsi="宋体" w:eastAsia="宋体" w:cs="宋体"/>
              </w:rPr>
              <w:t>丙亚基</w:t>
            </w:r>
            <w:r>
              <w:t>-1-</w:t>
            </w:r>
            <w:r>
              <w:rPr>
                <w:rFonts w:hint="eastAsia" w:ascii="宋体" w:hAnsi="宋体" w:eastAsia="宋体" w:cs="宋体"/>
              </w:rPr>
              <w:t>异苯并呋喃酮</w:t>
            </w:r>
          </w:p>
        </w:tc>
        <w:tc>
          <w:tcPr>
            <w:tcW w:w="3484" w:type="dxa"/>
            <w:vAlign w:val="center"/>
          </w:tcPr>
          <w:p w14:paraId="13D6448B">
            <w:pPr>
              <w:pStyle w:val="15"/>
              <w:spacing w:before="6" w:line="252" w:lineRule="exact"/>
              <w:ind w:left="104" w:right="648"/>
              <w:rPr>
                <w:lang w:eastAsia="zh-CN"/>
              </w:rPr>
            </w:pPr>
            <w:r>
              <w:rPr>
                <w:rFonts w:hint="eastAsia" w:ascii="宋体" w:hAnsi="宋体" w:eastAsia="宋体" w:cs="宋体"/>
                <w:lang w:eastAsia="zh-CN"/>
              </w:rPr>
              <w:t>修订后的限制标准（基于皮肤致敏作用）</w:t>
            </w:r>
          </w:p>
        </w:tc>
      </w:tr>
    </w:tbl>
    <w:p w14:paraId="6F4417DA">
      <w:pPr>
        <w:pStyle w:val="4"/>
        <w:spacing w:before="43" w:line="300" w:lineRule="auto"/>
        <w:ind w:left="142" w:right="697"/>
        <w:jc w:val="both"/>
        <w:rPr>
          <w:lang w:eastAsia="zh-CN"/>
        </w:rPr>
      </w:pPr>
      <w:r>
        <w:rPr>
          <w:rFonts w:hint="eastAsia" w:ascii="宋体" w:hAnsi="宋体" w:eastAsia="宋体" w:cs="宋体"/>
          <w:lang w:eastAsia="zh-CN"/>
        </w:rPr>
        <w:t>对已公布的安全性评估中包含的现有安全信息进行审查后，对</w:t>
      </w:r>
      <w:r>
        <w:rPr>
          <w:lang w:eastAsia="zh-CN"/>
        </w:rPr>
        <w:t xml:space="preserve"> NESIL </w:t>
      </w:r>
      <w:r>
        <w:rPr>
          <w:rFonts w:hint="eastAsia" w:ascii="宋体" w:hAnsi="宋体" w:eastAsia="宋体" w:cs="宋体"/>
          <w:lang w:eastAsia="zh-CN"/>
        </w:rPr>
        <w:t>进行了轻微修正（增加），从</w:t>
      </w:r>
      <w:r>
        <w:rPr>
          <w:lang w:eastAsia="zh-CN"/>
        </w:rPr>
        <w:t xml:space="preserve"> 920 </w:t>
      </w:r>
      <w:r>
        <w:rPr>
          <w:rFonts w:hint="eastAsia" w:ascii="Arial" w:hAnsi="Arial" w:eastAsia="Arial" w:cs="Arial"/>
          <w:lang w:eastAsia="zh-CN"/>
        </w:rPr>
        <w:t>μg/cm</w:t>
      </w:r>
      <w:r>
        <w:rPr>
          <w:rFonts w:hint="eastAsia" w:ascii="Arial" w:hAnsi="Arial" w:eastAsia="Arial" w:cs="Arial"/>
          <w:vertAlign w:val="superscript"/>
          <w:lang w:eastAsia="zh-CN"/>
        </w:rPr>
        <w:t>2</w:t>
      </w:r>
      <w:r>
        <w:rPr>
          <w:rFonts w:hint="eastAsia" w:ascii="宋体" w:hAnsi="宋体" w:eastAsia="宋体" w:cs="宋体"/>
          <w:lang w:eastAsia="zh-CN"/>
        </w:rPr>
        <w:t>增加到</w:t>
      </w:r>
      <w:r>
        <w:rPr>
          <w:lang w:eastAsia="zh-CN"/>
        </w:rPr>
        <w:t xml:space="preserve"> 940 </w:t>
      </w:r>
      <w:r>
        <w:rPr>
          <w:rFonts w:hint="eastAsia"/>
          <w:lang w:eastAsia="zh-CN"/>
        </w:rPr>
        <w:t>μg/cm</w:t>
      </w:r>
      <w:r>
        <w:rPr>
          <w:rFonts w:hint="eastAsia"/>
          <w:vertAlign w:val="superscript"/>
          <w:lang w:eastAsia="zh-CN"/>
        </w:rPr>
        <w:t>2</w:t>
      </w:r>
      <w:r>
        <w:rPr>
          <w:rFonts w:hint="eastAsia" w:ascii="宋体" w:hAnsi="宋体" w:eastAsia="宋体" w:cs="宋体"/>
          <w:lang w:eastAsia="zh-CN"/>
        </w:rPr>
        <w:t>。因此，修订后的标准与第</w:t>
      </w:r>
      <w:r>
        <w:rPr>
          <w:lang w:eastAsia="zh-CN"/>
        </w:rPr>
        <w:t xml:space="preserve"> 49 </w:t>
      </w:r>
      <w:r>
        <w:rPr>
          <w:rFonts w:hint="eastAsia" w:ascii="宋体" w:hAnsi="宋体" w:eastAsia="宋体" w:cs="宋体"/>
          <w:lang w:eastAsia="zh-CN"/>
        </w:rPr>
        <w:t>次修正案相比，各自的最大可接受浓度差异相对较小。</w:t>
      </w:r>
    </w:p>
    <w:p w14:paraId="2253F611">
      <w:pPr>
        <w:pStyle w:val="4"/>
        <w:spacing w:before="9"/>
        <w:rPr>
          <w:sz w:val="28"/>
          <w:lang w:eastAsia="zh-CN"/>
        </w:rPr>
      </w:pPr>
    </w:p>
    <w:p w14:paraId="0A13A500">
      <w:pPr>
        <w:pStyle w:val="2"/>
        <w:numPr>
          <w:ilvl w:val="4"/>
          <w:numId w:val="4"/>
        </w:numPr>
        <w:tabs>
          <w:tab w:val="left" w:pos="717"/>
        </w:tabs>
        <w:spacing w:after="42"/>
        <w:ind w:right="693"/>
        <w:rPr>
          <w:sz w:val="20"/>
          <w:lang w:eastAsia="zh-CN"/>
        </w:rPr>
      </w:pPr>
      <w:bookmarkStart w:id="15" w:name="_bookmark13"/>
      <w:bookmarkEnd w:id="15"/>
      <w:r>
        <w:rPr>
          <w:rFonts w:hint="eastAsia" w:ascii="宋体" w:hAnsi="宋体" w:eastAsia="宋体" w:cs="宋体"/>
          <w:lang w:eastAsia="zh-CN"/>
        </w:rPr>
        <w:t>1项基于光毒性和系统毒性的</w:t>
      </w:r>
      <w:r>
        <w:rPr>
          <w:lang w:eastAsia="zh-CN"/>
        </w:rPr>
        <w:t xml:space="preserve"> IFRA </w:t>
      </w:r>
      <w:r>
        <w:rPr>
          <w:rFonts w:hint="eastAsia" w:ascii="宋体" w:hAnsi="宋体" w:eastAsia="宋体" w:cs="宋体"/>
          <w:lang w:eastAsia="zh-CN"/>
        </w:rPr>
        <w:t>限制标准修订版（以及</w:t>
      </w:r>
      <w:r>
        <w:rPr>
          <w:lang w:eastAsia="zh-CN"/>
        </w:rPr>
        <w:t xml:space="preserve"> 1 </w:t>
      </w:r>
      <w:r>
        <w:rPr>
          <w:rFonts w:hint="eastAsia" w:ascii="宋体" w:hAnsi="宋体" w:eastAsia="宋体" w:cs="宋体"/>
          <w:lang w:eastAsia="zh-CN"/>
        </w:rPr>
        <w:t>项关于第</w:t>
      </w:r>
      <w:r>
        <w:rPr>
          <w:lang w:eastAsia="zh-CN"/>
        </w:rPr>
        <w:t xml:space="preserve"> 6 </w:t>
      </w:r>
      <w:r>
        <w:rPr>
          <w:rFonts w:hint="eastAsia" w:ascii="宋体" w:hAnsi="宋体" w:eastAsia="宋体" w:cs="宋体"/>
          <w:lang w:eastAsia="zh-CN"/>
        </w:rPr>
        <w:t>类最大可接受浓度的更新标准）</w:t>
      </w:r>
    </w:p>
    <w:tbl>
      <w:tblPr>
        <w:tblStyle w:val="13"/>
        <w:tblW w:w="0" w:type="auto"/>
        <w:tblInd w:w="1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7"/>
        <w:gridCol w:w="5017"/>
        <w:gridCol w:w="3483"/>
      </w:tblGrid>
      <w:tr w14:paraId="78B8A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887" w:type="dxa"/>
            <w:shd w:val="clear" w:color="auto" w:fill="D9D9D9"/>
          </w:tcPr>
          <w:p w14:paraId="2EAD94AB">
            <w:pPr>
              <w:pStyle w:val="15"/>
              <w:spacing w:before="24"/>
              <w:rPr>
                <w:b/>
              </w:rPr>
            </w:pPr>
            <w:r>
              <w:rPr>
                <w:b/>
              </w:rPr>
              <w:t>CAS</w:t>
            </w:r>
            <w:r>
              <w:rPr>
                <w:rFonts w:hint="eastAsia" w:ascii="宋体" w:hAnsi="宋体" w:eastAsia="宋体" w:cs="宋体"/>
                <w:b/>
                <w:lang w:eastAsia="zh-CN"/>
              </w:rPr>
              <w:t>号</w:t>
            </w:r>
          </w:p>
        </w:tc>
        <w:tc>
          <w:tcPr>
            <w:tcW w:w="5017" w:type="dxa"/>
            <w:shd w:val="clear" w:color="auto" w:fill="D9D9D9"/>
          </w:tcPr>
          <w:p w14:paraId="542D2947">
            <w:pPr>
              <w:pStyle w:val="15"/>
              <w:spacing w:before="24"/>
              <w:ind w:left="105"/>
              <w:rPr>
                <w:b/>
              </w:rPr>
            </w:pPr>
            <w:r>
              <w:rPr>
                <w:rFonts w:hint="eastAsia" w:ascii="宋体" w:hAnsi="宋体" w:eastAsia="宋体" w:cs="宋体"/>
                <w:b/>
              </w:rPr>
              <w:t>名称</w:t>
            </w:r>
          </w:p>
        </w:tc>
        <w:tc>
          <w:tcPr>
            <w:tcW w:w="3483" w:type="dxa"/>
            <w:shd w:val="clear" w:color="auto" w:fill="D9D9D9"/>
          </w:tcPr>
          <w:p w14:paraId="63957BBB">
            <w:pPr>
              <w:pStyle w:val="15"/>
              <w:spacing w:before="24"/>
              <w:ind w:left="105"/>
              <w:rPr>
                <w:b/>
              </w:rPr>
            </w:pPr>
            <w:r>
              <w:rPr>
                <w:rFonts w:hint="eastAsia" w:ascii="宋体" w:hAnsi="宋体" w:eastAsia="宋体" w:cs="宋体"/>
                <w:b/>
              </w:rPr>
              <w:t>状况</w:t>
            </w:r>
          </w:p>
        </w:tc>
      </w:tr>
      <w:tr w14:paraId="35B64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1" w:hRule="atLeast"/>
        </w:trPr>
        <w:tc>
          <w:tcPr>
            <w:tcW w:w="1887" w:type="dxa"/>
            <w:vAlign w:val="center"/>
          </w:tcPr>
          <w:p w14:paraId="09B2D793">
            <w:pPr>
              <w:pStyle w:val="15"/>
              <w:ind w:left="108"/>
              <w:jc w:val="both"/>
            </w:pPr>
            <w:r>
              <w:t>85-91-6</w:t>
            </w:r>
          </w:p>
        </w:tc>
        <w:tc>
          <w:tcPr>
            <w:tcW w:w="5017" w:type="dxa"/>
            <w:vAlign w:val="center"/>
          </w:tcPr>
          <w:p w14:paraId="2BDEBDD0">
            <w:pPr>
              <w:pStyle w:val="15"/>
              <w:ind w:left="108"/>
              <w:jc w:val="both"/>
              <w:rPr>
                <w:rFonts w:eastAsiaTheme="minorEastAsia"/>
                <w:lang w:eastAsia="zh-CN"/>
              </w:rPr>
            </w:pPr>
            <w:r>
              <w:t>2-(</w:t>
            </w:r>
            <w:r>
              <w:rPr>
                <w:rFonts w:hint="eastAsia" w:ascii="宋体" w:hAnsi="宋体" w:eastAsia="宋体" w:cs="宋体"/>
              </w:rPr>
              <w:t>甲氨基</w:t>
            </w:r>
            <w:r>
              <w:t>)</w:t>
            </w:r>
            <w:r>
              <w:rPr>
                <w:rFonts w:hint="eastAsia" w:ascii="宋体" w:hAnsi="宋体" w:eastAsia="宋体" w:cs="宋体"/>
              </w:rPr>
              <w:t>苯甲酸甲酯</w:t>
            </w:r>
          </w:p>
        </w:tc>
        <w:tc>
          <w:tcPr>
            <w:tcW w:w="3483" w:type="dxa"/>
            <w:vAlign w:val="center"/>
          </w:tcPr>
          <w:p w14:paraId="64193294">
            <w:pPr>
              <w:pStyle w:val="15"/>
              <w:spacing w:before="5" w:line="252" w:lineRule="exact"/>
              <w:ind w:left="105" w:right="169"/>
              <w:rPr>
                <w:lang w:eastAsia="zh-CN"/>
              </w:rPr>
            </w:pPr>
            <w:r>
              <w:rPr>
                <w:rFonts w:hint="eastAsia" w:ascii="宋体" w:hAnsi="宋体" w:eastAsia="宋体" w:cs="宋体"/>
                <w:lang w:eastAsia="zh-CN"/>
              </w:rPr>
              <w:t>修订后的限制标准（基于光毒性和系统毒性）和亚硝胺形成的可能性</w:t>
            </w:r>
          </w:p>
        </w:tc>
      </w:tr>
    </w:tbl>
    <w:p w14:paraId="7EFDDDF9">
      <w:pPr>
        <w:spacing w:line="252" w:lineRule="exact"/>
        <w:rPr>
          <w:lang w:eastAsia="zh-CN"/>
        </w:rPr>
        <w:sectPr>
          <w:pgSz w:w="11910" w:h="16840"/>
          <w:pgMar w:top="1500" w:right="20" w:bottom="980" w:left="580" w:header="432" w:footer="781" w:gutter="0"/>
          <w:cols w:space="720" w:num="1"/>
        </w:sectPr>
      </w:pPr>
    </w:p>
    <w:p w14:paraId="4ACF240D">
      <w:pPr>
        <w:pStyle w:val="4"/>
        <w:spacing w:before="5"/>
        <w:rPr>
          <w:b/>
          <w:sz w:val="24"/>
          <w:lang w:eastAsia="zh-CN"/>
        </w:rPr>
      </w:pPr>
    </w:p>
    <w:tbl>
      <w:tblPr>
        <w:tblStyle w:val="13"/>
        <w:tblW w:w="0" w:type="auto"/>
        <w:tblInd w:w="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87"/>
        <w:gridCol w:w="5017"/>
        <w:gridCol w:w="3483"/>
      </w:tblGrid>
      <w:tr w14:paraId="472570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9" w:hRule="atLeast"/>
        </w:trPr>
        <w:tc>
          <w:tcPr>
            <w:tcW w:w="1887" w:type="dxa"/>
            <w:shd w:val="clear" w:color="auto" w:fill="D9D9D9"/>
          </w:tcPr>
          <w:p w14:paraId="07A6D567">
            <w:pPr>
              <w:pStyle w:val="15"/>
              <w:spacing w:before="24"/>
              <w:rPr>
                <w:rFonts w:eastAsiaTheme="minorEastAsia"/>
                <w:b/>
                <w:lang w:eastAsia="zh-CN"/>
              </w:rPr>
            </w:pPr>
            <w:r>
              <w:rPr>
                <w:b/>
              </w:rPr>
              <w:t xml:space="preserve">CAS </w:t>
            </w:r>
            <w:r>
              <w:rPr>
                <w:rFonts w:hint="eastAsia" w:ascii="宋体" w:hAnsi="宋体" w:eastAsia="宋体" w:cs="宋体"/>
                <w:b/>
                <w:lang w:eastAsia="zh-CN"/>
              </w:rPr>
              <w:t>号</w:t>
            </w:r>
          </w:p>
        </w:tc>
        <w:tc>
          <w:tcPr>
            <w:tcW w:w="5017" w:type="dxa"/>
            <w:shd w:val="clear" w:color="auto" w:fill="D9D9D9"/>
          </w:tcPr>
          <w:p w14:paraId="26557941">
            <w:pPr>
              <w:pStyle w:val="15"/>
              <w:spacing w:before="24"/>
              <w:ind w:left="105"/>
              <w:rPr>
                <w:rFonts w:eastAsiaTheme="minorEastAsia"/>
                <w:b/>
                <w:lang w:eastAsia="zh-CN"/>
              </w:rPr>
            </w:pPr>
            <w:r>
              <w:rPr>
                <w:rFonts w:hint="eastAsia" w:ascii="宋体" w:hAnsi="宋体" w:eastAsia="宋体" w:cs="宋体"/>
                <w:b/>
                <w:lang w:eastAsia="zh-CN"/>
              </w:rPr>
              <w:t>名称</w:t>
            </w:r>
          </w:p>
        </w:tc>
        <w:tc>
          <w:tcPr>
            <w:tcW w:w="3483" w:type="dxa"/>
            <w:shd w:val="clear" w:color="auto" w:fill="D9D9D9"/>
          </w:tcPr>
          <w:p w14:paraId="38198C3A">
            <w:pPr>
              <w:pStyle w:val="15"/>
              <w:spacing w:before="24"/>
              <w:ind w:left="105"/>
              <w:rPr>
                <w:b/>
              </w:rPr>
            </w:pPr>
            <w:r>
              <w:rPr>
                <w:rFonts w:hint="eastAsia" w:ascii="宋体" w:hAnsi="宋体" w:eastAsia="宋体" w:cs="宋体"/>
                <w:b/>
                <w:lang w:eastAsia="zh-CN"/>
              </w:rPr>
              <w:t>状态</w:t>
            </w:r>
          </w:p>
        </w:tc>
      </w:tr>
      <w:tr w14:paraId="4D583F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4" w:hRule="atLeast"/>
        </w:trPr>
        <w:tc>
          <w:tcPr>
            <w:tcW w:w="1887" w:type="dxa"/>
            <w:vAlign w:val="center"/>
          </w:tcPr>
          <w:p w14:paraId="0E1EA943">
            <w:pPr>
              <w:pStyle w:val="15"/>
              <w:autoSpaceDE/>
              <w:autoSpaceDN/>
              <w:ind w:left="108"/>
            </w:pPr>
            <w:r>
              <w:rPr>
                <w:color w:val="333333"/>
              </w:rPr>
              <w:t>91722-29-1</w:t>
            </w:r>
          </w:p>
          <w:p w14:paraId="49501F4C">
            <w:pPr>
              <w:pStyle w:val="15"/>
              <w:autoSpaceDE/>
              <w:autoSpaceDN/>
              <w:spacing w:before="0" w:line="252" w:lineRule="exact"/>
              <w:ind w:left="108"/>
            </w:pPr>
            <w:r>
              <w:rPr>
                <w:color w:val="333333"/>
              </w:rPr>
              <w:t>8016-84-0</w:t>
            </w:r>
          </w:p>
          <w:p w14:paraId="21CD7AAE">
            <w:pPr>
              <w:pStyle w:val="15"/>
              <w:autoSpaceDE/>
              <w:autoSpaceDN/>
              <w:spacing w:line="252" w:lineRule="exact"/>
              <w:ind w:left="108"/>
            </w:pPr>
            <w:r>
              <w:rPr>
                <w:color w:val="333333"/>
              </w:rPr>
              <w:t>91770-75-1</w:t>
            </w:r>
          </w:p>
        </w:tc>
        <w:tc>
          <w:tcPr>
            <w:tcW w:w="5017" w:type="dxa"/>
            <w:vAlign w:val="center"/>
          </w:tcPr>
          <w:p w14:paraId="505F763C">
            <w:pPr>
              <w:pStyle w:val="15"/>
              <w:ind w:left="40" w:leftChars="18"/>
              <w:rPr>
                <w:rFonts w:hint="eastAsia"/>
                <w:lang w:eastAsia="zh-CN"/>
              </w:rPr>
            </w:pPr>
            <w:r>
              <w:rPr>
                <w:rFonts w:hint="eastAsia" w:ascii="宋体" w:hAnsi="宋体" w:eastAsia="宋体" w:cs="宋体"/>
                <w:lang w:eastAsia="zh-CN"/>
              </w:rPr>
              <w:t>孔雀草和小万寿菊精油和净油</w:t>
            </w:r>
          </w:p>
        </w:tc>
        <w:tc>
          <w:tcPr>
            <w:tcW w:w="3483" w:type="dxa"/>
            <w:vAlign w:val="center"/>
          </w:tcPr>
          <w:p w14:paraId="7947AA2B">
            <w:pPr>
              <w:pStyle w:val="15"/>
              <w:spacing w:line="232" w:lineRule="exact"/>
              <w:ind w:left="105"/>
              <w:jc w:val="both"/>
              <w:rPr>
                <w:lang w:eastAsia="zh-CN"/>
              </w:rPr>
            </w:pPr>
            <w:r>
              <w:rPr>
                <w:rFonts w:hint="eastAsia" w:ascii="宋体" w:hAnsi="宋体" w:eastAsia="宋体" w:cs="宋体"/>
                <w:lang w:eastAsia="zh-CN"/>
              </w:rPr>
              <w:t>更新的限制性标准（基于与统一的更新的光毒性体系）</w:t>
            </w:r>
          </w:p>
        </w:tc>
      </w:tr>
    </w:tbl>
    <w:p w14:paraId="4D7B03F2">
      <w:pPr>
        <w:pStyle w:val="4"/>
        <w:spacing w:line="300" w:lineRule="auto"/>
        <w:ind w:left="142" w:right="692"/>
        <w:jc w:val="both"/>
        <w:rPr>
          <w:lang w:eastAsia="zh-CN"/>
        </w:rPr>
      </w:pPr>
      <w:r>
        <w:rPr>
          <w:rFonts w:hint="eastAsia" w:ascii="宋体" w:hAnsi="宋体" w:eastAsia="宋体" w:cs="宋体"/>
          <w:lang w:eastAsia="zh-CN"/>
        </w:rPr>
        <w:t>随着对安全性数据的审查，已经对</w:t>
      </w:r>
      <w:r>
        <w:rPr>
          <w:lang w:eastAsia="zh-CN"/>
        </w:rPr>
        <w:t>N-</w:t>
      </w:r>
      <w:r>
        <w:rPr>
          <w:rFonts w:hint="eastAsia" w:ascii="宋体" w:hAnsi="宋体" w:eastAsia="宋体" w:cs="宋体"/>
          <w:lang w:eastAsia="zh-CN"/>
        </w:rPr>
        <w:t>甲基邻氨基苯甲酸甲酯(</w:t>
      </w:r>
      <w:r>
        <w:rPr>
          <w:rFonts w:hint="eastAsia" w:ascii="宋体" w:hAnsi="宋体" w:eastAsia="宋体" w:cs="宋体"/>
          <w:lang w:val="en-US" w:eastAsia="zh-CN"/>
        </w:rPr>
        <w:t>即</w:t>
      </w:r>
      <w:r>
        <w:rPr>
          <w:rFonts w:hint="eastAsia" w:ascii="Arial" w:hAnsi="Arial" w:eastAsia="Arial" w:cs="Arial"/>
          <w:lang w:eastAsia="zh-CN"/>
        </w:rPr>
        <w:t>2-</w:t>
      </w:r>
      <w:r>
        <w:rPr>
          <w:rFonts w:hint="eastAsia" w:ascii="宋体" w:hAnsi="宋体" w:eastAsia="宋体" w:cs="宋体"/>
          <w:lang w:eastAsia="zh-CN"/>
        </w:rPr>
        <w:t>甲氨基</w:t>
      </w:r>
      <w:r>
        <w:rPr>
          <w:rFonts w:hint="eastAsia" w:ascii="Arial" w:hAnsi="Arial" w:eastAsia="Arial" w:cs="Arial"/>
          <w:lang w:eastAsia="zh-CN"/>
        </w:rPr>
        <w:t>-</w:t>
      </w:r>
      <w:r>
        <w:rPr>
          <w:rFonts w:hint="eastAsia" w:ascii="宋体" w:hAnsi="宋体" w:eastAsia="宋体" w:cs="宋体"/>
          <w:lang w:eastAsia="zh-CN"/>
        </w:rPr>
        <w:t>苯甲酸甲酯)实施了光毒性成分的新方法，即对淋洗</w:t>
      </w:r>
      <w:r>
        <w:rPr>
          <w:rFonts w:hint="eastAsia" w:ascii="宋体" w:hAnsi="宋体" w:eastAsia="宋体" w:cs="宋体"/>
          <w:lang w:val="en-US" w:eastAsia="zh-CN"/>
        </w:rPr>
        <w:t>类</w:t>
      </w:r>
      <w:r>
        <w:rPr>
          <w:rFonts w:hint="eastAsia" w:ascii="宋体" w:hAnsi="宋体" w:eastAsia="宋体" w:cs="宋体"/>
          <w:lang w:eastAsia="zh-CN"/>
        </w:rPr>
        <w:t>产品设定限制。</w:t>
      </w:r>
    </w:p>
    <w:p w14:paraId="035339C7">
      <w:pPr>
        <w:pStyle w:val="4"/>
        <w:spacing w:line="300" w:lineRule="auto"/>
        <w:ind w:left="142" w:right="692"/>
        <w:jc w:val="both"/>
        <w:rPr>
          <w:lang w:eastAsia="zh-CN"/>
        </w:rPr>
      </w:pPr>
      <w:bookmarkStart w:id="18" w:name="_GoBack"/>
      <w:bookmarkEnd w:id="18"/>
    </w:p>
    <w:p w14:paraId="2ADC391F">
      <w:pPr>
        <w:pStyle w:val="4"/>
        <w:spacing w:line="300" w:lineRule="auto"/>
        <w:ind w:left="142" w:right="692"/>
        <w:jc w:val="both"/>
        <w:rPr>
          <w:lang w:eastAsia="zh-CN"/>
        </w:rPr>
      </w:pPr>
      <w:r>
        <w:rPr>
          <w:rFonts w:hint="eastAsia" w:ascii="宋体" w:hAnsi="宋体" w:eastAsia="宋体" w:cs="宋体"/>
          <w:lang w:eastAsia="zh-CN"/>
        </w:rPr>
        <w:t>此外，作为咨询意见的反馈，已向香料安全性专家小组征求意见，从光毒性的角度来看，如何处理第</w:t>
      </w:r>
      <w:r>
        <w:rPr>
          <w:lang w:eastAsia="zh-CN"/>
        </w:rPr>
        <w:t>6</w:t>
      </w:r>
      <w:r>
        <w:rPr>
          <w:rFonts w:hint="eastAsia" w:ascii="宋体" w:hAnsi="宋体" w:eastAsia="宋体" w:cs="宋体"/>
          <w:lang w:eastAsia="zh-CN"/>
        </w:rPr>
        <w:t>类的淋洗或驻留</w:t>
      </w:r>
      <w:r>
        <w:rPr>
          <w:rFonts w:hint="eastAsia" w:ascii="宋体" w:hAnsi="宋体" w:eastAsia="宋体" w:cs="宋体"/>
          <w:lang w:val="en-US" w:eastAsia="zh-CN"/>
        </w:rPr>
        <w:t>类</w:t>
      </w:r>
      <w:r>
        <w:rPr>
          <w:rFonts w:hint="eastAsia" w:ascii="宋体" w:hAnsi="宋体" w:eastAsia="宋体" w:cs="宋体"/>
          <w:lang w:eastAsia="zh-CN"/>
        </w:rPr>
        <w:t>。如本函引言部分与时间线相关以及第</w:t>
      </w:r>
      <w:r>
        <w:rPr>
          <w:lang w:eastAsia="zh-CN"/>
        </w:rPr>
        <w:t>2.6</w:t>
      </w:r>
      <w:r>
        <w:rPr>
          <w:rFonts w:hint="eastAsia" w:ascii="宋体" w:hAnsi="宋体" w:eastAsia="宋体" w:cs="宋体"/>
          <w:lang w:eastAsia="zh-CN"/>
        </w:rPr>
        <w:t>和</w:t>
      </w:r>
      <w:r>
        <w:rPr>
          <w:lang w:eastAsia="zh-CN"/>
        </w:rPr>
        <w:t>3.6</w:t>
      </w:r>
      <w:r>
        <w:rPr>
          <w:rFonts w:hint="eastAsia" w:ascii="宋体" w:hAnsi="宋体" w:eastAsia="宋体" w:cs="宋体"/>
          <w:lang w:eastAsia="zh-CN"/>
        </w:rPr>
        <w:t>项下的详细描述，从光毒性的角度来看，第</w:t>
      </w:r>
      <w:r>
        <w:rPr>
          <w:lang w:eastAsia="zh-CN"/>
        </w:rPr>
        <w:t>6</w:t>
      </w:r>
      <w:r>
        <w:rPr>
          <w:rFonts w:hint="eastAsia" w:ascii="宋体" w:hAnsi="宋体" w:eastAsia="宋体" w:cs="宋体"/>
          <w:lang w:eastAsia="zh-CN"/>
        </w:rPr>
        <w:t>类的处理方式已经改变，从现在起被视为淋洗</w:t>
      </w:r>
      <w:r>
        <w:rPr>
          <w:rFonts w:hint="eastAsia" w:ascii="宋体" w:hAnsi="宋体" w:eastAsia="宋体" w:cs="宋体"/>
          <w:lang w:val="en-US" w:eastAsia="zh-CN"/>
        </w:rPr>
        <w:t>类</w:t>
      </w:r>
      <w:r>
        <w:rPr>
          <w:rFonts w:hint="eastAsia" w:ascii="宋体" w:hAnsi="宋体" w:eastAsia="宋体" w:cs="宋体"/>
          <w:lang w:eastAsia="zh-CN"/>
        </w:rPr>
        <w:t>。因此，与咨询相比，第</w:t>
      </w:r>
      <w:r>
        <w:rPr>
          <w:lang w:eastAsia="zh-CN"/>
        </w:rPr>
        <w:t>6</w:t>
      </w:r>
      <w:r>
        <w:rPr>
          <w:rFonts w:hint="eastAsia" w:ascii="宋体" w:hAnsi="宋体" w:eastAsia="宋体" w:cs="宋体"/>
          <w:lang w:eastAsia="zh-CN"/>
        </w:rPr>
        <w:t>类别中</w:t>
      </w:r>
      <w:r>
        <w:rPr>
          <w:lang w:eastAsia="zh-CN"/>
        </w:rPr>
        <w:t>N-</w:t>
      </w:r>
      <w:r>
        <w:rPr>
          <w:rFonts w:hint="eastAsia" w:ascii="宋体" w:hAnsi="宋体" w:eastAsia="宋体" w:cs="宋体"/>
          <w:lang w:eastAsia="zh-CN"/>
        </w:rPr>
        <w:t>甲基邻氨基苯甲酸甲酯的水平发生了变化（从</w:t>
      </w:r>
      <w:r>
        <w:rPr>
          <w:lang w:eastAsia="zh-CN"/>
        </w:rPr>
        <w:t>0.1%</w:t>
      </w:r>
      <w:r>
        <w:rPr>
          <w:rFonts w:hint="eastAsia" w:ascii="宋体" w:hAnsi="宋体" w:eastAsia="宋体" w:cs="宋体"/>
          <w:lang w:eastAsia="zh-CN"/>
        </w:rPr>
        <w:t>增加到</w:t>
      </w:r>
      <w:r>
        <w:rPr>
          <w:lang w:eastAsia="zh-CN"/>
        </w:rPr>
        <w:t>0.5%</w:t>
      </w:r>
      <w:r>
        <w:rPr>
          <w:rFonts w:hint="eastAsia" w:ascii="宋体" w:hAnsi="宋体" w:eastAsia="宋体" w:cs="宋体"/>
          <w:lang w:eastAsia="zh-CN"/>
        </w:rPr>
        <w:t>）。此外，根据标准指导文件中解释的更新的光毒性体系发布的第一个关于孔雀草和小万寿菊精油和净油的标准，必须更新为第</w:t>
      </w:r>
      <w:r>
        <w:rPr>
          <w:lang w:eastAsia="zh-CN"/>
        </w:rPr>
        <w:t>6</w:t>
      </w:r>
      <w:r>
        <w:rPr>
          <w:rFonts w:hint="eastAsia" w:ascii="宋体" w:hAnsi="宋体" w:eastAsia="宋体" w:cs="宋体"/>
          <w:lang w:eastAsia="zh-CN"/>
        </w:rPr>
        <w:t>类。修订后的标准将</w:t>
      </w:r>
      <w:r>
        <w:rPr>
          <w:lang w:eastAsia="zh-CN"/>
        </w:rPr>
        <w:t>MAC</w:t>
      </w:r>
      <w:r>
        <w:rPr>
          <w:rFonts w:hint="eastAsia" w:ascii="宋体" w:hAnsi="宋体" w:eastAsia="宋体" w:cs="宋体"/>
          <w:lang w:eastAsia="zh-CN"/>
        </w:rPr>
        <w:t>从</w:t>
      </w:r>
      <w:r>
        <w:rPr>
          <w:lang w:eastAsia="zh-CN"/>
        </w:rPr>
        <w:t>0.01%</w:t>
      </w:r>
      <w:r>
        <w:rPr>
          <w:rFonts w:hint="eastAsia" w:ascii="宋体" w:hAnsi="宋体" w:eastAsia="宋体" w:cs="宋体"/>
          <w:lang w:eastAsia="zh-CN"/>
        </w:rPr>
        <w:t>提高到</w:t>
      </w:r>
      <w:r>
        <w:rPr>
          <w:lang w:eastAsia="zh-CN"/>
        </w:rPr>
        <w:t>0.1%</w:t>
      </w:r>
      <w:r>
        <w:rPr>
          <w:rFonts w:hint="eastAsia" w:ascii="宋体" w:hAnsi="宋体" w:eastAsia="宋体" w:cs="宋体"/>
          <w:lang w:eastAsia="zh-CN"/>
        </w:rPr>
        <w:t>，作为第</w:t>
      </w:r>
      <w:r>
        <w:rPr>
          <w:lang w:eastAsia="zh-CN"/>
        </w:rPr>
        <w:t>51</w:t>
      </w:r>
      <w:r>
        <w:rPr>
          <w:rFonts w:hint="eastAsia" w:ascii="宋体" w:hAnsi="宋体" w:eastAsia="宋体" w:cs="宋体"/>
          <w:lang w:eastAsia="zh-CN"/>
        </w:rPr>
        <w:t>次修订通知的一部分发布。</w:t>
      </w:r>
    </w:p>
    <w:p w14:paraId="5D882C16">
      <w:pPr>
        <w:pStyle w:val="4"/>
        <w:spacing w:before="8"/>
        <w:rPr>
          <w:sz w:val="28"/>
          <w:lang w:eastAsia="zh-CN"/>
        </w:rPr>
      </w:pPr>
    </w:p>
    <w:p w14:paraId="4C101FF5">
      <w:pPr>
        <w:pStyle w:val="2"/>
        <w:numPr>
          <w:ilvl w:val="4"/>
          <w:numId w:val="4"/>
        </w:numPr>
        <w:tabs>
          <w:tab w:val="left" w:pos="717"/>
        </w:tabs>
        <w:jc w:val="both"/>
        <w:rPr>
          <w:sz w:val="20"/>
          <w:lang w:eastAsia="zh-CN"/>
        </w:rPr>
      </w:pPr>
      <w:bookmarkStart w:id="16" w:name="_bookmark14"/>
      <w:bookmarkEnd w:id="16"/>
      <w:r>
        <w:rPr>
          <w:rFonts w:hint="eastAsia" w:ascii="宋体" w:hAnsi="宋体" w:eastAsia="宋体" w:cs="宋体"/>
          <w:lang w:eastAsia="zh-CN"/>
        </w:rPr>
        <w:t>基于系统毒性修订的</w:t>
      </w:r>
      <w:r>
        <w:rPr>
          <w:lang w:eastAsia="zh-CN"/>
        </w:rPr>
        <w:t>2</w:t>
      </w:r>
      <w:r>
        <w:rPr>
          <w:rFonts w:hint="eastAsia" w:ascii="宋体" w:hAnsi="宋体" w:eastAsia="宋体" w:cs="宋体"/>
          <w:lang w:eastAsia="zh-CN"/>
        </w:rPr>
        <w:t>项</w:t>
      </w:r>
      <w:r>
        <w:rPr>
          <w:lang w:eastAsia="zh-CN"/>
        </w:rPr>
        <w:t>IFRA</w:t>
      </w:r>
      <w:r>
        <w:rPr>
          <w:rFonts w:hint="eastAsia" w:ascii="宋体" w:hAnsi="宋体" w:eastAsia="宋体" w:cs="宋体"/>
          <w:lang w:eastAsia="zh-CN"/>
        </w:rPr>
        <w:t>限制标准</w:t>
      </w:r>
    </w:p>
    <w:p w14:paraId="21A6DD49">
      <w:pPr>
        <w:pStyle w:val="4"/>
        <w:spacing w:before="43" w:after="41" w:line="300" w:lineRule="auto"/>
        <w:ind w:left="142" w:right="697"/>
        <w:jc w:val="both"/>
        <w:rPr>
          <w:lang w:eastAsia="zh-CN"/>
        </w:rPr>
      </w:pPr>
      <w:r>
        <w:rPr>
          <w:rFonts w:hint="eastAsia" w:ascii="宋体" w:hAnsi="宋体" w:eastAsia="宋体" w:cs="宋体"/>
          <w:lang w:eastAsia="zh-CN"/>
        </w:rPr>
        <w:t>作为正在进行的</w:t>
      </w:r>
      <w:r>
        <w:rPr>
          <w:lang w:eastAsia="zh-CN"/>
        </w:rPr>
        <w:t>RIFM</w:t>
      </w:r>
      <w:r>
        <w:rPr>
          <w:rFonts w:hint="eastAsia" w:ascii="宋体" w:hAnsi="宋体" w:eastAsia="宋体" w:cs="宋体"/>
          <w:lang w:eastAsia="zh-CN"/>
        </w:rPr>
        <w:t>安全评估计划的一部分，香料成分甲基丁香酚（</w:t>
      </w:r>
      <w:r>
        <w:rPr>
          <w:lang w:eastAsia="zh-CN"/>
        </w:rPr>
        <w:t>CAS 93-15-2</w:t>
      </w:r>
      <w:r>
        <w:rPr>
          <w:rFonts w:hint="eastAsia" w:ascii="宋体" w:hAnsi="宋体" w:eastAsia="宋体" w:cs="宋体"/>
          <w:lang w:eastAsia="zh-CN"/>
        </w:rPr>
        <w:t>）和草蒿脑（</w:t>
      </w:r>
      <w:r>
        <w:rPr>
          <w:lang w:eastAsia="zh-CN"/>
        </w:rPr>
        <w:t>CAS 140-67-0</w:t>
      </w:r>
      <w:r>
        <w:rPr>
          <w:rFonts w:hint="eastAsia" w:ascii="宋体" w:hAnsi="宋体" w:eastAsia="宋体" w:cs="宋体"/>
          <w:lang w:eastAsia="zh-CN"/>
        </w:rPr>
        <w:t>）已被重新考虑，其更新的安全评估已于</w:t>
      </w:r>
      <w:r>
        <w:rPr>
          <w:lang w:eastAsia="zh-CN"/>
        </w:rPr>
        <w:t>2022</w:t>
      </w:r>
      <w:r>
        <w:rPr>
          <w:rFonts w:hint="eastAsia" w:ascii="宋体" w:hAnsi="宋体" w:eastAsia="宋体" w:cs="宋体"/>
          <w:lang w:eastAsia="zh-CN"/>
        </w:rPr>
        <w:t>年</w:t>
      </w:r>
      <w:r>
        <w:rPr>
          <w:lang w:eastAsia="zh-CN"/>
        </w:rPr>
        <w:t>9</w:t>
      </w:r>
      <w:r>
        <w:rPr>
          <w:rFonts w:hint="eastAsia" w:ascii="宋体" w:hAnsi="宋体" w:eastAsia="宋体" w:cs="宋体"/>
          <w:lang w:eastAsia="zh-CN"/>
        </w:rPr>
        <w:t>月由香料安全性专家小组批准。</w:t>
      </w:r>
    </w:p>
    <w:p w14:paraId="198406D9">
      <w:pPr>
        <w:pStyle w:val="4"/>
        <w:spacing w:before="43" w:after="41" w:line="300" w:lineRule="auto"/>
        <w:ind w:left="142" w:right="697"/>
        <w:jc w:val="both"/>
        <w:rPr>
          <w:lang w:eastAsia="zh-CN"/>
        </w:rPr>
      </w:pPr>
      <w:r>
        <w:rPr>
          <w:rFonts w:hint="eastAsia" w:ascii="宋体" w:hAnsi="宋体" w:eastAsia="宋体" w:cs="宋体"/>
          <w:lang w:eastAsia="zh-CN"/>
        </w:rPr>
        <w:t>鉴于这两项标准的最终目标以及这两种材料的大量存在，根据与</w:t>
      </w:r>
      <w:r>
        <w:rPr>
          <w:lang w:eastAsia="zh-CN"/>
        </w:rPr>
        <w:t>IFRA IL 1146(2022</w:t>
      </w:r>
      <w:r>
        <w:rPr>
          <w:rFonts w:hint="eastAsia" w:ascii="宋体" w:hAnsi="宋体" w:eastAsia="宋体" w:cs="宋体"/>
          <w:lang w:eastAsia="zh-CN"/>
        </w:rPr>
        <w:t>年</w:t>
      </w:r>
      <w:r>
        <w:rPr>
          <w:lang w:eastAsia="zh-CN"/>
        </w:rPr>
        <w:t>11</w:t>
      </w:r>
      <w:r>
        <w:rPr>
          <w:rFonts w:hint="eastAsia" w:ascii="宋体" w:hAnsi="宋体" w:eastAsia="宋体" w:cs="宋体"/>
          <w:lang w:eastAsia="zh-CN"/>
        </w:rPr>
        <w:t>月</w:t>
      </w:r>
      <w:r>
        <w:rPr>
          <w:lang w:eastAsia="zh-CN"/>
        </w:rPr>
        <w:t>29</w:t>
      </w:r>
      <w:r>
        <w:rPr>
          <w:rFonts w:hint="eastAsia" w:ascii="宋体" w:hAnsi="宋体" w:eastAsia="宋体" w:cs="宋体"/>
          <w:lang w:eastAsia="zh-CN"/>
        </w:rPr>
        <w:t>日</w:t>
      </w:r>
      <w:r>
        <w:rPr>
          <w:lang w:eastAsia="zh-CN"/>
        </w:rPr>
        <w:t>)</w:t>
      </w:r>
      <w:r>
        <w:rPr>
          <w:rFonts w:hint="eastAsia" w:ascii="宋体" w:hAnsi="宋体" w:eastAsia="宋体" w:cs="宋体"/>
          <w:lang w:eastAsia="zh-CN"/>
        </w:rPr>
        <w:t>的沟通，已决定将这两项修订后的标准作为第</w:t>
      </w:r>
      <w:r>
        <w:rPr>
          <w:lang w:eastAsia="zh-CN"/>
        </w:rPr>
        <w:t>51</w:t>
      </w:r>
      <w:r>
        <w:rPr>
          <w:rFonts w:hint="eastAsia" w:ascii="宋体" w:hAnsi="宋体" w:eastAsia="宋体" w:cs="宋体"/>
          <w:lang w:eastAsia="zh-CN"/>
        </w:rPr>
        <w:t>次修订的一部分。</w:t>
      </w:r>
    </w:p>
    <w:tbl>
      <w:tblPr>
        <w:tblStyle w:val="13"/>
        <w:tblW w:w="0" w:type="auto"/>
        <w:tblInd w:w="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76"/>
        <w:gridCol w:w="4329"/>
        <w:gridCol w:w="3484"/>
      </w:tblGrid>
      <w:tr w14:paraId="7F8B6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2576" w:type="dxa"/>
            <w:shd w:val="clear" w:color="auto" w:fill="D9D9D9"/>
          </w:tcPr>
          <w:p w14:paraId="790777B0">
            <w:pPr>
              <w:pStyle w:val="15"/>
              <w:spacing w:line="232" w:lineRule="exact"/>
              <w:rPr>
                <w:b/>
              </w:rPr>
            </w:pPr>
            <w:r>
              <w:rPr>
                <w:b/>
              </w:rPr>
              <w:t xml:space="preserve">CAS </w:t>
            </w:r>
            <w:r>
              <w:rPr>
                <w:rFonts w:hint="eastAsia" w:ascii="宋体" w:hAnsi="宋体" w:eastAsia="宋体" w:cs="宋体"/>
                <w:b/>
                <w:lang w:eastAsia="zh-CN"/>
              </w:rPr>
              <w:t>号</w:t>
            </w:r>
          </w:p>
        </w:tc>
        <w:tc>
          <w:tcPr>
            <w:tcW w:w="4329" w:type="dxa"/>
            <w:shd w:val="clear" w:color="auto" w:fill="D9D9D9"/>
          </w:tcPr>
          <w:p w14:paraId="2E87985E">
            <w:pPr>
              <w:pStyle w:val="15"/>
              <w:spacing w:line="232" w:lineRule="exact"/>
              <w:rPr>
                <w:b/>
              </w:rPr>
            </w:pPr>
            <w:r>
              <w:rPr>
                <w:rFonts w:hint="eastAsia" w:ascii="宋体" w:hAnsi="宋体" w:eastAsia="宋体" w:cs="宋体"/>
                <w:b/>
                <w:lang w:eastAsia="zh-CN"/>
              </w:rPr>
              <w:t>名称</w:t>
            </w:r>
          </w:p>
        </w:tc>
        <w:tc>
          <w:tcPr>
            <w:tcW w:w="3484" w:type="dxa"/>
            <w:shd w:val="clear" w:color="auto" w:fill="D9D9D9"/>
          </w:tcPr>
          <w:p w14:paraId="22ED2AB0">
            <w:pPr>
              <w:pStyle w:val="15"/>
              <w:spacing w:line="232" w:lineRule="exact"/>
              <w:ind w:left="104"/>
              <w:rPr>
                <w:b/>
              </w:rPr>
            </w:pPr>
            <w:r>
              <w:rPr>
                <w:rFonts w:hint="eastAsia" w:ascii="宋体" w:hAnsi="宋体" w:eastAsia="宋体" w:cs="宋体"/>
                <w:b/>
                <w:lang w:eastAsia="zh-CN"/>
              </w:rPr>
              <w:t>状态</w:t>
            </w:r>
          </w:p>
        </w:tc>
      </w:tr>
      <w:tr w14:paraId="3E59F6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2576" w:type="dxa"/>
          </w:tcPr>
          <w:p w14:paraId="21389F96">
            <w:pPr>
              <w:pStyle w:val="15"/>
            </w:pPr>
            <w:r>
              <w:t>140-67-0,</w:t>
            </w:r>
          </w:p>
          <w:p w14:paraId="144EF2EB">
            <w:pPr>
              <w:pStyle w:val="15"/>
              <w:spacing w:before="1" w:line="252" w:lineRule="exact"/>
            </w:pPr>
            <w:r>
              <w:t>1407-27-8,</w:t>
            </w:r>
          </w:p>
          <w:p w14:paraId="33C9E867">
            <w:pPr>
              <w:pStyle w:val="15"/>
              <w:spacing w:line="234" w:lineRule="exact"/>
            </w:pPr>
            <w:r>
              <w:t>77525-18-9</w:t>
            </w:r>
          </w:p>
        </w:tc>
        <w:tc>
          <w:tcPr>
            <w:tcW w:w="4329" w:type="dxa"/>
          </w:tcPr>
          <w:p w14:paraId="63E598BF">
            <w:pPr>
              <w:pStyle w:val="15"/>
              <w:spacing w:before="1"/>
              <w:ind w:left="0"/>
            </w:pPr>
          </w:p>
          <w:p w14:paraId="7A21D5B6">
            <w:pPr>
              <w:pStyle w:val="15"/>
            </w:pPr>
            <w:r>
              <w:rPr>
                <w:rFonts w:hint="eastAsia" w:ascii="宋体" w:hAnsi="宋体" w:eastAsia="宋体" w:cs="宋体"/>
              </w:rPr>
              <w:t>草蒿脑</w:t>
            </w:r>
          </w:p>
        </w:tc>
        <w:tc>
          <w:tcPr>
            <w:tcW w:w="3484" w:type="dxa"/>
            <w:vMerge w:val="restart"/>
            <w:vAlign w:val="center"/>
          </w:tcPr>
          <w:p w14:paraId="7F10B0C2">
            <w:pPr>
              <w:pStyle w:val="15"/>
              <w:spacing w:before="4"/>
              <w:ind w:left="104" w:right="196"/>
              <w:jc w:val="both"/>
              <w:rPr>
                <w:lang w:eastAsia="zh-CN"/>
              </w:rPr>
            </w:pPr>
            <w:r>
              <w:rPr>
                <w:rFonts w:hint="eastAsia" w:ascii="宋体" w:hAnsi="宋体" w:eastAsia="宋体" w:cs="宋体"/>
                <w:lang w:eastAsia="zh-CN"/>
              </w:rPr>
              <w:t>修订的限用标准（基于皮肤致敏和系统毒性）</w:t>
            </w:r>
          </w:p>
        </w:tc>
      </w:tr>
      <w:tr w14:paraId="72A529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2576" w:type="dxa"/>
          </w:tcPr>
          <w:p w14:paraId="1C48746E">
            <w:pPr>
              <w:pStyle w:val="15"/>
              <w:spacing w:line="232" w:lineRule="exact"/>
            </w:pPr>
            <w:r>
              <w:t>93-15-2</w:t>
            </w:r>
          </w:p>
        </w:tc>
        <w:tc>
          <w:tcPr>
            <w:tcW w:w="4329" w:type="dxa"/>
          </w:tcPr>
          <w:p w14:paraId="22A75384">
            <w:pPr>
              <w:pStyle w:val="15"/>
              <w:spacing w:line="232" w:lineRule="exact"/>
            </w:pPr>
            <w:r>
              <w:rPr>
                <w:rFonts w:hint="eastAsia" w:ascii="宋体" w:hAnsi="宋体" w:eastAsia="宋体" w:cs="宋体"/>
              </w:rPr>
              <w:t>甲基丁香酚</w:t>
            </w:r>
          </w:p>
        </w:tc>
        <w:tc>
          <w:tcPr>
            <w:tcW w:w="3484" w:type="dxa"/>
            <w:vMerge w:val="continue"/>
            <w:tcBorders>
              <w:top w:val="nil"/>
            </w:tcBorders>
          </w:tcPr>
          <w:p w14:paraId="083BA13C">
            <w:pPr>
              <w:rPr>
                <w:sz w:val="2"/>
                <w:szCs w:val="2"/>
              </w:rPr>
            </w:pPr>
          </w:p>
        </w:tc>
      </w:tr>
    </w:tbl>
    <w:p w14:paraId="453DACFE">
      <w:pPr>
        <w:pStyle w:val="4"/>
        <w:spacing w:before="41" w:line="300" w:lineRule="auto"/>
        <w:ind w:left="142" w:right="692"/>
        <w:jc w:val="both"/>
        <w:rPr>
          <w:rFonts w:eastAsiaTheme="minorEastAsia"/>
          <w:lang w:eastAsia="zh-CN"/>
        </w:rPr>
      </w:pPr>
      <w:r>
        <w:rPr>
          <w:lang w:eastAsia="zh-CN"/>
        </w:rPr>
        <w:t>RIFM</w:t>
      </w:r>
      <w:r>
        <w:rPr>
          <w:rFonts w:hint="eastAsia" w:ascii="宋体" w:hAnsi="宋体" w:eastAsia="宋体" w:cs="宋体"/>
          <w:lang w:eastAsia="zh-CN"/>
        </w:rPr>
        <w:t>安全评估可在</w:t>
      </w:r>
      <w:r>
        <w:rPr>
          <w:lang w:eastAsia="zh-CN"/>
        </w:rPr>
        <w:t>RIFM</w:t>
      </w:r>
      <w:r>
        <w:rPr>
          <w:rFonts w:hint="eastAsia" w:ascii="宋体" w:hAnsi="宋体" w:eastAsia="宋体" w:cs="宋体"/>
          <w:lang w:eastAsia="zh-CN"/>
        </w:rPr>
        <w:t>数据库中获得，但尚未在《食品与化学品毒理学》上发表，因此尚未在</w:t>
      </w:r>
      <w:r>
        <w:rPr>
          <w:rFonts w:hint="eastAsia" w:ascii="Arial" w:hAnsi="Arial" w:eastAsia="Arial" w:cs="Arial"/>
          <w:lang w:eastAsia="zh-CN"/>
        </w:rPr>
        <w:t>Elsevier</w:t>
      </w:r>
      <w:r>
        <w:rPr>
          <w:rFonts w:hint="eastAsia" w:ascii="宋体" w:hAnsi="宋体" w:eastAsia="宋体" w:cs="宋体"/>
          <w:lang w:eastAsia="zh-CN"/>
        </w:rPr>
        <w:t>网站上的香料材料资源中心中获得。不过，预计很快就会出版。与此同时，应</w:t>
      </w:r>
      <w:r>
        <w:rPr>
          <w:lang w:eastAsia="zh-CN"/>
        </w:rPr>
        <w:t>IFRA</w:t>
      </w:r>
      <w:r>
        <w:rPr>
          <w:rFonts w:hint="eastAsia" w:ascii="宋体" w:hAnsi="宋体" w:eastAsia="宋体" w:cs="宋体"/>
          <w:lang w:eastAsia="zh-CN"/>
        </w:rPr>
        <w:t>的要求，可与感兴趣的利益相关方共享出版物草案</w:t>
      </w:r>
      <w:r>
        <w:rPr>
          <w:spacing w:val="-8"/>
          <w:lang w:eastAsia="zh-CN"/>
        </w:rPr>
        <w:t xml:space="preserve"> </w:t>
      </w:r>
      <w:r>
        <w:rPr>
          <w:lang w:eastAsia="zh-CN"/>
        </w:rPr>
        <w:t>(</w:t>
      </w:r>
      <w:r>
        <w:fldChar w:fldCharType="begin"/>
      </w:r>
      <w:r>
        <w:instrText xml:space="preserve"> HYPERLINK "mailto:mvey@ifrafragrance.org" \h </w:instrText>
      </w:r>
      <w:r>
        <w:fldChar w:fldCharType="separate"/>
      </w:r>
      <w:r>
        <w:rPr>
          <w:color w:val="0000FF"/>
          <w:u w:val="single" w:color="0000FF"/>
          <w:lang w:eastAsia="zh-CN"/>
        </w:rPr>
        <w:t>mvey@ifrafragrance.org</w:t>
      </w:r>
      <w:r>
        <w:rPr>
          <w:color w:val="0000FF"/>
          <w:u w:val="single" w:color="0000FF"/>
          <w:lang w:eastAsia="zh-CN"/>
        </w:rPr>
        <w:fldChar w:fldCharType="end"/>
      </w:r>
      <w:r>
        <w:rPr>
          <w:lang w:eastAsia="zh-CN"/>
        </w:rPr>
        <w:t>)</w:t>
      </w:r>
      <w:r>
        <w:rPr>
          <w:rFonts w:hint="eastAsia" w:ascii="宋体" w:hAnsi="宋体" w:eastAsia="宋体" w:cs="宋体"/>
          <w:lang w:eastAsia="zh-CN"/>
        </w:rPr>
        <w:t>。</w:t>
      </w:r>
    </w:p>
    <w:p w14:paraId="6A225494">
      <w:pPr>
        <w:pStyle w:val="4"/>
        <w:spacing w:before="9"/>
        <w:rPr>
          <w:sz w:val="20"/>
          <w:lang w:eastAsia="zh-CN"/>
        </w:rPr>
      </w:pPr>
    </w:p>
    <w:p w14:paraId="42139678">
      <w:pPr>
        <w:pStyle w:val="2"/>
        <w:numPr>
          <w:ilvl w:val="3"/>
          <w:numId w:val="4"/>
        </w:numPr>
        <w:tabs>
          <w:tab w:val="left" w:pos="424"/>
        </w:tabs>
        <w:spacing w:before="93"/>
        <w:ind w:left="423" w:hanging="284"/>
        <w:jc w:val="left"/>
        <w:rPr>
          <w:lang w:eastAsia="zh-CN"/>
        </w:rPr>
      </w:pPr>
      <w:bookmarkStart w:id="17" w:name="_bookmark15"/>
      <w:bookmarkEnd w:id="17"/>
      <w:r>
        <w:rPr>
          <w:rFonts w:hint="eastAsia" w:ascii="宋体" w:hAnsi="宋体" w:eastAsia="宋体" w:cs="宋体"/>
          <w:u w:val="thick"/>
          <w:lang w:eastAsia="zh-CN"/>
        </w:rPr>
        <w:t>对现有标准的微小更新和格式更改</w:t>
      </w:r>
    </w:p>
    <w:p w14:paraId="0480583B">
      <w:pPr>
        <w:pStyle w:val="4"/>
        <w:rPr>
          <w:b/>
          <w:sz w:val="21"/>
          <w:lang w:eastAsia="zh-CN"/>
        </w:rPr>
      </w:pPr>
    </w:p>
    <w:p w14:paraId="4AC592B8">
      <w:pPr>
        <w:pStyle w:val="14"/>
        <w:numPr>
          <w:ilvl w:val="4"/>
          <w:numId w:val="4"/>
        </w:numPr>
        <w:tabs>
          <w:tab w:val="left" w:pos="717"/>
        </w:tabs>
        <w:spacing w:before="94" w:after="40"/>
        <w:rPr>
          <w:b/>
        </w:rPr>
      </w:pPr>
      <w:r>
        <w:rPr>
          <w:rFonts w:hint="eastAsia" w:ascii="宋体" w:hAnsi="宋体" w:eastAsia="宋体" w:cs="宋体"/>
          <w:b/>
        </w:rPr>
        <w:t>修订的限用标准</w:t>
      </w:r>
    </w:p>
    <w:tbl>
      <w:tblPr>
        <w:tblStyle w:val="13"/>
        <w:tblW w:w="0" w:type="auto"/>
        <w:tblInd w:w="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3"/>
        <w:gridCol w:w="4343"/>
        <w:gridCol w:w="3462"/>
      </w:tblGrid>
      <w:tr w14:paraId="437170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2583" w:type="dxa"/>
            <w:shd w:val="clear" w:color="auto" w:fill="D9D9D9"/>
          </w:tcPr>
          <w:p w14:paraId="189A7B08">
            <w:pPr>
              <w:pStyle w:val="15"/>
              <w:spacing w:line="232" w:lineRule="exact"/>
              <w:rPr>
                <w:b/>
              </w:rPr>
            </w:pPr>
            <w:r>
              <w:rPr>
                <w:b/>
              </w:rPr>
              <w:t xml:space="preserve">CAS </w:t>
            </w:r>
            <w:r>
              <w:rPr>
                <w:rFonts w:hint="eastAsia" w:ascii="宋体" w:hAnsi="宋体" w:eastAsia="宋体" w:cs="宋体"/>
                <w:b/>
                <w:lang w:eastAsia="zh-CN"/>
              </w:rPr>
              <w:t>号</w:t>
            </w:r>
          </w:p>
        </w:tc>
        <w:tc>
          <w:tcPr>
            <w:tcW w:w="4343" w:type="dxa"/>
            <w:shd w:val="clear" w:color="auto" w:fill="D9D9D9"/>
          </w:tcPr>
          <w:p w14:paraId="796EA1BE">
            <w:pPr>
              <w:pStyle w:val="15"/>
              <w:spacing w:line="232" w:lineRule="exact"/>
              <w:rPr>
                <w:b/>
              </w:rPr>
            </w:pPr>
            <w:r>
              <w:rPr>
                <w:rFonts w:hint="eastAsia" w:ascii="宋体" w:hAnsi="宋体" w:eastAsia="宋体" w:cs="宋体"/>
                <w:b/>
                <w:lang w:eastAsia="zh-CN"/>
              </w:rPr>
              <w:t>名称</w:t>
            </w:r>
          </w:p>
        </w:tc>
        <w:tc>
          <w:tcPr>
            <w:tcW w:w="3462" w:type="dxa"/>
            <w:shd w:val="clear" w:color="auto" w:fill="D9D9D9"/>
          </w:tcPr>
          <w:p w14:paraId="243FECF0">
            <w:pPr>
              <w:pStyle w:val="15"/>
              <w:spacing w:line="232" w:lineRule="exact"/>
              <w:rPr>
                <w:b/>
              </w:rPr>
            </w:pPr>
            <w:r>
              <w:rPr>
                <w:rFonts w:hint="eastAsia" w:ascii="宋体" w:hAnsi="宋体" w:eastAsia="宋体" w:cs="宋体"/>
                <w:b/>
                <w:lang w:eastAsia="zh-CN"/>
              </w:rPr>
              <w:t>状态</w:t>
            </w:r>
          </w:p>
        </w:tc>
      </w:tr>
      <w:tr w14:paraId="50A88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266" w:hRule="atLeast"/>
        </w:trPr>
        <w:tc>
          <w:tcPr>
            <w:tcW w:w="2583" w:type="dxa"/>
          </w:tcPr>
          <w:p w14:paraId="720347D7">
            <w:pPr>
              <w:pStyle w:val="15"/>
            </w:pPr>
            <w:r>
              <w:t>4602-84-0,</w:t>
            </w:r>
          </w:p>
          <w:p w14:paraId="02E7EB7C">
            <w:pPr>
              <w:pStyle w:val="15"/>
              <w:spacing w:before="1" w:line="252" w:lineRule="exact"/>
            </w:pPr>
            <w:r>
              <w:t>106-28-5,</w:t>
            </w:r>
          </w:p>
          <w:p w14:paraId="1641A893">
            <w:pPr>
              <w:pStyle w:val="15"/>
              <w:spacing w:line="252" w:lineRule="exact"/>
            </w:pPr>
            <w:r>
              <w:t>3790-71-4,</w:t>
            </w:r>
          </w:p>
          <w:p w14:paraId="6FECCF8A">
            <w:pPr>
              <w:pStyle w:val="15"/>
              <w:spacing w:before="1" w:line="252" w:lineRule="exact"/>
              <w:rPr>
                <w:b/>
              </w:rPr>
            </w:pPr>
            <w:r>
              <w:rPr>
                <w:b/>
              </w:rPr>
              <w:t>16106-95-9,</w:t>
            </w:r>
          </w:p>
          <w:p w14:paraId="6AE2E48E">
            <w:pPr>
              <w:pStyle w:val="15"/>
              <w:spacing w:line="234" w:lineRule="exact"/>
              <w:rPr>
                <w:b/>
              </w:rPr>
            </w:pPr>
            <w:r>
              <w:rPr>
                <w:b/>
              </w:rPr>
              <w:t>3879-60-5</w:t>
            </w:r>
          </w:p>
        </w:tc>
        <w:tc>
          <w:tcPr>
            <w:tcW w:w="4343" w:type="dxa"/>
          </w:tcPr>
          <w:p w14:paraId="1D670C81">
            <w:pPr>
              <w:pStyle w:val="15"/>
              <w:ind w:left="0"/>
              <w:rPr>
                <w:b/>
                <w:sz w:val="24"/>
              </w:rPr>
            </w:pPr>
          </w:p>
          <w:p w14:paraId="15578084">
            <w:pPr>
              <w:pStyle w:val="15"/>
              <w:ind w:left="0"/>
              <w:rPr>
                <w:b/>
                <w:sz w:val="20"/>
              </w:rPr>
            </w:pPr>
          </w:p>
          <w:p w14:paraId="58E9FEA6">
            <w:pPr>
              <w:pStyle w:val="15"/>
            </w:pPr>
            <w:r>
              <w:rPr>
                <w:rFonts w:hint="eastAsia" w:ascii="宋体" w:hAnsi="宋体" w:eastAsia="宋体" w:cs="宋体"/>
              </w:rPr>
              <w:t>金合欢醇</w:t>
            </w:r>
          </w:p>
        </w:tc>
        <w:tc>
          <w:tcPr>
            <w:tcW w:w="3462" w:type="dxa"/>
          </w:tcPr>
          <w:p w14:paraId="23DB1713">
            <w:pPr>
              <w:pStyle w:val="15"/>
              <w:spacing w:before="11"/>
              <w:ind w:left="0"/>
              <w:rPr>
                <w:b/>
                <w:sz w:val="32"/>
              </w:rPr>
            </w:pPr>
          </w:p>
          <w:p w14:paraId="2710F58B">
            <w:pPr>
              <w:pStyle w:val="15"/>
              <w:ind w:right="721"/>
            </w:pPr>
            <w:r>
              <w:rPr>
                <w:rFonts w:hint="eastAsia" w:ascii="宋体" w:hAnsi="宋体" w:eastAsia="宋体" w:cs="宋体"/>
              </w:rPr>
              <w:t>更新的限制标准格式</w:t>
            </w:r>
          </w:p>
        </w:tc>
      </w:tr>
    </w:tbl>
    <w:p w14:paraId="6D48025E">
      <w:pPr>
        <w:pStyle w:val="4"/>
        <w:spacing w:before="40" w:line="300" w:lineRule="auto"/>
        <w:ind w:left="142" w:right="692"/>
        <w:jc w:val="both"/>
        <w:rPr>
          <w:lang w:eastAsia="zh-CN"/>
        </w:rPr>
      </w:pPr>
      <w:r>
        <w:rPr>
          <w:rFonts w:hint="eastAsia" w:ascii="宋体" w:hAnsi="宋体" w:eastAsia="宋体" w:cs="宋体"/>
          <w:lang w:eastAsia="zh-CN"/>
        </w:rPr>
        <w:t>该材料不属于第</w:t>
      </w:r>
      <w:r>
        <w:rPr>
          <w:lang w:eastAsia="zh-CN"/>
        </w:rPr>
        <w:t>51</w:t>
      </w:r>
      <w:r>
        <w:rPr>
          <w:rFonts w:hint="eastAsia" w:ascii="宋体" w:hAnsi="宋体" w:eastAsia="宋体" w:cs="宋体"/>
          <w:lang w:eastAsia="zh-CN"/>
        </w:rPr>
        <w:t>次修订的一部分，但在咨询函中，宣布将</w:t>
      </w:r>
      <w:r>
        <w:rPr>
          <w:lang w:eastAsia="zh-CN"/>
        </w:rPr>
        <w:t>CAS106-28-5 (2E, 6E)</w:t>
      </w:r>
      <w:r>
        <w:rPr>
          <w:rFonts w:hint="eastAsia" w:ascii="宋体" w:hAnsi="宋体" w:eastAsia="宋体" w:cs="宋体"/>
          <w:lang w:eastAsia="zh-CN"/>
        </w:rPr>
        <w:t>和</w:t>
      </w:r>
      <w:r>
        <w:rPr>
          <w:lang w:eastAsia="zh-CN"/>
        </w:rPr>
        <w:t>3790-71-4 (2Z, 6E)</w:t>
      </w:r>
      <w:r>
        <w:rPr>
          <w:rFonts w:hint="eastAsia" w:ascii="宋体" w:hAnsi="宋体" w:eastAsia="宋体" w:cs="宋体"/>
          <w:lang w:eastAsia="zh-CN"/>
        </w:rPr>
        <w:t>添加到标准中以进行澄清。</w:t>
      </w:r>
    </w:p>
    <w:p w14:paraId="7E8FBED0">
      <w:pPr>
        <w:pStyle w:val="4"/>
        <w:spacing w:before="40" w:line="300" w:lineRule="auto"/>
        <w:ind w:left="142" w:right="692"/>
        <w:jc w:val="both"/>
      </w:pPr>
      <w:r>
        <w:rPr>
          <w:rFonts w:hint="eastAsia" w:ascii="宋体" w:hAnsi="宋体" w:eastAsia="宋体" w:cs="宋体"/>
          <w:lang w:eastAsia="zh-CN"/>
        </w:rPr>
        <w:t>在咨询期间，为了一致性原因，进一步要求包括</w:t>
      </w:r>
      <w:r>
        <w:rPr>
          <w:lang w:eastAsia="zh-CN"/>
        </w:rPr>
        <w:t>CAS16106-95-9 (2Z, 6Z)</w:t>
      </w:r>
      <w:r>
        <w:rPr>
          <w:rFonts w:hint="eastAsia" w:ascii="宋体" w:hAnsi="宋体" w:eastAsia="宋体" w:cs="宋体"/>
          <w:lang w:eastAsia="zh-CN"/>
        </w:rPr>
        <w:t>和</w:t>
      </w:r>
      <w:r>
        <w:rPr>
          <w:lang w:eastAsia="zh-CN"/>
        </w:rPr>
        <w:t>CAS</w:t>
      </w:r>
      <w:r>
        <w:rPr>
          <w:rFonts w:hint="eastAsia" w:ascii="宋体" w:hAnsi="宋体" w:eastAsia="宋体" w:cs="宋体"/>
          <w:lang w:eastAsia="zh-CN"/>
        </w:rPr>
        <w:t>编号</w:t>
      </w:r>
      <w:r>
        <w:rPr>
          <w:lang w:eastAsia="zh-CN"/>
        </w:rPr>
        <w:t>3879-60-5 (2E, 6Z)</w:t>
      </w:r>
      <w:r>
        <w:rPr>
          <w:rFonts w:hint="eastAsia" w:ascii="宋体" w:hAnsi="宋体" w:eastAsia="宋体" w:cs="宋体"/>
          <w:lang w:eastAsia="zh-CN"/>
        </w:rPr>
        <w:t>。</w:t>
      </w:r>
      <w:r>
        <w:rPr>
          <w:rFonts w:hint="eastAsia" w:ascii="宋体" w:hAnsi="宋体" w:eastAsia="宋体" w:cs="宋体"/>
        </w:rPr>
        <w:t>修订后的标准与第</w:t>
      </w:r>
      <w:r>
        <w:t>51</w:t>
      </w:r>
      <w:r>
        <w:rPr>
          <w:rFonts w:hint="eastAsia" w:ascii="宋体" w:hAnsi="宋体" w:eastAsia="宋体" w:cs="宋体"/>
        </w:rPr>
        <w:t>次修订通知一起发布。</w:t>
      </w:r>
    </w:p>
    <w:p w14:paraId="024E35D3">
      <w:pPr>
        <w:spacing w:line="237" w:lineRule="auto"/>
        <w:jc w:val="both"/>
        <w:sectPr>
          <w:pgSz w:w="11910" w:h="16840"/>
          <w:pgMar w:top="1500" w:right="20" w:bottom="980" w:left="580" w:header="432" w:footer="781" w:gutter="0"/>
          <w:cols w:space="720" w:num="1"/>
        </w:sectPr>
      </w:pPr>
    </w:p>
    <w:p w14:paraId="4A5DAB11">
      <w:pPr>
        <w:pStyle w:val="4"/>
        <w:spacing w:before="3"/>
        <w:rPr>
          <w:sz w:val="16"/>
        </w:rPr>
      </w:pPr>
    </w:p>
    <w:p w14:paraId="067897C0">
      <w:pPr>
        <w:pStyle w:val="2"/>
        <w:numPr>
          <w:ilvl w:val="4"/>
          <w:numId w:val="4"/>
        </w:numPr>
        <w:tabs>
          <w:tab w:val="left" w:pos="717"/>
        </w:tabs>
        <w:spacing w:before="94" w:after="40"/>
      </w:pPr>
      <w:r>
        <w:rPr>
          <w:rFonts w:hint="eastAsia" w:ascii="宋体" w:hAnsi="宋体" w:eastAsia="宋体" w:cs="宋体"/>
        </w:rPr>
        <w:t>修订的禁</w:t>
      </w:r>
      <w:r>
        <w:rPr>
          <w:rFonts w:hint="eastAsia" w:ascii="宋体" w:hAnsi="宋体" w:eastAsia="宋体" w:cs="宋体"/>
          <w:lang w:eastAsia="zh-CN"/>
        </w:rPr>
        <w:t>用</w:t>
      </w:r>
      <w:r>
        <w:rPr>
          <w:rFonts w:hint="eastAsia" w:ascii="宋体" w:hAnsi="宋体" w:eastAsia="宋体" w:cs="宋体"/>
        </w:rPr>
        <w:t>标准</w:t>
      </w:r>
    </w:p>
    <w:tbl>
      <w:tblPr>
        <w:tblStyle w:val="13"/>
        <w:tblW w:w="0" w:type="auto"/>
        <w:tblInd w:w="16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83"/>
        <w:gridCol w:w="4343"/>
        <w:gridCol w:w="3462"/>
      </w:tblGrid>
      <w:tr w14:paraId="61CFD5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1" w:hRule="atLeast"/>
        </w:trPr>
        <w:tc>
          <w:tcPr>
            <w:tcW w:w="2583" w:type="dxa"/>
            <w:shd w:val="clear" w:color="auto" w:fill="D9D9D9"/>
          </w:tcPr>
          <w:p w14:paraId="5B625BCB">
            <w:pPr>
              <w:pStyle w:val="15"/>
              <w:spacing w:line="232" w:lineRule="exact"/>
              <w:rPr>
                <w:b/>
              </w:rPr>
            </w:pPr>
            <w:r>
              <w:rPr>
                <w:b/>
              </w:rPr>
              <w:t xml:space="preserve">CAS </w:t>
            </w:r>
            <w:r>
              <w:rPr>
                <w:rFonts w:hint="eastAsia" w:ascii="宋体" w:hAnsi="宋体" w:eastAsia="宋体" w:cs="宋体"/>
                <w:b/>
                <w:lang w:eastAsia="zh-CN"/>
              </w:rPr>
              <w:t>号</w:t>
            </w:r>
          </w:p>
        </w:tc>
        <w:tc>
          <w:tcPr>
            <w:tcW w:w="4343" w:type="dxa"/>
            <w:shd w:val="clear" w:color="auto" w:fill="D9D9D9"/>
          </w:tcPr>
          <w:p w14:paraId="676859AE">
            <w:pPr>
              <w:pStyle w:val="15"/>
              <w:spacing w:line="232" w:lineRule="exact"/>
              <w:rPr>
                <w:b/>
              </w:rPr>
            </w:pPr>
            <w:r>
              <w:rPr>
                <w:rFonts w:hint="eastAsia" w:ascii="宋体" w:hAnsi="宋体" w:eastAsia="宋体" w:cs="宋体"/>
                <w:b/>
                <w:lang w:eastAsia="zh-CN"/>
              </w:rPr>
              <w:t>名称</w:t>
            </w:r>
          </w:p>
        </w:tc>
        <w:tc>
          <w:tcPr>
            <w:tcW w:w="3462" w:type="dxa"/>
            <w:shd w:val="clear" w:color="auto" w:fill="D9D9D9"/>
          </w:tcPr>
          <w:p w14:paraId="2945475F">
            <w:pPr>
              <w:pStyle w:val="15"/>
              <w:spacing w:line="232" w:lineRule="exact"/>
              <w:rPr>
                <w:b/>
              </w:rPr>
            </w:pPr>
            <w:r>
              <w:rPr>
                <w:rFonts w:hint="eastAsia" w:ascii="宋体" w:hAnsi="宋体" w:eastAsia="宋体" w:cs="宋体"/>
                <w:b/>
                <w:lang w:eastAsia="zh-CN"/>
              </w:rPr>
              <w:t>状态</w:t>
            </w:r>
          </w:p>
        </w:tc>
      </w:tr>
      <w:tr w14:paraId="3709C0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6" w:hRule="atLeast"/>
        </w:trPr>
        <w:tc>
          <w:tcPr>
            <w:tcW w:w="2583" w:type="dxa"/>
          </w:tcPr>
          <w:p w14:paraId="7D336051">
            <w:pPr>
              <w:pStyle w:val="15"/>
            </w:pPr>
            <w:r>
              <w:t>13341-72-5,</w:t>
            </w:r>
          </w:p>
          <w:p w14:paraId="3702EC40">
            <w:pPr>
              <w:pStyle w:val="15"/>
              <w:spacing w:before="1" w:line="232" w:lineRule="exact"/>
              <w:rPr>
                <w:b/>
              </w:rPr>
            </w:pPr>
            <w:r>
              <w:rPr>
                <w:b/>
              </w:rPr>
              <w:t>38049-04-6</w:t>
            </w:r>
          </w:p>
        </w:tc>
        <w:tc>
          <w:tcPr>
            <w:tcW w:w="4343" w:type="dxa"/>
          </w:tcPr>
          <w:p w14:paraId="062E3197">
            <w:pPr>
              <w:pStyle w:val="15"/>
              <w:spacing w:before="127"/>
            </w:pPr>
            <w:r>
              <w:rPr>
                <w:rFonts w:hint="eastAsia" w:ascii="宋体" w:hAnsi="宋体" w:eastAsia="宋体" w:cs="宋体"/>
              </w:rPr>
              <w:t>薄荷内酯</w:t>
            </w:r>
          </w:p>
        </w:tc>
        <w:tc>
          <w:tcPr>
            <w:tcW w:w="3462" w:type="dxa"/>
            <w:vAlign w:val="center"/>
          </w:tcPr>
          <w:p w14:paraId="35311545">
            <w:pPr>
              <w:pStyle w:val="15"/>
              <w:spacing w:before="3" w:line="254" w:lineRule="exact"/>
              <w:ind w:right="782"/>
              <w:jc w:val="both"/>
            </w:pPr>
            <w:r>
              <w:rPr>
                <w:rFonts w:hint="eastAsia" w:ascii="宋体" w:hAnsi="宋体" w:eastAsia="宋体" w:cs="宋体"/>
              </w:rPr>
              <w:t>更新的禁止标准格式</w:t>
            </w:r>
          </w:p>
        </w:tc>
      </w:tr>
    </w:tbl>
    <w:p w14:paraId="0C25E138">
      <w:pPr>
        <w:pStyle w:val="4"/>
        <w:spacing w:before="4"/>
        <w:rPr>
          <w:b/>
          <w:sz w:val="29"/>
        </w:rPr>
      </w:pPr>
    </w:p>
    <w:p w14:paraId="243DD99E">
      <w:pPr>
        <w:pStyle w:val="4"/>
        <w:spacing w:before="31" w:line="300" w:lineRule="auto"/>
        <w:ind w:left="142" w:right="692"/>
        <w:jc w:val="both"/>
        <w:rPr>
          <w:lang w:eastAsia="zh-CN"/>
        </w:rPr>
      </w:pPr>
      <w:r>
        <w:rPr>
          <w:rFonts w:hint="eastAsia" w:ascii="宋体" w:hAnsi="宋体" w:eastAsia="宋体" w:cs="宋体"/>
          <w:lang w:eastAsia="zh-CN"/>
        </w:rPr>
        <w:t>在咨询期间，收到了关于薄荷内酯的更多信息，该成分的标准在第</w:t>
      </w:r>
      <w:r>
        <w:rPr>
          <w:lang w:eastAsia="zh-CN"/>
        </w:rPr>
        <w:t>50</w:t>
      </w:r>
      <w:r>
        <w:rPr>
          <w:rFonts w:hint="eastAsia" w:ascii="宋体" w:hAnsi="宋体" w:eastAsia="宋体" w:cs="宋体"/>
          <w:lang w:eastAsia="zh-CN"/>
        </w:rPr>
        <w:t>修</w:t>
      </w:r>
      <w:r>
        <w:rPr>
          <w:rFonts w:hint="eastAsia" w:ascii="宋体" w:hAnsi="宋体" w:eastAsia="宋体" w:cs="宋体"/>
          <w:lang w:val="en-US" w:eastAsia="zh-CN"/>
        </w:rPr>
        <w:t>订</w:t>
      </w:r>
      <w:r>
        <w:rPr>
          <w:rFonts w:hint="eastAsia" w:ascii="宋体" w:hAnsi="宋体" w:eastAsia="宋体" w:cs="宋体"/>
          <w:lang w:eastAsia="zh-CN"/>
        </w:rPr>
        <w:t>案中发布。建议在标准中加入</w:t>
      </w:r>
      <w:r>
        <w:rPr>
          <w:lang w:eastAsia="zh-CN"/>
        </w:rPr>
        <w:t>CAS38049-04-6</w:t>
      </w:r>
      <w:r>
        <w:rPr>
          <w:rFonts w:hint="eastAsia" w:ascii="宋体" w:hAnsi="宋体" w:eastAsia="宋体" w:cs="宋体"/>
          <w:lang w:eastAsia="zh-CN"/>
        </w:rPr>
        <w:t>进行澄清。修订后的标准与第</w:t>
      </w:r>
      <w:r>
        <w:rPr>
          <w:lang w:eastAsia="zh-CN"/>
        </w:rPr>
        <w:t>51</w:t>
      </w:r>
      <w:r>
        <w:rPr>
          <w:rFonts w:hint="eastAsia" w:ascii="宋体" w:hAnsi="宋体" w:eastAsia="宋体" w:cs="宋体"/>
          <w:lang w:eastAsia="zh-CN"/>
        </w:rPr>
        <w:t>次修订通知一起发布。</w:t>
      </w:r>
    </w:p>
    <w:p w14:paraId="73D245AE">
      <w:pPr>
        <w:pStyle w:val="4"/>
        <w:spacing w:before="31" w:line="300" w:lineRule="auto"/>
        <w:ind w:left="142" w:right="692"/>
        <w:jc w:val="both"/>
        <w:rPr>
          <w:lang w:eastAsia="zh-CN"/>
        </w:rPr>
      </w:pPr>
    </w:p>
    <w:p w14:paraId="64C828C2">
      <w:pPr>
        <w:pStyle w:val="4"/>
        <w:spacing w:before="31" w:line="300" w:lineRule="auto"/>
        <w:ind w:left="142" w:right="692"/>
        <w:jc w:val="both"/>
        <w:rPr>
          <w:lang w:eastAsia="zh-CN"/>
        </w:rPr>
      </w:pPr>
      <w:r>
        <w:rPr>
          <w:rFonts w:hint="eastAsia" w:ascii="宋体" w:hAnsi="宋体" w:eastAsia="宋体" w:cs="宋体"/>
          <w:lang w:eastAsia="zh-CN"/>
        </w:rPr>
        <w:t>鉴于标准一般声明范围包括但不限于标准中所示的</w:t>
      </w:r>
      <w:r>
        <w:rPr>
          <w:lang w:eastAsia="zh-CN"/>
        </w:rPr>
        <w:t>CAS</w:t>
      </w:r>
      <w:r>
        <w:rPr>
          <w:rFonts w:hint="eastAsia" w:ascii="宋体" w:hAnsi="宋体" w:eastAsia="宋体" w:cs="宋体"/>
          <w:lang w:eastAsia="zh-CN"/>
        </w:rPr>
        <w:t>号，并且用于识别成分的任何其他</w:t>
      </w:r>
      <w:r>
        <w:rPr>
          <w:lang w:eastAsia="zh-CN"/>
        </w:rPr>
        <w:t>CAS</w:t>
      </w:r>
      <w:r>
        <w:rPr>
          <w:rFonts w:hint="eastAsia" w:ascii="宋体" w:hAnsi="宋体" w:eastAsia="宋体" w:cs="宋体"/>
          <w:lang w:eastAsia="zh-CN"/>
        </w:rPr>
        <w:t>号也应考虑在范围内，请注意，因此这些变化不被视为影响金合欢醇和薄荷内酯标准的内容。因此，与第</w:t>
      </w:r>
      <w:r>
        <w:rPr>
          <w:lang w:eastAsia="zh-CN"/>
        </w:rPr>
        <w:t>51</w:t>
      </w:r>
      <w:r>
        <w:rPr>
          <w:rFonts w:hint="eastAsia" w:ascii="宋体" w:hAnsi="宋体" w:eastAsia="宋体" w:cs="宋体"/>
          <w:lang w:eastAsia="zh-CN"/>
        </w:rPr>
        <w:t>修正案相关的实施时间表不适用于金合欢醇和薄荷内酯的标准。</w:t>
      </w:r>
    </w:p>
    <w:p w14:paraId="6DD080C0">
      <w:pPr>
        <w:pStyle w:val="4"/>
        <w:spacing w:before="31" w:line="300" w:lineRule="auto"/>
        <w:ind w:left="142" w:right="692"/>
        <w:jc w:val="both"/>
        <w:rPr>
          <w:lang w:eastAsia="zh-CN"/>
        </w:rPr>
      </w:pPr>
      <w:r>
        <w:rPr>
          <w:rFonts w:hint="eastAsia" w:ascii="宋体" w:hAnsi="宋体" w:eastAsia="宋体" w:cs="宋体"/>
          <w:lang w:eastAsia="zh-CN"/>
        </w:rPr>
        <w:t>作为第</w:t>
      </w:r>
      <w:r>
        <w:rPr>
          <w:lang w:eastAsia="zh-CN"/>
        </w:rPr>
        <w:t>51</w:t>
      </w:r>
      <w:r>
        <w:rPr>
          <w:rFonts w:hint="eastAsia" w:ascii="宋体" w:hAnsi="宋体" w:eastAsia="宋体" w:cs="宋体"/>
          <w:lang w:eastAsia="zh-CN"/>
        </w:rPr>
        <w:t>次修正案的一部分，发布了更新后的标准，以及仅重新发布的几个标准，以实施商定的格式更改（删除化学结构、分子式和包含其他来源的附件中的详细信息）。</w:t>
      </w:r>
    </w:p>
    <w:sectPr>
      <w:pgSz w:w="11910" w:h="16840"/>
      <w:pgMar w:top="1500" w:right="20" w:bottom="980" w:left="580" w:header="432" w:footer="78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Century Gothic">
    <w:panose1 w:val="020B0502020202020204"/>
    <w:charset w:val="00"/>
    <w:family w:val="swiss"/>
    <w:pitch w:val="default"/>
    <w:sig w:usb0="00000287"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BA6CA">
    <w:pPr>
      <w:pStyle w:val="4"/>
      <w:spacing w:line="14" w:lineRule="auto"/>
      <w:rPr>
        <w:sz w:val="20"/>
      </w:rPr>
    </w:pPr>
    <w:r>
      <mc:AlternateContent>
        <mc:Choice Requires="wps">
          <w:drawing>
            <wp:anchor distT="0" distB="0" distL="0" distR="0" simplePos="0" relativeHeight="251668480" behindDoc="0" locked="0" layoutInCell="1" allowOverlap="1">
              <wp:simplePos x="0" y="0"/>
              <wp:positionH relativeFrom="page">
                <wp:align>center</wp:align>
              </wp:positionH>
              <wp:positionV relativeFrom="page">
                <wp:align>bottom</wp:align>
              </wp:positionV>
              <wp:extent cx="443865" cy="443865"/>
              <wp:effectExtent l="0" t="0" r="13970" b="0"/>
              <wp:wrapNone/>
              <wp:docPr id="7" name="文本框 7"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CCDCCC9">
                          <w:pPr>
                            <w:rPr>
                              <w:color w:val="000000"/>
                              <w:sz w:val="20"/>
                              <w:szCs w:val="20"/>
                            </w:rPr>
                          </w:pPr>
                          <w:r>
                            <w:rPr>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 id="_x0000_s1026" o:spid="_x0000_s1026" o:spt="202" alt="Internal" type="#_x0000_t202" style="position:absolute;left:0pt;height:34.95pt;width:34.95pt;mso-position-horizontal:center;mso-position-horizontal-relative:page;mso-position-vertical:bottom;mso-position-vertical-relative:page;mso-wrap-style:none;z-index:251668480;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8ga6g0gAAAAMBAAAPAAAAAAAAAAEAIAAAACIAAABkcnMvZG93bnJldi54bWxQ&#10;SwECFAAUAAAACACHTuJAIRYkNTYCAABgBAAADgAAAAAAAAABACAAAAAhAQAAZHJzL2Uyb0RvYy54&#10;bWxQSwUGAAAAAAYABgBZAQAAyQUAAAAA&#10;">
              <v:fill on="f" focussize="0,0"/>
              <v:stroke on="f"/>
              <v:imagedata o:title=""/>
              <o:lock v:ext="edit" aspectratio="f"/>
              <v:textbox inset="0mm,0mm,0mm,15pt" style="mso-fit-shape-to-text:t;">
                <w:txbxContent>
                  <w:p w14:paraId="5CCDCCC9">
                    <w:pPr>
                      <w:rPr>
                        <w:color w:val="000000"/>
                        <w:sz w:val="20"/>
                        <w:szCs w:val="20"/>
                      </w:rPr>
                    </w:pPr>
                    <w:r>
                      <w:rPr>
                        <w:color w:val="000000"/>
                        <w:sz w:val="20"/>
                        <w:szCs w:val="20"/>
                      </w:rPr>
                      <w:t>Internal</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10060305</wp:posOffset>
              </wp:positionV>
              <wp:extent cx="867410" cy="151130"/>
              <wp:effectExtent l="0" t="0" r="0" b="0"/>
              <wp:wrapNone/>
              <wp:docPr id="1513930277" name="Text Box 4"/>
              <wp:cNvGraphicFramePr/>
              <a:graphic xmlns:a="http://schemas.openxmlformats.org/drawingml/2006/main">
                <a:graphicData uri="http://schemas.microsoft.com/office/word/2010/wordprocessingShape">
                  <wps:wsp>
                    <wps:cNvSpPr txBox="1">
                      <a:spLocks noChangeArrowheads="1"/>
                    </wps:cNvSpPr>
                    <wps:spPr bwMode="auto">
                      <a:xfrm>
                        <a:off x="0" y="0"/>
                        <a:ext cx="867410" cy="151130"/>
                      </a:xfrm>
                      <a:prstGeom prst="rect">
                        <a:avLst/>
                      </a:prstGeom>
                      <a:noFill/>
                      <a:ln>
                        <a:noFill/>
                      </a:ln>
                    </wps:spPr>
                    <wps:txbx>
                      <w:txbxContent>
                        <w:p w14:paraId="5C1B89F9">
                          <w:pPr>
                            <w:spacing w:before="21"/>
                            <w:ind w:left="20"/>
                            <w:rPr>
                              <w:rFonts w:ascii="Century Gothic"/>
                              <w:sz w:val="16"/>
                            </w:rPr>
                          </w:pPr>
                          <w:r>
                            <w:rPr>
                              <w:rFonts w:ascii="Century Gothic"/>
                              <w:color w:val="7473A9"/>
                              <w:sz w:val="16"/>
                            </w:rPr>
                            <w:t>ifrafragrance.org</w:t>
                          </w:r>
                        </w:p>
                      </w:txbxContent>
                    </wps:txbx>
                    <wps:bodyPr rot="0" vert="horz" wrap="square" lIns="0" tIns="0" rIns="0" bIns="0" anchor="t" anchorCtr="0" upright="1">
                      <a:noAutofit/>
                    </wps:bodyPr>
                  </wps:wsp>
                </a:graphicData>
              </a:graphic>
            </wp:anchor>
          </w:drawing>
        </mc:Choice>
        <mc:Fallback>
          <w:pict>
            <v:shape id="Text Box 4" o:spid="_x0000_s1026" o:spt="202" type="#_x0000_t202" style="position:absolute;left:0pt;margin-left:35pt;margin-top:792.15pt;height:11.9pt;width:68.3pt;mso-position-horizontal-relative:page;mso-position-vertical-relative:page;z-index:-251657216;mso-width-relative:page;mso-height-relative:page;" filled="f" stroked="f" coordsize="21600,21600" o:gfxdata="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&#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rdmw92gAAAAwBAAAPAAAAAAAAAAEAIAAAACIAAABk&#10;cnMvZG93bnJldi54bWxQSwECFAAUAAAACACHTuJAjg5xCwQCAAAMBAAADgAAAAAAAAABACAAAAAp&#10;AQAAZHJzL2Uyb0RvYy54bWxQSwUGAAAAAAYABgBZAQAAnwUAAAAA&#10;">
              <v:fill on="f" focussize="0,0"/>
              <v:stroke on="f"/>
              <v:imagedata o:title=""/>
              <o:lock v:ext="edit" aspectratio="f"/>
              <v:textbox inset="0mm,0mm,0mm,0mm">
                <w:txbxContent>
                  <w:p w14:paraId="5C1B89F9">
                    <w:pPr>
                      <w:spacing w:before="21"/>
                      <w:ind w:left="20"/>
                      <w:rPr>
                        <w:rFonts w:ascii="Century Gothic"/>
                        <w:sz w:val="16"/>
                      </w:rPr>
                    </w:pPr>
                    <w:r>
                      <w:rPr>
                        <w:rFonts w:ascii="Century Gothic"/>
                        <w:color w:val="7473A9"/>
                        <w:sz w:val="16"/>
                      </w:rPr>
                      <w:t>ifrafragrance.org</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F5A2A">
    <w:pPr>
      <w:pStyle w:val="6"/>
    </w:pPr>
    <w:r>
      <mc:AlternateContent>
        <mc:Choice Requires="wps">
          <w:drawing>
            <wp:anchor distT="0" distB="0" distL="0" distR="0" simplePos="0" relativeHeight="251667456" behindDoc="0" locked="0" layoutInCell="1" allowOverlap="1">
              <wp:simplePos x="0" y="0"/>
              <wp:positionH relativeFrom="page">
                <wp:align>center</wp:align>
              </wp:positionH>
              <wp:positionV relativeFrom="page">
                <wp:align>bottom</wp:align>
              </wp:positionV>
              <wp:extent cx="443865" cy="443865"/>
              <wp:effectExtent l="0" t="0" r="13970" b="0"/>
              <wp:wrapNone/>
              <wp:docPr id="6" name="文本框 6"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B344993">
                          <w:pPr>
                            <w:rPr>
                              <w:color w:val="000000"/>
                              <w:sz w:val="20"/>
                              <w:szCs w:val="20"/>
                            </w:rPr>
                          </w:pPr>
                          <w:r>
                            <w:rPr>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 id="_x0000_s1026" o:spid="_x0000_s1026" o:spt="202" alt="Internal" type="#_x0000_t202" style="position:absolute;left:0pt;height:34.95pt;width:34.95pt;mso-position-horizontal:center;mso-position-horizontal-relative:page;mso-position-vertical:bottom;mso-position-vertical-relative:page;mso-wrap-style:none;z-index:251667456;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yBrqDSAAAAAwEAAA8AAAAAAAAAAQAgAAAAIgAAAGRycy9kb3ducmV2LnhtbFBL&#10;AQIUABQAAAAIAIdO4kBAHXcVNQIAAGAEAAAOAAAAAAAAAAEAIAAAACEBAABkcnMvZTJvRG9jLnht&#10;bFBLBQYAAAAABgAGAFkBAADIBQAAAAA=&#10;">
              <v:fill on="f" focussize="0,0"/>
              <v:stroke on="f"/>
              <v:imagedata o:title=""/>
              <o:lock v:ext="edit" aspectratio="f"/>
              <v:textbox inset="0mm,0mm,0mm,15pt" style="mso-fit-shape-to-text:t;">
                <w:txbxContent>
                  <w:p w14:paraId="4B344993">
                    <w:pPr>
                      <w:rPr>
                        <w:color w:val="000000"/>
                        <w:sz w:val="20"/>
                        <w:szCs w:val="20"/>
                      </w:rPr>
                    </w:pPr>
                    <w:r>
                      <w:rPr>
                        <w:color w:val="000000"/>
                        <w:sz w:val="20"/>
                        <w:szCs w:val="20"/>
                      </w:rPr>
                      <w:t>Internal</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9CB511">
    <w:pPr>
      <w:pStyle w:val="6"/>
    </w:pPr>
    <w:r>
      <mc:AlternateContent>
        <mc:Choice Requires="wps">
          <w:drawing>
            <wp:anchor distT="0" distB="0" distL="0" distR="0" simplePos="0" relativeHeight="251666432" behindDoc="0" locked="0" layoutInCell="1" allowOverlap="1">
              <wp:simplePos x="0" y="0"/>
              <wp:positionH relativeFrom="page">
                <wp:align>center</wp:align>
              </wp:positionH>
              <wp:positionV relativeFrom="page">
                <wp:align>bottom</wp:align>
              </wp:positionV>
              <wp:extent cx="443865" cy="443865"/>
              <wp:effectExtent l="0" t="0" r="13970" b="0"/>
              <wp:wrapNone/>
              <wp:docPr id="4" name="文本框 4"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8E20A7">
                          <w:pPr>
                            <w:rPr>
                              <w:color w:val="000000"/>
                              <w:sz w:val="20"/>
                              <w:szCs w:val="20"/>
                            </w:rPr>
                          </w:pPr>
                          <w:r>
                            <w:rPr>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 id="_x0000_s1026" o:spid="_x0000_s1026" o:spt="202" alt="Internal" type="#_x0000_t202" style="position:absolute;left:0pt;height:34.95pt;width:34.95pt;mso-position-horizontal:center;mso-position-horizontal-relative:page;mso-position-vertical:bottom;mso-position-vertical-relative:page;mso-wrap-style:none;z-index:251666432;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yBrqDSAAAAAwEAAA8AAAAAAAAAAQAgAAAAIgAAAGRycy9kb3ducmV2LnhtbFBL&#10;AQIUABQAAAAIAIdO4kCCC9FVNQIAAGAEAAAOAAAAAAAAAAEAIAAAACEBAABkcnMvZTJvRG9jLnht&#10;bFBLBQYAAAAABgAGAFkBAADIBQAAAAA=&#10;">
              <v:fill on="f" focussize="0,0"/>
              <v:stroke on="f"/>
              <v:imagedata o:title=""/>
              <o:lock v:ext="edit" aspectratio="f"/>
              <v:textbox inset="0mm,0mm,0mm,15pt" style="mso-fit-shape-to-text:t;">
                <w:txbxContent>
                  <w:p w14:paraId="1E8E20A7">
                    <w:pPr>
                      <w:rPr>
                        <w:color w:val="000000"/>
                        <w:sz w:val="20"/>
                        <w:szCs w:val="20"/>
                      </w:rPr>
                    </w:pPr>
                    <w:r>
                      <w:rPr>
                        <w:color w:val="000000"/>
                        <w:sz w:val="20"/>
                        <w:szCs w:val="20"/>
                      </w:rPr>
                      <w:t>Internal</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1F604">
    <w:pPr>
      <w:pStyle w:val="4"/>
      <w:spacing w:line="14" w:lineRule="auto"/>
      <w:rPr>
        <w:sz w:val="20"/>
      </w:rPr>
    </w:pPr>
    <w:r>
      <mc:AlternateContent>
        <mc:Choice Requires="wps">
          <w:drawing>
            <wp:anchor distT="0" distB="0" distL="0" distR="0" simplePos="0" relativeHeight="251671552" behindDoc="0" locked="0" layoutInCell="1" allowOverlap="1">
              <wp:simplePos x="0" y="0"/>
              <wp:positionH relativeFrom="page">
                <wp:align>center</wp:align>
              </wp:positionH>
              <wp:positionV relativeFrom="page">
                <wp:align>bottom</wp:align>
              </wp:positionV>
              <wp:extent cx="443865" cy="443865"/>
              <wp:effectExtent l="0" t="0" r="13970" b="0"/>
              <wp:wrapNone/>
              <wp:docPr id="10" name="文本框 10"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86B14D">
                          <w:pPr>
                            <w:rPr>
                              <w:color w:val="000000"/>
                              <w:sz w:val="20"/>
                              <w:szCs w:val="20"/>
                            </w:rPr>
                          </w:pPr>
                          <w:r>
                            <w:rPr>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 id="_x0000_s1026" o:spid="_x0000_s1026" o:spt="202" alt="Internal" type="#_x0000_t202" style="position:absolute;left:0pt;height:34.95pt;width:34.95pt;mso-position-horizontal:center;mso-position-horizontal-relative:page;mso-position-vertical:bottom;mso-position-vertical-relative:page;mso-wrap-style:none;z-index:251671552;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yBrqDSAAAAAwEAAA8AAAAAAAAAAQAgAAAAIgAAAGRycy9kb3ducmV2LnhtbFBL&#10;AQIUABQAAAAIAIdO4kDwCOXJNQIAAGIEAAAOAAAAAAAAAAEAIAAAACEBAABkcnMvZTJvRG9jLnht&#10;bFBLBQYAAAAABgAGAFkBAADIBQAAAAA=&#10;">
              <v:fill on="f" focussize="0,0"/>
              <v:stroke on="f"/>
              <v:imagedata o:title=""/>
              <o:lock v:ext="edit" aspectratio="f"/>
              <v:textbox inset="0mm,0mm,0mm,15pt" style="mso-fit-shape-to-text:t;">
                <w:txbxContent>
                  <w:p w14:paraId="2486B14D">
                    <w:pPr>
                      <w:rPr>
                        <w:color w:val="000000"/>
                        <w:sz w:val="20"/>
                        <w:szCs w:val="20"/>
                      </w:rPr>
                    </w:pPr>
                    <w:r>
                      <w:rPr>
                        <w:color w:val="000000"/>
                        <w:sz w:val="20"/>
                        <w:szCs w:val="20"/>
                      </w:rPr>
                      <w:t>Internal</w:t>
                    </w:r>
                  </w:p>
                </w:txbxContent>
              </v:textbox>
            </v:shap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457200</wp:posOffset>
              </wp:positionH>
              <wp:positionV relativeFrom="page">
                <wp:posOffset>10019030</wp:posOffset>
              </wp:positionV>
              <wp:extent cx="6327140" cy="1270"/>
              <wp:effectExtent l="0" t="0" r="0" b="0"/>
              <wp:wrapNone/>
              <wp:docPr id="469544061" name="AutoShape 3"/>
              <wp:cNvGraphicFramePr/>
              <a:graphic xmlns:a="http://schemas.openxmlformats.org/drawingml/2006/main">
                <a:graphicData uri="http://schemas.microsoft.com/office/word/2010/wordprocessingShape">
                  <wps:wsp>
                    <wps:cNvSpPr/>
                    <wps:spPr bwMode="auto">
                      <a:xfrm>
                        <a:off x="0" y="0"/>
                        <a:ext cx="6327140" cy="1270"/>
                      </a:xfrm>
                      <a:custGeom>
                        <a:avLst/>
                        <a:gdLst>
                          <a:gd name="T0" fmla="+- 0 720 720"/>
                          <a:gd name="T1" fmla="*/ T0 w 9964"/>
                          <a:gd name="T2" fmla="+- 0 2318 720"/>
                          <a:gd name="T3" fmla="*/ T2 w 9964"/>
                          <a:gd name="T4" fmla="+- 0 2321 720"/>
                          <a:gd name="T5" fmla="*/ T4 w 9964"/>
                          <a:gd name="T6" fmla="+- 0 3120 720"/>
                          <a:gd name="T7" fmla="*/ T6 w 9964"/>
                          <a:gd name="T8" fmla="+- 0 3122 720"/>
                          <a:gd name="T9" fmla="*/ T8 w 9964"/>
                          <a:gd name="T10" fmla="+- 0 4721 720"/>
                          <a:gd name="T11" fmla="*/ T10 w 9964"/>
                          <a:gd name="T12" fmla="+- 0 4723 720"/>
                          <a:gd name="T13" fmla="*/ T12 w 9964"/>
                          <a:gd name="T14" fmla="+- 0 5522 720"/>
                          <a:gd name="T15" fmla="*/ T14 w 9964"/>
                          <a:gd name="T16" fmla="+- 0 5524 720"/>
                          <a:gd name="T17" fmla="*/ T16 w 9964"/>
                          <a:gd name="T18" fmla="+- 0 7123 720"/>
                          <a:gd name="T19" fmla="*/ T18 w 9964"/>
                          <a:gd name="T20" fmla="+- 0 7125 720"/>
                          <a:gd name="T21" fmla="*/ T20 w 9964"/>
                          <a:gd name="T22" fmla="+- 0 7924 720"/>
                          <a:gd name="T23" fmla="*/ T22 w 9964"/>
                          <a:gd name="T24" fmla="+- 0 7926 720"/>
                          <a:gd name="T25" fmla="*/ T24 w 9964"/>
                          <a:gd name="T26" fmla="+- 0 9525 720"/>
                          <a:gd name="T27" fmla="*/ T26 w 9964"/>
                          <a:gd name="T28" fmla="+- 0 9527 720"/>
                          <a:gd name="T29" fmla="*/ T28 w 9964"/>
                          <a:gd name="T30" fmla="+- 0 10326 720"/>
                          <a:gd name="T31" fmla="*/ T30 w 9964"/>
                          <a:gd name="T32" fmla="+- 0 10328 720"/>
                          <a:gd name="T33" fmla="*/ T32 w 9964"/>
                          <a:gd name="T34" fmla="+- 0 10684 720"/>
                          <a:gd name="T35" fmla="*/ T34 w 9964"/>
                        </a:gdLst>
                        <a:ahLst/>
                        <a:cxnLst>
                          <a:cxn ang="0">
                            <a:pos x="T1" y="0"/>
                          </a:cxn>
                          <a:cxn ang="0">
                            <a:pos x="T3" y="0"/>
                          </a:cxn>
                          <a:cxn ang="0">
                            <a:pos x="T5" y="0"/>
                          </a:cxn>
                          <a:cxn ang="0">
                            <a:pos x="T7" y="0"/>
                          </a:cxn>
                          <a:cxn ang="0">
                            <a:pos x="T9" y="0"/>
                          </a:cxn>
                          <a:cxn ang="0">
                            <a:pos x="T11" y="0"/>
                          </a:cxn>
                          <a:cxn ang="0">
                            <a:pos x="T13" y="0"/>
                          </a:cxn>
                          <a:cxn ang="0">
                            <a:pos x="T15" y="0"/>
                          </a:cxn>
                          <a:cxn ang="0">
                            <a:pos x="T17" y="0"/>
                          </a:cxn>
                          <a:cxn ang="0">
                            <a:pos x="T19" y="0"/>
                          </a:cxn>
                          <a:cxn ang="0">
                            <a:pos x="T21" y="0"/>
                          </a:cxn>
                          <a:cxn ang="0">
                            <a:pos x="T23" y="0"/>
                          </a:cxn>
                          <a:cxn ang="0">
                            <a:pos x="T25" y="0"/>
                          </a:cxn>
                          <a:cxn ang="0">
                            <a:pos x="T27" y="0"/>
                          </a:cxn>
                          <a:cxn ang="0">
                            <a:pos x="T29" y="0"/>
                          </a:cxn>
                          <a:cxn ang="0">
                            <a:pos x="T31" y="0"/>
                          </a:cxn>
                          <a:cxn ang="0">
                            <a:pos x="T33" y="0"/>
                          </a:cxn>
                          <a:cxn ang="0">
                            <a:pos x="T35" y="0"/>
                          </a:cxn>
                        </a:cxnLst>
                        <a:rect l="0" t="0" r="r" b="b"/>
                        <a:pathLst>
                          <a:path w="9964">
                            <a:moveTo>
                              <a:pt x="0" y="0"/>
                            </a:moveTo>
                            <a:lnTo>
                              <a:pt x="1598" y="0"/>
                            </a:lnTo>
                            <a:moveTo>
                              <a:pt x="1601" y="0"/>
                            </a:moveTo>
                            <a:lnTo>
                              <a:pt x="2400" y="0"/>
                            </a:lnTo>
                            <a:moveTo>
                              <a:pt x="2402" y="0"/>
                            </a:moveTo>
                            <a:lnTo>
                              <a:pt x="4001" y="0"/>
                            </a:lnTo>
                            <a:moveTo>
                              <a:pt x="4003" y="0"/>
                            </a:moveTo>
                            <a:lnTo>
                              <a:pt x="4802" y="0"/>
                            </a:lnTo>
                            <a:moveTo>
                              <a:pt x="4804" y="0"/>
                            </a:moveTo>
                            <a:lnTo>
                              <a:pt x="6403" y="0"/>
                            </a:lnTo>
                            <a:moveTo>
                              <a:pt x="6405" y="0"/>
                            </a:moveTo>
                            <a:lnTo>
                              <a:pt x="7204" y="0"/>
                            </a:lnTo>
                            <a:moveTo>
                              <a:pt x="7206" y="0"/>
                            </a:moveTo>
                            <a:lnTo>
                              <a:pt x="8805" y="0"/>
                            </a:lnTo>
                            <a:moveTo>
                              <a:pt x="8807" y="0"/>
                            </a:moveTo>
                            <a:lnTo>
                              <a:pt x="9606" y="0"/>
                            </a:lnTo>
                            <a:moveTo>
                              <a:pt x="9608" y="0"/>
                            </a:moveTo>
                            <a:lnTo>
                              <a:pt x="9964" y="0"/>
                            </a:lnTo>
                          </a:path>
                        </a:pathLst>
                      </a:custGeom>
                      <a:noFill/>
                      <a:ln w="6433">
                        <a:solidFill>
                          <a:srgbClr val="323232"/>
                        </a:solidFill>
                        <a:round/>
                      </a:ln>
                    </wps:spPr>
                    <wps:bodyPr rot="0" vert="horz" wrap="square" lIns="91440" tIns="45720" rIns="91440" bIns="45720" anchor="t" anchorCtr="0" upright="1">
                      <a:noAutofit/>
                    </wps:bodyPr>
                  </wps:wsp>
                </a:graphicData>
              </a:graphic>
            </wp:anchor>
          </w:drawing>
        </mc:Choice>
        <mc:Fallback>
          <w:pict>
            <v:shape id="AutoShape 3" o:spid="_x0000_s1026" o:spt="100" style="position:absolute;left:0pt;margin-left:36pt;margin-top:788.9pt;height:0.1pt;width:498.2pt;mso-position-horizontal-relative:page;mso-position-vertical-relative:page;z-index:-251655168;mso-width-relative:page;mso-height-relative:page;" filled="f" stroked="t" coordsize="9964,1" o:gfxdata="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" path="m0,0l1598,0m1601,0l2400,0m2402,0l4001,0m4003,0l4802,0m4804,0l6403,0m6405,0l7204,0m7206,0l8805,0m8807,0l9606,0m9608,0l9964,0e">
              <v:path o:connectlocs="0,0;1014730,0;1016635,0;1524000,0;1525270,0;2540635,0;2541905,0;3049270,0;3050540,0;4065905,0;4067175,0;4574540,0;4575810,0;5591175,0;5592445,0;6099810,0;6101080,0;6327140,0" o:connectangles="0,0,0,0,0,0,0,0,0,0,0,0,0,0,0,0,0,0"/>
              <v:fill on="f" focussize="0,0"/>
              <v:stroke weight="0.506535433070866pt" color="#323232" joinstyle="round"/>
              <v:imagedata o:title=""/>
              <o:lock v:ext="edit" aspectratio="f"/>
            </v:shape>
          </w:pict>
        </mc:Fallback>
      </mc:AlternateContent>
    </w:r>
    <w:r>
      <mc:AlternateContent>
        <mc:Choice Requires="wps">
          <w:drawing>
            <wp:anchor distT="0" distB="0" distL="114300" distR="114300" simplePos="0" relativeHeight="251662336" behindDoc="1" locked="0" layoutInCell="1" allowOverlap="1">
              <wp:simplePos x="0" y="0"/>
              <wp:positionH relativeFrom="page">
                <wp:posOffset>444500</wp:posOffset>
              </wp:positionH>
              <wp:positionV relativeFrom="page">
                <wp:posOffset>10015220</wp:posOffset>
              </wp:positionV>
              <wp:extent cx="2404745" cy="167005"/>
              <wp:effectExtent l="0" t="0" r="0" b="0"/>
              <wp:wrapNone/>
              <wp:docPr id="776130015" name="Text Box 2"/>
              <wp:cNvGraphicFramePr/>
              <a:graphic xmlns:a="http://schemas.openxmlformats.org/drawingml/2006/main">
                <a:graphicData uri="http://schemas.microsoft.com/office/word/2010/wordprocessingShape">
                  <wps:wsp>
                    <wps:cNvSpPr txBox="1">
                      <a:spLocks noChangeArrowheads="1"/>
                    </wps:cNvSpPr>
                    <wps:spPr bwMode="auto">
                      <a:xfrm>
                        <a:off x="0" y="0"/>
                        <a:ext cx="2404745" cy="167005"/>
                      </a:xfrm>
                      <a:prstGeom prst="rect">
                        <a:avLst/>
                      </a:prstGeom>
                      <a:noFill/>
                      <a:ln>
                        <a:noFill/>
                      </a:ln>
                    </wps:spPr>
                    <wps:txbx>
                      <w:txbxContent>
                        <w:p w14:paraId="3D678169">
                          <w:pPr>
                            <w:spacing w:before="12"/>
                            <w:ind w:left="20"/>
                            <w:rPr>
                              <w:sz w:val="20"/>
                            </w:rPr>
                          </w:pPr>
                          <w:r>
                            <w:rPr>
                              <w:color w:val="333333"/>
                              <w:sz w:val="20"/>
                            </w:rPr>
                            <w:t>IFRA 51</w:t>
                          </w:r>
                          <w:r>
                            <w:rPr>
                              <w:color w:val="333333"/>
                              <w:position w:val="6"/>
                              <w:sz w:val="13"/>
                            </w:rPr>
                            <w:t xml:space="preserve">st </w:t>
                          </w:r>
                          <w:r>
                            <w:rPr>
                              <w:color w:val="333333"/>
                              <w:sz w:val="20"/>
                            </w:rPr>
                            <w:t>Amendment – Notification Letter</w:t>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35pt;margin-top:788.6pt;height:13.15pt;width:189.35pt;mso-position-horizontal-relative:page;mso-position-vertical-relative:page;z-index:-251654144;mso-width-relative:page;mso-height-relative:page;" filled="f" stroked="f" coordsize="21600,21600" o:gfxdata="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krImNsAAAAMAQAADwAAAAAAAAABACAAAAAiAAAA&#10;ZHJzL2Rvd25yZXYueG1sUEsBAhQAFAAAAAgAh07iQLNfsssEAgAADAQAAA4AAAAAAAAAAQAgAAAA&#10;KgEAAGRycy9lMm9Eb2MueG1sUEsFBgAAAAAGAAYAWQEAAKAFAAAAAA==&#10;">
              <v:fill on="f" focussize="0,0"/>
              <v:stroke on="f"/>
              <v:imagedata o:title=""/>
              <o:lock v:ext="edit" aspectratio="f"/>
              <v:textbox inset="0mm,0mm,0mm,0mm">
                <w:txbxContent>
                  <w:p w14:paraId="3D678169">
                    <w:pPr>
                      <w:spacing w:before="12"/>
                      <w:ind w:left="20"/>
                      <w:rPr>
                        <w:sz w:val="20"/>
                      </w:rPr>
                    </w:pPr>
                    <w:r>
                      <w:rPr>
                        <w:color w:val="333333"/>
                        <w:sz w:val="20"/>
                      </w:rPr>
                      <w:t>IFRA 51</w:t>
                    </w:r>
                    <w:r>
                      <w:rPr>
                        <w:color w:val="333333"/>
                        <w:position w:val="6"/>
                        <w:sz w:val="13"/>
                      </w:rPr>
                      <w:t xml:space="preserve">st </w:t>
                    </w:r>
                    <w:r>
                      <w:rPr>
                        <w:color w:val="333333"/>
                        <w:sz w:val="20"/>
                      </w:rPr>
                      <w:t>Amendment – Notification Letter</w:t>
                    </w:r>
                  </w:p>
                </w:txbxContent>
              </v:textbox>
            </v:shape>
          </w:pict>
        </mc:Fallback>
      </mc:AlternateContent>
    </w:r>
    <w:r>
      <mc:AlternateContent>
        <mc:Choice Requires="wps">
          <w:drawing>
            <wp:anchor distT="0" distB="0" distL="114300" distR="114300" simplePos="0" relativeHeight="251663360" behindDoc="1" locked="0" layoutInCell="1" allowOverlap="1">
              <wp:simplePos x="0" y="0"/>
              <wp:positionH relativeFrom="page">
                <wp:posOffset>6363970</wp:posOffset>
              </wp:positionH>
              <wp:positionV relativeFrom="page">
                <wp:posOffset>10015220</wp:posOffset>
              </wp:positionV>
              <wp:extent cx="369570" cy="167005"/>
              <wp:effectExtent l="0" t="0" r="0" b="0"/>
              <wp:wrapNone/>
              <wp:docPr id="2124033840" name="Text Box 1"/>
              <wp:cNvGraphicFramePr/>
              <a:graphic xmlns:a="http://schemas.openxmlformats.org/drawingml/2006/main">
                <a:graphicData uri="http://schemas.microsoft.com/office/word/2010/wordprocessingShape">
                  <wps:wsp>
                    <wps:cNvSpPr txBox="1">
                      <a:spLocks noChangeArrowheads="1"/>
                    </wps:cNvSpPr>
                    <wps:spPr bwMode="auto">
                      <a:xfrm>
                        <a:off x="0" y="0"/>
                        <a:ext cx="369570" cy="167005"/>
                      </a:xfrm>
                      <a:prstGeom prst="rect">
                        <a:avLst/>
                      </a:prstGeom>
                      <a:noFill/>
                      <a:ln>
                        <a:noFill/>
                      </a:ln>
                    </wps:spPr>
                    <wps:txbx>
                      <w:txbxContent>
                        <w:p w14:paraId="10BE5009">
                          <w:pPr>
                            <w:spacing w:before="12"/>
                            <w:ind w:left="60"/>
                            <w:rPr>
                              <w:sz w:val="20"/>
                            </w:rPr>
                          </w:pPr>
                          <w:r>
                            <w:fldChar w:fldCharType="begin"/>
                          </w:r>
                          <w:r>
                            <w:rPr>
                              <w:color w:val="333333"/>
                              <w:sz w:val="20"/>
                            </w:rPr>
                            <w:instrText xml:space="preserve"> PAGE </w:instrText>
                          </w:r>
                          <w:r>
                            <w:fldChar w:fldCharType="separate"/>
                          </w:r>
                          <w:r>
                            <w:t>10</w:t>
                          </w:r>
                          <w:r>
                            <w:fldChar w:fldCharType="end"/>
                          </w:r>
                          <w:r>
                            <w:rPr>
                              <w:color w:val="333333"/>
                              <w:sz w:val="20"/>
                            </w:rPr>
                            <w:t>/13</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501.1pt;margin-top:788.6pt;height:13.15pt;width:29.1pt;mso-position-horizontal-relative:page;mso-position-vertical-relative:page;z-index:-251653120;mso-width-relative:page;mso-height-relative:page;" filled="f" stroked="f" coordsize="21600,21600" o:gfxdata="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&#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WuNgLaAAAADwEAAA8AAAAAAAAAAQAgAAAAIgAAAGRy&#10;cy9kb3ducmV2LnhtbFBLAQIUABQAAAAIAIdO4kBq3hRpAwIAAAwEAAAOAAAAAAAAAAEAIAAAACkB&#10;AABkcnMvZTJvRG9jLnhtbFBLBQYAAAAABgAGAFkBAACeBQAAAAA=&#10;">
              <v:fill on="f" focussize="0,0"/>
              <v:stroke on="f"/>
              <v:imagedata o:title=""/>
              <o:lock v:ext="edit" aspectratio="f"/>
              <v:textbox inset="0mm,0mm,0mm,0mm">
                <w:txbxContent>
                  <w:p w14:paraId="10BE5009">
                    <w:pPr>
                      <w:spacing w:before="12"/>
                      <w:ind w:left="60"/>
                      <w:rPr>
                        <w:sz w:val="20"/>
                      </w:rPr>
                    </w:pPr>
                    <w:r>
                      <w:fldChar w:fldCharType="begin"/>
                    </w:r>
                    <w:r>
                      <w:rPr>
                        <w:color w:val="333333"/>
                        <w:sz w:val="20"/>
                      </w:rPr>
                      <w:instrText xml:space="preserve"> PAGE </w:instrText>
                    </w:r>
                    <w:r>
                      <w:fldChar w:fldCharType="separate"/>
                    </w:r>
                    <w:r>
                      <w:t>10</w:t>
                    </w:r>
                    <w:r>
                      <w:fldChar w:fldCharType="end"/>
                    </w:r>
                    <w:r>
                      <w:rPr>
                        <w:color w:val="333333"/>
                        <w:sz w:val="20"/>
                      </w:rPr>
                      <w:t>/13</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BC6A5">
    <w:pPr>
      <w:pStyle w:val="6"/>
    </w:pPr>
    <w:r>
      <mc:AlternateContent>
        <mc:Choice Requires="wps">
          <w:drawing>
            <wp:anchor distT="0" distB="0" distL="0" distR="0" simplePos="0" relativeHeight="251670528" behindDoc="0" locked="0" layoutInCell="1" allowOverlap="1">
              <wp:simplePos x="0" y="0"/>
              <wp:positionH relativeFrom="page">
                <wp:align>center</wp:align>
              </wp:positionH>
              <wp:positionV relativeFrom="page">
                <wp:align>bottom</wp:align>
              </wp:positionV>
              <wp:extent cx="443865" cy="443865"/>
              <wp:effectExtent l="0" t="0" r="13970" b="0"/>
              <wp:wrapNone/>
              <wp:docPr id="9" name="文本框 9"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43A029">
                          <w:pPr>
                            <w:rPr>
                              <w:color w:val="000000"/>
                              <w:sz w:val="20"/>
                              <w:szCs w:val="20"/>
                            </w:rPr>
                          </w:pPr>
                          <w:r>
                            <w:rPr>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 id="_x0000_s1026" o:spid="_x0000_s1026" o:spt="202" alt="Internal" type="#_x0000_t202" style="position:absolute;left:0pt;height:34.95pt;width:34.95pt;mso-position-horizontal:center;mso-position-horizontal-relative:page;mso-position-vertical:bottom;mso-position-vertical-relative:page;mso-wrap-style:none;z-index:251670528;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8ga6g0gAAAAMBAAAPAAAAAAAAAAEAIAAAACIAAABkcnMvZG93bnJldi54bWxQ&#10;SwECFAAUAAAACACHTuJALnAnLTYCAABgBAAADgAAAAAAAAABACAAAAAhAQAAZHJzL2Uyb0RvYy54&#10;bWxQSwUGAAAAAAYABgBZAQAAyQUAAAAA&#10;">
              <v:fill on="f" focussize="0,0"/>
              <v:stroke on="f"/>
              <v:imagedata o:title=""/>
              <o:lock v:ext="edit" aspectratio="f"/>
              <v:textbox inset="0mm,0mm,0mm,15pt" style="mso-fit-shape-to-text:t;">
                <w:txbxContent>
                  <w:p w14:paraId="5B43A029">
                    <w:pPr>
                      <w:rPr>
                        <w:color w:val="000000"/>
                        <w:sz w:val="20"/>
                        <w:szCs w:val="20"/>
                      </w:rPr>
                    </w:pPr>
                    <w:r>
                      <w:rPr>
                        <w:color w:val="000000"/>
                        <w:sz w:val="20"/>
                        <w:szCs w:val="20"/>
                      </w:rPr>
                      <w:t>Internal</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EEB4F">
    <w:pPr>
      <w:pStyle w:val="6"/>
    </w:pPr>
    <w:r>
      <mc:AlternateContent>
        <mc:Choice Requires="wps">
          <w:drawing>
            <wp:anchor distT="0" distB="0" distL="0" distR="0" simplePos="0" relativeHeight="251669504" behindDoc="0" locked="0" layoutInCell="1" allowOverlap="1">
              <wp:simplePos x="0" y="0"/>
              <wp:positionH relativeFrom="page">
                <wp:align>center</wp:align>
              </wp:positionH>
              <wp:positionV relativeFrom="page">
                <wp:align>bottom</wp:align>
              </wp:positionV>
              <wp:extent cx="443865" cy="443865"/>
              <wp:effectExtent l="0" t="0" r="13970" b="0"/>
              <wp:wrapNone/>
              <wp:docPr id="8" name="文本框 8" descr="Intern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76260F">
                          <w:pPr>
                            <w:rPr>
                              <w:color w:val="000000"/>
                              <w:sz w:val="20"/>
                              <w:szCs w:val="20"/>
                            </w:rPr>
                          </w:pPr>
                          <w:r>
                            <w:rPr>
                              <w:color w:val="000000"/>
                              <w:sz w:val="20"/>
                              <w:szCs w:val="20"/>
                            </w:rPr>
                            <w:t>Internal</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 id="_x0000_s1026" o:spid="_x0000_s1026" o:spt="202" alt="Internal" type="#_x0000_t202" style="position:absolute;left:0pt;height:34.95pt;width:34.95pt;mso-position-horizontal:center;mso-position-horizontal-relative:page;mso-position-vertical:bottom;mso-position-vertical-relative:page;mso-wrap-style:none;z-index:251669504;v-text-anchor:bottom;mso-width-relative:page;mso-height-relative:page;" filled="f" stroked="f" coordsize="21600,21600" o:gfxdata="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HyBrqDSAAAAAwEAAA8AAAAAAAAAAQAgAAAAIgAAAGRycy9kb3ducmV2LnhtbFBL&#10;AQIUABQAAAAIAIdO4kBPe3QNNQIAAGAEAAAOAAAAAAAAAAEAIAAAACEBAABkcnMvZTJvRG9jLnht&#10;bFBLBQYAAAAABgAGAFkBAADIBQAAAAA=&#10;">
              <v:fill on="f" focussize="0,0"/>
              <v:stroke on="f"/>
              <v:imagedata o:title=""/>
              <o:lock v:ext="edit" aspectratio="f"/>
              <v:textbox inset="0mm,0mm,0mm,15pt" style="mso-fit-shape-to-text:t;">
                <w:txbxContent>
                  <w:p w14:paraId="4176260F">
                    <w:pPr>
                      <w:rPr>
                        <w:color w:val="000000"/>
                        <w:sz w:val="20"/>
                        <w:szCs w:val="20"/>
                      </w:rPr>
                    </w:pPr>
                    <w:r>
                      <w:rPr>
                        <w:color w:val="000000"/>
                        <w:sz w:val="20"/>
                        <w:szCs w:val="20"/>
                      </w:rPr>
                      <w:t>Internal</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82408">
    <w:pPr>
      <w:pStyle w:val="4"/>
      <w:spacing w:line="14" w:lineRule="auto"/>
      <w:rPr>
        <w:sz w:val="20"/>
      </w:rPr>
    </w:pPr>
    <w:r>
      <w:drawing>
        <wp:anchor distT="0" distB="0" distL="0" distR="0" simplePos="0" relativeHeight="251660288" behindDoc="1" locked="0" layoutInCell="1" allowOverlap="1">
          <wp:simplePos x="0" y="0"/>
          <wp:positionH relativeFrom="page">
            <wp:posOffset>519430</wp:posOffset>
          </wp:positionH>
          <wp:positionV relativeFrom="page">
            <wp:posOffset>273685</wp:posOffset>
          </wp:positionV>
          <wp:extent cx="988695" cy="690245"/>
          <wp:effectExtent l="0" t="0" r="0" b="0"/>
          <wp:wrapNone/>
          <wp:docPr id="12396817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968171" name="image1.png"/>
                  <pic:cNvPicPr>
                    <a:picLocks noChangeAspect="1"/>
                  </pic:cNvPicPr>
                </pic:nvPicPr>
                <pic:blipFill>
                  <a:blip r:embed="rId1" cstate="print"/>
                  <a:stretch>
                    <a:fillRect/>
                  </a:stretch>
                </pic:blipFill>
                <pic:spPr>
                  <a:xfrm>
                    <a:off x="0" y="0"/>
                    <a:ext cx="988453" cy="690399"/>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28679C"/>
    <w:multiLevelType w:val="multilevel"/>
    <w:tmpl w:val="0928679C"/>
    <w:lvl w:ilvl="0" w:tentative="0">
      <w:start w:val="1"/>
      <w:numFmt w:val="decimal"/>
      <w:lvlText w:val="%1."/>
      <w:lvlJc w:val="left"/>
      <w:pPr>
        <w:ind w:left="579" w:hanging="440"/>
      </w:pPr>
      <w:rPr>
        <w:rFonts w:hint="default" w:ascii="Arial" w:hAnsi="Arial" w:eastAsia="Arial" w:cs="Arial"/>
        <w:spacing w:val="-1"/>
        <w:w w:val="100"/>
        <w:sz w:val="22"/>
        <w:szCs w:val="22"/>
        <w:lang w:val="en-US" w:eastAsia="en-US" w:bidi="en-US"/>
      </w:rPr>
    </w:lvl>
    <w:lvl w:ilvl="1" w:tentative="0">
      <w:start w:val="1"/>
      <w:numFmt w:val="decimal"/>
      <w:lvlText w:val="%2)"/>
      <w:lvlJc w:val="left"/>
      <w:pPr>
        <w:ind w:left="1239" w:hanging="440"/>
      </w:pPr>
    </w:lvl>
    <w:lvl w:ilvl="2" w:tentative="0">
      <w:start w:val="0"/>
      <w:numFmt w:val="bullet"/>
      <w:lvlText w:val="•"/>
      <w:lvlJc w:val="left"/>
      <w:pPr>
        <w:ind w:left="1240" w:hanging="440"/>
      </w:pPr>
      <w:rPr>
        <w:rFonts w:hint="default"/>
        <w:lang w:val="en-US" w:eastAsia="en-US" w:bidi="en-US"/>
      </w:rPr>
    </w:lvl>
    <w:lvl w:ilvl="3" w:tentative="0">
      <w:start w:val="0"/>
      <w:numFmt w:val="bullet"/>
      <w:lvlText w:val="•"/>
      <w:lvlJc w:val="left"/>
      <w:pPr>
        <w:ind w:left="2498" w:hanging="440"/>
      </w:pPr>
      <w:rPr>
        <w:rFonts w:hint="default"/>
        <w:lang w:val="en-US" w:eastAsia="en-US" w:bidi="en-US"/>
      </w:rPr>
    </w:lvl>
    <w:lvl w:ilvl="4" w:tentative="0">
      <w:start w:val="0"/>
      <w:numFmt w:val="bullet"/>
      <w:lvlText w:val="•"/>
      <w:lvlJc w:val="left"/>
      <w:pPr>
        <w:ind w:left="3757" w:hanging="440"/>
      </w:pPr>
      <w:rPr>
        <w:rFonts w:hint="default"/>
        <w:lang w:val="en-US" w:eastAsia="en-US" w:bidi="en-US"/>
      </w:rPr>
    </w:lvl>
    <w:lvl w:ilvl="5" w:tentative="0">
      <w:start w:val="0"/>
      <w:numFmt w:val="bullet"/>
      <w:lvlText w:val="•"/>
      <w:lvlJc w:val="left"/>
      <w:pPr>
        <w:ind w:left="5015" w:hanging="440"/>
      </w:pPr>
      <w:rPr>
        <w:rFonts w:hint="default"/>
        <w:lang w:val="en-US" w:eastAsia="en-US" w:bidi="en-US"/>
      </w:rPr>
    </w:lvl>
    <w:lvl w:ilvl="6" w:tentative="0">
      <w:start w:val="0"/>
      <w:numFmt w:val="bullet"/>
      <w:lvlText w:val="•"/>
      <w:lvlJc w:val="left"/>
      <w:pPr>
        <w:ind w:left="6274" w:hanging="440"/>
      </w:pPr>
      <w:rPr>
        <w:rFonts w:hint="default"/>
        <w:lang w:val="en-US" w:eastAsia="en-US" w:bidi="en-US"/>
      </w:rPr>
    </w:lvl>
    <w:lvl w:ilvl="7" w:tentative="0">
      <w:start w:val="0"/>
      <w:numFmt w:val="bullet"/>
      <w:lvlText w:val="•"/>
      <w:lvlJc w:val="left"/>
      <w:pPr>
        <w:ind w:left="7533" w:hanging="440"/>
      </w:pPr>
      <w:rPr>
        <w:rFonts w:hint="default"/>
        <w:lang w:val="en-US" w:eastAsia="en-US" w:bidi="en-US"/>
      </w:rPr>
    </w:lvl>
    <w:lvl w:ilvl="8" w:tentative="0">
      <w:start w:val="0"/>
      <w:numFmt w:val="bullet"/>
      <w:lvlText w:val="•"/>
      <w:lvlJc w:val="left"/>
      <w:pPr>
        <w:ind w:left="8791" w:hanging="440"/>
      </w:pPr>
      <w:rPr>
        <w:rFonts w:hint="default"/>
        <w:lang w:val="en-US" w:eastAsia="en-US" w:bidi="en-US"/>
      </w:rPr>
    </w:lvl>
  </w:abstractNum>
  <w:abstractNum w:abstractNumId="1">
    <w:nsid w:val="140A78DC"/>
    <w:multiLevelType w:val="multilevel"/>
    <w:tmpl w:val="140A78DC"/>
    <w:lvl w:ilvl="0" w:tentative="0">
      <w:start w:val="1"/>
      <w:numFmt w:val="decimal"/>
      <w:lvlText w:val="%1."/>
      <w:lvlJc w:val="left"/>
      <w:pPr>
        <w:ind w:left="500" w:hanging="360"/>
      </w:pPr>
      <w:rPr>
        <w:rFonts w:hint="default" w:ascii="Arial" w:hAnsi="Arial" w:eastAsia="Arial" w:cs="Arial"/>
        <w:b/>
        <w:bCs/>
        <w:spacing w:val="-1"/>
        <w:w w:val="100"/>
        <w:sz w:val="22"/>
        <w:szCs w:val="22"/>
        <w:lang w:val="en-US" w:eastAsia="en-US" w:bidi="en-US"/>
      </w:rPr>
    </w:lvl>
    <w:lvl w:ilvl="1" w:tentative="0">
      <w:start w:val="1"/>
      <w:numFmt w:val="decimal"/>
      <w:lvlText w:val="%1.%2"/>
      <w:lvlJc w:val="left"/>
      <w:pPr>
        <w:ind w:left="509" w:hanging="370"/>
      </w:pPr>
      <w:rPr>
        <w:rFonts w:hint="default" w:ascii="Arial" w:hAnsi="Arial" w:eastAsia="Arial" w:cs="Arial"/>
        <w:b/>
        <w:bCs/>
        <w:w w:val="100"/>
        <w:sz w:val="22"/>
        <w:szCs w:val="22"/>
        <w:lang w:val="en-US" w:eastAsia="en-US" w:bidi="en-US"/>
      </w:rPr>
    </w:lvl>
    <w:lvl w:ilvl="2" w:tentative="0">
      <w:start w:val="0"/>
      <w:numFmt w:val="bullet"/>
      <w:lvlText w:val="•"/>
      <w:lvlJc w:val="left"/>
      <w:pPr>
        <w:ind w:left="2661" w:hanging="370"/>
      </w:pPr>
      <w:rPr>
        <w:rFonts w:hint="default"/>
        <w:lang w:val="en-US" w:eastAsia="en-US" w:bidi="en-US"/>
      </w:rPr>
    </w:lvl>
    <w:lvl w:ilvl="3" w:tentative="0">
      <w:start w:val="0"/>
      <w:numFmt w:val="bullet"/>
      <w:lvlText w:val="•"/>
      <w:lvlJc w:val="left"/>
      <w:pPr>
        <w:ind w:left="3742" w:hanging="370"/>
      </w:pPr>
      <w:rPr>
        <w:rFonts w:hint="default"/>
        <w:lang w:val="en-US" w:eastAsia="en-US" w:bidi="en-US"/>
      </w:rPr>
    </w:lvl>
    <w:lvl w:ilvl="4" w:tentative="0">
      <w:start w:val="0"/>
      <w:numFmt w:val="bullet"/>
      <w:lvlText w:val="•"/>
      <w:lvlJc w:val="left"/>
      <w:pPr>
        <w:ind w:left="4823" w:hanging="370"/>
      </w:pPr>
      <w:rPr>
        <w:rFonts w:hint="default"/>
        <w:lang w:val="en-US" w:eastAsia="en-US" w:bidi="en-US"/>
      </w:rPr>
    </w:lvl>
    <w:lvl w:ilvl="5" w:tentative="0">
      <w:start w:val="0"/>
      <w:numFmt w:val="bullet"/>
      <w:lvlText w:val="•"/>
      <w:lvlJc w:val="left"/>
      <w:pPr>
        <w:ind w:left="5904" w:hanging="370"/>
      </w:pPr>
      <w:rPr>
        <w:rFonts w:hint="default"/>
        <w:lang w:val="en-US" w:eastAsia="en-US" w:bidi="en-US"/>
      </w:rPr>
    </w:lvl>
    <w:lvl w:ilvl="6" w:tentative="0">
      <w:start w:val="0"/>
      <w:numFmt w:val="bullet"/>
      <w:lvlText w:val="•"/>
      <w:lvlJc w:val="left"/>
      <w:pPr>
        <w:ind w:left="6985" w:hanging="370"/>
      </w:pPr>
      <w:rPr>
        <w:rFonts w:hint="default"/>
        <w:lang w:val="en-US" w:eastAsia="en-US" w:bidi="en-US"/>
      </w:rPr>
    </w:lvl>
    <w:lvl w:ilvl="7" w:tentative="0">
      <w:start w:val="0"/>
      <w:numFmt w:val="bullet"/>
      <w:lvlText w:val="•"/>
      <w:lvlJc w:val="left"/>
      <w:pPr>
        <w:ind w:left="8066" w:hanging="370"/>
      </w:pPr>
      <w:rPr>
        <w:rFonts w:hint="default"/>
        <w:lang w:val="en-US" w:eastAsia="en-US" w:bidi="en-US"/>
      </w:rPr>
    </w:lvl>
    <w:lvl w:ilvl="8" w:tentative="0">
      <w:start w:val="0"/>
      <w:numFmt w:val="bullet"/>
      <w:lvlText w:val="•"/>
      <w:lvlJc w:val="left"/>
      <w:pPr>
        <w:ind w:left="9147" w:hanging="370"/>
      </w:pPr>
      <w:rPr>
        <w:rFonts w:hint="default"/>
        <w:lang w:val="en-US" w:eastAsia="en-US" w:bidi="en-US"/>
      </w:rPr>
    </w:lvl>
  </w:abstractNum>
  <w:abstractNum w:abstractNumId="2">
    <w:nsid w:val="4C0E6E30"/>
    <w:multiLevelType w:val="multilevel"/>
    <w:tmpl w:val="4C0E6E30"/>
    <w:lvl w:ilvl="0" w:tentative="0">
      <w:start w:val="6"/>
      <w:numFmt w:val="decimal"/>
      <w:lvlText w:val="%1"/>
      <w:lvlJc w:val="left"/>
      <w:pPr>
        <w:ind w:left="572" w:hanging="738"/>
      </w:pPr>
      <w:rPr>
        <w:rFonts w:hint="default"/>
        <w:lang w:val="en-US" w:eastAsia="en-US" w:bidi="en-US"/>
      </w:rPr>
    </w:lvl>
    <w:lvl w:ilvl="1" w:tentative="0">
      <w:start w:val="5"/>
      <w:numFmt w:val="decimal"/>
      <w:lvlText w:val="%1.%2"/>
      <w:lvlJc w:val="left"/>
      <w:pPr>
        <w:ind w:left="572" w:hanging="738"/>
      </w:pPr>
      <w:rPr>
        <w:rFonts w:hint="default"/>
        <w:lang w:val="en-US" w:eastAsia="en-US" w:bidi="en-US"/>
      </w:rPr>
    </w:lvl>
    <w:lvl w:ilvl="2" w:tentative="0">
      <w:start w:val="11"/>
      <w:numFmt w:val="decimal"/>
      <w:lvlText w:val="%1.%2.%3."/>
      <w:lvlJc w:val="left"/>
      <w:pPr>
        <w:ind w:left="572" w:hanging="738"/>
      </w:pPr>
      <w:rPr>
        <w:rFonts w:hint="default" w:ascii="Arial" w:hAnsi="Arial" w:eastAsia="Arial" w:cs="Arial"/>
        <w:spacing w:val="-4"/>
        <w:w w:val="100"/>
        <w:sz w:val="22"/>
        <w:szCs w:val="22"/>
        <w:lang w:val="en-US" w:eastAsia="en-US" w:bidi="en-US"/>
      </w:rPr>
    </w:lvl>
    <w:lvl w:ilvl="3" w:tentative="0">
      <w:start w:val="1"/>
      <w:numFmt w:val="decimal"/>
      <w:lvlText w:val="%4."/>
      <w:lvlJc w:val="left"/>
      <w:pPr>
        <w:ind w:left="1220" w:hanging="360"/>
        <w:jc w:val="right"/>
      </w:pPr>
      <w:rPr>
        <w:rFonts w:hint="default"/>
        <w:spacing w:val="-1"/>
        <w:w w:val="100"/>
        <w:lang w:val="en-US" w:eastAsia="en-US" w:bidi="en-US"/>
      </w:rPr>
    </w:lvl>
    <w:lvl w:ilvl="4" w:tentative="0">
      <w:start w:val="1"/>
      <w:numFmt w:val="decimal"/>
      <w:lvlText w:val="%5)"/>
      <w:lvlJc w:val="left"/>
      <w:pPr>
        <w:ind w:left="867" w:hanging="440"/>
      </w:pPr>
    </w:lvl>
    <w:lvl w:ilvl="5" w:tentative="0">
      <w:start w:val="0"/>
      <w:numFmt w:val="bullet"/>
      <w:lvlText w:val="•"/>
      <w:lvlJc w:val="left"/>
      <w:pPr>
        <w:ind w:left="5003" w:hanging="289"/>
      </w:pPr>
      <w:rPr>
        <w:rFonts w:hint="default"/>
        <w:lang w:val="en-US" w:eastAsia="en-US" w:bidi="en-US"/>
      </w:rPr>
    </w:lvl>
    <w:lvl w:ilvl="6" w:tentative="0">
      <w:start w:val="0"/>
      <w:numFmt w:val="bullet"/>
      <w:lvlText w:val="•"/>
      <w:lvlJc w:val="left"/>
      <w:pPr>
        <w:ind w:left="6264" w:hanging="289"/>
      </w:pPr>
      <w:rPr>
        <w:rFonts w:hint="default"/>
        <w:lang w:val="en-US" w:eastAsia="en-US" w:bidi="en-US"/>
      </w:rPr>
    </w:lvl>
    <w:lvl w:ilvl="7" w:tentative="0">
      <w:start w:val="0"/>
      <w:numFmt w:val="bullet"/>
      <w:lvlText w:val="•"/>
      <w:lvlJc w:val="left"/>
      <w:pPr>
        <w:ind w:left="7525" w:hanging="289"/>
      </w:pPr>
      <w:rPr>
        <w:rFonts w:hint="default"/>
        <w:lang w:val="en-US" w:eastAsia="en-US" w:bidi="en-US"/>
      </w:rPr>
    </w:lvl>
    <w:lvl w:ilvl="8" w:tentative="0">
      <w:start w:val="0"/>
      <w:numFmt w:val="bullet"/>
      <w:lvlText w:val="•"/>
      <w:lvlJc w:val="left"/>
      <w:pPr>
        <w:ind w:left="8786" w:hanging="289"/>
      </w:pPr>
      <w:rPr>
        <w:rFonts w:hint="default"/>
        <w:lang w:val="en-US" w:eastAsia="en-US" w:bidi="en-US"/>
      </w:rPr>
    </w:lvl>
  </w:abstractNum>
  <w:abstractNum w:abstractNumId="3">
    <w:nsid w:val="697B5A6D"/>
    <w:multiLevelType w:val="multilevel"/>
    <w:tmpl w:val="697B5A6D"/>
    <w:lvl w:ilvl="0" w:tentative="0">
      <w:start w:val="0"/>
      <w:numFmt w:val="bullet"/>
      <w:lvlText w:val="-"/>
      <w:lvlJc w:val="left"/>
      <w:pPr>
        <w:ind w:left="860" w:hanging="361"/>
      </w:pPr>
      <w:rPr>
        <w:rFonts w:hint="default" w:ascii="Arial" w:hAnsi="Arial" w:eastAsia="Arial" w:cs="Arial"/>
        <w:w w:val="100"/>
        <w:sz w:val="22"/>
        <w:szCs w:val="22"/>
        <w:lang w:val="en-US" w:eastAsia="en-US" w:bidi="en-US"/>
      </w:rPr>
    </w:lvl>
    <w:lvl w:ilvl="1" w:tentative="0">
      <w:start w:val="0"/>
      <w:numFmt w:val="bullet"/>
      <w:lvlText w:val="•"/>
      <w:lvlJc w:val="left"/>
      <w:pPr>
        <w:ind w:left="1904" w:hanging="361"/>
      </w:pPr>
      <w:rPr>
        <w:rFonts w:hint="default"/>
        <w:lang w:val="en-US" w:eastAsia="en-US" w:bidi="en-US"/>
      </w:rPr>
    </w:lvl>
    <w:lvl w:ilvl="2" w:tentative="0">
      <w:start w:val="0"/>
      <w:numFmt w:val="bullet"/>
      <w:lvlText w:val="•"/>
      <w:lvlJc w:val="left"/>
      <w:pPr>
        <w:ind w:left="2949" w:hanging="361"/>
      </w:pPr>
      <w:rPr>
        <w:rFonts w:hint="default"/>
        <w:lang w:val="en-US" w:eastAsia="en-US" w:bidi="en-US"/>
      </w:rPr>
    </w:lvl>
    <w:lvl w:ilvl="3" w:tentative="0">
      <w:start w:val="0"/>
      <w:numFmt w:val="bullet"/>
      <w:lvlText w:val="•"/>
      <w:lvlJc w:val="left"/>
      <w:pPr>
        <w:ind w:left="3994" w:hanging="361"/>
      </w:pPr>
      <w:rPr>
        <w:rFonts w:hint="default"/>
        <w:lang w:val="en-US" w:eastAsia="en-US" w:bidi="en-US"/>
      </w:rPr>
    </w:lvl>
    <w:lvl w:ilvl="4" w:tentative="0">
      <w:start w:val="0"/>
      <w:numFmt w:val="bullet"/>
      <w:lvlText w:val="•"/>
      <w:lvlJc w:val="left"/>
      <w:pPr>
        <w:ind w:left="5039" w:hanging="361"/>
      </w:pPr>
      <w:rPr>
        <w:rFonts w:hint="default"/>
        <w:lang w:val="en-US" w:eastAsia="en-US" w:bidi="en-US"/>
      </w:rPr>
    </w:lvl>
    <w:lvl w:ilvl="5" w:tentative="0">
      <w:start w:val="0"/>
      <w:numFmt w:val="bullet"/>
      <w:lvlText w:val="•"/>
      <w:lvlJc w:val="left"/>
      <w:pPr>
        <w:ind w:left="6084" w:hanging="361"/>
      </w:pPr>
      <w:rPr>
        <w:rFonts w:hint="default"/>
        <w:lang w:val="en-US" w:eastAsia="en-US" w:bidi="en-US"/>
      </w:rPr>
    </w:lvl>
    <w:lvl w:ilvl="6" w:tentative="0">
      <w:start w:val="0"/>
      <w:numFmt w:val="bullet"/>
      <w:lvlText w:val="•"/>
      <w:lvlJc w:val="left"/>
      <w:pPr>
        <w:ind w:left="7129" w:hanging="361"/>
      </w:pPr>
      <w:rPr>
        <w:rFonts w:hint="default"/>
        <w:lang w:val="en-US" w:eastAsia="en-US" w:bidi="en-US"/>
      </w:rPr>
    </w:lvl>
    <w:lvl w:ilvl="7" w:tentative="0">
      <w:start w:val="0"/>
      <w:numFmt w:val="bullet"/>
      <w:lvlText w:val="•"/>
      <w:lvlJc w:val="left"/>
      <w:pPr>
        <w:ind w:left="8174" w:hanging="361"/>
      </w:pPr>
      <w:rPr>
        <w:rFonts w:hint="default"/>
        <w:lang w:val="en-US" w:eastAsia="en-US" w:bidi="en-US"/>
      </w:rPr>
    </w:lvl>
    <w:lvl w:ilvl="8" w:tentative="0">
      <w:start w:val="0"/>
      <w:numFmt w:val="bullet"/>
      <w:lvlText w:val="•"/>
      <w:lvlJc w:val="left"/>
      <w:pPr>
        <w:ind w:left="9219" w:hanging="361"/>
      </w:pPr>
      <w:rPr>
        <w:rFonts w:hint="default"/>
        <w:lang w:val="en-US" w:eastAsia="en-US" w:bidi="en-US"/>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trackRevisions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mNzM4NGI4NjRjZmYxMDMwMDRmM2I1MjYxZTU3OTMifQ=="/>
  </w:docVars>
  <w:rsids>
    <w:rsidRoot w:val="00124833"/>
    <w:rsid w:val="00017ADB"/>
    <w:rsid w:val="00026BCA"/>
    <w:rsid w:val="00047422"/>
    <w:rsid w:val="00052455"/>
    <w:rsid w:val="0007002C"/>
    <w:rsid w:val="0007580B"/>
    <w:rsid w:val="0009031B"/>
    <w:rsid w:val="000B014B"/>
    <w:rsid w:val="000B02A2"/>
    <w:rsid w:val="000D3E22"/>
    <w:rsid w:val="000E24B4"/>
    <w:rsid w:val="000E3DB8"/>
    <w:rsid w:val="000F17D3"/>
    <w:rsid w:val="00106759"/>
    <w:rsid w:val="00124833"/>
    <w:rsid w:val="00125E35"/>
    <w:rsid w:val="00130016"/>
    <w:rsid w:val="00131B32"/>
    <w:rsid w:val="00142E0B"/>
    <w:rsid w:val="00150D52"/>
    <w:rsid w:val="0016732C"/>
    <w:rsid w:val="0017412C"/>
    <w:rsid w:val="001B2761"/>
    <w:rsid w:val="001C4CC4"/>
    <w:rsid w:val="001D7C47"/>
    <w:rsid w:val="00211881"/>
    <w:rsid w:val="00220632"/>
    <w:rsid w:val="00247028"/>
    <w:rsid w:val="0027384C"/>
    <w:rsid w:val="00276ACC"/>
    <w:rsid w:val="00293E0B"/>
    <w:rsid w:val="002A3B8C"/>
    <w:rsid w:val="002A3E2D"/>
    <w:rsid w:val="002A66E2"/>
    <w:rsid w:val="002C0FAE"/>
    <w:rsid w:val="002C5508"/>
    <w:rsid w:val="002D3473"/>
    <w:rsid w:val="002D558E"/>
    <w:rsid w:val="00325646"/>
    <w:rsid w:val="00330A75"/>
    <w:rsid w:val="00332686"/>
    <w:rsid w:val="00334812"/>
    <w:rsid w:val="00335B3B"/>
    <w:rsid w:val="00336922"/>
    <w:rsid w:val="003369E8"/>
    <w:rsid w:val="0034748A"/>
    <w:rsid w:val="003539D3"/>
    <w:rsid w:val="00367282"/>
    <w:rsid w:val="00370578"/>
    <w:rsid w:val="003739CD"/>
    <w:rsid w:val="003974F4"/>
    <w:rsid w:val="003B04CB"/>
    <w:rsid w:val="003E5675"/>
    <w:rsid w:val="003F27B9"/>
    <w:rsid w:val="003F7888"/>
    <w:rsid w:val="00407B21"/>
    <w:rsid w:val="0041430E"/>
    <w:rsid w:val="00414E8B"/>
    <w:rsid w:val="00416270"/>
    <w:rsid w:val="00447CC0"/>
    <w:rsid w:val="0045383F"/>
    <w:rsid w:val="004702D9"/>
    <w:rsid w:val="00475CE0"/>
    <w:rsid w:val="0049294C"/>
    <w:rsid w:val="00496AB1"/>
    <w:rsid w:val="004A16D6"/>
    <w:rsid w:val="004A3EB1"/>
    <w:rsid w:val="004A4F60"/>
    <w:rsid w:val="004A6424"/>
    <w:rsid w:val="004D085B"/>
    <w:rsid w:val="004D72F5"/>
    <w:rsid w:val="004E6473"/>
    <w:rsid w:val="005028A5"/>
    <w:rsid w:val="00535D13"/>
    <w:rsid w:val="00547DFE"/>
    <w:rsid w:val="0056304D"/>
    <w:rsid w:val="00570A1D"/>
    <w:rsid w:val="0058083D"/>
    <w:rsid w:val="00596DDE"/>
    <w:rsid w:val="005A72AB"/>
    <w:rsid w:val="005B018C"/>
    <w:rsid w:val="005C0CD8"/>
    <w:rsid w:val="005C2938"/>
    <w:rsid w:val="005C58A7"/>
    <w:rsid w:val="005C5F28"/>
    <w:rsid w:val="005D06FF"/>
    <w:rsid w:val="005D4245"/>
    <w:rsid w:val="005D4551"/>
    <w:rsid w:val="005D4F9F"/>
    <w:rsid w:val="005E2546"/>
    <w:rsid w:val="005E6965"/>
    <w:rsid w:val="005F67BD"/>
    <w:rsid w:val="006116AD"/>
    <w:rsid w:val="006261C1"/>
    <w:rsid w:val="00652202"/>
    <w:rsid w:val="00674E3B"/>
    <w:rsid w:val="00694BE3"/>
    <w:rsid w:val="006A03D3"/>
    <w:rsid w:val="006B1D7B"/>
    <w:rsid w:val="006D499B"/>
    <w:rsid w:val="007129F8"/>
    <w:rsid w:val="00714D64"/>
    <w:rsid w:val="0076552B"/>
    <w:rsid w:val="00770E60"/>
    <w:rsid w:val="00771D69"/>
    <w:rsid w:val="00781F70"/>
    <w:rsid w:val="007A52E6"/>
    <w:rsid w:val="007B54C1"/>
    <w:rsid w:val="007C25EE"/>
    <w:rsid w:val="007E0F6F"/>
    <w:rsid w:val="007E3171"/>
    <w:rsid w:val="007F1105"/>
    <w:rsid w:val="007F23B7"/>
    <w:rsid w:val="00827D3A"/>
    <w:rsid w:val="00831D23"/>
    <w:rsid w:val="008457CC"/>
    <w:rsid w:val="00846E7C"/>
    <w:rsid w:val="008470CA"/>
    <w:rsid w:val="008549E3"/>
    <w:rsid w:val="00860070"/>
    <w:rsid w:val="0088193D"/>
    <w:rsid w:val="00885D1D"/>
    <w:rsid w:val="008913EE"/>
    <w:rsid w:val="0089389E"/>
    <w:rsid w:val="0089398E"/>
    <w:rsid w:val="008A504F"/>
    <w:rsid w:val="008A5C84"/>
    <w:rsid w:val="008D7A07"/>
    <w:rsid w:val="008E66AF"/>
    <w:rsid w:val="0091207D"/>
    <w:rsid w:val="00912951"/>
    <w:rsid w:val="00912EFB"/>
    <w:rsid w:val="00924605"/>
    <w:rsid w:val="00940FAC"/>
    <w:rsid w:val="00950EE7"/>
    <w:rsid w:val="009512EF"/>
    <w:rsid w:val="0097042E"/>
    <w:rsid w:val="00975E3F"/>
    <w:rsid w:val="009958D2"/>
    <w:rsid w:val="009A2897"/>
    <w:rsid w:val="009A305C"/>
    <w:rsid w:val="009C7052"/>
    <w:rsid w:val="009E2CA7"/>
    <w:rsid w:val="009F7AE9"/>
    <w:rsid w:val="00A00888"/>
    <w:rsid w:val="00A016D5"/>
    <w:rsid w:val="00A10CAA"/>
    <w:rsid w:val="00A14E37"/>
    <w:rsid w:val="00A26026"/>
    <w:rsid w:val="00A30284"/>
    <w:rsid w:val="00A53F7D"/>
    <w:rsid w:val="00A66350"/>
    <w:rsid w:val="00A7730B"/>
    <w:rsid w:val="00AA5117"/>
    <w:rsid w:val="00AA6684"/>
    <w:rsid w:val="00AB34F5"/>
    <w:rsid w:val="00AB57DD"/>
    <w:rsid w:val="00AE2E34"/>
    <w:rsid w:val="00AF0747"/>
    <w:rsid w:val="00AF62ED"/>
    <w:rsid w:val="00B12481"/>
    <w:rsid w:val="00B31D09"/>
    <w:rsid w:val="00B3393A"/>
    <w:rsid w:val="00B35AA0"/>
    <w:rsid w:val="00B41E32"/>
    <w:rsid w:val="00B4755E"/>
    <w:rsid w:val="00B5193A"/>
    <w:rsid w:val="00B60ABC"/>
    <w:rsid w:val="00B641B8"/>
    <w:rsid w:val="00B679C8"/>
    <w:rsid w:val="00B71333"/>
    <w:rsid w:val="00B85436"/>
    <w:rsid w:val="00B93B02"/>
    <w:rsid w:val="00BA10BF"/>
    <w:rsid w:val="00BC023F"/>
    <w:rsid w:val="00BD4BCA"/>
    <w:rsid w:val="00BE2863"/>
    <w:rsid w:val="00BE79D2"/>
    <w:rsid w:val="00BF08A3"/>
    <w:rsid w:val="00BF1B05"/>
    <w:rsid w:val="00C01F10"/>
    <w:rsid w:val="00C1561A"/>
    <w:rsid w:val="00C64BCC"/>
    <w:rsid w:val="00C92B96"/>
    <w:rsid w:val="00CA0F7A"/>
    <w:rsid w:val="00CD790A"/>
    <w:rsid w:val="00D00073"/>
    <w:rsid w:val="00D301AB"/>
    <w:rsid w:val="00D37760"/>
    <w:rsid w:val="00D514D9"/>
    <w:rsid w:val="00D82C42"/>
    <w:rsid w:val="00D8649D"/>
    <w:rsid w:val="00D92B3A"/>
    <w:rsid w:val="00DA0F51"/>
    <w:rsid w:val="00DB738C"/>
    <w:rsid w:val="00DC32C8"/>
    <w:rsid w:val="00DC573F"/>
    <w:rsid w:val="00DC5E4E"/>
    <w:rsid w:val="00DD1C4C"/>
    <w:rsid w:val="00DE5132"/>
    <w:rsid w:val="00DE56EA"/>
    <w:rsid w:val="00DE7EB0"/>
    <w:rsid w:val="00E02038"/>
    <w:rsid w:val="00E266B6"/>
    <w:rsid w:val="00E276AF"/>
    <w:rsid w:val="00E332DA"/>
    <w:rsid w:val="00E375C8"/>
    <w:rsid w:val="00E40309"/>
    <w:rsid w:val="00E41BE4"/>
    <w:rsid w:val="00E4266D"/>
    <w:rsid w:val="00E870CB"/>
    <w:rsid w:val="00E8767F"/>
    <w:rsid w:val="00E91D14"/>
    <w:rsid w:val="00EA27E7"/>
    <w:rsid w:val="00EB36EC"/>
    <w:rsid w:val="00EB4221"/>
    <w:rsid w:val="00EB4E17"/>
    <w:rsid w:val="00EC0DAE"/>
    <w:rsid w:val="00EC77E0"/>
    <w:rsid w:val="00EE0D35"/>
    <w:rsid w:val="00EE383F"/>
    <w:rsid w:val="00EE7FE4"/>
    <w:rsid w:val="00EF11E2"/>
    <w:rsid w:val="00F05EC1"/>
    <w:rsid w:val="00F066CB"/>
    <w:rsid w:val="00F12E74"/>
    <w:rsid w:val="00F40CC2"/>
    <w:rsid w:val="00F54E34"/>
    <w:rsid w:val="00F7688B"/>
    <w:rsid w:val="00F8687A"/>
    <w:rsid w:val="00FA5BA7"/>
    <w:rsid w:val="00FA7C28"/>
    <w:rsid w:val="00FC52EA"/>
    <w:rsid w:val="00FC75C5"/>
    <w:rsid w:val="02405F8A"/>
    <w:rsid w:val="047343F5"/>
    <w:rsid w:val="047932C0"/>
    <w:rsid w:val="087D5A11"/>
    <w:rsid w:val="0A304B7E"/>
    <w:rsid w:val="0A4E393A"/>
    <w:rsid w:val="0CD81BE1"/>
    <w:rsid w:val="0E576B35"/>
    <w:rsid w:val="10645539"/>
    <w:rsid w:val="11CE5360"/>
    <w:rsid w:val="1D5822E5"/>
    <w:rsid w:val="260634A8"/>
    <w:rsid w:val="27F136FF"/>
    <w:rsid w:val="33193147"/>
    <w:rsid w:val="3C5E02AC"/>
    <w:rsid w:val="3C623DA1"/>
    <w:rsid w:val="42660FD2"/>
    <w:rsid w:val="4504461A"/>
    <w:rsid w:val="4AAD40FF"/>
    <w:rsid w:val="55652CC8"/>
    <w:rsid w:val="67261D48"/>
    <w:rsid w:val="686E0A4B"/>
    <w:rsid w:val="694C3832"/>
    <w:rsid w:val="69B27ED2"/>
    <w:rsid w:val="6BAB40D1"/>
    <w:rsid w:val="6CA5747E"/>
    <w:rsid w:val="71F94C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1" w:semiHidden="0" w:name="toc 2"/>
    <w:lsdException w:qFormat="1" w:unhideWhenUsed="0" w:uiPriority="1"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Arial" w:hAnsi="Arial" w:eastAsia="Arial" w:cs="Arial"/>
      <w:sz w:val="22"/>
      <w:szCs w:val="22"/>
      <w:lang w:val="en-US" w:eastAsia="en-US" w:bidi="en-US"/>
    </w:rPr>
  </w:style>
  <w:style w:type="paragraph" w:styleId="2">
    <w:name w:val="heading 1"/>
    <w:basedOn w:val="1"/>
    <w:qFormat/>
    <w:uiPriority w:val="9"/>
    <w:pPr>
      <w:ind w:left="500" w:hanging="360"/>
      <w:outlineLvl w:val="0"/>
    </w:pPr>
    <w:rPr>
      <w:b/>
      <w:bCs/>
    </w:rPr>
  </w:style>
  <w:style w:type="paragraph" w:styleId="3">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style>
  <w:style w:type="paragraph" w:styleId="5">
    <w:name w:val="toc 3"/>
    <w:basedOn w:val="1"/>
    <w:qFormat/>
    <w:uiPriority w:val="1"/>
    <w:pPr>
      <w:spacing w:before="100"/>
      <w:ind w:left="1239" w:hanging="440"/>
    </w:pPr>
  </w:style>
  <w:style w:type="paragraph" w:styleId="6">
    <w:name w:val="footer"/>
    <w:basedOn w:val="1"/>
    <w:link w:val="17"/>
    <w:unhideWhenUsed/>
    <w:qFormat/>
    <w:uiPriority w:val="99"/>
    <w:pPr>
      <w:tabs>
        <w:tab w:val="center" w:pos="4153"/>
        <w:tab w:val="right" w:pos="8306"/>
      </w:tabs>
      <w:snapToGrid w:val="0"/>
    </w:pPr>
    <w:rPr>
      <w:sz w:val="18"/>
      <w:szCs w:val="18"/>
    </w:rPr>
  </w:style>
  <w:style w:type="paragraph" w:styleId="7">
    <w:name w:val="header"/>
    <w:basedOn w:val="1"/>
    <w:link w:val="16"/>
    <w:unhideWhenUsed/>
    <w:qFormat/>
    <w:uiPriority w:val="99"/>
    <w:pPr>
      <w:tabs>
        <w:tab w:val="center" w:pos="4153"/>
        <w:tab w:val="right" w:pos="8306"/>
      </w:tabs>
      <w:snapToGrid w:val="0"/>
      <w:jc w:val="center"/>
    </w:pPr>
    <w:rPr>
      <w:sz w:val="18"/>
      <w:szCs w:val="18"/>
    </w:rPr>
  </w:style>
  <w:style w:type="paragraph" w:styleId="8">
    <w:name w:val="toc 1"/>
    <w:basedOn w:val="1"/>
    <w:qFormat/>
    <w:uiPriority w:val="39"/>
    <w:pPr>
      <w:spacing w:before="100"/>
      <w:ind w:left="579" w:hanging="440"/>
    </w:pPr>
  </w:style>
  <w:style w:type="paragraph" w:styleId="9">
    <w:name w:val="toc 2"/>
    <w:basedOn w:val="1"/>
    <w:qFormat/>
    <w:uiPriority w:val="1"/>
    <w:pPr>
      <w:spacing w:before="99"/>
      <w:ind w:left="140" w:right="705"/>
    </w:pPr>
  </w:style>
  <w:style w:type="character" w:styleId="12">
    <w:name w:val="Hyperlink"/>
    <w:basedOn w:val="11"/>
    <w:unhideWhenUsed/>
    <w:qFormat/>
    <w:uiPriority w:val="99"/>
    <w:rPr>
      <w:color w:val="0000FF" w:themeColor="hyperlink"/>
      <w:u w:val="single"/>
      <w14:textFill>
        <w14:solidFill>
          <w14:schemeClr w14:val="hlink"/>
        </w14:solidFill>
      </w14:textFill>
    </w:r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500" w:hanging="360"/>
    </w:pPr>
  </w:style>
  <w:style w:type="paragraph" w:customStyle="1" w:styleId="15">
    <w:name w:val="Table Paragraph"/>
    <w:basedOn w:val="1"/>
    <w:qFormat/>
    <w:uiPriority w:val="1"/>
    <w:pPr>
      <w:ind w:left="107"/>
    </w:pPr>
  </w:style>
  <w:style w:type="character" w:customStyle="1" w:styleId="16">
    <w:name w:val="页眉 字符"/>
    <w:basedOn w:val="11"/>
    <w:link w:val="7"/>
    <w:qFormat/>
    <w:uiPriority w:val="99"/>
    <w:rPr>
      <w:rFonts w:ascii="Arial" w:hAnsi="Arial" w:eastAsia="Arial" w:cs="Arial"/>
      <w:sz w:val="18"/>
      <w:szCs w:val="18"/>
      <w:lang w:bidi="en-US"/>
    </w:rPr>
  </w:style>
  <w:style w:type="character" w:customStyle="1" w:styleId="17">
    <w:name w:val="页脚 字符"/>
    <w:basedOn w:val="11"/>
    <w:link w:val="6"/>
    <w:qFormat/>
    <w:uiPriority w:val="99"/>
    <w:rPr>
      <w:rFonts w:ascii="Arial" w:hAnsi="Arial" w:eastAsia="Arial" w:cs="Arial"/>
      <w:sz w:val="18"/>
      <w:szCs w:val="18"/>
      <w:lang w:bidi="en-US"/>
    </w:rPr>
  </w:style>
  <w:style w:type="paragraph" w:customStyle="1" w:styleId="18">
    <w:name w:val="TOC 标题1"/>
    <w:basedOn w:val="2"/>
    <w:next w:val="1"/>
    <w:unhideWhenUsed/>
    <w:qFormat/>
    <w:uiPriority w:val="39"/>
    <w:pPr>
      <w:keepNext/>
      <w:keepLines/>
      <w:widowControl/>
      <w:autoSpaceDE/>
      <w:autoSpaceDN/>
      <w:spacing w:before="240" w:line="259" w:lineRule="auto"/>
      <w:ind w:left="0" w:firstLine="0"/>
      <w:outlineLvl w:val="9"/>
    </w:pPr>
    <w:rPr>
      <w:rFonts w:asciiTheme="majorHAnsi" w:hAnsiTheme="majorHAnsi" w:eastAsiaTheme="majorEastAsia" w:cstheme="majorBidi"/>
      <w:b w:val="0"/>
      <w:bCs w:val="0"/>
      <w:color w:val="376092" w:themeColor="accent1" w:themeShade="BF"/>
      <w:sz w:val="32"/>
      <w:szCs w:val="32"/>
      <w:lang w:eastAsia="zh-CN" w:bidi="ar-SA"/>
    </w:rPr>
  </w:style>
  <w:style w:type="character" w:customStyle="1" w:styleId="19">
    <w:name w:val="标题 2 字符"/>
    <w:basedOn w:val="11"/>
    <w:link w:val="3"/>
    <w:qFormat/>
    <w:uiPriority w:val="9"/>
    <w:rPr>
      <w:rFonts w:asciiTheme="majorHAnsi" w:hAnsiTheme="majorHAnsi" w:eastAsiaTheme="majorEastAsia" w:cstheme="majorBidi"/>
      <w:b/>
      <w:bCs/>
      <w:sz w:val="32"/>
      <w:szCs w:val="32"/>
      <w:lang w:bidi="en-US"/>
    </w:rPr>
  </w:style>
  <w:style w:type="paragraph" w:customStyle="1" w:styleId="20">
    <w:name w:val="修订1"/>
    <w:hidden/>
    <w:semiHidden/>
    <w:qFormat/>
    <w:uiPriority w:val="99"/>
    <w:rPr>
      <w:rFonts w:ascii="Arial" w:hAnsi="Arial" w:eastAsia="Arial" w:cs="Arial"/>
      <w:sz w:val="22"/>
      <w:szCs w:val="22"/>
      <w:lang w:val="en-US" w:eastAsia="en-US" w:bidi="en-US"/>
    </w:rPr>
  </w:style>
  <w:style w:type="paragraph" w:customStyle="1" w:styleId="21">
    <w:name w:val="Revision"/>
    <w:hidden/>
    <w:unhideWhenUsed/>
    <w:qFormat/>
    <w:uiPriority w:val="99"/>
    <w:rPr>
      <w:rFonts w:ascii="Arial" w:hAnsi="Arial" w:eastAsia="Arial" w:cs="Arial"/>
      <w:sz w:val="22"/>
      <w:szCs w:val="22"/>
      <w:lang w:val="en-US" w:eastAsia="en-US" w:bidi="en-US"/>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3.jpe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5128</Words>
  <Characters>6201</Characters>
  <Lines>87</Lines>
  <Paragraphs>24</Paragraphs>
  <TotalTime>308</TotalTime>
  <ScaleCrop>false</ScaleCrop>
  <LinksUpToDate>false</LinksUpToDate>
  <CharactersWithSpaces>6494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2024-04-26T09:57:00Z</dcterms:created>
  <dc:creator>Laurent-D. Garnier</dc:creator>
  <cp:lastModifiedBy>田子龙</cp:lastModifiedBy>
  <dcterms:modified xsi:type="dcterms:W3CDTF">2025-01-13T12:36:16Z</dcterms:modified>
  <dc:title>IFRA Operations</dc:title>
  <cp:revision>187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2023-06-28T00:00:00Z</vt:filetime>
  </property>
  <property fmtid="{D5CDD505-2E9C-101B-9397-08002B2CF9AE}" pid="3" name="Creator">
    <vt:lpwstr>Microsoft® Word for Microsoft 365</vt:lpwstr>
  </property>
  <property fmtid="{D5CDD505-2E9C-101B-9397-08002B2CF9AE}" pid="4" name="LastSaved">
    <vt:filetime>2024-01-11T00:00:00Z</vt:filetime>
  </property>
  <property fmtid="{D5CDD505-2E9C-101B-9397-08002B2CF9AE}" pid="5" name="ClassificationContentMarkingFooterShapeIds">
    <vt:lpwstr>4,6,7,8,9,a</vt:lpwstr>
  </property>
  <property fmtid="{D5CDD505-2E9C-101B-9397-08002B2CF9AE}" pid="6" name="ClassificationContentMarkingFooterFontProps">
    <vt:lpwstr>#000000,10,Arial</vt:lpwstr>
  </property>
  <property fmtid="{D5CDD505-2E9C-101B-9397-08002B2CF9AE}" pid="7" name="ClassificationContentMarkingFooterText">
    <vt:lpwstr>Internal</vt:lpwstr>
  </property>
  <property fmtid="{D5CDD505-2E9C-101B-9397-08002B2CF9AE}" pid="8" name="MSIP_Label_06530cf4-8573-4c29-a912-bbcdac835909_Enabled">
    <vt:lpwstr>true</vt:lpwstr>
  </property>
  <property fmtid="{D5CDD505-2E9C-101B-9397-08002B2CF9AE}" pid="9" name="MSIP_Label_06530cf4-8573-4c29-a912-bbcdac835909_SetDate">
    <vt:lpwstr>2024-06-12T02:41:34Z</vt:lpwstr>
  </property>
  <property fmtid="{D5CDD505-2E9C-101B-9397-08002B2CF9AE}" pid="10" name="MSIP_Label_06530cf4-8573-4c29-a912-bbcdac835909_Method">
    <vt:lpwstr>Standard</vt:lpwstr>
  </property>
  <property fmtid="{D5CDD505-2E9C-101B-9397-08002B2CF9AE}" pid="11" name="MSIP_Label_06530cf4-8573-4c29-a912-bbcdac835909_Name">
    <vt:lpwstr>06530cf4-8573-4c29-a912-bbcdac835909</vt:lpwstr>
  </property>
  <property fmtid="{D5CDD505-2E9C-101B-9397-08002B2CF9AE}" pid="12" name="MSIP_Label_06530cf4-8573-4c29-a912-bbcdac835909_SiteId">
    <vt:lpwstr>ecaa386b-c8df-4ce0-ad01-740cbdb5ba55</vt:lpwstr>
  </property>
  <property fmtid="{D5CDD505-2E9C-101B-9397-08002B2CF9AE}" pid="13" name="MSIP_Label_06530cf4-8573-4c29-a912-bbcdac835909_ActionId">
    <vt:lpwstr>1a0d183a-6538-4b40-97aa-e7e23959b2fc</vt:lpwstr>
  </property>
  <property fmtid="{D5CDD505-2E9C-101B-9397-08002B2CF9AE}" pid="14" name="MSIP_Label_06530cf4-8573-4c29-a912-bbcdac835909_ContentBits">
    <vt:lpwstr>2</vt:lpwstr>
  </property>
  <property fmtid="{D5CDD505-2E9C-101B-9397-08002B2CF9AE}" pid="15" name="KSOProductBuildVer">
    <vt:lpwstr>2052-12.1.0.19770</vt:lpwstr>
  </property>
  <property fmtid="{D5CDD505-2E9C-101B-9397-08002B2CF9AE}" pid="16" name="ICV">
    <vt:lpwstr>B84749CEB3CE4950BA491173126D14E0_13</vt:lpwstr>
  </property>
  <property fmtid="{D5CDD505-2E9C-101B-9397-08002B2CF9AE}" pid="17" name="KSOTemplateDocerSaveRecord">
    <vt:lpwstr>eyJoZGlkIjoiNzZmNzM4NGI4NjRjZmYxMDMwMDRmM2I1MjYxZTU3OTMiLCJ1c2VySWQiOiIzNjI1NzY4NzAifQ==</vt:lpwstr>
  </property>
</Properties>
</file>