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emf" ContentType="image/x-emf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attachedToolbars.bin" ContentType="application/vnd.ms-word.attachedToolbars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28585A">
      <w:pPr>
        <w:pStyle w:val="128"/>
        <w:framePr w:wrap="around" w:vAnchor="page" w:hAnchor="page" w:x="1381" w:y="521"/>
      </w:pPr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979170</wp:posOffset>
            </wp:positionH>
            <wp:positionV relativeFrom="paragraph">
              <wp:posOffset>9013190</wp:posOffset>
            </wp:positionV>
            <wp:extent cx="4025265" cy="697865"/>
            <wp:effectExtent l="0" t="0" r="13335" b="6985"/>
            <wp:wrapNone/>
            <wp:docPr id="9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25265" cy="697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/>
        </w:rPr>
        <w:t>ICS</w:t>
      </w:r>
      <w:r>
        <w:rPr>
          <w:rFonts w:hint="eastAsia" w:ascii="MS Mincho" w:hAnsi="MS Mincho" w:eastAsia="MS Mincho" w:cs="MS Mincho"/>
        </w:rPr>
        <w:t> </w:t>
      </w:r>
      <w:r>
        <w:fldChar w:fldCharType="begin">
          <w:ffData>
            <w:name w:val="ICS"/>
            <w:enabled/>
            <w:calcOnExit w:val="0"/>
            <w:textInput>
              <w:default w:val="65.100.20"/>
            </w:textInput>
          </w:ffData>
        </w:fldChar>
      </w:r>
      <w:bookmarkStart w:id="0" w:name="ICS"/>
      <w:r>
        <w:instrText xml:space="preserve"> FORMTEXT </w:instrText>
      </w:r>
      <w:r>
        <w:fldChar w:fldCharType="separate"/>
      </w:r>
      <w:r>
        <w:t>65.100.20</w:t>
      </w:r>
      <w:r>
        <w:fldChar w:fldCharType="end"/>
      </w:r>
      <w:bookmarkEnd w:id="0"/>
    </w:p>
    <w:p w14:paraId="12D26457">
      <w:pPr>
        <w:pStyle w:val="128"/>
        <w:framePr w:wrap="around" w:vAnchor="page" w:hAnchor="page" w:x="1381" w:y="521"/>
      </w:pPr>
      <w:bookmarkStart w:id="1" w:name="WXFLH"/>
      <w:r>
        <w:t xml:space="preserve">CCS </w:t>
      </w:r>
      <w:r>
        <w:fldChar w:fldCharType="begin">
          <w:ffData>
            <w:name w:val="WXFLH"/>
            <w:enabled/>
            <w:calcOnExit w:val="0"/>
            <w:textInput>
              <w:default w:val="G 25"/>
            </w:textInput>
          </w:ffData>
        </w:fldChar>
      </w:r>
      <w:r>
        <w:instrText xml:space="preserve"> FORMTEXT </w:instrText>
      </w:r>
      <w:r>
        <w:fldChar w:fldCharType="separate"/>
      </w:r>
      <w:r>
        <w:t>G 25</w:t>
      </w:r>
      <w:r>
        <w:fldChar w:fldCharType="end"/>
      </w:r>
      <w:bookmarkEnd w:id="1"/>
    </w:p>
    <w:p w14:paraId="2C6029CF">
      <w:pPr>
        <w:pStyle w:val="68"/>
        <w:framePr w:wrap="around"/>
      </w:pPr>
      <w:r>
        <w:drawing>
          <wp:inline distT="0" distB="0" distL="0" distR="0">
            <wp:extent cx="1438275" cy="723900"/>
            <wp:effectExtent l="0" t="0" r="0" b="0"/>
            <wp:docPr id="1" name="图片 1" descr="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GB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30B9A1">
      <w:pPr>
        <w:pStyle w:val="69"/>
        <w:framePr w:wrap="around"/>
      </w:pPr>
      <w:r>
        <w:rPr>
          <w:rFonts w:hint="eastAsia"/>
        </w:rPr>
        <w:t>中华人民共和国国家标准</w:t>
      </w:r>
    </w:p>
    <w:p w14:paraId="684DF747">
      <w:pPr>
        <w:pStyle w:val="47"/>
        <w:framePr w:wrap="around"/>
      </w:pPr>
      <w:r>
        <w:rPr>
          <w:rFonts w:ascii="Times New Roman"/>
        </w:rPr>
        <w:t xml:space="preserve">GB/T </w:t>
      </w:r>
      <w:r>
        <w:fldChar w:fldCharType="begin">
          <w:ffData>
            <w:enabled/>
            <w:calcOnExit w:val="0"/>
            <w:textInput>
              <w:default w:val="XXXXX"/>
              <w:maxLength w:val="5"/>
            </w:textInput>
          </w:ffData>
        </w:fldChar>
      </w:r>
      <w:r>
        <w:instrText xml:space="preserve"> FORMTEXT </w:instrText>
      </w:r>
      <w:r>
        <w:fldChar w:fldCharType="separate"/>
      </w:r>
      <w:r>
        <w:t>XXXXX</w:t>
      </w:r>
      <w:r>
        <w:fldChar w:fldCharType="end"/>
      </w:r>
      <w:r>
        <w:t>—</w:t>
      </w:r>
      <w:bookmarkStart w:id="2" w:name="StdNo2"/>
      <w:r>
        <w:fldChar w:fldCharType="begin">
          <w:ffData>
            <w:name w:val="StdNo2"/>
            <w:enabled/>
            <w:calcOnExit w:val="0"/>
            <w:textInput>
              <w:default w:val="XXXX"/>
              <w:maxLength w:val="4"/>
            </w:textInput>
          </w:ffData>
        </w:fldChar>
      </w:r>
      <w:r>
        <w:instrText xml:space="preserve"> FORMTEXT </w:instrText>
      </w:r>
      <w:r>
        <w:fldChar w:fldCharType="separate"/>
      </w:r>
      <w:r>
        <w:t>XXXX</w:t>
      </w:r>
      <w:r>
        <w:fldChar w:fldCharType="end"/>
      </w:r>
      <w:bookmarkEnd w:id="2"/>
    </w:p>
    <w:tbl>
      <w:tblPr>
        <w:tblStyle w:val="32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 w14:paraId="321762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12145BEE">
            <w:pPr>
              <w:pStyle w:val="78"/>
              <w:framePr w:wrap="around"/>
              <w:wordWrap w:val="0"/>
            </w:pPr>
            <w:bookmarkStart w:id="3" w:name="DT"/>
            <w:r>
              <mc:AlternateContent>
                <mc:Choice Requires="wps">
                  <w:drawing>
                    <wp:anchor distT="0" distB="0" distL="114300" distR="114300" simplePos="0" relativeHeight="251661312" behindDoc="1" locked="1" layoutInCell="1" allowOverlap="1">
                      <wp:simplePos x="0" y="0"/>
                      <wp:positionH relativeFrom="column">
                        <wp:posOffset>4734560</wp:posOffset>
                      </wp:positionH>
                      <wp:positionV relativeFrom="paragraph">
                        <wp:posOffset>1521460</wp:posOffset>
                      </wp:positionV>
                      <wp:extent cx="1143000" cy="228600"/>
                      <wp:effectExtent l="0" t="0" r="0" b="0"/>
                      <wp:wrapNone/>
                      <wp:docPr id="19" name="DT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DT" o:spid="_x0000_s1026" o:spt="1" style="position:absolute;left:0pt;margin-left:372.8pt;margin-top:119.8pt;height:18pt;width:90pt;z-index:-251655168;mso-width-relative:page;mso-height-relative:page;" fillcolor="#FFFFFF" filled="t" stroked="f" coordsize="21600,21600" o:gfxdata="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QxU6INgAAAALAQAADwAAAAAAAAABACAAAAAi&#10;AAAAZHJzL2Rvd25yZXYueG1sUEsBAhQAFAAAAAgAh07iQOptJFUKAgAAIQQAAA4AAAAAAAAAAQAg&#10;AAAAJwEAAGRycy9lMm9Eb2MueG1sUEsFBgAAAAAGAAYAWQEAAKMFAAAAAA==&#10;">
                      <v:fill on="t" focussize="0,0"/>
                      <v:stroke on="f"/>
                      <v:imagedata o:title=""/>
                      <o:lock v:ext="edit" aspectratio="f"/>
                      <w10:anchorlock/>
                    </v:rect>
                  </w:pict>
                </mc:Fallback>
              </mc:AlternateContent>
            </w:r>
            <w:bookmarkEnd w:id="3"/>
            <w:r>
              <w:t xml:space="preserve"> </w:t>
            </w:r>
          </w:p>
        </w:tc>
      </w:tr>
    </w:tbl>
    <w:p w14:paraId="461757BE">
      <w:pPr>
        <w:pStyle w:val="47"/>
        <w:framePr w:wrap="around"/>
      </w:pPr>
    </w:p>
    <w:p w14:paraId="088DE147">
      <w:pPr>
        <w:pStyle w:val="80"/>
        <w:framePr w:wrap="around"/>
      </w:pPr>
      <w:r>
        <w:rPr>
          <w:rFonts w:hint="eastAsia"/>
        </w:rPr>
        <w:t>2甲4氯钠原药</w:t>
      </w:r>
    </w:p>
    <w:p w14:paraId="46081EAF">
      <w:pPr>
        <w:pStyle w:val="80"/>
        <w:framePr w:wrap="around"/>
        <w:rPr>
          <w:rFonts w:ascii="Times New Roman"/>
          <w:sz w:val="28"/>
          <w:szCs w:val="28"/>
        </w:rPr>
      </w:pPr>
      <w:r>
        <w:rPr>
          <w:rFonts w:hint="eastAsia" w:ascii="Times New Roman"/>
          <w:sz w:val="28"/>
          <w:szCs w:val="28"/>
        </w:rPr>
        <w:t>MCPA-Na technical material</w:t>
      </w:r>
    </w:p>
    <w:p w14:paraId="408DFAC3">
      <w:pPr>
        <w:pStyle w:val="82"/>
        <w:framePr w:wrap="around"/>
      </w:pPr>
    </w:p>
    <w:tbl>
      <w:tblPr>
        <w:tblStyle w:val="32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5"/>
      </w:tblGrid>
      <w:tr w14:paraId="3F7A15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14:paraId="21D9E6DB">
            <w:pPr>
              <w:pStyle w:val="83"/>
              <w:framePr w:wrap="around"/>
            </w:pPr>
            <w:r>
              <w:rPr>
                <w:rFonts w:hint="eastAsia"/>
              </w:rPr>
              <w:t>征求意见稿</w:t>
            </w:r>
          </w:p>
        </w:tc>
      </w:tr>
      <w:tr w14:paraId="3D25B8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14:paraId="49898E52">
            <w:pPr>
              <w:pStyle w:val="84"/>
              <w:framePr w:wrap="around"/>
            </w:pPr>
            <w:r>
              <w:rPr>
                <w:rFonts w:hint="eastAsia"/>
              </w:rPr>
              <w:t>（本稿完成日期：</w:t>
            </w:r>
            <w:r>
              <w:t>202</w:t>
            </w:r>
            <w:r>
              <w:rPr>
                <w:rFonts w:hint="eastAsia"/>
              </w:rPr>
              <w:t>5年11月）</w:t>
            </w:r>
          </w:p>
        </w:tc>
      </w:tr>
    </w:tbl>
    <w:p w14:paraId="6B326873">
      <w:pPr>
        <w:pStyle w:val="135"/>
        <w:framePr w:wrap="around" w:hAnchor="page" w:x="1501"/>
      </w:pPr>
      <w:bookmarkStart w:id="4" w:name="FY"/>
      <w:r>
        <w:rPr>
          <w:rFonts w:ascii="黑体"/>
        </w:rPr>
        <w:fldChar w:fldCharType="begin">
          <w:ffData>
            <w:name w:val="FY"/>
            <w:enabled/>
            <w:calcOnExit w:val="0"/>
            <w:entryMacro w:val="ShowHelp8"/>
            <w:textInput>
              <w:default w:val="XXXX"/>
              <w:maxLength w:val="4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XXXX</w:t>
      </w:r>
      <w:r>
        <w:rPr>
          <w:rFonts w:ascii="黑体"/>
        </w:rPr>
        <w:fldChar w:fldCharType="end"/>
      </w:r>
      <w:bookmarkEnd w:id="4"/>
      <w:r>
        <w:t xml:space="preserve"> </w:t>
      </w:r>
      <w:r>
        <w:rPr>
          <w:rFonts w:ascii="黑体"/>
        </w:rPr>
        <w:t>-</w:t>
      </w:r>
      <w:r>
        <w:t xml:space="preserve"> </w:t>
      </w:r>
      <w:bookmarkStart w:id="5" w:name="FM"/>
      <w:r>
        <w:rPr>
          <w:rFonts w:ascii="黑体"/>
        </w:rPr>
        <w:fldChar w:fldCharType="begin">
          <w:ffData>
            <w:name w:val="FM"/>
            <w:enabled/>
            <w:calcOnExit w:val="0"/>
            <w:entryMacro w:val="ShowHelp8"/>
            <w:textInput>
              <w:default w:val="XX"/>
              <w:maxLength w:val="2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5"/>
      <w:r>
        <w:t xml:space="preserve"> </w:t>
      </w:r>
      <w:r>
        <w:rPr>
          <w:rFonts w:ascii="黑体"/>
        </w:rPr>
        <w:t>-</w:t>
      </w:r>
      <w:r>
        <w:t xml:space="preserve"> </w:t>
      </w:r>
      <w:bookmarkStart w:id="6" w:name="FD"/>
      <w:r>
        <w:rPr>
          <w:rFonts w:ascii="黑体"/>
        </w:rPr>
        <w:fldChar w:fldCharType="begin">
          <w:ffData>
            <w:name w:val="FD"/>
            <w:enabled/>
            <w:calcOnExit w:val="0"/>
            <w:entryMacro w:val="ShowHelp8"/>
            <w:textInput>
              <w:default w:val="XX"/>
              <w:maxLength w:val="2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6"/>
      <w:r>
        <w:rPr>
          <w:rFonts w:hint="eastAsia"/>
        </w:rPr>
        <w:t>发布</w:t>
      </w:r>
      <w: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column">
                  <wp:posOffset>-53340</wp:posOffset>
                </wp:positionH>
                <wp:positionV relativeFrom="page">
                  <wp:posOffset>9241790</wp:posOffset>
                </wp:positionV>
                <wp:extent cx="6120130" cy="0"/>
                <wp:effectExtent l="0" t="0" r="13970" b="0"/>
                <wp:wrapNone/>
                <wp:docPr id="16" name="Lin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0" o:spid="_x0000_s1026" o:spt="20" style="position:absolute;left:0pt;margin-left:-4.2pt;margin-top:727.7pt;height:0pt;width:481.9pt;mso-position-vertical-relative:page;z-index:251659264;mso-width-relative:page;mso-height-relative:page;" filled="f" stroked="t" coordsize="21600,21600" o:gfxdata="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JnxUe9YAAAAMAQAADwAAAAAAAAABACAAAAAiAAAAZHJzL2Rv&#10;d25yZXYueG1sUEsBAhQAFAAAAAgAh07iQFY3hnPKAQAAoQMAAA4AAAAAAAAAAQAgAAAAJQEAAGRy&#10;cy9lMm9Eb2MueG1sUEsFBgAAAAAGAAYAWQEAAGEFAAAAAA==&#10;">
                <v:fill on="f" focussize="0,0"/>
                <v:stroke color="#000000" joinstyle="round"/>
                <v:imagedata o:title=""/>
                <o:lock v:ext="edit" aspectratio="f"/>
                <w10:anchorlock/>
              </v:line>
            </w:pict>
          </mc:Fallback>
        </mc:AlternateContent>
      </w:r>
    </w:p>
    <w:p w14:paraId="07DE0662">
      <w:pPr>
        <w:pStyle w:val="136"/>
        <w:framePr w:wrap="around" w:hAnchor="page" w:x="6961" w:y="14086"/>
      </w:pPr>
      <w:bookmarkStart w:id="7" w:name="SY"/>
      <w:r>
        <w:rPr>
          <w:rFonts w:ascii="黑体"/>
        </w:rPr>
        <w:fldChar w:fldCharType="begin">
          <w:ffData>
            <w:name w:val="SY"/>
            <w:enabled/>
            <w:calcOnExit w:val="0"/>
            <w:entryMacro w:val="ShowHelp9"/>
            <w:textInput>
              <w:default w:val="XXXX"/>
              <w:maxLength w:val="4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XXXX</w:t>
      </w:r>
      <w:r>
        <w:rPr>
          <w:rFonts w:ascii="黑体"/>
        </w:rPr>
        <w:fldChar w:fldCharType="end"/>
      </w:r>
      <w:bookmarkEnd w:id="7"/>
      <w:r>
        <w:t xml:space="preserve"> </w:t>
      </w:r>
      <w:r>
        <w:rPr>
          <w:rFonts w:ascii="黑体"/>
        </w:rPr>
        <w:t>-</w:t>
      </w:r>
      <w:r>
        <w:t xml:space="preserve"> </w:t>
      </w:r>
      <w:bookmarkStart w:id="8" w:name="SM"/>
      <w:r>
        <w:rPr>
          <w:rFonts w:ascii="黑体"/>
        </w:rPr>
        <w:fldChar w:fldCharType="begin">
          <w:ffData>
            <w:name w:val="SM"/>
            <w:enabled/>
            <w:calcOnExit w:val="0"/>
            <w:entryMacro w:val="ShowHelp9"/>
            <w:textInput>
              <w:default w:val="XX"/>
              <w:maxLength w:val="2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8"/>
      <w:r>
        <w:t xml:space="preserve"> </w:t>
      </w:r>
      <w:r>
        <w:rPr>
          <w:rFonts w:ascii="黑体"/>
        </w:rPr>
        <w:t>-</w:t>
      </w:r>
      <w:r>
        <w:t xml:space="preserve"> </w:t>
      </w:r>
      <w:bookmarkStart w:id="9" w:name="SD"/>
      <w:r>
        <w:rPr>
          <w:rFonts w:ascii="黑体"/>
        </w:rPr>
        <w:fldChar w:fldCharType="begin">
          <w:ffData>
            <w:name w:val="SD"/>
            <w:enabled/>
            <w:calcOnExit w:val="0"/>
            <w:entryMacro w:val="ShowHelp9"/>
            <w:textInput>
              <w:default w:val="XX"/>
              <w:maxLength w:val="2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9"/>
      <w:r>
        <w:rPr>
          <w:rFonts w:hint="eastAsia"/>
        </w:rPr>
        <w:t>实施</w:t>
      </w:r>
    </w:p>
    <w:p w14:paraId="6BA781CA">
      <w:pPr>
        <w:pStyle w:val="23"/>
        <w:ind w:firstLine="440"/>
        <w:sectPr>
          <w:headerReference r:id="rId3" w:type="even"/>
          <w:footerReference r:id="rId4" w:type="even"/>
          <w:pgSz w:w="11906" w:h="16838"/>
          <w:pgMar w:top="567" w:right="1134" w:bottom="1134" w:left="1417" w:header="0" w:footer="0" w:gutter="0"/>
          <w:pgNumType w:start="1"/>
          <w:cols w:space="425" w:num="1"/>
          <w:docGrid w:type="lines" w:linePitch="312" w:charSpace="0"/>
        </w:sectPr>
      </w:pPr>
      <w:bookmarkStart w:id="10" w:name="_Toc457491869"/>
      <w:bookmarkStart w:id="11" w:name="_Toc440293240"/>
      <w:bookmarkStart w:id="12" w:name="_Toc458086732"/>
      <w:r>
        <mc:AlternateContent>
          <mc:Choice Requires="wps">
            <w:drawing>
              <wp:anchor distT="0" distB="0" distL="114300" distR="114300" simplePos="0" relativeHeight="251666432" behindDoc="0" locked="1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8930005</wp:posOffset>
                </wp:positionV>
                <wp:extent cx="6120130" cy="0"/>
                <wp:effectExtent l="0" t="0" r="0" b="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703.15pt;height:0pt;width:481.9pt;mso-position-horizontal:left;mso-position-horizontal-relative:margin;z-index:251666432;mso-width-relative:page;mso-height-relative:page;" filled="f" stroked="t" coordsize="21600,21600" o:gfxdata="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oQ21UNUAAAAKAQAA&#10;DwAAAAAAAAABACAAAAAiAAAAZHJzL2Rvd25yZXYueG1sUEsBAhQAFAAAAAgAh07iQKTFIZfjAQAA&#10;qgMAAA4AAAAAAAAAAQAgAAAAJAEAAGRycy9lMm9Eb2MueG1sUEsFBgAAAAAGAAYAWQEAAHkFAAAA&#10;AA==&#10;">
                <v:fill on="f" focussize="0,0"/>
                <v:stroke color="#000000" joinstyle="round"/>
                <v:imagedata o:title=""/>
                <o:lock v:ext="edit" aspectratio="f"/>
                <w10:anchorlock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2339340</wp:posOffset>
                </wp:positionV>
                <wp:extent cx="6120130" cy="0"/>
                <wp:effectExtent l="0" t="0" r="13970" b="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0.05pt;margin-top:184.2pt;height:0pt;width:481.9pt;z-index:251660288;mso-width-relative:page;mso-height-relative:page;" filled="f" stroked="t" coordsize="21600,21600" o:gfxdata="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F1vAI1wAAAAkB&#10;AAAPAAAAAAAAAAEAIAAAACIAAABkcnMvZG93bnJldi54bWxQSwECFAAUAAAACACHTuJA42u/zuMB&#10;AACqAwAADgAAAAAAAAABACAAAAAmAQAAZHJzL2Uyb0RvYy54bWxQSwUGAAAAAAYABgBZAQAAewUA&#10;AAAA&#10;">
                <v:fill on="f" focussize="0,0"/>
                <v:stroke color="#000000" joinstyle="round"/>
                <v:imagedata o:title=""/>
                <o:lock v:ext="edit" aspectratio="f"/>
                <w10:anchorlock/>
              </v:line>
            </w:pict>
          </mc:Fallback>
        </mc:AlternateContent>
      </w:r>
    </w:p>
    <w:bookmarkEnd w:id="10"/>
    <w:bookmarkEnd w:id="11"/>
    <w:bookmarkEnd w:id="12"/>
    <w:p w14:paraId="142B1853">
      <w:pPr>
        <w:pStyle w:val="115"/>
      </w:pPr>
      <w:r>
        <w:rPr>
          <w:rFonts w:hint="eastAsia"/>
        </w:rPr>
        <w:t>前</w:t>
      </w:r>
      <w:bookmarkStart w:id="13" w:name="BKQY"/>
      <w:r>
        <w:rPr>
          <w:rFonts w:hint="eastAsia" w:ascii="MS Mincho" w:hAnsi="MS Mincho" w:eastAsia="MS Mincho" w:cs="MS Mincho"/>
        </w:rPr>
        <w:t>  </w:t>
      </w:r>
      <w:r>
        <w:rPr>
          <w:rFonts w:hint="eastAsia"/>
        </w:rPr>
        <w:t>言</w:t>
      </w:r>
      <w:bookmarkEnd w:id="13"/>
    </w:p>
    <w:p w14:paraId="5211E892">
      <w:pPr>
        <w:pStyle w:val="23"/>
        <w:ind w:firstLine="440"/>
      </w:pPr>
      <w:r>
        <w:rPr>
          <w:rFonts w:hint="eastAsia"/>
        </w:rPr>
        <w:t>本文件按照 GB/T 1.1—2020《标准化工作导则  第 1 部分：标准化文件的结构和起草规则》的规定起草。</w:t>
      </w:r>
    </w:p>
    <w:p w14:paraId="3C7C875E">
      <w:pPr>
        <w:pStyle w:val="23"/>
        <w:ind w:firstLine="440"/>
        <w:rPr>
          <w:rFonts w:hint="eastAsia" w:hAnsi="宋体"/>
          <w:sz w:val="21"/>
          <w:szCs w:val="21"/>
        </w:rPr>
      </w:pPr>
      <w:r>
        <w:rPr>
          <w:rFonts w:hint="eastAsia"/>
          <w:sz w:val="21"/>
          <w:szCs w:val="21"/>
        </w:rPr>
        <w:t>请注意本文件的某些内容可能涉及专利。本文件的发布机构不承担识别专利的责任</w:t>
      </w:r>
      <w:r>
        <w:rPr>
          <w:rFonts w:hint="eastAsia" w:hAnsi="宋体"/>
          <w:sz w:val="21"/>
          <w:szCs w:val="21"/>
        </w:rPr>
        <w:t>。</w:t>
      </w:r>
    </w:p>
    <w:p w14:paraId="3BF9BBA3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="420" w:firstLineChars="200"/>
        <w:rPr>
          <w:kern w:val="0"/>
          <w:szCs w:val="20"/>
        </w:rPr>
      </w:pPr>
      <w:r>
        <w:rPr>
          <w:rFonts w:hint="eastAsia" w:cs="宋体"/>
          <w:kern w:val="0"/>
          <w:szCs w:val="20"/>
        </w:rPr>
        <w:t>本文件由</w:t>
      </w:r>
      <w:r>
        <w:rPr>
          <w:rFonts w:hint="eastAsia"/>
          <w:lang w:val="en-US" w:eastAsia="zh-CN"/>
        </w:rPr>
        <w:t>中华人民共和国农业农村部</w:t>
      </w:r>
      <w:r>
        <w:rPr>
          <w:rFonts w:hint="eastAsia" w:cs="宋体"/>
          <w:kern w:val="0"/>
          <w:szCs w:val="20"/>
        </w:rPr>
        <w:t>提出。</w:t>
      </w:r>
    </w:p>
    <w:p w14:paraId="76A0360D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="420" w:firstLineChars="200"/>
        <w:rPr>
          <w:kern w:val="0"/>
          <w:szCs w:val="20"/>
        </w:rPr>
      </w:pPr>
      <w:r>
        <w:rPr>
          <w:rFonts w:hint="eastAsia" w:cs="宋体"/>
          <w:kern w:val="0"/>
          <w:szCs w:val="20"/>
        </w:rPr>
        <w:t>本文件由全国农药标准化技术委员会（</w:t>
      </w:r>
      <w:r>
        <w:rPr>
          <w:kern w:val="0"/>
          <w:szCs w:val="20"/>
        </w:rPr>
        <w:t>SAC</w:t>
      </w:r>
      <w:r>
        <w:rPr>
          <w:rFonts w:hint="eastAsia" w:ascii="宋体" w:hAnsi="宋体" w:cs="宋体"/>
          <w:kern w:val="0"/>
          <w:szCs w:val="20"/>
        </w:rPr>
        <w:t>/</w:t>
      </w:r>
      <w:r>
        <w:rPr>
          <w:kern w:val="0"/>
          <w:szCs w:val="20"/>
        </w:rPr>
        <w:t>TC</w:t>
      </w:r>
      <w:r>
        <w:rPr>
          <w:rFonts w:hint="eastAsia" w:ascii="宋体" w:hAnsi="宋体" w:cs="宋体"/>
          <w:kern w:val="0"/>
          <w:szCs w:val="20"/>
        </w:rPr>
        <w:t xml:space="preserve"> 133</w:t>
      </w:r>
      <w:r>
        <w:rPr>
          <w:rFonts w:hint="eastAsia" w:cs="宋体"/>
          <w:kern w:val="0"/>
          <w:szCs w:val="20"/>
        </w:rPr>
        <w:t>）归口。</w:t>
      </w:r>
    </w:p>
    <w:p w14:paraId="0B3BDDB4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="420" w:firstLineChars="200"/>
        <w:rPr>
          <w:kern w:val="0"/>
          <w:szCs w:val="21"/>
        </w:rPr>
      </w:pPr>
      <w:r>
        <w:rPr>
          <w:rFonts w:hint="eastAsia" w:cs="宋体"/>
          <w:kern w:val="0"/>
          <w:szCs w:val="20"/>
        </w:rPr>
        <w:t>本文件起草单位：</w:t>
      </w:r>
      <w:r>
        <w:rPr>
          <w:rFonts w:hint="eastAsia"/>
          <w:kern w:val="0"/>
          <w:szCs w:val="21"/>
        </w:rPr>
        <w:t>农业农村部农药检定所</w:t>
      </w:r>
      <w:r>
        <w:rPr>
          <w:rFonts w:hint="eastAsia"/>
          <w:kern w:val="0"/>
          <w:szCs w:val="21"/>
          <w:lang w:eastAsia="zh-CN"/>
        </w:rPr>
        <w:t>、</w:t>
      </w:r>
      <w:r>
        <w:rPr>
          <w:rFonts w:hint="eastAsia"/>
        </w:rPr>
        <w:t>XXX</w:t>
      </w:r>
      <w:r>
        <w:rPr>
          <w:rFonts w:hint="eastAsia"/>
          <w:kern w:val="0"/>
          <w:szCs w:val="21"/>
        </w:rPr>
        <w:t>等。</w:t>
      </w:r>
    </w:p>
    <w:p w14:paraId="3EE8744E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="420" w:firstLineChars="200"/>
        <w:sectPr>
          <w:headerReference r:id="rId5" w:type="default"/>
          <w:footerReference r:id="rId6" w:type="default"/>
          <w:pgSz w:w="11906" w:h="16838"/>
          <w:pgMar w:top="567" w:right="1134" w:bottom="1134" w:left="1417" w:header="1418" w:footer="1134" w:gutter="0"/>
          <w:pgNumType w:start="1"/>
          <w:cols w:space="425" w:num="1"/>
          <w:formProt w:val="0"/>
          <w:docGrid w:type="lines" w:linePitch="312" w:charSpace="0"/>
        </w:sectPr>
      </w:pPr>
      <w:r>
        <w:rPr>
          <w:rFonts w:hint="eastAsia"/>
        </w:rPr>
        <w:t>本文件主要起草人：</w:t>
      </w:r>
      <w:r>
        <w:t xml:space="preserve"> </w:t>
      </w:r>
      <w:r>
        <w:rPr>
          <w:rFonts w:hint="eastAsia"/>
        </w:rPr>
        <w:t>XXX</w:t>
      </w:r>
    </w:p>
    <w:p w14:paraId="76C2A661">
      <w:pPr>
        <w:pStyle w:val="50"/>
      </w:pPr>
      <w:r>
        <w:rPr>
          <w:rFonts w:hint="eastAsia"/>
        </w:rPr>
        <w:t>2甲4氯钠原药</w:t>
      </w:r>
    </w:p>
    <w:p w14:paraId="2475D379">
      <w:pPr>
        <w:pStyle w:val="45"/>
        <w:spacing w:before="312" w:after="312"/>
      </w:pPr>
      <w:r>
        <w:rPr>
          <w:rFonts w:hint="eastAsia"/>
        </w:rPr>
        <w:t>范围</w:t>
      </w:r>
    </w:p>
    <w:p w14:paraId="573E82BA">
      <w:pPr>
        <w:pStyle w:val="23"/>
        <w:ind w:firstLine="440"/>
      </w:pPr>
      <w:r>
        <w:rPr>
          <w:rFonts w:hint="eastAsia"/>
        </w:rPr>
        <w:t>本文件规定了2甲4氯钠原药的技术要求、试验方法、检验规则</w:t>
      </w:r>
      <w:r>
        <w:t>、</w:t>
      </w:r>
      <w:r>
        <w:rPr>
          <w:rFonts w:hint="eastAsia"/>
        </w:rPr>
        <w:t>验收和质量保证期以及标志、标签、包装、储运，描述了2甲4氯钠原药的试验方法</w:t>
      </w:r>
      <w:r>
        <w:rPr>
          <w:rFonts w:hint="eastAsia" w:hAnsi="宋体" w:cs="Arial"/>
        </w:rPr>
        <w:t>。</w:t>
      </w:r>
      <w:r>
        <w:rPr>
          <w:rFonts w:hint="eastAsia"/>
        </w:rPr>
        <w:t xml:space="preserve"> </w:t>
      </w:r>
    </w:p>
    <w:p w14:paraId="1429F523">
      <w:pPr>
        <w:pStyle w:val="23"/>
        <w:ind w:firstLine="440"/>
      </w:pPr>
      <w:r>
        <w:rPr>
          <w:rFonts w:hint="eastAsia"/>
        </w:rPr>
        <w:t>本文件适用于由2甲4氯钠原药产品的</w:t>
      </w:r>
      <w:r>
        <w:t>质量控制</w:t>
      </w:r>
      <w:r>
        <w:rPr>
          <w:rFonts w:hint="eastAsia"/>
        </w:rPr>
        <w:t>。</w:t>
      </w:r>
    </w:p>
    <w:p w14:paraId="28ADF1D8">
      <w:pPr>
        <w:pStyle w:val="67"/>
        <w:numPr>
          <w:ilvl w:val="0"/>
          <w:numId w:val="0"/>
        </w:numPr>
        <w:ind w:left="852" w:leftChars="202" w:hanging="428"/>
      </w:pPr>
      <w:r>
        <w:rPr>
          <w:rFonts w:hint="eastAsia" w:ascii="黑体" w:eastAsia="黑体"/>
        </w:rPr>
        <w:t>注：</w:t>
      </w:r>
      <w:r>
        <w:rPr>
          <w:rFonts w:hint="eastAsia" w:eastAsia="黑体"/>
        </w:rPr>
        <w:t>2甲4氯钠</w:t>
      </w:r>
      <w:r>
        <w:rPr>
          <w:rFonts w:hint="eastAsia"/>
        </w:rPr>
        <w:t>的其他名称、结构式和基本物化参数参见附录A。</w:t>
      </w:r>
    </w:p>
    <w:p w14:paraId="3423B2CD">
      <w:pPr>
        <w:pStyle w:val="45"/>
        <w:spacing w:before="312" w:after="312"/>
      </w:pPr>
      <w:r>
        <w:rPr>
          <w:rFonts w:hint="eastAsia"/>
        </w:rPr>
        <w:t>规范性引用文件</w:t>
      </w:r>
    </w:p>
    <w:p w14:paraId="588F3950">
      <w:pPr>
        <w:pStyle w:val="23"/>
        <w:ind w:firstLine="440"/>
      </w:pPr>
      <w:r>
        <w:rPr>
          <w:rFonts w:hint="eastAsia"/>
        </w:rPr>
        <w:t>下列文件对于本文件的应用是必不可少的。凡是注日期的引用文件，仅所注日期的版本适用于本文件。凡是不注日期的引用文件，其最新版本（包括所有的修改单）适用于本文件。</w:t>
      </w:r>
    </w:p>
    <w:p w14:paraId="09969FE9">
      <w:pPr>
        <w:pStyle w:val="23"/>
        <w:rPr>
          <w:sz w:val="21"/>
        </w:rPr>
      </w:pPr>
      <w:r>
        <w:rPr>
          <w:rFonts w:ascii="Times New Roman"/>
          <w:sz w:val="21"/>
        </w:rPr>
        <w:t>GB/T</w:t>
      </w:r>
      <w:r>
        <w:rPr>
          <w:rFonts w:hint="eastAsia"/>
          <w:sz w:val="21"/>
        </w:rPr>
        <w:t xml:space="preserve"> 1600-20</w:t>
      </w:r>
      <w:r>
        <w:rPr>
          <w:sz w:val="21"/>
        </w:rPr>
        <w:t>21</w:t>
      </w:r>
      <w:r>
        <w:rPr>
          <w:rFonts w:hint="eastAsia"/>
          <w:sz w:val="21"/>
        </w:rPr>
        <w:t xml:space="preserve"> 农药水分测定方法</w:t>
      </w:r>
    </w:p>
    <w:p w14:paraId="72816C0F">
      <w:pPr>
        <w:pStyle w:val="23"/>
        <w:rPr>
          <w:sz w:val="21"/>
        </w:rPr>
      </w:pPr>
      <w:r>
        <w:rPr>
          <w:rFonts w:ascii="Times New Roman"/>
          <w:sz w:val="21"/>
        </w:rPr>
        <w:t>GB/T</w:t>
      </w:r>
      <w:r>
        <w:rPr>
          <w:rFonts w:hint="eastAsia"/>
          <w:sz w:val="21"/>
        </w:rPr>
        <w:t xml:space="preserve"> 1601-2001 农</w:t>
      </w:r>
      <w:r>
        <w:rPr>
          <w:rFonts w:hint="eastAsia"/>
          <w:kern w:val="22"/>
          <w:sz w:val="21"/>
        </w:rPr>
        <w:t>药</w:t>
      </w:r>
      <w:r>
        <w:rPr>
          <w:rFonts w:ascii="Times New Roman"/>
          <w:kern w:val="22"/>
          <w:sz w:val="21"/>
        </w:rPr>
        <w:t>pH</w:t>
      </w:r>
      <w:r>
        <w:rPr>
          <w:rFonts w:hint="eastAsia"/>
          <w:kern w:val="22"/>
          <w:sz w:val="21"/>
        </w:rPr>
        <w:t>值</w:t>
      </w:r>
      <w:r>
        <w:rPr>
          <w:rFonts w:hint="eastAsia"/>
          <w:sz w:val="21"/>
        </w:rPr>
        <w:t>的测定方法</w:t>
      </w:r>
    </w:p>
    <w:p w14:paraId="6A1B610D">
      <w:pPr>
        <w:pStyle w:val="23"/>
        <w:rPr>
          <w:sz w:val="21"/>
        </w:rPr>
      </w:pPr>
      <w:r>
        <w:rPr>
          <w:rFonts w:hint="eastAsia" w:ascii="Times New Roman"/>
          <w:sz w:val="21"/>
        </w:rPr>
        <w:t>GB/T</w:t>
      </w:r>
      <w:r>
        <w:rPr>
          <w:rFonts w:hint="eastAsia"/>
          <w:sz w:val="21"/>
        </w:rPr>
        <w:t xml:space="preserve"> 1604 商品农药验收规则</w:t>
      </w:r>
    </w:p>
    <w:p w14:paraId="37671540">
      <w:pPr>
        <w:pStyle w:val="23"/>
        <w:rPr>
          <w:sz w:val="21"/>
        </w:rPr>
      </w:pPr>
      <w:r>
        <w:rPr>
          <w:rFonts w:hint="eastAsia" w:ascii="Times New Roman"/>
          <w:sz w:val="21"/>
        </w:rPr>
        <w:t>GB/T</w:t>
      </w:r>
      <w:r>
        <w:rPr>
          <w:rFonts w:hint="eastAsia"/>
          <w:sz w:val="21"/>
        </w:rPr>
        <w:t xml:space="preserve"> 1605-2001 商品农药采样方法</w:t>
      </w:r>
    </w:p>
    <w:p w14:paraId="08A716D0">
      <w:pPr>
        <w:pStyle w:val="23"/>
        <w:rPr>
          <w:sz w:val="21"/>
        </w:rPr>
      </w:pPr>
      <w:r>
        <w:rPr>
          <w:rFonts w:hint="eastAsia" w:ascii="Times New Roman"/>
          <w:sz w:val="21"/>
        </w:rPr>
        <w:t xml:space="preserve">GB </w:t>
      </w:r>
      <w:r>
        <w:rPr>
          <w:sz w:val="21"/>
        </w:rPr>
        <w:t>3796</w:t>
      </w:r>
      <w:r>
        <w:rPr>
          <w:rFonts w:hint="eastAsia"/>
          <w:sz w:val="21"/>
        </w:rPr>
        <w:t xml:space="preserve">  农药包装通则</w:t>
      </w:r>
    </w:p>
    <w:p w14:paraId="0ED9CB0C">
      <w:pPr>
        <w:pStyle w:val="23"/>
        <w:rPr>
          <w:sz w:val="21"/>
        </w:rPr>
      </w:pPr>
      <w:r>
        <w:rPr>
          <w:rFonts w:ascii="Times New Roman"/>
          <w:sz w:val="21"/>
        </w:rPr>
        <w:t>GB/T</w:t>
      </w:r>
      <w:r>
        <w:rPr>
          <w:rFonts w:hint="eastAsia"/>
          <w:sz w:val="21"/>
        </w:rPr>
        <w:t xml:space="preserve"> 8170-2008 数值修约规则与极限数值的表示和判定</w:t>
      </w:r>
    </w:p>
    <w:p w14:paraId="544F4AD3">
      <w:pPr>
        <w:pStyle w:val="23"/>
        <w:rPr>
          <w:rFonts w:ascii="Times New Roman" w:cs="宋体"/>
          <w:sz w:val="21"/>
          <w:szCs w:val="21"/>
        </w:rPr>
      </w:pPr>
      <w:r>
        <w:rPr>
          <w:rFonts w:ascii="Times New Roman"/>
          <w:sz w:val="21"/>
        </w:rPr>
        <w:t>GB/T</w:t>
      </w:r>
      <w:r>
        <w:rPr>
          <w:rFonts w:hint="eastAsia"/>
          <w:sz w:val="21"/>
        </w:rPr>
        <w:t xml:space="preserve"> 28316</w:t>
      </w:r>
      <w:r>
        <w:rPr>
          <w:rFonts w:hint="eastAsia" w:ascii="Times New Roman"/>
          <w:color w:val="000000"/>
          <w:sz w:val="21"/>
          <w:szCs w:val="21"/>
        </w:rPr>
        <w:t>—</w:t>
      </w:r>
      <w:r>
        <w:rPr>
          <w:rFonts w:hAnsi="宋体" w:cs="宋体"/>
          <w:sz w:val="21"/>
          <w:szCs w:val="21"/>
        </w:rPr>
        <w:t>2011</w:t>
      </w:r>
      <w:r>
        <w:rPr>
          <w:rFonts w:hint="eastAsia" w:ascii="Times New Roman" w:cs="宋体"/>
          <w:sz w:val="21"/>
          <w:szCs w:val="21"/>
        </w:rPr>
        <w:t>农药水不溶物测定方法</w:t>
      </w:r>
    </w:p>
    <w:p w14:paraId="00F654BA">
      <w:pPr>
        <w:pStyle w:val="4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</w:pPr>
      <w:r>
        <w:rPr>
          <w:rFonts w:hint="eastAsia"/>
        </w:rPr>
        <w:t>术语</w:t>
      </w:r>
      <w:r>
        <w:t>和定义</w:t>
      </w:r>
    </w:p>
    <w:p w14:paraId="051D0F68">
      <w:pPr>
        <w:pStyle w:val="23"/>
        <w:ind w:firstLine="440"/>
        <w:rPr>
          <w:rFonts w:ascii="Times New Roman" w:cs="宋体"/>
          <w:sz w:val="21"/>
          <w:szCs w:val="21"/>
        </w:rPr>
      </w:pPr>
      <w:r>
        <w:rPr>
          <w:rFonts w:hint="eastAsia"/>
          <w:sz w:val="21"/>
          <w:szCs w:val="21"/>
        </w:rPr>
        <w:t>本文件</w:t>
      </w:r>
      <w:r>
        <w:rPr>
          <w:sz w:val="21"/>
          <w:szCs w:val="21"/>
        </w:rPr>
        <w:t>没有需要界定的术语和定义。</w:t>
      </w:r>
    </w:p>
    <w:p w14:paraId="46E4C639">
      <w:pPr>
        <w:pStyle w:val="4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240" w:lineRule="auto"/>
        <w:textAlignment w:val="auto"/>
      </w:pPr>
      <w:r>
        <w:rPr>
          <w:rFonts w:hint="eastAsia"/>
        </w:rPr>
        <w:t>技术要求</w:t>
      </w:r>
    </w:p>
    <w:p w14:paraId="51955BF2">
      <w:pPr>
        <w:pStyle w:val="42"/>
        <w:keepNext w:val="0"/>
        <w:keepLines w:val="0"/>
        <w:pageBreakBefore w:val="0"/>
        <w:widowControl/>
        <w:numPr>
          <w:ilvl w:val="1"/>
          <w:numId w:val="1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</w:pPr>
      <w:bookmarkStart w:id="14" w:name="_Toc440293244"/>
      <w:bookmarkStart w:id="15" w:name="_Toc457491873"/>
      <w:bookmarkStart w:id="16" w:name="_Toc458086736"/>
      <w:r>
        <w:rPr>
          <w:rFonts w:hint="eastAsia"/>
        </w:rPr>
        <w:t>外观</w:t>
      </w:r>
      <w:bookmarkEnd w:id="14"/>
      <w:bookmarkEnd w:id="15"/>
      <w:bookmarkEnd w:id="16"/>
    </w:p>
    <w:p w14:paraId="69F52855">
      <w:pPr>
        <w:pStyle w:val="23"/>
        <w:spacing w:line="360" w:lineRule="auto"/>
        <w:ind w:firstLine="440"/>
        <w:rPr>
          <w:sz w:val="21"/>
          <w:szCs w:val="21"/>
        </w:rPr>
      </w:pPr>
      <w:r>
        <w:rPr>
          <w:rFonts w:hint="eastAsia" w:hAnsi="宋体"/>
          <w:sz w:val="21"/>
          <w:szCs w:val="21"/>
        </w:rPr>
        <w:t>类白色固体粉末</w:t>
      </w:r>
      <w:r>
        <w:rPr>
          <w:rFonts w:hint="eastAsia"/>
          <w:sz w:val="21"/>
          <w:szCs w:val="21"/>
        </w:rPr>
        <w:t>。</w:t>
      </w:r>
    </w:p>
    <w:p w14:paraId="7D192169">
      <w:pPr>
        <w:pStyle w:val="42"/>
        <w:keepNext w:val="0"/>
        <w:keepLines w:val="0"/>
        <w:pageBreakBefore w:val="0"/>
        <w:widowControl/>
        <w:numPr>
          <w:ilvl w:val="1"/>
          <w:numId w:val="1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</w:pPr>
      <w:bookmarkStart w:id="17" w:name="_Toc458086737"/>
      <w:bookmarkStart w:id="18" w:name="_Toc457491874"/>
      <w:bookmarkStart w:id="19" w:name="_Toc440293245"/>
      <w:r>
        <w:rPr>
          <w:rFonts w:hint="eastAsia"/>
        </w:rPr>
        <w:t>技术指标</w:t>
      </w:r>
      <w:bookmarkEnd w:id="17"/>
      <w:bookmarkEnd w:id="18"/>
      <w:bookmarkEnd w:id="19"/>
    </w:p>
    <w:p w14:paraId="4823C5DC">
      <w:pPr>
        <w:pStyle w:val="23"/>
        <w:spacing w:line="360" w:lineRule="auto"/>
        <w:ind w:firstLine="440"/>
        <w:rPr>
          <w:sz w:val="21"/>
          <w:szCs w:val="21"/>
        </w:rPr>
      </w:pPr>
      <w:r>
        <w:rPr>
          <w:rFonts w:hint="eastAsia"/>
          <w:sz w:val="21"/>
          <w:szCs w:val="21"/>
        </w:rPr>
        <w:t>2甲4氯钠原药还应符合表1要求。</w:t>
      </w:r>
    </w:p>
    <w:p w14:paraId="1F6A678F">
      <w:pPr>
        <w:pStyle w:val="131"/>
        <w:numPr>
          <w:ilvl w:val="0"/>
          <w:numId w:val="20"/>
        </w:numPr>
        <w:tabs>
          <w:tab w:val="left" w:pos="360"/>
        </w:tabs>
        <w:spacing w:before="156" w:afterLines="0"/>
      </w:pPr>
      <w:r>
        <w:rPr>
          <w:rFonts w:hint="eastAsia"/>
        </w:rPr>
        <w:br w:type="page"/>
      </w:r>
      <w:r>
        <w:rPr>
          <w:rFonts w:hint="eastAsia"/>
        </w:rPr>
        <w:t>2甲4氯钠原药技术指标</w:t>
      </w:r>
    </w:p>
    <w:tbl>
      <w:tblPr>
        <w:tblStyle w:val="32"/>
        <w:tblW w:w="5157" w:type="pct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04"/>
        <w:gridCol w:w="3968"/>
      </w:tblGrid>
      <w:tr w14:paraId="6E368E6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2990" w:type="pct"/>
            <w:tcBorders>
              <w:top w:val="single" w:color="auto" w:sz="8" w:space="0"/>
            </w:tcBorders>
            <w:vAlign w:val="center"/>
          </w:tcPr>
          <w:p w14:paraId="50139C3C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项</w:t>
            </w:r>
            <w:r>
              <w:rPr>
                <w:rFonts w:ascii="宋体"/>
                <w:sz w:val="18"/>
                <w:szCs w:val="18"/>
              </w:rPr>
              <w:t xml:space="preserve">     </w:t>
            </w:r>
            <w:r>
              <w:rPr>
                <w:rFonts w:hint="eastAsia" w:ascii="宋体"/>
                <w:sz w:val="18"/>
                <w:szCs w:val="18"/>
              </w:rPr>
              <w:t>目</w:t>
            </w:r>
          </w:p>
        </w:tc>
        <w:tc>
          <w:tcPr>
            <w:tcW w:w="2009" w:type="pct"/>
            <w:tcBorders>
              <w:top w:val="single" w:color="auto" w:sz="8" w:space="0"/>
            </w:tcBorders>
            <w:vAlign w:val="center"/>
          </w:tcPr>
          <w:p w14:paraId="1B5D87FC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指</w:t>
            </w:r>
            <w:r>
              <w:rPr>
                <w:rFonts w:ascii="宋体"/>
                <w:sz w:val="18"/>
                <w:szCs w:val="18"/>
              </w:rPr>
              <w:t xml:space="preserve">      </w:t>
            </w:r>
            <w:r>
              <w:rPr>
                <w:rFonts w:hint="eastAsia" w:ascii="宋体"/>
                <w:sz w:val="18"/>
                <w:szCs w:val="18"/>
              </w:rPr>
              <w:t>标</w:t>
            </w:r>
          </w:p>
        </w:tc>
      </w:tr>
      <w:tr w14:paraId="25F7070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990" w:type="pct"/>
            <w:vAlign w:val="center"/>
          </w:tcPr>
          <w:p w14:paraId="3E013C83">
            <w:pPr>
              <w:pStyle w:val="23"/>
              <w:ind w:left="90" w:hanging="90" w:hangingChars="5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2甲4氯钠质量分数/</w:t>
            </w:r>
            <w:r>
              <w:rPr>
                <w:rFonts w:ascii="Times New Roman"/>
                <w:sz w:val="18"/>
                <w:szCs w:val="18"/>
              </w:rPr>
              <w:t>%</w:t>
            </w:r>
            <w:r>
              <w:rPr>
                <w:rFonts w:hint="eastAsia"/>
                <w:sz w:val="18"/>
                <w:szCs w:val="18"/>
              </w:rPr>
              <w:t xml:space="preserve">                              </w:t>
            </w:r>
          </w:p>
        </w:tc>
        <w:tc>
          <w:tcPr>
            <w:tcW w:w="2009" w:type="pct"/>
            <w:vAlign w:val="center"/>
          </w:tcPr>
          <w:p w14:paraId="507B519E">
            <w:pPr>
              <w:pStyle w:val="23"/>
              <w:ind w:firstLine="0" w:firstLineChars="0"/>
              <w:jc w:val="center"/>
              <w:rPr>
                <w:rFonts w:hint="eastAsia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≥</w:t>
            </w:r>
            <w:r>
              <w:rPr>
                <w:rFonts w:hint="eastAsia" w:hAnsi="宋体"/>
                <w:sz w:val="18"/>
                <w:szCs w:val="18"/>
              </w:rPr>
              <w:t>92.0</w:t>
            </w:r>
          </w:p>
        </w:tc>
      </w:tr>
      <w:tr w14:paraId="68E94BA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2990" w:type="pct"/>
            <w:vAlign w:val="center"/>
          </w:tcPr>
          <w:p w14:paraId="10D61960">
            <w:pPr>
              <w:pStyle w:val="23"/>
              <w:ind w:left="90" w:hanging="90" w:hangingChars="5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钠离子质量分数/</w:t>
            </w:r>
            <w:r>
              <w:rPr>
                <w:rFonts w:ascii="Times New Roman"/>
                <w:sz w:val="18"/>
                <w:szCs w:val="18"/>
              </w:rPr>
              <w:t>%</w:t>
            </w:r>
            <w:r>
              <w:rPr>
                <w:rFonts w:hint="eastAsia"/>
                <w:sz w:val="18"/>
                <w:szCs w:val="18"/>
              </w:rPr>
              <w:t xml:space="preserve">                                </w:t>
            </w:r>
          </w:p>
        </w:tc>
        <w:tc>
          <w:tcPr>
            <w:tcW w:w="2009" w:type="pct"/>
            <w:vAlign w:val="center"/>
          </w:tcPr>
          <w:p w14:paraId="00982C54">
            <w:pPr>
              <w:pStyle w:val="23"/>
              <w:ind w:firstLine="0" w:firstLineChars="0"/>
              <w:jc w:val="center"/>
              <w:rPr>
                <w:rFonts w:hint="eastAsia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≥</w:t>
            </w:r>
            <w:r>
              <w:rPr>
                <w:rFonts w:hint="eastAsia" w:hAnsi="宋体"/>
                <w:sz w:val="18"/>
                <w:szCs w:val="18"/>
              </w:rPr>
              <w:t>9.2</w:t>
            </w:r>
          </w:p>
        </w:tc>
      </w:tr>
      <w:tr w14:paraId="3623A52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2990" w:type="pct"/>
            <w:vAlign w:val="center"/>
          </w:tcPr>
          <w:p w14:paraId="5909691E">
            <w:pPr>
              <w:pStyle w:val="23"/>
              <w:ind w:left="90" w:hanging="90" w:hangingChars="5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游离酚质量分数</w:t>
            </w:r>
            <w:r>
              <w:rPr>
                <w:rFonts w:hint="eastAsia"/>
                <w:color w:val="000000"/>
                <w:sz w:val="18"/>
                <w:szCs w:val="18"/>
              </w:rPr>
              <w:t>（以4-氯邻甲酚计）/</w:t>
            </w:r>
            <w:r>
              <w:rPr>
                <w:rFonts w:ascii="Times New Roman"/>
                <w:color w:val="000000"/>
                <w:sz w:val="18"/>
                <w:szCs w:val="18"/>
              </w:rPr>
              <w:t>%</w:t>
            </w:r>
            <w:r>
              <w:rPr>
                <w:rFonts w:hint="eastAsia"/>
                <w:color w:val="000000"/>
                <w:sz w:val="18"/>
                <w:szCs w:val="18"/>
                <w:vertAlign w:val="superscript"/>
              </w:rPr>
              <w:t xml:space="preserve">           </w:t>
            </w:r>
          </w:p>
        </w:tc>
        <w:tc>
          <w:tcPr>
            <w:tcW w:w="2009" w:type="pct"/>
            <w:vAlign w:val="center"/>
          </w:tcPr>
          <w:p w14:paraId="59128275">
            <w:pPr>
              <w:pStyle w:val="23"/>
              <w:ind w:firstLine="0" w:firstLineChars="0"/>
              <w:jc w:val="center"/>
              <w:rPr>
                <w:rFonts w:hint="eastAsia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≤</w:t>
            </w:r>
            <w:r>
              <w:rPr>
                <w:rFonts w:hint="eastAsia" w:hAnsi="宋体"/>
                <w:sz w:val="18"/>
                <w:szCs w:val="18"/>
              </w:rPr>
              <w:t>0.3</w:t>
            </w:r>
          </w:p>
        </w:tc>
      </w:tr>
      <w:tr w14:paraId="38B9013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</w:trPr>
        <w:tc>
          <w:tcPr>
            <w:tcW w:w="2990" w:type="pct"/>
            <w:tcBorders>
              <w:bottom w:val="single" w:color="auto" w:sz="4" w:space="0"/>
            </w:tcBorders>
            <w:vAlign w:val="center"/>
          </w:tcPr>
          <w:p w14:paraId="1084DE62">
            <w:pPr>
              <w:pStyle w:val="23"/>
              <w:ind w:firstLine="0" w:firstLineChars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水分/</w:t>
            </w:r>
            <w:r>
              <w:rPr>
                <w:rFonts w:ascii="Times New Roman"/>
                <w:sz w:val="18"/>
                <w:szCs w:val="18"/>
              </w:rPr>
              <w:t>%</w:t>
            </w:r>
            <w:r>
              <w:rPr>
                <w:rFonts w:hint="eastAsia"/>
                <w:sz w:val="18"/>
                <w:szCs w:val="18"/>
              </w:rPr>
              <w:t xml:space="preserve">                                         </w:t>
            </w:r>
          </w:p>
        </w:tc>
        <w:tc>
          <w:tcPr>
            <w:tcW w:w="2009" w:type="pct"/>
            <w:tcBorders>
              <w:bottom w:val="single" w:color="auto" w:sz="4" w:space="0"/>
            </w:tcBorders>
            <w:vAlign w:val="center"/>
          </w:tcPr>
          <w:p w14:paraId="54541511">
            <w:pPr>
              <w:pStyle w:val="23"/>
              <w:ind w:firstLine="0" w:firstLineChars="0"/>
              <w:jc w:val="center"/>
              <w:rPr>
                <w:rFonts w:hint="eastAsia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≤</w:t>
            </w:r>
            <w:r>
              <w:rPr>
                <w:rFonts w:hint="eastAsia" w:hAnsi="宋体"/>
                <w:sz w:val="18"/>
                <w:szCs w:val="18"/>
              </w:rPr>
              <w:t>5.0</w:t>
            </w:r>
          </w:p>
        </w:tc>
      </w:tr>
      <w:tr w14:paraId="799D5F1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2990" w:type="pct"/>
            <w:tcBorders>
              <w:bottom w:val="single" w:color="auto" w:sz="4" w:space="0"/>
            </w:tcBorders>
            <w:vAlign w:val="center"/>
          </w:tcPr>
          <w:p w14:paraId="2C71A016">
            <w:pPr>
              <w:pStyle w:val="23"/>
              <w:ind w:firstLine="0" w:firstLineChars="0"/>
              <w:rPr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pH</w:t>
            </w:r>
            <w:r>
              <w:rPr>
                <w:rFonts w:hint="eastAsia"/>
                <w:sz w:val="18"/>
                <w:szCs w:val="18"/>
              </w:rPr>
              <w:t xml:space="preserve">值                                   </w:t>
            </w:r>
          </w:p>
        </w:tc>
        <w:tc>
          <w:tcPr>
            <w:tcW w:w="2009" w:type="pct"/>
            <w:tcBorders>
              <w:bottom w:val="single" w:color="auto" w:sz="4" w:space="0"/>
            </w:tcBorders>
            <w:vAlign w:val="center"/>
          </w:tcPr>
          <w:p w14:paraId="1E172970">
            <w:pPr>
              <w:pStyle w:val="23"/>
              <w:ind w:firstLine="0" w:firstLineChars="0"/>
              <w:jc w:val="center"/>
              <w:rPr>
                <w:rFonts w:hint="eastAsia" w:hAnsi="宋体"/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4.0</w:t>
            </w:r>
            <w:r>
              <w:rPr>
                <w:rFonts w:hint="eastAsia"/>
                <w:sz w:val="18"/>
                <w:szCs w:val="18"/>
              </w:rPr>
              <w:t>～</w:t>
            </w:r>
            <w:r>
              <w:rPr>
                <w:rFonts w:hint="eastAsia" w:hAnsi="宋体"/>
                <w:sz w:val="18"/>
                <w:szCs w:val="18"/>
              </w:rPr>
              <w:t>7.0</w:t>
            </w:r>
          </w:p>
        </w:tc>
      </w:tr>
      <w:tr w14:paraId="5B73EB7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</w:trPr>
        <w:tc>
          <w:tcPr>
            <w:tcW w:w="2990" w:type="pct"/>
            <w:tcBorders>
              <w:bottom w:val="single" w:color="auto" w:sz="4" w:space="0"/>
            </w:tcBorders>
            <w:vAlign w:val="center"/>
          </w:tcPr>
          <w:p w14:paraId="2554DD8E">
            <w:pPr>
              <w:pStyle w:val="23"/>
              <w:ind w:firstLine="0" w:firstLineChars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水不溶物</w:t>
            </w:r>
            <w:r>
              <w:rPr>
                <w:rFonts w:hint="eastAsia"/>
                <w:sz w:val="18"/>
                <w:szCs w:val="18"/>
                <w:vertAlign w:val="superscript"/>
              </w:rPr>
              <w:t>a</w:t>
            </w:r>
            <w:r>
              <w:rPr>
                <w:rFonts w:hint="eastAsia"/>
                <w:sz w:val="18"/>
                <w:szCs w:val="18"/>
              </w:rPr>
              <w:t>/</w:t>
            </w:r>
            <w:r>
              <w:rPr>
                <w:rFonts w:ascii="Times New Roman"/>
                <w:sz w:val="18"/>
                <w:szCs w:val="18"/>
              </w:rPr>
              <w:t>%</w:t>
            </w:r>
            <w:r>
              <w:rPr>
                <w:rFonts w:hint="eastAsia"/>
                <w:sz w:val="18"/>
                <w:szCs w:val="18"/>
              </w:rPr>
              <w:t xml:space="preserve">                                    </w:t>
            </w:r>
          </w:p>
        </w:tc>
        <w:tc>
          <w:tcPr>
            <w:tcW w:w="2009" w:type="pct"/>
            <w:tcBorders>
              <w:bottom w:val="single" w:color="auto" w:sz="4" w:space="0"/>
            </w:tcBorders>
            <w:vAlign w:val="center"/>
          </w:tcPr>
          <w:p w14:paraId="43C44410">
            <w:pPr>
              <w:pStyle w:val="23"/>
              <w:ind w:firstLine="0" w:firstLineChars="0"/>
              <w:jc w:val="center"/>
              <w:rPr>
                <w:rFonts w:hint="eastAsia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≤</w:t>
            </w:r>
            <w:r>
              <w:rPr>
                <w:rFonts w:hint="eastAsia" w:hAnsi="宋体"/>
                <w:sz w:val="18"/>
                <w:szCs w:val="18"/>
              </w:rPr>
              <w:t>0.2</w:t>
            </w:r>
          </w:p>
        </w:tc>
      </w:tr>
      <w:tr w14:paraId="575F0FE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5000" w:type="pct"/>
            <w:gridSpan w:val="2"/>
            <w:tcBorders>
              <w:bottom w:val="single" w:color="auto" w:sz="4" w:space="0"/>
            </w:tcBorders>
            <w:vAlign w:val="center"/>
          </w:tcPr>
          <w:p w14:paraId="091DCD71">
            <w:pPr>
              <w:pStyle w:val="23"/>
              <w:ind w:firstLine="180" w:firstLineChars="100"/>
              <w:rPr>
                <w:rFonts w:ascii="Times New Roman"/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a</w:t>
            </w:r>
            <w:r>
              <w:rPr>
                <w:rFonts w:hint="eastAsia"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正常生产时，水不溶物每3个月至少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测定</w:t>
            </w:r>
            <w:r>
              <w:rPr>
                <w:rFonts w:hint="eastAsia"/>
                <w:sz w:val="18"/>
                <w:szCs w:val="18"/>
              </w:rPr>
              <w:t>一次。</w:t>
            </w:r>
          </w:p>
        </w:tc>
      </w:tr>
    </w:tbl>
    <w:p w14:paraId="74F24FC2">
      <w:pPr>
        <w:pStyle w:val="45"/>
        <w:keepNext w:val="0"/>
        <w:keepLines w:val="0"/>
        <w:pageBreakBefore w:val="0"/>
        <w:widowControl/>
        <w:numPr>
          <w:ilvl w:val="0"/>
          <w:numId w:val="2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312" w:after="313" w:afterLines="100" w:line="240" w:lineRule="auto"/>
        <w:textAlignment w:val="auto"/>
      </w:pPr>
      <w:bookmarkStart w:id="20" w:name="_Toc458086738"/>
      <w:bookmarkStart w:id="21" w:name="_Toc457491875"/>
      <w:bookmarkStart w:id="22" w:name="_Toc440293246"/>
      <w:r>
        <w:rPr>
          <w:rFonts w:hint="eastAsia"/>
        </w:rPr>
        <w:t>试验方法</w:t>
      </w:r>
      <w:bookmarkEnd w:id="20"/>
      <w:bookmarkEnd w:id="21"/>
      <w:bookmarkEnd w:id="22"/>
    </w:p>
    <w:p w14:paraId="0EEAB7D2">
      <w:pPr>
        <w:pStyle w:val="23"/>
        <w:ind w:firstLine="440"/>
        <w:rPr>
          <w:b/>
        </w:rPr>
      </w:pPr>
      <w:r>
        <w:rPr>
          <w:rFonts w:hint="eastAsia" w:ascii="黑体" w:eastAsia="黑体"/>
        </w:rPr>
        <w:t>警示：使用本文件的人员应有实验室工作的实践经验。本文件并未指出所有的安全问题。使用者有责任采取适当的安全和健康措施。</w:t>
      </w:r>
    </w:p>
    <w:p w14:paraId="5D9AADF5">
      <w:pPr>
        <w:pStyle w:val="42"/>
        <w:keepNext w:val="0"/>
        <w:keepLines w:val="0"/>
        <w:pageBreakBefore w:val="0"/>
        <w:widowControl/>
        <w:numPr>
          <w:ilvl w:val="1"/>
          <w:numId w:val="1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 w:line="240" w:lineRule="auto"/>
        <w:textAlignment w:val="auto"/>
      </w:pPr>
      <w:bookmarkStart w:id="23" w:name="_Toc457491876"/>
      <w:bookmarkStart w:id="24" w:name="_Toc440293247"/>
      <w:bookmarkStart w:id="25" w:name="_Toc458086739"/>
      <w:r>
        <w:rPr>
          <w:rFonts w:hint="eastAsia"/>
        </w:rPr>
        <w:t>一般规定</w:t>
      </w:r>
      <w:bookmarkEnd w:id="23"/>
      <w:bookmarkEnd w:id="24"/>
      <w:bookmarkEnd w:id="25"/>
    </w:p>
    <w:p w14:paraId="12107276">
      <w:pPr>
        <w:pStyle w:val="23"/>
        <w:rPr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本文件所用试剂和水在没有注明其他要求时，均指分析纯试剂和蒸馏水。</w:t>
      </w:r>
    </w:p>
    <w:p w14:paraId="1C03E645">
      <w:pPr>
        <w:pStyle w:val="42"/>
        <w:keepNext w:val="0"/>
        <w:keepLines w:val="0"/>
        <w:pageBreakBefore w:val="0"/>
        <w:widowControl/>
        <w:numPr>
          <w:ilvl w:val="1"/>
          <w:numId w:val="1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 w:line="240" w:lineRule="auto"/>
        <w:textAlignment w:val="auto"/>
      </w:pPr>
      <w:bookmarkStart w:id="26" w:name="_Toc457491877"/>
      <w:bookmarkStart w:id="27" w:name="_Toc440293248"/>
      <w:bookmarkStart w:id="28" w:name="_Toc458086740"/>
      <w:r>
        <w:rPr>
          <w:rFonts w:hint="eastAsia"/>
        </w:rPr>
        <w:t>取样</w:t>
      </w:r>
      <w:bookmarkEnd w:id="26"/>
      <w:bookmarkEnd w:id="27"/>
      <w:bookmarkEnd w:id="28"/>
    </w:p>
    <w:p w14:paraId="5CA5B0E4">
      <w:pPr>
        <w:pStyle w:val="23"/>
        <w:rPr>
          <w:sz w:val="21"/>
          <w:szCs w:val="21"/>
        </w:rPr>
      </w:pPr>
      <w:r>
        <w:rPr>
          <w:rFonts w:hint="eastAsia" w:ascii="Times New Roman"/>
          <w:sz w:val="21"/>
          <w:szCs w:val="21"/>
        </w:rPr>
        <w:t xml:space="preserve">按 </w:t>
      </w:r>
      <w:r>
        <w:rPr>
          <w:rFonts w:ascii="Times New Roman"/>
          <w:sz w:val="21"/>
          <w:szCs w:val="21"/>
        </w:rPr>
        <w:t>GB</w:t>
      </w:r>
      <w:r>
        <w:rPr>
          <w:rFonts w:hAnsi="宋体"/>
          <w:sz w:val="21"/>
          <w:szCs w:val="21"/>
        </w:rPr>
        <w:t>/</w:t>
      </w:r>
      <w:r>
        <w:rPr>
          <w:rFonts w:ascii="Times New Roman"/>
          <w:sz w:val="21"/>
          <w:szCs w:val="21"/>
        </w:rPr>
        <w:t xml:space="preserve">T </w:t>
      </w:r>
      <w:r>
        <w:rPr>
          <w:rFonts w:hAnsi="宋体"/>
          <w:sz w:val="21"/>
          <w:szCs w:val="21"/>
        </w:rPr>
        <w:t>1605</w:t>
      </w:r>
      <w:r>
        <w:rPr>
          <w:rFonts w:hAnsi="宋体"/>
          <w:kern w:val="2"/>
          <w:sz w:val="21"/>
          <w:szCs w:val="21"/>
        </w:rPr>
        <w:t>—</w:t>
      </w:r>
      <w:r>
        <w:rPr>
          <w:rFonts w:hAnsi="宋体"/>
          <w:sz w:val="21"/>
          <w:szCs w:val="21"/>
        </w:rPr>
        <w:t>2001中</w:t>
      </w:r>
      <w:r>
        <w:rPr>
          <w:rFonts w:hint="eastAsia" w:hAnsi="宋体"/>
          <w:sz w:val="21"/>
          <w:szCs w:val="21"/>
        </w:rPr>
        <w:t>5.3.</w:t>
      </w:r>
      <w:r>
        <w:rPr>
          <w:rFonts w:hAnsi="宋体"/>
          <w:sz w:val="21"/>
          <w:szCs w:val="21"/>
        </w:rPr>
        <w:t>1</w:t>
      </w:r>
      <w:r>
        <w:rPr>
          <w:rFonts w:hint="eastAsia" w:hAnsi="宋体"/>
          <w:sz w:val="21"/>
          <w:szCs w:val="21"/>
        </w:rPr>
        <w:t>进行，</w:t>
      </w:r>
      <w:r>
        <w:rPr>
          <w:rFonts w:hAnsi="宋体"/>
          <w:sz w:val="21"/>
          <w:szCs w:val="21"/>
        </w:rPr>
        <w:t>用随机数表法确定</w:t>
      </w:r>
      <w:r>
        <w:rPr>
          <w:rFonts w:hint="eastAsia" w:hAnsi="宋体"/>
          <w:sz w:val="21"/>
          <w:szCs w:val="21"/>
        </w:rPr>
        <w:t>取样</w:t>
      </w:r>
      <w:r>
        <w:rPr>
          <w:rFonts w:hAnsi="宋体"/>
          <w:sz w:val="21"/>
          <w:szCs w:val="21"/>
        </w:rPr>
        <w:t>的包装件</w:t>
      </w:r>
      <w:r>
        <w:rPr>
          <w:rFonts w:hint="eastAsia" w:hAnsi="宋体"/>
          <w:sz w:val="21"/>
          <w:szCs w:val="21"/>
        </w:rPr>
        <w:t>，</w:t>
      </w:r>
      <w:r>
        <w:rPr>
          <w:rFonts w:hAnsi="宋体"/>
          <w:sz w:val="21"/>
          <w:szCs w:val="21"/>
        </w:rPr>
        <w:t>最终</w:t>
      </w:r>
      <w:r>
        <w:rPr>
          <w:rFonts w:hint="eastAsia" w:hAnsi="宋体"/>
          <w:sz w:val="21"/>
          <w:szCs w:val="21"/>
        </w:rPr>
        <w:t>取样</w:t>
      </w:r>
      <w:r>
        <w:rPr>
          <w:rFonts w:hAnsi="宋体"/>
          <w:sz w:val="21"/>
          <w:szCs w:val="21"/>
        </w:rPr>
        <w:t xml:space="preserve">量应不少于100 </w:t>
      </w:r>
      <w:r>
        <w:rPr>
          <w:rFonts w:ascii="Times New Roman"/>
          <w:sz w:val="21"/>
          <w:szCs w:val="21"/>
        </w:rPr>
        <w:t>g</w:t>
      </w:r>
      <w:r>
        <w:rPr>
          <w:rFonts w:hint="eastAsia" w:hAnsi="宋体"/>
          <w:sz w:val="21"/>
          <w:szCs w:val="21"/>
        </w:rPr>
        <w:t>。</w:t>
      </w:r>
      <w:r>
        <w:rPr>
          <w:rFonts w:hint="eastAsia"/>
          <w:sz w:val="21"/>
          <w:szCs w:val="21"/>
        </w:rPr>
        <w:t xml:space="preserve"> </w:t>
      </w:r>
    </w:p>
    <w:p w14:paraId="5B801423">
      <w:pPr>
        <w:pStyle w:val="42"/>
        <w:keepNext w:val="0"/>
        <w:keepLines w:val="0"/>
        <w:pageBreakBefore w:val="0"/>
        <w:widowControl/>
        <w:numPr>
          <w:ilvl w:val="1"/>
          <w:numId w:val="1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afterLines="0" w:line="240" w:lineRule="auto"/>
        <w:textAlignment w:val="auto"/>
      </w:pPr>
      <w:bookmarkStart w:id="29" w:name="_Toc440293249"/>
      <w:bookmarkStart w:id="30" w:name="_Toc457491878"/>
      <w:bookmarkStart w:id="31" w:name="_Toc458086741"/>
      <w:r>
        <w:rPr>
          <w:rFonts w:hint="eastAsia"/>
        </w:rPr>
        <w:t>鉴别试验</w:t>
      </w:r>
      <w:bookmarkEnd w:id="29"/>
      <w:bookmarkEnd w:id="30"/>
      <w:bookmarkEnd w:id="31"/>
    </w:p>
    <w:p w14:paraId="5B915F7A">
      <w:pPr>
        <w:pStyle w:val="4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/>
        <w:textAlignment w:val="auto"/>
        <w:rPr>
          <w:sz w:val="21"/>
          <w:szCs w:val="21"/>
        </w:rPr>
      </w:pPr>
      <w:r>
        <w:rPr>
          <w:rFonts w:hint="eastAsia"/>
          <w:sz w:val="21"/>
          <w:szCs w:val="21"/>
        </w:rPr>
        <w:t>红外光谱法</w:t>
      </w:r>
    </w:p>
    <w:p w14:paraId="7308A036">
      <w:pPr>
        <w:pStyle w:val="23"/>
        <w:rPr>
          <w:rFonts w:hint="eastAsia" w:hAnsi="宋体"/>
          <w:sz w:val="21"/>
          <w:szCs w:val="21"/>
        </w:rPr>
      </w:pPr>
      <w:r>
        <w:rPr>
          <w:rFonts w:hint="eastAsia"/>
          <w:sz w:val="21"/>
          <w:szCs w:val="21"/>
        </w:rPr>
        <w:t>2甲4氯钠原药与2甲4氯钠标样在</w:t>
      </w:r>
      <w:r>
        <w:rPr>
          <w:rFonts w:hint="eastAsia" w:hAnsi="宋体"/>
          <w:sz w:val="21"/>
          <w:szCs w:val="21"/>
        </w:rPr>
        <w:t>400 cm</w:t>
      </w:r>
      <w:r>
        <w:rPr>
          <w:rFonts w:hint="eastAsia" w:hAnsi="宋体"/>
          <w:sz w:val="21"/>
          <w:szCs w:val="21"/>
          <w:vertAlign w:val="superscript"/>
        </w:rPr>
        <w:t>-1</w:t>
      </w:r>
      <w:r>
        <w:rPr>
          <w:rFonts w:hint="eastAsia" w:hAnsi="宋体"/>
          <w:sz w:val="21"/>
          <w:szCs w:val="21"/>
        </w:rPr>
        <w:t>～4000 cm</w:t>
      </w:r>
      <w:r>
        <w:rPr>
          <w:rFonts w:hint="eastAsia" w:hAnsi="宋体"/>
          <w:sz w:val="21"/>
          <w:szCs w:val="21"/>
          <w:vertAlign w:val="superscript"/>
        </w:rPr>
        <w:t>-1</w:t>
      </w:r>
      <w:r>
        <w:rPr>
          <w:rFonts w:hint="eastAsia" w:hAnsi="宋体"/>
          <w:sz w:val="21"/>
          <w:szCs w:val="21"/>
        </w:rPr>
        <w:t>范围的红外吸收光谱图应没有明显区别。</w:t>
      </w:r>
      <w:r>
        <w:rPr>
          <w:rFonts w:hint="eastAsia"/>
          <w:sz w:val="21"/>
          <w:szCs w:val="21"/>
        </w:rPr>
        <w:t>2甲4氯钠</w:t>
      </w:r>
      <w:r>
        <w:rPr>
          <w:rFonts w:hint="eastAsia" w:hAnsi="宋体"/>
          <w:sz w:val="21"/>
          <w:szCs w:val="21"/>
        </w:rPr>
        <w:t>标样红外光谱图见图1。</w:t>
      </w:r>
    </w:p>
    <w:p w14:paraId="2CF7301A">
      <w:pPr>
        <w:pStyle w:val="23"/>
        <w:ind w:firstLine="440"/>
        <w:jc w:val="center"/>
        <w:rPr>
          <w:rFonts w:hint="eastAsia" w:hAnsi="宋体" w:eastAsia="宋体"/>
          <w:lang w:eastAsia="zh-CN"/>
        </w:rPr>
      </w:pPr>
      <w:r>
        <w:rPr>
          <w:rFonts w:hint="eastAsia" w:hAnsi="宋体" w:eastAsia="宋体"/>
          <w:lang w:eastAsia="zh-CN"/>
        </w:rPr>
        <w:drawing>
          <wp:inline distT="0" distB="0" distL="114300" distR="114300">
            <wp:extent cx="3995420" cy="2345690"/>
            <wp:effectExtent l="0" t="0" r="5080" b="3810"/>
            <wp:docPr id="10" name="图片 10" descr="2甲4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2甲4氯"/>
                    <pic:cNvPicPr>
                      <a:picLocks noChangeAspect="1"/>
                    </pic:cNvPicPr>
                  </pic:nvPicPr>
                  <pic:blipFill>
                    <a:blip r:embed="rId11"/>
                    <a:srcRect r="34965" b="21992"/>
                    <a:stretch>
                      <a:fillRect/>
                    </a:stretch>
                  </pic:blipFill>
                  <pic:spPr>
                    <a:xfrm>
                      <a:off x="0" y="0"/>
                      <a:ext cx="3995420" cy="2345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FD3249">
      <w:pPr>
        <w:pStyle w:val="133"/>
        <w:spacing w:before="156" w:after="156"/>
      </w:pPr>
      <w:r>
        <w:rPr>
          <w:rFonts w:hint="eastAsia"/>
        </w:rPr>
        <w:t>2甲4氯钠标样的红外光谱图</w:t>
      </w:r>
    </w:p>
    <w:p w14:paraId="097ED006">
      <w:pPr>
        <w:pStyle w:val="4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/>
        <w:textAlignment w:val="auto"/>
        <w:rPr>
          <w:sz w:val="21"/>
          <w:szCs w:val="21"/>
        </w:rPr>
      </w:pPr>
      <w:r>
        <w:rPr>
          <w:rFonts w:hint="eastAsia"/>
          <w:sz w:val="21"/>
          <w:szCs w:val="21"/>
        </w:rPr>
        <w:t>液相</w:t>
      </w:r>
      <w:r>
        <w:rPr>
          <w:sz w:val="21"/>
          <w:szCs w:val="21"/>
        </w:rPr>
        <w:t>色</w:t>
      </w:r>
      <w:r>
        <w:rPr>
          <w:rFonts w:hint="eastAsia"/>
          <w:sz w:val="21"/>
          <w:szCs w:val="21"/>
        </w:rPr>
        <w:t>谱法</w:t>
      </w:r>
    </w:p>
    <w:p w14:paraId="60FF1DD1">
      <w:pPr>
        <w:pStyle w:val="23"/>
        <w:ind w:firstLine="440"/>
        <w:rPr>
          <w:sz w:val="21"/>
          <w:szCs w:val="21"/>
        </w:rPr>
      </w:pPr>
      <w:r>
        <w:rPr>
          <w:rFonts w:hint="eastAsia"/>
          <w:sz w:val="21"/>
          <w:szCs w:val="21"/>
        </w:rPr>
        <w:t>本鉴别试验可与2甲4氯钠质量分数的测定同时进行。在相同的色谱操作条件下，试样溶液中某色谱峰的保留时间与标样溶液中2甲4氯的色谱峰的保留时间，其相对差值应在1.5</w:t>
      </w:r>
      <w:r>
        <w:rPr>
          <w:rFonts w:hint="default" w:ascii="Times New Roman" w:hAnsi="Times New Roman" w:cs="Times New Roman"/>
          <w:sz w:val="21"/>
          <w:szCs w:val="21"/>
        </w:rPr>
        <w:t>%</w:t>
      </w:r>
      <w:r>
        <w:rPr>
          <w:rFonts w:hint="eastAsia"/>
          <w:sz w:val="21"/>
          <w:szCs w:val="21"/>
        </w:rPr>
        <w:t>以内。</w:t>
      </w:r>
    </w:p>
    <w:p w14:paraId="3627B823">
      <w:pPr>
        <w:pStyle w:val="42"/>
        <w:spacing w:before="156" w:after="156"/>
      </w:pPr>
      <w:r>
        <w:rPr>
          <w:rFonts w:hint="eastAsia"/>
        </w:rPr>
        <w:t>外观的测定</w:t>
      </w:r>
    </w:p>
    <w:p w14:paraId="2CCFEF0F">
      <w:pPr>
        <w:pStyle w:val="23"/>
        <w:ind w:firstLine="440"/>
      </w:pPr>
      <w:r>
        <w:rPr>
          <w:rFonts w:hint="eastAsia"/>
        </w:rPr>
        <w:t>采用目测法测定。</w:t>
      </w:r>
    </w:p>
    <w:p w14:paraId="4012CBD8">
      <w:pPr>
        <w:pStyle w:val="4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/>
        <w:textAlignment w:val="auto"/>
      </w:pPr>
      <w:bookmarkStart w:id="32" w:name="_Toc413315318"/>
      <w:bookmarkStart w:id="33" w:name="_Toc413315437"/>
      <w:bookmarkStart w:id="34" w:name="_Toc413315363"/>
      <w:bookmarkStart w:id="35" w:name="_Toc413316713"/>
      <w:bookmarkStart w:id="36" w:name="_Toc413315566"/>
      <w:r>
        <w:rPr>
          <w:rFonts w:hint="eastAsia"/>
        </w:rPr>
        <w:t>2甲4氯钠质量分数的测定</w:t>
      </w:r>
      <w:bookmarkEnd w:id="32"/>
      <w:bookmarkEnd w:id="33"/>
      <w:bookmarkEnd w:id="34"/>
      <w:bookmarkEnd w:id="35"/>
      <w:bookmarkEnd w:id="36"/>
    </w:p>
    <w:p w14:paraId="2C22FC8E">
      <w:pPr>
        <w:pStyle w:val="4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/>
        <w:textAlignment w:val="auto"/>
        <w:rPr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原理</w:t>
      </w:r>
    </w:p>
    <w:p w14:paraId="553F9A51">
      <w:pPr>
        <w:pStyle w:val="23"/>
        <w:ind w:firstLine="440"/>
        <w:rPr>
          <w:sz w:val="21"/>
          <w:szCs w:val="21"/>
        </w:rPr>
      </w:pPr>
      <w:r>
        <w:rPr>
          <w:rFonts w:hint="eastAsia"/>
          <w:sz w:val="21"/>
          <w:szCs w:val="21"/>
        </w:rPr>
        <w:t>试样用</w:t>
      </w:r>
      <w:r>
        <w:rPr>
          <w:rFonts w:hint="eastAsia"/>
          <w:sz w:val="21"/>
          <w:szCs w:val="21"/>
          <w:lang w:val="en-US" w:eastAsia="zh-CN"/>
        </w:rPr>
        <w:t>流动相</w:t>
      </w:r>
      <w:r>
        <w:rPr>
          <w:rFonts w:hint="eastAsia"/>
          <w:sz w:val="21"/>
          <w:szCs w:val="21"/>
        </w:rPr>
        <w:t>溶解，以甲醇＋水＋磷酸为流动相，使用以</w:t>
      </w:r>
      <w:r>
        <w:rPr>
          <w:rFonts w:hint="default" w:ascii="Times New Roman" w:hAnsi="Times New Roman" w:cs="Times New Roman"/>
          <w:sz w:val="21"/>
          <w:szCs w:val="21"/>
        </w:rPr>
        <w:t>C</w:t>
      </w:r>
      <w:r>
        <w:rPr>
          <w:rFonts w:hint="eastAsia"/>
          <w:sz w:val="21"/>
          <w:szCs w:val="21"/>
          <w:vertAlign w:val="subscript"/>
        </w:rPr>
        <w:t>18</w:t>
      </w:r>
      <w:r>
        <w:rPr>
          <w:rFonts w:hint="eastAsia"/>
          <w:sz w:val="21"/>
          <w:szCs w:val="21"/>
        </w:rPr>
        <w:t>为填料的不锈钢柱和紫外检测器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  <w:lang w:val="en-US" w:eastAsia="zh-CN"/>
        </w:rPr>
        <w:t>在波长230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nm</w:t>
      </w:r>
      <w:r>
        <w:rPr>
          <w:rFonts w:hint="eastAsia"/>
          <w:sz w:val="21"/>
          <w:szCs w:val="21"/>
          <w:lang w:val="en-US" w:eastAsia="zh-CN"/>
        </w:rPr>
        <w:t>下</w:t>
      </w:r>
      <w:r>
        <w:rPr>
          <w:rFonts w:hint="eastAsia"/>
          <w:sz w:val="21"/>
          <w:szCs w:val="21"/>
        </w:rPr>
        <w:t>，对试样中的2甲4氯</w:t>
      </w:r>
      <w:r>
        <w:rPr>
          <w:rFonts w:hint="eastAsia"/>
          <w:sz w:val="21"/>
          <w:szCs w:val="21"/>
          <w:lang w:val="en-US" w:eastAsia="zh-CN"/>
        </w:rPr>
        <w:t>钠</w:t>
      </w:r>
      <w:r>
        <w:rPr>
          <w:rFonts w:hint="eastAsia"/>
          <w:sz w:val="21"/>
          <w:szCs w:val="21"/>
        </w:rPr>
        <w:t>进行高效液相色谱分离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  <w:lang w:val="en-US" w:eastAsia="zh-CN"/>
        </w:rPr>
        <w:t>外标法定量</w:t>
      </w:r>
      <w:r>
        <w:rPr>
          <w:rFonts w:hint="eastAsia"/>
          <w:sz w:val="21"/>
          <w:szCs w:val="21"/>
        </w:rPr>
        <w:t>。</w:t>
      </w:r>
    </w:p>
    <w:p w14:paraId="04100140">
      <w:pPr>
        <w:pStyle w:val="4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/>
        <w:textAlignment w:val="auto"/>
        <w:rPr>
          <w:sz w:val="21"/>
          <w:szCs w:val="21"/>
        </w:rPr>
      </w:pPr>
      <w:bookmarkStart w:id="37" w:name="_Toc413315439"/>
      <w:bookmarkStart w:id="38" w:name="_Toc413315365"/>
      <w:bookmarkStart w:id="39" w:name="_Toc413315320"/>
      <w:bookmarkStart w:id="40" w:name="_Toc413315568"/>
      <w:r>
        <w:rPr>
          <w:rFonts w:hint="eastAsia"/>
          <w:sz w:val="21"/>
          <w:szCs w:val="21"/>
        </w:rPr>
        <w:t>试剂</w:t>
      </w:r>
      <w:bookmarkEnd w:id="37"/>
      <w:bookmarkEnd w:id="38"/>
      <w:bookmarkEnd w:id="39"/>
      <w:bookmarkEnd w:id="40"/>
      <w:r>
        <w:rPr>
          <w:rFonts w:hint="eastAsia"/>
          <w:sz w:val="21"/>
          <w:szCs w:val="21"/>
        </w:rPr>
        <w:t>或材料</w:t>
      </w:r>
    </w:p>
    <w:p w14:paraId="750CB655">
      <w:pPr>
        <w:pStyle w:val="46"/>
        <w:numPr>
          <w:ilvl w:val="3"/>
          <w:numId w:val="2"/>
        </w:numPr>
        <w:spacing w:before="156" w:after="156"/>
        <w:rPr>
          <w:rFonts w:hint="eastAsia"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甲醇：色谱纯。</w:t>
      </w:r>
    </w:p>
    <w:p w14:paraId="03BBE307">
      <w:pPr>
        <w:pStyle w:val="46"/>
        <w:numPr>
          <w:ilvl w:val="3"/>
          <w:numId w:val="2"/>
        </w:numPr>
        <w:spacing w:before="156" w:after="156"/>
        <w:rPr>
          <w:rFonts w:hint="eastAsia"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水：新蒸二次蒸馏水；</w:t>
      </w:r>
    </w:p>
    <w:p w14:paraId="5A0138AA">
      <w:pPr>
        <w:pStyle w:val="46"/>
        <w:numPr>
          <w:ilvl w:val="3"/>
          <w:numId w:val="2"/>
        </w:numPr>
        <w:spacing w:before="156" w:after="156"/>
        <w:rPr>
          <w:rFonts w:hint="eastAsia"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磷酸；</w:t>
      </w:r>
    </w:p>
    <w:p w14:paraId="7BE7C9A4">
      <w:pPr>
        <w:pStyle w:val="46"/>
        <w:numPr>
          <w:ilvl w:val="3"/>
          <w:numId w:val="2"/>
        </w:numPr>
        <w:spacing w:before="156" w:after="156"/>
        <w:rPr>
          <w:rFonts w:hint="eastAsia"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磷酸水溶液：新蒸二次蒸馏水用磷酸调</w:t>
      </w:r>
      <w:r>
        <w:rPr>
          <w:rFonts w:ascii="Times New Roman" w:eastAsia="宋体"/>
        </w:rPr>
        <w:t>pH</w:t>
      </w:r>
      <w:r>
        <w:rPr>
          <w:rFonts w:hint="eastAsia" w:ascii="宋体" w:hAnsi="宋体" w:eastAsia="宋体"/>
          <w:sz w:val="21"/>
          <w:szCs w:val="21"/>
        </w:rPr>
        <w:t>=2.5；</w:t>
      </w:r>
    </w:p>
    <w:p w14:paraId="062F8A66">
      <w:pPr>
        <w:pStyle w:val="46"/>
        <w:numPr>
          <w:ilvl w:val="3"/>
          <w:numId w:val="2"/>
        </w:numPr>
        <w:spacing w:before="156" w:after="156"/>
        <w:rPr>
          <w:rFonts w:hint="eastAsia"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2甲4氯标样：已知2甲4氯质量分数且不低于99.0</w:t>
      </w:r>
      <w:r>
        <w:rPr>
          <w:rFonts w:ascii="Times New Roman" w:eastAsia="宋体"/>
        </w:rPr>
        <w:t>%</w:t>
      </w:r>
      <w:r>
        <w:rPr>
          <w:rFonts w:hint="eastAsia" w:ascii="宋体" w:hAnsi="宋体" w:eastAsia="宋体"/>
          <w:sz w:val="21"/>
          <w:szCs w:val="21"/>
        </w:rPr>
        <w:t>。</w:t>
      </w:r>
    </w:p>
    <w:p w14:paraId="68DD1B3B">
      <w:pPr>
        <w:pStyle w:val="46"/>
        <w:bidi w:val="0"/>
        <w:ind w:left="0" w:leftChars="0" w:firstLine="0" w:firstLineChars="0"/>
      </w:pPr>
      <w:bookmarkStart w:id="41" w:name="_Toc413315366"/>
      <w:bookmarkStart w:id="42" w:name="_Toc413315321"/>
      <w:bookmarkStart w:id="43" w:name="_Toc413315569"/>
      <w:bookmarkStart w:id="44" w:name="_Toc413315440"/>
      <w:r>
        <w:rPr>
          <w:rFonts w:hint="eastAsia"/>
        </w:rPr>
        <w:t>仪器</w:t>
      </w:r>
      <w:bookmarkEnd w:id="41"/>
      <w:bookmarkEnd w:id="42"/>
      <w:bookmarkEnd w:id="43"/>
      <w:bookmarkEnd w:id="44"/>
    </w:p>
    <w:p w14:paraId="056A9EC6">
      <w:pPr>
        <w:pStyle w:val="46"/>
        <w:numPr>
          <w:ilvl w:val="3"/>
          <w:numId w:val="2"/>
        </w:numPr>
        <w:spacing w:before="156" w:after="156"/>
        <w:rPr>
          <w:rFonts w:hint="eastAsia"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高效液相色谱仪：具有紫外可变波长检测器；</w:t>
      </w:r>
    </w:p>
    <w:p w14:paraId="1B534B56">
      <w:pPr>
        <w:pStyle w:val="46"/>
        <w:numPr>
          <w:ilvl w:val="3"/>
          <w:numId w:val="2"/>
        </w:numPr>
        <w:spacing w:before="156" w:after="156"/>
        <w:rPr>
          <w:rFonts w:hint="eastAsia"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 xml:space="preserve">色谱柱：150 </w:t>
      </w:r>
      <w:r>
        <w:rPr>
          <w:rFonts w:hint="default" w:ascii="Times New Roman" w:hAnsi="Times New Roman" w:eastAsia="宋体" w:cs="Times New Roman"/>
          <w:sz w:val="21"/>
          <w:szCs w:val="21"/>
        </w:rPr>
        <w:t>mm</w:t>
      </w:r>
      <w:r>
        <w:rPr>
          <w:rFonts w:hint="eastAsia" w:ascii="宋体" w:hAnsi="宋体" w:eastAsia="宋体"/>
          <w:sz w:val="21"/>
          <w:szCs w:val="21"/>
        </w:rPr>
        <w:t xml:space="preserve">×4.6 </w:t>
      </w:r>
      <w:r>
        <w:rPr>
          <w:rFonts w:ascii="Times New Roman" w:eastAsia="宋体"/>
          <w:sz w:val="21"/>
          <w:szCs w:val="21"/>
        </w:rPr>
        <w:t>mm</w:t>
      </w:r>
      <w:r>
        <w:rPr>
          <w:rFonts w:hint="eastAsia" w:ascii="宋体" w:hAnsi="宋体" w:eastAsia="宋体"/>
          <w:sz w:val="21"/>
          <w:szCs w:val="21"/>
        </w:rPr>
        <w:t>(内径)不锈钢柱，内装</w:t>
      </w:r>
      <w:r>
        <w:rPr>
          <w:rFonts w:hint="default" w:ascii="Times New Roman" w:hAnsi="Times New Roman" w:eastAsia="宋体" w:cs="Times New Roman"/>
          <w:sz w:val="21"/>
          <w:szCs w:val="21"/>
        </w:rPr>
        <w:t>C</w:t>
      </w:r>
      <w:r>
        <w:rPr>
          <w:rFonts w:hint="eastAsia" w:ascii="宋体" w:hAnsi="宋体" w:eastAsia="宋体"/>
          <w:sz w:val="21"/>
          <w:szCs w:val="21"/>
          <w:vertAlign w:val="subscript"/>
        </w:rPr>
        <w:t>18</w:t>
      </w:r>
      <w:r>
        <w:rPr>
          <w:rFonts w:hint="eastAsia" w:ascii="宋体" w:hAnsi="宋体" w:eastAsia="宋体"/>
          <w:sz w:val="21"/>
          <w:szCs w:val="21"/>
        </w:rPr>
        <w:t>、5</w:t>
      </w:r>
      <w:r>
        <w:rPr>
          <w:rFonts w:ascii="Times New Roman" w:eastAsia="宋体"/>
          <w:sz w:val="21"/>
          <w:szCs w:val="21"/>
        </w:rPr>
        <w:t xml:space="preserve"> μm</w:t>
      </w:r>
      <w:r>
        <w:rPr>
          <w:rFonts w:hint="eastAsia" w:ascii="宋体" w:hAnsi="宋体" w:eastAsia="宋体"/>
          <w:sz w:val="21"/>
          <w:szCs w:val="21"/>
        </w:rPr>
        <w:t>填充物</w:t>
      </w:r>
      <w:r>
        <w:rPr>
          <w:rFonts w:hint="eastAsia" w:ascii="宋体" w:hAnsi="宋体" w:eastAsia="宋体"/>
          <w:kern w:val="2"/>
          <w:sz w:val="21"/>
          <w:szCs w:val="21"/>
        </w:rPr>
        <w:t>（或具有同等效果的色谱柱）</w:t>
      </w:r>
      <w:r>
        <w:rPr>
          <w:rFonts w:hint="eastAsia" w:ascii="宋体" w:hAnsi="宋体" w:eastAsia="宋体"/>
          <w:sz w:val="21"/>
          <w:szCs w:val="21"/>
        </w:rPr>
        <w:t>；</w:t>
      </w:r>
    </w:p>
    <w:p w14:paraId="657DEF7E">
      <w:pPr>
        <w:pStyle w:val="46"/>
        <w:numPr>
          <w:ilvl w:val="3"/>
          <w:numId w:val="2"/>
        </w:numPr>
        <w:spacing w:before="156" w:after="156"/>
        <w:rPr>
          <w:rFonts w:hint="eastAsia" w:ascii="Times New Roman" w:eastAsia="宋体"/>
          <w:sz w:val="21"/>
          <w:szCs w:val="21"/>
        </w:rPr>
      </w:pPr>
      <w:r>
        <w:rPr>
          <w:rFonts w:hint="eastAsia" w:ascii="Times New Roman" w:eastAsia="宋体"/>
          <w:sz w:val="21"/>
          <w:szCs w:val="21"/>
        </w:rPr>
        <w:t xml:space="preserve">过滤器：滤膜孔径约0.45 </w:t>
      </w:r>
      <w:r>
        <w:rPr>
          <w:rFonts w:ascii="Times New Roman" w:eastAsia="宋体"/>
          <w:sz w:val="21"/>
          <w:szCs w:val="21"/>
        </w:rPr>
        <w:t>μ</w:t>
      </w:r>
      <w:r>
        <w:rPr>
          <w:rFonts w:hint="eastAsia" w:ascii="Times New Roman" w:eastAsia="宋体"/>
          <w:sz w:val="21"/>
          <w:szCs w:val="21"/>
        </w:rPr>
        <w:t>m；</w:t>
      </w:r>
    </w:p>
    <w:p w14:paraId="55CDEDF2">
      <w:pPr>
        <w:pStyle w:val="46"/>
        <w:numPr>
          <w:ilvl w:val="3"/>
          <w:numId w:val="2"/>
        </w:numPr>
        <w:spacing w:before="156" w:after="156"/>
        <w:rPr>
          <w:rFonts w:hint="eastAsia" w:ascii="Times New Roman" w:eastAsia="宋体"/>
          <w:sz w:val="21"/>
          <w:szCs w:val="21"/>
        </w:rPr>
      </w:pPr>
      <w:r>
        <w:rPr>
          <w:rFonts w:hint="eastAsia" w:ascii="Times New Roman" w:eastAsia="宋体"/>
          <w:sz w:val="21"/>
          <w:szCs w:val="21"/>
        </w:rPr>
        <w:t>超声波清洗器。</w:t>
      </w:r>
    </w:p>
    <w:p w14:paraId="582E38DA">
      <w:pPr>
        <w:pStyle w:val="4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/>
        <w:textAlignment w:val="auto"/>
        <w:rPr>
          <w:sz w:val="21"/>
          <w:szCs w:val="21"/>
        </w:rPr>
      </w:pPr>
      <w:bookmarkStart w:id="45" w:name="_Toc413315570"/>
      <w:bookmarkStart w:id="46" w:name="_Toc413315367"/>
      <w:bookmarkStart w:id="47" w:name="_Toc413315441"/>
      <w:bookmarkStart w:id="48" w:name="_Toc413315322"/>
      <w:r>
        <w:rPr>
          <w:rFonts w:hint="eastAsia"/>
          <w:sz w:val="21"/>
          <w:szCs w:val="21"/>
        </w:rPr>
        <w:t>高效液相色谱操作条件</w:t>
      </w:r>
      <w:bookmarkEnd w:id="45"/>
      <w:bookmarkEnd w:id="46"/>
      <w:bookmarkEnd w:id="47"/>
      <w:bookmarkEnd w:id="48"/>
    </w:p>
    <w:p w14:paraId="0047D82B">
      <w:pPr>
        <w:pStyle w:val="46"/>
        <w:numPr>
          <w:ilvl w:val="3"/>
          <w:numId w:val="2"/>
        </w:numPr>
        <w:spacing w:before="156" w:after="156"/>
        <w:rPr>
          <w:rFonts w:hint="eastAsia" w:ascii="Times New Roman" w:eastAsia="宋体"/>
          <w:sz w:val="21"/>
          <w:szCs w:val="21"/>
        </w:rPr>
      </w:pPr>
      <w:r>
        <w:rPr>
          <w:rFonts w:hint="eastAsia" w:ascii="Times New Roman" w:eastAsia="宋体"/>
          <w:sz w:val="21"/>
          <w:szCs w:val="21"/>
        </w:rPr>
        <w:t>流动相：</w:t>
      </w:r>
      <w:r>
        <w:rPr>
          <w:rFonts w:ascii="Times New Roman" w:eastAsia="宋体"/>
          <w:sz w:val="21"/>
          <w:szCs w:val="21"/>
        </w:rPr>
        <w:t>ψ</w:t>
      </w:r>
      <w:r>
        <w:rPr>
          <w:rFonts w:hint="eastAsia" w:ascii="Times New Roman" w:eastAsia="宋体"/>
          <w:sz w:val="21"/>
          <w:szCs w:val="21"/>
          <w:vertAlign w:val="subscript"/>
          <w:lang w:eastAsia="zh-CN"/>
        </w:rPr>
        <w:t>（</w:t>
      </w:r>
      <w:r>
        <w:rPr>
          <w:rFonts w:hint="eastAsia" w:ascii="Times New Roman" w:eastAsia="宋体"/>
          <w:sz w:val="21"/>
          <w:szCs w:val="21"/>
          <w:vertAlign w:val="subscript"/>
        </w:rPr>
        <w:t>甲醇:磷酸水溶液</w:t>
      </w:r>
      <w:r>
        <w:rPr>
          <w:rFonts w:hint="eastAsia" w:ascii="Times New Roman" w:eastAsia="宋体"/>
          <w:sz w:val="21"/>
          <w:szCs w:val="21"/>
          <w:vertAlign w:val="subscript"/>
          <w:lang w:eastAsia="zh-CN"/>
        </w:rPr>
        <w:t>）</w:t>
      </w:r>
      <w:r>
        <w:rPr>
          <w:rFonts w:hint="eastAsia" w:ascii="Times New Roman" w:eastAsia="宋体"/>
          <w:sz w:val="21"/>
          <w:szCs w:val="21"/>
        </w:rPr>
        <w:t>=65</w:t>
      </w:r>
      <w:r>
        <w:rPr>
          <w:rFonts w:hint="eastAsia" w:ascii="Times New Roman" w:eastAsia="宋体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eastAsia="宋体"/>
          <w:sz w:val="21"/>
          <w:szCs w:val="21"/>
        </w:rPr>
        <w:t>:</w:t>
      </w:r>
      <w:r>
        <w:rPr>
          <w:rFonts w:hint="eastAsia" w:ascii="Times New Roman" w:eastAsia="宋体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eastAsia="宋体"/>
          <w:sz w:val="21"/>
          <w:szCs w:val="21"/>
        </w:rPr>
        <w:t>35，经滤膜过滤，并进行脱气；</w:t>
      </w:r>
    </w:p>
    <w:p w14:paraId="5F3C9C59">
      <w:pPr>
        <w:pStyle w:val="46"/>
        <w:numPr>
          <w:ilvl w:val="3"/>
          <w:numId w:val="2"/>
        </w:numPr>
        <w:spacing w:before="156" w:after="156"/>
        <w:rPr>
          <w:rFonts w:hint="eastAsia" w:ascii="Times New Roman" w:eastAsia="宋体"/>
          <w:sz w:val="21"/>
          <w:szCs w:val="21"/>
        </w:rPr>
      </w:pPr>
      <w:r>
        <w:rPr>
          <w:rFonts w:hint="eastAsia" w:ascii="Times New Roman" w:eastAsia="宋体"/>
          <w:sz w:val="21"/>
          <w:szCs w:val="21"/>
        </w:rPr>
        <w:t>流速：1.0 mL/min；</w:t>
      </w:r>
    </w:p>
    <w:p w14:paraId="3346DB0D">
      <w:pPr>
        <w:pStyle w:val="46"/>
        <w:numPr>
          <w:ilvl w:val="3"/>
          <w:numId w:val="2"/>
        </w:numPr>
        <w:spacing w:before="156" w:after="156"/>
        <w:rPr>
          <w:rFonts w:hint="eastAsia" w:ascii="Times New Roman" w:eastAsia="宋体"/>
          <w:sz w:val="21"/>
          <w:szCs w:val="21"/>
        </w:rPr>
      </w:pPr>
      <w:r>
        <w:rPr>
          <w:rFonts w:hint="eastAsia" w:ascii="Times New Roman" w:eastAsia="宋体"/>
          <w:sz w:val="21"/>
          <w:szCs w:val="21"/>
        </w:rPr>
        <w:t>柱温：室温(温度变化应不大于2℃)；</w:t>
      </w:r>
    </w:p>
    <w:p w14:paraId="404E45FC">
      <w:pPr>
        <w:pStyle w:val="46"/>
        <w:numPr>
          <w:ilvl w:val="3"/>
          <w:numId w:val="2"/>
        </w:numPr>
        <w:spacing w:before="156" w:after="156"/>
        <w:rPr>
          <w:rFonts w:hint="eastAsia" w:ascii="Times New Roman" w:eastAsia="宋体"/>
          <w:sz w:val="21"/>
          <w:szCs w:val="21"/>
        </w:rPr>
      </w:pPr>
      <w:r>
        <w:rPr>
          <w:rFonts w:hint="eastAsia" w:ascii="Times New Roman" w:eastAsia="宋体"/>
          <w:sz w:val="21"/>
          <w:szCs w:val="21"/>
        </w:rPr>
        <w:t>检测波长：230 nm；</w:t>
      </w:r>
    </w:p>
    <w:p w14:paraId="15DF9A3C">
      <w:pPr>
        <w:pStyle w:val="46"/>
        <w:numPr>
          <w:ilvl w:val="3"/>
          <w:numId w:val="2"/>
        </w:numPr>
        <w:spacing w:before="156" w:after="156"/>
        <w:rPr>
          <w:rFonts w:hint="eastAsia" w:ascii="Times New Roman" w:eastAsia="宋体"/>
          <w:sz w:val="21"/>
          <w:szCs w:val="21"/>
        </w:rPr>
      </w:pPr>
      <w:r>
        <w:rPr>
          <w:rFonts w:hint="eastAsia" w:ascii="Times New Roman" w:eastAsia="宋体"/>
          <w:sz w:val="21"/>
          <w:szCs w:val="21"/>
        </w:rPr>
        <w:t xml:space="preserve">进样体积：5 </w:t>
      </w:r>
      <w:r>
        <w:rPr>
          <w:rFonts w:ascii="Times New Roman" w:eastAsia="宋体"/>
          <w:sz w:val="21"/>
          <w:szCs w:val="21"/>
        </w:rPr>
        <w:t>μ</w:t>
      </w:r>
      <w:r>
        <w:rPr>
          <w:rFonts w:hint="eastAsia" w:ascii="Times New Roman" w:eastAsia="宋体"/>
          <w:sz w:val="21"/>
          <w:szCs w:val="21"/>
        </w:rPr>
        <w:t>L；</w:t>
      </w:r>
    </w:p>
    <w:p w14:paraId="3E2CA06D">
      <w:pPr>
        <w:pStyle w:val="46"/>
        <w:numPr>
          <w:ilvl w:val="3"/>
          <w:numId w:val="2"/>
        </w:numPr>
        <w:spacing w:before="156" w:after="156"/>
        <w:rPr>
          <w:rFonts w:hint="eastAsia" w:ascii="Times New Roman" w:eastAsia="宋体"/>
          <w:sz w:val="21"/>
          <w:szCs w:val="21"/>
        </w:rPr>
      </w:pPr>
      <w:r>
        <w:rPr>
          <w:rFonts w:hint="eastAsia" w:ascii="Times New Roman" w:eastAsia="宋体"/>
          <w:sz w:val="21"/>
          <w:szCs w:val="21"/>
        </w:rPr>
        <w:t>保留时间：2甲4氯约</w:t>
      </w:r>
      <w:r>
        <w:rPr>
          <w:rFonts w:hint="eastAsia" w:ascii="Times New Roman" w:eastAsia="宋体"/>
          <w:sz w:val="21"/>
          <w:szCs w:val="21"/>
          <w:lang w:val="en-US" w:eastAsia="zh-CN"/>
        </w:rPr>
        <w:t>4</w:t>
      </w:r>
      <w:r>
        <w:rPr>
          <w:rFonts w:hint="eastAsia" w:ascii="Times New Roman" w:eastAsia="宋体"/>
          <w:sz w:val="21"/>
          <w:szCs w:val="21"/>
        </w:rPr>
        <w:t>.</w:t>
      </w:r>
      <w:r>
        <w:rPr>
          <w:rFonts w:hint="eastAsia" w:ascii="Times New Roman" w:eastAsia="宋体"/>
          <w:sz w:val="21"/>
          <w:szCs w:val="21"/>
          <w:lang w:val="en-US" w:eastAsia="zh-CN"/>
        </w:rPr>
        <w:t>0</w:t>
      </w:r>
      <w:r>
        <w:rPr>
          <w:rFonts w:hint="eastAsia" w:ascii="Times New Roman" w:eastAsia="宋体"/>
          <w:sz w:val="21"/>
          <w:szCs w:val="21"/>
        </w:rPr>
        <w:t xml:space="preserve"> min。</w:t>
      </w:r>
    </w:p>
    <w:p w14:paraId="51134B04">
      <w:pPr>
        <w:pStyle w:val="23"/>
        <w:rPr>
          <w:sz w:val="21"/>
          <w:szCs w:val="21"/>
        </w:rPr>
      </w:pPr>
      <w:r>
        <w:rPr>
          <w:rFonts w:hint="eastAsia"/>
          <w:sz w:val="21"/>
          <w:szCs w:val="21"/>
        </w:rPr>
        <w:t>上述操作参数是典型的，可根据不同仪器特点，对给定的操作参数作适当调整，以期获得最佳效果。典型的2甲4氯</w:t>
      </w:r>
      <w:r>
        <w:rPr>
          <w:rFonts w:hint="eastAsia"/>
          <w:sz w:val="21"/>
          <w:szCs w:val="21"/>
          <w:lang w:val="en-US" w:eastAsia="zh-CN"/>
        </w:rPr>
        <w:t>钠</w:t>
      </w:r>
      <w:r>
        <w:rPr>
          <w:rFonts w:hint="eastAsia"/>
          <w:sz w:val="21"/>
          <w:szCs w:val="21"/>
        </w:rPr>
        <w:t>原药高效液相色谱图见图2。</w:t>
      </w:r>
    </w:p>
    <w:p w14:paraId="6C31B4FD">
      <w:pPr>
        <w:pStyle w:val="23"/>
        <w:ind w:firstLine="440"/>
        <w:jc w:val="center"/>
      </w:pPr>
      <w:r>
        <w:drawing>
          <wp:inline distT="0" distB="0" distL="114300" distR="114300">
            <wp:extent cx="5937885" cy="1717040"/>
            <wp:effectExtent l="0" t="0" r="5715" b="10160"/>
            <wp:docPr id="11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37885" cy="1717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F93443">
      <w:pPr>
        <w:pStyle w:val="124"/>
        <w:numPr>
          <w:ilvl w:val="0"/>
          <w:numId w:val="0"/>
        </w:numPr>
        <w:ind w:left="363"/>
        <w:rPr>
          <w:kern w:val="0"/>
        </w:rPr>
      </w:pPr>
      <w:r>
        <w:rPr>
          <w:rFonts w:hint="eastAsia"/>
        </w:rPr>
        <w:t>标引序号说明：</w:t>
      </w:r>
    </w:p>
    <w:p w14:paraId="7856CCF9">
      <w:pPr>
        <w:pStyle w:val="124"/>
        <w:numPr>
          <w:ilvl w:val="0"/>
          <w:numId w:val="0"/>
        </w:numPr>
        <w:ind w:left="363"/>
        <w:rPr>
          <w:kern w:val="0"/>
        </w:rPr>
      </w:pPr>
      <w:r>
        <w:rPr>
          <w:rFonts w:hint="eastAsia"/>
          <w:kern w:val="0"/>
        </w:rPr>
        <w:t>1-2甲4氯。</w:t>
      </w:r>
    </w:p>
    <w:p w14:paraId="3502561B">
      <w:pPr>
        <w:pStyle w:val="133"/>
        <w:spacing w:before="156" w:after="156"/>
      </w:pPr>
      <w:r>
        <w:rPr>
          <w:rFonts w:hint="eastAsia"/>
        </w:rPr>
        <w:t>2甲4氯钠原药的高效液相色谱图</w:t>
      </w:r>
    </w:p>
    <w:p w14:paraId="35AE2825">
      <w:pPr>
        <w:pStyle w:val="4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/>
        <w:textAlignment w:val="auto"/>
        <w:rPr>
          <w:sz w:val="21"/>
          <w:szCs w:val="21"/>
        </w:rPr>
      </w:pPr>
      <w:bookmarkStart w:id="49" w:name="_Toc413315442"/>
      <w:bookmarkStart w:id="50" w:name="_Toc413315368"/>
      <w:bookmarkStart w:id="51" w:name="_Toc413315323"/>
      <w:bookmarkStart w:id="52" w:name="_Toc413315571"/>
      <w:r>
        <w:rPr>
          <w:rFonts w:hint="eastAsia"/>
          <w:sz w:val="21"/>
          <w:szCs w:val="21"/>
        </w:rPr>
        <w:t>测定步骤</w:t>
      </w:r>
      <w:bookmarkEnd w:id="49"/>
      <w:bookmarkEnd w:id="50"/>
      <w:bookmarkEnd w:id="51"/>
      <w:bookmarkEnd w:id="52"/>
    </w:p>
    <w:p w14:paraId="7546E137">
      <w:pPr>
        <w:pStyle w:val="51"/>
        <w:bidi w:val="0"/>
        <w:ind w:left="0" w:leftChars="0" w:firstLine="0" w:firstLineChars="0"/>
      </w:pPr>
      <w:r>
        <w:rPr>
          <w:rFonts w:hint="eastAsia"/>
        </w:rPr>
        <w:t>标样溶液的制备</w:t>
      </w:r>
    </w:p>
    <w:p w14:paraId="3B3AE9A6">
      <w:pPr>
        <w:pStyle w:val="23"/>
        <w:ind w:left="210" w:leftChars="100" w:firstLine="210" w:firstLineChars="100"/>
        <w:rPr>
          <w:rFonts w:ascii="Times New Roman"/>
          <w:sz w:val="21"/>
          <w:szCs w:val="21"/>
        </w:rPr>
      </w:pPr>
      <w:r>
        <w:rPr>
          <w:rFonts w:hint="eastAsia" w:ascii="Times New Roman"/>
          <w:sz w:val="21"/>
          <w:szCs w:val="21"/>
        </w:rPr>
        <w:t>称取</w:t>
      </w:r>
      <w:r>
        <w:rPr>
          <w:rFonts w:hint="eastAsia" w:ascii="Times New Roman"/>
          <w:sz w:val="21"/>
          <w:szCs w:val="21"/>
          <w:lang w:val="en-US" w:eastAsia="zh-CN"/>
        </w:rPr>
        <w:t>0.02</w:t>
      </w:r>
      <w:r>
        <w:rPr>
          <w:rFonts w:ascii="Times New Roman"/>
          <w:sz w:val="21"/>
          <w:szCs w:val="21"/>
        </w:rPr>
        <w:t xml:space="preserve"> g</w:t>
      </w:r>
      <w:r>
        <w:rPr>
          <w:rFonts w:hint="eastAsia" w:ascii="Times New Roman"/>
          <w:sz w:val="21"/>
          <w:szCs w:val="21"/>
        </w:rPr>
        <w:t>(精确至0</w:t>
      </w:r>
      <w:r>
        <w:rPr>
          <w:rFonts w:ascii="Times New Roman"/>
          <w:sz w:val="21"/>
          <w:szCs w:val="21"/>
        </w:rPr>
        <w:t>.000</w:t>
      </w:r>
      <w:r>
        <w:rPr>
          <w:rFonts w:hint="eastAsia" w:ascii="Times New Roman"/>
          <w:sz w:val="21"/>
          <w:szCs w:val="21"/>
        </w:rPr>
        <w:t xml:space="preserve"> </w:t>
      </w:r>
      <w:r>
        <w:rPr>
          <w:rFonts w:hint="eastAsia" w:ascii="Times New Roman"/>
          <w:sz w:val="21"/>
          <w:szCs w:val="21"/>
          <w:lang w:val="en-US" w:eastAsia="zh-CN"/>
        </w:rPr>
        <w:t>0</w:t>
      </w:r>
      <w:r>
        <w:rPr>
          <w:rFonts w:hint="eastAsia" w:ascii="Times New Roman"/>
          <w:sz w:val="21"/>
          <w:szCs w:val="21"/>
        </w:rPr>
        <w:t>1</w:t>
      </w:r>
      <w:r>
        <w:rPr>
          <w:rFonts w:ascii="Times New Roman"/>
          <w:sz w:val="21"/>
          <w:szCs w:val="21"/>
        </w:rPr>
        <w:t xml:space="preserve"> g</w:t>
      </w:r>
      <w:r>
        <w:rPr>
          <w:rFonts w:hint="eastAsia" w:ascii="Times New Roman"/>
          <w:sz w:val="21"/>
          <w:szCs w:val="21"/>
        </w:rPr>
        <w:t>)2甲4氯标样，置于</w:t>
      </w:r>
      <w:r>
        <w:rPr>
          <w:rFonts w:hint="eastAsia" w:ascii="Times New Roman"/>
          <w:sz w:val="21"/>
          <w:szCs w:val="21"/>
          <w:lang w:val="en-US" w:eastAsia="zh-CN"/>
        </w:rPr>
        <w:t>100</w:t>
      </w:r>
      <w:r>
        <w:rPr>
          <w:rFonts w:ascii="Times New Roman"/>
          <w:sz w:val="21"/>
          <w:szCs w:val="21"/>
        </w:rPr>
        <w:t xml:space="preserve"> m</w:t>
      </w:r>
      <w:r>
        <w:rPr>
          <w:rFonts w:hint="eastAsia" w:ascii="Times New Roman"/>
          <w:sz w:val="21"/>
          <w:szCs w:val="21"/>
        </w:rPr>
        <w:t>L容量瓶中，</w:t>
      </w:r>
      <w:r>
        <w:rPr>
          <w:rFonts w:hint="eastAsia" w:ascii="Times New Roman"/>
          <w:sz w:val="21"/>
          <w:szCs w:val="21"/>
          <w:lang w:val="en-US" w:eastAsia="zh-CN"/>
        </w:rPr>
        <w:t>加入80 mL</w:t>
      </w:r>
      <w:r>
        <w:rPr>
          <w:rFonts w:hint="eastAsia" w:ascii="Times New Roman"/>
          <w:sz w:val="21"/>
          <w:szCs w:val="21"/>
        </w:rPr>
        <w:t>流动相</w:t>
      </w:r>
      <w:r>
        <w:rPr>
          <w:rFonts w:hint="eastAsia" w:ascii="Times New Roman"/>
          <w:sz w:val="21"/>
          <w:szCs w:val="21"/>
          <w:lang w:eastAsia="zh-CN"/>
        </w:rPr>
        <w:t>，</w:t>
      </w:r>
      <w:r>
        <w:rPr>
          <w:rFonts w:hint="eastAsia" w:ascii="Times New Roman"/>
          <w:sz w:val="21"/>
          <w:szCs w:val="21"/>
          <w:lang w:val="en-US" w:eastAsia="zh-CN"/>
        </w:rPr>
        <w:t>超声波振荡5 min溶解，冷却至室温，</w:t>
      </w:r>
      <w:r>
        <w:rPr>
          <w:rFonts w:hint="eastAsia" w:ascii="Times New Roman"/>
          <w:sz w:val="21"/>
          <w:szCs w:val="21"/>
        </w:rPr>
        <w:t>用流动相</w:t>
      </w:r>
      <w:r>
        <w:rPr>
          <w:rFonts w:ascii="Times New Roman"/>
          <w:sz w:val="21"/>
          <w:szCs w:val="21"/>
        </w:rPr>
        <w:t>稀</w:t>
      </w:r>
      <w:r>
        <w:rPr>
          <w:rFonts w:hint="eastAsia" w:ascii="Times New Roman"/>
          <w:sz w:val="21"/>
          <w:szCs w:val="21"/>
        </w:rPr>
        <w:t>释至刻度，摇匀。</w:t>
      </w:r>
    </w:p>
    <w:p w14:paraId="5E226A15">
      <w:pPr>
        <w:pStyle w:val="51"/>
        <w:bidi w:val="0"/>
        <w:ind w:left="0" w:leftChars="0" w:firstLine="0" w:firstLineChars="0"/>
      </w:pPr>
      <w:r>
        <w:rPr>
          <w:rFonts w:hint="eastAsia"/>
        </w:rPr>
        <w:t>试样溶液的制备</w:t>
      </w:r>
    </w:p>
    <w:p w14:paraId="694C8D3B">
      <w:pPr>
        <w:pStyle w:val="23"/>
        <w:rPr>
          <w:rFonts w:ascii="Times New Roman"/>
          <w:sz w:val="21"/>
          <w:szCs w:val="21"/>
        </w:rPr>
      </w:pPr>
      <w:r>
        <w:rPr>
          <w:rFonts w:hint="eastAsia" w:ascii="Times New Roman"/>
          <w:sz w:val="21"/>
          <w:szCs w:val="21"/>
        </w:rPr>
        <w:t>称取</w:t>
      </w:r>
      <w:r>
        <w:rPr>
          <w:rFonts w:hint="eastAsia" w:ascii="Times New Roman"/>
          <w:sz w:val="21"/>
          <w:szCs w:val="21"/>
          <w:lang w:val="en-US" w:eastAsia="zh-CN"/>
        </w:rPr>
        <w:t>含0.02</w:t>
      </w:r>
      <w:r>
        <w:rPr>
          <w:rFonts w:ascii="Times New Roman"/>
          <w:sz w:val="21"/>
          <w:szCs w:val="21"/>
        </w:rPr>
        <w:t xml:space="preserve"> g</w:t>
      </w:r>
      <w:r>
        <w:rPr>
          <w:rFonts w:hint="eastAsia" w:ascii="Times New Roman"/>
          <w:sz w:val="21"/>
          <w:szCs w:val="21"/>
        </w:rPr>
        <w:t>(精确至0</w:t>
      </w:r>
      <w:r>
        <w:rPr>
          <w:rFonts w:ascii="Times New Roman"/>
          <w:sz w:val="21"/>
          <w:szCs w:val="21"/>
        </w:rPr>
        <w:t>.000</w:t>
      </w:r>
      <w:r>
        <w:rPr>
          <w:rFonts w:hint="eastAsia" w:ascii="Times New Roman"/>
          <w:sz w:val="21"/>
          <w:szCs w:val="21"/>
        </w:rPr>
        <w:t xml:space="preserve"> </w:t>
      </w:r>
      <w:r>
        <w:rPr>
          <w:rFonts w:hint="eastAsia" w:ascii="Times New Roman"/>
          <w:sz w:val="21"/>
          <w:szCs w:val="21"/>
          <w:lang w:val="en-US" w:eastAsia="zh-CN"/>
        </w:rPr>
        <w:t>0</w:t>
      </w:r>
      <w:r>
        <w:rPr>
          <w:rFonts w:hint="eastAsia" w:ascii="Times New Roman"/>
          <w:sz w:val="21"/>
          <w:szCs w:val="21"/>
        </w:rPr>
        <w:t>1</w:t>
      </w:r>
      <w:r>
        <w:rPr>
          <w:rFonts w:ascii="Times New Roman"/>
          <w:sz w:val="21"/>
          <w:szCs w:val="21"/>
        </w:rPr>
        <w:t xml:space="preserve"> g</w:t>
      </w:r>
      <w:r>
        <w:rPr>
          <w:rFonts w:hint="eastAsia" w:ascii="Times New Roman"/>
          <w:sz w:val="21"/>
          <w:szCs w:val="21"/>
        </w:rPr>
        <w:t>)2甲4氯</w:t>
      </w:r>
      <w:r>
        <w:rPr>
          <w:rFonts w:hint="eastAsia" w:ascii="Times New Roman"/>
          <w:sz w:val="21"/>
          <w:szCs w:val="21"/>
          <w:lang w:val="en-US" w:eastAsia="zh-CN"/>
        </w:rPr>
        <w:t>的试样</w:t>
      </w:r>
      <w:r>
        <w:rPr>
          <w:rFonts w:hint="eastAsia" w:ascii="Times New Roman"/>
          <w:sz w:val="21"/>
          <w:szCs w:val="21"/>
        </w:rPr>
        <w:t>，置于</w:t>
      </w:r>
      <w:r>
        <w:rPr>
          <w:rFonts w:hint="eastAsia" w:ascii="Times New Roman"/>
          <w:sz w:val="21"/>
          <w:szCs w:val="21"/>
          <w:lang w:val="en-US" w:eastAsia="zh-CN"/>
        </w:rPr>
        <w:t>100</w:t>
      </w:r>
      <w:r>
        <w:rPr>
          <w:rFonts w:ascii="Times New Roman"/>
          <w:sz w:val="21"/>
          <w:szCs w:val="21"/>
        </w:rPr>
        <w:t xml:space="preserve"> m</w:t>
      </w:r>
      <w:r>
        <w:rPr>
          <w:rFonts w:hint="eastAsia" w:ascii="Times New Roman"/>
          <w:sz w:val="21"/>
          <w:szCs w:val="21"/>
        </w:rPr>
        <w:t>L容量瓶中，</w:t>
      </w:r>
      <w:r>
        <w:rPr>
          <w:rFonts w:hint="eastAsia" w:ascii="Times New Roman"/>
          <w:sz w:val="21"/>
          <w:szCs w:val="21"/>
          <w:lang w:val="en-US" w:eastAsia="zh-CN"/>
        </w:rPr>
        <w:t>加入80 mL</w:t>
      </w:r>
      <w:r>
        <w:rPr>
          <w:rFonts w:hint="eastAsia" w:ascii="Times New Roman"/>
          <w:sz w:val="21"/>
          <w:szCs w:val="21"/>
        </w:rPr>
        <w:t>流动相</w:t>
      </w:r>
      <w:r>
        <w:rPr>
          <w:rFonts w:hint="eastAsia" w:ascii="Times New Roman"/>
          <w:sz w:val="21"/>
          <w:szCs w:val="21"/>
          <w:lang w:eastAsia="zh-CN"/>
        </w:rPr>
        <w:t>，</w:t>
      </w:r>
      <w:r>
        <w:rPr>
          <w:rFonts w:hint="eastAsia" w:ascii="Times New Roman"/>
          <w:sz w:val="21"/>
          <w:szCs w:val="21"/>
          <w:lang w:val="en-US" w:eastAsia="zh-CN"/>
        </w:rPr>
        <w:t>超声波振荡5 min溶解，冷却至室温，</w:t>
      </w:r>
      <w:r>
        <w:rPr>
          <w:rFonts w:hint="eastAsia" w:ascii="Times New Roman"/>
          <w:sz w:val="21"/>
          <w:szCs w:val="21"/>
        </w:rPr>
        <w:t>用流动相</w:t>
      </w:r>
      <w:r>
        <w:rPr>
          <w:rFonts w:ascii="Times New Roman"/>
          <w:sz w:val="21"/>
          <w:szCs w:val="21"/>
        </w:rPr>
        <w:t>稀</w:t>
      </w:r>
      <w:r>
        <w:rPr>
          <w:rFonts w:hint="eastAsia" w:ascii="Times New Roman"/>
          <w:sz w:val="21"/>
          <w:szCs w:val="21"/>
        </w:rPr>
        <w:t>释至刻度，摇匀。</w:t>
      </w:r>
    </w:p>
    <w:p w14:paraId="38D2F5F6">
      <w:pPr>
        <w:pStyle w:val="51"/>
        <w:bidi w:val="0"/>
        <w:ind w:left="0" w:leftChars="0" w:firstLine="0" w:firstLineChars="0"/>
      </w:pPr>
      <w:r>
        <w:rPr>
          <w:rFonts w:hint="eastAsia"/>
        </w:rPr>
        <w:t>测定</w:t>
      </w:r>
    </w:p>
    <w:p w14:paraId="1032BCEE">
      <w:pPr>
        <w:pStyle w:val="23"/>
        <w:ind w:firstLine="440"/>
        <w:rPr>
          <w:sz w:val="21"/>
          <w:szCs w:val="21"/>
        </w:rPr>
      </w:pPr>
      <w:r>
        <w:rPr>
          <w:rFonts w:hint="eastAsia"/>
          <w:sz w:val="21"/>
          <w:szCs w:val="21"/>
        </w:rPr>
        <w:t>在</w:t>
      </w:r>
      <w:r>
        <w:rPr>
          <w:rFonts w:hint="eastAsia"/>
          <w:sz w:val="21"/>
          <w:szCs w:val="21"/>
          <w:lang w:val="en-US" w:eastAsia="zh-CN"/>
        </w:rPr>
        <w:t>5.5.4色谱操作条件下</w:t>
      </w:r>
      <w:r>
        <w:rPr>
          <w:rFonts w:hint="eastAsia"/>
          <w:sz w:val="21"/>
          <w:szCs w:val="21"/>
        </w:rPr>
        <w:t>，待仪器稳定后，连续注入数针标样溶液，直至相邻两针2甲4氯峰面积相对变化小于1.</w:t>
      </w:r>
      <w:r>
        <w:rPr>
          <w:rFonts w:hint="eastAsia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cs="Times New Roman"/>
          <w:sz w:val="21"/>
          <w:szCs w:val="21"/>
        </w:rPr>
        <w:t>%</w:t>
      </w:r>
      <w:r>
        <w:rPr>
          <w:rFonts w:hint="eastAsia"/>
          <w:sz w:val="21"/>
          <w:szCs w:val="21"/>
        </w:rPr>
        <w:t>后</w:t>
      </w:r>
      <w:r>
        <w:rPr>
          <w:sz w:val="21"/>
          <w:szCs w:val="21"/>
        </w:rPr>
        <w:t>,</w:t>
      </w:r>
      <w:r>
        <w:rPr>
          <w:rFonts w:hint="eastAsia"/>
          <w:sz w:val="21"/>
          <w:szCs w:val="21"/>
        </w:rPr>
        <w:t>按照标样溶液、试样溶液、试样溶液、标样溶液的顺序进行测定。</w:t>
      </w:r>
    </w:p>
    <w:p w14:paraId="0586B2C8">
      <w:pPr>
        <w:pStyle w:val="4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/>
        <w:textAlignment w:val="auto"/>
        <w:rPr>
          <w:sz w:val="21"/>
          <w:szCs w:val="21"/>
        </w:rPr>
      </w:pPr>
      <w:r>
        <w:rPr>
          <w:rFonts w:hint="eastAsia"/>
          <w:sz w:val="21"/>
          <w:szCs w:val="21"/>
        </w:rPr>
        <w:t>计算</w:t>
      </w:r>
    </w:p>
    <w:p w14:paraId="1B855E9A">
      <w:pPr>
        <w:ind w:firstLine="480"/>
      </w:pPr>
      <w:r>
        <w:rPr>
          <w:rFonts w:hint="eastAsia"/>
        </w:rPr>
        <w:t>将测得的两针试样溶液以及试样前后两针标样溶液中2甲4氯的峰面积分别进行平均</w:t>
      </w:r>
      <w:r>
        <w:rPr>
          <w:rFonts w:hint="eastAsia"/>
          <w:lang w:eastAsia="zh-CN"/>
        </w:rPr>
        <w:t>，</w:t>
      </w:r>
      <w:r>
        <w:rPr>
          <w:rFonts w:hint="eastAsia"/>
        </w:rPr>
        <w:t>试样中2甲4氯钠</w:t>
      </w:r>
      <w:r>
        <w:rPr>
          <w:rFonts w:hint="eastAsia"/>
          <w:lang w:val="en-US" w:eastAsia="zh-CN"/>
        </w:rPr>
        <w:t>的</w:t>
      </w:r>
      <w:r>
        <w:rPr>
          <w:rFonts w:hint="eastAsia"/>
        </w:rPr>
        <w:t>质量分数按</w:t>
      </w:r>
      <w:r>
        <w:rPr>
          <w:rFonts w:hint="eastAsia"/>
          <w:lang w:val="en-US" w:eastAsia="zh-CN"/>
        </w:rPr>
        <w:t>公</w:t>
      </w:r>
      <w:r>
        <w:rPr>
          <w:rFonts w:hint="eastAsia"/>
        </w:rPr>
        <w:t>式</w:t>
      </w:r>
      <w:r>
        <w:rPr>
          <w:rFonts w:hint="eastAsia" w:ascii="宋体" w:hAnsi="宋体"/>
        </w:rPr>
        <w:t>(1)</w:t>
      </w:r>
      <w:r>
        <w:rPr>
          <w:rFonts w:hint="eastAsia"/>
        </w:rPr>
        <w:t>计算：</w:t>
      </w:r>
    </w:p>
    <w:p w14:paraId="668AF968">
      <w:pPr>
        <w:ind w:firstLine="480"/>
      </w:pPr>
    </w:p>
    <w:p w14:paraId="7C8F0536">
      <w:pPr>
        <w:pStyle w:val="23"/>
        <w:ind w:firstLine="0" w:firstLineChars="0"/>
        <w:jc w:val="right"/>
      </w:pPr>
      <w:r>
        <w:rPr>
          <w:position w:val="-10"/>
        </w:rPr>
        <w:object>
          <v:shape id="_x0000_i1025" o:spt="75" type="#_x0000_t75" style="height:17pt;width:9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13">
            <o:LockedField>false</o:LockedField>
          </o:OLEObject>
        </w:object>
      </w:r>
      <w:r>
        <w:rPr>
          <w:position w:val="-22"/>
          <w:sz w:val="21"/>
          <w:szCs w:val="21"/>
        </w:rPr>
        <w:object>
          <v:shape id="_x0000_i1026" o:spt="75" type="#_x0000_t75" style="height:35.2pt;width:329.55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5">
            <o:LockedField>false</o:LockedField>
          </o:OLEObject>
        </w:object>
      </w:r>
    </w:p>
    <w:p w14:paraId="15C7E12E">
      <w:pPr>
        <w:pStyle w:val="23"/>
        <w:ind w:firstLine="0" w:firstLineChars="0"/>
        <w:jc w:val="right"/>
      </w:pPr>
    </w:p>
    <w:p w14:paraId="30165F3A">
      <w:pPr>
        <w:pStyle w:val="23"/>
        <w:ind w:firstLine="440"/>
      </w:pPr>
      <w: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column">
                  <wp:posOffset>400050</wp:posOffset>
                </wp:positionH>
                <wp:positionV relativeFrom="paragraph">
                  <wp:posOffset>46355</wp:posOffset>
                </wp:positionV>
                <wp:extent cx="635" cy="0"/>
                <wp:effectExtent l="0" t="0" r="0" b="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1.5pt;margin-top:3.65pt;height:0pt;width:0.05pt;z-index:251662336;mso-width-relative:page;mso-height-relative:page;" filled="f" stroked="t" coordsize="21600,21600" o:allowincell="f" o:gfxdata="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qgZv6dMAAAAF&#10;AQAADwAAAAAAAAABACAAAAAiAAAAZHJzL2Rvd25yZXYueG1sUEsBAhQAFAAAAAgAh07iQDgQH8/o&#10;AQAA1AMAAA4AAAAAAAAAAQAgAAAAIgEAAGRycy9lMm9Eb2MueG1sUEsFBgAAAAAGAAYAWQEAAHwF&#10;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式中： </w:t>
      </w:r>
    </w:p>
    <w:p w14:paraId="655012C7">
      <w:pPr>
        <w:pStyle w:val="23"/>
        <w:ind w:firstLine="440"/>
        <w:rPr>
          <w:rFonts w:ascii="Times New Roman"/>
          <w:sz w:val="21"/>
          <w:szCs w:val="21"/>
        </w:rPr>
      </w:pPr>
      <w:r>
        <w:rPr>
          <w:rFonts w:hint="eastAsia" w:ascii="Times New Roman" w:cs="Times New Roman"/>
          <w:i/>
          <w:iCs/>
          <w:sz w:val="21"/>
          <w:szCs w:val="21"/>
          <w:lang w:val="en-US" w:eastAsia="zh-CN"/>
        </w:rPr>
        <w:t>w</w:t>
      </w:r>
      <w:r>
        <w:rPr>
          <w:rFonts w:ascii="Times New Roman"/>
          <w:sz w:val="21"/>
          <w:szCs w:val="21"/>
          <w:vertAlign w:val="subscript"/>
        </w:rPr>
        <w:t>1</w:t>
      </w:r>
      <w:r>
        <w:rPr>
          <w:rFonts w:ascii="Times New Roman"/>
          <w:spacing w:val="-60"/>
          <w:sz w:val="21"/>
          <w:szCs w:val="21"/>
        </w:rPr>
        <w:t>—</w:t>
      </w:r>
      <w:r>
        <w:rPr>
          <w:rFonts w:ascii="Times New Roman"/>
          <w:sz w:val="21"/>
          <w:szCs w:val="21"/>
        </w:rPr>
        <w:t>—试样中</w:t>
      </w:r>
      <w:r>
        <w:rPr>
          <w:rFonts w:hint="eastAsia" w:ascii="Times New Roman"/>
          <w:sz w:val="21"/>
          <w:szCs w:val="21"/>
        </w:rPr>
        <w:t>2甲4氯钠</w:t>
      </w:r>
      <w:r>
        <w:rPr>
          <w:rFonts w:ascii="Times New Roman"/>
          <w:sz w:val="21"/>
          <w:szCs w:val="21"/>
        </w:rPr>
        <w:t>质量分数，</w:t>
      </w:r>
      <w:r>
        <w:rPr>
          <w:rFonts w:hint="default" w:ascii="Times New Roman" w:hAnsi="Times New Roman" w:cs="Times New Roman"/>
          <w:sz w:val="21"/>
          <w:szCs w:val="21"/>
        </w:rPr>
        <w:t>%</w:t>
      </w:r>
      <w:r>
        <w:rPr>
          <w:rFonts w:hAnsi="宋体"/>
          <w:sz w:val="21"/>
          <w:szCs w:val="21"/>
        </w:rPr>
        <w:t>；</w:t>
      </w:r>
    </w:p>
    <w:p w14:paraId="4BED4CE9">
      <w:pPr>
        <w:pStyle w:val="23"/>
        <w:ind w:left="-141" w:leftChars="-67" w:firstLine="560" w:firstLineChars="267"/>
        <w:rPr>
          <w:rFonts w:ascii="Times New Roman"/>
          <w:sz w:val="21"/>
          <w:szCs w:val="21"/>
        </w:rPr>
      </w:pPr>
      <w:r>
        <w:rPr>
          <w:rFonts w:ascii="Times New Roman"/>
          <w:i/>
          <w:sz w:val="21"/>
          <w:szCs w:val="21"/>
        </w:rPr>
        <w:t>A</w:t>
      </w:r>
      <w:r>
        <w:rPr>
          <w:rFonts w:ascii="Times New Roman"/>
          <w:sz w:val="21"/>
          <w:szCs w:val="21"/>
          <w:vertAlign w:val="subscript"/>
        </w:rPr>
        <w:t>2</w:t>
      </w:r>
      <w:r>
        <w:rPr>
          <w:rFonts w:ascii="Times New Roman"/>
          <w:spacing w:val="-60"/>
          <w:sz w:val="21"/>
          <w:szCs w:val="21"/>
        </w:rPr>
        <w:t>—</w:t>
      </w:r>
      <w:r>
        <w:rPr>
          <w:rFonts w:ascii="Times New Roman"/>
          <w:sz w:val="21"/>
          <w:szCs w:val="21"/>
        </w:rPr>
        <w:t>—试样溶液中</w:t>
      </w:r>
      <w:r>
        <w:rPr>
          <w:rFonts w:hint="eastAsia" w:ascii="Times New Roman"/>
          <w:sz w:val="21"/>
          <w:szCs w:val="21"/>
        </w:rPr>
        <w:t>2甲4氯</w:t>
      </w:r>
      <w:r>
        <w:rPr>
          <w:rFonts w:ascii="Times New Roman"/>
          <w:sz w:val="21"/>
          <w:szCs w:val="21"/>
        </w:rPr>
        <w:t>峰面积的平均值；</w:t>
      </w:r>
    </w:p>
    <w:p w14:paraId="69AC60B5">
      <w:pPr>
        <w:pStyle w:val="23"/>
        <w:ind w:firstLine="440"/>
        <w:rPr>
          <w:rFonts w:ascii="Times New Roman"/>
          <w:i/>
          <w:sz w:val="21"/>
          <w:szCs w:val="21"/>
        </w:rPr>
      </w:pPr>
      <w:r>
        <w:rPr>
          <w:rFonts w:ascii="Times New Roman"/>
          <w:i/>
          <w:sz w:val="21"/>
          <w:szCs w:val="21"/>
        </w:rPr>
        <w:t>m</w:t>
      </w:r>
      <w:r>
        <w:rPr>
          <w:rFonts w:ascii="Times New Roman"/>
          <w:sz w:val="21"/>
          <w:szCs w:val="21"/>
          <w:vertAlign w:val="subscript"/>
        </w:rPr>
        <w:t>1</w:t>
      </w:r>
      <w:r>
        <w:rPr>
          <w:rFonts w:ascii="Times New Roman"/>
          <w:spacing w:val="-60"/>
          <w:sz w:val="21"/>
          <w:szCs w:val="21"/>
        </w:rPr>
        <w:t>—</w:t>
      </w:r>
      <w:r>
        <w:rPr>
          <w:rFonts w:ascii="Times New Roman"/>
          <w:sz w:val="21"/>
          <w:szCs w:val="21"/>
        </w:rPr>
        <w:t>—标样的质量</w:t>
      </w:r>
      <w:r>
        <w:rPr>
          <w:rFonts w:hint="eastAsia" w:ascii="Times New Roman"/>
          <w:sz w:val="21"/>
          <w:szCs w:val="21"/>
          <w:lang w:val="en-US" w:eastAsia="zh-CN"/>
        </w:rPr>
        <w:t>的数值</w:t>
      </w:r>
      <w:r>
        <w:rPr>
          <w:rFonts w:ascii="Times New Roman"/>
          <w:sz w:val="21"/>
          <w:szCs w:val="21"/>
        </w:rPr>
        <w:t>，单位</w:t>
      </w:r>
      <w:r>
        <w:rPr>
          <w:rFonts w:hAnsi="宋体"/>
          <w:sz w:val="21"/>
          <w:szCs w:val="21"/>
        </w:rPr>
        <w:t>为克(</w:t>
      </w:r>
      <w:r>
        <w:rPr>
          <w:rFonts w:hint="default" w:ascii="Times New Roman" w:hAnsi="Times New Roman" w:cs="Times New Roman"/>
          <w:sz w:val="21"/>
          <w:szCs w:val="21"/>
        </w:rPr>
        <w:t>g</w:t>
      </w:r>
      <w:r>
        <w:rPr>
          <w:rFonts w:hAnsi="宋体"/>
          <w:sz w:val="21"/>
          <w:szCs w:val="21"/>
        </w:rPr>
        <w:t>)；</w:t>
      </w:r>
    </w:p>
    <w:p w14:paraId="1506E655">
      <w:pPr>
        <w:pStyle w:val="23"/>
        <w:ind w:firstLine="440"/>
        <w:rPr>
          <w:rFonts w:ascii="Times New Roman"/>
          <w:i/>
          <w:sz w:val="21"/>
          <w:szCs w:val="21"/>
        </w:rPr>
      </w:pPr>
      <w:r>
        <w:rPr>
          <w:rFonts w:hint="eastAsia" w:ascii="Times New Roman"/>
          <w:i/>
          <w:iCs/>
          <w:sz w:val="21"/>
          <w:szCs w:val="21"/>
          <w:lang w:val="en-US" w:eastAsia="zh-CN"/>
        </w:rPr>
        <w:t>w</w:t>
      </w:r>
      <w:r>
        <w:rPr>
          <w:rFonts w:ascii="Times New Roman"/>
          <w:spacing w:val="-60"/>
          <w:sz w:val="21"/>
          <w:szCs w:val="21"/>
        </w:rPr>
        <w:t>—</w:t>
      </w:r>
      <w:r>
        <w:rPr>
          <w:rFonts w:ascii="Times New Roman"/>
          <w:sz w:val="21"/>
          <w:szCs w:val="21"/>
        </w:rPr>
        <w:t>—标样</w:t>
      </w:r>
      <w:r>
        <w:rPr>
          <w:rFonts w:hint="eastAsia" w:ascii="Times New Roman"/>
          <w:sz w:val="21"/>
          <w:szCs w:val="21"/>
          <w:lang w:val="en-US" w:eastAsia="zh-CN"/>
        </w:rPr>
        <w:t>中</w:t>
      </w:r>
      <w:r>
        <w:rPr>
          <w:rFonts w:hint="eastAsia" w:ascii="Times New Roman"/>
          <w:sz w:val="21"/>
          <w:szCs w:val="21"/>
        </w:rPr>
        <w:t>2甲4氯</w:t>
      </w:r>
      <w:r>
        <w:rPr>
          <w:rFonts w:ascii="Times New Roman"/>
          <w:sz w:val="21"/>
          <w:szCs w:val="21"/>
        </w:rPr>
        <w:t>的质量分数，</w:t>
      </w:r>
      <w:r>
        <w:rPr>
          <w:rFonts w:hint="default" w:ascii="Times New Roman" w:hAnsi="Times New Roman" w:cs="Times New Roman"/>
          <w:sz w:val="21"/>
          <w:szCs w:val="21"/>
        </w:rPr>
        <w:t>%</w:t>
      </w:r>
      <w:r>
        <w:rPr>
          <w:rFonts w:ascii="Times New Roman"/>
          <w:sz w:val="21"/>
          <w:szCs w:val="21"/>
        </w:rPr>
        <w:t>；</w:t>
      </w:r>
    </w:p>
    <w:p w14:paraId="44BF17E8">
      <w:pPr>
        <w:pStyle w:val="23"/>
        <w:ind w:firstLine="440"/>
        <w:rPr>
          <w:rFonts w:ascii="Times New Roman"/>
          <w:sz w:val="21"/>
          <w:szCs w:val="21"/>
        </w:rPr>
      </w:pPr>
      <w:r>
        <w:rPr>
          <w:rFonts w:ascii="Times New Roman"/>
          <w:i/>
          <w:sz w:val="21"/>
          <w:szCs w:val="21"/>
        </w:rPr>
        <w:t>A</w:t>
      </w:r>
      <w:r>
        <w:rPr>
          <w:rFonts w:ascii="Times New Roman"/>
          <w:sz w:val="21"/>
          <w:szCs w:val="21"/>
          <w:vertAlign w:val="subscript"/>
        </w:rPr>
        <w:t>1</w:t>
      </w:r>
      <w:r>
        <w:rPr>
          <w:rFonts w:ascii="Times New Roman"/>
          <w:spacing w:val="-60"/>
          <w:sz w:val="21"/>
          <w:szCs w:val="21"/>
        </w:rPr>
        <w:t>—</w:t>
      </w:r>
      <w:r>
        <w:rPr>
          <w:rFonts w:ascii="Times New Roman"/>
          <w:sz w:val="21"/>
          <w:szCs w:val="21"/>
        </w:rPr>
        <w:t>—标样溶液中</w:t>
      </w:r>
      <w:r>
        <w:rPr>
          <w:rFonts w:hint="eastAsia" w:ascii="Times New Roman"/>
          <w:sz w:val="21"/>
          <w:szCs w:val="21"/>
        </w:rPr>
        <w:t>2甲4氯</w:t>
      </w:r>
      <w:r>
        <w:rPr>
          <w:rFonts w:ascii="Times New Roman"/>
          <w:sz w:val="21"/>
          <w:szCs w:val="21"/>
        </w:rPr>
        <w:t>峰面积的平均值；</w:t>
      </w:r>
    </w:p>
    <w:p w14:paraId="7204EEA1">
      <w:pPr>
        <w:pStyle w:val="23"/>
        <w:ind w:firstLine="440"/>
        <w:rPr>
          <w:rFonts w:hint="eastAsia" w:hAnsi="宋体"/>
          <w:sz w:val="21"/>
          <w:szCs w:val="21"/>
        </w:rPr>
      </w:pPr>
      <w:r>
        <w:rPr>
          <w:rFonts w:ascii="Times New Roman"/>
          <w:i/>
          <w:sz w:val="21"/>
          <w:szCs w:val="21"/>
        </w:rPr>
        <w:t>m</w:t>
      </w:r>
      <w:r>
        <w:rPr>
          <w:rFonts w:ascii="Times New Roman"/>
          <w:sz w:val="21"/>
          <w:szCs w:val="21"/>
          <w:vertAlign w:val="subscript"/>
        </w:rPr>
        <w:t>2</w:t>
      </w:r>
      <w:r>
        <w:rPr>
          <w:rFonts w:ascii="Times New Roman"/>
          <w:spacing w:val="-60"/>
          <w:sz w:val="21"/>
          <w:szCs w:val="21"/>
        </w:rPr>
        <w:t>—</w:t>
      </w:r>
      <w:r>
        <w:rPr>
          <w:rFonts w:ascii="Times New Roman"/>
          <w:sz w:val="21"/>
          <w:szCs w:val="21"/>
        </w:rPr>
        <w:t>—试样的质量</w:t>
      </w:r>
      <w:r>
        <w:rPr>
          <w:rFonts w:hint="eastAsia" w:ascii="Times New Roman"/>
          <w:sz w:val="21"/>
          <w:szCs w:val="21"/>
          <w:lang w:val="en-US" w:eastAsia="zh-CN"/>
        </w:rPr>
        <w:t>的数值</w:t>
      </w:r>
      <w:r>
        <w:rPr>
          <w:rFonts w:ascii="Times New Roman"/>
          <w:sz w:val="21"/>
          <w:szCs w:val="21"/>
        </w:rPr>
        <w:t>，单位为</w:t>
      </w:r>
      <w:r>
        <w:rPr>
          <w:rFonts w:hAnsi="宋体"/>
          <w:sz w:val="21"/>
          <w:szCs w:val="21"/>
        </w:rPr>
        <w:t>克(</w:t>
      </w:r>
      <w:r>
        <w:rPr>
          <w:rFonts w:hint="default" w:ascii="Times New Roman" w:hAnsi="Times New Roman" w:cs="Times New Roman"/>
          <w:sz w:val="21"/>
          <w:szCs w:val="21"/>
        </w:rPr>
        <w:t>g</w:t>
      </w:r>
      <w:r>
        <w:rPr>
          <w:rFonts w:hAnsi="宋体"/>
          <w:sz w:val="21"/>
          <w:szCs w:val="21"/>
        </w:rPr>
        <w:t>)</w:t>
      </w:r>
      <w:r>
        <w:rPr>
          <w:rFonts w:hint="eastAsia" w:hAnsi="宋体"/>
          <w:sz w:val="21"/>
          <w:szCs w:val="21"/>
        </w:rPr>
        <w:t>；</w:t>
      </w:r>
    </w:p>
    <w:p w14:paraId="42437E0A">
      <w:pPr>
        <w:pStyle w:val="23"/>
        <w:ind w:firstLine="440"/>
        <w:rPr>
          <w:rFonts w:ascii="Times New Roman"/>
          <w:sz w:val="21"/>
          <w:szCs w:val="21"/>
        </w:rPr>
      </w:pPr>
      <w:r>
        <w:rPr>
          <w:rFonts w:hint="eastAsia" w:hAnsi="宋体"/>
          <w:sz w:val="21"/>
          <w:szCs w:val="21"/>
        </w:rPr>
        <w:t>1.11</w:t>
      </w:r>
      <w:r>
        <w:rPr>
          <w:rFonts w:ascii="Times New Roman"/>
          <w:sz w:val="21"/>
          <w:szCs w:val="21"/>
        </w:rPr>
        <w:t>—</w:t>
      </w:r>
      <w:r>
        <w:rPr>
          <w:rFonts w:hint="eastAsia" w:ascii="Times New Roman"/>
          <w:sz w:val="21"/>
          <w:szCs w:val="21"/>
        </w:rPr>
        <w:t>2甲4氯钠和2甲4氯相对分子质量比例。</w:t>
      </w:r>
    </w:p>
    <w:p w14:paraId="324720AC">
      <w:pPr>
        <w:pStyle w:val="4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/>
        <w:textAlignment w:val="auto"/>
        <w:rPr>
          <w:sz w:val="21"/>
          <w:szCs w:val="21"/>
        </w:rPr>
      </w:pPr>
      <w:bookmarkStart w:id="53" w:name="_Toc413315324"/>
      <w:bookmarkStart w:id="54" w:name="_Toc413315572"/>
      <w:bookmarkStart w:id="55" w:name="_Toc413315369"/>
      <w:bookmarkStart w:id="56" w:name="_Toc413315443"/>
      <w:r>
        <w:rPr>
          <w:rFonts w:hint="eastAsia"/>
          <w:sz w:val="21"/>
          <w:szCs w:val="21"/>
        </w:rPr>
        <w:t>允许差</w:t>
      </w:r>
      <w:bookmarkEnd w:id="53"/>
      <w:bookmarkEnd w:id="54"/>
      <w:bookmarkEnd w:id="55"/>
      <w:bookmarkEnd w:id="56"/>
    </w:p>
    <w:p w14:paraId="6DBD348F">
      <w:pPr>
        <w:pStyle w:val="23"/>
        <w:ind w:firstLine="440"/>
        <w:rPr>
          <w:rFonts w:ascii="Times New Roman"/>
        </w:rPr>
      </w:pPr>
      <w:r>
        <w:rPr>
          <w:rFonts w:hint="eastAsia" w:ascii="Times New Roman"/>
        </w:rPr>
        <w:t>2甲4氯钠</w:t>
      </w:r>
      <w:r>
        <w:rPr>
          <w:rFonts w:ascii="Times New Roman"/>
        </w:rPr>
        <w:t>质量分数两次平行</w:t>
      </w:r>
      <w:r>
        <w:rPr>
          <w:rFonts w:hAnsi="宋体"/>
        </w:rPr>
        <w:t>测定结果</w:t>
      </w:r>
      <w:r>
        <w:rPr>
          <w:rFonts w:hint="eastAsia" w:hAnsi="宋体"/>
        </w:rPr>
        <w:t>之</w:t>
      </w:r>
      <w:r>
        <w:rPr>
          <w:rFonts w:hAnsi="宋体"/>
        </w:rPr>
        <w:t>差应不大于</w:t>
      </w:r>
      <w:r>
        <w:rPr>
          <w:rFonts w:hint="eastAsia" w:hAnsi="宋体"/>
        </w:rPr>
        <w:t>1.2</w:t>
      </w:r>
      <w:r>
        <w:rPr>
          <w:rFonts w:hint="default" w:ascii="Times New Roman" w:hAnsi="Times New Roman" w:cs="Times New Roman"/>
        </w:rPr>
        <w:t>%</w:t>
      </w:r>
      <w:r>
        <w:rPr>
          <w:rFonts w:hint="eastAsia" w:ascii="Times New Roman"/>
        </w:rPr>
        <w:t>，</w:t>
      </w:r>
      <w:r>
        <w:rPr>
          <w:rFonts w:ascii="Times New Roman"/>
        </w:rPr>
        <w:t>取其算术平均值作为测定结果。</w:t>
      </w:r>
    </w:p>
    <w:p w14:paraId="0E963622">
      <w:pPr>
        <w:pStyle w:val="42"/>
        <w:spacing w:before="156" w:after="156"/>
        <w:rPr>
          <w:rFonts w:ascii="Times New Roman"/>
        </w:rPr>
      </w:pPr>
      <w:r>
        <w:rPr>
          <w:rFonts w:hint="eastAsia" w:ascii="Times New Roman"/>
        </w:rPr>
        <w:t>钠离子质量分数的测定</w:t>
      </w:r>
    </w:p>
    <w:p w14:paraId="33A76449">
      <w:pPr>
        <w:pStyle w:val="4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/>
        <w:textAlignment w:val="auto"/>
        <w:rPr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原理</w:t>
      </w:r>
    </w:p>
    <w:p w14:paraId="37BF0542">
      <w:pPr>
        <w:ind w:firstLine="420" w:firstLineChars="200"/>
        <w:rPr>
          <w:rFonts w:ascii="Arial" w:hAnsi="Arial" w:cs="Arial"/>
        </w:rPr>
      </w:pPr>
      <w:r>
        <w:rPr>
          <w:rFonts w:ascii="Arial" w:hAnsi="Arial" w:cs="Arial"/>
        </w:rPr>
        <w:t>试样用水溶解，以甲基磺酸</w:t>
      </w:r>
      <w:r>
        <w:rPr>
          <w:rFonts w:hint="eastAsia" w:ascii="Arial" w:hAnsi="Arial" w:cs="Arial"/>
          <w:lang w:val="en-US" w:eastAsia="zh-CN"/>
        </w:rPr>
        <w:t>水溶液</w:t>
      </w:r>
      <w:r>
        <w:rPr>
          <w:rFonts w:ascii="Arial" w:hAnsi="Arial" w:cs="Arial"/>
        </w:rPr>
        <w:t>为</w:t>
      </w:r>
      <w:r>
        <w:rPr>
          <w:rFonts w:hint="eastAsia" w:ascii="Arial" w:hAnsi="Arial" w:cs="Arial"/>
          <w:lang w:val="en-US" w:eastAsia="zh-CN"/>
        </w:rPr>
        <w:t>淋洗液（或根据其他仪器及色谱柱类型选择合适的淋洗液）</w:t>
      </w:r>
      <w:r>
        <w:rPr>
          <w:rFonts w:ascii="Arial" w:hAnsi="Arial" w:cs="Arial"/>
        </w:rPr>
        <w:t>，使用阳离子分析柱和电导检测器的离子色谱仪，对试样中的钠离子进行</w:t>
      </w:r>
      <w:r>
        <w:rPr>
          <w:rFonts w:hint="eastAsia" w:ascii="Arial" w:hAnsi="Arial" w:cs="Arial"/>
          <w:lang w:val="en-US" w:eastAsia="zh-CN"/>
        </w:rPr>
        <w:t>离子色谱</w:t>
      </w:r>
      <w:r>
        <w:rPr>
          <w:rFonts w:ascii="Arial" w:hAnsi="Arial" w:cs="Arial"/>
        </w:rPr>
        <w:t>分离</w:t>
      </w:r>
      <w:r>
        <w:rPr>
          <w:rFonts w:hint="eastAsia" w:ascii="Arial" w:hAnsi="Arial" w:cs="Arial"/>
        </w:rPr>
        <w:t>，外标法</w:t>
      </w:r>
      <w:r>
        <w:rPr>
          <w:rFonts w:hint="eastAsia" w:ascii="Arial" w:hAnsi="Arial" w:cs="Arial"/>
          <w:lang w:val="en-US" w:eastAsia="zh-CN"/>
        </w:rPr>
        <w:t>定量</w:t>
      </w:r>
      <w:r>
        <w:rPr>
          <w:rFonts w:ascii="Arial" w:hAnsi="Arial" w:cs="Arial"/>
        </w:rPr>
        <w:t>。</w:t>
      </w:r>
    </w:p>
    <w:p w14:paraId="36398C6B">
      <w:pPr>
        <w:pStyle w:val="4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/>
        <w:textAlignment w:val="auto"/>
        <w:rPr>
          <w:sz w:val="21"/>
          <w:szCs w:val="21"/>
        </w:rPr>
      </w:pPr>
      <w:r>
        <w:rPr>
          <w:rFonts w:hint="eastAsia"/>
          <w:sz w:val="21"/>
          <w:szCs w:val="21"/>
        </w:rPr>
        <w:t>试剂</w:t>
      </w:r>
      <w:r>
        <w:rPr>
          <w:rFonts w:hint="eastAsia"/>
          <w:sz w:val="21"/>
          <w:szCs w:val="21"/>
          <w:lang w:val="en-US" w:eastAsia="zh-CN"/>
        </w:rPr>
        <w:t>或材料</w:t>
      </w:r>
    </w:p>
    <w:p w14:paraId="58CCBDBC">
      <w:pPr>
        <w:pStyle w:val="51"/>
        <w:spacing w:before="156" w:after="156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甲基磺酸。</w:t>
      </w:r>
    </w:p>
    <w:p w14:paraId="4197BF78">
      <w:pPr>
        <w:pStyle w:val="51"/>
        <w:spacing w:before="156" w:after="156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水：新蒸二次蒸馏水或超纯水。</w:t>
      </w:r>
    </w:p>
    <w:p w14:paraId="75994731">
      <w:pPr>
        <w:pStyle w:val="51"/>
        <w:spacing w:before="156" w:after="156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氯化钠标样：已知氯化钠质量分数且不低于99.0</w:t>
      </w:r>
      <w:r>
        <w:rPr>
          <w:rFonts w:hint="default" w:ascii="Times New Roman" w:hAnsi="Times New Roman" w:eastAsia="宋体" w:cs="Times New Roman"/>
          <w:sz w:val="21"/>
          <w:szCs w:val="21"/>
        </w:rPr>
        <w:t>％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 w14:paraId="144D1286">
      <w:pPr>
        <w:pStyle w:val="4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/>
        <w:textAlignment w:val="auto"/>
        <w:rPr>
          <w:sz w:val="21"/>
          <w:szCs w:val="21"/>
        </w:rPr>
      </w:pPr>
      <w:r>
        <w:rPr>
          <w:rFonts w:hint="eastAsia"/>
          <w:sz w:val="21"/>
          <w:szCs w:val="21"/>
        </w:rPr>
        <w:t>仪器</w:t>
      </w:r>
    </w:p>
    <w:p w14:paraId="6BCC4B8F">
      <w:pPr>
        <w:pStyle w:val="51"/>
        <w:spacing w:before="156" w:after="156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离子色谱仪：具有电导检测器。</w:t>
      </w:r>
    </w:p>
    <w:p w14:paraId="7D8C300C">
      <w:pPr>
        <w:pStyle w:val="51"/>
        <w:spacing w:before="156" w:after="156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色谱柱：250 </w:t>
      </w:r>
      <w:r>
        <w:rPr>
          <w:rFonts w:hint="default" w:ascii="Times New Roman" w:hAnsi="Times New Roman" w:eastAsia="宋体" w:cs="Times New Roman"/>
          <w:sz w:val="21"/>
          <w:szCs w:val="21"/>
        </w:rPr>
        <w:t>mm</w:t>
      </w:r>
      <w:r>
        <w:rPr>
          <w:rFonts w:hint="eastAsia" w:ascii="宋体" w:hAnsi="宋体" w:eastAsia="宋体" w:cs="宋体"/>
          <w:sz w:val="21"/>
          <w:szCs w:val="21"/>
        </w:rPr>
        <w:t xml:space="preserve">×4.0 </w:t>
      </w:r>
      <w:r>
        <w:rPr>
          <w:rFonts w:hint="default" w:ascii="Times New Roman" w:hAnsi="Times New Roman" w:eastAsia="宋体" w:cs="Times New Roman"/>
          <w:sz w:val="21"/>
          <w:szCs w:val="21"/>
        </w:rPr>
        <w:t>mm</w:t>
      </w:r>
      <w:r>
        <w:rPr>
          <w:rFonts w:hint="eastAsia" w:ascii="宋体" w:hAnsi="宋体" w:eastAsia="宋体" w:cs="宋体"/>
          <w:sz w:val="21"/>
          <w:szCs w:val="21"/>
        </w:rPr>
        <w:t>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内径</w:t>
      </w:r>
      <w:r>
        <w:rPr>
          <w:rFonts w:hint="eastAsia" w:ascii="宋体" w:hAnsi="宋体" w:eastAsia="宋体" w:cs="宋体"/>
          <w:sz w:val="21"/>
          <w:szCs w:val="21"/>
        </w:rPr>
        <w:t>)</w:t>
      </w:r>
      <w:r>
        <w:rPr>
          <w:rFonts w:hint="default" w:ascii="Times New Roman" w:hAnsi="Times New Roman" w:eastAsia="宋体" w:cs="Times New Roman"/>
          <w:sz w:val="21"/>
          <w:szCs w:val="21"/>
        </w:rPr>
        <w:t>DionexIonPac CS12A</w:t>
      </w:r>
      <w:r>
        <w:rPr>
          <w:rFonts w:hint="eastAsia" w:ascii="宋体" w:hAnsi="宋体" w:eastAsia="宋体" w:cs="宋体"/>
          <w:sz w:val="21"/>
          <w:szCs w:val="21"/>
        </w:rPr>
        <w:t>阳离子分析柱(或同等效果的色谱柱)。</w:t>
      </w:r>
    </w:p>
    <w:p w14:paraId="061C4448">
      <w:pPr>
        <w:pStyle w:val="51"/>
        <w:spacing w:before="156" w:after="156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过滤器：滤膜孔径约0.45 </w:t>
      </w:r>
      <w:r>
        <w:rPr>
          <w:rFonts w:hint="default" w:ascii="Times New Roman" w:hAnsi="Times New Roman" w:eastAsia="宋体" w:cs="Times New Roman"/>
          <w:sz w:val="21"/>
          <w:szCs w:val="21"/>
        </w:rPr>
        <w:t>μm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 w14:paraId="057444D1">
      <w:pPr>
        <w:pStyle w:val="51"/>
        <w:spacing w:before="156" w:after="156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超声波清洗器。</w:t>
      </w:r>
    </w:p>
    <w:p w14:paraId="5880C46A">
      <w:pPr>
        <w:pStyle w:val="4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/>
        <w:textAlignment w:val="auto"/>
        <w:rPr>
          <w:sz w:val="21"/>
          <w:szCs w:val="21"/>
        </w:rPr>
      </w:pPr>
      <w:r>
        <w:rPr>
          <w:rFonts w:hint="eastAsia"/>
          <w:sz w:val="21"/>
          <w:szCs w:val="21"/>
        </w:rPr>
        <w:t>离子色谱操作条件</w:t>
      </w:r>
    </w:p>
    <w:p w14:paraId="5EFC0314">
      <w:pPr>
        <w:pStyle w:val="51"/>
        <w:spacing w:before="156" w:after="156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淋洗液：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甲基磺酸水溶液，</w:t>
      </w:r>
      <w:r>
        <w:rPr>
          <w:rFonts w:hint="eastAsia" w:ascii="Times New Roman" w:hAnsi="Times New Roman" w:eastAsia="宋体" w:cs="Times New Roman"/>
          <w:sz w:val="21"/>
          <w:szCs w:val="21"/>
          <w:highlight w:val="none"/>
          <w:lang w:val="en-US" w:eastAsia="zh-CN"/>
        </w:rPr>
        <w:t>c</w:t>
      </w:r>
      <w:r>
        <w:rPr>
          <w:rFonts w:hint="eastAsia" w:ascii="宋体" w:hAnsi="宋体" w:eastAsia="宋体" w:cs="宋体"/>
          <w:sz w:val="21"/>
          <w:szCs w:val="21"/>
          <w:highlight w:val="none"/>
          <w:vertAlign w:val="subscript"/>
        </w:rPr>
        <w:t>甲基磺酸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 xml:space="preserve">=20 </w:t>
      </w:r>
      <w:r>
        <w:rPr>
          <w:rFonts w:hint="default" w:ascii="Times New Roman" w:hAnsi="Times New Roman" w:eastAsia="宋体" w:cs="Times New Roman"/>
          <w:sz w:val="21"/>
          <w:szCs w:val="21"/>
          <w:highlight w:val="none"/>
        </w:rPr>
        <w:t>mmol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/</w:t>
      </w:r>
      <w:r>
        <w:rPr>
          <w:rFonts w:hint="default" w:ascii="Times New Roman" w:hAnsi="Times New Roman" w:eastAsia="宋体" w:cs="Times New Roman"/>
          <w:sz w:val="21"/>
          <w:szCs w:val="21"/>
          <w:highlight w:val="none"/>
        </w:rPr>
        <w:t>L</w:t>
      </w:r>
      <w:r>
        <w:rPr>
          <w:rFonts w:hint="eastAsia" w:ascii="Times New Roman" w:hAnsi="Times New Roman" w:eastAsia="宋体" w:cs="Times New Roman"/>
          <w:sz w:val="21"/>
          <w:szCs w:val="21"/>
          <w:highlight w:val="none"/>
          <w:lang w:eastAsia="zh-CN"/>
        </w:rPr>
        <w:t>（或根据其他仪器及色谱柱类型选择合适的淋洗液）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。</w:t>
      </w:r>
    </w:p>
    <w:p w14:paraId="050EF7AD">
      <w:pPr>
        <w:pStyle w:val="51"/>
        <w:spacing w:before="156" w:after="156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流速：1.0 </w:t>
      </w:r>
      <w:r>
        <w:rPr>
          <w:rFonts w:hint="default" w:ascii="Times New Roman" w:hAnsi="Times New Roman" w:eastAsia="宋体" w:cs="Times New Roman"/>
          <w:sz w:val="21"/>
          <w:szCs w:val="21"/>
        </w:rPr>
        <w:t>mL</w:t>
      </w:r>
      <w:r>
        <w:rPr>
          <w:rFonts w:hint="eastAsia" w:ascii="宋体" w:hAnsi="宋体" w:eastAsia="宋体" w:cs="宋体"/>
          <w:sz w:val="21"/>
          <w:szCs w:val="21"/>
        </w:rPr>
        <w:t>/</w:t>
      </w:r>
      <w:r>
        <w:rPr>
          <w:rFonts w:hint="default" w:ascii="Times New Roman" w:hAnsi="Times New Roman" w:eastAsia="宋体" w:cs="Times New Roman"/>
          <w:sz w:val="21"/>
          <w:szCs w:val="21"/>
        </w:rPr>
        <w:t>min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 w14:paraId="2A40606C">
      <w:pPr>
        <w:pStyle w:val="51"/>
        <w:spacing w:before="156" w:after="156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进样体积：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25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µL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 w14:paraId="02BFC809">
      <w:pPr>
        <w:pStyle w:val="51"/>
        <w:spacing w:before="156" w:after="156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柱温：室温（温度变化应不大于2 ℃）。</w:t>
      </w:r>
    </w:p>
    <w:p w14:paraId="1269A89C">
      <w:pPr>
        <w:pStyle w:val="51"/>
        <w:spacing w:before="156" w:after="156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保留时间：钠离子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约</w:t>
      </w:r>
      <w:r>
        <w:rPr>
          <w:rFonts w:hint="eastAsia" w:ascii="宋体" w:hAnsi="宋体" w:eastAsia="宋体" w:cs="宋体"/>
          <w:sz w:val="21"/>
          <w:szCs w:val="21"/>
        </w:rPr>
        <w:t>3.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min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 w14:paraId="7A762A02">
      <w:pPr>
        <w:pStyle w:val="51"/>
        <w:spacing w:before="156" w:after="156"/>
        <w:rPr>
          <w:rFonts w:hint="eastAsia" w:ascii="宋体" w:hAnsi="宋体" w:eastAsia="宋体" w:cs="Arial"/>
          <w:sz w:val="21"/>
          <w:szCs w:val="21"/>
        </w:rPr>
      </w:pPr>
      <w:r>
        <w:rPr>
          <w:rFonts w:ascii="宋体" w:hAnsi="宋体" w:eastAsia="宋体" w:cs="Arial"/>
          <w:sz w:val="21"/>
          <w:szCs w:val="21"/>
        </w:rPr>
        <w:t>上述操作参数是典型的，可根据不同仪器进行调整，以期获得最佳效果，典型的</w:t>
      </w:r>
      <w:r>
        <w:rPr>
          <w:rFonts w:hint="eastAsia" w:ascii="宋体" w:hAnsi="宋体" w:eastAsia="宋体" w:cs="Arial"/>
          <w:sz w:val="21"/>
          <w:szCs w:val="21"/>
        </w:rPr>
        <w:t>2甲4氯</w:t>
      </w:r>
      <w:r>
        <w:rPr>
          <w:rFonts w:hint="eastAsia" w:ascii="宋体" w:hAnsi="宋体" w:eastAsia="宋体" w:cs="Arial"/>
          <w:sz w:val="21"/>
          <w:szCs w:val="21"/>
          <w:lang w:val="en-US" w:eastAsia="zh-CN"/>
        </w:rPr>
        <w:t>钠</w:t>
      </w:r>
      <w:r>
        <w:rPr>
          <w:rFonts w:hint="eastAsia" w:ascii="宋体" w:hAnsi="宋体" w:eastAsia="宋体" w:cs="Arial"/>
          <w:sz w:val="21"/>
          <w:szCs w:val="21"/>
        </w:rPr>
        <w:t>原药中钠</w:t>
      </w:r>
      <w:r>
        <w:rPr>
          <w:rFonts w:ascii="宋体" w:hAnsi="宋体" w:eastAsia="宋体" w:cs="Arial"/>
          <w:sz w:val="21"/>
          <w:szCs w:val="21"/>
        </w:rPr>
        <w:t>离子</w:t>
      </w:r>
      <w:r>
        <w:rPr>
          <w:rFonts w:hint="eastAsia" w:ascii="宋体" w:hAnsi="宋体" w:eastAsia="宋体" w:cs="Arial"/>
          <w:sz w:val="21"/>
          <w:szCs w:val="21"/>
        </w:rPr>
        <w:t>的离子</w:t>
      </w:r>
      <w:r>
        <w:rPr>
          <w:rFonts w:ascii="宋体" w:hAnsi="宋体" w:eastAsia="宋体" w:cs="Arial"/>
          <w:sz w:val="21"/>
          <w:szCs w:val="21"/>
        </w:rPr>
        <w:t>色谱谱图见图3。</w:t>
      </w:r>
    </w:p>
    <w:p w14:paraId="22368E8E">
      <w:pPr>
        <w:pStyle w:val="23"/>
        <w:ind w:firstLine="0" w:firstLineChars="0"/>
        <w:jc w:val="center"/>
        <w:rPr>
          <w:rFonts w:ascii="Arial" w:hAnsi="Arial" w:cs="Arial"/>
        </w:rPr>
      </w:pPr>
      <w:r>
        <w:rPr>
          <w:rFonts w:ascii="Arial" w:hAnsi="Arial" w:cs="Arial"/>
        </w:rPr>
        <w:drawing>
          <wp:inline distT="0" distB="0" distL="114300" distR="114300">
            <wp:extent cx="4525645" cy="1149350"/>
            <wp:effectExtent l="0" t="0" r="8255" b="12700"/>
            <wp:docPr id="4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525645" cy="114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07B2EE">
      <w:pPr>
        <w:pStyle w:val="23"/>
        <w:ind w:firstLine="630" w:firstLineChars="350"/>
        <w:rPr>
          <w:rFonts w:ascii="Times New Roman"/>
          <w:sz w:val="18"/>
          <w:szCs w:val="18"/>
        </w:rPr>
      </w:pPr>
      <w:r>
        <w:rPr>
          <w:rFonts w:hint="eastAsia"/>
          <w:sz w:val="18"/>
          <w:szCs w:val="18"/>
        </w:rPr>
        <w:t>标引序号说明：</w:t>
      </w:r>
    </w:p>
    <w:p w14:paraId="1C682A08">
      <w:pPr>
        <w:pStyle w:val="23"/>
        <w:ind w:firstLine="630" w:firstLineChars="350"/>
        <w:rPr>
          <w:rFonts w:ascii="Times New Roman"/>
          <w:sz w:val="18"/>
          <w:szCs w:val="18"/>
        </w:rPr>
      </w:pPr>
      <w:r>
        <w:rPr>
          <w:rFonts w:ascii="Times New Roman"/>
          <w:sz w:val="18"/>
          <w:szCs w:val="18"/>
        </w:rPr>
        <w:t>1——钠离子</w:t>
      </w:r>
      <w:r>
        <w:rPr>
          <w:rFonts w:hint="eastAsia" w:ascii="Times New Roman"/>
          <w:sz w:val="18"/>
          <w:szCs w:val="18"/>
        </w:rPr>
        <w:t>。</w:t>
      </w:r>
    </w:p>
    <w:p w14:paraId="63213904">
      <w:pPr>
        <w:pStyle w:val="133"/>
        <w:tabs>
          <w:tab w:val="clear" w:pos="360"/>
        </w:tabs>
        <w:spacing w:beforeLines="0" w:afterLines="0"/>
        <w:rPr>
          <w:rFonts w:ascii="Arial" w:hAnsi="Arial" w:cs="Arial"/>
        </w:rPr>
      </w:pPr>
      <w:r>
        <w:rPr>
          <w:rFonts w:hint="eastAsia" w:ascii="Arial" w:hAnsi="Arial" w:cs="Arial"/>
        </w:rPr>
        <w:t>2甲4氯</w:t>
      </w:r>
      <w:r>
        <w:rPr>
          <w:rFonts w:hint="eastAsia" w:ascii="Arial" w:hAnsi="Arial" w:cs="Arial"/>
          <w:lang w:val="en-US" w:eastAsia="zh-CN"/>
        </w:rPr>
        <w:t>钠</w:t>
      </w:r>
      <w:r>
        <w:rPr>
          <w:rFonts w:hint="eastAsia" w:ascii="Arial" w:hAnsi="Arial" w:cs="Arial"/>
        </w:rPr>
        <w:t>原药中钠</w:t>
      </w:r>
      <w:r>
        <w:rPr>
          <w:rFonts w:ascii="Arial" w:hAnsi="Arial" w:cs="Arial"/>
        </w:rPr>
        <w:t>离子</w:t>
      </w:r>
      <w:r>
        <w:rPr>
          <w:rFonts w:hint="eastAsia" w:ascii="Arial" w:hAnsi="Arial" w:cs="Arial"/>
        </w:rPr>
        <w:t>的离子</w:t>
      </w:r>
      <w:r>
        <w:rPr>
          <w:rFonts w:ascii="Arial" w:hAnsi="Arial" w:cs="Arial"/>
        </w:rPr>
        <w:t>色谱图</w:t>
      </w:r>
    </w:p>
    <w:p w14:paraId="0C952C91">
      <w:pPr>
        <w:pStyle w:val="4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/>
        <w:textAlignment w:val="auto"/>
        <w:rPr>
          <w:sz w:val="21"/>
          <w:szCs w:val="21"/>
        </w:rPr>
      </w:pPr>
      <w:r>
        <w:rPr>
          <w:rFonts w:hint="eastAsia"/>
          <w:sz w:val="21"/>
          <w:szCs w:val="21"/>
        </w:rPr>
        <w:t>测定步骤</w:t>
      </w:r>
    </w:p>
    <w:p w14:paraId="51DB6F8C">
      <w:pPr>
        <w:pStyle w:val="51"/>
        <w:spacing w:before="156" w:after="156"/>
        <w:rPr>
          <w:sz w:val="21"/>
          <w:szCs w:val="21"/>
        </w:rPr>
      </w:pPr>
      <w:r>
        <w:rPr>
          <w:rFonts w:hint="eastAsia"/>
          <w:sz w:val="21"/>
          <w:szCs w:val="21"/>
        </w:rPr>
        <w:t>氯化钠标样溶液的制备</w:t>
      </w:r>
    </w:p>
    <w:p w14:paraId="6A532287">
      <w:pPr>
        <w:pStyle w:val="23"/>
        <w:ind w:firstLine="440"/>
        <w:rPr>
          <w:rFonts w:hint="eastAsia" w:hAnsi="宋体" w:cs="Arial"/>
          <w:sz w:val="21"/>
          <w:szCs w:val="21"/>
        </w:rPr>
      </w:pPr>
      <w:r>
        <w:rPr>
          <w:rFonts w:hAnsi="宋体" w:cs="Arial"/>
          <w:sz w:val="21"/>
          <w:szCs w:val="21"/>
        </w:rPr>
        <w:t>称取0.</w:t>
      </w:r>
      <w:r>
        <w:rPr>
          <w:rFonts w:hint="eastAsia" w:hAnsi="宋体" w:cs="Arial"/>
          <w:sz w:val="21"/>
          <w:szCs w:val="21"/>
        </w:rPr>
        <w:t>1</w:t>
      </w:r>
      <w:r>
        <w:rPr>
          <w:rFonts w:hAnsi="宋体" w:cs="Arial"/>
          <w:sz w:val="21"/>
          <w:szCs w:val="21"/>
        </w:rPr>
        <w:t xml:space="preserve"> </w:t>
      </w:r>
      <w:r>
        <w:rPr>
          <w:rFonts w:ascii="Times New Roman"/>
          <w:sz w:val="21"/>
          <w:szCs w:val="21"/>
        </w:rPr>
        <w:t>g</w:t>
      </w:r>
      <w:r>
        <w:rPr>
          <w:rFonts w:hAnsi="宋体" w:cs="Arial"/>
          <w:sz w:val="21"/>
          <w:szCs w:val="21"/>
        </w:rPr>
        <w:t xml:space="preserve">(精确至0.000 1 </w:t>
      </w:r>
      <w:r>
        <w:rPr>
          <w:rFonts w:ascii="Times New Roman"/>
          <w:sz w:val="21"/>
          <w:szCs w:val="21"/>
        </w:rPr>
        <w:t>g</w:t>
      </w:r>
      <w:r>
        <w:rPr>
          <w:rFonts w:hAnsi="宋体" w:cs="Arial"/>
          <w:sz w:val="21"/>
          <w:szCs w:val="21"/>
        </w:rPr>
        <w:t xml:space="preserve">)氯化钠标样，置于100 </w:t>
      </w:r>
      <w:r>
        <w:rPr>
          <w:rFonts w:ascii="Times New Roman"/>
          <w:sz w:val="21"/>
          <w:szCs w:val="21"/>
        </w:rPr>
        <w:t>mL</w:t>
      </w:r>
      <w:r>
        <w:rPr>
          <w:rFonts w:hint="eastAsia" w:ascii="Times New Roman"/>
          <w:sz w:val="21"/>
          <w:szCs w:val="21"/>
          <w:lang w:val="en-US" w:eastAsia="zh-CN"/>
        </w:rPr>
        <w:t>塑料</w:t>
      </w:r>
      <w:r>
        <w:rPr>
          <w:rFonts w:hAnsi="宋体" w:cs="Arial"/>
          <w:sz w:val="21"/>
          <w:szCs w:val="21"/>
        </w:rPr>
        <w:t>容量瓶中，用水溶解并稀释至刻度，摇匀。用移液管</w:t>
      </w:r>
      <w:r>
        <w:rPr>
          <w:rFonts w:hint="eastAsia" w:hAnsi="宋体" w:cs="Arial"/>
          <w:sz w:val="21"/>
          <w:szCs w:val="21"/>
        </w:rPr>
        <w:t>移取</w:t>
      </w:r>
      <w:r>
        <w:rPr>
          <w:rFonts w:hAnsi="宋体" w:cs="Arial"/>
          <w:sz w:val="21"/>
          <w:szCs w:val="21"/>
        </w:rPr>
        <w:t xml:space="preserve">1 </w:t>
      </w:r>
      <w:r>
        <w:rPr>
          <w:rFonts w:ascii="Times New Roman"/>
          <w:sz w:val="21"/>
          <w:szCs w:val="21"/>
        </w:rPr>
        <w:t>mL</w:t>
      </w:r>
      <w:r>
        <w:rPr>
          <w:rFonts w:hAnsi="宋体" w:cs="Arial"/>
          <w:sz w:val="21"/>
          <w:szCs w:val="21"/>
        </w:rPr>
        <w:t xml:space="preserve">上述溶液于100 </w:t>
      </w:r>
      <w:r>
        <w:rPr>
          <w:rFonts w:ascii="Times New Roman"/>
          <w:sz w:val="21"/>
          <w:szCs w:val="21"/>
        </w:rPr>
        <w:t>mL</w:t>
      </w:r>
      <w:r>
        <w:rPr>
          <w:rFonts w:hint="eastAsia" w:ascii="Times New Roman"/>
          <w:sz w:val="21"/>
          <w:szCs w:val="21"/>
          <w:lang w:val="en-US" w:eastAsia="zh-CN"/>
        </w:rPr>
        <w:t>塑料</w:t>
      </w:r>
      <w:r>
        <w:rPr>
          <w:rFonts w:hAnsi="宋体" w:cs="Arial"/>
          <w:sz w:val="21"/>
          <w:szCs w:val="21"/>
        </w:rPr>
        <w:t>容量瓶中，用水稀释至刻度，摇匀。</w:t>
      </w:r>
    </w:p>
    <w:p w14:paraId="126078A0">
      <w:pPr>
        <w:pStyle w:val="51"/>
        <w:spacing w:before="156" w:after="156"/>
        <w:rPr>
          <w:sz w:val="21"/>
          <w:szCs w:val="21"/>
        </w:rPr>
      </w:pPr>
      <w:r>
        <w:rPr>
          <w:rFonts w:hint="eastAsia"/>
          <w:sz w:val="21"/>
          <w:szCs w:val="21"/>
        </w:rPr>
        <w:t>试样溶液的制备</w:t>
      </w:r>
    </w:p>
    <w:p w14:paraId="1A0054F7">
      <w:pPr>
        <w:pStyle w:val="23"/>
        <w:ind w:firstLine="440"/>
        <w:rPr>
          <w:rFonts w:hint="eastAsia" w:hAnsi="宋体" w:cs="Arial"/>
          <w:sz w:val="21"/>
          <w:szCs w:val="21"/>
        </w:rPr>
      </w:pPr>
      <w:r>
        <w:rPr>
          <w:rFonts w:hAnsi="宋体" w:cs="Arial"/>
          <w:sz w:val="21"/>
          <w:szCs w:val="21"/>
        </w:rPr>
        <w:t xml:space="preserve">称取0.1 </w:t>
      </w:r>
      <w:r>
        <w:rPr>
          <w:rFonts w:ascii="Times New Roman"/>
          <w:sz w:val="21"/>
          <w:szCs w:val="21"/>
        </w:rPr>
        <w:t>g</w:t>
      </w:r>
      <w:r>
        <w:rPr>
          <w:rFonts w:hAnsi="宋体" w:cs="Arial"/>
          <w:sz w:val="21"/>
          <w:szCs w:val="21"/>
        </w:rPr>
        <w:t xml:space="preserve">(精确至0.000 1 </w:t>
      </w:r>
      <w:r>
        <w:rPr>
          <w:rFonts w:ascii="Times New Roman"/>
          <w:sz w:val="21"/>
          <w:szCs w:val="21"/>
        </w:rPr>
        <w:t>g</w:t>
      </w:r>
      <w:r>
        <w:rPr>
          <w:rFonts w:hAnsi="宋体" w:cs="Arial"/>
          <w:sz w:val="21"/>
          <w:szCs w:val="21"/>
        </w:rPr>
        <w:t xml:space="preserve">)试样，置于100 </w:t>
      </w:r>
      <w:r>
        <w:rPr>
          <w:rFonts w:ascii="Times New Roman"/>
          <w:sz w:val="21"/>
          <w:szCs w:val="21"/>
        </w:rPr>
        <w:t>mL</w:t>
      </w:r>
      <w:r>
        <w:rPr>
          <w:rFonts w:hint="eastAsia" w:ascii="Times New Roman"/>
          <w:sz w:val="21"/>
          <w:szCs w:val="21"/>
          <w:lang w:val="en-US" w:eastAsia="zh-CN"/>
        </w:rPr>
        <w:t>塑料</w:t>
      </w:r>
      <w:r>
        <w:rPr>
          <w:rFonts w:hAnsi="宋体" w:cs="Arial"/>
          <w:sz w:val="21"/>
          <w:szCs w:val="21"/>
        </w:rPr>
        <w:t>容量瓶中，用水溶解并稀释至刻度，摇匀。用移液管</w:t>
      </w:r>
      <w:r>
        <w:rPr>
          <w:rFonts w:hint="eastAsia" w:hAnsi="宋体" w:cs="Arial"/>
          <w:sz w:val="21"/>
          <w:szCs w:val="21"/>
        </w:rPr>
        <w:t>移取</w:t>
      </w:r>
      <w:r>
        <w:rPr>
          <w:rFonts w:hAnsi="宋体" w:cs="Arial"/>
          <w:sz w:val="21"/>
          <w:szCs w:val="21"/>
        </w:rPr>
        <w:t>上述溶液</w:t>
      </w:r>
      <w:r>
        <w:rPr>
          <w:rFonts w:hint="eastAsia" w:hAnsi="宋体" w:cs="Arial"/>
          <w:sz w:val="21"/>
          <w:szCs w:val="21"/>
          <w:lang w:val="en-US" w:eastAsia="zh-CN"/>
        </w:rPr>
        <w:t>5</w:t>
      </w:r>
      <w:r>
        <w:rPr>
          <w:rFonts w:hAnsi="宋体" w:cs="Arial"/>
          <w:sz w:val="21"/>
          <w:szCs w:val="21"/>
        </w:rPr>
        <w:t xml:space="preserve"> </w:t>
      </w:r>
      <w:r>
        <w:rPr>
          <w:rFonts w:ascii="Times New Roman"/>
          <w:sz w:val="21"/>
          <w:szCs w:val="21"/>
        </w:rPr>
        <w:t>mL</w:t>
      </w:r>
      <w:r>
        <w:rPr>
          <w:rFonts w:hAnsi="宋体" w:cs="Arial"/>
          <w:sz w:val="21"/>
          <w:szCs w:val="21"/>
        </w:rPr>
        <w:t xml:space="preserve">于100 </w:t>
      </w:r>
      <w:r>
        <w:rPr>
          <w:rFonts w:ascii="Times New Roman"/>
          <w:sz w:val="21"/>
          <w:szCs w:val="21"/>
        </w:rPr>
        <w:t>mL</w:t>
      </w:r>
      <w:r>
        <w:rPr>
          <w:rFonts w:hint="eastAsia" w:ascii="Times New Roman"/>
          <w:sz w:val="21"/>
          <w:szCs w:val="21"/>
          <w:lang w:val="en-US" w:eastAsia="zh-CN"/>
        </w:rPr>
        <w:t>塑料</w:t>
      </w:r>
      <w:r>
        <w:rPr>
          <w:rFonts w:hAnsi="宋体" w:cs="Arial"/>
          <w:sz w:val="21"/>
          <w:szCs w:val="21"/>
        </w:rPr>
        <w:t>容量瓶中，用水稀释至刻度，摇匀。</w:t>
      </w:r>
    </w:p>
    <w:p w14:paraId="31B6B060">
      <w:pPr>
        <w:pStyle w:val="51"/>
        <w:spacing w:before="156" w:after="156"/>
        <w:rPr>
          <w:sz w:val="21"/>
          <w:szCs w:val="21"/>
        </w:rPr>
      </w:pPr>
      <w:r>
        <w:rPr>
          <w:rFonts w:hint="eastAsia"/>
          <w:sz w:val="21"/>
          <w:szCs w:val="21"/>
        </w:rPr>
        <w:t>测定</w:t>
      </w:r>
    </w:p>
    <w:p w14:paraId="4899212D">
      <w:pPr>
        <w:pStyle w:val="23"/>
        <w:ind w:firstLine="440"/>
        <w:rPr>
          <w:rFonts w:hint="eastAsia" w:hAnsi="宋体" w:cs="Arial"/>
          <w:sz w:val="21"/>
          <w:szCs w:val="21"/>
        </w:rPr>
      </w:pPr>
      <w:r>
        <w:rPr>
          <w:rFonts w:hAnsi="宋体" w:cs="Arial"/>
          <w:sz w:val="21"/>
          <w:szCs w:val="21"/>
        </w:rPr>
        <w:t>在上述操作条件下，待仪器稳定后，连续注入数针氯化钠标样溶液，直至相邻两针钠离子峰面积相对变化小于2</w:t>
      </w:r>
      <w:r>
        <w:rPr>
          <w:rFonts w:hint="eastAsia" w:hAnsi="宋体" w:cs="Arial"/>
          <w:sz w:val="21"/>
          <w:szCs w:val="21"/>
        </w:rPr>
        <w:t>％</w:t>
      </w:r>
      <w:r>
        <w:rPr>
          <w:rFonts w:hAnsi="宋体" w:cs="Arial"/>
          <w:sz w:val="21"/>
          <w:szCs w:val="21"/>
        </w:rPr>
        <w:t>后,按照标样溶液、试样溶液、试样溶液、标样溶液的顺序进行测定。</w:t>
      </w:r>
    </w:p>
    <w:p w14:paraId="359A8E12">
      <w:pPr>
        <w:pStyle w:val="4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/>
        <w:textAlignment w:val="auto"/>
        <w:rPr>
          <w:sz w:val="21"/>
          <w:szCs w:val="21"/>
        </w:rPr>
      </w:pPr>
      <w:r>
        <w:rPr>
          <w:rFonts w:hint="eastAsia"/>
          <w:sz w:val="21"/>
          <w:szCs w:val="21"/>
        </w:rPr>
        <w:t>计算</w:t>
      </w:r>
    </w:p>
    <w:p w14:paraId="054910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textAlignment w:val="auto"/>
        <w:rPr>
          <w:rFonts w:hint="eastAsia" w:ascii="宋体" w:hAnsi="宋体" w:cs="Arial"/>
        </w:rPr>
      </w:pPr>
      <w:r>
        <w:rPr>
          <w:rFonts w:hint="eastAsia" w:ascii="宋体" w:hAnsi="宋体" w:cs="Arial"/>
        </w:rPr>
        <w:t>将测得的两针试样溶液以及试样前后两针标样溶液中</w:t>
      </w:r>
      <w:r>
        <w:rPr>
          <w:rFonts w:hint="eastAsia" w:ascii="宋体" w:hAnsi="宋体" w:cs="Arial"/>
          <w:lang w:val="en-US" w:eastAsia="zh-CN"/>
        </w:rPr>
        <w:t>钠离子</w:t>
      </w:r>
      <w:r>
        <w:rPr>
          <w:rFonts w:hint="eastAsia" w:ascii="宋体" w:hAnsi="宋体" w:cs="Arial"/>
        </w:rPr>
        <w:t>的峰面积分别进行平均</w:t>
      </w:r>
      <w:r>
        <w:rPr>
          <w:rFonts w:hint="eastAsia" w:ascii="宋体" w:hAnsi="宋体" w:cs="Arial"/>
          <w:lang w:eastAsia="zh-CN"/>
        </w:rPr>
        <w:t>。</w:t>
      </w:r>
      <w:r>
        <w:rPr>
          <w:rFonts w:ascii="宋体" w:hAnsi="宋体" w:cs="Arial"/>
        </w:rPr>
        <w:t>试样中钠离子的质量分数按式(2)计算：</w:t>
      </w:r>
    </w:p>
    <w:p w14:paraId="5F06D3F2">
      <w:pPr>
        <w:spacing w:line="360" w:lineRule="auto"/>
        <w:ind w:firstLine="420"/>
        <w:jc w:val="center"/>
        <w:rPr>
          <w:rFonts w:hint="eastAsia" w:ascii="宋体" w:hAnsi="宋体" w:cs="Arial"/>
        </w:rPr>
      </w:pPr>
      <w:r>
        <w:rPr>
          <w:rFonts w:ascii="宋体" w:hAnsi="宋体" w:cs="Arial"/>
          <w:position w:val="-30"/>
        </w:rPr>
        <w:object>
          <v:shape id="_x0000_i1027" o:spt="75" type="#_x0000_t75" style="height:34pt;width:260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8">
            <o:LockedField>false</o:LockedField>
          </o:OLEObject>
        </w:object>
      </w:r>
    </w:p>
    <w:p w14:paraId="23FDE247">
      <w:pPr>
        <w:pStyle w:val="23"/>
        <w:ind w:firstLine="440"/>
        <w:rPr>
          <w:rFonts w:hint="eastAsia" w:hAnsi="宋体" w:cs="Arial"/>
          <w:sz w:val="21"/>
          <w:szCs w:val="21"/>
        </w:rPr>
      </w:pPr>
      <w:r>
        <w:rPr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>
                <wp:simplePos x="0" y="0"/>
                <wp:positionH relativeFrom="column">
                  <wp:posOffset>400050</wp:posOffset>
                </wp:positionH>
                <wp:positionV relativeFrom="paragraph">
                  <wp:posOffset>46355</wp:posOffset>
                </wp:positionV>
                <wp:extent cx="635" cy="0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1.5pt;margin-top:3.65pt;height:0pt;width:0.05pt;z-index:251663360;mso-width-relative:page;mso-height-relative:page;" filled="f" stroked="t" coordsize="21600,21600" o:allowincell="f" o:gfxdata="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qgZv6dMAAAAFAQAADwAA&#10;AAAAAAABACAAAAAiAAAAZHJzL2Rvd25yZXYueG1sUEsBAhQAFAAAAAgAh07iQDPrPzbiAQAAsgMA&#10;AA4AAAAAAAAAAQAgAAAAIgEAAGRycy9lMm9Eb2MueG1sUEsFBgAAAAAGAAYAWQEAAHY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Ansi="宋体" w:cs="Arial"/>
          <w:sz w:val="21"/>
          <w:szCs w:val="21"/>
        </w:rPr>
        <w:t>式中：</w:t>
      </w:r>
    </w:p>
    <w:p w14:paraId="5DDE7ED4">
      <w:pPr>
        <w:pStyle w:val="23"/>
        <w:ind w:firstLine="440"/>
        <w:rPr>
          <w:rFonts w:hint="eastAsia" w:hAnsi="宋体" w:cs="Arial"/>
          <w:sz w:val="21"/>
          <w:szCs w:val="21"/>
        </w:rPr>
      </w:pPr>
      <w:r>
        <w:rPr>
          <w:rFonts w:hint="eastAsia" w:ascii="Times New Roman"/>
          <w:i/>
          <w:sz w:val="21"/>
          <w:szCs w:val="21"/>
          <w:lang w:val="en-US" w:eastAsia="zh-CN"/>
        </w:rPr>
        <w:t>w</w:t>
      </w:r>
      <w:r>
        <w:rPr>
          <w:rFonts w:hAnsi="宋体" w:cs="Arial"/>
          <w:sz w:val="21"/>
          <w:szCs w:val="21"/>
          <w:vertAlign w:val="subscript"/>
        </w:rPr>
        <w:t>2</w:t>
      </w:r>
      <w:r>
        <w:rPr>
          <w:rFonts w:hAnsi="宋体" w:cs="Arial"/>
          <w:spacing w:val="-60"/>
          <w:sz w:val="21"/>
          <w:szCs w:val="21"/>
        </w:rPr>
        <w:t>—</w:t>
      </w:r>
      <w:r>
        <w:rPr>
          <w:rFonts w:hAnsi="宋体" w:cs="Arial"/>
          <w:sz w:val="21"/>
          <w:szCs w:val="21"/>
        </w:rPr>
        <w:t>—</w:t>
      </w:r>
      <w:r>
        <w:rPr>
          <w:rFonts w:hint="eastAsia" w:hAnsi="宋体" w:cs="Arial"/>
          <w:sz w:val="21"/>
          <w:szCs w:val="21"/>
          <w:lang w:val="en-US" w:eastAsia="zh-CN"/>
        </w:rPr>
        <w:t>试样中</w:t>
      </w:r>
      <w:r>
        <w:rPr>
          <w:rFonts w:hAnsi="宋体" w:cs="Arial"/>
          <w:sz w:val="21"/>
          <w:szCs w:val="21"/>
        </w:rPr>
        <w:t>钠离子的质量分数，</w:t>
      </w:r>
      <w:r>
        <w:rPr>
          <w:rFonts w:hint="eastAsia" w:hAnsi="宋体" w:cs="Arial"/>
          <w:sz w:val="21"/>
          <w:szCs w:val="21"/>
        </w:rPr>
        <w:t>％</w:t>
      </w:r>
      <w:r>
        <w:rPr>
          <w:rFonts w:hAnsi="宋体" w:cs="Arial"/>
          <w:sz w:val="21"/>
          <w:szCs w:val="21"/>
        </w:rPr>
        <w:t>；</w:t>
      </w:r>
    </w:p>
    <w:p w14:paraId="3BB47E55">
      <w:pPr>
        <w:pStyle w:val="23"/>
        <w:ind w:firstLine="440"/>
        <w:rPr>
          <w:rFonts w:hint="eastAsia" w:hAnsi="宋体" w:cs="Arial"/>
          <w:sz w:val="21"/>
          <w:szCs w:val="21"/>
        </w:rPr>
      </w:pPr>
      <w:r>
        <w:rPr>
          <w:rFonts w:ascii="Times New Roman"/>
          <w:i/>
          <w:sz w:val="21"/>
          <w:szCs w:val="21"/>
        </w:rPr>
        <w:t>A</w:t>
      </w:r>
      <w:r>
        <w:rPr>
          <w:rFonts w:hAnsi="宋体" w:cs="Arial"/>
          <w:sz w:val="21"/>
          <w:szCs w:val="21"/>
          <w:vertAlign w:val="subscript"/>
        </w:rPr>
        <w:t>2</w:t>
      </w:r>
      <w:r>
        <w:rPr>
          <w:rFonts w:hAnsi="宋体" w:cs="Arial"/>
          <w:spacing w:val="-60"/>
          <w:sz w:val="21"/>
          <w:szCs w:val="21"/>
        </w:rPr>
        <w:t>—</w:t>
      </w:r>
      <w:r>
        <w:rPr>
          <w:rFonts w:hAnsi="宋体" w:cs="Arial"/>
          <w:sz w:val="21"/>
          <w:szCs w:val="21"/>
        </w:rPr>
        <w:t>—试样溶液中钠离子峰面积的平均值；</w:t>
      </w:r>
    </w:p>
    <w:p w14:paraId="165F4B43">
      <w:pPr>
        <w:pStyle w:val="23"/>
        <w:ind w:firstLine="440"/>
        <w:rPr>
          <w:rFonts w:hint="eastAsia" w:hAnsi="宋体" w:cs="Arial"/>
          <w:sz w:val="21"/>
          <w:szCs w:val="21"/>
        </w:rPr>
      </w:pPr>
      <w:r>
        <w:rPr>
          <w:rFonts w:ascii="Times New Roman"/>
          <w:i/>
          <w:sz w:val="21"/>
          <w:szCs w:val="21"/>
        </w:rPr>
        <w:t>m</w:t>
      </w:r>
      <w:r>
        <w:rPr>
          <w:rFonts w:hAnsi="宋体" w:cs="Arial"/>
          <w:sz w:val="21"/>
          <w:szCs w:val="21"/>
          <w:vertAlign w:val="subscript"/>
        </w:rPr>
        <w:t>1</w:t>
      </w:r>
      <w:r>
        <w:rPr>
          <w:rFonts w:hAnsi="宋体" w:cs="Arial"/>
          <w:spacing w:val="-60"/>
          <w:sz w:val="21"/>
          <w:szCs w:val="21"/>
        </w:rPr>
        <w:t>—</w:t>
      </w:r>
      <w:r>
        <w:rPr>
          <w:rFonts w:hAnsi="宋体" w:cs="Arial"/>
          <w:sz w:val="21"/>
          <w:szCs w:val="21"/>
        </w:rPr>
        <w:t>—标样的质量</w:t>
      </w:r>
      <w:r>
        <w:rPr>
          <w:rFonts w:hint="eastAsia" w:hAnsi="宋体" w:cs="Arial"/>
          <w:sz w:val="21"/>
          <w:szCs w:val="21"/>
          <w:lang w:val="en-US" w:eastAsia="zh-CN"/>
        </w:rPr>
        <w:t>的数值</w:t>
      </w:r>
      <w:r>
        <w:rPr>
          <w:rFonts w:hAnsi="宋体" w:cs="Arial"/>
          <w:sz w:val="21"/>
          <w:szCs w:val="21"/>
        </w:rPr>
        <w:t>，单位为克(</w:t>
      </w:r>
      <w:r>
        <w:rPr>
          <w:rFonts w:ascii="Times New Roman"/>
          <w:sz w:val="21"/>
          <w:szCs w:val="21"/>
        </w:rPr>
        <w:t>g</w:t>
      </w:r>
      <w:r>
        <w:rPr>
          <w:rFonts w:hAnsi="宋体" w:cs="Arial"/>
          <w:sz w:val="21"/>
          <w:szCs w:val="21"/>
        </w:rPr>
        <w:t>)；</w:t>
      </w:r>
    </w:p>
    <w:p w14:paraId="60D70EA6">
      <w:pPr>
        <w:pStyle w:val="23"/>
        <w:ind w:firstLine="440"/>
        <w:rPr>
          <w:rFonts w:hint="eastAsia" w:hAnsi="宋体" w:eastAsia="宋体" w:cs="Arial"/>
          <w:sz w:val="21"/>
          <w:szCs w:val="21"/>
          <w:lang w:eastAsia="zh-CN"/>
        </w:rPr>
      </w:pPr>
      <w:r>
        <w:rPr>
          <w:rFonts w:hint="eastAsia" w:ascii="Times New Roman"/>
          <w:i/>
          <w:sz w:val="21"/>
          <w:szCs w:val="21"/>
          <w:lang w:val="en-US" w:eastAsia="zh-CN"/>
        </w:rPr>
        <w:t>w</w:t>
      </w:r>
      <w:r>
        <w:rPr>
          <w:rFonts w:hAnsi="宋体" w:cs="Arial"/>
          <w:spacing w:val="-60"/>
          <w:sz w:val="21"/>
          <w:szCs w:val="21"/>
        </w:rPr>
        <w:t>—</w:t>
      </w:r>
      <w:r>
        <w:rPr>
          <w:rFonts w:hAnsi="宋体" w:cs="Arial"/>
          <w:sz w:val="21"/>
          <w:szCs w:val="21"/>
        </w:rPr>
        <w:t>—标样中氯化钠的质量分数</w:t>
      </w:r>
      <w:r>
        <w:rPr>
          <w:rFonts w:hint="eastAsia" w:hAnsi="宋体" w:cs="Arial"/>
          <w:sz w:val="21"/>
          <w:szCs w:val="21"/>
        </w:rPr>
        <w:t>，％</w:t>
      </w:r>
      <w:r>
        <w:rPr>
          <w:rFonts w:hint="eastAsia" w:hAnsi="宋体" w:cs="Arial"/>
          <w:sz w:val="21"/>
          <w:szCs w:val="21"/>
          <w:lang w:eastAsia="zh-CN"/>
        </w:rPr>
        <w:t>；</w:t>
      </w:r>
    </w:p>
    <w:p w14:paraId="3559D0D2">
      <w:pPr>
        <w:pStyle w:val="23"/>
        <w:ind w:firstLine="440"/>
        <w:rPr>
          <w:rFonts w:hint="eastAsia" w:hAnsi="宋体" w:cs="Arial"/>
          <w:sz w:val="21"/>
          <w:szCs w:val="21"/>
        </w:rPr>
      </w:pPr>
      <w:r>
        <w:rPr>
          <w:rFonts w:ascii="Times New Roman"/>
          <w:i/>
          <w:sz w:val="21"/>
          <w:szCs w:val="21"/>
        </w:rPr>
        <w:t>A</w:t>
      </w:r>
      <w:r>
        <w:rPr>
          <w:rFonts w:hAnsi="宋体" w:cs="Arial"/>
          <w:sz w:val="21"/>
          <w:szCs w:val="21"/>
          <w:vertAlign w:val="subscript"/>
        </w:rPr>
        <w:t>1</w:t>
      </w:r>
      <w:r>
        <w:rPr>
          <w:rFonts w:hAnsi="宋体" w:cs="Arial"/>
          <w:spacing w:val="-60"/>
          <w:sz w:val="21"/>
          <w:szCs w:val="21"/>
        </w:rPr>
        <w:t>—</w:t>
      </w:r>
      <w:r>
        <w:rPr>
          <w:rFonts w:hAnsi="宋体" w:cs="Arial"/>
          <w:sz w:val="21"/>
          <w:szCs w:val="21"/>
        </w:rPr>
        <w:t>—标样溶液中钠离子峰面积的平均值；</w:t>
      </w:r>
    </w:p>
    <w:p w14:paraId="51ACCBF3">
      <w:pPr>
        <w:pStyle w:val="23"/>
        <w:ind w:firstLine="440"/>
        <w:rPr>
          <w:rFonts w:hint="eastAsia" w:hAnsi="宋体" w:cs="Arial"/>
          <w:sz w:val="21"/>
          <w:szCs w:val="21"/>
        </w:rPr>
      </w:pPr>
      <w:r>
        <w:rPr>
          <w:rFonts w:ascii="Times New Roman"/>
          <w:i/>
          <w:sz w:val="21"/>
          <w:szCs w:val="21"/>
        </w:rPr>
        <w:t>m</w:t>
      </w:r>
      <w:r>
        <w:rPr>
          <w:rFonts w:hAnsi="宋体" w:cs="Arial"/>
          <w:sz w:val="21"/>
          <w:szCs w:val="21"/>
          <w:vertAlign w:val="subscript"/>
        </w:rPr>
        <w:t>2</w:t>
      </w:r>
      <w:r>
        <w:rPr>
          <w:rFonts w:hAnsi="宋体" w:cs="Arial"/>
          <w:spacing w:val="-60"/>
          <w:sz w:val="21"/>
          <w:szCs w:val="21"/>
        </w:rPr>
        <w:t>—</w:t>
      </w:r>
      <w:r>
        <w:rPr>
          <w:rFonts w:hAnsi="宋体" w:cs="Arial"/>
          <w:sz w:val="21"/>
          <w:szCs w:val="21"/>
        </w:rPr>
        <w:t>—试样的质量</w:t>
      </w:r>
      <w:r>
        <w:rPr>
          <w:rFonts w:hint="eastAsia" w:hAnsi="宋体" w:cs="Arial"/>
          <w:sz w:val="21"/>
          <w:szCs w:val="21"/>
          <w:lang w:val="en-US" w:eastAsia="zh-CN"/>
        </w:rPr>
        <w:t>的数值</w:t>
      </w:r>
      <w:r>
        <w:rPr>
          <w:rFonts w:hAnsi="宋体" w:cs="Arial"/>
          <w:sz w:val="21"/>
          <w:szCs w:val="21"/>
        </w:rPr>
        <w:t>，单位为克(</w:t>
      </w:r>
      <w:r>
        <w:rPr>
          <w:rFonts w:ascii="Times New Roman"/>
          <w:sz w:val="21"/>
          <w:szCs w:val="21"/>
        </w:rPr>
        <w:t>g</w:t>
      </w:r>
      <w:r>
        <w:rPr>
          <w:rFonts w:hAnsi="宋体" w:cs="Arial"/>
          <w:sz w:val="21"/>
          <w:szCs w:val="21"/>
        </w:rPr>
        <w:t>)；</w:t>
      </w:r>
    </w:p>
    <w:p w14:paraId="6D1903F0">
      <w:pPr>
        <w:pStyle w:val="23"/>
        <w:ind w:firstLine="440"/>
        <w:rPr>
          <w:rFonts w:hint="eastAsia" w:hAnsi="宋体" w:cs="Arial"/>
          <w:sz w:val="21"/>
          <w:szCs w:val="21"/>
        </w:rPr>
      </w:pPr>
      <w:r>
        <w:rPr>
          <w:rFonts w:ascii="Times New Roman"/>
          <w:i/>
          <w:sz w:val="21"/>
          <w:szCs w:val="21"/>
        </w:rPr>
        <w:t>n</w:t>
      </w:r>
      <w:r>
        <w:rPr>
          <w:rFonts w:hAnsi="宋体" w:cs="Arial"/>
          <w:spacing w:val="-60"/>
          <w:sz w:val="21"/>
          <w:szCs w:val="21"/>
        </w:rPr>
        <w:t>—</w:t>
      </w:r>
      <w:r>
        <w:rPr>
          <w:rFonts w:hAnsi="宋体" w:cs="Arial"/>
          <w:sz w:val="21"/>
          <w:szCs w:val="21"/>
        </w:rPr>
        <w:t>—标样溶液与样品溶液稀释的倍数比，</w:t>
      </w:r>
      <w:r>
        <w:rPr>
          <w:rFonts w:ascii="Times New Roman"/>
          <w:i/>
          <w:sz w:val="21"/>
          <w:szCs w:val="21"/>
        </w:rPr>
        <w:t>n</w:t>
      </w:r>
      <w:r>
        <w:rPr>
          <w:rFonts w:hAnsi="宋体" w:cs="Arial"/>
          <w:sz w:val="21"/>
          <w:szCs w:val="21"/>
        </w:rPr>
        <w:t>=</w:t>
      </w:r>
      <w:r>
        <w:rPr>
          <w:rFonts w:hint="eastAsia" w:hAnsi="宋体" w:cs="Arial"/>
          <w:sz w:val="21"/>
          <w:szCs w:val="21"/>
        </w:rPr>
        <w:t>10</w:t>
      </w:r>
      <w:r>
        <w:rPr>
          <w:rFonts w:hAnsi="宋体" w:cs="Arial"/>
          <w:sz w:val="21"/>
          <w:szCs w:val="21"/>
        </w:rPr>
        <w:t>；</w:t>
      </w:r>
    </w:p>
    <w:p w14:paraId="73B90625">
      <w:pPr>
        <w:pStyle w:val="23"/>
        <w:ind w:firstLine="440"/>
        <w:rPr>
          <w:rFonts w:hint="eastAsia" w:hAnsi="宋体" w:cs="Arial"/>
          <w:sz w:val="21"/>
          <w:szCs w:val="21"/>
        </w:rPr>
      </w:pPr>
      <w:r>
        <w:rPr>
          <w:rFonts w:ascii="Times New Roman"/>
          <w:i/>
          <w:sz w:val="21"/>
          <w:szCs w:val="21"/>
        </w:rPr>
        <w:t>M</w:t>
      </w:r>
      <w:r>
        <w:rPr>
          <w:rFonts w:ascii="Times New Roman"/>
          <w:sz w:val="21"/>
          <w:szCs w:val="21"/>
          <w:vertAlign w:val="subscript"/>
        </w:rPr>
        <w:t>1</w:t>
      </w:r>
      <w:r>
        <w:rPr>
          <w:rFonts w:hAnsi="宋体" w:cs="Arial"/>
          <w:spacing w:val="-60"/>
          <w:sz w:val="21"/>
          <w:szCs w:val="21"/>
        </w:rPr>
        <w:t>—</w:t>
      </w:r>
      <w:r>
        <w:rPr>
          <w:rFonts w:hAnsi="宋体" w:cs="Arial"/>
          <w:sz w:val="21"/>
          <w:szCs w:val="21"/>
        </w:rPr>
        <w:t>—氯化钠标样中钠离子的摩尔质量的数值，单位为克每摩尔(</w:t>
      </w:r>
      <w:r>
        <w:rPr>
          <w:rFonts w:ascii="Times New Roman"/>
          <w:sz w:val="21"/>
          <w:szCs w:val="21"/>
        </w:rPr>
        <w:t>g</w:t>
      </w:r>
      <w:r>
        <w:rPr>
          <w:rFonts w:hAnsi="宋体" w:cs="Arial"/>
          <w:sz w:val="21"/>
          <w:szCs w:val="21"/>
        </w:rPr>
        <w:t>/</w:t>
      </w:r>
      <w:r>
        <w:rPr>
          <w:rFonts w:ascii="Times New Roman"/>
          <w:sz w:val="21"/>
          <w:szCs w:val="21"/>
        </w:rPr>
        <w:t>mol</w:t>
      </w:r>
      <w:r>
        <w:rPr>
          <w:rFonts w:hAnsi="宋体" w:cs="Arial"/>
          <w:sz w:val="21"/>
          <w:szCs w:val="21"/>
        </w:rPr>
        <w:t>),</w:t>
      </w:r>
      <w:r>
        <w:rPr>
          <w:rFonts w:ascii="Times New Roman"/>
          <w:i/>
          <w:sz w:val="21"/>
          <w:szCs w:val="21"/>
        </w:rPr>
        <w:t>M</w:t>
      </w:r>
      <w:r>
        <w:rPr>
          <w:rFonts w:hAnsi="宋体" w:cs="Arial"/>
          <w:sz w:val="21"/>
          <w:szCs w:val="21"/>
          <w:vertAlign w:val="subscript"/>
        </w:rPr>
        <w:t>1</w:t>
      </w:r>
      <w:r>
        <w:rPr>
          <w:rFonts w:hAnsi="宋体" w:cs="Arial"/>
          <w:sz w:val="21"/>
          <w:szCs w:val="21"/>
        </w:rPr>
        <w:t>(</w:t>
      </w:r>
      <w:r>
        <w:rPr>
          <w:rFonts w:ascii="Times New Roman"/>
          <w:sz w:val="21"/>
          <w:szCs w:val="21"/>
        </w:rPr>
        <w:t>Na</w:t>
      </w:r>
      <w:r>
        <w:rPr>
          <w:rFonts w:hAnsi="宋体" w:cs="Arial"/>
          <w:sz w:val="21"/>
          <w:szCs w:val="21"/>
          <w:vertAlign w:val="superscript"/>
        </w:rPr>
        <w:t>+</w:t>
      </w:r>
      <w:r>
        <w:rPr>
          <w:rFonts w:hAnsi="宋体" w:cs="Arial"/>
          <w:sz w:val="21"/>
          <w:szCs w:val="21"/>
        </w:rPr>
        <w:t>)=</w:t>
      </w:r>
      <w:r>
        <w:rPr>
          <w:rFonts w:hAnsi="宋体" w:cs="Arial"/>
          <w:color w:val="000000"/>
          <w:sz w:val="21"/>
          <w:szCs w:val="21"/>
        </w:rPr>
        <w:t>22.99</w:t>
      </w:r>
      <w:r>
        <w:rPr>
          <w:rFonts w:hAnsi="宋体" w:cs="Arial"/>
          <w:sz w:val="21"/>
          <w:szCs w:val="21"/>
        </w:rPr>
        <w:t>；</w:t>
      </w:r>
    </w:p>
    <w:p w14:paraId="1C2DB24E">
      <w:pPr>
        <w:pStyle w:val="23"/>
        <w:ind w:firstLine="440"/>
        <w:rPr>
          <w:rFonts w:hint="eastAsia" w:hAnsi="宋体" w:cs="Arial"/>
          <w:sz w:val="21"/>
          <w:szCs w:val="21"/>
        </w:rPr>
      </w:pPr>
      <w:r>
        <w:rPr>
          <w:rFonts w:ascii="Times New Roman"/>
          <w:i/>
          <w:sz w:val="21"/>
          <w:szCs w:val="21"/>
        </w:rPr>
        <w:t>M</w:t>
      </w:r>
      <w:r>
        <w:rPr>
          <w:rFonts w:hAnsi="宋体" w:cs="Arial"/>
          <w:sz w:val="21"/>
          <w:szCs w:val="21"/>
          <w:vertAlign w:val="subscript"/>
        </w:rPr>
        <w:t>2</w:t>
      </w:r>
      <w:r>
        <w:rPr>
          <w:rFonts w:hAnsi="宋体" w:cs="Arial"/>
          <w:spacing w:val="-60"/>
          <w:sz w:val="21"/>
          <w:szCs w:val="21"/>
        </w:rPr>
        <w:t>—</w:t>
      </w:r>
      <w:r>
        <w:rPr>
          <w:rFonts w:hAnsi="宋体" w:cs="Arial"/>
          <w:sz w:val="21"/>
          <w:szCs w:val="21"/>
        </w:rPr>
        <w:t>—氯化钠标样中氯化钠的摩尔质量的数值，单位为克每摩尔(</w:t>
      </w:r>
      <w:r>
        <w:rPr>
          <w:rFonts w:ascii="Times New Roman"/>
          <w:sz w:val="21"/>
          <w:szCs w:val="21"/>
        </w:rPr>
        <w:t>g</w:t>
      </w:r>
      <w:r>
        <w:rPr>
          <w:rFonts w:hAnsi="宋体" w:cs="Arial"/>
          <w:sz w:val="21"/>
          <w:szCs w:val="21"/>
        </w:rPr>
        <w:t>/</w:t>
      </w:r>
      <w:r>
        <w:rPr>
          <w:rFonts w:ascii="Times New Roman"/>
          <w:sz w:val="21"/>
          <w:szCs w:val="21"/>
        </w:rPr>
        <w:t>mol</w:t>
      </w:r>
      <w:r>
        <w:rPr>
          <w:rFonts w:hAnsi="宋体" w:cs="Arial"/>
          <w:sz w:val="21"/>
          <w:szCs w:val="21"/>
        </w:rPr>
        <w:t>),</w:t>
      </w:r>
      <w:r>
        <w:rPr>
          <w:rFonts w:ascii="Times New Roman"/>
          <w:i/>
          <w:sz w:val="21"/>
          <w:szCs w:val="21"/>
        </w:rPr>
        <w:t>M</w:t>
      </w:r>
      <w:r>
        <w:rPr>
          <w:rFonts w:hAnsi="宋体" w:cs="Arial"/>
          <w:sz w:val="21"/>
          <w:szCs w:val="21"/>
          <w:vertAlign w:val="subscript"/>
        </w:rPr>
        <w:t>2</w:t>
      </w:r>
      <w:r>
        <w:rPr>
          <w:rFonts w:hAnsi="宋体" w:cs="Arial"/>
          <w:sz w:val="21"/>
          <w:szCs w:val="21"/>
        </w:rPr>
        <w:t>(</w:t>
      </w:r>
      <w:r>
        <w:rPr>
          <w:rFonts w:ascii="Times New Roman"/>
          <w:sz w:val="21"/>
          <w:szCs w:val="21"/>
        </w:rPr>
        <w:t>NaCl</w:t>
      </w:r>
      <w:r>
        <w:rPr>
          <w:rFonts w:hAnsi="宋体" w:cs="Arial"/>
          <w:sz w:val="21"/>
          <w:szCs w:val="21"/>
        </w:rPr>
        <w:t>)=</w:t>
      </w:r>
      <w:r>
        <w:rPr>
          <w:rFonts w:hAnsi="宋体" w:cs="Arial"/>
          <w:color w:val="000000"/>
          <w:sz w:val="21"/>
          <w:szCs w:val="21"/>
        </w:rPr>
        <w:t>58.44</w:t>
      </w:r>
      <w:r>
        <w:rPr>
          <w:rFonts w:hAnsi="宋体" w:cs="Arial"/>
          <w:sz w:val="21"/>
          <w:szCs w:val="21"/>
        </w:rPr>
        <w:t>。</w:t>
      </w:r>
    </w:p>
    <w:p w14:paraId="201E0D5D">
      <w:pPr>
        <w:pStyle w:val="4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/>
        <w:textAlignment w:val="auto"/>
        <w:rPr>
          <w:sz w:val="21"/>
          <w:szCs w:val="21"/>
        </w:rPr>
      </w:pPr>
      <w:r>
        <w:rPr>
          <w:rFonts w:hint="eastAsia"/>
          <w:sz w:val="21"/>
          <w:szCs w:val="21"/>
        </w:rPr>
        <w:t>允许差</w:t>
      </w:r>
    </w:p>
    <w:p w14:paraId="3BF37703">
      <w:pPr>
        <w:pStyle w:val="23"/>
        <w:ind w:firstLine="440"/>
        <w:rPr>
          <w:rFonts w:hint="eastAsia" w:hAnsi="宋体" w:cs="Arial"/>
        </w:rPr>
      </w:pPr>
      <w:r>
        <w:rPr>
          <w:rFonts w:hAnsi="宋体" w:cs="Arial"/>
        </w:rPr>
        <w:t>两次平行测定结果之相对差应不大于</w:t>
      </w:r>
      <w:r>
        <w:rPr>
          <w:rFonts w:hint="eastAsia" w:hAnsi="宋体" w:cs="Arial"/>
        </w:rPr>
        <w:t>3</w:t>
      </w:r>
      <w:r>
        <w:rPr>
          <w:rFonts w:hAnsi="宋体" w:cs="Arial"/>
        </w:rPr>
        <w:t>.0</w:t>
      </w:r>
      <w:r>
        <w:rPr>
          <w:rFonts w:hint="eastAsia" w:hAnsi="宋体" w:cs="Arial"/>
        </w:rPr>
        <w:t>％</w:t>
      </w:r>
      <w:r>
        <w:rPr>
          <w:rFonts w:hAnsi="宋体" w:cs="Arial"/>
        </w:rPr>
        <w:t>，取其算术平均值作为测定结果。</w:t>
      </w:r>
    </w:p>
    <w:p w14:paraId="062979D9">
      <w:pPr>
        <w:pStyle w:val="42"/>
        <w:spacing w:before="156" w:after="156"/>
      </w:pPr>
      <w:r>
        <w:rPr>
          <w:rFonts w:hint="eastAsia"/>
        </w:rPr>
        <w:t>游离酚质量分数的测定</w:t>
      </w:r>
    </w:p>
    <w:p w14:paraId="00341F73">
      <w:pPr>
        <w:pStyle w:val="4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/>
        <w:textAlignment w:val="auto"/>
        <w:rPr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原理</w:t>
      </w:r>
    </w:p>
    <w:p w14:paraId="6AA7394B">
      <w:pPr>
        <w:pStyle w:val="23"/>
        <w:ind w:firstLine="435" w:firstLineChars="198"/>
      </w:pPr>
      <w:r>
        <w:rPr>
          <w:rFonts w:hint="eastAsia"/>
        </w:rPr>
        <w:t>将试样溶于乙醇氨水溶液中，加入4-氨基安替比林和铁氰化钾溶液显色，测定其吸光度。由校正曲线查出相同吸光度下标样的体积，计算游离酚含量。</w:t>
      </w:r>
    </w:p>
    <w:p w14:paraId="2C4DED22">
      <w:pPr>
        <w:pStyle w:val="4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/>
        <w:textAlignment w:val="auto"/>
        <w:rPr>
          <w:sz w:val="21"/>
          <w:szCs w:val="21"/>
        </w:rPr>
      </w:pPr>
      <w:r>
        <w:rPr>
          <w:rFonts w:hint="eastAsia"/>
          <w:sz w:val="21"/>
          <w:szCs w:val="21"/>
        </w:rPr>
        <w:t>试剂或材料</w:t>
      </w:r>
    </w:p>
    <w:p w14:paraId="448EEF05">
      <w:pPr>
        <w:pStyle w:val="5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乙醇。</w:t>
      </w:r>
    </w:p>
    <w:p w14:paraId="3A74591A">
      <w:pPr>
        <w:pStyle w:val="5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异丙醇。</w:t>
      </w:r>
    </w:p>
    <w:p w14:paraId="1C8AFC76">
      <w:pPr>
        <w:pStyle w:val="5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氨水。</w:t>
      </w:r>
    </w:p>
    <w:p w14:paraId="1B03EF52">
      <w:pPr>
        <w:pStyle w:val="5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氨溶液：</w:t>
      </w:r>
      <w:r>
        <w:rPr>
          <w:rFonts w:hint="default" w:ascii="Times New Roman" w:hAnsi="Times New Roman" w:eastAsia="宋体" w:cs="Times New Roman"/>
          <w:sz w:val="21"/>
          <w:szCs w:val="21"/>
        </w:rPr>
        <w:t>c</w:t>
      </w:r>
      <w:r>
        <w:rPr>
          <w:rFonts w:hint="eastAsia" w:ascii="宋体" w:hAnsi="宋体" w:eastAsia="宋体" w:cs="宋体"/>
          <w:sz w:val="21"/>
          <w:szCs w:val="21"/>
          <w:vertAlign w:val="subscript"/>
          <w:lang w:val="en-US" w:eastAsia="zh-CN"/>
        </w:rPr>
        <w:t>NH</w:t>
      </w:r>
      <w:r>
        <w:rPr>
          <w:rFonts w:hint="eastAsia" w:ascii="宋体" w:hAnsi="宋体" w:eastAsia="宋体" w:cs="宋体"/>
          <w:color w:val="auto"/>
          <w:sz w:val="21"/>
          <w:szCs w:val="21"/>
          <w:vertAlign w:val="subscript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 xml:space="preserve"> = 0.05 mol/L。</w:t>
      </w:r>
    </w:p>
    <w:p w14:paraId="0100D5F7">
      <w:pPr>
        <w:pStyle w:val="5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乙醇异丙醇水溶液：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ψ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（乙醇:异丙醇:水）</w:t>
      </w:r>
      <w:r>
        <w:rPr>
          <w:rFonts w:hint="eastAsia" w:ascii="宋体" w:hAnsi="宋体" w:eastAsia="宋体" w:cs="宋体"/>
          <w:sz w:val="21"/>
          <w:szCs w:val="21"/>
        </w:rPr>
        <w:t>=2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: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: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3。</w:t>
      </w:r>
    </w:p>
    <w:p w14:paraId="181D088D">
      <w:pPr>
        <w:pStyle w:val="51"/>
        <w:spacing w:before="156" w:after="156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4-氯邻甲酚标样：已知质量分数且不低于98.0</w:t>
      </w:r>
      <w:r>
        <w:rPr>
          <w:rFonts w:hint="default" w:ascii="Times New Roman" w:hAnsi="Times New Roman" w:eastAsia="宋体" w:cs="Times New Roman"/>
          <w:sz w:val="21"/>
          <w:szCs w:val="21"/>
        </w:rPr>
        <w:t>%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 w14:paraId="2CDDB5F5">
      <w:pPr>
        <w:pStyle w:val="51"/>
        <w:spacing w:before="156" w:after="156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酚标准溶液：将0.01 </w:t>
      </w:r>
      <w:r>
        <w:rPr>
          <w:rFonts w:hint="default" w:ascii="Times New Roman" w:hAnsi="Times New Roman" w:eastAsia="宋体" w:cs="Times New Roman"/>
          <w:sz w:val="21"/>
          <w:szCs w:val="21"/>
        </w:rPr>
        <w:t>g</w:t>
      </w:r>
      <w:r>
        <w:rPr>
          <w:rFonts w:hint="eastAsia" w:ascii="宋体" w:hAnsi="宋体" w:eastAsia="宋体" w:cs="宋体"/>
          <w:sz w:val="21"/>
          <w:szCs w:val="21"/>
        </w:rPr>
        <w:t xml:space="preserve">（精确至0.000 1 g）4-氯邻甲酚标样置于100 </w:t>
      </w:r>
      <w:r>
        <w:rPr>
          <w:rFonts w:hint="default" w:ascii="Times New Roman" w:hAnsi="Times New Roman" w:eastAsia="宋体" w:cs="Times New Roman"/>
          <w:sz w:val="21"/>
          <w:szCs w:val="21"/>
        </w:rPr>
        <w:t>mL</w:t>
      </w:r>
      <w:r>
        <w:rPr>
          <w:rFonts w:hint="eastAsia" w:ascii="宋体" w:hAnsi="宋体" w:eastAsia="宋体" w:cs="宋体"/>
          <w:sz w:val="21"/>
          <w:szCs w:val="21"/>
        </w:rPr>
        <w:t xml:space="preserve">容量瓶中，加入10 </w:t>
      </w:r>
      <w:r>
        <w:rPr>
          <w:rFonts w:hint="default" w:ascii="Times New Roman" w:hAnsi="Times New Roman" w:eastAsia="宋体" w:cs="Times New Roman"/>
          <w:sz w:val="21"/>
          <w:szCs w:val="21"/>
        </w:rPr>
        <w:t>mL</w:t>
      </w:r>
      <w:r>
        <w:rPr>
          <w:rFonts w:hint="eastAsia" w:ascii="宋体" w:hAnsi="宋体" w:eastAsia="宋体" w:cs="宋体"/>
          <w:sz w:val="21"/>
          <w:szCs w:val="21"/>
        </w:rPr>
        <w:t>乙醇使之溶解，用乙醇稀释至刻度，摇匀。</w:t>
      </w:r>
    </w:p>
    <w:p w14:paraId="509A47D7">
      <w:pPr>
        <w:pStyle w:val="51"/>
        <w:spacing w:before="156" w:after="156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4-氨基安替比林水溶液：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ρ</w:t>
      </w:r>
      <w:r>
        <w:rPr>
          <w:rFonts w:hint="eastAsia" w:ascii="宋体" w:hAnsi="宋体" w:eastAsia="宋体" w:cs="宋体"/>
          <w:sz w:val="21"/>
          <w:szCs w:val="21"/>
        </w:rPr>
        <w:t xml:space="preserve">=2 </w:t>
      </w:r>
      <w:r>
        <w:rPr>
          <w:rFonts w:hint="default" w:ascii="Times New Roman" w:hAnsi="Times New Roman" w:eastAsia="宋体" w:cs="Times New Roman"/>
          <w:sz w:val="21"/>
          <w:szCs w:val="21"/>
        </w:rPr>
        <w:t>g</w:t>
      </w:r>
      <w:r>
        <w:rPr>
          <w:rFonts w:hint="eastAsia" w:ascii="宋体" w:hAnsi="宋体" w:eastAsia="宋体" w:cs="宋体"/>
          <w:sz w:val="21"/>
          <w:szCs w:val="21"/>
        </w:rPr>
        <w:t>/</w:t>
      </w:r>
      <w:r>
        <w:rPr>
          <w:rFonts w:hint="default" w:ascii="Times New Roman" w:hAnsi="Times New Roman" w:eastAsia="宋体" w:cs="Times New Roman"/>
          <w:sz w:val="21"/>
          <w:szCs w:val="21"/>
        </w:rPr>
        <w:t>L</w:t>
      </w:r>
      <w:r>
        <w:rPr>
          <w:rFonts w:hint="eastAsia" w:ascii="宋体" w:hAnsi="宋体" w:eastAsia="宋体" w:cs="宋体"/>
          <w:sz w:val="21"/>
          <w:szCs w:val="21"/>
        </w:rPr>
        <w:t xml:space="preserve">，使用时用20 </w:t>
      </w:r>
      <w:r>
        <w:rPr>
          <w:rFonts w:hint="default" w:ascii="Times New Roman" w:hAnsi="Times New Roman" w:eastAsia="宋体" w:cs="Times New Roman"/>
          <w:sz w:val="21"/>
          <w:szCs w:val="21"/>
        </w:rPr>
        <w:t>g</w:t>
      </w:r>
      <w:r>
        <w:rPr>
          <w:rFonts w:hint="eastAsia" w:ascii="宋体" w:hAnsi="宋体" w:eastAsia="宋体" w:cs="宋体"/>
          <w:sz w:val="21"/>
          <w:szCs w:val="21"/>
        </w:rPr>
        <w:t>/</w:t>
      </w:r>
      <w:r>
        <w:rPr>
          <w:rFonts w:hint="default" w:ascii="Times New Roman" w:hAnsi="Times New Roman" w:eastAsia="宋体" w:cs="Times New Roman"/>
          <w:sz w:val="21"/>
          <w:szCs w:val="21"/>
        </w:rPr>
        <w:t>L</w:t>
      </w:r>
      <w:r>
        <w:rPr>
          <w:rFonts w:hint="eastAsia" w:ascii="宋体" w:hAnsi="宋体" w:eastAsia="宋体" w:cs="宋体"/>
          <w:sz w:val="21"/>
          <w:szCs w:val="21"/>
        </w:rPr>
        <w:t>贮备液配置（贮备液在暗处可存放3个月）。</w:t>
      </w:r>
    </w:p>
    <w:p w14:paraId="49C2DE68">
      <w:pPr>
        <w:pStyle w:val="51"/>
        <w:spacing w:before="156" w:after="156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铁氰化钾水溶液：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ρ</w:t>
      </w:r>
      <w:r>
        <w:rPr>
          <w:rFonts w:hint="eastAsia" w:ascii="宋体" w:hAnsi="宋体" w:eastAsia="宋体" w:cs="宋体"/>
          <w:sz w:val="21"/>
          <w:szCs w:val="21"/>
        </w:rPr>
        <w:t xml:space="preserve">=4 </w:t>
      </w:r>
      <w:r>
        <w:rPr>
          <w:rFonts w:hint="default" w:ascii="Times New Roman" w:hAnsi="Times New Roman" w:eastAsia="宋体" w:cs="Times New Roman"/>
          <w:sz w:val="21"/>
          <w:szCs w:val="21"/>
        </w:rPr>
        <w:t>g</w:t>
      </w:r>
      <w:r>
        <w:rPr>
          <w:rFonts w:hint="eastAsia" w:ascii="宋体" w:hAnsi="宋体" w:eastAsia="宋体" w:cs="宋体"/>
          <w:sz w:val="21"/>
          <w:szCs w:val="21"/>
        </w:rPr>
        <w:t>/</w:t>
      </w:r>
      <w:r>
        <w:rPr>
          <w:rFonts w:hint="default" w:ascii="Times New Roman" w:hAnsi="Times New Roman" w:eastAsia="宋体" w:cs="Times New Roman"/>
          <w:sz w:val="21"/>
          <w:szCs w:val="21"/>
        </w:rPr>
        <w:t>L</w:t>
      </w:r>
      <w:r>
        <w:rPr>
          <w:rFonts w:hint="eastAsia" w:ascii="宋体" w:hAnsi="宋体" w:eastAsia="宋体" w:cs="宋体"/>
          <w:sz w:val="21"/>
          <w:szCs w:val="21"/>
        </w:rPr>
        <w:t>（用时现配）。</w:t>
      </w:r>
    </w:p>
    <w:p w14:paraId="53DB0F1A">
      <w:pPr>
        <w:pStyle w:val="4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/>
        <w:textAlignment w:val="auto"/>
        <w:rPr>
          <w:sz w:val="21"/>
          <w:szCs w:val="21"/>
        </w:rPr>
      </w:pPr>
      <w:r>
        <w:rPr>
          <w:rFonts w:hint="eastAsia"/>
          <w:sz w:val="21"/>
          <w:szCs w:val="21"/>
        </w:rPr>
        <w:t>仪器设备</w:t>
      </w:r>
    </w:p>
    <w:p w14:paraId="15DF31B0">
      <w:pPr>
        <w:pStyle w:val="51"/>
        <w:spacing w:before="156" w:after="156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紫外-可见分光光度计。</w:t>
      </w:r>
    </w:p>
    <w:p w14:paraId="2E81ED3A">
      <w:pPr>
        <w:pStyle w:val="51"/>
        <w:spacing w:before="156" w:after="156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移液器。</w:t>
      </w:r>
    </w:p>
    <w:p w14:paraId="49769E11">
      <w:pPr>
        <w:pStyle w:val="51"/>
        <w:spacing w:before="156" w:after="156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具塞量筒：25 </w:t>
      </w:r>
      <w:r>
        <w:rPr>
          <w:rFonts w:hint="default" w:ascii="Times New Roman" w:hAnsi="Times New Roman" w:eastAsia="宋体" w:cs="Times New Roman"/>
          <w:sz w:val="21"/>
          <w:szCs w:val="21"/>
        </w:rPr>
        <w:t>mL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 w14:paraId="669ABD67">
      <w:pPr>
        <w:pStyle w:val="4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/>
        <w:textAlignment w:val="auto"/>
        <w:rPr>
          <w:sz w:val="21"/>
          <w:szCs w:val="21"/>
        </w:rPr>
      </w:pPr>
      <w:r>
        <w:rPr>
          <w:rFonts w:hint="eastAsia"/>
          <w:sz w:val="21"/>
          <w:szCs w:val="21"/>
        </w:rPr>
        <w:t>测定步骤</w:t>
      </w:r>
    </w:p>
    <w:p w14:paraId="59610058">
      <w:pPr>
        <w:pStyle w:val="51"/>
        <w:spacing w:before="156" w:after="156"/>
        <w:rPr>
          <w:sz w:val="21"/>
          <w:szCs w:val="21"/>
        </w:rPr>
      </w:pPr>
      <w:r>
        <w:rPr>
          <w:rFonts w:hint="eastAsia"/>
          <w:sz w:val="21"/>
          <w:szCs w:val="21"/>
        </w:rPr>
        <w:t>校正</w:t>
      </w:r>
    </w:p>
    <w:p w14:paraId="79570755">
      <w:pPr>
        <w:ind w:firstLine="403" w:firstLineChars="192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  <w:lang w:bidi="ar"/>
        </w:rPr>
        <w:t xml:space="preserve">用移液器依次移入0.1 </w:t>
      </w:r>
      <w:r>
        <w:rPr>
          <w:rFonts w:hint="default" w:ascii="Times New Roman" w:hAnsi="Times New Roman" w:cs="Times New Roman"/>
          <w:szCs w:val="21"/>
          <w:lang w:bidi="ar"/>
        </w:rPr>
        <w:t>mL</w:t>
      </w:r>
      <w:r>
        <w:rPr>
          <w:rFonts w:hint="eastAsia" w:ascii="宋体" w:hAnsi="宋体" w:cs="宋体"/>
          <w:szCs w:val="21"/>
          <w:lang w:bidi="ar"/>
        </w:rPr>
        <w:t xml:space="preserve">、0.2 </w:t>
      </w:r>
      <w:r>
        <w:rPr>
          <w:rFonts w:hint="default" w:ascii="Times New Roman" w:hAnsi="Times New Roman" w:cs="Times New Roman"/>
          <w:szCs w:val="21"/>
          <w:lang w:bidi="ar"/>
        </w:rPr>
        <w:t>mL</w:t>
      </w:r>
      <w:r>
        <w:rPr>
          <w:rFonts w:hint="eastAsia" w:ascii="宋体" w:hAnsi="宋体" w:cs="宋体"/>
          <w:szCs w:val="21"/>
          <w:lang w:bidi="ar"/>
        </w:rPr>
        <w:t xml:space="preserve">、0.4 </w:t>
      </w:r>
      <w:r>
        <w:rPr>
          <w:rFonts w:hint="default" w:ascii="Times New Roman" w:hAnsi="Times New Roman" w:cs="Times New Roman"/>
          <w:szCs w:val="21"/>
          <w:lang w:bidi="ar"/>
        </w:rPr>
        <w:t>mL</w:t>
      </w:r>
      <w:r>
        <w:rPr>
          <w:rFonts w:hint="eastAsia" w:ascii="宋体" w:hAnsi="宋体" w:cs="宋体"/>
          <w:szCs w:val="21"/>
          <w:lang w:bidi="ar"/>
        </w:rPr>
        <w:t xml:space="preserve">、0.5 </w:t>
      </w:r>
      <w:r>
        <w:rPr>
          <w:rFonts w:hint="default" w:ascii="Times New Roman" w:hAnsi="Times New Roman" w:cs="Times New Roman"/>
          <w:szCs w:val="21"/>
          <w:lang w:bidi="ar"/>
        </w:rPr>
        <w:t>mL</w:t>
      </w:r>
      <w:r>
        <w:rPr>
          <w:rFonts w:hint="eastAsia" w:ascii="宋体" w:hAnsi="宋体" w:cs="宋体"/>
          <w:szCs w:val="21"/>
          <w:lang w:bidi="ar"/>
        </w:rPr>
        <w:t xml:space="preserve">、1.0 </w:t>
      </w:r>
      <w:r>
        <w:rPr>
          <w:rFonts w:hint="default" w:ascii="Times New Roman" w:hAnsi="Times New Roman" w:cs="Times New Roman"/>
          <w:szCs w:val="21"/>
          <w:lang w:bidi="ar"/>
        </w:rPr>
        <w:t>mL</w:t>
      </w:r>
      <w:r>
        <w:rPr>
          <w:rFonts w:hint="eastAsia" w:ascii="宋体" w:hAnsi="宋体" w:cs="宋体"/>
          <w:szCs w:val="21"/>
          <w:lang w:bidi="ar"/>
        </w:rPr>
        <w:t xml:space="preserve">、1.5 </w:t>
      </w:r>
      <w:r>
        <w:rPr>
          <w:rFonts w:hint="default" w:ascii="Times New Roman" w:hAnsi="Times New Roman" w:cs="Times New Roman"/>
          <w:szCs w:val="21"/>
          <w:lang w:bidi="ar"/>
        </w:rPr>
        <w:t>mL</w:t>
      </w:r>
      <w:r>
        <w:rPr>
          <w:rFonts w:hint="eastAsia" w:ascii="宋体" w:hAnsi="宋体" w:cs="宋体"/>
          <w:szCs w:val="21"/>
          <w:lang w:bidi="ar"/>
        </w:rPr>
        <w:t xml:space="preserve">和2.0 </w:t>
      </w:r>
      <w:r>
        <w:rPr>
          <w:rFonts w:hint="default" w:ascii="Times New Roman" w:hAnsi="Times New Roman" w:cs="Times New Roman"/>
          <w:szCs w:val="21"/>
          <w:lang w:bidi="ar"/>
        </w:rPr>
        <w:t>mL</w:t>
      </w:r>
      <w:r>
        <w:rPr>
          <w:rFonts w:hint="eastAsia" w:ascii="宋体" w:hAnsi="宋体" w:cs="宋体"/>
          <w:szCs w:val="21"/>
          <w:lang w:bidi="ar"/>
        </w:rPr>
        <w:t xml:space="preserve"> </w:t>
      </w:r>
      <w:r>
        <w:rPr>
          <w:rFonts w:hint="eastAsia" w:ascii="宋体" w:hAnsi="宋体" w:cs="宋体"/>
          <w:lang w:bidi="ar"/>
        </w:rPr>
        <w:t>4-氯邻甲酚</w:t>
      </w:r>
      <w:r>
        <w:rPr>
          <w:rFonts w:hint="eastAsia" w:ascii="宋体" w:hAnsi="宋体" w:cs="宋体"/>
          <w:szCs w:val="21"/>
          <w:lang w:bidi="ar"/>
        </w:rPr>
        <w:t xml:space="preserve">标准溶液，加入7个具塞量筒中，用乙醇将其补加到10 </w:t>
      </w:r>
      <w:r>
        <w:rPr>
          <w:rFonts w:hint="default" w:ascii="Times New Roman" w:hAnsi="Times New Roman" w:cs="Times New Roman"/>
          <w:szCs w:val="21"/>
          <w:lang w:bidi="ar"/>
        </w:rPr>
        <w:t>mL</w:t>
      </w:r>
      <w:r>
        <w:rPr>
          <w:rFonts w:hint="eastAsia" w:ascii="宋体" w:hAnsi="宋体" w:cs="宋体"/>
          <w:szCs w:val="21"/>
          <w:lang w:bidi="ar"/>
        </w:rPr>
        <w:t>，再依次加入5</w:t>
      </w:r>
      <w:r>
        <w:rPr>
          <w:rFonts w:hint="default" w:ascii="Times New Roman" w:hAnsi="Times New Roman" w:cs="Times New Roman"/>
          <w:szCs w:val="21"/>
          <w:lang w:bidi="ar"/>
        </w:rPr>
        <w:t xml:space="preserve"> mL</w:t>
      </w:r>
      <w:r>
        <w:rPr>
          <w:rFonts w:hint="eastAsia" w:ascii="宋体" w:hAnsi="宋体" w:cs="宋体"/>
          <w:szCs w:val="21"/>
          <w:lang w:bidi="ar"/>
        </w:rPr>
        <w:t xml:space="preserve">异丙醇、5 </w:t>
      </w:r>
      <w:r>
        <w:rPr>
          <w:rFonts w:hint="default" w:ascii="Times New Roman" w:hAnsi="Times New Roman" w:cs="Times New Roman"/>
          <w:szCs w:val="21"/>
          <w:lang w:bidi="ar"/>
        </w:rPr>
        <w:t>mL</w:t>
      </w:r>
      <w:r>
        <w:rPr>
          <w:rFonts w:hint="eastAsia" w:ascii="宋体" w:hAnsi="宋体" w:cs="宋体"/>
          <w:szCs w:val="21"/>
          <w:lang w:bidi="ar"/>
        </w:rPr>
        <w:t xml:space="preserve">氨溶液、5 </w:t>
      </w:r>
      <w:r>
        <w:rPr>
          <w:rFonts w:hint="default" w:ascii="Times New Roman" w:hAnsi="Times New Roman" w:cs="Times New Roman"/>
          <w:szCs w:val="21"/>
          <w:lang w:bidi="ar"/>
        </w:rPr>
        <w:t>mL</w:t>
      </w:r>
      <w:r>
        <w:rPr>
          <w:rFonts w:hint="eastAsia" w:ascii="宋体" w:hAnsi="宋体" w:cs="宋体"/>
          <w:szCs w:val="21"/>
          <w:lang w:bidi="ar"/>
        </w:rPr>
        <w:t xml:space="preserve"> 4-氨基安替比林水溶液和5 </w:t>
      </w:r>
      <w:r>
        <w:rPr>
          <w:rFonts w:hint="default" w:ascii="Times New Roman" w:hAnsi="Times New Roman" w:cs="Times New Roman"/>
          <w:szCs w:val="21"/>
          <w:lang w:bidi="ar"/>
        </w:rPr>
        <w:t>mL</w:t>
      </w:r>
      <w:r>
        <w:rPr>
          <w:rFonts w:hint="eastAsia" w:ascii="宋体" w:hAnsi="宋体" w:cs="宋体"/>
          <w:szCs w:val="21"/>
          <w:lang w:bidi="ar"/>
        </w:rPr>
        <w:t xml:space="preserve">铁氰化钾水溶液。每加一次都需摇匀，最后一次激烈摇动1 </w:t>
      </w:r>
      <w:r>
        <w:rPr>
          <w:rFonts w:hint="default" w:ascii="Times New Roman" w:hAnsi="Times New Roman" w:cs="Times New Roman"/>
          <w:szCs w:val="21"/>
          <w:lang w:bidi="ar"/>
        </w:rPr>
        <w:t>min</w:t>
      </w:r>
      <w:r>
        <w:rPr>
          <w:rFonts w:hint="eastAsia" w:ascii="宋体" w:hAnsi="宋体" w:cs="宋体"/>
          <w:szCs w:val="21"/>
          <w:lang w:bidi="ar"/>
        </w:rPr>
        <w:t xml:space="preserve">，静置5 </w:t>
      </w:r>
      <w:r>
        <w:rPr>
          <w:rFonts w:hint="default" w:ascii="Times New Roman" w:hAnsi="Times New Roman" w:cs="Times New Roman"/>
          <w:szCs w:val="21"/>
          <w:lang w:bidi="ar"/>
        </w:rPr>
        <w:t>min</w:t>
      </w:r>
      <w:r>
        <w:rPr>
          <w:rFonts w:hint="eastAsia" w:ascii="Times New Roman" w:hAnsi="Times New Roman" w:cs="Times New Roman"/>
          <w:szCs w:val="21"/>
          <w:lang w:val="en-US" w:eastAsia="zh-CN" w:bidi="ar"/>
        </w:rPr>
        <w:t>~</w:t>
      </w:r>
      <w:r>
        <w:rPr>
          <w:rFonts w:hint="eastAsia" w:ascii="宋体" w:hAnsi="宋体" w:cs="宋体"/>
          <w:szCs w:val="21"/>
          <w:lang w:bidi="ar"/>
        </w:rPr>
        <w:t xml:space="preserve">10 </w:t>
      </w:r>
      <w:r>
        <w:rPr>
          <w:rFonts w:hint="default" w:ascii="Times New Roman" w:hAnsi="Times New Roman" w:cs="Times New Roman"/>
          <w:szCs w:val="21"/>
          <w:lang w:bidi="ar"/>
        </w:rPr>
        <w:t>min</w:t>
      </w:r>
      <w:r>
        <w:rPr>
          <w:rFonts w:hint="eastAsia" w:ascii="宋体" w:hAnsi="宋体" w:cs="宋体"/>
          <w:szCs w:val="21"/>
          <w:lang w:bidi="ar"/>
        </w:rPr>
        <w:t xml:space="preserve">后，立即使用1 </w:t>
      </w:r>
      <w:r>
        <w:rPr>
          <w:rFonts w:hint="default" w:ascii="Times New Roman" w:hAnsi="Times New Roman" w:cs="Times New Roman"/>
          <w:szCs w:val="21"/>
          <w:lang w:bidi="ar"/>
        </w:rPr>
        <w:t>cm</w:t>
      </w:r>
      <w:r>
        <w:rPr>
          <w:rFonts w:hint="eastAsia" w:ascii="宋体" w:hAnsi="宋体" w:cs="宋体"/>
          <w:szCs w:val="21"/>
          <w:lang w:bidi="ar"/>
        </w:rPr>
        <w:t xml:space="preserve">比色皿，以乙醇异丙醇水溶液为参比，于520 </w:t>
      </w:r>
      <w:r>
        <w:rPr>
          <w:rFonts w:hint="default" w:ascii="Times New Roman" w:hAnsi="Times New Roman" w:cs="Times New Roman"/>
          <w:szCs w:val="21"/>
          <w:lang w:bidi="ar"/>
        </w:rPr>
        <w:t>nm</w:t>
      </w:r>
      <w:r>
        <w:rPr>
          <w:rFonts w:hint="eastAsia" w:ascii="宋体" w:hAnsi="宋体" w:cs="宋体"/>
          <w:szCs w:val="21"/>
          <w:lang w:bidi="ar"/>
        </w:rPr>
        <w:t>下测定其吸光度。</w:t>
      </w:r>
    </w:p>
    <w:p w14:paraId="1AC14024">
      <w:pPr>
        <w:ind w:firstLine="403" w:firstLineChars="192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  <w:lang w:bidi="ar"/>
        </w:rPr>
        <w:t xml:space="preserve">吸取10 </w:t>
      </w:r>
      <w:r>
        <w:rPr>
          <w:rFonts w:hint="default" w:ascii="Times New Roman" w:hAnsi="Times New Roman" w:cs="Times New Roman"/>
          <w:szCs w:val="21"/>
          <w:lang w:bidi="ar"/>
        </w:rPr>
        <w:t>mL</w:t>
      </w:r>
      <w:r>
        <w:rPr>
          <w:rFonts w:hint="eastAsia" w:ascii="宋体" w:hAnsi="宋体" w:cs="宋体"/>
          <w:szCs w:val="21"/>
          <w:lang w:bidi="ar"/>
        </w:rPr>
        <w:t>乙醇，按上述操作步骤加入各溶液，测定试剂空白的吸光度。</w:t>
      </w:r>
    </w:p>
    <w:p w14:paraId="02C66D17">
      <w:pPr>
        <w:widowControl/>
        <w:ind w:firstLine="315" w:firstLineChars="150"/>
        <w:jc w:val="left"/>
        <w:rPr>
          <w:szCs w:val="21"/>
          <w:lang w:bidi="ar"/>
        </w:rPr>
      </w:pPr>
      <w:r>
        <w:rPr>
          <w:rFonts w:hint="eastAsia"/>
          <w:szCs w:val="21"/>
          <w:lang w:bidi="ar"/>
        </w:rPr>
        <w:t>从酚标准溶液测得的吸光度减去空白的吸光度，对相应的酚溶液体积作图，得校正曲线。</w:t>
      </w:r>
    </w:p>
    <w:p w14:paraId="1153ADD3">
      <w:pPr>
        <w:pStyle w:val="51"/>
        <w:spacing w:before="156" w:after="156"/>
        <w:rPr>
          <w:sz w:val="21"/>
          <w:szCs w:val="21"/>
        </w:rPr>
      </w:pPr>
      <w:r>
        <w:rPr>
          <w:rFonts w:hint="eastAsia"/>
          <w:sz w:val="21"/>
          <w:szCs w:val="21"/>
        </w:rPr>
        <w:t>测定</w:t>
      </w:r>
    </w:p>
    <w:p w14:paraId="52404069">
      <w:pPr>
        <w:pStyle w:val="30"/>
        <w:widowControl/>
        <w:tabs>
          <w:tab w:val="center" w:pos="4201"/>
          <w:tab w:val="right" w:leader="dot" w:pos="9298"/>
        </w:tabs>
        <w:autoSpaceDE w:val="0"/>
        <w:autoSpaceDN w:val="0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kern w:val="0"/>
          <w:sz w:val="21"/>
          <w:szCs w:val="21"/>
          <w:lang w:bidi="ar"/>
        </w:rPr>
        <w:t>称取</w:t>
      </w:r>
      <w:r>
        <w:rPr>
          <w:rFonts w:hint="eastAsia" w:ascii="宋体" w:hAnsi="宋体" w:cs="宋体"/>
          <w:kern w:val="0"/>
          <w:sz w:val="21"/>
          <w:szCs w:val="21"/>
          <w:lang w:val="en-US" w:eastAsia="zh-CN" w:bidi="ar"/>
        </w:rPr>
        <w:t>0.5</w:t>
      </w:r>
      <w:r>
        <w:rPr>
          <w:rFonts w:hint="eastAsia" w:ascii="宋体" w:hAnsi="宋体" w:cs="宋体"/>
          <w:kern w:val="0"/>
          <w:sz w:val="21"/>
          <w:szCs w:val="21"/>
          <w:lang w:bidi="ar"/>
        </w:rPr>
        <w:t xml:space="preserve"> </w:t>
      </w:r>
      <w:r>
        <w:rPr>
          <w:rFonts w:hint="default" w:ascii="Times New Roman" w:hAnsi="Times New Roman" w:cs="Times New Roman"/>
          <w:kern w:val="0"/>
          <w:sz w:val="21"/>
          <w:szCs w:val="21"/>
          <w:lang w:bidi="ar"/>
        </w:rPr>
        <w:t>g</w:t>
      </w:r>
      <w:r>
        <w:rPr>
          <w:rFonts w:hint="eastAsia" w:ascii="宋体" w:hAnsi="宋体" w:cs="宋体"/>
          <w:kern w:val="0"/>
          <w:sz w:val="21"/>
          <w:szCs w:val="21"/>
          <w:lang w:bidi="ar"/>
        </w:rPr>
        <w:t xml:space="preserve">（精确至0.000 1 </w:t>
      </w:r>
      <w:r>
        <w:rPr>
          <w:rFonts w:hint="default" w:ascii="Times New Roman" w:hAnsi="Times New Roman" w:cs="Times New Roman"/>
          <w:kern w:val="0"/>
          <w:sz w:val="21"/>
          <w:szCs w:val="21"/>
          <w:lang w:bidi="ar"/>
        </w:rPr>
        <w:t>g</w:t>
      </w:r>
      <w:r>
        <w:rPr>
          <w:rFonts w:hint="eastAsia" w:ascii="宋体" w:hAnsi="宋体" w:cs="宋体"/>
          <w:kern w:val="0"/>
          <w:sz w:val="21"/>
          <w:szCs w:val="21"/>
          <w:lang w:bidi="ar"/>
        </w:rPr>
        <w:t>）的试样置于</w:t>
      </w:r>
      <w:r>
        <w:rPr>
          <w:rFonts w:hint="eastAsia" w:ascii="宋体" w:hAnsi="宋体" w:cs="宋体"/>
          <w:kern w:val="0"/>
          <w:sz w:val="21"/>
          <w:szCs w:val="21"/>
          <w:lang w:val="en-US" w:eastAsia="zh-CN" w:bidi="ar"/>
        </w:rPr>
        <w:t>5</w:t>
      </w:r>
      <w:r>
        <w:rPr>
          <w:rFonts w:hint="eastAsia" w:ascii="宋体" w:hAnsi="宋体" w:cs="宋体"/>
          <w:kern w:val="0"/>
          <w:sz w:val="21"/>
          <w:szCs w:val="21"/>
          <w:lang w:bidi="ar"/>
        </w:rPr>
        <w:t xml:space="preserve">0 </w:t>
      </w:r>
      <w:r>
        <w:rPr>
          <w:rFonts w:hint="default" w:ascii="Times New Roman" w:hAnsi="Times New Roman" w:cs="Times New Roman"/>
          <w:kern w:val="0"/>
          <w:sz w:val="21"/>
          <w:szCs w:val="21"/>
          <w:lang w:bidi="ar"/>
        </w:rPr>
        <w:t>mL</w:t>
      </w:r>
      <w:r>
        <w:rPr>
          <w:rFonts w:hint="eastAsia" w:ascii="宋体" w:hAnsi="宋体" w:cs="宋体"/>
          <w:kern w:val="0"/>
          <w:sz w:val="21"/>
          <w:szCs w:val="21"/>
          <w:lang w:bidi="ar"/>
        </w:rPr>
        <w:t xml:space="preserve">容量瓶中，加入10 </w:t>
      </w:r>
      <w:r>
        <w:rPr>
          <w:rFonts w:hint="default" w:ascii="Times New Roman" w:hAnsi="Times New Roman" w:cs="Times New Roman"/>
          <w:kern w:val="0"/>
          <w:sz w:val="21"/>
          <w:szCs w:val="21"/>
          <w:lang w:bidi="ar"/>
        </w:rPr>
        <w:t>mL</w:t>
      </w:r>
      <w:r>
        <w:rPr>
          <w:rFonts w:hint="eastAsia" w:ascii="宋体" w:hAnsi="宋体" w:cs="宋体"/>
          <w:kern w:val="0"/>
          <w:sz w:val="21"/>
          <w:szCs w:val="21"/>
          <w:lang w:bidi="ar"/>
        </w:rPr>
        <w:t xml:space="preserve">乙醇使之溶解，用乙醇稀释至刻线，摇匀，过滤。用移液器移取10 </w:t>
      </w:r>
      <w:r>
        <w:rPr>
          <w:rFonts w:hint="default" w:ascii="Times New Roman" w:hAnsi="Times New Roman" w:cs="Times New Roman"/>
          <w:kern w:val="0"/>
          <w:sz w:val="21"/>
          <w:szCs w:val="21"/>
          <w:lang w:bidi="ar"/>
        </w:rPr>
        <w:t>mL</w:t>
      </w:r>
      <w:r>
        <w:rPr>
          <w:rFonts w:hint="eastAsia" w:ascii="宋体" w:hAnsi="宋体" w:cs="宋体"/>
          <w:kern w:val="0"/>
          <w:sz w:val="21"/>
          <w:szCs w:val="21"/>
          <w:lang w:bidi="ar"/>
        </w:rPr>
        <w:t xml:space="preserve">试样溶液于具塞量筒中，再依次加入5 </w:t>
      </w:r>
      <w:r>
        <w:rPr>
          <w:rFonts w:hint="default" w:ascii="Times New Roman" w:hAnsi="Times New Roman" w:cs="Times New Roman"/>
          <w:kern w:val="0"/>
          <w:sz w:val="21"/>
          <w:szCs w:val="21"/>
          <w:lang w:bidi="ar"/>
        </w:rPr>
        <w:t>mL</w:t>
      </w:r>
      <w:r>
        <w:rPr>
          <w:rFonts w:hint="eastAsia" w:ascii="宋体" w:hAnsi="宋体" w:cs="宋体"/>
          <w:kern w:val="0"/>
          <w:sz w:val="21"/>
          <w:szCs w:val="21"/>
          <w:lang w:bidi="ar"/>
        </w:rPr>
        <w:t>异丙醇</w:t>
      </w:r>
      <w:r>
        <w:rPr>
          <w:rFonts w:hint="eastAsia" w:ascii="宋体" w:hAnsi="宋体" w:cs="宋体"/>
          <w:szCs w:val="21"/>
          <w:lang w:bidi="ar"/>
        </w:rPr>
        <w:t>、</w:t>
      </w:r>
      <w:r>
        <w:rPr>
          <w:rFonts w:hint="eastAsia" w:ascii="宋体" w:hAnsi="宋体" w:cs="宋体"/>
          <w:kern w:val="0"/>
          <w:sz w:val="21"/>
          <w:szCs w:val="21"/>
          <w:lang w:bidi="ar"/>
        </w:rPr>
        <w:t xml:space="preserve">5 </w:t>
      </w:r>
      <w:r>
        <w:rPr>
          <w:rFonts w:hint="default" w:ascii="Times New Roman" w:hAnsi="Times New Roman" w:cs="Times New Roman"/>
          <w:kern w:val="0"/>
          <w:sz w:val="21"/>
          <w:szCs w:val="21"/>
          <w:lang w:bidi="ar"/>
        </w:rPr>
        <w:t>mL</w:t>
      </w:r>
      <w:r>
        <w:rPr>
          <w:rFonts w:hint="eastAsia" w:ascii="宋体" w:hAnsi="宋体" w:cs="宋体"/>
          <w:kern w:val="0"/>
          <w:sz w:val="21"/>
          <w:szCs w:val="21"/>
          <w:lang w:bidi="ar"/>
        </w:rPr>
        <w:t xml:space="preserve">氨溶液、5 </w:t>
      </w:r>
      <w:r>
        <w:rPr>
          <w:rFonts w:hint="default" w:ascii="Times New Roman" w:hAnsi="Times New Roman" w:cs="Times New Roman"/>
          <w:kern w:val="0"/>
          <w:sz w:val="21"/>
          <w:szCs w:val="21"/>
          <w:lang w:bidi="ar"/>
        </w:rPr>
        <w:t>mL</w:t>
      </w:r>
      <w:r>
        <w:rPr>
          <w:rFonts w:hint="eastAsia" w:ascii="宋体" w:hAnsi="宋体" w:cs="宋体"/>
          <w:kern w:val="0"/>
          <w:sz w:val="21"/>
          <w:szCs w:val="21"/>
          <w:lang w:bidi="ar"/>
        </w:rPr>
        <w:t xml:space="preserve"> 4-氨基安替比林水溶液和5 </w:t>
      </w:r>
      <w:r>
        <w:rPr>
          <w:rFonts w:hint="default" w:ascii="Times New Roman" w:hAnsi="Times New Roman" w:cs="Times New Roman"/>
          <w:kern w:val="0"/>
          <w:sz w:val="21"/>
          <w:szCs w:val="21"/>
          <w:lang w:bidi="ar"/>
        </w:rPr>
        <w:t>mL</w:t>
      </w:r>
      <w:r>
        <w:rPr>
          <w:rFonts w:hint="eastAsia" w:ascii="宋体" w:hAnsi="宋体" w:cs="宋体"/>
          <w:kern w:val="0"/>
          <w:sz w:val="21"/>
          <w:szCs w:val="21"/>
          <w:lang w:bidi="ar"/>
        </w:rPr>
        <w:t xml:space="preserve">铁氰化钾水溶液。每加一次都需摇匀，最后一次激烈摇动 1 min，静置5 </w:t>
      </w:r>
      <w:r>
        <w:rPr>
          <w:rFonts w:hint="default" w:ascii="Times New Roman" w:hAnsi="Times New Roman" w:cs="Times New Roman"/>
          <w:kern w:val="0"/>
          <w:sz w:val="21"/>
          <w:szCs w:val="21"/>
          <w:lang w:bidi="ar"/>
        </w:rPr>
        <w:t>min</w:t>
      </w:r>
      <w:r>
        <w:rPr>
          <w:kern w:val="0"/>
          <w:sz w:val="21"/>
          <w:szCs w:val="21"/>
          <w:lang w:bidi="ar"/>
        </w:rPr>
        <w:t>~</w:t>
      </w:r>
      <w:r>
        <w:rPr>
          <w:rFonts w:hint="eastAsia" w:ascii="宋体" w:hAnsi="宋体" w:cs="宋体"/>
          <w:kern w:val="0"/>
          <w:sz w:val="21"/>
          <w:szCs w:val="21"/>
          <w:lang w:bidi="ar"/>
        </w:rPr>
        <w:t xml:space="preserve">10 </w:t>
      </w:r>
      <w:r>
        <w:rPr>
          <w:rFonts w:hint="default" w:ascii="Times New Roman" w:hAnsi="Times New Roman" w:cs="Times New Roman"/>
          <w:kern w:val="0"/>
          <w:sz w:val="21"/>
          <w:szCs w:val="21"/>
          <w:lang w:bidi="ar"/>
        </w:rPr>
        <w:t>min</w:t>
      </w:r>
      <w:r>
        <w:rPr>
          <w:rFonts w:hint="eastAsia" w:ascii="宋体" w:hAnsi="宋体" w:cs="宋体"/>
          <w:kern w:val="0"/>
          <w:sz w:val="21"/>
          <w:szCs w:val="21"/>
          <w:lang w:bidi="ar"/>
        </w:rPr>
        <w:t xml:space="preserve">后，立即使用1 </w:t>
      </w:r>
      <w:r>
        <w:rPr>
          <w:rFonts w:hint="default" w:ascii="Times New Roman" w:hAnsi="Times New Roman" w:cs="Times New Roman"/>
          <w:kern w:val="0"/>
          <w:sz w:val="21"/>
          <w:szCs w:val="21"/>
          <w:lang w:bidi="ar"/>
        </w:rPr>
        <w:t>cm</w:t>
      </w:r>
      <w:r>
        <w:rPr>
          <w:rFonts w:hint="eastAsia" w:ascii="宋体" w:hAnsi="宋体" w:cs="宋体"/>
          <w:kern w:val="0"/>
          <w:sz w:val="21"/>
          <w:szCs w:val="21"/>
          <w:lang w:bidi="ar"/>
        </w:rPr>
        <w:t xml:space="preserve">比色皿，以乙醇异丙醇水溶液为参比，于520 </w:t>
      </w:r>
      <w:r>
        <w:rPr>
          <w:rFonts w:hint="default" w:ascii="Times New Roman" w:hAnsi="Times New Roman" w:cs="Times New Roman"/>
          <w:kern w:val="0"/>
          <w:sz w:val="21"/>
          <w:szCs w:val="21"/>
          <w:lang w:bidi="ar"/>
        </w:rPr>
        <w:t>nm</w:t>
      </w:r>
      <w:r>
        <w:rPr>
          <w:rFonts w:hint="eastAsia" w:ascii="宋体" w:hAnsi="宋体" w:cs="宋体"/>
          <w:kern w:val="0"/>
          <w:sz w:val="21"/>
          <w:szCs w:val="21"/>
          <w:lang w:bidi="ar"/>
        </w:rPr>
        <w:t>下测定其吸光度，减去空白的吸光度。由校正曲线查出该吸光度对应于酚标准溶液的体积(</w:t>
      </w:r>
      <w:r>
        <w:rPr>
          <w:rFonts w:hint="default" w:ascii="Times New Roman" w:hAnsi="Times New Roman" w:cs="Times New Roman"/>
          <w:kern w:val="0"/>
          <w:sz w:val="21"/>
          <w:szCs w:val="21"/>
          <w:lang w:bidi="ar"/>
        </w:rPr>
        <w:t>mL</w:t>
      </w:r>
      <w:r>
        <w:rPr>
          <w:rFonts w:hint="eastAsia" w:ascii="宋体" w:hAnsi="宋体" w:cs="宋体"/>
          <w:kern w:val="0"/>
          <w:sz w:val="21"/>
          <w:szCs w:val="21"/>
          <w:lang w:bidi="ar"/>
        </w:rPr>
        <w:t>)。</w:t>
      </w:r>
    </w:p>
    <w:p w14:paraId="05F3D4F0">
      <w:pPr>
        <w:pStyle w:val="4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/>
        <w:textAlignment w:val="auto"/>
        <w:rPr>
          <w:sz w:val="21"/>
          <w:szCs w:val="21"/>
        </w:rPr>
      </w:pPr>
      <w:r>
        <w:rPr>
          <w:rFonts w:hint="eastAsia"/>
          <w:sz w:val="21"/>
          <w:szCs w:val="21"/>
        </w:rPr>
        <w:t>计算</w:t>
      </w:r>
    </w:p>
    <w:p w14:paraId="763CB807">
      <w:pPr>
        <w:pStyle w:val="30"/>
        <w:widowControl/>
        <w:tabs>
          <w:tab w:val="center" w:pos="4201"/>
          <w:tab w:val="right" w:leader="dot" w:pos="9298"/>
        </w:tabs>
        <w:autoSpaceDE w:val="0"/>
        <w:autoSpaceDN w:val="0"/>
        <w:ind w:firstLine="420" w:firstLineChars="200"/>
        <w:rPr>
          <w:szCs w:val="21"/>
        </w:rPr>
      </w:pPr>
      <w:r>
        <w:rPr>
          <w:rFonts w:hint="eastAsia" w:ascii="宋体"/>
          <w:kern w:val="0"/>
          <w:sz w:val="21"/>
          <w:szCs w:val="20"/>
          <w:lang w:bidi="ar"/>
        </w:rPr>
        <w:t>试样中</w:t>
      </w:r>
      <w:r>
        <w:rPr>
          <w:rFonts w:hint="eastAsia"/>
          <w:kern w:val="0"/>
          <w:sz w:val="21"/>
          <w:szCs w:val="21"/>
          <w:lang w:bidi="ar"/>
        </w:rPr>
        <w:t>的游离酚质量分数按式</w:t>
      </w:r>
      <w:r>
        <w:rPr>
          <w:kern w:val="0"/>
          <w:sz w:val="21"/>
          <w:szCs w:val="21"/>
          <w:lang w:bidi="ar"/>
        </w:rPr>
        <w:t>(</w:t>
      </w:r>
      <w:r>
        <w:rPr>
          <w:rFonts w:hint="eastAsia"/>
          <w:kern w:val="0"/>
          <w:sz w:val="21"/>
          <w:szCs w:val="21"/>
          <w:lang w:val="en-US" w:eastAsia="zh-CN" w:bidi="ar"/>
        </w:rPr>
        <w:t>3</w:t>
      </w:r>
      <w:r>
        <w:rPr>
          <w:kern w:val="0"/>
          <w:sz w:val="21"/>
          <w:szCs w:val="21"/>
          <w:lang w:bidi="ar"/>
        </w:rPr>
        <w:t>)</w:t>
      </w:r>
      <w:r>
        <w:rPr>
          <w:rFonts w:hint="eastAsia"/>
          <w:kern w:val="0"/>
          <w:sz w:val="21"/>
          <w:szCs w:val="21"/>
          <w:lang w:bidi="ar"/>
        </w:rPr>
        <w:t>计算：</w:t>
      </w:r>
    </w:p>
    <w:p w14:paraId="126CD144">
      <w:pPr>
        <w:pStyle w:val="30"/>
        <w:widowControl/>
        <w:tabs>
          <w:tab w:val="center" w:pos="4201"/>
          <w:tab w:val="right" w:leader="dot" w:pos="9298"/>
        </w:tabs>
        <w:autoSpaceDE w:val="0"/>
        <w:autoSpaceDN w:val="0"/>
        <w:ind w:firstLine="420" w:firstLineChars="200"/>
        <w:jc w:val="right"/>
      </w:pPr>
      <w:r>
        <w:rPr>
          <w:rFonts w:hint="eastAsia" w:ascii="宋体"/>
          <w:kern w:val="0"/>
          <w:position w:val="-30"/>
          <w:sz w:val="21"/>
          <w:szCs w:val="20"/>
          <w:lang w:bidi="ar"/>
        </w:rPr>
        <w:object>
          <v:shape id="_x0000_i1028" o:spt="75" alt="" type="#_x0000_t75" style="height:34pt;width:278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20">
            <o:LockedField>false</o:LockedField>
          </o:OLEObject>
        </w:object>
      </w:r>
    </w:p>
    <w:p w14:paraId="73A4E6C1">
      <w:pPr>
        <w:pStyle w:val="30"/>
        <w:widowControl/>
        <w:tabs>
          <w:tab w:val="center" w:pos="4201"/>
          <w:tab w:val="right" w:leader="dot" w:pos="9298"/>
        </w:tabs>
        <w:autoSpaceDE w:val="0"/>
        <w:autoSpaceDN w:val="0"/>
        <w:ind w:firstLine="420" w:firstLineChars="200"/>
      </w:pPr>
      <w:r>
        <w:rPr>
          <w:rFonts w:hint="eastAsia" w:ascii="宋体"/>
          <w:kern w:val="0"/>
          <w:sz w:val="21"/>
          <w:szCs w:val="20"/>
          <w:lang w:bidi="ar"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>
                <wp:simplePos x="0" y="0"/>
                <wp:positionH relativeFrom="column">
                  <wp:posOffset>400050</wp:posOffset>
                </wp:positionH>
                <wp:positionV relativeFrom="paragraph">
                  <wp:posOffset>46355</wp:posOffset>
                </wp:positionV>
                <wp:extent cx="635" cy="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1.5pt;margin-top:3.65pt;height:0pt;width:0.05pt;z-index:251664384;mso-width-relative:page;mso-height-relative:page;" filled="f" stroked="t" coordsize="21600,21600" o:allowincell="f" o:gfxdata="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qgZv6dMAAAAF&#10;AQAADwAAAAAAAAABACAAAAAiAAAAZHJzL2Rvd25yZXYueG1sUEsBAhQAFAAAAAgAh07iQIYmBa/o&#10;AQAA1AMAAA4AAAAAAAAAAQAgAAAAIgEAAGRycy9lMm9Eb2MueG1sUEsFBgAAAAAGAAYAWQEAAHwF&#10;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/>
          <w:kern w:val="0"/>
          <w:sz w:val="21"/>
          <w:szCs w:val="20"/>
          <w:lang w:bidi="ar"/>
        </w:rPr>
        <w:t xml:space="preserve">式中： </w:t>
      </w:r>
    </w:p>
    <w:p w14:paraId="18357E24">
      <w:pPr>
        <w:pStyle w:val="30"/>
        <w:widowControl/>
        <w:tabs>
          <w:tab w:val="center" w:pos="4201"/>
          <w:tab w:val="right" w:leader="dot" w:pos="9298"/>
        </w:tabs>
        <w:autoSpaceDE w:val="0"/>
        <w:autoSpaceDN w:val="0"/>
        <w:ind w:firstLine="420" w:firstLineChars="200"/>
        <w:rPr>
          <w:i/>
          <w:szCs w:val="21"/>
        </w:rPr>
      </w:pPr>
      <w:r>
        <w:rPr>
          <w:rFonts w:cs="Symbol"/>
          <w:i/>
          <w:kern w:val="0"/>
          <w:sz w:val="21"/>
          <w:szCs w:val="21"/>
          <w:lang w:bidi="ar"/>
        </w:rPr>
        <w:sym w:font="Symbol" w:char="0077"/>
      </w:r>
      <w:r>
        <w:rPr>
          <w:rFonts w:cs="Symbol"/>
          <w:kern w:val="0"/>
          <w:sz w:val="21"/>
          <w:szCs w:val="21"/>
          <w:vertAlign w:val="subscript"/>
          <w:lang w:bidi="ar"/>
        </w:rPr>
        <w:t>1</w:t>
      </w:r>
      <w:r>
        <w:rPr>
          <w:rFonts w:hint="eastAsia" w:ascii="宋体"/>
          <w:spacing w:val="-60"/>
          <w:kern w:val="0"/>
          <w:sz w:val="21"/>
          <w:szCs w:val="20"/>
          <w:lang w:bidi="ar"/>
        </w:rPr>
        <w:t>—</w:t>
      </w:r>
      <w:r>
        <w:rPr>
          <w:rFonts w:hint="eastAsia" w:ascii="宋体"/>
          <w:kern w:val="0"/>
          <w:sz w:val="21"/>
          <w:szCs w:val="20"/>
          <w:lang w:bidi="ar"/>
        </w:rPr>
        <w:t>—试样中</w:t>
      </w:r>
      <w:r>
        <w:rPr>
          <w:rFonts w:hint="eastAsia"/>
          <w:kern w:val="0"/>
          <w:sz w:val="21"/>
          <w:szCs w:val="21"/>
          <w:lang w:bidi="ar"/>
        </w:rPr>
        <w:t>游离酚</w:t>
      </w:r>
      <w:r>
        <w:rPr>
          <w:rFonts w:hint="eastAsia" w:ascii="宋体"/>
          <w:kern w:val="0"/>
          <w:sz w:val="21"/>
          <w:szCs w:val="20"/>
          <w:lang w:bidi="ar"/>
        </w:rPr>
        <w:t>质量分数，</w:t>
      </w:r>
      <w:r>
        <w:rPr>
          <w:rFonts w:hint="default" w:ascii="Times New Roman" w:hAnsi="Times New Roman" w:cs="Times New Roman"/>
          <w:kern w:val="0"/>
          <w:sz w:val="21"/>
          <w:szCs w:val="20"/>
          <w:lang w:bidi="ar"/>
        </w:rPr>
        <w:t>%</w:t>
      </w:r>
      <w:r>
        <w:rPr>
          <w:rFonts w:hint="eastAsia" w:ascii="宋体"/>
          <w:kern w:val="0"/>
          <w:sz w:val="21"/>
          <w:szCs w:val="20"/>
          <w:lang w:bidi="ar"/>
        </w:rPr>
        <w:t>；</w:t>
      </w:r>
      <w:bookmarkStart w:id="89" w:name="_GoBack"/>
      <w:bookmarkEnd w:id="89"/>
    </w:p>
    <w:p w14:paraId="5734E0A7">
      <w:pPr>
        <w:pStyle w:val="30"/>
        <w:widowControl/>
        <w:tabs>
          <w:tab w:val="center" w:pos="4201"/>
          <w:tab w:val="right" w:leader="dot" w:pos="9298"/>
        </w:tabs>
        <w:autoSpaceDE w:val="0"/>
        <w:autoSpaceDN w:val="0"/>
        <w:ind w:firstLine="420" w:firstLineChars="200"/>
      </w:pPr>
      <w:r>
        <w:rPr>
          <w:i/>
          <w:kern w:val="0"/>
          <w:sz w:val="21"/>
          <w:szCs w:val="21"/>
          <w:lang w:bidi="ar"/>
        </w:rPr>
        <w:t>V</w:t>
      </w:r>
      <w:r>
        <w:rPr>
          <w:rFonts w:hint="eastAsia" w:ascii="宋体"/>
          <w:spacing w:val="-60"/>
          <w:kern w:val="0"/>
          <w:sz w:val="21"/>
          <w:szCs w:val="20"/>
          <w:lang w:bidi="ar"/>
        </w:rPr>
        <w:t>—</w:t>
      </w:r>
      <w:r>
        <w:rPr>
          <w:rFonts w:hint="eastAsia" w:ascii="宋体"/>
          <w:kern w:val="0"/>
          <w:sz w:val="21"/>
          <w:szCs w:val="20"/>
          <w:lang w:bidi="ar"/>
        </w:rPr>
        <w:t>—测得试样吸光度所对应的体积，单位为毫升(</w:t>
      </w:r>
      <w:r>
        <w:rPr>
          <w:rFonts w:hint="default" w:ascii="Times New Roman" w:hAnsi="Times New Roman" w:cs="Times New Roman"/>
          <w:kern w:val="0"/>
          <w:sz w:val="21"/>
          <w:szCs w:val="20"/>
          <w:lang w:bidi="ar"/>
        </w:rPr>
        <w:t>mL</w:t>
      </w:r>
      <w:r>
        <w:rPr>
          <w:rFonts w:hint="eastAsia" w:ascii="宋体"/>
          <w:kern w:val="0"/>
          <w:sz w:val="21"/>
          <w:szCs w:val="20"/>
          <w:lang w:bidi="ar"/>
        </w:rPr>
        <w:t>)；</w:t>
      </w:r>
    </w:p>
    <w:p w14:paraId="229B3BA4">
      <w:pPr>
        <w:pStyle w:val="30"/>
        <w:widowControl/>
        <w:tabs>
          <w:tab w:val="center" w:pos="4201"/>
          <w:tab w:val="right" w:leader="dot" w:pos="9298"/>
        </w:tabs>
        <w:autoSpaceDE w:val="0"/>
        <w:autoSpaceDN w:val="0"/>
        <w:ind w:firstLine="420" w:firstLineChars="200"/>
        <w:rPr>
          <w:szCs w:val="21"/>
        </w:rPr>
      </w:pPr>
      <w:r>
        <w:rPr>
          <w:i/>
          <w:kern w:val="0"/>
          <w:sz w:val="21"/>
          <w:szCs w:val="20"/>
          <w:lang w:bidi="ar"/>
        </w:rPr>
        <w:t>m</w:t>
      </w:r>
      <w:r>
        <w:rPr>
          <w:kern w:val="0"/>
          <w:sz w:val="21"/>
          <w:szCs w:val="20"/>
          <w:vertAlign w:val="subscript"/>
          <w:lang w:bidi="ar"/>
        </w:rPr>
        <w:t>1</w:t>
      </w:r>
      <w:r>
        <w:rPr>
          <w:rFonts w:hint="eastAsia" w:ascii="宋体"/>
          <w:spacing w:val="-60"/>
          <w:kern w:val="0"/>
          <w:sz w:val="21"/>
          <w:szCs w:val="20"/>
          <w:lang w:bidi="ar"/>
        </w:rPr>
        <w:t>—</w:t>
      </w:r>
      <w:r>
        <w:rPr>
          <w:rFonts w:hint="eastAsia" w:ascii="宋体"/>
          <w:kern w:val="0"/>
          <w:sz w:val="21"/>
          <w:szCs w:val="20"/>
          <w:lang w:bidi="ar"/>
        </w:rPr>
        <w:t>—</w:t>
      </w:r>
      <w:r>
        <w:rPr>
          <w:rFonts w:hint="eastAsia" w:ascii="宋体" w:hAnsi="宋体"/>
          <w:kern w:val="0"/>
          <w:sz w:val="21"/>
          <w:szCs w:val="21"/>
          <w:lang w:bidi="ar"/>
        </w:rPr>
        <w:t>4-氯邻甲酚标样的质量</w:t>
      </w:r>
      <w:r>
        <w:rPr>
          <w:rFonts w:hint="eastAsia" w:ascii="宋体" w:hAnsi="宋体"/>
          <w:kern w:val="0"/>
          <w:sz w:val="21"/>
          <w:szCs w:val="21"/>
          <w:lang w:val="en-US" w:eastAsia="zh-CN" w:bidi="ar"/>
        </w:rPr>
        <w:t>的数值</w:t>
      </w:r>
      <w:r>
        <w:rPr>
          <w:rFonts w:hint="eastAsia" w:ascii="宋体" w:hAnsi="宋体"/>
          <w:kern w:val="0"/>
          <w:sz w:val="21"/>
          <w:szCs w:val="21"/>
          <w:lang w:bidi="ar"/>
        </w:rPr>
        <w:t>，</w:t>
      </w:r>
      <w:r>
        <w:rPr>
          <w:rFonts w:hint="eastAsia" w:ascii="宋体"/>
          <w:kern w:val="0"/>
          <w:sz w:val="21"/>
          <w:szCs w:val="20"/>
          <w:lang w:bidi="ar"/>
        </w:rPr>
        <w:t>单位为克(</w:t>
      </w:r>
      <w:r>
        <w:rPr>
          <w:rFonts w:hint="default" w:ascii="Times New Roman" w:hAnsi="Times New Roman" w:cs="Times New Roman"/>
          <w:kern w:val="0"/>
          <w:sz w:val="21"/>
          <w:szCs w:val="20"/>
          <w:lang w:bidi="ar"/>
        </w:rPr>
        <w:t>g</w:t>
      </w:r>
      <w:r>
        <w:rPr>
          <w:rFonts w:hint="eastAsia" w:ascii="宋体"/>
          <w:kern w:val="0"/>
          <w:sz w:val="21"/>
          <w:szCs w:val="20"/>
          <w:lang w:bidi="ar"/>
        </w:rPr>
        <w:t>)</w:t>
      </w:r>
      <w:r>
        <w:rPr>
          <w:rFonts w:hint="eastAsia" w:ascii="宋体"/>
          <w:kern w:val="0"/>
          <w:sz w:val="21"/>
          <w:szCs w:val="21"/>
          <w:lang w:bidi="ar"/>
        </w:rPr>
        <w:t>；</w:t>
      </w:r>
    </w:p>
    <w:p w14:paraId="384BB54E">
      <w:pPr>
        <w:pStyle w:val="30"/>
        <w:widowControl/>
        <w:tabs>
          <w:tab w:val="center" w:pos="4201"/>
          <w:tab w:val="right" w:leader="dot" w:pos="9298"/>
        </w:tabs>
        <w:autoSpaceDE w:val="0"/>
        <w:autoSpaceDN w:val="0"/>
        <w:ind w:firstLine="420" w:firstLineChars="200"/>
        <w:rPr>
          <w:szCs w:val="21"/>
        </w:rPr>
      </w:pPr>
      <w:r>
        <w:rPr>
          <w:rFonts w:ascii="宋体" w:cs="Symbol"/>
          <w:i/>
          <w:kern w:val="0"/>
          <w:sz w:val="21"/>
          <w:szCs w:val="20"/>
          <w:lang w:bidi="ar"/>
        </w:rPr>
        <w:sym w:font="Symbol" w:char="0077"/>
      </w:r>
      <w:r>
        <w:rPr>
          <w:rFonts w:hint="eastAsia" w:ascii="宋体"/>
          <w:spacing w:val="-60"/>
          <w:kern w:val="0"/>
          <w:sz w:val="21"/>
          <w:szCs w:val="20"/>
          <w:lang w:bidi="ar"/>
        </w:rPr>
        <w:t>—</w:t>
      </w:r>
      <w:r>
        <w:rPr>
          <w:rFonts w:hint="eastAsia" w:ascii="宋体"/>
          <w:kern w:val="0"/>
          <w:sz w:val="21"/>
          <w:szCs w:val="20"/>
          <w:lang w:bidi="ar"/>
        </w:rPr>
        <w:t>—</w:t>
      </w:r>
      <w:r>
        <w:rPr>
          <w:rFonts w:hint="eastAsia" w:ascii="宋体" w:hAnsi="宋体"/>
          <w:kern w:val="0"/>
          <w:sz w:val="21"/>
          <w:szCs w:val="21"/>
          <w:lang w:bidi="ar"/>
        </w:rPr>
        <w:t>4-氯邻甲酚标样标样</w:t>
      </w:r>
      <w:r>
        <w:rPr>
          <w:rFonts w:hint="eastAsia" w:ascii="宋体"/>
          <w:kern w:val="0"/>
          <w:sz w:val="21"/>
          <w:szCs w:val="20"/>
          <w:lang w:bidi="ar"/>
        </w:rPr>
        <w:t>的质量分数，以百分数</w:t>
      </w:r>
      <w:r>
        <w:rPr>
          <w:rFonts w:hint="eastAsia" w:ascii="宋体" w:hAnsi="宋体" w:cs="宋体"/>
          <w:kern w:val="0"/>
          <w:sz w:val="21"/>
          <w:szCs w:val="20"/>
          <w:lang w:bidi="ar"/>
        </w:rPr>
        <w:t>（</w:t>
      </w:r>
      <w:r>
        <w:rPr>
          <w:rFonts w:hint="default" w:ascii="Times New Roman" w:hAnsi="Times New Roman" w:cs="Times New Roman"/>
          <w:kern w:val="0"/>
          <w:sz w:val="21"/>
          <w:szCs w:val="20"/>
          <w:lang w:bidi="ar"/>
        </w:rPr>
        <w:t>%</w:t>
      </w:r>
      <w:r>
        <w:rPr>
          <w:rFonts w:hint="eastAsia" w:ascii="宋体" w:hAnsi="宋体" w:cs="宋体"/>
          <w:kern w:val="0"/>
          <w:sz w:val="21"/>
          <w:szCs w:val="20"/>
          <w:lang w:bidi="ar"/>
        </w:rPr>
        <w:t>）</w:t>
      </w:r>
      <w:r>
        <w:rPr>
          <w:rFonts w:hint="eastAsia" w:ascii="宋体"/>
          <w:kern w:val="0"/>
          <w:sz w:val="21"/>
          <w:szCs w:val="20"/>
          <w:lang w:bidi="ar"/>
        </w:rPr>
        <w:t>表示；</w:t>
      </w:r>
    </w:p>
    <w:p w14:paraId="4B774A0D">
      <w:pPr>
        <w:widowControl/>
        <w:ind w:firstLine="420" w:firstLineChars="200"/>
        <w:jc w:val="left"/>
        <w:rPr>
          <w:i/>
          <w:lang w:bidi="ar"/>
        </w:rPr>
      </w:pPr>
      <w:r>
        <w:rPr>
          <w:i/>
          <w:kern w:val="0"/>
          <w:szCs w:val="21"/>
          <w:lang w:bidi="ar"/>
        </w:rPr>
        <w:t>V</w:t>
      </w:r>
      <w:r>
        <w:rPr>
          <w:rFonts w:hint="eastAsia"/>
          <w:iCs/>
          <w:kern w:val="0"/>
          <w:szCs w:val="21"/>
          <w:vertAlign w:val="subscript"/>
          <w:lang w:bidi="ar"/>
        </w:rPr>
        <w:t>1</w:t>
      </w:r>
      <w:r>
        <w:rPr>
          <w:rFonts w:hint="eastAsia" w:ascii="宋体"/>
          <w:spacing w:val="-60"/>
          <w:kern w:val="0"/>
          <w:szCs w:val="20"/>
          <w:lang w:bidi="ar"/>
        </w:rPr>
        <w:t>—</w:t>
      </w:r>
      <w:r>
        <w:rPr>
          <w:rFonts w:hint="eastAsia" w:ascii="宋体"/>
          <w:kern w:val="0"/>
          <w:szCs w:val="20"/>
          <w:lang w:bidi="ar"/>
        </w:rPr>
        <w:t>—配制酚标准溶液的体积，单位为毫升(</w:t>
      </w:r>
      <w:r>
        <w:rPr>
          <w:rFonts w:hint="default" w:ascii="Times New Roman" w:hAnsi="Times New Roman" w:cs="Times New Roman"/>
          <w:kern w:val="0"/>
          <w:szCs w:val="20"/>
          <w:lang w:bidi="ar"/>
        </w:rPr>
        <w:t>mL</w:t>
      </w:r>
      <w:r>
        <w:rPr>
          <w:rFonts w:hint="eastAsia" w:ascii="宋体"/>
          <w:kern w:val="0"/>
          <w:szCs w:val="20"/>
          <w:lang w:bidi="ar"/>
        </w:rPr>
        <w:t>)，本标准中</w:t>
      </w:r>
      <w:r>
        <w:rPr>
          <w:i/>
          <w:kern w:val="0"/>
          <w:szCs w:val="21"/>
          <w:lang w:bidi="ar"/>
        </w:rPr>
        <w:t>V</w:t>
      </w:r>
      <w:r>
        <w:rPr>
          <w:iCs/>
          <w:kern w:val="0"/>
          <w:szCs w:val="21"/>
          <w:vertAlign w:val="subscript"/>
          <w:lang w:bidi="ar"/>
        </w:rPr>
        <w:t>1</w:t>
      </w:r>
      <w:r>
        <w:rPr>
          <w:rFonts w:hint="eastAsia" w:ascii="宋体" w:hAnsi="宋体" w:cs="宋体"/>
          <w:iCs/>
          <w:kern w:val="0"/>
          <w:szCs w:val="21"/>
          <w:lang w:bidi="ar"/>
        </w:rPr>
        <w:t xml:space="preserve">=100 </w:t>
      </w:r>
      <w:r>
        <w:rPr>
          <w:rFonts w:hint="default" w:ascii="Times New Roman" w:hAnsi="Times New Roman" w:cs="Times New Roman"/>
          <w:iCs/>
          <w:kern w:val="0"/>
          <w:szCs w:val="21"/>
          <w:lang w:bidi="ar"/>
        </w:rPr>
        <w:t>mL</w:t>
      </w:r>
      <w:r>
        <w:rPr>
          <w:rFonts w:hint="eastAsia"/>
          <w:iCs/>
          <w:kern w:val="0"/>
          <w:szCs w:val="21"/>
          <w:lang w:bidi="ar"/>
        </w:rPr>
        <w:t>；</w:t>
      </w:r>
    </w:p>
    <w:p w14:paraId="3A60B0F6">
      <w:pPr>
        <w:widowControl/>
        <w:ind w:firstLine="420" w:firstLineChars="200"/>
        <w:jc w:val="left"/>
        <w:rPr>
          <w:rFonts w:hint="eastAsia"/>
          <w:lang w:eastAsia="zh-CN" w:bidi="ar"/>
        </w:rPr>
      </w:pPr>
      <w:r>
        <w:rPr>
          <w:i/>
          <w:lang w:bidi="ar"/>
        </w:rPr>
        <w:t>m</w:t>
      </w:r>
      <w:r>
        <w:rPr>
          <w:rFonts w:hint="eastAsia"/>
          <w:spacing w:val="-60"/>
          <w:lang w:bidi="ar"/>
        </w:rPr>
        <w:t>—</w:t>
      </w:r>
      <w:r>
        <w:rPr>
          <w:rFonts w:hint="eastAsia"/>
          <w:lang w:bidi="ar"/>
        </w:rPr>
        <w:t>—试样的质量</w:t>
      </w:r>
      <w:r>
        <w:rPr>
          <w:rFonts w:hint="eastAsia"/>
          <w:lang w:val="en-US" w:eastAsia="zh-CN" w:bidi="ar"/>
        </w:rPr>
        <w:t>的数值</w:t>
      </w:r>
      <w:r>
        <w:rPr>
          <w:rFonts w:hint="eastAsia"/>
          <w:lang w:bidi="ar"/>
        </w:rPr>
        <w:t>，单位为克</w:t>
      </w:r>
      <w:r>
        <w:rPr>
          <w:rFonts w:hint="eastAsia" w:ascii="宋体" w:hAnsi="宋体" w:cs="宋体"/>
          <w:lang w:bidi="ar"/>
        </w:rPr>
        <w:t>(g)</w:t>
      </w:r>
      <w:r>
        <w:rPr>
          <w:rFonts w:hint="eastAsia"/>
          <w:lang w:eastAsia="zh-CN" w:bidi="ar"/>
        </w:rPr>
        <w:t>；</w:t>
      </w:r>
    </w:p>
    <w:p w14:paraId="63CBBCFE">
      <w:pPr>
        <w:widowControl/>
        <w:ind w:firstLine="420" w:firstLineChars="200"/>
        <w:jc w:val="left"/>
        <w:rPr>
          <w:rFonts w:hint="eastAsia" w:eastAsia="宋体"/>
          <w:lang w:val="en-US" w:eastAsia="zh-CN" w:bidi="ar"/>
        </w:rPr>
      </w:pPr>
      <w:r>
        <w:rPr>
          <w:rFonts w:hint="eastAsia"/>
          <w:lang w:val="en-US" w:eastAsia="zh-CN" w:bidi="ar"/>
        </w:rPr>
        <w:t>5</w:t>
      </w:r>
      <w:r>
        <w:rPr>
          <w:rFonts w:hint="eastAsia"/>
          <w:spacing w:val="-60"/>
          <w:lang w:bidi="ar"/>
        </w:rPr>
        <w:t>—</w:t>
      </w:r>
      <w:r>
        <w:rPr>
          <w:rFonts w:hint="eastAsia"/>
          <w:lang w:bidi="ar"/>
        </w:rPr>
        <w:t>—</w:t>
      </w:r>
      <w:r>
        <w:rPr>
          <w:rFonts w:hint="eastAsia"/>
          <w:lang w:val="en-US" w:eastAsia="zh-CN" w:bidi="ar"/>
        </w:rPr>
        <w:t>换算系数。</w:t>
      </w:r>
    </w:p>
    <w:p w14:paraId="2A7197D9">
      <w:pPr>
        <w:pStyle w:val="4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/>
        <w:textAlignment w:val="auto"/>
        <w:rPr>
          <w:sz w:val="21"/>
          <w:szCs w:val="21"/>
        </w:rPr>
      </w:pPr>
      <w:r>
        <w:rPr>
          <w:rFonts w:hint="eastAsia"/>
          <w:sz w:val="21"/>
          <w:szCs w:val="21"/>
        </w:rPr>
        <w:t>允许差</w:t>
      </w:r>
    </w:p>
    <w:p w14:paraId="62DB2870">
      <w:pPr>
        <w:pStyle w:val="23"/>
        <w:ind w:firstLine="440"/>
        <w:rPr>
          <w:rFonts w:ascii="Times New Roman"/>
          <w:sz w:val="21"/>
          <w:szCs w:val="21"/>
        </w:rPr>
      </w:pPr>
      <w:r>
        <w:rPr>
          <w:rFonts w:hint="eastAsia" w:ascii="Times New Roman"/>
          <w:kern w:val="2"/>
          <w:sz w:val="21"/>
          <w:szCs w:val="21"/>
          <w:lang w:bidi="ar"/>
        </w:rPr>
        <w:t>两次平行测定结果之相对差，应不大于</w:t>
      </w:r>
      <w:r>
        <w:rPr>
          <w:rFonts w:ascii="Times New Roman"/>
          <w:kern w:val="2"/>
          <w:sz w:val="21"/>
          <w:szCs w:val="21"/>
          <w:lang w:bidi="ar"/>
        </w:rPr>
        <w:t>20%</w:t>
      </w:r>
      <w:r>
        <w:rPr>
          <w:rFonts w:hint="eastAsia" w:ascii="Times New Roman"/>
          <w:kern w:val="2"/>
          <w:sz w:val="21"/>
          <w:szCs w:val="21"/>
          <w:lang w:bidi="ar"/>
        </w:rPr>
        <w:t>，取其算术平均值作为测定结果。</w:t>
      </w:r>
    </w:p>
    <w:p w14:paraId="0CAB2AE8">
      <w:pPr>
        <w:pStyle w:val="42"/>
        <w:keepNext w:val="0"/>
        <w:keepLines w:val="0"/>
        <w:pageBreakBefore w:val="0"/>
        <w:widowControl/>
        <w:numPr>
          <w:ilvl w:val="1"/>
          <w:numId w:val="1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afterLines="0" w:line="240" w:lineRule="auto"/>
        <w:textAlignment w:val="auto"/>
        <w:rPr>
          <w:sz w:val="21"/>
          <w:szCs w:val="21"/>
        </w:rPr>
      </w:pPr>
      <w:r>
        <w:rPr>
          <w:rFonts w:hint="eastAsia"/>
          <w:sz w:val="21"/>
          <w:szCs w:val="21"/>
        </w:rPr>
        <w:t>水分</w:t>
      </w:r>
    </w:p>
    <w:p w14:paraId="1D99AE12">
      <w:pPr>
        <w:pStyle w:val="23"/>
        <w:spacing w:line="360" w:lineRule="auto"/>
        <w:ind w:firstLine="440"/>
        <w:rPr>
          <w:rFonts w:ascii="Times New Roman"/>
          <w:sz w:val="21"/>
          <w:szCs w:val="21"/>
        </w:rPr>
      </w:pPr>
      <w:r>
        <w:rPr>
          <w:rFonts w:hint="eastAsia" w:hAnsi="宋体" w:cs="Arial"/>
          <w:sz w:val="21"/>
          <w:szCs w:val="21"/>
        </w:rPr>
        <w:t xml:space="preserve">按 </w:t>
      </w:r>
      <w:r>
        <w:rPr>
          <w:rFonts w:hint="default" w:ascii="Times New Roman" w:hAnsi="Times New Roman" w:cs="Times New Roman"/>
          <w:sz w:val="21"/>
          <w:szCs w:val="21"/>
        </w:rPr>
        <w:t>GB</w:t>
      </w:r>
      <w:r>
        <w:rPr>
          <w:rFonts w:hint="eastAsia" w:hAnsi="宋体" w:cs="Arial"/>
          <w:sz w:val="21"/>
          <w:szCs w:val="21"/>
        </w:rPr>
        <w:t>/</w:t>
      </w:r>
      <w:r>
        <w:rPr>
          <w:rFonts w:hint="default" w:ascii="Times New Roman" w:hAnsi="Times New Roman" w:cs="Times New Roman"/>
          <w:sz w:val="21"/>
          <w:szCs w:val="21"/>
        </w:rPr>
        <w:t>T</w:t>
      </w:r>
      <w:r>
        <w:rPr>
          <w:rFonts w:hint="eastAsia" w:hAnsi="宋体" w:cs="Arial"/>
          <w:sz w:val="21"/>
          <w:szCs w:val="21"/>
        </w:rPr>
        <w:t xml:space="preserve"> 1600-20</w:t>
      </w:r>
      <w:r>
        <w:rPr>
          <w:rFonts w:hAnsi="宋体" w:cs="Arial"/>
          <w:sz w:val="21"/>
          <w:szCs w:val="21"/>
        </w:rPr>
        <w:t>21</w:t>
      </w:r>
      <w:r>
        <w:rPr>
          <w:rFonts w:hint="eastAsia" w:hAnsi="宋体" w:cs="Arial"/>
          <w:sz w:val="21"/>
          <w:szCs w:val="21"/>
        </w:rPr>
        <w:t>中</w:t>
      </w:r>
      <w:r>
        <w:rPr>
          <w:rFonts w:hAnsi="宋体" w:cs="Arial"/>
          <w:sz w:val="21"/>
          <w:szCs w:val="21"/>
        </w:rPr>
        <w:t>4.2</w:t>
      </w:r>
      <w:r>
        <w:rPr>
          <w:rFonts w:hint="eastAsia" w:hAnsi="宋体" w:cs="Arial"/>
          <w:sz w:val="21"/>
          <w:szCs w:val="21"/>
        </w:rPr>
        <w:t>进行。</w:t>
      </w:r>
    </w:p>
    <w:p w14:paraId="2BB7AD53">
      <w:pPr>
        <w:pStyle w:val="42"/>
        <w:keepNext w:val="0"/>
        <w:keepLines w:val="0"/>
        <w:pageBreakBefore w:val="0"/>
        <w:widowControl/>
        <w:numPr>
          <w:ilvl w:val="1"/>
          <w:numId w:val="1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afterLines="0" w:line="240" w:lineRule="auto"/>
        <w:textAlignment w:val="auto"/>
        <w:rPr>
          <w:sz w:val="21"/>
          <w:szCs w:val="21"/>
        </w:rPr>
      </w:pPr>
      <w:bookmarkStart w:id="57" w:name="_Toc458086746"/>
      <w:bookmarkStart w:id="58" w:name="_Toc440293254"/>
      <w:bookmarkStart w:id="59" w:name="_Toc457491884"/>
      <w:r>
        <w:rPr>
          <w:rFonts w:hint="eastAsia"/>
          <w:sz w:val="21"/>
          <w:szCs w:val="21"/>
        </w:rPr>
        <w:t>pH值</w:t>
      </w:r>
      <w:bookmarkEnd w:id="57"/>
      <w:bookmarkEnd w:id="58"/>
      <w:bookmarkEnd w:id="59"/>
    </w:p>
    <w:p w14:paraId="40811940">
      <w:pPr>
        <w:pStyle w:val="23"/>
        <w:spacing w:line="360" w:lineRule="auto"/>
        <w:ind w:firstLine="440"/>
        <w:rPr>
          <w:rFonts w:hint="eastAsia" w:hAnsi="宋体" w:cs="Arial"/>
          <w:sz w:val="21"/>
          <w:szCs w:val="21"/>
        </w:rPr>
      </w:pPr>
      <w:r>
        <w:rPr>
          <w:rFonts w:hint="eastAsia" w:hAnsi="宋体" w:cs="宋体"/>
          <w:color w:val="000000"/>
          <w:sz w:val="21"/>
          <w:szCs w:val="21"/>
        </w:rPr>
        <w:t xml:space="preserve">按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GB</w:t>
      </w:r>
      <w:r>
        <w:rPr>
          <w:rFonts w:hint="eastAsia" w:hAnsi="宋体" w:cs="宋体"/>
          <w:color w:val="000000"/>
          <w:sz w:val="21"/>
          <w:szCs w:val="21"/>
        </w:rPr>
        <w:t>/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T</w:t>
      </w:r>
      <w:r>
        <w:rPr>
          <w:rFonts w:hAnsi="宋体" w:cs="宋体"/>
          <w:color w:val="000000"/>
          <w:sz w:val="21"/>
          <w:szCs w:val="21"/>
        </w:rPr>
        <w:t xml:space="preserve"> </w:t>
      </w:r>
      <w:r>
        <w:rPr>
          <w:rFonts w:hint="eastAsia" w:hAnsi="宋体" w:cs="宋体"/>
          <w:color w:val="000000"/>
          <w:sz w:val="21"/>
          <w:szCs w:val="21"/>
        </w:rPr>
        <w:t>1601进行。</w:t>
      </w:r>
    </w:p>
    <w:p w14:paraId="33B28CC2">
      <w:pPr>
        <w:pStyle w:val="4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/>
        <w:textAlignment w:val="auto"/>
        <w:rPr>
          <w:rFonts w:ascii="Times New Roman"/>
          <w:sz w:val="21"/>
          <w:szCs w:val="21"/>
        </w:rPr>
      </w:pPr>
      <w:r>
        <w:rPr>
          <w:rFonts w:hint="eastAsia" w:ascii="Times New Roman"/>
          <w:sz w:val="21"/>
          <w:szCs w:val="21"/>
        </w:rPr>
        <w:t>水不溶物</w:t>
      </w:r>
    </w:p>
    <w:p w14:paraId="63CEC684">
      <w:pPr>
        <w:pStyle w:val="23"/>
        <w:ind w:firstLine="440"/>
        <w:rPr>
          <w:rFonts w:hint="eastAsia" w:hAnsi="宋体"/>
          <w:sz w:val="21"/>
          <w:szCs w:val="21"/>
        </w:rPr>
      </w:pPr>
      <w:r>
        <w:rPr>
          <w:rFonts w:hint="eastAsia" w:hAnsi="宋体"/>
          <w:sz w:val="21"/>
          <w:szCs w:val="21"/>
        </w:rPr>
        <w:t xml:space="preserve">按 </w:t>
      </w:r>
      <w:r>
        <w:rPr>
          <w:rFonts w:hint="default" w:ascii="Times New Roman" w:hAnsi="Times New Roman" w:cs="Times New Roman"/>
          <w:sz w:val="21"/>
          <w:szCs w:val="21"/>
        </w:rPr>
        <w:t>GB</w:t>
      </w:r>
      <w:r>
        <w:rPr>
          <w:rFonts w:hint="eastAsia" w:hAnsi="宋体"/>
          <w:sz w:val="21"/>
          <w:szCs w:val="21"/>
        </w:rPr>
        <w:t>/</w:t>
      </w:r>
      <w:r>
        <w:rPr>
          <w:rFonts w:hint="default" w:ascii="Times New Roman" w:hAnsi="Times New Roman" w:cs="Times New Roman"/>
          <w:sz w:val="21"/>
          <w:szCs w:val="21"/>
        </w:rPr>
        <w:t>T</w:t>
      </w:r>
      <w:r>
        <w:rPr>
          <w:rFonts w:hint="eastAsia" w:hAnsi="宋体"/>
          <w:sz w:val="21"/>
          <w:szCs w:val="21"/>
        </w:rPr>
        <w:t xml:space="preserve"> 28136—2011 中3.2进行。</w:t>
      </w:r>
    </w:p>
    <w:p w14:paraId="0EA2A034">
      <w:pPr>
        <w:pStyle w:val="45"/>
        <w:spacing w:before="312" w:after="312"/>
      </w:pPr>
      <w:bookmarkStart w:id="60" w:name="_Toc496808860"/>
      <w:bookmarkStart w:id="61" w:name="_Toc463860753"/>
      <w:bookmarkStart w:id="62" w:name="_Toc496876278"/>
      <w:bookmarkStart w:id="63" w:name="_Toc463852730"/>
      <w:bookmarkStart w:id="64" w:name="_Toc465930219"/>
      <w:bookmarkStart w:id="65" w:name="_Toc463858433"/>
      <w:bookmarkStart w:id="66" w:name="_Toc494273410"/>
      <w:bookmarkStart w:id="67" w:name="_Toc188041050"/>
      <w:bookmarkStart w:id="68" w:name="_Toc465776944"/>
      <w:bookmarkStart w:id="69" w:name="_Toc465682845"/>
      <w:bookmarkStart w:id="70" w:name="_Toc457491941"/>
      <w:bookmarkStart w:id="71" w:name="_Toc458086803"/>
      <w:bookmarkStart w:id="72" w:name="_Toc440292351"/>
      <w:bookmarkStart w:id="73" w:name="_Toc440292111"/>
      <w:bookmarkStart w:id="74" w:name="_Toc457491890"/>
      <w:bookmarkStart w:id="75" w:name="_Toc440293260"/>
      <w:bookmarkStart w:id="76" w:name="_Toc458086752"/>
      <w:r>
        <w:rPr>
          <w:rFonts w:hint="eastAsia"/>
        </w:rPr>
        <w:t>检验规则</w:t>
      </w:r>
    </w:p>
    <w:p w14:paraId="0FE8B419">
      <w:pPr>
        <w:widowControl/>
        <w:numPr>
          <w:ilvl w:val="1"/>
          <w:numId w:val="2"/>
        </w:numPr>
        <w:spacing w:before="156" w:beforeLines="50" w:after="156" w:afterLines="50"/>
        <w:ind w:left="-2" w:leftChars="-1"/>
        <w:jc w:val="left"/>
        <w:outlineLvl w:val="2"/>
        <w:rPr>
          <w:rFonts w:ascii="黑体" w:eastAsia="黑体"/>
          <w:kern w:val="0"/>
          <w:szCs w:val="21"/>
        </w:rPr>
      </w:pPr>
      <w:bookmarkStart w:id="77" w:name="_Hlk57019398"/>
      <w:r>
        <w:rPr>
          <w:rFonts w:hint="eastAsia" w:ascii="黑体" w:eastAsia="黑体"/>
          <w:kern w:val="0"/>
          <w:szCs w:val="21"/>
        </w:rPr>
        <w:t>出厂检验</w:t>
      </w:r>
    </w:p>
    <w:p w14:paraId="6D51E850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="420" w:firstLineChars="200"/>
        <w:rPr>
          <w:rFonts w:ascii="宋体"/>
          <w:kern w:val="0"/>
          <w:szCs w:val="20"/>
        </w:rPr>
      </w:pPr>
      <w:r>
        <w:rPr>
          <w:rFonts w:hint="eastAsia" w:ascii="宋体"/>
          <w:kern w:val="0"/>
          <w:szCs w:val="20"/>
        </w:rPr>
        <w:t>每批产品均应做出厂检验,经检验合格签发合格证后,方可出厂。出厂检验项目为第4章技术指标</w:t>
      </w:r>
      <w:r>
        <w:rPr>
          <w:rFonts w:ascii="宋体"/>
          <w:kern w:val="0"/>
          <w:szCs w:val="20"/>
        </w:rPr>
        <w:t>中除</w:t>
      </w:r>
      <w:r>
        <w:rPr>
          <w:rFonts w:hint="eastAsia" w:ascii="宋体"/>
          <w:kern w:val="0"/>
          <w:szCs w:val="20"/>
          <w:lang w:val="en-US" w:eastAsia="zh-CN"/>
        </w:rPr>
        <w:t>水</w:t>
      </w:r>
      <w:r>
        <w:rPr>
          <w:rFonts w:hint="eastAsia" w:hAnsi="宋体"/>
        </w:rPr>
        <w:t>不溶物</w:t>
      </w:r>
      <w:r>
        <w:rPr>
          <w:rFonts w:ascii="宋体"/>
          <w:kern w:val="0"/>
          <w:szCs w:val="20"/>
        </w:rPr>
        <w:t>以外的所有项目。</w:t>
      </w:r>
    </w:p>
    <w:p w14:paraId="7A4A3EF8">
      <w:pPr>
        <w:widowControl/>
        <w:numPr>
          <w:ilvl w:val="1"/>
          <w:numId w:val="2"/>
        </w:numPr>
        <w:spacing w:before="156" w:beforeLines="50" w:after="156" w:afterLines="50"/>
        <w:ind w:left="-2" w:leftChars="-1"/>
        <w:jc w:val="left"/>
        <w:outlineLvl w:val="2"/>
        <w:rPr>
          <w:rFonts w:ascii="黑体" w:eastAsia="黑体"/>
          <w:kern w:val="0"/>
          <w:szCs w:val="21"/>
        </w:rPr>
      </w:pPr>
      <w:r>
        <w:rPr>
          <w:rFonts w:hint="eastAsia" w:ascii="黑体" w:eastAsia="黑体"/>
          <w:kern w:val="0"/>
          <w:szCs w:val="21"/>
        </w:rPr>
        <w:t>型式检验</w:t>
      </w:r>
    </w:p>
    <w:p w14:paraId="0D5E9E51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="420" w:firstLineChars="200"/>
        <w:rPr>
          <w:rFonts w:ascii="宋体"/>
          <w:kern w:val="0"/>
          <w:szCs w:val="20"/>
        </w:rPr>
      </w:pPr>
      <w:r>
        <w:rPr>
          <w:rFonts w:hint="eastAsia" w:ascii="宋体"/>
          <w:kern w:val="0"/>
          <w:szCs w:val="20"/>
        </w:rPr>
        <w:t>型式检验项目为第4章中的全部项目，在正常连续生产情况下，每3个月至少进行一次。有下述情况之一，应进行型式检验：</w:t>
      </w:r>
    </w:p>
    <w:p w14:paraId="01EC4466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="420" w:firstLineChars="200"/>
        <w:rPr>
          <w:rFonts w:ascii="宋体"/>
          <w:kern w:val="0"/>
          <w:szCs w:val="20"/>
        </w:rPr>
      </w:pPr>
      <w:r>
        <w:rPr>
          <w:rFonts w:hint="eastAsia" w:ascii="宋体"/>
          <w:kern w:val="0"/>
          <w:szCs w:val="20"/>
        </w:rPr>
        <w:t>a） 原料有较大改变，可能影响产品质量时；</w:t>
      </w:r>
    </w:p>
    <w:p w14:paraId="6008AEA8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="420" w:firstLineChars="200"/>
        <w:rPr>
          <w:rFonts w:ascii="宋体"/>
          <w:kern w:val="0"/>
          <w:szCs w:val="20"/>
        </w:rPr>
      </w:pPr>
      <w:r>
        <w:rPr>
          <w:rFonts w:hint="eastAsia" w:ascii="宋体"/>
          <w:kern w:val="0"/>
          <w:szCs w:val="20"/>
        </w:rPr>
        <w:t>b） 生产地址、生产设备或生产工艺有较大改变，可能影响产品质量时；</w:t>
      </w:r>
    </w:p>
    <w:p w14:paraId="48214650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="420" w:firstLineChars="200"/>
        <w:rPr>
          <w:rFonts w:ascii="宋体"/>
          <w:kern w:val="0"/>
          <w:szCs w:val="20"/>
        </w:rPr>
      </w:pPr>
      <w:r>
        <w:rPr>
          <w:rFonts w:ascii="宋体"/>
          <w:kern w:val="0"/>
          <w:szCs w:val="20"/>
        </w:rPr>
        <w:t>c</w:t>
      </w:r>
      <w:r>
        <w:rPr>
          <w:rFonts w:hint="eastAsia" w:ascii="宋体"/>
          <w:kern w:val="0"/>
          <w:szCs w:val="20"/>
        </w:rPr>
        <w:t>） 停产后又恢复生产时；</w:t>
      </w:r>
    </w:p>
    <w:p w14:paraId="3F934F64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="420" w:firstLineChars="200"/>
        <w:rPr>
          <w:rFonts w:ascii="宋体"/>
          <w:kern w:val="0"/>
          <w:szCs w:val="20"/>
        </w:rPr>
      </w:pPr>
      <w:r>
        <w:rPr>
          <w:rFonts w:ascii="宋体"/>
          <w:kern w:val="0"/>
          <w:szCs w:val="20"/>
        </w:rPr>
        <w:t>d</w:t>
      </w:r>
      <w:r>
        <w:rPr>
          <w:rFonts w:hint="eastAsia" w:ascii="宋体"/>
          <w:kern w:val="0"/>
          <w:szCs w:val="20"/>
        </w:rPr>
        <w:t>） 国家法定质量监管机构提出型式检验要求时。</w:t>
      </w:r>
    </w:p>
    <w:p w14:paraId="1159917D">
      <w:pPr>
        <w:widowControl/>
        <w:numPr>
          <w:ilvl w:val="1"/>
          <w:numId w:val="2"/>
        </w:numPr>
        <w:spacing w:before="156" w:beforeLines="50" w:after="156" w:afterLines="50"/>
        <w:ind w:left="-2" w:leftChars="-1"/>
        <w:jc w:val="left"/>
        <w:outlineLvl w:val="2"/>
        <w:rPr>
          <w:rFonts w:ascii="黑体" w:eastAsia="黑体"/>
          <w:kern w:val="0"/>
          <w:sz w:val="21"/>
          <w:szCs w:val="21"/>
        </w:rPr>
      </w:pPr>
      <w:r>
        <w:rPr>
          <w:rFonts w:hint="eastAsia" w:ascii="黑体" w:eastAsia="黑体"/>
          <w:kern w:val="0"/>
          <w:sz w:val="21"/>
          <w:szCs w:val="21"/>
        </w:rPr>
        <w:t>判定规则</w:t>
      </w:r>
    </w:p>
    <w:p w14:paraId="342F19F0">
      <w:pPr>
        <w:pStyle w:val="23"/>
        <w:ind w:firstLine="440"/>
        <w:rPr>
          <w:sz w:val="21"/>
          <w:szCs w:val="21"/>
        </w:rPr>
      </w:pPr>
      <w:r>
        <w:rPr>
          <w:rFonts w:hint="eastAsia"/>
          <w:sz w:val="21"/>
          <w:szCs w:val="21"/>
        </w:rPr>
        <w:t>按第</w:t>
      </w:r>
      <w:r>
        <w:rPr>
          <w:sz w:val="21"/>
          <w:szCs w:val="21"/>
        </w:rPr>
        <w:t>4</w:t>
      </w:r>
      <w:r>
        <w:rPr>
          <w:rFonts w:hint="eastAsia"/>
          <w:sz w:val="21"/>
          <w:szCs w:val="21"/>
        </w:rPr>
        <w:t>章技术要求对产品进行出厂检验和型式检验，任一项目不符合指标要求判为该批次产品不合格。</w:t>
      </w:r>
    </w:p>
    <w:bookmarkEnd w:id="77"/>
    <w:p w14:paraId="0E02E881">
      <w:pPr>
        <w:pStyle w:val="45"/>
        <w:spacing w:before="312" w:after="312"/>
        <w:rPr>
          <w:sz w:val="21"/>
          <w:szCs w:val="21"/>
        </w:rPr>
      </w:pPr>
      <w:r>
        <w:rPr>
          <w:rFonts w:hint="eastAsia"/>
          <w:sz w:val="21"/>
          <w:szCs w:val="21"/>
        </w:rPr>
        <w:t>验收和质量保证期</w:t>
      </w:r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</w:p>
    <w:p w14:paraId="209E47F3">
      <w:pPr>
        <w:pStyle w:val="42"/>
        <w:spacing w:before="156" w:after="156"/>
        <w:ind w:left="-2" w:leftChars="-1"/>
        <w:rPr>
          <w:sz w:val="21"/>
          <w:szCs w:val="21"/>
        </w:rPr>
      </w:pPr>
      <w:bookmarkStart w:id="78" w:name="_Toc494273411"/>
      <w:r>
        <w:rPr>
          <w:rFonts w:hint="eastAsia"/>
          <w:sz w:val="21"/>
          <w:szCs w:val="21"/>
        </w:rPr>
        <w:t>验收</w:t>
      </w:r>
      <w:bookmarkEnd w:id="78"/>
    </w:p>
    <w:p w14:paraId="733AF9C2">
      <w:pPr>
        <w:pStyle w:val="23"/>
        <w:ind w:firstLine="44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应符合 </w:t>
      </w:r>
      <w:r>
        <w:rPr>
          <w:rFonts w:hint="default" w:ascii="Times New Roman" w:hAnsi="Times New Roman" w:cs="Times New Roman"/>
          <w:sz w:val="21"/>
          <w:szCs w:val="21"/>
        </w:rPr>
        <w:t>GB</w:t>
      </w:r>
      <w:r>
        <w:rPr>
          <w:rFonts w:hint="eastAsia"/>
          <w:sz w:val="21"/>
          <w:szCs w:val="21"/>
        </w:rPr>
        <w:t>/</w:t>
      </w:r>
      <w:r>
        <w:rPr>
          <w:rFonts w:hint="default" w:ascii="Times New Roman" w:hAnsi="Times New Roman" w:cs="Times New Roman"/>
          <w:sz w:val="21"/>
          <w:szCs w:val="21"/>
        </w:rPr>
        <w:t>T</w:t>
      </w:r>
      <w:r>
        <w:rPr>
          <w:rFonts w:hint="eastAsia"/>
          <w:sz w:val="21"/>
          <w:szCs w:val="21"/>
        </w:rPr>
        <w:t xml:space="preserve"> 1604的规定。</w:t>
      </w:r>
    </w:p>
    <w:p w14:paraId="388C886E">
      <w:pPr>
        <w:pStyle w:val="42"/>
        <w:spacing w:before="156" w:after="156"/>
        <w:ind w:left="-2" w:leftChars="-1"/>
        <w:rPr>
          <w:sz w:val="21"/>
          <w:szCs w:val="21"/>
        </w:rPr>
      </w:pPr>
      <w:bookmarkStart w:id="79" w:name="_Toc494273412"/>
      <w:r>
        <w:rPr>
          <w:rFonts w:hint="eastAsia"/>
          <w:sz w:val="21"/>
          <w:szCs w:val="21"/>
        </w:rPr>
        <w:t>质量保证期</w:t>
      </w:r>
      <w:bookmarkEnd w:id="79"/>
    </w:p>
    <w:p w14:paraId="025AAEAB">
      <w:pPr>
        <w:pStyle w:val="23"/>
        <w:ind w:firstLine="440"/>
        <w:rPr>
          <w:sz w:val="21"/>
          <w:szCs w:val="21"/>
        </w:rPr>
      </w:pPr>
      <w:r>
        <w:rPr>
          <w:rFonts w:hint="eastAsia"/>
          <w:sz w:val="21"/>
          <w:szCs w:val="21"/>
        </w:rPr>
        <w:t>在规定的储运条件下，</w:t>
      </w:r>
      <w:r>
        <w:rPr>
          <w:rFonts w:hint="eastAsia"/>
          <w:sz w:val="21"/>
          <w:szCs w:val="21"/>
          <w:lang w:val="en-US" w:eastAsia="zh-CN"/>
        </w:rPr>
        <w:t>2甲4氯钠</w:t>
      </w:r>
      <w:r>
        <w:rPr>
          <w:sz w:val="21"/>
          <w:szCs w:val="21"/>
        </w:rPr>
        <w:t>原药</w:t>
      </w:r>
      <w:r>
        <w:rPr>
          <w:rFonts w:hint="eastAsia"/>
          <w:sz w:val="21"/>
          <w:szCs w:val="21"/>
        </w:rPr>
        <w:t>的质量保证期</w:t>
      </w:r>
      <w:r>
        <w:rPr>
          <w:rFonts w:hAnsi="宋体" w:cs="Arial"/>
          <w:sz w:val="21"/>
          <w:szCs w:val="21"/>
        </w:rPr>
        <w:t>从生产日期算起为2年</w:t>
      </w:r>
      <w:r>
        <w:rPr>
          <w:rFonts w:hint="eastAsia" w:hAnsi="宋体" w:cs="Arial"/>
          <w:sz w:val="21"/>
          <w:szCs w:val="21"/>
        </w:rPr>
        <w:t>。</w:t>
      </w:r>
      <w:r>
        <w:rPr>
          <w:rFonts w:hAnsi="宋体" w:cs="Arial"/>
          <w:sz w:val="21"/>
          <w:szCs w:val="21"/>
        </w:rPr>
        <w:t>质量保证期内，各项指标均应符合</w:t>
      </w:r>
      <w:r>
        <w:rPr>
          <w:rFonts w:hint="eastAsia" w:hAnsi="宋体" w:cs="Arial"/>
          <w:sz w:val="21"/>
          <w:szCs w:val="21"/>
        </w:rPr>
        <w:t>本文件</w:t>
      </w:r>
      <w:r>
        <w:rPr>
          <w:rFonts w:hAnsi="宋体" w:cs="Arial"/>
          <w:sz w:val="21"/>
          <w:szCs w:val="21"/>
        </w:rPr>
        <w:t>要求</w:t>
      </w:r>
      <w:r>
        <w:rPr>
          <w:rFonts w:hint="eastAsia"/>
          <w:sz w:val="21"/>
          <w:szCs w:val="21"/>
        </w:rPr>
        <w:t>。</w:t>
      </w:r>
    </w:p>
    <w:p w14:paraId="6BEB8D44">
      <w:pPr>
        <w:pStyle w:val="45"/>
        <w:numPr>
          <w:ilvl w:val="0"/>
          <w:numId w:val="19"/>
        </w:numPr>
        <w:spacing w:before="312" w:afterLines="0" w:line="240" w:lineRule="atLeast"/>
        <w:rPr>
          <w:rFonts w:ascii="Arial" w:hAnsi="Arial" w:cs="Arial"/>
          <w:sz w:val="21"/>
          <w:szCs w:val="21"/>
        </w:rPr>
      </w:pPr>
      <w:r>
        <w:rPr>
          <w:rFonts w:hint="eastAsia" w:ascii="Arial" w:hAnsi="Arial" w:cs="Arial"/>
          <w:sz w:val="21"/>
          <w:szCs w:val="21"/>
        </w:rPr>
        <w:t>标志、标签、包装、储运</w:t>
      </w:r>
      <w:bookmarkEnd w:id="70"/>
      <w:bookmarkEnd w:id="71"/>
      <w:bookmarkEnd w:id="72"/>
      <w:bookmarkEnd w:id="73"/>
    </w:p>
    <w:p w14:paraId="46975DEB">
      <w:pPr>
        <w:pStyle w:val="42"/>
        <w:numPr>
          <w:ilvl w:val="1"/>
          <w:numId w:val="19"/>
        </w:numPr>
        <w:spacing w:before="156" w:afterLines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标志、标签、包装</w:t>
      </w:r>
      <w:bookmarkEnd w:id="74"/>
      <w:bookmarkEnd w:id="75"/>
      <w:bookmarkEnd w:id="76"/>
    </w:p>
    <w:p w14:paraId="37FAE6A6">
      <w:pPr>
        <w:pStyle w:val="23"/>
        <w:ind w:firstLine="440"/>
        <w:rPr>
          <w:rFonts w:hint="eastAsia" w:ascii="Times New Roman" w:hAnsi="宋体"/>
          <w:sz w:val="21"/>
          <w:szCs w:val="21"/>
        </w:rPr>
      </w:pPr>
      <w:r>
        <w:rPr>
          <w:rFonts w:hint="eastAsia"/>
          <w:sz w:val="21"/>
          <w:szCs w:val="21"/>
        </w:rPr>
        <w:t>2甲4氯钠原药的</w:t>
      </w:r>
      <w:r>
        <w:rPr>
          <w:rFonts w:ascii="Times New Roman"/>
          <w:sz w:val="21"/>
          <w:szCs w:val="21"/>
        </w:rPr>
        <w:t>的标志、标签、包装应符合</w:t>
      </w:r>
      <w:r>
        <w:rPr>
          <w:rFonts w:hAnsi="宋体"/>
          <w:sz w:val="21"/>
          <w:szCs w:val="21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GB</w:t>
      </w:r>
      <w:r>
        <w:rPr>
          <w:rFonts w:hAnsi="宋体"/>
          <w:sz w:val="21"/>
          <w:szCs w:val="21"/>
        </w:rPr>
        <w:t xml:space="preserve"> 3796的规定；</w:t>
      </w:r>
      <w:r>
        <w:rPr>
          <w:rFonts w:hint="eastAsia" w:hAnsi="宋体"/>
          <w:sz w:val="21"/>
          <w:szCs w:val="21"/>
        </w:rPr>
        <w:t>2甲4氯钠</w:t>
      </w:r>
      <w:r>
        <w:rPr>
          <w:rFonts w:hAnsi="宋体"/>
          <w:sz w:val="21"/>
          <w:szCs w:val="21"/>
        </w:rPr>
        <w:t>原药采用塑料桶</w:t>
      </w:r>
      <w:r>
        <w:rPr>
          <w:rFonts w:hint="eastAsia" w:hAnsi="宋体"/>
          <w:sz w:val="21"/>
          <w:szCs w:val="21"/>
        </w:rPr>
        <w:t>、</w:t>
      </w:r>
      <w:r>
        <w:rPr>
          <w:rFonts w:hAnsi="宋体"/>
          <w:sz w:val="21"/>
          <w:szCs w:val="21"/>
        </w:rPr>
        <w:t>编织袋内衬塑料袋</w:t>
      </w:r>
      <w:r>
        <w:rPr>
          <w:rFonts w:hint="eastAsia" w:hAnsi="宋体"/>
          <w:sz w:val="21"/>
          <w:szCs w:val="21"/>
        </w:rPr>
        <w:t>、</w:t>
      </w:r>
      <w:r>
        <w:rPr>
          <w:rFonts w:hAnsi="宋体"/>
          <w:sz w:val="21"/>
          <w:szCs w:val="21"/>
        </w:rPr>
        <w:t>铁桶内衬塑料袋或纸板桶包装，注意不能使其直接接触金属</w:t>
      </w:r>
      <w:r>
        <w:rPr>
          <w:rFonts w:hint="eastAsia" w:hAnsi="宋体"/>
          <w:sz w:val="21"/>
          <w:szCs w:val="21"/>
        </w:rPr>
        <w:t>，</w:t>
      </w:r>
      <w:r>
        <w:rPr>
          <w:rFonts w:hAnsi="宋体"/>
          <w:sz w:val="21"/>
          <w:szCs w:val="21"/>
        </w:rPr>
        <w:t>每件净含量不宜超过</w:t>
      </w:r>
      <w:r>
        <w:rPr>
          <w:rFonts w:hint="eastAsia" w:hAnsi="宋体"/>
          <w:sz w:val="21"/>
          <w:szCs w:val="21"/>
        </w:rPr>
        <w:t>50</w:t>
      </w:r>
      <w:r>
        <w:rPr>
          <w:rFonts w:hAnsi="宋体"/>
          <w:sz w:val="21"/>
          <w:szCs w:val="21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kg</w:t>
      </w:r>
      <w:r>
        <w:rPr>
          <w:rFonts w:hAnsi="宋体"/>
          <w:sz w:val="21"/>
          <w:szCs w:val="21"/>
        </w:rPr>
        <w:t>；也可根据用户要求</w:t>
      </w:r>
      <w:r>
        <w:rPr>
          <w:rFonts w:hint="eastAsia" w:hAnsi="宋体"/>
          <w:sz w:val="21"/>
          <w:szCs w:val="21"/>
        </w:rPr>
        <w:t>和</w:t>
      </w:r>
      <w:r>
        <w:rPr>
          <w:rFonts w:hAnsi="宋体"/>
          <w:sz w:val="21"/>
          <w:szCs w:val="21"/>
        </w:rPr>
        <w:t xml:space="preserve">订货协议可采用其他形式的包装，但需符合 </w:t>
      </w:r>
      <w:r>
        <w:rPr>
          <w:rFonts w:hint="default" w:ascii="Times New Roman" w:hAnsi="Times New Roman" w:cs="Times New Roman"/>
          <w:sz w:val="21"/>
          <w:szCs w:val="21"/>
        </w:rPr>
        <w:t>GB</w:t>
      </w:r>
      <w:r>
        <w:rPr>
          <w:rFonts w:hAnsi="宋体"/>
          <w:sz w:val="21"/>
          <w:szCs w:val="21"/>
        </w:rPr>
        <w:t xml:space="preserve"> 3796</w:t>
      </w:r>
      <w:r>
        <w:rPr>
          <w:rFonts w:ascii="Times New Roman" w:hAnsi="宋体"/>
          <w:sz w:val="21"/>
          <w:szCs w:val="21"/>
        </w:rPr>
        <w:t>的规定。</w:t>
      </w:r>
    </w:p>
    <w:p w14:paraId="2F6F45D3">
      <w:pPr>
        <w:pStyle w:val="42"/>
        <w:numPr>
          <w:ilvl w:val="1"/>
          <w:numId w:val="19"/>
        </w:numPr>
        <w:spacing w:before="156" w:afterLines="0" w:line="360" w:lineRule="auto"/>
        <w:rPr>
          <w:sz w:val="21"/>
          <w:szCs w:val="21"/>
        </w:rPr>
      </w:pPr>
      <w:bookmarkStart w:id="80" w:name="_Toc458086753"/>
      <w:bookmarkStart w:id="81" w:name="_Toc457491891"/>
      <w:bookmarkStart w:id="82" w:name="_Toc440293261"/>
      <w:r>
        <w:rPr>
          <w:rFonts w:hint="eastAsia"/>
          <w:sz w:val="21"/>
          <w:szCs w:val="21"/>
        </w:rPr>
        <w:t>储运</w:t>
      </w:r>
      <w:bookmarkEnd w:id="80"/>
      <w:bookmarkEnd w:id="81"/>
      <w:bookmarkEnd w:id="82"/>
    </w:p>
    <w:p w14:paraId="5AD6691F">
      <w:pPr>
        <w:pStyle w:val="23"/>
        <w:ind w:firstLine="440"/>
        <w:rPr>
          <w:rFonts w:ascii="Arial" w:hAnsi="Arial" w:cs="Arial"/>
          <w:sz w:val="21"/>
          <w:szCs w:val="21"/>
        </w:rPr>
      </w:pPr>
      <w:r>
        <w:rPr>
          <w:rFonts w:hint="eastAsia" w:hAnsi="宋体"/>
          <w:sz w:val="21"/>
          <w:szCs w:val="21"/>
        </w:rPr>
        <w:t>2甲4氯钠原药</w:t>
      </w:r>
      <w:r>
        <w:rPr>
          <w:rFonts w:hint="eastAsia"/>
          <w:sz w:val="21"/>
          <w:szCs w:val="21"/>
        </w:rPr>
        <w:t>包装件应储存在通风、干燥的库房中；储运时，严防潮湿和日晒，不得与食物、种子、饲料混放，避免与皮肤、眼睛接触，防止由口鼻吸入。</w:t>
      </w:r>
    </w:p>
    <w:p w14:paraId="6E8BB050">
      <w:pPr>
        <w:pStyle w:val="100"/>
        <w:numPr>
          <w:ilvl w:val="0"/>
          <w:numId w:val="22"/>
        </w:numPr>
        <w:ind w:left="0" w:firstLine="363"/>
      </w:pPr>
    </w:p>
    <w:p w14:paraId="7FF7D609">
      <w:pPr>
        <w:pStyle w:val="88"/>
        <w:numPr>
          <w:ilvl w:val="0"/>
          <w:numId w:val="23"/>
        </w:numPr>
        <w:ind w:left="811" w:hanging="448"/>
      </w:pPr>
    </w:p>
    <w:p w14:paraId="61DB038A">
      <w:pPr>
        <w:pStyle w:val="88"/>
        <w:numPr>
          <w:ilvl w:val="0"/>
          <w:numId w:val="23"/>
        </w:numPr>
        <w:tabs>
          <w:tab w:val="left" w:pos="0"/>
        </w:tabs>
      </w:pPr>
      <w:bookmarkStart w:id="83" w:name="_Toc413315592"/>
      <w:bookmarkStart w:id="84" w:name="_Toc413315344"/>
      <w:bookmarkStart w:id="85" w:name="_Toc413316726"/>
      <w:bookmarkStart w:id="86" w:name="_Toc413315389"/>
      <w:bookmarkStart w:id="87" w:name="_Toc413315463"/>
      <w:r>
        <w:rPr>
          <w:rFonts w:hint="eastAsia"/>
        </w:rPr>
        <w:t>菊酯的其他名称、结构式和基本物化参</w:t>
      </w:r>
      <w:bookmarkEnd w:id="83"/>
      <w:bookmarkEnd w:id="84"/>
      <w:bookmarkEnd w:id="85"/>
      <w:bookmarkEnd w:id="86"/>
      <w:bookmarkEnd w:id="87"/>
    </w:p>
    <w:p w14:paraId="2A23B11B">
      <w:pPr>
        <w:pStyle w:val="88"/>
      </w:pPr>
    </w:p>
    <w:p w14:paraId="364E28D5">
      <w:pPr>
        <w:pStyle w:val="86"/>
      </w:pPr>
      <w:r>
        <w:br w:type="textWrapping"/>
      </w:r>
      <w:r>
        <w:rPr>
          <w:rFonts w:hint="eastAsia"/>
        </w:rPr>
        <w:t>（资料性）</w:t>
      </w:r>
      <w:r>
        <w:br w:type="textWrapping"/>
      </w:r>
      <w:r>
        <w:rPr>
          <w:rFonts w:hint="eastAsia"/>
        </w:rPr>
        <w:t>2甲4氯、2甲4氯钠的其他名称、结构式和基本物化参数</w:t>
      </w:r>
    </w:p>
    <w:p w14:paraId="6F814CEA">
      <w:pPr>
        <w:pStyle w:val="23"/>
        <w:ind w:firstLine="440"/>
      </w:pPr>
      <w:bookmarkStart w:id="88" w:name="DW"/>
      <w:bookmarkEnd w:id="88"/>
      <w:r>
        <w:rPr>
          <w:rFonts w:hint="eastAsia"/>
        </w:rPr>
        <w:t>本产品有效成分2甲4氯的其他名称、结构式和基本物化参数如下：</w:t>
      </w:r>
    </w:p>
    <w:p w14:paraId="4E70AF88">
      <w:pPr>
        <w:pStyle w:val="23"/>
        <w:ind w:firstLine="440"/>
      </w:pPr>
      <w:r>
        <w:rPr>
          <w:rFonts w:hint="eastAsia"/>
        </w:rPr>
        <w:t>2甲4氯的其他名称、结构式和基本物化参数如下：</w:t>
      </w:r>
    </w:p>
    <w:p w14:paraId="540ADE6E">
      <w:pPr>
        <w:pStyle w:val="23"/>
        <w:ind w:firstLine="440"/>
      </w:pPr>
      <w:r>
        <w:t>ISO</w:t>
      </w:r>
      <w:r>
        <w:rPr>
          <w:rFonts w:hint="eastAsia"/>
        </w:rPr>
        <w:t>通用名称：MCPA。</w:t>
      </w:r>
    </w:p>
    <w:p w14:paraId="4003FCA0">
      <w:pPr>
        <w:pStyle w:val="23"/>
        <w:ind w:firstLine="440"/>
      </w:pPr>
      <w:r>
        <w:rPr>
          <w:rFonts w:hint="eastAsia"/>
        </w:rPr>
        <w:t>CAS登记号：94-74-6。</w:t>
      </w:r>
    </w:p>
    <w:p w14:paraId="73FF57B8">
      <w:pPr>
        <w:pStyle w:val="23"/>
        <w:ind w:firstLine="440"/>
      </w:pPr>
      <w:r>
        <w:rPr>
          <w:rFonts w:hint="eastAsia"/>
        </w:rPr>
        <w:t>化学名称：2-甲基-4-氯苯氧乙酸。</w:t>
      </w:r>
    </w:p>
    <w:p w14:paraId="25D526A1">
      <w:pPr>
        <w:pStyle w:val="23"/>
        <w:ind w:firstLine="440"/>
      </w:pPr>
      <w:r>
        <w:rPr>
          <w:rFonts w:hint="eastAsia"/>
        </w:rPr>
        <w:t>结构式</w:t>
      </w:r>
      <w:r>
        <w:t>:</w:t>
      </w:r>
    </w:p>
    <w:p w14:paraId="7D37C0D5">
      <w:pPr>
        <w:pStyle w:val="23"/>
        <w:ind w:firstLine="0" w:firstLineChars="0"/>
        <w:jc w:val="center"/>
      </w:pPr>
      <w:r>
        <w:object>
          <v:shape id="_x0000_i1029" o:spt="75" type="#_x0000_t75" style="height:42pt;width:122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ChemDraw.Document.6.0" ShapeID="_x0000_i1029" DrawAspect="Content" ObjectID="_1468075729" r:id="rId22">
            <o:LockedField>false</o:LockedField>
          </o:OLEObject>
        </w:object>
      </w:r>
    </w:p>
    <w:p w14:paraId="5EED9D1E">
      <w:pPr>
        <w:pStyle w:val="23"/>
        <w:ind w:firstLine="440"/>
        <w:rPr>
          <w:sz w:val="15"/>
        </w:rPr>
      </w:pPr>
      <w:r>
        <w:rPr>
          <w:rFonts w:hint="eastAsia"/>
        </w:rPr>
        <w:t>实验式：C</w:t>
      </w:r>
      <w:r>
        <w:rPr>
          <w:rFonts w:hint="eastAsia"/>
          <w:vertAlign w:val="subscript"/>
        </w:rPr>
        <w:t>9</w:t>
      </w:r>
      <w:r>
        <w:rPr>
          <w:rFonts w:hint="eastAsia"/>
        </w:rPr>
        <w:t>H</w:t>
      </w:r>
      <w:r>
        <w:rPr>
          <w:rFonts w:hint="eastAsia"/>
          <w:vertAlign w:val="subscript"/>
        </w:rPr>
        <w:t>9</w:t>
      </w:r>
      <w:r>
        <w:rPr>
          <w:rFonts w:hint="eastAsia"/>
        </w:rPr>
        <w:t>ClO</w:t>
      </w:r>
      <w:r>
        <w:rPr>
          <w:rFonts w:hint="eastAsia"/>
          <w:vertAlign w:val="subscript"/>
        </w:rPr>
        <w:t>3</w:t>
      </w:r>
      <w:r>
        <w:rPr>
          <w:rFonts w:hint="eastAsia"/>
        </w:rPr>
        <w:t>。</w:t>
      </w:r>
    </w:p>
    <w:p w14:paraId="5CB17DE9">
      <w:pPr>
        <w:pStyle w:val="23"/>
        <w:ind w:firstLine="440"/>
      </w:pPr>
      <w:r>
        <w:rPr>
          <w:rFonts w:hint="eastAsia"/>
        </w:rPr>
        <w:t>相对分子质量：200.6。</w:t>
      </w:r>
    </w:p>
    <w:p w14:paraId="203830B5">
      <w:pPr>
        <w:pStyle w:val="23"/>
        <w:ind w:firstLine="440"/>
      </w:pPr>
      <w:r>
        <w:rPr>
          <w:rFonts w:hint="eastAsia"/>
        </w:rPr>
        <w:t>生物活性：除草。</w:t>
      </w:r>
    </w:p>
    <w:p w14:paraId="26B15A29">
      <w:pPr>
        <w:pStyle w:val="23"/>
        <w:ind w:firstLine="440"/>
      </w:pPr>
      <w:r>
        <w:rPr>
          <w:rFonts w:hint="eastAsia"/>
        </w:rPr>
        <w:t>熔点：119～120.5℃。</w:t>
      </w:r>
    </w:p>
    <w:p w14:paraId="7CDC9887">
      <w:pPr>
        <w:pStyle w:val="23"/>
        <w:ind w:firstLine="440"/>
      </w:pPr>
      <w:r>
        <w:rPr>
          <w:rFonts w:hint="eastAsia"/>
        </w:rPr>
        <w:t>蒸汽压(25℃)：2.3×10</w:t>
      </w:r>
      <w:r>
        <w:rPr>
          <w:rFonts w:hint="eastAsia"/>
          <w:szCs w:val="21"/>
          <w:vertAlign w:val="superscript"/>
        </w:rPr>
        <w:t>-2</w:t>
      </w:r>
      <w:r>
        <w:rPr>
          <w:rFonts w:hint="eastAsia"/>
          <w:szCs w:val="21"/>
        </w:rPr>
        <w:t xml:space="preserve"> m</w:t>
      </w:r>
      <w:r>
        <w:rPr>
          <w:rFonts w:hint="eastAsia"/>
        </w:rPr>
        <w:t>Pa（20℃）。</w:t>
      </w:r>
    </w:p>
    <w:p w14:paraId="35D477BE">
      <w:pPr>
        <w:pStyle w:val="23"/>
        <w:ind w:firstLine="440"/>
      </w:pPr>
      <w:r>
        <w:rPr>
          <w:rFonts w:hint="eastAsia"/>
        </w:rPr>
        <w:t>溶解度（25℃，g/L）：水 0.734，乙醇 1530，乙醚 770，丙酮 488，甲苯 26.5，二甲苯 49；庚烷 5。</w:t>
      </w:r>
    </w:p>
    <w:p w14:paraId="330281E0">
      <w:pPr>
        <w:pStyle w:val="23"/>
        <w:ind w:firstLine="550" w:firstLineChars="250"/>
      </w:pPr>
      <w:r>
        <w:rPr>
          <w:rFonts w:hint="eastAsia"/>
        </w:rPr>
        <w:t>稳定性：常温稳定。</w:t>
      </w:r>
    </w:p>
    <w:p w14:paraId="023D3DA7">
      <w:pPr>
        <w:pStyle w:val="23"/>
        <w:ind w:firstLine="550" w:firstLineChars="250"/>
      </w:pPr>
    </w:p>
    <w:p w14:paraId="0272E9E4">
      <w:pPr>
        <w:pStyle w:val="23"/>
        <w:ind w:firstLine="440"/>
      </w:pPr>
      <w:r>
        <w:rPr>
          <w:rFonts w:hint="eastAsia"/>
        </w:rPr>
        <w:t>本产品2甲4氯钠的其他名称、结构式和基本物化参数如下：</w:t>
      </w:r>
    </w:p>
    <w:p w14:paraId="0D83887B">
      <w:pPr>
        <w:pStyle w:val="23"/>
        <w:ind w:firstLine="440"/>
      </w:pPr>
      <w:r>
        <w:t>ISO</w:t>
      </w:r>
      <w:r>
        <w:rPr>
          <w:rFonts w:hint="eastAsia"/>
        </w:rPr>
        <w:t>通用名称：MCPA-Na。</w:t>
      </w:r>
    </w:p>
    <w:p w14:paraId="0A178716">
      <w:pPr>
        <w:pStyle w:val="23"/>
        <w:ind w:firstLine="440"/>
      </w:pPr>
      <w:r>
        <w:rPr>
          <w:rFonts w:hint="eastAsia"/>
        </w:rPr>
        <w:t>CAS登记号：3653-48-3。</w:t>
      </w:r>
    </w:p>
    <w:p w14:paraId="43A60FE2">
      <w:pPr>
        <w:pStyle w:val="23"/>
        <w:ind w:firstLine="440"/>
      </w:pPr>
      <w:r>
        <w:rPr>
          <w:rFonts w:hint="eastAsia"/>
        </w:rPr>
        <w:t>化学名称：2-甲基-4-氯苯氧乙酸钠。</w:t>
      </w:r>
    </w:p>
    <w:p w14:paraId="54BC1DEC">
      <w:pPr>
        <w:pStyle w:val="23"/>
        <w:ind w:firstLine="440"/>
      </w:pPr>
      <w:r>
        <w:rPr>
          <w:rFonts w:hint="eastAsia"/>
        </w:rPr>
        <w:t>结构式</w:t>
      </w:r>
      <w:r>
        <w:t>:</w:t>
      </w:r>
    </w:p>
    <w:p w14:paraId="4FD4BFAC">
      <w:pPr>
        <w:pStyle w:val="23"/>
        <w:ind w:firstLine="0" w:firstLineChars="0"/>
        <w:jc w:val="center"/>
      </w:pPr>
      <w:r>
        <w:object>
          <v:shape id="_x0000_i1030" o:spt="75" type="#_x0000_t75" style="height:43pt;width:128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ChemDraw.Document.6.0" ShapeID="_x0000_i1030" DrawAspect="Content" ObjectID="_1468075730" r:id="rId24">
            <o:LockedField>false</o:LockedField>
          </o:OLEObject>
        </w:object>
      </w:r>
    </w:p>
    <w:p w14:paraId="2FCA1AA1">
      <w:pPr>
        <w:pStyle w:val="23"/>
        <w:ind w:firstLine="440"/>
        <w:rPr>
          <w:sz w:val="15"/>
        </w:rPr>
      </w:pPr>
      <w:r>
        <w:rPr>
          <w:rFonts w:hint="eastAsia"/>
        </w:rPr>
        <w:t>实验式：C</w:t>
      </w:r>
      <w:r>
        <w:rPr>
          <w:rFonts w:hint="eastAsia"/>
          <w:vertAlign w:val="subscript"/>
        </w:rPr>
        <w:t>9</w:t>
      </w:r>
      <w:r>
        <w:rPr>
          <w:rFonts w:hint="eastAsia"/>
        </w:rPr>
        <w:t>H</w:t>
      </w:r>
      <w:r>
        <w:rPr>
          <w:rFonts w:hint="eastAsia"/>
          <w:vertAlign w:val="subscript"/>
        </w:rPr>
        <w:t>8</w:t>
      </w:r>
      <w:r>
        <w:rPr>
          <w:rFonts w:hint="eastAsia"/>
        </w:rPr>
        <w:t>O</w:t>
      </w:r>
      <w:r>
        <w:rPr>
          <w:rFonts w:hint="eastAsia"/>
          <w:vertAlign w:val="subscript"/>
        </w:rPr>
        <w:t>3</w:t>
      </w:r>
      <w:r>
        <w:rPr>
          <w:rFonts w:hint="eastAsia"/>
        </w:rPr>
        <w:t>ClNa。</w:t>
      </w:r>
    </w:p>
    <w:p w14:paraId="776C509A">
      <w:pPr>
        <w:pStyle w:val="23"/>
        <w:ind w:firstLine="440"/>
      </w:pPr>
      <w:r>
        <w:rPr>
          <w:rFonts w:hint="eastAsia"/>
        </w:rPr>
        <w:t>相对分子质量：222.6。</w:t>
      </w:r>
    </w:p>
    <w:p w14:paraId="115D140B">
      <w:pPr>
        <w:pStyle w:val="23"/>
        <w:ind w:firstLine="440"/>
      </w:pPr>
      <w:r>
        <w:rPr>
          <w:rFonts w:hint="eastAsia"/>
        </w:rPr>
        <w:t>生物活性：除草。</w:t>
      </w:r>
    </w:p>
    <w:p w14:paraId="3AD69348">
      <w:pPr>
        <w:pStyle w:val="23"/>
        <w:ind w:firstLine="440"/>
      </w:pPr>
      <w:r>
        <w:rPr>
          <w:rFonts w:hint="eastAsia"/>
        </w:rPr>
        <w:t>熔点：120℃</w:t>
      </w:r>
    </w:p>
    <w:p w14:paraId="54DD0E37">
      <w:pPr>
        <w:pStyle w:val="23"/>
        <w:ind w:firstLine="440"/>
      </w:pPr>
      <w:r>
        <w:rPr>
          <w:rFonts w:hint="eastAsia"/>
        </w:rPr>
        <w:t>溶解度（25℃，g/L）：水 0.734，乙醇 1530，乙醚 770，丙酮 488，甲苯 26.5，二甲苯 49；庚烷 5</w:t>
      </w:r>
    </w:p>
    <w:p w14:paraId="3F7744BF">
      <w:pPr>
        <w:pStyle w:val="23"/>
        <w:ind w:firstLine="550" w:firstLineChars="250"/>
      </w:pPr>
      <w:r>
        <w:rPr>
          <w:rFonts w:hint="eastAsia"/>
        </w:rPr>
        <w:t>稳定性：易吸潮，但是其有效成分2甲4氯不降解，具有良好的储存稳定性</w:t>
      </w:r>
    </w:p>
    <w:p w14:paraId="5D953B63">
      <w:pPr>
        <w:pStyle w:val="23"/>
        <w:ind w:firstLine="440"/>
        <w:rPr>
          <w:rFonts w:hint="eastAsia" w:hAnsi="宋体"/>
        </w:rPr>
      </w:pPr>
    </w:p>
    <w:p w14:paraId="4114234D">
      <w:pPr>
        <w:pStyle w:val="134"/>
        <w:framePr w:wrap="around"/>
      </w:pPr>
      <w:r>
        <w:t>_________________________________</w:t>
      </w:r>
    </w:p>
    <w:sectPr>
      <w:footerReference r:id="rId7" w:type="default"/>
      <w:pgSz w:w="11906" w:h="16838"/>
      <w:pgMar w:top="567" w:right="1134" w:bottom="1134" w:left="1417" w:header="1418" w:footer="1134" w:gutter="0"/>
      <w:pgNumType w:start="1"/>
      <w:cols w:space="425" w:num="1"/>
      <w:formProt w:val="0"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8000012" w:usb3="00000000" w:csb0="000200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B4A832">
    <w:pPr>
      <w:pStyle w:val="70"/>
    </w:pPr>
    <w:r>
      <w:fldChar w:fldCharType="begin"/>
    </w:r>
    <w:r>
      <w:instrText xml:space="preserve"> PAGE  \* MERGEFORMAT 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FA49A1">
    <w:pPr>
      <w:pStyle w:val="43"/>
    </w:pPr>
    <w:r>
      <w:rPr>
        <w:rFonts w:hint="eastAsia"/>
      </w:rPr>
      <w:t>Ⅰ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65D2B1">
    <w:pPr>
      <w:pStyle w:val="17"/>
      <w:framePr w:wrap="around" w:vAnchor="text" w:hAnchor="margin" w:xAlign="outside" w:y="1"/>
      <w:rPr>
        <w:rStyle w:val="36"/>
      </w:rPr>
    </w:pPr>
    <w:r>
      <w:rPr>
        <w:rStyle w:val="36"/>
      </w:rPr>
      <w:fldChar w:fldCharType="begin"/>
    </w:r>
    <w:r>
      <w:rPr>
        <w:rStyle w:val="36"/>
      </w:rPr>
      <w:instrText xml:space="preserve">PAGE  </w:instrText>
    </w:r>
    <w:r>
      <w:rPr>
        <w:rStyle w:val="36"/>
      </w:rPr>
      <w:fldChar w:fldCharType="separate"/>
    </w:r>
    <w:r>
      <w:rPr>
        <w:rStyle w:val="36"/>
      </w:rPr>
      <w:t>1</w:t>
    </w:r>
    <w:r>
      <w:rPr>
        <w:rStyle w:val="36"/>
      </w:rPr>
      <w:fldChar w:fldCharType="end"/>
    </w:r>
  </w:p>
  <w:p w14:paraId="42508C2B">
    <w:pPr>
      <w:pStyle w:val="43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7F1E40">
    <w:pPr>
      <w:pStyle w:val="71"/>
    </w:pPr>
    <w:r>
      <w:t>GB/T XXXXX—XXXX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2ABD06">
    <w:pPr>
      <w:pStyle w:val="44"/>
    </w:pPr>
    <w:r>
      <w:t>GB/T XXXXX—XXXX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0A15CD"/>
    <w:multiLevelType w:val="multilevel"/>
    <w:tmpl w:val="040A15CD"/>
    <w:lvl w:ilvl="0" w:tentative="0">
      <w:start w:val="1"/>
      <w:numFmt w:val="none"/>
      <w:suff w:val="nothing"/>
      <w:lvlText w:val="　"/>
      <w:lvlJc w:val="left"/>
      <w:rPr>
        <w:rFonts w:hint="eastAsia" w:ascii="黑体" w:hAnsi="Times New Roman" w:eastAsia="黑体" w:cs="Times New Roman"/>
        <w:b w:val="0"/>
        <w:i w:val="0"/>
        <w:sz w:val="21"/>
      </w:rPr>
    </w:lvl>
    <w:lvl w:ilvl="1" w:tentative="0">
      <w:start w:val="1"/>
      <w:numFmt w:val="decimal"/>
      <w:isLgl/>
      <w:suff w:val="nothing"/>
      <w:lvlText w:val="%2　"/>
      <w:lvlJc w:val="left"/>
      <w:rPr>
        <w:rFonts w:hint="eastAsia" w:ascii="黑体" w:hAnsi="Times New Roman" w:eastAsia="黑体" w:cs="Times New Roman"/>
        <w:b w:val="0"/>
        <w:i w:val="0"/>
        <w:snapToGrid/>
        <w:spacing w:val="0"/>
        <w:w w:val="100"/>
        <w:kern w:val="21"/>
        <w:sz w:val="21"/>
      </w:rPr>
    </w:lvl>
    <w:lvl w:ilvl="2" w:tentative="0">
      <w:start w:val="1"/>
      <w:numFmt w:val="decimal"/>
      <w:pStyle w:val="146"/>
      <w:suff w:val="nothing"/>
      <w:lvlText w:val="%1%2.%3　"/>
      <w:lvlJc w:val="left"/>
      <w:rPr>
        <w:rFonts w:hint="eastAsia" w:ascii="黑体" w:hAnsi="Times New Roman" w:eastAsia="黑体" w:cs="Times New Roman"/>
        <w:b w:val="0"/>
        <w:i w:val="0"/>
        <w:sz w:val="21"/>
      </w:rPr>
    </w:lvl>
    <w:lvl w:ilvl="3" w:tentative="0">
      <w:start w:val="1"/>
      <w:numFmt w:val="decimal"/>
      <w:pStyle w:val="142"/>
      <w:suff w:val="nothing"/>
      <w:lvlText w:val="%1%2.%3.%4　"/>
      <w:lvlJc w:val="left"/>
      <w:rPr>
        <w:rFonts w:hint="eastAsia" w:ascii="黑体" w:hAnsi="Times New Roman" w:eastAsia="黑体" w:cs="Times New Roman"/>
        <w:b w:val="0"/>
        <w:i w:val="0"/>
        <w:sz w:val="21"/>
      </w:rPr>
    </w:lvl>
    <w:lvl w:ilvl="4" w:tentative="0">
      <w:start w:val="1"/>
      <w:numFmt w:val="decimal"/>
      <w:pStyle w:val="143"/>
      <w:suff w:val="nothing"/>
      <w:lvlText w:val="%1%2.%3.%4.%5　"/>
      <w:lvlJc w:val="left"/>
      <w:rPr>
        <w:rFonts w:hint="eastAsia" w:ascii="黑体" w:hAnsi="Times New Roman" w:eastAsia="黑体" w:cs="Times New Roman"/>
        <w:b w:val="0"/>
        <w:i w:val="0"/>
        <w:sz w:val="21"/>
      </w:rPr>
    </w:lvl>
    <w:lvl w:ilvl="5" w:tentative="0">
      <w:start w:val="1"/>
      <w:numFmt w:val="decimal"/>
      <w:pStyle w:val="144"/>
      <w:suff w:val="nothing"/>
      <w:lvlText w:val="%1%2.%3.%4.%5.%6　"/>
      <w:lvlJc w:val="left"/>
      <w:rPr>
        <w:rFonts w:hint="eastAsia" w:ascii="黑体" w:hAnsi="Times New Roman" w:eastAsia="黑体" w:cs="Times New Roman"/>
        <w:b w:val="0"/>
        <w:i w:val="0"/>
        <w:sz w:val="21"/>
      </w:rPr>
    </w:lvl>
    <w:lvl w:ilvl="6" w:tentative="0">
      <w:start w:val="1"/>
      <w:numFmt w:val="decimal"/>
      <w:pStyle w:val="145"/>
      <w:suff w:val="nothing"/>
      <w:lvlText w:val="%1%2.%3.%4.%5.%6.%7　"/>
      <w:lvlJc w:val="left"/>
      <w:rPr>
        <w:rFonts w:hint="eastAsia" w:ascii="黑体" w:hAnsi="Times New Roman" w:eastAsia="黑体" w:cs="Times New Roman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 w:cs="Times New Roman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 w:cs="Times New Roman"/>
      </w:rPr>
    </w:lvl>
  </w:abstractNum>
  <w:abstractNum w:abstractNumId="1">
    <w:nsid w:val="079102AD"/>
    <w:multiLevelType w:val="multilevel"/>
    <w:tmpl w:val="079102AD"/>
    <w:lvl w:ilvl="0" w:tentative="0">
      <w:start w:val="1"/>
      <w:numFmt w:val="decimal"/>
      <w:pStyle w:val="60"/>
      <w:suff w:val="nothing"/>
      <w:lvlText w:val="注%1："/>
      <w:lvlJc w:val="left"/>
      <w:pPr>
        <w:ind w:left="811" w:hanging="448"/>
      </w:pPr>
      <w:rPr>
        <w:rFonts w:hint="eastAsia" w:ascii="黑体" w:eastAsia="黑体" w:cs="Times New Roman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0"/>
        </w:tabs>
        <w:ind w:left="992" w:hanging="629"/>
      </w:pPr>
      <w:rPr>
        <w:rFonts w:hint="eastAsia"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992" w:hanging="629"/>
      </w:pPr>
      <w:rPr>
        <w:rFonts w:hint="eastAsia"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 w:cs="Times New Roman"/>
      </w:rPr>
    </w:lvl>
  </w:abstractNum>
  <w:abstractNum w:abstractNumId="2">
    <w:nsid w:val="093C6778"/>
    <w:multiLevelType w:val="multilevel"/>
    <w:tmpl w:val="093C6778"/>
    <w:lvl w:ilvl="0" w:tentative="0">
      <w:start w:val="1"/>
      <w:numFmt w:val="decimal"/>
      <w:pStyle w:val="119"/>
      <w:suff w:val="nothing"/>
      <w:lvlText w:val="示例%1："/>
      <w:lvlJc w:val="left"/>
      <w:pPr>
        <w:ind w:firstLine="397"/>
      </w:pPr>
      <w:rPr>
        <w:rFonts w:hint="eastAsia" w:ascii="黑体" w:eastAsia="黑体" w:cs="Times New Roman"/>
        <w:sz w:val="18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 w:cs="Times New Roman"/>
      </w:rPr>
    </w:lvl>
  </w:abstractNum>
  <w:abstractNum w:abstractNumId="3">
    <w:nsid w:val="0AE367E9"/>
    <w:multiLevelType w:val="multilevel"/>
    <w:tmpl w:val="0AE367E9"/>
    <w:lvl w:ilvl="0" w:tentative="0">
      <w:start w:val="1"/>
      <w:numFmt w:val="none"/>
      <w:pStyle w:val="52"/>
      <w:suff w:val="nothing"/>
      <w:lvlText w:val="%1示例："/>
      <w:lvlJc w:val="left"/>
      <w:pPr>
        <w:ind w:firstLine="363"/>
      </w:pPr>
      <w:rPr>
        <w:rFonts w:hint="eastAsia" w:ascii="黑体" w:eastAsia="黑体" w:cs="Times New Roman"/>
        <w:b w:val="0"/>
        <w:i w:val="0"/>
        <w:sz w:val="18"/>
        <w:szCs w:val="18"/>
      </w:rPr>
    </w:lvl>
    <w:lvl w:ilvl="1" w:tentative="0">
      <w:start w:val="1"/>
      <w:numFmt w:val="lowerLetter"/>
      <w:lvlText w:val="%2)"/>
      <w:lvlJc w:val="left"/>
      <w:pPr>
        <w:tabs>
          <w:tab w:val="left" w:pos="363"/>
        </w:tabs>
        <w:ind w:firstLine="363"/>
      </w:pPr>
      <w:rPr>
        <w:rFonts w:hint="eastAsia"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363"/>
        </w:tabs>
        <w:ind w:firstLine="363"/>
      </w:pPr>
      <w:rPr>
        <w:rFonts w:hint="eastAsia"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363"/>
        </w:tabs>
        <w:ind w:firstLine="363"/>
      </w:pPr>
      <w:rPr>
        <w:rFonts w:hint="eastAsia"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363"/>
        </w:tabs>
        <w:ind w:firstLine="363"/>
      </w:pPr>
      <w:rPr>
        <w:rFonts w:hint="eastAsia"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363"/>
        </w:tabs>
        <w:ind w:firstLine="363"/>
      </w:pPr>
      <w:rPr>
        <w:rFonts w:hint="eastAsia"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363"/>
        </w:tabs>
        <w:ind w:firstLine="363"/>
      </w:pPr>
      <w:rPr>
        <w:rFonts w:hint="eastAsia"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363"/>
        </w:tabs>
        <w:ind w:firstLine="363"/>
      </w:pPr>
      <w:rPr>
        <w:rFonts w:hint="eastAsia"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363"/>
        </w:tabs>
        <w:ind w:firstLine="363"/>
      </w:pPr>
      <w:rPr>
        <w:rFonts w:hint="eastAsia" w:cs="Times New Roman"/>
      </w:rPr>
    </w:lvl>
  </w:abstractNum>
  <w:abstractNum w:abstractNumId="4">
    <w:nsid w:val="0DDE2B46"/>
    <w:multiLevelType w:val="multilevel"/>
    <w:tmpl w:val="0DDE2B46"/>
    <w:lvl w:ilvl="0" w:tentative="0">
      <w:start w:val="1"/>
      <w:numFmt w:val="lowerLetter"/>
      <w:pStyle w:val="124"/>
      <w:suff w:val="nothing"/>
      <w:lvlText w:val="%1   "/>
      <w:lvlJc w:val="left"/>
      <w:pPr>
        <w:ind w:left="544" w:hanging="181"/>
      </w:pPr>
      <w:rPr>
        <w:rFonts w:hint="eastAsia" w:ascii="宋体" w:eastAsia="宋体" w:cs="Times New Roman"/>
        <w:b w:val="0"/>
        <w:i w:val="0"/>
        <w:sz w:val="18"/>
        <w:vertAlign w:val="superscript"/>
      </w:rPr>
    </w:lvl>
    <w:lvl w:ilvl="1" w:tentative="0">
      <w:start w:val="1"/>
      <w:numFmt w:val="lowerLetter"/>
      <w:lvlText w:val="%2"/>
      <w:lvlJc w:val="left"/>
      <w:pPr>
        <w:tabs>
          <w:tab w:val="left" w:pos="57"/>
        </w:tabs>
        <w:ind w:left="363" w:hanging="363"/>
      </w:pPr>
      <w:rPr>
        <w:rFonts w:hint="eastAsia"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57"/>
        </w:tabs>
        <w:ind w:left="363" w:hanging="363"/>
      </w:pPr>
      <w:rPr>
        <w:rFonts w:hint="eastAsia"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57"/>
        </w:tabs>
        <w:ind w:left="363" w:hanging="363"/>
      </w:pPr>
      <w:rPr>
        <w:rFonts w:hint="eastAsia"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57"/>
        </w:tabs>
        <w:ind w:left="363" w:hanging="363"/>
      </w:pPr>
      <w:rPr>
        <w:rFonts w:hint="eastAsia"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57"/>
        </w:tabs>
        <w:ind w:left="363" w:hanging="363"/>
      </w:pPr>
      <w:rPr>
        <w:rFonts w:hint="eastAsia"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7"/>
        </w:tabs>
        <w:ind w:left="363" w:hanging="363"/>
      </w:pPr>
      <w:rPr>
        <w:rFonts w:hint="eastAsia"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57"/>
        </w:tabs>
        <w:ind w:left="363" w:hanging="363"/>
      </w:pPr>
      <w:rPr>
        <w:rFonts w:hint="eastAsia"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57"/>
        </w:tabs>
        <w:ind w:left="363" w:hanging="363"/>
      </w:pPr>
      <w:rPr>
        <w:rFonts w:hint="eastAsia" w:cs="Times New Roman"/>
      </w:rPr>
    </w:lvl>
  </w:abstractNum>
  <w:abstractNum w:abstractNumId="5">
    <w:nsid w:val="1DBF583A"/>
    <w:multiLevelType w:val="multilevel"/>
    <w:tmpl w:val="1DBF583A"/>
    <w:lvl w:ilvl="0" w:tentative="0">
      <w:start w:val="1"/>
      <w:numFmt w:val="decimal"/>
      <w:pStyle w:val="67"/>
      <w:suff w:val="nothing"/>
      <w:lvlText w:val="注%1："/>
      <w:lvlJc w:val="left"/>
      <w:pPr>
        <w:ind w:left="811" w:hanging="448"/>
      </w:pPr>
      <w:rPr>
        <w:rFonts w:hint="eastAsia" w:ascii="黑体" w:eastAsia="黑体" w:cs="Times New Roman"/>
        <w:b w:val="0"/>
        <w:i w:val="0"/>
        <w:sz w:val="18"/>
        <w:szCs w:val="18"/>
        <w:vertAlign w:val="baseline"/>
      </w:rPr>
    </w:lvl>
    <w:lvl w:ilvl="1" w:tentative="0">
      <w:start w:val="1"/>
      <w:numFmt w:val="lowerLetter"/>
      <w:lvlText w:val="%2)"/>
      <w:lvlJc w:val="left"/>
      <w:pPr>
        <w:tabs>
          <w:tab w:val="left" w:pos="180"/>
        </w:tabs>
        <w:ind w:left="1172" w:hanging="629"/>
      </w:pPr>
      <w:rPr>
        <w:rFonts w:hint="eastAsia" w:cs="Times New Roman"/>
        <w:vertAlign w:val="baseline"/>
      </w:rPr>
    </w:lvl>
    <w:lvl w:ilvl="2" w:tentative="0">
      <w:start w:val="1"/>
      <w:numFmt w:val="lowerRoman"/>
      <w:lvlText w:val="%3."/>
      <w:lvlJc w:val="right"/>
      <w:pPr>
        <w:tabs>
          <w:tab w:val="left" w:pos="180"/>
        </w:tabs>
        <w:ind w:left="1172" w:hanging="629"/>
      </w:pPr>
      <w:rPr>
        <w:rFonts w:hint="eastAsia" w:cs="Times New Roman"/>
        <w:vertAlign w:val="baseline"/>
      </w:rPr>
    </w:lvl>
    <w:lvl w:ilvl="3" w:tentative="0">
      <w:start w:val="1"/>
      <w:numFmt w:val="decimal"/>
      <w:lvlText w:val="%4."/>
      <w:lvlJc w:val="left"/>
      <w:pPr>
        <w:tabs>
          <w:tab w:val="left" w:pos="180"/>
        </w:tabs>
        <w:ind w:left="1172" w:hanging="629"/>
      </w:pPr>
      <w:rPr>
        <w:rFonts w:hint="eastAsia" w:cs="Times New Roman"/>
        <w:vertAlign w:val="baseline"/>
      </w:rPr>
    </w:lvl>
    <w:lvl w:ilvl="4" w:tentative="0">
      <w:start w:val="1"/>
      <w:numFmt w:val="lowerLetter"/>
      <w:lvlText w:val="%5)"/>
      <w:lvlJc w:val="left"/>
      <w:pPr>
        <w:tabs>
          <w:tab w:val="left" w:pos="180"/>
        </w:tabs>
        <w:ind w:left="1172" w:hanging="629"/>
      </w:pPr>
      <w:rPr>
        <w:rFonts w:hint="eastAsia" w:cs="Times New Roman"/>
        <w:vertAlign w:val="baseline"/>
      </w:rPr>
    </w:lvl>
    <w:lvl w:ilvl="5" w:tentative="0">
      <w:start w:val="1"/>
      <w:numFmt w:val="lowerRoman"/>
      <w:lvlText w:val="%6."/>
      <w:lvlJc w:val="right"/>
      <w:pPr>
        <w:tabs>
          <w:tab w:val="left" w:pos="180"/>
        </w:tabs>
        <w:ind w:left="1172" w:hanging="629"/>
      </w:pPr>
      <w:rPr>
        <w:rFonts w:hint="eastAsia" w:cs="Times New Roman"/>
        <w:vertAlign w:val="baseline"/>
      </w:rPr>
    </w:lvl>
    <w:lvl w:ilvl="6" w:tentative="0">
      <w:start w:val="1"/>
      <w:numFmt w:val="decimal"/>
      <w:lvlText w:val="%7."/>
      <w:lvlJc w:val="left"/>
      <w:pPr>
        <w:tabs>
          <w:tab w:val="left" w:pos="180"/>
        </w:tabs>
        <w:ind w:left="1172" w:hanging="629"/>
      </w:pPr>
      <w:rPr>
        <w:rFonts w:hint="eastAsia" w:cs="Times New Roman"/>
        <w:vertAlign w:val="baseline"/>
      </w:rPr>
    </w:lvl>
    <w:lvl w:ilvl="7" w:tentative="0">
      <w:start w:val="1"/>
      <w:numFmt w:val="lowerLetter"/>
      <w:lvlText w:val="%8)"/>
      <w:lvlJc w:val="left"/>
      <w:pPr>
        <w:tabs>
          <w:tab w:val="left" w:pos="180"/>
        </w:tabs>
        <w:ind w:left="1172" w:hanging="629"/>
      </w:pPr>
      <w:rPr>
        <w:rFonts w:hint="eastAsia" w:cs="Times New Roman"/>
        <w:vertAlign w:val="baseline"/>
      </w:rPr>
    </w:lvl>
    <w:lvl w:ilvl="8" w:tentative="0">
      <w:start w:val="1"/>
      <w:numFmt w:val="lowerRoman"/>
      <w:lvlText w:val="%9."/>
      <w:lvlJc w:val="right"/>
      <w:pPr>
        <w:tabs>
          <w:tab w:val="left" w:pos="180"/>
        </w:tabs>
        <w:ind w:left="1172" w:hanging="629"/>
      </w:pPr>
      <w:rPr>
        <w:rFonts w:hint="eastAsia" w:cs="Times New Roman"/>
        <w:vertAlign w:val="baseline"/>
      </w:rPr>
    </w:lvl>
  </w:abstractNum>
  <w:abstractNum w:abstractNumId="6">
    <w:nsid w:val="1FC91163"/>
    <w:multiLevelType w:val="multilevel"/>
    <w:tmpl w:val="1FC91163"/>
    <w:lvl w:ilvl="0" w:tentative="0">
      <w:start w:val="1"/>
      <w:numFmt w:val="decimal"/>
      <w:pStyle w:val="45"/>
      <w:suff w:val="nothing"/>
      <w:lvlText w:val="%1　"/>
      <w:lvlJc w:val="left"/>
      <w:rPr>
        <w:rFonts w:hint="eastAsia" w:ascii="黑体" w:hAnsi="Times New Roman" w:eastAsia="黑体" w:cs="Times New Roman"/>
        <w:b w:val="0"/>
        <w:i w:val="0"/>
        <w:sz w:val="21"/>
        <w:szCs w:val="21"/>
      </w:rPr>
    </w:lvl>
    <w:lvl w:ilvl="1" w:tentative="0">
      <w:start w:val="1"/>
      <w:numFmt w:val="decimal"/>
      <w:pStyle w:val="42"/>
      <w:suff w:val="nothing"/>
      <w:lvlText w:val="%1.%2　"/>
      <w:lvlJc w:val="left"/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pStyle w:val="46"/>
      <w:suff w:val="nothing"/>
      <w:lvlText w:val="%1.%2.%3　"/>
      <w:lvlJc w:val="left"/>
      <w:rPr>
        <w:rFonts w:hint="eastAsia" w:ascii="黑体" w:hAnsi="Times New Roman" w:eastAsia="黑体" w:cs="Times New Roman"/>
        <w:b w:val="0"/>
        <w:i w:val="0"/>
        <w:sz w:val="21"/>
      </w:rPr>
    </w:lvl>
    <w:lvl w:ilvl="3" w:tentative="0">
      <w:start w:val="1"/>
      <w:numFmt w:val="decimal"/>
      <w:pStyle w:val="51"/>
      <w:suff w:val="nothing"/>
      <w:lvlText w:val="%1.%2.%3.%4　"/>
      <w:lvlJc w:val="left"/>
      <w:rPr>
        <w:rFonts w:hint="eastAsia" w:ascii="黑体" w:hAnsi="Times New Roman" w:eastAsia="黑体" w:cs="Times New Roman"/>
        <w:b w:val="0"/>
        <w:i w:val="0"/>
        <w:sz w:val="21"/>
      </w:rPr>
    </w:lvl>
    <w:lvl w:ilvl="4" w:tentative="0">
      <w:start w:val="1"/>
      <w:numFmt w:val="decimal"/>
      <w:pStyle w:val="55"/>
      <w:suff w:val="nothing"/>
      <w:lvlText w:val="%1.%2.%3.%4.%5　"/>
      <w:lvlJc w:val="left"/>
      <w:pPr>
        <w:ind w:left="1701"/>
      </w:pPr>
      <w:rPr>
        <w:rFonts w:hint="eastAsia" w:ascii="黑体" w:hAnsi="Times New Roman" w:eastAsia="黑体" w:cs="Times New Roman"/>
        <w:b w:val="0"/>
        <w:i w:val="0"/>
        <w:sz w:val="21"/>
      </w:rPr>
    </w:lvl>
    <w:lvl w:ilvl="5" w:tentative="0">
      <w:start w:val="1"/>
      <w:numFmt w:val="decimal"/>
      <w:pStyle w:val="56"/>
      <w:suff w:val="nothing"/>
      <w:lvlText w:val="%1.%2.%3.%4.%5.%6　"/>
      <w:lvlJc w:val="left"/>
      <w:rPr>
        <w:rFonts w:hint="eastAsia" w:ascii="黑体" w:hAnsi="Times New Roman" w:eastAsia="黑体" w:cs="Times New Roman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rPr>
        <w:rFonts w:hint="eastAsia" w:ascii="黑体" w:hAnsi="Times New Roman" w:eastAsia="黑体" w:cs="Times New Roman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 w:cs="Times New Roman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 w:cs="Times New Roman"/>
      </w:rPr>
    </w:lvl>
  </w:abstractNum>
  <w:abstractNum w:abstractNumId="7">
    <w:nsid w:val="2A8F7113"/>
    <w:multiLevelType w:val="multilevel"/>
    <w:tmpl w:val="2A8F7113"/>
    <w:lvl w:ilvl="0" w:tentative="0">
      <w:start w:val="1"/>
      <w:numFmt w:val="upperLetter"/>
      <w:pStyle w:val="100"/>
      <w:suff w:val="space"/>
      <w:lvlText w:val="%1"/>
      <w:lvlJc w:val="left"/>
      <w:pPr>
        <w:ind w:left="623" w:hanging="425"/>
      </w:pPr>
      <w:rPr>
        <w:rFonts w:hint="eastAsia" w:cs="Times New Roman"/>
      </w:rPr>
    </w:lvl>
    <w:lvl w:ilvl="1" w:tentative="0">
      <w:start w:val="1"/>
      <w:numFmt w:val="decimal"/>
      <w:pStyle w:val="101"/>
      <w:suff w:val="nothing"/>
      <w:lvlText w:val="图%1.%2　"/>
      <w:lvlJc w:val="left"/>
      <w:pPr>
        <w:ind w:left="1190" w:hanging="567"/>
      </w:pPr>
      <w:rPr>
        <w:rFonts w:hint="eastAsia" w:cs="Times New Roman"/>
      </w:rPr>
    </w:lvl>
    <w:lvl w:ilvl="2" w:tentative="0">
      <w:start w:val="1"/>
      <w:numFmt w:val="decimal"/>
      <w:lvlText w:val="%1.%2.%3"/>
      <w:lvlJc w:val="left"/>
      <w:pPr>
        <w:tabs>
          <w:tab w:val="left" w:pos="1616"/>
        </w:tabs>
        <w:ind w:left="1616" w:hanging="567"/>
      </w:pPr>
      <w:rPr>
        <w:rFonts w:hint="eastAsia" w:cs="Times New Roman"/>
      </w:rPr>
    </w:lvl>
    <w:lvl w:ilvl="3" w:tentative="0">
      <w:start w:val="1"/>
      <w:numFmt w:val="decimal"/>
      <w:lvlText w:val="%1.%2.%3.%4"/>
      <w:lvlJc w:val="left"/>
      <w:pPr>
        <w:tabs>
          <w:tab w:val="left" w:pos="2914"/>
        </w:tabs>
        <w:ind w:left="2182" w:hanging="708"/>
      </w:pPr>
      <w:rPr>
        <w:rFonts w:hint="eastAsia" w:cs="Times New Roman"/>
      </w:rPr>
    </w:lvl>
    <w:lvl w:ilvl="4" w:tentative="0">
      <w:start w:val="1"/>
      <w:numFmt w:val="decimal"/>
      <w:lvlText w:val="%1.%2.%3.%4.%5"/>
      <w:lvlJc w:val="left"/>
      <w:pPr>
        <w:tabs>
          <w:tab w:val="left" w:pos="3699"/>
        </w:tabs>
        <w:ind w:left="2749" w:hanging="850"/>
      </w:pPr>
      <w:rPr>
        <w:rFonts w:hint="eastAsia" w:cs="Times New Roman"/>
      </w:rPr>
    </w:lvl>
    <w:lvl w:ilvl="5" w:tentative="0">
      <w:start w:val="1"/>
      <w:numFmt w:val="decimal"/>
      <w:lvlText w:val="%1.%2.%3.%4.%5.%6"/>
      <w:lvlJc w:val="left"/>
      <w:pPr>
        <w:tabs>
          <w:tab w:val="left" w:pos="4484"/>
        </w:tabs>
        <w:ind w:left="3458" w:hanging="1134"/>
      </w:pPr>
      <w:rPr>
        <w:rFonts w:hint="eastAsia" w:cs="Times New Roman"/>
      </w:rPr>
    </w:lvl>
    <w:lvl w:ilvl="6" w:tentative="0">
      <w:start w:val="1"/>
      <w:numFmt w:val="decimal"/>
      <w:lvlText w:val="%1.%2.%3.%4.%5.%6.%7"/>
      <w:lvlJc w:val="left"/>
      <w:pPr>
        <w:tabs>
          <w:tab w:val="left" w:pos="5269"/>
        </w:tabs>
        <w:ind w:left="4025" w:hanging="1276"/>
      </w:pPr>
      <w:rPr>
        <w:rFonts w:hint="eastAsia" w:cs="Times New Roman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6054"/>
        </w:tabs>
        <w:ind w:left="4592" w:hanging="1418"/>
      </w:pPr>
      <w:rPr>
        <w:rFonts w:hint="eastAsia" w:cs="Times New Roman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840"/>
        </w:tabs>
        <w:ind w:left="5300" w:hanging="1700"/>
      </w:pPr>
      <w:rPr>
        <w:rFonts w:hint="eastAsia" w:cs="Times New Roman"/>
      </w:rPr>
    </w:lvl>
  </w:abstractNum>
  <w:abstractNum w:abstractNumId="8">
    <w:nsid w:val="2C5917C3"/>
    <w:multiLevelType w:val="multilevel"/>
    <w:tmpl w:val="2C5917C3"/>
    <w:lvl w:ilvl="0" w:tentative="0">
      <w:start w:val="1"/>
      <w:numFmt w:val="none"/>
      <w:pStyle w:val="48"/>
      <w:suff w:val="nothing"/>
      <w:lvlText w:val="%1——"/>
      <w:lvlJc w:val="left"/>
      <w:pPr>
        <w:ind w:left="833" w:hanging="408"/>
      </w:pPr>
      <w:rPr>
        <w:rFonts w:hint="eastAsia" w:cs="Times New Roman"/>
      </w:rPr>
    </w:lvl>
    <w:lvl w:ilvl="1" w:tentative="0">
      <w:start w:val="1"/>
      <w:numFmt w:val="bullet"/>
      <w:pStyle w:val="49"/>
      <w:lvlText w:val=""/>
      <w:lvlJc w:val="left"/>
      <w:pPr>
        <w:tabs>
          <w:tab w:val="left" w:pos="760"/>
        </w:tabs>
        <w:ind w:left="1264" w:hanging="413"/>
      </w:pPr>
      <w:rPr>
        <w:rFonts w:hint="default" w:ascii="Symbol" w:hAnsi="Symbol"/>
        <w:color w:val="auto"/>
      </w:rPr>
    </w:lvl>
    <w:lvl w:ilvl="2" w:tentative="0">
      <w:start w:val="1"/>
      <w:numFmt w:val="bullet"/>
      <w:pStyle w:val="62"/>
      <w:lvlText w:val=""/>
      <w:lvlJc w:val="left"/>
      <w:pPr>
        <w:tabs>
          <w:tab w:val="left" w:pos="1678"/>
        </w:tabs>
        <w:ind w:left="1678" w:hanging="414"/>
      </w:pPr>
      <w:rPr>
        <w:rFonts w:hint="default" w:ascii="Symbol" w:hAnsi="Symbol"/>
        <w:color w:val="auto"/>
      </w:rPr>
    </w:lvl>
    <w:lvl w:ilvl="3" w:tentative="0">
      <w:start w:val="1"/>
      <w:numFmt w:val="decimal"/>
      <w:lvlText w:val="%4."/>
      <w:lvlJc w:val="left"/>
      <w:pPr>
        <w:tabs>
          <w:tab w:val="left" w:pos="2071"/>
        </w:tabs>
        <w:ind w:left="1884" w:hanging="528"/>
      </w:pPr>
      <w:rPr>
        <w:rFonts w:hint="eastAsia"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2383"/>
        </w:tabs>
        <w:ind w:left="2196" w:hanging="528"/>
      </w:pPr>
      <w:rPr>
        <w:rFonts w:hint="eastAsia"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2695"/>
        </w:tabs>
        <w:ind w:left="2508" w:hanging="528"/>
      </w:pPr>
      <w:rPr>
        <w:rFonts w:hint="eastAsia"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3007"/>
        </w:tabs>
        <w:ind w:left="2820" w:hanging="528"/>
      </w:pPr>
      <w:rPr>
        <w:rFonts w:hint="eastAsia"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3319"/>
        </w:tabs>
        <w:ind w:left="3132" w:hanging="528"/>
      </w:pPr>
      <w:rPr>
        <w:rFonts w:hint="eastAsia"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3631"/>
        </w:tabs>
        <w:ind w:left="3444" w:hanging="528"/>
      </w:pPr>
      <w:rPr>
        <w:rFonts w:hint="eastAsia" w:cs="Times New Roman"/>
      </w:rPr>
    </w:lvl>
  </w:abstractNum>
  <w:abstractNum w:abstractNumId="9">
    <w:nsid w:val="3D733618"/>
    <w:multiLevelType w:val="multilevel"/>
    <w:tmpl w:val="3D733618"/>
    <w:lvl w:ilvl="0" w:tentative="0">
      <w:start w:val="1"/>
      <w:numFmt w:val="decimal"/>
      <w:pStyle w:val="24"/>
      <w:lvlText w:val="%1)"/>
      <w:lvlJc w:val="left"/>
      <w:pPr>
        <w:tabs>
          <w:tab w:val="left" w:pos="0"/>
        </w:tabs>
        <w:ind w:left="720" w:hanging="357"/>
      </w:pPr>
      <w:rPr>
        <w:rFonts w:hint="eastAsia" w:cs="Times New Roman"/>
      </w:rPr>
    </w:lvl>
    <w:lvl w:ilvl="1" w:tentative="0">
      <w:start w:val="1"/>
      <w:numFmt w:val="lowerLetter"/>
      <w:lvlText w:val="%2)"/>
      <w:lvlJc w:val="left"/>
      <w:pPr>
        <w:tabs>
          <w:tab w:val="left" w:pos="504"/>
        </w:tabs>
        <w:ind w:left="544" w:hanging="544"/>
      </w:pPr>
      <w:rPr>
        <w:rFonts w:hint="eastAsia"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532"/>
        </w:tabs>
        <w:ind w:left="544" w:hanging="544"/>
      </w:pPr>
      <w:rPr>
        <w:rFonts w:hint="eastAsia"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560"/>
        </w:tabs>
        <w:ind w:left="544" w:hanging="544"/>
      </w:pPr>
      <w:rPr>
        <w:rFonts w:hint="eastAsia"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588"/>
        </w:tabs>
        <w:ind w:left="544" w:hanging="544"/>
      </w:pPr>
      <w:rPr>
        <w:rFonts w:hint="eastAsia"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616"/>
        </w:tabs>
        <w:ind w:left="544" w:hanging="544"/>
      </w:pPr>
      <w:rPr>
        <w:rFonts w:hint="eastAsia"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644"/>
        </w:tabs>
        <w:ind w:left="544" w:hanging="544"/>
      </w:pPr>
      <w:rPr>
        <w:rFonts w:hint="eastAsia"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672"/>
        </w:tabs>
        <w:ind w:left="544" w:hanging="544"/>
      </w:pPr>
      <w:rPr>
        <w:rFonts w:hint="eastAsia"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700"/>
        </w:tabs>
        <w:ind w:left="544" w:hanging="544"/>
      </w:pPr>
      <w:rPr>
        <w:rFonts w:hint="eastAsia" w:cs="Times New Roman"/>
      </w:rPr>
    </w:lvl>
  </w:abstractNum>
  <w:abstractNum w:abstractNumId="10">
    <w:nsid w:val="44C50F90"/>
    <w:multiLevelType w:val="multilevel"/>
    <w:tmpl w:val="44C50F90"/>
    <w:lvl w:ilvl="0" w:tentative="0">
      <w:start w:val="1"/>
      <w:numFmt w:val="lowerLetter"/>
      <w:pStyle w:val="61"/>
      <w:lvlText w:val="%1)"/>
      <w:lvlJc w:val="left"/>
      <w:pPr>
        <w:tabs>
          <w:tab w:val="left" w:pos="840"/>
        </w:tabs>
        <w:ind w:left="839" w:hanging="419"/>
      </w:pPr>
      <w:rPr>
        <w:rFonts w:hint="eastAsia" w:ascii="宋体" w:eastAsia="宋体" w:cs="Times New Roman"/>
        <w:b w:val="0"/>
        <w:i w:val="0"/>
        <w:sz w:val="21"/>
        <w:szCs w:val="21"/>
      </w:rPr>
    </w:lvl>
    <w:lvl w:ilvl="1" w:tentative="0">
      <w:start w:val="1"/>
      <w:numFmt w:val="decimal"/>
      <w:pStyle w:val="54"/>
      <w:lvlText w:val="%2)"/>
      <w:lvlJc w:val="left"/>
      <w:pPr>
        <w:tabs>
          <w:tab w:val="left" w:pos="1260"/>
        </w:tabs>
        <w:ind w:left="1259" w:hanging="419"/>
      </w:pPr>
      <w:rPr>
        <w:rFonts w:hint="eastAsia" w:cs="Times New Roman"/>
      </w:rPr>
    </w:lvl>
    <w:lvl w:ilvl="2" w:tentative="0">
      <w:start w:val="1"/>
      <w:numFmt w:val="decimal"/>
      <w:pStyle w:val="63"/>
      <w:lvlText w:val="(%3)"/>
      <w:lvlJc w:val="left"/>
      <w:pPr>
        <w:tabs>
          <w:tab w:val="left" w:pos="0"/>
        </w:tabs>
        <w:ind w:left="1679" w:hanging="420"/>
      </w:pPr>
      <w:rPr>
        <w:rFonts w:hint="eastAsia" w:ascii="宋体" w:eastAsia="宋体" w:cs="Times New Roman"/>
        <w:b w:val="0"/>
        <w:i w:val="0"/>
        <w:sz w:val="21"/>
        <w:szCs w:val="21"/>
      </w:r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099" w:hanging="419"/>
      </w:pPr>
      <w:rPr>
        <w:rFonts w:hint="eastAsia"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19" w:hanging="419"/>
      </w:pPr>
      <w:rPr>
        <w:rFonts w:hint="eastAsia"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39" w:hanging="419"/>
      </w:pPr>
      <w:rPr>
        <w:rFonts w:hint="eastAsia"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59" w:hanging="419"/>
      </w:pPr>
      <w:rPr>
        <w:rFonts w:hint="eastAsia"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79" w:hanging="419"/>
      </w:pPr>
      <w:rPr>
        <w:rFonts w:hint="eastAsia"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199" w:hanging="419"/>
      </w:pPr>
      <w:rPr>
        <w:rFonts w:hint="eastAsia" w:cs="Times New Roman"/>
      </w:rPr>
    </w:lvl>
  </w:abstractNum>
  <w:abstractNum w:abstractNumId="11">
    <w:nsid w:val="4B733A5F"/>
    <w:multiLevelType w:val="multilevel"/>
    <w:tmpl w:val="4B733A5F"/>
    <w:lvl w:ilvl="0" w:tentative="0">
      <w:start w:val="1"/>
      <w:numFmt w:val="decimal"/>
      <w:pStyle w:val="64"/>
      <w:suff w:val="nothing"/>
      <w:lvlText w:val="示例%1："/>
      <w:lvlJc w:val="left"/>
      <w:pPr>
        <w:ind w:firstLine="363"/>
      </w:pPr>
      <w:rPr>
        <w:rFonts w:hint="eastAsia" w:ascii="黑体" w:hAnsi="Times New Roman" w:eastAsia="黑体" w:cs="Times New Roman"/>
        <w:b w:val="0"/>
        <w:i w:val="0"/>
        <w:sz w:val="18"/>
        <w:szCs w:val="18"/>
        <w:vertAlign w:val="baseline"/>
      </w:rPr>
    </w:lvl>
    <w:lvl w:ilvl="1" w:tentative="0">
      <w:start w:val="1"/>
      <w:numFmt w:val="none"/>
      <w:suff w:val="space"/>
      <w:lvlText w:val=""/>
      <w:lvlJc w:val="left"/>
      <w:rPr>
        <w:rFonts w:hint="eastAsia" w:cs="Times New Roman"/>
        <w:vertAlign w:val="baseline"/>
      </w:rPr>
    </w:lvl>
    <w:lvl w:ilvl="2" w:tentative="0">
      <w:start w:val="1"/>
      <w:numFmt w:val="decimal"/>
      <w:suff w:val="space"/>
      <w:lvlText w:val="2.2.%3"/>
      <w:lvlJc w:val="left"/>
      <w:rPr>
        <w:rFonts w:hint="eastAsia" w:cs="Times New Roman"/>
        <w:vertAlign w:val="baseline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 w:cs="Times New Roman"/>
        <w:vertAlign w:val="baseline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 w:cs="Times New Roman"/>
        <w:vertAlign w:val="baseline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 w:cs="Times New Roman"/>
        <w:vertAlign w:val="baseline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 w:cs="Times New Roman"/>
        <w:vertAlign w:val="baseline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 w:cs="Times New Roman"/>
        <w:vertAlign w:val="baseline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 w:cs="Times New Roman"/>
        <w:vertAlign w:val="baseline"/>
      </w:rPr>
    </w:lvl>
  </w:abstractNum>
  <w:abstractNum w:abstractNumId="12">
    <w:nsid w:val="557C2AF5"/>
    <w:multiLevelType w:val="multilevel"/>
    <w:tmpl w:val="557C2AF5"/>
    <w:lvl w:ilvl="0" w:tentative="0">
      <w:start w:val="1"/>
      <w:numFmt w:val="decimal"/>
      <w:pStyle w:val="133"/>
      <w:suff w:val="nothing"/>
      <w:lvlText w:val="图%1　"/>
      <w:lvlJc w:val="left"/>
      <w:rPr>
        <w:rFonts w:hint="eastAsia" w:ascii="黑体" w:hAnsi="Times New Roman" w:eastAsia="黑体" w:cs="Times New Roman"/>
        <w:b w:val="0"/>
        <w:i w:val="0"/>
        <w:sz w:val="21"/>
      </w:rPr>
    </w:lvl>
    <w:lvl w:ilvl="1" w:tentative="0">
      <w:start w:val="1"/>
      <w:numFmt w:val="decimal"/>
      <w:suff w:val="nothing"/>
      <w:lvlText w:val="%1%2　"/>
      <w:lvlJc w:val="left"/>
      <w:rPr>
        <w:rFonts w:hint="default" w:ascii="Times New Roman" w:hAnsi="Times New Roman" w:eastAsia="黑体" w:cs="Times New Roman"/>
        <w:b w:val="0"/>
        <w:i w:val="0"/>
        <w:sz w:val="21"/>
      </w:rPr>
    </w:lvl>
    <w:lvl w:ilvl="2" w:tentative="0">
      <w:start w:val="1"/>
      <w:numFmt w:val="decimal"/>
      <w:suff w:val="nothing"/>
      <w:lvlText w:val="%1%2.%3　"/>
      <w:lvlJc w:val="left"/>
      <w:rPr>
        <w:rFonts w:hint="default" w:ascii="Times New Roman" w:hAnsi="Times New Roman" w:eastAsia="黑体" w:cs="Times New Roman"/>
        <w:b w:val="0"/>
        <w:i w:val="0"/>
        <w:sz w:val="21"/>
      </w:rPr>
    </w:lvl>
    <w:lvl w:ilvl="3" w:tentative="0">
      <w:start w:val="1"/>
      <w:numFmt w:val="decimal"/>
      <w:suff w:val="nothing"/>
      <w:lvlText w:val="%1%2.%3.%4　"/>
      <w:lvlJc w:val="left"/>
      <w:rPr>
        <w:rFonts w:hint="default" w:ascii="Times New Roman" w:hAnsi="Times New Roman" w:eastAsia="黑体" w:cs="Times New Roman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rPr>
        <w:rFonts w:hint="default" w:ascii="Times New Roman" w:hAnsi="Times New Roman" w:eastAsia="黑体" w:cs="Times New Roman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rPr>
        <w:rFonts w:hint="default" w:ascii="Times New Roman" w:hAnsi="Times New Roman" w:eastAsia="黑体" w:cs="Times New Roman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rPr>
        <w:rFonts w:hint="default" w:ascii="Times New Roman" w:hAnsi="Times New Roman" w:eastAsia="黑体" w:cs="Times New Roman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 w:cs="Times New Roman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 w:cs="Times New Roman"/>
      </w:rPr>
    </w:lvl>
  </w:abstractNum>
  <w:abstractNum w:abstractNumId="13">
    <w:nsid w:val="60B55DC2"/>
    <w:multiLevelType w:val="multilevel"/>
    <w:tmpl w:val="60B55DC2"/>
    <w:lvl w:ilvl="0" w:tentative="0">
      <w:start w:val="1"/>
      <w:numFmt w:val="upperLetter"/>
      <w:pStyle w:val="88"/>
      <w:lvlText w:val="%1"/>
      <w:lvlJc w:val="left"/>
      <w:pPr>
        <w:tabs>
          <w:tab w:val="left" w:pos="5245"/>
        </w:tabs>
        <w:ind w:left="5245" w:hanging="425"/>
      </w:pPr>
      <w:rPr>
        <w:rFonts w:hint="eastAsia" w:cs="Times New Roman"/>
      </w:rPr>
    </w:lvl>
    <w:lvl w:ilvl="1" w:tentative="0">
      <w:start w:val="1"/>
      <w:numFmt w:val="decimal"/>
      <w:pStyle w:val="89"/>
      <w:suff w:val="nothing"/>
      <w:lvlText w:val="表%1.%2　"/>
      <w:lvlJc w:val="left"/>
      <w:pPr>
        <w:ind w:left="5812" w:hanging="567"/>
      </w:pPr>
      <w:rPr>
        <w:rFonts w:hint="eastAsia" w:cs="Times New Roman"/>
      </w:rPr>
    </w:lvl>
    <w:lvl w:ilvl="2" w:tentative="0">
      <w:start w:val="1"/>
      <w:numFmt w:val="decimal"/>
      <w:lvlText w:val="%1.%2.%3"/>
      <w:lvlJc w:val="left"/>
      <w:pPr>
        <w:tabs>
          <w:tab w:val="left" w:pos="6238"/>
        </w:tabs>
        <w:ind w:left="6238" w:hanging="567"/>
      </w:pPr>
      <w:rPr>
        <w:rFonts w:hint="eastAsia" w:cs="Times New Roman"/>
      </w:rPr>
    </w:lvl>
    <w:lvl w:ilvl="3" w:tentative="0">
      <w:start w:val="1"/>
      <w:numFmt w:val="decimal"/>
      <w:lvlText w:val="%1.%2.%3.%4"/>
      <w:lvlJc w:val="left"/>
      <w:pPr>
        <w:tabs>
          <w:tab w:val="left" w:pos="7536"/>
        </w:tabs>
        <w:ind w:left="6804" w:hanging="708"/>
      </w:pPr>
      <w:rPr>
        <w:rFonts w:hint="eastAsia" w:cs="Times New Roman"/>
      </w:rPr>
    </w:lvl>
    <w:lvl w:ilvl="4" w:tentative="0">
      <w:start w:val="1"/>
      <w:numFmt w:val="decimal"/>
      <w:lvlText w:val="%1.%2.%3.%4.%5"/>
      <w:lvlJc w:val="left"/>
      <w:pPr>
        <w:tabs>
          <w:tab w:val="left" w:pos="8321"/>
        </w:tabs>
        <w:ind w:left="7371" w:hanging="850"/>
      </w:pPr>
      <w:rPr>
        <w:rFonts w:hint="eastAsia" w:cs="Times New Roman"/>
      </w:rPr>
    </w:lvl>
    <w:lvl w:ilvl="5" w:tentative="0">
      <w:start w:val="1"/>
      <w:numFmt w:val="decimal"/>
      <w:lvlText w:val="%1.%2.%3.%4.%5.%6"/>
      <w:lvlJc w:val="left"/>
      <w:pPr>
        <w:tabs>
          <w:tab w:val="left" w:pos="9106"/>
        </w:tabs>
        <w:ind w:left="8080" w:hanging="1134"/>
      </w:pPr>
      <w:rPr>
        <w:rFonts w:hint="eastAsia" w:cs="Times New Roman"/>
      </w:rPr>
    </w:lvl>
    <w:lvl w:ilvl="6" w:tentative="0">
      <w:start w:val="1"/>
      <w:numFmt w:val="decimal"/>
      <w:lvlText w:val="%1.%2.%3.%4.%5.%6.%7"/>
      <w:lvlJc w:val="left"/>
      <w:pPr>
        <w:tabs>
          <w:tab w:val="left" w:pos="9891"/>
        </w:tabs>
        <w:ind w:left="8647" w:hanging="1276"/>
      </w:pPr>
      <w:rPr>
        <w:rFonts w:hint="eastAsia" w:cs="Times New Roman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0676"/>
        </w:tabs>
        <w:ind w:left="9214" w:hanging="1418"/>
      </w:pPr>
      <w:rPr>
        <w:rFonts w:hint="eastAsia" w:cs="Times New Roman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1462"/>
        </w:tabs>
        <w:ind w:left="9922" w:hanging="1700"/>
      </w:pPr>
      <w:rPr>
        <w:rFonts w:hint="eastAsia" w:cs="Times New Roman"/>
      </w:rPr>
    </w:lvl>
  </w:abstractNum>
  <w:abstractNum w:abstractNumId="14">
    <w:nsid w:val="646260FA"/>
    <w:multiLevelType w:val="multilevel"/>
    <w:tmpl w:val="646260FA"/>
    <w:lvl w:ilvl="0" w:tentative="0">
      <w:start w:val="1"/>
      <w:numFmt w:val="decimal"/>
      <w:pStyle w:val="131"/>
      <w:suff w:val="nothing"/>
      <w:lvlText w:val="表%1　"/>
      <w:lvlJc w:val="left"/>
      <w:rPr>
        <w:rFonts w:hint="eastAsia" w:ascii="黑体" w:hAnsi="Times New Roman" w:eastAsia="黑体" w:cs="Times New Roman"/>
        <w:b w:val="0"/>
        <w:i w:val="0"/>
        <w:sz w:val="21"/>
      </w:rPr>
    </w:lvl>
    <w:lvl w:ilvl="1" w:tentative="0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  <w:rPr>
        <w:rFonts w:hint="eastAsia" w:cs="Times New Roman"/>
      </w:rPr>
    </w:lvl>
    <w:lvl w:ilvl="2" w:tentative="0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  <w:rPr>
        <w:rFonts w:hint="eastAsia" w:cs="Times New Roman"/>
      </w:rPr>
    </w:lvl>
    <w:lvl w:ilvl="3" w:tentative="0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  <w:rPr>
        <w:rFonts w:hint="eastAsia" w:cs="Times New Roman"/>
      </w:rPr>
    </w:lvl>
    <w:lvl w:ilvl="4" w:tentative="0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  <w:rPr>
        <w:rFonts w:hint="eastAsia" w:cs="Times New Roman"/>
      </w:rPr>
    </w:lvl>
    <w:lvl w:ilvl="5" w:tentative="0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  <w:rPr>
        <w:rFonts w:hint="eastAsia" w:cs="Times New Roman"/>
      </w:rPr>
    </w:lvl>
    <w:lvl w:ilvl="6" w:tentative="0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  <w:rPr>
        <w:rFonts w:hint="eastAsia" w:cs="Times New Roman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 w:cs="Times New Roman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 w:cs="Times New Roman"/>
      </w:rPr>
    </w:lvl>
  </w:abstractNum>
  <w:abstractNum w:abstractNumId="15">
    <w:nsid w:val="657D3FBC"/>
    <w:multiLevelType w:val="multilevel"/>
    <w:tmpl w:val="657D3FBC"/>
    <w:lvl w:ilvl="0" w:tentative="0">
      <w:start w:val="1"/>
      <w:numFmt w:val="upperLetter"/>
      <w:pStyle w:val="86"/>
      <w:suff w:val="nothing"/>
      <w:lvlText w:val="附　录　%1"/>
      <w:lvlJc w:val="left"/>
      <w:rPr>
        <w:rFonts w:hint="eastAsia" w:ascii="黑体" w:hAnsi="Times New Roman" w:eastAsia="黑体" w:cs="Times New Roman"/>
        <w:b w:val="0"/>
        <w:i w:val="0"/>
        <w:spacing w:val="0"/>
        <w:w w:val="100"/>
        <w:sz w:val="21"/>
      </w:rPr>
    </w:lvl>
    <w:lvl w:ilvl="1" w:tentative="0">
      <w:start w:val="1"/>
      <w:numFmt w:val="decimal"/>
      <w:pStyle w:val="104"/>
      <w:suff w:val="nothing"/>
      <w:lvlText w:val="%1.%2　"/>
      <w:lvlJc w:val="left"/>
      <w:rPr>
        <w:rFonts w:hint="eastAsia" w:ascii="黑体" w:hAnsi="Times New Roman" w:eastAsia="黑体" w:cs="Times New Roman"/>
        <w:b w:val="0"/>
        <w:i w:val="0"/>
        <w:snapToGrid/>
        <w:spacing w:val="0"/>
        <w:w w:val="100"/>
        <w:kern w:val="21"/>
        <w:sz w:val="21"/>
      </w:rPr>
    </w:lvl>
    <w:lvl w:ilvl="2" w:tentative="0">
      <w:start w:val="1"/>
      <w:numFmt w:val="decimal"/>
      <w:pStyle w:val="105"/>
      <w:suff w:val="nothing"/>
      <w:lvlText w:val="%1.%2.%3　"/>
      <w:lvlJc w:val="left"/>
      <w:rPr>
        <w:rFonts w:hint="eastAsia" w:ascii="黑体" w:hAnsi="Times New Roman" w:eastAsia="黑体" w:cs="Times New Roman"/>
        <w:b w:val="0"/>
        <w:i w:val="0"/>
        <w:sz w:val="21"/>
      </w:rPr>
    </w:lvl>
    <w:lvl w:ilvl="3" w:tentative="0">
      <w:start w:val="1"/>
      <w:numFmt w:val="decimal"/>
      <w:pStyle w:val="90"/>
      <w:suff w:val="nothing"/>
      <w:lvlText w:val="%1.%2.%3.%4　"/>
      <w:lvlJc w:val="left"/>
      <w:rPr>
        <w:rFonts w:hint="eastAsia" w:ascii="黑体" w:hAnsi="Times New Roman" w:eastAsia="黑体" w:cs="Times New Roman"/>
        <w:b w:val="0"/>
        <w:i w:val="0"/>
        <w:sz w:val="21"/>
      </w:rPr>
    </w:lvl>
    <w:lvl w:ilvl="4" w:tentative="0">
      <w:start w:val="1"/>
      <w:numFmt w:val="decimal"/>
      <w:pStyle w:val="95"/>
      <w:suff w:val="nothing"/>
      <w:lvlText w:val="%1.%2.%3.%4.%5　"/>
      <w:lvlJc w:val="left"/>
      <w:rPr>
        <w:rFonts w:hint="eastAsia" w:ascii="黑体" w:hAnsi="Times New Roman" w:eastAsia="黑体" w:cs="Times New Roman"/>
        <w:b w:val="0"/>
        <w:i w:val="0"/>
        <w:sz w:val="21"/>
      </w:rPr>
    </w:lvl>
    <w:lvl w:ilvl="5" w:tentative="0">
      <w:start w:val="1"/>
      <w:numFmt w:val="decimal"/>
      <w:pStyle w:val="98"/>
      <w:suff w:val="nothing"/>
      <w:lvlText w:val="%1.%2.%3.%4.%5.%6　"/>
      <w:lvlJc w:val="left"/>
      <w:rPr>
        <w:rFonts w:hint="eastAsia" w:ascii="黑体" w:hAnsi="Times New Roman" w:eastAsia="黑体" w:cs="Times New Roman"/>
        <w:b w:val="0"/>
        <w:i w:val="0"/>
        <w:sz w:val="21"/>
      </w:rPr>
    </w:lvl>
    <w:lvl w:ilvl="6" w:tentative="0">
      <w:start w:val="1"/>
      <w:numFmt w:val="decimal"/>
      <w:pStyle w:val="102"/>
      <w:suff w:val="nothing"/>
      <w:lvlText w:val="%1.%2.%3.%4.%5.%6.%7　"/>
      <w:lvlJc w:val="left"/>
      <w:rPr>
        <w:rFonts w:hint="eastAsia" w:ascii="黑体" w:hAnsi="Times New Roman" w:eastAsia="黑体" w:cs="Times New Roman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 w:cs="Times New Roman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 w:cs="Times New Roman"/>
      </w:rPr>
    </w:lvl>
  </w:abstractNum>
  <w:abstractNum w:abstractNumId="16">
    <w:nsid w:val="6D6C07CD"/>
    <w:multiLevelType w:val="multilevel"/>
    <w:tmpl w:val="6D6C07CD"/>
    <w:lvl w:ilvl="0" w:tentative="0">
      <w:start w:val="1"/>
      <w:numFmt w:val="lowerLetter"/>
      <w:pStyle w:val="107"/>
      <w:lvlText w:val="%1)"/>
      <w:lvlJc w:val="left"/>
      <w:pPr>
        <w:tabs>
          <w:tab w:val="left" w:pos="839"/>
        </w:tabs>
        <w:ind w:left="839" w:hanging="419"/>
      </w:pPr>
      <w:rPr>
        <w:rFonts w:hint="eastAsia" w:ascii="宋体" w:eastAsia="宋体" w:cs="Times New Roman"/>
        <w:b w:val="0"/>
        <w:i w:val="0"/>
        <w:sz w:val="21"/>
      </w:rPr>
    </w:lvl>
    <w:lvl w:ilvl="1" w:tentative="0">
      <w:start w:val="1"/>
      <w:numFmt w:val="decimal"/>
      <w:pStyle w:val="97"/>
      <w:lvlText w:val="%2)"/>
      <w:lvlJc w:val="left"/>
      <w:pPr>
        <w:tabs>
          <w:tab w:val="left" w:pos="840"/>
        </w:tabs>
        <w:ind w:left="839" w:hanging="419"/>
      </w:pPr>
      <w:rPr>
        <w:rFonts w:hint="eastAsia" w:ascii="宋体" w:eastAsia="宋体" w:cs="Times New Roman"/>
        <w:b w:val="0"/>
        <w:i w:val="0"/>
        <w:sz w:val="21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59" w:hanging="419"/>
      </w:pPr>
      <w:rPr>
        <w:rFonts w:hint="eastAsia"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79" w:hanging="419"/>
      </w:pPr>
      <w:rPr>
        <w:rFonts w:hint="eastAsia"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099" w:hanging="419"/>
      </w:pPr>
      <w:rPr>
        <w:rFonts w:hint="eastAsia"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19" w:hanging="419"/>
      </w:pPr>
      <w:rPr>
        <w:rFonts w:hint="eastAsia"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39" w:hanging="419"/>
      </w:pPr>
      <w:rPr>
        <w:rFonts w:hint="eastAsia"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59" w:hanging="419"/>
      </w:pPr>
      <w:rPr>
        <w:rFonts w:hint="eastAsia"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79" w:hanging="419"/>
      </w:pPr>
      <w:rPr>
        <w:rFonts w:hint="eastAsia" w:cs="Times New Roman"/>
      </w:rPr>
    </w:lvl>
  </w:abstractNum>
  <w:abstractNum w:abstractNumId="17">
    <w:nsid w:val="6DBF04F4"/>
    <w:multiLevelType w:val="multilevel"/>
    <w:tmpl w:val="6DBF04F4"/>
    <w:lvl w:ilvl="0" w:tentative="0">
      <w:start w:val="1"/>
      <w:numFmt w:val="none"/>
      <w:pStyle w:val="59"/>
      <w:suff w:val="nothing"/>
      <w:lvlText w:val="%1注："/>
      <w:lvlJc w:val="left"/>
      <w:pPr>
        <w:ind w:left="726" w:hanging="363"/>
      </w:pPr>
      <w:rPr>
        <w:rFonts w:hint="eastAsia" w:ascii="黑体" w:hAnsi="Times New Roman" w:eastAsia="黑体" w:cs="Times New Roman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1140"/>
        </w:tabs>
        <w:ind w:left="726" w:hanging="363"/>
      </w:pPr>
      <w:rPr>
        <w:rFonts w:hint="eastAsia"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1140"/>
        </w:tabs>
        <w:ind w:left="726" w:hanging="363"/>
      </w:pPr>
      <w:rPr>
        <w:rFonts w:hint="eastAsia"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1140"/>
        </w:tabs>
        <w:ind w:left="726" w:hanging="363"/>
      </w:pPr>
      <w:rPr>
        <w:rFonts w:hint="eastAsia"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1140"/>
        </w:tabs>
        <w:ind w:left="726" w:hanging="363"/>
      </w:pPr>
      <w:rPr>
        <w:rFonts w:hint="eastAsia"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1140"/>
        </w:tabs>
        <w:ind w:left="726" w:hanging="363"/>
      </w:pPr>
      <w:rPr>
        <w:rFonts w:hint="eastAsia"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1140"/>
        </w:tabs>
        <w:ind w:left="726" w:hanging="363"/>
      </w:pPr>
      <w:rPr>
        <w:rFonts w:hint="eastAsia"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1140"/>
        </w:tabs>
        <w:ind w:left="726" w:hanging="363"/>
      </w:pPr>
      <w:rPr>
        <w:rFonts w:hint="eastAsia"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1140"/>
        </w:tabs>
        <w:ind w:left="726" w:hanging="363"/>
      </w:pPr>
      <w:rPr>
        <w:rFonts w:hint="eastAsia" w:cs="Times New Roman"/>
      </w:rPr>
    </w:lvl>
  </w:abstractNum>
  <w:num w:numId="1">
    <w:abstractNumId w:val="9"/>
  </w:num>
  <w:num w:numId="2">
    <w:abstractNumId w:val="6"/>
  </w:num>
  <w:num w:numId="3">
    <w:abstractNumId w:val="8"/>
  </w:num>
  <w:num w:numId="4">
    <w:abstractNumId w:val="3"/>
  </w:num>
  <w:num w:numId="5">
    <w:abstractNumId w:val="10"/>
  </w:num>
  <w:num w:numId="6">
    <w:abstractNumId w:val="17"/>
  </w:num>
  <w:num w:numId="7">
    <w:abstractNumId w:val="1"/>
  </w:num>
  <w:num w:numId="8">
    <w:abstractNumId w:val="11"/>
  </w:num>
  <w:num w:numId="9">
    <w:abstractNumId w:val="5"/>
  </w:num>
  <w:num w:numId="10">
    <w:abstractNumId w:val="15"/>
  </w:num>
  <w:num w:numId="11">
    <w:abstractNumId w:val="13"/>
  </w:num>
  <w:num w:numId="12">
    <w:abstractNumId w:val="16"/>
  </w:num>
  <w:num w:numId="13">
    <w:abstractNumId w:val="7"/>
  </w:num>
  <w:num w:numId="14">
    <w:abstractNumId w:val="2"/>
  </w:num>
  <w:num w:numId="15">
    <w:abstractNumId w:val="4"/>
  </w:num>
  <w:num w:numId="16">
    <w:abstractNumId w:val="14"/>
  </w:num>
  <w:num w:numId="17">
    <w:abstractNumId w:val="12"/>
  </w:num>
  <w:num w:numId="18">
    <w:abstractNumId w:val="0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lvl w:ilvl="0" w:tentative="1">
        <w:start w:val="1"/>
        <w:numFmt w:val="decimal"/>
        <w:suff w:val="nothing"/>
        <w:lvlText w:val="%1　"/>
        <w:lvlJc w:val="left"/>
        <w:pPr>
          <w:ind w:left="0" w:firstLine="0"/>
        </w:pPr>
        <w:rPr>
          <w:rFonts w:hint="eastAsia" w:ascii="黑体" w:hAnsi="Times New Roman" w:eastAsia="黑体" w:cs="Times New Roman"/>
          <w:b w:val="0"/>
          <w:i w:val="0"/>
          <w:sz w:val="21"/>
          <w:szCs w:val="21"/>
        </w:rPr>
      </w:lvl>
    </w:lvlOverride>
    <w:lvlOverride w:ilvl="1">
      <w:lvl w:ilvl="1" w:tentative="1">
        <w:start w:val="1"/>
        <w:numFmt w:val="decimal"/>
        <w:suff w:val="nothing"/>
        <w:lvlText w:val="%1.%2　"/>
        <w:lvlJc w:val="left"/>
        <w:pPr>
          <w:ind w:left="0" w:firstLine="567"/>
        </w:pPr>
        <w:rPr>
          <w:rFonts w:hint="eastAsia" w:ascii="黑体" w:hAnsi="Times New Roman" w:eastAsia="黑体" w:cs="Times New Roman"/>
          <w:b w:val="0"/>
          <w:bCs w:val="0"/>
          <w:i w:val="0"/>
          <w:iCs w:val="0"/>
          <w:caps w:val="0"/>
          <w:strike w:val="0"/>
          <w:dstrike w:val="0"/>
          <w:vanish w:val="0"/>
          <w:color w:val="000000"/>
          <w:spacing w:val="0"/>
          <w:kern w:val="0"/>
          <w:position w:val="0"/>
          <w:sz w:val="21"/>
          <w:szCs w:val="21"/>
          <w:u w:val="none"/>
          <w:vertAlign w:val="baseline"/>
        </w:rPr>
      </w:lvl>
    </w:lvlOverride>
    <w:lvlOverride w:ilvl="2">
      <w:lvl w:ilvl="2" w:tentative="1">
        <w:start w:val="1"/>
        <w:numFmt w:val="decimal"/>
        <w:suff w:val="nothing"/>
        <w:lvlText w:val="%1.%2.%3　"/>
        <w:lvlJc w:val="left"/>
        <w:pPr>
          <w:ind w:left="0" w:firstLine="0"/>
        </w:pPr>
        <w:rPr>
          <w:rFonts w:hint="eastAsia" w:ascii="黑体" w:hAnsi="Times New Roman" w:eastAsia="黑体" w:cs="Times New Roman"/>
          <w:b w:val="0"/>
          <w:i w:val="0"/>
          <w:sz w:val="21"/>
        </w:rPr>
      </w:lvl>
    </w:lvlOverride>
    <w:lvlOverride w:ilvl="3">
      <w:lvl w:ilvl="3" w:tentative="1">
        <w:start w:val="1"/>
        <w:numFmt w:val="decimal"/>
        <w:suff w:val="nothing"/>
        <w:lvlText w:val="%1.%2.%3.%4　"/>
        <w:lvlJc w:val="left"/>
        <w:pPr>
          <w:ind w:left="0" w:firstLine="0"/>
        </w:pPr>
        <w:rPr>
          <w:rFonts w:hint="eastAsia" w:ascii="黑体" w:hAnsi="Times New Roman" w:eastAsia="黑体" w:cs="Times New Roman"/>
          <w:b w:val="0"/>
          <w:i w:val="0"/>
          <w:sz w:val="21"/>
        </w:rPr>
      </w:lvl>
    </w:lvlOverride>
    <w:lvlOverride w:ilvl="4">
      <w:lvl w:ilvl="4" w:tentative="1">
        <w:start w:val="1"/>
        <w:numFmt w:val="decimal"/>
        <w:suff w:val="nothing"/>
        <w:lvlText w:val="%1.%2.%3.%4.%5　"/>
        <w:lvlJc w:val="left"/>
        <w:pPr>
          <w:ind w:left="0" w:firstLine="0"/>
        </w:pPr>
        <w:rPr>
          <w:rFonts w:hint="eastAsia" w:ascii="黑体" w:hAnsi="Times New Roman" w:eastAsia="黑体" w:cs="Times New Roman"/>
          <w:b w:val="0"/>
          <w:i w:val="0"/>
          <w:sz w:val="21"/>
        </w:rPr>
      </w:lvl>
    </w:lvlOverride>
    <w:lvlOverride w:ilvl="5">
      <w:lvl w:ilvl="5" w:tentative="1">
        <w:start w:val="1"/>
        <w:numFmt w:val="decimal"/>
        <w:suff w:val="nothing"/>
        <w:lvlText w:val="%1.%2.%3.%4.%5.%6　"/>
        <w:lvlJc w:val="left"/>
        <w:pPr>
          <w:ind w:left="0" w:firstLine="0"/>
        </w:pPr>
        <w:rPr>
          <w:rFonts w:hint="eastAsia" w:ascii="黑体" w:hAnsi="Times New Roman" w:eastAsia="黑体" w:cs="Times New Roman"/>
          <w:b w:val="0"/>
          <w:i w:val="0"/>
          <w:sz w:val="21"/>
        </w:rPr>
      </w:lvl>
    </w:lvlOverride>
    <w:lvlOverride w:ilvl="6">
      <w:lvl w:ilvl="6" w:tentative="1">
        <w:start w:val="1"/>
        <w:numFmt w:val="decimal"/>
        <w:suff w:val="nothing"/>
        <w:lvlText w:val="%1%2.%3.%4.%5.%6.%7　"/>
        <w:lvlJc w:val="left"/>
        <w:pPr>
          <w:ind w:left="0" w:firstLine="0"/>
        </w:pPr>
        <w:rPr>
          <w:rFonts w:hint="eastAsia" w:ascii="黑体" w:hAnsi="Times New Roman" w:eastAsia="黑体" w:cs="Times New Roman"/>
          <w:b w:val="0"/>
          <w:i w:val="0"/>
          <w:sz w:val="21"/>
        </w:rPr>
      </w:lvl>
    </w:lvlOverride>
    <w:lvlOverride w:ilvl="7">
      <w:lvl w:ilvl="7" w:tentative="1">
        <w:start w:val="1"/>
        <w:numFmt w:val="decimal"/>
        <w:lvlText w:val="%1.%2.%3.%4.%5.%6.%7.%8"/>
        <w:lvlJc w:val="left"/>
        <w:pPr>
          <w:tabs>
            <w:tab w:val="left" w:pos="4351"/>
          </w:tabs>
          <w:ind w:left="3969" w:hanging="1418"/>
        </w:pPr>
        <w:rPr>
          <w:rFonts w:cs="Times New Roman"/>
        </w:rPr>
      </w:lvl>
    </w:lvlOverride>
    <w:lvlOverride w:ilvl="8">
      <w:lvl w:ilvl="8" w:tentative="1">
        <w:start w:val="1"/>
        <w:numFmt w:val="decimal"/>
        <w:lvlText w:val="%1.%2.%3.%4.%5.%6.%7.%8.%9"/>
        <w:lvlJc w:val="left"/>
        <w:pPr>
          <w:tabs>
            <w:tab w:val="left" w:pos="4777"/>
          </w:tabs>
          <w:ind w:left="4677" w:hanging="1700"/>
        </w:pPr>
        <w:rPr>
          <w:rFonts w:cs="Times New Roman"/>
        </w:rPr>
      </w:lvl>
    </w:lvlOverride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mirrorMargin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dit="forms"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1E2"/>
    <w:rsid w:val="00000244"/>
    <w:rsid w:val="000008F7"/>
    <w:rsid w:val="0000185F"/>
    <w:rsid w:val="0000215D"/>
    <w:rsid w:val="0000586F"/>
    <w:rsid w:val="00013D86"/>
    <w:rsid w:val="00013E02"/>
    <w:rsid w:val="00014473"/>
    <w:rsid w:val="00015AED"/>
    <w:rsid w:val="00016E10"/>
    <w:rsid w:val="0002143C"/>
    <w:rsid w:val="0002266B"/>
    <w:rsid w:val="00025A65"/>
    <w:rsid w:val="00026C31"/>
    <w:rsid w:val="00027280"/>
    <w:rsid w:val="00027415"/>
    <w:rsid w:val="000320A7"/>
    <w:rsid w:val="00035925"/>
    <w:rsid w:val="0003598D"/>
    <w:rsid w:val="00041F07"/>
    <w:rsid w:val="00044654"/>
    <w:rsid w:val="00046B6C"/>
    <w:rsid w:val="00047088"/>
    <w:rsid w:val="00050580"/>
    <w:rsid w:val="00051D5C"/>
    <w:rsid w:val="00057C52"/>
    <w:rsid w:val="00057D72"/>
    <w:rsid w:val="000618B5"/>
    <w:rsid w:val="000629CD"/>
    <w:rsid w:val="0006740D"/>
    <w:rsid w:val="00067CDF"/>
    <w:rsid w:val="00074FBE"/>
    <w:rsid w:val="00082B79"/>
    <w:rsid w:val="00083A09"/>
    <w:rsid w:val="00084355"/>
    <w:rsid w:val="0009005E"/>
    <w:rsid w:val="000926AC"/>
    <w:rsid w:val="00092857"/>
    <w:rsid w:val="000A1E3B"/>
    <w:rsid w:val="000A20A9"/>
    <w:rsid w:val="000A2811"/>
    <w:rsid w:val="000A2CB9"/>
    <w:rsid w:val="000A3B40"/>
    <w:rsid w:val="000A48B1"/>
    <w:rsid w:val="000B1507"/>
    <w:rsid w:val="000B1747"/>
    <w:rsid w:val="000B2E3A"/>
    <w:rsid w:val="000B3143"/>
    <w:rsid w:val="000B515E"/>
    <w:rsid w:val="000B5EA1"/>
    <w:rsid w:val="000C6B05"/>
    <w:rsid w:val="000C6DD6"/>
    <w:rsid w:val="000C73D4"/>
    <w:rsid w:val="000D0E7C"/>
    <w:rsid w:val="000D1534"/>
    <w:rsid w:val="000D3D4C"/>
    <w:rsid w:val="000D4F51"/>
    <w:rsid w:val="000D718B"/>
    <w:rsid w:val="000E0C46"/>
    <w:rsid w:val="000E13FA"/>
    <w:rsid w:val="000E1D0A"/>
    <w:rsid w:val="000E71E7"/>
    <w:rsid w:val="000E7BF0"/>
    <w:rsid w:val="000F030C"/>
    <w:rsid w:val="000F129C"/>
    <w:rsid w:val="000F2CEC"/>
    <w:rsid w:val="000F49E5"/>
    <w:rsid w:val="000F5272"/>
    <w:rsid w:val="001021E7"/>
    <w:rsid w:val="00104F53"/>
    <w:rsid w:val="00105684"/>
    <w:rsid w:val="001056DE"/>
    <w:rsid w:val="001124C0"/>
    <w:rsid w:val="0011627B"/>
    <w:rsid w:val="00116545"/>
    <w:rsid w:val="00125287"/>
    <w:rsid w:val="0012580E"/>
    <w:rsid w:val="00126E8D"/>
    <w:rsid w:val="0013175F"/>
    <w:rsid w:val="00135C6C"/>
    <w:rsid w:val="001364FB"/>
    <w:rsid w:val="00137E9F"/>
    <w:rsid w:val="00140550"/>
    <w:rsid w:val="001443AD"/>
    <w:rsid w:val="001479DB"/>
    <w:rsid w:val="001512B4"/>
    <w:rsid w:val="0015562E"/>
    <w:rsid w:val="00160007"/>
    <w:rsid w:val="001620A5"/>
    <w:rsid w:val="001625E6"/>
    <w:rsid w:val="00164E53"/>
    <w:rsid w:val="00165E07"/>
    <w:rsid w:val="0016699D"/>
    <w:rsid w:val="00166D6D"/>
    <w:rsid w:val="00166FCC"/>
    <w:rsid w:val="00170A8C"/>
    <w:rsid w:val="0017208C"/>
    <w:rsid w:val="00173E8A"/>
    <w:rsid w:val="001744CA"/>
    <w:rsid w:val="00175159"/>
    <w:rsid w:val="00176108"/>
    <w:rsid w:val="00176208"/>
    <w:rsid w:val="00177924"/>
    <w:rsid w:val="0018211B"/>
    <w:rsid w:val="001840D3"/>
    <w:rsid w:val="001846CF"/>
    <w:rsid w:val="001852B7"/>
    <w:rsid w:val="001900F8"/>
    <w:rsid w:val="00191258"/>
    <w:rsid w:val="00192680"/>
    <w:rsid w:val="00193037"/>
    <w:rsid w:val="00193A2C"/>
    <w:rsid w:val="001A288E"/>
    <w:rsid w:val="001A5504"/>
    <w:rsid w:val="001B6DC2"/>
    <w:rsid w:val="001C149C"/>
    <w:rsid w:val="001C21AC"/>
    <w:rsid w:val="001C242F"/>
    <w:rsid w:val="001C47BA"/>
    <w:rsid w:val="001C4C98"/>
    <w:rsid w:val="001C59EA"/>
    <w:rsid w:val="001D07AC"/>
    <w:rsid w:val="001D0D74"/>
    <w:rsid w:val="001D406C"/>
    <w:rsid w:val="001D41EE"/>
    <w:rsid w:val="001D4F8C"/>
    <w:rsid w:val="001D5203"/>
    <w:rsid w:val="001D63C0"/>
    <w:rsid w:val="001D6C25"/>
    <w:rsid w:val="001E0380"/>
    <w:rsid w:val="001E12D0"/>
    <w:rsid w:val="001E13B1"/>
    <w:rsid w:val="001E195F"/>
    <w:rsid w:val="001E26FE"/>
    <w:rsid w:val="001E6F27"/>
    <w:rsid w:val="001E7415"/>
    <w:rsid w:val="001F1E97"/>
    <w:rsid w:val="001F3A19"/>
    <w:rsid w:val="001F5AC8"/>
    <w:rsid w:val="001F67FC"/>
    <w:rsid w:val="00203E85"/>
    <w:rsid w:val="00207933"/>
    <w:rsid w:val="00207C13"/>
    <w:rsid w:val="002222E5"/>
    <w:rsid w:val="00231C65"/>
    <w:rsid w:val="00234467"/>
    <w:rsid w:val="00234663"/>
    <w:rsid w:val="00235BA8"/>
    <w:rsid w:val="00237D8D"/>
    <w:rsid w:val="002404D0"/>
    <w:rsid w:val="00241432"/>
    <w:rsid w:val="00241DA2"/>
    <w:rsid w:val="0024282E"/>
    <w:rsid w:val="00242AC3"/>
    <w:rsid w:val="00247FEE"/>
    <w:rsid w:val="00250312"/>
    <w:rsid w:val="00250E7D"/>
    <w:rsid w:val="002565D5"/>
    <w:rsid w:val="002622C0"/>
    <w:rsid w:val="00266AD0"/>
    <w:rsid w:val="00272FA4"/>
    <w:rsid w:val="002761E3"/>
    <w:rsid w:val="002778AE"/>
    <w:rsid w:val="00280BB4"/>
    <w:rsid w:val="002825C1"/>
    <w:rsid w:val="0028269A"/>
    <w:rsid w:val="00283590"/>
    <w:rsid w:val="00283897"/>
    <w:rsid w:val="00286973"/>
    <w:rsid w:val="00294E70"/>
    <w:rsid w:val="00296645"/>
    <w:rsid w:val="002A1924"/>
    <w:rsid w:val="002A1C0E"/>
    <w:rsid w:val="002A4599"/>
    <w:rsid w:val="002A51F2"/>
    <w:rsid w:val="002A7420"/>
    <w:rsid w:val="002A7683"/>
    <w:rsid w:val="002B0F12"/>
    <w:rsid w:val="002B1308"/>
    <w:rsid w:val="002B3B65"/>
    <w:rsid w:val="002B4554"/>
    <w:rsid w:val="002C6237"/>
    <w:rsid w:val="002C72D8"/>
    <w:rsid w:val="002D11FA"/>
    <w:rsid w:val="002D2101"/>
    <w:rsid w:val="002D27F4"/>
    <w:rsid w:val="002D512B"/>
    <w:rsid w:val="002D77D1"/>
    <w:rsid w:val="002E0DDF"/>
    <w:rsid w:val="002E2906"/>
    <w:rsid w:val="002E3EAE"/>
    <w:rsid w:val="002E5635"/>
    <w:rsid w:val="002E64C3"/>
    <w:rsid w:val="002E6A2C"/>
    <w:rsid w:val="002F1D8C"/>
    <w:rsid w:val="002F21DA"/>
    <w:rsid w:val="002F32E0"/>
    <w:rsid w:val="002F451D"/>
    <w:rsid w:val="002F4DA2"/>
    <w:rsid w:val="002F5295"/>
    <w:rsid w:val="002F6226"/>
    <w:rsid w:val="003006A1"/>
    <w:rsid w:val="00301F39"/>
    <w:rsid w:val="0030230B"/>
    <w:rsid w:val="00320950"/>
    <w:rsid w:val="00321EDF"/>
    <w:rsid w:val="003235CD"/>
    <w:rsid w:val="00323617"/>
    <w:rsid w:val="00325926"/>
    <w:rsid w:val="00326346"/>
    <w:rsid w:val="00327A8A"/>
    <w:rsid w:val="00327DD4"/>
    <w:rsid w:val="00330AA3"/>
    <w:rsid w:val="00333EFD"/>
    <w:rsid w:val="00336610"/>
    <w:rsid w:val="00340DC3"/>
    <w:rsid w:val="00343F73"/>
    <w:rsid w:val="00345060"/>
    <w:rsid w:val="00346355"/>
    <w:rsid w:val="00352F7B"/>
    <w:rsid w:val="0035323B"/>
    <w:rsid w:val="003536C3"/>
    <w:rsid w:val="003543EF"/>
    <w:rsid w:val="003560A3"/>
    <w:rsid w:val="003609D2"/>
    <w:rsid w:val="003637BB"/>
    <w:rsid w:val="00363F22"/>
    <w:rsid w:val="00364E91"/>
    <w:rsid w:val="00365B28"/>
    <w:rsid w:val="003709AF"/>
    <w:rsid w:val="00371DC6"/>
    <w:rsid w:val="00373C6E"/>
    <w:rsid w:val="00375564"/>
    <w:rsid w:val="00383191"/>
    <w:rsid w:val="00386DED"/>
    <w:rsid w:val="003912E7"/>
    <w:rsid w:val="003915E5"/>
    <w:rsid w:val="0039248F"/>
    <w:rsid w:val="00393947"/>
    <w:rsid w:val="00396284"/>
    <w:rsid w:val="003A2275"/>
    <w:rsid w:val="003A41FB"/>
    <w:rsid w:val="003A4239"/>
    <w:rsid w:val="003A6A4F"/>
    <w:rsid w:val="003A7088"/>
    <w:rsid w:val="003A71C2"/>
    <w:rsid w:val="003B00DF"/>
    <w:rsid w:val="003B1275"/>
    <w:rsid w:val="003B136E"/>
    <w:rsid w:val="003B1778"/>
    <w:rsid w:val="003B56C2"/>
    <w:rsid w:val="003C0F48"/>
    <w:rsid w:val="003C11CB"/>
    <w:rsid w:val="003C75F3"/>
    <w:rsid w:val="003C78A3"/>
    <w:rsid w:val="003D189A"/>
    <w:rsid w:val="003D22B5"/>
    <w:rsid w:val="003D5C61"/>
    <w:rsid w:val="003D6CF2"/>
    <w:rsid w:val="003E1867"/>
    <w:rsid w:val="003E4E5A"/>
    <w:rsid w:val="003E5729"/>
    <w:rsid w:val="003F0A3C"/>
    <w:rsid w:val="003F1FC3"/>
    <w:rsid w:val="003F4EE0"/>
    <w:rsid w:val="003F71BC"/>
    <w:rsid w:val="003F7C69"/>
    <w:rsid w:val="00401A20"/>
    <w:rsid w:val="00402153"/>
    <w:rsid w:val="00402FC1"/>
    <w:rsid w:val="00404892"/>
    <w:rsid w:val="00406ACA"/>
    <w:rsid w:val="004106F7"/>
    <w:rsid w:val="004153C1"/>
    <w:rsid w:val="004174BF"/>
    <w:rsid w:val="00425082"/>
    <w:rsid w:val="00426E74"/>
    <w:rsid w:val="00427399"/>
    <w:rsid w:val="004317C2"/>
    <w:rsid w:val="00431DEB"/>
    <w:rsid w:val="00433E04"/>
    <w:rsid w:val="00435FC2"/>
    <w:rsid w:val="00436123"/>
    <w:rsid w:val="004434B5"/>
    <w:rsid w:val="00445F32"/>
    <w:rsid w:val="00446B29"/>
    <w:rsid w:val="00447E84"/>
    <w:rsid w:val="0045341D"/>
    <w:rsid w:val="00453F9A"/>
    <w:rsid w:val="00465009"/>
    <w:rsid w:val="0046686C"/>
    <w:rsid w:val="00466ABC"/>
    <w:rsid w:val="004705D1"/>
    <w:rsid w:val="00471E91"/>
    <w:rsid w:val="00474675"/>
    <w:rsid w:val="0047470C"/>
    <w:rsid w:val="00474E69"/>
    <w:rsid w:val="00483B10"/>
    <w:rsid w:val="004861F6"/>
    <w:rsid w:val="004907C8"/>
    <w:rsid w:val="004A088F"/>
    <w:rsid w:val="004A2D4B"/>
    <w:rsid w:val="004A33C8"/>
    <w:rsid w:val="004A35F9"/>
    <w:rsid w:val="004A46D8"/>
    <w:rsid w:val="004A5473"/>
    <w:rsid w:val="004A6C65"/>
    <w:rsid w:val="004B138F"/>
    <w:rsid w:val="004B24C1"/>
    <w:rsid w:val="004B51BD"/>
    <w:rsid w:val="004B6B82"/>
    <w:rsid w:val="004C292F"/>
    <w:rsid w:val="004C5CAC"/>
    <w:rsid w:val="004C6DA9"/>
    <w:rsid w:val="004C7633"/>
    <w:rsid w:val="004E0108"/>
    <w:rsid w:val="004E1491"/>
    <w:rsid w:val="004E21E2"/>
    <w:rsid w:val="004F26AB"/>
    <w:rsid w:val="004F64DA"/>
    <w:rsid w:val="004F754D"/>
    <w:rsid w:val="00501C08"/>
    <w:rsid w:val="00510280"/>
    <w:rsid w:val="0051200C"/>
    <w:rsid w:val="00513D73"/>
    <w:rsid w:val="005142AF"/>
    <w:rsid w:val="00514787"/>
    <w:rsid w:val="00514A43"/>
    <w:rsid w:val="00517220"/>
    <w:rsid w:val="005174E5"/>
    <w:rsid w:val="00522393"/>
    <w:rsid w:val="00522620"/>
    <w:rsid w:val="005233E3"/>
    <w:rsid w:val="00525656"/>
    <w:rsid w:val="00531457"/>
    <w:rsid w:val="0053174F"/>
    <w:rsid w:val="00531AA6"/>
    <w:rsid w:val="00531CCB"/>
    <w:rsid w:val="00534C02"/>
    <w:rsid w:val="00537B18"/>
    <w:rsid w:val="0054264B"/>
    <w:rsid w:val="0054296D"/>
    <w:rsid w:val="00543786"/>
    <w:rsid w:val="00546169"/>
    <w:rsid w:val="005533D7"/>
    <w:rsid w:val="00555B91"/>
    <w:rsid w:val="00561C4B"/>
    <w:rsid w:val="00563C88"/>
    <w:rsid w:val="005703DE"/>
    <w:rsid w:val="005714F9"/>
    <w:rsid w:val="00573FC8"/>
    <w:rsid w:val="005769A6"/>
    <w:rsid w:val="00583B83"/>
    <w:rsid w:val="0058464E"/>
    <w:rsid w:val="00586092"/>
    <w:rsid w:val="00590211"/>
    <w:rsid w:val="00590A66"/>
    <w:rsid w:val="0059210B"/>
    <w:rsid w:val="005950D7"/>
    <w:rsid w:val="005A01CB"/>
    <w:rsid w:val="005A1918"/>
    <w:rsid w:val="005A4F4D"/>
    <w:rsid w:val="005A58FF"/>
    <w:rsid w:val="005A5EAF"/>
    <w:rsid w:val="005A64C0"/>
    <w:rsid w:val="005B3C11"/>
    <w:rsid w:val="005C1C28"/>
    <w:rsid w:val="005C6DB5"/>
    <w:rsid w:val="005D31D5"/>
    <w:rsid w:val="005D5F3D"/>
    <w:rsid w:val="005E1060"/>
    <w:rsid w:val="005E119E"/>
    <w:rsid w:val="005E19E7"/>
    <w:rsid w:val="005E2CF2"/>
    <w:rsid w:val="005E726E"/>
    <w:rsid w:val="005F4029"/>
    <w:rsid w:val="00603116"/>
    <w:rsid w:val="006116DA"/>
    <w:rsid w:val="00613A87"/>
    <w:rsid w:val="006154DC"/>
    <w:rsid w:val="00616477"/>
    <w:rsid w:val="0061716C"/>
    <w:rsid w:val="006242F3"/>
    <w:rsid w:val="006243A1"/>
    <w:rsid w:val="00632E56"/>
    <w:rsid w:val="006345DD"/>
    <w:rsid w:val="00635CBA"/>
    <w:rsid w:val="0064338B"/>
    <w:rsid w:val="00646542"/>
    <w:rsid w:val="006502BB"/>
    <w:rsid w:val="006504F4"/>
    <w:rsid w:val="00652953"/>
    <w:rsid w:val="00654B25"/>
    <w:rsid w:val="00654BC9"/>
    <w:rsid w:val="006552FD"/>
    <w:rsid w:val="006627B2"/>
    <w:rsid w:val="00663AF3"/>
    <w:rsid w:val="00663C45"/>
    <w:rsid w:val="00666B6C"/>
    <w:rsid w:val="0067189B"/>
    <w:rsid w:val="006752A4"/>
    <w:rsid w:val="00675BE1"/>
    <w:rsid w:val="00682189"/>
    <w:rsid w:val="00682682"/>
    <w:rsid w:val="00682702"/>
    <w:rsid w:val="00692368"/>
    <w:rsid w:val="006A03BA"/>
    <w:rsid w:val="006A0BAA"/>
    <w:rsid w:val="006A2EBC"/>
    <w:rsid w:val="006A5EA0"/>
    <w:rsid w:val="006A6CDE"/>
    <w:rsid w:val="006A783B"/>
    <w:rsid w:val="006A7B33"/>
    <w:rsid w:val="006B3969"/>
    <w:rsid w:val="006B445B"/>
    <w:rsid w:val="006B4A6A"/>
    <w:rsid w:val="006B4E13"/>
    <w:rsid w:val="006B75DD"/>
    <w:rsid w:val="006C03F2"/>
    <w:rsid w:val="006C5635"/>
    <w:rsid w:val="006C67E0"/>
    <w:rsid w:val="006C75CD"/>
    <w:rsid w:val="006C7ABA"/>
    <w:rsid w:val="006D020D"/>
    <w:rsid w:val="006D0D60"/>
    <w:rsid w:val="006D1122"/>
    <w:rsid w:val="006D1CA7"/>
    <w:rsid w:val="006D29DA"/>
    <w:rsid w:val="006D3C00"/>
    <w:rsid w:val="006E120C"/>
    <w:rsid w:val="006E3675"/>
    <w:rsid w:val="006E4A7F"/>
    <w:rsid w:val="006E6ED8"/>
    <w:rsid w:val="006F0E21"/>
    <w:rsid w:val="006F25A0"/>
    <w:rsid w:val="00704DF6"/>
    <w:rsid w:val="0070651C"/>
    <w:rsid w:val="00706632"/>
    <w:rsid w:val="007132A3"/>
    <w:rsid w:val="00716421"/>
    <w:rsid w:val="00717E64"/>
    <w:rsid w:val="007211A3"/>
    <w:rsid w:val="00721574"/>
    <w:rsid w:val="00724B57"/>
    <w:rsid w:val="00724CBD"/>
    <w:rsid w:val="00724EFB"/>
    <w:rsid w:val="007411B0"/>
    <w:rsid w:val="007419C3"/>
    <w:rsid w:val="007467A7"/>
    <w:rsid w:val="007469DD"/>
    <w:rsid w:val="0074741B"/>
    <w:rsid w:val="0074759E"/>
    <w:rsid w:val="007478EA"/>
    <w:rsid w:val="00752300"/>
    <w:rsid w:val="0075359F"/>
    <w:rsid w:val="0075415C"/>
    <w:rsid w:val="0076208E"/>
    <w:rsid w:val="00762ECA"/>
    <w:rsid w:val="00763502"/>
    <w:rsid w:val="00765F97"/>
    <w:rsid w:val="007700EF"/>
    <w:rsid w:val="0077023E"/>
    <w:rsid w:val="007705B3"/>
    <w:rsid w:val="00783732"/>
    <w:rsid w:val="007913AB"/>
    <w:rsid w:val="007914F7"/>
    <w:rsid w:val="00792A05"/>
    <w:rsid w:val="007A263D"/>
    <w:rsid w:val="007A49BF"/>
    <w:rsid w:val="007B1625"/>
    <w:rsid w:val="007B4467"/>
    <w:rsid w:val="007B706E"/>
    <w:rsid w:val="007B71EB"/>
    <w:rsid w:val="007C213A"/>
    <w:rsid w:val="007C6205"/>
    <w:rsid w:val="007C686A"/>
    <w:rsid w:val="007C728E"/>
    <w:rsid w:val="007D0044"/>
    <w:rsid w:val="007D2C53"/>
    <w:rsid w:val="007D3D60"/>
    <w:rsid w:val="007D6804"/>
    <w:rsid w:val="007E1980"/>
    <w:rsid w:val="007E2395"/>
    <w:rsid w:val="007E38AB"/>
    <w:rsid w:val="007E4B76"/>
    <w:rsid w:val="007E5EA8"/>
    <w:rsid w:val="007E6DD4"/>
    <w:rsid w:val="007F0CF1"/>
    <w:rsid w:val="007F12A5"/>
    <w:rsid w:val="007F24AF"/>
    <w:rsid w:val="007F453D"/>
    <w:rsid w:val="007F4CF1"/>
    <w:rsid w:val="007F758D"/>
    <w:rsid w:val="007F7D52"/>
    <w:rsid w:val="00804D0F"/>
    <w:rsid w:val="0080585E"/>
    <w:rsid w:val="0080654C"/>
    <w:rsid w:val="008071C6"/>
    <w:rsid w:val="00811A82"/>
    <w:rsid w:val="0081347D"/>
    <w:rsid w:val="0081782D"/>
    <w:rsid w:val="00817A00"/>
    <w:rsid w:val="00830140"/>
    <w:rsid w:val="00831EE8"/>
    <w:rsid w:val="00835918"/>
    <w:rsid w:val="00835DB3"/>
    <w:rsid w:val="0083617B"/>
    <w:rsid w:val="008371BD"/>
    <w:rsid w:val="0084248B"/>
    <w:rsid w:val="00850352"/>
    <w:rsid w:val="008504A8"/>
    <w:rsid w:val="0085282E"/>
    <w:rsid w:val="00860148"/>
    <w:rsid w:val="008677A0"/>
    <w:rsid w:val="0087198C"/>
    <w:rsid w:val="00872C1F"/>
    <w:rsid w:val="00873B42"/>
    <w:rsid w:val="0087717D"/>
    <w:rsid w:val="0088211B"/>
    <w:rsid w:val="008856D8"/>
    <w:rsid w:val="00885989"/>
    <w:rsid w:val="00892E82"/>
    <w:rsid w:val="008A02A6"/>
    <w:rsid w:val="008A0349"/>
    <w:rsid w:val="008A6394"/>
    <w:rsid w:val="008A6590"/>
    <w:rsid w:val="008C0307"/>
    <w:rsid w:val="008C1B58"/>
    <w:rsid w:val="008C1D47"/>
    <w:rsid w:val="008C39AE"/>
    <w:rsid w:val="008C590D"/>
    <w:rsid w:val="008E031B"/>
    <w:rsid w:val="008E1602"/>
    <w:rsid w:val="008E3762"/>
    <w:rsid w:val="008E7029"/>
    <w:rsid w:val="008E7EF6"/>
    <w:rsid w:val="008F13A6"/>
    <w:rsid w:val="008F1F98"/>
    <w:rsid w:val="008F56DF"/>
    <w:rsid w:val="008F644B"/>
    <w:rsid w:val="008F6758"/>
    <w:rsid w:val="009040DD"/>
    <w:rsid w:val="00905B47"/>
    <w:rsid w:val="0091331C"/>
    <w:rsid w:val="00915CEC"/>
    <w:rsid w:val="0091752C"/>
    <w:rsid w:val="00917C4C"/>
    <w:rsid w:val="009222B4"/>
    <w:rsid w:val="00922A43"/>
    <w:rsid w:val="009257BC"/>
    <w:rsid w:val="009279DE"/>
    <w:rsid w:val="00930116"/>
    <w:rsid w:val="00930F93"/>
    <w:rsid w:val="00931BE7"/>
    <w:rsid w:val="009409D7"/>
    <w:rsid w:val="0094212C"/>
    <w:rsid w:val="0094357A"/>
    <w:rsid w:val="0094466F"/>
    <w:rsid w:val="0094682A"/>
    <w:rsid w:val="00946921"/>
    <w:rsid w:val="00947D25"/>
    <w:rsid w:val="0095210C"/>
    <w:rsid w:val="00952680"/>
    <w:rsid w:val="009528EA"/>
    <w:rsid w:val="00954689"/>
    <w:rsid w:val="009577EC"/>
    <w:rsid w:val="009617C9"/>
    <w:rsid w:val="00961C93"/>
    <w:rsid w:val="00965324"/>
    <w:rsid w:val="00966206"/>
    <w:rsid w:val="0097091E"/>
    <w:rsid w:val="009760D3"/>
    <w:rsid w:val="00977132"/>
    <w:rsid w:val="009777FA"/>
    <w:rsid w:val="0098097D"/>
    <w:rsid w:val="009811DD"/>
    <w:rsid w:val="00981A4B"/>
    <w:rsid w:val="00982501"/>
    <w:rsid w:val="009840FA"/>
    <w:rsid w:val="009845FD"/>
    <w:rsid w:val="009848CE"/>
    <w:rsid w:val="009877D3"/>
    <w:rsid w:val="00991FF6"/>
    <w:rsid w:val="00994E8F"/>
    <w:rsid w:val="009951DC"/>
    <w:rsid w:val="009959BB"/>
    <w:rsid w:val="00997158"/>
    <w:rsid w:val="009A08F8"/>
    <w:rsid w:val="009A1052"/>
    <w:rsid w:val="009A27AE"/>
    <w:rsid w:val="009A3A7C"/>
    <w:rsid w:val="009A64A5"/>
    <w:rsid w:val="009B2ADB"/>
    <w:rsid w:val="009B42CD"/>
    <w:rsid w:val="009B603A"/>
    <w:rsid w:val="009B78AD"/>
    <w:rsid w:val="009C28FA"/>
    <w:rsid w:val="009C2D0E"/>
    <w:rsid w:val="009C3DAC"/>
    <w:rsid w:val="009C42E0"/>
    <w:rsid w:val="009D1ECC"/>
    <w:rsid w:val="009D2EF8"/>
    <w:rsid w:val="009D5362"/>
    <w:rsid w:val="009D65AD"/>
    <w:rsid w:val="009D7F19"/>
    <w:rsid w:val="009E1415"/>
    <w:rsid w:val="009E6116"/>
    <w:rsid w:val="009E6D0A"/>
    <w:rsid w:val="009F0CF7"/>
    <w:rsid w:val="00A02E43"/>
    <w:rsid w:val="00A045AA"/>
    <w:rsid w:val="00A065F9"/>
    <w:rsid w:val="00A074AF"/>
    <w:rsid w:val="00A07F34"/>
    <w:rsid w:val="00A114EE"/>
    <w:rsid w:val="00A137F8"/>
    <w:rsid w:val="00A14F65"/>
    <w:rsid w:val="00A16318"/>
    <w:rsid w:val="00A22154"/>
    <w:rsid w:val="00A25C38"/>
    <w:rsid w:val="00A31608"/>
    <w:rsid w:val="00A36BBE"/>
    <w:rsid w:val="00A4307A"/>
    <w:rsid w:val="00A459CD"/>
    <w:rsid w:val="00A46A1D"/>
    <w:rsid w:val="00A47EBB"/>
    <w:rsid w:val="00A51CDD"/>
    <w:rsid w:val="00A51DA5"/>
    <w:rsid w:val="00A5676A"/>
    <w:rsid w:val="00A62A39"/>
    <w:rsid w:val="00A62AB3"/>
    <w:rsid w:val="00A635C9"/>
    <w:rsid w:val="00A636DB"/>
    <w:rsid w:val="00A6730D"/>
    <w:rsid w:val="00A67A63"/>
    <w:rsid w:val="00A71625"/>
    <w:rsid w:val="00A71840"/>
    <w:rsid w:val="00A71B9B"/>
    <w:rsid w:val="00A743B9"/>
    <w:rsid w:val="00A751C7"/>
    <w:rsid w:val="00A81F44"/>
    <w:rsid w:val="00A85B3A"/>
    <w:rsid w:val="00A87844"/>
    <w:rsid w:val="00A90514"/>
    <w:rsid w:val="00A912B0"/>
    <w:rsid w:val="00A91A80"/>
    <w:rsid w:val="00A91C9B"/>
    <w:rsid w:val="00A921E4"/>
    <w:rsid w:val="00AA038C"/>
    <w:rsid w:val="00AA2759"/>
    <w:rsid w:val="00AA717B"/>
    <w:rsid w:val="00AA75D1"/>
    <w:rsid w:val="00AA7A09"/>
    <w:rsid w:val="00AA7CE4"/>
    <w:rsid w:val="00AB0CB0"/>
    <w:rsid w:val="00AB35E9"/>
    <w:rsid w:val="00AB3B50"/>
    <w:rsid w:val="00AB7D37"/>
    <w:rsid w:val="00AC05B1"/>
    <w:rsid w:val="00AC3AEC"/>
    <w:rsid w:val="00AC7B8D"/>
    <w:rsid w:val="00AC7F2C"/>
    <w:rsid w:val="00AD356C"/>
    <w:rsid w:val="00AD356F"/>
    <w:rsid w:val="00AD52D3"/>
    <w:rsid w:val="00AD5825"/>
    <w:rsid w:val="00AE2914"/>
    <w:rsid w:val="00AE6BB9"/>
    <w:rsid w:val="00AE6D15"/>
    <w:rsid w:val="00AE7666"/>
    <w:rsid w:val="00AF3508"/>
    <w:rsid w:val="00AF367B"/>
    <w:rsid w:val="00B04182"/>
    <w:rsid w:val="00B062C5"/>
    <w:rsid w:val="00B07AE3"/>
    <w:rsid w:val="00B11430"/>
    <w:rsid w:val="00B20956"/>
    <w:rsid w:val="00B306CD"/>
    <w:rsid w:val="00B33216"/>
    <w:rsid w:val="00B353EB"/>
    <w:rsid w:val="00B42142"/>
    <w:rsid w:val="00B439C4"/>
    <w:rsid w:val="00B44C87"/>
    <w:rsid w:val="00B452E2"/>
    <w:rsid w:val="00B4535E"/>
    <w:rsid w:val="00B5276D"/>
    <w:rsid w:val="00B527A2"/>
    <w:rsid w:val="00B52A8C"/>
    <w:rsid w:val="00B636A8"/>
    <w:rsid w:val="00B64F23"/>
    <w:rsid w:val="00B6500F"/>
    <w:rsid w:val="00B665C6"/>
    <w:rsid w:val="00B6660D"/>
    <w:rsid w:val="00B7008E"/>
    <w:rsid w:val="00B759C9"/>
    <w:rsid w:val="00B779FD"/>
    <w:rsid w:val="00B805AF"/>
    <w:rsid w:val="00B8089F"/>
    <w:rsid w:val="00B83117"/>
    <w:rsid w:val="00B869EC"/>
    <w:rsid w:val="00B87B33"/>
    <w:rsid w:val="00B92FE7"/>
    <w:rsid w:val="00B9397A"/>
    <w:rsid w:val="00B9633D"/>
    <w:rsid w:val="00BA2BAB"/>
    <w:rsid w:val="00BA2EBE"/>
    <w:rsid w:val="00BA5E9F"/>
    <w:rsid w:val="00BA624E"/>
    <w:rsid w:val="00BB08A7"/>
    <w:rsid w:val="00BB0F28"/>
    <w:rsid w:val="00BB2602"/>
    <w:rsid w:val="00BB2B5A"/>
    <w:rsid w:val="00BB456F"/>
    <w:rsid w:val="00BB458A"/>
    <w:rsid w:val="00BB6007"/>
    <w:rsid w:val="00BB7CBC"/>
    <w:rsid w:val="00BC1350"/>
    <w:rsid w:val="00BC1BCF"/>
    <w:rsid w:val="00BC20A3"/>
    <w:rsid w:val="00BC35C0"/>
    <w:rsid w:val="00BD00D3"/>
    <w:rsid w:val="00BD1659"/>
    <w:rsid w:val="00BD1A85"/>
    <w:rsid w:val="00BD3AA9"/>
    <w:rsid w:val="00BD3C59"/>
    <w:rsid w:val="00BD46AE"/>
    <w:rsid w:val="00BD4864"/>
    <w:rsid w:val="00BD4A18"/>
    <w:rsid w:val="00BD6DB2"/>
    <w:rsid w:val="00BD717B"/>
    <w:rsid w:val="00BE11CF"/>
    <w:rsid w:val="00BE21AB"/>
    <w:rsid w:val="00BE2BFB"/>
    <w:rsid w:val="00BE4A0C"/>
    <w:rsid w:val="00BE55CB"/>
    <w:rsid w:val="00BF2627"/>
    <w:rsid w:val="00BF617A"/>
    <w:rsid w:val="00C01B9B"/>
    <w:rsid w:val="00C0379D"/>
    <w:rsid w:val="00C03931"/>
    <w:rsid w:val="00C05FE3"/>
    <w:rsid w:val="00C06D4B"/>
    <w:rsid w:val="00C10EA5"/>
    <w:rsid w:val="00C1231A"/>
    <w:rsid w:val="00C172D6"/>
    <w:rsid w:val="00C2136D"/>
    <w:rsid w:val="00C214EE"/>
    <w:rsid w:val="00C2314B"/>
    <w:rsid w:val="00C23666"/>
    <w:rsid w:val="00C24971"/>
    <w:rsid w:val="00C26BE5"/>
    <w:rsid w:val="00C26E4D"/>
    <w:rsid w:val="00C27909"/>
    <w:rsid w:val="00C27ABA"/>
    <w:rsid w:val="00C27B03"/>
    <w:rsid w:val="00C314E1"/>
    <w:rsid w:val="00C34397"/>
    <w:rsid w:val="00C353D1"/>
    <w:rsid w:val="00C35A23"/>
    <w:rsid w:val="00C36923"/>
    <w:rsid w:val="00C4095D"/>
    <w:rsid w:val="00C463A9"/>
    <w:rsid w:val="00C477EB"/>
    <w:rsid w:val="00C47856"/>
    <w:rsid w:val="00C601D2"/>
    <w:rsid w:val="00C65BCC"/>
    <w:rsid w:val="00C66970"/>
    <w:rsid w:val="00C717D4"/>
    <w:rsid w:val="00C74415"/>
    <w:rsid w:val="00C766F6"/>
    <w:rsid w:val="00C76C67"/>
    <w:rsid w:val="00C8153F"/>
    <w:rsid w:val="00C82136"/>
    <w:rsid w:val="00C8691C"/>
    <w:rsid w:val="00C92745"/>
    <w:rsid w:val="00C968FF"/>
    <w:rsid w:val="00CA0151"/>
    <w:rsid w:val="00CA0692"/>
    <w:rsid w:val="00CA168A"/>
    <w:rsid w:val="00CA357E"/>
    <w:rsid w:val="00CA44F9"/>
    <w:rsid w:val="00CA4A69"/>
    <w:rsid w:val="00CA6606"/>
    <w:rsid w:val="00CA7CF8"/>
    <w:rsid w:val="00CB28F8"/>
    <w:rsid w:val="00CC0E24"/>
    <w:rsid w:val="00CC3E0C"/>
    <w:rsid w:val="00CC58D3"/>
    <w:rsid w:val="00CC784D"/>
    <w:rsid w:val="00CE1F32"/>
    <w:rsid w:val="00CE35DE"/>
    <w:rsid w:val="00CE4F60"/>
    <w:rsid w:val="00CF2FDB"/>
    <w:rsid w:val="00D0259E"/>
    <w:rsid w:val="00D0337B"/>
    <w:rsid w:val="00D03FF2"/>
    <w:rsid w:val="00D079B2"/>
    <w:rsid w:val="00D07B8B"/>
    <w:rsid w:val="00D105F7"/>
    <w:rsid w:val="00D10D4B"/>
    <w:rsid w:val="00D114E9"/>
    <w:rsid w:val="00D14624"/>
    <w:rsid w:val="00D14C6C"/>
    <w:rsid w:val="00D16118"/>
    <w:rsid w:val="00D23660"/>
    <w:rsid w:val="00D240AE"/>
    <w:rsid w:val="00D26D33"/>
    <w:rsid w:val="00D344FA"/>
    <w:rsid w:val="00D42130"/>
    <w:rsid w:val="00D429C6"/>
    <w:rsid w:val="00D459BA"/>
    <w:rsid w:val="00D4741E"/>
    <w:rsid w:val="00D47748"/>
    <w:rsid w:val="00D54CC3"/>
    <w:rsid w:val="00D6041A"/>
    <w:rsid w:val="00D62C48"/>
    <w:rsid w:val="00D633EB"/>
    <w:rsid w:val="00D641F3"/>
    <w:rsid w:val="00D67D3B"/>
    <w:rsid w:val="00D71AA9"/>
    <w:rsid w:val="00D82637"/>
    <w:rsid w:val="00D82C43"/>
    <w:rsid w:val="00D82FF7"/>
    <w:rsid w:val="00D847FE"/>
    <w:rsid w:val="00D872D6"/>
    <w:rsid w:val="00D91E22"/>
    <w:rsid w:val="00D94E6E"/>
    <w:rsid w:val="00D95B2E"/>
    <w:rsid w:val="00D964EA"/>
    <w:rsid w:val="00D966D0"/>
    <w:rsid w:val="00D973D2"/>
    <w:rsid w:val="00DA075A"/>
    <w:rsid w:val="00DA0C59"/>
    <w:rsid w:val="00DA1142"/>
    <w:rsid w:val="00DA3991"/>
    <w:rsid w:val="00DA558D"/>
    <w:rsid w:val="00DA56B1"/>
    <w:rsid w:val="00DA7D18"/>
    <w:rsid w:val="00DB6366"/>
    <w:rsid w:val="00DB7321"/>
    <w:rsid w:val="00DB7E6C"/>
    <w:rsid w:val="00DC324F"/>
    <w:rsid w:val="00DC32AF"/>
    <w:rsid w:val="00DD00E2"/>
    <w:rsid w:val="00DD2944"/>
    <w:rsid w:val="00DD311F"/>
    <w:rsid w:val="00DD5A29"/>
    <w:rsid w:val="00DD5D9D"/>
    <w:rsid w:val="00DD603A"/>
    <w:rsid w:val="00DD667E"/>
    <w:rsid w:val="00DD730C"/>
    <w:rsid w:val="00DE094B"/>
    <w:rsid w:val="00DE35CB"/>
    <w:rsid w:val="00DE526E"/>
    <w:rsid w:val="00DF000C"/>
    <w:rsid w:val="00DF0F1E"/>
    <w:rsid w:val="00DF21E9"/>
    <w:rsid w:val="00DF3998"/>
    <w:rsid w:val="00DF70CC"/>
    <w:rsid w:val="00E00F14"/>
    <w:rsid w:val="00E06386"/>
    <w:rsid w:val="00E147C1"/>
    <w:rsid w:val="00E169D1"/>
    <w:rsid w:val="00E221DD"/>
    <w:rsid w:val="00E23446"/>
    <w:rsid w:val="00E24EB4"/>
    <w:rsid w:val="00E25D10"/>
    <w:rsid w:val="00E3122C"/>
    <w:rsid w:val="00E320ED"/>
    <w:rsid w:val="00E33AFB"/>
    <w:rsid w:val="00E34218"/>
    <w:rsid w:val="00E3636A"/>
    <w:rsid w:val="00E42013"/>
    <w:rsid w:val="00E44BAC"/>
    <w:rsid w:val="00E44C35"/>
    <w:rsid w:val="00E46282"/>
    <w:rsid w:val="00E5216E"/>
    <w:rsid w:val="00E52C94"/>
    <w:rsid w:val="00E5530D"/>
    <w:rsid w:val="00E56056"/>
    <w:rsid w:val="00E67028"/>
    <w:rsid w:val="00E702A8"/>
    <w:rsid w:val="00E720BA"/>
    <w:rsid w:val="00E727B5"/>
    <w:rsid w:val="00E758A7"/>
    <w:rsid w:val="00E767C7"/>
    <w:rsid w:val="00E768E5"/>
    <w:rsid w:val="00E80990"/>
    <w:rsid w:val="00E82344"/>
    <w:rsid w:val="00E835CA"/>
    <w:rsid w:val="00E84C82"/>
    <w:rsid w:val="00E84D64"/>
    <w:rsid w:val="00E87408"/>
    <w:rsid w:val="00E901A3"/>
    <w:rsid w:val="00E914C4"/>
    <w:rsid w:val="00E9196F"/>
    <w:rsid w:val="00E91C81"/>
    <w:rsid w:val="00E934F5"/>
    <w:rsid w:val="00E96961"/>
    <w:rsid w:val="00EA1048"/>
    <w:rsid w:val="00EA72EC"/>
    <w:rsid w:val="00EB0195"/>
    <w:rsid w:val="00EB11CB"/>
    <w:rsid w:val="00EB275A"/>
    <w:rsid w:val="00EB786A"/>
    <w:rsid w:val="00EC1578"/>
    <w:rsid w:val="00EC1C72"/>
    <w:rsid w:val="00EC2307"/>
    <w:rsid w:val="00EC3CC9"/>
    <w:rsid w:val="00EC4E51"/>
    <w:rsid w:val="00EC680A"/>
    <w:rsid w:val="00ED67C7"/>
    <w:rsid w:val="00EE1C42"/>
    <w:rsid w:val="00EE2BED"/>
    <w:rsid w:val="00EE374B"/>
    <w:rsid w:val="00EE5722"/>
    <w:rsid w:val="00EE73B7"/>
    <w:rsid w:val="00EF33D8"/>
    <w:rsid w:val="00EF513D"/>
    <w:rsid w:val="00EF513E"/>
    <w:rsid w:val="00EF5D89"/>
    <w:rsid w:val="00F04DEA"/>
    <w:rsid w:val="00F11BB5"/>
    <w:rsid w:val="00F1417B"/>
    <w:rsid w:val="00F14FCF"/>
    <w:rsid w:val="00F1546E"/>
    <w:rsid w:val="00F24FF2"/>
    <w:rsid w:val="00F34B99"/>
    <w:rsid w:val="00F465A1"/>
    <w:rsid w:val="00F52DAB"/>
    <w:rsid w:val="00F543F0"/>
    <w:rsid w:val="00F63F90"/>
    <w:rsid w:val="00F72B15"/>
    <w:rsid w:val="00F771F4"/>
    <w:rsid w:val="00F81D29"/>
    <w:rsid w:val="00F846D8"/>
    <w:rsid w:val="00F91C4D"/>
    <w:rsid w:val="00F92FD9"/>
    <w:rsid w:val="00F951ED"/>
    <w:rsid w:val="00FA6684"/>
    <w:rsid w:val="00FA731E"/>
    <w:rsid w:val="00FB01E7"/>
    <w:rsid w:val="00FB03E6"/>
    <w:rsid w:val="00FB2178"/>
    <w:rsid w:val="00FB2B38"/>
    <w:rsid w:val="00FB55CF"/>
    <w:rsid w:val="00FB5976"/>
    <w:rsid w:val="00FC14E1"/>
    <w:rsid w:val="00FC6358"/>
    <w:rsid w:val="00FD320D"/>
    <w:rsid w:val="00FE0F75"/>
    <w:rsid w:val="00FE1023"/>
    <w:rsid w:val="00FE23DE"/>
    <w:rsid w:val="00FE4F12"/>
    <w:rsid w:val="00FE6C87"/>
    <w:rsid w:val="00FE7624"/>
    <w:rsid w:val="00FF0EF6"/>
    <w:rsid w:val="00FF30E1"/>
    <w:rsid w:val="00FF4E19"/>
    <w:rsid w:val="05C1172F"/>
    <w:rsid w:val="170F4451"/>
    <w:rsid w:val="1737020F"/>
    <w:rsid w:val="18800964"/>
    <w:rsid w:val="1FA93D26"/>
    <w:rsid w:val="24C916D6"/>
    <w:rsid w:val="2BA03472"/>
    <w:rsid w:val="2DB87A07"/>
    <w:rsid w:val="3DF30A28"/>
    <w:rsid w:val="45BD353A"/>
    <w:rsid w:val="4E6A44AE"/>
    <w:rsid w:val="4E7F2F08"/>
    <w:rsid w:val="563F357E"/>
    <w:rsid w:val="610026DB"/>
    <w:rsid w:val="69560B96"/>
    <w:rsid w:val="730A68B4"/>
    <w:rsid w:val="7E1024EB"/>
    <w:rsid w:val="7ED26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qFormat="1" w:unhideWhenUsed="0" w:uiPriority="99" w:semiHidden="0" w:name="index 1"/>
    <w:lsdException w:qFormat="1" w:unhideWhenUsed="0" w:uiPriority="99" w:semiHidden="0" w:name="index 2"/>
    <w:lsdException w:qFormat="1" w:unhideWhenUsed="0" w:uiPriority="99" w:semiHidden="0" w:name="index 3"/>
    <w:lsdException w:qFormat="1" w:unhideWhenUsed="0" w:uiPriority="99" w:semiHidden="0" w:name="index 4"/>
    <w:lsdException w:qFormat="1" w:unhideWhenUsed="0" w:uiPriority="99" w:semiHidden="0" w:name="index 5"/>
    <w:lsdException w:qFormat="1" w:unhideWhenUsed="0" w:uiPriority="99" w:semiHidden="0" w:name="index 6"/>
    <w:lsdException w:qFormat="1" w:unhideWhenUsed="0" w:uiPriority="99" w:semiHidden="0" w:name="index 7"/>
    <w:lsdException w:qFormat="1" w:unhideWhenUsed="0" w:uiPriority="99" w:semiHidden="0" w:name="index 8"/>
    <w:lsdException w:qFormat="1" w:unhideWhenUsed="0" w:uiPriority="99" w:semiHidden="0" w:name="index 9"/>
    <w:lsdException w:qFormat="1" w:unhideWhenUsed="0" w:uiPriority="99" w:semiHidden="0" w:name="toc 1"/>
    <w:lsdException w:qFormat="1" w:unhideWhenUsed="0" w:uiPriority="99" w:name="toc 2"/>
    <w:lsdException w:qFormat="1" w:unhideWhenUsed="0" w:uiPriority="99" w:semiHidden="0" w:name="toc 3"/>
    <w:lsdException w:qFormat="1" w:unhideWhenUsed="0" w:uiPriority="99" w:name="toc 4"/>
    <w:lsdException w:qFormat="1" w:unhideWhenUsed="0" w:uiPriority="99" w:name="toc 5"/>
    <w:lsdException w:qFormat="1" w:unhideWhenUsed="0" w:uiPriority="99" w:name="toc 6"/>
    <w:lsdException w:qFormat="1" w:unhideWhenUsed="0" w:uiPriority="99" w:name="toc 7"/>
    <w:lsdException w:qFormat="1" w:unhideWhenUsed="0" w:uiPriority="99" w:name="toc 8"/>
    <w:lsdException w:qFormat="1" w:unhideWhenUsed="0" w:uiPriority="99" w:name="toc 9"/>
    <w:lsdException w:uiPriority="99" w:name="Normal Indent"/>
    <w:lsdException w:qFormat="1" w:unhideWhenUsed="0" w:uiPriority="99" w:semiHidden="0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qFormat="1" w:unhideWhenUsed="0" w:uiPriority="99" w:semiHidden="0" w:name="index heading"/>
    <w:lsdException w:qFormat="1" w:unhideWhenUsed="0" w:uiPriority="99" w:semiHidden="0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qFormat="1" w:unhideWhenUsed="0" w:uiPriority="99" w:name="endnote reference"/>
    <w:lsdException w:qFormat="1" w:unhideWhenUsed="0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nhideWhenUsed="0" w:uiPriority="0" w:semiHidden="0" w:name="List Number" w:locked="1"/>
    <w:lsdException w:uiPriority="99" w:name="List 2"/>
    <w:lsdException w:uiPriority="99" w:name="List 3"/>
    <w:lsdException w:unhideWhenUsed="0" w:uiPriority="0" w:semiHidden="0" w:name="List 4" w:locked="1"/>
    <w:lsdException w:unhideWhenUsed="0" w:uiPriority="0" w:semiHidden="0" w:name="List 5" w:locked="1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nhideWhenUsed="0" w:uiPriority="0" w:semiHidden="0" w:name="Salutation" w:locked="1"/>
    <w:lsdException w:qFormat="1" w:unhideWhenUsed="0" w:uiPriority="99" w:semiHidden="0" w:name="Date" w:locked="1"/>
    <w:lsdException w:unhideWhenUsed="0" w:uiPriority="0" w:semiHidden="0" w:name="Body Text First Indent" w:locked="1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qFormat="1" w:unhideWhenUsed="0"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qFormat="1" w:unhideWhenUsed="0" w:uiPriority="99" w:semiHidden="0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4">
    <w:name w:val="Default Paragraph Font"/>
    <w:semiHidden/>
    <w:unhideWhenUsed/>
    <w:qFormat/>
    <w:uiPriority w:val="1"/>
  </w:style>
  <w:style w:type="table" w:default="1" w:styleId="3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7"/>
    <w:basedOn w:val="1"/>
    <w:next w:val="1"/>
    <w:semiHidden/>
    <w:qFormat/>
    <w:uiPriority w:val="99"/>
    <w:pPr>
      <w:tabs>
        <w:tab w:val="right" w:leader="dot" w:pos="9241"/>
      </w:tabs>
      <w:ind w:firstLine="505" w:firstLineChars="500"/>
      <w:jc w:val="left"/>
    </w:pPr>
    <w:rPr>
      <w:rFonts w:ascii="宋体"/>
      <w:szCs w:val="21"/>
    </w:rPr>
  </w:style>
  <w:style w:type="paragraph" w:styleId="3">
    <w:name w:val="index 8"/>
    <w:basedOn w:val="1"/>
    <w:next w:val="1"/>
    <w:qFormat/>
    <w:uiPriority w:val="99"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4">
    <w:name w:val="caption"/>
    <w:basedOn w:val="1"/>
    <w:next w:val="1"/>
    <w:qFormat/>
    <w:uiPriority w:val="99"/>
    <w:pPr>
      <w:spacing w:before="152" w:after="160"/>
    </w:pPr>
    <w:rPr>
      <w:rFonts w:ascii="Arial" w:hAnsi="Arial" w:eastAsia="黑体" w:cs="Arial"/>
      <w:sz w:val="20"/>
      <w:szCs w:val="20"/>
    </w:rPr>
  </w:style>
  <w:style w:type="paragraph" w:styleId="5">
    <w:name w:val="index 5"/>
    <w:basedOn w:val="1"/>
    <w:next w:val="1"/>
    <w:qFormat/>
    <w:uiPriority w:val="99"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6">
    <w:name w:val="Document Map"/>
    <w:basedOn w:val="1"/>
    <w:link w:val="127"/>
    <w:semiHidden/>
    <w:qFormat/>
    <w:uiPriority w:val="99"/>
    <w:pPr>
      <w:shd w:val="clear" w:color="auto" w:fill="000080"/>
    </w:pPr>
    <w:rPr>
      <w:kern w:val="0"/>
      <w:sz w:val="2"/>
      <w:szCs w:val="20"/>
    </w:rPr>
  </w:style>
  <w:style w:type="paragraph" w:styleId="7">
    <w:name w:val="annotation text"/>
    <w:basedOn w:val="1"/>
    <w:link w:val="150"/>
    <w:qFormat/>
    <w:uiPriority w:val="99"/>
    <w:pPr>
      <w:adjustRightInd w:val="0"/>
      <w:spacing w:line="360" w:lineRule="atLeast"/>
      <w:jc w:val="left"/>
      <w:textAlignment w:val="baseline"/>
    </w:pPr>
    <w:rPr>
      <w:rFonts w:ascii="宋体"/>
      <w:kern w:val="0"/>
      <w:position w:val="-7"/>
      <w:sz w:val="24"/>
      <w:szCs w:val="20"/>
    </w:rPr>
  </w:style>
  <w:style w:type="paragraph" w:styleId="8">
    <w:name w:val="index 6"/>
    <w:basedOn w:val="1"/>
    <w:next w:val="1"/>
    <w:qFormat/>
    <w:uiPriority w:val="99"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9">
    <w:name w:val="index 4"/>
    <w:basedOn w:val="1"/>
    <w:next w:val="1"/>
    <w:qFormat/>
    <w:uiPriority w:val="99"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10">
    <w:name w:val="toc 5"/>
    <w:basedOn w:val="1"/>
    <w:next w:val="1"/>
    <w:semiHidden/>
    <w:qFormat/>
    <w:uiPriority w:val="99"/>
    <w:pPr>
      <w:tabs>
        <w:tab w:val="right" w:leader="dot" w:pos="9241"/>
      </w:tabs>
      <w:ind w:firstLine="300" w:firstLineChars="300"/>
      <w:jc w:val="left"/>
    </w:pPr>
    <w:rPr>
      <w:rFonts w:ascii="宋体"/>
      <w:szCs w:val="21"/>
    </w:rPr>
  </w:style>
  <w:style w:type="paragraph" w:styleId="11">
    <w:name w:val="toc 3"/>
    <w:basedOn w:val="1"/>
    <w:next w:val="1"/>
    <w:qFormat/>
    <w:uiPriority w:val="99"/>
    <w:pPr>
      <w:tabs>
        <w:tab w:val="right" w:leader="dot" w:pos="9241"/>
      </w:tabs>
      <w:ind w:firstLine="102" w:firstLineChars="100"/>
      <w:jc w:val="left"/>
    </w:pPr>
    <w:rPr>
      <w:rFonts w:ascii="宋体"/>
      <w:szCs w:val="21"/>
    </w:rPr>
  </w:style>
  <w:style w:type="paragraph" w:styleId="12">
    <w:name w:val="toc 8"/>
    <w:basedOn w:val="1"/>
    <w:next w:val="1"/>
    <w:semiHidden/>
    <w:qFormat/>
    <w:uiPriority w:val="99"/>
    <w:pPr>
      <w:tabs>
        <w:tab w:val="right" w:leader="dot" w:pos="9241"/>
      </w:tabs>
      <w:ind w:firstLine="607" w:firstLineChars="600"/>
      <w:jc w:val="left"/>
    </w:pPr>
    <w:rPr>
      <w:rFonts w:ascii="宋体"/>
      <w:szCs w:val="21"/>
    </w:rPr>
  </w:style>
  <w:style w:type="paragraph" w:styleId="13">
    <w:name w:val="index 3"/>
    <w:basedOn w:val="1"/>
    <w:next w:val="1"/>
    <w:qFormat/>
    <w:uiPriority w:val="99"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14">
    <w:name w:val="Date"/>
    <w:basedOn w:val="1"/>
    <w:next w:val="1"/>
    <w:link w:val="151"/>
    <w:qFormat/>
    <w:locked/>
    <w:uiPriority w:val="99"/>
    <w:pPr>
      <w:ind w:left="100" w:leftChars="2500"/>
    </w:pPr>
    <w:rPr>
      <w:kern w:val="0"/>
      <w:sz w:val="20"/>
      <w:szCs w:val="20"/>
    </w:rPr>
  </w:style>
  <w:style w:type="paragraph" w:styleId="15">
    <w:name w:val="endnote text"/>
    <w:basedOn w:val="1"/>
    <w:link w:val="126"/>
    <w:semiHidden/>
    <w:qFormat/>
    <w:uiPriority w:val="99"/>
    <w:pPr>
      <w:snapToGrid w:val="0"/>
      <w:jc w:val="left"/>
    </w:pPr>
    <w:rPr>
      <w:kern w:val="0"/>
      <w:sz w:val="24"/>
      <w:szCs w:val="20"/>
    </w:rPr>
  </w:style>
  <w:style w:type="paragraph" w:styleId="16">
    <w:name w:val="Balloon Text"/>
    <w:basedOn w:val="1"/>
    <w:link w:val="149"/>
    <w:semiHidden/>
    <w:qFormat/>
    <w:uiPriority w:val="99"/>
    <w:rPr>
      <w:kern w:val="0"/>
      <w:sz w:val="2"/>
      <w:szCs w:val="20"/>
    </w:rPr>
  </w:style>
  <w:style w:type="paragraph" w:styleId="17">
    <w:name w:val="footer"/>
    <w:basedOn w:val="1"/>
    <w:link w:val="57"/>
    <w:qFormat/>
    <w:uiPriority w:val="99"/>
    <w:pPr>
      <w:snapToGrid w:val="0"/>
      <w:ind w:right="210" w:rightChars="100"/>
      <w:jc w:val="right"/>
    </w:pPr>
    <w:rPr>
      <w:kern w:val="0"/>
      <w:sz w:val="18"/>
      <w:szCs w:val="20"/>
    </w:rPr>
  </w:style>
  <w:style w:type="paragraph" w:styleId="18">
    <w:name w:val="header"/>
    <w:basedOn w:val="1"/>
    <w:link w:val="58"/>
    <w:qFormat/>
    <w:uiPriority w:val="99"/>
    <w:pPr>
      <w:snapToGrid w:val="0"/>
      <w:jc w:val="left"/>
    </w:pPr>
    <w:rPr>
      <w:kern w:val="0"/>
      <w:sz w:val="18"/>
      <w:szCs w:val="20"/>
    </w:rPr>
  </w:style>
  <w:style w:type="paragraph" w:styleId="19">
    <w:name w:val="toc 1"/>
    <w:basedOn w:val="1"/>
    <w:next w:val="1"/>
    <w:qFormat/>
    <w:uiPriority w:val="99"/>
    <w:pPr>
      <w:tabs>
        <w:tab w:val="right" w:leader="dot" w:pos="9241"/>
      </w:tabs>
      <w:spacing w:beforeLines="25" w:afterLines="25"/>
      <w:jc w:val="left"/>
    </w:pPr>
    <w:rPr>
      <w:rFonts w:ascii="宋体"/>
      <w:szCs w:val="21"/>
    </w:rPr>
  </w:style>
  <w:style w:type="paragraph" w:styleId="20">
    <w:name w:val="toc 4"/>
    <w:basedOn w:val="1"/>
    <w:next w:val="1"/>
    <w:semiHidden/>
    <w:qFormat/>
    <w:uiPriority w:val="99"/>
    <w:pPr>
      <w:tabs>
        <w:tab w:val="right" w:leader="dot" w:pos="9241"/>
      </w:tabs>
      <w:ind w:firstLine="198" w:firstLineChars="200"/>
      <w:jc w:val="left"/>
    </w:pPr>
    <w:rPr>
      <w:rFonts w:ascii="宋体"/>
      <w:szCs w:val="21"/>
    </w:rPr>
  </w:style>
  <w:style w:type="paragraph" w:styleId="21">
    <w:name w:val="index heading"/>
    <w:basedOn w:val="1"/>
    <w:next w:val="22"/>
    <w:qFormat/>
    <w:uiPriority w:val="99"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styleId="22">
    <w:name w:val="index 1"/>
    <w:basedOn w:val="1"/>
    <w:next w:val="23"/>
    <w:qFormat/>
    <w:uiPriority w:val="99"/>
    <w:pPr>
      <w:tabs>
        <w:tab w:val="right" w:leader="dot" w:pos="9299"/>
      </w:tabs>
      <w:jc w:val="left"/>
    </w:pPr>
    <w:rPr>
      <w:rFonts w:ascii="宋体"/>
      <w:szCs w:val="21"/>
    </w:rPr>
  </w:style>
  <w:style w:type="paragraph" w:customStyle="1" w:styleId="23">
    <w:name w:val="段"/>
    <w:link w:val="41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2"/>
      <w:lang w:val="en-US" w:eastAsia="zh-CN" w:bidi="ar-SA"/>
    </w:rPr>
  </w:style>
  <w:style w:type="paragraph" w:styleId="24">
    <w:name w:val="footnote text"/>
    <w:basedOn w:val="1"/>
    <w:link w:val="108"/>
    <w:qFormat/>
    <w:uiPriority w:val="99"/>
    <w:pPr>
      <w:numPr>
        <w:ilvl w:val="0"/>
        <w:numId w:val="1"/>
      </w:numPr>
      <w:snapToGrid w:val="0"/>
      <w:jc w:val="left"/>
    </w:pPr>
    <w:rPr>
      <w:kern w:val="0"/>
      <w:sz w:val="18"/>
      <w:szCs w:val="20"/>
    </w:rPr>
  </w:style>
  <w:style w:type="paragraph" w:styleId="25">
    <w:name w:val="toc 6"/>
    <w:basedOn w:val="1"/>
    <w:next w:val="1"/>
    <w:semiHidden/>
    <w:qFormat/>
    <w:uiPriority w:val="99"/>
    <w:pPr>
      <w:tabs>
        <w:tab w:val="right" w:leader="dot" w:pos="9241"/>
      </w:tabs>
      <w:ind w:firstLine="403" w:firstLineChars="400"/>
      <w:jc w:val="left"/>
    </w:pPr>
    <w:rPr>
      <w:rFonts w:ascii="宋体"/>
      <w:szCs w:val="21"/>
    </w:rPr>
  </w:style>
  <w:style w:type="paragraph" w:styleId="26">
    <w:name w:val="index 7"/>
    <w:basedOn w:val="1"/>
    <w:next w:val="1"/>
    <w:qFormat/>
    <w:uiPriority w:val="99"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27">
    <w:name w:val="index 9"/>
    <w:basedOn w:val="1"/>
    <w:next w:val="1"/>
    <w:qFormat/>
    <w:uiPriority w:val="99"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28">
    <w:name w:val="toc 2"/>
    <w:basedOn w:val="1"/>
    <w:next w:val="1"/>
    <w:semiHidden/>
    <w:qFormat/>
    <w:uiPriority w:val="99"/>
    <w:pPr>
      <w:tabs>
        <w:tab w:val="right" w:leader="dot" w:pos="9241"/>
      </w:tabs>
    </w:pPr>
    <w:rPr>
      <w:rFonts w:ascii="宋体"/>
      <w:szCs w:val="21"/>
    </w:rPr>
  </w:style>
  <w:style w:type="paragraph" w:styleId="29">
    <w:name w:val="toc 9"/>
    <w:basedOn w:val="1"/>
    <w:next w:val="1"/>
    <w:semiHidden/>
    <w:qFormat/>
    <w:uiPriority w:val="99"/>
    <w:pPr>
      <w:ind w:left="1470"/>
      <w:jc w:val="left"/>
    </w:pPr>
    <w:rPr>
      <w:sz w:val="20"/>
      <w:szCs w:val="20"/>
    </w:rPr>
  </w:style>
  <w:style w:type="paragraph" w:styleId="30">
    <w:name w:val="Normal (Web)"/>
    <w:basedOn w:val="1"/>
    <w:qFormat/>
    <w:uiPriority w:val="0"/>
    <w:rPr>
      <w:sz w:val="24"/>
    </w:rPr>
  </w:style>
  <w:style w:type="paragraph" w:styleId="31">
    <w:name w:val="index 2"/>
    <w:basedOn w:val="1"/>
    <w:next w:val="1"/>
    <w:qFormat/>
    <w:uiPriority w:val="99"/>
    <w:pPr>
      <w:ind w:left="420" w:hanging="210"/>
      <w:jc w:val="left"/>
    </w:pPr>
    <w:rPr>
      <w:rFonts w:ascii="Calibri" w:hAnsi="Calibri"/>
      <w:sz w:val="20"/>
      <w:szCs w:val="20"/>
    </w:rPr>
  </w:style>
  <w:style w:type="table" w:styleId="33">
    <w:name w:val="Table Grid"/>
    <w:basedOn w:val="32"/>
    <w:qFormat/>
    <w:uiPriority w:val="99"/>
    <w:rPr>
      <w:rFonts w:ascii="宋体"/>
      <w:sz w:val="18"/>
      <w:szCs w:val="1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35">
    <w:name w:val="endnote reference"/>
    <w:semiHidden/>
    <w:qFormat/>
    <w:uiPriority w:val="99"/>
    <w:rPr>
      <w:rFonts w:cs="Times New Roman"/>
      <w:vertAlign w:val="superscript"/>
    </w:rPr>
  </w:style>
  <w:style w:type="character" w:styleId="36">
    <w:name w:val="page number"/>
    <w:qFormat/>
    <w:uiPriority w:val="99"/>
    <w:rPr>
      <w:rFonts w:ascii="Times New Roman" w:hAnsi="Times New Roman" w:eastAsia="宋体" w:cs="Times New Roman"/>
      <w:sz w:val="18"/>
    </w:rPr>
  </w:style>
  <w:style w:type="character" w:styleId="37">
    <w:name w:val="FollowedHyperlink"/>
    <w:qFormat/>
    <w:uiPriority w:val="99"/>
    <w:rPr>
      <w:rFonts w:cs="Times New Roman"/>
      <w:color w:val="800080"/>
      <w:u w:val="single"/>
    </w:rPr>
  </w:style>
  <w:style w:type="character" w:styleId="38">
    <w:name w:val="Hyperlink"/>
    <w:qFormat/>
    <w:uiPriority w:val="99"/>
    <w:rPr>
      <w:rFonts w:cs="Times New Roman"/>
      <w:color w:val="0000FF"/>
      <w:spacing w:val="0"/>
      <w:w w:val="100"/>
      <w:sz w:val="21"/>
      <w:u w:val="single"/>
    </w:rPr>
  </w:style>
  <w:style w:type="character" w:styleId="39">
    <w:name w:val="HTML Code"/>
    <w:qFormat/>
    <w:uiPriority w:val="99"/>
    <w:rPr>
      <w:rFonts w:ascii="Courier New" w:hAnsi="Courier New" w:cs="Times New Roman"/>
      <w:sz w:val="20"/>
    </w:rPr>
  </w:style>
  <w:style w:type="character" w:styleId="40">
    <w:name w:val="footnote reference"/>
    <w:semiHidden/>
    <w:qFormat/>
    <w:uiPriority w:val="99"/>
    <w:rPr>
      <w:rFonts w:cs="Times New Roman"/>
      <w:vertAlign w:val="superscript"/>
    </w:rPr>
  </w:style>
  <w:style w:type="character" w:customStyle="1" w:styleId="41">
    <w:name w:val="段 Char"/>
    <w:link w:val="23"/>
    <w:qFormat/>
    <w:locked/>
    <w:uiPriority w:val="99"/>
    <w:rPr>
      <w:rFonts w:ascii="宋体"/>
      <w:sz w:val="22"/>
      <w:lang w:val="en-US" w:eastAsia="zh-CN"/>
    </w:rPr>
  </w:style>
  <w:style w:type="paragraph" w:customStyle="1" w:styleId="42">
    <w:name w:val="一级条标题"/>
    <w:next w:val="23"/>
    <w:link w:val="147"/>
    <w:qFormat/>
    <w:uiPriority w:val="0"/>
    <w:pPr>
      <w:numPr>
        <w:ilvl w:val="1"/>
        <w:numId w:val="2"/>
      </w:numPr>
      <w:spacing w:beforeLines="50" w:afterLines="50"/>
      <w:outlineLvl w:val="2"/>
    </w:pPr>
    <w:rPr>
      <w:rFonts w:ascii="黑体" w:hAnsi="Times New Roman" w:eastAsia="黑体" w:cs="Times New Roman"/>
      <w:sz w:val="22"/>
      <w:lang w:val="en-US" w:eastAsia="zh-CN" w:bidi="ar-SA"/>
    </w:rPr>
  </w:style>
  <w:style w:type="paragraph" w:customStyle="1" w:styleId="43">
    <w:name w:val="标准书脚_奇数页"/>
    <w:qFormat/>
    <w:uiPriority w:val="99"/>
    <w:pPr>
      <w:spacing w:before="120"/>
      <w:ind w:right="198"/>
      <w:jc w:val="right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44">
    <w:name w:val="标准书眉_奇数页"/>
    <w:next w:val="1"/>
    <w:qFormat/>
    <w:uiPriority w:val="99"/>
    <w:pPr>
      <w:tabs>
        <w:tab w:val="center" w:pos="4154"/>
        <w:tab w:val="right" w:pos="8306"/>
      </w:tabs>
      <w:spacing w:after="220"/>
      <w:jc w:val="right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45">
    <w:name w:val="章标题"/>
    <w:next w:val="23"/>
    <w:qFormat/>
    <w:uiPriority w:val="0"/>
    <w:pPr>
      <w:numPr>
        <w:ilvl w:val="0"/>
        <w:numId w:val="2"/>
      </w:numPr>
      <w:spacing w:beforeLines="100" w:afterLines="10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46">
    <w:name w:val="二级条标题"/>
    <w:basedOn w:val="42"/>
    <w:next w:val="23"/>
    <w:qFormat/>
    <w:uiPriority w:val="0"/>
    <w:pPr>
      <w:numPr>
        <w:ilvl w:val="2"/>
      </w:numPr>
      <w:spacing w:before="50" w:after="50"/>
      <w:outlineLvl w:val="3"/>
    </w:pPr>
  </w:style>
  <w:style w:type="paragraph" w:customStyle="1" w:styleId="47">
    <w:name w:val="封面标准号2"/>
    <w:qFormat/>
    <w:uiPriority w:val="0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hAnsi="Times New Roman" w:eastAsia="黑体" w:cs="Times New Roman"/>
      <w:sz w:val="28"/>
      <w:szCs w:val="28"/>
      <w:lang w:val="en-US" w:eastAsia="zh-CN" w:bidi="ar-SA"/>
    </w:rPr>
  </w:style>
  <w:style w:type="paragraph" w:customStyle="1" w:styleId="48">
    <w:name w:val="列项——（一级）"/>
    <w:qFormat/>
    <w:uiPriority w:val="99"/>
    <w:pPr>
      <w:widowControl w:val="0"/>
      <w:numPr>
        <w:ilvl w:val="0"/>
        <w:numId w:val="3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49">
    <w:name w:val="列项●（二级）"/>
    <w:qFormat/>
    <w:uiPriority w:val="99"/>
    <w:pPr>
      <w:numPr>
        <w:ilvl w:val="1"/>
        <w:numId w:val="3"/>
      </w:numPr>
      <w:tabs>
        <w:tab w:val="left" w:pos="840"/>
      </w:tabs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50">
    <w:name w:val="目次、标准名称标题"/>
    <w:basedOn w:val="1"/>
    <w:next w:val="23"/>
    <w:qFormat/>
    <w:uiPriority w:val="99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51">
    <w:name w:val="三级条标题"/>
    <w:basedOn w:val="46"/>
    <w:next w:val="1"/>
    <w:qFormat/>
    <w:uiPriority w:val="0"/>
    <w:pPr>
      <w:numPr>
        <w:ilvl w:val="3"/>
      </w:numPr>
      <w:outlineLvl w:val="4"/>
    </w:pPr>
  </w:style>
  <w:style w:type="paragraph" w:customStyle="1" w:styleId="52">
    <w:name w:val="示例"/>
    <w:next w:val="53"/>
    <w:qFormat/>
    <w:uiPriority w:val="99"/>
    <w:pPr>
      <w:widowControl w:val="0"/>
      <w:numPr>
        <w:ilvl w:val="0"/>
        <w:numId w:val="4"/>
      </w:numPr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53">
    <w:name w:val="示例内容"/>
    <w:qFormat/>
    <w:uiPriority w:val="99"/>
    <w:pPr>
      <w:ind w:firstLine="200" w:firstLineChars="200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54">
    <w:name w:val="数字编号列项（二级）"/>
    <w:qFormat/>
    <w:uiPriority w:val="99"/>
    <w:pPr>
      <w:numPr>
        <w:ilvl w:val="1"/>
        <w:numId w:val="5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55">
    <w:name w:val="四级条标题"/>
    <w:basedOn w:val="51"/>
    <w:next w:val="23"/>
    <w:qFormat/>
    <w:uiPriority w:val="0"/>
    <w:pPr>
      <w:numPr>
        <w:ilvl w:val="4"/>
      </w:numPr>
      <w:outlineLvl w:val="5"/>
    </w:pPr>
  </w:style>
  <w:style w:type="paragraph" w:customStyle="1" w:styleId="56">
    <w:name w:val="五级条标题"/>
    <w:basedOn w:val="55"/>
    <w:next w:val="23"/>
    <w:qFormat/>
    <w:uiPriority w:val="0"/>
    <w:pPr>
      <w:numPr>
        <w:ilvl w:val="5"/>
      </w:numPr>
      <w:ind w:left="0"/>
      <w:outlineLvl w:val="6"/>
    </w:pPr>
  </w:style>
  <w:style w:type="character" w:customStyle="1" w:styleId="57">
    <w:name w:val="页脚 字符"/>
    <w:link w:val="17"/>
    <w:semiHidden/>
    <w:qFormat/>
    <w:locked/>
    <w:uiPriority w:val="99"/>
    <w:rPr>
      <w:sz w:val="18"/>
    </w:rPr>
  </w:style>
  <w:style w:type="character" w:customStyle="1" w:styleId="58">
    <w:name w:val="页眉 字符"/>
    <w:link w:val="18"/>
    <w:semiHidden/>
    <w:qFormat/>
    <w:locked/>
    <w:uiPriority w:val="99"/>
    <w:rPr>
      <w:sz w:val="18"/>
    </w:rPr>
  </w:style>
  <w:style w:type="paragraph" w:customStyle="1" w:styleId="59">
    <w:name w:val="注："/>
    <w:next w:val="23"/>
    <w:qFormat/>
    <w:uiPriority w:val="99"/>
    <w:pPr>
      <w:widowControl w:val="0"/>
      <w:numPr>
        <w:ilvl w:val="0"/>
        <w:numId w:val="6"/>
      </w:numPr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60">
    <w:name w:val="注×："/>
    <w:qFormat/>
    <w:uiPriority w:val="99"/>
    <w:pPr>
      <w:widowControl w:val="0"/>
      <w:numPr>
        <w:ilvl w:val="0"/>
        <w:numId w:val="7"/>
      </w:numPr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61">
    <w:name w:val="字母编号列项（一级）"/>
    <w:qFormat/>
    <w:uiPriority w:val="99"/>
    <w:pPr>
      <w:numPr>
        <w:ilvl w:val="0"/>
        <w:numId w:val="5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62">
    <w:name w:val="列项◆（三级）"/>
    <w:basedOn w:val="1"/>
    <w:qFormat/>
    <w:uiPriority w:val="99"/>
    <w:pPr>
      <w:numPr>
        <w:ilvl w:val="2"/>
        <w:numId w:val="3"/>
      </w:numPr>
    </w:pPr>
    <w:rPr>
      <w:rFonts w:ascii="宋体"/>
      <w:szCs w:val="21"/>
    </w:rPr>
  </w:style>
  <w:style w:type="paragraph" w:customStyle="1" w:styleId="63">
    <w:name w:val="编号列项（三级）"/>
    <w:qFormat/>
    <w:uiPriority w:val="99"/>
    <w:pPr>
      <w:numPr>
        <w:ilvl w:val="2"/>
        <w:numId w:val="5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64">
    <w:name w:val="示例×："/>
    <w:basedOn w:val="45"/>
    <w:qFormat/>
    <w:uiPriority w:val="99"/>
    <w:pPr>
      <w:numPr>
        <w:numId w:val="8"/>
      </w:numPr>
      <w:spacing w:beforeLines="0" w:afterLines="0"/>
      <w:outlineLvl w:val="9"/>
    </w:pPr>
    <w:rPr>
      <w:rFonts w:ascii="宋体" w:eastAsia="宋体"/>
      <w:sz w:val="18"/>
      <w:szCs w:val="18"/>
    </w:rPr>
  </w:style>
  <w:style w:type="paragraph" w:customStyle="1" w:styleId="65">
    <w:name w:val="二级无"/>
    <w:basedOn w:val="46"/>
    <w:qFormat/>
    <w:uiPriority w:val="99"/>
    <w:pPr>
      <w:spacing w:beforeLines="0" w:afterLines="0"/>
    </w:pPr>
    <w:rPr>
      <w:rFonts w:ascii="宋体" w:eastAsia="宋体"/>
    </w:rPr>
  </w:style>
  <w:style w:type="paragraph" w:customStyle="1" w:styleId="66">
    <w:name w:val="注：（正文）"/>
    <w:basedOn w:val="59"/>
    <w:next w:val="23"/>
    <w:qFormat/>
    <w:uiPriority w:val="99"/>
  </w:style>
  <w:style w:type="paragraph" w:customStyle="1" w:styleId="67">
    <w:name w:val="注×：（正文）"/>
    <w:qFormat/>
    <w:uiPriority w:val="99"/>
    <w:pPr>
      <w:numPr>
        <w:ilvl w:val="0"/>
        <w:numId w:val="9"/>
      </w:numPr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68">
    <w:name w:val="标准标志"/>
    <w:next w:val="1"/>
    <w:qFormat/>
    <w:uiPriority w:val="99"/>
    <w:pPr>
      <w:framePr w:w="2546" w:h="1389" w:hRule="exact" w:hSpace="181" w:vSpace="181" w:wrap="around" w:vAnchor="margin" w:hAnchor="margin" w:x="6522" w:y="398" w:anchorLock="1"/>
      <w:shd w:val="solid" w:color="FFFFFF" w:fill="FFFFFF"/>
      <w:spacing w:line="240" w:lineRule="atLeast"/>
      <w:jc w:val="right"/>
    </w:pPr>
    <w:rPr>
      <w:rFonts w:ascii="Times New Roman" w:hAnsi="Times New Roman" w:eastAsia="宋体" w:cs="Times New Roman"/>
      <w:b/>
      <w:w w:val="170"/>
      <w:sz w:val="96"/>
      <w:szCs w:val="96"/>
      <w:lang w:val="en-US" w:eastAsia="zh-CN" w:bidi="ar-SA"/>
    </w:rPr>
  </w:style>
  <w:style w:type="paragraph" w:customStyle="1" w:styleId="69">
    <w:name w:val="标准称谓"/>
    <w:next w:val="1"/>
    <w:qFormat/>
    <w:uiPriority w:val="99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240" w:lineRule="atLeast"/>
      <w:jc w:val="distribute"/>
    </w:pPr>
    <w:rPr>
      <w:rFonts w:ascii="宋体" w:hAnsi="Times New Roman" w:eastAsia="宋体" w:cs="Times New Roman"/>
      <w:b/>
      <w:bCs/>
      <w:spacing w:val="20"/>
      <w:w w:val="148"/>
      <w:sz w:val="48"/>
      <w:lang w:val="en-US" w:eastAsia="zh-CN" w:bidi="ar-SA"/>
    </w:rPr>
  </w:style>
  <w:style w:type="paragraph" w:customStyle="1" w:styleId="70">
    <w:name w:val="标准书脚_偶数页"/>
    <w:qFormat/>
    <w:uiPriority w:val="99"/>
    <w:pPr>
      <w:spacing w:before="120"/>
      <w:ind w:left="221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71">
    <w:name w:val="标准书眉_偶数页"/>
    <w:basedOn w:val="44"/>
    <w:next w:val="1"/>
    <w:qFormat/>
    <w:uiPriority w:val="99"/>
    <w:pPr>
      <w:jc w:val="left"/>
    </w:pPr>
  </w:style>
  <w:style w:type="paragraph" w:customStyle="1" w:styleId="72">
    <w:name w:val="标准书眉一"/>
    <w:qFormat/>
    <w:uiPriority w:val="99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73">
    <w:name w:val="参考文献"/>
    <w:basedOn w:val="1"/>
    <w:next w:val="23"/>
    <w:qFormat/>
    <w:uiPriority w:val="99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74">
    <w:name w:val="参考文献、索引标题"/>
    <w:basedOn w:val="1"/>
    <w:next w:val="23"/>
    <w:qFormat/>
    <w:uiPriority w:val="99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character" w:customStyle="1" w:styleId="75">
    <w:name w:val="发布"/>
    <w:qFormat/>
    <w:uiPriority w:val="99"/>
    <w:rPr>
      <w:rFonts w:ascii="黑体" w:eastAsia="黑体"/>
      <w:spacing w:val="85"/>
      <w:w w:val="100"/>
      <w:position w:val="3"/>
      <w:sz w:val="28"/>
    </w:rPr>
  </w:style>
  <w:style w:type="paragraph" w:customStyle="1" w:styleId="76">
    <w:name w:val="发布部门"/>
    <w:next w:val="23"/>
    <w:qFormat/>
    <w:uiPriority w:val="99"/>
    <w:pPr>
      <w:framePr w:w="7938" w:h="1134" w:hRule="exact" w:hSpace="125" w:vSpace="181" w:wrap="around" w:vAnchor="page" w:hAnchor="page" w:x="2150" w:y="14630" w:anchorLock="1"/>
      <w:jc w:val="center"/>
    </w:pPr>
    <w:rPr>
      <w:rFonts w:ascii="宋体" w:hAnsi="Times New Roman" w:eastAsia="宋体" w:cs="Times New Roman"/>
      <w:b/>
      <w:spacing w:val="20"/>
      <w:w w:val="135"/>
      <w:sz w:val="28"/>
      <w:lang w:val="en-US" w:eastAsia="zh-CN" w:bidi="ar-SA"/>
    </w:rPr>
  </w:style>
  <w:style w:type="paragraph" w:customStyle="1" w:styleId="77">
    <w:name w:val="发布日期"/>
    <w:qFormat/>
    <w:uiPriority w:val="99"/>
    <w:pPr>
      <w:framePr w:w="3997" w:h="471" w:hRule="exact" w:vSpace="181" w:wrap="around" w:vAnchor="margin" w:hAnchor="page" w:x="7089" w:y="14097" w:anchorLock="1"/>
    </w:pPr>
    <w:rPr>
      <w:rFonts w:ascii="Times New Roman" w:hAnsi="Times New Roman" w:eastAsia="黑体" w:cs="Times New Roman"/>
      <w:sz w:val="28"/>
      <w:lang w:val="en-US" w:eastAsia="zh-CN" w:bidi="ar-SA"/>
    </w:rPr>
  </w:style>
  <w:style w:type="paragraph" w:customStyle="1" w:styleId="78">
    <w:name w:val="封面标准代替信息"/>
    <w:qFormat/>
    <w:uiPriority w:val="99"/>
    <w:pPr>
      <w:framePr w:w="9140" w:h="1242" w:hRule="exact" w:hSpace="284" w:wrap="around" w:vAnchor="page" w:hAnchor="page" w:x="1645" w:y="2910" w:anchorLock="1"/>
      <w:spacing w:before="57" w:line="280" w:lineRule="exact"/>
      <w:jc w:val="right"/>
    </w:pPr>
    <w:rPr>
      <w:rFonts w:ascii="宋体" w:hAnsi="Times New Roman" w:eastAsia="宋体" w:cs="Times New Roman"/>
      <w:sz w:val="21"/>
      <w:szCs w:val="21"/>
      <w:lang w:val="en-US" w:eastAsia="zh-CN" w:bidi="ar-SA"/>
    </w:rPr>
  </w:style>
  <w:style w:type="paragraph" w:customStyle="1" w:styleId="79">
    <w:name w:val="封面标准号1"/>
    <w:qFormat/>
    <w:uiPriority w:val="99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80">
    <w:name w:val="封面标准名称"/>
    <w:qFormat/>
    <w:uiPriority w:val="99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paragraph" w:customStyle="1" w:styleId="81">
    <w:name w:val="封面标准英文名称"/>
    <w:basedOn w:val="80"/>
    <w:qFormat/>
    <w:uiPriority w:val="99"/>
    <w:pPr>
      <w:framePr w:wrap="around"/>
      <w:spacing w:before="370" w:line="400" w:lineRule="exact"/>
    </w:pPr>
    <w:rPr>
      <w:rFonts w:ascii="Times New Roman"/>
      <w:sz w:val="28"/>
      <w:szCs w:val="28"/>
    </w:rPr>
  </w:style>
  <w:style w:type="paragraph" w:customStyle="1" w:styleId="82">
    <w:name w:val="封面一致性程度标识"/>
    <w:basedOn w:val="81"/>
    <w:qFormat/>
    <w:uiPriority w:val="99"/>
    <w:pPr>
      <w:framePr w:wrap="around"/>
      <w:spacing w:before="440"/>
    </w:pPr>
    <w:rPr>
      <w:rFonts w:ascii="宋体" w:eastAsia="宋体"/>
    </w:rPr>
  </w:style>
  <w:style w:type="paragraph" w:customStyle="1" w:styleId="83">
    <w:name w:val="封面标准文稿类别"/>
    <w:basedOn w:val="82"/>
    <w:qFormat/>
    <w:uiPriority w:val="99"/>
    <w:pPr>
      <w:framePr w:wrap="around"/>
      <w:spacing w:after="160" w:line="240" w:lineRule="auto"/>
    </w:pPr>
    <w:rPr>
      <w:sz w:val="24"/>
    </w:rPr>
  </w:style>
  <w:style w:type="paragraph" w:customStyle="1" w:styleId="84">
    <w:name w:val="封面标准文稿编辑信息"/>
    <w:basedOn w:val="83"/>
    <w:qFormat/>
    <w:uiPriority w:val="99"/>
    <w:pPr>
      <w:framePr w:wrap="around"/>
      <w:spacing w:before="180" w:line="180" w:lineRule="exact"/>
    </w:pPr>
    <w:rPr>
      <w:sz w:val="21"/>
    </w:rPr>
  </w:style>
  <w:style w:type="paragraph" w:customStyle="1" w:styleId="85">
    <w:name w:val="封面正文"/>
    <w:qFormat/>
    <w:uiPriority w:val="99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86">
    <w:name w:val="附录标识"/>
    <w:basedOn w:val="1"/>
    <w:next w:val="23"/>
    <w:qFormat/>
    <w:uiPriority w:val="99"/>
    <w:pPr>
      <w:keepNext/>
      <w:widowControl/>
      <w:numPr>
        <w:ilvl w:val="0"/>
        <w:numId w:val="10"/>
      </w:numPr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87">
    <w:name w:val="附录标题"/>
    <w:basedOn w:val="23"/>
    <w:next w:val="23"/>
    <w:qFormat/>
    <w:uiPriority w:val="99"/>
    <w:pPr>
      <w:ind w:firstLine="0" w:firstLineChars="0"/>
      <w:jc w:val="center"/>
    </w:pPr>
    <w:rPr>
      <w:rFonts w:ascii="黑体" w:eastAsia="黑体"/>
    </w:rPr>
  </w:style>
  <w:style w:type="paragraph" w:customStyle="1" w:styleId="88">
    <w:name w:val="附录表标号"/>
    <w:basedOn w:val="1"/>
    <w:next w:val="23"/>
    <w:qFormat/>
    <w:uiPriority w:val="99"/>
    <w:pPr>
      <w:numPr>
        <w:ilvl w:val="0"/>
        <w:numId w:val="11"/>
      </w:numPr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89">
    <w:name w:val="附录表标题"/>
    <w:basedOn w:val="1"/>
    <w:next w:val="23"/>
    <w:qFormat/>
    <w:uiPriority w:val="99"/>
    <w:pPr>
      <w:numPr>
        <w:ilvl w:val="1"/>
        <w:numId w:val="11"/>
      </w:numPr>
      <w:tabs>
        <w:tab w:val="left" w:pos="180"/>
      </w:tabs>
      <w:spacing w:beforeLines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90">
    <w:name w:val="附录二级条标题"/>
    <w:basedOn w:val="1"/>
    <w:next w:val="23"/>
    <w:qFormat/>
    <w:uiPriority w:val="99"/>
    <w:pPr>
      <w:widowControl/>
      <w:numPr>
        <w:ilvl w:val="3"/>
        <w:numId w:val="10"/>
      </w:numPr>
      <w:tabs>
        <w:tab w:val="left" w:pos="360"/>
      </w:tabs>
      <w:wordWrap w:val="0"/>
      <w:overflowPunct w:val="0"/>
      <w:autoSpaceDE w:val="0"/>
      <w:autoSpaceDN w:val="0"/>
      <w:spacing w:beforeLines="50" w:afterLines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91">
    <w:name w:val="附录二级无"/>
    <w:basedOn w:val="90"/>
    <w:qFormat/>
    <w:uiPriority w:val="99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92">
    <w:name w:val="附录公式"/>
    <w:basedOn w:val="23"/>
    <w:next w:val="23"/>
    <w:link w:val="93"/>
    <w:qFormat/>
    <w:uiPriority w:val="99"/>
  </w:style>
  <w:style w:type="character" w:customStyle="1" w:styleId="93">
    <w:name w:val="附录公式 Char"/>
    <w:link w:val="92"/>
    <w:qFormat/>
    <w:locked/>
    <w:uiPriority w:val="99"/>
    <w:rPr>
      <w:rFonts w:ascii="宋体"/>
      <w:sz w:val="21"/>
      <w:lang w:val="en-US" w:eastAsia="zh-CN"/>
    </w:rPr>
  </w:style>
  <w:style w:type="paragraph" w:customStyle="1" w:styleId="94">
    <w:name w:val="附录公式编号制表符"/>
    <w:basedOn w:val="1"/>
    <w:next w:val="23"/>
    <w:qFormat/>
    <w:uiPriority w:val="99"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kern w:val="0"/>
      <w:szCs w:val="20"/>
    </w:rPr>
  </w:style>
  <w:style w:type="paragraph" w:customStyle="1" w:styleId="95">
    <w:name w:val="附录三级条标题"/>
    <w:basedOn w:val="90"/>
    <w:next w:val="23"/>
    <w:qFormat/>
    <w:uiPriority w:val="99"/>
    <w:pPr>
      <w:numPr>
        <w:ilvl w:val="4"/>
      </w:numPr>
      <w:outlineLvl w:val="4"/>
    </w:pPr>
  </w:style>
  <w:style w:type="paragraph" w:customStyle="1" w:styleId="96">
    <w:name w:val="附录三级无"/>
    <w:basedOn w:val="95"/>
    <w:qFormat/>
    <w:uiPriority w:val="99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97">
    <w:name w:val="附录数字编号列项（二级）"/>
    <w:qFormat/>
    <w:uiPriority w:val="99"/>
    <w:pPr>
      <w:numPr>
        <w:ilvl w:val="1"/>
        <w:numId w:val="12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98">
    <w:name w:val="附录四级条标题"/>
    <w:basedOn w:val="95"/>
    <w:next w:val="23"/>
    <w:qFormat/>
    <w:uiPriority w:val="99"/>
    <w:pPr>
      <w:numPr>
        <w:ilvl w:val="5"/>
      </w:numPr>
      <w:outlineLvl w:val="5"/>
    </w:pPr>
  </w:style>
  <w:style w:type="paragraph" w:customStyle="1" w:styleId="99">
    <w:name w:val="附录四级无"/>
    <w:basedOn w:val="98"/>
    <w:qFormat/>
    <w:uiPriority w:val="99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100">
    <w:name w:val="附录图标号"/>
    <w:basedOn w:val="1"/>
    <w:qFormat/>
    <w:uiPriority w:val="99"/>
    <w:pPr>
      <w:keepNext/>
      <w:pageBreakBefore/>
      <w:widowControl/>
      <w:numPr>
        <w:ilvl w:val="0"/>
        <w:numId w:val="13"/>
      </w:numPr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101">
    <w:name w:val="附录图标题"/>
    <w:basedOn w:val="1"/>
    <w:next w:val="23"/>
    <w:qFormat/>
    <w:uiPriority w:val="99"/>
    <w:pPr>
      <w:numPr>
        <w:ilvl w:val="1"/>
        <w:numId w:val="13"/>
      </w:numPr>
      <w:tabs>
        <w:tab w:val="left" w:pos="363"/>
      </w:tabs>
      <w:spacing w:beforeLines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102">
    <w:name w:val="附录五级条标题"/>
    <w:basedOn w:val="98"/>
    <w:next w:val="23"/>
    <w:qFormat/>
    <w:uiPriority w:val="99"/>
    <w:pPr>
      <w:numPr>
        <w:ilvl w:val="6"/>
      </w:numPr>
      <w:outlineLvl w:val="6"/>
    </w:pPr>
  </w:style>
  <w:style w:type="paragraph" w:customStyle="1" w:styleId="103">
    <w:name w:val="附录五级无"/>
    <w:basedOn w:val="102"/>
    <w:qFormat/>
    <w:uiPriority w:val="99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104">
    <w:name w:val="附录章标题"/>
    <w:next w:val="23"/>
    <w:qFormat/>
    <w:uiPriority w:val="99"/>
    <w:pPr>
      <w:numPr>
        <w:ilvl w:val="1"/>
        <w:numId w:val="10"/>
      </w:numPr>
      <w:tabs>
        <w:tab w:val="left" w:pos="360"/>
      </w:tabs>
      <w:wordWrap w:val="0"/>
      <w:overflowPunct w:val="0"/>
      <w:autoSpaceDE w:val="0"/>
      <w:spacing w:beforeLines="100" w:afterLines="100"/>
      <w:jc w:val="both"/>
      <w:textAlignment w:val="baseline"/>
      <w:outlineLvl w:val="1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105">
    <w:name w:val="附录一级条标题"/>
    <w:basedOn w:val="104"/>
    <w:next w:val="23"/>
    <w:qFormat/>
    <w:uiPriority w:val="99"/>
    <w:pPr>
      <w:numPr>
        <w:ilvl w:val="2"/>
      </w:numPr>
      <w:autoSpaceDN w:val="0"/>
      <w:spacing w:beforeLines="50" w:afterLines="50"/>
      <w:outlineLvl w:val="2"/>
    </w:pPr>
  </w:style>
  <w:style w:type="paragraph" w:customStyle="1" w:styleId="106">
    <w:name w:val="附录一级无"/>
    <w:basedOn w:val="105"/>
    <w:qFormat/>
    <w:uiPriority w:val="99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107">
    <w:name w:val="附录字母编号列项（一级）"/>
    <w:qFormat/>
    <w:uiPriority w:val="99"/>
    <w:pPr>
      <w:numPr>
        <w:ilvl w:val="0"/>
        <w:numId w:val="12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character" w:customStyle="1" w:styleId="108">
    <w:name w:val="脚注文本 字符"/>
    <w:link w:val="24"/>
    <w:semiHidden/>
    <w:qFormat/>
    <w:locked/>
    <w:uiPriority w:val="99"/>
    <w:rPr>
      <w:sz w:val="18"/>
    </w:rPr>
  </w:style>
  <w:style w:type="paragraph" w:customStyle="1" w:styleId="109">
    <w:name w:val="列项说明"/>
    <w:basedOn w:val="1"/>
    <w:qFormat/>
    <w:uiPriority w:val="99"/>
    <w:pPr>
      <w:adjustRightInd w:val="0"/>
      <w:spacing w:line="320" w:lineRule="exact"/>
      <w:ind w:left="400" w:leftChars="200" w:hanging="200" w:hangingChars="200"/>
      <w:jc w:val="left"/>
      <w:textAlignment w:val="baseline"/>
    </w:pPr>
    <w:rPr>
      <w:rFonts w:ascii="宋体"/>
      <w:kern w:val="0"/>
      <w:szCs w:val="20"/>
    </w:rPr>
  </w:style>
  <w:style w:type="paragraph" w:customStyle="1" w:styleId="110">
    <w:name w:val="列项说明数字编号"/>
    <w:qFormat/>
    <w:uiPriority w:val="99"/>
    <w:pPr>
      <w:ind w:left="600" w:leftChars="400" w:hanging="200" w:hangingChars="200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11">
    <w:name w:val="目次、索引正文"/>
    <w:qFormat/>
    <w:uiPriority w:val="99"/>
    <w:pPr>
      <w:spacing w:line="320" w:lineRule="exact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12">
    <w:name w:val="其他标准标志"/>
    <w:basedOn w:val="68"/>
    <w:qFormat/>
    <w:uiPriority w:val="99"/>
    <w:pPr>
      <w:framePr w:w="6101" w:wrap="around" w:vAnchor="page" w:hAnchor="page" w:x="4673" w:y="942"/>
    </w:pPr>
    <w:rPr>
      <w:w w:val="130"/>
    </w:rPr>
  </w:style>
  <w:style w:type="paragraph" w:customStyle="1" w:styleId="113">
    <w:name w:val="其他标准称谓"/>
    <w:next w:val="1"/>
    <w:qFormat/>
    <w:uiPriority w:val="99"/>
    <w:pPr>
      <w:framePr w:hSpace="181" w:vSpace="181" w:wrap="around" w:vAnchor="page" w:hAnchor="page" w:x="1419" w:y="2286" w:anchorLock="1"/>
      <w:spacing w:line="240" w:lineRule="atLeast"/>
      <w:jc w:val="distribute"/>
    </w:pPr>
    <w:rPr>
      <w:rFonts w:ascii="黑体" w:hAnsi="宋体" w:eastAsia="黑体" w:cs="Times New Roman"/>
      <w:spacing w:val="-40"/>
      <w:sz w:val="48"/>
      <w:szCs w:val="52"/>
      <w:lang w:val="en-US" w:eastAsia="zh-CN" w:bidi="ar-SA"/>
    </w:rPr>
  </w:style>
  <w:style w:type="paragraph" w:customStyle="1" w:styleId="114">
    <w:name w:val="其他发布部门"/>
    <w:basedOn w:val="76"/>
    <w:qFormat/>
    <w:uiPriority w:val="99"/>
    <w:pPr>
      <w:framePr w:wrap="around" w:y="15310"/>
      <w:spacing w:line="240" w:lineRule="atLeast"/>
    </w:pPr>
    <w:rPr>
      <w:rFonts w:ascii="黑体" w:eastAsia="黑体"/>
      <w:b w:val="0"/>
    </w:rPr>
  </w:style>
  <w:style w:type="paragraph" w:customStyle="1" w:styleId="115">
    <w:name w:val="前言、引言标题"/>
    <w:next w:val="23"/>
    <w:qFormat/>
    <w:uiPriority w:val="0"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116">
    <w:name w:val="三级无"/>
    <w:basedOn w:val="51"/>
    <w:qFormat/>
    <w:uiPriority w:val="99"/>
    <w:pPr>
      <w:spacing w:beforeLines="0" w:afterLines="0"/>
    </w:pPr>
    <w:rPr>
      <w:rFonts w:ascii="宋体" w:eastAsia="宋体"/>
    </w:rPr>
  </w:style>
  <w:style w:type="paragraph" w:customStyle="1" w:styleId="117">
    <w:name w:val="实施日期"/>
    <w:basedOn w:val="77"/>
    <w:qFormat/>
    <w:uiPriority w:val="99"/>
    <w:pPr>
      <w:framePr w:wrap="around" w:vAnchor="page" w:hAnchor="text"/>
      <w:jc w:val="right"/>
    </w:pPr>
  </w:style>
  <w:style w:type="paragraph" w:customStyle="1" w:styleId="118">
    <w:name w:val="示例后文字"/>
    <w:basedOn w:val="23"/>
    <w:next w:val="23"/>
    <w:qFormat/>
    <w:uiPriority w:val="99"/>
    <w:pPr>
      <w:ind w:firstLine="360"/>
    </w:pPr>
    <w:rPr>
      <w:sz w:val="18"/>
    </w:rPr>
  </w:style>
  <w:style w:type="paragraph" w:customStyle="1" w:styleId="119">
    <w:name w:val="首示例"/>
    <w:next w:val="23"/>
    <w:link w:val="120"/>
    <w:qFormat/>
    <w:uiPriority w:val="99"/>
    <w:pPr>
      <w:numPr>
        <w:ilvl w:val="0"/>
        <w:numId w:val="14"/>
      </w:numPr>
      <w:tabs>
        <w:tab w:val="left" w:pos="360"/>
      </w:tabs>
      <w:ind w:firstLine="0"/>
    </w:pPr>
    <w:rPr>
      <w:rFonts w:ascii="宋体" w:hAnsi="Times New Roman" w:eastAsia="宋体" w:cs="Times New Roman"/>
      <w:kern w:val="2"/>
      <w:sz w:val="22"/>
      <w:lang w:val="en-US" w:eastAsia="zh-CN" w:bidi="ar-SA"/>
    </w:rPr>
  </w:style>
  <w:style w:type="character" w:customStyle="1" w:styleId="120">
    <w:name w:val="首示例 Char"/>
    <w:link w:val="119"/>
    <w:qFormat/>
    <w:locked/>
    <w:uiPriority w:val="99"/>
    <w:rPr>
      <w:rFonts w:ascii="宋体"/>
      <w:kern w:val="2"/>
      <w:sz w:val="22"/>
    </w:rPr>
  </w:style>
  <w:style w:type="paragraph" w:customStyle="1" w:styleId="121">
    <w:name w:val="四级无"/>
    <w:basedOn w:val="55"/>
    <w:qFormat/>
    <w:uiPriority w:val="99"/>
    <w:pPr>
      <w:spacing w:beforeLines="0" w:afterLines="0"/>
    </w:pPr>
    <w:rPr>
      <w:rFonts w:ascii="宋体" w:eastAsia="宋体"/>
    </w:rPr>
  </w:style>
  <w:style w:type="paragraph" w:customStyle="1" w:styleId="122">
    <w:name w:val="条文脚注"/>
    <w:basedOn w:val="24"/>
    <w:qFormat/>
    <w:uiPriority w:val="99"/>
    <w:pPr>
      <w:numPr>
        <w:numId w:val="0"/>
      </w:numPr>
      <w:jc w:val="both"/>
    </w:pPr>
  </w:style>
  <w:style w:type="paragraph" w:customStyle="1" w:styleId="123">
    <w:name w:val="图标脚注说明"/>
    <w:basedOn w:val="23"/>
    <w:qFormat/>
    <w:uiPriority w:val="99"/>
    <w:pPr>
      <w:ind w:left="840" w:hanging="420" w:firstLineChars="0"/>
    </w:pPr>
    <w:rPr>
      <w:sz w:val="18"/>
      <w:szCs w:val="18"/>
    </w:rPr>
  </w:style>
  <w:style w:type="paragraph" w:customStyle="1" w:styleId="124">
    <w:name w:val="图表脚注说明"/>
    <w:basedOn w:val="1"/>
    <w:qFormat/>
    <w:uiPriority w:val="99"/>
    <w:pPr>
      <w:numPr>
        <w:ilvl w:val="0"/>
        <w:numId w:val="15"/>
      </w:numPr>
    </w:pPr>
    <w:rPr>
      <w:rFonts w:ascii="宋体"/>
      <w:sz w:val="18"/>
      <w:szCs w:val="18"/>
    </w:rPr>
  </w:style>
  <w:style w:type="paragraph" w:customStyle="1" w:styleId="125">
    <w:name w:val="图的脚注"/>
    <w:next w:val="23"/>
    <w:qFormat/>
    <w:uiPriority w:val="99"/>
    <w:pPr>
      <w:widowControl w:val="0"/>
      <w:ind w:left="840" w:leftChars="200" w:hanging="420" w:hangingChars="20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character" w:customStyle="1" w:styleId="126">
    <w:name w:val="尾注文本 字符"/>
    <w:link w:val="15"/>
    <w:semiHidden/>
    <w:qFormat/>
    <w:locked/>
    <w:uiPriority w:val="99"/>
    <w:rPr>
      <w:sz w:val="24"/>
    </w:rPr>
  </w:style>
  <w:style w:type="character" w:customStyle="1" w:styleId="127">
    <w:name w:val="文档结构图 字符"/>
    <w:link w:val="6"/>
    <w:semiHidden/>
    <w:qFormat/>
    <w:locked/>
    <w:uiPriority w:val="99"/>
    <w:rPr>
      <w:sz w:val="2"/>
    </w:rPr>
  </w:style>
  <w:style w:type="paragraph" w:customStyle="1" w:styleId="128">
    <w:name w:val="文献分类号"/>
    <w:qFormat/>
    <w:uiPriority w:val="99"/>
    <w:pPr>
      <w:framePr w:hSpace="180" w:vSpace="180" w:wrap="around" w:vAnchor="margin" w:hAnchor="margin" w:y="1" w:anchorLock="1"/>
      <w:widowControl w:val="0"/>
      <w:textAlignment w:val="center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129">
    <w:name w:val="五级无"/>
    <w:basedOn w:val="56"/>
    <w:qFormat/>
    <w:uiPriority w:val="99"/>
    <w:pPr>
      <w:spacing w:beforeLines="0" w:afterLines="0"/>
    </w:pPr>
    <w:rPr>
      <w:rFonts w:ascii="宋体" w:eastAsia="宋体"/>
    </w:rPr>
  </w:style>
  <w:style w:type="paragraph" w:customStyle="1" w:styleId="130">
    <w:name w:val="一级无"/>
    <w:basedOn w:val="42"/>
    <w:qFormat/>
    <w:uiPriority w:val="99"/>
    <w:pPr>
      <w:spacing w:beforeLines="0" w:afterLines="0"/>
    </w:pPr>
    <w:rPr>
      <w:rFonts w:ascii="宋体" w:eastAsia="宋体"/>
    </w:rPr>
  </w:style>
  <w:style w:type="paragraph" w:customStyle="1" w:styleId="131">
    <w:name w:val="正文表标题"/>
    <w:next w:val="23"/>
    <w:qFormat/>
    <w:uiPriority w:val="0"/>
    <w:pPr>
      <w:numPr>
        <w:ilvl w:val="0"/>
        <w:numId w:val="16"/>
      </w:numPr>
      <w:spacing w:beforeLines="50" w:afterLines="5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32">
    <w:name w:val="正文公式编号制表符"/>
    <w:basedOn w:val="23"/>
    <w:next w:val="23"/>
    <w:qFormat/>
    <w:uiPriority w:val="99"/>
    <w:pPr>
      <w:ind w:firstLine="0" w:firstLineChars="0"/>
    </w:pPr>
  </w:style>
  <w:style w:type="paragraph" w:customStyle="1" w:styleId="133">
    <w:name w:val="正文图标题"/>
    <w:next w:val="23"/>
    <w:qFormat/>
    <w:uiPriority w:val="0"/>
    <w:pPr>
      <w:numPr>
        <w:ilvl w:val="0"/>
        <w:numId w:val="17"/>
      </w:numPr>
      <w:tabs>
        <w:tab w:val="left" w:pos="360"/>
      </w:tabs>
      <w:spacing w:beforeLines="50" w:afterLines="5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34">
    <w:name w:val="终结线"/>
    <w:basedOn w:val="1"/>
    <w:qFormat/>
    <w:uiPriority w:val="99"/>
    <w:pPr>
      <w:framePr w:hSpace="181" w:vSpace="181" w:wrap="around" w:vAnchor="text" w:hAnchor="margin" w:xAlign="center" w:y="285"/>
    </w:pPr>
  </w:style>
  <w:style w:type="paragraph" w:customStyle="1" w:styleId="135">
    <w:name w:val="其他发布日期"/>
    <w:basedOn w:val="77"/>
    <w:qFormat/>
    <w:uiPriority w:val="99"/>
    <w:pPr>
      <w:framePr w:wrap="around" w:vAnchor="page" w:hAnchor="text" w:x="1419"/>
    </w:pPr>
  </w:style>
  <w:style w:type="paragraph" w:customStyle="1" w:styleId="136">
    <w:name w:val="其他实施日期"/>
    <w:basedOn w:val="117"/>
    <w:qFormat/>
    <w:uiPriority w:val="99"/>
    <w:pPr>
      <w:framePr w:wrap="around"/>
    </w:pPr>
  </w:style>
  <w:style w:type="paragraph" w:customStyle="1" w:styleId="137">
    <w:name w:val="封面标准名称2"/>
    <w:basedOn w:val="80"/>
    <w:qFormat/>
    <w:uiPriority w:val="99"/>
    <w:pPr>
      <w:framePr w:wrap="around" w:y="4469"/>
      <w:spacing w:beforeLines="630"/>
    </w:pPr>
  </w:style>
  <w:style w:type="paragraph" w:customStyle="1" w:styleId="138">
    <w:name w:val="封面标准英文名称2"/>
    <w:basedOn w:val="81"/>
    <w:qFormat/>
    <w:uiPriority w:val="99"/>
    <w:pPr>
      <w:framePr w:wrap="around" w:y="4469"/>
    </w:pPr>
  </w:style>
  <w:style w:type="paragraph" w:customStyle="1" w:styleId="139">
    <w:name w:val="封面一致性程度标识2"/>
    <w:basedOn w:val="82"/>
    <w:qFormat/>
    <w:uiPriority w:val="99"/>
    <w:pPr>
      <w:framePr w:wrap="around" w:y="4469"/>
    </w:pPr>
  </w:style>
  <w:style w:type="paragraph" w:customStyle="1" w:styleId="140">
    <w:name w:val="封面标准文稿类别2"/>
    <w:basedOn w:val="83"/>
    <w:qFormat/>
    <w:uiPriority w:val="99"/>
    <w:pPr>
      <w:framePr w:wrap="around" w:y="4469"/>
    </w:pPr>
  </w:style>
  <w:style w:type="paragraph" w:customStyle="1" w:styleId="141">
    <w:name w:val="封面标准文稿编辑信息2"/>
    <w:basedOn w:val="84"/>
    <w:qFormat/>
    <w:uiPriority w:val="99"/>
    <w:pPr>
      <w:framePr w:wrap="around" w:y="4469"/>
    </w:pPr>
  </w:style>
  <w:style w:type="paragraph" w:customStyle="1" w:styleId="142">
    <w:name w:val="二级无标题条"/>
    <w:basedOn w:val="1"/>
    <w:qFormat/>
    <w:uiPriority w:val="99"/>
    <w:pPr>
      <w:numPr>
        <w:ilvl w:val="3"/>
        <w:numId w:val="18"/>
      </w:numPr>
    </w:pPr>
  </w:style>
  <w:style w:type="paragraph" w:customStyle="1" w:styleId="143">
    <w:name w:val="三级无标题条"/>
    <w:basedOn w:val="1"/>
    <w:qFormat/>
    <w:uiPriority w:val="99"/>
    <w:pPr>
      <w:numPr>
        <w:ilvl w:val="4"/>
        <w:numId w:val="18"/>
      </w:numPr>
    </w:pPr>
  </w:style>
  <w:style w:type="paragraph" w:customStyle="1" w:styleId="144">
    <w:name w:val="四级无标题条"/>
    <w:basedOn w:val="1"/>
    <w:qFormat/>
    <w:uiPriority w:val="99"/>
    <w:pPr>
      <w:numPr>
        <w:ilvl w:val="5"/>
        <w:numId w:val="18"/>
      </w:numPr>
    </w:pPr>
  </w:style>
  <w:style w:type="paragraph" w:customStyle="1" w:styleId="145">
    <w:name w:val="五级无标题条"/>
    <w:basedOn w:val="1"/>
    <w:qFormat/>
    <w:uiPriority w:val="99"/>
    <w:pPr>
      <w:numPr>
        <w:ilvl w:val="6"/>
        <w:numId w:val="18"/>
      </w:numPr>
    </w:pPr>
  </w:style>
  <w:style w:type="paragraph" w:customStyle="1" w:styleId="146">
    <w:name w:val="一级无标题条"/>
    <w:basedOn w:val="1"/>
    <w:qFormat/>
    <w:uiPriority w:val="99"/>
    <w:pPr>
      <w:numPr>
        <w:ilvl w:val="2"/>
        <w:numId w:val="18"/>
      </w:numPr>
    </w:pPr>
  </w:style>
  <w:style w:type="character" w:customStyle="1" w:styleId="147">
    <w:name w:val="一级条标题 Char"/>
    <w:link w:val="42"/>
    <w:qFormat/>
    <w:locked/>
    <w:uiPriority w:val="0"/>
    <w:rPr>
      <w:rFonts w:ascii="黑体" w:eastAsia="黑体"/>
      <w:sz w:val="22"/>
    </w:rPr>
  </w:style>
  <w:style w:type="paragraph" w:customStyle="1" w:styleId="148">
    <w:name w:val="Char"/>
    <w:basedOn w:val="1"/>
    <w:qFormat/>
    <w:uiPriority w:val="99"/>
    <w:rPr>
      <w:rFonts w:ascii="Tahoma" w:hAnsi="Tahoma"/>
    </w:rPr>
  </w:style>
  <w:style w:type="character" w:customStyle="1" w:styleId="149">
    <w:name w:val="批注框文本 字符"/>
    <w:link w:val="16"/>
    <w:semiHidden/>
    <w:qFormat/>
    <w:locked/>
    <w:uiPriority w:val="99"/>
    <w:rPr>
      <w:sz w:val="2"/>
    </w:rPr>
  </w:style>
  <w:style w:type="character" w:customStyle="1" w:styleId="150">
    <w:name w:val="批注文字 字符"/>
    <w:link w:val="7"/>
    <w:qFormat/>
    <w:locked/>
    <w:uiPriority w:val="99"/>
    <w:rPr>
      <w:rFonts w:ascii="宋体"/>
      <w:position w:val="-7"/>
      <w:sz w:val="24"/>
    </w:rPr>
  </w:style>
  <w:style w:type="character" w:customStyle="1" w:styleId="151">
    <w:name w:val="日期 字符"/>
    <w:link w:val="14"/>
    <w:qFormat/>
    <w:locked/>
    <w:uiPriority w:val="99"/>
    <w:rPr>
      <w:sz w:val="20"/>
    </w:rPr>
  </w:style>
</w:style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9" Type="http://schemas.openxmlformats.org/officeDocument/2006/relationships/fontTable" Target="fontTable.xml"/><Relationship Id="rId28" Type="http://schemas.microsoft.com/office/2006/relationships/keyMapCustomizations" Target="customizations.xml"/><Relationship Id="rId27" Type="http://schemas.openxmlformats.org/officeDocument/2006/relationships/numbering" Target="numbering.xml"/><Relationship Id="rId26" Type="http://schemas.openxmlformats.org/officeDocument/2006/relationships/customXml" Target="../customXml/item1.xml"/><Relationship Id="rId25" Type="http://schemas.openxmlformats.org/officeDocument/2006/relationships/image" Target="media/image11.emf"/><Relationship Id="rId24" Type="http://schemas.openxmlformats.org/officeDocument/2006/relationships/oleObject" Target="embeddings/oleObject6.bin"/><Relationship Id="rId23" Type="http://schemas.openxmlformats.org/officeDocument/2006/relationships/image" Target="media/image10.emf"/><Relationship Id="rId22" Type="http://schemas.openxmlformats.org/officeDocument/2006/relationships/oleObject" Target="embeddings/oleObject5.bin"/><Relationship Id="rId21" Type="http://schemas.openxmlformats.org/officeDocument/2006/relationships/image" Target="media/image9.wmf"/><Relationship Id="rId20" Type="http://schemas.openxmlformats.org/officeDocument/2006/relationships/oleObject" Target="embeddings/oleObject4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3.bin"/><Relationship Id="rId17" Type="http://schemas.openxmlformats.org/officeDocument/2006/relationships/image" Target="media/image7.png"/><Relationship Id="rId16" Type="http://schemas.openxmlformats.org/officeDocument/2006/relationships/image" Target="media/image6.wmf"/><Relationship Id="rId15" Type="http://schemas.openxmlformats.org/officeDocument/2006/relationships/oleObject" Target="embeddings/oleObject2.bin"/><Relationship Id="rId14" Type="http://schemas.openxmlformats.org/officeDocument/2006/relationships/image" Target="media/image5.wmf"/><Relationship Id="rId13" Type="http://schemas.openxmlformats.org/officeDocument/2006/relationships/oleObject" Target="embeddings/oleObject1.bin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26757;&#23453;&#36149;&#25991;&#20214;\&#26631;&#20934;\&#33609;&#29976;&#33190;&#26032;&#26631;&#20934;\&#25253;&#25209;&#31295;\&#33609;&#29976;&#33190;&#27700;&#21058;&#25253;&#25209;&#31295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草甘膦水剂报批稿</Template>
  <Company>zle</Company>
  <Pages>14</Pages>
  <Words>629</Words>
  <Characters>787</Characters>
  <Lines>200</Lines>
  <Paragraphs>259</Paragraphs>
  <TotalTime>86</TotalTime>
  <ScaleCrop>false</ScaleCrop>
  <LinksUpToDate>false</LinksUpToDate>
  <CharactersWithSpaces>949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2025-11-09T06:33:00Z</dcterms:created>
  <dc:creator>meibaogui</dc:creator>
  <cp:lastModifiedBy>yalan</cp:lastModifiedBy>
  <cp:lastPrinted>2019-02-26T00:17:00Z</cp:lastPrinted>
  <dcterms:modified xsi:type="dcterms:W3CDTF">2025-11-20T06:38:34Z</dcterms:modified>
  <dc:title>标准名称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79276A124C1C4066A81FCBDF06FCC945</vt:lpwstr>
  </property>
  <property fmtid="{D5CDD505-2E9C-101B-9397-08002B2CF9AE}" pid="4" name="KSOTemplateDocerSaveRecord">
    <vt:lpwstr>eyJoZGlkIjoiMTAyMzJkOGNiMDEyZDQzM2FkNGM4ODJmZGE4NDczMDMiLCJ1c2VySWQiOiIzNTI3MjgzNDQifQ==</vt:lpwstr>
  </property>
</Properties>
</file>