
<file path=[Content_Types].xml><?xml version="1.0" encoding="utf-8"?>
<Types xmlns="http://schemas.openxmlformats.org/package/2006/content-types">
  <Default Extension="xml" ContentType="application/xml"/>
  <Default Extension="bin" ContentType="application/vnd.openxmlformats-officedocument.oleObject"/>
  <Default Extension="tiff" ContentType="image/tiff"/>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7A600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4001815">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2A8A21D">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65.150</w:t>
            </w:r>
            <w:r>
              <w:rPr>
                <w:rFonts w:ascii="黑体" w:hAnsi="黑体" w:eastAsia="黑体"/>
                <w:sz w:val="21"/>
                <w:szCs w:val="21"/>
              </w:rPr>
              <w:fldChar w:fldCharType="end"/>
            </w:r>
            <w:bookmarkEnd w:id="0"/>
          </w:p>
        </w:tc>
      </w:tr>
      <w:tr w14:paraId="17D39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1E44F41">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3EC14728">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 52</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61"/>
      </w:tblGrid>
      <w:tr w14:paraId="4E9C86F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61" w:type="dxa"/>
          </w:tcPr>
          <w:p w14:paraId="2C0172C4">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44</w:t>
            </w:r>
            <w:r>
              <w:fldChar w:fldCharType="end"/>
            </w:r>
            <w:bookmarkEnd w:id="3"/>
          </w:p>
        </w:tc>
      </w:tr>
    </w:tbl>
    <w:p w14:paraId="65F1BF2A">
      <w:pPr>
        <w:pStyle w:val="50"/>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广东省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063F9284">
      <w:pPr>
        <w:pStyle w:val="195"/>
      </w:pPr>
      <w:r>
        <w:t>DB</w:t>
      </w:r>
      <w:r>
        <w:rPr>
          <w:sz w:val="15"/>
          <w:szCs w:val="15"/>
        </w:rPr>
        <w:t xml:space="preserve"> </w:t>
      </w:r>
      <w:r>
        <w:fldChar w:fldCharType="begin">
          <w:ffData>
            <w:name w:val="文字1"/>
            <w:enabled/>
            <w:calcOnExit w:val="0"/>
            <w:textInput>
              <w:default w:val="XX"/>
            </w:textInput>
          </w:ffData>
        </w:fldChar>
      </w:r>
      <w:bookmarkStart w:id="5" w:name="文字1"/>
      <w:r>
        <w:instrText xml:space="preserve"> FORMTEXT </w:instrText>
      </w:r>
      <w:r>
        <w:fldChar w:fldCharType="separate"/>
      </w:r>
      <w:r>
        <w:t>44/T</w:t>
      </w:r>
      <w:r>
        <w:fldChar w:fldCharType="end"/>
      </w:r>
      <w:bookmarkEnd w:id="5"/>
      <w:r>
        <w:t xml:space="preserve"> </w:t>
      </w:r>
      <w:r>
        <w:fldChar w:fldCharType="begin">
          <w:ffData>
            <w:name w:val="NSTD_CODE_F"/>
            <w:enabled/>
            <w:calcOnExit w:val="0"/>
            <w:textInput>
              <w:default w:val="XXXXX"/>
            </w:textInput>
          </w:ffData>
        </w:fldChar>
      </w:r>
      <w:bookmarkStart w:id="6" w:name="NSTD_CODE_F"/>
      <w:r>
        <w:instrText xml:space="preserve"> FORMTEXT </w:instrText>
      </w:r>
      <w:r>
        <w:fldChar w:fldCharType="separate"/>
      </w:r>
      <w:r>
        <w:t>XXXXX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4FE486C7">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0D135C4F">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AC8F846">
      <w:pPr>
        <w:pStyle w:val="50"/>
        <w:framePr w:w="9639" w:h="6976" w:hRule="exact" w:hSpace="0" w:vSpace="0" w:wrap="around" w:hAnchor="page" w:y="6408"/>
        <w:jc w:val="center"/>
        <w:rPr>
          <w:rFonts w:hint="eastAsia" w:ascii="黑体" w:hAnsi="黑体" w:eastAsia="黑体"/>
          <w:b w:val="0"/>
          <w:bCs w:val="0"/>
          <w:w w:val="100"/>
        </w:rPr>
      </w:pPr>
    </w:p>
    <w:p w14:paraId="4AE96A66">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脆罗非鱼养殖产品质量分级</w:t>
      </w:r>
      <w:r>
        <w:fldChar w:fldCharType="end"/>
      </w:r>
      <w:bookmarkEnd w:id="9"/>
    </w:p>
    <w:p w14:paraId="77A3A424">
      <w:pPr>
        <w:framePr w:w="9639" w:h="6974" w:hRule="exact" w:wrap="around" w:vAnchor="page" w:hAnchor="page" w:x="1419" w:y="6408" w:anchorLock="1"/>
        <w:ind w:left="-1418"/>
      </w:pPr>
    </w:p>
    <w:p w14:paraId="5BDCF828">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xml:space="preserve">Quality grading of cultured crisp tilapia </w:t>
      </w:r>
      <w:r>
        <w:rPr>
          <w:rFonts w:eastAsia="黑体"/>
          <w:szCs w:val="28"/>
        </w:rPr>
        <w:fldChar w:fldCharType="end"/>
      </w:r>
      <w:bookmarkEnd w:id="10"/>
    </w:p>
    <w:p w14:paraId="4728F2C5">
      <w:pPr>
        <w:framePr w:w="9639" w:h="6974" w:hRule="exact" w:wrap="around" w:vAnchor="page" w:hAnchor="page" w:x="1419" w:y="6408" w:anchorLock="1"/>
        <w:spacing w:line="760" w:lineRule="exact"/>
        <w:ind w:left="-1418"/>
      </w:pPr>
    </w:p>
    <w:p w14:paraId="691DA6F6">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319B2BF2">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bookmarkStart w:id="82" w:name="_GoBack"/>
      <w:bookmarkEnd w:id="82"/>
      <w:r>
        <w:rPr>
          <w:rFonts w:hint="eastAsia"/>
          <w:sz w:val="21"/>
          <w:szCs w:val="28"/>
        </w:rPr>
        <w:t>（本征求意见稿完成时间：2025.</w:t>
      </w:r>
      <w:r>
        <w:rPr>
          <w:sz w:val="21"/>
          <w:szCs w:val="28"/>
        </w:rPr>
        <w:t>5</w:t>
      </w:r>
      <w:r>
        <w:rPr>
          <w:rFonts w:hint="eastAsia"/>
          <w:sz w:val="21"/>
          <w:szCs w:val="28"/>
        </w:rPr>
        <w:t>）</w:t>
      </w:r>
      <w:r>
        <w:rPr>
          <w:sz w:val="21"/>
          <w:szCs w:val="28"/>
        </w:rPr>
        <w:fldChar w:fldCharType="end"/>
      </w:r>
      <w:bookmarkEnd w:id="12"/>
    </w:p>
    <w:p w14:paraId="28F1B111">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5B229DF5">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5A12B677">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1AEED3BE">
      <w:pPr>
        <w:pStyle w:val="151"/>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广东省市场</w:t>
      </w:r>
      <w:r>
        <w:rPr>
          <w:rFonts w:hAnsi="黑体"/>
          <w:w w:val="100"/>
          <w:sz w:val="28"/>
        </w:rPr>
        <w:t>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573DD1B3">
      <w:pPr>
        <w:rPr>
          <w:rFonts w:hint="eastAsia"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736A94A">
      <w:pPr>
        <w:pStyle w:val="91"/>
        <w:spacing w:after="468"/>
      </w:pPr>
      <w:bookmarkStart w:id="21" w:name="BookMark1"/>
      <w:r>
        <w:rPr>
          <w:rFonts w:hint="eastAsia"/>
          <w:spacing w:val="320"/>
        </w:rPr>
        <w:t>目</w:t>
      </w:r>
      <w:r>
        <w:rPr>
          <w:rFonts w:hint="eastAsia"/>
        </w:rPr>
        <w:t>次</w:t>
      </w:r>
    </w:p>
    <w:p w14:paraId="596F4A42">
      <w:pPr>
        <w:pStyle w:val="19"/>
        <w:tabs>
          <w:tab w:val="right" w:leader="dot" w:pos="9344"/>
        </w:tabs>
        <w:rPr>
          <w:rFonts w:hint="eastAsia"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"_Toc75333987" </w:instrText>
      </w:r>
      <w:r>
        <w:fldChar w:fldCharType="separate"/>
      </w:r>
      <w:r>
        <w:rPr>
          <w:rStyle w:val="32"/>
        </w:rPr>
        <w:t>前言</w:t>
      </w:r>
      <w:r>
        <w:tab/>
      </w:r>
      <w:r>
        <w:fldChar w:fldCharType="begin"/>
      </w:r>
      <w:r>
        <w:instrText xml:space="preserve"> PAGEREF _Toc75333987 \h </w:instrText>
      </w:r>
      <w:r>
        <w:fldChar w:fldCharType="separate"/>
      </w:r>
      <w:r>
        <w:t>II</w:t>
      </w:r>
      <w:r>
        <w:fldChar w:fldCharType="end"/>
      </w:r>
      <w:r>
        <w:fldChar w:fldCharType="end"/>
      </w:r>
    </w:p>
    <w:p w14:paraId="1D80AD61">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"_Toc75333988" </w:instrText>
      </w:r>
      <w:r>
        <w:fldChar w:fldCharType="separate"/>
      </w:r>
      <w:r>
        <w:rPr>
          <w:rStyle w:val="32"/>
        </w:rPr>
        <w:t>1  范围</w:t>
      </w:r>
      <w:r>
        <w:tab/>
      </w:r>
      <w:r>
        <w:fldChar w:fldCharType="begin"/>
      </w:r>
      <w:r>
        <w:instrText xml:space="preserve"> PAGEREF _Toc75333988 \h </w:instrText>
      </w:r>
      <w:r>
        <w:fldChar w:fldCharType="separate"/>
      </w:r>
      <w:r>
        <w:t>1</w:t>
      </w:r>
      <w:r>
        <w:fldChar w:fldCharType="end"/>
      </w:r>
      <w:r>
        <w:fldChar w:fldCharType="end"/>
      </w:r>
    </w:p>
    <w:p w14:paraId="6C882F30">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"_Toc75333989" </w:instrText>
      </w:r>
      <w:r>
        <w:fldChar w:fldCharType="separate"/>
      </w:r>
      <w:r>
        <w:rPr>
          <w:rStyle w:val="32"/>
        </w:rPr>
        <w:t>2  规范性引用文件</w:t>
      </w:r>
      <w:r>
        <w:tab/>
      </w:r>
      <w:r>
        <w:fldChar w:fldCharType="begin"/>
      </w:r>
      <w:r>
        <w:instrText xml:space="preserve"> PAGEREF _Toc75333989 \h </w:instrText>
      </w:r>
      <w:r>
        <w:fldChar w:fldCharType="separate"/>
      </w:r>
      <w:r>
        <w:t>1</w:t>
      </w:r>
      <w:r>
        <w:fldChar w:fldCharType="end"/>
      </w:r>
      <w:r>
        <w:fldChar w:fldCharType="end"/>
      </w:r>
    </w:p>
    <w:p w14:paraId="3F87332F">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"_Toc75333990" </w:instrText>
      </w:r>
      <w:r>
        <w:fldChar w:fldCharType="separate"/>
      </w:r>
      <w:r>
        <w:rPr>
          <w:rStyle w:val="32"/>
        </w:rPr>
        <w:t>3  术语和定义</w:t>
      </w:r>
      <w:r>
        <w:tab/>
      </w:r>
      <w:r>
        <w:fldChar w:fldCharType="begin"/>
      </w:r>
      <w:r>
        <w:instrText xml:space="preserve"> PAGEREF _Toc75333990 \h </w:instrText>
      </w:r>
      <w:r>
        <w:fldChar w:fldCharType="separate"/>
      </w:r>
      <w:r>
        <w:t>1</w:t>
      </w:r>
      <w:r>
        <w:fldChar w:fldCharType="end"/>
      </w:r>
      <w:r>
        <w:fldChar w:fldCharType="end"/>
      </w:r>
    </w:p>
    <w:p w14:paraId="40C35788">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"_Toc75333991" </w:instrText>
      </w:r>
      <w:r>
        <w:fldChar w:fldCharType="separate"/>
      </w:r>
      <w:r>
        <w:rPr>
          <w:rStyle w:val="32"/>
        </w:rPr>
        <w:t>4  技术要求</w:t>
      </w:r>
      <w:r>
        <w:tab/>
      </w:r>
      <w:r>
        <w:fldChar w:fldCharType="begin"/>
      </w:r>
      <w:r>
        <w:instrText xml:space="preserve"> PAGEREF _Toc75333991 \h </w:instrText>
      </w:r>
      <w:r>
        <w:fldChar w:fldCharType="separate"/>
      </w:r>
      <w:r>
        <w:t>1</w:t>
      </w:r>
      <w:r>
        <w:fldChar w:fldCharType="end"/>
      </w:r>
      <w:r>
        <w:fldChar w:fldCharType="end"/>
      </w:r>
    </w:p>
    <w:p w14:paraId="77A5BA5E">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"_Toc75333995" </w:instrText>
      </w:r>
      <w:r>
        <w:fldChar w:fldCharType="separate"/>
      </w:r>
      <w:r>
        <w:rPr>
          <w:rStyle w:val="32"/>
        </w:rPr>
        <w:t>5  测定方法</w:t>
      </w:r>
      <w:r>
        <w:tab/>
      </w:r>
      <w:r>
        <w:fldChar w:fldCharType="begin"/>
      </w:r>
      <w:r>
        <w:instrText xml:space="preserve"> PAGEREF _Toc75333995 \h </w:instrText>
      </w:r>
      <w:r>
        <w:fldChar w:fldCharType="separate"/>
      </w:r>
      <w:r>
        <w:t>2</w:t>
      </w:r>
      <w:r>
        <w:fldChar w:fldCharType="end"/>
      </w:r>
      <w:r>
        <w:fldChar w:fldCharType="end"/>
      </w:r>
    </w:p>
    <w:p w14:paraId="6031BD5C">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"_Toc75333999" </w:instrText>
      </w:r>
      <w:r>
        <w:fldChar w:fldCharType="separate"/>
      </w:r>
      <w:r>
        <w:rPr>
          <w:rStyle w:val="32"/>
        </w:rPr>
        <w:t>6  检验规则</w:t>
      </w:r>
      <w:r>
        <w:tab/>
      </w:r>
      <w:r>
        <w:fldChar w:fldCharType="begin"/>
      </w:r>
      <w:r>
        <w:instrText xml:space="preserve"> PAGEREF _Toc75333999 \h </w:instrText>
      </w:r>
      <w:r>
        <w:fldChar w:fldCharType="separate"/>
      </w:r>
      <w:r>
        <w:t>2</w:t>
      </w:r>
      <w:r>
        <w:fldChar w:fldCharType="end"/>
      </w:r>
      <w:r>
        <w:fldChar w:fldCharType="end"/>
      </w:r>
    </w:p>
    <w:p w14:paraId="0F019882">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"_Toc75334003" </w:instrText>
      </w:r>
      <w:r>
        <w:fldChar w:fldCharType="separate"/>
      </w:r>
      <w:r>
        <w:rPr>
          <w:rStyle w:val="32"/>
        </w:rPr>
        <w:t>7  标识</w:t>
      </w:r>
      <w:r>
        <w:tab/>
      </w:r>
      <w:r>
        <w:fldChar w:fldCharType="begin"/>
      </w:r>
      <w:r>
        <w:instrText xml:space="preserve"> PAGEREF _Toc75334003 \h </w:instrText>
      </w:r>
      <w:r>
        <w:fldChar w:fldCharType="separate"/>
      </w:r>
      <w:r>
        <w:t>3</w:t>
      </w:r>
      <w:r>
        <w:fldChar w:fldCharType="end"/>
      </w:r>
      <w:r>
        <w:fldChar w:fldCharType="end"/>
      </w:r>
    </w:p>
    <w:p w14:paraId="24124821">
      <w:pPr>
        <w:pStyle w:val="91"/>
        <w:spacing w:after="468"/>
        <w:sectPr>
          <w:headerReference r:id="rId9" w:type="default"/>
          <w:footerReference r:id="rId11" w:type="default"/>
          <w:headerReference r:id="rId10" w:type="even"/>
          <w:pgSz w:w="11906" w:h="16838"/>
          <w:pgMar w:top="1871" w:right="1134" w:bottom="1134" w:left="1134" w:header="1418" w:footer="1134" w:gutter="284"/>
          <w:pgNumType w:fmt="upperRoman" w:start="1"/>
          <w:cols w:space="425" w:num="1"/>
          <w:formProt w:val="0"/>
          <w:docGrid w:type="lines" w:linePitch="312" w:charSpace="0"/>
        </w:sectPr>
      </w:pPr>
      <w:r>
        <w:fldChar w:fldCharType="end"/>
      </w:r>
    </w:p>
    <w:bookmarkEnd w:id="21"/>
    <w:p w14:paraId="35D56622">
      <w:pPr>
        <w:pStyle w:val="89"/>
        <w:spacing w:after="468"/>
      </w:pPr>
      <w:bookmarkStart w:id="22" w:name="_Toc75333987"/>
      <w:bookmarkStart w:id="23" w:name="BookMark2"/>
      <w:r>
        <w:rPr>
          <w:spacing w:val="320"/>
        </w:rPr>
        <w:t>前</w:t>
      </w:r>
      <w:r>
        <w:t>言</w:t>
      </w:r>
      <w:bookmarkEnd w:id="22"/>
    </w:p>
    <w:p w14:paraId="56BBF866">
      <w:pPr>
        <w:pStyle w:val="56"/>
        <w:ind w:firstLine="420"/>
      </w:pPr>
      <w:r>
        <w:rPr>
          <w:rFonts w:hint="eastAsia"/>
        </w:rPr>
        <w:t>本文件按照GB/T 1.1—2020《标准化工作导则  第1部分：标准化文件的结构和起草规则》的规定起草。</w:t>
      </w:r>
    </w:p>
    <w:p w14:paraId="043536ED">
      <w:pPr>
        <w:pStyle w:val="230"/>
        <w:autoSpaceDE/>
        <w:autoSpaceDN/>
      </w:pPr>
      <w:r>
        <w:rPr>
          <w:rFonts w:hint="eastAsia"/>
        </w:rPr>
        <w:t>请注意本文件的某些内容可能涉及专利。本文件的发布机构不承担识别专利的责任。</w:t>
      </w:r>
    </w:p>
    <w:p w14:paraId="6AF7BF9D">
      <w:pPr>
        <w:pStyle w:val="230"/>
        <w:rPr>
          <w:szCs w:val="21"/>
        </w:rPr>
      </w:pPr>
      <w:r>
        <w:rPr>
          <w:rFonts w:hint="eastAsia"/>
          <w:szCs w:val="21"/>
        </w:rPr>
        <w:t>本文件</w:t>
      </w:r>
      <w:r>
        <w:rPr>
          <w:szCs w:val="21"/>
        </w:rPr>
        <w:t>由广东省水产标准化技术委员会归口（</w:t>
      </w:r>
      <w:r>
        <w:rPr>
          <w:rFonts w:hint="eastAsia"/>
          <w:szCs w:val="21"/>
        </w:rPr>
        <w:t>GD</w:t>
      </w:r>
      <w:r>
        <w:rPr>
          <w:szCs w:val="21"/>
        </w:rPr>
        <w:t>/TC37）</w:t>
      </w:r>
      <w:r>
        <w:rPr>
          <w:rFonts w:hint="eastAsia"/>
          <w:szCs w:val="21"/>
        </w:rPr>
        <w:t>。</w:t>
      </w:r>
    </w:p>
    <w:p w14:paraId="0561EF79">
      <w:pPr>
        <w:pStyle w:val="56"/>
        <w:ind w:firstLine="420"/>
        <w:rPr>
          <w:szCs w:val="21"/>
        </w:rPr>
      </w:pPr>
      <w:r>
        <w:rPr>
          <w:szCs w:val="21"/>
        </w:rPr>
        <w:t>本</w:t>
      </w:r>
      <w:r>
        <w:rPr>
          <w:rFonts w:hint="eastAsia"/>
          <w:szCs w:val="21"/>
        </w:rPr>
        <w:t>文件</w:t>
      </w:r>
      <w:r>
        <w:rPr>
          <w:szCs w:val="21"/>
        </w:rPr>
        <w:t>起草单位：</w:t>
      </w:r>
      <w:r>
        <w:rPr>
          <w:rFonts w:hint="eastAsia"/>
          <w:szCs w:val="21"/>
        </w:rPr>
        <w:t>中国水产科学研究院南海水产研究所、广东海洋大学、广州禄仕食品有限公司</w:t>
      </w:r>
      <w:r>
        <w:rPr>
          <w:szCs w:val="21"/>
        </w:rPr>
        <w:t>。</w:t>
      </w:r>
    </w:p>
    <w:p w14:paraId="192CAF54">
      <w:pPr>
        <w:pStyle w:val="56"/>
        <w:ind w:firstLine="420"/>
      </w:pPr>
      <w:r>
        <w:rPr>
          <w:rFonts w:hint="eastAsia"/>
        </w:rPr>
        <w:t>本文件主要起草人：王迪、杨贤庆、佘文海、赵永强、刘书成、杨少玲、黄卉、魏涯、郝淑贤、相欢</w:t>
      </w:r>
    </w:p>
    <w:p w14:paraId="624EF019">
      <w:pPr>
        <w:pStyle w:val="56"/>
        <w:ind w:firstLine="420"/>
      </w:pPr>
    </w:p>
    <w:p w14:paraId="095DCCF9">
      <w:pPr>
        <w:pStyle w:val="56"/>
        <w:ind w:firstLine="420"/>
        <w:sectPr>
          <w:pgSz w:w="11906" w:h="16838"/>
          <w:pgMar w:top="1871" w:right="1134" w:bottom="1134" w:left="1134" w:header="1418" w:footer="1134" w:gutter="284"/>
          <w:pgNumType w:fmt="upperRoman"/>
          <w:cols w:space="425" w:num="1"/>
          <w:formProt w:val="0"/>
          <w:docGrid w:type="lines" w:linePitch="312" w:charSpace="0"/>
        </w:sectPr>
      </w:pPr>
    </w:p>
    <w:bookmarkEnd w:id="23"/>
    <w:p w14:paraId="6E8D106C">
      <w:pPr>
        <w:spacing w:line="20" w:lineRule="exact"/>
        <w:jc w:val="center"/>
        <w:rPr>
          <w:rFonts w:hint="eastAsia" w:ascii="黑体" w:hAnsi="黑体" w:eastAsia="黑体"/>
          <w:sz w:val="32"/>
          <w:szCs w:val="32"/>
        </w:rPr>
      </w:pPr>
      <w:bookmarkStart w:id="24" w:name="BookMark4"/>
    </w:p>
    <w:p w14:paraId="34BBE044">
      <w:pPr>
        <w:spacing w:line="20" w:lineRule="exact"/>
        <w:jc w:val="center"/>
        <w:rPr>
          <w:rFonts w:hint="eastAsia" w:ascii="黑体" w:hAnsi="黑体" w:eastAsia="黑体"/>
          <w:sz w:val="32"/>
          <w:szCs w:val="32"/>
        </w:rPr>
      </w:pPr>
    </w:p>
    <w:sdt>
      <w:sdtPr>
        <w:tag w:val="NEW_STAND_NAME"/>
        <w:id w:val="595910757"/>
        <w:lock w:val="sdtLocked"/>
        <w:placeholder>
          <w:docPart w:val="68B8780CAB2E440898BA5E8EE6A8609C"/>
        </w:placeholder>
      </w:sdtPr>
      <w:sdtContent>
        <w:p w14:paraId="2697733C">
          <w:pPr>
            <w:pStyle w:val="177"/>
            <w:spacing w:before="567" w:beforeLines="182" w:after="686" w:afterLines="220"/>
            <w:rPr>
              <w:rFonts w:hint="eastAsia"/>
            </w:rPr>
          </w:pPr>
          <w:bookmarkStart w:id="25" w:name="NEW_STAND_NAME"/>
          <w:r>
            <w:rPr>
              <w:rFonts w:hint="eastAsia"/>
            </w:rPr>
            <w:t>脆罗非鱼养殖产品质量分级</w:t>
          </w:r>
        </w:p>
      </w:sdtContent>
    </w:sdt>
    <w:bookmarkEnd w:id="25"/>
    <w:p w14:paraId="1B2C992B">
      <w:pPr>
        <w:pStyle w:val="104"/>
        <w:spacing w:before="312" w:after="312"/>
      </w:pPr>
      <w:bookmarkStart w:id="26" w:name="_Toc26648465"/>
      <w:bookmarkStart w:id="27" w:name="_Toc24884211"/>
      <w:bookmarkStart w:id="28" w:name="_Toc17233333"/>
      <w:bookmarkStart w:id="29" w:name="_Toc75280458"/>
      <w:bookmarkStart w:id="30" w:name="_Toc75333988"/>
      <w:bookmarkStart w:id="31" w:name="_Toc26986530"/>
      <w:bookmarkStart w:id="32" w:name="_Toc26986771"/>
      <w:bookmarkStart w:id="33" w:name="_Toc26718930"/>
      <w:bookmarkStart w:id="34" w:name="_Toc24884218"/>
      <w:bookmarkStart w:id="35" w:name="_Toc17233325"/>
      <w:r>
        <w:rPr>
          <w:rFonts w:hint="eastAsia"/>
        </w:rPr>
        <w:t>范围</w:t>
      </w:r>
      <w:bookmarkEnd w:id="26"/>
      <w:bookmarkEnd w:id="27"/>
      <w:bookmarkEnd w:id="28"/>
      <w:bookmarkEnd w:id="29"/>
      <w:bookmarkEnd w:id="30"/>
      <w:bookmarkEnd w:id="31"/>
      <w:bookmarkEnd w:id="32"/>
      <w:bookmarkEnd w:id="33"/>
      <w:bookmarkEnd w:id="34"/>
      <w:bookmarkEnd w:id="35"/>
    </w:p>
    <w:p w14:paraId="18FCCE55">
      <w:pPr>
        <w:pStyle w:val="56"/>
        <w:ind w:firstLine="420"/>
      </w:pPr>
      <w:bookmarkStart w:id="36" w:name="_Toc26648466"/>
      <w:bookmarkStart w:id="37" w:name="_Toc17233334"/>
      <w:bookmarkStart w:id="38" w:name="_Toc24884212"/>
      <w:bookmarkStart w:id="39" w:name="_Toc17233326"/>
      <w:bookmarkStart w:id="40" w:name="_Toc24884219"/>
      <w:r>
        <w:rPr>
          <w:rFonts w:hint="eastAsia"/>
        </w:rPr>
        <w:t>本文件规定了脆罗非鱼的术语和定义、技术要求、测定方法、检验规则、标识</w:t>
      </w:r>
      <w:r>
        <w:t>。</w:t>
      </w:r>
    </w:p>
    <w:p w14:paraId="35843FD6">
      <w:pPr>
        <w:pStyle w:val="56"/>
        <w:ind w:firstLine="420"/>
      </w:pPr>
      <w:r>
        <w:rPr>
          <w:rFonts w:hint="eastAsia"/>
        </w:rPr>
        <w:t>本文件适用于广东省</w:t>
      </w:r>
      <w:r>
        <w:t>境内</w:t>
      </w:r>
      <w:r>
        <w:rPr>
          <w:rFonts w:hint="eastAsia"/>
        </w:rPr>
        <w:t>养殖的脆罗非鱼活体、鲜品的质量</w:t>
      </w:r>
      <w:r>
        <w:t>分级。</w:t>
      </w:r>
    </w:p>
    <w:p w14:paraId="2D91CDFC">
      <w:pPr>
        <w:pStyle w:val="104"/>
        <w:spacing w:before="312" w:after="312"/>
      </w:pPr>
      <w:bookmarkStart w:id="41" w:name="_Toc75280459"/>
      <w:bookmarkStart w:id="42" w:name="_Toc26986531"/>
      <w:bookmarkStart w:id="43" w:name="_Toc26986772"/>
      <w:bookmarkStart w:id="44" w:name="_Toc75333989"/>
      <w:bookmarkStart w:id="45" w:name="_Toc26718931"/>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A2BFF3008BD5488FA1B8A3AFB36E72E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D97FCD6">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70D6F0A">
      <w:pPr>
        <w:pStyle w:val="56"/>
        <w:ind w:firstLine="420"/>
        <w:rPr>
          <w:rFonts w:hint="eastAsia" w:hAnsi="宋体"/>
          <w:bCs/>
          <w:color w:val="000000"/>
          <w:szCs w:val="21"/>
        </w:rPr>
      </w:pPr>
      <w:r>
        <w:rPr>
          <w:rFonts w:hAnsi="宋体"/>
          <w:bCs/>
          <w:color w:val="000000"/>
          <w:szCs w:val="21"/>
        </w:rPr>
        <w:t>GB 2733</w:t>
      </w:r>
      <w:r>
        <w:rPr>
          <w:rFonts w:hint="eastAsia" w:hAnsi="宋体"/>
          <w:bCs/>
          <w:color w:val="000000"/>
          <w:szCs w:val="21"/>
        </w:rPr>
        <w:t xml:space="preserve"> </w:t>
      </w:r>
      <w:r>
        <w:rPr>
          <w:rFonts w:hAnsi="宋体"/>
          <w:bCs/>
          <w:color w:val="000000"/>
          <w:szCs w:val="21"/>
        </w:rPr>
        <w:t xml:space="preserve"> </w:t>
      </w:r>
      <w:r>
        <w:rPr>
          <w:rFonts w:hint="eastAsia" w:hAnsi="宋体"/>
          <w:bCs/>
          <w:color w:val="000000"/>
          <w:szCs w:val="21"/>
        </w:rPr>
        <w:t>食品安全国家标准  鲜、冻动物性水产品</w:t>
      </w:r>
    </w:p>
    <w:p w14:paraId="2D72FA64">
      <w:pPr>
        <w:pStyle w:val="56"/>
        <w:ind w:firstLine="420"/>
        <w:rPr>
          <w:rFonts w:hint="eastAsia" w:hAnsi="宋体"/>
          <w:bCs/>
          <w:color w:val="000000"/>
          <w:szCs w:val="21"/>
        </w:rPr>
      </w:pPr>
      <w:r>
        <w:rPr>
          <w:rFonts w:hAnsi="宋体"/>
          <w:bCs/>
          <w:color w:val="000000"/>
          <w:szCs w:val="21"/>
        </w:rPr>
        <w:t>GB 2762</w:t>
      </w:r>
      <w:r>
        <w:rPr>
          <w:rFonts w:hint="eastAsia" w:hAnsi="宋体"/>
          <w:bCs/>
          <w:color w:val="000000"/>
          <w:szCs w:val="21"/>
        </w:rPr>
        <w:t xml:space="preserve"> </w:t>
      </w:r>
      <w:r>
        <w:rPr>
          <w:rFonts w:hAnsi="宋体"/>
          <w:bCs/>
          <w:color w:val="000000"/>
          <w:szCs w:val="21"/>
        </w:rPr>
        <w:t xml:space="preserve"> 食品安全国家标准 食品中污染物限量</w:t>
      </w:r>
    </w:p>
    <w:p w14:paraId="2EFC9C08">
      <w:pPr>
        <w:pStyle w:val="56"/>
        <w:ind w:firstLine="420"/>
        <w:rPr>
          <w:rFonts w:hint="eastAsia" w:hAnsi="宋体"/>
          <w:bCs/>
          <w:szCs w:val="21"/>
        </w:rPr>
      </w:pPr>
      <w:r>
        <w:rPr>
          <w:rFonts w:hAnsi="宋体"/>
          <w:bCs/>
          <w:color w:val="000000"/>
          <w:szCs w:val="21"/>
        </w:rPr>
        <w:t>GB 2763</w:t>
      </w:r>
      <w:r>
        <w:rPr>
          <w:rFonts w:hint="eastAsia" w:hAnsi="宋体"/>
          <w:bCs/>
          <w:szCs w:val="21"/>
        </w:rPr>
        <w:t xml:space="preserve"> </w:t>
      </w:r>
      <w:r>
        <w:rPr>
          <w:rFonts w:hAnsi="宋体"/>
          <w:bCs/>
          <w:szCs w:val="21"/>
        </w:rPr>
        <w:t xml:space="preserve"> 食品安全国家标准 食品中农药最大残留限量</w:t>
      </w:r>
    </w:p>
    <w:p w14:paraId="474A2B54">
      <w:pPr>
        <w:pStyle w:val="56"/>
        <w:ind w:firstLine="420"/>
        <w:rPr>
          <w:rFonts w:hint="eastAsia" w:hAnsi="宋体"/>
          <w:bCs/>
          <w:szCs w:val="21"/>
        </w:rPr>
      </w:pPr>
      <w:r>
        <w:rPr>
          <w:szCs w:val="21"/>
        </w:rPr>
        <w:t xml:space="preserve">GB/T 30891  </w:t>
      </w:r>
      <w:r>
        <w:rPr>
          <w:rFonts w:hint="eastAsia"/>
          <w:szCs w:val="21"/>
        </w:rPr>
        <w:t>水产品抽样规范</w:t>
      </w:r>
    </w:p>
    <w:p w14:paraId="2BFAA03F">
      <w:pPr>
        <w:pStyle w:val="56"/>
        <w:ind w:firstLine="420"/>
      </w:pPr>
      <w:r>
        <w:rPr>
          <w:rFonts w:hAnsi="宋体"/>
          <w:bCs/>
          <w:szCs w:val="21"/>
        </w:rPr>
        <w:t>GB 31650</w:t>
      </w:r>
      <w:r>
        <w:rPr>
          <w:rFonts w:hint="eastAsia" w:hAnsi="宋体"/>
          <w:bCs/>
          <w:szCs w:val="21"/>
        </w:rPr>
        <w:t xml:space="preserve"> </w:t>
      </w:r>
      <w:r>
        <w:rPr>
          <w:rFonts w:hAnsi="宋体"/>
          <w:bCs/>
          <w:szCs w:val="21"/>
        </w:rPr>
        <w:t xml:space="preserve"> 食品安全国家标准 食品中兽药最大残留限量</w:t>
      </w:r>
    </w:p>
    <w:p w14:paraId="76976213">
      <w:pPr>
        <w:pStyle w:val="56"/>
        <w:ind w:firstLine="420"/>
      </w:pPr>
      <w:r>
        <w:rPr>
          <w:rFonts w:hint="eastAsia"/>
        </w:rPr>
        <w:t>SC/T 3035</w:t>
      </w:r>
      <w:r>
        <w:t xml:space="preserve">  水产品包装、标识通则</w:t>
      </w:r>
    </w:p>
    <w:p w14:paraId="49D72AE3">
      <w:pPr>
        <w:pStyle w:val="104"/>
        <w:spacing w:before="312" w:after="312"/>
      </w:pPr>
      <w:bookmarkStart w:id="46" w:name="_Toc75280460"/>
      <w:bookmarkStart w:id="47" w:name="_Toc75333990"/>
      <w:r>
        <w:rPr>
          <w:rFonts w:hint="eastAsia"/>
          <w:szCs w:val="21"/>
        </w:rPr>
        <w:t>术语和定义</w:t>
      </w:r>
      <w:bookmarkEnd w:id="46"/>
      <w:bookmarkEnd w:id="47"/>
    </w:p>
    <w:sdt>
      <w:sdtPr>
        <w:rPr>
          <w:rFonts w:hint="eastAsia"/>
        </w:rPr>
        <w:id w:val="-1909835108"/>
        <w:placeholder>
          <w:docPart w:val="D6FE7341A0F2462BB5CBFBB1F77C2CD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14:paraId="5E952E64">
          <w:pPr>
            <w:pStyle w:val="56"/>
            <w:ind w:firstLine="420"/>
          </w:pPr>
          <w:bookmarkStart w:id="48" w:name="_Toc26986532"/>
          <w:bookmarkEnd w:id="48"/>
          <w:r>
            <w:rPr>
              <w:rFonts w:hint="eastAsia"/>
            </w:rPr>
            <w:t>下列术语和定义适用于本文件。</w:t>
          </w:r>
        </w:p>
      </w:sdtContent>
    </w:sdt>
    <w:p w14:paraId="1C2189B2">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脆罗非鱼  c</w:t>
      </w:r>
      <w:r>
        <w:rPr>
          <w:rFonts w:ascii="黑体" w:hAnsi="黑体" w:eastAsia="黑体"/>
        </w:rPr>
        <w:t xml:space="preserve">risp </w:t>
      </w:r>
      <w:r>
        <w:rPr>
          <w:rFonts w:hint="eastAsia" w:ascii="黑体" w:hAnsi="黑体" w:eastAsia="黑体"/>
        </w:rPr>
        <w:t>tilapia</w:t>
      </w:r>
    </w:p>
    <w:p w14:paraId="4DAC438F">
      <w:pPr>
        <w:pStyle w:val="56"/>
        <w:ind w:firstLine="420"/>
      </w:pPr>
      <w:r>
        <w:rPr>
          <w:rFonts w:hint="eastAsia" w:hAnsi="宋体"/>
          <w:szCs w:val="21"/>
        </w:rPr>
        <w:t>一定体重的普通罗非鱼</w:t>
      </w:r>
      <w:r>
        <w:rPr>
          <w:rFonts w:hAnsi="宋体"/>
          <w:szCs w:val="21"/>
        </w:rPr>
        <w:t>经喂食</w:t>
      </w:r>
      <w:r>
        <w:rPr>
          <w:rFonts w:hint="eastAsia" w:hAnsi="宋体"/>
          <w:szCs w:val="21"/>
        </w:rPr>
        <w:t>含蚕豆的混合饲料一段时间</w:t>
      </w:r>
      <w:r>
        <w:rPr>
          <w:rFonts w:hAnsi="宋体"/>
          <w:szCs w:val="21"/>
        </w:rPr>
        <w:t>养成的</w:t>
      </w:r>
      <w:r>
        <w:rPr>
          <w:rFonts w:hint="eastAsia" w:hAnsi="宋体"/>
          <w:szCs w:val="21"/>
        </w:rPr>
        <w:t>成品鱼</w:t>
      </w:r>
      <w:r>
        <w:rPr>
          <w:rFonts w:hAnsi="宋体"/>
          <w:szCs w:val="21"/>
        </w:rPr>
        <w:t>。</w:t>
      </w:r>
    </w:p>
    <w:p w14:paraId="6FE4A98A">
      <w:pPr>
        <w:pStyle w:val="104"/>
        <w:spacing w:before="312" w:after="312"/>
      </w:pPr>
      <w:bookmarkStart w:id="49" w:name="_Toc75333991"/>
      <w:r>
        <w:rPr>
          <w:rFonts w:hint="eastAsia"/>
        </w:rPr>
        <w:t>技术要求</w:t>
      </w:r>
      <w:bookmarkEnd w:id="49"/>
    </w:p>
    <w:p w14:paraId="514F2D89">
      <w:pPr>
        <w:pStyle w:val="105"/>
        <w:spacing w:before="156" w:after="156"/>
      </w:pPr>
      <w:bookmarkStart w:id="50" w:name="_Toc75333992"/>
      <w:r>
        <w:rPr>
          <w:rFonts w:hint="eastAsia"/>
        </w:rPr>
        <w:t>基本要求</w:t>
      </w:r>
      <w:bookmarkEnd w:id="50"/>
    </w:p>
    <w:p w14:paraId="3AAB4BC6">
      <w:pPr>
        <w:pStyle w:val="56"/>
        <w:ind w:firstLine="420"/>
      </w:pPr>
      <w:r>
        <w:rPr>
          <w:rFonts w:hint="eastAsia"/>
        </w:rPr>
        <w:t>待分级的养殖脆罗非鱼应符合下列基本要求：</w:t>
      </w:r>
    </w:p>
    <w:p w14:paraId="20CE27C5">
      <w:pPr>
        <w:pStyle w:val="132"/>
      </w:pPr>
      <w:r>
        <w:rPr>
          <w:rFonts w:hint="eastAsia"/>
        </w:rPr>
        <w:t>原料鱼应健康、无污染</w:t>
      </w:r>
      <w:r>
        <w:rPr>
          <w:rFonts w:hint="eastAsia" w:hAnsi="宋体"/>
        </w:rPr>
        <w:t>，</w:t>
      </w:r>
      <w:r>
        <w:rPr>
          <w:rFonts w:hAnsi="宋体"/>
          <w:bCs/>
          <w:szCs w:val="21"/>
        </w:rPr>
        <w:t>其污染物限量应符合GB 2762</w:t>
      </w:r>
      <w:r>
        <w:rPr>
          <w:rFonts w:hint="eastAsia" w:hAnsi="宋体"/>
          <w:bCs/>
          <w:szCs w:val="21"/>
        </w:rPr>
        <w:t>的</w:t>
      </w:r>
      <w:r>
        <w:rPr>
          <w:rFonts w:hAnsi="宋体"/>
          <w:bCs/>
          <w:szCs w:val="21"/>
        </w:rPr>
        <w:t>规定</w:t>
      </w:r>
      <w:r>
        <w:rPr>
          <w:rFonts w:hint="eastAsia" w:hAnsi="宋体"/>
          <w:bCs/>
          <w:szCs w:val="21"/>
        </w:rPr>
        <w:t>，</w:t>
      </w:r>
      <w:r>
        <w:rPr>
          <w:rFonts w:hAnsi="宋体"/>
          <w:bCs/>
          <w:szCs w:val="21"/>
        </w:rPr>
        <w:t>农药残留限量应符合GB 2763</w:t>
      </w:r>
      <w:r>
        <w:rPr>
          <w:rFonts w:hint="eastAsia" w:hAnsi="宋体"/>
          <w:bCs/>
          <w:szCs w:val="21"/>
        </w:rPr>
        <w:t>的规定，</w:t>
      </w:r>
      <w:r>
        <w:rPr>
          <w:rFonts w:hAnsi="宋体"/>
          <w:bCs/>
          <w:szCs w:val="21"/>
        </w:rPr>
        <w:t>兽药</w:t>
      </w:r>
      <w:r>
        <w:rPr>
          <w:rFonts w:hint="eastAsia" w:hAnsi="宋体"/>
          <w:bCs/>
          <w:szCs w:val="21"/>
        </w:rPr>
        <w:t>残留</w:t>
      </w:r>
      <w:r>
        <w:rPr>
          <w:rFonts w:hAnsi="宋体"/>
          <w:bCs/>
          <w:szCs w:val="21"/>
        </w:rPr>
        <w:t>限量应符合GB 31650</w:t>
      </w:r>
      <w:r>
        <w:rPr>
          <w:rFonts w:hint="eastAsia" w:hAnsi="宋体"/>
          <w:bCs/>
          <w:szCs w:val="21"/>
        </w:rPr>
        <w:t>的规定；</w:t>
      </w:r>
    </w:p>
    <w:p w14:paraId="7F90C944">
      <w:pPr>
        <w:pStyle w:val="132"/>
        <w:rPr>
          <w:szCs w:val="18"/>
        </w:rPr>
      </w:pPr>
      <w:r>
        <w:rPr>
          <w:rFonts w:hint="eastAsia" w:hAnsi="宋体"/>
          <w:bCs/>
          <w:szCs w:val="21"/>
        </w:rPr>
        <w:t>鲜</w:t>
      </w:r>
      <w:r>
        <w:rPr>
          <w:rFonts w:hint="eastAsia" w:hAnsi="宋体"/>
          <w:bCs/>
          <w:szCs w:val="18"/>
        </w:rPr>
        <w:t>鱼应符合GB</w:t>
      </w:r>
      <w:r>
        <w:rPr>
          <w:rFonts w:hAnsi="宋体"/>
          <w:bCs/>
          <w:szCs w:val="18"/>
        </w:rPr>
        <w:t xml:space="preserve"> 2733</w:t>
      </w:r>
      <w:r>
        <w:rPr>
          <w:rFonts w:hint="eastAsia" w:hAnsi="宋体"/>
          <w:bCs/>
          <w:szCs w:val="18"/>
        </w:rPr>
        <w:t>的规定。</w:t>
      </w:r>
    </w:p>
    <w:p w14:paraId="3AD11C7F">
      <w:pPr>
        <w:pStyle w:val="105"/>
        <w:spacing w:before="156" w:after="156"/>
      </w:pPr>
      <w:bookmarkStart w:id="51" w:name="_Toc75333993"/>
      <w:r>
        <w:rPr>
          <w:rFonts w:hint="eastAsia"/>
        </w:rPr>
        <w:t>质量分级</w:t>
      </w:r>
      <w:bookmarkEnd w:id="51"/>
    </w:p>
    <w:p w14:paraId="3C10CCAF">
      <w:pPr>
        <w:pStyle w:val="56"/>
        <w:ind w:firstLine="420"/>
        <w:rPr>
          <w:szCs w:val="18"/>
        </w:rPr>
      </w:pPr>
      <w:r>
        <w:rPr>
          <w:rFonts w:hint="eastAsia"/>
          <w:szCs w:val="18"/>
        </w:rPr>
        <w:t>养殖脆罗非鱼产品质量分级及指标应符合表1的规定。</w:t>
      </w:r>
    </w:p>
    <w:p w14:paraId="3D9895FC">
      <w:pPr>
        <w:pStyle w:val="112"/>
        <w:spacing w:before="156" w:after="156"/>
      </w:pPr>
      <w:r>
        <w:rPr>
          <w:rFonts w:hint="eastAsia"/>
        </w:rPr>
        <w:t>脆罗非鱼质量分级</w:t>
      </w:r>
    </w:p>
    <w:tbl>
      <w:tblPr>
        <w:tblStyle w:val="27"/>
        <w:tblW w:w="950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99"/>
        <w:gridCol w:w="709"/>
        <w:gridCol w:w="3827"/>
        <w:gridCol w:w="1985"/>
        <w:gridCol w:w="2286"/>
      </w:tblGrid>
      <w:tr w14:paraId="31E74A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408" w:type="dxa"/>
            <w:gridSpan w:val="2"/>
            <w:vMerge w:val="restart"/>
            <w:tcBorders>
              <w:top w:val="single" w:color="auto" w:sz="8" w:space="0"/>
            </w:tcBorders>
            <w:shd w:val="clear" w:color="auto" w:fill="auto"/>
            <w:vAlign w:val="center"/>
          </w:tcPr>
          <w:p w14:paraId="64E1D1BA">
            <w:pPr>
              <w:pStyle w:val="178"/>
              <w:ind w:left="105" w:leftChars="50" w:right="105" w:rightChars="50"/>
              <w:rPr>
                <w:szCs w:val="18"/>
              </w:rPr>
            </w:pPr>
            <w:r>
              <w:rPr>
                <w:rFonts w:hint="eastAsia"/>
                <w:szCs w:val="18"/>
              </w:rPr>
              <w:t xml:space="preserve">项 </w:t>
            </w:r>
            <w:r>
              <w:rPr>
                <w:szCs w:val="18"/>
              </w:rPr>
              <w:t xml:space="preserve"> </w:t>
            </w:r>
            <w:r>
              <w:rPr>
                <w:rFonts w:hint="eastAsia"/>
                <w:szCs w:val="18"/>
              </w:rPr>
              <w:t>目</w:t>
            </w:r>
          </w:p>
        </w:tc>
        <w:tc>
          <w:tcPr>
            <w:tcW w:w="8098" w:type="dxa"/>
            <w:gridSpan w:val="3"/>
            <w:tcBorders>
              <w:top w:val="single" w:color="auto" w:sz="8" w:space="0"/>
              <w:bottom w:val="single" w:color="auto" w:sz="8" w:space="0"/>
            </w:tcBorders>
            <w:shd w:val="clear" w:color="auto" w:fill="auto"/>
            <w:vAlign w:val="center"/>
          </w:tcPr>
          <w:p w14:paraId="79A8A4D8">
            <w:pPr>
              <w:pStyle w:val="178"/>
              <w:ind w:left="105" w:leftChars="50" w:right="105" w:rightChars="50"/>
              <w:rPr>
                <w:szCs w:val="18"/>
              </w:rPr>
            </w:pPr>
            <w:r>
              <w:rPr>
                <w:rFonts w:hint="eastAsia"/>
                <w:szCs w:val="18"/>
              </w:rPr>
              <w:t xml:space="preserve">指 </w:t>
            </w:r>
            <w:r>
              <w:rPr>
                <w:szCs w:val="18"/>
              </w:rPr>
              <w:t xml:space="preserve"> </w:t>
            </w:r>
            <w:r>
              <w:rPr>
                <w:rFonts w:hint="eastAsia"/>
                <w:szCs w:val="18"/>
              </w:rPr>
              <w:t>标</w:t>
            </w:r>
          </w:p>
        </w:tc>
      </w:tr>
      <w:tr w14:paraId="695B4A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408" w:type="dxa"/>
            <w:gridSpan w:val="2"/>
            <w:vMerge w:val="continue"/>
            <w:tcBorders>
              <w:bottom w:val="single" w:color="auto" w:sz="8" w:space="0"/>
            </w:tcBorders>
            <w:shd w:val="clear" w:color="auto" w:fill="auto"/>
            <w:vAlign w:val="center"/>
          </w:tcPr>
          <w:p w14:paraId="787F21C1">
            <w:pPr>
              <w:pStyle w:val="178"/>
              <w:ind w:left="105" w:leftChars="50" w:right="105" w:rightChars="50"/>
              <w:rPr>
                <w:szCs w:val="18"/>
              </w:rPr>
            </w:pPr>
          </w:p>
        </w:tc>
        <w:tc>
          <w:tcPr>
            <w:tcW w:w="3827" w:type="dxa"/>
            <w:tcBorders>
              <w:top w:val="single" w:color="auto" w:sz="8" w:space="0"/>
              <w:bottom w:val="single" w:color="auto" w:sz="8" w:space="0"/>
            </w:tcBorders>
            <w:shd w:val="clear" w:color="auto" w:fill="auto"/>
            <w:vAlign w:val="center"/>
          </w:tcPr>
          <w:p w14:paraId="55B69138">
            <w:pPr>
              <w:pStyle w:val="178"/>
              <w:ind w:left="105" w:leftChars="50" w:right="105" w:rightChars="50"/>
              <w:rPr>
                <w:szCs w:val="18"/>
              </w:rPr>
            </w:pPr>
            <w:r>
              <w:rPr>
                <w:rFonts w:hint="eastAsia"/>
                <w:szCs w:val="18"/>
              </w:rPr>
              <w:t>特级</w:t>
            </w:r>
          </w:p>
        </w:tc>
        <w:tc>
          <w:tcPr>
            <w:tcW w:w="1985" w:type="dxa"/>
            <w:tcBorders>
              <w:top w:val="single" w:color="auto" w:sz="8" w:space="0"/>
              <w:bottom w:val="single" w:color="auto" w:sz="8" w:space="0"/>
            </w:tcBorders>
            <w:shd w:val="clear" w:color="auto" w:fill="auto"/>
            <w:vAlign w:val="center"/>
          </w:tcPr>
          <w:p w14:paraId="334E1FF5">
            <w:pPr>
              <w:pStyle w:val="178"/>
              <w:ind w:left="105" w:leftChars="50" w:right="105" w:rightChars="50"/>
              <w:rPr>
                <w:szCs w:val="18"/>
              </w:rPr>
            </w:pPr>
            <w:r>
              <w:rPr>
                <w:rFonts w:hint="eastAsia"/>
                <w:szCs w:val="18"/>
              </w:rPr>
              <w:t>一级</w:t>
            </w:r>
          </w:p>
        </w:tc>
        <w:tc>
          <w:tcPr>
            <w:tcW w:w="2286" w:type="dxa"/>
            <w:tcBorders>
              <w:top w:val="single" w:color="auto" w:sz="8" w:space="0"/>
              <w:bottom w:val="single" w:color="auto" w:sz="8" w:space="0"/>
            </w:tcBorders>
            <w:vAlign w:val="center"/>
          </w:tcPr>
          <w:p w14:paraId="572CB652">
            <w:pPr>
              <w:pStyle w:val="178"/>
              <w:ind w:left="105" w:leftChars="50" w:right="105" w:rightChars="50"/>
              <w:rPr>
                <w:szCs w:val="18"/>
              </w:rPr>
            </w:pPr>
            <w:r>
              <w:rPr>
                <w:rFonts w:hint="eastAsia"/>
                <w:szCs w:val="18"/>
              </w:rPr>
              <w:t>二级</w:t>
            </w:r>
          </w:p>
        </w:tc>
      </w:tr>
      <w:tr w14:paraId="038C20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restart"/>
            <w:shd w:val="clear" w:color="auto" w:fill="auto"/>
            <w:vAlign w:val="center"/>
          </w:tcPr>
          <w:p w14:paraId="50E968F3">
            <w:pPr>
              <w:pStyle w:val="178"/>
              <w:ind w:left="105" w:leftChars="50" w:right="105" w:rightChars="50"/>
              <w:rPr>
                <w:szCs w:val="18"/>
              </w:rPr>
            </w:pPr>
            <w:r>
              <w:rPr>
                <w:rFonts w:hint="eastAsia"/>
                <w:szCs w:val="18"/>
              </w:rPr>
              <w:t>感官要求</w:t>
            </w:r>
          </w:p>
        </w:tc>
        <w:tc>
          <w:tcPr>
            <w:tcW w:w="709" w:type="dxa"/>
            <w:shd w:val="clear" w:color="auto" w:fill="auto"/>
            <w:vAlign w:val="center"/>
          </w:tcPr>
          <w:p w14:paraId="10210CFC">
            <w:pPr>
              <w:pStyle w:val="178"/>
              <w:ind w:left="105" w:leftChars="50" w:right="105" w:rightChars="50"/>
              <w:rPr>
                <w:szCs w:val="18"/>
              </w:rPr>
            </w:pPr>
            <w:r>
              <w:rPr>
                <w:rFonts w:hint="eastAsia"/>
                <w:szCs w:val="18"/>
              </w:rPr>
              <w:t>外观</w:t>
            </w:r>
          </w:p>
        </w:tc>
        <w:tc>
          <w:tcPr>
            <w:tcW w:w="5812" w:type="dxa"/>
            <w:gridSpan w:val="2"/>
            <w:shd w:val="clear" w:color="auto" w:fill="auto"/>
            <w:vAlign w:val="center"/>
          </w:tcPr>
          <w:p w14:paraId="61CCA96A">
            <w:pPr>
              <w:widowControl/>
              <w:adjustRightInd/>
              <w:spacing w:line="240" w:lineRule="auto"/>
              <w:ind w:left="105" w:leftChars="50" w:right="105" w:rightChars="50"/>
              <w:jc w:val="left"/>
              <w:rPr>
                <w:rFonts w:hint="eastAsia" w:ascii="宋体" w:hAnsi="宋体" w:cs="宋体"/>
                <w:kern w:val="0"/>
                <w:sz w:val="18"/>
                <w:szCs w:val="18"/>
              </w:rPr>
            </w:pPr>
            <w:r>
              <w:rPr>
                <w:rFonts w:hint="eastAsia"/>
                <w:sz w:val="18"/>
                <w:szCs w:val="18"/>
              </w:rPr>
              <w:t>体色正常、鲜亮有光泽，若是活鱼则能自由游动，无伤残、无疾病、无畸形</w:t>
            </w:r>
          </w:p>
        </w:tc>
        <w:tc>
          <w:tcPr>
            <w:tcW w:w="2286" w:type="dxa"/>
          </w:tcPr>
          <w:p w14:paraId="03159EE7">
            <w:pPr>
              <w:widowControl/>
              <w:adjustRightInd/>
              <w:spacing w:line="240" w:lineRule="auto"/>
              <w:ind w:left="105" w:leftChars="50" w:right="105" w:rightChars="50"/>
              <w:jc w:val="left"/>
              <w:rPr>
                <w:rFonts w:hint="eastAsia" w:ascii="宋体" w:hAnsi="宋体" w:cs="宋体"/>
                <w:kern w:val="0"/>
                <w:sz w:val="18"/>
                <w:szCs w:val="18"/>
              </w:rPr>
            </w:pPr>
            <w:r>
              <w:rPr>
                <w:rFonts w:hint="eastAsia"/>
                <w:sz w:val="18"/>
                <w:szCs w:val="18"/>
              </w:rPr>
              <w:t>体色正常、略有光泽</w:t>
            </w:r>
            <w:r>
              <w:rPr>
                <w:rFonts w:hint="eastAsia"/>
                <w:szCs w:val="18"/>
              </w:rPr>
              <w:t>，</w:t>
            </w:r>
            <w:r>
              <w:rPr>
                <w:rFonts w:hint="eastAsia"/>
                <w:sz w:val="18"/>
                <w:szCs w:val="18"/>
              </w:rPr>
              <w:t>若是活鱼则能自由游动，无伤残、无疾病、无畸形</w:t>
            </w:r>
          </w:p>
        </w:tc>
      </w:tr>
      <w:tr w14:paraId="660263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6A0DAB95">
            <w:pPr>
              <w:pStyle w:val="178"/>
              <w:ind w:left="105" w:leftChars="50" w:right="105" w:rightChars="50"/>
              <w:rPr>
                <w:szCs w:val="18"/>
              </w:rPr>
            </w:pPr>
          </w:p>
        </w:tc>
        <w:tc>
          <w:tcPr>
            <w:tcW w:w="709" w:type="dxa"/>
            <w:shd w:val="clear" w:color="auto" w:fill="auto"/>
            <w:vAlign w:val="center"/>
          </w:tcPr>
          <w:p w14:paraId="6FEFE8B7">
            <w:pPr>
              <w:pStyle w:val="178"/>
              <w:ind w:left="105" w:leftChars="50" w:right="105" w:rightChars="50"/>
              <w:rPr>
                <w:szCs w:val="18"/>
              </w:rPr>
            </w:pPr>
            <w:r>
              <w:rPr>
                <w:rFonts w:hint="eastAsia"/>
                <w:szCs w:val="18"/>
              </w:rPr>
              <w:t>气味</w:t>
            </w:r>
          </w:p>
        </w:tc>
        <w:tc>
          <w:tcPr>
            <w:tcW w:w="5812" w:type="dxa"/>
            <w:gridSpan w:val="2"/>
            <w:shd w:val="clear" w:color="auto" w:fill="auto"/>
            <w:vAlign w:val="center"/>
          </w:tcPr>
          <w:p w14:paraId="46347892">
            <w:pPr>
              <w:pStyle w:val="178"/>
              <w:ind w:left="105" w:leftChars="50" w:right="105" w:rightChars="50"/>
              <w:jc w:val="left"/>
              <w:rPr>
                <w:szCs w:val="18"/>
              </w:rPr>
            </w:pPr>
            <w:r>
              <w:rPr>
                <w:rFonts w:hint="eastAsia" w:hAnsi="宋体" w:cs="宋体"/>
                <w:szCs w:val="18"/>
              </w:rPr>
              <w:t>具有脆罗非鱼自然香甜鲜美气味，无异味</w:t>
            </w:r>
          </w:p>
        </w:tc>
        <w:tc>
          <w:tcPr>
            <w:tcW w:w="2286" w:type="dxa"/>
          </w:tcPr>
          <w:p w14:paraId="42EEE684">
            <w:pPr>
              <w:pStyle w:val="178"/>
              <w:ind w:left="105" w:leftChars="50" w:right="105" w:rightChars="50"/>
              <w:jc w:val="left"/>
              <w:rPr>
                <w:szCs w:val="18"/>
              </w:rPr>
            </w:pPr>
            <w:r>
              <w:rPr>
                <w:rFonts w:hint="eastAsia"/>
                <w:szCs w:val="18"/>
              </w:rPr>
              <w:t>极轻微泥腥味泥腥味或轻微不自然异味</w:t>
            </w:r>
          </w:p>
        </w:tc>
      </w:tr>
      <w:tr w14:paraId="548DAA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1F9C3F21">
            <w:pPr>
              <w:pStyle w:val="178"/>
              <w:ind w:left="105" w:leftChars="50" w:right="105" w:rightChars="50"/>
              <w:rPr>
                <w:szCs w:val="18"/>
              </w:rPr>
            </w:pPr>
          </w:p>
        </w:tc>
        <w:tc>
          <w:tcPr>
            <w:tcW w:w="709" w:type="dxa"/>
            <w:shd w:val="clear" w:color="auto" w:fill="auto"/>
            <w:vAlign w:val="center"/>
          </w:tcPr>
          <w:p w14:paraId="4F67EE32">
            <w:pPr>
              <w:pStyle w:val="178"/>
              <w:ind w:left="105" w:leftChars="50" w:right="105" w:rightChars="50"/>
              <w:rPr>
                <w:szCs w:val="18"/>
              </w:rPr>
            </w:pPr>
            <w:r>
              <w:rPr>
                <w:rFonts w:hint="eastAsia"/>
                <w:szCs w:val="18"/>
              </w:rPr>
              <w:t>滋味</w:t>
            </w:r>
          </w:p>
        </w:tc>
        <w:tc>
          <w:tcPr>
            <w:tcW w:w="5812" w:type="dxa"/>
            <w:gridSpan w:val="2"/>
            <w:shd w:val="clear" w:color="auto" w:fill="auto"/>
            <w:vAlign w:val="center"/>
          </w:tcPr>
          <w:p w14:paraId="2FF491E4">
            <w:pPr>
              <w:pStyle w:val="178"/>
              <w:ind w:left="105" w:leftChars="50" w:right="105" w:rightChars="50"/>
              <w:jc w:val="left"/>
              <w:rPr>
                <w:szCs w:val="18"/>
              </w:rPr>
            </w:pPr>
            <w:r>
              <w:rPr>
                <w:rFonts w:hint="eastAsia" w:hAnsi="宋体" w:cs="宋体"/>
                <w:szCs w:val="18"/>
              </w:rPr>
              <w:t>具有脆罗非鱼肉自然香甜鲜美滋味，组织细嫩，富有弹性</w:t>
            </w:r>
          </w:p>
        </w:tc>
        <w:tc>
          <w:tcPr>
            <w:tcW w:w="2286" w:type="dxa"/>
          </w:tcPr>
          <w:p w14:paraId="543E1C93">
            <w:pPr>
              <w:pStyle w:val="178"/>
              <w:ind w:left="105" w:leftChars="50" w:right="105" w:rightChars="50"/>
              <w:jc w:val="left"/>
              <w:rPr>
                <w:szCs w:val="18"/>
              </w:rPr>
            </w:pPr>
            <w:r>
              <w:rPr>
                <w:rFonts w:hint="eastAsia" w:hAnsi="宋体" w:cs="宋体"/>
                <w:szCs w:val="18"/>
              </w:rPr>
              <w:t>有轻微不适味，不自然回味，质地稍软或缺乏弹性</w:t>
            </w:r>
          </w:p>
        </w:tc>
      </w:tr>
      <w:tr w14:paraId="732191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gridSpan w:val="2"/>
            <w:shd w:val="clear" w:color="auto" w:fill="auto"/>
            <w:vAlign w:val="center"/>
          </w:tcPr>
          <w:p w14:paraId="584BA35C">
            <w:pPr>
              <w:pStyle w:val="178"/>
              <w:ind w:left="105" w:leftChars="50" w:right="105" w:rightChars="50"/>
              <w:rPr>
                <w:szCs w:val="18"/>
              </w:rPr>
            </w:pPr>
            <w:r>
              <w:rPr>
                <w:rFonts w:hint="eastAsia"/>
                <w:szCs w:val="18"/>
              </w:rPr>
              <w:t>脆度（g）</w:t>
            </w:r>
          </w:p>
        </w:tc>
        <w:tc>
          <w:tcPr>
            <w:tcW w:w="3827" w:type="dxa"/>
            <w:shd w:val="clear" w:color="auto" w:fill="auto"/>
            <w:vAlign w:val="center"/>
          </w:tcPr>
          <w:p w14:paraId="31061EA0">
            <w:pPr>
              <w:pStyle w:val="178"/>
              <w:ind w:left="105" w:leftChars="50" w:right="105" w:rightChars="50"/>
              <w:rPr>
                <w:szCs w:val="18"/>
              </w:rPr>
            </w:pPr>
            <w:r>
              <w:rPr>
                <w:rFonts w:hint="eastAsia"/>
                <w:szCs w:val="18"/>
              </w:rPr>
              <w:t>＞4</w:t>
            </w:r>
            <w:r>
              <w:rPr>
                <w:szCs w:val="18"/>
              </w:rPr>
              <w:t>00</w:t>
            </w:r>
          </w:p>
        </w:tc>
        <w:tc>
          <w:tcPr>
            <w:tcW w:w="1985" w:type="dxa"/>
            <w:shd w:val="clear" w:color="auto" w:fill="auto"/>
            <w:vAlign w:val="center"/>
          </w:tcPr>
          <w:p w14:paraId="52D19B78">
            <w:pPr>
              <w:pStyle w:val="178"/>
              <w:ind w:left="105" w:leftChars="50" w:right="105" w:rightChars="50"/>
              <w:rPr>
                <w:szCs w:val="18"/>
              </w:rPr>
            </w:pPr>
            <w:r>
              <w:rPr>
                <w:szCs w:val="18"/>
              </w:rPr>
              <w:t>210</w:t>
            </w:r>
            <w:r>
              <w:rPr>
                <w:rFonts w:hint="eastAsia"/>
                <w:szCs w:val="18"/>
              </w:rPr>
              <w:t>～</w:t>
            </w:r>
            <w:r>
              <w:rPr>
                <w:szCs w:val="18"/>
              </w:rPr>
              <w:t>400</w:t>
            </w:r>
          </w:p>
        </w:tc>
        <w:tc>
          <w:tcPr>
            <w:tcW w:w="2286" w:type="dxa"/>
          </w:tcPr>
          <w:p w14:paraId="4E461F0A">
            <w:pPr>
              <w:pStyle w:val="178"/>
              <w:ind w:left="105" w:leftChars="50" w:right="105" w:rightChars="50"/>
              <w:rPr>
                <w:szCs w:val="18"/>
              </w:rPr>
            </w:pPr>
            <w:r>
              <w:rPr>
                <w:szCs w:val="18"/>
              </w:rPr>
              <w:t>130</w:t>
            </w:r>
            <w:r>
              <w:rPr>
                <w:rFonts w:hint="eastAsia"/>
                <w:szCs w:val="18"/>
              </w:rPr>
              <w:t>～</w:t>
            </w:r>
            <w:r>
              <w:rPr>
                <w:szCs w:val="18"/>
              </w:rPr>
              <w:t>210</w:t>
            </w:r>
          </w:p>
        </w:tc>
      </w:tr>
    </w:tbl>
    <w:p w14:paraId="00BD7DCD">
      <w:pPr>
        <w:pStyle w:val="105"/>
        <w:spacing w:before="156" w:after="156"/>
      </w:pPr>
      <w:r>
        <w:rPr>
          <w:rFonts w:hint="eastAsia"/>
        </w:rPr>
        <w:t>规格</w:t>
      </w:r>
    </w:p>
    <w:p w14:paraId="7F77A088">
      <w:pPr>
        <w:pStyle w:val="56"/>
        <w:ind w:firstLine="420"/>
      </w:pPr>
      <w:r>
        <w:rPr>
          <w:rFonts w:hint="eastAsia"/>
          <w:bCs/>
        </w:rPr>
        <w:t>原料鱼规格应符合表</w:t>
      </w:r>
      <w:r>
        <w:rPr>
          <w:rFonts w:hint="eastAsia" w:hAnsi="宋体"/>
          <w:bCs/>
        </w:rPr>
        <w:t>2</w:t>
      </w:r>
      <w:r>
        <w:rPr>
          <w:rFonts w:hint="eastAsia"/>
          <w:bCs/>
        </w:rPr>
        <w:t>的规定。</w:t>
      </w:r>
    </w:p>
    <w:p w14:paraId="13AE2C28">
      <w:pPr>
        <w:widowControl/>
        <w:numPr>
          <w:ilvl w:val="0"/>
          <w:numId w:val="16"/>
        </w:numPr>
        <w:tabs>
          <w:tab w:val="left" w:pos="0"/>
        </w:tabs>
        <w:autoSpaceDE w:val="0"/>
        <w:autoSpaceDN w:val="0"/>
        <w:adjustRightInd/>
        <w:spacing w:before="312" w:beforeLines="100" w:after="312" w:afterLines="100" w:line="240" w:lineRule="auto"/>
        <w:ind w:right="210"/>
        <w:jc w:val="right"/>
        <w:rPr>
          <w:rFonts w:ascii="宋体" w:hAnsi="Times New Roman"/>
          <w:kern w:val="0"/>
          <w:szCs w:val="20"/>
        </w:rPr>
      </w:pPr>
      <w:bookmarkStart w:id="52" w:name="OLE_LINK1"/>
      <w:r>
        <w:rPr>
          <w:rFonts w:ascii="黑体" w:hAnsi="Times New Roman" w:eastAsia="黑体"/>
          <w:kern w:val="0"/>
          <w:szCs w:val="20"/>
        </w:rPr>
        <w:t>规格</w:t>
      </w:r>
      <w:r>
        <w:rPr>
          <w:rFonts w:hint="eastAsia" w:ascii="黑体" w:hAnsi="Times New Roman" w:eastAsia="黑体"/>
          <w:kern w:val="0"/>
          <w:szCs w:val="20"/>
        </w:rPr>
        <w:t xml:space="preserve">划分 </w:t>
      </w:r>
      <w:r>
        <w:rPr>
          <w:rFonts w:ascii="黑体" w:hAnsi="Times New Roman" w:eastAsia="黑体"/>
          <w:kern w:val="0"/>
          <w:szCs w:val="20"/>
        </w:rPr>
        <w:t xml:space="preserve">                     </w:t>
      </w:r>
      <w:r>
        <w:rPr>
          <w:rFonts w:hint="eastAsia" w:ascii="宋体" w:hAnsi="Times New Roman"/>
          <w:kern w:val="0"/>
          <w:szCs w:val="20"/>
        </w:rPr>
        <w:t>单位：千克/条</w:t>
      </w:r>
    </w:p>
    <w:tbl>
      <w:tblPr>
        <w:tblStyle w:val="26"/>
        <w:tblW w:w="422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95"/>
        <w:gridCol w:w="1220"/>
        <w:gridCol w:w="1342"/>
        <w:gridCol w:w="1462"/>
        <w:gridCol w:w="1340"/>
        <w:gridCol w:w="1462"/>
      </w:tblGrid>
      <w:tr w14:paraId="5E658B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691" w:type="pct"/>
            <w:tcBorders>
              <w:top w:val="single" w:color="auto" w:sz="4" w:space="0"/>
              <w:bottom w:val="single" w:color="auto" w:sz="4" w:space="0"/>
            </w:tcBorders>
            <w:shd w:val="clear" w:color="auto" w:fill="auto"/>
            <w:vAlign w:val="center"/>
          </w:tcPr>
          <w:p w14:paraId="1BE0C610">
            <w:pPr>
              <w:widowControl/>
              <w:adjustRightInd/>
              <w:spacing w:line="240" w:lineRule="auto"/>
              <w:jc w:val="center"/>
              <w:rPr>
                <w:rFonts w:hint="eastAsia" w:ascii="宋体" w:hAnsi="宋体"/>
                <w:bCs/>
                <w:sz w:val="18"/>
                <w:szCs w:val="18"/>
              </w:rPr>
            </w:pPr>
            <w:r>
              <w:rPr>
                <w:rFonts w:hint="eastAsia" w:ascii="黑体" w:hAnsi="黑体" w:eastAsia="黑体"/>
                <w:bCs/>
                <w:sz w:val="18"/>
                <w:szCs w:val="18"/>
              </w:rPr>
              <w:t>项目</w:t>
            </w:r>
          </w:p>
        </w:tc>
        <w:tc>
          <w:tcPr>
            <w:tcW w:w="770" w:type="pct"/>
            <w:tcBorders>
              <w:top w:val="single" w:color="auto" w:sz="4" w:space="0"/>
              <w:bottom w:val="single" w:color="auto" w:sz="4" w:space="0"/>
            </w:tcBorders>
            <w:vAlign w:val="center"/>
          </w:tcPr>
          <w:p w14:paraId="3D7D6D59">
            <w:pPr>
              <w:widowControl/>
              <w:adjustRightInd/>
              <w:spacing w:line="240" w:lineRule="auto"/>
              <w:jc w:val="center"/>
              <w:rPr>
                <w:rFonts w:hint="eastAsia" w:ascii="黑体" w:hAnsi="黑体" w:eastAsia="黑体"/>
                <w:bCs/>
                <w:sz w:val="18"/>
                <w:szCs w:val="18"/>
              </w:rPr>
            </w:pPr>
            <w:r>
              <w:rPr>
                <w:rFonts w:hint="eastAsia" w:ascii="黑体" w:hAnsi="黑体" w:eastAsia="黑体"/>
                <w:bCs/>
                <w:sz w:val="18"/>
                <w:szCs w:val="18"/>
              </w:rPr>
              <w:t>特大规格</w:t>
            </w:r>
          </w:p>
        </w:tc>
        <w:tc>
          <w:tcPr>
            <w:tcW w:w="847" w:type="pct"/>
            <w:tcBorders>
              <w:top w:val="single" w:color="auto" w:sz="4" w:space="0"/>
              <w:bottom w:val="single" w:color="auto" w:sz="4" w:space="0"/>
            </w:tcBorders>
            <w:shd w:val="clear" w:color="auto" w:fill="auto"/>
            <w:vAlign w:val="center"/>
          </w:tcPr>
          <w:p w14:paraId="09B339C8">
            <w:pPr>
              <w:widowControl/>
              <w:adjustRightInd/>
              <w:spacing w:line="240" w:lineRule="auto"/>
              <w:jc w:val="center"/>
              <w:rPr>
                <w:rFonts w:hint="eastAsia" w:ascii="黑体" w:hAnsi="黑体" w:eastAsia="黑体"/>
                <w:bCs/>
                <w:sz w:val="18"/>
                <w:szCs w:val="18"/>
              </w:rPr>
            </w:pPr>
            <w:r>
              <w:rPr>
                <w:rFonts w:hint="eastAsia" w:ascii="黑体" w:hAnsi="黑体" w:eastAsia="黑体"/>
                <w:bCs/>
                <w:sz w:val="18"/>
                <w:szCs w:val="18"/>
              </w:rPr>
              <w:t>大规格</w:t>
            </w:r>
          </w:p>
        </w:tc>
        <w:tc>
          <w:tcPr>
            <w:tcW w:w="923" w:type="pct"/>
            <w:tcBorders>
              <w:top w:val="single" w:color="auto" w:sz="4" w:space="0"/>
              <w:bottom w:val="single" w:color="auto" w:sz="4" w:space="0"/>
            </w:tcBorders>
            <w:shd w:val="clear" w:color="auto" w:fill="auto"/>
            <w:vAlign w:val="center"/>
          </w:tcPr>
          <w:p w14:paraId="46349806">
            <w:pPr>
              <w:widowControl/>
              <w:adjustRightInd/>
              <w:spacing w:line="240" w:lineRule="auto"/>
              <w:jc w:val="center"/>
              <w:rPr>
                <w:rFonts w:hint="eastAsia" w:ascii="黑体" w:hAnsi="黑体" w:eastAsia="黑体"/>
                <w:bCs/>
                <w:sz w:val="18"/>
                <w:szCs w:val="18"/>
              </w:rPr>
            </w:pPr>
            <w:r>
              <w:rPr>
                <w:rFonts w:hint="eastAsia" w:ascii="黑体" w:hAnsi="黑体" w:eastAsia="黑体"/>
                <w:bCs/>
                <w:sz w:val="18"/>
                <w:szCs w:val="18"/>
              </w:rPr>
              <w:t>中规格</w:t>
            </w:r>
          </w:p>
        </w:tc>
        <w:tc>
          <w:tcPr>
            <w:tcW w:w="846" w:type="pct"/>
            <w:tcBorders>
              <w:top w:val="single" w:color="auto" w:sz="4" w:space="0"/>
              <w:bottom w:val="single" w:color="auto" w:sz="4" w:space="0"/>
            </w:tcBorders>
            <w:shd w:val="clear" w:color="auto" w:fill="auto"/>
            <w:vAlign w:val="center"/>
          </w:tcPr>
          <w:p w14:paraId="525808C9">
            <w:pPr>
              <w:widowControl/>
              <w:adjustRightInd/>
              <w:spacing w:line="240" w:lineRule="auto"/>
              <w:jc w:val="center"/>
              <w:rPr>
                <w:rFonts w:hint="eastAsia" w:ascii="黑体" w:hAnsi="黑体" w:eastAsia="黑体"/>
                <w:bCs/>
                <w:sz w:val="18"/>
                <w:szCs w:val="18"/>
              </w:rPr>
            </w:pPr>
            <w:r>
              <w:rPr>
                <w:rFonts w:hint="eastAsia" w:ascii="黑体" w:hAnsi="黑体" w:eastAsia="黑体"/>
                <w:bCs/>
                <w:sz w:val="18"/>
                <w:szCs w:val="18"/>
              </w:rPr>
              <w:t>小规规格</w:t>
            </w:r>
          </w:p>
        </w:tc>
        <w:tc>
          <w:tcPr>
            <w:tcW w:w="923" w:type="pct"/>
            <w:tcBorders>
              <w:top w:val="single" w:color="auto" w:sz="4" w:space="0"/>
              <w:bottom w:val="single" w:color="auto" w:sz="4" w:space="0"/>
            </w:tcBorders>
          </w:tcPr>
          <w:p w14:paraId="6877FE59">
            <w:pPr>
              <w:widowControl/>
              <w:adjustRightInd/>
              <w:spacing w:line="240" w:lineRule="auto"/>
              <w:jc w:val="center"/>
              <w:rPr>
                <w:rFonts w:hint="eastAsia" w:ascii="黑体" w:hAnsi="黑体" w:eastAsia="黑体"/>
                <w:bCs/>
                <w:sz w:val="18"/>
                <w:szCs w:val="18"/>
              </w:rPr>
            </w:pPr>
            <w:r>
              <w:rPr>
                <w:rFonts w:hint="eastAsia" w:ascii="黑体" w:hAnsi="黑体" w:eastAsia="黑体"/>
                <w:bCs/>
                <w:sz w:val="18"/>
                <w:szCs w:val="18"/>
              </w:rPr>
              <w:t>特小规格</w:t>
            </w:r>
          </w:p>
        </w:tc>
      </w:tr>
      <w:tr w14:paraId="2640D0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691" w:type="pct"/>
            <w:tcBorders>
              <w:top w:val="single" w:color="auto" w:sz="4" w:space="0"/>
              <w:bottom w:val="single" w:color="auto" w:sz="4" w:space="0"/>
            </w:tcBorders>
            <w:shd w:val="clear" w:color="auto" w:fill="auto"/>
            <w:vAlign w:val="center"/>
          </w:tcPr>
          <w:p w14:paraId="789B0350">
            <w:pPr>
              <w:widowControl/>
              <w:adjustRightInd/>
              <w:spacing w:line="240" w:lineRule="auto"/>
              <w:jc w:val="center"/>
              <w:rPr>
                <w:rFonts w:hint="eastAsia" w:ascii="宋体" w:hAnsi="宋体"/>
                <w:bCs/>
                <w:sz w:val="18"/>
                <w:szCs w:val="18"/>
              </w:rPr>
            </w:pPr>
            <w:r>
              <w:rPr>
                <w:rFonts w:hint="eastAsia" w:ascii="宋体" w:hAnsi="宋体"/>
                <w:bCs/>
                <w:sz w:val="18"/>
                <w:szCs w:val="18"/>
              </w:rPr>
              <w:t>原料鱼</w:t>
            </w:r>
          </w:p>
        </w:tc>
        <w:tc>
          <w:tcPr>
            <w:tcW w:w="770" w:type="pct"/>
            <w:tcBorders>
              <w:top w:val="single" w:color="auto" w:sz="4" w:space="0"/>
              <w:bottom w:val="single" w:color="auto" w:sz="4" w:space="0"/>
            </w:tcBorders>
            <w:vAlign w:val="center"/>
          </w:tcPr>
          <w:p w14:paraId="6DDB0CB2">
            <w:pPr>
              <w:widowControl/>
              <w:adjustRightInd/>
              <w:spacing w:line="240" w:lineRule="auto"/>
              <w:jc w:val="center"/>
              <w:rPr>
                <w:rFonts w:hint="eastAsia" w:ascii="宋体" w:hAnsi="宋体" w:cs="宋体"/>
                <w:bCs/>
                <w:kern w:val="0"/>
                <w:sz w:val="18"/>
                <w:szCs w:val="18"/>
              </w:rPr>
            </w:pPr>
            <w:r>
              <w:rPr>
                <w:rFonts w:hint="eastAsia" w:ascii="宋体" w:hAnsi="宋体"/>
                <w:bCs/>
                <w:sz w:val="18"/>
                <w:szCs w:val="18"/>
              </w:rPr>
              <w:t>≥2.0</w:t>
            </w:r>
          </w:p>
        </w:tc>
        <w:tc>
          <w:tcPr>
            <w:tcW w:w="847" w:type="pct"/>
            <w:tcBorders>
              <w:top w:val="single" w:color="auto" w:sz="4" w:space="0"/>
              <w:bottom w:val="single" w:color="auto" w:sz="4" w:space="0"/>
            </w:tcBorders>
            <w:shd w:val="clear" w:color="auto" w:fill="auto"/>
            <w:vAlign w:val="center"/>
          </w:tcPr>
          <w:p w14:paraId="0782F397">
            <w:pPr>
              <w:widowControl/>
              <w:adjustRightInd/>
              <w:spacing w:line="240" w:lineRule="auto"/>
              <w:jc w:val="center"/>
              <w:rPr>
                <w:rFonts w:hint="eastAsia" w:ascii="宋体" w:hAnsi="宋体" w:cs="宋体"/>
                <w:bCs/>
                <w:kern w:val="0"/>
                <w:sz w:val="18"/>
                <w:szCs w:val="18"/>
              </w:rPr>
            </w:pPr>
            <w:r>
              <w:rPr>
                <w:rFonts w:hint="eastAsia" w:ascii="宋体" w:hAnsi="宋体"/>
                <w:bCs/>
                <w:sz w:val="18"/>
                <w:szCs w:val="18"/>
              </w:rPr>
              <w:t>1.5～&lt;2.0</w:t>
            </w:r>
          </w:p>
        </w:tc>
        <w:tc>
          <w:tcPr>
            <w:tcW w:w="923" w:type="pct"/>
            <w:tcBorders>
              <w:top w:val="single" w:color="auto" w:sz="4" w:space="0"/>
              <w:bottom w:val="single" w:color="auto" w:sz="4" w:space="0"/>
            </w:tcBorders>
            <w:shd w:val="clear" w:color="auto" w:fill="auto"/>
            <w:vAlign w:val="center"/>
          </w:tcPr>
          <w:p w14:paraId="45C7A320">
            <w:pPr>
              <w:widowControl/>
              <w:adjustRightInd/>
              <w:spacing w:line="240" w:lineRule="auto"/>
              <w:jc w:val="center"/>
              <w:rPr>
                <w:rFonts w:hint="eastAsia" w:ascii="宋体" w:hAnsi="宋体"/>
                <w:bCs/>
                <w:sz w:val="18"/>
                <w:szCs w:val="18"/>
              </w:rPr>
            </w:pPr>
            <w:r>
              <w:rPr>
                <w:rFonts w:hint="eastAsia" w:ascii="宋体" w:hAnsi="宋体"/>
                <w:bCs/>
                <w:sz w:val="18"/>
                <w:szCs w:val="18"/>
              </w:rPr>
              <w:t>1.0～</w:t>
            </w:r>
            <w:r>
              <w:rPr>
                <w:rFonts w:ascii="宋体" w:hAnsi="宋体"/>
                <w:bCs/>
                <w:sz w:val="18"/>
                <w:szCs w:val="18"/>
              </w:rPr>
              <w:t>&lt;</w:t>
            </w:r>
            <w:r>
              <w:rPr>
                <w:rFonts w:hint="eastAsia" w:ascii="宋体" w:hAnsi="宋体"/>
                <w:bCs/>
                <w:sz w:val="18"/>
                <w:szCs w:val="18"/>
              </w:rPr>
              <w:t>1.5</w:t>
            </w:r>
          </w:p>
        </w:tc>
        <w:tc>
          <w:tcPr>
            <w:tcW w:w="846" w:type="pct"/>
            <w:tcBorders>
              <w:top w:val="single" w:color="auto" w:sz="4" w:space="0"/>
              <w:bottom w:val="single" w:color="auto" w:sz="4" w:space="0"/>
            </w:tcBorders>
            <w:shd w:val="clear" w:color="auto" w:fill="auto"/>
            <w:vAlign w:val="center"/>
          </w:tcPr>
          <w:p w14:paraId="16C9D01B">
            <w:pPr>
              <w:widowControl/>
              <w:adjustRightInd/>
              <w:spacing w:line="240" w:lineRule="auto"/>
              <w:jc w:val="center"/>
              <w:rPr>
                <w:rFonts w:hint="eastAsia" w:ascii="宋体" w:hAnsi="宋体"/>
                <w:bCs/>
                <w:sz w:val="18"/>
                <w:szCs w:val="18"/>
              </w:rPr>
            </w:pPr>
            <w:r>
              <w:rPr>
                <w:rFonts w:hint="eastAsia" w:ascii="宋体" w:hAnsi="宋体"/>
                <w:bCs/>
                <w:sz w:val="18"/>
                <w:szCs w:val="18"/>
              </w:rPr>
              <w:t>0.75～</w:t>
            </w:r>
            <w:r>
              <w:rPr>
                <w:rFonts w:ascii="宋体" w:hAnsi="宋体"/>
                <w:bCs/>
                <w:sz w:val="18"/>
                <w:szCs w:val="18"/>
              </w:rPr>
              <w:t>&lt;</w:t>
            </w:r>
            <w:r>
              <w:rPr>
                <w:rFonts w:hint="eastAsia" w:ascii="宋体" w:hAnsi="宋体"/>
                <w:bCs/>
                <w:sz w:val="18"/>
                <w:szCs w:val="18"/>
              </w:rPr>
              <w:t>1.0</w:t>
            </w:r>
          </w:p>
        </w:tc>
        <w:tc>
          <w:tcPr>
            <w:tcW w:w="923" w:type="pct"/>
            <w:tcBorders>
              <w:top w:val="single" w:color="auto" w:sz="4" w:space="0"/>
              <w:bottom w:val="single" w:color="auto" w:sz="4" w:space="0"/>
            </w:tcBorders>
            <w:vAlign w:val="center"/>
          </w:tcPr>
          <w:p w14:paraId="7E7D4158">
            <w:pPr>
              <w:widowControl/>
              <w:adjustRightInd/>
              <w:spacing w:line="240" w:lineRule="auto"/>
              <w:jc w:val="center"/>
              <w:rPr>
                <w:rFonts w:hint="eastAsia" w:ascii="宋体" w:hAnsi="宋体"/>
                <w:bCs/>
                <w:sz w:val="18"/>
                <w:szCs w:val="18"/>
              </w:rPr>
            </w:pPr>
            <w:r>
              <w:rPr>
                <w:rFonts w:ascii="宋体" w:hAnsi="宋体"/>
                <w:bCs/>
                <w:sz w:val="18"/>
                <w:szCs w:val="18"/>
              </w:rPr>
              <w:t>&lt;</w:t>
            </w:r>
            <w:r>
              <w:rPr>
                <w:rFonts w:hint="eastAsia" w:ascii="宋体" w:hAnsi="宋体"/>
                <w:bCs/>
                <w:sz w:val="18"/>
                <w:szCs w:val="18"/>
              </w:rPr>
              <w:t>0.75</w:t>
            </w:r>
          </w:p>
        </w:tc>
      </w:tr>
    </w:tbl>
    <w:p w14:paraId="7E02926C">
      <w:pPr>
        <w:pStyle w:val="104"/>
        <w:spacing w:before="312" w:after="312"/>
      </w:pPr>
      <w:bookmarkStart w:id="53" w:name="_Toc75333995"/>
      <w:r>
        <w:rPr>
          <w:rFonts w:hint="eastAsia"/>
        </w:rPr>
        <w:t>测定方法</w:t>
      </w:r>
      <w:bookmarkEnd w:id="53"/>
    </w:p>
    <w:bookmarkEnd w:id="52"/>
    <w:p w14:paraId="05C8A55B">
      <w:pPr>
        <w:pStyle w:val="105"/>
        <w:spacing w:before="156" w:after="156"/>
      </w:pPr>
      <w:bookmarkStart w:id="54" w:name="_Toc75333996"/>
      <w:r>
        <w:rPr>
          <w:rFonts w:hint="eastAsia"/>
        </w:rPr>
        <w:t>感官检验</w:t>
      </w:r>
      <w:bookmarkEnd w:id="54"/>
    </w:p>
    <w:p w14:paraId="308D8E35">
      <w:pPr>
        <w:pStyle w:val="56"/>
        <w:ind w:firstLine="420"/>
      </w:pPr>
      <w:r>
        <w:rPr>
          <w:rFonts w:hint="eastAsia"/>
        </w:rPr>
        <w:t>在光线充足、无异味、清洁卫生的环境中，</w:t>
      </w:r>
      <w:r>
        <w:rPr>
          <w:rFonts w:hint="eastAsia" w:hAnsi="Courier New"/>
        </w:rPr>
        <w:t>将样品</w:t>
      </w:r>
      <w:r>
        <w:rPr>
          <w:rFonts w:hint="eastAsia"/>
        </w:rPr>
        <w:t>置于白色搪瓷盘内或不锈钢工作台上，</w:t>
      </w:r>
      <w:r>
        <w:rPr>
          <w:rFonts w:hint="eastAsia" w:hAnsi="宋体"/>
        </w:rPr>
        <w:t>按4</w:t>
      </w:r>
      <w:r>
        <w:rPr>
          <w:rFonts w:hint="eastAsia"/>
        </w:rPr>
        <w:t>.2的要求逐项检查。若是活鱼则置其于盛水的容器中，观察其游动状态。</w:t>
      </w:r>
    </w:p>
    <w:p w14:paraId="69D098A4">
      <w:pPr>
        <w:pStyle w:val="56"/>
        <w:ind w:firstLine="420"/>
      </w:pPr>
      <w:r>
        <w:rPr>
          <w:rFonts w:hint="eastAsia"/>
        </w:rPr>
        <w:t>水煮试验：在容器中加入1 L饮用水，煮沸后，称取脆罗非鱼肉约100 g～200 g，放入容器中，加盖煮1 min～5 min，打开盖，立即闻样品品尝其滋味。</w:t>
      </w:r>
    </w:p>
    <w:p w14:paraId="70F037E4">
      <w:pPr>
        <w:pStyle w:val="105"/>
        <w:spacing w:before="156" w:after="156"/>
      </w:pPr>
      <w:bookmarkStart w:id="55" w:name="_Toc75333997"/>
      <w:r>
        <w:rPr>
          <w:rFonts w:hint="eastAsia"/>
        </w:rPr>
        <w:t>体重</w:t>
      </w:r>
      <w:bookmarkEnd w:id="55"/>
    </w:p>
    <w:p w14:paraId="65401307">
      <w:pPr>
        <w:pStyle w:val="56"/>
        <w:ind w:firstLine="420"/>
      </w:pPr>
      <w:r>
        <w:t>用感量0.1 g的天平测定。</w:t>
      </w:r>
    </w:p>
    <w:p w14:paraId="6324719A">
      <w:pPr>
        <w:pStyle w:val="105"/>
        <w:spacing w:before="156" w:after="156"/>
      </w:pPr>
      <w:bookmarkStart w:id="56" w:name="_Toc75333998"/>
      <w:r>
        <w:rPr>
          <w:rFonts w:hint="eastAsia"/>
        </w:rPr>
        <w:t>脆度</w:t>
      </w:r>
      <w:bookmarkEnd w:id="56"/>
    </w:p>
    <w:p w14:paraId="2D89D5A6">
      <w:pPr>
        <w:pStyle w:val="56"/>
        <w:ind w:firstLine="420"/>
      </w:pPr>
      <w:r>
        <w:rPr>
          <w:rFonts w:hint="eastAsia"/>
        </w:rPr>
        <w:t>按附录A</w:t>
      </w:r>
      <w:r>
        <w:t>的方法</w:t>
      </w:r>
      <w:r>
        <w:rPr>
          <w:rFonts w:hint="eastAsia"/>
        </w:rPr>
        <w:t>执行。</w:t>
      </w:r>
    </w:p>
    <w:p w14:paraId="683943EE">
      <w:pPr>
        <w:pStyle w:val="104"/>
        <w:spacing w:before="312" w:after="312"/>
      </w:pPr>
      <w:bookmarkStart w:id="57" w:name="_Toc75333999"/>
      <w:r>
        <w:rPr>
          <w:rFonts w:hint="eastAsia"/>
        </w:rPr>
        <w:t>检验规则</w:t>
      </w:r>
      <w:bookmarkEnd w:id="57"/>
    </w:p>
    <w:p w14:paraId="77EFF3B9">
      <w:pPr>
        <w:pStyle w:val="105"/>
        <w:spacing w:before="156" w:after="156"/>
      </w:pPr>
      <w:bookmarkStart w:id="58" w:name="_Toc75334000"/>
      <w:r>
        <w:rPr>
          <w:rFonts w:hint="eastAsia"/>
        </w:rPr>
        <w:t>组批规则</w:t>
      </w:r>
      <w:r>
        <w:t>与抽样方法</w:t>
      </w:r>
      <w:bookmarkEnd w:id="58"/>
    </w:p>
    <w:p w14:paraId="4B66007C">
      <w:pPr>
        <w:pStyle w:val="65"/>
        <w:spacing w:before="156" w:after="156"/>
      </w:pPr>
      <w:r>
        <w:rPr>
          <w:rFonts w:hint="eastAsia"/>
        </w:rPr>
        <w:t>组批规则</w:t>
      </w:r>
    </w:p>
    <w:p w14:paraId="232D6DB0">
      <w:pPr>
        <w:pStyle w:val="230"/>
        <w:rPr>
          <w:szCs w:val="21"/>
        </w:rPr>
      </w:pPr>
      <w:r>
        <w:rPr>
          <w:rFonts w:hint="eastAsia"/>
          <w:szCs w:val="21"/>
        </w:rPr>
        <w:t>同批次原料鱼在相同养殖生产条件下，同一天捕获的产品为一检验批。</w:t>
      </w:r>
    </w:p>
    <w:p w14:paraId="20D5CE35">
      <w:pPr>
        <w:pStyle w:val="65"/>
        <w:spacing w:before="156" w:after="156"/>
      </w:pPr>
      <w:r>
        <w:rPr>
          <w:rFonts w:hint="eastAsia"/>
        </w:rPr>
        <w:t>抽样方法</w:t>
      </w:r>
    </w:p>
    <w:p w14:paraId="0230687D">
      <w:pPr>
        <w:pStyle w:val="230"/>
        <w:rPr>
          <w:szCs w:val="21"/>
        </w:rPr>
      </w:pPr>
      <w:r>
        <w:rPr>
          <w:rFonts w:hint="eastAsia"/>
          <w:szCs w:val="21"/>
        </w:rPr>
        <w:t>按</w:t>
      </w:r>
      <w:r>
        <w:rPr>
          <w:szCs w:val="21"/>
        </w:rPr>
        <w:t>GB/T 30891</w:t>
      </w:r>
      <w:r>
        <w:rPr>
          <w:rFonts w:hint="eastAsia"/>
          <w:szCs w:val="21"/>
        </w:rPr>
        <w:t>的规定执行。</w:t>
      </w:r>
    </w:p>
    <w:p w14:paraId="5AE92890">
      <w:pPr>
        <w:pStyle w:val="105"/>
        <w:spacing w:before="156" w:after="156"/>
      </w:pPr>
      <w:bookmarkStart w:id="59" w:name="_Toc75334002"/>
      <w:r>
        <w:rPr>
          <w:rFonts w:hint="eastAsia"/>
        </w:rPr>
        <w:t>评定规则</w:t>
      </w:r>
    </w:p>
    <w:p w14:paraId="729AE045">
      <w:pPr>
        <w:pStyle w:val="65"/>
        <w:spacing w:before="156" w:after="156"/>
      </w:pPr>
      <w:r>
        <w:rPr>
          <w:rFonts w:hint="eastAsia"/>
        </w:rPr>
        <w:t>规格评定</w:t>
      </w:r>
    </w:p>
    <w:p w14:paraId="70B16273">
      <w:pPr>
        <w:pStyle w:val="56"/>
        <w:ind w:firstLine="420"/>
      </w:pPr>
      <w:r>
        <w:rPr>
          <w:rFonts w:hint="eastAsia"/>
        </w:rPr>
        <w:t>每次随机抽取不得少于3条，平均重量不低于该规格的下限重量，且单个个体重量不小于该规格下限的90%，则判定该试样符合相应规格要求。对不合规格的产品应加倍抽样复验，如仍不合格，则该批次产品不合格。</w:t>
      </w:r>
    </w:p>
    <w:p w14:paraId="3EAFA25C">
      <w:pPr>
        <w:pStyle w:val="65"/>
        <w:spacing w:before="156" w:after="156"/>
      </w:pPr>
      <w:r>
        <w:rPr>
          <w:rFonts w:hint="eastAsia"/>
        </w:rPr>
        <w:t>质量分级评定</w:t>
      </w:r>
    </w:p>
    <w:p w14:paraId="3896E01D">
      <w:pPr>
        <w:widowControl/>
        <w:adjustRightInd/>
        <w:spacing w:line="240" w:lineRule="auto"/>
        <w:ind w:firstLine="420" w:firstLineChars="200"/>
        <w:jc w:val="left"/>
        <w:rPr>
          <w:rFonts w:hint="eastAsia" w:ascii="宋体" w:hAnsi="宋体"/>
        </w:rPr>
      </w:pPr>
      <w:r>
        <w:rPr>
          <w:rFonts w:hint="eastAsia"/>
        </w:rPr>
        <w:t>各项指标全部符合相应质量分级规定时，判定该产品为该等级；</w:t>
      </w:r>
      <w:r>
        <w:rPr>
          <w:rFonts w:hint="eastAsia" w:ascii="宋体" w:hAnsi="宋体"/>
        </w:rPr>
        <w:t>若有1条脆罗非鱼有一项不符合要求时，允许加倍抽样复验一次，按复验结果判定该批次产品是否合格。</w:t>
      </w:r>
    </w:p>
    <w:p w14:paraId="47F3F41F">
      <w:pPr>
        <w:pStyle w:val="105"/>
        <w:spacing w:before="156" w:after="156"/>
      </w:pPr>
      <w:r>
        <w:rPr>
          <w:rFonts w:hint="eastAsia"/>
        </w:rPr>
        <w:t>结果判定</w:t>
      </w:r>
      <w:bookmarkEnd w:id="59"/>
    </w:p>
    <w:p w14:paraId="689E7F99">
      <w:pPr>
        <w:pStyle w:val="56"/>
        <w:ind w:firstLine="420"/>
      </w:pPr>
      <w:r>
        <w:rPr>
          <w:rFonts w:hint="eastAsia"/>
        </w:rPr>
        <w:t>规格与质量分级均符合相关要求时，判定该试样符合相应规格和质量分级要求。</w:t>
      </w:r>
    </w:p>
    <w:p w14:paraId="29C9E415">
      <w:pPr>
        <w:pStyle w:val="104"/>
        <w:spacing w:before="312" w:after="312"/>
      </w:pPr>
      <w:bookmarkStart w:id="60" w:name="_Toc75334003"/>
      <w:r>
        <w:rPr>
          <w:rFonts w:hint="eastAsia"/>
        </w:rPr>
        <w:t>标识</w:t>
      </w:r>
      <w:bookmarkEnd w:id="60"/>
    </w:p>
    <w:p w14:paraId="5A7AE4C1">
      <w:pPr>
        <w:pStyle w:val="162"/>
      </w:pPr>
      <w:r>
        <w:rPr>
          <w:rFonts w:hint="eastAsia"/>
        </w:rPr>
        <w:t>应符合SC/T 3035的规定。</w:t>
      </w:r>
    </w:p>
    <w:p w14:paraId="7ABCED41">
      <w:pPr>
        <w:pStyle w:val="162"/>
      </w:pPr>
      <w:r>
        <w:rPr>
          <w:rFonts w:hint="eastAsia"/>
        </w:rPr>
        <w:t>规格与等级标识采用“规格+质量分级”表示。</w:t>
      </w:r>
    </w:p>
    <w:p w14:paraId="6ABE19A6">
      <w:pPr>
        <w:pStyle w:val="162"/>
      </w:pPr>
      <w:r>
        <w:rPr>
          <w:rFonts w:hint="eastAsia"/>
        </w:rPr>
        <w:t>实施可追溯的水产品应有可追溯标识。</w:t>
      </w:r>
    </w:p>
    <w:p w14:paraId="67F8D7A9">
      <w:pPr>
        <w:pStyle w:val="162"/>
        <w:sectPr>
          <w:pgSz w:w="11906" w:h="16838"/>
          <w:pgMar w:top="1871" w:right="1134" w:bottom="1134" w:left="1134" w:header="1418" w:footer="1134" w:gutter="284"/>
          <w:pgNumType w:start="1"/>
          <w:cols w:space="425" w:num="1"/>
          <w:formProt w:val="0"/>
          <w:docGrid w:type="lines" w:linePitch="312" w:charSpace="0"/>
        </w:sectPr>
      </w:pPr>
    </w:p>
    <w:bookmarkEnd w:id="24"/>
    <w:p w14:paraId="0440EDC8">
      <w:pPr>
        <w:pStyle w:val="198"/>
        <w:rPr>
          <w:rFonts w:hint="eastAsia"/>
        </w:rPr>
      </w:pPr>
      <w:bookmarkStart w:id="61" w:name="BookMark5"/>
    </w:p>
    <w:p w14:paraId="1D792829">
      <w:pPr>
        <w:pStyle w:val="199"/>
      </w:pPr>
    </w:p>
    <w:p w14:paraId="660ECF8A">
      <w:pPr>
        <w:pStyle w:val="76"/>
        <w:spacing w:before="78" w:after="156"/>
      </w:pPr>
      <w:r>
        <w:br w:type="textWrapping"/>
      </w:r>
      <w:r>
        <w:rPr>
          <w:rFonts w:hint="eastAsia"/>
        </w:rPr>
        <w:t>（资料性）</w:t>
      </w:r>
      <w:r>
        <w:br w:type="textWrapping"/>
      </w:r>
      <w:r>
        <w:rPr>
          <w:rFonts w:hint="eastAsia"/>
        </w:rPr>
        <w:t>脆罗非鱼脆度的测定  质构仪法</w:t>
      </w:r>
    </w:p>
    <w:p w14:paraId="3DC318B9">
      <w:pPr>
        <w:pStyle w:val="78"/>
        <w:spacing w:before="156" w:after="156"/>
      </w:pPr>
      <w:bookmarkStart w:id="62" w:name="_Toc75279818"/>
      <w:bookmarkStart w:id="63" w:name="_Toc75279838"/>
      <w:r>
        <w:rPr>
          <w:rFonts w:hint="eastAsia"/>
        </w:rPr>
        <w:t>原理</w:t>
      </w:r>
      <w:bookmarkEnd w:id="62"/>
      <w:bookmarkEnd w:id="63"/>
    </w:p>
    <w:p w14:paraId="009837B8">
      <w:pPr>
        <w:pStyle w:val="56"/>
        <w:ind w:firstLine="420"/>
      </w:pPr>
      <w:r>
        <w:rPr>
          <w:rFonts w:hint="eastAsia" w:hAnsi="宋体"/>
          <w:szCs w:val="21"/>
        </w:rPr>
        <w:t>质构仪的质地剖面分析</w:t>
      </w:r>
      <w:bookmarkStart w:id="64" w:name="OLE_LINK13"/>
      <w:bookmarkStart w:id="65" w:name="OLE_LINK14"/>
      <w:r>
        <w:rPr>
          <w:rFonts w:hAnsi="宋体"/>
          <w:szCs w:val="21"/>
        </w:rPr>
        <w:t>（Texture Profile Analysis</w:t>
      </w:r>
      <w:r>
        <w:rPr>
          <w:rFonts w:hint="eastAsia" w:hAnsi="宋体"/>
          <w:szCs w:val="21"/>
        </w:rPr>
        <w:t>，</w:t>
      </w:r>
      <w:bookmarkEnd w:id="64"/>
      <w:bookmarkEnd w:id="65"/>
      <w:r>
        <w:rPr>
          <w:rFonts w:hAnsi="宋体"/>
          <w:szCs w:val="21"/>
        </w:rPr>
        <w:t>TPA）</w:t>
      </w:r>
      <w:r>
        <w:rPr>
          <w:rFonts w:hint="eastAsia" w:hAnsi="宋体"/>
          <w:szCs w:val="21"/>
        </w:rPr>
        <w:t>模式是</w:t>
      </w:r>
      <w:bookmarkStart w:id="66" w:name="OLE_LINK15"/>
      <w:bookmarkStart w:id="67" w:name="OLE_LINK16"/>
      <w:r>
        <w:rPr>
          <w:rFonts w:hint="eastAsia" w:hAnsi="宋体"/>
          <w:szCs w:val="21"/>
        </w:rPr>
        <w:t>模拟人体口腔的咀嚼运动，通过对脆罗非鱼鱼肉的硬度特性指标的测定，</w:t>
      </w:r>
      <w:bookmarkEnd w:id="66"/>
      <w:bookmarkEnd w:id="67"/>
      <w:r>
        <w:rPr>
          <w:rFonts w:hint="eastAsia" w:hAnsi="宋体"/>
          <w:szCs w:val="21"/>
        </w:rPr>
        <w:t>可以用来评价脆罗非鱼鱼肉的脆度。</w:t>
      </w:r>
    </w:p>
    <w:p w14:paraId="6A9E3E65">
      <w:pPr>
        <w:pStyle w:val="78"/>
        <w:spacing w:before="156" w:after="156"/>
      </w:pPr>
      <w:bookmarkStart w:id="68" w:name="_Toc75279839"/>
      <w:bookmarkStart w:id="69" w:name="_Toc75279819"/>
      <w:r>
        <w:rPr>
          <w:rFonts w:hint="eastAsia"/>
        </w:rPr>
        <w:t>仪器</w:t>
      </w:r>
      <w:bookmarkEnd w:id="68"/>
      <w:bookmarkEnd w:id="69"/>
    </w:p>
    <w:p w14:paraId="53CC9D81">
      <w:pPr>
        <w:pStyle w:val="212"/>
      </w:pPr>
      <w:r>
        <w:rPr>
          <w:rFonts w:hint="eastAsia"/>
        </w:rPr>
        <w:t>质构仪。</w:t>
      </w:r>
    </w:p>
    <w:p w14:paraId="6BC349FC">
      <w:pPr>
        <w:pStyle w:val="212"/>
      </w:pPr>
      <w:r>
        <w:rPr>
          <w:rFonts w:hint="eastAsia"/>
        </w:rPr>
        <w:t>刻度尺：最小刻度1 mm。</w:t>
      </w:r>
    </w:p>
    <w:p w14:paraId="3DFA2682">
      <w:pPr>
        <w:pStyle w:val="78"/>
        <w:spacing w:before="156" w:after="156"/>
      </w:pPr>
      <w:bookmarkStart w:id="70" w:name="_Toc75279820"/>
      <w:bookmarkStart w:id="71" w:name="_Toc75279840"/>
      <w:r>
        <w:rPr>
          <w:rFonts w:hint="eastAsia"/>
        </w:rPr>
        <w:t>样品处理</w:t>
      </w:r>
      <w:bookmarkEnd w:id="70"/>
      <w:bookmarkEnd w:id="71"/>
    </w:p>
    <w:p w14:paraId="72A02354">
      <w:pPr>
        <w:pStyle w:val="230"/>
        <w:rPr>
          <w:rFonts w:hint="eastAsia" w:hAnsi="宋体"/>
        </w:rPr>
      </w:pPr>
      <w:r>
        <w:rPr>
          <w:rFonts w:hint="eastAsia"/>
        </w:rPr>
        <w:t>取鲜、活脆罗非鱼（活鱼先头部敲击致死）两侧背肌，用自来水冲洗干净后，去鳞、去皮及中线以下部位。将背肌</w:t>
      </w:r>
      <w:r>
        <w:rPr>
          <w:rFonts w:hint="eastAsia" w:hAnsi="宋体"/>
        </w:rPr>
        <w:t>切成20 mm宽的鱼块，然后将鱼块表面修整平整，继续裁切为20 mm×20 mm×10 mm（长×宽×厚，厚度为从鱼块上表面向下量取的距离）的鱼片，为初制样品。每侧制备样品4片，两侧共制备8片。在锅中加入</w:t>
      </w:r>
      <w:r>
        <w:rPr>
          <w:rFonts w:hAnsi="宋体"/>
        </w:rPr>
        <w:t>500 mL</w:t>
      </w:r>
      <w:r>
        <w:rPr>
          <w:rFonts w:hint="eastAsia" w:hAnsi="宋体"/>
        </w:rPr>
        <w:t>饮用水，煮沸后，将初制样品放入蒸笼内，盖盖后蒸</w:t>
      </w:r>
      <w:r>
        <w:rPr>
          <w:rFonts w:hAnsi="宋体"/>
        </w:rPr>
        <w:t>5 min</w:t>
      </w:r>
      <w:r>
        <w:rPr>
          <w:rFonts w:hint="eastAsia" w:hAnsi="宋体"/>
        </w:rPr>
        <w:t>，取出置室温下自然冷却15 min，用薄膜包装袋独立密封包装，在室温下30 min内测定。</w:t>
      </w:r>
    </w:p>
    <w:p w14:paraId="23AC7A66">
      <w:pPr>
        <w:pStyle w:val="230"/>
        <w:jc w:val="center"/>
        <w:rPr>
          <w:rFonts w:hint="eastAsia" w:hAnsi="宋体"/>
        </w:rPr>
      </w:pPr>
      <w:r>
        <w:rPr>
          <w:rFonts w:hAnsi="宋体"/>
        </w:rPr>
        <w:drawing>
          <wp:inline distT="0" distB="0" distL="0" distR="0">
            <wp:extent cx="2840355" cy="1158875"/>
            <wp:effectExtent l="0" t="0" r="0" b="3175"/>
            <wp:docPr id="83322967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229671"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70862" cy="1171554"/>
                    </a:xfrm>
                    <a:prstGeom prst="rect">
                      <a:avLst/>
                    </a:prstGeom>
                    <a:noFill/>
                    <a:ln>
                      <a:noFill/>
                    </a:ln>
                  </pic:spPr>
                </pic:pic>
              </a:graphicData>
            </a:graphic>
          </wp:inline>
        </w:drawing>
      </w:r>
    </w:p>
    <w:p w14:paraId="71741F98">
      <w:pPr>
        <w:pStyle w:val="230"/>
        <w:jc w:val="center"/>
        <w:rPr>
          <w:rFonts w:hint="eastAsia" w:hAnsi="宋体"/>
        </w:rPr>
      </w:pPr>
      <w:r>
        <w:rPr>
          <w:rFonts w:hint="eastAsia" w:hAnsi="宋体"/>
        </w:rPr>
        <w:t>图1　脆罗非鱼单侧取样部位示意图</w:t>
      </w:r>
    </w:p>
    <w:p w14:paraId="0CB56D20">
      <w:pPr>
        <w:pStyle w:val="78"/>
        <w:spacing w:before="156" w:after="156"/>
      </w:pPr>
      <w:bookmarkStart w:id="72" w:name="_Toc75279843"/>
      <w:bookmarkStart w:id="73" w:name="_Toc75279823"/>
      <w:r>
        <w:rPr>
          <w:rFonts w:hint="eastAsia"/>
        </w:rPr>
        <w:t>测定</w:t>
      </w:r>
      <w:bookmarkEnd w:id="72"/>
      <w:bookmarkEnd w:id="73"/>
    </w:p>
    <w:p w14:paraId="27280C1D">
      <w:pPr>
        <w:pStyle w:val="79"/>
        <w:spacing w:before="156" w:after="156"/>
      </w:pPr>
      <w:bookmarkStart w:id="74" w:name="_Toc75279824"/>
      <w:bookmarkStart w:id="75" w:name="_Toc75279844"/>
      <w:r>
        <w:rPr>
          <w:rFonts w:hint="eastAsia"/>
        </w:rPr>
        <w:t>质构仪参数设定</w:t>
      </w:r>
      <w:bookmarkEnd w:id="74"/>
      <w:bookmarkEnd w:id="75"/>
    </w:p>
    <w:p w14:paraId="466583CF">
      <w:pPr>
        <w:pStyle w:val="213"/>
      </w:pPr>
      <w:r>
        <w:rPr>
          <w:rFonts w:hint="eastAsia"/>
        </w:rPr>
        <w:t>选用探头：TA41圆柱形不锈钢平底探头（直径6 mm）。</w:t>
      </w:r>
    </w:p>
    <w:p w14:paraId="3F7E7CC8">
      <w:pPr>
        <w:pStyle w:val="213"/>
      </w:pPr>
      <w:r>
        <w:rPr>
          <w:rFonts w:hint="eastAsia"/>
        </w:rPr>
        <w:t>测试模式：TPA。</w:t>
      </w:r>
    </w:p>
    <w:p w14:paraId="7285E3AA">
      <w:pPr>
        <w:pStyle w:val="213"/>
      </w:pPr>
      <w:r>
        <w:rPr>
          <w:rFonts w:hint="eastAsia"/>
        </w:rPr>
        <w:t>靶值：4 mm。</w:t>
      </w:r>
    </w:p>
    <w:p w14:paraId="157BD6E3">
      <w:pPr>
        <w:pStyle w:val="213"/>
      </w:pPr>
      <w:r>
        <w:rPr>
          <w:rFonts w:hint="eastAsia"/>
        </w:rPr>
        <w:t>测试速度：1.5 mm/s。</w:t>
      </w:r>
    </w:p>
    <w:p w14:paraId="4AEF8C1E">
      <w:pPr>
        <w:pStyle w:val="213"/>
      </w:pPr>
      <w:r>
        <w:rPr>
          <w:rFonts w:hint="eastAsia"/>
        </w:rPr>
        <w:t>触发值：5 g。</w:t>
      </w:r>
    </w:p>
    <w:p w14:paraId="62DF49F1">
      <w:pPr>
        <w:pStyle w:val="213"/>
      </w:pPr>
      <w:r>
        <w:rPr>
          <w:rFonts w:hint="eastAsia"/>
        </w:rPr>
        <w:t>循环次数：2次。</w:t>
      </w:r>
    </w:p>
    <w:p w14:paraId="2B2483BC">
      <w:pPr>
        <w:pStyle w:val="213"/>
      </w:pPr>
      <w:r>
        <w:rPr>
          <w:rFonts w:hint="eastAsia"/>
        </w:rPr>
        <w:t>间隔时间：0 s。</w:t>
      </w:r>
    </w:p>
    <w:p w14:paraId="32DE8D54">
      <w:pPr>
        <w:pStyle w:val="79"/>
        <w:spacing w:before="156" w:after="156"/>
      </w:pPr>
      <w:bookmarkStart w:id="76" w:name="_Toc75279845"/>
      <w:bookmarkStart w:id="77" w:name="_Toc75279825"/>
      <w:r>
        <w:rPr>
          <w:rFonts w:hint="eastAsia"/>
        </w:rPr>
        <w:t>样品测定</w:t>
      </w:r>
      <w:bookmarkEnd w:id="76"/>
      <w:bookmarkEnd w:id="77"/>
    </w:p>
    <w:p w14:paraId="1EE094AD">
      <w:pPr>
        <w:pStyle w:val="56"/>
        <w:ind w:firstLine="420"/>
      </w:pPr>
      <w:r>
        <w:rPr>
          <w:rFonts w:hint="eastAsia"/>
        </w:rPr>
        <w:t>分别将待测样品放在测试平台上，背肌外层向上，探头与样品距离以不接触样品表面为宜，探头对准样品表面平整的部位，并确保与测试点相对应的样品下层表面紧贴测试平台，运行程序进行检测，记录各样品的硬度数值。</w:t>
      </w:r>
    </w:p>
    <w:p w14:paraId="28B47D6D">
      <w:pPr>
        <w:pStyle w:val="78"/>
        <w:spacing w:before="156" w:after="156"/>
      </w:pPr>
      <w:bookmarkStart w:id="78" w:name="_Toc75279846"/>
      <w:bookmarkStart w:id="79" w:name="_Toc75279826"/>
      <w:r>
        <w:rPr>
          <w:rFonts w:hint="eastAsia"/>
        </w:rPr>
        <w:t>结果计算与表示</w:t>
      </w:r>
      <w:bookmarkEnd w:id="78"/>
      <w:bookmarkEnd w:id="79"/>
    </w:p>
    <w:p w14:paraId="409A2A6A">
      <w:pPr>
        <w:pStyle w:val="56"/>
        <w:ind w:firstLine="420"/>
      </w:pPr>
      <w:bookmarkStart w:id="80" w:name="_Ref343246553"/>
      <w:r>
        <w:rPr>
          <w:rFonts w:hint="eastAsia"/>
        </w:rPr>
        <w:t>将每条鱼所得8个样品的测定值，去除2个最大值和2个最小值，按式（1）</w:t>
      </w:r>
      <w:r>
        <w:rPr>
          <w:rFonts w:hint="eastAsia" w:ascii="Times New Roman"/>
        </w:rPr>
        <w:t>～</w:t>
      </w:r>
      <w:r>
        <w:rPr>
          <w:rFonts w:hint="eastAsia"/>
        </w:rPr>
        <w:t>式（3）分别计算测定值的算术平均值、标准偏差和变异系数。</w:t>
      </w:r>
      <w:bookmarkEnd w:id="80"/>
    </w:p>
    <w:p w14:paraId="7559FD25">
      <w:pPr>
        <w:pStyle w:val="233"/>
      </w:pPr>
      <w:r>
        <w:tab/>
      </w:r>
      <w:r>
        <w:rPr>
          <w:i/>
          <w:position w:val="-28"/>
        </w:rPr>
        <w:object>
          <v:shape id="_x0000_i1025" o:spt="75" type="#_x0000_t75" style="height:35.25pt;width:72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r>
        <w:tab/>
      </w:r>
      <w:r>
        <w:t>(</w:t>
      </w:r>
      <w:r>
        <w:fldChar w:fldCharType="begin"/>
      </w:r>
      <w:r>
        <w:instrText xml:space="preserve"> SEQ 标准自动公式 \* ARABIC </w:instrText>
      </w:r>
      <w:r>
        <w:fldChar w:fldCharType="separate"/>
      </w:r>
      <w:r>
        <w:t>1</w:t>
      </w:r>
      <w:r>
        <w:fldChar w:fldCharType="end"/>
      </w:r>
      <w:r>
        <w:t>)</w:t>
      </w:r>
    </w:p>
    <w:p w14:paraId="18517013">
      <w:pPr>
        <w:pStyle w:val="233"/>
      </w:pPr>
      <w:r>
        <w:tab/>
      </w:r>
      <w:r>
        <w:rPr>
          <w:position w:val="-30"/>
        </w:rPr>
        <w:object>
          <v:shape id="_x0000_i1026" o:spt="75" type="#_x0000_t75" style="height:37.8pt;width:124.1pt;" o:ole="t" filled="f" o:preferrelative="t" stroked="f" coordsize="21600,21600">
            <v:path/>
            <v:fill on="f" focussize="0,0"/>
            <v:stroke on="f" joinstyle="miter"/>
            <v:imagedata r:id="rId18" o:title=""/>
            <o:lock v:ext="edit" aspectratio="t"/>
            <w10:wrap type="none"/>
            <w10:anchorlock/>
          </v:shape>
          <o:OLEObject Type="Embed" ProgID="Equation.3" ShapeID="_x0000_i1026" DrawAspect="Content" ObjectID="_1468075726" r:id="rId17">
            <o:LockedField>false</o:LockedField>
          </o:OLEObject>
        </w:object>
      </w:r>
      <w:r>
        <w:tab/>
      </w:r>
      <w:r>
        <w:t>(</w:t>
      </w:r>
      <w:r>
        <w:fldChar w:fldCharType="begin"/>
      </w:r>
      <w:r>
        <w:instrText xml:space="preserve"> SEQ 标准自动公式 \* ARABIC </w:instrText>
      </w:r>
      <w:r>
        <w:fldChar w:fldCharType="separate"/>
      </w:r>
      <w:r>
        <w:t>2</w:t>
      </w:r>
      <w:r>
        <w:fldChar w:fldCharType="end"/>
      </w:r>
      <w:r>
        <w:t>)</w:t>
      </w:r>
    </w:p>
    <w:p w14:paraId="074557A8">
      <w:pPr>
        <w:pStyle w:val="233"/>
      </w:pPr>
      <w:r>
        <w:tab/>
      </w:r>
      <w:r>
        <w:rPr>
          <w:position w:val="-24"/>
        </w:rPr>
        <w:object>
          <v:shape id="_x0000_i1027" o:spt="75" type="#_x0000_t75" style="height:32.15pt;width:78.65pt;" o:ole="t" filled="f" o:preferrelative="t" stroked="f" coordsize="21600,21600">
            <v:path/>
            <v:fill on="f" focussize="0,0"/>
            <v:stroke on="f" joinstyle="miter"/>
            <v:imagedata r:id="rId20" o:title=""/>
            <o:lock v:ext="edit" aspectratio="t"/>
            <w10:wrap type="none"/>
            <w10:anchorlock/>
          </v:shape>
          <o:OLEObject Type="Embed" ProgID="Equation.3" ShapeID="_x0000_i1027" DrawAspect="Content" ObjectID="_1468075727" r:id="rId19">
            <o:LockedField>false</o:LockedField>
          </o:OLEObject>
        </w:object>
      </w:r>
      <w:r>
        <w:tab/>
      </w:r>
      <w:r>
        <w:t>(</w:t>
      </w:r>
      <w:r>
        <w:fldChar w:fldCharType="begin"/>
      </w:r>
      <w:r>
        <w:instrText xml:space="preserve"> SEQ 标准自动公式 \* ARABIC </w:instrText>
      </w:r>
      <w:r>
        <w:fldChar w:fldCharType="separate"/>
      </w:r>
      <w:r>
        <w:t>3</w:t>
      </w:r>
      <w:r>
        <w:fldChar w:fldCharType="end"/>
      </w:r>
      <w:r>
        <w:t>)</w:t>
      </w:r>
    </w:p>
    <w:p w14:paraId="0A4077D7">
      <w:pPr>
        <w:pStyle w:val="55"/>
        <w:spacing w:line="240" w:lineRule="auto"/>
        <w:ind w:firstLine="420"/>
      </w:pPr>
      <w:r>
        <w:rPr>
          <w:rFonts w:hint="eastAsia"/>
        </w:rPr>
        <w:t>式中：</w:t>
      </w:r>
    </w:p>
    <w:p w14:paraId="6642223C">
      <w:pPr>
        <w:pStyle w:val="55"/>
        <w:spacing w:line="240" w:lineRule="auto"/>
        <w:ind w:firstLine="420"/>
      </w:pPr>
      <w:r>
        <w:object>
          <v:shape id="_x0000_i1028" o:spt="75" type="#_x0000_t75" style="height:12.25pt;width:12.25pt;" o:ole="t" filled="f" o:preferrelative="t" stroked="f" coordsize="21600,21600">
            <v:path/>
            <v:fill on="f" focussize="0,0"/>
            <v:stroke on="f" joinstyle="miter"/>
            <v:imagedata r:id="rId22" o:title=""/>
            <o:lock v:ext="edit" aspectratio="t"/>
            <w10:wrap type="none"/>
            <w10:anchorlock/>
          </v:shape>
          <o:OLEObject Type="Embed" ProgID="Equation.3" ShapeID="_x0000_i1028" DrawAspect="Content" ObjectID="_1468075728" r:id="rId21">
            <o:LockedField>false</o:LockedField>
          </o:OLEObject>
        </w:object>
      </w:r>
      <w:r>
        <w:rPr>
          <w:rFonts w:hint="eastAsia"/>
        </w:rPr>
        <w:t>——样品测定值的算术平均值，单位为克（g）；</w:t>
      </w:r>
    </w:p>
    <w:p w14:paraId="12283B4E">
      <w:pPr>
        <w:pStyle w:val="55"/>
        <w:spacing w:line="240" w:lineRule="auto"/>
        <w:ind w:firstLine="420"/>
      </w:pPr>
      <w:r>
        <w:object>
          <v:shape id="_x0000_i1029" o:spt="75" type="#_x0000_t75" style="height:18.4pt;width:14.8pt;" o:ole="t" filled="f" o:preferrelative="t" stroked="f" coordsize="21600,21600">
            <v:path/>
            <v:fill on="f" focussize="0,0"/>
            <v:stroke on="f" joinstyle="miter"/>
            <v:imagedata r:id="rId24" o:title=""/>
            <o:lock v:ext="edit" aspectratio="t"/>
            <w10:wrap type="none"/>
            <w10:anchorlock/>
          </v:shape>
          <o:OLEObject Type="Embed" ProgID="Equation.3" ShapeID="_x0000_i1029" DrawAspect="Content" ObjectID="_1468075729" r:id="rId23">
            <o:LockedField>false</o:LockedField>
          </o:OLEObject>
        </w:object>
      </w:r>
      <w:r>
        <w:rPr>
          <w:rFonts w:hint="eastAsia"/>
        </w:rPr>
        <w:t>——第i个样品测定值，单位为克（g）；</w:t>
      </w:r>
    </w:p>
    <w:p w14:paraId="2C77DB35">
      <w:pPr>
        <w:pStyle w:val="55"/>
        <w:spacing w:line="240" w:lineRule="auto"/>
        <w:ind w:firstLine="420"/>
      </w:pPr>
      <w:r>
        <w:object>
          <v:shape id="_x0000_i1030" o:spt="75" type="#_x0000_t75" style="height:12.25pt;width:10.2pt;" o:ole="t" filled="f" o:preferrelative="t" stroked="f" coordsize="21600,21600">
            <v:path/>
            <v:fill on="f" focussize="0,0"/>
            <v:stroke on="f" joinstyle="miter"/>
            <v:imagedata r:id="rId26" o:title=""/>
            <o:lock v:ext="edit" aspectratio="t"/>
            <w10:wrap type="none"/>
            <w10:anchorlock/>
          </v:shape>
          <o:OLEObject Type="Embed" ProgID="Equation.3" ShapeID="_x0000_i1030" DrawAspect="Content" ObjectID="_1468075730" r:id="rId25">
            <o:LockedField>false</o:LockedField>
          </o:OLEObject>
        </w:object>
      </w:r>
      <w:r>
        <w:rPr>
          <w:rFonts w:hint="eastAsia"/>
        </w:rPr>
        <w:t>——样品测定值个数；</w:t>
      </w:r>
    </w:p>
    <w:p w14:paraId="0D2138C1">
      <w:pPr>
        <w:pStyle w:val="55"/>
        <w:spacing w:line="240" w:lineRule="auto"/>
        <w:ind w:firstLine="420"/>
      </w:pPr>
      <w:r>
        <w:object>
          <v:shape id="_x0000_i1031" o:spt="75" type="#_x0000_t75" style="height:12.25pt;width:10.7pt;" o:ole="t" filled="f" o:preferrelative="t" stroked="f" coordsize="21600,21600">
            <v:path/>
            <v:fill on="f" focussize="0,0"/>
            <v:stroke on="f" joinstyle="miter"/>
            <v:imagedata r:id="rId28" o:title=""/>
            <o:lock v:ext="edit" aspectratio="t"/>
            <w10:wrap type="none"/>
            <w10:anchorlock/>
          </v:shape>
          <o:OLEObject Type="Embed" ProgID="Equation.3" ShapeID="_x0000_i1031" DrawAspect="Content" ObjectID="_1468075731" r:id="rId27">
            <o:LockedField>false</o:LockedField>
          </o:OLEObject>
        </w:object>
      </w:r>
      <w:r>
        <w:rPr>
          <w:rFonts w:hint="eastAsia"/>
        </w:rPr>
        <w:t>——样品测定值的标准偏差，单位为克（g）；</w:t>
      </w:r>
    </w:p>
    <w:p w14:paraId="4E8AF5F1">
      <w:pPr>
        <w:pStyle w:val="55"/>
        <w:spacing w:line="240" w:lineRule="auto"/>
        <w:ind w:firstLine="420"/>
      </w:pPr>
      <w:r>
        <w:object>
          <v:shape id="_x0000_i1032" o:spt="75" type="#_x0000_t75" style="height:12.25pt;width:12.25pt;" o:ole="t" filled="f" o:preferrelative="t" stroked="f" coordsize="21600,21600">
            <v:path/>
            <v:fill on="f" focussize="0,0"/>
            <v:stroke on="f" joinstyle="miter"/>
            <v:imagedata r:id="rId30" o:title=""/>
            <o:lock v:ext="edit" aspectratio="t"/>
            <w10:wrap type="none"/>
            <w10:anchorlock/>
          </v:shape>
          <o:OLEObject Type="Embed" ProgID="Equation.3" ShapeID="_x0000_i1032" DrawAspect="Content" ObjectID="_1468075732" r:id="rId29">
            <o:LockedField>false</o:LockedField>
          </o:OLEObject>
        </w:object>
      </w:r>
      <w:r>
        <w:rPr>
          <w:rFonts w:hint="eastAsia"/>
        </w:rPr>
        <w:t>——样品测定值的变异系数。</w:t>
      </w:r>
    </w:p>
    <w:p w14:paraId="0F272F12">
      <w:pPr>
        <w:pStyle w:val="56"/>
        <w:ind w:firstLine="420"/>
      </w:pPr>
      <w:r>
        <w:rPr>
          <w:rFonts w:hint="eastAsia"/>
        </w:rPr>
        <w:t>若变异系数小于15%时，以计算所得算术平均值作为脆罗非鱼肉的脆度；若变异系数大于15%，应重新测定。计算结果保留整数位，单位为克（g）。</w:t>
      </w:r>
    </w:p>
    <w:bookmarkEnd w:id="61"/>
    <w:p w14:paraId="59A9C3AE">
      <w:pPr>
        <w:pStyle w:val="56"/>
        <w:ind w:firstLine="0" w:firstLineChars="0"/>
        <w:jc w:val="center"/>
      </w:pPr>
      <w:bookmarkStart w:id="81"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3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1"/>
    </w:p>
    <w:sectPr>
      <w:pgSz w:w="11906" w:h="16838"/>
      <w:pgMar w:top="1871"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E3BA3">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1DD12">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4A551">
    <w:pPr>
      <w:pStyle w:val="52"/>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4D8E6">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4514D">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CFA25">
    <w:pPr>
      <w:pStyle w:val="61"/>
      <w:rPr>
        <w:rFonts w:hint="eastAsia"/>
      </w:rPr>
    </w:pPr>
    <w:r>
      <w:fldChar w:fldCharType="begin"/>
    </w:r>
    <w:r>
      <w:instrText xml:space="preserve"> STYLEREF  标准文件_文件编号  \* MERGEFORMAT </w:instrText>
    </w:r>
    <w:r>
      <w:fldChar w:fldCharType="separate"/>
    </w:r>
    <w:r>
      <w:t>DB 44/T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20479">
    <w:pPr>
      <w:pStyle w:val="18"/>
      <w:jc w:val="right"/>
    </w:pPr>
    <w:r>
      <w:fldChar w:fldCharType="begin"/>
    </w:r>
    <w:r>
      <w:instrText xml:space="preserve"> STYLEREF  标准文件_文件编号  \* MERGEFORMAT </w:instrText>
    </w:r>
    <w:r>
      <w:fldChar w:fldCharType="separate"/>
    </w:r>
    <w:r>
      <w:t>DB 44/T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1419" w:firstLine="0"/>
      </w:pPr>
      <w:rPr>
        <w:rFonts w:hint="eastAsia" w:ascii="黑体" w:eastAsia="黑体"/>
        <w:b w:val="0"/>
        <w:i w:val="0"/>
        <w:sz w:val="21"/>
      </w:rPr>
    </w:lvl>
    <w:lvl w:ilvl="3" w:tentative="0">
      <w:start w:val="1"/>
      <w:numFmt w:val="decimal"/>
      <w:pStyle w:val="81"/>
      <w:suff w:val="nothing"/>
      <w:lvlText w:val="%1.%2.%3.%4　"/>
      <w:lvlJc w:val="left"/>
      <w:pPr>
        <w:ind w:left="1277"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attachedTemplate r:id="rId1"/>
  <w:documentProtection w:edit="forms" w:enforcement="1" w:cryptProviderType="rsaAES" w:cryptAlgorithmClass="hash" w:cryptAlgorithmType="typeAny" w:cryptAlgorithmSid="14" w:cryptSpinCount="100000" w:hash="QSrCdsE+IasyHzw0rUFt3+IPtpoJvIUqOVPwS3fi+6TTJ97wmOd9hif9ymrIkMvB6V4Bg8YPv16M9f5SHqzzIA==" w:salt="JH2jz6Ebs3pyu1CbqhO3r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668"/>
    <w:rsid w:val="0000040A"/>
    <w:rsid w:val="00000A94"/>
    <w:rsid w:val="00001972"/>
    <w:rsid w:val="00001D9A"/>
    <w:rsid w:val="00007B3A"/>
    <w:rsid w:val="000107E0"/>
    <w:rsid w:val="00011FDE"/>
    <w:rsid w:val="00012FFD"/>
    <w:rsid w:val="00013691"/>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08C6"/>
    <w:rsid w:val="000515DD"/>
    <w:rsid w:val="0005265A"/>
    <w:rsid w:val="000539DD"/>
    <w:rsid w:val="00053BD3"/>
    <w:rsid w:val="000556ED"/>
    <w:rsid w:val="00055FE2"/>
    <w:rsid w:val="0005616F"/>
    <w:rsid w:val="00056A2D"/>
    <w:rsid w:val="00060C2E"/>
    <w:rsid w:val="00061033"/>
    <w:rsid w:val="000619E9"/>
    <w:rsid w:val="00061C17"/>
    <w:rsid w:val="000622D4"/>
    <w:rsid w:val="0006357D"/>
    <w:rsid w:val="00067F1E"/>
    <w:rsid w:val="00071CC0"/>
    <w:rsid w:val="00073C8C"/>
    <w:rsid w:val="000742C6"/>
    <w:rsid w:val="00077B64"/>
    <w:rsid w:val="00080A1C"/>
    <w:rsid w:val="00082317"/>
    <w:rsid w:val="00083D2C"/>
    <w:rsid w:val="00084EB8"/>
    <w:rsid w:val="00086AA1"/>
    <w:rsid w:val="00087A77"/>
    <w:rsid w:val="00090CA6"/>
    <w:rsid w:val="00092B8A"/>
    <w:rsid w:val="00092FB0"/>
    <w:rsid w:val="000934C5"/>
    <w:rsid w:val="00093D25"/>
    <w:rsid w:val="00093DAB"/>
    <w:rsid w:val="00094D73"/>
    <w:rsid w:val="00096D63"/>
    <w:rsid w:val="0009747B"/>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7E9"/>
    <w:rsid w:val="00104926"/>
    <w:rsid w:val="0010514D"/>
    <w:rsid w:val="00113B1E"/>
    <w:rsid w:val="0011711C"/>
    <w:rsid w:val="00124E4F"/>
    <w:rsid w:val="001260B7"/>
    <w:rsid w:val="001265CB"/>
    <w:rsid w:val="001321C6"/>
    <w:rsid w:val="001325C4"/>
    <w:rsid w:val="00133010"/>
    <w:rsid w:val="001338EE"/>
    <w:rsid w:val="00133AAE"/>
    <w:rsid w:val="00135323"/>
    <w:rsid w:val="001356C4"/>
    <w:rsid w:val="0013765A"/>
    <w:rsid w:val="00141114"/>
    <w:rsid w:val="00142969"/>
    <w:rsid w:val="001446C2"/>
    <w:rsid w:val="001457E7"/>
    <w:rsid w:val="00145D9D"/>
    <w:rsid w:val="00146388"/>
    <w:rsid w:val="001529E5"/>
    <w:rsid w:val="00153C7E"/>
    <w:rsid w:val="001568FD"/>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0F5E"/>
    <w:rsid w:val="0017340B"/>
    <w:rsid w:val="00173FB1"/>
    <w:rsid w:val="00176DFD"/>
    <w:rsid w:val="001852C9"/>
    <w:rsid w:val="0018631C"/>
    <w:rsid w:val="00190087"/>
    <w:rsid w:val="001913C4"/>
    <w:rsid w:val="00192121"/>
    <w:rsid w:val="0019348F"/>
    <w:rsid w:val="00193A07"/>
    <w:rsid w:val="00194C95"/>
    <w:rsid w:val="00195C34"/>
    <w:rsid w:val="00196EF5"/>
    <w:rsid w:val="001A1A53"/>
    <w:rsid w:val="001A234A"/>
    <w:rsid w:val="001A4CF3"/>
    <w:rsid w:val="001B06E8"/>
    <w:rsid w:val="001B51DC"/>
    <w:rsid w:val="001B71D0"/>
    <w:rsid w:val="001B71EE"/>
    <w:rsid w:val="001C04A8"/>
    <w:rsid w:val="001C2C03"/>
    <w:rsid w:val="001C3AED"/>
    <w:rsid w:val="001C42F7"/>
    <w:rsid w:val="001C49E5"/>
    <w:rsid w:val="001C680C"/>
    <w:rsid w:val="001C7FEA"/>
    <w:rsid w:val="001D0499"/>
    <w:rsid w:val="001D0BBE"/>
    <w:rsid w:val="001D0ED4"/>
    <w:rsid w:val="001D212F"/>
    <w:rsid w:val="001D29D7"/>
    <w:rsid w:val="001D2DE7"/>
    <w:rsid w:val="001D411C"/>
    <w:rsid w:val="001E1B6A"/>
    <w:rsid w:val="001E2484"/>
    <w:rsid w:val="001E2FBA"/>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6D8D"/>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799"/>
    <w:rsid w:val="002A7F44"/>
    <w:rsid w:val="002B0C40"/>
    <w:rsid w:val="002B1966"/>
    <w:rsid w:val="002B4508"/>
    <w:rsid w:val="002B5779"/>
    <w:rsid w:val="002B7332"/>
    <w:rsid w:val="002B7F51"/>
    <w:rsid w:val="002C06F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0EB"/>
    <w:rsid w:val="003221B4"/>
    <w:rsid w:val="0032258D"/>
    <w:rsid w:val="00322E62"/>
    <w:rsid w:val="00324D13"/>
    <w:rsid w:val="00324EDD"/>
    <w:rsid w:val="003331E4"/>
    <w:rsid w:val="00336C64"/>
    <w:rsid w:val="00337162"/>
    <w:rsid w:val="0034194F"/>
    <w:rsid w:val="00344605"/>
    <w:rsid w:val="003474AA"/>
    <w:rsid w:val="00350D1D"/>
    <w:rsid w:val="00352C83"/>
    <w:rsid w:val="003615D2"/>
    <w:rsid w:val="0036429C"/>
    <w:rsid w:val="003648F9"/>
    <w:rsid w:val="00364A53"/>
    <w:rsid w:val="00364C5F"/>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E79F7"/>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3B7E"/>
    <w:rsid w:val="00445574"/>
    <w:rsid w:val="004467FB"/>
    <w:rsid w:val="00452D6B"/>
    <w:rsid w:val="00454484"/>
    <w:rsid w:val="0045517B"/>
    <w:rsid w:val="00463B77"/>
    <w:rsid w:val="00463C7B"/>
    <w:rsid w:val="004644A6"/>
    <w:rsid w:val="004659BD"/>
    <w:rsid w:val="00470775"/>
    <w:rsid w:val="004725B1"/>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B0272"/>
    <w:rsid w:val="004B2701"/>
    <w:rsid w:val="004B2E1B"/>
    <w:rsid w:val="004B3AA8"/>
    <w:rsid w:val="004B3E93"/>
    <w:rsid w:val="004B4B9E"/>
    <w:rsid w:val="004C1FBC"/>
    <w:rsid w:val="004C3F1D"/>
    <w:rsid w:val="004C458D"/>
    <w:rsid w:val="004C7556"/>
    <w:rsid w:val="004C7872"/>
    <w:rsid w:val="004C7E8B"/>
    <w:rsid w:val="004C7E9D"/>
    <w:rsid w:val="004C7F67"/>
    <w:rsid w:val="004D076D"/>
    <w:rsid w:val="004D0EF1"/>
    <w:rsid w:val="004D2253"/>
    <w:rsid w:val="004D4406"/>
    <w:rsid w:val="004D7C42"/>
    <w:rsid w:val="004E0465"/>
    <w:rsid w:val="004E127B"/>
    <w:rsid w:val="004E1C0A"/>
    <w:rsid w:val="004E30C5"/>
    <w:rsid w:val="004E3AB5"/>
    <w:rsid w:val="004E4AA5"/>
    <w:rsid w:val="004E4AEE"/>
    <w:rsid w:val="004E59E3"/>
    <w:rsid w:val="004E67C0"/>
    <w:rsid w:val="004F391A"/>
    <w:rsid w:val="004F3CFB"/>
    <w:rsid w:val="004F4FFF"/>
    <w:rsid w:val="004F6456"/>
    <w:rsid w:val="004F696E"/>
    <w:rsid w:val="004F6C71"/>
    <w:rsid w:val="00501139"/>
    <w:rsid w:val="0050363E"/>
    <w:rsid w:val="005039BC"/>
    <w:rsid w:val="005043BB"/>
    <w:rsid w:val="00504A3D"/>
    <w:rsid w:val="00505767"/>
    <w:rsid w:val="005073F0"/>
    <w:rsid w:val="00510A7B"/>
    <w:rsid w:val="00510ACF"/>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C49"/>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206D"/>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40CB"/>
    <w:rsid w:val="005C40DB"/>
    <w:rsid w:val="005C5F21"/>
    <w:rsid w:val="005C7156"/>
    <w:rsid w:val="005D0C75"/>
    <w:rsid w:val="005D4171"/>
    <w:rsid w:val="005D6248"/>
    <w:rsid w:val="005D6A95"/>
    <w:rsid w:val="005D6B2C"/>
    <w:rsid w:val="005D6D9C"/>
    <w:rsid w:val="005E2335"/>
    <w:rsid w:val="005E34CA"/>
    <w:rsid w:val="005E3C18"/>
    <w:rsid w:val="005E498F"/>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1B1"/>
    <w:rsid w:val="006655E1"/>
    <w:rsid w:val="00672060"/>
    <w:rsid w:val="00672BFD"/>
    <w:rsid w:val="006770F4"/>
    <w:rsid w:val="0067753B"/>
    <w:rsid w:val="00677A84"/>
    <w:rsid w:val="0068026D"/>
    <w:rsid w:val="00680A27"/>
    <w:rsid w:val="006816A4"/>
    <w:rsid w:val="006819B8"/>
    <w:rsid w:val="006840A6"/>
    <w:rsid w:val="006850CD"/>
    <w:rsid w:val="00685AAB"/>
    <w:rsid w:val="00692430"/>
    <w:rsid w:val="00693F52"/>
    <w:rsid w:val="006A07AA"/>
    <w:rsid w:val="006A25E5"/>
    <w:rsid w:val="006A2B46"/>
    <w:rsid w:val="006A336D"/>
    <w:rsid w:val="006A37B9"/>
    <w:rsid w:val="006B2672"/>
    <w:rsid w:val="006B54BF"/>
    <w:rsid w:val="006B5F44"/>
    <w:rsid w:val="006B5F90"/>
    <w:rsid w:val="006B62E4"/>
    <w:rsid w:val="006B6332"/>
    <w:rsid w:val="006C1BBA"/>
    <w:rsid w:val="006C2079"/>
    <w:rsid w:val="006C5A62"/>
    <w:rsid w:val="006C5D68"/>
    <w:rsid w:val="006C6976"/>
    <w:rsid w:val="006C6DD0"/>
    <w:rsid w:val="006D04EA"/>
    <w:rsid w:val="006D16C4"/>
    <w:rsid w:val="006D393A"/>
    <w:rsid w:val="006D3E96"/>
    <w:rsid w:val="006D4515"/>
    <w:rsid w:val="006D4BB1"/>
    <w:rsid w:val="006D6593"/>
    <w:rsid w:val="006F03A8"/>
    <w:rsid w:val="006F2ACA"/>
    <w:rsid w:val="006F2ADC"/>
    <w:rsid w:val="006F2BFE"/>
    <w:rsid w:val="006F31E9"/>
    <w:rsid w:val="006F595A"/>
    <w:rsid w:val="006F6284"/>
    <w:rsid w:val="007002C5"/>
    <w:rsid w:val="00704387"/>
    <w:rsid w:val="00705B45"/>
    <w:rsid w:val="00707669"/>
    <w:rsid w:val="00711CBA"/>
    <w:rsid w:val="00711FB5"/>
    <w:rsid w:val="00712A01"/>
    <w:rsid w:val="00714F58"/>
    <w:rsid w:val="00722FBF"/>
    <w:rsid w:val="00722FC2"/>
    <w:rsid w:val="00724E1B"/>
    <w:rsid w:val="00725949"/>
    <w:rsid w:val="007265E6"/>
    <w:rsid w:val="00726D12"/>
    <w:rsid w:val="00727FA2"/>
    <w:rsid w:val="007322D9"/>
    <w:rsid w:val="00732BC0"/>
    <w:rsid w:val="0073720F"/>
    <w:rsid w:val="00737796"/>
    <w:rsid w:val="0074165C"/>
    <w:rsid w:val="00741CE8"/>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75E"/>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2840"/>
    <w:rsid w:val="007C2D89"/>
    <w:rsid w:val="007C4593"/>
    <w:rsid w:val="007C5309"/>
    <w:rsid w:val="007C6069"/>
    <w:rsid w:val="007D06C4"/>
    <w:rsid w:val="007D1352"/>
    <w:rsid w:val="007D2508"/>
    <w:rsid w:val="007D27D0"/>
    <w:rsid w:val="007D346A"/>
    <w:rsid w:val="007D6518"/>
    <w:rsid w:val="007D76BD"/>
    <w:rsid w:val="007E0BF1"/>
    <w:rsid w:val="007F0ED8"/>
    <w:rsid w:val="007F0F63"/>
    <w:rsid w:val="007F5BE2"/>
    <w:rsid w:val="007F61A6"/>
    <w:rsid w:val="007F75CE"/>
    <w:rsid w:val="008013A4"/>
    <w:rsid w:val="008027CE"/>
    <w:rsid w:val="008028C2"/>
    <w:rsid w:val="00802F42"/>
    <w:rsid w:val="00804383"/>
    <w:rsid w:val="00804BB7"/>
    <w:rsid w:val="00804D41"/>
    <w:rsid w:val="00810257"/>
    <w:rsid w:val="008104F5"/>
    <w:rsid w:val="00811072"/>
    <w:rsid w:val="00811369"/>
    <w:rsid w:val="008120B7"/>
    <w:rsid w:val="00812B9B"/>
    <w:rsid w:val="00815419"/>
    <w:rsid w:val="008163C8"/>
    <w:rsid w:val="008164A1"/>
    <w:rsid w:val="00817325"/>
    <w:rsid w:val="008209E6"/>
    <w:rsid w:val="00823303"/>
    <w:rsid w:val="008233B2"/>
    <w:rsid w:val="00823A9F"/>
    <w:rsid w:val="00823C85"/>
    <w:rsid w:val="00825138"/>
    <w:rsid w:val="008269DD"/>
    <w:rsid w:val="00830621"/>
    <w:rsid w:val="00832CCF"/>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2557"/>
    <w:rsid w:val="00883F93"/>
    <w:rsid w:val="00884DB3"/>
    <w:rsid w:val="00885A9D"/>
    <w:rsid w:val="008864F6"/>
    <w:rsid w:val="0089049D"/>
    <w:rsid w:val="008928C9"/>
    <w:rsid w:val="008930CB"/>
    <w:rsid w:val="008938DC"/>
    <w:rsid w:val="00893FD1"/>
    <w:rsid w:val="00893FF3"/>
    <w:rsid w:val="00894836"/>
    <w:rsid w:val="00895172"/>
    <w:rsid w:val="00895680"/>
    <w:rsid w:val="00896DFF"/>
    <w:rsid w:val="0089762C"/>
    <w:rsid w:val="008A1893"/>
    <w:rsid w:val="008A360D"/>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3A83"/>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8446D"/>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E7F79"/>
    <w:rsid w:val="009F03B3"/>
    <w:rsid w:val="00A0096C"/>
    <w:rsid w:val="00A01757"/>
    <w:rsid w:val="00A028C0"/>
    <w:rsid w:val="00A02BAE"/>
    <w:rsid w:val="00A06A6B"/>
    <w:rsid w:val="00A07E47"/>
    <w:rsid w:val="00A11E2F"/>
    <w:rsid w:val="00A129D0"/>
    <w:rsid w:val="00A12C33"/>
    <w:rsid w:val="00A138BA"/>
    <w:rsid w:val="00A14C8E"/>
    <w:rsid w:val="00A153D9"/>
    <w:rsid w:val="00A15D1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1DD7"/>
    <w:rsid w:val="00A723F8"/>
    <w:rsid w:val="00A770CD"/>
    <w:rsid w:val="00A77CCB"/>
    <w:rsid w:val="00A83D8D"/>
    <w:rsid w:val="00A8446B"/>
    <w:rsid w:val="00A8473F"/>
    <w:rsid w:val="00A862D6"/>
    <w:rsid w:val="00A8715E"/>
    <w:rsid w:val="00A924DF"/>
    <w:rsid w:val="00A9295B"/>
    <w:rsid w:val="00A93B09"/>
    <w:rsid w:val="00A941F7"/>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3DD1"/>
    <w:rsid w:val="00B261F1"/>
    <w:rsid w:val="00B265BC"/>
    <w:rsid w:val="00B30668"/>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2A5C"/>
    <w:rsid w:val="00B54ABC"/>
    <w:rsid w:val="00B56FBE"/>
    <w:rsid w:val="00B60ACF"/>
    <w:rsid w:val="00B62B58"/>
    <w:rsid w:val="00B65149"/>
    <w:rsid w:val="00B66567"/>
    <w:rsid w:val="00B66C28"/>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2569"/>
    <w:rsid w:val="00BC5DC7"/>
    <w:rsid w:val="00BC6B8B"/>
    <w:rsid w:val="00BC73D8"/>
    <w:rsid w:val="00BD52D7"/>
    <w:rsid w:val="00BD5AD2"/>
    <w:rsid w:val="00BE22F3"/>
    <w:rsid w:val="00BE5B52"/>
    <w:rsid w:val="00BE6A5D"/>
    <w:rsid w:val="00BE79A0"/>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45DEF"/>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33CD"/>
    <w:rsid w:val="00CB517D"/>
    <w:rsid w:val="00CB63A7"/>
    <w:rsid w:val="00CC038D"/>
    <w:rsid w:val="00CC08DB"/>
    <w:rsid w:val="00CC1F42"/>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33D"/>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2977"/>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0178"/>
    <w:rsid w:val="00E01138"/>
    <w:rsid w:val="00E02DFB"/>
    <w:rsid w:val="00E030F9"/>
    <w:rsid w:val="00E0311A"/>
    <w:rsid w:val="00E03138"/>
    <w:rsid w:val="00E06404"/>
    <w:rsid w:val="00E11A85"/>
    <w:rsid w:val="00E12495"/>
    <w:rsid w:val="00E15CCD"/>
    <w:rsid w:val="00E1695C"/>
    <w:rsid w:val="00E202EF"/>
    <w:rsid w:val="00E210B5"/>
    <w:rsid w:val="00E23D99"/>
    <w:rsid w:val="00E2552F"/>
    <w:rsid w:val="00E25B05"/>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638F"/>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3C64"/>
    <w:rsid w:val="00EC5359"/>
    <w:rsid w:val="00EC562A"/>
    <w:rsid w:val="00ED067A"/>
    <w:rsid w:val="00ED2B50"/>
    <w:rsid w:val="00EE0350"/>
    <w:rsid w:val="00EE0719"/>
    <w:rsid w:val="00EE0E80"/>
    <w:rsid w:val="00EE613F"/>
    <w:rsid w:val="00EE7295"/>
    <w:rsid w:val="00EE7869"/>
    <w:rsid w:val="00EF054A"/>
    <w:rsid w:val="00EF12CB"/>
    <w:rsid w:val="00EF3235"/>
    <w:rsid w:val="00EF7E72"/>
    <w:rsid w:val="00F06D37"/>
    <w:rsid w:val="00F07B9D"/>
    <w:rsid w:val="00F10EDF"/>
    <w:rsid w:val="00F11586"/>
    <w:rsid w:val="00F1183B"/>
    <w:rsid w:val="00F11C9F"/>
    <w:rsid w:val="00F12263"/>
    <w:rsid w:val="00F1409D"/>
    <w:rsid w:val="00F14214"/>
    <w:rsid w:val="00F157A9"/>
    <w:rsid w:val="00F25BB6"/>
    <w:rsid w:val="00F26B7E"/>
    <w:rsid w:val="00F27A3B"/>
    <w:rsid w:val="00F30B0F"/>
    <w:rsid w:val="00F33817"/>
    <w:rsid w:val="00F36166"/>
    <w:rsid w:val="00F40474"/>
    <w:rsid w:val="00F420D5"/>
    <w:rsid w:val="00F451EA"/>
    <w:rsid w:val="00F45447"/>
    <w:rsid w:val="00F456C6"/>
    <w:rsid w:val="00F4577B"/>
    <w:rsid w:val="00F46496"/>
    <w:rsid w:val="00F474D0"/>
    <w:rsid w:val="00F47DD0"/>
    <w:rsid w:val="00F50179"/>
    <w:rsid w:val="00F515EE"/>
    <w:rsid w:val="00F52C86"/>
    <w:rsid w:val="00F56511"/>
    <w:rsid w:val="00F61387"/>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A7D3D"/>
    <w:rsid w:val="00FB0CB9"/>
    <w:rsid w:val="00FB231D"/>
    <w:rsid w:val="00FB45F1"/>
    <w:rsid w:val="00FB4A72"/>
    <w:rsid w:val="00FB54E8"/>
    <w:rsid w:val="00FB7054"/>
    <w:rsid w:val="00FC17B7"/>
    <w:rsid w:val="00FC2CB7"/>
    <w:rsid w:val="00FC4090"/>
    <w:rsid w:val="00FC55B4"/>
    <w:rsid w:val="00FC7CC1"/>
    <w:rsid w:val="00FD00E6"/>
    <w:rsid w:val="00FD09A1"/>
    <w:rsid w:val="00FD239D"/>
    <w:rsid w:val="00FD2A7C"/>
    <w:rsid w:val="00FD59EB"/>
    <w:rsid w:val="00FD7033"/>
    <w:rsid w:val="00FD7299"/>
    <w:rsid w:val="00FE1FBE"/>
    <w:rsid w:val="00FE3901"/>
    <w:rsid w:val="00FE39D3"/>
    <w:rsid w:val="00FE4BCE"/>
    <w:rsid w:val="00FE54AE"/>
    <w:rsid w:val="00FE576A"/>
    <w:rsid w:val="00FE7E79"/>
    <w:rsid w:val="00FF3E7D"/>
    <w:rsid w:val="00FF5B99"/>
    <w:rsid w:val="00FF730C"/>
    <w:rsid w:val="00FF73F4"/>
    <w:rsid w:val="00FF7CE4"/>
    <w:rsid w:val="00FF7E39"/>
    <w:rsid w:val="065E78CE"/>
    <w:rsid w:val="1F3E06B1"/>
    <w:rsid w:val="3A563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ind w:left="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ind w:left="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link w:val="23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1">
    <w:name w:val="段 Char"/>
    <w:link w:val="230"/>
    <w:qFormat/>
    <w:uiPriority w:val="0"/>
    <w:rPr>
      <w:rFonts w:ascii="宋体" w:hAnsi="Times New Roman"/>
      <w:sz w:val="21"/>
    </w:rPr>
  </w:style>
  <w:style w:type="paragraph" w:customStyle="1" w:styleId="232">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233">
    <w:name w:val="正文公式编号制表符"/>
    <w:basedOn w:val="230"/>
    <w:next w:val="230"/>
    <w:qFormat/>
    <w:uiPriority w:val="0"/>
    <w:pPr>
      <w:ind w:firstLine="0" w:firstLineChars="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6" Type="http://schemas.openxmlformats.org/officeDocument/2006/relationships/glossaryDocument" Target="glossary/document.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1.jpeg"/><Relationship Id="rId30" Type="http://schemas.openxmlformats.org/officeDocument/2006/relationships/image" Target="media/image10.wmf"/><Relationship Id="rId3" Type="http://schemas.openxmlformats.org/officeDocument/2006/relationships/footnotes" Target="footnotes.xml"/><Relationship Id="rId29" Type="http://schemas.openxmlformats.org/officeDocument/2006/relationships/oleObject" Target="embeddings/oleObject8.bin"/><Relationship Id="rId28" Type="http://schemas.openxmlformats.org/officeDocument/2006/relationships/image" Target="media/image9.wmf"/><Relationship Id="rId27" Type="http://schemas.openxmlformats.org/officeDocument/2006/relationships/oleObject" Target="embeddings/oleObject7.bin"/><Relationship Id="rId26" Type="http://schemas.openxmlformats.org/officeDocument/2006/relationships/image" Target="media/image8.wmf"/><Relationship Id="rId25" Type="http://schemas.openxmlformats.org/officeDocument/2006/relationships/oleObject" Target="embeddings/oleObject6.bin"/><Relationship Id="rId24" Type="http://schemas.openxmlformats.org/officeDocument/2006/relationships/image" Target="media/image7.wmf"/><Relationship Id="rId23" Type="http://schemas.openxmlformats.org/officeDocument/2006/relationships/oleObject" Target="embeddings/oleObject5.bin"/><Relationship Id="rId22" Type="http://schemas.openxmlformats.org/officeDocument/2006/relationships/image" Target="media/image6.wmf"/><Relationship Id="rId21" Type="http://schemas.openxmlformats.org/officeDocument/2006/relationships/oleObject" Target="embeddings/oleObject4.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4.wmf"/><Relationship Id="rId17" Type="http://schemas.openxmlformats.org/officeDocument/2006/relationships/oleObject" Target="embeddings/oleObject2.bin"/><Relationship Id="rId16" Type="http://schemas.openxmlformats.org/officeDocument/2006/relationships/image" Target="media/image3.wmf"/><Relationship Id="rId15" Type="http://schemas.openxmlformats.org/officeDocument/2006/relationships/oleObject" Target="embeddings/oleObject1.bin"/><Relationship Id="rId14" Type="http://schemas.openxmlformats.org/officeDocument/2006/relationships/image" Target="media/image2.pn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8B8780CAB2E440898BA5E8EE6A8609C"/>
        <w:style w:val=""/>
        <w:category>
          <w:name w:val="常规"/>
          <w:gallery w:val="placeholder"/>
        </w:category>
        <w:types>
          <w:type w:val="bbPlcHdr"/>
        </w:types>
        <w:behaviors>
          <w:behavior w:val="content"/>
        </w:behaviors>
        <w:description w:val=""/>
        <w:guid w:val="{3F9D4C92-6536-43A9-8B34-662EEA25683A}"/>
      </w:docPartPr>
      <w:docPartBody>
        <w:p w14:paraId="679B0475">
          <w:pPr>
            <w:pStyle w:val="5"/>
            <w:rPr>
              <w:rFonts w:hint="eastAsia"/>
            </w:rPr>
          </w:pPr>
          <w:r>
            <w:rPr>
              <w:rStyle w:val="4"/>
              <w:rFonts w:hint="eastAsia"/>
            </w:rPr>
            <w:t>单击或点击此处输入文字。</w:t>
          </w:r>
        </w:p>
      </w:docPartBody>
    </w:docPart>
    <w:docPart>
      <w:docPartPr>
        <w:name w:val="A2BFF3008BD5488FA1B8A3AFB36E72EF"/>
        <w:style w:val=""/>
        <w:category>
          <w:name w:val="常规"/>
          <w:gallery w:val="placeholder"/>
        </w:category>
        <w:types>
          <w:type w:val="bbPlcHdr"/>
        </w:types>
        <w:behaviors>
          <w:behavior w:val="content"/>
        </w:behaviors>
        <w:description w:val=""/>
        <w:guid w:val="{565E9ADA-9E79-4275-B700-9679958B0E6C}"/>
      </w:docPartPr>
      <w:docPartBody>
        <w:p w14:paraId="48BF2091">
          <w:pPr>
            <w:pStyle w:val="6"/>
            <w:rPr>
              <w:rFonts w:hint="eastAsia"/>
            </w:rPr>
          </w:pPr>
          <w:r>
            <w:rPr>
              <w:rStyle w:val="4"/>
              <w:rFonts w:hint="eastAsia"/>
            </w:rPr>
            <w:t>选择一项。</w:t>
          </w:r>
        </w:p>
      </w:docPartBody>
    </w:docPart>
    <w:docPart>
      <w:docPartPr>
        <w:name w:val="D6FE7341A0F2462BB5CBFBB1F77C2CD3"/>
        <w:style w:val=""/>
        <w:category>
          <w:name w:val="常规"/>
          <w:gallery w:val="placeholder"/>
        </w:category>
        <w:types>
          <w:type w:val="bbPlcHdr"/>
        </w:types>
        <w:behaviors>
          <w:behavior w:val="content"/>
        </w:behaviors>
        <w:description w:val=""/>
        <w:guid w:val="{0790C8FE-89C5-4452-80D4-ECC1564BC9EC}"/>
      </w:docPartPr>
      <w:docPartBody>
        <w:p w14:paraId="3C2DC08E">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4C"/>
    <w:rsid w:val="00000623"/>
    <w:rsid w:val="000829E8"/>
    <w:rsid w:val="000B22A6"/>
    <w:rsid w:val="000D11EC"/>
    <w:rsid w:val="0011728C"/>
    <w:rsid w:val="0013765A"/>
    <w:rsid w:val="001571D2"/>
    <w:rsid w:val="0018631C"/>
    <w:rsid w:val="002F22E6"/>
    <w:rsid w:val="00344A6A"/>
    <w:rsid w:val="00367AB0"/>
    <w:rsid w:val="003E79F7"/>
    <w:rsid w:val="0052372A"/>
    <w:rsid w:val="005635F2"/>
    <w:rsid w:val="00705B45"/>
    <w:rsid w:val="00755E04"/>
    <w:rsid w:val="007F5BE2"/>
    <w:rsid w:val="00826E4C"/>
    <w:rsid w:val="008F2BB9"/>
    <w:rsid w:val="0092426F"/>
    <w:rsid w:val="00950628"/>
    <w:rsid w:val="00B611C1"/>
    <w:rsid w:val="00BE6A5D"/>
    <w:rsid w:val="00CF033D"/>
    <w:rsid w:val="00D03A51"/>
    <w:rsid w:val="00E873BD"/>
    <w:rsid w:val="00F61387"/>
    <w:rsid w:val="00FE7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8B8780CAB2E440898BA5E8EE6A8609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2BFF3008BD5488FA1B8A3AFB36E72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6FE7341A0F2462BB5CBFBB1F77C2CD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D0C9DE-2F99-47DE-BE05-FA79AEA31C38}">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8</Pages>
  <Words>2255</Words>
  <Characters>2521</Characters>
  <Lines>161</Lines>
  <Paragraphs>204</Paragraphs>
  <TotalTime>577</TotalTime>
  <ScaleCrop>false</ScaleCrop>
  <LinksUpToDate>false</LinksUpToDate>
  <CharactersWithSpaces>2657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2021-06-22T10:53:00Z</dcterms:created>
  <dc:creator>THTF</dc:creator>
  <dc:description>&lt;config cover="true" show_menu="true" version="1.0.0" doctype="SDKXY"&gt;_x000d_
&lt;/config&gt;</dc:description>
  <cp:lastModifiedBy>Xiaoshan Long</cp:lastModifiedBy>
  <cp:lastPrinted>2020-08-30T10:00:00Z</cp:lastPrinted>
  <dcterms:modified xsi:type="dcterms:W3CDTF">2025-09-05T01:17:29Z</dcterms:modified>
  <dc:title>地方标准</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eyJoZGlkIjoiMjdmMDAwMjQ1NTkzM2U1ZTc4ZmQzOGMwY2ZlY2RmOTciLCJ1c2VySWQiOiI0MjQ5MTQxNzIifQ==</vt:lpwstr>
  </property>
  <property fmtid="{D5CDD505-2E9C-101B-9397-08002B2CF9AE}" pid="15" name="KSOProductBuildVer">
    <vt:lpwstr>2052-12.1.0.22529</vt:lpwstr>
  </property>
  <property fmtid="{D5CDD505-2E9C-101B-9397-08002B2CF9AE}" pid="16" name="ICV">
    <vt:lpwstr>2B282B7FF9194DC08320B9D08E3E9053_12</vt:lpwstr>
  </property>
</Properties>
</file>